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2AD51" w14:textId="77777777" w:rsidR="003D171E" w:rsidRPr="003D171E" w:rsidRDefault="003D171E" w:rsidP="003D171E">
      <w:pPr>
        <w:spacing w:after="0" w:line="240" w:lineRule="auto"/>
        <w:rPr>
          <w:rFonts w:ascii="Verdana" w:hAnsi="Verdana"/>
          <w:b/>
          <w:bCs/>
        </w:rPr>
      </w:pPr>
      <w:bookmarkStart w:id="0" w:name="_Hlk143780582"/>
      <w:r w:rsidRPr="003D171E">
        <w:rPr>
          <w:rFonts w:ascii="Verdana" w:hAnsi="Verdana"/>
          <w:b/>
          <w:bCs/>
        </w:rPr>
        <w:t xml:space="preserve">PLIEGO DE CONDICIONES – Naturaleza Jurídica </w:t>
      </w:r>
    </w:p>
    <w:p w14:paraId="21C97110" w14:textId="07F29FCE" w:rsidR="003D171E" w:rsidRDefault="003D171E" w:rsidP="003D171E">
      <w:pPr>
        <w:spacing w:after="0" w:line="240" w:lineRule="auto"/>
        <w:rPr>
          <w:rFonts w:ascii="Verdana" w:hAnsi="Verdana"/>
          <w:b/>
          <w:bCs/>
        </w:rPr>
      </w:pPr>
    </w:p>
    <w:p w14:paraId="43D660CD" w14:textId="4A22E8C4" w:rsidR="003D171E" w:rsidRPr="003D171E" w:rsidRDefault="003D171E" w:rsidP="003D171E">
      <w:pPr>
        <w:spacing w:after="0" w:line="240" w:lineRule="auto"/>
        <w:jc w:val="both"/>
        <w:rPr>
          <w:rFonts w:ascii="Verdana" w:hAnsi="Verdana"/>
          <w:bCs/>
          <w:sz w:val="20"/>
          <w:lang w:val="es-ES"/>
        </w:rPr>
      </w:pPr>
      <w:r w:rsidRPr="003D171E">
        <w:rPr>
          <w:rFonts w:ascii="Verdana" w:hAnsi="Verdana"/>
          <w:bCs/>
          <w:sz w:val="20"/>
          <w:lang w:val="es-ES"/>
        </w:rPr>
        <w:t>El pliego de condiciones es la hoja de ruta o plan</w:t>
      </w:r>
      <w:r w:rsidRPr="003D171E">
        <w:rPr>
          <w:rFonts w:ascii="Verdana" w:hAnsi="Verdana"/>
          <w:bCs/>
          <w:sz w:val="20"/>
          <w:vertAlign w:val="superscript"/>
          <w:lang w:val="es-ES"/>
        </w:rPr>
        <w:t xml:space="preserve"> </w:t>
      </w:r>
      <w:r w:rsidRPr="003D171E">
        <w:rPr>
          <w:rFonts w:ascii="Verdana" w:hAnsi="Verdana"/>
          <w:bCs/>
          <w:sz w:val="20"/>
          <w:lang w:val="es-ES"/>
        </w:rPr>
        <w:t>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3D171E">
        <w:rPr>
          <w:rFonts w:ascii="Verdana" w:hAnsi="Verdana"/>
          <w:bCs/>
          <w:sz w:val="20"/>
          <w:lang w:val="es-ES_tradnl"/>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Pr="003D171E">
        <w:rPr>
          <w:rFonts w:ascii="Verdana" w:hAnsi="Verdana"/>
          <w:bCs/>
          <w:sz w:val="20"/>
        </w:rPr>
        <w:t>.</w:t>
      </w:r>
    </w:p>
    <w:p w14:paraId="01E947D4" w14:textId="77777777" w:rsidR="003D171E" w:rsidRPr="003D171E" w:rsidRDefault="003D171E" w:rsidP="003D171E">
      <w:pPr>
        <w:spacing w:after="0" w:line="240" w:lineRule="auto"/>
        <w:jc w:val="both"/>
        <w:rPr>
          <w:rFonts w:ascii="Verdana" w:hAnsi="Verdana"/>
          <w:b/>
          <w:bCs/>
          <w:lang w:val="es-ES"/>
        </w:rPr>
      </w:pPr>
    </w:p>
    <w:p w14:paraId="0D4254CE" w14:textId="77777777" w:rsidR="003D171E" w:rsidRPr="003D171E" w:rsidRDefault="003D171E" w:rsidP="003D171E">
      <w:pPr>
        <w:spacing w:after="0" w:line="240" w:lineRule="auto"/>
        <w:jc w:val="both"/>
        <w:rPr>
          <w:rFonts w:ascii="Verdana" w:hAnsi="Verdana"/>
          <w:b/>
          <w:bCs/>
        </w:rPr>
      </w:pPr>
      <w:r w:rsidRPr="003D171E">
        <w:rPr>
          <w:rFonts w:ascii="Verdana" w:hAnsi="Verdana"/>
          <w:b/>
          <w:bCs/>
        </w:rPr>
        <w:t xml:space="preserve">PROYECTO DE PLIEGO DE CONDICIONES – Acto de trámite – Acto preparatorio – Pliego de condiciones </w:t>
      </w:r>
    </w:p>
    <w:p w14:paraId="6E37957F" w14:textId="12D10570" w:rsidR="003D171E" w:rsidRDefault="003D171E" w:rsidP="003D171E">
      <w:pPr>
        <w:spacing w:after="0" w:line="240" w:lineRule="auto"/>
        <w:jc w:val="both"/>
        <w:rPr>
          <w:rFonts w:ascii="Verdana" w:hAnsi="Verdana"/>
          <w:b/>
          <w:bCs/>
        </w:rPr>
      </w:pPr>
    </w:p>
    <w:p w14:paraId="14BE8644" w14:textId="3D26F9E1" w:rsidR="003D171E" w:rsidRDefault="003D171E" w:rsidP="003D171E">
      <w:pPr>
        <w:spacing w:after="0" w:line="240" w:lineRule="auto"/>
        <w:jc w:val="both"/>
        <w:rPr>
          <w:rFonts w:ascii="Verdana" w:hAnsi="Verdana"/>
          <w:bCs/>
          <w:sz w:val="20"/>
          <w:lang w:val="es-ES"/>
        </w:rPr>
      </w:pPr>
      <w:r w:rsidRPr="003D171E">
        <w:rPr>
          <w:rFonts w:ascii="Verdana" w:hAnsi="Verdana"/>
          <w:bCs/>
          <w:sz w:val="20"/>
          <w:lang w:val="es-ES"/>
        </w:rPr>
        <w:t xml:space="preserve">El proyecto de pliego de condiciones como acto de trámite o preparatorio tiene como propósito preparar o encaminar el proceso hacia la expedición del acto administrativo que en este caso es el pliego de condiciones definitivo, por tanto, no genera efectos jurídicos ni crea derechos adquiridos para los posibles oferentes. En consecuencia, es posible que derivado de respuestas a observaciones al proyecto de pliego de condiciones o a </w:t>
      </w:r>
      <w:r w:rsidRPr="003D171E">
        <w:rPr>
          <w:rFonts w:ascii="Verdana" w:hAnsi="Verdana"/>
          <w:bCs/>
          <w:i/>
          <w:iCs/>
          <w:sz w:val="20"/>
          <w:lang w:val="es-ES"/>
        </w:rPr>
        <w:t>motu propio</w:t>
      </w:r>
      <w:r w:rsidRPr="003D171E">
        <w:rPr>
          <w:rFonts w:ascii="Verdana" w:hAnsi="Verdana"/>
          <w:bCs/>
          <w:sz w:val="20"/>
          <w:lang w:val="es-ES"/>
        </w:rPr>
        <w:t xml:space="preserve"> la entidad ajuste condiciones o valores del presupuesto estimado, de modo que la disminución del monto inicialmente previsto resulta posible, siempre que se justifique con claridad y se garantice la transparencia frente a los interesados. En este escenario, la variación no afecta la validez del proceso, siempre que la cuantía continúe correspondiendo al mismo tipo de procedimiento y no se vulneren la libre concurrencia, la igualdad y la selección objetiva.</w:t>
      </w:r>
    </w:p>
    <w:p w14:paraId="1B4D0CA6" w14:textId="77777777" w:rsidR="003D171E" w:rsidRPr="003D171E" w:rsidRDefault="003D171E" w:rsidP="003D171E">
      <w:pPr>
        <w:spacing w:after="0" w:line="240" w:lineRule="auto"/>
        <w:jc w:val="both"/>
        <w:rPr>
          <w:rFonts w:ascii="Verdana" w:hAnsi="Verdana"/>
          <w:bCs/>
          <w:sz w:val="20"/>
          <w:lang w:val="es-ES"/>
        </w:rPr>
      </w:pPr>
    </w:p>
    <w:p w14:paraId="77CA5182" w14:textId="4294B7FD" w:rsidR="003D171E" w:rsidRDefault="003D171E" w:rsidP="003D171E">
      <w:pPr>
        <w:spacing w:after="0" w:line="240" w:lineRule="auto"/>
        <w:jc w:val="both"/>
        <w:rPr>
          <w:rFonts w:ascii="Verdana" w:hAnsi="Verdana"/>
          <w:bCs/>
          <w:sz w:val="20"/>
          <w:lang w:val="es-ES_tradnl"/>
        </w:rPr>
      </w:pPr>
      <w:r w:rsidRPr="003D171E">
        <w:rPr>
          <w:rFonts w:ascii="Verdana" w:hAnsi="Verdana"/>
          <w:bCs/>
          <w:sz w:val="20"/>
          <w:lang w:val="es-ES_tradnl"/>
        </w:rPr>
        <w:t>No obstante, si la reducción del presupuesto implica un cambio sustancial en la modalidad de selección —por ejemplo, pasar de selección abreviada a mínima cuantía— o altera de manera significativa las condiciones de participación, la Entidad no puede continuar con el mismo proceso. En tal caso, debe revocar el proceso de contratación y adelantar un nuevo proceso con el valor ajustado, asegurando que los oferentes participen bajo reglas claras y coherentes con la normativa vigente, que rige el proceso de selección respectivo.</w:t>
      </w:r>
    </w:p>
    <w:p w14:paraId="5E634C3C" w14:textId="77777777" w:rsidR="003D171E" w:rsidRPr="003D171E" w:rsidRDefault="003D171E" w:rsidP="003D171E">
      <w:pPr>
        <w:spacing w:after="0" w:line="240" w:lineRule="auto"/>
        <w:jc w:val="both"/>
        <w:rPr>
          <w:rFonts w:ascii="Verdana" w:hAnsi="Verdana"/>
          <w:bCs/>
          <w:sz w:val="20"/>
        </w:rPr>
      </w:pPr>
    </w:p>
    <w:p w14:paraId="374DCE44" w14:textId="77777777" w:rsidR="003D171E" w:rsidRPr="003D171E" w:rsidRDefault="003D171E" w:rsidP="003D171E">
      <w:pPr>
        <w:spacing w:after="0" w:line="240" w:lineRule="auto"/>
        <w:jc w:val="both"/>
        <w:rPr>
          <w:rFonts w:ascii="Verdana" w:hAnsi="Verdana"/>
          <w:b/>
          <w:bCs/>
        </w:rPr>
      </w:pPr>
      <w:r w:rsidRPr="003D171E">
        <w:rPr>
          <w:rFonts w:ascii="Verdana" w:hAnsi="Verdana"/>
          <w:b/>
          <w:bCs/>
        </w:rPr>
        <w:t xml:space="preserve">PLIEGO DE CONDICIONES – Modificaciones – Adendas </w:t>
      </w:r>
    </w:p>
    <w:p w14:paraId="346D2844" w14:textId="41BEBA3D" w:rsidR="003D171E" w:rsidRPr="003D171E" w:rsidRDefault="003D171E" w:rsidP="003D171E">
      <w:pPr>
        <w:spacing w:after="0" w:line="240" w:lineRule="auto"/>
        <w:jc w:val="both"/>
        <w:rPr>
          <w:rFonts w:ascii="Verdana" w:hAnsi="Verdana"/>
          <w:bCs/>
          <w:sz w:val="20"/>
          <w:szCs w:val="20"/>
        </w:rPr>
      </w:pPr>
    </w:p>
    <w:p w14:paraId="35C182E4" w14:textId="259C947A" w:rsidR="003D171E" w:rsidRDefault="003D171E" w:rsidP="003D171E">
      <w:pPr>
        <w:spacing w:after="0" w:line="240" w:lineRule="auto"/>
        <w:jc w:val="both"/>
        <w:rPr>
          <w:rFonts w:ascii="Verdana" w:hAnsi="Verdana"/>
          <w:bCs/>
          <w:i/>
          <w:sz w:val="20"/>
          <w:szCs w:val="20"/>
          <w:lang w:val="es-ES"/>
        </w:rPr>
      </w:pPr>
      <w:r w:rsidRPr="003D171E">
        <w:rPr>
          <w:rFonts w:ascii="Verdana" w:hAnsi="Verdana"/>
          <w:bCs/>
          <w:sz w:val="20"/>
          <w:szCs w:val="20"/>
          <w:lang w:val="es-ES"/>
        </w:rPr>
        <w:t xml:space="preserve">Así,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3D171E">
        <w:rPr>
          <w:rFonts w:ascii="Verdana" w:hAnsi="Verdana"/>
          <w:bCs/>
          <w:i/>
          <w:iCs/>
          <w:sz w:val="20"/>
          <w:szCs w:val="20"/>
          <w:lang w:val="es-ES"/>
        </w:rPr>
        <w:t>adendas</w:t>
      </w:r>
      <w:r w:rsidRPr="003D171E">
        <w:rPr>
          <w:rFonts w:ascii="Verdana" w:hAnsi="Verdana"/>
          <w:bCs/>
          <w:i/>
          <w:sz w:val="20"/>
          <w:szCs w:val="20"/>
          <w:lang w:val="es-ES"/>
        </w:rPr>
        <w:t xml:space="preserve">. </w:t>
      </w:r>
    </w:p>
    <w:p w14:paraId="02F8C56B" w14:textId="77777777" w:rsidR="003D171E" w:rsidRPr="003D171E" w:rsidRDefault="003D171E" w:rsidP="003D171E">
      <w:pPr>
        <w:spacing w:after="0" w:line="240" w:lineRule="auto"/>
        <w:jc w:val="both"/>
        <w:rPr>
          <w:rFonts w:ascii="Verdana" w:hAnsi="Verdana"/>
          <w:bCs/>
          <w:i/>
          <w:sz w:val="20"/>
          <w:szCs w:val="20"/>
          <w:lang w:val="es-ES"/>
        </w:rPr>
      </w:pPr>
    </w:p>
    <w:p w14:paraId="4CFB7ADE" w14:textId="7CFCA486" w:rsidR="003D171E" w:rsidRDefault="003D171E" w:rsidP="003D171E">
      <w:pPr>
        <w:spacing w:after="0" w:line="240" w:lineRule="auto"/>
        <w:jc w:val="both"/>
        <w:rPr>
          <w:rFonts w:ascii="Verdana" w:hAnsi="Verdana"/>
          <w:bCs/>
          <w:sz w:val="20"/>
          <w:szCs w:val="20"/>
          <w:lang w:bidi="es-ES"/>
        </w:rPr>
      </w:pPr>
      <w:r w:rsidRPr="003D171E">
        <w:rPr>
          <w:rFonts w:ascii="Verdana" w:hAnsi="Verdana"/>
          <w:bCs/>
          <w:iCs/>
          <w:sz w:val="20"/>
          <w:szCs w:val="20"/>
          <w:lang w:val="es-ES"/>
        </w:rPr>
        <w:lastRenderedPageBreak/>
        <w:t>C</w:t>
      </w:r>
      <w:r w:rsidRPr="003D171E">
        <w:rPr>
          <w:rFonts w:ascii="Verdana" w:hAnsi="Verdana"/>
          <w:bCs/>
          <w:sz w:val="20"/>
          <w:szCs w:val="20"/>
          <w:lang w:val="es-ES"/>
        </w:rPr>
        <w:t xml:space="preserve">omo lo ha reconocido la jurisprudencia del Consejo de Estado, dichas modificaciones pueden realizarse por medio de cualquier otro documento que contenga la manifestación de voluntad de la entidad de aclarar, añadir, adicionar, reemplazar o cambiar un aspecto o condición incluida en los documentos del procedimiento de contratación, con independencia de que dicho documento sea titulado o rotulado como </w:t>
      </w:r>
      <w:r w:rsidRPr="003D171E">
        <w:rPr>
          <w:rFonts w:ascii="Verdana" w:hAnsi="Verdana"/>
          <w:bCs/>
          <w:i/>
          <w:iCs/>
          <w:sz w:val="20"/>
          <w:szCs w:val="20"/>
          <w:lang w:val="es-ES"/>
        </w:rPr>
        <w:t>adenda</w:t>
      </w:r>
      <w:r w:rsidRPr="003D171E">
        <w:rPr>
          <w:rFonts w:ascii="Verdana" w:hAnsi="Verdana"/>
          <w:bCs/>
          <w:sz w:val="20"/>
          <w:szCs w:val="20"/>
          <w:lang w:val="es-ES"/>
        </w:rPr>
        <w:t xml:space="preserve">, </w:t>
      </w:r>
      <w:r w:rsidRPr="003D171E">
        <w:rPr>
          <w:rFonts w:ascii="Verdana" w:hAnsi="Verdana"/>
          <w:bCs/>
          <w:sz w:val="20"/>
          <w:szCs w:val="20"/>
          <w:lang w:bidi="es-ES"/>
        </w:rPr>
        <w:t>siempre que mediante dicho documento se modifiquen los pliegos de condiciones.</w:t>
      </w:r>
    </w:p>
    <w:p w14:paraId="0340922F" w14:textId="77777777" w:rsidR="003D171E" w:rsidRPr="003D171E" w:rsidRDefault="003D171E" w:rsidP="003D171E">
      <w:pPr>
        <w:spacing w:after="0" w:line="240" w:lineRule="auto"/>
        <w:jc w:val="both"/>
        <w:rPr>
          <w:rFonts w:ascii="Verdana" w:hAnsi="Verdana"/>
          <w:bCs/>
          <w:sz w:val="20"/>
          <w:szCs w:val="20"/>
        </w:rPr>
      </w:pPr>
    </w:p>
    <w:p w14:paraId="4DD2E8F9" w14:textId="306882C2" w:rsidR="003D171E" w:rsidRPr="003D171E" w:rsidRDefault="003D171E" w:rsidP="003D171E">
      <w:pPr>
        <w:spacing w:after="0" w:line="240" w:lineRule="auto"/>
        <w:jc w:val="both"/>
        <w:rPr>
          <w:rFonts w:ascii="Verdana" w:hAnsi="Verdana"/>
          <w:b/>
          <w:bCs/>
        </w:rPr>
      </w:pPr>
      <w:r w:rsidRPr="003D171E">
        <w:rPr>
          <w:rFonts w:ascii="Verdana" w:hAnsi="Verdana"/>
          <w:b/>
          <w:bCs/>
        </w:rPr>
        <w:t xml:space="preserve">PLIEGO DE CONDICIONES – Observaciones Extemporáneas - Respuesta a las observaciones – Adendas – Restricciones – Cierre del Proceso.  </w:t>
      </w:r>
    </w:p>
    <w:p w14:paraId="41B3C189" w14:textId="0201A46B" w:rsidR="003D171E" w:rsidRDefault="003D171E" w:rsidP="00767021">
      <w:pPr>
        <w:spacing w:after="0"/>
        <w:rPr>
          <w:rFonts w:ascii="Verdana" w:hAnsi="Verdana"/>
        </w:rPr>
      </w:pPr>
    </w:p>
    <w:p w14:paraId="041A90C3" w14:textId="05E102AB" w:rsidR="003D171E" w:rsidRDefault="004F2CA3" w:rsidP="004F2CA3">
      <w:pPr>
        <w:spacing w:after="0" w:line="240" w:lineRule="auto"/>
        <w:jc w:val="both"/>
        <w:rPr>
          <w:rFonts w:ascii="Verdana" w:hAnsi="Verdana"/>
          <w:sz w:val="20"/>
          <w:szCs w:val="20"/>
        </w:rPr>
      </w:pPr>
      <w:r>
        <w:rPr>
          <w:rFonts w:ascii="Verdana" w:hAnsi="Verdana"/>
          <w:sz w:val="20"/>
          <w:szCs w:val="20"/>
        </w:rPr>
        <w:t xml:space="preserve">[…] </w:t>
      </w:r>
      <w:r w:rsidR="003D171E" w:rsidRPr="003D171E">
        <w:rPr>
          <w:rFonts w:ascii="Verdana" w:hAnsi="Verdana"/>
          <w:sz w:val="20"/>
          <w:szCs w:val="20"/>
        </w:rPr>
        <w:t xml:space="preserve">el pronunciamiento sobre las observaciones y/o solicitudes de aclaraciones al pliego de condiciones definitivo debe efectuarse antes del vencimiento del plazo establecido en el cronograma para la presentación de las propuestas u ofertas por parte de los interesados. Por tanto, en cumplimiento de la obligación de responder las observaciones mediante comunicación escrita, debe remitirla al interesado y publicarla en el SECOP para conocimiento público, por lo que la entidad estatal puede materializar una modificación al pliego de condiciones. En dicho evento, la voluntad modificatoria de la entidad debe expresarse de manera clara, de forma tal que se garanticen los principios de transparencia y publicidad. De este modo, las modificaciones al pliego de condiciones definitivos deben hacerse de forma oportuna, con el fin de garantizar los principios de buena fe y confianza legítima, en el sentido de brindar la posibilidad al tercero interesado de presentar la propuesta teniendo en cuenta con un tiempo prudente las reglas establecidas en el pliego y sus modificaciones manifestadas. </w:t>
      </w:r>
    </w:p>
    <w:p w14:paraId="24302042" w14:textId="77777777" w:rsidR="004F2CA3" w:rsidRPr="003D171E" w:rsidRDefault="004F2CA3" w:rsidP="004F2CA3">
      <w:pPr>
        <w:spacing w:after="0" w:line="240" w:lineRule="auto"/>
        <w:jc w:val="both"/>
        <w:rPr>
          <w:rFonts w:ascii="Verdana" w:hAnsi="Verdana"/>
          <w:sz w:val="20"/>
          <w:szCs w:val="20"/>
        </w:rPr>
      </w:pPr>
    </w:p>
    <w:p w14:paraId="0A304C0E" w14:textId="1DE79179" w:rsidR="003D171E" w:rsidRDefault="003D171E" w:rsidP="004F2CA3">
      <w:pPr>
        <w:spacing w:after="0" w:line="240" w:lineRule="auto"/>
        <w:jc w:val="both"/>
        <w:rPr>
          <w:rFonts w:ascii="Verdana" w:hAnsi="Verdana"/>
          <w:sz w:val="20"/>
          <w:szCs w:val="20"/>
          <w:lang w:val="es-ES"/>
        </w:rPr>
      </w:pPr>
      <w:r w:rsidRPr="003D171E">
        <w:rPr>
          <w:rFonts w:ascii="Verdana" w:hAnsi="Verdana"/>
          <w:sz w:val="20"/>
          <w:szCs w:val="20"/>
        </w:rPr>
        <w:t xml:space="preserve">Esto en consideración a que, conforme al numeral 6 del artículo 30 de la Ley 80 de 1993, la propuesta debe ajustarse a todos los puntos determinados en el pliego de condiciones. </w:t>
      </w:r>
      <w:r w:rsidRPr="003D171E">
        <w:rPr>
          <w:rFonts w:ascii="Verdana" w:hAnsi="Verdana"/>
          <w:i/>
          <w:iCs/>
          <w:sz w:val="20"/>
          <w:szCs w:val="20"/>
        </w:rPr>
        <w:t>Contrario sensu,</w:t>
      </w:r>
      <w:r w:rsidRPr="003D171E">
        <w:rPr>
          <w:rFonts w:ascii="Verdana" w:hAnsi="Verdana"/>
          <w:sz w:val="20"/>
          <w:szCs w:val="20"/>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 </w:t>
      </w:r>
      <w:r w:rsidRPr="003D171E">
        <w:rPr>
          <w:rFonts w:ascii="Verdana" w:hAnsi="Verdana"/>
          <w:sz w:val="20"/>
          <w:szCs w:val="20"/>
          <w:lang w:val="es-ES"/>
        </w:rPr>
        <w:t xml:space="preserve">En este aspecto, los plazos fijados para la publicación de adendas y la presentación de ofertas son de carácter preclusivo y perentorio. Esto implica que, una vez vencido el término para introducir modificaciones a los pliegos de condiciones, la Entidad no puede alterar los documentos ni el cronograma sin afectar la seguridad jurídica y la igualdad de los oferentes. </w:t>
      </w:r>
    </w:p>
    <w:p w14:paraId="57C482BB" w14:textId="77777777" w:rsidR="004F2CA3" w:rsidRPr="003D171E" w:rsidRDefault="004F2CA3" w:rsidP="004F2CA3">
      <w:pPr>
        <w:spacing w:after="0" w:line="240" w:lineRule="auto"/>
        <w:jc w:val="both"/>
        <w:rPr>
          <w:rFonts w:ascii="Verdana" w:hAnsi="Verdana"/>
          <w:sz w:val="20"/>
          <w:szCs w:val="20"/>
        </w:rPr>
      </w:pPr>
    </w:p>
    <w:p w14:paraId="140D548C" w14:textId="79E265F0" w:rsidR="003D171E" w:rsidRPr="003D171E" w:rsidRDefault="003D171E" w:rsidP="004F2CA3">
      <w:pPr>
        <w:spacing w:after="0" w:line="240" w:lineRule="auto"/>
        <w:jc w:val="both"/>
        <w:rPr>
          <w:rFonts w:ascii="Verdana" w:hAnsi="Verdana"/>
          <w:sz w:val="20"/>
          <w:szCs w:val="20"/>
        </w:rPr>
      </w:pPr>
      <w:r w:rsidRPr="003D171E">
        <w:rPr>
          <w:rFonts w:ascii="Verdana" w:hAnsi="Verdana"/>
          <w:sz w:val="20"/>
          <w:szCs w:val="20"/>
          <w:lang w:val="es-ES"/>
        </w:rPr>
        <w:t>En este sentido, si se presentan observaciones extemporáneas al pliego de condiciones definitivo, aunque puedan resultar pertinentes, no pueden acogerse mediante una simple adenda fuera de término. La Entidad si considera necesario incorporar dichas observaciones extemporáneas, debe retrotraer la actuación a la etapa de adendas, con la condición de que no se esté en e</w:t>
      </w:r>
      <w:r w:rsidRPr="003D171E">
        <w:rPr>
          <w:rFonts w:ascii="Verdana" w:hAnsi="Verdana"/>
          <w:sz w:val="20"/>
          <w:szCs w:val="20"/>
        </w:rPr>
        <w:t xml:space="preserve">l plazo de la licitación, entendido como el término que debe transcurrir entre la fecha a partir de la cual pueden presentarse propuestas y la de su cierre. En torno a dicho plazo, el inciso segundo, numeral 5° de la Ley 80 de 1993, prescribe: “Cuando lo estime conveniente la entidad interesada, de oficio o a solicitud </w:t>
      </w:r>
      <w:r w:rsidRPr="003D171E">
        <w:rPr>
          <w:rFonts w:ascii="Verdana" w:hAnsi="Verdana"/>
          <w:sz w:val="20"/>
          <w:szCs w:val="20"/>
        </w:rPr>
        <w:lastRenderedPageBreak/>
        <w:t xml:space="preserve">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en días hábiles y horarios laborales”. Al respecto, lo que se dispone en dicho inciso, se infiere que es posible mediante adendas ampliar el plazo de la licitación, pero no puede hacerse dentro de los tres días antes del cierre del proceso de selección ni siquiera para extender el plazo del mismo.  </w:t>
      </w:r>
    </w:p>
    <w:p w14:paraId="5BB0DBE3" w14:textId="77777777" w:rsidR="004F2CA3" w:rsidRDefault="004F2CA3" w:rsidP="00767021">
      <w:pPr>
        <w:spacing w:after="0"/>
        <w:rPr>
          <w:rFonts w:ascii="Verdana" w:hAnsi="Verdana"/>
        </w:rPr>
      </w:pPr>
    </w:p>
    <w:p w14:paraId="68F364CF" w14:textId="77777777" w:rsidR="004F2CA3" w:rsidRDefault="004F2CA3" w:rsidP="00767021">
      <w:pPr>
        <w:spacing w:after="0"/>
        <w:rPr>
          <w:rFonts w:ascii="Verdana" w:hAnsi="Verdana"/>
        </w:rPr>
      </w:pPr>
    </w:p>
    <w:p w14:paraId="08BF7DA3" w14:textId="77777777" w:rsidR="004F2CA3" w:rsidRDefault="004F2CA3" w:rsidP="00767021">
      <w:pPr>
        <w:spacing w:after="0"/>
        <w:rPr>
          <w:rFonts w:ascii="Verdana" w:hAnsi="Verdana"/>
        </w:rPr>
      </w:pPr>
    </w:p>
    <w:p w14:paraId="093DD413" w14:textId="77777777" w:rsidR="004F2CA3" w:rsidRDefault="004F2CA3" w:rsidP="00767021">
      <w:pPr>
        <w:spacing w:after="0"/>
        <w:rPr>
          <w:rFonts w:ascii="Verdana" w:hAnsi="Verdana"/>
        </w:rPr>
      </w:pPr>
    </w:p>
    <w:p w14:paraId="47932337" w14:textId="77777777" w:rsidR="004F2CA3" w:rsidRDefault="004F2CA3" w:rsidP="00767021">
      <w:pPr>
        <w:spacing w:after="0"/>
        <w:rPr>
          <w:rFonts w:ascii="Verdana" w:hAnsi="Verdana"/>
        </w:rPr>
      </w:pPr>
    </w:p>
    <w:p w14:paraId="4D48C4F9" w14:textId="77777777" w:rsidR="004F2CA3" w:rsidRDefault="004F2CA3" w:rsidP="00767021">
      <w:pPr>
        <w:spacing w:after="0"/>
        <w:rPr>
          <w:rFonts w:ascii="Verdana" w:hAnsi="Verdana"/>
        </w:rPr>
      </w:pPr>
    </w:p>
    <w:p w14:paraId="1DDEB423" w14:textId="77777777" w:rsidR="004F2CA3" w:rsidRDefault="004F2CA3" w:rsidP="00767021">
      <w:pPr>
        <w:spacing w:after="0"/>
        <w:rPr>
          <w:rFonts w:ascii="Verdana" w:hAnsi="Verdana"/>
        </w:rPr>
      </w:pPr>
    </w:p>
    <w:p w14:paraId="55111AC7" w14:textId="77777777" w:rsidR="004F2CA3" w:rsidRDefault="004F2CA3" w:rsidP="00767021">
      <w:pPr>
        <w:spacing w:after="0"/>
        <w:rPr>
          <w:rFonts w:ascii="Verdana" w:hAnsi="Verdana"/>
        </w:rPr>
      </w:pPr>
    </w:p>
    <w:p w14:paraId="3479CCFA" w14:textId="77777777" w:rsidR="004F2CA3" w:rsidRDefault="004F2CA3" w:rsidP="00767021">
      <w:pPr>
        <w:spacing w:after="0"/>
        <w:rPr>
          <w:rFonts w:ascii="Verdana" w:hAnsi="Verdana"/>
        </w:rPr>
      </w:pPr>
    </w:p>
    <w:p w14:paraId="132C3812" w14:textId="77777777" w:rsidR="004F2CA3" w:rsidRDefault="004F2CA3" w:rsidP="00767021">
      <w:pPr>
        <w:spacing w:after="0"/>
        <w:rPr>
          <w:rFonts w:ascii="Verdana" w:hAnsi="Verdana"/>
        </w:rPr>
      </w:pPr>
    </w:p>
    <w:p w14:paraId="76FDAEAF" w14:textId="77777777" w:rsidR="004F2CA3" w:rsidRDefault="004F2CA3" w:rsidP="00767021">
      <w:pPr>
        <w:spacing w:after="0"/>
        <w:rPr>
          <w:rFonts w:ascii="Verdana" w:hAnsi="Verdana"/>
        </w:rPr>
      </w:pPr>
    </w:p>
    <w:p w14:paraId="3654A6FA" w14:textId="77777777" w:rsidR="004F2CA3" w:rsidRDefault="004F2CA3" w:rsidP="00767021">
      <w:pPr>
        <w:spacing w:after="0"/>
        <w:rPr>
          <w:rFonts w:ascii="Verdana" w:hAnsi="Verdana"/>
        </w:rPr>
      </w:pPr>
    </w:p>
    <w:p w14:paraId="2D86CC45" w14:textId="77777777" w:rsidR="004F2CA3" w:rsidRDefault="004F2CA3" w:rsidP="00767021">
      <w:pPr>
        <w:spacing w:after="0"/>
        <w:rPr>
          <w:rFonts w:ascii="Verdana" w:hAnsi="Verdana"/>
        </w:rPr>
      </w:pPr>
    </w:p>
    <w:p w14:paraId="65D3C020" w14:textId="77777777" w:rsidR="004F2CA3" w:rsidRDefault="004F2CA3" w:rsidP="00767021">
      <w:pPr>
        <w:spacing w:after="0"/>
        <w:rPr>
          <w:rFonts w:ascii="Verdana" w:hAnsi="Verdana"/>
        </w:rPr>
      </w:pPr>
    </w:p>
    <w:p w14:paraId="2610495E" w14:textId="77777777" w:rsidR="004F2CA3" w:rsidRDefault="004F2CA3" w:rsidP="00767021">
      <w:pPr>
        <w:spacing w:after="0"/>
        <w:rPr>
          <w:rFonts w:ascii="Verdana" w:hAnsi="Verdana"/>
        </w:rPr>
      </w:pPr>
    </w:p>
    <w:p w14:paraId="3420887F" w14:textId="77777777" w:rsidR="004F2CA3" w:rsidRDefault="004F2CA3" w:rsidP="00767021">
      <w:pPr>
        <w:spacing w:after="0"/>
        <w:rPr>
          <w:rFonts w:ascii="Verdana" w:hAnsi="Verdana"/>
        </w:rPr>
      </w:pPr>
    </w:p>
    <w:p w14:paraId="1902D90D" w14:textId="77777777" w:rsidR="004F2CA3" w:rsidRDefault="004F2CA3" w:rsidP="00767021">
      <w:pPr>
        <w:spacing w:after="0"/>
        <w:rPr>
          <w:rFonts w:ascii="Verdana" w:hAnsi="Verdana"/>
        </w:rPr>
      </w:pPr>
    </w:p>
    <w:p w14:paraId="250ECB76" w14:textId="77777777" w:rsidR="004F2CA3" w:rsidRDefault="004F2CA3" w:rsidP="00767021">
      <w:pPr>
        <w:spacing w:after="0"/>
        <w:rPr>
          <w:rFonts w:ascii="Verdana" w:hAnsi="Verdana"/>
        </w:rPr>
      </w:pPr>
    </w:p>
    <w:p w14:paraId="54DF11F8" w14:textId="77777777" w:rsidR="004F2CA3" w:rsidRDefault="004F2CA3" w:rsidP="00767021">
      <w:pPr>
        <w:spacing w:after="0"/>
        <w:rPr>
          <w:rFonts w:ascii="Verdana" w:hAnsi="Verdana"/>
        </w:rPr>
      </w:pPr>
    </w:p>
    <w:p w14:paraId="7DF58FFE" w14:textId="77777777" w:rsidR="004F2CA3" w:rsidRDefault="004F2CA3" w:rsidP="00767021">
      <w:pPr>
        <w:spacing w:after="0"/>
        <w:rPr>
          <w:rFonts w:ascii="Verdana" w:hAnsi="Verdana"/>
        </w:rPr>
      </w:pPr>
    </w:p>
    <w:p w14:paraId="5B318711" w14:textId="77777777" w:rsidR="004F2CA3" w:rsidRDefault="004F2CA3" w:rsidP="00767021">
      <w:pPr>
        <w:spacing w:after="0"/>
        <w:rPr>
          <w:rFonts w:ascii="Verdana" w:hAnsi="Verdana"/>
        </w:rPr>
      </w:pPr>
    </w:p>
    <w:p w14:paraId="1EC2577B" w14:textId="77777777" w:rsidR="004F2CA3" w:rsidRDefault="004F2CA3" w:rsidP="00767021">
      <w:pPr>
        <w:spacing w:after="0"/>
        <w:rPr>
          <w:rFonts w:ascii="Verdana" w:hAnsi="Verdana"/>
        </w:rPr>
      </w:pPr>
    </w:p>
    <w:p w14:paraId="2BFACCC9" w14:textId="77777777" w:rsidR="004F2CA3" w:rsidRDefault="004F2CA3" w:rsidP="00767021">
      <w:pPr>
        <w:spacing w:after="0"/>
        <w:rPr>
          <w:rFonts w:ascii="Verdana" w:hAnsi="Verdana"/>
        </w:rPr>
      </w:pPr>
    </w:p>
    <w:p w14:paraId="44C8C44F" w14:textId="77777777" w:rsidR="004F2CA3" w:rsidRDefault="004F2CA3" w:rsidP="00767021">
      <w:pPr>
        <w:spacing w:after="0"/>
        <w:rPr>
          <w:rFonts w:ascii="Verdana" w:hAnsi="Verdana"/>
        </w:rPr>
      </w:pPr>
    </w:p>
    <w:p w14:paraId="6A55C21D" w14:textId="77777777" w:rsidR="004F2CA3" w:rsidRDefault="004F2CA3" w:rsidP="00767021">
      <w:pPr>
        <w:spacing w:after="0"/>
        <w:rPr>
          <w:rFonts w:ascii="Verdana" w:hAnsi="Verdana"/>
        </w:rPr>
      </w:pPr>
    </w:p>
    <w:p w14:paraId="3517F07B" w14:textId="77777777" w:rsidR="004F2CA3" w:rsidRDefault="004F2CA3" w:rsidP="00767021">
      <w:pPr>
        <w:spacing w:after="0"/>
        <w:rPr>
          <w:rFonts w:ascii="Verdana" w:hAnsi="Verdana"/>
        </w:rPr>
      </w:pPr>
    </w:p>
    <w:p w14:paraId="3A4AD8F2" w14:textId="77777777" w:rsidR="004F2CA3" w:rsidRDefault="004F2CA3" w:rsidP="00767021">
      <w:pPr>
        <w:spacing w:after="0"/>
        <w:rPr>
          <w:rFonts w:ascii="Verdana" w:hAnsi="Verdana"/>
        </w:rPr>
      </w:pPr>
    </w:p>
    <w:p w14:paraId="76DBFE66" w14:textId="77777777" w:rsidR="004F2CA3" w:rsidRDefault="004F2CA3" w:rsidP="00767021">
      <w:pPr>
        <w:spacing w:after="0"/>
        <w:rPr>
          <w:rFonts w:ascii="Verdana" w:hAnsi="Verdana"/>
        </w:rPr>
      </w:pPr>
    </w:p>
    <w:p w14:paraId="30070BE6" w14:textId="77777777" w:rsidR="004F2CA3" w:rsidRDefault="004F2CA3" w:rsidP="00767021">
      <w:pPr>
        <w:spacing w:after="0"/>
        <w:rPr>
          <w:rFonts w:ascii="Verdana" w:hAnsi="Verdana"/>
        </w:rPr>
      </w:pPr>
    </w:p>
    <w:p w14:paraId="1A4F84D3" w14:textId="77777777" w:rsidR="004F2CA3" w:rsidRDefault="004F2CA3" w:rsidP="00767021">
      <w:pPr>
        <w:spacing w:after="0"/>
        <w:rPr>
          <w:rFonts w:ascii="Verdana" w:hAnsi="Verdana"/>
        </w:rPr>
      </w:pPr>
    </w:p>
    <w:p w14:paraId="656C9CDC" w14:textId="22E7A12D" w:rsidR="00767021" w:rsidRDefault="00767021" w:rsidP="00767021">
      <w:pPr>
        <w:spacing w:after="0"/>
        <w:rPr>
          <w:rFonts w:ascii="Verdana" w:hAnsi="Verdana"/>
        </w:rPr>
      </w:pPr>
      <w:r w:rsidRPr="0024624F">
        <w:rPr>
          <w:rFonts w:ascii="Verdana" w:hAnsi="Verdana"/>
        </w:rPr>
        <w:lastRenderedPageBreak/>
        <w:t xml:space="preserve">Bogotá D.C., </w:t>
      </w:r>
      <w:r w:rsidR="003D171E">
        <w:rPr>
          <w:rFonts w:ascii="Verdana" w:hAnsi="Verdana"/>
        </w:rPr>
        <w:t>27 de noviembre de 2025</w:t>
      </w:r>
      <w:r>
        <w:rPr>
          <w:rFonts w:ascii="Verdana" w:hAnsi="Verdana"/>
        </w:rPr>
        <w:tab/>
      </w:r>
    </w:p>
    <w:p w14:paraId="12CA9405" w14:textId="2B1F0634" w:rsidR="00767021" w:rsidRPr="00557EE0" w:rsidRDefault="004F2CA3" w:rsidP="00767021">
      <w:pPr>
        <w:spacing w:after="0" w:line="240" w:lineRule="auto"/>
        <w:rPr>
          <w:rFonts w:ascii="Verdana" w:hAnsi="Verdana"/>
        </w:rPr>
      </w:pPr>
      <w:r w:rsidRPr="004F2CA3">
        <w:rPr>
          <w:rFonts w:ascii="Verdana" w:hAnsi="Verdana"/>
          <w:noProof/>
          <w:lang w:val="en-US"/>
        </w:rPr>
        <w:drawing>
          <wp:anchor distT="0" distB="0" distL="114300" distR="114300" simplePos="0" relativeHeight="251658240" behindDoc="0" locked="0" layoutInCell="1" allowOverlap="1" wp14:anchorId="3A275EAD" wp14:editId="666605B9">
            <wp:simplePos x="0" y="0"/>
            <wp:positionH relativeFrom="margin">
              <wp:align>right</wp:align>
            </wp:positionH>
            <wp:positionV relativeFrom="paragraph">
              <wp:posOffset>90805</wp:posOffset>
            </wp:positionV>
            <wp:extent cx="2819400" cy="780415"/>
            <wp:effectExtent l="0" t="0" r="0" b="63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9400" cy="7804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9D2D1B" w14:textId="77777777" w:rsidR="00767021" w:rsidRPr="00557EE0" w:rsidRDefault="00767021" w:rsidP="00767021">
      <w:pPr>
        <w:spacing w:after="0" w:line="240" w:lineRule="auto"/>
        <w:rPr>
          <w:rFonts w:ascii="Verdana" w:eastAsia="Calibri" w:hAnsi="Verdana" w:cs="Times New Roman"/>
        </w:rPr>
      </w:pPr>
    </w:p>
    <w:p w14:paraId="28D81B82" w14:textId="77777777" w:rsidR="00767021" w:rsidRDefault="00767021" w:rsidP="00767021">
      <w:pPr>
        <w:spacing w:after="0" w:line="240" w:lineRule="auto"/>
        <w:rPr>
          <w:rFonts w:ascii="Verdana" w:eastAsia="Calibri" w:hAnsi="Verdana" w:cs="Times New Roman"/>
          <w:lang w:val="es-MX"/>
        </w:rPr>
      </w:pPr>
      <w:r w:rsidRPr="00557EE0">
        <w:rPr>
          <w:rFonts w:ascii="Verdana" w:eastAsia="Calibri" w:hAnsi="Verdana" w:cs="Times New Roman"/>
          <w:lang w:val="es-MX"/>
        </w:rPr>
        <w:t>Seño</w:t>
      </w:r>
      <w:r>
        <w:rPr>
          <w:rFonts w:ascii="Verdana" w:eastAsia="Calibri" w:hAnsi="Verdana" w:cs="Times New Roman"/>
          <w:lang w:val="es-MX"/>
        </w:rPr>
        <w:t>r</w:t>
      </w:r>
    </w:p>
    <w:p w14:paraId="05A414A3" w14:textId="77777777" w:rsidR="00767021" w:rsidRPr="00E21939" w:rsidRDefault="00767021" w:rsidP="00767021">
      <w:pPr>
        <w:spacing w:after="0" w:line="240" w:lineRule="auto"/>
        <w:rPr>
          <w:rFonts w:ascii="Verdana" w:eastAsia="Calibri" w:hAnsi="Verdana" w:cs="Times New Roman"/>
          <w:b/>
          <w:bCs/>
          <w:lang w:val="es-MX"/>
        </w:rPr>
      </w:pPr>
      <w:r w:rsidRPr="00E21939">
        <w:rPr>
          <w:rFonts w:ascii="Verdana" w:eastAsia="Calibri" w:hAnsi="Verdana" w:cs="Times New Roman"/>
          <w:b/>
          <w:bCs/>
          <w:lang w:val="es-MX"/>
        </w:rPr>
        <w:t>Anónimo</w:t>
      </w:r>
    </w:p>
    <w:p w14:paraId="02B857FF" w14:textId="77777777" w:rsidR="00767021" w:rsidRDefault="00767021" w:rsidP="00767021">
      <w:pPr>
        <w:spacing w:after="0" w:line="240" w:lineRule="auto"/>
        <w:rPr>
          <w:rFonts w:ascii="Verdana" w:eastAsia="Calibri" w:hAnsi="Verdana" w:cs="Times New Roman"/>
        </w:rPr>
      </w:pPr>
      <w:r>
        <w:rPr>
          <w:rFonts w:ascii="Verdana" w:eastAsia="Calibri" w:hAnsi="Verdana" w:cs="Times New Roman"/>
        </w:rPr>
        <w:t>La ciudad</w:t>
      </w:r>
    </w:p>
    <w:p w14:paraId="751471E4" w14:textId="77777777" w:rsidR="00767021" w:rsidRPr="00B64162" w:rsidRDefault="00767021" w:rsidP="00767021">
      <w:pPr>
        <w:spacing w:after="0" w:line="240" w:lineRule="auto"/>
        <w:rPr>
          <w:rFonts w:ascii="Verdana" w:eastAsia="Calibri" w:hAnsi="Verdana" w:cs="Times New Roman"/>
        </w:rPr>
      </w:pPr>
    </w:p>
    <w:p w14:paraId="2C622C62" w14:textId="77777777" w:rsidR="00767021" w:rsidRPr="0044686A" w:rsidRDefault="00767021" w:rsidP="00767021">
      <w:pPr>
        <w:spacing w:after="0" w:line="240" w:lineRule="auto"/>
        <w:rPr>
          <w:rFonts w:ascii="Verdana" w:eastAsia="Calibri" w:hAnsi="Verdana" w:cs="Times New Roman"/>
        </w:rPr>
      </w:pPr>
    </w:p>
    <w:p w14:paraId="4D4D77CE" w14:textId="77777777" w:rsidR="00767021" w:rsidRPr="00557EE0" w:rsidRDefault="00767021" w:rsidP="00767021">
      <w:pPr>
        <w:spacing w:after="0" w:line="240" w:lineRule="auto"/>
        <w:rPr>
          <w:rFonts w:ascii="Verdana" w:eastAsia="Calibri" w:hAnsi="Verdana" w:cs="Times New Roman"/>
          <w:b/>
          <w:bCs/>
          <w:lang w:val="es-ES"/>
        </w:rPr>
      </w:pPr>
      <w:r w:rsidRPr="0044686A">
        <w:rPr>
          <w:rFonts w:ascii="Verdana" w:eastAsia="Calibri" w:hAnsi="Verdana" w:cs="Times New Roman"/>
          <w:b/>
          <w:bCs/>
        </w:rPr>
        <w:t xml:space="preserve">                                    </w:t>
      </w:r>
      <w:r w:rsidRPr="00557EE0">
        <w:rPr>
          <w:rFonts w:ascii="Verdana" w:eastAsia="Calibri" w:hAnsi="Verdana" w:cs="Times New Roman"/>
          <w:b/>
          <w:bCs/>
          <w:lang w:val="es-ES"/>
        </w:rPr>
        <w:t>Concepto C–1</w:t>
      </w:r>
      <w:r>
        <w:rPr>
          <w:rFonts w:ascii="Verdana" w:eastAsia="Calibri" w:hAnsi="Verdana" w:cs="Times New Roman"/>
          <w:b/>
          <w:bCs/>
          <w:lang w:val="es-ES"/>
        </w:rPr>
        <w:t xml:space="preserve">541 </w:t>
      </w:r>
      <w:r w:rsidRPr="00557EE0">
        <w:rPr>
          <w:rFonts w:ascii="Verdana" w:eastAsia="Calibri" w:hAnsi="Verdana" w:cs="Times New Roman"/>
          <w:b/>
          <w:bCs/>
          <w:lang w:val="es-ES"/>
        </w:rPr>
        <w:t>de 2025</w:t>
      </w:r>
    </w:p>
    <w:p w14:paraId="2FF9E943" w14:textId="77777777" w:rsidR="00767021" w:rsidRPr="00557EE0" w:rsidRDefault="00767021" w:rsidP="00767021">
      <w:pPr>
        <w:spacing w:after="0" w:line="240"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67021" w:rsidRPr="00557EE0" w14:paraId="11D50EAC" w14:textId="77777777" w:rsidTr="006D3373">
        <w:trPr>
          <w:trHeight w:val="884"/>
        </w:trPr>
        <w:tc>
          <w:tcPr>
            <w:tcW w:w="2685" w:type="dxa"/>
            <w:hideMark/>
          </w:tcPr>
          <w:p w14:paraId="2176777F" w14:textId="77777777" w:rsidR="00767021" w:rsidRPr="00557EE0" w:rsidRDefault="00767021" w:rsidP="006D3373">
            <w:pPr>
              <w:rPr>
                <w:rFonts w:ascii="Verdana" w:hAnsi="Verdana"/>
                <w:b/>
                <w:bCs/>
                <w:lang w:val="es-ES_tradnl"/>
              </w:rPr>
            </w:pPr>
            <w:r w:rsidRPr="00557EE0">
              <w:rPr>
                <w:rFonts w:ascii="Verdana" w:hAnsi="Verdana"/>
                <w:b/>
                <w:bCs/>
                <w:lang w:val="es-ES_tradnl"/>
              </w:rPr>
              <w:t xml:space="preserve">Temas:                   </w:t>
            </w:r>
          </w:p>
        </w:tc>
        <w:tc>
          <w:tcPr>
            <w:tcW w:w="6241" w:type="dxa"/>
            <w:hideMark/>
          </w:tcPr>
          <w:p w14:paraId="58D319E7" w14:textId="77777777" w:rsidR="00767021" w:rsidRPr="00557EE0" w:rsidRDefault="00767021" w:rsidP="006D3373">
            <w:pPr>
              <w:spacing w:line="276" w:lineRule="auto"/>
              <w:jc w:val="both"/>
              <w:rPr>
                <w:rFonts w:ascii="Verdana" w:hAnsi="Verdana" w:cs="Arial"/>
                <w:bCs/>
                <w:lang w:eastAsia="es-ES"/>
              </w:rPr>
            </w:pPr>
            <w:r w:rsidRPr="00557EE0">
              <w:rPr>
                <w:rFonts w:ascii="Verdana" w:hAnsi="Verdana" w:cs="Arial"/>
                <w:bCs/>
                <w:lang w:eastAsia="es-ES"/>
              </w:rPr>
              <w:t xml:space="preserve">PLIEGO DE CONDICIONES – Naturaleza Jurídica / </w:t>
            </w:r>
            <w:r>
              <w:rPr>
                <w:rFonts w:ascii="Verdana" w:hAnsi="Verdana" w:cs="Arial"/>
                <w:bCs/>
                <w:lang w:eastAsia="es-ES"/>
              </w:rPr>
              <w:t xml:space="preserve">PROYECTO DE PLIEGO DE CONDICIONES – Acto de trámite – Acto preparatorio – Pliego de condiciones / </w:t>
            </w:r>
            <w:r w:rsidRPr="00557EE0">
              <w:rPr>
                <w:rFonts w:ascii="Verdana" w:hAnsi="Verdana" w:cs="Arial"/>
                <w:bCs/>
                <w:lang w:eastAsia="es-ES"/>
              </w:rPr>
              <w:t xml:space="preserve">PLIEGO DE CONDICIONES – Modificaciones – Adendas / PLIEGO DE CONDICIONES – </w:t>
            </w:r>
            <w:r>
              <w:rPr>
                <w:rFonts w:ascii="Verdana" w:hAnsi="Verdana" w:cs="Arial"/>
                <w:bCs/>
                <w:lang w:eastAsia="es-ES"/>
              </w:rPr>
              <w:t xml:space="preserve">Observaciones Extemporáneas - </w:t>
            </w:r>
            <w:r w:rsidRPr="00557EE0">
              <w:rPr>
                <w:rFonts w:ascii="Verdana" w:hAnsi="Verdana" w:cs="Arial"/>
                <w:bCs/>
                <w:lang w:eastAsia="es-ES"/>
              </w:rPr>
              <w:t>Respuesta a las observaciones –</w:t>
            </w:r>
            <w:r>
              <w:rPr>
                <w:rFonts w:ascii="Verdana" w:hAnsi="Verdana" w:cs="Arial"/>
                <w:bCs/>
                <w:lang w:eastAsia="es-ES"/>
              </w:rPr>
              <w:t xml:space="preserve"> Adendas – Restricciones – Cierre del Proceso. </w:t>
            </w:r>
            <w:r w:rsidRPr="00557EE0">
              <w:rPr>
                <w:rFonts w:ascii="Verdana" w:hAnsi="Verdana" w:cs="Arial"/>
                <w:bCs/>
                <w:lang w:eastAsia="es-ES"/>
              </w:rPr>
              <w:t xml:space="preserve"> </w:t>
            </w:r>
          </w:p>
          <w:p w14:paraId="359599CC" w14:textId="77777777" w:rsidR="00767021" w:rsidRPr="00557EE0" w:rsidRDefault="00767021" w:rsidP="006D3373">
            <w:pPr>
              <w:spacing w:line="276" w:lineRule="auto"/>
              <w:jc w:val="both"/>
              <w:rPr>
                <w:rFonts w:ascii="Verdana" w:hAnsi="Verdana"/>
              </w:rPr>
            </w:pPr>
          </w:p>
        </w:tc>
        <w:tc>
          <w:tcPr>
            <w:tcW w:w="6237" w:type="dxa"/>
          </w:tcPr>
          <w:p w14:paraId="4739E9A5" w14:textId="77777777" w:rsidR="00767021" w:rsidRDefault="00767021" w:rsidP="006D3373">
            <w:pPr>
              <w:rPr>
                <w:rFonts w:ascii="Verdana" w:hAnsi="Verdana"/>
              </w:rPr>
            </w:pPr>
          </w:p>
          <w:p w14:paraId="13C5442C" w14:textId="77777777" w:rsidR="00767021" w:rsidRPr="00557EE0" w:rsidRDefault="00767021" w:rsidP="006D3373">
            <w:pPr>
              <w:rPr>
                <w:rFonts w:ascii="Verdana" w:hAnsi="Verdana"/>
              </w:rPr>
            </w:pPr>
          </w:p>
        </w:tc>
      </w:tr>
      <w:tr w:rsidR="00767021" w:rsidRPr="00557EE0" w14:paraId="34F8FBAE" w14:textId="77777777" w:rsidTr="006D3373">
        <w:tc>
          <w:tcPr>
            <w:tcW w:w="2685" w:type="dxa"/>
          </w:tcPr>
          <w:p w14:paraId="35A0A949" w14:textId="77777777" w:rsidR="00767021" w:rsidRPr="00557EE0" w:rsidRDefault="00767021" w:rsidP="006D3373">
            <w:pPr>
              <w:rPr>
                <w:rFonts w:ascii="Verdana" w:hAnsi="Verdana"/>
                <w:lang w:val="es-ES_tradnl"/>
              </w:rPr>
            </w:pPr>
          </w:p>
          <w:p w14:paraId="6F8B3653" w14:textId="77777777" w:rsidR="00767021" w:rsidRPr="00557EE0" w:rsidRDefault="00767021" w:rsidP="006D3373">
            <w:pPr>
              <w:rPr>
                <w:rFonts w:ascii="Verdana" w:hAnsi="Verdana"/>
                <w:b/>
                <w:bCs/>
                <w:lang w:val="es-ES_tradnl"/>
              </w:rPr>
            </w:pPr>
            <w:r w:rsidRPr="00557EE0">
              <w:rPr>
                <w:rFonts w:ascii="Verdana" w:hAnsi="Verdana"/>
                <w:b/>
                <w:bCs/>
                <w:lang w:val="es-ES_tradnl"/>
              </w:rPr>
              <w:t xml:space="preserve">Radicación:               </w:t>
            </w:r>
          </w:p>
        </w:tc>
        <w:tc>
          <w:tcPr>
            <w:tcW w:w="6241" w:type="dxa"/>
          </w:tcPr>
          <w:p w14:paraId="4AB00211" w14:textId="77777777" w:rsidR="00767021" w:rsidRPr="00557EE0" w:rsidRDefault="00767021" w:rsidP="006D3373">
            <w:pPr>
              <w:jc w:val="both"/>
              <w:rPr>
                <w:rFonts w:ascii="Verdana" w:hAnsi="Verdana"/>
                <w:lang w:val="es-ES_tradnl"/>
              </w:rPr>
            </w:pPr>
          </w:p>
          <w:p w14:paraId="5D4C2003" w14:textId="77777777" w:rsidR="00767021" w:rsidRPr="00557EE0" w:rsidRDefault="00767021" w:rsidP="006D3373">
            <w:pPr>
              <w:jc w:val="both"/>
              <w:rPr>
                <w:rFonts w:ascii="Verdana" w:hAnsi="Verdana"/>
              </w:rPr>
            </w:pPr>
            <w:r w:rsidRPr="00557EE0">
              <w:rPr>
                <w:rFonts w:ascii="Verdana" w:hAnsi="Verdana"/>
                <w:lang w:val="es-ES_tradnl"/>
              </w:rPr>
              <w:t>Respuesta a consulta con radicado No.</w:t>
            </w:r>
            <w:r w:rsidRPr="00E21939">
              <w:rPr>
                <w:rFonts w:ascii="Segoe UI" w:eastAsiaTheme="minorHAnsi" w:hAnsi="Segoe UI" w:cs="Segoe UI"/>
                <w:color w:val="2B2B2B"/>
                <w:sz w:val="27"/>
                <w:szCs w:val="27"/>
                <w:shd w:val="clear" w:color="auto" w:fill="FFFFFF"/>
              </w:rPr>
              <w:t xml:space="preserve"> </w:t>
            </w:r>
            <w:r w:rsidRPr="00E21939">
              <w:rPr>
                <w:rFonts w:ascii="Verdana" w:hAnsi="Verdana"/>
              </w:rPr>
              <w:t>1_2025_10_21_011814</w:t>
            </w:r>
            <w:r>
              <w:rPr>
                <w:rFonts w:ascii="Verdana" w:hAnsi="Verdana"/>
                <w:lang w:val="es-ES_tradnl"/>
              </w:rPr>
              <w:t xml:space="preserve"> </w:t>
            </w:r>
          </w:p>
          <w:p w14:paraId="4C750B20" w14:textId="77777777" w:rsidR="00767021" w:rsidRPr="00557EE0" w:rsidRDefault="00767021" w:rsidP="006D3373">
            <w:pPr>
              <w:jc w:val="both"/>
              <w:rPr>
                <w:rFonts w:ascii="Verdana" w:hAnsi="Verdana"/>
              </w:rPr>
            </w:pPr>
          </w:p>
        </w:tc>
        <w:tc>
          <w:tcPr>
            <w:tcW w:w="6237" w:type="dxa"/>
          </w:tcPr>
          <w:p w14:paraId="4138A404" w14:textId="77777777" w:rsidR="00767021" w:rsidRPr="00557EE0" w:rsidRDefault="00767021" w:rsidP="006D3373">
            <w:pPr>
              <w:rPr>
                <w:rFonts w:ascii="Verdana" w:hAnsi="Verdana"/>
                <w:lang w:val="es-ES_tradnl"/>
              </w:rPr>
            </w:pPr>
          </w:p>
        </w:tc>
      </w:tr>
      <w:tr w:rsidR="00767021" w:rsidRPr="00557EE0" w14:paraId="251009D0" w14:textId="77777777" w:rsidTr="006D3373">
        <w:tc>
          <w:tcPr>
            <w:tcW w:w="2685" w:type="dxa"/>
          </w:tcPr>
          <w:p w14:paraId="4EDC0DF6" w14:textId="77777777" w:rsidR="00767021" w:rsidRPr="00557EE0" w:rsidRDefault="00767021" w:rsidP="006D3373">
            <w:pPr>
              <w:rPr>
                <w:rFonts w:ascii="Verdana" w:hAnsi="Verdana"/>
                <w:lang w:val="es-ES_tradnl"/>
              </w:rPr>
            </w:pPr>
          </w:p>
        </w:tc>
        <w:tc>
          <w:tcPr>
            <w:tcW w:w="6241" w:type="dxa"/>
          </w:tcPr>
          <w:p w14:paraId="6B1088B5" w14:textId="77777777" w:rsidR="00767021" w:rsidRPr="00557EE0" w:rsidRDefault="00767021" w:rsidP="006D3373">
            <w:pPr>
              <w:jc w:val="both"/>
              <w:rPr>
                <w:rFonts w:ascii="Verdana" w:hAnsi="Verdana"/>
                <w:lang w:val="es-ES_tradnl"/>
              </w:rPr>
            </w:pPr>
          </w:p>
        </w:tc>
        <w:tc>
          <w:tcPr>
            <w:tcW w:w="6237" w:type="dxa"/>
          </w:tcPr>
          <w:p w14:paraId="745968A2" w14:textId="77777777" w:rsidR="00767021" w:rsidRPr="00557EE0" w:rsidRDefault="00767021" w:rsidP="006D3373">
            <w:pPr>
              <w:rPr>
                <w:rFonts w:ascii="Verdana" w:hAnsi="Verdana"/>
                <w:lang w:val="es-ES_tradnl"/>
              </w:rPr>
            </w:pPr>
          </w:p>
        </w:tc>
      </w:tr>
    </w:tbl>
    <w:p w14:paraId="735526E2" w14:textId="77777777" w:rsidR="00767021" w:rsidRPr="00185EE9" w:rsidRDefault="00767021" w:rsidP="00767021">
      <w:pPr>
        <w:spacing w:after="0" w:line="256" w:lineRule="auto"/>
        <w:rPr>
          <w:rFonts w:ascii="Verdana" w:eastAsia="Calibri" w:hAnsi="Verdana" w:cs="Times New Roman"/>
          <w:lang w:val="es-ES"/>
        </w:rPr>
      </w:pPr>
      <w:r w:rsidRPr="00185EE9">
        <w:rPr>
          <w:rFonts w:ascii="Verdana" w:eastAsia="Calibri" w:hAnsi="Verdana" w:cs="Times New Roman"/>
          <w:lang w:val="es-ES"/>
        </w:rPr>
        <w:t>Estimad</w:t>
      </w:r>
      <w:r>
        <w:rPr>
          <w:rFonts w:ascii="Verdana" w:eastAsia="Calibri" w:hAnsi="Verdana" w:cs="Times New Roman"/>
          <w:lang w:val="es-ES"/>
        </w:rPr>
        <w:t>o</w:t>
      </w:r>
      <w:r w:rsidRPr="00185EE9">
        <w:rPr>
          <w:rFonts w:ascii="Verdana" w:eastAsia="Calibri" w:hAnsi="Verdana" w:cs="Times New Roman"/>
          <w:lang w:val="es-ES"/>
        </w:rPr>
        <w:t xml:space="preserve">: </w:t>
      </w:r>
    </w:p>
    <w:p w14:paraId="24C1A064" w14:textId="77777777" w:rsidR="00767021" w:rsidRPr="00185EE9" w:rsidRDefault="00767021" w:rsidP="00767021">
      <w:pPr>
        <w:spacing w:after="0" w:line="276" w:lineRule="auto"/>
        <w:rPr>
          <w:rFonts w:ascii="Verdana" w:eastAsia="Calibri" w:hAnsi="Verdana" w:cs="Times New Roman"/>
          <w:lang w:val="es-ES"/>
        </w:rPr>
      </w:pPr>
    </w:p>
    <w:p w14:paraId="3332F292" w14:textId="77777777" w:rsidR="00767021" w:rsidRPr="002009E7" w:rsidRDefault="00767021" w:rsidP="00767021">
      <w:pPr>
        <w:spacing w:after="0" w:line="276" w:lineRule="auto"/>
        <w:jc w:val="both"/>
        <w:rPr>
          <w:rFonts w:ascii="Verdana" w:eastAsia="Calibri" w:hAnsi="Verdana" w:cs="Times New Roman"/>
          <w:bCs/>
          <w:lang w:val="es-ES" w:bidi="es-ES"/>
        </w:rPr>
      </w:pPr>
      <w:r w:rsidRPr="002009E7">
        <w:rPr>
          <w:rFonts w:ascii="Verdana" w:eastAsia="Calibri" w:hAnsi="Verdana" w:cs="Times New Roman"/>
          <w:bCs/>
          <w:lang w:val="es-ES" w:bidi="es-ES"/>
        </w:rPr>
        <w:t xml:space="preserve">En ejercicio de la competencia otorgada por los artículos 3, numeral 5º, y 11, numeral 8º, del Decreto Ley 4170 de 2011, </w:t>
      </w:r>
      <w:r w:rsidRPr="002009E7">
        <w:rPr>
          <w:rFonts w:ascii="Verdana" w:eastAsia="Calibri" w:hAnsi="Verdana" w:cs="Times New Roman"/>
          <w:bCs/>
        </w:rPr>
        <w:t xml:space="preserve">así como lo establecido por la Resolución 469 de 2025 expedida por esta Entidad, </w:t>
      </w:r>
      <w:r w:rsidRPr="002009E7">
        <w:rPr>
          <w:rFonts w:ascii="Verdana" w:eastAsia="Calibri" w:hAnsi="Verdana" w:cs="Times New Roman"/>
          <w:bCs/>
          <w:lang w:val="es-ES" w:bidi="es-ES"/>
        </w:rPr>
        <w:t xml:space="preserve">la Agencia Nacional de Contratación Pública – Colombia Compra Eficiente– responde la solicitud de consulta del 21 de octubre de 2025, en la cual manifiesta: </w:t>
      </w:r>
    </w:p>
    <w:p w14:paraId="4490A780" w14:textId="77777777" w:rsidR="00767021" w:rsidRPr="00185EE9" w:rsidRDefault="00767021" w:rsidP="00767021">
      <w:pPr>
        <w:spacing w:after="0" w:line="276" w:lineRule="auto"/>
        <w:jc w:val="both"/>
        <w:rPr>
          <w:rFonts w:ascii="Verdana" w:eastAsia="Calibri" w:hAnsi="Verdana" w:cs="Times New Roman"/>
          <w:lang w:val="es-ES"/>
        </w:rPr>
      </w:pPr>
    </w:p>
    <w:p w14:paraId="7C76B8E1" w14:textId="77777777" w:rsidR="00767021" w:rsidRPr="00F3294D" w:rsidRDefault="00767021" w:rsidP="00767021">
      <w:pPr>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w:t>
      </w:r>
      <w:r w:rsidRPr="00F3294D">
        <w:rPr>
          <w:rFonts w:ascii="Verdana" w:eastAsia="Calibri" w:hAnsi="Verdana" w:cs="Times New Roman"/>
          <w:sz w:val="20"/>
          <w:szCs w:val="20"/>
        </w:rPr>
        <w:t>1. En un proceso de licitación pública, se recibe</w:t>
      </w:r>
      <w:r>
        <w:rPr>
          <w:rFonts w:ascii="Verdana" w:eastAsia="Calibri" w:hAnsi="Verdana" w:cs="Times New Roman"/>
          <w:sz w:val="20"/>
          <w:szCs w:val="20"/>
        </w:rPr>
        <w:t xml:space="preserve">n observaciones extemporáneas a </w:t>
      </w:r>
      <w:r w:rsidRPr="00F3294D">
        <w:rPr>
          <w:rFonts w:ascii="Verdana" w:eastAsia="Calibri" w:hAnsi="Verdana" w:cs="Times New Roman"/>
          <w:sz w:val="20"/>
          <w:szCs w:val="20"/>
        </w:rPr>
        <w:t>los documentos definitivos del proceso y la Entidad considera acoger algunas, no</w:t>
      </w:r>
      <w:r>
        <w:rPr>
          <w:rFonts w:ascii="Verdana" w:eastAsia="Calibri" w:hAnsi="Verdana" w:cs="Times New Roman"/>
          <w:sz w:val="20"/>
          <w:szCs w:val="20"/>
        </w:rPr>
        <w:t xml:space="preserve"> </w:t>
      </w:r>
      <w:r w:rsidRPr="00F3294D">
        <w:rPr>
          <w:rFonts w:ascii="Verdana" w:eastAsia="Calibri" w:hAnsi="Verdana" w:cs="Times New Roman"/>
          <w:sz w:val="20"/>
          <w:szCs w:val="20"/>
        </w:rPr>
        <w:t>obstante, el termino para publicar adendas ya se encuentra vencido y el cierre es al</w:t>
      </w:r>
      <w:r>
        <w:rPr>
          <w:rFonts w:ascii="Verdana" w:eastAsia="Calibri" w:hAnsi="Verdana" w:cs="Times New Roman"/>
          <w:sz w:val="20"/>
          <w:szCs w:val="20"/>
        </w:rPr>
        <w:t xml:space="preserve"> </w:t>
      </w:r>
      <w:r w:rsidRPr="00F3294D">
        <w:rPr>
          <w:rFonts w:ascii="Verdana" w:eastAsia="Calibri" w:hAnsi="Verdana" w:cs="Times New Roman"/>
          <w:sz w:val="20"/>
          <w:szCs w:val="20"/>
        </w:rPr>
        <w:t>siguiente día hábil, ¿Puede la Entidad adendar el proceso modificando los</w:t>
      </w:r>
      <w:r>
        <w:rPr>
          <w:rFonts w:ascii="Verdana" w:eastAsia="Calibri" w:hAnsi="Verdana" w:cs="Times New Roman"/>
          <w:sz w:val="20"/>
          <w:szCs w:val="20"/>
        </w:rPr>
        <w:t xml:space="preserve"> </w:t>
      </w:r>
      <w:r w:rsidRPr="00F3294D">
        <w:rPr>
          <w:rFonts w:ascii="Verdana" w:eastAsia="Calibri" w:hAnsi="Verdana" w:cs="Times New Roman"/>
          <w:sz w:val="20"/>
          <w:szCs w:val="20"/>
        </w:rPr>
        <w:t>documentos y el cronograma garantizando los 3 días hábiles para presentar ofertas</w:t>
      </w:r>
      <w:r>
        <w:rPr>
          <w:rFonts w:ascii="Verdana" w:eastAsia="Calibri" w:hAnsi="Verdana" w:cs="Times New Roman"/>
          <w:sz w:val="20"/>
          <w:szCs w:val="20"/>
        </w:rPr>
        <w:t xml:space="preserve"> </w:t>
      </w:r>
      <w:r w:rsidRPr="00F3294D">
        <w:rPr>
          <w:rFonts w:ascii="Verdana" w:eastAsia="Calibri" w:hAnsi="Verdana" w:cs="Times New Roman"/>
          <w:sz w:val="20"/>
          <w:szCs w:val="20"/>
        </w:rPr>
        <w:t>o se debe retrotraer a la etapa de adendas o reiniciar el proceso ya que los términos</w:t>
      </w:r>
      <w:r>
        <w:rPr>
          <w:rFonts w:ascii="Verdana" w:eastAsia="Calibri" w:hAnsi="Verdana" w:cs="Times New Roman"/>
          <w:sz w:val="20"/>
          <w:szCs w:val="20"/>
        </w:rPr>
        <w:t xml:space="preserve"> </w:t>
      </w:r>
      <w:r w:rsidRPr="00F3294D">
        <w:rPr>
          <w:rFonts w:ascii="Verdana" w:eastAsia="Calibri" w:hAnsi="Verdana" w:cs="Times New Roman"/>
          <w:sz w:val="20"/>
          <w:szCs w:val="20"/>
        </w:rPr>
        <w:t>son preclusivos y perentorios para las partes?</w:t>
      </w:r>
    </w:p>
    <w:p w14:paraId="719F98B4" w14:textId="77777777" w:rsidR="00767021" w:rsidRPr="005B496D" w:rsidRDefault="00767021" w:rsidP="00767021">
      <w:pPr>
        <w:spacing w:after="0" w:line="240" w:lineRule="auto"/>
        <w:ind w:left="709" w:right="709"/>
        <w:jc w:val="both"/>
        <w:rPr>
          <w:rFonts w:ascii="Verdana" w:eastAsia="Calibri" w:hAnsi="Verdana" w:cs="Times New Roman"/>
          <w:sz w:val="20"/>
          <w:szCs w:val="20"/>
        </w:rPr>
      </w:pPr>
      <w:r w:rsidRPr="00F3294D">
        <w:rPr>
          <w:rFonts w:ascii="Verdana" w:eastAsia="Calibri" w:hAnsi="Verdana" w:cs="Times New Roman"/>
          <w:sz w:val="20"/>
          <w:szCs w:val="20"/>
        </w:rPr>
        <w:lastRenderedPageBreak/>
        <w:t>2. Una Entidad en la publicación de un proceso (diferente a mínima cuantía) del</w:t>
      </w:r>
      <w:r>
        <w:rPr>
          <w:rFonts w:ascii="Verdana" w:eastAsia="Calibri" w:hAnsi="Verdana" w:cs="Times New Roman"/>
          <w:sz w:val="20"/>
          <w:szCs w:val="20"/>
        </w:rPr>
        <w:t xml:space="preserve"> </w:t>
      </w:r>
      <w:r w:rsidRPr="00F3294D">
        <w:rPr>
          <w:rFonts w:ascii="Verdana" w:eastAsia="Calibri" w:hAnsi="Verdana" w:cs="Times New Roman"/>
          <w:sz w:val="20"/>
          <w:szCs w:val="20"/>
        </w:rPr>
        <w:t>proyecto de pliego de condiciones establece un valor determinado del proceso, sin</w:t>
      </w:r>
      <w:r>
        <w:rPr>
          <w:rFonts w:ascii="Verdana" w:eastAsia="Calibri" w:hAnsi="Verdana" w:cs="Times New Roman"/>
          <w:sz w:val="20"/>
          <w:szCs w:val="20"/>
        </w:rPr>
        <w:t xml:space="preserve"> </w:t>
      </w:r>
      <w:r w:rsidRPr="00F3294D">
        <w:rPr>
          <w:rFonts w:ascii="Verdana" w:eastAsia="Calibri" w:hAnsi="Verdana" w:cs="Times New Roman"/>
          <w:sz w:val="20"/>
          <w:szCs w:val="20"/>
        </w:rPr>
        <w:t>embargo, al momento de publicación de los documentos definitivos disminuye dicho</w:t>
      </w:r>
      <w:r>
        <w:rPr>
          <w:rFonts w:ascii="Verdana" w:eastAsia="Calibri" w:hAnsi="Verdana" w:cs="Times New Roman"/>
          <w:sz w:val="20"/>
          <w:szCs w:val="20"/>
        </w:rPr>
        <w:t xml:space="preserve"> </w:t>
      </w:r>
      <w:r w:rsidRPr="00F3294D">
        <w:rPr>
          <w:rFonts w:ascii="Verdana" w:eastAsia="Calibri" w:hAnsi="Verdana" w:cs="Times New Roman"/>
          <w:sz w:val="20"/>
          <w:szCs w:val="20"/>
        </w:rPr>
        <w:t>valor, considerando que el presupuesto es un elemento esencial ¿Puede realizar</w:t>
      </w:r>
      <w:r>
        <w:rPr>
          <w:rFonts w:ascii="Verdana" w:eastAsia="Calibri" w:hAnsi="Verdana" w:cs="Times New Roman"/>
          <w:sz w:val="20"/>
          <w:szCs w:val="20"/>
        </w:rPr>
        <w:t xml:space="preserve"> </w:t>
      </w:r>
      <w:r w:rsidRPr="00F3294D">
        <w:rPr>
          <w:rFonts w:ascii="Verdana" w:eastAsia="Calibri" w:hAnsi="Verdana" w:cs="Times New Roman"/>
          <w:sz w:val="20"/>
          <w:szCs w:val="20"/>
        </w:rPr>
        <w:t>esta modificación o debe cancelar el proceso y publicar uno nuevo con el nuevo</w:t>
      </w:r>
      <w:r>
        <w:rPr>
          <w:rFonts w:ascii="Verdana" w:eastAsia="Calibri" w:hAnsi="Verdana" w:cs="Times New Roman"/>
          <w:sz w:val="20"/>
          <w:szCs w:val="20"/>
        </w:rPr>
        <w:t xml:space="preserve"> </w:t>
      </w:r>
      <w:r w:rsidRPr="00F3294D">
        <w:rPr>
          <w:rFonts w:ascii="Verdana" w:eastAsia="Calibri" w:hAnsi="Verdana" w:cs="Times New Roman"/>
          <w:sz w:val="20"/>
          <w:szCs w:val="20"/>
        </w:rPr>
        <w:t>valor?</w:t>
      </w:r>
      <w:r w:rsidRPr="00310DBE">
        <w:rPr>
          <w:rFonts w:ascii="Verdana" w:eastAsia="Calibri" w:hAnsi="Verdana" w:cs="Times New Roman"/>
          <w:sz w:val="20"/>
          <w:szCs w:val="20"/>
          <w:lang w:val="es-ES"/>
        </w:rPr>
        <w:t xml:space="preserve"> </w:t>
      </w:r>
    </w:p>
    <w:p w14:paraId="12B23318" w14:textId="77777777" w:rsidR="00767021" w:rsidRPr="00185EE9" w:rsidRDefault="00767021" w:rsidP="00767021">
      <w:pPr>
        <w:spacing w:after="0" w:line="276" w:lineRule="auto"/>
        <w:rPr>
          <w:rFonts w:ascii="Verdana" w:eastAsia="Calibri" w:hAnsi="Verdana" w:cs="Times New Roman"/>
          <w:lang w:val="es-ES"/>
        </w:rPr>
      </w:pPr>
    </w:p>
    <w:p w14:paraId="595EE361" w14:textId="77777777" w:rsidR="00767021" w:rsidRPr="00A94D14" w:rsidRDefault="00767021" w:rsidP="00767021">
      <w:pPr>
        <w:spacing w:after="120" w:line="276" w:lineRule="auto"/>
        <w:ind w:firstLine="709"/>
        <w:jc w:val="both"/>
        <w:rPr>
          <w:rFonts w:ascii="Verdana" w:eastAsia="Calibri" w:hAnsi="Verdana" w:cs="Times New Roman"/>
          <w:lang w:val="es-ES"/>
        </w:rPr>
      </w:pPr>
      <w:r w:rsidRPr="00A94D14">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845DAE7" w14:textId="77777777" w:rsidR="00767021" w:rsidRPr="00185EE9" w:rsidRDefault="00767021" w:rsidP="00767021">
      <w:pPr>
        <w:spacing w:after="0" w:line="276" w:lineRule="auto"/>
        <w:ind w:firstLine="708"/>
        <w:jc w:val="both"/>
        <w:rPr>
          <w:rFonts w:ascii="Verdana" w:eastAsia="Calibri" w:hAnsi="Verdana" w:cs="Times New Roman"/>
          <w:lang w:val="es-ES"/>
        </w:rPr>
      </w:pPr>
      <w:r w:rsidRPr="00A94D14">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los</w:t>
      </w:r>
      <w:r w:rsidRPr="00A94D14">
        <w:rPr>
          <w:rFonts w:ascii="Verdana" w:eastAsia="Calibri" w:hAnsi="Verdana" w:cs="Times New Roman"/>
          <w:lang w:val="es-ES"/>
        </w:rPr>
        <w:t xml:space="preserve"> problema</w:t>
      </w:r>
      <w:r>
        <w:rPr>
          <w:rFonts w:ascii="Verdana" w:eastAsia="Calibri" w:hAnsi="Verdana" w:cs="Times New Roman"/>
          <w:lang w:val="es-ES"/>
        </w:rPr>
        <w:t>s</w:t>
      </w:r>
      <w:r w:rsidRPr="00A94D14">
        <w:rPr>
          <w:rFonts w:ascii="Verdana" w:eastAsia="Calibri" w:hAnsi="Verdana" w:cs="Times New Roman"/>
          <w:lang w:val="es-ES"/>
        </w:rPr>
        <w:t xml:space="preserve"> jurídico</w:t>
      </w:r>
      <w:r>
        <w:rPr>
          <w:rFonts w:ascii="Verdana" w:eastAsia="Calibri" w:hAnsi="Verdana" w:cs="Times New Roman"/>
          <w:lang w:val="es-ES"/>
        </w:rPr>
        <w:t>s</w:t>
      </w:r>
      <w:r w:rsidRPr="00A94D14">
        <w:rPr>
          <w:rFonts w:ascii="Verdana" w:eastAsia="Calibri" w:hAnsi="Verdana" w:cs="Times New Roman"/>
          <w:lang w:val="es-ES"/>
        </w:rPr>
        <w:t xml:space="preserve"> de su consulta.</w:t>
      </w:r>
    </w:p>
    <w:p w14:paraId="1AEBA184" w14:textId="77777777" w:rsidR="00767021" w:rsidRPr="00185EE9" w:rsidRDefault="00767021" w:rsidP="00767021">
      <w:pPr>
        <w:spacing w:after="0" w:line="276" w:lineRule="auto"/>
        <w:rPr>
          <w:rFonts w:ascii="Verdana" w:eastAsia="Calibri" w:hAnsi="Verdana" w:cs="Times New Roman"/>
          <w:lang w:val="es-ES"/>
        </w:rPr>
      </w:pPr>
    </w:p>
    <w:p w14:paraId="5CA0175F" w14:textId="77777777" w:rsidR="00767021" w:rsidRPr="00D207DB" w:rsidRDefault="00767021" w:rsidP="00767021">
      <w:pPr>
        <w:pStyle w:val="Prrafodelista"/>
        <w:numPr>
          <w:ilvl w:val="0"/>
          <w:numId w:val="24"/>
        </w:numPr>
        <w:spacing w:after="0" w:line="276" w:lineRule="auto"/>
        <w:rPr>
          <w:rFonts w:ascii="Verdana" w:eastAsia="Calibri" w:hAnsi="Verdana" w:cs="Times New Roman"/>
          <w:b/>
          <w:bCs/>
        </w:rPr>
      </w:pPr>
      <w:r w:rsidRPr="00D207DB">
        <w:rPr>
          <w:rFonts w:ascii="Verdana" w:eastAsia="Calibri" w:hAnsi="Verdana" w:cs="Times New Roman"/>
          <w:b/>
          <w:bCs/>
        </w:rPr>
        <w:t>Problema planteado:</w:t>
      </w:r>
    </w:p>
    <w:p w14:paraId="04AD903A" w14:textId="77777777" w:rsidR="00767021" w:rsidRPr="00185EE9" w:rsidRDefault="00767021" w:rsidP="00767021">
      <w:pPr>
        <w:spacing w:after="0" w:line="276" w:lineRule="auto"/>
        <w:rPr>
          <w:rFonts w:ascii="Verdana" w:eastAsia="Calibri" w:hAnsi="Verdana" w:cs="Times New Roman"/>
        </w:rPr>
      </w:pPr>
    </w:p>
    <w:p w14:paraId="1182A617" w14:textId="77777777" w:rsidR="00767021" w:rsidRPr="004D3A9E" w:rsidRDefault="00767021" w:rsidP="00767021">
      <w:pPr>
        <w:spacing w:after="0" w:line="276" w:lineRule="auto"/>
        <w:jc w:val="both"/>
        <w:rPr>
          <w:rFonts w:ascii="Verdana" w:eastAsia="Calibri" w:hAnsi="Verdana" w:cs="Times New Roman"/>
        </w:rPr>
      </w:pPr>
      <w:r w:rsidRPr="00185EE9">
        <w:rPr>
          <w:rFonts w:ascii="Verdana" w:eastAsia="Calibri" w:hAnsi="Verdana" w:cs="Times New Roman"/>
        </w:rPr>
        <w:t xml:space="preserve">De acuerdo con el contenido de su solicitud, esta Agencia procede a resolver </w:t>
      </w:r>
      <w:r>
        <w:rPr>
          <w:rFonts w:ascii="Verdana" w:eastAsia="Calibri" w:hAnsi="Verdana" w:cs="Times New Roman"/>
        </w:rPr>
        <w:t>los siguientes problemas jurídicos</w:t>
      </w:r>
      <w:r w:rsidRPr="00185EE9">
        <w:rPr>
          <w:rFonts w:ascii="Verdana" w:eastAsia="Calibri" w:hAnsi="Verdana" w:cs="Times New Roman"/>
        </w:rPr>
        <w:t xml:space="preserve">: </w:t>
      </w:r>
      <w:r>
        <w:rPr>
          <w:rFonts w:ascii="Verdana" w:eastAsia="Calibri" w:hAnsi="Verdana" w:cs="Times New Roman"/>
        </w:rPr>
        <w:t xml:space="preserve">i) </w:t>
      </w:r>
      <w:r w:rsidRPr="00AD0995">
        <w:rPr>
          <w:rFonts w:ascii="Verdana" w:eastAsia="Calibri" w:hAnsi="Verdana" w:cs="Times New Roman"/>
        </w:rPr>
        <w:t>¿Qué debe hacer la Entidad cuando recibe observaciones extemporáneas a los pliegos definitivos de una licitación pública, considerando que el plazo para publicar adendas ya venció y el cierre del proceso está próximo?</w:t>
      </w:r>
      <w:r>
        <w:rPr>
          <w:rFonts w:ascii="Verdana" w:eastAsia="Calibri" w:hAnsi="Verdana" w:cs="Times New Roman"/>
        </w:rPr>
        <w:t xml:space="preserve"> ii) </w:t>
      </w:r>
      <w:r w:rsidRPr="006629AD">
        <w:rPr>
          <w:rFonts w:ascii="Verdana" w:eastAsia="Calibri" w:hAnsi="Verdana" w:cs="Times New Roman"/>
        </w:rPr>
        <w:t>¿Es</w:t>
      </w:r>
      <w:r>
        <w:rPr>
          <w:rFonts w:ascii="Verdana" w:eastAsia="Calibri" w:hAnsi="Verdana" w:cs="Times New Roman"/>
        </w:rPr>
        <w:t xml:space="preserve"> procedente </w:t>
      </w:r>
      <w:r w:rsidRPr="006629AD">
        <w:rPr>
          <w:rFonts w:ascii="Verdana" w:eastAsia="Calibri" w:hAnsi="Verdana" w:cs="Times New Roman"/>
        </w:rPr>
        <w:t>que una Entidad modifique el valor estimado del proceso en la etapa de publicación de los pliegos</w:t>
      </w:r>
      <w:r>
        <w:rPr>
          <w:rFonts w:ascii="Verdana" w:eastAsia="Calibri" w:hAnsi="Verdana" w:cs="Times New Roman"/>
        </w:rPr>
        <w:t xml:space="preserve"> de condiciones</w:t>
      </w:r>
      <w:r w:rsidRPr="006629AD">
        <w:rPr>
          <w:rFonts w:ascii="Verdana" w:eastAsia="Calibri" w:hAnsi="Verdana" w:cs="Times New Roman"/>
        </w:rPr>
        <w:t xml:space="preserve"> definitivos?</w:t>
      </w:r>
    </w:p>
    <w:p w14:paraId="5C2A697D" w14:textId="77777777" w:rsidR="00767021" w:rsidRPr="00185EE9" w:rsidRDefault="00767021" w:rsidP="00767021">
      <w:pPr>
        <w:spacing w:after="0" w:line="276" w:lineRule="auto"/>
        <w:rPr>
          <w:rFonts w:ascii="Verdana" w:eastAsia="Calibri" w:hAnsi="Verdana" w:cs="Times New Roman"/>
        </w:rPr>
      </w:pPr>
    </w:p>
    <w:p w14:paraId="621DD5E5" w14:textId="77777777" w:rsidR="00767021" w:rsidRPr="00185EE9" w:rsidRDefault="00767021" w:rsidP="00767021">
      <w:pPr>
        <w:pStyle w:val="Prrafodelista"/>
        <w:numPr>
          <w:ilvl w:val="0"/>
          <w:numId w:val="24"/>
        </w:numPr>
        <w:spacing w:after="0" w:line="276" w:lineRule="auto"/>
        <w:rPr>
          <w:rFonts w:ascii="Verdana" w:eastAsia="Calibri" w:hAnsi="Verdana" w:cs="Times New Roman"/>
          <w:b/>
          <w:bCs/>
        </w:rPr>
      </w:pPr>
      <w:r w:rsidRPr="00185EE9">
        <w:rPr>
          <w:rFonts w:ascii="Verdana" w:eastAsia="Calibri" w:hAnsi="Verdana" w:cs="Times New Roman"/>
          <w:b/>
          <w:bCs/>
        </w:rPr>
        <w:t>Respuesta:</w:t>
      </w:r>
    </w:p>
    <w:p w14:paraId="2DA3AB34" w14:textId="77777777" w:rsidR="00767021" w:rsidRPr="00D207DB" w:rsidRDefault="00767021" w:rsidP="00767021">
      <w:pPr>
        <w:spacing w:after="0" w:line="276" w:lineRule="auto"/>
        <w:jc w:val="both"/>
        <w:rPr>
          <w:rFonts w:ascii="Verdana" w:eastAsia="Calibri" w:hAnsi="Verdana" w:cs="Times New Roman"/>
          <w:bCs/>
          <w:lang w:val="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7021" w:rsidRPr="00D207DB" w14:paraId="6C549E07" w14:textId="77777777" w:rsidTr="006D3373">
        <w:trPr>
          <w:trHeight w:val="870"/>
          <w:jc w:val="center"/>
        </w:trPr>
        <w:tc>
          <w:tcPr>
            <w:tcW w:w="8647" w:type="dxa"/>
          </w:tcPr>
          <w:p w14:paraId="7AEBAAC6" w14:textId="77777777" w:rsidR="00767021" w:rsidRDefault="00767021" w:rsidP="006D3373">
            <w:pPr>
              <w:spacing w:line="276" w:lineRule="auto"/>
              <w:jc w:val="both"/>
              <w:rPr>
                <w:rFonts w:ascii="Verdana" w:eastAsia="Calibri" w:hAnsi="Verdana" w:cs="Times New Roman"/>
                <w:lang w:val="es-ES"/>
              </w:rPr>
            </w:pPr>
            <w:r>
              <w:rPr>
                <w:rFonts w:ascii="Verdana" w:eastAsia="Calibri" w:hAnsi="Verdana" w:cs="Times New Roman"/>
                <w:lang w:val="es-ES"/>
              </w:rPr>
              <w:t xml:space="preserve">Respecto a los problemas jurídicos, objeto de consulta, se expresa lo siguiente: </w:t>
            </w:r>
          </w:p>
          <w:p w14:paraId="3E0379AC" w14:textId="77777777" w:rsidR="00767021" w:rsidRDefault="00767021" w:rsidP="006D3373">
            <w:pPr>
              <w:spacing w:line="276" w:lineRule="auto"/>
              <w:jc w:val="both"/>
              <w:rPr>
                <w:rFonts w:ascii="Verdana" w:eastAsia="Calibri" w:hAnsi="Verdana" w:cs="Times New Roman"/>
                <w:lang w:val="es-ES"/>
              </w:rPr>
            </w:pPr>
          </w:p>
          <w:p w14:paraId="265F8C2F" w14:textId="77777777" w:rsidR="00767021" w:rsidRPr="002C4C4C" w:rsidRDefault="00767021" w:rsidP="006D3373">
            <w:pPr>
              <w:spacing w:after="120" w:line="276" w:lineRule="auto"/>
              <w:jc w:val="both"/>
              <w:rPr>
                <w:rFonts w:ascii="Verdana" w:eastAsia="Calibri" w:hAnsi="Verdana" w:cs="Arial"/>
                <w:color w:val="000000"/>
                <w:lang w:eastAsia="es-ES_tradnl"/>
              </w:rPr>
            </w:pPr>
            <w:r>
              <w:rPr>
                <w:rFonts w:ascii="Verdana" w:eastAsia="Calibri" w:hAnsi="Verdana" w:cs="Times New Roman"/>
                <w:lang w:val="es-ES"/>
              </w:rPr>
              <w:t xml:space="preserve">i. En referencia al primer problema jurídico, objeto de consulta, se resalta que </w:t>
            </w:r>
            <w:r w:rsidRPr="00172CFC">
              <w:rPr>
                <w:rFonts w:ascii="Verdana" w:eastAsia="Calibri" w:hAnsi="Verdana" w:cs="Arial"/>
                <w:color w:val="000000"/>
                <w:lang w:eastAsia="es-ES_tradnl"/>
              </w:rPr>
              <w:t xml:space="preserve">la propuesta debe ajustarse a todos los puntos determinados en el pliego de condiciones. </w:t>
            </w:r>
            <w:r w:rsidRPr="00172CFC">
              <w:rPr>
                <w:rFonts w:ascii="Verdana" w:eastAsia="Calibri" w:hAnsi="Verdana" w:cs="Arial"/>
                <w:i/>
                <w:iCs/>
                <w:color w:val="000000"/>
                <w:lang w:eastAsia="es-ES_tradnl"/>
              </w:rPr>
              <w:t>Contrario sensu,</w:t>
            </w:r>
            <w:r w:rsidRPr="00172CFC">
              <w:rPr>
                <w:rFonts w:ascii="Verdana" w:eastAsia="Calibri" w:hAnsi="Verdana" w:cs="Arial"/>
                <w:color w:val="000000"/>
                <w:lang w:eastAsia="es-ES_tradnl"/>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r>
              <w:rPr>
                <w:rFonts w:ascii="Verdana" w:eastAsia="Calibri" w:hAnsi="Verdana" w:cs="Arial"/>
                <w:color w:val="000000"/>
                <w:lang w:eastAsia="es-ES_tradnl"/>
              </w:rPr>
              <w:t xml:space="preserve"> </w:t>
            </w:r>
            <w:r w:rsidRPr="007607A1">
              <w:rPr>
                <w:rFonts w:ascii="Verdana" w:eastAsia="Calibri" w:hAnsi="Verdana" w:cs="Arial"/>
                <w:color w:val="000000"/>
                <w:lang w:val="es-ES" w:eastAsia="es-ES_tradnl"/>
              </w:rPr>
              <w:t xml:space="preserve">En </w:t>
            </w:r>
            <w:r>
              <w:rPr>
                <w:rFonts w:ascii="Verdana" w:eastAsia="Calibri" w:hAnsi="Verdana" w:cs="Arial"/>
                <w:color w:val="000000"/>
                <w:lang w:val="es-ES" w:eastAsia="es-ES_tradnl"/>
              </w:rPr>
              <w:t xml:space="preserve">este aspecto, </w:t>
            </w:r>
            <w:r w:rsidRPr="007607A1">
              <w:rPr>
                <w:rFonts w:ascii="Verdana" w:eastAsia="Calibri" w:hAnsi="Verdana" w:cs="Arial"/>
                <w:color w:val="000000"/>
                <w:lang w:val="es-ES" w:eastAsia="es-ES_tradnl"/>
              </w:rPr>
              <w:t xml:space="preserve">los plazos fijados para la publicación de adendas y la presentación de ofertas son de carácter preclusivo y perentorio. Esto </w:t>
            </w:r>
            <w:r>
              <w:rPr>
                <w:rFonts w:ascii="Verdana" w:eastAsia="Calibri" w:hAnsi="Verdana" w:cs="Arial"/>
                <w:color w:val="000000"/>
                <w:lang w:val="es-ES" w:eastAsia="es-ES_tradnl"/>
              </w:rPr>
              <w:t xml:space="preserve">implica </w:t>
            </w:r>
            <w:r w:rsidRPr="007607A1">
              <w:rPr>
                <w:rFonts w:ascii="Verdana" w:eastAsia="Calibri" w:hAnsi="Verdana" w:cs="Arial"/>
                <w:color w:val="000000"/>
                <w:lang w:val="es-ES" w:eastAsia="es-ES_tradnl"/>
              </w:rPr>
              <w:t xml:space="preserve">que, una vez vencido el término para introducir modificaciones a los pliegos de condiciones, la Entidad no puede alterar los documentos ni el cronograma sin afectar la seguridad jurídica y la igualdad de los oferentes. </w:t>
            </w:r>
          </w:p>
          <w:p w14:paraId="3A91B29A" w14:textId="77777777" w:rsidR="00767021" w:rsidRPr="00B83652" w:rsidRDefault="00767021" w:rsidP="006D3373">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val="es-ES" w:eastAsia="es-ES_tradnl"/>
              </w:rPr>
              <w:t>En este sentido, si se presentan</w:t>
            </w:r>
            <w:r w:rsidRPr="007607A1">
              <w:rPr>
                <w:rFonts w:ascii="Verdana" w:eastAsia="Calibri" w:hAnsi="Verdana" w:cs="Arial"/>
                <w:color w:val="000000"/>
                <w:lang w:val="es-ES" w:eastAsia="es-ES_tradnl"/>
              </w:rPr>
              <w:t xml:space="preserve"> observaciones extemporáneas</w:t>
            </w:r>
            <w:r>
              <w:rPr>
                <w:rFonts w:ascii="Verdana" w:eastAsia="Calibri" w:hAnsi="Verdana" w:cs="Arial"/>
                <w:color w:val="000000"/>
                <w:lang w:val="es-ES" w:eastAsia="es-ES_tradnl"/>
              </w:rPr>
              <w:t xml:space="preserve"> al pliego de condiciones definitivo</w:t>
            </w:r>
            <w:r w:rsidRPr="007607A1">
              <w:rPr>
                <w:rFonts w:ascii="Verdana" w:eastAsia="Calibri" w:hAnsi="Verdana" w:cs="Arial"/>
                <w:color w:val="000000"/>
                <w:lang w:val="es-ES" w:eastAsia="es-ES_tradnl"/>
              </w:rPr>
              <w:t xml:space="preserve">, aunque puedan resultar pertinentes, no pueden </w:t>
            </w:r>
            <w:r>
              <w:rPr>
                <w:rFonts w:ascii="Verdana" w:eastAsia="Calibri" w:hAnsi="Verdana" w:cs="Arial"/>
                <w:color w:val="000000"/>
                <w:lang w:val="es-ES" w:eastAsia="es-ES_tradnl"/>
              </w:rPr>
              <w:t xml:space="preserve">acogerse </w:t>
            </w:r>
            <w:r w:rsidRPr="007607A1">
              <w:rPr>
                <w:rFonts w:ascii="Verdana" w:eastAsia="Calibri" w:hAnsi="Verdana" w:cs="Arial"/>
                <w:color w:val="000000"/>
                <w:lang w:val="es-ES" w:eastAsia="es-ES_tradnl"/>
              </w:rPr>
              <w:t>mediante una simple adenda fuera de término.</w:t>
            </w:r>
            <w:r>
              <w:rPr>
                <w:rFonts w:ascii="Verdana" w:eastAsia="Calibri" w:hAnsi="Verdana" w:cs="Arial"/>
                <w:color w:val="000000"/>
                <w:lang w:val="es-ES" w:eastAsia="es-ES_tradnl"/>
              </w:rPr>
              <w:t xml:space="preserve"> La </w:t>
            </w:r>
            <w:r w:rsidRPr="007607A1">
              <w:rPr>
                <w:rFonts w:ascii="Verdana" w:eastAsia="Calibri" w:hAnsi="Verdana" w:cs="Arial"/>
                <w:color w:val="000000"/>
                <w:lang w:val="es-ES" w:eastAsia="es-ES_tradnl"/>
              </w:rPr>
              <w:t xml:space="preserve">Entidad </w:t>
            </w:r>
            <w:r>
              <w:rPr>
                <w:rFonts w:ascii="Verdana" w:eastAsia="Calibri" w:hAnsi="Verdana" w:cs="Arial"/>
                <w:color w:val="000000"/>
                <w:lang w:val="es-ES" w:eastAsia="es-ES_tradnl"/>
              </w:rPr>
              <w:t xml:space="preserve">si </w:t>
            </w:r>
            <w:r w:rsidRPr="007607A1">
              <w:rPr>
                <w:rFonts w:ascii="Verdana" w:eastAsia="Calibri" w:hAnsi="Verdana" w:cs="Arial"/>
                <w:color w:val="000000"/>
                <w:lang w:val="es-ES" w:eastAsia="es-ES_tradnl"/>
              </w:rPr>
              <w:t>considera necesario incorporar dichas observaciones</w:t>
            </w:r>
            <w:r>
              <w:rPr>
                <w:rFonts w:ascii="Verdana" w:eastAsia="Calibri" w:hAnsi="Verdana" w:cs="Arial"/>
                <w:color w:val="000000"/>
                <w:lang w:val="es-ES" w:eastAsia="es-ES_tradnl"/>
              </w:rPr>
              <w:t xml:space="preserve"> extemporáneas</w:t>
            </w:r>
            <w:r w:rsidRPr="007607A1">
              <w:rPr>
                <w:rFonts w:ascii="Verdana" w:eastAsia="Calibri" w:hAnsi="Verdana" w:cs="Arial"/>
                <w:color w:val="000000"/>
                <w:lang w:val="es-ES" w:eastAsia="es-ES_tradnl"/>
              </w:rPr>
              <w:t xml:space="preserve">, debe retrotraer la actuación a la etapa de adendas, </w:t>
            </w:r>
            <w:r>
              <w:rPr>
                <w:rFonts w:ascii="Verdana" w:eastAsia="Calibri" w:hAnsi="Verdana" w:cs="Arial"/>
                <w:color w:val="000000"/>
                <w:lang w:val="es-ES" w:eastAsia="es-ES_tradnl"/>
              </w:rPr>
              <w:t>con la condición de que no se esté en e</w:t>
            </w:r>
            <w:r w:rsidRPr="00B83652">
              <w:rPr>
                <w:rFonts w:ascii="Verdana" w:eastAsia="Calibri" w:hAnsi="Verdana" w:cs="Arial"/>
                <w:color w:val="000000"/>
                <w:lang w:eastAsia="es-ES_tradnl"/>
              </w:rPr>
              <w:t>l plazo de la licitación</w:t>
            </w:r>
            <w:r>
              <w:rPr>
                <w:rFonts w:ascii="Verdana" w:eastAsia="Calibri" w:hAnsi="Verdana" w:cs="Arial"/>
                <w:color w:val="000000"/>
                <w:lang w:eastAsia="es-ES_tradnl"/>
              </w:rPr>
              <w:t xml:space="preserve">, </w:t>
            </w:r>
            <w:r w:rsidRPr="00B83652">
              <w:rPr>
                <w:rFonts w:ascii="Verdana" w:eastAsia="Calibri" w:hAnsi="Verdana" w:cs="Arial"/>
                <w:color w:val="000000"/>
                <w:lang w:eastAsia="es-ES_tradnl"/>
              </w:rPr>
              <w:t>entendido como el término que debe transcurrir entre la fecha a partir de la cual pueden presentar</w:t>
            </w:r>
            <w:r>
              <w:rPr>
                <w:rFonts w:ascii="Verdana" w:eastAsia="Calibri" w:hAnsi="Verdana" w:cs="Arial"/>
                <w:color w:val="000000"/>
                <w:lang w:eastAsia="es-ES_tradnl"/>
              </w:rPr>
              <w:t>se</w:t>
            </w:r>
            <w:r w:rsidRPr="00B83652">
              <w:rPr>
                <w:rFonts w:ascii="Verdana" w:eastAsia="Calibri" w:hAnsi="Verdana" w:cs="Arial"/>
                <w:color w:val="000000"/>
                <w:lang w:eastAsia="es-ES_tradnl"/>
              </w:rPr>
              <w:t xml:space="preserve"> propuestas y la de su cierre</w:t>
            </w:r>
            <w:r>
              <w:rPr>
                <w:rFonts w:ascii="Verdana" w:eastAsia="Calibri" w:hAnsi="Verdana" w:cs="Arial"/>
                <w:color w:val="000000"/>
                <w:lang w:eastAsia="es-ES_tradnl"/>
              </w:rPr>
              <w:t>. En torno a dicho plazo, el inciso segundo, numeral 5° del artículo 30 de la Ley 80 de 1993, prescribe: “</w:t>
            </w:r>
            <w:r w:rsidRPr="00B83652">
              <w:rPr>
                <w:rFonts w:ascii="Verdana" w:eastAsia="Calibri" w:hAnsi="Verdana" w:cs="Arial"/>
                <w:color w:val="000000"/>
                <w:lang w:eastAsia="es-ES_tradnl"/>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w:t>
            </w:r>
            <w:r w:rsidRPr="00B83652">
              <w:rPr>
                <w:rFonts w:ascii="Verdana" w:eastAsia="Calibri" w:hAnsi="Verdana" w:cs="Arial"/>
                <w:color w:val="000000"/>
                <w:lang w:eastAsia="es-ES_tradnl"/>
              </w:rPr>
              <w:lastRenderedPageBreak/>
              <w:t>en días hábiles y horarios laborales</w:t>
            </w:r>
            <w:r>
              <w:rPr>
                <w:rFonts w:ascii="Verdana" w:eastAsia="Calibri" w:hAnsi="Verdana" w:cs="Arial"/>
                <w:color w:val="000000"/>
                <w:lang w:eastAsia="es-ES_tradnl"/>
              </w:rPr>
              <w:t>”</w:t>
            </w:r>
            <w:r w:rsidRPr="00B83652">
              <w:rPr>
                <w:rFonts w:ascii="Verdana" w:eastAsia="Calibri" w:hAnsi="Verdana" w:cs="Arial"/>
                <w:color w:val="000000"/>
                <w:lang w:eastAsia="es-ES_tradnl"/>
              </w:rPr>
              <w:t>.</w:t>
            </w:r>
            <w:r>
              <w:rPr>
                <w:rFonts w:ascii="Verdana" w:eastAsia="Calibri" w:hAnsi="Verdana" w:cs="Arial"/>
                <w:color w:val="000000"/>
                <w:lang w:eastAsia="es-ES_tradnl"/>
              </w:rPr>
              <w:t xml:space="preserve"> Al respecto, lo que se dispone en dicho inciso, se infiere que es posible mediante adendas ampliar el plazo de la licitación, pero no puede hacerse dentro de los tres días antes del cierre del proceso de selección ni siquiera para extender el plazo del mismo.  </w:t>
            </w:r>
          </w:p>
          <w:p w14:paraId="027D9B63" w14:textId="77777777" w:rsidR="00767021" w:rsidRPr="00E21939" w:rsidRDefault="00767021" w:rsidP="006D3373">
            <w:pPr>
              <w:spacing w:line="276" w:lineRule="auto"/>
              <w:ind w:firstLine="709"/>
              <w:jc w:val="both"/>
              <w:rPr>
                <w:rFonts w:ascii="Verdana" w:hAnsi="Verdana" w:cs="Arial"/>
                <w:lang w:val="es-ES" w:eastAsia="es-ES"/>
              </w:rPr>
            </w:pPr>
            <w:r w:rsidRPr="007607A1">
              <w:rPr>
                <w:rFonts w:ascii="Verdana" w:eastAsia="Calibri" w:hAnsi="Verdana" w:cs="Arial"/>
                <w:color w:val="000000"/>
                <w:lang w:val="es-ES" w:eastAsia="es-ES_tradnl"/>
              </w:rPr>
              <w:t xml:space="preserve">En los </w:t>
            </w:r>
            <w:r>
              <w:rPr>
                <w:rFonts w:ascii="Verdana" w:eastAsia="Calibri" w:hAnsi="Verdana" w:cs="Arial"/>
                <w:color w:val="000000"/>
                <w:lang w:val="es-ES" w:eastAsia="es-ES_tradnl"/>
              </w:rPr>
              <w:t xml:space="preserve">supuestos, </w:t>
            </w:r>
            <w:r w:rsidRPr="007607A1">
              <w:rPr>
                <w:rFonts w:ascii="Verdana" w:eastAsia="Calibri" w:hAnsi="Verdana" w:cs="Arial"/>
                <w:color w:val="000000"/>
                <w:lang w:val="es-ES" w:eastAsia="es-ES_tradnl"/>
              </w:rPr>
              <w:t>en que las modificaciones sean sustanciales y alteren de manera significativa el contenido del pliego</w:t>
            </w:r>
            <w:r>
              <w:rPr>
                <w:rFonts w:ascii="Verdana" w:eastAsia="Calibri" w:hAnsi="Verdana" w:cs="Arial"/>
                <w:color w:val="000000"/>
                <w:lang w:val="es-ES" w:eastAsia="es-ES_tradnl"/>
              </w:rPr>
              <w:t xml:space="preserve"> derivado de las observaciones extemporáneas al pliego de condiciones definitivo, la entidad debe considerar la posibilidad de revocar el proceso, sin perjuicio de los efectos jurídicos y situaciones que pueden presentarse en el caso concreto. En todo caso, </w:t>
            </w:r>
            <w:r w:rsidRPr="00485C44">
              <w:rPr>
                <w:rFonts w:ascii="Verdana" w:hAnsi="Verdana" w:cs="Arial"/>
                <w:lang w:val="es-ES" w:eastAsia="es-ES"/>
              </w:rPr>
              <w:t xml:space="preserve">la </w:t>
            </w:r>
            <w:r>
              <w:rPr>
                <w:rFonts w:ascii="Verdana" w:hAnsi="Verdana" w:cs="Arial"/>
                <w:lang w:val="es-ES" w:eastAsia="es-ES"/>
              </w:rPr>
              <w:t>entidad pública definirá</w:t>
            </w:r>
            <w:r w:rsidRPr="00B17041">
              <w:rPr>
                <w:rFonts w:ascii="Verdana" w:hAnsi="Verdana" w:cs="Arial"/>
                <w:lang w:val="es-ES" w:eastAsia="es-ES"/>
              </w:rPr>
              <w:t xml:space="preserve"> en cada </w:t>
            </w:r>
            <w:r>
              <w:rPr>
                <w:rFonts w:ascii="Verdana" w:hAnsi="Verdana" w:cs="Arial"/>
                <w:lang w:val="es-ES" w:eastAsia="es-ES"/>
              </w:rPr>
              <w:t xml:space="preserve">supuesto </w:t>
            </w:r>
            <w:r w:rsidRPr="00B17041">
              <w:rPr>
                <w:rFonts w:ascii="Verdana" w:hAnsi="Verdana" w:cs="Arial"/>
                <w:lang w:val="es-ES" w:eastAsia="es-ES"/>
              </w:rPr>
              <w:t>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7BEC57C" w14:textId="77777777" w:rsidR="00767021" w:rsidRDefault="00767021" w:rsidP="006D3373">
            <w:pPr>
              <w:spacing w:line="276" w:lineRule="auto"/>
              <w:jc w:val="both"/>
              <w:rPr>
                <w:rFonts w:ascii="Verdana" w:eastAsia="Calibri" w:hAnsi="Verdana" w:cs="Times New Roman"/>
                <w:lang w:val="es-ES"/>
              </w:rPr>
            </w:pPr>
          </w:p>
          <w:p w14:paraId="5CAAF971" w14:textId="77777777" w:rsidR="00767021" w:rsidRDefault="00767021" w:rsidP="006D3373">
            <w:pPr>
              <w:spacing w:after="120" w:line="276" w:lineRule="auto"/>
              <w:jc w:val="both"/>
              <w:rPr>
                <w:rFonts w:ascii="Verdana" w:eastAsia="Calibri" w:hAnsi="Verdana" w:cs="Arial"/>
                <w:color w:val="000000"/>
                <w:lang w:val="es-ES_tradnl" w:eastAsia="es-ES_tradnl"/>
              </w:rPr>
            </w:pPr>
            <w:r>
              <w:rPr>
                <w:rFonts w:ascii="Verdana" w:eastAsia="Calibri" w:hAnsi="Verdana" w:cs="Arial"/>
                <w:color w:val="000000"/>
                <w:lang w:val="es-ES" w:eastAsia="es-ES_tradnl"/>
              </w:rPr>
              <w:t xml:space="preserve">ii. En torno al segundo problema jurídico, se expresa que el pliego de condiciones puede variar sus condiciones jurídicas, técnicas o financieras, con respecto al proyecto de pliego de condiciones definitivo, pues este último </w:t>
            </w:r>
            <w:r w:rsidRPr="0094595D">
              <w:rPr>
                <w:rFonts w:ascii="Verdana" w:eastAsia="Calibri" w:hAnsi="Verdana" w:cs="Arial"/>
                <w:color w:val="000000"/>
                <w:lang w:val="es-ES_tradnl" w:eastAsia="es-ES_tradnl"/>
              </w:rPr>
              <w:t>es un acto previo que no genera manifestación de voluntad de la administración</w:t>
            </w:r>
            <w:r>
              <w:rPr>
                <w:rFonts w:ascii="Verdana" w:eastAsia="Calibri" w:hAnsi="Verdana" w:cs="Arial"/>
                <w:color w:val="000000"/>
                <w:lang w:val="es-ES_tradnl" w:eastAsia="es-ES_tradnl"/>
              </w:rPr>
              <w:t xml:space="preserve"> con efectos jurídicos vinculantes</w:t>
            </w:r>
            <w:r w:rsidRPr="0094595D">
              <w:rPr>
                <w:rFonts w:ascii="Verdana" w:eastAsia="Calibri" w:hAnsi="Verdana" w:cs="Arial"/>
                <w:color w:val="000000"/>
                <w:lang w:val="es-ES_tradnl" w:eastAsia="es-ES_tradnl"/>
              </w:rPr>
              <w:t xml:space="preserve">. Es decir, no constituye un acto administrativo propiamente dicho, sino que hace parte de las actuaciones previas a la expedición del acto administrativo mediante el cual se adopta el pliego de condiciones definitivo. </w:t>
            </w:r>
          </w:p>
          <w:p w14:paraId="26305B43" w14:textId="77777777" w:rsidR="00767021" w:rsidRPr="004534BE" w:rsidRDefault="00767021" w:rsidP="006D3373">
            <w:pPr>
              <w:spacing w:after="120" w:line="276" w:lineRule="auto"/>
              <w:ind w:firstLine="708"/>
              <w:jc w:val="both"/>
              <w:rPr>
                <w:rFonts w:ascii="Verdana" w:eastAsia="Calibri" w:hAnsi="Verdana" w:cs="Arial"/>
                <w:color w:val="000000"/>
                <w:lang w:val="es-ES" w:eastAsia="es-ES"/>
              </w:rPr>
            </w:pPr>
            <w:r w:rsidRPr="3506CBA5">
              <w:rPr>
                <w:rFonts w:ascii="Verdana" w:eastAsia="Calibri" w:hAnsi="Verdana" w:cs="Arial"/>
                <w:color w:val="000000" w:themeColor="text1"/>
                <w:lang w:val="es-ES" w:eastAsia="es-ES"/>
              </w:rPr>
              <w:t xml:space="preserve">El proyecto de pliego de condiciones como acto de trámite o preparatorio tiene como propósito preparar o encaminar el proceso hacia la expedición del acto administrativo que en este caso es el pliego de condiciones definitivo, por tanto, no genera efectos jurídicos ni crea derechos adquiridos para los posibles oferentes. En consecuencia, es posible que derivado de respuestas a observaciones al proyecto de pliego de condiciones o a motu propio la entidad ajuste condiciones o valores del presupuesto estimado, de modo que la disminución del monto inicialmente previsto </w:t>
            </w:r>
            <w:r w:rsidRPr="3506CBA5">
              <w:rPr>
                <w:rFonts w:ascii="Verdana" w:eastAsia="Calibri" w:hAnsi="Verdana" w:cs="Arial"/>
                <w:color w:val="000000" w:themeColor="text1"/>
                <w:lang w:val="es-ES" w:eastAsia="es-ES"/>
              </w:rPr>
              <w:lastRenderedPageBreak/>
              <w:t>resulta posible, siempre que se justifique con claridad y se garantice la transparencia frente a los interesados. En este escenario, la variación no afecta la validez del proceso, siempre que la cuantía continúe correspondiendo al mismo tipo de procedimiento y no se vulneren la libre concurrencia, la igualdad y la selección objetiva.</w:t>
            </w:r>
          </w:p>
          <w:p w14:paraId="2829F2CE" w14:textId="77777777" w:rsidR="00767021" w:rsidRPr="00E21939" w:rsidRDefault="00767021" w:rsidP="006D3373">
            <w:pPr>
              <w:spacing w:after="120" w:line="276" w:lineRule="auto"/>
              <w:ind w:firstLine="708"/>
              <w:jc w:val="both"/>
              <w:rPr>
                <w:rFonts w:ascii="Verdana" w:eastAsia="Calibri" w:hAnsi="Verdana" w:cs="Arial"/>
                <w:color w:val="000000"/>
                <w:lang w:val="es-ES_tradnl" w:eastAsia="es-ES_tradnl"/>
              </w:rPr>
            </w:pPr>
            <w:r w:rsidRPr="004534BE">
              <w:rPr>
                <w:rFonts w:ascii="Verdana" w:eastAsia="Calibri" w:hAnsi="Verdana" w:cs="Arial"/>
                <w:color w:val="000000"/>
                <w:lang w:val="es-ES_tradnl" w:eastAsia="es-ES_tradnl"/>
              </w:rPr>
              <w:t xml:space="preserve">No obstante, si la reducción del presupuesto implica un cambio sustancial en la modalidad de selección —por ejemplo, pasar </w:t>
            </w:r>
            <w:r>
              <w:rPr>
                <w:rFonts w:ascii="Verdana" w:eastAsia="Calibri" w:hAnsi="Verdana" w:cs="Arial"/>
                <w:color w:val="000000"/>
                <w:lang w:val="es-ES_tradnl" w:eastAsia="es-ES_tradnl"/>
              </w:rPr>
              <w:t>de selección abreviada a mínima cuantía</w:t>
            </w:r>
            <w:r w:rsidRPr="004534BE">
              <w:rPr>
                <w:rFonts w:ascii="Verdana" w:eastAsia="Calibri" w:hAnsi="Verdana" w:cs="Arial"/>
                <w:color w:val="000000"/>
                <w:lang w:val="es-ES_tradnl" w:eastAsia="es-ES_tradnl"/>
              </w:rPr>
              <w:t xml:space="preserve">— o altera de manera significativa las condiciones de participación, la Entidad no puede continuar con el mismo proceso. En tal caso, debe </w:t>
            </w:r>
            <w:r>
              <w:rPr>
                <w:rFonts w:ascii="Verdana" w:eastAsia="Calibri" w:hAnsi="Verdana" w:cs="Arial"/>
                <w:color w:val="000000"/>
                <w:lang w:val="es-ES_tradnl" w:eastAsia="es-ES_tradnl"/>
              </w:rPr>
              <w:t xml:space="preserve">revocar el proceso de contratación </w:t>
            </w:r>
            <w:r w:rsidRPr="004534BE">
              <w:rPr>
                <w:rFonts w:ascii="Verdana" w:eastAsia="Calibri" w:hAnsi="Verdana" w:cs="Arial"/>
                <w:color w:val="000000"/>
                <w:lang w:val="es-ES_tradnl" w:eastAsia="es-ES_tradnl"/>
              </w:rPr>
              <w:t>y a</w:t>
            </w:r>
            <w:r>
              <w:rPr>
                <w:rFonts w:ascii="Verdana" w:eastAsia="Calibri" w:hAnsi="Verdana" w:cs="Arial"/>
                <w:color w:val="000000"/>
                <w:lang w:val="es-ES_tradnl" w:eastAsia="es-ES_tradnl"/>
              </w:rPr>
              <w:t>delantar</w:t>
            </w:r>
            <w:r w:rsidRPr="004534BE">
              <w:rPr>
                <w:rFonts w:ascii="Verdana" w:eastAsia="Calibri" w:hAnsi="Verdana" w:cs="Arial"/>
                <w:color w:val="000000"/>
                <w:lang w:val="es-ES_tradnl" w:eastAsia="es-ES_tradnl"/>
              </w:rPr>
              <w:t xml:space="preserve"> un</w:t>
            </w:r>
            <w:r>
              <w:rPr>
                <w:rFonts w:ascii="Verdana" w:eastAsia="Calibri" w:hAnsi="Verdana" w:cs="Arial"/>
                <w:color w:val="000000"/>
                <w:lang w:val="es-ES_tradnl" w:eastAsia="es-ES_tradnl"/>
              </w:rPr>
              <w:t xml:space="preserve"> nuevo proceso</w:t>
            </w:r>
            <w:r w:rsidRPr="004534BE">
              <w:rPr>
                <w:rFonts w:ascii="Verdana" w:eastAsia="Calibri" w:hAnsi="Verdana" w:cs="Arial"/>
                <w:color w:val="000000"/>
                <w:lang w:val="es-ES_tradnl" w:eastAsia="es-ES_tradnl"/>
              </w:rPr>
              <w:t xml:space="preserve"> con el valor ajustado, asegurando que los oferentes participen bajo reglas claras y coherentes con la normativa vigente</w:t>
            </w:r>
            <w:r>
              <w:rPr>
                <w:rFonts w:ascii="Verdana" w:eastAsia="Calibri" w:hAnsi="Verdana" w:cs="Arial"/>
                <w:color w:val="000000"/>
                <w:lang w:val="es-ES_tradnl" w:eastAsia="es-ES_tradnl"/>
              </w:rPr>
              <w:t xml:space="preserve">, que rige la modalidad de selección respectiva. </w:t>
            </w:r>
          </w:p>
        </w:tc>
      </w:tr>
    </w:tbl>
    <w:p w14:paraId="053F608B" w14:textId="77777777" w:rsidR="00767021" w:rsidRPr="00185EE9" w:rsidRDefault="00767021" w:rsidP="00767021">
      <w:pPr>
        <w:spacing w:after="0" w:line="276" w:lineRule="auto"/>
        <w:jc w:val="both"/>
        <w:rPr>
          <w:rFonts w:ascii="Verdana" w:eastAsia="Calibri" w:hAnsi="Verdana" w:cs="Arial"/>
          <w:bCs/>
          <w:color w:val="000000" w:themeColor="text1"/>
        </w:rPr>
      </w:pPr>
    </w:p>
    <w:p w14:paraId="6B675A7B" w14:textId="77777777" w:rsidR="00767021" w:rsidRPr="00185EE9" w:rsidRDefault="00767021" w:rsidP="00767021">
      <w:pPr>
        <w:pStyle w:val="Prrafodelista"/>
        <w:numPr>
          <w:ilvl w:val="0"/>
          <w:numId w:val="24"/>
        </w:numPr>
        <w:spacing w:after="0" w:line="276" w:lineRule="auto"/>
        <w:rPr>
          <w:rFonts w:ascii="Verdana" w:eastAsia="Calibri" w:hAnsi="Verdana" w:cs="Times New Roman"/>
          <w:b/>
          <w:bCs/>
        </w:rPr>
      </w:pPr>
      <w:r w:rsidRPr="00185EE9">
        <w:rPr>
          <w:rFonts w:ascii="Verdana" w:eastAsia="Calibri" w:hAnsi="Verdana" w:cs="Times New Roman"/>
          <w:b/>
          <w:bCs/>
        </w:rPr>
        <w:t>Razones de la respuesta:</w:t>
      </w:r>
    </w:p>
    <w:p w14:paraId="77072468" w14:textId="77777777" w:rsidR="00767021" w:rsidRPr="00185EE9" w:rsidRDefault="00767021" w:rsidP="00767021">
      <w:pPr>
        <w:spacing w:after="0" w:line="276" w:lineRule="auto"/>
        <w:rPr>
          <w:rFonts w:ascii="Verdana" w:eastAsia="Calibri" w:hAnsi="Verdana" w:cs="Times New Roman"/>
          <w:b/>
          <w:bCs/>
          <w:lang w:val="es-ES"/>
        </w:rPr>
      </w:pPr>
    </w:p>
    <w:p w14:paraId="680C9035" w14:textId="77777777" w:rsidR="00767021" w:rsidRDefault="00767021" w:rsidP="00767021">
      <w:pPr>
        <w:spacing w:after="0" w:line="276" w:lineRule="auto"/>
        <w:jc w:val="both"/>
        <w:rPr>
          <w:rFonts w:ascii="Verdana" w:eastAsia="Calibri" w:hAnsi="Verdana" w:cs="Arial"/>
          <w:lang w:val="es-ES"/>
        </w:rPr>
      </w:pPr>
      <w:r w:rsidRPr="005D17C8">
        <w:rPr>
          <w:rFonts w:ascii="Verdana" w:eastAsia="Calibri" w:hAnsi="Verdana" w:cs="Arial"/>
          <w:lang w:val="es-ES"/>
        </w:rPr>
        <w:t xml:space="preserve">Lo anterior se sustenta en las siguientes consideraciones: </w:t>
      </w:r>
    </w:p>
    <w:p w14:paraId="450526C8" w14:textId="77777777" w:rsidR="00767021" w:rsidRDefault="00767021" w:rsidP="00767021">
      <w:pPr>
        <w:spacing w:after="0" w:line="276" w:lineRule="auto"/>
        <w:jc w:val="both"/>
        <w:rPr>
          <w:rFonts w:ascii="Verdana" w:eastAsia="Calibri" w:hAnsi="Verdana" w:cs="Arial"/>
          <w:lang w:val="es-ES"/>
        </w:rPr>
      </w:pPr>
    </w:p>
    <w:p w14:paraId="71ADA537" w14:textId="77777777" w:rsidR="00767021" w:rsidRPr="004D3A9E" w:rsidRDefault="00767021" w:rsidP="00767021">
      <w:pPr>
        <w:spacing w:after="120" w:line="276" w:lineRule="auto"/>
        <w:jc w:val="both"/>
        <w:rPr>
          <w:rFonts w:ascii="Verdana" w:eastAsia="Calibri" w:hAnsi="Verdana" w:cs="Arial"/>
          <w:lang w:val="es-ES"/>
        </w:rPr>
      </w:pPr>
      <w:r>
        <w:rPr>
          <w:rFonts w:ascii="Verdana" w:eastAsia="Calibri" w:hAnsi="Verdana" w:cs="Arial"/>
          <w:color w:val="000000"/>
          <w:lang w:val="es-ES" w:eastAsia="es-ES_tradnl"/>
        </w:rPr>
        <w:t xml:space="preserve">i. </w:t>
      </w:r>
      <w:r w:rsidRPr="00C10179">
        <w:rPr>
          <w:rFonts w:ascii="Verdana" w:eastAsia="Calibri" w:hAnsi="Verdana" w:cs="Arial"/>
          <w:color w:val="000000"/>
          <w:lang w:val="es-ES" w:eastAsia="es-ES_tradnl"/>
        </w:rPr>
        <w:t>El pliego de condiciones es la hoja de ruta o plan</w:t>
      </w:r>
      <w:r w:rsidRPr="00C10179">
        <w:rPr>
          <w:rFonts w:ascii="Verdana" w:eastAsia="Calibri" w:hAnsi="Verdana" w:cs="Arial"/>
          <w:color w:val="000000"/>
          <w:vertAlign w:val="superscript"/>
          <w:lang w:val="es-ES" w:eastAsia="es-ES_tradnl"/>
        </w:rPr>
        <w:footnoteReference w:id="1"/>
      </w:r>
      <w:r w:rsidRPr="00C10179">
        <w:rPr>
          <w:rFonts w:ascii="Verdana" w:eastAsia="Calibri" w:hAnsi="Verdana" w:cs="Arial"/>
          <w:color w:val="000000"/>
          <w:lang w:val="es-ES" w:eastAsia="es-ES_tradnl"/>
        </w:rPr>
        <w:t xml:space="preserve"> sobre el cual se diseña, estructura y concreta el procedimiento de selección de contratistas. El </w:t>
      </w:r>
      <w:r>
        <w:rPr>
          <w:rFonts w:ascii="Verdana" w:eastAsia="Calibri" w:hAnsi="Verdana" w:cs="Arial"/>
          <w:color w:val="000000"/>
          <w:lang w:val="es-ES" w:eastAsia="es-ES_tradnl"/>
        </w:rPr>
        <w:t>mismo ha sido definido como un “</w:t>
      </w:r>
      <w:r w:rsidRPr="00C10179">
        <w:rPr>
          <w:rFonts w:ascii="Verdana" w:eastAsia="Calibri" w:hAnsi="Verdana" w:cs="Arial"/>
          <w:color w:val="000000"/>
          <w:lang w:val="es-ES" w:eastAsia="es-ES_tradnl"/>
        </w:rPr>
        <w:t xml:space="preserve">acto jurídico mixto, que nace como un acto administrativo de contenido general y que, con la adjudicación y suscripción del contrato estatal, algunos de sus contenidos se transforman para incorporarse al texto del negocio jurídico y, por consiguiente, se convierten en </w:t>
      </w:r>
      <w:r>
        <w:rPr>
          <w:rFonts w:ascii="Verdana" w:eastAsia="Calibri" w:hAnsi="Verdana" w:cs="Arial"/>
          <w:color w:val="000000"/>
          <w:lang w:val="es-ES" w:eastAsia="es-ES_tradnl"/>
        </w:rPr>
        <w:t>cláusulas vinculantes del mismo”</w:t>
      </w:r>
      <w:r w:rsidRPr="00C10179">
        <w:rPr>
          <w:rFonts w:ascii="Verdana" w:eastAsia="Calibri" w:hAnsi="Verdana" w:cs="Arial"/>
          <w:color w:val="000000"/>
          <w:vertAlign w:val="superscript"/>
          <w:lang w:val="es-ES" w:eastAsia="es-ES_tradnl"/>
        </w:rPr>
        <w:footnoteReference w:id="2"/>
      </w:r>
      <w:r w:rsidRPr="00C10179">
        <w:rPr>
          <w:rFonts w:ascii="Verdana" w:eastAsia="Calibri" w:hAnsi="Verdana" w:cs="Arial"/>
          <w:color w:val="000000"/>
          <w:lang w:val="es-ES" w:eastAsia="es-ES_tradnl"/>
        </w:rPr>
        <w:t>.</w:t>
      </w:r>
      <w:r w:rsidRPr="00C10179">
        <w:rPr>
          <w:rFonts w:ascii="Verdana" w:eastAsia="Calibri" w:hAnsi="Verdana" w:cs="Arial"/>
          <w:color w:val="000000"/>
          <w:lang w:val="es-ES_tradnl" w:eastAsia="es-ES_tradnl"/>
        </w:rPr>
        <w:t xml:space="preserve"> En este sentido, </w:t>
      </w:r>
      <w:r>
        <w:rPr>
          <w:rFonts w:ascii="Verdana" w:eastAsia="Calibri" w:hAnsi="Verdana" w:cs="Arial"/>
          <w:color w:val="000000"/>
          <w:lang w:val="es-ES_tradnl" w:eastAsia="es-ES_tradnl"/>
        </w:rPr>
        <w:t xml:space="preserve">en el marco de </w:t>
      </w:r>
      <w:r w:rsidRPr="00C10179">
        <w:rPr>
          <w:rFonts w:ascii="Verdana" w:eastAsia="Calibri" w:hAnsi="Verdana" w:cs="Arial"/>
          <w:color w:val="000000"/>
          <w:lang w:val="es-ES_tradnl" w:eastAsia="es-ES_tradnl"/>
        </w:rPr>
        <w:t>su discrecionalidad</w:t>
      </w:r>
      <w:r>
        <w:rPr>
          <w:rFonts w:ascii="Verdana" w:eastAsia="Calibri" w:hAnsi="Verdana" w:cs="Arial"/>
          <w:color w:val="000000"/>
          <w:lang w:val="es-ES_tradnl" w:eastAsia="es-ES_tradnl"/>
        </w:rPr>
        <w:t>,</w:t>
      </w:r>
      <w:r w:rsidRPr="00C10179">
        <w:rPr>
          <w:rFonts w:ascii="Verdana" w:eastAsia="Calibri" w:hAnsi="Verdana" w:cs="Arial"/>
          <w:color w:val="000000"/>
          <w:lang w:val="es-ES_tradnl" w:eastAsia="es-ES_tradnl"/>
        </w:rPr>
        <w:t xml:space="preserve"> cada entidad debe establecer la forma cómo se estructura el pliego de condiciones, el cual está condicionado a la proporcionalidad de las decisiones que toma en aras de garantizar la pluralidad de oferentes y la selección objetiva</w:t>
      </w:r>
      <w:r w:rsidRPr="00C10179">
        <w:rPr>
          <w:rFonts w:ascii="Verdana" w:eastAsia="Calibri" w:hAnsi="Verdana" w:cs="Arial"/>
          <w:color w:val="000000"/>
          <w:lang w:eastAsia="es-ES_tradnl"/>
        </w:rPr>
        <w:t>.</w:t>
      </w:r>
    </w:p>
    <w:p w14:paraId="2DA811AA" w14:textId="77777777" w:rsidR="00767021" w:rsidRPr="00C10179" w:rsidRDefault="00767021" w:rsidP="00767021">
      <w:pPr>
        <w:spacing w:after="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este modo, el pliego </w:t>
      </w:r>
      <w:r>
        <w:rPr>
          <w:rFonts w:ascii="Verdana" w:eastAsia="Calibri" w:hAnsi="Verdana" w:cs="Arial"/>
          <w:color w:val="000000"/>
          <w:lang w:val="es-ES" w:eastAsia="es-ES_tradnl"/>
        </w:rPr>
        <w:t xml:space="preserve">de condiciones </w:t>
      </w:r>
      <w:r w:rsidRPr="00C10179">
        <w:rPr>
          <w:rFonts w:ascii="Verdana" w:eastAsia="Calibri" w:hAnsi="Verdana" w:cs="Arial"/>
          <w:color w:val="000000"/>
          <w:lang w:val="es-ES" w:eastAsia="es-ES_tradnl"/>
        </w:rPr>
        <w:t xml:space="preserve">es un instrumento en el cual se materializa el principio de transparencia, pues en ese </w:t>
      </w:r>
      <w:bookmarkStart w:id="1" w:name="_GoBack"/>
      <w:bookmarkEnd w:id="1"/>
      <w:r w:rsidRPr="00C10179">
        <w:rPr>
          <w:rFonts w:ascii="Verdana" w:eastAsia="Calibri" w:hAnsi="Verdana" w:cs="Arial"/>
          <w:color w:val="000000"/>
          <w:lang w:val="es-ES" w:eastAsia="es-ES_tradnl"/>
        </w:rPr>
        <w:t xml:space="preserve">documento se fijan las reglas de escogencia del contratista del Estado, para la selección objetiva de la </w:t>
      </w:r>
      <w:r w:rsidRPr="00C10179">
        <w:rPr>
          <w:rFonts w:ascii="Verdana" w:eastAsia="Calibri" w:hAnsi="Verdana" w:cs="Arial"/>
          <w:color w:val="000000"/>
          <w:lang w:val="es-ES" w:eastAsia="es-ES_tradnl"/>
        </w:rPr>
        <w:lastRenderedPageBreak/>
        <w:t xml:space="preserve">mejor oferta, la adjudicación y la posterior celebración y ejecución del contrato, lo cual lo convierte en una reglamentación de todo el </w:t>
      </w:r>
      <w:r w:rsidRPr="00C10179">
        <w:rPr>
          <w:rFonts w:ascii="Verdana" w:eastAsia="Calibri" w:hAnsi="Verdana" w:cs="Arial"/>
          <w:i/>
          <w:iCs/>
          <w:color w:val="000000"/>
          <w:lang w:val="es-ES" w:eastAsia="es-ES_tradnl"/>
        </w:rPr>
        <w:t>iter</w:t>
      </w:r>
      <w:r w:rsidRPr="00C10179">
        <w:rPr>
          <w:rFonts w:ascii="Verdana" w:eastAsia="Calibri" w:hAnsi="Verdana" w:cs="Arial"/>
          <w:color w:val="000000"/>
          <w:lang w:val="es-ES" w:eastAsia="es-ES_tradnl"/>
        </w:rPr>
        <w:t xml:space="preserve"> contractual. Su contenido</w:t>
      </w:r>
      <w:r w:rsidRPr="00C10179">
        <w:rPr>
          <w:rFonts w:ascii="Verdana" w:eastAsia="Calibri" w:hAnsi="Verdana" w:cs="Arial"/>
          <w:color w:val="000000"/>
          <w:vertAlign w:val="superscript"/>
          <w:lang w:val="es-ES" w:eastAsia="es-ES_tradnl"/>
        </w:rPr>
        <w:footnoteReference w:id="3"/>
      </w:r>
      <w:r w:rsidRPr="00C10179">
        <w:rPr>
          <w:rFonts w:ascii="Verdana" w:eastAsia="Calibri" w:hAnsi="Verdana" w:cs="Arial"/>
          <w:color w:val="000000"/>
          <w:lang w:val="es-ES" w:eastAsia="es-ES_tradnl"/>
        </w:rPr>
        <w:t xml:space="preserve"> está previsto en el numeral 5 del artículo 24 de la Ley 80 de 1993, que establece algunas directrices que </w:t>
      </w:r>
      <w:r>
        <w:rPr>
          <w:rFonts w:ascii="Verdana" w:eastAsia="Calibri" w:hAnsi="Verdana" w:cs="Arial"/>
          <w:color w:val="000000"/>
          <w:lang w:val="es-ES" w:eastAsia="es-ES_tradnl"/>
        </w:rPr>
        <w:t xml:space="preserve">se </w:t>
      </w:r>
      <w:r w:rsidRPr="00C10179">
        <w:rPr>
          <w:rFonts w:ascii="Verdana" w:eastAsia="Calibri" w:hAnsi="Verdana" w:cs="Arial"/>
          <w:color w:val="000000"/>
          <w:lang w:val="es-ES" w:eastAsia="es-ES_tradnl"/>
        </w:rPr>
        <w:t>deben tenerse en cuenta en su elaboración:</w:t>
      </w:r>
    </w:p>
    <w:p w14:paraId="23BA62C7" w14:textId="77777777" w:rsidR="00767021" w:rsidRPr="00C10179" w:rsidRDefault="00767021" w:rsidP="00767021">
      <w:pPr>
        <w:spacing w:after="0" w:line="276" w:lineRule="auto"/>
        <w:jc w:val="both"/>
        <w:rPr>
          <w:rFonts w:ascii="Verdana" w:eastAsia="Calibri" w:hAnsi="Verdana" w:cs="Arial"/>
          <w:color w:val="000000"/>
          <w:lang w:val="es-ES" w:eastAsia="es-ES_tradnl"/>
        </w:rPr>
      </w:pPr>
    </w:p>
    <w:p w14:paraId="406C32BA" w14:textId="77777777" w:rsidR="00767021" w:rsidRPr="00F85A91" w:rsidRDefault="00767021" w:rsidP="00767021">
      <w:pPr>
        <w:spacing w:after="0" w:line="276" w:lineRule="auto"/>
        <w:ind w:left="709" w:right="709"/>
        <w:jc w:val="both"/>
        <w:rPr>
          <w:rFonts w:ascii="Verdana" w:eastAsia="Calibri" w:hAnsi="Verdana" w:cs="Arial"/>
          <w:color w:val="000000"/>
          <w:sz w:val="21"/>
          <w:szCs w:val="21"/>
          <w:lang w:val="es-ES" w:eastAsia="es-ES_tradnl"/>
        </w:rPr>
      </w:pPr>
      <w:r>
        <w:rPr>
          <w:rFonts w:ascii="Verdana" w:eastAsia="Calibri" w:hAnsi="Verdana" w:cs="Arial"/>
          <w:color w:val="000000"/>
          <w:sz w:val="21"/>
          <w:szCs w:val="21"/>
          <w:lang w:val="es-ES" w:eastAsia="es-ES_tradnl"/>
        </w:rPr>
        <w:t>“</w:t>
      </w:r>
      <w:r w:rsidRPr="00F85A91">
        <w:rPr>
          <w:rFonts w:ascii="Verdana" w:eastAsia="Calibri" w:hAnsi="Verdana" w:cs="Arial"/>
          <w:color w:val="000000"/>
          <w:sz w:val="21"/>
          <w:szCs w:val="21"/>
          <w:lang w:val="es-ES" w:eastAsia="es-ES_tradnl"/>
        </w:rPr>
        <w:t>[…] 5o. En los pliegos de condiciones:</w:t>
      </w:r>
    </w:p>
    <w:p w14:paraId="11E2D986" w14:textId="77777777" w:rsidR="00767021" w:rsidRPr="00F85A91" w:rsidRDefault="00767021" w:rsidP="00767021">
      <w:pPr>
        <w:spacing w:after="0" w:line="276" w:lineRule="auto"/>
        <w:ind w:left="709" w:right="709"/>
        <w:jc w:val="both"/>
        <w:rPr>
          <w:rFonts w:ascii="Verdana" w:eastAsia="Calibri" w:hAnsi="Verdana" w:cs="Arial"/>
          <w:color w:val="000000"/>
          <w:sz w:val="21"/>
          <w:szCs w:val="21"/>
          <w:lang w:val="es-ES" w:eastAsia="es-ES_tradnl"/>
        </w:rPr>
      </w:pPr>
    </w:p>
    <w:p w14:paraId="46BF95E3"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Se indicarán los requisitos objetivos necesarios para participar en el correspondiente proceso de selección.</w:t>
      </w:r>
    </w:p>
    <w:p w14:paraId="3EE605C0"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Se definirán reglas objetivas, justas, claras y completas que permitan la confección de ofrecimientos de la misma índole, aseguren una escogencia objetiva y eviten las declaratorias de desierta de la licitación.</w:t>
      </w:r>
    </w:p>
    <w:p w14:paraId="197759E3"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Se definirán con precisión las condiciones de costo y calidad de los bienes, obras o servicios necesarios para la ejecución del objeto del contrato.</w:t>
      </w:r>
    </w:p>
    <w:p w14:paraId="12C029B7"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No se incluirán condiciones y exigencias de imposible cumplimiento, ni exenciones de la responsabilidad derivada de los datos, informes y documentos que se suministren.</w:t>
      </w:r>
    </w:p>
    <w:p w14:paraId="710D198F"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Se definirán reglas que no induzcan a error a los proponentes y contratistas y que impidan la Formulación de ofrecimientos de extensión ilimitada o que dependan de la voluntad exclusiva de la entidad.</w:t>
      </w:r>
    </w:p>
    <w:p w14:paraId="1E9A791D" w14:textId="77777777" w:rsidR="00767021" w:rsidRPr="00F85A91"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F85A91">
        <w:rPr>
          <w:rFonts w:ascii="Verdana" w:eastAsia="Calibri" w:hAnsi="Verdana" w:cs="Arial"/>
          <w:color w:val="000000"/>
          <w:sz w:val="21"/>
          <w:szCs w:val="21"/>
          <w:lang w:val="es-MX" w:eastAsia="es-ES_tradnl"/>
        </w:rPr>
        <w:t>Se definirá el plazo para la liquidación del contrato, cuando a ello hubiere lugar, teniendo en cuenta su objeto, naturaleza y cuantía.</w:t>
      </w:r>
    </w:p>
    <w:p w14:paraId="2725123F" w14:textId="77777777" w:rsidR="00767021" w:rsidRPr="00D207DB" w:rsidRDefault="00767021" w:rsidP="00767021">
      <w:pPr>
        <w:numPr>
          <w:ilvl w:val="2"/>
          <w:numId w:val="23"/>
        </w:numPr>
        <w:spacing w:after="0" w:line="240" w:lineRule="auto"/>
        <w:ind w:left="1034" w:right="709"/>
        <w:jc w:val="both"/>
        <w:rPr>
          <w:rFonts w:ascii="Verdana" w:eastAsia="Calibri" w:hAnsi="Verdana" w:cs="Arial"/>
          <w:color w:val="000000"/>
          <w:sz w:val="21"/>
          <w:szCs w:val="21"/>
          <w:lang w:val="es-MX" w:eastAsia="es-ES_tradnl"/>
        </w:rPr>
      </w:pPr>
      <w:r w:rsidRPr="00D207DB">
        <w:rPr>
          <w:rFonts w:ascii="Verdana" w:eastAsia="Calibri" w:hAnsi="Verdana" w:cs="Arial"/>
          <w:color w:val="000000"/>
          <w:sz w:val="21"/>
          <w:szCs w:val="21"/>
          <w:lang w:val="es-MX" w:eastAsia="es-ES_tradnl"/>
        </w:rPr>
        <w:t>Serán ineficaces de pleno derecho las estipulaciones de los pliegos y de los contratos que contravengan lo dispuesto en este numeral, o dispongan renuncias a reclamaciones por la ocurrencia de los hechos aquí enunciados</w:t>
      </w:r>
      <w:r>
        <w:rPr>
          <w:rFonts w:ascii="Verdana" w:eastAsia="Calibri" w:hAnsi="Verdana" w:cs="Arial"/>
          <w:color w:val="000000"/>
          <w:sz w:val="21"/>
          <w:szCs w:val="21"/>
          <w:lang w:val="es-MX" w:eastAsia="es-ES_tradnl"/>
        </w:rPr>
        <w:t>”</w:t>
      </w:r>
      <w:r w:rsidRPr="00D207DB">
        <w:rPr>
          <w:rFonts w:ascii="Verdana" w:eastAsia="Calibri" w:hAnsi="Verdana" w:cs="Arial"/>
          <w:color w:val="000000"/>
          <w:sz w:val="21"/>
          <w:szCs w:val="21"/>
          <w:lang w:val="es-MX" w:eastAsia="es-ES_tradnl"/>
        </w:rPr>
        <w:t>.</w:t>
      </w:r>
    </w:p>
    <w:p w14:paraId="5439C404" w14:textId="77777777" w:rsidR="00767021" w:rsidRPr="00D207DB" w:rsidRDefault="00767021" w:rsidP="00767021">
      <w:pPr>
        <w:spacing w:after="0" w:line="276" w:lineRule="auto"/>
        <w:ind w:firstLine="709"/>
        <w:jc w:val="both"/>
        <w:rPr>
          <w:rFonts w:ascii="Verdana" w:eastAsia="Calibri" w:hAnsi="Verdana" w:cs="Arial"/>
          <w:color w:val="000000"/>
          <w:lang w:val="es-MX" w:eastAsia="es-ES_tradnl"/>
        </w:rPr>
      </w:pPr>
    </w:p>
    <w:p w14:paraId="4721B215" w14:textId="77777777" w:rsidR="00767021" w:rsidRDefault="00767021" w:rsidP="00767021">
      <w:pPr>
        <w:spacing w:after="12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C10179">
        <w:rPr>
          <w:rFonts w:ascii="Verdana" w:eastAsia="Calibri" w:hAnsi="Verdana" w:cs="Arial"/>
          <w:color w:val="000000"/>
          <w:lang w:val="es-ES" w:eastAsia="es-ES_tradnl" w:bidi="es-ES"/>
        </w:rPr>
        <w:lastRenderedPageBreak/>
        <w:t>establecidos por el ordenamiento jurídico</w:t>
      </w:r>
      <w:r w:rsidRPr="00C10179">
        <w:rPr>
          <w:rFonts w:ascii="Verdana" w:eastAsia="Calibri" w:hAnsi="Verdana" w:cs="Arial"/>
          <w:color w:val="000000"/>
          <w:vertAlign w:val="superscript"/>
          <w:lang w:val="es-ES" w:eastAsia="es-ES_tradnl" w:bidi="es-ES"/>
        </w:rPr>
        <w:footnoteReference w:id="4"/>
      </w:r>
      <w:r w:rsidRPr="00C10179">
        <w:rPr>
          <w:rFonts w:ascii="Verdana" w:eastAsia="Calibri" w:hAnsi="Verdana" w:cs="Arial"/>
          <w:color w:val="000000"/>
          <w:lang w:val="es-ES" w:eastAsia="es-ES_tradnl"/>
        </w:rPr>
        <w:t>, con fundamento en los estudios realizados en la fase de planeación</w:t>
      </w:r>
      <w:r w:rsidRPr="00C10179">
        <w:rPr>
          <w:rFonts w:ascii="Verdana" w:eastAsia="Calibri" w:hAnsi="Verdana" w:cs="Arial"/>
          <w:color w:val="000000"/>
          <w:vertAlign w:val="superscript"/>
          <w:lang w:val="es-ES" w:eastAsia="es-ES_tradnl"/>
        </w:rPr>
        <w:footnoteReference w:id="5"/>
      </w:r>
      <w:r w:rsidRPr="00C10179">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72B9A74B" w14:textId="77777777" w:rsidR="00767021" w:rsidRDefault="00767021" w:rsidP="00767021">
      <w:pPr>
        <w:spacing w:after="120" w:line="276" w:lineRule="auto"/>
        <w:ind w:firstLine="708"/>
        <w:jc w:val="both"/>
        <w:rPr>
          <w:rFonts w:ascii="Verdana" w:eastAsia="Calibri" w:hAnsi="Verdana" w:cs="Arial"/>
          <w:color w:val="000000"/>
          <w:lang w:val="es-ES_tradnl" w:eastAsia="es-ES_tradnl"/>
        </w:rPr>
      </w:pPr>
      <w:r>
        <w:rPr>
          <w:rFonts w:ascii="Verdana" w:eastAsia="Calibri" w:hAnsi="Verdana" w:cs="Arial"/>
          <w:color w:val="000000"/>
          <w:lang w:val="es-ES" w:eastAsia="es-ES_tradnl"/>
        </w:rPr>
        <w:t xml:space="preserve">El pliego de condiciones puede variar sus condiciones jurídicas, técnicas o financieras, con respecto al proyecto de pliego de condiciones definitivo, pues este último </w:t>
      </w:r>
      <w:r w:rsidRPr="0094595D">
        <w:rPr>
          <w:rFonts w:ascii="Verdana" w:eastAsia="Calibri" w:hAnsi="Verdana" w:cs="Arial"/>
          <w:color w:val="000000"/>
          <w:lang w:val="es-ES_tradnl" w:eastAsia="es-ES_tradnl"/>
        </w:rPr>
        <w:t>es un acto previo que no genera manifestación de voluntad de la administración</w:t>
      </w:r>
      <w:r>
        <w:rPr>
          <w:rFonts w:ascii="Verdana" w:eastAsia="Calibri" w:hAnsi="Verdana" w:cs="Arial"/>
          <w:color w:val="000000"/>
          <w:lang w:val="es-ES_tradnl" w:eastAsia="es-ES_tradnl"/>
        </w:rPr>
        <w:t xml:space="preserve"> que produce efectos jurídicos</w:t>
      </w:r>
      <w:r w:rsidRPr="0094595D">
        <w:rPr>
          <w:rFonts w:ascii="Verdana" w:eastAsia="Calibri" w:hAnsi="Verdana" w:cs="Arial"/>
          <w:color w:val="000000"/>
          <w:lang w:val="es-ES_tradnl" w:eastAsia="es-ES_tradnl"/>
        </w:rPr>
        <w:t xml:space="preserve">. Es decir, no constituye un acto administrativo propiamente dicho, sino que hace parte de las actuaciones previas a la expedición del acto administrativo mediante el cual se adopta el pliego de condiciones definitivo. </w:t>
      </w:r>
    </w:p>
    <w:p w14:paraId="5753D604" w14:textId="77777777" w:rsidR="00767021" w:rsidRPr="004534BE" w:rsidRDefault="00767021" w:rsidP="00767021">
      <w:pPr>
        <w:spacing w:after="120" w:line="276" w:lineRule="auto"/>
        <w:ind w:firstLine="708"/>
        <w:jc w:val="both"/>
        <w:rPr>
          <w:rFonts w:ascii="Verdana" w:eastAsia="Calibri" w:hAnsi="Verdana" w:cs="Arial"/>
          <w:color w:val="000000"/>
          <w:lang w:val="es-ES" w:eastAsia="es-ES"/>
        </w:rPr>
      </w:pPr>
      <w:r w:rsidRPr="3506CBA5">
        <w:rPr>
          <w:rFonts w:ascii="Verdana" w:eastAsia="Calibri" w:hAnsi="Verdana" w:cs="Arial"/>
          <w:color w:val="000000" w:themeColor="text1"/>
          <w:lang w:val="es-ES" w:eastAsia="es-ES"/>
        </w:rPr>
        <w:t xml:space="preserve">El proyecto de pliego de condiciones como acto de trámite o preparatorio tiene como propósito preparar o encaminar el proceso hacia la expedición del acto administrativo que en este caso es el pliego de condiciones definitivo, por tanto, no genera efectos jurídicos ni crea derechos adquiridos para los posibles oferentes. En consecuencia, es posible que derivado de respuestas a observaciones al proyecto de pliego de condiciones o a </w:t>
      </w:r>
      <w:r w:rsidRPr="00EE441C">
        <w:rPr>
          <w:rFonts w:ascii="Verdana" w:eastAsia="Calibri" w:hAnsi="Verdana" w:cs="Arial"/>
          <w:i/>
          <w:iCs/>
          <w:color w:val="000000" w:themeColor="text1"/>
          <w:lang w:val="es-ES" w:eastAsia="es-ES"/>
        </w:rPr>
        <w:t>motu propio</w:t>
      </w:r>
      <w:r w:rsidRPr="3506CBA5">
        <w:rPr>
          <w:rFonts w:ascii="Verdana" w:eastAsia="Calibri" w:hAnsi="Verdana" w:cs="Arial"/>
          <w:color w:val="000000" w:themeColor="text1"/>
          <w:lang w:val="es-ES" w:eastAsia="es-ES"/>
        </w:rPr>
        <w:t xml:space="preserve"> la entidad ajuste condiciones o valores del presupuesto estimado, de modo que la disminución del monto inicialmente previsto resulta posible, siempre que se justifique con claridad y se garantice la transparencia frente a los interesados. En este escenario, la variación no afecta la validez del proceso, siempre que la cuantía continúe correspondiendo al mismo tipo de procedimiento y no se vulneren la libre concurrencia, la igualdad y la selección objetiva.</w:t>
      </w:r>
    </w:p>
    <w:p w14:paraId="46463557" w14:textId="77777777" w:rsidR="00767021" w:rsidRPr="0021078C" w:rsidRDefault="00767021" w:rsidP="00767021">
      <w:pPr>
        <w:spacing w:after="120" w:line="276" w:lineRule="auto"/>
        <w:ind w:firstLine="708"/>
        <w:jc w:val="both"/>
        <w:rPr>
          <w:rFonts w:ascii="Verdana" w:eastAsia="Calibri" w:hAnsi="Verdana" w:cs="Arial"/>
          <w:color w:val="000000"/>
          <w:lang w:val="es-ES_tradnl" w:eastAsia="es-ES_tradnl"/>
        </w:rPr>
      </w:pPr>
      <w:r w:rsidRPr="004534BE">
        <w:rPr>
          <w:rFonts w:ascii="Verdana" w:eastAsia="Calibri" w:hAnsi="Verdana" w:cs="Arial"/>
          <w:color w:val="000000"/>
          <w:lang w:val="es-ES_tradnl" w:eastAsia="es-ES_tradnl"/>
        </w:rPr>
        <w:t xml:space="preserve">No obstante, si la reducción del presupuesto implica un cambio sustancial en la modalidad de selección —por ejemplo, pasar </w:t>
      </w:r>
      <w:r>
        <w:rPr>
          <w:rFonts w:ascii="Verdana" w:eastAsia="Calibri" w:hAnsi="Verdana" w:cs="Arial"/>
          <w:color w:val="000000"/>
          <w:lang w:val="es-ES_tradnl" w:eastAsia="es-ES_tradnl"/>
        </w:rPr>
        <w:t>de selección abreviada a mínima cuantía</w:t>
      </w:r>
      <w:r w:rsidRPr="004534BE">
        <w:rPr>
          <w:rFonts w:ascii="Verdana" w:eastAsia="Calibri" w:hAnsi="Verdana" w:cs="Arial"/>
          <w:color w:val="000000"/>
          <w:lang w:val="es-ES_tradnl" w:eastAsia="es-ES_tradnl"/>
        </w:rPr>
        <w:t xml:space="preserve">— o altera de manera significativa las condiciones de participación, la Entidad no puede continuar con el mismo proceso. En tal caso, debe </w:t>
      </w:r>
      <w:r>
        <w:rPr>
          <w:rFonts w:ascii="Verdana" w:eastAsia="Calibri" w:hAnsi="Verdana" w:cs="Arial"/>
          <w:color w:val="000000"/>
          <w:lang w:val="es-ES_tradnl" w:eastAsia="es-ES_tradnl"/>
        </w:rPr>
        <w:t xml:space="preserve">revocar el proceso de contratación </w:t>
      </w:r>
      <w:r w:rsidRPr="004534BE">
        <w:rPr>
          <w:rFonts w:ascii="Verdana" w:eastAsia="Calibri" w:hAnsi="Verdana" w:cs="Arial"/>
          <w:color w:val="000000"/>
          <w:lang w:val="es-ES_tradnl" w:eastAsia="es-ES_tradnl"/>
        </w:rPr>
        <w:t>y a</w:t>
      </w:r>
      <w:r>
        <w:rPr>
          <w:rFonts w:ascii="Verdana" w:eastAsia="Calibri" w:hAnsi="Verdana" w:cs="Arial"/>
          <w:color w:val="000000"/>
          <w:lang w:val="es-ES_tradnl" w:eastAsia="es-ES_tradnl"/>
        </w:rPr>
        <w:t>delantar</w:t>
      </w:r>
      <w:r w:rsidRPr="004534BE">
        <w:rPr>
          <w:rFonts w:ascii="Verdana" w:eastAsia="Calibri" w:hAnsi="Verdana" w:cs="Arial"/>
          <w:color w:val="000000"/>
          <w:lang w:val="es-ES_tradnl" w:eastAsia="es-ES_tradnl"/>
        </w:rPr>
        <w:t xml:space="preserve"> un</w:t>
      </w:r>
      <w:r>
        <w:rPr>
          <w:rFonts w:ascii="Verdana" w:eastAsia="Calibri" w:hAnsi="Verdana" w:cs="Arial"/>
          <w:color w:val="000000"/>
          <w:lang w:val="es-ES_tradnl" w:eastAsia="es-ES_tradnl"/>
        </w:rPr>
        <w:t xml:space="preserve"> nuevo proceso</w:t>
      </w:r>
      <w:r w:rsidRPr="004534BE">
        <w:rPr>
          <w:rFonts w:ascii="Verdana" w:eastAsia="Calibri" w:hAnsi="Verdana" w:cs="Arial"/>
          <w:color w:val="000000"/>
          <w:lang w:val="es-ES_tradnl" w:eastAsia="es-ES_tradnl"/>
        </w:rPr>
        <w:t xml:space="preserve"> con el valor ajustado, asegurando que los oferentes participen bajo reglas claras y coherentes con la normativa vigente</w:t>
      </w:r>
      <w:r>
        <w:rPr>
          <w:rFonts w:ascii="Verdana" w:eastAsia="Calibri" w:hAnsi="Verdana" w:cs="Arial"/>
          <w:color w:val="000000"/>
          <w:lang w:val="es-ES_tradnl" w:eastAsia="es-ES_tradnl"/>
        </w:rPr>
        <w:t xml:space="preserve">, que rige el proceso de selección respectivo. </w:t>
      </w:r>
    </w:p>
    <w:p w14:paraId="0E7914F0" w14:textId="77777777" w:rsidR="00767021" w:rsidRPr="00C10179" w:rsidRDefault="00767021" w:rsidP="00767021">
      <w:pPr>
        <w:spacing w:after="12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bidi="es-ES"/>
        </w:rPr>
        <w:lastRenderedPageBreak/>
        <w:t>Sin perjuicio de lo anterior,</w:t>
      </w:r>
      <w:r>
        <w:rPr>
          <w:rFonts w:ascii="Verdana" w:eastAsia="Calibri" w:hAnsi="Verdana" w:cs="Arial"/>
          <w:color w:val="000000"/>
          <w:lang w:val="es-ES" w:eastAsia="es-ES_tradnl" w:bidi="es-ES"/>
        </w:rPr>
        <w:t xml:space="preserve"> publicado el pliego de condiciones definitivo</w:t>
      </w:r>
      <w:r w:rsidRPr="00C10179">
        <w:rPr>
          <w:rFonts w:ascii="Verdana" w:eastAsia="Calibri" w:hAnsi="Verdana" w:cs="Arial"/>
          <w:color w:val="000000"/>
          <w:lang w:val="es-ES" w:eastAsia="es-ES_tradnl"/>
        </w:rPr>
        <w:t xml:space="preserve"> puede ocurrir que surja la necesidad de efectuar correcciones, aclaraciones o modificaciones a </w:t>
      </w:r>
      <w:r>
        <w:rPr>
          <w:rFonts w:ascii="Verdana" w:eastAsia="Calibri" w:hAnsi="Verdana" w:cs="Arial"/>
          <w:color w:val="000000"/>
          <w:lang w:val="es-ES" w:eastAsia="es-ES_tradnl"/>
        </w:rPr>
        <w:t>estos</w:t>
      </w:r>
      <w:r w:rsidRPr="00C10179">
        <w:rPr>
          <w:rFonts w:ascii="Verdana" w:eastAsia="Calibri" w:hAnsi="Verdana" w:cs="Arial"/>
          <w:color w:val="000000"/>
          <w:lang w:val="es-ES" w:eastAsia="es-ES_tradnl"/>
        </w:rPr>
        <w:t>, bien sea porque las mismas tienen origen en necesidades identificadas por la entidad contratante o como consecuencia de observaciones realizadas por los interesados en el procedimiento de selección</w:t>
      </w:r>
      <w:r>
        <w:rPr>
          <w:rFonts w:ascii="Verdana" w:eastAsia="Calibri" w:hAnsi="Verdana" w:cs="Arial"/>
          <w:color w:val="000000"/>
          <w:lang w:val="es-ES" w:eastAsia="es-ES_tradnl"/>
        </w:rPr>
        <w:t xml:space="preserve">. </w:t>
      </w:r>
      <w:r w:rsidRPr="00C10179">
        <w:rPr>
          <w:rFonts w:ascii="Verdana" w:eastAsia="Calibri" w:hAnsi="Verdana" w:cs="Arial"/>
          <w:color w:val="000000"/>
          <w:lang w:val="es-ES" w:eastAsia="es-ES_tradnl"/>
        </w:rPr>
        <w:t>De</w:t>
      </w:r>
      <w:r>
        <w:rPr>
          <w:rFonts w:ascii="Verdana" w:eastAsia="Calibri" w:hAnsi="Verdana" w:cs="Arial"/>
          <w:color w:val="000000"/>
          <w:lang w:val="es-ES" w:eastAsia="es-ES_tradnl"/>
        </w:rPr>
        <w:t xml:space="preserve"> esta</w:t>
      </w:r>
      <w:r w:rsidRPr="00C10179">
        <w:rPr>
          <w:rFonts w:ascii="Verdana" w:eastAsia="Calibri" w:hAnsi="Verdana" w:cs="Arial"/>
          <w:color w:val="000000"/>
          <w:lang w:val="es-ES" w:eastAsia="es-ES_tradnl"/>
        </w:rPr>
        <w:t xml:space="preserve"> manera, pese a la planeación previa y el cumplimiento de las disposiciones normativas aplicables, es posible que sea necesario modificar el pliego de condici</w:t>
      </w:r>
      <w:r>
        <w:rPr>
          <w:rFonts w:ascii="Verdana" w:eastAsia="Calibri" w:hAnsi="Verdana" w:cs="Arial"/>
          <w:color w:val="000000"/>
          <w:lang w:val="es-ES" w:eastAsia="es-ES_tradnl"/>
        </w:rPr>
        <w:t>ones</w:t>
      </w:r>
      <w:r w:rsidRPr="00C10179">
        <w:rPr>
          <w:rFonts w:ascii="Verdana" w:eastAsia="Calibri" w:hAnsi="Verdana" w:cs="Arial"/>
          <w:color w:val="000000"/>
          <w:lang w:val="es-ES" w:eastAsia="es-ES_tradnl"/>
        </w:rPr>
        <w:t>.</w:t>
      </w:r>
    </w:p>
    <w:p w14:paraId="5624F5DB" w14:textId="77777777" w:rsidR="00767021" w:rsidRPr="00C10179" w:rsidRDefault="00767021" w:rsidP="00767021">
      <w:pPr>
        <w:spacing w:after="120" w:line="276" w:lineRule="auto"/>
        <w:ind w:firstLine="708"/>
        <w:jc w:val="both"/>
        <w:rPr>
          <w:rFonts w:ascii="Verdana" w:eastAsia="Calibri" w:hAnsi="Verdana" w:cs="Arial"/>
          <w:i/>
          <w:color w:val="000000"/>
          <w:lang w:val="es-ES" w:eastAsia="es-ES_tradnl"/>
        </w:rPr>
      </w:pPr>
      <w:r>
        <w:rPr>
          <w:rFonts w:ascii="Verdana" w:eastAsia="Calibri" w:hAnsi="Verdana" w:cs="Arial"/>
          <w:color w:val="000000"/>
          <w:lang w:val="es-ES" w:eastAsia="es-ES_tradnl"/>
        </w:rPr>
        <w:t>Así</w:t>
      </w:r>
      <w:r w:rsidRPr="00C10179">
        <w:rPr>
          <w:rFonts w:ascii="Verdana" w:eastAsia="Calibri" w:hAnsi="Verdana" w:cs="Arial"/>
          <w:color w:val="000000"/>
          <w:lang w:val="es-ES" w:eastAsia="es-ES_tradnl"/>
        </w:rPr>
        <w:t xml:space="preserve">,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C10179">
        <w:rPr>
          <w:rFonts w:ascii="Verdana" w:eastAsia="Calibri" w:hAnsi="Verdana" w:cs="Arial"/>
          <w:i/>
          <w:iCs/>
          <w:color w:val="000000"/>
          <w:lang w:val="es-ES" w:eastAsia="es-ES_tradnl"/>
        </w:rPr>
        <w:t>adendas</w:t>
      </w:r>
      <w:r w:rsidRPr="00C10179">
        <w:rPr>
          <w:rFonts w:ascii="Verdana" w:eastAsia="Calibri" w:hAnsi="Verdana" w:cs="Arial"/>
          <w:i/>
          <w:color w:val="000000"/>
          <w:lang w:val="es-ES" w:eastAsia="es-ES_tradnl"/>
        </w:rPr>
        <w:t xml:space="preserve">. </w:t>
      </w:r>
    </w:p>
    <w:p w14:paraId="62F8B503" w14:textId="77777777" w:rsidR="00767021" w:rsidRPr="00C10179" w:rsidRDefault="00767021" w:rsidP="00767021">
      <w:pPr>
        <w:spacing w:after="120" w:line="276" w:lineRule="auto"/>
        <w:ind w:firstLine="708"/>
        <w:jc w:val="both"/>
        <w:rPr>
          <w:rFonts w:ascii="Verdana" w:eastAsia="Calibri" w:hAnsi="Verdana" w:cs="Arial"/>
          <w:color w:val="000000"/>
          <w:lang w:val="es-ES" w:eastAsia="es-ES_tradnl"/>
        </w:rPr>
      </w:pPr>
      <w:r>
        <w:rPr>
          <w:rFonts w:ascii="Verdana" w:eastAsia="Calibri" w:hAnsi="Verdana" w:cs="Arial"/>
          <w:iCs/>
          <w:color w:val="000000"/>
          <w:lang w:val="es-ES" w:eastAsia="es-ES_tradnl"/>
        </w:rPr>
        <w:t>C</w:t>
      </w:r>
      <w:r w:rsidRPr="00C10179">
        <w:rPr>
          <w:rFonts w:ascii="Verdana" w:eastAsia="Calibri" w:hAnsi="Verdana" w:cs="Arial"/>
          <w:color w:val="000000"/>
          <w:lang w:val="es-ES" w:eastAsia="es-ES_tradnl"/>
        </w:rPr>
        <w:t xml:space="preserve">omo lo ha reconocido la jurisprudencia del Consejo de Estado, dichas modificaciones pueden realizarse por medio de cualquier otro documento que contenga la manifestación de voluntad de la entidad de aclarar, añadir, adicionar, reemplazar o cambiar un aspecto o condición incluida en los documentos del procedimiento de contratación, con independencia de que dicho documento sea titulado o rotulado como </w:t>
      </w:r>
      <w:r w:rsidRPr="00C10179">
        <w:rPr>
          <w:rFonts w:ascii="Verdana" w:eastAsia="Calibri" w:hAnsi="Verdana" w:cs="Arial"/>
          <w:i/>
          <w:iCs/>
          <w:color w:val="000000"/>
          <w:lang w:val="es-ES" w:eastAsia="es-ES_tradnl"/>
        </w:rPr>
        <w:t>adenda</w:t>
      </w:r>
      <w:r w:rsidRPr="00C10179">
        <w:rPr>
          <w:rFonts w:ascii="Verdana" w:eastAsia="Calibri" w:hAnsi="Verdana" w:cs="Arial"/>
          <w:color w:val="000000"/>
          <w:lang w:val="es-ES" w:eastAsia="es-ES_tradnl"/>
        </w:rPr>
        <w:t xml:space="preserve">, </w:t>
      </w:r>
      <w:r w:rsidRPr="00C10179">
        <w:rPr>
          <w:rFonts w:ascii="Verdana" w:eastAsia="Calibri" w:hAnsi="Verdana" w:cs="Arial"/>
          <w:color w:val="000000"/>
          <w:lang w:val="es-ES" w:eastAsia="es-ES_tradnl" w:bidi="es-ES"/>
        </w:rPr>
        <w:t>siempre que mediante dicho documento se modifiquen los pliegos de condiciones</w:t>
      </w:r>
      <w:r w:rsidRPr="00C10179">
        <w:rPr>
          <w:rFonts w:ascii="Verdana" w:eastAsia="Calibri" w:hAnsi="Verdana" w:cs="Arial"/>
          <w:color w:val="000000"/>
          <w:vertAlign w:val="superscript"/>
          <w:lang w:val="es-ES" w:eastAsia="es-ES_tradnl"/>
        </w:rPr>
        <w:footnoteReference w:id="6"/>
      </w:r>
      <w:r w:rsidRPr="00C10179">
        <w:rPr>
          <w:rFonts w:ascii="Verdana" w:eastAsia="Calibri" w:hAnsi="Verdana" w:cs="Arial"/>
          <w:color w:val="000000"/>
          <w:lang w:val="es-ES" w:eastAsia="es-ES_tradnl"/>
        </w:rPr>
        <w:t>.</w:t>
      </w:r>
    </w:p>
    <w:p w14:paraId="7A4527DA" w14:textId="77777777" w:rsidR="00767021" w:rsidRPr="007C5BAF" w:rsidRDefault="00767021" w:rsidP="00767021">
      <w:pPr>
        <w:spacing w:after="120" w:line="276" w:lineRule="auto"/>
        <w:ind w:firstLine="708"/>
        <w:jc w:val="both"/>
        <w:rPr>
          <w:rFonts w:ascii="Verdana" w:eastAsia="Calibri" w:hAnsi="Verdana" w:cs="Arial"/>
          <w:color w:val="000000"/>
          <w:lang w:val="es-ES" w:eastAsia="es-ES_tradnl"/>
        </w:rPr>
      </w:pPr>
      <w:r>
        <w:rPr>
          <w:rFonts w:ascii="Verdana" w:eastAsia="Calibri" w:hAnsi="Verdana" w:cs="Arial"/>
          <w:color w:val="000000"/>
          <w:lang w:val="es-ES" w:eastAsia="es-ES_tradnl"/>
        </w:rPr>
        <w:lastRenderedPageBreak/>
        <w:t>Ahora bien</w:t>
      </w:r>
      <w:r w:rsidRPr="00C10179">
        <w:rPr>
          <w:rFonts w:ascii="Verdana" w:eastAsia="Calibri" w:hAnsi="Verdana" w:cs="Arial"/>
          <w:color w:val="000000"/>
          <w:lang w:val="es-ES" w:eastAsia="es-ES_tradnl"/>
        </w:rPr>
        <w:t>,</w:t>
      </w:r>
      <w:r>
        <w:rPr>
          <w:rFonts w:ascii="Verdana" w:eastAsia="Calibri" w:hAnsi="Verdana" w:cs="Arial"/>
          <w:color w:val="000000"/>
          <w:lang w:val="es-ES" w:eastAsia="es-ES_tradnl"/>
        </w:rPr>
        <w:t xml:space="preserve"> debe señalarse que,</w:t>
      </w:r>
      <w:r w:rsidRPr="00C10179">
        <w:rPr>
          <w:rFonts w:ascii="Verdana" w:eastAsia="Calibri" w:hAnsi="Verdana" w:cs="Arial"/>
          <w:color w:val="000000"/>
          <w:lang w:val="es-ES" w:eastAsia="es-ES_tradnl"/>
        </w:rPr>
        <w:t xml:space="preserve"> </w:t>
      </w:r>
      <w:r>
        <w:rPr>
          <w:rFonts w:ascii="Verdana" w:eastAsia="Calibri" w:hAnsi="Verdana" w:cs="Arial"/>
          <w:color w:val="000000"/>
          <w:lang w:val="es-ES" w:eastAsia="es-ES_tradnl"/>
        </w:rPr>
        <w:t xml:space="preserve">en el Estatuto General de Contratación de la Administración Pública, así como en las normas que lo reglamentan, no se regula un término para la presentación de observaciones al pliego de condiciones definitivo, </w:t>
      </w:r>
      <w:r w:rsidRPr="00A1638A">
        <w:rPr>
          <w:rFonts w:ascii="Verdana" w:eastAsia="Calibri" w:hAnsi="Verdana" w:cs="Arial"/>
          <w:color w:val="000000"/>
          <w:lang w:eastAsia="es-ES_tradnl"/>
        </w:rPr>
        <w:t xml:space="preserve">salvo en la licitación pública, proceso en el cual a petición o solicitud de parte o de al menos uno de los interesados, dentro de los tres (3) días hábiles siguientes al inicio del término para la presentación de propuestas se realizará una audiencia con el propósito de precisar el contenido y alcance de los pliegos de condiciones. Este asunto, de conformidad el artículo 2.2.1.2.1.1.2 del Decreto 1082 de 2015, se abordará y resolverá en la audiencia de asignación de riesgos de que trata el artículo 4 de la Ley 1150 de 2007. Por tanto, las observaciones presentadas o solicitudes de aclaraciones realizadas al pliego de condiciones en la audiencia de asignación de riesgos deberán ser resueltas por la entidad estatal en esa misma diligencia.  </w:t>
      </w:r>
    </w:p>
    <w:p w14:paraId="4A16C863" w14:textId="77777777" w:rsidR="00767021" w:rsidRPr="00172CFC" w:rsidRDefault="00767021" w:rsidP="00767021">
      <w:pPr>
        <w:spacing w:after="120" w:line="276" w:lineRule="auto"/>
        <w:ind w:firstLine="708"/>
        <w:jc w:val="both"/>
        <w:rPr>
          <w:rFonts w:ascii="Verdana" w:eastAsia="Calibri" w:hAnsi="Verdana" w:cs="Arial"/>
          <w:color w:val="000000"/>
          <w:lang w:eastAsia="es-ES_tradnl"/>
        </w:rPr>
      </w:pPr>
      <w:r w:rsidRPr="00172CFC">
        <w:rPr>
          <w:rFonts w:ascii="Verdana" w:eastAsia="Calibri" w:hAnsi="Verdana" w:cs="Arial"/>
          <w:color w:val="000000"/>
          <w:lang w:eastAsia="es-ES_tradnl"/>
        </w:rPr>
        <w:t>Pese a lo anterior, es preciso señalar que las entidades estatales con la apertura del proceso de selección están en la obligación de publicar el cronograma del mismo, el cual es definido como el “Documento en el cual la Entidad Estatal establece las fechas, horas y plazos para las actividades propias del Proceso de Contratación y el lugar en el que estas deben llevarse a cabo”</w:t>
      </w:r>
      <w:r w:rsidRPr="00172CFC">
        <w:rPr>
          <w:rFonts w:ascii="Verdana" w:eastAsia="Calibri" w:hAnsi="Verdana" w:cs="Arial"/>
          <w:color w:val="000000"/>
          <w:vertAlign w:val="superscript"/>
          <w:lang w:eastAsia="es-ES_tradnl"/>
        </w:rPr>
        <w:footnoteReference w:id="7"/>
      </w:r>
      <w:r w:rsidRPr="00172CFC">
        <w:rPr>
          <w:rFonts w:ascii="Verdana" w:eastAsia="Calibri" w:hAnsi="Verdana" w:cs="Arial"/>
          <w:color w:val="000000"/>
          <w:lang w:eastAsia="es-ES_tradnl"/>
        </w:rPr>
        <w:t>. En el cronograma, la entidad estatal debe contemplar un término o plazo para la presentación de observaciones y/o aclaraciones al pliego de condiciones definitivo, al igual que un plazo para responder esas solicitudes, inclusive en el proceso de licitación.</w:t>
      </w:r>
      <w:r>
        <w:rPr>
          <w:rFonts w:ascii="Verdana" w:eastAsia="Calibri" w:hAnsi="Verdana" w:cs="Arial"/>
          <w:color w:val="000000"/>
          <w:lang w:eastAsia="es-ES_tradnl"/>
        </w:rPr>
        <w:t xml:space="preserve"> </w:t>
      </w:r>
      <w:r w:rsidRPr="00172CFC">
        <w:rPr>
          <w:rFonts w:ascii="Verdana" w:eastAsia="Calibri" w:hAnsi="Verdana" w:cs="Arial"/>
          <w:color w:val="000000"/>
          <w:lang w:eastAsia="es-ES_tradnl"/>
        </w:rPr>
        <w:t xml:space="preserve">Así las cosas, el pronunciamiento sobre las observaciones y/o solicitudes de aclaraciones al pliego de condiciones definitivo debe efectuarse </w:t>
      </w:r>
      <w:r w:rsidRPr="00172CFC">
        <w:rPr>
          <w:rFonts w:ascii="Verdana" w:eastAsia="Calibri" w:hAnsi="Verdana" w:cs="Arial"/>
          <w:color w:val="000000"/>
          <w:lang w:eastAsia="es-ES_tradnl"/>
        </w:rPr>
        <w:lastRenderedPageBreak/>
        <w:t xml:space="preserve">antes del vencimiento del plazo establecido en el cronograma para la presentación de las propuestas u ofertas por parte de los interesados. </w:t>
      </w:r>
      <w:r w:rsidRPr="00CE3FF9">
        <w:rPr>
          <w:rFonts w:ascii="Verdana" w:eastAsia="Calibri" w:hAnsi="Verdana" w:cs="Arial"/>
          <w:color w:val="000000"/>
          <w:lang w:eastAsia="es-ES_tradnl"/>
        </w:rPr>
        <w:t xml:space="preserve">Por tanto, en cumplimiento de la obligación de responder las observaciones mediante comunicación escrita, debe remitirla al interesado y publicarla en el SECOP para conocimiento público, por lo que la entidad estatal puede materializar una modificación al pliego de condiciones. En dicho evento, la voluntad modificatoria de la entidad debe expresarse de manera clara, de forma tal que se garanticen los principios de transparencia y publicidad. De este modo, las modificaciones al pliego de condiciones definitivos deben hacerse de forma oportuna, con el fin de garantizar los principios de buena fe y confianza legítima, en el sentido de brindar la posibilidad al tercero interesado de presentar la propuesta teniendo en cuenta con un tiempo prudente las reglas establecidas en el pliego y sus modificaciones manifestadas. </w:t>
      </w:r>
    </w:p>
    <w:p w14:paraId="671250E9" w14:textId="77777777" w:rsidR="00767021" w:rsidRPr="002C4C4C" w:rsidRDefault="00767021" w:rsidP="00767021">
      <w:pPr>
        <w:spacing w:after="120" w:line="276" w:lineRule="auto"/>
        <w:ind w:firstLine="708"/>
        <w:jc w:val="both"/>
        <w:rPr>
          <w:rFonts w:ascii="Verdana" w:eastAsia="Calibri" w:hAnsi="Verdana" w:cs="Arial"/>
          <w:color w:val="000000"/>
          <w:lang w:eastAsia="es-ES_tradnl"/>
        </w:rPr>
      </w:pPr>
      <w:r w:rsidRPr="00172CFC">
        <w:rPr>
          <w:rFonts w:ascii="Verdana" w:eastAsia="Calibri" w:hAnsi="Verdana" w:cs="Arial"/>
          <w:color w:val="000000"/>
          <w:lang w:eastAsia="es-ES_tradnl"/>
        </w:rPr>
        <w:t>Esto en consideración a que, conforme al numeral 6 del artículo 30 de la Ley 80 de 1993, la propuesta debe ajustarse a todos los puntos determinados en el pliego de condiciones</w:t>
      </w:r>
      <w:r w:rsidRPr="00172CFC">
        <w:rPr>
          <w:rFonts w:ascii="Verdana" w:eastAsia="Calibri" w:hAnsi="Verdana" w:cs="Arial"/>
          <w:color w:val="000000"/>
          <w:vertAlign w:val="superscript"/>
          <w:lang w:eastAsia="es-ES_tradnl"/>
        </w:rPr>
        <w:footnoteReference w:id="8"/>
      </w:r>
      <w:r w:rsidRPr="00172CFC">
        <w:rPr>
          <w:rFonts w:ascii="Verdana" w:eastAsia="Calibri" w:hAnsi="Verdana" w:cs="Arial"/>
          <w:color w:val="000000"/>
          <w:lang w:eastAsia="es-ES_tradnl"/>
        </w:rPr>
        <w:t xml:space="preserve">. </w:t>
      </w:r>
      <w:r w:rsidRPr="00172CFC">
        <w:rPr>
          <w:rFonts w:ascii="Verdana" w:eastAsia="Calibri" w:hAnsi="Verdana" w:cs="Arial"/>
          <w:i/>
          <w:iCs/>
          <w:color w:val="000000"/>
          <w:lang w:eastAsia="es-ES_tradnl"/>
        </w:rPr>
        <w:t>Contrario sensu,</w:t>
      </w:r>
      <w:r w:rsidRPr="00172CFC">
        <w:rPr>
          <w:rFonts w:ascii="Verdana" w:eastAsia="Calibri" w:hAnsi="Verdana" w:cs="Arial"/>
          <w:color w:val="000000"/>
          <w:lang w:eastAsia="es-ES_tradnl"/>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r>
        <w:rPr>
          <w:rFonts w:ascii="Verdana" w:eastAsia="Calibri" w:hAnsi="Verdana" w:cs="Arial"/>
          <w:color w:val="000000"/>
          <w:lang w:eastAsia="es-ES_tradnl"/>
        </w:rPr>
        <w:t xml:space="preserve"> </w:t>
      </w:r>
      <w:r w:rsidRPr="007607A1">
        <w:rPr>
          <w:rFonts w:ascii="Verdana" w:eastAsia="Calibri" w:hAnsi="Verdana" w:cs="Arial"/>
          <w:color w:val="000000"/>
          <w:lang w:val="es-ES" w:eastAsia="es-ES_tradnl"/>
        </w:rPr>
        <w:t xml:space="preserve">En </w:t>
      </w:r>
      <w:r>
        <w:rPr>
          <w:rFonts w:ascii="Verdana" w:eastAsia="Calibri" w:hAnsi="Verdana" w:cs="Arial"/>
          <w:color w:val="000000"/>
          <w:lang w:val="es-ES" w:eastAsia="es-ES_tradnl"/>
        </w:rPr>
        <w:t xml:space="preserve">este aspecto, </w:t>
      </w:r>
      <w:r w:rsidRPr="007607A1">
        <w:rPr>
          <w:rFonts w:ascii="Verdana" w:eastAsia="Calibri" w:hAnsi="Verdana" w:cs="Arial"/>
          <w:color w:val="000000"/>
          <w:lang w:val="es-ES" w:eastAsia="es-ES_tradnl"/>
        </w:rPr>
        <w:t xml:space="preserve">los plazos fijados para la publicación de adendas y la presentación de ofertas son de carácter preclusivo y perentorio. Esto </w:t>
      </w:r>
      <w:r>
        <w:rPr>
          <w:rFonts w:ascii="Verdana" w:eastAsia="Calibri" w:hAnsi="Verdana" w:cs="Arial"/>
          <w:color w:val="000000"/>
          <w:lang w:val="es-ES" w:eastAsia="es-ES_tradnl"/>
        </w:rPr>
        <w:t xml:space="preserve">implica </w:t>
      </w:r>
      <w:r w:rsidRPr="007607A1">
        <w:rPr>
          <w:rFonts w:ascii="Verdana" w:eastAsia="Calibri" w:hAnsi="Verdana" w:cs="Arial"/>
          <w:color w:val="000000"/>
          <w:lang w:val="es-ES" w:eastAsia="es-ES_tradnl"/>
        </w:rPr>
        <w:t xml:space="preserve">que, una vez vencido el término para introducir modificaciones a los pliegos de condiciones, la Entidad no puede alterar los documentos ni el cronograma sin afectar la seguridad jurídica y la igualdad de los oferentes. </w:t>
      </w:r>
    </w:p>
    <w:p w14:paraId="44B6D768" w14:textId="77777777" w:rsidR="00767021" w:rsidRPr="00B83652" w:rsidRDefault="00767021" w:rsidP="00767021">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val="es-ES" w:eastAsia="es-ES_tradnl"/>
        </w:rPr>
        <w:t>En este sentido, si se presentan</w:t>
      </w:r>
      <w:r w:rsidRPr="007607A1">
        <w:rPr>
          <w:rFonts w:ascii="Verdana" w:eastAsia="Calibri" w:hAnsi="Verdana" w:cs="Arial"/>
          <w:color w:val="000000"/>
          <w:lang w:val="es-ES" w:eastAsia="es-ES_tradnl"/>
        </w:rPr>
        <w:t xml:space="preserve"> observaciones extemporáneas</w:t>
      </w:r>
      <w:r>
        <w:rPr>
          <w:rFonts w:ascii="Verdana" w:eastAsia="Calibri" w:hAnsi="Verdana" w:cs="Arial"/>
          <w:color w:val="000000"/>
          <w:lang w:val="es-ES" w:eastAsia="es-ES_tradnl"/>
        </w:rPr>
        <w:t xml:space="preserve"> al pliego de condiciones definitivo</w:t>
      </w:r>
      <w:r w:rsidRPr="007607A1">
        <w:rPr>
          <w:rFonts w:ascii="Verdana" w:eastAsia="Calibri" w:hAnsi="Verdana" w:cs="Arial"/>
          <w:color w:val="000000"/>
          <w:lang w:val="es-ES" w:eastAsia="es-ES_tradnl"/>
        </w:rPr>
        <w:t xml:space="preserve">, aunque puedan resultar pertinentes, no pueden </w:t>
      </w:r>
      <w:r>
        <w:rPr>
          <w:rFonts w:ascii="Verdana" w:eastAsia="Calibri" w:hAnsi="Verdana" w:cs="Arial"/>
          <w:color w:val="000000"/>
          <w:lang w:val="es-ES" w:eastAsia="es-ES_tradnl"/>
        </w:rPr>
        <w:t xml:space="preserve">acogerse </w:t>
      </w:r>
      <w:r w:rsidRPr="007607A1">
        <w:rPr>
          <w:rFonts w:ascii="Verdana" w:eastAsia="Calibri" w:hAnsi="Verdana" w:cs="Arial"/>
          <w:color w:val="000000"/>
          <w:lang w:val="es-ES" w:eastAsia="es-ES_tradnl"/>
        </w:rPr>
        <w:t>mediante una simple adenda fuera de término.</w:t>
      </w:r>
      <w:r>
        <w:rPr>
          <w:rFonts w:ascii="Verdana" w:eastAsia="Calibri" w:hAnsi="Verdana" w:cs="Arial"/>
          <w:color w:val="000000"/>
          <w:lang w:val="es-ES" w:eastAsia="es-ES_tradnl"/>
        </w:rPr>
        <w:t xml:space="preserve"> La </w:t>
      </w:r>
      <w:r w:rsidRPr="007607A1">
        <w:rPr>
          <w:rFonts w:ascii="Verdana" w:eastAsia="Calibri" w:hAnsi="Verdana" w:cs="Arial"/>
          <w:color w:val="000000"/>
          <w:lang w:val="es-ES" w:eastAsia="es-ES_tradnl"/>
        </w:rPr>
        <w:t xml:space="preserve">Entidad </w:t>
      </w:r>
      <w:r>
        <w:rPr>
          <w:rFonts w:ascii="Verdana" w:eastAsia="Calibri" w:hAnsi="Verdana" w:cs="Arial"/>
          <w:color w:val="000000"/>
          <w:lang w:val="es-ES" w:eastAsia="es-ES_tradnl"/>
        </w:rPr>
        <w:t xml:space="preserve">si </w:t>
      </w:r>
      <w:r w:rsidRPr="007607A1">
        <w:rPr>
          <w:rFonts w:ascii="Verdana" w:eastAsia="Calibri" w:hAnsi="Verdana" w:cs="Arial"/>
          <w:color w:val="000000"/>
          <w:lang w:val="es-ES" w:eastAsia="es-ES_tradnl"/>
        </w:rPr>
        <w:t>considera necesario incorporar dichas observaciones</w:t>
      </w:r>
      <w:r>
        <w:rPr>
          <w:rFonts w:ascii="Verdana" w:eastAsia="Calibri" w:hAnsi="Verdana" w:cs="Arial"/>
          <w:color w:val="000000"/>
          <w:lang w:val="es-ES" w:eastAsia="es-ES_tradnl"/>
        </w:rPr>
        <w:t xml:space="preserve"> extemporáneas</w:t>
      </w:r>
      <w:r w:rsidRPr="007607A1">
        <w:rPr>
          <w:rFonts w:ascii="Verdana" w:eastAsia="Calibri" w:hAnsi="Verdana" w:cs="Arial"/>
          <w:color w:val="000000"/>
          <w:lang w:val="es-ES" w:eastAsia="es-ES_tradnl"/>
        </w:rPr>
        <w:t xml:space="preserve">, debe retrotraer la </w:t>
      </w:r>
      <w:r w:rsidRPr="007607A1">
        <w:rPr>
          <w:rFonts w:ascii="Verdana" w:eastAsia="Calibri" w:hAnsi="Verdana" w:cs="Arial"/>
          <w:color w:val="000000"/>
          <w:lang w:val="es-ES" w:eastAsia="es-ES_tradnl"/>
        </w:rPr>
        <w:lastRenderedPageBreak/>
        <w:t xml:space="preserve">actuación a la etapa de adendas, </w:t>
      </w:r>
      <w:r>
        <w:rPr>
          <w:rFonts w:ascii="Verdana" w:eastAsia="Calibri" w:hAnsi="Verdana" w:cs="Arial"/>
          <w:color w:val="000000"/>
          <w:lang w:val="es-ES" w:eastAsia="es-ES_tradnl"/>
        </w:rPr>
        <w:t>con la condición de que no se esté en e</w:t>
      </w:r>
      <w:r w:rsidRPr="00B83652">
        <w:rPr>
          <w:rFonts w:ascii="Verdana" w:eastAsia="Calibri" w:hAnsi="Verdana" w:cs="Arial"/>
          <w:color w:val="000000"/>
          <w:lang w:eastAsia="es-ES_tradnl"/>
        </w:rPr>
        <w:t>l plazo de la licitación</w:t>
      </w:r>
      <w:r>
        <w:rPr>
          <w:rFonts w:ascii="Verdana" w:eastAsia="Calibri" w:hAnsi="Verdana" w:cs="Arial"/>
          <w:color w:val="000000"/>
          <w:lang w:eastAsia="es-ES_tradnl"/>
        </w:rPr>
        <w:t xml:space="preserve">, </w:t>
      </w:r>
      <w:r w:rsidRPr="00B83652">
        <w:rPr>
          <w:rFonts w:ascii="Verdana" w:eastAsia="Calibri" w:hAnsi="Verdana" w:cs="Arial"/>
          <w:color w:val="000000"/>
          <w:lang w:eastAsia="es-ES_tradnl"/>
        </w:rPr>
        <w:t>entendido como el término que debe transcurrir entre la fecha a partir de la cual pueden presentar</w:t>
      </w:r>
      <w:r>
        <w:rPr>
          <w:rFonts w:ascii="Verdana" w:eastAsia="Calibri" w:hAnsi="Verdana" w:cs="Arial"/>
          <w:color w:val="000000"/>
          <w:lang w:eastAsia="es-ES_tradnl"/>
        </w:rPr>
        <w:t>se</w:t>
      </w:r>
      <w:r w:rsidRPr="00B83652">
        <w:rPr>
          <w:rFonts w:ascii="Verdana" w:eastAsia="Calibri" w:hAnsi="Verdana" w:cs="Arial"/>
          <w:color w:val="000000"/>
          <w:lang w:eastAsia="es-ES_tradnl"/>
        </w:rPr>
        <w:t xml:space="preserve"> propuestas y la de su cierre</w:t>
      </w:r>
      <w:r>
        <w:rPr>
          <w:rFonts w:ascii="Verdana" w:eastAsia="Calibri" w:hAnsi="Verdana" w:cs="Arial"/>
          <w:color w:val="000000"/>
          <w:lang w:eastAsia="es-ES_tradnl"/>
        </w:rPr>
        <w:t>. En torno a dicho plazo, el inciso segundo, numeral 5° de la Ley 80 de 1993, prescribe: “</w:t>
      </w:r>
      <w:r w:rsidRPr="00B83652">
        <w:rPr>
          <w:rFonts w:ascii="Verdana" w:eastAsia="Calibri" w:hAnsi="Verdana" w:cs="Arial"/>
          <w:color w:val="000000"/>
          <w:lang w:eastAsia="es-ES_tradnl"/>
        </w:rPr>
        <w:t>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del mismo. La publicación de estas adendas sólo se podrá realizar en días hábiles y horarios laborales</w:t>
      </w:r>
      <w:r>
        <w:rPr>
          <w:rFonts w:ascii="Verdana" w:eastAsia="Calibri" w:hAnsi="Verdana" w:cs="Arial"/>
          <w:color w:val="000000"/>
          <w:lang w:eastAsia="es-ES_tradnl"/>
        </w:rPr>
        <w:t>”</w:t>
      </w:r>
      <w:r w:rsidRPr="00B83652">
        <w:rPr>
          <w:rFonts w:ascii="Verdana" w:eastAsia="Calibri" w:hAnsi="Verdana" w:cs="Arial"/>
          <w:color w:val="000000"/>
          <w:lang w:eastAsia="es-ES_tradnl"/>
        </w:rPr>
        <w:t>.</w:t>
      </w:r>
      <w:r>
        <w:rPr>
          <w:rFonts w:ascii="Verdana" w:eastAsia="Calibri" w:hAnsi="Verdana" w:cs="Arial"/>
          <w:color w:val="000000"/>
          <w:lang w:eastAsia="es-ES_tradnl"/>
        </w:rPr>
        <w:t xml:space="preserve"> Al respecto, lo que se dispone en dicho inciso, se infiere que es posible mediante adendas ampliar el plazo de la licitación, pero no puede hacerse dentro de los tres días antes del cierre del proceso de selección ni siquiera para extender el plazo del mismo.  </w:t>
      </w:r>
    </w:p>
    <w:p w14:paraId="357285AD" w14:textId="77777777" w:rsidR="00767021" w:rsidRPr="00E9763E" w:rsidRDefault="00767021" w:rsidP="00767021">
      <w:pPr>
        <w:spacing w:after="120" w:line="276" w:lineRule="auto"/>
        <w:ind w:firstLine="708"/>
        <w:jc w:val="both"/>
        <w:rPr>
          <w:rFonts w:ascii="Verdana" w:eastAsia="Calibri" w:hAnsi="Verdana" w:cs="Arial"/>
          <w:color w:val="000000"/>
          <w:lang w:val="es-ES" w:eastAsia="es-ES_tradnl"/>
        </w:rPr>
      </w:pPr>
      <w:r w:rsidRPr="007607A1">
        <w:rPr>
          <w:rFonts w:ascii="Verdana" w:eastAsia="Calibri" w:hAnsi="Verdana" w:cs="Arial"/>
          <w:color w:val="000000"/>
          <w:lang w:val="es-ES" w:eastAsia="es-ES_tradnl"/>
        </w:rPr>
        <w:t xml:space="preserve">En los </w:t>
      </w:r>
      <w:r>
        <w:rPr>
          <w:rFonts w:ascii="Verdana" w:eastAsia="Calibri" w:hAnsi="Verdana" w:cs="Arial"/>
          <w:color w:val="000000"/>
          <w:lang w:val="es-ES" w:eastAsia="es-ES_tradnl"/>
        </w:rPr>
        <w:t xml:space="preserve">supuestos, </w:t>
      </w:r>
      <w:r w:rsidRPr="007607A1">
        <w:rPr>
          <w:rFonts w:ascii="Verdana" w:eastAsia="Calibri" w:hAnsi="Verdana" w:cs="Arial"/>
          <w:color w:val="000000"/>
          <w:lang w:val="es-ES" w:eastAsia="es-ES_tradnl"/>
        </w:rPr>
        <w:t>en que las modificaciones sean sustanciales y alteren de manera significativa el contenido del pliego</w:t>
      </w:r>
      <w:r>
        <w:rPr>
          <w:rFonts w:ascii="Verdana" w:eastAsia="Calibri" w:hAnsi="Verdana" w:cs="Arial"/>
          <w:color w:val="000000"/>
          <w:lang w:val="es-ES" w:eastAsia="es-ES_tradnl"/>
        </w:rPr>
        <w:t xml:space="preserve"> derivado de las observaciones extemporáneas al pliego de condiciones definitivo, la entidad debe considerar la posibilidad de revocar el proceso, sin perjuicio de los efectos jurídicos y situaciones que pueden presentarse en el caso concreto. </w:t>
      </w:r>
    </w:p>
    <w:p w14:paraId="057F0FF9" w14:textId="77777777" w:rsidR="00767021" w:rsidRDefault="00767021" w:rsidP="00767021">
      <w:pPr>
        <w:spacing w:after="120" w:line="276" w:lineRule="auto"/>
        <w:jc w:val="both"/>
        <w:rPr>
          <w:rFonts w:ascii="Verdana" w:eastAsia="Calibri" w:hAnsi="Verdana" w:cs="Arial"/>
          <w:color w:val="000000" w:themeColor="text1"/>
          <w:lang w:val="es-ES"/>
        </w:rPr>
      </w:pPr>
    </w:p>
    <w:p w14:paraId="769479ED" w14:textId="77777777" w:rsidR="00767021" w:rsidRPr="00B16AC6" w:rsidRDefault="00767021" w:rsidP="0076702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en torno a la procedencia de la expedición de adendas en etapas de la licitación </w:t>
      </w:r>
      <w:r w:rsidRPr="00B17041">
        <w:rPr>
          <w:rFonts w:ascii="Verdana" w:hAnsi="Verdana" w:cs="Arial"/>
          <w:lang w:val="es-ES_tradnl" w:eastAsia="es-ES"/>
        </w:rPr>
        <w:t xml:space="preserve">debe </w:t>
      </w:r>
      <w:r>
        <w:rPr>
          <w:rFonts w:ascii="Verdana" w:hAnsi="Verdana" w:cs="Arial"/>
          <w:lang w:val="es-ES_tradnl" w:eastAsia="es-ES"/>
        </w:rPr>
        <w:t xml:space="preserve">realizarse </w:t>
      </w:r>
      <w:r w:rsidRPr="00B17041">
        <w:rPr>
          <w:rFonts w:ascii="Verdana" w:hAnsi="Verdana" w:cs="Arial"/>
          <w:lang w:val="es-ES_tradnl" w:eastAsia="es-ES"/>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9167B53" w14:textId="77777777" w:rsidR="00767021" w:rsidRPr="00B17041" w:rsidRDefault="00767021" w:rsidP="00767021">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r w:rsidRPr="00485C44">
        <w:rPr>
          <w:rFonts w:ascii="Verdana" w:hAnsi="Verdana" w:cs="Arial"/>
          <w:lang w:val="es-ES" w:eastAsia="es-ES"/>
        </w:rPr>
        <w:t xml:space="preserve">la </w:t>
      </w:r>
      <w:r>
        <w:rPr>
          <w:rFonts w:ascii="Verdana" w:hAnsi="Verdana" w:cs="Arial"/>
          <w:lang w:val="es-ES" w:eastAsia="es-ES"/>
        </w:rPr>
        <w:t>entidad pública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w:t>
      </w:r>
      <w:r w:rsidRPr="00B17041">
        <w:rPr>
          <w:rFonts w:ascii="Verdana" w:hAnsi="Verdana" w:cs="Arial"/>
          <w:lang w:val="es-ES" w:eastAsia="es-ES"/>
        </w:rPr>
        <w:lastRenderedPageBreak/>
        <w:t>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E85ED4E" w14:textId="77777777" w:rsidR="00767021" w:rsidRPr="002C4C4C" w:rsidRDefault="00767021" w:rsidP="00767021">
      <w:pPr>
        <w:spacing w:after="0" w:line="276" w:lineRule="auto"/>
        <w:jc w:val="both"/>
        <w:rPr>
          <w:rFonts w:ascii="Verdana" w:eastAsia="Arial" w:hAnsi="Verdana" w:cs="Arial"/>
          <w:lang w:val="es-ES"/>
        </w:rPr>
      </w:pPr>
    </w:p>
    <w:p w14:paraId="62ED8E1E" w14:textId="77777777" w:rsidR="00767021" w:rsidRPr="00CE3FF9" w:rsidRDefault="00767021" w:rsidP="00767021">
      <w:pPr>
        <w:pStyle w:val="Prrafodelista"/>
        <w:numPr>
          <w:ilvl w:val="0"/>
          <w:numId w:val="24"/>
        </w:numPr>
        <w:spacing w:after="0" w:line="276" w:lineRule="auto"/>
        <w:rPr>
          <w:rFonts w:ascii="Verdana" w:eastAsia="Calibri" w:hAnsi="Verdana" w:cs="Times New Roman"/>
          <w:b/>
          <w:bCs/>
        </w:rPr>
      </w:pPr>
      <w:r w:rsidRPr="00CE3FF9">
        <w:rPr>
          <w:rFonts w:ascii="Verdana" w:eastAsia="Calibri" w:hAnsi="Verdana" w:cs="Times New Roman"/>
          <w:b/>
          <w:bCs/>
        </w:rPr>
        <w:t>Referencias normativas, jurisprudenciales y otras fuentes:</w:t>
      </w:r>
    </w:p>
    <w:p w14:paraId="4E720B5C" w14:textId="77777777" w:rsidR="00767021" w:rsidRDefault="00767021" w:rsidP="0076702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7021" w:rsidRPr="00737E63" w14:paraId="051F886E" w14:textId="77777777" w:rsidTr="006D3373">
        <w:trPr>
          <w:trHeight w:val="487"/>
          <w:jc w:val="center"/>
        </w:trPr>
        <w:tc>
          <w:tcPr>
            <w:tcW w:w="8647" w:type="dxa"/>
          </w:tcPr>
          <w:p w14:paraId="082AA8EF" w14:textId="77777777" w:rsidR="00767021" w:rsidRDefault="00767021" w:rsidP="006D3373">
            <w:pPr>
              <w:pStyle w:val="Prrafodelista"/>
              <w:rPr>
                <w:rFonts w:ascii="Verdana" w:hAnsi="Verdana" w:cs="Arial"/>
              </w:rPr>
            </w:pPr>
          </w:p>
          <w:p w14:paraId="679F8A80" w14:textId="77777777" w:rsidR="00767021" w:rsidRPr="006A0256" w:rsidRDefault="00767021" w:rsidP="00767021">
            <w:pPr>
              <w:pStyle w:val="Prrafodelista"/>
              <w:numPr>
                <w:ilvl w:val="0"/>
                <w:numId w:val="17"/>
              </w:numPr>
              <w:spacing w:after="120" w:line="276" w:lineRule="auto"/>
              <w:ind w:left="714" w:hanging="357"/>
              <w:contextualSpacing w:val="0"/>
              <w:jc w:val="both"/>
              <w:rPr>
                <w:rFonts w:ascii="Verdana" w:hAnsi="Verdana" w:cs="Arial"/>
              </w:rPr>
            </w:pPr>
            <w:r w:rsidRPr="00D207DB">
              <w:rPr>
                <w:rFonts w:ascii="Verdana" w:hAnsi="Verdana" w:cs="Arial"/>
              </w:rPr>
              <w:t>Ley 80 de 1993, artículo</w:t>
            </w:r>
            <w:r>
              <w:rPr>
                <w:rFonts w:ascii="Verdana" w:hAnsi="Verdana" w:cs="Arial"/>
              </w:rPr>
              <w:t xml:space="preserve">s 24.5. y 30. </w:t>
            </w:r>
          </w:p>
          <w:p w14:paraId="6E913ABF" w14:textId="77777777" w:rsidR="00767021" w:rsidRPr="006A0256" w:rsidRDefault="00767021" w:rsidP="00767021">
            <w:pPr>
              <w:pStyle w:val="Prrafodelista"/>
              <w:numPr>
                <w:ilvl w:val="0"/>
                <w:numId w:val="17"/>
              </w:numPr>
              <w:spacing w:after="120" w:line="276" w:lineRule="auto"/>
              <w:ind w:left="714" w:hanging="357"/>
              <w:contextualSpacing w:val="0"/>
              <w:jc w:val="both"/>
              <w:rPr>
                <w:rFonts w:ascii="Verdana" w:hAnsi="Verdana" w:cs="Arial"/>
              </w:rPr>
            </w:pPr>
            <w:r w:rsidRPr="00D207DB">
              <w:rPr>
                <w:rFonts w:ascii="Verdana" w:hAnsi="Verdana" w:cs="Arial"/>
                <w:lang w:val="es-CO"/>
              </w:rPr>
              <w:t xml:space="preserve">Decreto 1082 de 2015, </w:t>
            </w:r>
            <w:r w:rsidRPr="006A0256">
              <w:rPr>
                <w:rFonts w:ascii="Verdana" w:hAnsi="Verdana" w:cs="Arial"/>
                <w:lang w:val="es-CO"/>
              </w:rPr>
              <w:t>2.2.1.1.2.1.3., 2.2.1.1.1.3.1</w:t>
            </w:r>
            <w:r>
              <w:rPr>
                <w:rFonts w:ascii="Verdana" w:hAnsi="Verdana" w:cs="Arial"/>
                <w:lang w:val="es-CO"/>
              </w:rPr>
              <w:t xml:space="preserve">, </w:t>
            </w:r>
            <w:r w:rsidRPr="00E21939">
              <w:rPr>
                <w:rFonts w:ascii="Verdana" w:hAnsi="Verdana" w:cs="Arial"/>
                <w:lang w:val="es-CO"/>
              </w:rPr>
              <w:t>2.2.1.2.1.1.2</w:t>
            </w:r>
          </w:p>
          <w:p w14:paraId="5487A0F4" w14:textId="77777777" w:rsidR="00767021" w:rsidRPr="006A0256" w:rsidRDefault="00767021" w:rsidP="00767021">
            <w:pPr>
              <w:pStyle w:val="Prrafodelista"/>
              <w:numPr>
                <w:ilvl w:val="0"/>
                <w:numId w:val="17"/>
              </w:numPr>
              <w:spacing w:after="120" w:line="276" w:lineRule="auto"/>
              <w:ind w:left="714" w:hanging="357"/>
              <w:contextualSpacing w:val="0"/>
              <w:jc w:val="both"/>
              <w:rPr>
                <w:rFonts w:ascii="Verdana" w:hAnsi="Verdana" w:cs="Arial"/>
              </w:rPr>
            </w:pPr>
            <w:r w:rsidRPr="006A0256">
              <w:rPr>
                <w:rFonts w:ascii="Verdana" w:hAnsi="Verdana" w:cs="Arial"/>
              </w:rPr>
              <w:t>CONSEJO DE ESTADO. Sección Tercera. Sentencia de 30 de noviembre de 2006. Exp. 18.059. M.P. Alier Hernández Enríquez.</w:t>
            </w:r>
          </w:p>
          <w:p w14:paraId="72369C4F" w14:textId="77777777" w:rsidR="00767021" w:rsidRDefault="00767021" w:rsidP="00767021">
            <w:pPr>
              <w:pStyle w:val="Prrafodelista"/>
              <w:numPr>
                <w:ilvl w:val="0"/>
                <w:numId w:val="17"/>
              </w:numPr>
              <w:spacing w:after="120" w:line="276" w:lineRule="auto"/>
              <w:ind w:left="714" w:hanging="357"/>
              <w:contextualSpacing w:val="0"/>
              <w:jc w:val="both"/>
              <w:rPr>
                <w:rFonts w:ascii="Verdana" w:hAnsi="Verdana" w:cs="Arial"/>
              </w:rPr>
            </w:pPr>
            <w:r w:rsidRPr="006A0256">
              <w:rPr>
                <w:rFonts w:ascii="Verdana" w:hAnsi="Verdana" w:cs="Arial"/>
              </w:rPr>
              <w:t>CONSEJO DE ESTADO. Sección Tercera. Subsección A. Sentencia del 16 de septiembre de 2013. Exp. 30.571. C.P. Mauricio Fajardo Gómez.</w:t>
            </w:r>
          </w:p>
          <w:p w14:paraId="34178394" w14:textId="77777777" w:rsidR="00767021" w:rsidRPr="00C74E08" w:rsidRDefault="00767021" w:rsidP="00767021">
            <w:pPr>
              <w:pStyle w:val="Prrafodelista"/>
              <w:numPr>
                <w:ilvl w:val="0"/>
                <w:numId w:val="17"/>
              </w:numPr>
              <w:spacing w:after="120" w:line="276" w:lineRule="auto"/>
              <w:ind w:left="714" w:hanging="357"/>
              <w:contextualSpacing w:val="0"/>
              <w:jc w:val="both"/>
              <w:rPr>
                <w:rFonts w:ascii="Verdana" w:hAnsi="Verdana" w:cs="Arial"/>
              </w:rPr>
            </w:pPr>
            <w:r w:rsidRPr="006A0256">
              <w:rPr>
                <w:rFonts w:ascii="Verdana" w:hAnsi="Verdana" w:cs="Arial"/>
              </w:rPr>
              <w:t>OSPINA MENA, Jesús Marino. Régimen de la Contratación Estatal. Un salto a la contratación líquida. Bogotá: Ed. 1ª. Diké, 2020.</w:t>
            </w:r>
          </w:p>
        </w:tc>
      </w:tr>
    </w:tbl>
    <w:p w14:paraId="25C19843" w14:textId="77777777" w:rsidR="00767021" w:rsidRDefault="00767021" w:rsidP="00767021">
      <w:pPr>
        <w:pStyle w:val="Prrafodelista"/>
        <w:spacing w:after="0" w:line="276" w:lineRule="auto"/>
        <w:ind w:left="360"/>
        <w:rPr>
          <w:rFonts w:ascii="Verdana" w:eastAsia="Calibri" w:hAnsi="Verdana" w:cs="Times New Roman"/>
          <w:b/>
          <w:bCs/>
        </w:rPr>
      </w:pPr>
    </w:p>
    <w:p w14:paraId="0EFB13F1" w14:textId="77777777" w:rsidR="00767021" w:rsidRPr="00CE3FF9" w:rsidRDefault="00767021" w:rsidP="00767021">
      <w:pPr>
        <w:pStyle w:val="Prrafodelista"/>
        <w:numPr>
          <w:ilvl w:val="0"/>
          <w:numId w:val="24"/>
        </w:numPr>
        <w:spacing w:after="0" w:line="276" w:lineRule="auto"/>
        <w:rPr>
          <w:rFonts w:ascii="Verdana" w:eastAsia="Calibri" w:hAnsi="Verdana" w:cs="Times New Roman"/>
          <w:b/>
          <w:bCs/>
        </w:rPr>
      </w:pPr>
      <w:r w:rsidRPr="00CE3FF9">
        <w:rPr>
          <w:rFonts w:ascii="Verdana" w:eastAsia="Calibri" w:hAnsi="Verdana" w:cs="Times New Roman"/>
          <w:b/>
          <w:bCs/>
        </w:rPr>
        <w:t>Doctrina de la Agencia Nacional de Contratación Pública:</w:t>
      </w:r>
    </w:p>
    <w:p w14:paraId="5138B09C" w14:textId="77777777" w:rsidR="00767021" w:rsidRPr="00CE3FF9" w:rsidRDefault="00767021" w:rsidP="00767021">
      <w:pPr>
        <w:spacing w:after="0" w:line="276" w:lineRule="auto"/>
        <w:rPr>
          <w:rFonts w:ascii="Verdana" w:eastAsia="Calibri" w:hAnsi="Verdana" w:cs="Times New Roman"/>
          <w:lang w:val="es-ES"/>
        </w:rPr>
      </w:pPr>
    </w:p>
    <w:p w14:paraId="06DC2306" w14:textId="77777777" w:rsidR="00767021" w:rsidRPr="00CE3FF9" w:rsidRDefault="00767021" w:rsidP="00767021">
      <w:pPr>
        <w:widowControl w:val="0"/>
        <w:autoSpaceDE w:val="0"/>
        <w:autoSpaceDN w:val="0"/>
        <w:spacing w:after="0" w:line="276" w:lineRule="auto"/>
        <w:jc w:val="both"/>
        <w:rPr>
          <w:rFonts w:ascii="Verdana" w:eastAsia="Calibri" w:hAnsi="Verdana" w:cs="Times New Roman"/>
        </w:rPr>
      </w:pPr>
      <w:r w:rsidRPr="00CE3FF9">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las respuestas a las observaciones en pliegos de condiciones, tales como: C-310 de 2022, C-519 de 2022, C-415 del 12 de septiembre de 2025, C-141 del 14 de marzo de 2025, C-1581 del 6 de noviembre de 2025, entre otros</w:t>
      </w:r>
      <w:r w:rsidRPr="00CE3FF9">
        <w:rPr>
          <w:rStyle w:val="normaltextrun"/>
          <w:rFonts w:ascii="Verdana" w:hAnsi="Verdana" w:cs="Arial"/>
          <w:shd w:val="clear" w:color="auto" w:fill="FFFFFF"/>
          <w:lang w:val="es-ES"/>
        </w:rPr>
        <w:t xml:space="preserve">. </w:t>
      </w:r>
      <w:r w:rsidRPr="00CE3FF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6384232" w14:textId="77777777" w:rsidR="00767021" w:rsidRPr="00CE3FF9" w:rsidRDefault="00D153AB" w:rsidP="00767021">
      <w:pPr>
        <w:spacing w:after="0" w:line="276" w:lineRule="auto"/>
        <w:jc w:val="both"/>
        <w:rPr>
          <w:rFonts w:ascii="Verdana" w:eastAsia="Calibri" w:hAnsi="Verdana" w:cs="Times New Roman"/>
        </w:rPr>
      </w:pPr>
      <w:hyperlink r:id="rId12" w:history="1">
        <w:r w:rsidR="00767021" w:rsidRPr="00CE3FF9">
          <w:rPr>
            <w:rFonts w:ascii="Verdana" w:eastAsia="Calibri" w:hAnsi="Verdana" w:cs="Times New Roman"/>
            <w:color w:val="0000FF"/>
            <w:u w:val="single"/>
            <w:lang w:val="es-ES"/>
          </w:rPr>
          <w:t>https://relatoria.colombiacompra.gov.co/busqueda/conceptos</w:t>
        </w:r>
      </w:hyperlink>
      <w:r w:rsidR="00767021" w:rsidRPr="00CE3FF9">
        <w:rPr>
          <w:rFonts w:ascii="Verdana" w:eastAsia="Calibri" w:hAnsi="Verdana" w:cs="Times New Roman"/>
        </w:rPr>
        <w:t xml:space="preserve">. </w:t>
      </w:r>
    </w:p>
    <w:p w14:paraId="775047A9" w14:textId="77777777" w:rsidR="00767021" w:rsidRPr="0060163E" w:rsidRDefault="00767021" w:rsidP="00767021">
      <w:pPr>
        <w:spacing w:after="0" w:line="276" w:lineRule="auto"/>
        <w:jc w:val="both"/>
        <w:rPr>
          <w:rFonts w:ascii="Verdana" w:hAnsi="Verdana"/>
        </w:rPr>
      </w:pPr>
    </w:p>
    <w:p w14:paraId="5DDA13E1" w14:textId="77777777" w:rsidR="00767021" w:rsidRPr="00DB2A80" w:rsidRDefault="00767021" w:rsidP="00767021">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w:t>
      </w:r>
      <w:r w:rsidRPr="00DB2A80">
        <w:rPr>
          <w:rFonts w:ascii="Verdana" w:eastAsia="Calibri" w:hAnsi="Verdana" w:cs="Times New Roman"/>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23997C0" w14:textId="77777777" w:rsidR="00767021" w:rsidRPr="00DB2A80" w:rsidRDefault="00767021" w:rsidP="00767021">
      <w:pPr>
        <w:spacing w:after="0" w:line="256" w:lineRule="auto"/>
        <w:jc w:val="both"/>
        <w:rPr>
          <w:rFonts w:ascii="Verdana" w:eastAsia="Calibri" w:hAnsi="Verdana" w:cs="Times New Roman"/>
        </w:rPr>
      </w:pPr>
    </w:p>
    <w:p w14:paraId="467F61A3" w14:textId="77777777" w:rsidR="00767021" w:rsidRPr="00DB2A80" w:rsidRDefault="00767021" w:rsidP="00767021">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FD18F98" w14:textId="77777777" w:rsidR="00767021" w:rsidRPr="00DB2A80" w:rsidRDefault="00767021" w:rsidP="00767021">
      <w:pPr>
        <w:spacing w:after="0" w:line="256" w:lineRule="auto"/>
        <w:jc w:val="both"/>
        <w:rPr>
          <w:rFonts w:ascii="Verdana" w:eastAsia="Calibri" w:hAnsi="Verdana" w:cs="Times New Roman"/>
        </w:rPr>
      </w:pPr>
    </w:p>
    <w:p w14:paraId="457E8AD7" w14:textId="77777777" w:rsidR="00767021" w:rsidRPr="00DB2A80" w:rsidRDefault="00767021" w:rsidP="00767021">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1FE1FF1A" w14:textId="3D98B5D5" w:rsidR="00767021" w:rsidRDefault="00767021" w:rsidP="003D171E">
      <w:pPr>
        <w:spacing w:after="0" w:line="256" w:lineRule="auto"/>
        <w:rPr>
          <w:rFonts w:ascii="Century Gothic" w:hAnsi="Century Gothic"/>
          <w:noProof/>
          <w:lang w:val="en-US"/>
        </w:rPr>
      </w:pPr>
    </w:p>
    <w:p w14:paraId="3C044EF4" w14:textId="0AEAFF89" w:rsidR="00767021" w:rsidRDefault="003D171E" w:rsidP="00767021">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459D9D2" wp14:editId="36065031">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312722" cy="1229722"/>
                    </a:xfrm>
                    <a:prstGeom prst="rect">
                      <a:avLst/>
                    </a:prstGeom>
                  </pic:spPr>
                </pic:pic>
              </a:graphicData>
            </a:graphic>
          </wp:inline>
        </w:drawing>
      </w:r>
    </w:p>
    <w:p w14:paraId="0C55BD90" w14:textId="77777777" w:rsidR="00767021" w:rsidRPr="00DB2A80" w:rsidRDefault="00767021" w:rsidP="00767021">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67021" w:rsidRPr="00DB2A80" w14:paraId="052720BB" w14:textId="77777777" w:rsidTr="006D3373">
        <w:trPr>
          <w:trHeight w:val="409"/>
        </w:trPr>
        <w:tc>
          <w:tcPr>
            <w:tcW w:w="817" w:type="dxa"/>
            <w:tcBorders>
              <w:top w:val="nil"/>
              <w:left w:val="nil"/>
              <w:bottom w:val="nil"/>
              <w:right w:val="nil"/>
            </w:tcBorders>
            <w:vAlign w:val="center"/>
            <w:hideMark/>
          </w:tcPr>
          <w:p w14:paraId="5055E566"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A4E5AB7"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7AFADE17"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767021" w:rsidRPr="00DB2A80" w14:paraId="23FC97AB" w14:textId="77777777" w:rsidTr="006D3373">
        <w:trPr>
          <w:trHeight w:val="409"/>
        </w:trPr>
        <w:tc>
          <w:tcPr>
            <w:tcW w:w="817" w:type="dxa"/>
            <w:tcBorders>
              <w:top w:val="nil"/>
              <w:left w:val="nil"/>
              <w:bottom w:val="nil"/>
              <w:right w:val="nil"/>
            </w:tcBorders>
            <w:vAlign w:val="center"/>
            <w:hideMark/>
          </w:tcPr>
          <w:p w14:paraId="491F4986"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0547E3C"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547B947E"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767021" w:rsidRPr="00DB2A80" w14:paraId="629EB652" w14:textId="77777777" w:rsidTr="006D3373">
        <w:trPr>
          <w:trHeight w:val="389"/>
        </w:trPr>
        <w:tc>
          <w:tcPr>
            <w:tcW w:w="817" w:type="dxa"/>
            <w:tcBorders>
              <w:top w:val="nil"/>
              <w:left w:val="nil"/>
              <w:bottom w:val="nil"/>
              <w:right w:val="nil"/>
            </w:tcBorders>
            <w:vAlign w:val="center"/>
            <w:hideMark/>
          </w:tcPr>
          <w:p w14:paraId="2C533232"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EB96F0D"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Carolina Quintero Gacharná</w:t>
            </w:r>
          </w:p>
          <w:p w14:paraId="7AE5F2C0" w14:textId="77777777" w:rsidR="00767021" w:rsidRPr="00DB2A80" w:rsidRDefault="00767021" w:rsidP="006D337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7DC54A51" w14:textId="77777777" w:rsidR="00767021" w:rsidRPr="00354BCA" w:rsidRDefault="00767021" w:rsidP="00767021">
      <w:pPr>
        <w:spacing w:after="0" w:line="276" w:lineRule="auto"/>
        <w:jc w:val="both"/>
        <w:rPr>
          <w:rFonts w:ascii="Verdana" w:hAnsi="Verdana"/>
        </w:rPr>
      </w:pPr>
    </w:p>
    <w:p w14:paraId="14C10029" w14:textId="77777777" w:rsidR="00767021" w:rsidRPr="00980FCC" w:rsidRDefault="00767021" w:rsidP="00767021"/>
    <w:bookmarkEnd w:id="0"/>
    <w:p w14:paraId="4B2FECC0" w14:textId="77777777" w:rsidR="00767021" w:rsidRPr="0024624F" w:rsidRDefault="00767021" w:rsidP="00767021">
      <w:pPr>
        <w:spacing w:after="0"/>
        <w:rPr>
          <w:rFonts w:ascii="Verdana" w:hAnsi="Verdana"/>
        </w:rPr>
      </w:pPr>
    </w:p>
    <w:p w14:paraId="73C61EC8" w14:textId="77777777" w:rsidR="00EB224C" w:rsidRPr="00767021" w:rsidRDefault="00EB224C" w:rsidP="00767021"/>
    <w:sectPr w:rsidR="00EB224C" w:rsidRPr="0076702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FC7A9B" w14:textId="77777777" w:rsidR="00D153AB" w:rsidRDefault="00D153AB" w:rsidP="004A1847">
      <w:pPr>
        <w:spacing w:after="0" w:line="240" w:lineRule="auto"/>
      </w:pPr>
      <w:r>
        <w:separator/>
      </w:r>
    </w:p>
  </w:endnote>
  <w:endnote w:type="continuationSeparator" w:id="0">
    <w:p w14:paraId="480681E7" w14:textId="77777777" w:rsidR="00D153AB" w:rsidRDefault="00D153A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7549304D"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F2CA3" w:rsidRPr="004F2CA3">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964DBC" w14:textId="77777777" w:rsidR="00D153AB" w:rsidRDefault="00D153AB" w:rsidP="004A1847">
      <w:pPr>
        <w:spacing w:after="0" w:line="240" w:lineRule="auto"/>
      </w:pPr>
      <w:r>
        <w:separator/>
      </w:r>
    </w:p>
  </w:footnote>
  <w:footnote w:type="continuationSeparator" w:id="0">
    <w:p w14:paraId="16E93A52" w14:textId="77777777" w:rsidR="00D153AB" w:rsidRDefault="00D153AB" w:rsidP="004A1847">
      <w:pPr>
        <w:spacing w:after="0" w:line="240" w:lineRule="auto"/>
      </w:pPr>
      <w:r>
        <w:continuationSeparator/>
      </w:r>
    </w:p>
  </w:footnote>
  <w:footnote w:id="1">
    <w:p w14:paraId="7A88E49B" w14:textId="77777777" w:rsidR="00767021" w:rsidRPr="00D207DB" w:rsidRDefault="00767021" w:rsidP="0076702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OSPINA MENA, Jesús Marino. Régimen de la Contratación Estatal. Un salto a la contratación líquida. Bogotá: Ed. 1ª. Diké, 2020. p. 383.</w:t>
      </w:r>
    </w:p>
  </w:footnote>
  <w:footnote w:id="2">
    <w:p w14:paraId="70B7019F" w14:textId="77777777" w:rsidR="00767021" w:rsidRPr="00D207DB" w:rsidRDefault="00767021" w:rsidP="0076702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CONSEJO DE ESTADO. Sección Tercera. Sentencia de 30 de noviembre de 2006. Exp. 18.059. M.P. Alier Hernández Enríquez.</w:t>
      </w:r>
    </w:p>
  </w:footnote>
  <w:footnote w:id="3">
    <w:p w14:paraId="37C61F95" w14:textId="77777777" w:rsidR="00767021" w:rsidRPr="00D207DB" w:rsidRDefault="00767021" w:rsidP="0076702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Sin perjuicio de los dispuesto en el artículo 2.2.1.1.2.1.3. del Decreto 1082 de 2015 sobre el contenido del pliego de condiciones, donde se desarrolla de forma más exhaustiva cada uno de sus componentes mínimos.</w:t>
      </w:r>
    </w:p>
    <w:p w14:paraId="46B6637B" w14:textId="77777777" w:rsidR="00767021" w:rsidRPr="00D207DB" w:rsidRDefault="00767021" w:rsidP="00767021">
      <w:pPr>
        <w:pStyle w:val="Textonotapie"/>
        <w:ind w:firstLine="708"/>
        <w:jc w:val="both"/>
        <w:rPr>
          <w:rFonts w:ascii="Verdana" w:hAnsi="Verdana" w:cs="Arial"/>
          <w:sz w:val="16"/>
          <w:szCs w:val="16"/>
        </w:rPr>
      </w:pPr>
    </w:p>
  </w:footnote>
  <w:footnote w:id="4">
    <w:p w14:paraId="5E13430B" w14:textId="77777777" w:rsidR="00767021" w:rsidRPr="00D207DB" w:rsidRDefault="00767021" w:rsidP="00767021">
      <w:pPr>
        <w:pStyle w:val="Textonotapie"/>
        <w:ind w:firstLine="708"/>
        <w:jc w:val="both"/>
        <w:rPr>
          <w:rFonts w:ascii="Verdana" w:hAnsi="Verdana" w:cs="Arial"/>
          <w:color w:val="000000" w:themeColor="text1"/>
          <w:sz w:val="16"/>
          <w:szCs w:val="16"/>
        </w:rPr>
      </w:pPr>
      <w:r w:rsidRPr="00D207DB">
        <w:rPr>
          <w:rStyle w:val="Refdenotaalpie"/>
          <w:rFonts w:ascii="Verdana" w:hAnsi="Verdana" w:cs="Arial"/>
          <w:color w:val="000000" w:themeColor="text1"/>
          <w:sz w:val="16"/>
          <w:szCs w:val="16"/>
        </w:rPr>
        <w:footnoteRef/>
      </w:r>
      <w:r w:rsidRPr="00D207DB">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5">
    <w:p w14:paraId="23FFE346" w14:textId="77777777" w:rsidR="00767021" w:rsidRPr="00D207DB" w:rsidRDefault="00767021" w:rsidP="00767021">
      <w:pPr>
        <w:pStyle w:val="Textonotapie"/>
        <w:ind w:firstLine="708"/>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Sin perjuicio de lo que ocurre en los procedimientos de selección regidos por los documentos tipo, donde se reduce, en buena medida, dicha discrecionalidad.</w:t>
      </w:r>
    </w:p>
  </w:footnote>
  <w:footnote w:id="6">
    <w:p w14:paraId="2ABECBF3" w14:textId="77777777" w:rsidR="00767021" w:rsidRPr="00D207DB" w:rsidRDefault="00767021" w:rsidP="00767021">
      <w:pPr>
        <w:spacing w:after="0" w:line="240" w:lineRule="auto"/>
        <w:ind w:firstLine="720"/>
        <w:jc w:val="both"/>
        <w:rPr>
          <w:rFonts w:ascii="Verdana" w:hAnsi="Verdana" w:cs="Arial"/>
          <w:sz w:val="16"/>
          <w:szCs w:val="16"/>
        </w:rPr>
      </w:pPr>
      <w:r w:rsidRPr="00D207DB">
        <w:rPr>
          <w:rStyle w:val="Refdenotaalpie"/>
          <w:rFonts w:ascii="Verdana" w:hAnsi="Verdana" w:cs="Arial"/>
          <w:sz w:val="16"/>
          <w:szCs w:val="16"/>
        </w:rPr>
        <w:footnoteRef/>
      </w:r>
      <w:r w:rsidRPr="00D207DB">
        <w:rPr>
          <w:rFonts w:ascii="Verdana" w:hAnsi="Verdana" w:cs="Arial"/>
          <w:sz w:val="16"/>
          <w:szCs w:val="16"/>
        </w:rPr>
        <w:t xml:space="preserve"> CONSEJO DE ESTADO. Sección Tercera. Subsección A. Sentencia del 16 de septiembre de 2013. Exp. 30.571. C.P. Mauricio Fajardo Gómez. En dicha providencia el Consejo de Estado se pronunció sobre la fuerza vinculante de las respuestas a las observaciones presentadas por los interesados, expresando lo siguiente:</w:t>
      </w:r>
    </w:p>
    <w:p w14:paraId="74A2E2BF" w14:textId="77777777" w:rsidR="00767021" w:rsidRPr="00D207DB" w:rsidRDefault="00767021" w:rsidP="00767021">
      <w:pPr>
        <w:widowControl w:val="0"/>
        <w:autoSpaceDE w:val="0"/>
        <w:autoSpaceDN w:val="0"/>
        <w:spacing w:after="0" w:line="240" w:lineRule="auto"/>
        <w:ind w:firstLine="708"/>
        <w:jc w:val="both"/>
        <w:rPr>
          <w:rFonts w:ascii="Verdana" w:eastAsia="Arial" w:hAnsi="Verdana" w:cs="Arial"/>
          <w:sz w:val="16"/>
          <w:szCs w:val="16"/>
          <w:lang w:val="es-ES"/>
        </w:rPr>
      </w:pPr>
      <w:r>
        <w:rPr>
          <w:rFonts w:ascii="Verdana" w:eastAsia="Arial" w:hAnsi="Verdana" w:cs="Arial"/>
          <w:sz w:val="16"/>
          <w:szCs w:val="16"/>
          <w:lang w:val="es-ES"/>
        </w:rPr>
        <w:t>“</w:t>
      </w:r>
      <w:r w:rsidRPr="00D207DB">
        <w:rPr>
          <w:rFonts w:ascii="Verdana" w:eastAsia="Arial" w:hAnsi="Verdana" w:cs="Arial"/>
          <w:sz w:val="16"/>
          <w:szCs w:val="16"/>
          <w:lang w:val="es-ES"/>
        </w:rPr>
        <w:t xml:space="preserve">5.2. </w:t>
      </w:r>
      <w:r w:rsidRPr="00D207DB">
        <w:rPr>
          <w:rFonts w:ascii="Verdana" w:eastAsia="Arial" w:hAnsi="Verdana" w:cs="Arial"/>
          <w:sz w:val="16"/>
          <w:szCs w:val="16"/>
          <w:u w:val="single"/>
          <w:lang w:val="es-ES"/>
        </w:rPr>
        <w:t>De la fuerza vinculante de las respuestas a las solicitudes de aclaraciones en relación con los términos de referencia</w:t>
      </w:r>
      <w:r w:rsidRPr="00D207DB">
        <w:rPr>
          <w:rFonts w:ascii="Verdana" w:eastAsia="Arial" w:hAnsi="Verdana" w:cs="Arial"/>
          <w:sz w:val="16"/>
          <w:szCs w:val="16"/>
          <w:lang w:val="es-ES"/>
        </w:rPr>
        <w:t>.</w:t>
      </w:r>
    </w:p>
    <w:p w14:paraId="27E19F71" w14:textId="77777777" w:rsidR="00767021" w:rsidRPr="00D207DB" w:rsidRDefault="00767021" w:rsidP="00767021">
      <w:pPr>
        <w:widowControl w:val="0"/>
        <w:autoSpaceDE w:val="0"/>
        <w:autoSpaceDN w:val="0"/>
        <w:spacing w:after="0" w:line="240" w:lineRule="auto"/>
        <w:ind w:firstLine="708"/>
        <w:jc w:val="both"/>
        <w:rPr>
          <w:rFonts w:ascii="Verdana" w:eastAsia="Arial" w:hAnsi="Verdana" w:cs="Arial"/>
          <w:sz w:val="16"/>
          <w:szCs w:val="16"/>
          <w:lang w:val="es-ES"/>
        </w:rPr>
      </w:pPr>
      <w:r w:rsidRPr="00D207DB">
        <w:rPr>
          <w:rFonts w:ascii="Verdana" w:eastAsia="Arial" w:hAnsi="Verdana" w:cs="Arial"/>
          <w:sz w:val="16"/>
          <w:szCs w:val="16"/>
          <w:lang w:val="es-ES"/>
        </w:rPr>
        <w:t xml:space="preserve">Ahora bien, cuando la Administración no cumple a cabalidad las cargas de claridad y precisión que deben informar la elaboración de los pliegos de condiciones o los términos de referencia, al punto que una vez publicados susciten entre los respectivos interesados en participar en el procedimiento de selección, dudas o inquietudes fundadas y reiterativas respecto de determinados ítems o elementos integrantes del mismo, la Administración está en la obligación de absolverlas con absoluta nitidez, del tal modo que zanje cualquier dualidad interpretativa que frente al mismo hubiere lugar. En tal virtud ante cualquier respuesta a una inquietud surgida del pliego de condiciones o términos de referencia que le confiera un significado definitivo y trascendente que antes de resolver el interrogante y de cara a su imprecisión no tenía, a juicio de la Sala, la Administración no puede quedar relevada de su estricta observancia pretextando que la susodicha aclaración no tiene fuerza vinculante por no estar contenida en un adendo. </w:t>
      </w:r>
    </w:p>
    <w:p w14:paraId="15AE74D1" w14:textId="77777777" w:rsidR="00767021" w:rsidRPr="00D207DB" w:rsidRDefault="00767021" w:rsidP="00767021">
      <w:pPr>
        <w:widowControl w:val="0"/>
        <w:autoSpaceDE w:val="0"/>
        <w:autoSpaceDN w:val="0"/>
        <w:spacing w:after="0" w:line="240" w:lineRule="auto"/>
        <w:ind w:firstLine="708"/>
        <w:jc w:val="both"/>
        <w:rPr>
          <w:rFonts w:ascii="Verdana" w:eastAsia="Arial" w:hAnsi="Verdana" w:cs="Arial"/>
          <w:sz w:val="16"/>
          <w:szCs w:val="16"/>
          <w:lang w:val="es-ES"/>
        </w:rPr>
      </w:pPr>
      <w:r w:rsidRPr="00D207DB">
        <w:rPr>
          <w:rFonts w:ascii="Verdana" w:eastAsia="Arial" w:hAnsi="Verdana" w:cs="Arial"/>
          <w:sz w:val="16"/>
          <w:szCs w:val="16"/>
          <w:lang w:val="es-ES"/>
        </w:rPr>
        <w:t>A propósito de la formalidad del adendo a la que alude la parte demandada apelante, sea esta la oportunidad para precisar que si bien normativamente se ha establecido que cualquier modificación al pliego de condiciones o términos de referencia está llamada a implementarse a través de adendos , lo cierto es que la norma no estableció algún tipo de exigencia formal para su expedición.</w:t>
      </w:r>
    </w:p>
    <w:p w14:paraId="60C42355" w14:textId="77777777" w:rsidR="00767021" w:rsidRPr="00D207DB" w:rsidRDefault="00767021" w:rsidP="00767021">
      <w:pPr>
        <w:widowControl w:val="0"/>
        <w:autoSpaceDE w:val="0"/>
        <w:autoSpaceDN w:val="0"/>
        <w:spacing w:after="0" w:line="240" w:lineRule="auto"/>
        <w:ind w:firstLine="708"/>
        <w:jc w:val="both"/>
        <w:rPr>
          <w:rFonts w:ascii="Verdana" w:eastAsia="Arial" w:hAnsi="Verdana" w:cs="Arial"/>
          <w:sz w:val="16"/>
          <w:szCs w:val="16"/>
          <w:lang w:val="es-ES"/>
        </w:rPr>
      </w:pPr>
      <w:r w:rsidRPr="00D207DB">
        <w:rPr>
          <w:rFonts w:ascii="Verdana" w:eastAsia="Arial" w:hAnsi="Verdana" w:cs="Arial"/>
          <w:sz w:val="16"/>
          <w:szCs w:val="16"/>
          <w:lang w:val="es-ES"/>
        </w:rPr>
        <w:t xml:space="preserve">Una vez consultado el significado literal de la palabra adendo se encuentra que corresponde a un </w:t>
      </w:r>
      <w:r>
        <w:rPr>
          <w:rFonts w:ascii="Verdana" w:eastAsia="Arial" w:hAnsi="Verdana" w:cs="Arial"/>
          <w:sz w:val="16"/>
          <w:szCs w:val="16"/>
          <w:lang w:val="es-ES"/>
        </w:rPr>
        <w:t>‘</w:t>
      </w:r>
      <w:r w:rsidRPr="00D207DB">
        <w:rPr>
          <w:rFonts w:ascii="Verdana" w:eastAsia="Arial" w:hAnsi="Verdana" w:cs="Arial"/>
          <w:sz w:val="16"/>
          <w:szCs w:val="16"/>
          <w:lang w:val="es-ES"/>
        </w:rPr>
        <w:t>Conjunto de textos que se añaden a una obra escrita ya terminada o a una de sus partes para completarla y actualizarla.</w:t>
      </w:r>
      <w:r>
        <w:rPr>
          <w:rFonts w:ascii="Verdana" w:eastAsia="Arial" w:hAnsi="Verdana" w:cs="Arial"/>
          <w:sz w:val="16"/>
          <w:szCs w:val="16"/>
          <w:lang w:val="es-ES"/>
        </w:rPr>
        <w:t>´</w:t>
      </w:r>
      <w:r w:rsidRPr="00D207DB">
        <w:rPr>
          <w:rFonts w:ascii="Verdana" w:eastAsia="Arial" w:hAnsi="Verdana" w:cs="Arial"/>
          <w:sz w:val="16"/>
          <w:szCs w:val="16"/>
          <w:lang w:val="es-ES"/>
        </w:rPr>
        <w:t xml:space="preserve"> De ahí que constituirá un adendo, todo lo que adicione, agregue o complete el texto inicial, es decir que contenga una previsión que el documento original no tenía.</w:t>
      </w:r>
    </w:p>
    <w:p w14:paraId="5F8C5090" w14:textId="77777777" w:rsidR="00767021" w:rsidRPr="00D207DB" w:rsidRDefault="00767021" w:rsidP="00767021">
      <w:pPr>
        <w:widowControl w:val="0"/>
        <w:autoSpaceDE w:val="0"/>
        <w:autoSpaceDN w:val="0"/>
        <w:spacing w:after="0" w:line="240" w:lineRule="auto"/>
        <w:ind w:firstLine="708"/>
        <w:jc w:val="both"/>
        <w:rPr>
          <w:rFonts w:ascii="Verdana" w:eastAsia="Arial" w:hAnsi="Verdana" w:cs="Arial"/>
          <w:sz w:val="16"/>
          <w:szCs w:val="16"/>
          <w:lang w:val="es-ES"/>
        </w:rPr>
      </w:pPr>
      <w:r w:rsidRPr="00D207DB">
        <w:rPr>
          <w:rFonts w:ascii="Verdana" w:eastAsia="Arial" w:hAnsi="Verdana" w:cs="Arial"/>
          <w:sz w:val="16"/>
          <w:szCs w:val="16"/>
          <w:lang w:val="es-ES"/>
        </w:rPr>
        <w:t>Siguiendo el lineamiento expuesto, en criterio de la Sala, independientemente de que el contenido de la modificación se encuentre comprendido en un documento que no tenga el rótulo de “adendo”,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 oferentes.</w:t>
      </w:r>
    </w:p>
    <w:p w14:paraId="24FB989A" w14:textId="77777777" w:rsidR="00767021" w:rsidRPr="00D207DB" w:rsidRDefault="00767021" w:rsidP="00767021">
      <w:pPr>
        <w:spacing w:after="0" w:line="240" w:lineRule="auto"/>
        <w:ind w:firstLine="720"/>
        <w:jc w:val="both"/>
        <w:rPr>
          <w:rFonts w:ascii="Verdana" w:hAnsi="Verdana" w:cs="Arial"/>
          <w:sz w:val="16"/>
          <w:szCs w:val="16"/>
        </w:rPr>
      </w:pPr>
      <w:r w:rsidRPr="00D207DB">
        <w:rPr>
          <w:rFonts w:ascii="Verdana" w:eastAsia="Arial" w:hAnsi="Verdana" w:cs="Arial"/>
          <w:sz w:val="16"/>
          <w:szCs w:val="16"/>
          <w:lang w:val="es-ES"/>
        </w:rPr>
        <w:t>En ese orden de ideas, sea que se llame adendo,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 condiciones</w:t>
      </w:r>
      <w:r>
        <w:rPr>
          <w:rFonts w:ascii="Verdana" w:eastAsia="Arial" w:hAnsi="Verdana" w:cs="Arial"/>
          <w:sz w:val="16"/>
          <w:szCs w:val="16"/>
          <w:lang w:val="es-ES"/>
        </w:rPr>
        <w:t>”</w:t>
      </w:r>
      <w:r w:rsidRPr="00D207DB">
        <w:rPr>
          <w:rFonts w:ascii="Verdana" w:eastAsia="Arial" w:hAnsi="Verdana" w:cs="Arial"/>
          <w:sz w:val="16"/>
          <w:szCs w:val="16"/>
          <w:lang w:val="es-ES"/>
        </w:rPr>
        <w:t>.</w:t>
      </w:r>
    </w:p>
  </w:footnote>
  <w:footnote w:id="7">
    <w:p w14:paraId="631A2230" w14:textId="77777777" w:rsidR="00767021" w:rsidRPr="00981BF5" w:rsidRDefault="00767021" w:rsidP="00767021">
      <w:pPr>
        <w:pStyle w:val="Textonotapie"/>
        <w:ind w:firstLine="709"/>
        <w:jc w:val="both"/>
        <w:rPr>
          <w:rFonts w:ascii="Verdana" w:hAnsi="Verdana" w:cs="Arial"/>
          <w:color w:val="000000" w:themeColor="text1"/>
          <w:sz w:val="16"/>
          <w:szCs w:val="16"/>
          <w:lang w:val="es-CO"/>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2.2.1.1.1.3.1.”</w:t>
      </w:r>
    </w:p>
  </w:footnote>
  <w:footnote w:id="8">
    <w:p w14:paraId="7C9E67E5" w14:textId="77777777" w:rsidR="00767021" w:rsidRPr="00981BF5" w:rsidRDefault="00767021" w:rsidP="00767021">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6404C1F0" w14:textId="77777777" w:rsidR="00767021" w:rsidRPr="00981BF5" w:rsidRDefault="00767021" w:rsidP="00767021">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590F6DF" w14:textId="77777777" w:rsidR="00767021" w:rsidRPr="00981BF5" w:rsidRDefault="00767021" w:rsidP="00767021">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6º. Las propuestas deben referirse y sujetarse a todos y cada uno de los puntos contenidos en el pliego de condiciones”.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4" w15:restartNumberingAfterBreak="0">
    <w:nsid w:val="548F3FFF"/>
    <w:multiLevelType w:val="hybridMultilevel"/>
    <w:tmpl w:val="78B2E9F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9"/>
  </w:num>
  <w:num w:numId="2">
    <w:abstractNumId w:val="2"/>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8"/>
  </w:num>
  <w:num w:numId="7">
    <w:abstractNumId w:val="8"/>
  </w:num>
  <w:num w:numId="8">
    <w:abstractNumId w:val="17"/>
  </w:num>
  <w:num w:numId="9">
    <w:abstractNumId w:val="10"/>
  </w:num>
  <w:num w:numId="10">
    <w:abstractNumId w:val="16"/>
  </w:num>
  <w:num w:numId="11">
    <w:abstractNumId w:val="11"/>
  </w:num>
  <w:num w:numId="12">
    <w:abstractNumId w:val="0"/>
  </w:num>
  <w:num w:numId="13">
    <w:abstractNumId w:val="4"/>
  </w:num>
  <w:num w:numId="14">
    <w:abstractNumId w:val="19"/>
  </w:num>
  <w:num w:numId="15">
    <w:abstractNumId w:val="15"/>
  </w:num>
  <w:num w:numId="16">
    <w:abstractNumId w:val="5"/>
  </w:num>
  <w:num w:numId="17">
    <w:abstractNumId w:val="12"/>
  </w:num>
  <w:num w:numId="18">
    <w:abstractNumId w:val="21"/>
  </w:num>
  <w:num w:numId="19">
    <w:abstractNumId w:val="20"/>
  </w:num>
  <w:num w:numId="20">
    <w:abstractNumId w:val="1"/>
  </w:num>
  <w:num w:numId="21">
    <w:abstractNumId w:val="3"/>
  </w:num>
  <w:num w:numId="22">
    <w:abstractNumId w:val="6"/>
  </w:num>
  <w:num w:numId="23">
    <w:abstractNumId w:val="13"/>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46945"/>
    <w:rsid w:val="00061B2A"/>
    <w:rsid w:val="000711CF"/>
    <w:rsid w:val="00076D52"/>
    <w:rsid w:val="00082362"/>
    <w:rsid w:val="000A683E"/>
    <w:rsid w:val="000B19B9"/>
    <w:rsid w:val="000B27F0"/>
    <w:rsid w:val="000D0334"/>
    <w:rsid w:val="000D1DC8"/>
    <w:rsid w:val="000D5DA7"/>
    <w:rsid w:val="000F078F"/>
    <w:rsid w:val="000F3444"/>
    <w:rsid w:val="000F6486"/>
    <w:rsid w:val="00105C57"/>
    <w:rsid w:val="001168F2"/>
    <w:rsid w:val="00116940"/>
    <w:rsid w:val="00125105"/>
    <w:rsid w:val="00127233"/>
    <w:rsid w:val="001328F3"/>
    <w:rsid w:val="0015699B"/>
    <w:rsid w:val="00167488"/>
    <w:rsid w:val="00171640"/>
    <w:rsid w:val="00174D6E"/>
    <w:rsid w:val="001A33BF"/>
    <w:rsid w:val="001C5AE4"/>
    <w:rsid w:val="001E2E05"/>
    <w:rsid w:val="001E4177"/>
    <w:rsid w:val="001F0B24"/>
    <w:rsid w:val="001F7DC6"/>
    <w:rsid w:val="002209DE"/>
    <w:rsid w:val="0022400B"/>
    <w:rsid w:val="002421BB"/>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4168"/>
    <w:rsid w:val="00330834"/>
    <w:rsid w:val="003332A8"/>
    <w:rsid w:val="003448F4"/>
    <w:rsid w:val="00374F5E"/>
    <w:rsid w:val="003769E1"/>
    <w:rsid w:val="00377E3E"/>
    <w:rsid w:val="00381BAB"/>
    <w:rsid w:val="003A779E"/>
    <w:rsid w:val="003D0F4D"/>
    <w:rsid w:val="003D171E"/>
    <w:rsid w:val="003D5B0D"/>
    <w:rsid w:val="003E0499"/>
    <w:rsid w:val="003E4F80"/>
    <w:rsid w:val="003E6439"/>
    <w:rsid w:val="003F3941"/>
    <w:rsid w:val="00403EFA"/>
    <w:rsid w:val="00406575"/>
    <w:rsid w:val="004140B3"/>
    <w:rsid w:val="00414C74"/>
    <w:rsid w:val="0042722E"/>
    <w:rsid w:val="0044528D"/>
    <w:rsid w:val="00451137"/>
    <w:rsid w:val="004555EA"/>
    <w:rsid w:val="00466E39"/>
    <w:rsid w:val="0048787A"/>
    <w:rsid w:val="00494F04"/>
    <w:rsid w:val="004A0A0B"/>
    <w:rsid w:val="004A1847"/>
    <w:rsid w:val="004A305D"/>
    <w:rsid w:val="004B3DAC"/>
    <w:rsid w:val="004F21C4"/>
    <w:rsid w:val="004F2CA3"/>
    <w:rsid w:val="004F685F"/>
    <w:rsid w:val="00517955"/>
    <w:rsid w:val="005229DB"/>
    <w:rsid w:val="00534886"/>
    <w:rsid w:val="005566E8"/>
    <w:rsid w:val="00574867"/>
    <w:rsid w:val="00591460"/>
    <w:rsid w:val="005A65E0"/>
    <w:rsid w:val="005C0881"/>
    <w:rsid w:val="005C3777"/>
    <w:rsid w:val="005C5CDC"/>
    <w:rsid w:val="005D2566"/>
    <w:rsid w:val="005D476C"/>
    <w:rsid w:val="005F20A4"/>
    <w:rsid w:val="00600D92"/>
    <w:rsid w:val="00603C5B"/>
    <w:rsid w:val="006200BF"/>
    <w:rsid w:val="0062143E"/>
    <w:rsid w:val="006219F8"/>
    <w:rsid w:val="006302F7"/>
    <w:rsid w:val="00646B9F"/>
    <w:rsid w:val="00665D70"/>
    <w:rsid w:val="00684F67"/>
    <w:rsid w:val="006900D9"/>
    <w:rsid w:val="0069741A"/>
    <w:rsid w:val="006A2BE4"/>
    <w:rsid w:val="006A31BC"/>
    <w:rsid w:val="006B4707"/>
    <w:rsid w:val="007009D7"/>
    <w:rsid w:val="007025D7"/>
    <w:rsid w:val="00706C16"/>
    <w:rsid w:val="0071557C"/>
    <w:rsid w:val="00731F30"/>
    <w:rsid w:val="007340C3"/>
    <w:rsid w:val="0073510E"/>
    <w:rsid w:val="007458D3"/>
    <w:rsid w:val="0075235A"/>
    <w:rsid w:val="00752CDB"/>
    <w:rsid w:val="0075557D"/>
    <w:rsid w:val="00756841"/>
    <w:rsid w:val="007649AB"/>
    <w:rsid w:val="00767021"/>
    <w:rsid w:val="00771D0C"/>
    <w:rsid w:val="007833AC"/>
    <w:rsid w:val="00795086"/>
    <w:rsid w:val="007A1830"/>
    <w:rsid w:val="007B268C"/>
    <w:rsid w:val="007B7171"/>
    <w:rsid w:val="007C0C0F"/>
    <w:rsid w:val="007C3DC2"/>
    <w:rsid w:val="007C4353"/>
    <w:rsid w:val="007D3058"/>
    <w:rsid w:val="007D4B12"/>
    <w:rsid w:val="007E5497"/>
    <w:rsid w:val="00806F5F"/>
    <w:rsid w:val="00820278"/>
    <w:rsid w:val="008258C9"/>
    <w:rsid w:val="00833286"/>
    <w:rsid w:val="00836232"/>
    <w:rsid w:val="00844AE9"/>
    <w:rsid w:val="0085545E"/>
    <w:rsid w:val="00867F95"/>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23EEF"/>
    <w:rsid w:val="009419F9"/>
    <w:rsid w:val="0095685E"/>
    <w:rsid w:val="00961B09"/>
    <w:rsid w:val="00964321"/>
    <w:rsid w:val="00965334"/>
    <w:rsid w:val="0097093E"/>
    <w:rsid w:val="00980FCC"/>
    <w:rsid w:val="00992E19"/>
    <w:rsid w:val="009A0486"/>
    <w:rsid w:val="009A0DFA"/>
    <w:rsid w:val="009B2D26"/>
    <w:rsid w:val="009C71FA"/>
    <w:rsid w:val="009C72E7"/>
    <w:rsid w:val="009C7F7E"/>
    <w:rsid w:val="009D3058"/>
    <w:rsid w:val="009E1F28"/>
    <w:rsid w:val="009F3A13"/>
    <w:rsid w:val="00A0334B"/>
    <w:rsid w:val="00A122D3"/>
    <w:rsid w:val="00A14468"/>
    <w:rsid w:val="00A17F13"/>
    <w:rsid w:val="00A20739"/>
    <w:rsid w:val="00A23AF9"/>
    <w:rsid w:val="00A31A76"/>
    <w:rsid w:val="00A33C78"/>
    <w:rsid w:val="00A73F45"/>
    <w:rsid w:val="00AB0ADB"/>
    <w:rsid w:val="00AB436E"/>
    <w:rsid w:val="00AE3513"/>
    <w:rsid w:val="00AF5A10"/>
    <w:rsid w:val="00B00C0E"/>
    <w:rsid w:val="00B01B1A"/>
    <w:rsid w:val="00B04DA1"/>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5C08"/>
    <w:rsid w:val="00BF7425"/>
    <w:rsid w:val="00C04FB3"/>
    <w:rsid w:val="00C11D8B"/>
    <w:rsid w:val="00C251B0"/>
    <w:rsid w:val="00C330EB"/>
    <w:rsid w:val="00C419DF"/>
    <w:rsid w:val="00C50D69"/>
    <w:rsid w:val="00C5365C"/>
    <w:rsid w:val="00C754BE"/>
    <w:rsid w:val="00C76B1C"/>
    <w:rsid w:val="00C925AC"/>
    <w:rsid w:val="00C94828"/>
    <w:rsid w:val="00CB6357"/>
    <w:rsid w:val="00CC1B26"/>
    <w:rsid w:val="00CE4026"/>
    <w:rsid w:val="00D06146"/>
    <w:rsid w:val="00D0699E"/>
    <w:rsid w:val="00D153AB"/>
    <w:rsid w:val="00D22D2B"/>
    <w:rsid w:val="00D334DD"/>
    <w:rsid w:val="00D361FD"/>
    <w:rsid w:val="00D423A2"/>
    <w:rsid w:val="00D44E26"/>
    <w:rsid w:val="00D51A5D"/>
    <w:rsid w:val="00D520D8"/>
    <w:rsid w:val="00D62B9C"/>
    <w:rsid w:val="00D63AC2"/>
    <w:rsid w:val="00D7383B"/>
    <w:rsid w:val="00D7788A"/>
    <w:rsid w:val="00D936A2"/>
    <w:rsid w:val="00DA231B"/>
    <w:rsid w:val="00DB55DA"/>
    <w:rsid w:val="00DC39FC"/>
    <w:rsid w:val="00DC7CCB"/>
    <w:rsid w:val="00DF5254"/>
    <w:rsid w:val="00E02524"/>
    <w:rsid w:val="00E1159D"/>
    <w:rsid w:val="00E16408"/>
    <w:rsid w:val="00E20894"/>
    <w:rsid w:val="00E245AB"/>
    <w:rsid w:val="00E2764C"/>
    <w:rsid w:val="00E27F2E"/>
    <w:rsid w:val="00E50AFE"/>
    <w:rsid w:val="00E577E2"/>
    <w:rsid w:val="00E75C92"/>
    <w:rsid w:val="00E771DC"/>
    <w:rsid w:val="00E8772A"/>
    <w:rsid w:val="00E90F6B"/>
    <w:rsid w:val="00E92C27"/>
    <w:rsid w:val="00EA0E3D"/>
    <w:rsid w:val="00EA426C"/>
    <w:rsid w:val="00EB224C"/>
    <w:rsid w:val="00EC006D"/>
    <w:rsid w:val="00EC297F"/>
    <w:rsid w:val="00EC38A7"/>
    <w:rsid w:val="00EE1AA8"/>
    <w:rsid w:val="00EF1D4F"/>
    <w:rsid w:val="00EF5E13"/>
    <w:rsid w:val="00EF647F"/>
    <w:rsid w:val="00F23FEA"/>
    <w:rsid w:val="00F27B7B"/>
    <w:rsid w:val="00F31EDC"/>
    <w:rsid w:val="00F3294D"/>
    <w:rsid w:val="00F43688"/>
    <w:rsid w:val="00F462B3"/>
    <w:rsid w:val="00F5664F"/>
    <w:rsid w:val="00F666C4"/>
    <w:rsid w:val="00F76AFC"/>
    <w:rsid w:val="00F81BF0"/>
    <w:rsid w:val="00F86E11"/>
    <w:rsid w:val="00FA47C0"/>
    <w:rsid w:val="00FA5FFD"/>
    <w:rsid w:val="00FB5DD1"/>
    <w:rsid w:val="00FC2B5D"/>
    <w:rsid w:val="00FD3AD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02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61A4D-F880-46CA-B4B4-0BF2AB96447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1FEAED17-63C3-441A-ACAD-E8ED2BFB2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16</Pages>
  <Words>4861</Words>
  <Characters>27708</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2025-11-27T13:31:00Z</dcterms:created>
  <dcterms:modified xsi:type="dcterms:W3CDTF">2025-11-27T14:17:00Z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