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B4983" w14:textId="77777777" w:rsidR="004B3DA2" w:rsidRPr="00AE6A8F" w:rsidRDefault="004B3DA2" w:rsidP="004B3DA2">
      <w:pPr>
        <w:spacing w:after="0" w:line="240" w:lineRule="auto"/>
        <w:jc w:val="both"/>
        <w:rPr>
          <w:rFonts w:ascii="Verdana" w:eastAsia="Calibri" w:hAnsi="Verdana" w:cs="Arial"/>
          <w:color w:val="000000" w:themeColor="text1"/>
          <w:sz w:val="20"/>
          <w:szCs w:val="20"/>
          <w:lang w:val="es-ES"/>
        </w:rPr>
      </w:pPr>
    </w:p>
    <w:p w14:paraId="7AEFF38A" w14:textId="77777777" w:rsidR="004B3DA2" w:rsidRPr="00D00501" w:rsidRDefault="004B3DA2" w:rsidP="004B3DA2">
      <w:pPr>
        <w:spacing w:after="0"/>
        <w:jc w:val="both"/>
        <w:rPr>
          <w:rFonts w:ascii="Verdana" w:eastAsia="Calibri" w:hAnsi="Verdana" w:cs="Arial"/>
          <w:color w:val="000000" w:themeColor="text1"/>
          <w:lang w:val="es-ES"/>
        </w:rPr>
      </w:pPr>
      <w:r w:rsidRPr="00D00501">
        <w:rPr>
          <w:rFonts w:ascii="Verdana" w:eastAsia="Calibri" w:hAnsi="Verdana" w:cs="Arial"/>
          <w:b/>
          <w:bCs/>
          <w:color w:val="000000" w:themeColor="text1"/>
          <w:lang w:val="es-ES"/>
        </w:rPr>
        <w:t xml:space="preserve">RECHAZO DE LA OFERTA </w:t>
      </w:r>
      <w:r w:rsidRPr="00D00501">
        <w:rPr>
          <w:rFonts w:ascii="Verdana" w:eastAsia="Calibri" w:hAnsi="Verdana" w:cs="Arial"/>
          <w:b/>
          <w:bCs/>
          <w:color w:val="000000" w:themeColor="text1"/>
        </w:rPr>
        <w:t>– Causales –</w:t>
      </w:r>
      <w:r w:rsidRPr="00D00501">
        <w:rPr>
          <w:rFonts w:ascii="Verdana" w:eastAsia="Calibri" w:hAnsi="Verdana" w:cs="Arial"/>
          <w:b/>
          <w:bCs/>
          <w:color w:val="000000" w:themeColor="text1"/>
          <w:lang w:val="es-ES"/>
        </w:rPr>
        <w:t xml:space="preserve"> Principio de imparcialidad </w:t>
      </w:r>
      <w:r w:rsidRPr="00D00501">
        <w:rPr>
          <w:rFonts w:ascii="Verdana" w:eastAsia="Calibri" w:hAnsi="Verdana" w:cs="Arial"/>
          <w:b/>
          <w:bCs/>
          <w:color w:val="000000" w:themeColor="text1"/>
        </w:rPr>
        <w:t>– Principio de</w:t>
      </w:r>
      <w:r w:rsidRPr="00D00501">
        <w:rPr>
          <w:rFonts w:ascii="Verdana" w:eastAsia="Calibri" w:hAnsi="Verdana" w:cs="Arial"/>
          <w:b/>
          <w:bCs/>
          <w:color w:val="000000" w:themeColor="text1"/>
          <w:lang w:val="es-ES"/>
        </w:rPr>
        <w:t xml:space="preserve"> selección objetiva</w:t>
      </w:r>
    </w:p>
    <w:p w14:paraId="625EE3E0" w14:textId="77777777" w:rsidR="004B3DA2" w:rsidRPr="00B64D5B" w:rsidRDefault="004B3DA2" w:rsidP="004B3DA2">
      <w:pPr>
        <w:spacing w:after="0" w:line="240" w:lineRule="auto"/>
        <w:jc w:val="both"/>
        <w:rPr>
          <w:rFonts w:ascii="Verdana" w:eastAsia="Calibri" w:hAnsi="Verdana" w:cs="Arial"/>
          <w:color w:val="000000" w:themeColor="text1"/>
          <w:sz w:val="20"/>
          <w:szCs w:val="20"/>
          <w:lang w:val="es-ES_tradnl"/>
        </w:rPr>
      </w:pPr>
    </w:p>
    <w:p w14:paraId="6D58F40B" w14:textId="77777777" w:rsidR="004B3DA2" w:rsidRPr="00B64D5B" w:rsidRDefault="004B3DA2" w:rsidP="004B3DA2">
      <w:pPr>
        <w:spacing w:after="0" w:line="240" w:lineRule="auto"/>
        <w:jc w:val="both"/>
        <w:rPr>
          <w:rFonts w:ascii="Verdana" w:eastAsia="Calibri" w:hAnsi="Verdana" w:cs="Arial"/>
          <w:color w:val="000000" w:themeColor="text1"/>
          <w:sz w:val="20"/>
          <w:szCs w:val="20"/>
          <w:lang w:val="es-ES_tradnl"/>
        </w:rPr>
      </w:pPr>
      <w:r w:rsidRPr="00B64D5B">
        <w:rPr>
          <w:rFonts w:ascii="Verdana" w:eastAsia="Calibri" w:hAnsi="Verdana" w:cs="Arial"/>
          <w:color w:val="000000" w:themeColor="text1"/>
          <w:sz w:val="20"/>
          <w:szCs w:val="20"/>
          <w:lang w:val="es-ES_tradnl"/>
        </w:rPr>
        <w:t>Dichos principios tienen un papel relevante en la elaboración de los pliegos de condiciones, pues si bien las entidades tienen un margen de autonomía para definir algunos aspectos del futuro negocio, las causales de rechazo de las propuestas deben ser razonables, bien porque algunas de éstas se encuentren previstas en el ordenamiento o porque conducen a que se adjudique el contrato al proponente que cumple con los requisitos técnicos y económicos para su ejecución. En esta medida, dichas causales no deben fundamentarse en el simple capricho o el mero arbitrio, lo cual –además de contrariar los principios analizados– limita la participación</w:t>
      </w:r>
      <w:r>
        <w:rPr>
          <w:rFonts w:ascii="Verdana" w:eastAsia="Calibri" w:hAnsi="Verdana" w:cs="Arial"/>
          <w:color w:val="000000" w:themeColor="text1"/>
          <w:sz w:val="20"/>
          <w:szCs w:val="20"/>
          <w:lang w:val="es-ES_tradnl"/>
        </w:rPr>
        <w:t>.</w:t>
      </w:r>
    </w:p>
    <w:p w14:paraId="08974AE0" w14:textId="77777777" w:rsidR="004B3DA2" w:rsidRPr="00B64D5B" w:rsidRDefault="004B3DA2" w:rsidP="004B3DA2">
      <w:pPr>
        <w:spacing w:after="0" w:line="240" w:lineRule="auto"/>
        <w:jc w:val="both"/>
        <w:rPr>
          <w:rFonts w:ascii="Verdana" w:eastAsia="Calibri" w:hAnsi="Verdana" w:cs="Arial"/>
          <w:b/>
          <w:color w:val="000000" w:themeColor="text1"/>
          <w:sz w:val="20"/>
          <w:szCs w:val="20"/>
          <w:lang w:val="es-ES_tradnl"/>
        </w:rPr>
      </w:pPr>
    </w:p>
    <w:p w14:paraId="2F203709" w14:textId="77777777" w:rsidR="004B3DA2" w:rsidRPr="00D00501" w:rsidRDefault="004B3DA2" w:rsidP="004B3DA2">
      <w:pPr>
        <w:spacing w:after="0" w:line="240" w:lineRule="auto"/>
        <w:jc w:val="both"/>
        <w:rPr>
          <w:rFonts w:ascii="Verdana" w:eastAsia="Calibri" w:hAnsi="Verdana" w:cs="Arial"/>
          <w:b/>
          <w:color w:val="000000" w:themeColor="text1"/>
          <w:lang w:val="es-ES_tradnl"/>
        </w:rPr>
      </w:pPr>
      <w:r w:rsidRPr="00D00501">
        <w:rPr>
          <w:rFonts w:ascii="Verdana" w:eastAsia="Calibri" w:hAnsi="Verdana" w:cs="Arial"/>
          <w:b/>
          <w:color w:val="000000" w:themeColor="text1"/>
          <w:lang w:val="es-ES_tradnl"/>
        </w:rPr>
        <w:t xml:space="preserve">RÉGIMEN DE INHABILIDADES E INCOMPATIBILIDADES – Reserva legal  </w:t>
      </w:r>
    </w:p>
    <w:p w14:paraId="01EC2EF0" w14:textId="77777777" w:rsidR="004B3DA2" w:rsidRPr="00396DBB" w:rsidRDefault="004B3DA2" w:rsidP="004B3DA2">
      <w:pPr>
        <w:spacing w:after="0" w:line="240" w:lineRule="auto"/>
        <w:jc w:val="both"/>
        <w:rPr>
          <w:rFonts w:ascii="Verdana" w:eastAsia="Calibri" w:hAnsi="Verdana" w:cs="Arial"/>
          <w:bCs/>
          <w:color w:val="000000" w:themeColor="text1"/>
          <w:sz w:val="20"/>
          <w:szCs w:val="20"/>
          <w:lang w:val="es-ES_tradnl"/>
        </w:rPr>
      </w:pPr>
    </w:p>
    <w:p w14:paraId="5CD1586B" w14:textId="77777777" w:rsidR="004B3DA2" w:rsidRDefault="004B3DA2" w:rsidP="004B3DA2">
      <w:pPr>
        <w:spacing w:after="0" w:line="240" w:lineRule="auto"/>
        <w:jc w:val="both"/>
        <w:rPr>
          <w:rFonts w:ascii="Verdana" w:hAnsi="Verdana" w:cs="Arial"/>
          <w:color w:val="000000" w:themeColor="text1"/>
          <w:sz w:val="20"/>
          <w:szCs w:val="20"/>
        </w:rPr>
      </w:pPr>
      <w:r w:rsidRPr="00782519">
        <w:rPr>
          <w:rFonts w:ascii="Verdana" w:hAnsi="Verdana" w:cs="Arial"/>
          <w:color w:val="000000" w:themeColor="text1"/>
          <w:sz w:val="20"/>
          <w:szCs w:val="20"/>
        </w:rPr>
        <w:t>El carácter reconocidamente taxativo y restrictivo de régimen de inhabilidades e incompatibilidades obedece a la necesidad de salvaguardar el interés general inherente en la contratación pública, de forma que implique el menor sacrificio posible al derecho de igualdad y de reconocimiento de la personalidad jurídica de quienes aspiran a contratar con el Estado. Bajo estas circunstancias, las entidades públicas no pueden establecer en el pliego de condiciones causales de inhabilidad o incompatibilidad no previstas en la Constitución o en la ley. En consecuencia, al tratarse de una materia que tiene reserva legal, no resulta jurídicamente posible que una entidad pública establezca nuevas causales que afecten la capacidad para contratar con el Estado, ni siquiera haciéndolas pasar como causa para rechazar los ofrecimientos realizados a la entidad.</w:t>
      </w:r>
    </w:p>
    <w:p w14:paraId="6639F9A8" w14:textId="77777777" w:rsidR="004B3DA2" w:rsidRPr="00BB3BE4" w:rsidRDefault="004B3DA2" w:rsidP="004B3DA2">
      <w:pPr>
        <w:tabs>
          <w:tab w:val="left" w:pos="709"/>
        </w:tabs>
        <w:spacing w:after="0" w:line="240" w:lineRule="auto"/>
        <w:jc w:val="both"/>
        <w:rPr>
          <w:rFonts w:ascii="Verdana" w:eastAsia="Calibri" w:hAnsi="Verdana" w:cs="Arial"/>
          <w:bCs/>
          <w:sz w:val="20"/>
          <w:szCs w:val="20"/>
          <w:lang w:val="es-ES_tradnl" w:eastAsia="es-ES_tradnl"/>
        </w:rPr>
      </w:pPr>
    </w:p>
    <w:p w14:paraId="592B8B61" w14:textId="77777777" w:rsidR="004B3DA2" w:rsidRPr="00BB3BE4" w:rsidRDefault="004B3DA2" w:rsidP="004B3DA2">
      <w:pPr>
        <w:tabs>
          <w:tab w:val="left" w:pos="709"/>
        </w:tabs>
        <w:spacing w:after="0" w:line="240" w:lineRule="auto"/>
        <w:jc w:val="both"/>
        <w:rPr>
          <w:rFonts w:ascii="Verdana" w:eastAsia="Calibri" w:hAnsi="Verdana" w:cs="Arial"/>
          <w:b/>
          <w:lang w:val="es-ES_tradnl" w:eastAsia="es-ES_tradnl"/>
        </w:rPr>
      </w:pPr>
      <w:r w:rsidRPr="00BB3BE4">
        <w:rPr>
          <w:rFonts w:ascii="Verdana" w:eastAsia="Calibri" w:hAnsi="Verdana" w:cs="Arial"/>
          <w:b/>
          <w:lang w:val="es-ES_tradnl" w:eastAsia="es-ES_tradnl"/>
        </w:rPr>
        <w:t>PROPONENTE PLURAL ‒ Consorcio ‒ Uni</w:t>
      </w:r>
      <w:r w:rsidRPr="00BB3BE4">
        <w:rPr>
          <w:rFonts w:ascii="Verdana" w:eastAsia="Calibri" w:hAnsi="Verdana" w:cs="Century Gothic"/>
          <w:b/>
          <w:lang w:val="es-ES_tradnl" w:eastAsia="es-ES_tradnl"/>
        </w:rPr>
        <w:t>ó</w:t>
      </w:r>
      <w:r w:rsidRPr="00BB3BE4">
        <w:rPr>
          <w:rFonts w:ascii="Verdana" w:eastAsia="Calibri" w:hAnsi="Verdana" w:cs="Arial"/>
          <w:b/>
          <w:lang w:val="es-ES_tradnl" w:eastAsia="es-ES_tradnl"/>
        </w:rPr>
        <w:t xml:space="preserve">n temporal ‒ Concepto </w:t>
      </w:r>
      <w:r w:rsidRPr="00BB3BE4">
        <w:rPr>
          <w:rFonts w:ascii="Verdana" w:eastAsia="Calibri" w:hAnsi="Verdana" w:cs="Century Gothic"/>
          <w:b/>
          <w:lang w:val="es-ES_tradnl" w:eastAsia="es-ES_tradnl"/>
        </w:rPr>
        <w:t>–</w:t>
      </w:r>
      <w:r w:rsidRPr="00BB3BE4">
        <w:rPr>
          <w:rFonts w:ascii="Verdana" w:eastAsia="Calibri" w:hAnsi="Verdana" w:cs="Arial"/>
          <w:b/>
          <w:lang w:val="es-ES_tradnl" w:eastAsia="es-ES_tradnl"/>
        </w:rPr>
        <w:t xml:space="preserve"> Diferencias</w:t>
      </w:r>
    </w:p>
    <w:p w14:paraId="768EF0E9" w14:textId="77777777" w:rsidR="004B3DA2" w:rsidRPr="00BB3BE4" w:rsidRDefault="004B3DA2" w:rsidP="004B3DA2">
      <w:pPr>
        <w:tabs>
          <w:tab w:val="left" w:pos="709"/>
        </w:tabs>
        <w:spacing w:after="0" w:line="240" w:lineRule="auto"/>
        <w:jc w:val="both"/>
        <w:rPr>
          <w:rFonts w:ascii="Verdana" w:eastAsia="Calibri" w:hAnsi="Verdana" w:cs="Arial"/>
          <w:bCs/>
          <w:sz w:val="20"/>
          <w:szCs w:val="20"/>
          <w:lang w:val="es-ES_tradnl" w:eastAsia="es-ES_tradnl"/>
        </w:rPr>
      </w:pPr>
    </w:p>
    <w:p w14:paraId="64BD1154" w14:textId="77777777" w:rsidR="004B3DA2" w:rsidRPr="00BB3BE4" w:rsidRDefault="004B3DA2" w:rsidP="004B3DA2">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444EB8EE" w14:textId="77777777" w:rsidR="004B3DA2" w:rsidRPr="00605DBB" w:rsidRDefault="004B3DA2" w:rsidP="004B3DA2">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1B194E24" w14:textId="77777777" w:rsidR="004B3DA2" w:rsidRPr="00BB3BE4" w:rsidRDefault="004B3DA2" w:rsidP="004B3DA2">
      <w:pPr>
        <w:tabs>
          <w:tab w:val="left" w:pos="709"/>
        </w:tabs>
        <w:spacing w:after="0" w:line="240" w:lineRule="auto"/>
        <w:jc w:val="both"/>
        <w:rPr>
          <w:rFonts w:ascii="Verdana" w:eastAsia="Calibri" w:hAnsi="Verdana" w:cs="Arial"/>
          <w:b/>
          <w:lang w:val="es-ES_tradnl" w:eastAsia="es-ES_tradnl"/>
        </w:rPr>
      </w:pPr>
      <w:r w:rsidRPr="00BB3BE4">
        <w:rPr>
          <w:rFonts w:ascii="Verdana" w:eastAsia="Calibri" w:hAnsi="Verdana" w:cs="Arial"/>
          <w:b/>
          <w:lang w:val="es-ES_tradnl" w:eastAsia="es-ES_tradnl"/>
        </w:rPr>
        <w:t xml:space="preserve">PROPONENTE PLURAL ‒ </w:t>
      </w:r>
      <w:r>
        <w:rPr>
          <w:rFonts w:ascii="Verdana" w:eastAsia="Calibri" w:hAnsi="Verdana" w:cs="Arial"/>
          <w:b/>
          <w:lang w:val="es-ES_tradnl" w:eastAsia="es-ES_tradnl"/>
        </w:rPr>
        <w:t>Causales de rechazo</w:t>
      </w:r>
      <w:r w:rsidRPr="00BB3BE4">
        <w:rPr>
          <w:rFonts w:ascii="Verdana" w:eastAsia="Calibri" w:hAnsi="Verdana" w:cs="Arial"/>
          <w:b/>
          <w:lang w:val="es-ES_tradnl" w:eastAsia="es-ES_tradnl"/>
        </w:rPr>
        <w:t xml:space="preserve"> ‒ </w:t>
      </w:r>
      <w:r>
        <w:rPr>
          <w:rFonts w:ascii="Verdana" w:eastAsia="Calibri" w:hAnsi="Verdana" w:cs="Arial"/>
          <w:b/>
          <w:lang w:val="es-ES_tradnl" w:eastAsia="es-ES_tradnl"/>
        </w:rPr>
        <w:t>Documentos del proceso – Documentos tipo – Regulación especial</w:t>
      </w:r>
    </w:p>
    <w:p w14:paraId="34D78017" w14:textId="77777777" w:rsidR="004B3DA2" w:rsidRPr="00BB3BE4" w:rsidRDefault="004B3DA2" w:rsidP="004B3DA2">
      <w:pPr>
        <w:tabs>
          <w:tab w:val="left" w:pos="709"/>
        </w:tabs>
        <w:spacing w:after="0" w:line="240" w:lineRule="auto"/>
        <w:jc w:val="both"/>
        <w:rPr>
          <w:rFonts w:ascii="Verdana" w:eastAsia="Calibri" w:hAnsi="Verdana" w:cs="Arial"/>
          <w:bCs/>
          <w:sz w:val="20"/>
          <w:szCs w:val="20"/>
          <w:lang w:val="es-ES_tradnl" w:eastAsia="es-ES_tradnl"/>
        </w:rPr>
      </w:pPr>
    </w:p>
    <w:p w14:paraId="4A59B0FF" w14:textId="77777777" w:rsidR="004B3DA2" w:rsidRDefault="004B3DA2" w:rsidP="004B3DA2">
      <w:pPr>
        <w:spacing w:after="0" w:line="240" w:lineRule="auto"/>
        <w:jc w:val="both"/>
        <w:rPr>
          <w:rFonts w:ascii="Verdana" w:hAnsi="Verdana" w:cs="Arial"/>
          <w:color w:val="000000" w:themeColor="text1"/>
          <w:sz w:val="20"/>
          <w:szCs w:val="20"/>
        </w:rPr>
      </w:pPr>
      <w:r w:rsidRPr="00605DBB">
        <w:rPr>
          <w:rFonts w:ascii="Verdana" w:hAnsi="Verdana" w:cs="Arial"/>
          <w:color w:val="000000" w:themeColor="text1"/>
          <w:sz w:val="20"/>
          <w:szCs w:val="20"/>
        </w:rPr>
        <w:t xml:space="preserve">Las estructuras plurales pueden participar en los procesos de selección de acuerdo con los requisitos que establezca el pliego de condiciones o el documento equivalente, pues </w:t>
      </w:r>
      <w:r w:rsidRPr="00605DBB">
        <w:rPr>
          <w:rFonts w:ascii="Verdana" w:hAnsi="Verdana" w:cs="Arial"/>
          <w:color w:val="000000" w:themeColor="text1"/>
          <w:sz w:val="20"/>
          <w:szCs w:val="20"/>
        </w:rPr>
        <w:lastRenderedPageBreak/>
        <w:t xml:space="preserve">éstos delimitan la forma en que intervienen los interesados junto con las respectivas causales de rechazo. Siempre que estas últimas se sujeten a lo explicado </w:t>
      </w:r>
      <w:r>
        <w:rPr>
          <w:rFonts w:ascii="Verdana" w:hAnsi="Verdana" w:cs="Arial"/>
          <w:color w:val="000000" w:themeColor="text1"/>
          <w:sz w:val="20"/>
          <w:szCs w:val="20"/>
        </w:rPr>
        <w:t>en los apartados anteriores</w:t>
      </w:r>
      <w:r w:rsidRPr="00605DBB">
        <w:rPr>
          <w:rFonts w:ascii="Verdana" w:hAnsi="Verdana" w:cs="Arial"/>
          <w:color w:val="000000" w:themeColor="text1"/>
          <w:sz w:val="20"/>
          <w:szCs w:val="20"/>
        </w:rPr>
        <w:t xml:space="preserve">, las entidades tienen discrecionalidad para consagrar la circunstancias que impiden la evaluación de las ofertas y la forma de verificarlas. </w:t>
      </w:r>
    </w:p>
    <w:p w14:paraId="6DE7FAC7" w14:textId="77777777" w:rsidR="004B3DA2" w:rsidRPr="00605DBB" w:rsidRDefault="004B3DA2" w:rsidP="004B3DA2">
      <w:pPr>
        <w:spacing w:after="0" w:line="240" w:lineRule="auto"/>
        <w:jc w:val="both"/>
        <w:rPr>
          <w:rFonts w:ascii="Verdana" w:hAnsi="Verdana" w:cs="Arial"/>
          <w:color w:val="000000" w:themeColor="text1"/>
          <w:sz w:val="20"/>
          <w:szCs w:val="20"/>
        </w:rPr>
      </w:pPr>
    </w:p>
    <w:p w14:paraId="778CA3D1" w14:textId="77777777" w:rsidR="004B3DA2" w:rsidRDefault="004B3DA2" w:rsidP="004B3DA2">
      <w:pPr>
        <w:spacing w:after="0" w:line="240" w:lineRule="auto"/>
        <w:jc w:val="both"/>
        <w:rPr>
          <w:rFonts w:ascii="Verdana" w:hAnsi="Verdana" w:cs="Arial"/>
          <w:color w:val="000000" w:themeColor="text1"/>
          <w:sz w:val="20"/>
          <w:szCs w:val="20"/>
        </w:rPr>
      </w:pPr>
      <w:r w:rsidRPr="00605DBB">
        <w:rPr>
          <w:rFonts w:ascii="Verdana" w:hAnsi="Verdana" w:cs="Arial"/>
          <w:color w:val="000000" w:themeColor="text1"/>
          <w:sz w:val="20"/>
          <w:szCs w:val="20"/>
        </w:rPr>
        <w:t xml:space="preserve">No obstante, en los procesos regidos por el artículo 1 de la Ley 2022 de 2020 para entidades sometidas al EGCAP y el artículo 56 de la Ley 2195 de 2022 para las entidades exceptuadas de la Ley 80 de 1993, es necesario sujetarse a las causales que establezcan los documentos tipo. Por ejemplo, la versión 4 de los documentos tipo de licitación pública de obra de infraestructura de transporte consagra el rechazo de la oferta “Cuando una misma persona natural o jurídica, o integrante de un proponente plural presente o haga parte en más de una propuesta para el presente Proceso de Contratación”. </w:t>
      </w:r>
    </w:p>
    <w:p w14:paraId="69758EF8" w14:textId="77777777" w:rsidR="004B3DA2" w:rsidRPr="00605DBB" w:rsidRDefault="004B3DA2" w:rsidP="004B3DA2">
      <w:pPr>
        <w:spacing w:after="0" w:line="240" w:lineRule="auto"/>
        <w:jc w:val="both"/>
        <w:rPr>
          <w:rFonts w:ascii="Verdana" w:hAnsi="Verdana" w:cs="Arial"/>
          <w:color w:val="000000" w:themeColor="text1"/>
          <w:sz w:val="20"/>
          <w:szCs w:val="20"/>
        </w:rPr>
      </w:pPr>
    </w:p>
    <w:p w14:paraId="5DFABEA5" w14:textId="77777777" w:rsidR="004B3DA2" w:rsidRPr="00BB3BE4" w:rsidRDefault="004B3DA2" w:rsidP="004B3DA2">
      <w:pPr>
        <w:spacing w:after="0" w:line="240" w:lineRule="auto"/>
        <w:jc w:val="both"/>
        <w:rPr>
          <w:rFonts w:ascii="Verdana" w:hAnsi="Verdana" w:cs="Arial"/>
          <w:color w:val="000000" w:themeColor="text1"/>
          <w:sz w:val="20"/>
          <w:szCs w:val="20"/>
        </w:rPr>
      </w:pPr>
      <w:r w:rsidRPr="00605DBB">
        <w:rPr>
          <w:rFonts w:ascii="Verdana" w:hAnsi="Verdana" w:cs="Arial"/>
          <w:color w:val="000000" w:themeColor="text1"/>
          <w:sz w:val="20"/>
          <w:szCs w:val="20"/>
        </w:rPr>
        <w:t xml:space="preserve">Esta causal está dirigida a evitar que un mismo oferente presente de manera individual más de una propuesta o haga parte en más de una oferta para un mismo proceso de contratación. Por lo tanto, para que opere la causal, debe tratarse de un proponente persona natural o jurídica, o de un integrante de un proponente plural, de manera que, stricto sensu, no resulta aplicable cuando se trate de supuestos en los que un proponente tiene algún tipo de relación societaria o parentesco dentro del mismo consorcio u unión temporal, tenido en cuenta la interpretación restrictiva que se predica de las causales de rechazo, sin perjuicio de que, eventualmente, resulte aplicable otra causal de rechazo, o alguna de las inhabilitades e incompatibilidades señaladas en la ley, especialmente, la de los literales g) y h) del artículo 8.1 de la Ley 80 de 1993. </w:t>
      </w:r>
      <w:r w:rsidRPr="00BB3BE4">
        <w:rPr>
          <w:rFonts w:ascii="Verdana" w:hAnsi="Verdana" w:cs="Arial"/>
          <w:color w:val="000000" w:themeColor="text1"/>
          <w:sz w:val="20"/>
          <w:szCs w:val="20"/>
        </w:rPr>
        <w:t xml:space="preserve">  </w:t>
      </w:r>
    </w:p>
    <w:p w14:paraId="7770B820" w14:textId="77777777" w:rsidR="004B3DA2" w:rsidRDefault="004B3DA2" w:rsidP="004B3DA2">
      <w:pPr>
        <w:spacing w:after="0" w:line="240" w:lineRule="auto"/>
        <w:jc w:val="both"/>
        <w:rPr>
          <w:rFonts w:ascii="Verdana" w:eastAsia="Calibri" w:hAnsi="Verdana" w:cs="Arial"/>
          <w:sz w:val="20"/>
          <w:szCs w:val="20"/>
        </w:rPr>
      </w:pPr>
    </w:p>
    <w:p w14:paraId="3A548AF4" w14:textId="77777777" w:rsidR="004B3DA2" w:rsidRDefault="004B3DA2" w:rsidP="004B3DA2">
      <w:pPr>
        <w:spacing w:after="0" w:line="240" w:lineRule="auto"/>
        <w:jc w:val="both"/>
        <w:rPr>
          <w:rFonts w:ascii="Verdana" w:eastAsia="Calibri" w:hAnsi="Verdana" w:cs="Arial"/>
          <w:sz w:val="20"/>
          <w:szCs w:val="20"/>
        </w:rPr>
      </w:pPr>
    </w:p>
    <w:p w14:paraId="586378B3" w14:textId="77777777" w:rsidR="004B3DA2" w:rsidRPr="00705C5F" w:rsidRDefault="004B3DA2" w:rsidP="004B3DA2">
      <w:pPr>
        <w:spacing w:after="0" w:line="240" w:lineRule="auto"/>
        <w:jc w:val="both"/>
        <w:rPr>
          <w:rFonts w:ascii="Verdana" w:eastAsia="Calibri" w:hAnsi="Verdana" w:cs="Arial"/>
          <w:sz w:val="20"/>
          <w:szCs w:val="20"/>
        </w:rPr>
      </w:pPr>
    </w:p>
    <w:p w14:paraId="7B1A3E7F" w14:textId="77777777" w:rsidR="004B3DA2" w:rsidRPr="00B53D4E" w:rsidRDefault="004B3DA2" w:rsidP="004B3DA2">
      <w:pPr>
        <w:spacing w:after="0" w:line="240" w:lineRule="auto"/>
        <w:jc w:val="both"/>
        <w:rPr>
          <w:rFonts w:ascii="Verdana" w:eastAsia="Calibri" w:hAnsi="Verdana" w:cs="Arial"/>
          <w:color w:val="000000" w:themeColor="text1"/>
          <w:sz w:val="20"/>
          <w:szCs w:val="20"/>
        </w:rPr>
      </w:pPr>
    </w:p>
    <w:p w14:paraId="38DC7550" w14:textId="77777777" w:rsidR="004B3DA2" w:rsidRPr="005549AE" w:rsidRDefault="004B3DA2" w:rsidP="004B3DA2">
      <w:pPr>
        <w:spacing w:after="0" w:line="240" w:lineRule="auto"/>
        <w:jc w:val="both"/>
        <w:rPr>
          <w:rFonts w:ascii="Verdana" w:hAnsi="Verdana" w:cs="Arial"/>
          <w:sz w:val="20"/>
          <w:szCs w:val="20"/>
          <w:lang w:val="es-ES"/>
        </w:rPr>
      </w:pPr>
      <w:r w:rsidRPr="005549AE">
        <w:rPr>
          <w:rFonts w:ascii="Verdana" w:hAnsi="Verdana" w:cs="Arial"/>
          <w:sz w:val="20"/>
          <w:szCs w:val="20"/>
          <w:lang w:val="es-ES"/>
        </w:rPr>
        <w:t xml:space="preserve"> </w:t>
      </w:r>
    </w:p>
    <w:p w14:paraId="7C8D5C8B" w14:textId="77777777" w:rsidR="004B3DA2" w:rsidRDefault="004B3DA2" w:rsidP="004B3DA2">
      <w:pPr>
        <w:spacing w:after="0" w:line="240" w:lineRule="auto"/>
        <w:rPr>
          <w:rFonts w:ascii="Verdana" w:hAnsi="Verdana"/>
          <w:sz w:val="20"/>
          <w:szCs w:val="20"/>
          <w:lang w:val="es-ES"/>
        </w:rPr>
      </w:pPr>
    </w:p>
    <w:p w14:paraId="56244292" w14:textId="77777777" w:rsidR="004B3DA2" w:rsidRDefault="004B3DA2" w:rsidP="004B3DA2">
      <w:pPr>
        <w:spacing w:after="0" w:line="240" w:lineRule="auto"/>
        <w:rPr>
          <w:rFonts w:ascii="Verdana" w:eastAsia="Geomanist Light" w:hAnsi="Verdana" w:cs="Arial"/>
          <w:color w:val="000000" w:themeColor="text1"/>
          <w:lang w:val="es-MX"/>
        </w:rPr>
      </w:pPr>
    </w:p>
    <w:p w14:paraId="481AC177" w14:textId="77777777" w:rsidR="004B3DA2" w:rsidRDefault="004B3DA2" w:rsidP="004B3DA2">
      <w:pPr>
        <w:spacing w:after="0" w:line="240" w:lineRule="auto"/>
        <w:rPr>
          <w:rFonts w:ascii="Verdana" w:eastAsia="Geomanist Light" w:hAnsi="Verdana" w:cs="Arial"/>
          <w:color w:val="000000" w:themeColor="text1"/>
          <w:lang w:val="es-MX"/>
        </w:rPr>
      </w:pPr>
    </w:p>
    <w:p w14:paraId="457CD7AF" w14:textId="77777777" w:rsidR="004B3DA2" w:rsidRDefault="004B3DA2" w:rsidP="004B3DA2">
      <w:pPr>
        <w:spacing w:after="0" w:line="240" w:lineRule="auto"/>
        <w:rPr>
          <w:rFonts w:ascii="Verdana" w:eastAsia="Geomanist Light" w:hAnsi="Verdana" w:cs="Arial"/>
          <w:color w:val="000000" w:themeColor="text1"/>
          <w:lang w:val="es-MX"/>
        </w:rPr>
      </w:pPr>
    </w:p>
    <w:p w14:paraId="616B2C2A" w14:textId="77777777" w:rsidR="004B3DA2" w:rsidRDefault="004B3DA2" w:rsidP="004B3DA2">
      <w:pPr>
        <w:spacing w:after="0" w:line="240" w:lineRule="auto"/>
        <w:rPr>
          <w:rFonts w:ascii="Verdana" w:eastAsia="Geomanist Light" w:hAnsi="Verdana" w:cs="Arial"/>
          <w:color w:val="000000" w:themeColor="text1"/>
          <w:lang w:val="es-MX"/>
        </w:rPr>
      </w:pPr>
    </w:p>
    <w:p w14:paraId="678A2E0F" w14:textId="77777777" w:rsidR="004B3DA2" w:rsidRDefault="004B3DA2" w:rsidP="004B3DA2">
      <w:pPr>
        <w:spacing w:after="0" w:line="240" w:lineRule="auto"/>
        <w:rPr>
          <w:rFonts w:ascii="Verdana" w:eastAsia="Geomanist Light" w:hAnsi="Verdana" w:cs="Arial"/>
          <w:color w:val="000000" w:themeColor="text1"/>
          <w:lang w:val="es-MX"/>
        </w:rPr>
      </w:pPr>
    </w:p>
    <w:p w14:paraId="3B15D762" w14:textId="77777777" w:rsidR="004B3DA2" w:rsidRDefault="004B3DA2" w:rsidP="004B3DA2">
      <w:pPr>
        <w:spacing w:after="0" w:line="240" w:lineRule="auto"/>
        <w:rPr>
          <w:rFonts w:ascii="Verdana" w:eastAsia="Geomanist Light" w:hAnsi="Verdana" w:cs="Arial"/>
          <w:color w:val="000000" w:themeColor="text1"/>
          <w:lang w:val="es-MX"/>
        </w:rPr>
      </w:pPr>
    </w:p>
    <w:p w14:paraId="4FF48D96" w14:textId="77777777" w:rsidR="004B3DA2" w:rsidRDefault="004B3DA2" w:rsidP="004B3DA2">
      <w:pPr>
        <w:spacing w:after="0" w:line="240" w:lineRule="auto"/>
        <w:rPr>
          <w:rFonts w:ascii="Verdana" w:eastAsia="Geomanist Light" w:hAnsi="Verdana" w:cs="Arial"/>
          <w:color w:val="000000" w:themeColor="text1"/>
          <w:lang w:val="es-MX"/>
        </w:rPr>
      </w:pPr>
    </w:p>
    <w:p w14:paraId="73E89C2A" w14:textId="77777777" w:rsidR="004B3DA2" w:rsidRDefault="004B3DA2" w:rsidP="004B3DA2">
      <w:pPr>
        <w:spacing w:after="0" w:line="240" w:lineRule="auto"/>
        <w:rPr>
          <w:rFonts w:ascii="Verdana" w:eastAsia="Geomanist Light" w:hAnsi="Verdana" w:cs="Arial"/>
          <w:color w:val="000000" w:themeColor="text1"/>
          <w:lang w:val="es-MX"/>
        </w:rPr>
      </w:pPr>
    </w:p>
    <w:p w14:paraId="3DBBEDF2" w14:textId="77777777" w:rsidR="004B3DA2" w:rsidRDefault="004B3DA2" w:rsidP="004B3DA2">
      <w:pPr>
        <w:spacing w:after="0" w:line="240" w:lineRule="auto"/>
        <w:rPr>
          <w:rFonts w:ascii="Verdana" w:eastAsia="Geomanist Light" w:hAnsi="Verdana" w:cs="Arial"/>
          <w:color w:val="000000" w:themeColor="text1"/>
          <w:lang w:val="es-MX"/>
        </w:rPr>
      </w:pPr>
    </w:p>
    <w:p w14:paraId="6DA42BF6" w14:textId="77777777" w:rsidR="004B3DA2" w:rsidRDefault="004B3DA2" w:rsidP="004B3DA2">
      <w:pPr>
        <w:spacing w:after="0" w:line="240" w:lineRule="auto"/>
        <w:rPr>
          <w:rFonts w:ascii="Verdana" w:eastAsia="Geomanist Light" w:hAnsi="Verdana" w:cs="Arial"/>
          <w:color w:val="000000" w:themeColor="text1"/>
          <w:lang w:val="es-MX"/>
        </w:rPr>
      </w:pPr>
    </w:p>
    <w:p w14:paraId="4E376E68" w14:textId="77777777" w:rsidR="004B3DA2" w:rsidRDefault="004B3DA2" w:rsidP="004B3DA2">
      <w:pPr>
        <w:spacing w:after="0" w:line="240" w:lineRule="auto"/>
        <w:rPr>
          <w:rFonts w:ascii="Verdana" w:eastAsia="Geomanist Light" w:hAnsi="Verdana" w:cs="Arial"/>
          <w:color w:val="000000" w:themeColor="text1"/>
          <w:lang w:val="es-MX"/>
        </w:rPr>
      </w:pPr>
    </w:p>
    <w:p w14:paraId="3F937727" w14:textId="77777777" w:rsidR="004B3DA2" w:rsidRDefault="004B3DA2" w:rsidP="004B3DA2">
      <w:pPr>
        <w:spacing w:after="0" w:line="240" w:lineRule="auto"/>
        <w:rPr>
          <w:rFonts w:ascii="Verdana" w:eastAsia="Geomanist Light" w:hAnsi="Verdana" w:cs="Arial"/>
          <w:color w:val="000000" w:themeColor="text1"/>
          <w:lang w:val="es-MX"/>
        </w:rPr>
      </w:pPr>
    </w:p>
    <w:p w14:paraId="174EF82D" w14:textId="77777777" w:rsidR="004B3DA2" w:rsidRDefault="004B3DA2" w:rsidP="004B3DA2">
      <w:pPr>
        <w:spacing w:after="0" w:line="240" w:lineRule="auto"/>
        <w:rPr>
          <w:rFonts w:ascii="Verdana" w:eastAsia="Geomanist Light" w:hAnsi="Verdana" w:cs="Arial"/>
          <w:color w:val="000000" w:themeColor="text1"/>
          <w:lang w:val="es-MX"/>
        </w:rPr>
      </w:pPr>
    </w:p>
    <w:p w14:paraId="4B938421" w14:textId="77777777" w:rsidR="004B3DA2" w:rsidRDefault="004B3DA2" w:rsidP="004B3DA2">
      <w:pPr>
        <w:spacing w:after="0" w:line="240" w:lineRule="auto"/>
        <w:rPr>
          <w:rFonts w:ascii="Verdana" w:eastAsia="Geomanist Light" w:hAnsi="Verdana" w:cs="Arial"/>
          <w:color w:val="000000" w:themeColor="text1"/>
          <w:lang w:val="es-MX"/>
        </w:rPr>
      </w:pPr>
    </w:p>
    <w:p w14:paraId="1B1462D3" w14:textId="77777777" w:rsidR="004B3DA2" w:rsidRDefault="004B3DA2" w:rsidP="000F7F2B">
      <w:pPr>
        <w:spacing w:after="0" w:line="240" w:lineRule="auto"/>
        <w:rPr>
          <w:rFonts w:ascii="Verdana" w:eastAsia="Geomanist Light" w:hAnsi="Verdana" w:cs="Arial"/>
          <w:color w:val="000000" w:themeColor="text1"/>
          <w:lang w:val="es-MX"/>
        </w:rPr>
      </w:pPr>
    </w:p>
    <w:p w14:paraId="271D7A27" w14:textId="5BFD2F82" w:rsidR="000F7F2B" w:rsidRPr="00593A5F" w:rsidRDefault="000F7F2B" w:rsidP="000F7F2B">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246396">
        <w:rPr>
          <w:rFonts w:ascii="Verdana" w:eastAsia="Geomanist Light" w:hAnsi="Verdana" w:cs="Arial"/>
          <w:color w:val="000000" w:themeColor="text1"/>
          <w:lang w:val="es-MX"/>
        </w:rPr>
        <w:t>06 de Noviembre de 2025</w:t>
      </w:r>
    </w:p>
    <w:p w14:paraId="30E3DE9E" w14:textId="77777777" w:rsidR="000F7F2B" w:rsidRDefault="000F7F2B" w:rsidP="000F7F2B">
      <w:pPr>
        <w:spacing w:after="0" w:line="240" w:lineRule="auto"/>
        <w:jc w:val="both"/>
        <w:rPr>
          <w:rFonts w:ascii="Verdana" w:eastAsia="Calibri" w:hAnsi="Verdana" w:cs="Arial"/>
          <w:color w:val="000000"/>
          <w:lang w:val="es-ES"/>
        </w:rPr>
      </w:pPr>
    </w:p>
    <w:p w14:paraId="675711FD" w14:textId="46B73DF7" w:rsidR="003025F8" w:rsidRDefault="003025F8" w:rsidP="003025F8">
      <w:pPr>
        <w:spacing w:after="0" w:line="240" w:lineRule="auto"/>
        <w:jc w:val="right"/>
        <w:rPr>
          <w:rFonts w:ascii="Verdana" w:eastAsia="Calibri" w:hAnsi="Verdana" w:cs="Arial"/>
          <w:color w:val="000000"/>
          <w:lang w:val="es-ES"/>
        </w:rPr>
      </w:pPr>
      <w:r w:rsidRPr="003025F8">
        <w:rPr>
          <w:rFonts w:ascii="Verdana" w:eastAsia="Calibri" w:hAnsi="Verdana" w:cs="Arial"/>
          <w:noProof/>
          <w:color w:val="000000"/>
          <w:lang w:val="es-ES"/>
        </w:rPr>
        <w:drawing>
          <wp:inline distT="0" distB="0" distL="0" distR="0" wp14:anchorId="7ED115C7" wp14:editId="363D6675">
            <wp:extent cx="2400300" cy="622300"/>
            <wp:effectExtent l="0" t="0" r="0" b="0"/>
            <wp:docPr id="552478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47884" name=""/>
                    <pic:cNvPicPr/>
                  </pic:nvPicPr>
                  <pic:blipFill>
                    <a:blip r:embed="rId10"/>
                    <a:stretch>
                      <a:fillRect/>
                    </a:stretch>
                  </pic:blipFill>
                  <pic:spPr>
                    <a:xfrm>
                      <a:off x="0" y="0"/>
                      <a:ext cx="2400300" cy="622300"/>
                    </a:xfrm>
                    <a:prstGeom prst="rect">
                      <a:avLst/>
                    </a:prstGeom>
                  </pic:spPr>
                </pic:pic>
              </a:graphicData>
            </a:graphic>
          </wp:inline>
        </w:drawing>
      </w:r>
    </w:p>
    <w:p w14:paraId="30E032EF" w14:textId="77777777" w:rsidR="000F7F2B" w:rsidRPr="00593A5F" w:rsidRDefault="000F7F2B" w:rsidP="000F7F2B">
      <w:pPr>
        <w:spacing w:after="0" w:line="240" w:lineRule="auto"/>
        <w:jc w:val="both"/>
        <w:rPr>
          <w:rFonts w:ascii="Verdana" w:eastAsia="Calibri" w:hAnsi="Verdana" w:cs="Arial"/>
          <w:color w:val="000000"/>
          <w:lang w:val="es-ES"/>
        </w:rPr>
      </w:pPr>
    </w:p>
    <w:p w14:paraId="240EC501" w14:textId="77777777" w:rsidR="000F7F2B" w:rsidRPr="00B96799" w:rsidRDefault="000F7F2B" w:rsidP="000F7F2B">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65A88A75" w14:textId="77777777" w:rsidR="000F7F2B" w:rsidRPr="0085423D" w:rsidRDefault="000F7F2B" w:rsidP="000F7F2B">
      <w:pPr>
        <w:spacing w:after="0" w:line="240" w:lineRule="auto"/>
        <w:rPr>
          <w:rFonts w:ascii="Verdana" w:eastAsia="Calibri" w:hAnsi="Verdana" w:cs="Arial"/>
          <w:b/>
          <w:lang w:val="es-ES_tradnl" w:eastAsia="es-ES_tradnl"/>
        </w:rPr>
      </w:pPr>
      <w:bookmarkStart w:id="0" w:name="OLE_LINK1"/>
      <w:r w:rsidRPr="00FF140C">
        <w:rPr>
          <w:rFonts w:ascii="Verdana" w:eastAsia="Calibri" w:hAnsi="Verdana" w:cs="Arial"/>
          <w:b/>
          <w:lang w:val="es-ES_tradnl" w:eastAsia="es-ES_tradnl"/>
        </w:rPr>
        <w:t>Johanna Carolina Sepúlveda Sierra</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0DD49535" w14:textId="77777777" w:rsidR="000F7F2B" w:rsidRPr="00A804BA" w:rsidRDefault="000F7F2B" w:rsidP="000F7F2B">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C52A7D">
        <w:rPr>
          <w:rFonts w:ascii="Verdana" w:hAnsi="Verdana"/>
        </w:rPr>
        <w:instrText>director.comercial@vcaconsulting.com.co</w:instrText>
      </w:r>
      <w:r>
        <w:rPr>
          <w:rFonts w:ascii="Verdana" w:hAnsi="Verdana"/>
        </w:rPr>
        <w:instrText>"</w:instrText>
      </w:r>
      <w:r>
        <w:rPr>
          <w:rFonts w:ascii="Verdana" w:hAnsi="Verdana"/>
        </w:rPr>
      </w:r>
      <w:r>
        <w:rPr>
          <w:rFonts w:ascii="Verdana" w:hAnsi="Verdana"/>
        </w:rPr>
        <w:fldChar w:fldCharType="separate"/>
      </w:r>
      <w:r w:rsidRPr="00987CF2">
        <w:rPr>
          <w:rStyle w:val="Hipervnculo"/>
          <w:rFonts w:ascii="Verdana" w:hAnsi="Verdana"/>
        </w:rPr>
        <w:t>director.comercial@vcaconsulting.com.co</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2F6CB88B" w14:textId="77777777" w:rsidR="000F7F2B" w:rsidRDefault="000F7F2B" w:rsidP="000F7F2B">
      <w:pPr>
        <w:spacing w:after="0" w:line="240" w:lineRule="auto"/>
        <w:rPr>
          <w:rFonts w:ascii="Verdana" w:eastAsia="Calibri" w:hAnsi="Verdana" w:cs="Arial"/>
          <w:lang w:val="es-ES" w:eastAsia="es-ES"/>
        </w:rPr>
      </w:pPr>
      <w:r w:rsidRPr="00FF140C">
        <w:rPr>
          <w:rFonts w:ascii="Verdana" w:eastAsia="Calibri" w:hAnsi="Verdana" w:cs="Arial"/>
          <w:lang w:val="es-ES" w:eastAsia="es-ES"/>
        </w:rPr>
        <w:t>Bogotá D.C.</w:t>
      </w:r>
      <w:r>
        <w:rPr>
          <w:rFonts w:ascii="Verdana" w:eastAsia="Calibri" w:hAnsi="Verdana" w:cs="Arial"/>
          <w:lang w:val="es-ES" w:eastAsia="es-ES"/>
        </w:rPr>
        <w:t xml:space="preserve"> </w:t>
      </w:r>
    </w:p>
    <w:p w14:paraId="78F07F5D" w14:textId="77777777" w:rsidR="000F7F2B" w:rsidRPr="00593A5F" w:rsidRDefault="000F7F2B" w:rsidP="000F7F2B">
      <w:pPr>
        <w:spacing w:after="0" w:line="240" w:lineRule="auto"/>
        <w:rPr>
          <w:rFonts w:ascii="Verdana" w:eastAsia="Calibri" w:hAnsi="Verdana" w:cs="Arial"/>
          <w:b/>
          <w:bCs/>
          <w:color w:val="000000"/>
          <w:lang w:val="es-ES_tradnl" w:eastAsia="es-ES_tradnl"/>
        </w:rPr>
      </w:pPr>
    </w:p>
    <w:p w14:paraId="3D530EF1" w14:textId="77777777" w:rsidR="000F7F2B" w:rsidRPr="00593A5F" w:rsidRDefault="000F7F2B" w:rsidP="000F7F2B">
      <w:pPr>
        <w:spacing w:after="0" w:line="240" w:lineRule="auto"/>
        <w:rPr>
          <w:rFonts w:ascii="Verdana" w:eastAsia="Calibri" w:hAnsi="Verdana" w:cs="Arial"/>
          <w:b/>
          <w:bCs/>
          <w:color w:val="000000"/>
          <w:lang w:val="es-ES_tradnl" w:eastAsia="es-ES_tradnl"/>
        </w:rPr>
      </w:pPr>
    </w:p>
    <w:tbl>
      <w:tblPr>
        <w:tblStyle w:val="Tablaconcuadrcula"/>
        <w:tblW w:w="8789" w:type="dxa"/>
        <w:tblCellMar>
          <w:left w:w="0" w:type="dxa"/>
          <w:right w:w="0" w:type="dxa"/>
        </w:tblCellMar>
        <w:tblLook w:val="04A0" w:firstRow="1" w:lastRow="0" w:firstColumn="1" w:lastColumn="0" w:noHBand="0" w:noVBand="1"/>
      </w:tblPr>
      <w:tblGrid>
        <w:gridCol w:w="2689"/>
        <w:gridCol w:w="6100"/>
      </w:tblGrid>
      <w:tr w:rsidR="000F7F2B" w:rsidRPr="00593A5F" w14:paraId="2E56C17C" w14:textId="77777777" w:rsidTr="0031491E">
        <w:trPr>
          <w:trHeight w:val="884"/>
        </w:trPr>
        <w:tc>
          <w:tcPr>
            <w:tcW w:w="2689" w:type="dxa"/>
          </w:tcPr>
          <w:p w14:paraId="36710CA4" w14:textId="77777777" w:rsidR="000F7F2B" w:rsidRPr="00C00976" w:rsidRDefault="000F7F2B" w:rsidP="00402D6F">
            <w:pPr>
              <w:jc w:val="both"/>
              <w:rPr>
                <w:rFonts w:ascii="Verdana" w:eastAsia="Calibri" w:hAnsi="Verdana" w:cs="Arial"/>
                <w:b/>
                <w:bCs/>
                <w:color w:val="7030A0"/>
                <w:lang w:val="es-ES_tradnl" w:eastAsia="es-ES_tradnl"/>
              </w:rPr>
            </w:pPr>
          </w:p>
        </w:tc>
        <w:tc>
          <w:tcPr>
            <w:tcW w:w="6100" w:type="dxa"/>
          </w:tcPr>
          <w:p w14:paraId="29FEC84B" w14:textId="29917AA7" w:rsidR="000F7F2B" w:rsidRPr="00C00976" w:rsidRDefault="000F7F2B" w:rsidP="00402D6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DD2AE6">
              <w:rPr>
                <w:rFonts w:ascii="Verdana" w:eastAsia="Calibri" w:hAnsi="Verdana" w:cs="Arial"/>
                <w:b/>
                <w:bCs/>
                <w:lang w:val="es-ES" w:eastAsia="es-ES"/>
              </w:rPr>
              <w:t>1556</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0F7F2B" w:rsidRPr="00593A5F" w14:paraId="2DE31578" w14:textId="77777777" w:rsidTr="0031491E">
        <w:trPr>
          <w:trHeight w:val="884"/>
        </w:trPr>
        <w:tc>
          <w:tcPr>
            <w:tcW w:w="2689" w:type="dxa"/>
          </w:tcPr>
          <w:p w14:paraId="51497C86" w14:textId="77777777" w:rsidR="000F7F2B" w:rsidRPr="00593A5F" w:rsidRDefault="000F7F2B" w:rsidP="00402D6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B3B0FA7" w14:textId="77777777" w:rsidR="000F7F2B" w:rsidRDefault="000F7F2B" w:rsidP="00402D6F">
            <w:pPr>
              <w:spacing w:line="276" w:lineRule="auto"/>
              <w:jc w:val="both"/>
              <w:rPr>
                <w:rFonts w:ascii="Verdana" w:eastAsia="Calibri" w:hAnsi="Verdana" w:cs="Arial"/>
                <w:lang w:val="es-ES" w:eastAsia="es-ES"/>
              </w:rPr>
            </w:pPr>
            <w:r w:rsidRPr="00AE6A8F">
              <w:rPr>
                <w:rFonts w:ascii="Verdana" w:eastAsia="Calibri" w:hAnsi="Verdana" w:cs="Arial"/>
                <w:lang w:val="es-ES" w:eastAsia="es-ES"/>
              </w:rPr>
              <w:t>RECHAZO DE LA OFERTA – Causales – Principio de imparcialidad – Principio de selección objetiva / RÉGIMEN DE INHABILIDADES E INCOMPATIBILIDADES – Reserva legal</w:t>
            </w:r>
            <w:r>
              <w:rPr>
                <w:rFonts w:ascii="Verdana" w:eastAsia="Calibri" w:hAnsi="Verdana" w:cs="Arial"/>
                <w:lang w:val="es-ES" w:eastAsia="es-ES"/>
              </w:rPr>
              <w:t xml:space="preserve"> / </w:t>
            </w:r>
            <w:r w:rsidRPr="00FB2BCA">
              <w:rPr>
                <w:rFonts w:ascii="Verdana" w:eastAsia="Calibri" w:hAnsi="Verdana" w:cs="Arial"/>
                <w:lang w:val="es-ES" w:eastAsia="es-ES"/>
              </w:rPr>
              <w:t>PROPONENTE PLURAL ‒ Consorcio ‒ Unión temporal ‒ Concepto – Diferencias</w:t>
            </w:r>
            <w:r w:rsidRPr="004E6738">
              <w:rPr>
                <w:rFonts w:ascii="Verdana" w:eastAsia="Calibri" w:hAnsi="Verdana" w:cs="Arial"/>
                <w:lang w:val="es-ES" w:eastAsia="es-ES"/>
              </w:rPr>
              <w:t xml:space="preserve"> </w:t>
            </w:r>
            <w:r>
              <w:rPr>
                <w:rFonts w:ascii="Verdana" w:eastAsia="Calibri" w:hAnsi="Verdana" w:cs="Arial"/>
                <w:lang w:val="es-ES" w:eastAsia="es-ES"/>
              </w:rPr>
              <w:t xml:space="preserve">/ </w:t>
            </w:r>
            <w:r w:rsidRPr="00605DBB">
              <w:rPr>
                <w:rFonts w:ascii="Verdana" w:eastAsia="Calibri" w:hAnsi="Verdana" w:cs="Arial"/>
                <w:lang w:val="es-ES" w:eastAsia="es-ES"/>
              </w:rPr>
              <w:t>PROPONENTE PLURAL ‒ Causales de rechazo ‒ Documentos del proceso – Documentos tipo – Regulación especial</w:t>
            </w:r>
            <w:r w:rsidRPr="004E6738">
              <w:rPr>
                <w:rFonts w:ascii="Verdana" w:eastAsia="Calibri" w:hAnsi="Verdana" w:cs="Arial"/>
                <w:lang w:val="es-ES" w:eastAsia="es-ES"/>
              </w:rPr>
              <w:t xml:space="preserve"> </w:t>
            </w:r>
          </w:p>
          <w:p w14:paraId="73D42D84" w14:textId="77777777" w:rsidR="000F7F2B" w:rsidRPr="00593A5F" w:rsidRDefault="000F7F2B" w:rsidP="00402D6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0F7F2B" w:rsidRPr="008E6AD9" w14:paraId="4D41ABA4" w14:textId="77777777" w:rsidTr="0031491E">
        <w:tc>
          <w:tcPr>
            <w:tcW w:w="2689" w:type="dxa"/>
          </w:tcPr>
          <w:p w14:paraId="7BBB6173" w14:textId="77777777" w:rsidR="000F7F2B" w:rsidRPr="008E6AD9" w:rsidRDefault="000F7F2B" w:rsidP="00402D6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E967635" w14:textId="77777777" w:rsidR="000F7F2B" w:rsidRPr="00B92340" w:rsidRDefault="000F7F2B" w:rsidP="00402D6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C52A7D">
              <w:rPr>
                <w:rFonts w:ascii="Verdana" w:eastAsia="Calibri" w:hAnsi="Verdana" w:cs="Arial"/>
                <w:lang w:val="es-ES_tradnl" w:eastAsia="es-ES_tradnl"/>
              </w:rPr>
              <w:t>1_2025_10_23_011922</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B628AFE" w14:textId="77777777" w:rsidR="000F7F2B" w:rsidRPr="00593A5F" w:rsidRDefault="000F7F2B" w:rsidP="000F7F2B">
      <w:pPr>
        <w:spacing w:after="0" w:line="240" w:lineRule="auto"/>
        <w:jc w:val="both"/>
        <w:rPr>
          <w:rFonts w:ascii="Verdana" w:eastAsia="Calibri" w:hAnsi="Verdana" w:cs="Arial"/>
          <w:color w:val="000000"/>
          <w:lang w:val="es-ES_tradnl" w:eastAsia="es-ES_tradnl"/>
        </w:rPr>
      </w:pPr>
    </w:p>
    <w:p w14:paraId="3E7B1900" w14:textId="77777777" w:rsidR="000F7F2B" w:rsidRPr="00593A5F" w:rsidRDefault="000F7F2B" w:rsidP="000F7F2B">
      <w:pPr>
        <w:spacing w:after="0" w:line="240" w:lineRule="auto"/>
        <w:jc w:val="both"/>
        <w:rPr>
          <w:rFonts w:ascii="Verdana" w:eastAsia="Calibri" w:hAnsi="Verdana" w:cs="Arial"/>
          <w:color w:val="000000"/>
          <w:lang w:val="es-ES_tradnl" w:eastAsia="es-ES_tradnl"/>
        </w:rPr>
      </w:pPr>
    </w:p>
    <w:p w14:paraId="137AF00A" w14:textId="77777777" w:rsidR="000F7F2B" w:rsidRPr="008E6AD9" w:rsidRDefault="000F7F2B" w:rsidP="000F7F2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C52A7D">
        <w:rPr>
          <w:rFonts w:ascii="Verdana" w:eastAsia="Calibri" w:hAnsi="Verdana" w:cs="Arial"/>
          <w:lang w:val="es-ES" w:eastAsia="es-ES"/>
        </w:rPr>
        <w:t>Sepúlveda Sierra</w:t>
      </w:r>
      <w:r w:rsidRPr="008E6AD9">
        <w:rPr>
          <w:rFonts w:ascii="Verdana" w:eastAsia="Calibri" w:hAnsi="Verdana" w:cs="Arial"/>
          <w:lang w:val="es-ES" w:eastAsia="es-ES"/>
        </w:rPr>
        <w:t xml:space="preserve">: </w:t>
      </w:r>
    </w:p>
    <w:p w14:paraId="6E577DB5" w14:textId="77777777" w:rsidR="000F7F2B" w:rsidRDefault="000F7F2B" w:rsidP="000F7F2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D7E6CEF" w14:textId="77777777" w:rsidR="000F7F2B" w:rsidRPr="00593A5F" w:rsidRDefault="000F7F2B" w:rsidP="000F7F2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23 de octubre de 2025, en las cual solicita</w:t>
      </w:r>
      <w:r w:rsidRPr="008E6AD9">
        <w:rPr>
          <w:rFonts w:ascii="Verdana" w:eastAsia="Calibri" w:hAnsi="Verdana" w:cs="Arial"/>
          <w:lang w:val="es-ES" w:eastAsia="es-ES"/>
        </w:rPr>
        <w:t xml:space="preserve">: </w:t>
      </w:r>
    </w:p>
    <w:p w14:paraId="6625E11E" w14:textId="77777777" w:rsidR="000F7F2B" w:rsidRPr="00272A7B" w:rsidRDefault="000F7F2B" w:rsidP="000F7F2B">
      <w:pPr>
        <w:pStyle w:val="Prrafodelista"/>
        <w:tabs>
          <w:tab w:val="left" w:pos="142"/>
          <w:tab w:val="left" w:pos="284"/>
        </w:tabs>
        <w:spacing w:after="0" w:line="276" w:lineRule="auto"/>
        <w:ind w:left="0"/>
        <w:jc w:val="both"/>
        <w:rPr>
          <w:rFonts w:ascii="Verdana" w:eastAsia="Century Gothic" w:hAnsi="Verdana" w:cs="Century Gothic"/>
          <w:b/>
          <w:bCs/>
        </w:rPr>
      </w:pPr>
    </w:p>
    <w:p w14:paraId="563A2300" w14:textId="77777777" w:rsidR="000F7F2B" w:rsidRPr="0042230C" w:rsidRDefault="000F7F2B" w:rsidP="000F7F2B">
      <w:pPr>
        <w:spacing w:after="120" w:line="240" w:lineRule="auto"/>
        <w:ind w:left="709" w:right="709"/>
        <w:jc w:val="both"/>
        <w:rPr>
          <w:rFonts w:ascii="Verdana" w:eastAsia="Century Gothic" w:hAnsi="Verdana" w:cs="Century Gothic"/>
          <w:sz w:val="20"/>
          <w:szCs w:val="20"/>
          <w:lang w:val="es-ES"/>
        </w:rPr>
      </w:pPr>
      <w:bookmarkStart w:id="1" w:name="_Hlk95313578"/>
      <w:r w:rsidRPr="006E7258">
        <w:rPr>
          <w:rFonts w:ascii="Verdana" w:eastAsia="Century Gothic" w:hAnsi="Verdana" w:cs="Century Gothic"/>
          <w:sz w:val="21"/>
          <w:szCs w:val="21"/>
          <w:lang w:val="es-ES"/>
        </w:rPr>
        <w:t>“</w:t>
      </w:r>
      <w:bookmarkEnd w:id="1"/>
      <w:r>
        <w:rPr>
          <w:rFonts w:ascii="Verdana" w:eastAsia="Century Gothic" w:hAnsi="Verdana" w:cs="Century Gothic"/>
          <w:sz w:val="21"/>
          <w:szCs w:val="21"/>
          <w:lang w:val="es-ES"/>
        </w:rPr>
        <w:t xml:space="preserve">[…] </w:t>
      </w:r>
      <w:r w:rsidRPr="0042230C">
        <w:rPr>
          <w:rFonts w:ascii="Verdana" w:eastAsia="Century Gothic" w:hAnsi="Verdana" w:cs="Century Gothic"/>
          <w:sz w:val="20"/>
          <w:szCs w:val="20"/>
          <w:lang w:val="es-ES"/>
        </w:rPr>
        <w:t xml:space="preserve">un concepto respecto a la </w:t>
      </w:r>
      <w:r>
        <w:rPr>
          <w:rFonts w:ascii="Verdana" w:eastAsia="Century Gothic" w:hAnsi="Verdana" w:cs="Century Gothic"/>
          <w:sz w:val="20"/>
          <w:szCs w:val="20"/>
          <w:lang w:val="es-ES"/>
        </w:rPr>
        <w:t>p</w:t>
      </w:r>
      <w:r w:rsidRPr="0042230C">
        <w:rPr>
          <w:rFonts w:ascii="Verdana" w:eastAsia="Century Gothic" w:hAnsi="Verdana" w:cs="Century Gothic"/>
          <w:sz w:val="20"/>
          <w:szCs w:val="20"/>
          <w:lang w:val="es-ES"/>
        </w:rPr>
        <w:t>resentación de las uniones temporales y la presentación de Ofertas.</w:t>
      </w:r>
    </w:p>
    <w:p w14:paraId="0F5D8E72" w14:textId="77777777" w:rsidR="000F7F2B" w:rsidRPr="0042230C" w:rsidRDefault="000F7F2B" w:rsidP="000F7F2B">
      <w:pPr>
        <w:spacing w:after="120" w:line="240" w:lineRule="auto"/>
        <w:ind w:left="709" w:right="709"/>
        <w:jc w:val="both"/>
        <w:rPr>
          <w:rFonts w:ascii="Verdana" w:eastAsia="Century Gothic" w:hAnsi="Verdana" w:cs="Century Gothic"/>
          <w:sz w:val="20"/>
          <w:szCs w:val="20"/>
          <w:lang w:val="es-ES"/>
        </w:rPr>
      </w:pPr>
      <w:r w:rsidRPr="0042230C">
        <w:rPr>
          <w:rFonts w:ascii="Verdana" w:eastAsia="Century Gothic" w:hAnsi="Verdana" w:cs="Century Gothic"/>
          <w:sz w:val="20"/>
          <w:szCs w:val="20"/>
          <w:lang w:val="es-ES"/>
        </w:rPr>
        <w:lastRenderedPageBreak/>
        <w:t>Puede un mismo Representante legal figurar en las empresas que conforman la UT? ya sea como representante o socio o accionista?, siguiente pregunta</w:t>
      </w:r>
    </w:p>
    <w:p w14:paraId="132E5DEB" w14:textId="77777777" w:rsidR="000F7F2B" w:rsidRPr="009D27BC" w:rsidRDefault="000F7F2B" w:rsidP="000F7F2B">
      <w:pPr>
        <w:spacing w:after="0" w:line="240" w:lineRule="auto"/>
        <w:ind w:left="709" w:right="709"/>
        <w:jc w:val="both"/>
        <w:rPr>
          <w:rFonts w:ascii="Verdana" w:eastAsia="Century Gothic" w:hAnsi="Verdana" w:cs="Century Gothic"/>
          <w:sz w:val="20"/>
          <w:szCs w:val="20"/>
        </w:rPr>
      </w:pPr>
      <w:r w:rsidRPr="0042230C">
        <w:rPr>
          <w:rFonts w:ascii="Verdana" w:eastAsia="Century Gothic" w:hAnsi="Verdana" w:cs="Century Gothic"/>
          <w:sz w:val="20"/>
          <w:szCs w:val="20"/>
          <w:lang w:val="es-ES"/>
        </w:rPr>
        <w:t>Pueden los pliegos de condiciones solicitar en la conformación de las UT el documento denominado composición accionaria por cada una de las empresas que integra la UT y de figurar alguno de los socios en esta es causal de rechazo?? es decir si el representante legal de la Empresa A, aparece en la composición accionaria de la Empresa B es causal de rechazo??</w:t>
      </w:r>
      <w:r w:rsidRPr="009D27BC">
        <w:rPr>
          <w:rFonts w:ascii="Verdana" w:eastAsia="Century Gothic" w:hAnsi="Verdana" w:cs="Century Gothic"/>
          <w:sz w:val="20"/>
          <w:szCs w:val="20"/>
        </w:rPr>
        <w:t>”.</w:t>
      </w:r>
      <w:r>
        <w:rPr>
          <w:rFonts w:ascii="Verdana" w:eastAsia="Century Gothic" w:hAnsi="Verdana" w:cs="Century Gothic"/>
          <w:sz w:val="20"/>
          <w:szCs w:val="20"/>
        </w:rPr>
        <w:t xml:space="preserve"> </w:t>
      </w:r>
    </w:p>
    <w:p w14:paraId="74D5C42E" w14:textId="77777777" w:rsidR="000F7F2B" w:rsidRPr="008E6AD9" w:rsidRDefault="000F7F2B" w:rsidP="000F7F2B">
      <w:pPr>
        <w:pStyle w:val="Prrafodelista"/>
        <w:tabs>
          <w:tab w:val="left" w:pos="142"/>
          <w:tab w:val="left" w:pos="284"/>
        </w:tabs>
        <w:spacing w:after="0" w:line="276" w:lineRule="auto"/>
        <w:ind w:left="0"/>
        <w:jc w:val="both"/>
        <w:rPr>
          <w:rFonts w:ascii="Verdana" w:eastAsia="Century Gothic" w:hAnsi="Verdana" w:cs="Century Gothic"/>
          <w:b/>
          <w:bCs/>
        </w:rPr>
      </w:pPr>
    </w:p>
    <w:p w14:paraId="47D40150" w14:textId="77777777" w:rsidR="000F7F2B" w:rsidRPr="00A652FF" w:rsidRDefault="000F7F2B" w:rsidP="000F7F2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B43236B" w14:textId="77777777" w:rsidR="000F7F2B" w:rsidRDefault="000F7F2B" w:rsidP="000F7F2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9B2930B" w14:textId="77777777" w:rsidR="000F7F2B" w:rsidRPr="00593A5F" w:rsidRDefault="000F7F2B" w:rsidP="000F7F2B">
      <w:pPr>
        <w:spacing w:after="0" w:line="276" w:lineRule="auto"/>
        <w:ind w:firstLine="709"/>
        <w:jc w:val="both"/>
        <w:rPr>
          <w:rFonts w:ascii="Verdana" w:eastAsia="Calibri" w:hAnsi="Verdana" w:cs="Arial"/>
          <w:color w:val="000000"/>
          <w:lang w:val="es-ES" w:eastAsia="es-ES"/>
        </w:rPr>
      </w:pPr>
    </w:p>
    <w:p w14:paraId="62BFD84C" w14:textId="77777777" w:rsidR="000F7F2B" w:rsidRPr="00593A5F" w:rsidRDefault="000F7F2B" w:rsidP="000F7F2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4D9CA80" w14:textId="77777777" w:rsidR="000F7F2B" w:rsidRPr="00593A5F" w:rsidRDefault="000F7F2B" w:rsidP="000F7F2B">
      <w:pPr>
        <w:tabs>
          <w:tab w:val="left" w:pos="426"/>
        </w:tabs>
        <w:spacing w:after="0" w:line="276" w:lineRule="auto"/>
        <w:jc w:val="both"/>
        <w:rPr>
          <w:rFonts w:ascii="Verdana" w:eastAsia="Century Gothic" w:hAnsi="Verdana" w:cs="Century Gothic"/>
          <w:lang w:val="es-ES"/>
        </w:rPr>
      </w:pPr>
    </w:p>
    <w:p w14:paraId="623A8A1B" w14:textId="77777777" w:rsidR="000F7F2B" w:rsidRPr="00593A5F" w:rsidRDefault="000F7F2B" w:rsidP="000F7F2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¿qué criterios rigen la aplicación de causales de rechazo tratándose de</w:t>
      </w:r>
      <w:r w:rsidRPr="00906BE9">
        <w:rPr>
          <w:rFonts w:ascii="Verdana" w:eastAsia="Century Gothic" w:hAnsi="Verdana" w:cs="Century Gothic"/>
        </w:rPr>
        <w:t xml:space="preserve"> </w:t>
      </w:r>
      <w:r>
        <w:rPr>
          <w:rFonts w:ascii="Verdana" w:eastAsia="Century Gothic" w:hAnsi="Verdana" w:cs="Century Gothic"/>
        </w:rPr>
        <w:t>proponentes plurales?</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7AD12684" w14:textId="77777777" w:rsidR="000F7F2B" w:rsidRPr="004B140F" w:rsidRDefault="000F7F2B" w:rsidP="000F7F2B">
      <w:pPr>
        <w:spacing w:after="0" w:line="276" w:lineRule="auto"/>
        <w:jc w:val="both"/>
        <w:rPr>
          <w:rFonts w:ascii="Verdana" w:eastAsia="Calibri" w:hAnsi="Verdana" w:cs="Arial"/>
          <w:color w:val="7030A0"/>
        </w:rPr>
      </w:pPr>
    </w:p>
    <w:p w14:paraId="44BF87B2" w14:textId="77777777" w:rsidR="000F7F2B" w:rsidRPr="00593A5F" w:rsidRDefault="000F7F2B" w:rsidP="000F7F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2C5872B" w14:textId="77777777" w:rsidR="000F7F2B" w:rsidRPr="00593A5F" w:rsidRDefault="000F7F2B" w:rsidP="000F7F2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F7F2B" w:rsidRPr="00593A5F" w14:paraId="786B52DC" w14:textId="77777777">
        <w:trPr>
          <w:jc w:val="center"/>
        </w:trPr>
        <w:tc>
          <w:tcPr>
            <w:tcW w:w="8828" w:type="dxa"/>
          </w:tcPr>
          <w:p w14:paraId="6EDF2561" w14:textId="77777777" w:rsidR="000F7F2B" w:rsidRPr="00A511CE" w:rsidRDefault="000F7F2B" w:rsidP="00402D6F">
            <w:pPr>
              <w:spacing w:after="120" w:line="276" w:lineRule="auto"/>
              <w:ind w:right="51"/>
              <w:jc w:val="both"/>
              <w:rPr>
                <w:rFonts w:ascii="Verdana" w:hAnsi="Verdana" w:cs="Arial"/>
              </w:rPr>
            </w:pPr>
            <w:bookmarkStart w:id="2" w:name="_Hlk171694685"/>
            <w:r>
              <w:rPr>
                <w:rFonts w:ascii="Verdana" w:eastAsia="Calibri" w:hAnsi="Verdana" w:cs="Arial"/>
                <w:bCs/>
                <w:color w:val="000000" w:themeColor="text1"/>
              </w:rPr>
              <w:lastRenderedPageBreak/>
              <w:t xml:space="preserve">Conforme a la interpretación general de las normas del sistema de compras públicas, </w:t>
            </w:r>
            <w:r w:rsidRPr="0029645A">
              <w:rPr>
                <w:rFonts w:ascii="Verdana" w:eastAsia="Calibri" w:hAnsi="Verdana" w:cs="Arial"/>
                <w:bCs/>
                <w:color w:val="000000" w:themeColor="text1"/>
              </w:rPr>
              <w:t>las causales de rechazo de la oferta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2007. Si bien la Administración tiene facultad para disponer causales de exclusión de ofertas en sus procesos de selección, que consulten la necesidad de unas exigencias mínimas que deben satisfacer los proponentes para la ejecución del objeto contractual, lo cierto es que esas facultades no le permiten fijar requerimientos que al ser analizados a fondo puedan constituirse hechos o situaciones propias del régimen de inhabilidades o incompatibilidades, los cuales son de estricta reserva legal.</w:t>
            </w:r>
          </w:p>
          <w:p w14:paraId="01A9F341" w14:textId="77777777" w:rsidR="000F7F2B" w:rsidRDefault="000F7F2B" w:rsidP="00402D6F">
            <w:pPr>
              <w:spacing w:after="120" w:line="276" w:lineRule="auto"/>
              <w:ind w:right="51" w:firstLine="737"/>
              <w:jc w:val="both"/>
              <w:rPr>
                <w:rFonts w:ascii="Verdana" w:hAnsi="Verdana" w:cs="Arial"/>
                <w:color w:val="000000" w:themeColor="text1"/>
              </w:rPr>
            </w:pPr>
            <w:r>
              <w:rPr>
                <w:rFonts w:ascii="Verdana" w:hAnsi="Verdana" w:cs="Arial"/>
                <w:color w:val="000000" w:themeColor="text1"/>
              </w:rPr>
              <w:t xml:space="preserve">Las estructuras plurales pueden participar en los procesos de selección de acuerdo con los requisitos que establezca el pliego de condiciones o el documento equivalente, pues éstos delimitan la forma en que intervienen los interesados junto con las respectivas causales de rechazo. Siempre que estas últimas se sujeten a lo explicado en el párrafo precedente, las entidades tienen discrecionalidad para consagrar la circunstancias que impiden la evaluación de las ofertas y la forma de verificarlas. </w:t>
            </w:r>
          </w:p>
          <w:p w14:paraId="6FE5B623" w14:textId="77777777" w:rsidR="000F7F2B" w:rsidRDefault="000F7F2B" w:rsidP="00402D6F">
            <w:pPr>
              <w:spacing w:after="120" w:line="276" w:lineRule="auto"/>
              <w:ind w:right="51" w:firstLine="737"/>
              <w:jc w:val="both"/>
              <w:rPr>
                <w:rFonts w:ascii="Verdana" w:eastAsia="Aptos" w:hAnsi="Verdana" w:cs="Arial"/>
                <w:color w:val="000000"/>
                <w:kern w:val="2"/>
                <w:bdr w:val="none" w:sz="0" w:space="0" w:color="auto" w:frame="1"/>
                <w:lang w:val="es-ES_tradnl"/>
                <w14:ligatures w14:val="standardContextual"/>
              </w:rPr>
            </w:pPr>
            <w:r>
              <w:rPr>
                <w:rFonts w:ascii="Verdana" w:hAnsi="Verdana" w:cs="Arial"/>
                <w:color w:val="000000" w:themeColor="text1"/>
              </w:rPr>
              <w:t xml:space="preserve">No obstante, en los procesos regidos por el artículo 1 de la Ley 2022 de 2020 para entidades sometidas al EGCAP y el artículo 56 de la Ley 2195 de 2022 para las entidades exceptuadas de la Ley 80 de 1993, es necesario sujetarse a las causales que establezcan los documentos tipo. </w:t>
            </w:r>
            <w:r>
              <w:rPr>
                <w:rFonts w:ascii="Verdana" w:hAnsi="Verdana" w:cs="Arial"/>
              </w:rPr>
              <w:t xml:space="preserve">Por ejemplo, </w:t>
            </w:r>
            <w:r w:rsidRPr="0056112B">
              <w:rPr>
                <w:rFonts w:ascii="Verdana" w:eastAsia="Aptos" w:hAnsi="Verdana" w:cs="Arial"/>
                <w:color w:val="000000"/>
                <w:kern w:val="2"/>
                <w:bdr w:val="none" w:sz="0" w:space="0" w:color="auto" w:frame="1"/>
                <w:lang w:val="es-ES_tradnl"/>
                <w14:ligatures w14:val="standardContextual"/>
              </w:rPr>
              <w:t>la versión 4 de los documentos tipo de licitación pública de obra de infraestructura de transporte</w:t>
            </w:r>
            <w:r>
              <w:rPr>
                <w:rFonts w:ascii="Verdana" w:eastAsia="Aptos" w:hAnsi="Verdana" w:cs="Arial"/>
                <w:color w:val="000000"/>
                <w:kern w:val="2"/>
                <w:bdr w:val="none" w:sz="0" w:space="0" w:color="auto" w:frame="1"/>
                <w:lang w:val="es-ES_tradnl"/>
                <w14:ligatures w14:val="standardContextual"/>
              </w:rPr>
              <w:t xml:space="preserve"> consagra el rechazo de la oferta “</w:t>
            </w:r>
            <w:r w:rsidRPr="0029645A">
              <w:rPr>
                <w:rFonts w:ascii="Verdana" w:eastAsia="Aptos" w:hAnsi="Verdana" w:cs="Arial"/>
                <w:color w:val="000000"/>
                <w:kern w:val="2"/>
                <w:bdr w:val="none" w:sz="0" w:space="0" w:color="auto" w:frame="1"/>
                <w:lang w:val="es-ES_tradnl"/>
                <w14:ligatures w14:val="standardContextual"/>
              </w:rPr>
              <w:t>Cuando una misma persona natural o jurídica, o integrante de un proponente plural presente o haga parte en más de una propuesta para el presente Proceso de Contratación</w:t>
            </w:r>
            <w:r>
              <w:rPr>
                <w:rFonts w:ascii="Verdana" w:eastAsia="Aptos" w:hAnsi="Verdana" w:cs="Arial"/>
                <w:color w:val="000000"/>
                <w:kern w:val="2"/>
                <w:bdr w:val="none" w:sz="0" w:space="0" w:color="auto" w:frame="1"/>
                <w:lang w:val="es-ES_tradnl"/>
                <w14:ligatures w14:val="standardContextual"/>
              </w:rPr>
              <w:t xml:space="preserve">”. </w:t>
            </w:r>
          </w:p>
          <w:p w14:paraId="5A895F64" w14:textId="77777777" w:rsidR="000F7F2B" w:rsidRPr="004A144F" w:rsidRDefault="000F7F2B" w:rsidP="00402D6F">
            <w:pPr>
              <w:spacing w:after="120" w:line="276" w:lineRule="auto"/>
              <w:ind w:right="51" w:firstLine="737"/>
              <w:jc w:val="both"/>
              <w:rPr>
                <w:rFonts w:ascii="Verdana" w:eastAsia="Aptos" w:hAnsi="Verdana" w:cs="Arial"/>
                <w:color w:val="000000"/>
                <w:kern w:val="2"/>
                <w:bdr w:val="none" w:sz="0" w:space="0" w:color="auto" w:frame="1"/>
                <w:lang w:val="es-ES_tradnl"/>
                <w14:ligatures w14:val="standardContextual"/>
              </w:rPr>
            </w:pPr>
            <w:r w:rsidRPr="0056112B">
              <w:rPr>
                <w:rFonts w:ascii="Verdana" w:eastAsia="Aptos" w:hAnsi="Verdana" w:cs="Arial"/>
                <w:color w:val="000000"/>
                <w:kern w:val="2"/>
                <w:lang w:val="es-ES_tradnl"/>
                <w14:ligatures w14:val="standardContextual"/>
              </w:rPr>
              <w:t xml:space="preserve">Esta causal está dirigida a evitar que un mismo </w:t>
            </w:r>
            <w:r>
              <w:rPr>
                <w:rFonts w:ascii="Verdana" w:eastAsia="Aptos" w:hAnsi="Verdana" w:cs="Arial"/>
                <w:color w:val="000000"/>
                <w:kern w:val="2"/>
                <w:lang w:val="es-ES_tradnl"/>
                <w14:ligatures w14:val="standardContextual"/>
              </w:rPr>
              <w:t>oferente</w:t>
            </w:r>
            <w:r w:rsidRPr="0056112B">
              <w:rPr>
                <w:rFonts w:ascii="Verdana" w:eastAsia="Aptos" w:hAnsi="Verdana" w:cs="Arial"/>
                <w:color w:val="000000"/>
                <w:kern w:val="2"/>
                <w:lang w:val="es-ES_tradnl"/>
                <w14:ligatures w14:val="standardContextual"/>
              </w:rPr>
              <w:t xml:space="preserve"> presente de manera individual más de una propuesta o haga parte en más de una oferta para un mismo proceso de contratación. Por lo tanto, para que opere la causal, debe tratarse de un proponente persona natural o jurídica, o de un integrante de un proponente plural, de manera que, </w:t>
            </w:r>
            <w:r w:rsidRPr="0056112B">
              <w:rPr>
                <w:rFonts w:ascii="Verdana" w:eastAsia="Aptos" w:hAnsi="Verdana" w:cs="Arial"/>
                <w:i/>
                <w:iCs/>
                <w:color w:val="000000"/>
                <w:kern w:val="2"/>
                <w:lang w:val="es-ES_tradnl"/>
                <w14:ligatures w14:val="standardContextual"/>
              </w:rPr>
              <w:t>stricto sensu,</w:t>
            </w:r>
            <w:r w:rsidRPr="0056112B">
              <w:rPr>
                <w:rFonts w:ascii="Verdana" w:eastAsia="Aptos" w:hAnsi="Verdana" w:cs="Arial"/>
                <w:color w:val="000000"/>
                <w:kern w:val="2"/>
                <w:lang w:val="es-ES_tradnl"/>
                <w14:ligatures w14:val="standardContextual"/>
              </w:rPr>
              <w:t xml:space="preserve"> no resulta aplicable cuando se trate de supuestos en los que un proponente tiene algún tipo de </w:t>
            </w:r>
            <w:r w:rsidRPr="0056112B">
              <w:rPr>
                <w:rFonts w:ascii="Verdana" w:eastAsia="Aptos" w:hAnsi="Verdana" w:cs="Arial"/>
                <w:color w:val="000000"/>
                <w:kern w:val="2"/>
                <w:lang w:val="es-ES_tradnl"/>
                <w14:ligatures w14:val="standardContextual"/>
              </w:rPr>
              <w:lastRenderedPageBreak/>
              <w:t xml:space="preserve">relación societaria o parentesco </w:t>
            </w:r>
            <w:r>
              <w:rPr>
                <w:rFonts w:ascii="Verdana" w:eastAsia="Aptos" w:hAnsi="Verdana" w:cs="Arial"/>
                <w:color w:val="000000"/>
                <w:kern w:val="2"/>
                <w:lang w:val="es-ES_tradnl"/>
                <w14:ligatures w14:val="standardContextual"/>
              </w:rPr>
              <w:t>dentro del mismo consorcio u unión temporal</w:t>
            </w:r>
            <w:r w:rsidRPr="0056112B">
              <w:rPr>
                <w:rFonts w:ascii="Verdana" w:eastAsia="Aptos" w:hAnsi="Verdana" w:cs="Arial"/>
                <w:color w:val="000000"/>
                <w:kern w:val="2"/>
                <w:lang w:val="es-ES_tradnl"/>
                <w14:ligatures w14:val="standardContextual"/>
              </w:rPr>
              <w:t>, tenido en cuenta la interpretación restrictiva que se predica de las causales de rechazo, sin perjuicio de que, eventualmente, resulte aplicable otra causal de rechazo, o alguna de las inhabilitades e incompatibilidades señaladas en la ley</w:t>
            </w:r>
            <w:r>
              <w:rPr>
                <w:rFonts w:ascii="Verdana" w:eastAsia="Aptos" w:hAnsi="Verdana" w:cs="Arial"/>
                <w:color w:val="000000"/>
                <w:kern w:val="2"/>
                <w:lang w:val="es-ES_tradnl"/>
                <w14:ligatures w14:val="standardContextual"/>
              </w:rPr>
              <w:t>, especialmente, la de los literales g) y h) del artículo 8.1 de la Ley 80 de 1993</w:t>
            </w:r>
            <w:r w:rsidRPr="0056112B">
              <w:rPr>
                <w:rFonts w:ascii="Verdana" w:eastAsia="Aptos" w:hAnsi="Verdana" w:cs="Arial"/>
                <w:color w:val="000000"/>
                <w:kern w:val="2"/>
                <w:lang w:val="es-ES_tradnl"/>
                <w14:ligatures w14:val="standardContextual"/>
              </w:rPr>
              <w:t>.</w:t>
            </w:r>
            <w:r>
              <w:rPr>
                <w:rFonts w:ascii="Verdana" w:eastAsia="Aptos" w:hAnsi="Verdana" w:cs="Arial"/>
                <w:color w:val="000000"/>
                <w:kern w:val="2"/>
                <w:bdr w:val="none" w:sz="0" w:space="0" w:color="auto" w:frame="1"/>
                <w:lang w:val="es-ES_tradnl"/>
                <w14:ligatures w14:val="standardContextual"/>
              </w:rPr>
              <w:t xml:space="preserve"> </w:t>
            </w:r>
          </w:p>
          <w:p w14:paraId="631D5C50" w14:textId="77777777" w:rsidR="000F7F2B" w:rsidRPr="001941FD" w:rsidRDefault="000F7F2B" w:rsidP="00402D6F">
            <w:pPr>
              <w:spacing w:line="276" w:lineRule="auto"/>
              <w:ind w:firstLine="709"/>
              <w:jc w:val="both"/>
              <w:rPr>
                <w:rFonts w:ascii="Verdana" w:eastAsia="Calibri" w:hAnsi="Verdana" w:cs="Arial"/>
                <w:bCs/>
                <w:color w:val="000000" w:themeColor="text1"/>
              </w:rPr>
            </w:pPr>
            <w:r w:rsidRPr="008D6721">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w:t>
            </w:r>
            <w:r>
              <w:rPr>
                <w:rStyle w:val="s15"/>
                <w:rFonts w:ascii="Verdana" w:hAnsi="Verdana"/>
                <w:color w:val="000000"/>
              </w:rPr>
              <w:t xml:space="preserve"> Es decir</w:t>
            </w:r>
            <w:r w:rsidRPr="2297304B">
              <w:rPr>
                <w:rFonts w:ascii="Verdana" w:eastAsia="Aptos" w:hAnsi="Verdana" w:cs="Arial"/>
                <w:color w:val="000000"/>
                <w:kern w:val="2"/>
                <w:lang w:val="es-ES"/>
                <w14:ligatures w14:val="standardContextual"/>
              </w:rPr>
              <w:t>, corresponde a las entidades estatales y a los particulares revisar si se presenta alguna situación que pueda derivar en el rechazo de la oferta o algún supuesto de inhabilidad o incompatibilidad que limite la participación en los procesos de contratación. Esto, con el fin de que adelanten las actuaciones procedentes, en el marco de sus competencias, de manera que se garantice el desarrollo adecuado del respectivo proceso.</w:t>
            </w:r>
            <w:r w:rsidRPr="008D6721">
              <w:rPr>
                <w:rStyle w:val="s15"/>
                <w:rFonts w:ascii="Verdana" w:hAnsi="Verdana"/>
                <w:color w:val="000000"/>
              </w:rPr>
              <w:t xml:space="preserve">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p>
        </w:tc>
      </w:tr>
    </w:tbl>
    <w:p w14:paraId="4856AE0B" w14:textId="77777777" w:rsidR="000F7F2B" w:rsidRPr="00593A5F" w:rsidRDefault="000F7F2B" w:rsidP="000F7F2B">
      <w:pPr>
        <w:tabs>
          <w:tab w:val="left" w:pos="142"/>
          <w:tab w:val="left" w:pos="284"/>
        </w:tabs>
        <w:spacing w:after="0" w:line="276" w:lineRule="auto"/>
        <w:jc w:val="both"/>
        <w:rPr>
          <w:rFonts w:ascii="Verdana" w:eastAsia="Century Gothic" w:hAnsi="Verdana" w:cs="Century Gothic"/>
          <w:b/>
          <w:bCs/>
          <w:lang w:val="es-ES"/>
        </w:rPr>
      </w:pPr>
    </w:p>
    <w:bookmarkEnd w:id="2"/>
    <w:p w14:paraId="405FBA08" w14:textId="77777777" w:rsidR="000F7F2B" w:rsidRPr="00593A5F" w:rsidRDefault="000F7F2B" w:rsidP="000F7F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3709D2C" w14:textId="77777777" w:rsidR="000F7F2B" w:rsidRPr="00593A5F" w:rsidRDefault="000F7F2B" w:rsidP="000F7F2B">
      <w:pPr>
        <w:spacing w:after="0" w:line="276" w:lineRule="auto"/>
        <w:jc w:val="both"/>
        <w:rPr>
          <w:rFonts w:ascii="Verdana" w:eastAsia="Calibri" w:hAnsi="Verdana" w:cs="Arial"/>
          <w:color w:val="7030A0"/>
          <w:lang w:val="es-ES"/>
        </w:rPr>
      </w:pPr>
    </w:p>
    <w:p w14:paraId="024A79C7" w14:textId="77777777" w:rsidR="000F7F2B" w:rsidRDefault="000F7F2B" w:rsidP="000F7F2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E2E8422" w14:textId="77777777" w:rsidR="000F7F2B" w:rsidRPr="00415608" w:rsidRDefault="000F7F2B" w:rsidP="000F7F2B">
      <w:pPr>
        <w:spacing w:after="0" w:line="276" w:lineRule="auto"/>
        <w:jc w:val="both"/>
        <w:rPr>
          <w:rFonts w:ascii="Verdana" w:eastAsia="Calibri" w:hAnsi="Verdana" w:cs="Arial"/>
          <w:lang w:val="es-ES"/>
        </w:rPr>
      </w:pPr>
    </w:p>
    <w:p w14:paraId="598FF913" w14:textId="77777777" w:rsidR="000F7F2B" w:rsidRPr="009E462E" w:rsidRDefault="000F7F2B" w:rsidP="000F7F2B">
      <w:pPr>
        <w:spacing w:after="120" w:line="276" w:lineRule="auto"/>
        <w:jc w:val="both"/>
        <w:rPr>
          <w:rFonts w:ascii="Verdana" w:eastAsia="Calibri" w:hAnsi="Verdana" w:cs="Arial"/>
          <w:color w:val="000000" w:themeColor="text1"/>
          <w:lang w:val="es-ES_tradnl"/>
        </w:rPr>
      </w:pPr>
      <w:r>
        <w:rPr>
          <w:rFonts w:ascii="Verdana" w:eastAsia="Calibri" w:hAnsi="Verdana" w:cs="Arial"/>
        </w:rPr>
        <w:t xml:space="preserve">i. </w:t>
      </w:r>
      <w:r w:rsidRPr="009E462E">
        <w:rPr>
          <w:rFonts w:ascii="Verdana" w:eastAsia="Calibri" w:hAnsi="Verdana" w:cs="Arial"/>
          <w:color w:val="000000" w:themeColor="text1"/>
          <w:lang w:val="es-ES_tradnl"/>
        </w:rPr>
        <w:t xml:space="preserve">Conforme al inciso 1 del artículo 209 de la Constitución Política de Colombia, la función administrativa está al servicio de los intereses generales y se desarrolla, entre otros, con fundamento en el principio de imparcialidad. En este sentido, el numeral 3 del artículo 3 de la Ley 1437 de 2011 prescribe que “En virtud del principio de imparcialidad, las autoridades deberán actuar teniendo en cuenta que la finalidad de los procedimientos consiste en asegurar y garantizar los derechos de todas las personas sin discriminación alguna y sin tener en consideración factores de afecto o de interés y, en general, cualquier clase de motivación subjetiva”. Esta directriz es de especial relevancia en materia de contratación estatal, ya que –en virtud del artículo 77 de la Ley 80 de 1993 y el </w:t>
      </w:r>
      <w:r w:rsidRPr="009E462E">
        <w:rPr>
          <w:rFonts w:ascii="Verdana" w:eastAsia="Calibri" w:hAnsi="Verdana" w:cs="Arial"/>
          <w:color w:val="000000" w:themeColor="text1"/>
          <w:lang w:val="es-ES_tradnl"/>
        </w:rPr>
        <w:lastRenderedPageBreak/>
        <w:t>artículo 13 de la Ley 1150 de 2007– se integra tanto al régimen de las entidades sometidas como al de las exceptuadas del Estatuto General de Contratación de la Administración Pública, guardando una estrecha relación con el principio de selección objetiva.</w:t>
      </w:r>
    </w:p>
    <w:p w14:paraId="03532DE4" w14:textId="77777777" w:rsidR="000F7F2B" w:rsidRPr="009E462E" w:rsidRDefault="000F7F2B" w:rsidP="000F7F2B">
      <w:pPr>
        <w:spacing w:after="0" w:line="276" w:lineRule="auto"/>
        <w:jc w:val="both"/>
        <w:rPr>
          <w:rFonts w:ascii="Verdana" w:eastAsia="Calibri" w:hAnsi="Verdana" w:cs="Arial"/>
          <w:color w:val="000000" w:themeColor="text1"/>
          <w:lang w:val="es-ES_tradnl"/>
        </w:rPr>
      </w:pPr>
      <w:r w:rsidRPr="009E462E">
        <w:rPr>
          <w:rFonts w:ascii="Verdana" w:eastAsia="Calibri" w:hAnsi="Verdana" w:cs="Arial"/>
          <w:color w:val="000000" w:themeColor="text1"/>
          <w:lang w:val="es-ES_tradnl"/>
        </w:rPr>
        <w:tab/>
      </w:r>
      <w:bookmarkStart w:id="3" w:name="_Hlk34855985"/>
      <w:r w:rsidRPr="009E462E">
        <w:rPr>
          <w:rFonts w:ascii="Verdana" w:eastAsia="Calibri" w:hAnsi="Verdana" w:cs="Arial"/>
          <w:color w:val="000000" w:themeColor="text1"/>
          <w:lang w:val="es-ES_tradnl"/>
        </w:rPr>
        <w:t>Dichos principios tienen un papel relevante en la elaboración de los pliegos de condiciones o documentos equivalentes, pues si bien las entidades tienen un margen de autonomía para definir algunos aspectos del futuro negocio, las causales de rechazo de las propuestas deben ser razonables, bien porque algunas de éstas se encuentren previstas en el ordenamiento o porque conducen a que se adjudique el contrato al proponente que no cumple con los requisitos técnicos y económicos para su ejecución. En esta medida, dichas causales no deben fundamentarse en el simple capricho o el mero arbitrio, lo cual –además de contrariar los principios analizados– limita la participación</w:t>
      </w:r>
      <w:bookmarkEnd w:id="3"/>
      <w:r w:rsidRPr="009E462E">
        <w:rPr>
          <w:rFonts w:ascii="Verdana" w:eastAsia="Calibri" w:hAnsi="Verdana" w:cs="Arial"/>
          <w:color w:val="000000" w:themeColor="text1"/>
          <w:lang w:val="es-ES_tradnl"/>
        </w:rPr>
        <w:t>. No en vano, la jurisprudencia ha sostenido que:</w:t>
      </w:r>
    </w:p>
    <w:p w14:paraId="29142B18" w14:textId="77777777" w:rsidR="000F7F2B" w:rsidRPr="009E462E" w:rsidRDefault="000F7F2B" w:rsidP="000F7F2B">
      <w:pPr>
        <w:spacing w:after="0" w:line="276" w:lineRule="auto"/>
        <w:jc w:val="both"/>
        <w:rPr>
          <w:rFonts w:ascii="Verdana" w:eastAsia="Calibri" w:hAnsi="Verdana" w:cs="Arial"/>
          <w:color w:val="000000" w:themeColor="text1"/>
          <w:lang w:val="es-ES_tradnl"/>
        </w:rPr>
      </w:pPr>
    </w:p>
    <w:p w14:paraId="05C5F218" w14:textId="77777777" w:rsidR="000F7F2B" w:rsidRPr="003C1B78" w:rsidRDefault="000F7F2B" w:rsidP="000F7F2B">
      <w:pPr>
        <w:spacing w:after="0" w:line="240" w:lineRule="auto"/>
        <w:ind w:left="709" w:right="709"/>
        <w:jc w:val="both"/>
        <w:rPr>
          <w:rFonts w:ascii="Verdana" w:eastAsia="Calibri" w:hAnsi="Verdana" w:cs="Arial"/>
          <w:color w:val="000000" w:themeColor="text1"/>
          <w:sz w:val="20"/>
          <w:szCs w:val="20"/>
          <w:lang w:val="es-ES_tradnl"/>
        </w:rPr>
      </w:pPr>
      <w:r w:rsidRPr="003C1B78">
        <w:rPr>
          <w:rFonts w:ascii="Verdana" w:eastAsia="Calibri" w:hAnsi="Verdana" w:cs="Arial"/>
          <w:color w:val="000000" w:themeColor="text1"/>
          <w:sz w:val="20"/>
          <w:szCs w:val="20"/>
          <w:lang w:val="es-ES_tradnl"/>
        </w:rPr>
        <w:t>“[…]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 puesto que la causa excluyente debe ser razonable, esencial y proporcionada, toda vez que no tendría justificación excluir una propuesta por una deficiencia que no tenga incidencia alguna en la contratación”</w:t>
      </w:r>
      <w:r w:rsidRPr="003C1B78">
        <w:rPr>
          <w:rStyle w:val="Refdenotaalpie"/>
          <w:rFonts w:ascii="Verdana" w:eastAsia="Calibri" w:hAnsi="Verdana" w:cs="Arial"/>
          <w:color w:val="000000" w:themeColor="text1"/>
          <w:sz w:val="20"/>
          <w:szCs w:val="20"/>
          <w:lang w:val="es-ES_tradnl"/>
        </w:rPr>
        <w:footnoteReference w:id="2"/>
      </w:r>
      <w:r w:rsidRPr="003C1B78">
        <w:rPr>
          <w:rFonts w:ascii="Verdana" w:eastAsia="Calibri" w:hAnsi="Verdana" w:cs="Arial"/>
          <w:color w:val="000000" w:themeColor="text1"/>
          <w:sz w:val="20"/>
          <w:szCs w:val="20"/>
          <w:lang w:val="es-ES_tradnl"/>
        </w:rPr>
        <w:t>.</w:t>
      </w:r>
    </w:p>
    <w:p w14:paraId="15E539F2" w14:textId="77777777" w:rsidR="000F7F2B" w:rsidRPr="009E462E" w:rsidRDefault="000F7F2B" w:rsidP="000F7F2B">
      <w:pPr>
        <w:spacing w:after="0" w:line="276" w:lineRule="auto"/>
        <w:ind w:left="709" w:right="709"/>
        <w:jc w:val="both"/>
        <w:rPr>
          <w:rFonts w:ascii="Verdana" w:eastAsia="Calibri" w:hAnsi="Verdana" w:cs="Arial"/>
          <w:color w:val="000000" w:themeColor="text1"/>
          <w:lang w:val="es-ES_tradnl"/>
        </w:rPr>
      </w:pPr>
    </w:p>
    <w:p w14:paraId="15ECA75F" w14:textId="77777777" w:rsidR="000F7F2B" w:rsidRDefault="000F7F2B" w:rsidP="000F7F2B">
      <w:pPr>
        <w:spacing w:after="0" w:line="276" w:lineRule="auto"/>
        <w:ind w:firstLine="708"/>
        <w:jc w:val="both"/>
        <w:rPr>
          <w:rFonts w:ascii="Verdana" w:eastAsia="Calibri" w:hAnsi="Verdana" w:cs="Arial"/>
          <w:color w:val="000000" w:themeColor="text1"/>
          <w:lang w:val="es-ES"/>
        </w:rPr>
      </w:pPr>
      <w:r w:rsidRPr="1BC3BD23">
        <w:rPr>
          <w:rFonts w:ascii="Verdana" w:eastAsia="Calibri" w:hAnsi="Verdana" w:cs="Arial"/>
          <w:color w:val="000000" w:themeColor="text1"/>
          <w:lang w:val="es-ES"/>
        </w:rPr>
        <w:t xml:space="preserve">En este contexto, </w:t>
      </w:r>
      <w:bookmarkStart w:id="4" w:name="_Hlk34855896"/>
      <w:r w:rsidRPr="1BC3BD23">
        <w:rPr>
          <w:rFonts w:ascii="Verdana" w:eastAsia="Calibri" w:hAnsi="Verdana" w:cs="Arial"/>
          <w:color w:val="000000" w:themeColor="text1"/>
          <w:lang w:val="es-ES"/>
        </w:rPr>
        <w:t xml:space="preserve">las causales de rechazo de la oferta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2007. En otras palabras, no pueden fundamentarse en consideraciones subjetivas, que </w:t>
      </w:r>
      <w:r w:rsidRPr="1BC3BD23">
        <w:rPr>
          <w:rFonts w:ascii="Verdana" w:eastAsia="Calibri" w:hAnsi="Verdana" w:cs="Arial"/>
          <w:color w:val="000000" w:themeColor="text1"/>
          <w:lang w:val="es-ES"/>
        </w:rPr>
        <w:lastRenderedPageBreak/>
        <w:t>conviertan dichas causales en inhabilidades para participar en los procesos de selección.</w:t>
      </w:r>
      <w:bookmarkEnd w:id="4"/>
    </w:p>
    <w:p w14:paraId="32DDB2AA" w14:textId="77777777" w:rsidR="000F7F2B" w:rsidRDefault="000F7F2B" w:rsidP="000F7F2B">
      <w:pPr>
        <w:spacing w:after="0" w:line="276" w:lineRule="auto"/>
        <w:jc w:val="both"/>
        <w:rPr>
          <w:rFonts w:ascii="Verdana" w:eastAsia="Calibri" w:hAnsi="Verdana" w:cs="Arial"/>
          <w:color w:val="000000" w:themeColor="text1"/>
          <w:lang w:val="es-ES_tradnl"/>
        </w:rPr>
      </w:pPr>
    </w:p>
    <w:p w14:paraId="7E1C04B6" w14:textId="77777777" w:rsidR="000F7F2B" w:rsidRPr="00322B59" w:rsidRDefault="000F7F2B" w:rsidP="000F7F2B">
      <w:pPr>
        <w:pStyle w:val="Sinespaciado"/>
        <w:spacing w:line="276" w:lineRule="auto"/>
        <w:jc w:val="both"/>
        <w:rPr>
          <w:rFonts w:ascii="Verdana" w:hAnsi="Verdana" w:cs="Arial"/>
          <w:color w:val="000000" w:themeColor="text1"/>
          <w:sz w:val="22"/>
          <w:lang w:val="es-ES"/>
        </w:rPr>
      </w:pPr>
      <w:proofErr w:type="spellStart"/>
      <w:r>
        <w:rPr>
          <w:rFonts w:ascii="Verdana" w:eastAsia="Calibri" w:hAnsi="Verdana" w:cs="Arial"/>
          <w:color w:val="000000" w:themeColor="text1"/>
          <w:lang w:val="es-ES_tradnl"/>
        </w:rPr>
        <w:t>ii</w:t>
      </w:r>
      <w:proofErr w:type="spellEnd"/>
      <w:r>
        <w:rPr>
          <w:rFonts w:ascii="Verdana" w:eastAsia="Calibri" w:hAnsi="Verdana" w:cs="Arial"/>
          <w:color w:val="000000" w:themeColor="text1"/>
          <w:lang w:val="es-ES_tradnl"/>
        </w:rPr>
        <w:t xml:space="preserve">. </w:t>
      </w:r>
      <w:r>
        <w:rPr>
          <w:rFonts w:ascii="Verdana" w:hAnsi="Verdana" w:cs="Arial"/>
          <w:color w:val="000000" w:themeColor="text1"/>
          <w:sz w:val="22"/>
        </w:rPr>
        <w:t>L</w:t>
      </w:r>
      <w:r w:rsidRPr="00322B59">
        <w:rPr>
          <w:rFonts w:ascii="Verdana" w:hAnsi="Verdana" w:cs="Arial"/>
          <w:color w:val="000000" w:themeColor="text1"/>
          <w:sz w:val="22"/>
        </w:rPr>
        <w:t xml:space="preserve">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13EDBBF9" w14:textId="77777777" w:rsidR="000F7F2B" w:rsidRPr="00322B59" w:rsidRDefault="000F7F2B" w:rsidP="000F7F2B">
      <w:pPr>
        <w:pStyle w:val="Sinespaciado"/>
        <w:spacing w:line="276" w:lineRule="auto"/>
        <w:jc w:val="both"/>
        <w:rPr>
          <w:rFonts w:ascii="Verdana" w:hAnsi="Verdana" w:cs="Arial"/>
          <w:color w:val="000000" w:themeColor="text1"/>
          <w:sz w:val="22"/>
        </w:rPr>
      </w:pPr>
    </w:p>
    <w:p w14:paraId="2250EAB1" w14:textId="77777777" w:rsidR="000F7F2B" w:rsidRPr="003C1B78" w:rsidRDefault="000F7F2B" w:rsidP="000F7F2B">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3C1B78">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15485ABA" w14:textId="77777777" w:rsidR="000F7F2B" w:rsidRPr="003C1B78" w:rsidRDefault="000F7F2B" w:rsidP="000F7F2B">
      <w:pPr>
        <w:pStyle w:val="NormalWeb"/>
        <w:shd w:val="clear" w:color="auto" w:fill="FFFFFF"/>
        <w:spacing w:before="0" w:beforeAutospacing="0" w:after="0" w:afterAutospacing="0"/>
        <w:ind w:left="709" w:right="709"/>
        <w:jc w:val="both"/>
        <w:rPr>
          <w:rFonts w:ascii="Verdana" w:hAnsi="Verdana" w:cs="Arial"/>
          <w:color w:val="000000" w:themeColor="text1"/>
          <w:sz w:val="20"/>
          <w:szCs w:val="20"/>
          <w:lang w:val="es-ES"/>
        </w:rPr>
      </w:pPr>
      <w:r w:rsidRPr="003C1B78">
        <w:rPr>
          <w:rFonts w:ascii="Verdana" w:hAnsi="Verdana" w:cs="Arial"/>
          <w:color w:val="000000" w:themeColor="text1"/>
          <w:sz w:val="20"/>
          <w:szCs w:val="20"/>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w:t>
      </w:r>
      <w:r w:rsidRPr="003C1B78">
        <w:rPr>
          <w:rFonts w:ascii="Verdana" w:hAnsi="Verdana" w:cs="Arial"/>
          <w:color w:val="000000" w:themeColor="text1"/>
          <w:sz w:val="20"/>
          <w:szCs w:val="20"/>
          <w:lang w:val="es-ES"/>
        </w:rPr>
        <w:lastRenderedPageBreak/>
        <w:t>que puede ser impuesta sobre el derecho individual a contratar con el Estado”</w:t>
      </w:r>
      <w:r w:rsidRPr="003C1B78">
        <w:rPr>
          <w:rStyle w:val="Refdenotaalpie"/>
          <w:rFonts w:ascii="Verdana" w:hAnsi="Verdana" w:cs="Arial"/>
          <w:color w:val="000000" w:themeColor="text1"/>
          <w:sz w:val="20"/>
          <w:szCs w:val="20"/>
          <w:lang w:val="es-ES"/>
        </w:rPr>
        <w:footnoteReference w:id="3"/>
      </w:r>
      <w:r w:rsidRPr="003C1B78">
        <w:rPr>
          <w:rFonts w:ascii="Verdana" w:hAnsi="Verdana" w:cs="Arial"/>
          <w:color w:val="000000" w:themeColor="text1"/>
          <w:sz w:val="20"/>
          <w:szCs w:val="20"/>
          <w:lang w:val="es-ES"/>
        </w:rPr>
        <w:t xml:space="preserve">. </w:t>
      </w:r>
    </w:p>
    <w:p w14:paraId="13CD3D8E" w14:textId="77777777" w:rsidR="000F7F2B" w:rsidRPr="00322B59" w:rsidRDefault="000F7F2B" w:rsidP="000F7F2B">
      <w:pPr>
        <w:pStyle w:val="Sinespaciado"/>
        <w:spacing w:line="276" w:lineRule="auto"/>
        <w:jc w:val="both"/>
        <w:rPr>
          <w:rFonts w:ascii="Verdana" w:hAnsi="Verdana" w:cs="Arial"/>
          <w:color w:val="000000" w:themeColor="text1"/>
          <w:sz w:val="22"/>
          <w:lang w:val="es-ES"/>
        </w:rPr>
      </w:pPr>
    </w:p>
    <w:p w14:paraId="43BF3BF7" w14:textId="77777777" w:rsidR="000F7F2B" w:rsidRDefault="000F7F2B" w:rsidP="000F7F2B">
      <w:pPr>
        <w:spacing w:after="0" w:line="276" w:lineRule="auto"/>
        <w:ind w:firstLine="708"/>
        <w:jc w:val="both"/>
        <w:rPr>
          <w:rFonts w:ascii="Verdana" w:hAnsi="Verdana" w:cs="Arial"/>
          <w:color w:val="000000" w:themeColor="text1"/>
        </w:rPr>
      </w:pPr>
      <w:r w:rsidRPr="00322B59">
        <w:rPr>
          <w:rFonts w:ascii="Verdana" w:hAnsi="Verdana" w:cs="Arial"/>
          <w:color w:val="000000" w:themeColor="text1"/>
        </w:rPr>
        <w:t>Las inhabilidades e incompatibilidades son medios que garantiza</w:t>
      </w:r>
      <w:r>
        <w:rPr>
          <w:rFonts w:ascii="Verdana" w:hAnsi="Verdana" w:cs="Arial"/>
          <w:color w:val="000000" w:themeColor="text1"/>
        </w:rPr>
        <w:t>n</w:t>
      </w:r>
      <w:r w:rsidRPr="00322B59">
        <w:rPr>
          <w:rFonts w:ascii="Verdana" w:hAnsi="Verdana" w:cs="Arial"/>
          <w:color w:val="000000" w:themeColor="text1"/>
        </w:rPr>
        <w:t xml:space="preserve">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322B59">
        <w:rPr>
          <w:rFonts w:ascii="Verdana" w:eastAsia="Calibri" w:hAnsi="Verdana" w:cs="Arial"/>
          <w:color w:val="000000" w:themeColor="text1"/>
          <w:lang w:val="es-ES_tradnl"/>
        </w:rPr>
        <w:t xml:space="preserve">,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322B59">
        <w:rPr>
          <w:rFonts w:ascii="Verdana" w:hAnsi="Verdana" w:cs="Arial"/>
          <w:color w:val="000000" w:themeColor="text1"/>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1A6C423B" w14:textId="77777777" w:rsidR="000F7F2B" w:rsidRDefault="000F7F2B" w:rsidP="000F7F2B">
      <w:pPr>
        <w:spacing w:after="0" w:line="276" w:lineRule="auto"/>
        <w:jc w:val="both"/>
        <w:rPr>
          <w:rFonts w:ascii="Verdana" w:hAnsi="Verdana" w:cs="Arial"/>
          <w:color w:val="000000" w:themeColor="text1"/>
        </w:rPr>
      </w:pPr>
    </w:p>
    <w:p w14:paraId="4635A08F" w14:textId="77777777" w:rsidR="000F7F2B" w:rsidRPr="00F4112E" w:rsidRDefault="000F7F2B" w:rsidP="000F7F2B">
      <w:pPr>
        <w:spacing w:after="120" w:line="276" w:lineRule="auto"/>
        <w:jc w:val="both"/>
        <w:rPr>
          <w:rFonts w:ascii="Verdana" w:eastAsia="Calibri" w:hAnsi="Verdana" w:cs="Arial"/>
          <w:color w:val="000000" w:themeColor="text1"/>
          <w:lang w:val="es-ES_tradnl"/>
        </w:rPr>
      </w:pPr>
      <w:proofErr w:type="spellStart"/>
      <w:r>
        <w:rPr>
          <w:rFonts w:ascii="Verdana" w:hAnsi="Verdana" w:cs="Arial"/>
          <w:color w:val="000000" w:themeColor="text1"/>
        </w:rPr>
        <w:t>iii</w:t>
      </w:r>
      <w:proofErr w:type="spellEnd"/>
      <w:r w:rsidRPr="00F4112E">
        <w:rPr>
          <w:rFonts w:ascii="Verdana" w:hAnsi="Verdana" w:cs="Arial"/>
          <w:color w:val="000000" w:themeColor="text1"/>
        </w:rPr>
        <w:t xml:space="preserve">. </w:t>
      </w:r>
      <w:r w:rsidRPr="00F4112E">
        <w:rPr>
          <w:rFonts w:ascii="Verdana" w:eastAsia="Calibri" w:hAnsi="Verdana" w:cs="Arial"/>
          <w:color w:val="000000" w:themeColor="text1"/>
          <w:lang w:val="es-ES_tradnl"/>
        </w:rPr>
        <w:t xml:space="preserve">Bajo estas circunstancias, las entidades públicas no pueden establecer en el pliego de condiciones causales de inhabilidad o incompatibilidad no previstas en la Constitución o en la ley. En consecuencia, al tratarse de una materia que tiene reserva legal, no es posible que una entidad pública establezca nuevas causales que afecten la capacidad para contratar con el Estado, ni siquiera haciéndolas pasar como causa para rechazar los ofrecimientos realizados.  </w:t>
      </w:r>
    </w:p>
    <w:p w14:paraId="125D6099" w14:textId="77777777" w:rsidR="000F7F2B" w:rsidRPr="00F4112E" w:rsidRDefault="000F7F2B" w:rsidP="000F7F2B">
      <w:pPr>
        <w:pStyle w:val="Sinespaciado"/>
        <w:tabs>
          <w:tab w:val="left" w:pos="709"/>
        </w:tabs>
        <w:spacing w:line="276" w:lineRule="auto"/>
        <w:jc w:val="both"/>
        <w:rPr>
          <w:rFonts w:ascii="Verdana" w:hAnsi="Verdana" w:cs="Arial"/>
          <w:color w:val="000000" w:themeColor="text1"/>
          <w:sz w:val="22"/>
          <w:lang w:val="es-ES"/>
        </w:rPr>
      </w:pPr>
      <w:r w:rsidRPr="00F4112E">
        <w:rPr>
          <w:rFonts w:ascii="Verdana" w:eastAsia="Calibri" w:hAnsi="Verdana" w:cs="Arial"/>
          <w:color w:val="000000" w:themeColor="text1"/>
          <w:lang w:val="es-ES_tradnl"/>
        </w:rPr>
        <w:tab/>
      </w:r>
      <w:r w:rsidRPr="00F4112E">
        <w:rPr>
          <w:rFonts w:ascii="Verdana" w:hAnsi="Verdana" w:cs="Arial"/>
          <w:color w:val="000000" w:themeColor="text1"/>
          <w:sz w:val="22"/>
        </w:rPr>
        <w:t xml:space="preserve">De conformidad con el artículo 24.5 de la Ley 80 de 1993, en los pliegos de condiciones se definen reglas objetivas, justas, claras y completas que permitan la confección de ofrecimientos de índole similar. La jurisprudencia del Consejo de Estado ha determinado que la claridad, justicia y completitud de las reglas de los pliegos de condiciones deben procurar la selección del mejor oferente. Al respecto, señala que  </w:t>
      </w:r>
    </w:p>
    <w:p w14:paraId="234F8E79" w14:textId="77777777" w:rsidR="000F7F2B" w:rsidRPr="00F4112E" w:rsidRDefault="000F7F2B" w:rsidP="000F7F2B">
      <w:pPr>
        <w:pStyle w:val="Sinespaciado"/>
        <w:tabs>
          <w:tab w:val="left" w:pos="1532"/>
        </w:tabs>
        <w:spacing w:line="276" w:lineRule="auto"/>
        <w:jc w:val="both"/>
        <w:rPr>
          <w:rFonts w:ascii="Verdana" w:hAnsi="Verdana" w:cs="Arial"/>
          <w:color w:val="000000" w:themeColor="text1"/>
        </w:rPr>
      </w:pPr>
    </w:p>
    <w:p w14:paraId="3E1976F9" w14:textId="77777777" w:rsidR="000F7F2B" w:rsidRPr="003C1B78" w:rsidRDefault="000F7F2B" w:rsidP="000F7F2B">
      <w:pPr>
        <w:spacing w:after="120" w:line="240" w:lineRule="auto"/>
        <w:ind w:left="709" w:right="709"/>
        <w:jc w:val="both"/>
        <w:rPr>
          <w:rFonts w:ascii="Verdana" w:hAnsi="Verdana" w:cs="Arial"/>
          <w:color w:val="000000" w:themeColor="text1"/>
          <w:sz w:val="20"/>
          <w:szCs w:val="20"/>
        </w:rPr>
      </w:pPr>
      <w:r w:rsidRPr="003C1B78">
        <w:rPr>
          <w:rFonts w:ascii="Verdana" w:hAnsi="Verdana" w:cs="Arial"/>
          <w:color w:val="000000" w:themeColor="text1"/>
          <w:sz w:val="20"/>
          <w:szCs w:val="20"/>
        </w:rPr>
        <w:t xml:space="preserve">“En ese orden de ideas, las reglas que de manera previa a la apertura del procedimiento administrativo de selección deben ser fijadas por la Administración y que habrán de gobernarlo hasta su culminación toda vez que a la luz de ellas y sólo de ellas debe adjudicarse el contrato han de </w:t>
      </w:r>
      <w:r w:rsidRPr="003C1B78">
        <w:rPr>
          <w:rFonts w:ascii="Verdana" w:hAnsi="Verdana" w:cs="Arial"/>
          <w:color w:val="000000" w:themeColor="text1"/>
          <w:sz w:val="20"/>
          <w:szCs w:val="20"/>
        </w:rPr>
        <w:lastRenderedPageBreak/>
        <w:t>ser reglas justas, esto es, que realmente apunten a posibilitar la selección del mejor contratista, a la persona natural o jurídica o al grupo de personas que de mejor manera pueda cumplir con el objeto contractual, haciendo prevalecer, por tanto, las condiciones sustanciales de los proponentes respecto de los meros formalismos; reglas objetivas en la medida en que se establezcan de manera tal que sean ellas y exclusivamente ellas, las que determinen el resultado del procedimiento de selección, cerrando las puertas a que sean las estimaciones o los enfoques y criterios personales de los evaluadores los que devengan definitivos, a tal efecto, en el momento de aplicar las referidas reglas; éstas, por lo demás, como corolario del antes comentado principio de objetividad, deben haber sido fijadas con fundamento en las evaluaciones y en los estudios técnicos, económicos, jurídicos, de conveniencia o de oportunidad que la entidad ha debido llevar a cabo con el propósito de ubicarse en la mejor posición antes de configurar los pliegos de condiciones o sus equivalentes principio de objetividad.</w:t>
      </w:r>
    </w:p>
    <w:p w14:paraId="71F5FF14" w14:textId="77777777" w:rsidR="000F7F2B" w:rsidRPr="003C1B78" w:rsidRDefault="000F7F2B" w:rsidP="000F7F2B">
      <w:pPr>
        <w:spacing w:after="0" w:line="240" w:lineRule="auto"/>
        <w:ind w:left="709" w:right="709"/>
        <w:jc w:val="both"/>
        <w:rPr>
          <w:rFonts w:ascii="Verdana" w:hAnsi="Verdana" w:cs="Arial"/>
          <w:color w:val="000000" w:themeColor="text1"/>
          <w:sz w:val="20"/>
          <w:szCs w:val="20"/>
        </w:rPr>
      </w:pPr>
      <w:r w:rsidRPr="003C1B78">
        <w:rPr>
          <w:rFonts w:ascii="Verdana" w:hAnsi="Verdana" w:cs="Arial"/>
          <w:color w:val="000000" w:themeColor="text1"/>
          <w:sz w:val="20"/>
          <w:szCs w:val="20"/>
        </w:rPr>
        <w:t xml:space="preserve">Deben ser, así mismo, reglas claras, cuya redacción dé lugar a que la interpretación que de ellas efectúe la instancia que las fijó, sea exactamente la misma que puedan realizar tanto los posibles oferentes como quienes tengan a su cargo la evaluación y calificación de las propuestas, de suerte tal que la univocidad de su configuración conduzca a un único entendimiento posible de su contenido y, finalmente, han de ser reglas completas, esto es, que para efectos de resultar aplicables no remitan a o no precisen de la información o de los conceptos o de los criterios incluidos en otros preceptos o, en general, en fuentes externas o ajenas al propio pliego de condiciones, menos </w:t>
      </w:r>
      <w:proofErr w:type="spellStart"/>
      <w:r w:rsidRPr="003C1B78">
        <w:rPr>
          <w:rFonts w:ascii="Verdana" w:hAnsi="Verdana" w:cs="Arial"/>
          <w:color w:val="000000" w:themeColor="text1"/>
          <w:sz w:val="20"/>
          <w:szCs w:val="20"/>
        </w:rPr>
        <w:t>aún</w:t>
      </w:r>
      <w:proofErr w:type="spellEnd"/>
      <w:r w:rsidRPr="003C1B78">
        <w:rPr>
          <w:rFonts w:ascii="Verdana" w:hAnsi="Verdana" w:cs="Arial"/>
          <w:color w:val="000000" w:themeColor="text1"/>
          <w:sz w:val="20"/>
          <w:szCs w:val="20"/>
        </w:rPr>
        <w:t xml:space="preserve"> cuando no exista certeza en punto a cuáles son los elementos que integran dichas fuentes externas, lo cual ocurriría, por vía de ejemplo, cuando se remita ‘al estado del arte o de la ciencia’ en un específico ámbito del saber técnico, científico o especializado”</w:t>
      </w:r>
      <w:r w:rsidRPr="003C1B78">
        <w:rPr>
          <w:rStyle w:val="Refdenotaalpie"/>
          <w:rFonts w:ascii="Verdana" w:hAnsi="Verdana" w:cs="Arial"/>
          <w:color w:val="000000" w:themeColor="text1"/>
          <w:sz w:val="20"/>
          <w:szCs w:val="20"/>
        </w:rPr>
        <w:footnoteReference w:id="4"/>
      </w:r>
      <w:r w:rsidRPr="003C1B78">
        <w:rPr>
          <w:rFonts w:ascii="Verdana" w:hAnsi="Verdana" w:cs="Arial"/>
          <w:color w:val="000000" w:themeColor="text1"/>
          <w:sz w:val="20"/>
          <w:szCs w:val="20"/>
        </w:rPr>
        <w:t>.</w:t>
      </w:r>
    </w:p>
    <w:p w14:paraId="05478D31" w14:textId="77777777" w:rsidR="000F7F2B" w:rsidRPr="00F4112E" w:rsidRDefault="000F7F2B" w:rsidP="000F7F2B">
      <w:pPr>
        <w:pStyle w:val="Sinespaciado"/>
        <w:tabs>
          <w:tab w:val="left" w:pos="1532"/>
        </w:tabs>
        <w:jc w:val="both"/>
        <w:rPr>
          <w:rFonts w:ascii="Verdana" w:hAnsi="Verdana" w:cs="Arial"/>
          <w:color w:val="000000" w:themeColor="text1"/>
          <w:sz w:val="22"/>
        </w:rPr>
      </w:pPr>
    </w:p>
    <w:p w14:paraId="25004C12" w14:textId="77777777" w:rsidR="000F7F2B" w:rsidRPr="00F4112E" w:rsidRDefault="000F7F2B" w:rsidP="000F7F2B">
      <w:pPr>
        <w:pStyle w:val="Sinespaciado"/>
        <w:spacing w:after="120" w:line="276" w:lineRule="auto"/>
        <w:jc w:val="both"/>
        <w:rPr>
          <w:rFonts w:ascii="Verdana" w:hAnsi="Verdana" w:cs="Arial"/>
          <w:color w:val="000000" w:themeColor="text1"/>
          <w:sz w:val="22"/>
        </w:rPr>
      </w:pPr>
      <w:r w:rsidRPr="00F4112E">
        <w:rPr>
          <w:rFonts w:ascii="Verdana" w:hAnsi="Verdana" w:cs="Arial"/>
          <w:color w:val="000000" w:themeColor="text1"/>
        </w:rPr>
        <w:tab/>
      </w:r>
      <w:r w:rsidRPr="00F4112E">
        <w:rPr>
          <w:rFonts w:ascii="Verdana" w:hAnsi="Verdana" w:cs="Arial"/>
          <w:color w:val="000000" w:themeColor="text1"/>
          <w:sz w:val="22"/>
        </w:rPr>
        <w:t xml:space="preserve">De esta forma, los pliegos de condiciones deben contener de manera clara los criterios y factores de evaluación y selección de las ofertas, los cuales deben ser proporcionados y razonables, pues no de otra manera se garantizarían los principios de igualdad, imparcialidad y selección objetiva. Por ello, deben atender lo dispuesto en los literales d) y e) del artículo 24.5 de la Ley 80 de 1993, según los cuales no es posible i) introducir condiciones o exigencias de imposible cumplimiento, ii) prever exenciones de responsabilidad derivada de los datos, informes y documentos que se suministren, iii) establecer reglas que induzcan </w:t>
      </w:r>
      <w:r w:rsidRPr="00F4112E">
        <w:rPr>
          <w:rFonts w:ascii="Verdana" w:hAnsi="Verdana" w:cs="Arial"/>
          <w:color w:val="000000" w:themeColor="text1"/>
          <w:sz w:val="22"/>
        </w:rPr>
        <w:lastRenderedPageBreak/>
        <w:t xml:space="preserve">a error a los oferentes, que permitan la formulación de ofertas de extensión ilimitada o que dependan de la voluntad exclusiva de la entidad contratante. </w:t>
      </w:r>
    </w:p>
    <w:p w14:paraId="17731C05" w14:textId="77777777" w:rsidR="000F7F2B" w:rsidRPr="00F4112E" w:rsidRDefault="000F7F2B" w:rsidP="000F7F2B">
      <w:pPr>
        <w:pStyle w:val="Sinespaciado"/>
        <w:tabs>
          <w:tab w:val="left" w:pos="709"/>
        </w:tabs>
        <w:spacing w:line="276" w:lineRule="auto"/>
        <w:jc w:val="both"/>
        <w:rPr>
          <w:rFonts w:ascii="Verdana" w:hAnsi="Verdana" w:cs="Arial"/>
          <w:color w:val="000000" w:themeColor="text1"/>
          <w:sz w:val="22"/>
        </w:rPr>
      </w:pPr>
      <w:r w:rsidRPr="00F4112E">
        <w:rPr>
          <w:rFonts w:ascii="Verdana" w:hAnsi="Verdana" w:cs="Arial"/>
          <w:color w:val="000000" w:themeColor="text1"/>
          <w:sz w:val="22"/>
        </w:rPr>
        <w:tab/>
        <w:t>Además de lo anterior, existen otras prohibiciones legales que debe observar la Administración al estructurar los pliegos de condiciones, por ejemplo, la contenida en el inciso 2º del artículo 6, apartado 6.1, de la Ley 1150 de 2007, según el cual las entidades no podrán exigir a los proponentes que aporten los documentos que se utilizan para la inscripción en el Registro Único de Proponentes. Asimismo, el Consejo de Estado ha sostenido que no es posible establecer en los pliegos de condiciones prohibiciones que tengan el carácter de inhabilidades o incompatibilidades, o fijar requisitos que bajo la denominación de causales de rechazo o exclusión encubren estas restricciones, que están reservadas al constituyente y el legislador. No en vano, la jurisprudencia manifiesta lo siguiente:</w:t>
      </w:r>
    </w:p>
    <w:p w14:paraId="36069840" w14:textId="77777777" w:rsidR="000F7F2B" w:rsidRPr="00F4112E" w:rsidRDefault="000F7F2B" w:rsidP="000F7F2B">
      <w:pPr>
        <w:pStyle w:val="Sinespaciado"/>
        <w:tabs>
          <w:tab w:val="left" w:pos="1532"/>
        </w:tabs>
        <w:spacing w:line="276" w:lineRule="auto"/>
        <w:jc w:val="both"/>
        <w:rPr>
          <w:rFonts w:ascii="Verdana" w:hAnsi="Verdana" w:cs="Arial"/>
          <w:color w:val="000000" w:themeColor="text1"/>
          <w:sz w:val="22"/>
        </w:rPr>
      </w:pPr>
    </w:p>
    <w:p w14:paraId="360B9E13" w14:textId="77777777" w:rsidR="000F7F2B" w:rsidRPr="003C1B78" w:rsidRDefault="000F7F2B" w:rsidP="000F7F2B">
      <w:pPr>
        <w:spacing w:after="120" w:line="240" w:lineRule="auto"/>
        <w:ind w:left="703" w:right="567"/>
        <w:jc w:val="both"/>
        <w:rPr>
          <w:rFonts w:ascii="Verdana" w:hAnsi="Verdana" w:cs="Arial"/>
          <w:color w:val="000000" w:themeColor="text1"/>
          <w:sz w:val="20"/>
          <w:szCs w:val="20"/>
        </w:rPr>
      </w:pPr>
      <w:r w:rsidRPr="003C1B78">
        <w:rPr>
          <w:rFonts w:ascii="Verdana" w:hAnsi="Verdana" w:cs="Arial"/>
          <w:color w:val="000000" w:themeColor="text1"/>
          <w:sz w:val="20"/>
          <w:szCs w:val="20"/>
        </w:rPr>
        <w:t>“Al avanzar en el análisis relacionado con los límites que deben respetarse en la configuración de los pliegos de condiciones que han de regir en cada procedimiento administrativo de selección contractual, hay lugar a precisar que las entidades estatales contratantes no cuentan con facultades para establecer, consagrar o crear prohibiciones como inhabilidades o incompatibilidades no previstas en la Constitución Política o en la ley para impedir la participación de interesados que desean o deciden intervenir en los correspondientes procedimientos administrativos de selección o causales de exclusión o de rechazo de las ofertas respectivas que tampoco correspondan a previsiones previamente consagradas en normas de jerarquía superior a la de los pliegos de condiciones.</w:t>
      </w:r>
    </w:p>
    <w:p w14:paraId="76BC1C09" w14:textId="77777777" w:rsidR="000F7F2B" w:rsidRPr="003C1B78" w:rsidRDefault="000F7F2B" w:rsidP="000F7F2B">
      <w:pPr>
        <w:spacing w:after="0" w:line="240" w:lineRule="auto"/>
        <w:ind w:left="705" w:right="567"/>
        <w:jc w:val="both"/>
        <w:rPr>
          <w:rFonts w:ascii="Verdana" w:hAnsi="Verdana" w:cs="Arial"/>
          <w:color w:val="000000" w:themeColor="text1"/>
          <w:sz w:val="20"/>
          <w:szCs w:val="20"/>
        </w:rPr>
      </w:pPr>
      <w:r w:rsidRPr="003C1B78">
        <w:rPr>
          <w:rFonts w:ascii="Verdana" w:hAnsi="Verdana" w:cs="Arial"/>
          <w:color w:val="000000" w:themeColor="text1"/>
          <w:sz w:val="20"/>
          <w:szCs w:val="20"/>
        </w:rPr>
        <w:t>De ahí que las entidades estatales contratantes deban ser extremadamente cuidadosas y transparentes al exigir a los oferentes el cumplimiento de requisitos razonables y proporcionales cuya inobservancia, a la vez, determina que tales entidades no pueden seleccionar entonces las ofertas que se encuentren en circunstancias de incumplimiento de requisitos esenciales o indispensables establecidos en el correspondiente pliego de condiciones-lo cual incluye aquellos que hoy la propia ley denomina ‘requisitos habilitantes’–, por lo cual no será válido que tras la apariencia de tales exigencias en realidad se disfracen u oculten inhabilidades o incompatibilidades distintas a las previstas en la Constitución o en la ley para impedir la participación de ciertos interesados en los respectivos procedimientos administrativos de selección contractual”</w:t>
      </w:r>
      <w:r w:rsidRPr="003C1B78">
        <w:rPr>
          <w:rStyle w:val="Refdenotaalpie"/>
          <w:rFonts w:ascii="Verdana" w:hAnsi="Verdana" w:cs="Arial"/>
          <w:color w:val="000000" w:themeColor="text1"/>
          <w:sz w:val="20"/>
          <w:szCs w:val="20"/>
        </w:rPr>
        <w:footnoteReference w:id="5"/>
      </w:r>
      <w:r w:rsidRPr="003C1B78">
        <w:rPr>
          <w:rFonts w:ascii="Verdana" w:hAnsi="Verdana" w:cs="Arial"/>
          <w:color w:val="000000" w:themeColor="text1"/>
          <w:sz w:val="20"/>
          <w:szCs w:val="20"/>
        </w:rPr>
        <w:t>.</w:t>
      </w:r>
    </w:p>
    <w:p w14:paraId="298C7D02" w14:textId="77777777" w:rsidR="000F7F2B" w:rsidRPr="00F4112E" w:rsidRDefault="000F7F2B" w:rsidP="000F7F2B">
      <w:pPr>
        <w:pStyle w:val="Sinespaciado"/>
        <w:tabs>
          <w:tab w:val="left" w:pos="1532"/>
        </w:tabs>
        <w:spacing w:line="276" w:lineRule="auto"/>
        <w:jc w:val="both"/>
        <w:rPr>
          <w:rFonts w:ascii="Verdana" w:hAnsi="Verdana" w:cs="Arial"/>
          <w:color w:val="000000" w:themeColor="text1"/>
          <w:sz w:val="22"/>
        </w:rPr>
      </w:pPr>
      <w:r w:rsidRPr="00F4112E">
        <w:rPr>
          <w:rFonts w:ascii="Verdana" w:hAnsi="Verdana" w:cs="Arial"/>
          <w:color w:val="000000" w:themeColor="text1"/>
        </w:rPr>
        <w:t xml:space="preserve"> </w:t>
      </w:r>
    </w:p>
    <w:p w14:paraId="0DA4733F" w14:textId="77777777" w:rsidR="000F7F2B" w:rsidRPr="00F4112E" w:rsidRDefault="000F7F2B" w:rsidP="000F7F2B">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rPr>
        <w:lastRenderedPageBreak/>
        <w:tab/>
      </w:r>
      <w:r w:rsidRPr="00F4112E">
        <w:rPr>
          <w:rFonts w:ascii="Verdana" w:hAnsi="Verdana" w:cs="Arial"/>
          <w:color w:val="000000" w:themeColor="text1"/>
          <w:sz w:val="22"/>
        </w:rPr>
        <w:t xml:space="preserve">Con fundamento en esta posición, es posible sostener que: </w:t>
      </w:r>
      <w:r>
        <w:rPr>
          <w:rFonts w:ascii="Verdana" w:hAnsi="Verdana" w:cs="Arial"/>
          <w:color w:val="000000" w:themeColor="text1"/>
          <w:sz w:val="22"/>
        </w:rPr>
        <w:t>a</w:t>
      </w:r>
      <w:r w:rsidRPr="00F4112E">
        <w:rPr>
          <w:rFonts w:ascii="Verdana" w:hAnsi="Verdana" w:cs="Arial"/>
          <w:color w:val="000000" w:themeColor="text1"/>
          <w:sz w:val="22"/>
        </w:rPr>
        <w:t xml:space="preserve">) a pesar del amplio margen de la Administración para configurar los pliegos de condiciones de acuerdo con sus necesidades, también está sujeta al principio de legalidad, en virtud del cual las autoridades públicas solo pueden ejercer las funciones o atribuciones expresamente asignadas por la Constitución y la Ley, y no existe ninguna norma constitucional o legal que autorice a las entidades contratantes para establecer inhabilidades o incompatibilidades diferentes a las consagradas por la Constitución y la Ley.   </w:t>
      </w:r>
    </w:p>
    <w:p w14:paraId="78E5F03B" w14:textId="77777777" w:rsidR="000F7F2B" w:rsidRPr="00F4112E" w:rsidRDefault="000F7F2B" w:rsidP="000F7F2B">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sz w:val="22"/>
        </w:rPr>
        <w:tab/>
      </w:r>
      <w:r>
        <w:rPr>
          <w:rFonts w:ascii="Verdana" w:hAnsi="Verdana" w:cs="Arial"/>
          <w:color w:val="000000" w:themeColor="text1"/>
          <w:sz w:val="22"/>
        </w:rPr>
        <w:t>b</w:t>
      </w:r>
      <w:r w:rsidRPr="00F4112E">
        <w:rPr>
          <w:rFonts w:ascii="Verdana" w:hAnsi="Verdana" w:cs="Arial"/>
          <w:color w:val="000000" w:themeColor="text1"/>
          <w:sz w:val="22"/>
        </w:rPr>
        <w:t xml:space="preserve">) El artículo 84 de la Constitución Política establece que cuando un derecho o actividad haya sido reglamentada de manera general, las autoridades no pueden establecer ni exigir permisos, licencias o requisitos adicionales para su ejercicio. Así, teniendo en cuenta que la actividad de las entidades estatales está reglada por el Estatuto General de Contratación Pública, donde se establecen de manera expresa las inhabilidades e incompatibilidades, no es posible que la Administración establezca requisitos adicionales de los que allí fueron consignados. </w:t>
      </w:r>
    </w:p>
    <w:p w14:paraId="283DF80D" w14:textId="77777777" w:rsidR="000F7F2B" w:rsidRPr="00F4112E" w:rsidRDefault="000F7F2B" w:rsidP="000F7F2B">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sz w:val="22"/>
        </w:rPr>
        <w:tab/>
      </w:r>
      <w:r>
        <w:rPr>
          <w:rFonts w:ascii="Verdana" w:hAnsi="Verdana" w:cs="Arial"/>
          <w:color w:val="000000" w:themeColor="text1"/>
          <w:sz w:val="22"/>
        </w:rPr>
        <w:t>c</w:t>
      </w:r>
      <w:r w:rsidRPr="00F4112E">
        <w:rPr>
          <w:rFonts w:ascii="Verdana" w:hAnsi="Verdana" w:cs="Arial"/>
          <w:color w:val="000000" w:themeColor="text1"/>
          <w:sz w:val="22"/>
        </w:rPr>
        <w:t xml:space="preserve">) El literal a) del numeral 1 del artículo 8 de la Ley 80 de 1993 señala que no pueden participar en licitaciones ni celebrar contratos con las entidades estatales las personas que se hallen inhabilitadas por la Constitución y las Leyes. Para el Consejo de Estado, esta norma debe entenderse como una ratificación de que el régimen de inhabilidades e incompatibilidades es el contenido en la Constitución y la Ley, y en consecuencia no es posible determinar estas restricciones a través de normas de menor jerarquía. </w:t>
      </w:r>
    </w:p>
    <w:p w14:paraId="6C61E4DC" w14:textId="77777777" w:rsidR="000F7F2B" w:rsidRDefault="000F7F2B" w:rsidP="000F7F2B">
      <w:pPr>
        <w:spacing w:after="0" w:line="276" w:lineRule="auto"/>
        <w:jc w:val="both"/>
        <w:rPr>
          <w:rFonts w:ascii="Verdana" w:hAnsi="Verdana" w:cs="Arial"/>
          <w:color w:val="000000" w:themeColor="text1"/>
        </w:rPr>
      </w:pPr>
      <w:r w:rsidRPr="00F4112E">
        <w:rPr>
          <w:rFonts w:ascii="Verdana" w:hAnsi="Verdana" w:cs="Arial"/>
          <w:color w:val="000000" w:themeColor="text1"/>
        </w:rPr>
        <w:tab/>
        <w:t>A todo lo anterior se adiciona la naturaleza taxativa y de interpretación restrictiva de las causales de inhabilidad e incompatibilidad. En otras palabras, si bien la Administración tiene facultad para establecer causales de rechazo o exclusión de ofertas en sus procesos de selección, que consulten la necesidad de establecer las exigencias mínimas que deben satisfacer los proponentes para ser idóneos para la ejecución del objeto contractual, lo cierto es que esas facultades no le permiten fijar requerimientos que al ser analizados a fondo constituyen hechos o situaciones propias del régimen de inhabilidades o incompatibilidades.</w:t>
      </w:r>
    </w:p>
    <w:p w14:paraId="0295B979" w14:textId="77777777" w:rsidR="000F7F2B" w:rsidRDefault="000F7F2B" w:rsidP="000F7F2B">
      <w:pPr>
        <w:spacing w:after="0" w:line="276" w:lineRule="auto"/>
        <w:jc w:val="both"/>
        <w:rPr>
          <w:rFonts w:ascii="Verdana" w:hAnsi="Verdana" w:cs="Arial"/>
          <w:color w:val="000000" w:themeColor="text1"/>
        </w:rPr>
      </w:pPr>
    </w:p>
    <w:p w14:paraId="44F8F980" w14:textId="77777777" w:rsidR="000F7F2B" w:rsidRPr="008A4AEC" w:rsidRDefault="000F7F2B" w:rsidP="000F7F2B">
      <w:pPr>
        <w:spacing w:after="120" w:line="276" w:lineRule="auto"/>
        <w:jc w:val="both"/>
        <w:rPr>
          <w:rFonts w:ascii="Verdana" w:eastAsia="Calibri" w:hAnsi="Verdana" w:cs="Arial"/>
          <w:lang w:val="es-MX"/>
        </w:rPr>
      </w:pPr>
      <w:proofErr w:type="spellStart"/>
      <w:r>
        <w:rPr>
          <w:rFonts w:ascii="Verdana" w:hAnsi="Verdana" w:cs="Arial"/>
          <w:color w:val="000000" w:themeColor="text1"/>
        </w:rPr>
        <w:t>iv</w:t>
      </w:r>
      <w:proofErr w:type="spellEnd"/>
      <w:r>
        <w:rPr>
          <w:rFonts w:ascii="Verdana" w:hAnsi="Verdana" w:cs="Arial"/>
          <w:color w:val="000000" w:themeColor="text1"/>
        </w:rPr>
        <w:t xml:space="preserve">. </w:t>
      </w:r>
      <w:r w:rsidRPr="008A4AEC">
        <w:rPr>
          <w:rFonts w:ascii="Verdana" w:hAnsi="Verdana" w:cs="Arial"/>
          <w:lang w:val="es-ES_tradnl"/>
        </w:rPr>
        <w:t xml:space="preserve">Si bien las personas pueden presentarse individualmente a los procesos de selección, también pueden hacerlo en forma plural a través de consorcios o </w:t>
      </w:r>
      <w:r w:rsidRPr="008A4AEC">
        <w:rPr>
          <w:rFonts w:ascii="Verdana" w:hAnsi="Verdana" w:cs="Arial"/>
          <w:lang w:val="es-ES_tradnl"/>
        </w:rPr>
        <w:lastRenderedPageBreak/>
        <w:t xml:space="preserve">uniones temporales. En efecto, </w:t>
      </w:r>
      <w:r w:rsidRPr="008A4AEC">
        <w:rPr>
          <w:rFonts w:ascii="Verdana" w:eastAsia="Calibri" w:hAnsi="Verdana" w:cs="Arial"/>
          <w:lang w:val="es-MX"/>
        </w:rPr>
        <w:t>de acuerdo con el Código Civil, la capacidad se 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1E88733A" w14:textId="77777777" w:rsidR="000F7F2B" w:rsidRPr="008A4AEC" w:rsidRDefault="000F7F2B" w:rsidP="000F7F2B">
      <w:pPr>
        <w:spacing w:after="0" w:line="276" w:lineRule="auto"/>
        <w:ind w:firstLine="720"/>
        <w:jc w:val="both"/>
        <w:rPr>
          <w:rFonts w:ascii="Verdana" w:eastAsia="Calibri" w:hAnsi="Verdana" w:cs="Arial"/>
          <w:bCs/>
          <w:color w:val="000000" w:themeColor="text1"/>
          <w:lang w:val="es-ES"/>
        </w:rPr>
      </w:pPr>
      <w:r w:rsidRPr="008A4AEC">
        <w:rPr>
          <w:rFonts w:ascii="Verdana" w:eastAsia="Calibri" w:hAnsi="Verdana" w:cs="Arial"/>
          <w:bCs/>
          <w:color w:val="000000" w:themeColor="text1"/>
          <w:lang w:val="es-ES"/>
        </w:rPr>
        <w:t>La capacidad para contratar, e incluso la de realizar actos jurídicamente vinculantes como la presentación de una oferta en un procedimiento de 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 habían estado reservados a las personas jurídicas. Tal es precisamente el caso de la capacidad para contratar otorgada a los consorcios y uniones temporales. En este sentido, la Corte Constitucional ha sostenido:</w:t>
      </w:r>
    </w:p>
    <w:p w14:paraId="73B94CBD" w14:textId="77777777" w:rsidR="000F7F2B" w:rsidRPr="008A4AEC" w:rsidRDefault="000F7F2B" w:rsidP="000F7F2B">
      <w:pPr>
        <w:spacing w:after="0" w:line="276" w:lineRule="auto"/>
        <w:jc w:val="both"/>
        <w:rPr>
          <w:rFonts w:ascii="Verdana" w:eastAsia="Calibri" w:hAnsi="Verdana" w:cs="Arial"/>
          <w:bCs/>
          <w:color w:val="000000" w:themeColor="text1"/>
          <w:lang w:val="es-ES"/>
        </w:rPr>
      </w:pPr>
    </w:p>
    <w:p w14:paraId="26C1D23E" w14:textId="77777777" w:rsidR="000F7F2B" w:rsidRPr="00470CBC" w:rsidRDefault="000F7F2B" w:rsidP="000F7F2B">
      <w:pPr>
        <w:spacing w:after="0" w:line="240" w:lineRule="auto"/>
        <w:ind w:left="709" w:right="709"/>
        <w:jc w:val="both"/>
        <w:rPr>
          <w:rFonts w:ascii="Verdana" w:eastAsia="Calibri" w:hAnsi="Verdana" w:cs="Arial"/>
          <w:bCs/>
          <w:color w:val="000000" w:themeColor="text1"/>
          <w:sz w:val="20"/>
          <w:szCs w:val="20"/>
        </w:rPr>
      </w:pPr>
      <w:r w:rsidRPr="00470CBC">
        <w:rPr>
          <w:rFonts w:ascii="Verdana" w:eastAsia="Calibri" w:hAnsi="Verdana" w:cs="Arial"/>
          <w:bCs/>
          <w:color w:val="000000" w:themeColor="text1"/>
          <w:sz w:val="20"/>
          <w:szCs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74AB576E" w14:textId="77777777" w:rsidR="000F7F2B" w:rsidRPr="00470CBC" w:rsidRDefault="000F7F2B" w:rsidP="000F7F2B">
      <w:pPr>
        <w:spacing w:after="120" w:line="240" w:lineRule="auto"/>
        <w:ind w:left="709" w:right="709"/>
        <w:jc w:val="both"/>
        <w:rPr>
          <w:rFonts w:ascii="Verdana" w:eastAsia="Calibri" w:hAnsi="Verdana" w:cs="Arial"/>
          <w:bCs/>
          <w:color w:val="000000" w:themeColor="text1"/>
          <w:sz w:val="20"/>
          <w:szCs w:val="20"/>
        </w:rPr>
      </w:pPr>
      <w:r w:rsidRPr="00470CBC">
        <w:rPr>
          <w:rFonts w:ascii="Verdana" w:eastAsia="Calibri" w:hAnsi="Verdana" w:cs="Arial"/>
          <w:bCs/>
          <w:color w:val="000000" w:themeColor="text1"/>
          <w:sz w:val="20"/>
          <w:szCs w:val="20"/>
        </w:rPr>
        <w:t>[…]</w:t>
      </w:r>
    </w:p>
    <w:p w14:paraId="6C461F07" w14:textId="77777777" w:rsidR="000F7F2B" w:rsidRPr="008A4AEC" w:rsidRDefault="000F7F2B" w:rsidP="000F7F2B">
      <w:pPr>
        <w:spacing w:after="0" w:line="240" w:lineRule="auto"/>
        <w:ind w:left="709" w:right="709"/>
        <w:jc w:val="both"/>
        <w:rPr>
          <w:rFonts w:ascii="Verdana" w:eastAsia="Calibri" w:hAnsi="Verdana" w:cs="Arial"/>
          <w:bCs/>
          <w:color w:val="000000" w:themeColor="text1"/>
          <w:sz w:val="21"/>
          <w:szCs w:val="21"/>
        </w:rPr>
      </w:pPr>
      <w:r w:rsidRPr="00470CBC">
        <w:rPr>
          <w:rFonts w:ascii="Verdana" w:eastAsia="Calibri" w:hAnsi="Verdana" w:cs="Arial"/>
          <w:bCs/>
          <w:color w:val="000000" w:themeColor="text1"/>
          <w:sz w:val="20"/>
          <w:szCs w:val="20"/>
        </w:rPr>
        <w:t xml:space="preserve">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w:t>
      </w:r>
      <w:r w:rsidRPr="00470CBC">
        <w:rPr>
          <w:rFonts w:ascii="Verdana" w:eastAsia="Calibri" w:hAnsi="Verdana" w:cs="Arial"/>
          <w:bCs/>
          <w:color w:val="000000" w:themeColor="text1"/>
          <w:sz w:val="20"/>
          <w:szCs w:val="20"/>
        </w:rPr>
        <w:lastRenderedPageBreak/>
        <w:t>pierdan su individualidad jurídica, pero asumiendo un grado de responsabilidad solidaria en el cumplimiento de las obligaciones contractuales”</w:t>
      </w:r>
      <w:r w:rsidRPr="00470CBC">
        <w:rPr>
          <w:rStyle w:val="Refdenotaalpie"/>
          <w:rFonts w:ascii="Verdana" w:eastAsia="Calibri" w:hAnsi="Verdana" w:cs="Arial"/>
          <w:bCs/>
          <w:color w:val="000000" w:themeColor="text1"/>
          <w:sz w:val="20"/>
          <w:szCs w:val="20"/>
        </w:rPr>
        <w:footnoteReference w:id="6"/>
      </w:r>
      <w:r w:rsidRPr="00470CBC">
        <w:rPr>
          <w:rFonts w:ascii="Verdana" w:eastAsia="Calibri" w:hAnsi="Verdana" w:cs="Arial"/>
          <w:bCs/>
          <w:color w:val="000000" w:themeColor="text1"/>
          <w:sz w:val="20"/>
          <w:szCs w:val="20"/>
        </w:rPr>
        <w:t>.</w:t>
      </w:r>
    </w:p>
    <w:p w14:paraId="59214A59" w14:textId="77777777" w:rsidR="000F7F2B" w:rsidRPr="008A4AEC" w:rsidRDefault="000F7F2B" w:rsidP="000F7F2B">
      <w:pPr>
        <w:spacing w:after="0"/>
        <w:ind w:left="720" w:right="730"/>
        <w:jc w:val="both"/>
        <w:rPr>
          <w:rFonts w:ascii="Verdana" w:eastAsia="Calibri" w:hAnsi="Verdana" w:cs="Arial"/>
          <w:bCs/>
          <w:color w:val="000000" w:themeColor="text1"/>
          <w:sz w:val="21"/>
          <w:szCs w:val="21"/>
        </w:rPr>
      </w:pPr>
    </w:p>
    <w:p w14:paraId="6D2E2D71" w14:textId="77777777" w:rsidR="000F7F2B" w:rsidRPr="008A4AEC" w:rsidRDefault="000F7F2B" w:rsidP="000F7F2B">
      <w:pPr>
        <w:spacing w:after="120" w:line="276" w:lineRule="auto"/>
        <w:ind w:firstLine="720"/>
        <w:jc w:val="both"/>
        <w:rPr>
          <w:rFonts w:ascii="Verdana" w:eastAsia="Calibri" w:hAnsi="Verdana" w:cs="Arial"/>
          <w:bCs/>
          <w:color w:val="000000" w:themeColor="text1"/>
          <w:lang w:val="es-ES"/>
        </w:rPr>
      </w:pPr>
      <w:bookmarkStart w:id="5" w:name="_Hlk135067740"/>
      <w:r w:rsidRPr="008A4AEC">
        <w:rPr>
          <w:rFonts w:ascii="Verdana" w:eastAsia="Calibri" w:hAnsi="Verdana" w:cs="Arial"/>
          <w:bCs/>
          <w:color w:val="000000" w:themeColor="text1"/>
          <w:lang w:val="es-ES"/>
        </w:rPr>
        <w:t>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 lo que, hasta cierto punto, podría considerarse una evolución en la teoría de la personalidad jurídica.</w:t>
      </w:r>
    </w:p>
    <w:bookmarkEnd w:id="5"/>
    <w:p w14:paraId="1F924495" w14:textId="77777777" w:rsidR="000F7F2B" w:rsidRPr="008A4AEC" w:rsidRDefault="000F7F2B" w:rsidP="000F7F2B">
      <w:pPr>
        <w:spacing w:after="0" w:line="276" w:lineRule="auto"/>
        <w:ind w:firstLine="709"/>
        <w:jc w:val="both"/>
        <w:rPr>
          <w:rFonts w:ascii="Verdana" w:hAnsi="Verdana" w:cs="Arial"/>
        </w:rPr>
      </w:pPr>
      <w:r w:rsidRPr="008A4AEC">
        <w:rPr>
          <w:rFonts w:ascii="Verdana" w:hAnsi="Verdana" w:cs="Arial"/>
        </w:rPr>
        <w:t>Debido a que los consorcios y las uniones temporales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 En lo pertinente, la norma precitada dispone que:</w:t>
      </w:r>
    </w:p>
    <w:p w14:paraId="495DDD9F" w14:textId="77777777" w:rsidR="000F7F2B" w:rsidRPr="008A4AEC" w:rsidRDefault="000F7F2B" w:rsidP="000F7F2B">
      <w:pPr>
        <w:spacing w:after="0" w:line="276" w:lineRule="auto"/>
        <w:ind w:firstLine="709"/>
        <w:jc w:val="both"/>
        <w:rPr>
          <w:rFonts w:ascii="Verdana" w:eastAsia="Calibri" w:hAnsi="Verdana" w:cs="Arial"/>
          <w:bCs/>
          <w:color w:val="000000" w:themeColor="text1"/>
          <w:lang w:val="es-ES"/>
        </w:rPr>
      </w:pPr>
    </w:p>
    <w:p w14:paraId="310C0045" w14:textId="77777777" w:rsidR="000F7F2B" w:rsidRPr="00470CBC" w:rsidRDefault="000F7F2B" w:rsidP="000F7F2B">
      <w:pPr>
        <w:spacing w:after="0" w:line="240" w:lineRule="auto"/>
        <w:ind w:left="709" w:right="709"/>
        <w:jc w:val="both"/>
        <w:rPr>
          <w:rFonts w:ascii="Verdana" w:eastAsia="Calibri" w:hAnsi="Verdana" w:cs="Arial"/>
          <w:bCs/>
          <w:color w:val="000000" w:themeColor="text1"/>
          <w:sz w:val="20"/>
          <w:szCs w:val="20"/>
          <w:lang w:val="es-ES"/>
        </w:rPr>
      </w:pPr>
      <w:r w:rsidRPr="00470CBC">
        <w:rPr>
          <w:rFonts w:ascii="Verdana" w:eastAsia="Calibri" w:hAnsi="Verdana" w:cs="Arial"/>
          <w:bCs/>
          <w:color w:val="000000" w:themeColor="text1"/>
          <w:sz w:val="20"/>
          <w:szCs w:val="20"/>
          <w:lang w:val="es-ES"/>
        </w:rPr>
        <w:t>“Artículo 7º.- ENTIDADES A CONTRATAR. Artículo modificado por el artículo 3 de la Ley 2160 de 2021. Para los efectos de esta Ley se entiende por:</w:t>
      </w:r>
    </w:p>
    <w:p w14:paraId="347312EF" w14:textId="77777777" w:rsidR="000F7F2B" w:rsidRPr="00470CBC" w:rsidRDefault="000F7F2B" w:rsidP="000F7F2B">
      <w:pPr>
        <w:spacing w:after="120" w:line="240" w:lineRule="auto"/>
        <w:ind w:left="709" w:right="709"/>
        <w:jc w:val="both"/>
        <w:rPr>
          <w:rFonts w:ascii="Verdana" w:eastAsia="Calibri" w:hAnsi="Verdana" w:cs="Arial"/>
          <w:bCs/>
          <w:color w:val="000000" w:themeColor="text1"/>
          <w:sz w:val="20"/>
          <w:szCs w:val="20"/>
          <w:lang w:val="es-ES"/>
        </w:rPr>
      </w:pPr>
      <w:r w:rsidRPr="00470CBC">
        <w:rPr>
          <w:rFonts w:ascii="Verdana" w:eastAsia="Calibri" w:hAnsi="Verdana" w:cs="Arial"/>
          <w:bCs/>
          <w:color w:val="000000" w:themeColor="text1"/>
          <w:sz w:val="20"/>
          <w:szCs w:val="20"/>
          <w:lang w:val="es-ES"/>
        </w:rPr>
        <w:t>[…]</w:t>
      </w:r>
    </w:p>
    <w:p w14:paraId="3DAA39AF" w14:textId="77777777" w:rsidR="000F7F2B" w:rsidRPr="00470CBC" w:rsidRDefault="000F7F2B" w:rsidP="000F7F2B">
      <w:pPr>
        <w:spacing w:after="120" w:line="240" w:lineRule="auto"/>
        <w:ind w:left="709" w:right="709"/>
        <w:jc w:val="both"/>
        <w:rPr>
          <w:rFonts w:ascii="Verdana" w:eastAsia="Calibri" w:hAnsi="Verdana" w:cs="Arial"/>
          <w:bCs/>
          <w:color w:val="000000" w:themeColor="text1"/>
          <w:sz w:val="20"/>
          <w:szCs w:val="20"/>
          <w:lang w:val="es-ES"/>
        </w:rPr>
      </w:pPr>
      <w:r w:rsidRPr="00470CBC">
        <w:rPr>
          <w:rFonts w:ascii="Verdana" w:eastAsia="Calibri" w:hAnsi="Verdana" w:cs="Arial"/>
          <w:bCs/>
          <w:color w:val="000000" w:themeColor="text1"/>
          <w:sz w:val="20"/>
          <w:szCs w:val="20"/>
          <w:lang w:val="es-ES"/>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4673C6C4" w14:textId="77777777" w:rsidR="000F7F2B" w:rsidRPr="00470CBC" w:rsidRDefault="000F7F2B" w:rsidP="000F7F2B">
      <w:pPr>
        <w:spacing w:after="0" w:line="240" w:lineRule="auto"/>
        <w:ind w:left="709" w:right="709"/>
        <w:jc w:val="both"/>
        <w:rPr>
          <w:rFonts w:ascii="Verdana" w:eastAsia="Calibri" w:hAnsi="Verdana" w:cs="Arial"/>
          <w:bCs/>
          <w:color w:val="000000" w:themeColor="text1"/>
          <w:sz w:val="20"/>
          <w:szCs w:val="20"/>
          <w:lang w:val="es-ES"/>
        </w:rPr>
      </w:pPr>
      <w:r w:rsidRPr="00470CBC">
        <w:rPr>
          <w:rFonts w:ascii="Verdana" w:eastAsia="Calibri" w:hAnsi="Verdana" w:cs="Arial"/>
          <w:bCs/>
          <w:color w:val="000000" w:themeColor="text1"/>
          <w:sz w:val="20"/>
          <w:szCs w:val="20"/>
          <w:lang w:val="es-ES"/>
        </w:rPr>
        <w:t xml:space="preserve">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w:t>
      </w:r>
      <w:r w:rsidRPr="00470CBC">
        <w:rPr>
          <w:rFonts w:ascii="Verdana" w:eastAsia="Calibri" w:hAnsi="Verdana" w:cs="Arial"/>
          <w:bCs/>
          <w:color w:val="000000" w:themeColor="text1"/>
          <w:sz w:val="20"/>
          <w:szCs w:val="20"/>
          <w:lang w:val="es-ES"/>
        </w:rPr>
        <w:lastRenderedPageBreak/>
        <w:t>propuesta y del contrato se impondrán de acuerdo con la participación en la ejecución de cada uno de los miembros de la unión temporal. </w:t>
      </w:r>
    </w:p>
    <w:p w14:paraId="629D1F06" w14:textId="77777777" w:rsidR="000F7F2B" w:rsidRPr="00470CBC" w:rsidRDefault="000F7F2B" w:rsidP="000F7F2B">
      <w:pPr>
        <w:spacing w:after="120" w:line="240" w:lineRule="auto"/>
        <w:ind w:left="709" w:right="709"/>
        <w:jc w:val="both"/>
        <w:rPr>
          <w:rFonts w:ascii="Verdana" w:eastAsia="Calibri" w:hAnsi="Verdana" w:cs="Arial"/>
          <w:bCs/>
          <w:color w:val="000000" w:themeColor="text1"/>
          <w:sz w:val="20"/>
          <w:szCs w:val="20"/>
          <w:lang w:val="es-ES"/>
        </w:rPr>
      </w:pPr>
      <w:r w:rsidRPr="00470CBC">
        <w:rPr>
          <w:rFonts w:ascii="Verdana" w:eastAsia="Calibri" w:hAnsi="Verdana" w:cs="Arial"/>
          <w:bCs/>
          <w:color w:val="000000" w:themeColor="text1"/>
          <w:sz w:val="20"/>
          <w:szCs w:val="20"/>
          <w:lang w:val="es-ES"/>
        </w:rPr>
        <w:t>[…]</w:t>
      </w:r>
    </w:p>
    <w:p w14:paraId="40BC1082" w14:textId="77777777" w:rsidR="000F7F2B" w:rsidRPr="00470CBC" w:rsidRDefault="000F7F2B" w:rsidP="000F7F2B">
      <w:pPr>
        <w:spacing w:after="120" w:line="240" w:lineRule="auto"/>
        <w:ind w:left="709" w:right="709"/>
        <w:jc w:val="both"/>
        <w:rPr>
          <w:rFonts w:ascii="Verdana" w:eastAsia="Calibri" w:hAnsi="Verdana" w:cs="Arial"/>
          <w:bCs/>
          <w:color w:val="000000" w:themeColor="text1"/>
          <w:sz w:val="20"/>
          <w:szCs w:val="20"/>
          <w:lang w:val="es-ES"/>
        </w:rPr>
      </w:pPr>
      <w:r w:rsidRPr="00470CBC">
        <w:rPr>
          <w:rFonts w:ascii="Verdana" w:eastAsia="Calibri" w:hAnsi="Verdana" w:cs="Arial"/>
          <w:bCs/>
          <w:color w:val="000000" w:themeColor="text1"/>
          <w:sz w:val="20"/>
          <w:szCs w:val="20"/>
          <w:lang w:val="es-ES"/>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09D21137" w14:textId="77777777" w:rsidR="000F7F2B" w:rsidRPr="00470CBC" w:rsidRDefault="000F7F2B" w:rsidP="000F7F2B">
      <w:pPr>
        <w:spacing w:after="0" w:line="240" w:lineRule="auto"/>
        <w:ind w:left="709" w:right="709"/>
        <w:jc w:val="both"/>
        <w:rPr>
          <w:rFonts w:ascii="Verdana" w:eastAsia="Calibri" w:hAnsi="Verdana" w:cs="Arial"/>
          <w:bCs/>
          <w:color w:val="000000" w:themeColor="text1"/>
          <w:sz w:val="20"/>
          <w:szCs w:val="20"/>
          <w:lang w:val="es-ES"/>
        </w:rPr>
      </w:pPr>
      <w:r w:rsidRPr="00470CBC">
        <w:rPr>
          <w:rFonts w:ascii="Verdana" w:eastAsia="Calibri" w:hAnsi="Verdana" w:cs="Arial"/>
          <w:bCs/>
          <w:color w:val="000000" w:themeColor="text1"/>
          <w:sz w:val="20"/>
          <w:szCs w:val="20"/>
          <w:lang w:val="es-ES"/>
        </w:rPr>
        <w:t>Los miembros del consorcio y de la unión temporal deberán designar la persona que, para todos los efectos, representará al consorcio o unión temporal y señalarán las reglas básicas que regulen las relaciones entre ellos y su responsabilidad.</w:t>
      </w:r>
    </w:p>
    <w:p w14:paraId="5AEB111E" w14:textId="77777777" w:rsidR="000F7F2B" w:rsidRPr="008A4AEC" w:rsidRDefault="000F7F2B" w:rsidP="000F7F2B">
      <w:pPr>
        <w:spacing w:after="0" w:line="240" w:lineRule="auto"/>
        <w:ind w:left="709" w:right="709"/>
        <w:jc w:val="both"/>
        <w:rPr>
          <w:rFonts w:ascii="Verdana" w:eastAsia="Calibri" w:hAnsi="Verdana" w:cs="Arial"/>
          <w:bCs/>
          <w:color w:val="000000" w:themeColor="text1"/>
          <w:sz w:val="21"/>
          <w:lang w:val="es-ES"/>
        </w:rPr>
      </w:pPr>
      <w:r w:rsidRPr="00470CBC">
        <w:rPr>
          <w:rFonts w:ascii="Verdana" w:eastAsia="Calibri" w:hAnsi="Verdana" w:cs="Arial"/>
          <w:bCs/>
          <w:color w:val="000000" w:themeColor="text1"/>
          <w:sz w:val="20"/>
          <w:szCs w:val="20"/>
          <w:lang w:val="es-ES"/>
        </w:rPr>
        <w:t>[…]”.</w:t>
      </w:r>
    </w:p>
    <w:p w14:paraId="06FC9733" w14:textId="77777777" w:rsidR="000F7F2B" w:rsidRPr="008A4AEC" w:rsidRDefault="000F7F2B" w:rsidP="000F7F2B">
      <w:pPr>
        <w:spacing w:after="0" w:line="276" w:lineRule="auto"/>
        <w:ind w:left="720" w:right="731"/>
        <w:jc w:val="both"/>
        <w:rPr>
          <w:rFonts w:ascii="Verdana" w:eastAsia="Calibri" w:hAnsi="Verdana" w:cs="Arial"/>
          <w:bCs/>
          <w:color w:val="000000" w:themeColor="text1"/>
          <w:lang w:val="es-ES"/>
        </w:rPr>
      </w:pPr>
    </w:p>
    <w:p w14:paraId="23413733" w14:textId="77777777" w:rsidR="000F7F2B" w:rsidRPr="008A4AEC" w:rsidRDefault="000F7F2B" w:rsidP="000F7F2B">
      <w:pPr>
        <w:spacing w:after="120" w:line="276" w:lineRule="auto"/>
        <w:jc w:val="both"/>
        <w:rPr>
          <w:rFonts w:ascii="Verdana" w:hAnsi="Verdana" w:cs="Arial"/>
          <w:color w:val="000000" w:themeColor="text1"/>
        </w:rPr>
      </w:pPr>
      <w:r w:rsidRPr="008A4AEC">
        <w:rPr>
          <w:rFonts w:ascii="Verdana" w:eastAsia="Calibri" w:hAnsi="Verdana" w:cs="Arial"/>
          <w:bCs/>
          <w:color w:val="000000" w:themeColor="text1"/>
          <w:lang w:val="es-ES"/>
        </w:rPr>
        <w:tab/>
        <w:t>Como se observa, el artículo citado señala que el consorcio o la unión temporal se da “</w:t>
      </w:r>
      <w:r w:rsidRPr="001F0AFE">
        <w:rPr>
          <w:rFonts w:ascii="Verdana" w:eastAsia="Calibri" w:hAnsi="Verdana" w:cs="Arial"/>
          <w:bCs/>
          <w:color w:val="000000" w:themeColor="text1"/>
          <w:lang w:val="es-ES"/>
        </w:rPr>
        <w:t>Cuando dos o más personas en forma conjunta presentan una misma propuesta para la adjudicación, celebración y ejecución de un contrato, respondiendo solidariamente de todas y cada una de las obligaciones derivadas de la propuesta y del contrato […]</w:t>
      </w:r>
      <w:r w:rsidRPr="008A4AEC">
        <w:rPr>
          <w:rFonts w:ascii="Verdana" w:eastAsia="Calibri" w:hAnsi="Verdana" w:cs="Arial"/>
          <w:bCs/>
          <w:color w:val="000000" w:themeColor="text1"/>
          <w:lang w:val="es-ES"/>
        </w:rPr>
        <w:t>”.</w:t>
      </w:r>
      <w:r w:rsidRPr="008A4AEC">
        <w:rPr>
          <w:rFonts w:ascii="Verdana" w:hAnsi="Verdana" w:cs="Arial"/>
          <w:color w:val="000000" w:themeColor="text1"/>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r>
        <w:rPr>
          <w:rFonts w:ascii="Verdana" w:hAnsi="Verdana" w:cs="Arial"/>
          <w:color w:val="000000" w:themeColor="text1"/>
        </w:rPr>
        <w:t xml:space="preserve"> </w:t>
      </w:r>
    </w:p>
    <w:p w14:paraId="17EF77CC" w14:textId="77777777" w:rsidR="000F7F2B" w:rsidRDefault="000F7F2B" w:rsidP="000F7F2B">
      <w:pPr>
        <w:spacing w:after="0" w:line="276" w:lineRule="auto"/>
        <w:jc w:val="both"/>
        <w:rPr>
          <w:rFonts w:ascii="Verdana" w:hAnsi="Verdana" w:cs="Arial"/>
          <w:color w:val="000000" w:themeColor="text1"/>
        </w:rPr>
      </w:pPr>
      <w:r w:rsidRPr="008A4AEC">
        <w:rPr>
          <w:rFonts w:ascii="Verdana" w:hAnsi="Verdana" w:cs="Arial"/>
          <w:color w:val="000000" w:themeColor="text1"/>
        </w:rPr>
        <w:tab/>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58D37F89" w14:textId="77777777" w:rsidR="000F7F2B" w:rsidRDefault="000F7F2B" w:rsidP="000F7F2B">
      <w:pPr>
        <w:spacing w:after="0" w:line="276" w:lineRule="auto"/>
        <w:jc w:val="both"/>
        <w:rPr>
          <w:rFonts w:ascii="Verdana" w:hAnsi="Verdana" w:cs="Arial"/>
          <w:color w:val="000000" w:themeColor="text1"/>
        </w:rPr>
      </w:pPr>
    </w:p>
    <w:p w14:paraId="44D08DFA" w14:textId="77777777" w:rsidR="000F7F2B" w:rsidRPr="0056112B" w:rsidRDefault="000F7F2B" w:rsidP="000F7F2B">
      <w:pPr>
        <w:spacing w:line="276" w:lineRule="auto"/>
        <w:contextualSpacing/>
        <w:jc w:val="both"/>
        <w:rPr>
          <w:rFonts w:ascii="Verdana" w:eastAsia="Calibri" w:hAnsi="Verdana" w:cs="Arial"/>
          <w:kern w:val="2"/>
          <w:lang w:val="es-ES_tradnl"/>
          <w14:ligatures w14:val="standardContextual"/>
        </w:rPr>
      </w:pPr>
      <w:r>
        <w:rPr>
          <w:rFonts w:ascii="Verdana" w:hAnsi="Verdana" w:cs="Arial"/>
          <w:color w:val="000000" w:themeColor="text1"/>
        </w:rPr>
        <w:t xml:space="preserve">v. Las estructuras plurales pueden participar en los procesos de selección de acuerdo con los requisitos que establezca el pliego de condiciones o el </w:t>
      </w:r>
      <w:r>
        <w:rPr>
          <w:rFonts w:ascii="Verdana" w:hAnsi="Verdana" w:cs="Arial"/>
          <w:color w:val="000000" w:themeColor="text1"/>
        </w:rPr>
        <w:lastRenderedPageBreak/>
        <w:t xml:space="preserve">documento equivalente, pues éstos delimitan la forma en que intervienen los interesados junto con las respectivas causales de rechazo. Siempre que estas últimas se sujeten al marco explicado </w:t>
      </w:r>
      <w:r w:rsidRPr="00E62C15">
        <w:rPr>
          <w:rFonts w:ascii="Verdana" w:hAnsi="Verdana" w:cs="Arial"/>
          <w:i/>
          <w:iCs/>
          <w:color w:val="000000" w:themeColor="text1"/>
        </w:rPr>
        <w:t>ut supra</w:t>
      </w:r>
      <w:r>
        <w:rPr>
          <w:rFonts w:ascii="Verdana" w:hAnsi="Verdana" w:cs="Arial"/>
          <w:color w:val="000000" w:themeColor="text1"/>
        </w:rPr>
        <w:t xml:space="preserve">, las entidades tienen discrecionalidad para consagrar la circunstancias que impiden la evaluación de las ofertas y la forma de verificarlas. No obstante, en los procesos regidos por el artículo 1 de la Ley 2022 de 2020 para entidades sometidas al EGCAP y el artículo 56 de la Ley 2195 de 2022 para las entidades exceptuadas de la Ley 80 de 1993, </w:t>
      </w:r>
      <w:r w:rsidRPr="0056112B">
        <w:rPr>
          <w:rFonts w:ascii="Verdana" w:eastAsia="Aptos" w:hAnsi="Verdana" w:cs="Arial"/>
          <w:color w:val="000000"/>
          <w:kern w:val="2"/>
          <w:bdr w:val="none" w:sz="0" w:space="0" w:color="auto" w:frame="1"/>
          <w:lang w:val="es-ES_tradnl"/>
          <w14:ligatures w14:val="standardContextual"/>
        </w:rPr>
        <w:t xml:space="preserve">la versión 4 de los documentos tipo de licitación pública de obra de infraestructura de transporte, se incluyeron las causales de rechazo de las ofertas, entre ellas, la relacionada </w:t>
      </w:r>
      <w:r>
        <w:rPr>
          <w:rFonts w:ascii="Verdana" w:eastAsia="Aptos" w:hAnsi="Verdana" w:cs="Arial"/>
          <w:color w:val="000000"/>
          <w:kern w:val="2"/>
          <w:bdr w:val="none" w:sz="0" w:space="0" w:color="auto" w:frame="1"/>
          <w:lang w:val="es-ES_tradnl"/>
          <w14:ligatures w14:val="standardContextual"/>
        </w:rPr>
        <w:t>en el literal</w:t>
      </w:r>
      <w:r w:rsidRPr="0056112B">
        <w:rPr>
          <w:rFonts w:ascii="Verdana" w:eastAsia="Aptos" w:hAnsi="Verdana" w:cs="Arial"/>
          <w:color w:val="000000"/>
          <w:kern w:val="2"/>
          <w:bdr w:val="none" w:sz="0" w:space="0" w:color="auto" w:frame="1"/>
          <w:lang w:val="es-ES_tradnl"/>
          <w14:ligatures w14:val="standardContextual"/>
        </w:rPr>
        <w:t xml:space="preserve"> B, la cual se transcribe en los siguientes términos: </w:t>
      </w:r>
      <w:r w:rsidRPr="0056112B">
        <w:rPr>
          <w:rFonts w:ascii="Verdana" w:eastAsia="Aptos" w:hAnsi="Verdana" w:cs="Arial"/>
          <w:b/>
          <w:bCs/>
          <w:color w:val="000000"/>
          <w:kern w:val="2"/>
          <w:bdr w:val="none" w:sz="0" w:space="0" w:color="auto" w:frame="1"/>
          <w:lang w:val="es-ES_tradnl"/>
          <w14:ligatures w14:val="standardContextual"/>
        </w:rPr>
        <w:t> </w:t>
      </w:r>
      <w:r w:rsidRPr="0056112B">
        <w:rPr>
          <w:rFonts w:ascii="Verdana" w:eastAsia="Aptos" w:hAnsi="Verdana" w:cs="Arial"/>
          <w:color w:val="000000"/>
          <w:kern w:val="2"/>
          <w:bdr w:val="none" w:sz="0" w:space="0" w:color="auto" w:frame="1"/>
          <w:lang w:val="es-ES_tradnl"/>
          <w14:ligatures w14:val="standardContextual"/>
        </w:rPr>
        <w:t> </w:t>
      </w:r>
      <w:r w:rsidRPr="0056112B">
        <w:rPr>
          <w:rFonts w:ascii="Verdana" w:eastAsia="Aptos" w:hAnsi="Verdana" w:cs="Arial"/>
          <w:b/>
          <w:bCs/>
          <w:color w:val="000000"/>
          <w:kern w:val="2"/>
          <w:bdr w:val="none" w:sz="0" w:space="0" w:color="auto" w:frame="1"/>
          <w:lang w:val="es-ES_tradnl"/>
          <w14:ligatures w14:val="standardContextual"/>
        </w:rPr>
        <w:t> </w:t>
      </w:r>
    </w:p>
    <w:p w14:paraId="0FE3762E" w14:textId="77777777" w:rsidR="000F7F2B" w:rsidRPr="0056112B" w:rsidRDefault="000F7F2B" w:rsidP="000F7F2B">
      <w:pPr>
        <w:shd w:val="clear" w:color="auto" w:fill="FFFFFF"/>
        <w:spacing w:after="0" w:line="276" w:lineRule="auto"/>
        <w:jc w:val="both"/>
        <w:textAlignment w:val="baseline"/>
        <w:rPr>
          <w:rFonts w:ascii="Verdana" w:eastAsia="Aptos" w:hAnsi="Verdana" w:cs="Arial"/>
          <w:color w:val="000000"/>
          <w:kern w:val="2"/>
          <w:lang w:val="es-ES_tradnl"/>
          <w14:ligatures w14:val="standardContextual"/>
        </w:rPr>
      </w:pPr>
    </w:p>
    <w:p w14:paraId="24398BB1" w14:textId="77777777" w:rsidR="000F7F2B" w:rsidRDefault="000F7F2B" w:rsidP="000F7F2B">
      <w:pPr>
        <w:adjustRightInd w:val="0"/>
        <w:spacing w:after="0" w:line="240" w:lineRule="auto"/>
        <w:ind w:left="709" w:right="709"/>
        <w:contextualSpacing/>
        <w:jc w:val="both"/>
        <w:rPr>
          <w:rFonts w:ascii="Verdana" w:eastAsia="Aptos" w:hAnsi="Verdana" w:cs="Arial"/>
          <w:color w:val="000000"/>
          <w:kern w:val="2"/>
          <w:sz w:val="20"/>
          <w:szCs w:val="20"/>
          <w:bdr w:val="none" w:sz="0" w:space="0" w:color="auto" w:frame="1"/>
          <w:lang w:val="es-MX"/>
          <w14:ligatures w14:val="standardContextual"/>
        </w:rPr>
      </w:pPr>
      <w:r w:rsidRPr="00E62C15">
        <w:rPr>
          <w:rFonts w:ascii="Verdana" w:eastAsia="Aptos" w:hAnsi="Verdana" w:cs="Arial"/>
          <w:color w:val="000000"/>
          <w:kern w:val="2"/>
          <w:sz w:val="20"/>
          <w:szCs w:val="20"/>
          <w:bdr w:val="none" w:sz="0" w:space="0" w:color="auto" w:frame="1"/>
          <w:lang w:val="es-MX"/>
          <w14:ligatures w14:val="standardContextual"/>
        </w:rPr>
        <w:t>“B.</w:t>
      </w:r>
      <w:r>
        <w:rPr>
          <w:rFonts w:ascii="Verdana" w:eastAsia="Aptos" w:hAnsi="Verdana" w:cs="Arial"/>
          <w:color w:val="000000"/>
          <w:kern w:val="2"/>
          <w:sz w:val="20"/>
          <w:szCs w:val="20"/>
          <w:bdr w:val="none" w:sz="0" w:space="0" w:color="auto" w:frame="1"/>
          <w:lang w:val="es-MX"/>
          <w14:ligatures w14:val="standardContextual"/>
        </w:rPr>
        <w:t xml:space="preserve"> </w:t>
      </w:r>
      <w:r w:rsidRPr="00E62C15">
        <w:rPr>
          <w:rFonts w:ascii="Verdana" w:eastAsia="Aptos" w:hAnsi="Verdana" w:cs="Arial"/>
          <w:color w:val="000000"/>
          <w:kern w:val="2"/>
          <w:sz w:val="20"/>
          <w:szCs w:val="20"/>
          <w:bdr w:val="none" w:sz="0" w:space="0" w:color="auto" w:frame="1"/>
          <w:lang w:val="es-MX"/>
          <w14:ligatures w14:val="standardContextual"/>
        </w:rPr>
        <w:t>Cuando una misma persona natural o jurídica, o integrante de un proponente plural presente o haga parte en más de una propuesta para el presente Proceso de Contratación.</w:t>
      </w:r>
    </w:p>
    <w:p w14:paraId="4EB0DBFE" w14:textId="77777777" w:rsidR="000F7F2B" w:rsidRPr="00E62C15" w:rsidRDefault="000F7F2B" w:rsidP="000F7F2B">
      <w:pPr>
        <w:adjustRightInd w:val="0"/>
        <w:spacing w:after="0" w:line="240" w:lineRule="auto"/>
        <w:ind w:left="709" w:right="709"/>
        <w:contextualSpacing/>
        <w:jc w:val="both"/>
        <w:rPr>
          <w:rFonts w:ascii="Verdana" w:eastAsia="Aptos" w:hAnsi="Verdana" w:cs="Arial"/>
          <w:color w:val="000000"/>
          <w:kern w:val="2"/>
          <w:sz w:val="12"/>
          <w:szCs w:val="12"/>
          <w:bdr w:val="none" w:sz="0" w:space="0" w:color="auto" w:frame="1"/>
          <w:lang w:val="es-MX"/>
          <w14:ligatures w14:val="standardContextual"/>
        </w:rPr>
      </w:pPr>
    </w:p>
    <w:p w14:paraId="71F47F2E" w14:textId="77777777" w:rsidR="000F7F2B" w:rsidRPr="00E62C15" w:rsidRDefault="000F7F2B" w:rsidP="000F7F2B">
      <w:pPr>
        <w:adjustRightInd w:val="0"/>
        <w:spacing w:after="0" w:line="240" w:lineRule="auto"/>
        <w:ind w:left="709" w:right="709"/>
        <w:contextualSpacing/>
        <w:jc w:val="both"/>
        <w:rPr>
          <w:rFonts w:ascii="Verdana" w:eastAsia="Aptos" w:hAnsi="Verdana" w:cs="Times New Roman"/>
          <w:kern w:val="2"/>
          <w:sz w:val="20"/>
          <w:szCs w:val="20"/>
          <w:lang w:val="es-MX"/>
          <w14:ligatures w14:val="standardContextual"/>
        </w:rPr>
      </w:pPr>
      <w:r w:rsidRPr="00E62C15">
        <w:rPr>
          <w:rFonts w:ascii="Verdana" w:eastAsia="Aptos" w:hAnsi="Verdana" w:cs="Arial"/>
          <w:color w:val="000000"/>
          <w:kern w:val="2"/>
          <w:sz w:val="20"/>
          <w:szCs w:val="20"/>
          <w:highlight w:val="lightGray"/>
          <w:bdr w:val="none" w:sz="0" w:space="0" w:color="auto" w:frame="1"/>
          <w:lang w:val="es-MX"/>
          <w14:ligatures w14:val="standardContextual"/>
        </w:rPr>
        <w:t>[Reemplazar el texto anterior por el siguiente, cuando el proceso es estructurado por lotes o segmentos: Cuando una misma persona natural o jurídica, o integrante de un proponente plural presente o haga parte en más de una propuesta para el mismo lote o segmento del presente Proceso de Contratación]</w:t>
      </w:r>
      <w:r w:rsidRPr="00E62C15">
        <w:rPr>
          <w:rFonts w:ascii="Verdana" w:eastAsia="Aptos" w:hAnsi="Verdana" w:cs="Arial"/>
          <w:color w:val="000000"/>
          <w:kern w:val="2"/>
          <w:sz w:val="20"/>
          <w:szCs w:val="20"/>
          <w:bdr w:val="none" w:sz="0" w:space="0" w:color="auto" w:frame="1"/>
          <w:lang w:val="es-MX"/>
          <w14:ligatures w14:val="standardContextual"/>
        </w:rPr>
        <w:t>”</w:t>
      </w:r>
      <w:r>
        <w:rPr>
          <w:rFonts w:ascii="Verdana" w:eastAsia="Aptos" w:hAnsi="Verdana" w:cs="Arial"/>
          <w:color w:val="000000"/>
          <w:kern w:val="2"/>
          <w:sz w:val="20"/>
          <w:szCs w:val="20"/>
          <w:bdr w:val="none" w:sz="0" w:space="0" w:color="auto" w:frame="1"/>
          <w:lang w:val="es-MX"/>
          <w14:ligatures w14:val="standardContextual"/>
        </w:rPr>
        <w:t>.</w:t>
      </w:r>
    </w:p>
    <w:p w14:paraId="4BBFF4BB" w14:textId="77777777" w:rsidR="000F7F2B" w:rsidRPr="0056112B" w:rsidRDefault="000F7F2B" w:rsidP="000F7F2B">
      <w:pPr>
        <w:shd w:val="clear" w:color="auto" w:fill="FFFFFF"/>
        <w:spacing w:after="0" w:line="276" w:lineRule="auto"/>
        <w:ind w:right="709"/>
        <w:jc w:val="both"/>
        <w:textAlignment w:val="baseline"/>
        <w:rPr>
          <w:rFonts w:ascii="Verdana" w:eastAsia="Aptos" w:hAnsi="Verdana" w:cs="Arial"/>
          <w:color w:val="000000"/>
          <w:kern w:val="2"/>
          <w:lang w:val="es-ES_tradnl"/>
          <w14:ligatures w14:val="standardContextual"/>
        </w:rPr>
      </w:pPr>
    </w:p>
    <w:p w14:paraId="1E1C8EDD" w14:textId="77777777" w:rsidR="000F7F2B" w:rsidRPr="0056112B" w:rsidRDefault="000F7F2B" w:rsidP="000F7F2B">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2297304B">
        <w:rPr>
          <w:rFonts w:ascii="Verdana" w:eastAsia="Aptos" w:hAnsi="Verdana" w:cs="Arial"/>
          <w:color w:val="000000"/>
          <w:kern w:val="2"/>
          <w:lang w:val="es-ES"/>
          <w14:ligatures w14:val="standardContextual"/>
        </w:rPr>
        <w:t>Al respecto, la causal de rechazo contenida en el literal B del numeral 1.15 –causales de rechazo– del documento tipo indicado, está prevista para propuestas distintas presentadas por un mismo proponente, escenario que no admite aclaración por parte de la entidad estatal y da lugar al rechazo justificado de las ofertas involucradas.</w:t>
      </w:r>
    </w:p>
    <w:p w14:paraId="48A18176" w14:textId="77777777" w:rsidR="000F7F2B" w:rsidRPr="0056112B" w:rsidRDefault="000F7F2B" w:rsidP="000F7F2B">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Pr>
          <w:rFonts w:ascii="Verdana" w:eastAsia="Aptos" w:hAnsi="Verdana" w:cs="Arial"/>
          <w:color w:val="000000"/>
          <w:kern w:val="2"/>
          <w:lang w:val="es-ES"/>
          <w14:ligatures w14:val="standardContextual"/>
        </w:rPr>
        <w:t>L</w:t>
      </w:r>
      <w:r w:rsidRPr="2297304B">
        <w:rPr>
          <w:rFonts w:ascii="Verdana" w:eastAsia="Aptos" w:hAnsi="Verdana" w:cs="Arial"/>
          <w:color w:val="000000"/>
          <w:kern w:val="2"/>
          <w:lang w:val="es-ES"/>
          <w14:ligatures w14:val="standardContextual"/>
        </w:rPr>
        <w:t xml:space="preserve">a causal distingue </w:t>
      </w:r>
      <w:r>
        <w:rPr>
          <w:rFonts w:ascii="Verdana" w:eastAsia="Aptos" w:hAnsi="Verdana" w:cs="Arial"/>
          <w:color w:val="000000"/>
          <w:kern w:val="2"/>
          <w:lang w:val="es-ES"/>
          <w14:ligatures w14:val="standardContextual"/>
        </w:rPr>
        <w:t>entre el</w:t>
      </w:r>
      <w:r w:rsidRPr="2297304B">
        <w:rPr>
          <w:rFonts w:ascii="Verdana" w:eastAsia="Aptos" w:hAnsi="Verdana" w:cs="Arial"/>
          <w:color w:val="000000"/>
          <w:kern w:val="2"/>
          <w:lang w:val="es-ES"/>
          <w14:ligatures w14:val="standardContextual"/>
        </w:rPr>
        <w:t xml:space="preserve"> proponente persona natural o jurídica, o un proponente plural. Así, la causal en comento se configura cuando: i) una misma persona natural o jurídica funge como oferente o hace parte en más de una propuesta para el mismo proceso de contratación, o </w:t>
      </w:r>
      <w:proofErr w:type="spellStart"/>
      <w:r w:rsidRPr="2297304B">
        <w:rPr>
          <w:rFonts w:ascii="Verdana" w:eastAsia="Aptos" w:hAnsi="Verdana" w:cs="Arial"/>
          <w:color w:val="000000"/>
          <w:kern w:val="2"/>
          <w:lang w:val="es-ES"/>
          <w14:ligatures w14:val="standardContextual"/>
        </w:rPr>
        <w:t>ii</w:t>
      </w:r>
      <w:proofErr w:type="spellEnd"/>
      <w:r w:rsidRPr="2297304B">
        <w:rPr>
          <w:rFonts w:ascii="Verdana" w:eastAsia="Aptos" w:hAnsi="Verdana" w:cs="Arial"/>
          <w:color w:val="000000"/>
          <w:kern w:val="2"/>
          <w:lang w:val="es-ES"/>
          <w14:ligatures w14:val="standardContextual"/>
        </w:rPr>
        <w:t>) un mismo integrante de una estructura plural es oferente o hace parte en más de una oferta en el mismo proceso de contratación.</w:t>
      </w:r>
    </w:p>
    <w:p w14:paraId="76F06926" w14:textId="77777777" w:rsidR="000F7F2B" w:rsidRPr="0056112B" w:rsidRDefault="000F7F2B" w:rsidP="1BC3BD23">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1BC3BD23">
        <w:rPr>
          <w:rFonts w:ascii="Verdana" w:eastAsia="Aptos" w:hAnsi="Verdana" w:cs="Arial"/>
          <w:color w:val="000000"/>
          <w:kern w:val="2"/>
          <w:lang w:val="es-ES"/>
          <w14:ligatures w14:val="standardContextual"/>
        </w:rPr>
        <w:t xml:space="preserve">Esta causal está dirigida a evitar que un mismo oferente presente de manera individual más de una propuesta o haga parte en más de una oferta para un mismo proceso de contratación. Por lo tanto, para que opere la causal, debe tratarse de un proponente persona natural o jurídica, o de un integrante de un proponente plural, de manera que, </w:t>
      </w:r>
      <w:r w:rsidRPr="1BC3BD23">
        <w:rPr>
          <w:rFonts w:ascii="Verdana" w:eastAsia="Aptos" w:hAnsi="Verdana" w:cs="Arial"/>
          <w:i/>
          <w:color w:val="000000"/>
          <w:kern w:val="2"/>
          <w:lang w:val="es-ES"/>
          <w14:ligatures w14:val="standardContextual"/>
        </w:rPr>
        <w:t>stricto sensu,</w:t>
      </w:r>
      <w:r w:rsidRPr="1BC3BD23">
        <w:rPr>
          <w:rFonts w:ascii="Verdana" w:eastAsia="Aptos" w:hAnsi="Verdana" w:cs="Arial"/>
          <w:color w:val="000000"/>
          <w:kern w:val="2"/>
          <w:lang w:val="es-ES"/>
          <w14:ligatures w14:val="standardContextual"/>
        </w:rPr>
        <w:t xml:space="preserve"> no resulta aplicable </w:t>
      </w:r>
      <w:r w:rsidRPr="1BC3BD23">
        <w:rPr>
          <w:rFonts w:ascii="Verdana" w:eastAsia="Aptos" w:hAnsi="Verdana" w:cs="Arial"/>
          <w:color w:val="000000"/>
          <w:kern w:val="2"/>
          <w:lang w:val="es-ES"/>
          <w14:ligatures w14:val="standardContextual"/>
        </w:rPr>
        <w:lastRenderedPageBreak/>
        <w:t>cuando se trate de supuestos en los que un proponente tiene algún tipo de relación societaria o parentesco dentro del mismo consorcio u unión temporal, tenido en cuenta la interpretación restrictiva que se predica de las causales de rechazo, sin perjuicio de que, eventualmente, resulte aplicable otra causal de rechazo, o alguna de las inhabilitades e incompatibilidades señaladas en la ley.</w:t>
      </w:r>
    </w:p>
    <w:p w14:paraId="7FFEDC79" w14:textId="77777777" w:rsidR="000F7F2B" w:rsidRPr="0056112B" w:rsidRDefault="000F7F2B" w:rsidP="000F7F2B">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2297304B">
        <w:rPr>
          <w:rFonts w:ascii="Verdana" w:eastAsia="Aptos" w:hAnsi="Verdana" w:cs="Arial"/>
          <w:color w:val="000000"/>
          <w:kern w:val="2"/>
          <w:lang w:val="es-ES"/>
          <w14:ligatures w14:val="standardContextual"/>
        </w:rPr>
        <w:t xml:space="preserve">Ahora bien, tratándose de proponentes plurales, la causal del literal B del documento base no hace ningún tipo de distinción respecto a la participación de sus integrantes para su aplicación. Por esta razón, indistintamente del porcentaje de participación del integrante del consorcio o unión temporal, cuando esté presente otra oferta de manera individual o haga parte en más de una oferta para el mismo proceso de contratación, es procedente el rechazo de las ofertas involucradas en el supuesto descrito en la causal. </w:t>
      </w:r>
    </w:p>
    <w:p w14:paraId="6F5D0FF4" w14:textId="77777777" w:rsidR="000F7F2B" w:rsidRDefault="000F7F2B" w:rsidP="000F7F2B">
      <w:pPr>
        <w:spacing w:after="120" w:line="276" w:lineRule="auto"/>
        <w:ind w:firstLine="708"/>
        <w:jc w:val="both"/>
        <w:rPr>
          <w:rFonts w:ascii="Verdana" w:hAnsi="Verdana" w:cs="Arial"/>
          <w:color w:val="000000" w:themeColor="text1"/>
        </w:rPr>
      </w:pPr>
      <w:r w:rsidRPr="0056112B">
        <w:rPr>
          <w:rFonts w:ascii="Verdana" w:eastAsia="Aptos" w:hAnsi="Verdana" w:cs="Arial"/>
          <w:color w:val="000000"/>
          <w:kern w:val="2"/>
          <w:lang w:val="es-ES_tradnl"/>
          <w14:ligatures w14:val="standardContextual"/>
        </w:rPr>
        <w:t>En cualquier caso, resulta necesario acotar que el rechazo de la oferta debe realizarse antes de la adjudicación, toda vez que, en virtud del principio de selección objetiva con base en el cual debe escogerse el contratista, no es posible adjudicar el contrato a un oferente que no cumpla con todas las condiciones establecidas en el pliego de condiciones tipo o se encuentre en alguno de los supuestos que amerita el rechazo de la propuesta.</w:t>
      </w:r>
      <w:r w:rsidRPr="008A4AEC">
        <w:rPr>
          <w:rFonts w:ascii="Verdana" w:hAnsi="Verdana" w:cs="Arial"/>
          <w:color w:val="000000" w:themeColor="text1"/>
        </w:rPr>
        <w:t xml:space="preserve">  </w:t>
      </w:r>
    </w:p>
    <w:p w14:paraId="603A0989" w14:textId="77777777" w:rsidR="000F7F2B" w:rsidRPr="0056112B" w:rsidRDefault="000F7F2B" w:rsidP="000F7F2B">
      <w:pPr>
        <w:shd w:val="clear" w:color="auto" w:fill="FFFFFF"/>
        <w:spacing w:after="0" w:line="276" w:lineRule="auto"/>
        <w:ind w:firstLine="709"/>
        <w:jc w:val="both"/>
        <w:textAlignment w:val="baseline"/>
        <w:rPr>
          <w:rFonts w:ascii="Verdana" w:eastAsia="Arial MT" w:hAnsi="Verdana" w:cs="Arial"/>
          <w:lang w:eastAsia="es-ES" w:bidi="es-ES"/>
        </w:rPr>
      </w:pPr>
      <w:r>
        <w:rPr>
          <w:rFonts w:ascii="Verdana" w:eastAsia="Arial MT" w:hAnsi="Verdana" w:cs="Arial"/>
          <w:lang w:eastAsia="es-ES" w:bidi="es-ES"/>
        </w:rPr>
        <w:t>Por lo demás,</w:t>
      </w:r>
      <w:r w:rsidRPr="0056112B">
        <w:rPr>
          <w:rFonts w:ascii="Verdana" w:eastAsia="Arial MT" w:hAnsi="Verdana" w:cs="Arial"/>
          <w:lang w:eastAsia="es-ES" w:bidi="es-ES"/>
        </w:rPr>
        <w:t xml:space="preserve"> el artículo 8 de la Ley 80 de 1993 contempla, entre otros, dos (2) supuestos que se relacionan con la situación planteada respecto al rechazo de la oferta por presentación de más de una propuesta. Se trata de las inhabilidades contenidas en los literales g) y h) del numeral 1 del referido artículo:</w:t>
      </w:r>
    </w:p>
    <w:p w14:paraId="2D8CBD63" w14:textId="77777777" w:rsidR="000F7F2B" w:rsidRPr="0056112B" w:rsidRDefault="000F7F2B" w:rsidP="000F7F2B">
      <w:pPr>
        <w:shd w:val="clear" w:color="auto" w:fill="FFFFFF"/>
        <w:spacing w:after="0" w:line="276" w:lineRule="auto"/>
        <w:ind w:firstLine="708"/>
        <w:jc w:val="both"/>
        <w:textAlignment w:val="baseline"/>
        <w:rPr>
          <w:rFonts w:ascii="Verdana" w:eastAsia="Arial MT" w:hAnsi="Verdana" w:cs="Arial"/>
          <w:lang w:eastAsia="es-ES" w:bidi="es-ES"/>
        </w:rPr>
      </w:pPr>
    </w:p>
    <w:p w14:paraId="0B4A5908" w14:textId="77777777" w:rsidR="000F7F2B" w:rsidRPr="000677E7" w:rsidRDefault="000F7F2B" w:rsidP="000F7F2B">
      <w:pPr>
        <w:shd w:val="clear" w:color="auto" w:fill="FFFFFF"/>
        <w:spacing w:after="12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0677E7">
        <w:rPr>
          <w:rFonts w:ascii="Verdana" w:eastAsia="Aptos" w:hAnsi="Verdana" w:cs="Arial"/>
          <w:color w:val="000000"/>
          <w:kern w:val="2"/>
          <w:sz w:val="20"/>
          <w:szCs w:val="20"/>
          <w:lang w:val="es-ES_tradnl"/>
          <w14:ligatures w14:val="standardContextual"/>
        </w:rPr>
        <w:t>“ARTICULO 8o. DE LAS INHABILIDADES E INCOMPATIBILIDADES PARA CONTRATAR.</w:t>
      </w:r>
    </w:p>
    <w:p w14:paraId="3E46481F" w14:textId="77777777" w:rsidR="000F7F2B" w:rsidRPr="000677E7" w:rsidRDefault="000F7F2B" w:rsidP="000F7F2B">
      <w:pPr>
        <w:shd w:val="clear" w:color="auto" w:fill="FFFFFF"/>
        <w:spacing w:after="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0677E7">
        <w:rPr>
          <w:rFonts w:ascii="Verdana" w:eastAsia="Aptos" w:hAnsi="Verdana" w:cs="Arial"/>
          <w:color w:val="000000"/>
          <w:kern w:val="2"/>
          <w:sz w:val="20"/>
          <w:szCs w:val="20"/>
          <w:lang w:val="es-ES_tradnl"/>
          <w14:ligatures w14:val="standardContextual"/>
        </w:rPr>
        <w:t>1o. Son inhábiles para participar en licitaciones o concursos y para celebrar contratos con las entidades estatales:</w:t>
      </w:r>
    </w:p>
    <w:p w14:paraId="29499A4A" w14:textId="77777777" w:rsidR="000F7F2B" w:rsidRPr="000677E7" w:rsidRDefault="000F7F2B" w:rsidP="000F7F2B">
      <w:pPr>
        <w:shd w:val="clear" w:color="auto" w:fill="FFFFFF"/>
        <w:spacing w:after="12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0677E7">
        <w:rPr>
          <w:rFonts w:ascii="Verdana" w:eastAsia="Aptos" w:hAnsi="Verdana" w:cs="Arial"/>
          <w:color w:val="000000"/>
          <w:kern w:val="2"/>
          <w:sz w:val="20"/>
          <w:szCs w:val="20"/>
          <w:lang w:val="es-ES_tradnl"/>
          <w14:ligatures w14:val="standardContextual"/>
        </w:rPr>
        <w:t>[…]</w:t>
      </w:r>
    </w:p>
    <w:p w14:paraId="07B0D83C" w14:textId="77777777" w:rsidR="000F7F2B" w:rsidRPr="000677E7" w:rsidRDefault="000F7F2B" w:rsidP="38169BF2">
      <w:pPr>
        <w:shd w:val="clear" w:color="auto" w:fill="FFFFFF" w:themeFill="background1"/>
        <w:spacing w:after="120" w:line="240" w:lineRule="auto"/>
        <w:ind w:left="709" w:right="709"/>
        <w:jc w:val="both"/>
        <w:textAlignment w:val="baseline"/>
        <w:rPr>
          <w:rFonts w:ascii="Verdana" w:eastAsia="Aptos" w:hAnsi="Verdana" w:cs="Arial"/>
          <w:color w:val="000000"/>
          <w:kern w:val="2"/>
          <w:sz w:val="20"/>
          <w:szCs w:val="20"/>
          <w:lang w:val="es-ES"/>
          <w14:ligatures w14:val="standardContextual"/>
        </w:rPr>
      </w:pPr>
      <w:r w:rsidRPr="38169BF2">
        <w:rPr>
          <w:rFonts w:ascii="Verdana" w:eastAsia="Aptos" w:hAnsi="Verdana" w:cs="Arial"/>
          <w:color w:val="000000"/>
          <w:kern w:val="2"/>
          <w:sz w:val="20"/>
          <w:szCs w:val="20"/>
          <w:lang w:val="es-ES"/>
          <w14:ligatures w14:val="standardContextual"/>
        </w:rPr>
        <w:t>g) Quienes sean cónyuges o compañeros permanentes y quienes se encuentren dentro del segundo grado de consanguinidad o segundo de afinidad con cualquier otra persona que formalmente haya presentado propuesta para una misma licitación o concurso.</w:t>
      </w:r>
    </w:p>
    <w:p w14:paraId="266436FD" w14:textId="77777777" w:rsidR="000F7F2B" w:rsidRPr="000677E7" w:rsidRDefault="000F7F2B" w:rsidP="000F7F2B">
      <w:pPr>
        <w:shd w:val="clear" w:color="auto" w:fill="FFFFFF"/>
        <w:spacing w:after="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0677E7">
        <w:rPr>
          <w:rFonts w:ascii="Verdana" w:eastAsia="Aptos" w:hAnsi="Verdana" w:cs="Arial"/>
          <w:color w:val="000000"/>
          <w:kern w:val="2"/>
          <w:sz w:val="20"/>
          <w:szCs w:val="20"/>
          <w:lang w:val="es-ES_tradnl"/>
          <w14:ligatures w14:val="standardContextual"/>
        </w:rPr>
        <w:t xml:space="preserve">h) Las sociedades distintas de las anónimas abiertas, en las cuales el representante legal o cualquiera de sus socios tenga parentesco en segundo grado de consanguinidad o segundo de afinidad con el </w:t>
      </w:r>
      <w:r w:rsidRPr="000677E7">
        <w:rPr>
          <w:rFonts w:ascii="Verdana" w:eastAsia="Aptos" w:hAnsi="Verdana" w:cs="Arial"/>
          <w:color w:val="000000"/>
          <w:kern w:val="2"/>
          <w:sz w:val="20"/>
          <w:szCs w:val="20"/>
          <w:lang w:val="es-ES_tradnl"/>
          <w14:ligatures w14:val="standardContextual"/>
        </w:rPr>
        <w:lastRenderedPageBreak/>
        <w:t>representante legal o con cualquiera de los socios de una sociedad que formalmente haya presentado propuesta, para una misma licitación o concurso.</w:t>
      </w:r>
    </w:p>
    <w:p w14:paraId="6D9E3C6F" w14:textId="77777777" w:rsidR="000F7F2B" w:rsidRPr="0056112B" w:rsidRDefault="000F7F2B" w:rsidP="000F7F2B">
      <w:pPr>
        <w:shd w:val="clear" w:color="auto" w:fill="FFFFFF"/>
        <w:spacing w:after="0" w:line="240" w:lineRule="auto"/>
        <w:ind w:left="709" w:right="709"/>
        <w:jc w:val="both"/>
        <w:textAlignment w:val="baseline"/>
        <w:rPr>
          <w:rFonts w:ascii="Verdana" w:eastAsia="Aptos" w:hAnsi="Verdana" w:cs="Arial"/>
          <w:color w:val="000000"/>
          <w:kern w:val="2"/>
          <w:sz w:val="21"/>
          <w:szCs w:val="21"/>
          <w:lang w:val="es-ES_tradnl"/>
          <w14:ligatures w14:val="standardContextual"/>
        </w:rPr>
      </w:pPr>
      <w:r w:rsidRPr="000677E7">
        <w:rPr>
          <w:rFonts w:ascii="Verdana" w:eastAsia="Aptos" w:hAnsi="Verdana" w:cs="Arial"/>
          <w:color w:val="000000"/>
          <w:kern w:val="2"/>
          <w:sz w:val="20"/>
          <w:szCs w:val="20"/>
          <w:lang w:val="es-ES_tradnl"/>
          <w14:ligatures w14:val="standardContextual"/>
        </w:rPr>
        <w:t>[…]”</w:t>
      </w:r>
      <w:r>
        <w:rPr>
          <w:rFonts w:ascii="Verdana" w:eastAsia="Aptos" w:hAnsi="Verdana" w:cs="Arial"/>
          <w:color w:val="000000"/>
          <w:kern w:val="2"/>
          <w:sz w:val="20"/>
          <w:szCs w:val="20"/>
          <w:lang w:val="es-ES_tradnl"/>
          <w14:ligatures w14:val="standardContextual"/>
        </w:rPr>
        <w:t>.</w:t>
      </w:r>
    </w:p>
    <w:p w14:paraId="6A8154D3" w14:textId="77777777" w:rsidR="000F7F2B" w:rsidRPr="0056112B" w:rsidRDefault="000F7F2B" w:rsidP="000F7F2B">
      <w:pPr>
        <w:shd w:val="clear" w:color="auto" w:fill="FFFFFF"/>
        <w:spacing w:after="0" w:line="276" w:lineRule="auto"/>
        <w:ind w:firstLine="708"/>
        <w:jc w:val="both"/>
        <w:textAlignment w:val="baseline"/>
        <w:rPr>
          <w:rFonts w:ascii="Verdana" w:eastAsia="Aptos" w:hAnsi="Verdana" w:cs="Arial"/>
          <w:color w:val="000000"/>
          <w:kern w:val="2"/>
          <w:lang w:val="es-ES_tradnl"/>
          <w14:ligatures w14:val="standardContextual"/>
        </w:rPr>
      </w:pPr>
    </w:p>
    <w:p w14:paraId="7EA00F12" w14:textId="77777777" w:rsidR="000F7F2B" w:rsidRPr="00605DBB" w:rsidRDefault="000F7F2B" w:rsidP="000F7F2B">
      <w:pPr>
        <w:shd w:val="clear" w:color="auto" w:fill="FFFFFF"/>
        <w:spacing w:after="0" w:line="276" w:lineRule="auto"/>
        <w:ind w:firstLine="709"/>
        <w:jc w:val="both"/>
        <w:textAlignment w:val="baseline"/>
        <w:rPr>
          <w:rFonts w:ascii="Verdana" w:eastAsia="Aptos" w:hAnsi="Verdana" w:cs="Arial"/>
          <w:color w:val="000000"/>
          <w:kern w:val="2"/>
          <w:lang w:val="es-ES_tradnl"/>
          <w14:ligatures w14:val="standardContextual"/>
        </w:rPr>
      </w:pPr>
      <w:r w:rsidRPr="0056112B">
        <w:rPr>
          <w:rFonts w:ascii="Verdana" w:eastAsia="Aptos" w:hAnsi="Verdana" w:cs="Arial"/>
          <w:color w:val="000000"/>
          <w:kern w:val="2"/>
          <w:lang w:val="es-ES_tradnl"/>
          <w14:ligatures w14:val="standardContextual"/>
        </w:rPr>
        <w:t xml:space="preserve">Normalmente, cuando se presenta una restricción que limita la participación de sociedades o personas jurídicas en procesos de contratación, las normas indican si aquella se extiende, también, a los socios. Por lo tanto, si la norma no restringe de manera expresa, no le es dable al intérprete realizar interpretaciones extensivas que limiten la participación. </w:t>
      </w:r>
    </w:p>
    <w:p w14:paraId="5D6F1F5F" w14:textId="77777777" w:rsidR="000F7F2B" w:rsidRDefault="000F7F2B" w:rsidP="000F7F2B">
      <w:pPr>
        <w:spacing w:after="0" w:line="276" w:lineRule="auto"/>
        <w:jc w:val="both"/>
        <w:rPr>
          <w:rFonts w:ascii="Verdana" w:eastAsia="Calibri" w:hAnsi="Verdana" w:cs="Arial"/>
          <w:bCs/>
          <w:color w:val="000000" w:themeColor="text1"/>
        </w:rPr>
      </w:pPr>
    </w:p>
    <w:p w14:paraId="0B1366B1" w14:textId="77777777" w:rsidR="000F7F2B" w:rsidRDefault="000F7F2B" w:rsidP="000F7F2B">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vi. </w:t>
      </w:r>
      <w:r w:rsidRPr="008D6721">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w:t>
      </w:r>
      <w:r>
        <w:rPr>
          <w:rStyle w:val="s15"/>
          <w:rFonts w:ascii="Verdana" w:hAnsi="Verdana"/>
          <w:color w:val="000000"/>
        </w:rPr>
        <w:t>Es decir</w:t>
      </w:r>
      <w:r w:rsidRPr="2297304B">
        <w:rPr>
          <w:rFonts w:ascii="Verdana" w:eastAsia="Aptos" w:hAnsi="Verdana" w:cs="Arial"/>
          <w:color w:val="000000"/>
          <w:kern w:val="2"/>
          <w:lang w:val="es-ES"/>
          <w14:ligatures w14:val="standardContextual"/>
        </w:rPr>
        <w:t>, corresponde a las entidades estatales y a los particulares revisar si se presenta alguna situación que pueda derivar en el rechazo de la oferta o algún supuesto de inhabilidad o incompatibilidad que limite la participación en los procesos de contratación. Esto, con el fin de que adelanten las actuaciones procedentes, en el marco de sus competencias, de manera que se garantice el desarrollo adecuado del respectivo proceso</w:t>
      </w:r>
    </w:p>
    <w:p w14:paraId="02574C5A" w14:textId="77777777" w:rsidR="000F7F2B" w:rsidRPr="008D6721" w:rsidRDefault="000F7F2B" w:rsidP="000F7F2B">
      <w:pPr>
        <w:spacing w:after="120" w:line="276" w:lineRule="auto"/>
        <w:ind w:firstLine="708"/>
        <w:jc w:val="both"/>
        <w:rPr>
          <w:rFonts w:ascii="Verdana" w:eastAsia="Calibri" w:hAnsi="Verdana" w:cs="Arial"/>
          <w:bCs/>
          <w:color w:val="000000" w:themeColor="text1"/>
        </w:rPr>
      </w:pPr>
      <w:r w:rsidRPr="008D6721">
        <w:rPr>
          <w:rFonts w:ascii="Verdana" w:eastAsia="Calibri"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18C713" w14:textId="77777777" w:rsidR="000F7F2B" w:rsidRPr="00185EE9" w:rsidRDefault="000F7F2B" w:rsidP="000F7F2B">
      <w:pPr>
        <w:spacing w:after="0" w:line="276" w:lineRule="auto"/>
        <w:ind w:firstLine="708"/>
        <w:jc w:val="both"/>
        <w:rPr>
          <w:rFonts w:ascii="Verdana" w:eastAsia="Calibri" w:hAnsi="Verdana" w:cs="Arial"/>
          <w:bCs/>
          <w:color w:val="000000" w:themeColor="text1"/>
        </w:rPr>
      </w:pPr>
      <w:r w:rsidRPr="008D6721">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39A0E74" w14:textId="77777777" w:rsidR="000F7F2B" w:rsidRPr="00182C89" w:rsidRDefault="000F7F2B" w:rsidP="000F7F2B">
      <w:pPr>
        <w:tabs>
          <w:tab w:val="left" w:pos="709"/>
        </w:tabs>
        <w:spacing w:after="0" w:line="276" w:lineRule="auto"/>
        <w:jc w:val="both"/>
        <w:rPr>
          <w:rFonts w:ascii="Verdana" w:eastAsia="Calibri" w:hAnsi="Verdana" w:cs="Arial"/>
          <w:color w:val="000000" w:themeColor="text1"/>
        </w:rPr>
      </w:pPr>
    </w:p>
    <w:p w14:paraId="58294DDC" w14:textId="77777777" w:rsidR="000F7F2B" w:rsidRPr="00593A5F" w:rsidRDefault="000F7F2B" w:rsidP="000F7F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39CC2F8" w14:textId="77777777" w:rsidR="000F7F2B" w:rsidRPr="00593A5F" w:rsidRDefault="000F7F2B" w:rsidP="000F7F2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F7F2B" w:rsidRPr="002407CE" w14:paraId="1E287967" w14:textId="77777777" w:rsidTr="00402D6F">
        <w:trPr>
          <w:trHeight w:val="870"/>
          <w:jc w:val="center"/>
        </w:trPr>
        <w:tc>
          <w:tcPr>
            <w:tcW w:w="8647" w:type="dxa"/>
          </w:tcPr>
          <w:p w14:paraId="6FF079F5" w14:textId="77777777" w:rsidR="000F7F2B" w:rsidRDefault="000F7F2B" w:rsidP="00402D6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84, 150 y 209.</w:t>
            </w:r>
          </w:p>
          <w:p w14:paraId="7783B259" w14:textId="77777777" w:rsidR="000F7F2B" w:rsidRDefault="000F7F2B" w:rsidP="00402D6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6, 7, 8, 24 y 77.</w:t>
            </w:r>
          </w:p>
          <w:p w14:paraId="125DF466" w14:textId="77777777" w:rsidR="000F7F2B" w:rsidRDefault="000F7F2B" w:rsidP="00402D6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5, 6 y 13.</w:t>
            </w:r>
          </w:p>
          <w:p w14:paraId="3975AE78" w14:textId="77777777" w:rsidR="000F7F2B" w:rsidRDefault="000F7F2B" w:rsidP="00402D6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3.</w:t>
            </w:r>
          </w:p>
          <w:p w14:paraId="72B2FB05" w14:textId="77777777" w:rsidR="000F7F2B" w:rsidRDefault="000F7F2B" w:rsidP="00402D6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2022 de 2020, artículo 1.</w:t>
            </w:r>
          </w:p>
          <w:p w14:paraId="5754EF51" w14:textId="77777777" w:rsidR="000F7F2B" w:rsidRDefault="000F7F2B" w:rsidP="00402D6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56.</w:t>
            </w:r>
          </w:p>
          <w:p w14:paraId="706DE40B" w14:textId="77777777" w:rsidR="000F7F2B" w:rsidRDefault="000F7F2B" w:rsidP="00402D6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Código Civil, artículos </w:t>
            </w:r>
            <w:r w:rsidRPr="00932AC5">
              <w:rPr>
                <w:rFonts w:ascii="Verdana" w:hAnsi="Verdana" w:cs="Arial"/>
              </w:rPr>
              <w:t>1502, 1503 y 1504</w:t>
            </w:r>
            <w:r>
              <w:rPr>
                <w:rFonts w:ascii="Verdana" w:hAnsi="Verdana" w:cs="Arial"/>
              </w:rPr>
              <w:t>.</w:t>
            </w:r>
          </w:p>
          <w:p w14:paraId="42D2703C" w14:textId="77777777" w:rsidR="000F7F2B" w:rsidRPr="00561418" w:rsidRDefault="000F7F2B" w:rsidP="00402D6F">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de Comercio, artículo 99.</w:t>
            </w:r>
          </w:p>
        </w:tc>
      </w:tr>
    </w:tbl>
    <w:p w14:paraId="11C62276" w14:textId="77777777" w:rsidR="000F7F2B" w:rsidRPr="002407CE" w:rsidRDefault="000F7F2B" w:rsidP="000F7F2B">
      <w:pPr>
        <w:widowControl w:val="0"/>
        <w:autoSpaceDE w:val="0"/>
        <w:autoSpaceDN w:val="0"/>
        <w:spacing w:after="0" w:line="276" w:lineRule="auto"/>
        <w:jc w:val="both"/>
        <w:rPr>
          <w:rFonts w:ascii="Verdana" w:hAnsi="Verdana" w:cs="Arial"/>
        </w:rPr>
      </w:pPr>
    </w:p>
    <w:p w14:paraId="7924CBA0" w14:textId="77777777" w:rsidR="000F7F2B" w:rsidRPr="00593A5F" w:rsidRDefault="000F7F2B" w:rsidP="000F7F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3A4B343" w14:textId="77777777" w:rsidR="000F7F2B" w:rsidRPr="00593A5F" w:rsidRDefault="000F7F2B" w:rsidP="000F7F2B">
      <w:pPr>
        <w:widowControl w:val="0"/>
        <w:autoSpaceDE w:val="0"/>
        <w:autoSpaceDN w:val="0"/>
        <w:spacing w:after="0" w:line="276" w:lineRule="auto"/>
        <w:jc w:val="both"/>
        <w:rPr>
          <w:rFonts w:ascii="Verdana" w:hAnsi="Verdana" w:cs="Arial"/>
        </w:rPr>
      </w:pPr>
    </w:p>
    <w:p w14:paraId="307DC7AA" w14:textId="77777777" w:rsidR="000F7F2B" w:rsidRPr="007E4299" w:rsidRDefault="000F7F2B" w:rsidP="000F7F2B">
      <w:pPr>
        <w:widowControl w:val="0"/>
        <w:autoSpaceDE w:val="0"/>
        <w:autoSpaceDN w:val="0"/>
        <w:spacing w:after="0" w:line="276" w:lineRule="auto"/>
        <w:jc w:val="both"/>
        <w:rPr>
          <w:rStyle w:val="normaltextrun"/>
          <w:rFonts w:ascii="Verdana" w:hAnsi="Verdana"/>
        </w:rPr>
      </w:pPr>
      <w:r w:rsidRPr="0029645A">
        <w:rPr>
          <w:rFonts w:ascii="Verdana" w:eastAsia="Calibri" w:hAnsi="Verdana" w:cs="Arial"/>
          <w:shd w:val="clear" w:color="auto" w:fill="FFFFFF"/>
        </w:rPr>
        <w:t xml:space="preserve">La Agencia Nacional de Contratación Pública – Colombia Compra Eficiente se pronunció sobre las causales de rechazo incorporadas en los pliegos de condiciones, en los </w:t>
      </w:r>
      <w:r>
        <w:rPr>
          <w:rFonts w:ascii="Verdana" w:eastAsia="Calibri" w:hAnsi="Verdana" w:cs="Arial"/>
          <w:shd w:val="clear" w:color="auto" w:fill="FFFFFF"/>
        </w:rPr>
        <w:t>C</w:t>
      </w:r>
      <w:r w:rsidRPr="0029645A">
        <w:rPr>
          <w:rFonts w:ascii="Verdana" w:eastAsia="Calibri" w:hAnsi="Verdana" w:cs="Arial"/>
          <w:shd w:val="clear" w:color="auto" w:fill="FFFFFF"/>
        </w:rPr>
        <w:t xml:space="preserve">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 C-326 del 25 de abril de 2025, entre otros. También, se ha referido al régimen de inhabilidades e incompatibilidades, en los conceptos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w:t>
      </w:r>
      <w:r w:rsidRPr="0029645A">
        <w:rPr>
          <w:rFonts w:ascii="Verdana" w:eastAsia="Calibri" w:hAnsi="Verdana" w:cs="Arial"/>
          <w:shd w:val="clear" w:color="auto" w:fill="FFFFFF"/>
        </w:rPr>
        <w:lastRenderedPageBreak/>
        <w:t>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 También se ha pronunciado sobre el conflicto de interés en los conceptos C-229 del 16 de abril de 2020, C-815 del 18 de febrero de 2021, C-449 del 31 de agosto de 2021, C-288 del 14 de julio de 2023, C-651 del 22 de octubre de 2024, C-689 del 19 de noviembre de 2024, C-966 del 14 de enero de 2025 y C-849 del 6 de agosto de 2025</w:t>
      </w:r>
      <w:r>
        <w:rPr>
          <w:rFonts w:ascii="Verdana" w:eastAsia="Calibri"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46192AE" w14:textId="77777777" w:rsidR="000F7F2B" w:rsidRPr="00096788" w:rsidRDefault="000F7F2B" w:rsidP="000F7F2B">
      <w:pPr>
        <w:widowControl w:val="0"/>
        <w:autoSpaceDE w:val="0"/>
        <w:autoSpaceDN w:val="0"/>
        <w:spacing w:after="0" w:line="276" w:lineRule="auto"/>
        <w:jc w:val="both"/>
        <w:rPr>
          <w:rFonts w:ascii="Verdana" w:hAnsi="Verdana" w:cs="Arial"/>
          <w:color w:val="000000" w:themeColor="text1"/>
          <w:shd w:val="clear" w:color="auto" w:fill="FFFFFF"/>
        </w:rPr>
      </w:pPr>
    </w:p>
    <w:p w14:paraId="0E4519D2" w14:textId="77777777" w:rsidR="000F7F2B" w:rsidRPr="001205D1" w:rsidRDefault="000F7F2B" w:rsidP="000F7F2B">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0BFC4364" w14:textId="77777777" w:rsidR="000F7F2B" w:rsidRDefault="000F7F2B" w:rsidP="000F7F2B">
      <w:pPr>
        <w:widowControl w:val="0"/>
        <w:autoSpaceDE w:val="0"/>
        <w:autoSpaceDN w:val="0"/>
        <w:spacing w:after="0" w:line="276" w:lineRule="auto"/>
        <w:jc w:val="both"/>
        <w:rPr>
          <w:rStyle w:val="normaltextrun"/>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67B20C59" w14:textId="77777777" w:rsidR="000F7F2B" w:rsidRPr="00116940" w:rsidRDefault="000F7F2B" w:rsidP="000F7F2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w:t>
      </w:r>
      <w:r w:rsidRPr="00116940">
        <w:rPr>
          <w:rFonts w:ascii="Verdana" w:hAnsi="Verdana"/>
        </w:rPr>
        <w:lastRenderedPageBreak/>
        <w:t xml:space="preserve">marco de nuestras funciones a través de nuestros diferentes canales de atención: </w:t>
      </w:r>
    </w:p>
    <w:p w14:paraId="349094F0" w14:textId="77777777" w:rsidR="000F7F2B" w:rsidRPr="00116940" w:rsidRDefault="000F7F2B" w:rsidP="000F7F2B">
      <w:pPr>
        <w:spacing w:after="0"/>
        <w:jc w:val="both"/>
        <w:rPr>
          <w:rFonts w:ascii="Verdana" w:hAnsi="Verdana"/>
        </w:rPr>
      </w:pPr>
    </w:p>
    <w:p w14:paraId="29AE9687" w14:textId="77777777" w:rsidR="000F7F2B" w:rsidRPr="00116940" w:rsidRDefault="000F7F2B" w:rsidP="000F7F2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9D17CA1" w14:textId="77777777" w:rsidR="000F7F2B" w:rsidRPr="00116940" w:rsidRDefault="000F7F2B" w:rsidP="000F7F2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64A7002E" w14:textId="77777777" w:rsidR="000F7F2B" w:rsidRPr="00116940" w:rsidRDefault="000F7F2B" w:rsidP="000F7F2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75BEE0CA" w14:textId="77777777" w:rsidR="000F7F2B" w:rsidRPr="00116940" w:rsidRDefault="000F7F2B" w:rsidP="000F7F2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36C29DCB" w14:textId="77777777" w:rsidR="000F7F2B" w:rsidRPr="00116940" w:rsidRDefault="000F7F2B" w:rsidP="000F7F2B">
      <w:pPr>
        <w:spacing w:after="0" w:line="240" w:lineRule="auto"/>
        <w:ind w:left="720"/>
        <w:jc w:val="both"/>
        <w:rPr>
          <w:rFonts w:ascii="Verdana" w:hAnsi="Verdana"/>
        </w:rPr>
      </w:pPr>
    </w:p>
    <w:p w14:paraId="632C4AB0" w14:textId="77777777" w:rsidR="000F7F2B" w:rsidRPr="00116940" w:rsidRDefault="000F7F2B" w:rsidP="000F7F2B">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53A28E4" w14:textId="77777777" w:rsidR="000F7F2B" w:rsidRPr="00116940" w:rsidRDefault="000F7F2B" w:rsidP="000F7F2B">
      <w:pPr>
        <w:spacing w:after="0" w:line="240" w:lineRule="auto"/>
        <w:rPr>
          <w:rFonts w:ascii="Verdana" w:hAnsi="Verdana"/>
        </w:rPr>
      </w:pPr>
    </w:p>
    <w:p w14:paraId="133F7C56" w14:textId="77777777" w:rsidR="000F7F2B" w:rsidRPr="00116940" w:rsidRDefault="000F7F2B" w:rsidP="000F7F2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591A9FD" w14:textId="77777777" w:rsidR="000F7F2B" w:rsidRPr="00116940" w:rsidRDefault="000F7F2B" w:rsidP="000F7F2B">
      <w:pPr>
        <w:spacing w:after="0" w:line="240" w:lineRule="auto"/>
        <w:jc w:val="both"/>
        <w:rPr>
          <w:rFonts w:ascii="Verdana" w:hAnsi="Verdana"/>
        </w:rPr>
      </w:pPr>
    </w:p>
    <w:p w14:paraId="403311F9" w14:textId="77777777" w:rsidR="000F7F2B" w:rsidRPr="00116940" w:rsidRDefault="000F7F2B" w:rsidP="000F7F2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24546BE" w14:textId="77777777" w:rsidR="000F7F2B" w:rsidRPr="00116940" w:rsidRDefault="000F7F2B" w:rsidP="000F7F2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6B78CDD" w14:textId="77777777" w:rsidR="000F7F2B" w:rsidRPr="00116940" w:rsidRDefault="000F7F2B" w:rsidP="000F7F2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AA3C9B6" w14:textId="77777777" w:rsidR="000F7F2B" w:rsidRPr="009C4035" w:rsidRDefault="000F7F2B" w:rsidP="000F7F2B">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387E2A47" w14:textId="77777777" w:rsidR="000F7F2B" w:rsidRPr="00593A5F" w:rsidRDefault="000F7F2B" w:rsidP="000F7F2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B28B37E" w14:textId="77777777" w:rsidR="000F7F2B" w:rsidRPr="00593A5F" w:rsidRDefault="000F7F2B" w:rsidP="000F7F2B">
      <w:pPr>
        <w:widowControl w:val="0"/>
        <w:autoSpaceDE w:val="0"/>
        <w:autoSpaceDN w:val="0"/>
        <w:spacing w:after="0" w:line="276" w:lineRule="auto"/>
        <w:jc w:val="both"/>
        <w:rPr>
          <w:rFonts w:ascii="Verdana" w:hAnsi="Verdana" w:cs="Arial"/>
        </w:rPr>
      </w:pPr>
    </w:p>
    <w:p w14:paraId="437AD079" w14:textId="77777777" w:rsidR="000F7F2B" w:rsidRPr="00593A5F" w:rsidRDefault="000F7F2B" w:rsidP="000F7F2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99C9AC8" w14:textId="75B2EBD6" w:rsidR="000F7F2B" w:rsidRPr="00593A5F" w:rsidRDefault="00800751" w:rsidP="000F7F2B">
      <w:pPr>
        <w:spacing w:line="276" w:lineRule="auto"/>
        <w:jc w:val="center"/>
        <w:rPr>
          <w:rFonts w:ascii="Verdana" w:hAnsi="Verdana" w:cs="Arial"/>
          <w:color w:val="000000"/>
          <w:lang w:val="es-ES_tradnl" w:eastAsia="es-CO"/>
        </w:rPr>
      </w:pPr>
      <w:r>
        <w:rPr>
          <w:noProof/>
        </w:rPr>
        <w:drawing>
          <wp:inline distT="0" distB="0" distL="0" distR="0" wp14:anchorId="6C0E6D92" wp14:editId="008E6B69">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0F7F2B" w:rsidRPr="00593A5F" w14:paraId="7289C60B" w14:textId="77777777" w:rsidTr="38169BF2">
        <w:trPr>
          <w:trHeight w:val="315"/>
        </w:trPr>
        <w:tc>
          <w:tcPr>
            <w:tcW w:w="893" w:type="dxa"/>
            <w:vAlign w:val="center"/>
            <w:hideMark/>
          </w:tcPr>
          <w:p w14:paraId="67EAC8EA" w14:textId="77777777" w:rsidR="000F7F2B" w:rsidRPr="003751C7" w:rsidRDefault="000F7F2B" w:rsidP="00402D6F">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352AA62E" w14:textId="77777777" w:rsidR="000F7F2B" w:rsidRPr="00254A7A" w:rsidRDefault="000F7F2B" w:rsidP="00402D6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035FF23" w14:textId="77777777" w:rsidR="000F7F2B" w:rsidRPr="00254A7A" w:rsidRDefault="000F7F2B" w:rsidP="00402D6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0F7F2B" w:rsidRPr="00593A5F" w14:paraId="35F2574A" w14:textId="77777777" w:rsidTr="38169BF2">
        <w:trPr>
          <w:trHeight w:val="330"/>
        </w:trPr>
        <w:tc>
          <w:tcPr>
            <w:tcW w:w="893" w:type="dxa"/>
            <w:vAlign w:val="center"/>
            <w:hideMark/>
          </w:tcPr>
          <w:p w14:paraId="2A7F7627" w14:textId="77777777" w:rsidR="000F7F2B" w:rsidRPr="003751C7" w:rsidRDefault="000F7F2B" w:rsidP="00402D6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E48E0E" w14:textId="77777777" w:rsidR="000F7F2B" w:rsidRPr="001B6B73" w:rsidRDefault="000F7F2B" w:rsidP="00402D6F">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392AB1C3" w14:textId="77777777" w:rsidR="000F7F2B" w:rsidRPr="00254A7A" w:rsidRDefault="000F7F2B" w:rsidP="00402D6F">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0F7F2B" w:rsidRPr="00593A5F" w14:paraId="6615346C" w14:textId="77777777" w:rsidTr="38169BF2">
        <w:trPr>
          <w:trHeight w:val="300"/>
        </w:trPr>
        <w:tc>
          <w:tcPr>
            <w:tcW w:w="893" w:type="dxa"/>
            <w:vAlign w:val="center"/>
          </w:tcPr>
          <w:p w14:paraId="2D0B765E" w14:textId="77777777" w:rsidR="000F7F2B" w:rsidRPr="003751C7" w:rsidRDefault="000F7F2B" w:rsidP="00402D6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C8CEBD" w14:textId="77777777" w:rsidR="000F7F2B" w:rsidRPr="001133D2" w:rsidRDefault="000F7F2B" w:rsidP="00402D6F">
            <w:pPr>
              <w:contextualSpacing/>
              <w:rPr>
                <w:rFonts w:ascii="Verdana" w:eastAsia="Calibri" w:hAnsi="Verdana" w:cs="Arial"/>
                <w:sz w:val="16"/>
                <w:szCs w:val="16"/>
                <w:lang w:val="es-ES" w:eastAsia="es-ES"/>
              </w:rPr>
            </w:pPr>
            <w:r w:rsidRPr="38169BF2">
              <w:rPr>
                <w:rFonts w:ascii="Verdana" w:eastAsia="Calibri" w:hAnsi="Verdana" w:cs="Arial"/>
                <w:sz w:val="16"/>
                <w:szCs w:val="16"/>
                <w:lang w:val="es-ES" w:eastAsia="es-ES"/>
              </w:rPr>
              <w:t xml:space="preserve">Carolina Quintero </w:t>
            </w:r>
            <w:proofErr w:type="spellStart"/>
            <w:r w:rsidRPr="38169BF2">
              <w:rPr>
                <w:rFonts w:ascii="Verdana" w:eastAsia="Calibri" w:hAnsi="Verdana" w:cs="Arial"/>
                <w:sz w:val="16"/>
                <w:szCs w:val="16"/>
                <w:lang w:val="es-ES" w:eastAsia="es-ES"/>
              </w:rPr>
              <w:t>Gacharná</w:t>
            </w:r>
            <w:proofErr w:type="spellEnd"/>
          </w:p>
          <w:p w14:paraId="51AFF34A" w14:textId="77777777" w:rsidR="000F7F2B" w:rsidRPr="003751C7" w:rsidRDefault="000F7F2B" w:rsidP="00402D6F">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56890B91" w14:textId="77777777" w:rsidR="000F7F2B" w:rsidRPr="00543BFE" w:rsidRDefault="000F7F2B" w:rsidP="000F7F2B"/>
    <w:p w14:paraId="628DAEF0" w14:textId="77777777" w:rsidR="000F7F2B" w:rsidRPr="00543BFE" w:rsidRDefault="000F7F2B" w:rsidP="000F7F2B"/>
    <w:p w14:paraId="0F293BF4" w14:textId="72D45DE6" w:rsidR="00127233" w:rsidRPr="005D75EB" w:rsidRDefault="00127233" w:rsidP="005D75EB"/>
    <w:sectPr w:rsidR="00127233" w:rsidRPr="005D75E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2C356" w14:textId="77777777" w:rsidR="00FC0437" w:rsidRDefault="00FC0437" w:rsidP="004A1847">
      <w:pPr>
        <w:spacing w:after="0" w:line="240" w:lineRule="auto"/>
      </w:pPr>
      <w:r>
        <w:separator/>
      </w:r>
    </w:p>
  </w:endnote>
  <w:endnote w:type="continuationSeparator" w:id="0">
    <w:p w14:paraId="762BF96E" w14:textId="77777777" w:rsidR="00FC0437" w:rsidRDefault="00FC0437" w:rsidP="004A1847">
      <w:pPr>
        <w:spacing w:after="0" w:line="240" w:lineRule="auto"/>
      </w:pPr>
      <w:r>
        <w:continuationSeparator/>
      </w:r>
    </w:p>
  </w:endnote>
  <w:endnote w:type="continuationNotice" w:id="1">
    <w:p w14:paraId="5BA688C4" w14:textId="77777777" w:rsidR="00FC0437" w:rsidRDefault="00FC04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72BA55" w14:textId="77777777" w:rsidR="00FC0437" w:rsidRDefault="00FC0437" w:rsidP="004A1847">
      <w:pPr>
        <w:spacing w:after="0" w:line="240" w:lineRule="auto"/>
      </w:pPr>
      <w:r>
        <w:separator/>
      </w:r>
    </w:p>
  </w:footnote>
  <w:footnote w:type="continuationSeparator" w:id="0">
    <w:p w14:paraId="2DCC9697" w14:textId="77777777" w:rsidR="00FC0437" w:rsidRDefault="00FC0437" w:rsidP="004A1847">
      <w:pPr>
        <w:spacing w:after="0" w:line="240" w:lineRule="auto"/>
      </w:pPr>
      <w:r>
        <w:continuationSeparator/>
      </w:r>
    </w:p>
  </w:footnote>
  <w:footnote w:type="continuationNotice" w:id="1">
    <w:p w14:paraId="20E36BC0" w14:textId="77777777" w:rsidR="00FC0437" w:rsidRDefault="00FC0437">
      <w:pPr>
        <w:spacing w:after="0" w:line="240" w:lineRule="auto"/>
      </w:pPr>
    </w:p>
  </w:footnote>
  <w:footnote w:id="2">
    <w:p w14:paraId="5B16E777" w14:textId="77777777" w:rsidR="000F7F2B" w:rsidRPr="00B64D5B" w:rsidRDefault="000F7F2B" w:rsidP="000F7F2B">
      <w:pPr>
        <w:pStyle w:val="Textonotapie"/>
        <w:ind w:firstLine="708"/>
        <w:jc w:val="both"/>
        <w:rPr>
          <w:rFonts w:ascii="Verdana" w:hAnsi="Verdana" w:cs="Arial"/>
          <w:color w:val="000000" w:themeColor="text1"/>
          <w:sz w:val="16"/>
          <w:szCs w:val="16"/>
          <w:lang w:val="es-ES"/>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Sentencia del 4 de junio de 2008. Exp. 17.783. C.P. Myriam Guerrero de Escobar.</w:t>
      </w:r>
    </w:p>
  </w:footnote>
  <w:footnote w:id="3">
    <w:p w14:paraId="18BAA264" w14:textId="77777777" w:rsidR="000F7F2B" w:rsidRPr="00B64D5B" w:rsidRDefault="000F7F2B" w:rsidP="000F7F2B">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4">
    <w:p w14:paraId="4AF487DB" w14:textId="77777777" w:rsidR="000F7F2B" w:rsidRPr="00B64D5B" w:rsidRDefault="000F7F2B" w:rsidP="000F7F2B">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Subsección A. Sentencia del 14 de marzo de 2013. Rad. 24.059. C.P. Mauricio Fajardo Gómez.</w:t>
      </w:r>
    </w:p>
  </w:footnote>
  <w:footnote w:id="5">
    <w:p w14:paraId="220CB8DF" w14:textId="77777777" w:rsidR="000F7F2B" w:rsidRPr="00B64D5B" w:rsidRDefault="000F7F2B" w:rsidP="000F7F2B">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w:t>
      </w:r>
      <w:r w:rsidRPr="00B64D5B">
        <w:rPr>
          <w:rFonts w:ascii="Verdana" w:hAnsi="Verdana" w:cs="Arial"/>
          <w:i/>
          <w:iCs/>
          <w:color w:val="000000" w:themeColor="text1"/>
          <w:sz w:val="16"/>
          <w:szCs w:val="16"/>
        </w:rPr>
        <w:t>Ibíd</w:t>
      </w:r>
      <w:r w:rsidRPr="00B64D5B">
        <w:rPr>
          <w:rFonts w:ascii="Verdana" w:hAnsi="Verdana" w:cs="Arial"/>
          <w:color w:val="000000" w:themeColor="text1"/>
          <w:sz w:val="16"/>
          <w:szCs w:val="16"/>
        </w:rPr>
        <w:t>.</w:t>
      </w:r>
    </w:p>
  </w:footnote>
  <w:footnote w:id="6">
    <w:p w14:paraId="5D1D1475" w14:textId="77777777" w:rsidR="000F7F2B" w:rsidRPr="00003BC7" w:rsidRDefault="000F7F2B" w:rsidP="000F7F2B">
      <w:pPr>
        <w:pStyle w:val="Textonotapie"/>
        <w:ind w:firstLine="720"/>
        <w:jc w:val="both"/>
        <w:rPr>
          <w:rFonts w:ascii="Century Gothic" w:hAnsi="Century Gothic" w:cs="Arial"/>
          <w:sz w:val="16"/>
          <w:szCs w:val="16"/>
        </w:rPr>
      </w:pPr>
      <w:r w:rsidRPr="00003BC7">
        <w:rPr>
          <w:rStyle w:val="Refdenotaalpie"/>
          <w:rFonts w:ascii="Century Gothic" w:hAnsi="Century Gothic" w:cs="Arial"/>
          <w:sz w:val="16"/>
          <w:szCs w:val="16"/>
        </w:rPr>
        <w:footnoteRef/>
      </w:r>
      <w:r w:rsidRPr="00003BC7">
        <w:rPr>
          <w:rFonts w:ascii="Century Gothic" w:hAnsi="Century Gothic" w:cs="Arial"/>
          <w:sz w:val="16"/>
          <w:szCs w:val="16"/>
        </w:rPr>
        <w:t xml:space="preserve"> CORTE CONSTITUCIONAL. Sentencia C-949 del 5 de septiembre de 2001. M.P. Clara Inés Vargas Hernández.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2.25pt;height:12.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032"/>
    <w:rsid w:val="00046945"/>
    <w:rsid w:val="00061B2A"/>
    <w:rsid w:val="00082362"/>
    <w:rsid w:val="000A683E"/>
    <w:rsid w:val="000B19B9"/>
    <w:rsid w:val="000D0334"/>
    <w:rsid w:val="000D5DA7"/>
    <w:rsid w:val="000F6486"/>
    <w:rsid w:val="000F7F2B"/>
    <w:rsid w:val="00116940"/>
    <w:rsid w:val="00125105"/>
    <w:rsid w:val="00127233"/>
    <w:rsid w:val="0015699B"/>
    <w:rsid w:val="001A0CBD"/>
    <w:rsid w:val="001A33BF"/>
    <w:rsid w:val="001E4177"/>
    <w:rsid w:val="001F0B24"/>
    <w:rsid w:val="001F7DC6"/>
    <w:rsid w:val="0022400B"/>
    <w:rsid w:val="002421BB"/>
    <w:rsid w:val="00246396"/>
    <w:rsid w:val="0025796E"/>
    <w:rsid w:val="002707A2"/>
    <w:rsid w:val="002951A0"/>
    <w:rsid w:val="002962BC"/>
    <w:rsid w:val="002A093D"/>
    <w:rsid w:val="002A0DD0"/>
    <w:rsid w:val="002A49AC"/>
    <w:rsid w:val="002A64FD"/>
    <w:rsid w:val="002B597F"/>
    <w:rsid w:val="002C784C"/>
    <w:rsid w:val="002C7A84"/>
    <w:rsid w:val="002E2BF8"/>
    <w:rsid w:val="002E4FD9"/>
    <w:rsid w:val="003025F8"/>
    <w:rsid w:val="0030657A"/>
    <w:rsid w:val="0031491E"/>
    <w:rsid w:val="00322A85"/>
    <w:rsid w:val="00324168"/>
    <w:rsid w:val="00330834"/>
    <w:rsid w:val="003448F4"/>
    <w:rsid w:val="00374F5E"/>
    <w:rsid w:val="00377E3E"/>
    <w:rsid w:val="003A779E"/>
    <w:rsid w:val="003D0F4D"/>
    <w:rsid w:val="003D5B0D"/>
    <w:rsid w:val="003E0499"/>
    <w:rsid w:val="003E4F80"/>
    <w:rsid w:val="003E6439"/>
    <w:rsid w:val="003F3941"/>
    <w:rsid w:val="003F6A50"/>
    <w:rsid w:val="00405B46"/>
    <w:rsid w:val="00406575"/>
    <w:rsid w:val="00414C74"/>
    <w:rsid w:val="0042722E"/>
    <w:rsid w:val="00444B43"/>
    <w:rsid w:val="0044528D"/>
    <w:rsid w:val="00466E39"/>
    <w:rsid w:val="004A1847"/>
    <w:rsid w:val="004A305D"/>
    <w:rsid w:val="004B3DA2"/>
    <w:rsid w:val="004B570B"/>
    <w:rsid w:val="004F21C4"/>
    <w:rsid w:val="004F685F"/>
    <w:rsid w:val="005566E8"/>
    <w:rsid w:val="00574867"/>
    <w:rsid w:val="00591460"/>
    <w:rsid w:val="005A65E0"/>
    <w:rsid w:val="005C3777"/>
    <w:rsid w:val="005C5CDC"/>
    <w:rsid w:val="005D476C"/>
    <w:rsid w:val="005D75EB"/>
    <w:rsid w:val="006200BF"/>
    <w:rsid w:val="006219F8"/>
    <w:rsid w:val="00624E50"/>
    <w:rsid w:val="006302F7"/>
    <w:rsid w:val="00646B9F"/>
    <w:rsid w:val="00665D70"/>
    <w:rsid w:val="006900D9"/>
    <w:rsid w:val="00706C16"/>
    <w:rsid w:val="007340C3"/>
    <w:rsid w:val="0075235A"/>
    <w:rsid w:val="00756841"/>
    <w:rsid w:val="007649AB"/>
    <w:rsid w:val="00771D0C"/>
    <w:rsid w:val="007833AC"/>
    <w:rsid w:val="00797FAA"/>
    <w:rsid w:val="007B268C"/>
    <w:rsid w:val="007B7171"/>
    <w:rsid w:val="007C0C0F"/>
    <w:rsid w:val="007C3DC2"/>
    <w:rsid w:val="007E5497"/>
    <w:rsid w:val="00800751"/>
    <w:rsid w:val="00806F5F"/>
    <w:rsid w:val="00820278"/>
    <w:rsid w:val="008258C9"/>
    <w:rsid w:val="00844AE9"/>
    <w:rsid w:val="00867F95"/>
    <w:rsid w:val="008843B6"/>
    <w:rsid w:val="00891928"/>
    <w:rsid w:val="008A446D"/>
    <w:rsid w:val="008B25F1"/>
    <w:rsid w:val="008D1531"/>
    <w:rsid w:val="008D180B"/>
    <w:rsid w:val="008F0EA7"/>
    <w:rsid w:val="00923EEF"/>
    <w:rsid w:val="009419F9"/>
    <w:rsid w:val="00954580"/>
    <w:rsid w:val="0095685E"/>
    <w:rsid w:val="00961B09"/>
    <w:rsid w:val="00965334"/>
    <w:rsid w:val="0097093E"/>
    <w:rsid w:val="009A0DFA"/>
    <w:rsid w:val="009A1C6F"/>
    <w:rsid w:val="009B2D26"/>
    <w:rsid w:val="009C71FA"/>
    <w:rsid w:val="009C72E7"/>
    <w:rsid w:val="009C7F7E"/>
    <w:rsid w:val="009D3058"/>
    <w:rsid w:val="009E18B0"/>
    <w:rsid w:val="009F3A13"/>
    <w:rsid w:val="00A122D3"/>
    <w:rsid w:val="00A14468"/>
    <w:rsid w:val="00A17F13"/>
    <w:rsid w:val="00A20739"/>
    <w:rsid w:val="00A23AF9"/>
    <w:rsid w:val="00A33C78"/>
    <w:rsid w:val="00AB0ADB"/>
    <w:rsid w:val="00B00C0E"/>
    <w:rsid w:val="00B01B1A"/>
    <w:rsid w:val="00B0381D"/>
    <w:rsid w:val="00B2090A"/>
    <w:rsid w:val="00B44A47"/>
    <w:rsid w:val="00B72CD3"/>
    <w:rsid w:val="00B72FFF"/>
    <w:rsid w:val="00BC3D36"/>
    <w:rsid w:val="00BD54A6"/>
    <w:rsid w:val="00BD7F72"/>
    <w:rsid w:val="00BF07A1"/>
    <w:rsid w:val="00BF7425"/>
    <w:rsid w:val="00C04FB3"/>
    <w:rsid w:val="00C11D8B"/>
    <w:rsid w:val="00C15139"/>
    <w:rsid w:val="00C21DCF"/>
    <w:rsid w:val="00C330EB"/>
    <w:rsid w:val="00C50D69"/>
    <w:rsid w:val="00C5365C"/>
    <w:rsid w:val="00C754BE"/>
    <w:rsid w:val="00C76B1C"/>
    <w:rsid w:val="00C925AC"/>
    <w:rsid w:val="00CB6357"/>
    <w:rsid w:val="00CC1B26"/>
    <w:rsid w:val="00CF2C01"/>
    <w:rsid w:val="00D26FCF"/>
    <w:rsid w:val="00D361FD"/>
    <w:rsid w:val="00D423A2"/>
    <w:rsid w:val="00D44E26"/>
    <w:rsid w:val="00D520D8"/>
    <w:rsid w:val="00D63AC2"/>
    <w:rsid w:val="00D66878"/>
    <w:rsid w:val="00D7383B"/>
    <w:rsid w:val="00D7788A"/>
    <w:rsid w:val="00DA231B"/>
    <w:rsid w:val="00DC39FC"/>
    <w:rsid w:val="00DD2AE6"/>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41DD"/>
    <w:rsid w:val="00EE1AA8"/>
    <w:rsid w:val="00EE1B2D"/>
    <w:rsid w:val="00F23FEA"/>
    <w:rsid w:val="00F31EDC"/>
    <w:rsid w:val="00F462B3"/>
    <w:rsid w:val="00F5664F"/>
    <w:rsid w:val="00F666C4"/>
    <w:rsid w:val="00F76AFC"/>
    <w:rsid w:val="00FA47C0"/>
    <w:rsid w:val="00FB196D"/>
    <w:rsid w:val="00FB2101"/>
    <w:rsid w:val="00FB5DD1"/>
    <w:rsid w:val="00FC0437"/>
    <w:rsid w:val="00FC2B5D"/>
    <w:rsid w:val="00FC7065"/>
    <w:rsid w:val="00FF1449"/>
    <w:rsid w:val="00FF7963"/>
    <w:rsid w:val="09908A09"/>
    <w:rsid w:val="13CFC91B"/>
    <w:rsid w:val="19A2EC2C"/>
    <w:rsid w:val="1BC3BD23"/>
    <w:rsid w:val="2859CA1B"/>
    <w:rsid w:val="32A4F9CF"/>
    <w:rsid w:val="356CEDFD"/>
    <w:rsid w:val="38169BF2"/>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F7F2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F7F2B"/>
    <w:rPr>
      <w:rFonts w:ascii="Geomanist Light" w:hAnsi="Geomanist Light"/>
      <w:lang w:val="es-ES"/>
    </w:rPr>
  </w:style>
  <w:style w:type="character" w:customStyle="1" w:styleId="s15">
    <w:name w:val="s15"/>
    <w:basedOn w:val="Fuentedeprrafopredeter"/>
    <w:rsid w:val="000F7F2B"/>
  </w:style>
  <w:style w:type="paragraph" w:styleId="Sinespaciado">
    <w:name w:val="No Spacing"/>
    <w:aliases w:val="No Indent"/>
    <w:uiPriority w:val="3"/>
    <w:qFormat/>
    <w:rsid w:val="000F7F2B"/>
    <w:pPr>
      <w:spacing w:after="0" w:line="240" w:lineRule="auto"/>
    </w:pPr>
    <w:rPr>
      <w:sz w:val="24"/>
      <w:lang w:val="es-MX"/>
    </w:rPr>
  </w:style>
  <w:style w:type="character" w:customStyle="1" w:styleId="NormalWebCar">
    <w:name w:val="Normal (Web) Car"/>
    <w:link w:val="NormalWeb"/>
    <w:uiPriority w:val="99"/>
    <w:rsid w:val="000F7F2B"/>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5A1D82-7223-4DD6-BA96-276FAD5F4E03}"/>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22</Pages>
  <Words>7552</Words>
  <Characters>41536</Characters>
  <Application>Microsoft Office Word</Application>
  <DocSecurity>0</DocSecurity>
  <Lines>346</Lines>
  <Paragraphs>97</Paragraphs>
  <ScaleCrop>false</ScaleCrop>
  <Company/>
  <LinksUpToDate>false</LinksUpToDate>
  <CharactersWithSpaces>48991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2025-11-06T14:50:00Z</dcterms:created>
  <dcterms:modified xsi:type="dcterms:W3CDTF">2025-11-07T00:20:00Z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