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D2248" w14:textId="77777777" w:rsidR="00BF6B19" w:rsidRPr="00101DE6" w:rsidRDefault="00BF6B19" w:rsidP="00BF6B19">
      <w:pPr>
        <w:tabs>
          <w:tab w:val="left" w:pos="426"/>
        </w:tabs>
        <w:snapToGrid w:val="0"/>
        <w:spacing w:after="0" w:line="240" w:lineRule="auto"/>
        <w:contextualSpacing/>
        <w:jc w:val="both"/>
        <w:rPr>
          <w:rFonts w:ascii="Verdana" w:hAnsi="Verdana" w:cs="Arial"/>
          <w:b/>
          <w:bCs/>
          <w:lang w:val="es-ES" w:eastAsia="es-ES"/>
        </w:rPr>
      </w:pPr>
      <w:r w:rsidRPr="00101DE6">
        <w:rPr>
          <w:rFonts w:ascii="Verdana" w:hAnsi="Verdana" w:cs="Arial"/>
          <w:b/>
          <w:bCs/>
          <w:lang w:val="es-ES" w:eastAsia="es-ES"/>
        </w:rPr>
        <w:t>LEY DE GARANTÍAS ELECTORALES – Finalidad</w:t>
      </w:r>
    </w:p>
    <w:p w14:paraId="53190137" w14:textId="77777777" w:rsidR="00BF6B19" w:rsidRDefault="00BF6B19" w:rsidP="00BF6B19">
      <w:pPr>
        <w:tabs>
          <w:tab w:val="left" w:pos="426"/>
        </w:tabs>
        <w:snapToGrid w:val="0"/>
        <w:spacing w:after="0" w:line="240" w:lineRule="auto"/>
        <w:contextualSpacing/>
        <w:jc w:val="both"/>
        <w:rPr>
          <w:rFonts w:ascii="Verdana" w:eastAsia="Times New Roman" w:hAnsi="Verdana" w:cs="Arial"/>
          <w:sz w:val="20"/>
          <w:szCs w:val="20"/>
          <w:lang w:val="es-ES" w:eastAsia="es-CO"/>
        </w:rPr>
      </w:pPr>
    </w:p>
    <w:p w14:paraId="01508BC0" w14:textId="77777777" w:rsidR="00BF6B19" w:rsidRPr="00E93F26" w:rsidRDefault="00BF6B19" w:rsidP="00BF6B19">
      <w:pPr>
        <w:tabs>
          <w:tab w:val="left" w:pos="426"/>
        </w:tabs>
        <w:snapToGrid w:val="0"/>
        <w:spacing w:after="0" w:line="240" w:lineRule="auto"/>
        <w:contextualSpacing/>
        <w:jc w:val="both"/>
        <w:rPr>
          <w:rFonts w:ascii="Verdana" w:hAnsi="Verdana" w:cs="Arial"/>
          <w:sz w:val="20"/>
          <w:szCs w:val="20"/>
          <w:lang w:val="es-ES"/>
        </w:rPr>
      </w:pPr>
      <w:r w:rsidRPr="00E93F26">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93F26">
        <w:rPr>
          <w:rFonts w:ascii="Verdana" w:hAnsi="Verdana" w:cs="Arial"/>
          <w:sz w:val="20"/>
          <w:szCs w:val="20"/>
          <w:lang w:val="es-ES"/>
        </w:rPr>
        <w:t xml:space="preserve"> </w:t>
      </w:r>
    </w:p>
    <w:p w14:paraId="0A0E0664" w14:textId="77777777" w:rsidR="00BF6B19" w:rsidRPr="00E93F26" w:rsidRDefault="00BF6B19" w:rsidP="00BF6B19">
      <w:pPr>
        <w:snapToGrid w:val="0"/>
        <w:spacing w:after="0" w:line="240" w:lineRule="auto"/>
        <w:contextualSpacing/>
        <w:jc w:val="both"/>
        <w:rPr>
          <w:rFonts w:ascii="Verdana" w:hAnsi="Verdana" w:cs="Arial"/>
          <w:sz w:val="20"/>
          <w:szCs w:val="20"/>
          <w:lang w:val="es-ES" w:eastAsia="es-ES"/>
        </w:rPr>
      </w:pPr>
    </w:p>
    <w:p w14:paraId="5717E24D" w14:textId="77777777" w:rsidR="00BF6B19" w:rsidRPr="00E93F26" w:rsidRDefault="00BF6B19" w:rsidP="00BF6B19">
      <w:pPr>
        <w:snapToGrid w:val="0"/>
        <w:spacing w:line="259" w:lineRule="auto"/>
        <w:contextualSpacing/>
        <w:jc w:val="both"/>
        <w:rPr>
          <w:rFonts w:ascii="Verdana" w:hAnsi="Verdana" w:cs="Arial"/>
          <w:b/>
          <w:bCs/>
          <w:sz w:val="20"/>
          <w:szCs w:val="20"/>
          <w:lang w:val="es-ES" w:eastAsia="es-ES"/>
        </w:rPr>
      </w:pPr>
      <w:r w:rsidRPr="00E93F26">
        <w:rPr>
          <w:rFonts w:ascii="Verdana" w:hAnsi="Verdana" w:cs="Arial"/>
          <w:b/>
          <w:bCs/>
          <w:lang w:val="es-ES" w:eastAsia="es-ES"/>
        </w:rPr>
        <w:t>LEY DE GARANTÍAS ELECTORALES ‒ Restricciones ‒ Contratación ‒ Tipos de elección</w:t>
      </w:r>
    </w:p>
    <w:p w14:paraId="4A517D40" w14:textId="77777777" w:rsidR="00BF6B19" w:rsidRPr="00E93F26" w:rsidRDefault="00BF6B19" w:rsidP="00BF6B19">
      <w:pPr>
        <w:snapToGrid w:val="0"/>
        <w:spacing w:after="0" w:line="240" w:lineRule="auto"/>
        <w:contextualSpacing/>
        <w:jc w:val="both"/>
        <w:rPr>
          <w:rFonts w:ascii="Verdana" w:hAnsi="Verdana" w:cs="Arial"/>
          <w:sz w:val="20"/>
          <w:szCs w:val="20"/>
          <w:lang w:val="es-ES" w:eastAsia="es-ES"/>
        </w:rPr>
      </w:pPr>
    </w:p>
    <w:p w14:paraId="333ED72B" w14:textId="77777777" w:rsidR="00BF6B19" w:rsidRPr="00E93F26" w:rsidRDefault="00BF6B19" w:rsidP="00BF6B19">
      <w:pPr>
        <w:snapToGrid w:val="0"/>
        <w:spacing w:after="0" w:line="240" w:lineRule="auto"/>
        <w:contextualSpacing/>
        <w:jc w:val="both"/>
        <w:rPr>
          <w:rFonts w:ascii="Verdana" w:hAnsi="Verdana" w:cs="Arial"/>
          <w:sz w:val="20"/>
          <w:szCs w:val="20"/>
          <w:lang w:val="es-ES"/>
        </w:rPr>
      </w:pPr>
      <w:r w:rsidRPr="00E93F26">
        <w:rPr>
          <w:rFonts w:ascii="Verdana" w:hAnsi="Verdana" w:cs="Arial"/>
          <w:sz w:val="20"/>
          <w:szCs w:val="20"/>
          <w:lang w:val="es-ES"/>
        </w:rPr>
        <w:t xml:space="preserve">Por un lado, el </w:t>
      </w:r>
      <w:r w:rsidRPr="00E93F26">
        <w:rPr>
          <w:rFonts w:ascii="Verdana" w:hAnsi="Verdana" w:cs="Arial"/>
          <w:i/>
          <w:iCs/>
          <w:sz w:val="20"/>
          <w:szCs w:val="20"/>
          <w:lang w:val="es-ES"/>
        </w:rPr>
        <w:t xml:space="preserve">artículo 33 </w:t>
      </w:r>
      <w:r w:rsidRPr="00E93F26">
        <w:rPr>
          <w:rFonts w:ascii="Verdana" w:hAnsi="Verdana" w:cs="Arial"/>
          <w:sz w:val="20"/>
          <w:szCs w:val="20"/>
          <w:lang w:val="es-ES"/>
        </w:rPr>
        <w:t xml:space="preserve">de la Ley 996 de 2005 prohíbe “[…] la contratación directa por parte de </w:t>
      </w:r>
      <w:r w:rsidRPr="00E93F26">
        <w:rPr>
          <w:rFonts w:ascii="Verdana" w:hAnsi="Verdana" w:cs="Arial"/>
          <w:i/>
          <w:iCs/>
          <w:sz w:val="20"/>
          <w:szCs w:val="20"/>
          <w:lang w:val="es-ES"/>
        </w:rPr>
        <w:t>todos los entes del Estado</w:t>
      </w:r>
      <w:r w:rsidRPr="00E93F26">
        <w:rPr>
          <w:rFonts w:ascii="Verdana" w:hAnsi="Verdana" w:cs="Arial"/>
          <w:sz w:val="20"/>
          <w:szCs w:val="20"/>
          <w:lang w:val="es-ES"/>
        </w:rPr>
        <w:t xml:space="preserve">” durante los cuatro (4) meses anteriores a las </w:t>
      </w:r>
      <w:r w:rsidRPr="00E93F26">
        <w:rPr>
          <w:rFonts w:ascii="Verdana" w:hAnsi="Verdana" w:cs="Arial"/>
          <w:i/>
          <w:iCs/>
          <w:sz w:val="20"/>
          <w:szCs w:val="20"/>
          <w:lang w:val="es-ES"/>
        </w:rPr>
        <w:t>elecciones presidenciales</w:t>
      </w:r>
      <w:r w:rsidRPr="00E93F26">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CD15B13" w14:textId="77777777" w:rsidR="00BF6B19" w:rsidRPr="00E93F26" w:rsidRDefault="00BF6B19" w:rsidP="00BF6B19">
      <w:pPr>
        <w:snapToGrid w:val="0"/>
        <w:spacing w:after="0" w:line="240" w:lineRule="auto"/>
        <w:contextualSpacing/>
        <w:jc w:val="both"/>
        <w:rPr>
          <w:rFonts w:ascii="Verdana" w:hAnsi="Verdana" w:cs="Arial"/>
          <w:sz w:val="20"/>
          <w:szCs w:val="20"/>
          <w:lang w:val="es-ES"/>
        </w:rPr>
      </w:pPr>
    </w:p>
    <w:p w14:paraId="569FA232" w14:textId="77777777" w:rsidR="00BF6B19" w:rsidRPr="00E93F26" w:rsidRDefault="00BF6B19" w:rsidP="00BF6B19">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E93F26">
        <w:rPr>
          <w:rFonts w:ascii="Verdana" w:hAnsi="Verdana" w:cs="Arial"/>
          <w:sz w:val="20"/>
          <w:szCs w:val="20"/>
          <w:lang w:val="es-ES"/>
        </w:rPr>
        <w:t xml:space="preserve">Por otro lado, </w:t>
      </w:r>
      <w:r w:rsidRPr="00E93F26">
        <w:rPr>
          <w:rFonts w:ascii="Verdana" w:hAnsi="Verdana" w:cs="Arial"/>
          <w:i/>
          <w:iCs/>
          <w:sz w:val="20"/>
          <w:szCs w:val="20"/>
          <w:lang w:val="es-ES"/>
        </w:rPr>
        <w:t xml:space="preserve">el parágrafo del artículo 38 </w:t>
      </w:r>
      <w:r w:rsidRPr="00E93F26">
        <w:rPr>
          <w:rFonts w:ascii="Verdana" w:hAnsi="Verdana" w:cs="Arial"/>
          <w:sz w:val="20"/>
          <w:szCs w:val="20"/>
          <w:lang w:val="es-ES"/>
        </w:rPr>
        <w:t xml:space="preserve">de la Ley 996 de 2005 prevé una restricción, aplicable respecto de </w:t>
      </w:r>
      <w:r w:rsidRPr="00E93F26">
        <w:rPr>
          <w:rFonts w:ascii="Verdana" w:hAnsi="Verdana" w:cs="Arial"/>
          <w:i/>
          <w:iCs/>
          <w:sz w:val="20"/>
          <w:szCs w:val="20"/>
          <w:lang w:val="es-ES"/>
        </w:rPr>
        <w:t>cualquier tipo de contienda electoral</w:t>
      </w:r>
      <w:r w:rsidRPr="00E93F26">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93F26">
        <w:rPr>
          <w:rFonts w:ascii="Verdana" w:eastAsia="Arial" w:hAnsi="Verdana" w:cs="Arial"/>
          <w:sz w:val="20"/>
          <w:szCs w:val="20"/>
          <w:lang w:val="es-ES" w:eastAsia="es-ES" w:bidi="es-ES"/>
        </w:rPr>
        <w:t xml:space="preserve"> </w:t>
      </w:r>
    </w:p>
    <w:p w14:paraId="451E3E24" w14:textId="77777777" w:rsidR="00BF6B19" w:rsidRPr="00E93F26" w:rsidRDefault="00BF6B19" w:rsidP="00BF6B19">
      <w:pPr>
        <w:snapToGrid w:val="0"/>
        <w:spacing w:after="0" w:line="240" w:lineRule="auto"/>
        <w:contextualSpacing/>
        <w:jc w:val="both"/>
        <w:rPr>
          <w:rFonts w:ascii="Verdana" w:hAnsi="Verdana" w:cs="Arial"/>
          <w:sz w:val="20"/>
          <w:szCs w:val="20"/>
          <w:lang w:val="es-ES" w:eastAsia="es-ES"/>
        </w:rPr>
      </w:pPr>
    </w:p>
    <w:p w14:paraId="3442CD16" w14:textId="77777777" w:rsidR="00BF6B19" w:rsidRPr="00E93F26" w:rsidRDefault="00BF6B19" w:rsidP="00BF6B19">
      <w:pPr>
        <w:snapToGrid w:val="0"/>
        <w:spacing w:after="0" w:line="240" w:lineRule="auto"/>
        <w:contextualSpacing/>
        <w:jc w:val="both"/>
        <w:rPr>
          <w:rFonts w:ascii="Verdana" w:hAnsi="Verdana" w:cs="Arial"/>
          <w:b/>
          <w:bCs/>
          <w:lang w:val="es-ES" w:eastAsia="es-ES"/>
        </w:rPr>
      </w:pPr>
      <w:r w:rsidRPr="00E93F26">
        <w:rPr>
          <w:rFonts w:ascii="Verdana" w:hAnsi="Verdana" w:cs="Arial"/>
          <w:b/>
          <w:bCs/>
          <w:lang w:val="es-ES" w:eastAsia="es-ES"/>
        </w:rPr>
        <w:t>LEY DE GARANTÍAS ELECTORALES ‒ Artículo 33 ‒ Ámbito material</w:t>
      </w:r>
    </w:p>
    <w:p w14:paraId="01C28EF3" w14:textId="77777777" w:rsidR="00BF6B19" w:rsidRPr="00E93F26" w:rsidRDefault="00BF6B19" w:rsidP="00BF6B19">
      <w:pPr>
        <w:snapToGrid w:val="0"/>
        <w:spacing w:after="0" w:line="240" w:lineRule="auto"/>
        <w:contextualSpacing/>
        <w:jc w:val="both"/>
        <w:rPr>
          <w:rFonts w:ascii="Verdana" w:eastAsia="Times New Roman" w:hAnsi="Verdana" w:cs="Arial"/>
          <w:sz w:val="20"/>
          <w:szCs w:val="20"/>
          <w:lang w:val="es-ES"/>
        </w:rPr>
      </w:pPr>
    </w:p>
    <w:p w14:paraId="1FF2BE78" w14:textId="77777777" w:rsidR="00BF6B19" w:rsidRPr="00E93F26" w:rsidRDefault="00BF6B19" w:rsidP="00BF6B19">
      <w:pPr>
        <w:snapToGrid w:val="0"/>
        <w:spacing w:after="0" w:line="240" w:lineRule="auto"/>
        <w:contextualSpacing/>
        <w:jc w:val="both"/>
        <w:rPr>
          <w:rFonts w:ascii="Verdana" w:eastAsia="Times New Roman" w:hAnsi="Verdana" w:cs="Arial"/>
          <w:sz w:val="20"/>
          <w:szCs w:val="20"/>
          <w:lang w:val="es-ES"/>
        </w:rPr>
      </w:pPr>
      <w:r w:rsidRPr="00E93F26">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E93F26">
        <w:rPr>
          <w:rFonts w:ascii="Verdana" w:eastAsia="Times New Roman" w:hAnsi="Verdana" w:cs="Arial"/>
          <w:i/>
          <w:iCs/>
          <w:sz w:val="20"/>
          <w:szCs w:val="20"/>
          <w:lang w:val="es-ES"/>
        </w:rPr>
        <w:t>cualquier contrato o convenio de forma directa</w:t>
      </w:r>
      <w:r w:rsidRPr="00E93F26">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E81D24B" w14:textId="77777777" w:rsidR="00BF6B19" w:rsidRPr="00E93F26" w:rsidRDefault="00BF6B19" w:rsidP="00BF6B19">
      <w:pPr>
        <w:snapToGrid w:val="0"/>
        <w:spacing w:after="0" w:line="240" w:lineRule="auto"/>
        <w:contextualSpacing/>
        <w:jc w:val="both"/>
        <w:rPr>
          <w:rFonts w:ascii="Verdana" w:hAnsi="Verdana" w:cs="Arial"/>
          <w:sz w:val="20"/>
          <w:szCs w:val="20"/>
          <w:lang w:val="es-ES" w:eastAsia="es-ES"/>
        </w:rPr>
      </w:pPr>
    </w:p>
    <w:p w14:paraId="156D69C8" w14:textId="77777777" w:rsidR="00BF6B19" w:rsidRPr="00E93F26" w:rsidRDefault="00BF6B19" w:rsidP="00BF6B19">
      <w:pPr>
        <w:snapToGrid w:val="0"/>
        <w:spacing w:after="0" w:line="240" w:lineRule="auto"/>
        <w:contextualSpacing/>
        <w:jc w:val="both"/>
        <w:rPr>
          <w:rFonts w:ascii="Verdana" w:eastAsia="Arial" w:hAnsi="Verdana" w:cs="Arial"/>
          <w:b/>
          <w:bCs/>
          <w:color w:val="000000" w:themeColor="text1"/>
        </w:rPr>
      </w:pPr>
      <w:r w:rsidRPr="00E93F26">
        <w:rPr>
          <w:rFonts w:ascii="Verdana" w:hAnsi="Verdana" w:cs="Arial"/>
          <w:b/>
          <w:bCs/>
          <w:lang w:val="es-ES" w:eastAsia="es-ES"/>
        </w:rPr>
        <w:t xml:space="preserve">LEY DE GARANTÍAS ELECTORALES ‒ Aplicación ‒ excepciones ‒ </w:t>
      </w:r>
      <w:r>
        <w:rPr>
          <w:rFonts w:ascii="Verdana" w:hAnsi="Verdana" w:cs="Arial"/>
          <w:b/>
          <w:bCs/>
          <w:lang w:val="es-ES" w:eastAsia="es-ES"/>
        </w:rPr>
        <w:t>contratos de empréstitos</w:t>
      </w:r>
    </w:p>
    <w:p w14:paraId="217FCBAA" w14:textId="77777777" w:rsidR="00BF6B19" w:rsidRPr="00E93F26" w:rsidRDefault="00BF6B19" w:rsidP="00BF6B19">
      <w:pPr>
        <w:spacing w:after="0" w:line="259" w:lineRule="auto"/>
        <w:rPr>
          <w:rFonts w:ascii="Verdana" w:eastAsiaTheme="minorHAnsi" w:hAnsi="Verdana" w:cstheme="minorBidi"/>
          <w:lang w:val="es-ES"/>
        </w:rPr>
      </w:pPr>
    </w:p>
    <w:p w14:paraId="3EB50077" w14:textId="77777777" w:rsidR="00BF6B19" w:rsidRPr="00101DE6" w:rsidRDefault="00BF6B19" w:rsidP="00BF6B19">
      <w:pPr>
        <w:spacing w:after="0" w:line="240" w:lineRule="auto"/>
        <w:jc w:val="both"/>
        <w:rPr>
          <w:rFonts w:ascii="Verdana" w:hAnsi="Verdana" w:cs="Arial"/>
          <w:bCs/>
          <w:color w:val="000000" w:themeColor="text1"/>
          <w:sz w:val="20"/>
          <w:szCs w:val="20"/>
          <w:lang w:val="es-ES"/>
        </w:rPr>
      </w:pPr>
      <w:r w:rsidRPr="00101DE6">
        <w:rPr>
          <w:rFonts w:ascii="Verdana" w:hAnsi="Verdana" w:cs="Arial"/>
          <w:bCs/>
          <w:color w:val="000000" w:themeColor="text1"/>
          <w:sz w:val="20"/>
          <w:szCs w:val="20"/>
          <w:lang w:val="es-ES"/>
        </w:rPr>
        <w:lastRenderedPageBreak/>
        <w:t>Particularmente, 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Además, esta norma dispone que dichas operaciones y las conexas con éstas se contratarán en forma directa.</w:t>
      </w:r>
    </w:p>
    <w:p w14:paraId="40DFA88D" w14:textId="77777777" w:rsidR="00BF6B19" w:rsidRDefault="00BF6B19" w:rsidP="00BF6B19">
      <w:pPr>
        <w:spacing w:after="0" w:line="240" w:lineRule="auto"/>
        <w:jc w:val="both"/>
        <w:rPr>
          <w:rFonts w:ascii="Verdana" w:hAnsi="Verdana" w:cs="Arial"/>
          <w:bCs/>
          <w:color w:val="000000" w:themeColor="text1"/>
          <w:sz w:val="20"/>
          <w:szCs w:val="20"/>
          <w:lang w:val="es-ES"/>
        </w:rPr>
      </w:pPr>
    </w:p>
    <w:p w14:paraId="5F520276" w14:textId="77777777" w:rsidR="00BF6B19" w:rsidRPr="00101DE6" w:rsidRDefault="00BF6B19" w:rsidP="00BF6B19">
      <w:pPr>
        <w:spacing w:after="0" w:line="240" w:lineRule="auto"/>
        <w:jc w:val="both"/>
        <w:rPr>
          <w:rFonts w:ascii="Verdana" w:hAnsi="Verdana" w:cs="Arial"/>
          <w:bCs/>
          <w:color w:val="000000" w:themeColor="text1"/>
          <w:sz w:val="20"/>
          <w:szCs w:val="20"/>
        </w:rPr>
      </w:pPr>
      <w:r w:rsidRPr="00101DE6">
        <w:rPr>
          <w:rFonts w:ascii="Verdana" w:hAnsi="Verdana" w:cs="Arial"/>
          <w:bCs/>
          <w:color w:val="000000" w:themeColor="text1"/>
          <w:sz w:val="20"/>
          <w:szCs w:val="20"/>
          <w:lang w:val="es-ES"/>
        </w:rPr>
        <w:t xml:space="preserve">En ejercicio de sus facultades reglamentarias, el Gobierno Nacional recogió la definición legal de este tipo de operaciones y la amplió mediante el Decreto 2681 de 1993, norma compilada, a su vez, en el artículo 2.2.1.1.1. del Decreto 1068 de 2015. Este último dispuso que </w:t>
      </w:r>
      <w:r w:rsidRPr="00101DE6">
        <w:rPr>
          <w:rFonts w:ascii="Verdana" w:hAnsi="Verdana" w:cs="Arial"/>
          <w:bCs/>
          <w:color w:val="000000" w:themeColor="text1"/>
          <w:sz w:val="20"/>
          <w:szCs w:val="20"/>
        </w:rPr>
        <w:t xml:space="preserve">“[s]on operaciones de crédito público los actos o contratos que tienen por objeto dotar a la entidad estatal de recursos, bienes o servicios con plazo para su pago o aquellas mediante las cuales la entidad actúa como deudor solidario o garante de obligaciones de pago”. La norma reglamentaria agregó que dentro de estas operaciones están comprendidas, entre otras, </w:t>
      </w:r>
      <w:r w:rsidRPr="00101DE6">
        <w:rPr>
          <w:rFonts w:ascii="Verdana" w:hAnsi="Verdana" w:cs="Arial"/>
          <w:bCs/>
          <w:i/>
          <w:iCs/>
          <w:color w:val="000000" w:themeColor="text1"/>
          <w:sz w:val="20"/>
          <w:szCs w:val="20"/>
        </w:rPr>
        <w:t>la contratación de empréstitos</w:t>
      </w:r>
      <w:r w:rsidRPr="00101DE6">
        <w:rPr>
          <w:rFonts w:ascii="Verdana" w:hAnsi="Verdana" w:cs="Arial"/>
          <w:bCs/>
          <w:color w:val="000000" w:themeColor="text1"/>
          <w:sz w:val="20"/>
          <w:szCs w:val="20"/>
        </w:rPr>
        <w:t>, la emisión, suscripción y colocación de títulos de deuda pública, los créditos de proveedores y el otorgamiento de garantías para obligaciones de pago a cargo de entidades estatales.</w:t>
      </w:r>
    </w:p>
    <w:p w14:paraId="68354F84" w14:textId="77777777" w:rsidR="00BF6B19" w:rsidRPr="00E93F26" w:rsidRDefault="00BF6B19" w:rsidP="00BF6B19">
      <w:pPr>
        <w:spacing w:after="0" w:line="259" w:lineRule="auto"/>
        <w:rPr>
          <w:rFonts w:ascii="Verdana" w:eastAsiaTheme="minorHAnsi" w:hAnsi="Verdana" w:cstheme="minorBidi"/>
          <w:lang w:val="es-ES"/>
        </w:rPr>
      </w:pPr>
    </w:p>
    <w:p w14:paraId="6038754F" w14:textId="77777777" w:rsidR="00BF6B19" w:rsidRDefault="00BF6B19" w:rsidP="00BF6B19">
      <w:pPr>
        <w:spacing w:after="0" w:line="240" w:lineRule="auto"/>
        <w:jc w:val="both"/>
        <w:rPr>
          <w:rFonts w:ascii="Verdana" w:eastAsiaTheme="minorHAnsi" w:hAnsi="Verdana" w:cs="Arial"/>
          <w:b/>
          <w:lang w:val="es-MX" w:eastAsia="es-ES_tradnl"/>
        </w:rPr>
      </w:pPr>
      <w:r>
        <w:rPr>
          <w:rFonts w:ascii="Verdana" w:hAnsi="Verdana" w:cs="Arial"/>
          <w:b/>
          <w:lang w:val="es-MX" w:eastAsia="es-ES_tradnl"/>
        </w:rPr>
        <w:t>CONTRATOS Y CONVENIOS INTERADMINISTRATIVOS – Definición – Criterio orgánico</w:t>
      </w:r>
    </w:p>
    <w:p w14:paraId="70F9494A" w14:textId="77777777" w:rsidR="00BF6B19" w:rsidRPr="0035449A" w:rsidRDefault="00BF6B19" w:rsidP="00BF6B19">
      <w:pPr>
        <w:spacing w:after="0" w:line="240" w:lineRule="auto"/>
        <w:jc w:val="both"/>
        <w:rPr>
          <w:rFonts w:ascii="Verdana" w:eastAsiaTheme="minorHAnsi" w:hAnsi="Verdana" w:cs="Arial"/>
          <w:b/>
          <w:lang w:val="es-MX" w:eastAsia="es-ES_tradnl"/>
        </w:rPr>
      </w:pPr>
    </w:p>
    <w:p w14:paraId="267D83CF" w14:textId="77777777" w:rsidR="00BF6B19" w:rsidRDefault="00BF6B19" w:rsidP="00BF6B19">
      <w:pPr>
        <w:spacing w:after="0" w:line="240" w:lineRule="auto"/>
        <w:jc w:val="both"/>
        <w:rPr>
          <w:rFonts w:ascii="Verdana" w:hAnsi="Verdana" w:cs="Arial"/>
          <w:sz w:val="20"/>
          <w:szCs w:val="20"/>
          <w:lang w:eastAsia="es-ES"/>
        </w:rPr>
      </w:pPr>
      <w:r w:rsidRPr="0035449A">
        <w:rPr>
          <w:rFonts w:ascii="Verdana" w:eastAsia="Times New Roman" w:hAnsi="Verdana" w:cs="Arial"/>
          <w:sz w:val="20"/>
          <w:szCs w:val="20"/>
          <w:lang w:val="es-ES" w:eastAsia="es-ES_tradnl"/>
        </w:rPr>
        <w:t xml:space="preserve">Debe precisarse que </w:t>
      </w:r>
      <w:r w:rsidRPr="0035449A">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35449A">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383673A4" w14:textId="77777777" w:rsidR="00BF6B19" w:rsidRDefault="00BF6B19" w:rsidP="00BF6B19">
      <w:pPr>
        <w:spacing w:after="0" w:line="240" w:lineRule="auto"/>
        <w:jc w:val="both"/>
        <w:rPr>
          <w:rFonts w:ascii="Verdana" w:eastAsia="Arial" w:hAnsi="Verdana" w:cs="Arial"/>
          <w:sz w:val="20"/>
          <w:lang w:val="es-MX" w:eastAsia="es-ES" w:bidi="es-ES"/>
        </w:rPr>
      </w:pPr>
      <w:r>
        <w:rPr>
          <w:rFonts w:ascii="Verdana" w:eastAsia="Arial" w:hAnsi="Verdana" w:cs="Arial"/>
          <w:sz w:val="20"/>
          <w:lang w:val="es-MX" w:eastAsia="es-ES" w:bidi="es-ES"/>
        </w:rPr>
        <w:t>[…]</w:t>
      </w:r>
    </w:p>
    <w:p w14:paraId="1BFF3372" w14:textId="77777777" w:rsidR="00BF6B19" w:rsidRPr="0035449A" w:rsidRDefault="00BF6B19" w:rsidP="00BF6B19">
      <w:pPr>
        <w:spacing w:after="0" w:line="240" w:lineRule="auto"/>
        <w:jc w:val="both"/>
        <w:rPr>
          <w:rFonts w:ascii="Verdana" w:hAnsi="Verdana" w:cs="Arial"/>
          <w:sz w:val="20"/>
          <w:szCs w:val="20"/>
          <w:lang w:eastAsia="es-ES"/>
        </w:rPr>
      </w:pPr>
    </w:p>
    <w:p w14:paraId="2865603A" w14:textId="77777777" w:rsidR="00BF6B19" w:rsidRPr="0035449A" w:rsidRDefault="00BF6B19" w:rsidP="00BF6B19">
      <w:pPr>
        <w:spacing w:after="0" w:line="240" w:lineRule="auto"/>
        <w:jc w:val="both"/>
        <w:rPr>
          <w:rFonts w:ascii="Verdana" w:hAnsi="Verdana"/>
          <w:sz w:val="20"/>
          <w:szCs w:val="20"/>
          <w:lang w:eastAsia="es-CO"/>
        </w:rPr>
      </w:pPr>
      <w:r w:rsidRPr="0035449A">
        <w:rPr>
          <w:rFonts w:ascii="Verdana" w:hAnsi="Verdana" w:cs="Arial"/>
          <w:sz w:val="20"/>
          <w:szCs w:val="20"/>
          <w:lang w:val="es-ES_tradnl"/>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 pues, de acuerdo con lo anotado, esta clase de acuerdos de voluntades se definen por un criterio orgánico, por lo que uno de sus elementos esenciales es que en los extremos de la relación jurídico negocial concurran personas de derecho público</w:t>
      </w:r>
      <w:r w:rsidRPr="0035449A">
        <w:rPr>
          <w:rFonts w:ascii="Verdana" w:hAnsi="Verdana"/>
          <w:sz w:val="20"/>
          <w:szCs w:val="20"/>
          <w:lang w:eastAsia="es-CO"/>
        </w:rPr>
        <w:t>.</w:t>
      </w:r>
    </w:p>
    <w:p w14:paraId="5429534E" w14:textId="77777777" w:rsidR="00BF6B19" w:rsidRDefault="00BF6B19" w:rsidP="00BF6B19">
      <w:pPr>
        <w:spacing w:after="0"/>
        <w:jc w:val="both"/>
        <w:rPr>
          <w:rFonts w:ascii="Verdana" w:hAnsi="Verdana" w:cs="Arial"/>
          <w:sz w:val="20"/>
          <w:lang w:bidi="es-ES"/>
        </w:rPr>
      </w:pPr>
    </w:p>
    <w:p w14:paraId="506DC70E" w14:textId="5B964B5A" w:rsidR="00BF6B19" w:rsidRDefault="00BF6B19" w:rsidP="00BF6B19">
      <w:pPr>
        <w:spacing w:after="0"/>
        <w:jc w:val="both"/>
        <w:rPr>
          <w:rFonts w:ascii="Verdana" w:hAnsi="Verdana"/>
          <w:b/>
        </w:rPr>
      </w:pPr>
      <w:r>
        <w:rPr>
          <w:rFonts w:ascii="Verdana" w:hAnsi="Verdana" w:cs="Arial"/>
          <w:b/>
          <w:lang w:val="es-MX" w:eastAsia="es-ES_tradnl"/>
        </w:rPr>
        <w:t>CONTRATOS Y CONVENIOS INTERADMINISTRATIVOS – Circular Externa Única – Auto de suspensión –</w:t>
      </w:r>
      <w:r w:rsidR="00935EC5">
        <w:rPr>
          <w:rFonts w:ascii="Verdana" w:hAnsi="Verdana" w:cs="Arial"/>
          <w:b/>
          <w:lang w:val="es-MX" w:eastAsia="es-ES_tradnl"/>
        </w:rPr>
        <w:t xml:space="preserve"> Consejo de Estado</w:t>
      </w:r>
    </w:p>
    <w:p w14:paraId="1E7A3742" w14:textId="77777777" w:rsidR="00BF6B19" w:rsidRDefault="00BF6B19" w:rsidP="00BF6B19">
      <w:pPr>
        <w:spacing w:after="0"/>
        <w:jc w:val="both"/>
        <w:rPr>
          <w:rFonts w:ascii="Verdana" w:hAnsi="Verdana"/>
          <w:b/>
        </w:rPr>
      </w:pPr>
    </w:p>
    <w:p w14:paraId="51A6AA47" w14:textId="77777777" w:rsidR="00BF6B19" w:rsidRDefault="00BF6B19" w:rsidP="00BF6B19">
      <w:pPr>
        <w:spacing w:after="0" w:line="240" w:lineRule="auto"/>
        <w:jc w:val="both"/>
        <w:rPr>
          <w:rFonts w:ascii="Verdana" w:hAnsi="Verdana"/>
          <w:sz w:val="18"/>
          <w:szCs w:val="20"/>
        </w:rPr>
      </w:pPr>
      <w:r>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Pr>
          <w:rFonts w:ascii="Verdana" w:hAnsi="Verdana"/>
          <w:sz w:val="20"/>
        </w:rPr>
        <w:t xml:space="preserve">numeral 16.2 de </w:t>
      </w:r>
      <w:r>
        <w:rPr>
          <w:rFonts w:ascii="Verdana" w:hAnsi="Verdana"/>
          <w:sz w:val="20"/>
        </w:rPr>
        <w:lastRenderedPageBreak/>
        <w:t>la Circular Externa Única de 2022 expedida por la Agencia Nacional de Contratación Pública -Colombia Compra Eficiente-, concretamente, respecto de los siguientes apartes normativos</w:t>
      </w:r>
      <w:r>
        <w:rPr>
          <w:rFonts w:ascii="Verdana" w:hAnsi="Verdana"/>
          <w:sz w:val="18"/>
          <w:szCs w:val="20"/>
        </w:rPr>
        <w:t xml:space="preserve">. </w:t>
      </w:r>
      <w:r>
        <w:rPr>
          <w:rFonts w:ascii="Verdana" w:eastAsia="Arial" w:hAnsi="Verdana" w:cs="Arial"/>
          <w:sz w:val="20"/>
          <w:lang w:val="es-MX" w:eastAsia="es-ES" w:bidi="es-ES"/>
        </w:rPr>
        <w:t>[…]</w:t>
      </w:r>
    </w:p>
    <w:p w14:paraId="01DF54B1" w14:textId="77777777" w:rsidR="00BF6B19" w:rsidRDefault="00BF6B19" w:rsidP="00BF6B19">
      <w:pPr>
        <w:spacing w:after="0" w:line="240" w:lineRule="auto"/>
        <w:jc w:val="both"/>
        <w:rPr>
          <w:rFonts w:ascii="Verdana" w:hAnsi="Verdana"/>
          <w:sz w:val="18"/>
          <w:szCs w:val="20"/>
        </w:rPr>
      </w:pPr>
    </w:p>
    <w:p w14:paraId="6FC0B72E" w14:textId="77777777" w:rsidR="00BF6B19" w:rsidRPr="0035449A" w:rsidRDefault="00BF6B19" w:rsidP="00BF6B19">
      <w:pPr>
        <w:spacing w:after="0" w:line="240" w:lineRule="auto"/>
        <w:jc w:val="both"/>
        <w:rPr>
          <w:rFonts w:ascii="Verdana" w:hAnsi="Verdana"/>
          <w:sz w:val="18"/>
          <w:szCs w:val="20"/>
        </w:rPr>
      </w:pPr>
      <w:r w:rsidRPr="0035449A">
        <w:rPr>
          <w:rFonts w:ascii="Verdana" w:hAnsi="Verdana"/>
          <w:sz w:val="20"/>
        </w:rPr>
        <w:t>De igual manera, mediante auto del 6 de noviembre de 2025, el Consejo de Estado, Subsección A de la Sección Tercera, decretó</w:t>
      </w:r>
      <w:r w:rsidRPr="0035449A">
        <w:rPr>
          <w:rFonts w:ascii="Verdana" w:hAnsi="Verdana"/>
          <w:b/>
          <w:bCs/>
          <w:sz w:val="20"/>
        </w:rPr>
        <w:t xml:space="preserve"> </w:t>
      </w:r>
      <w:r w:rsidRPr="0035449A">
        <w:rPr>
          <w:rFonts w:ascii="Verdana" w:hAnsi="Verdana"/>
          <w:sz w:val="20"/>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w:t>
      </w:r>
    </w:p>
    <w:p w14:paraId="4F405859" w14:textId="77777777" w:rsidR="00BF6B19" w:rsidRPr="00817382" w:rsidRDefault="00BF6B19" w:rsidP="00BF6B19">
      <w:pPr>
        <w:spacing w:after="0" w:line="240" w:lineRule="auto"/>
        <w:rPr>
          <w:rFonts w:ascii="Verdana" w:eastAsia="Geomanist Light" w:hAnsi="Verdana" w:cs="Arial"/>
          <w:color w:val="000000" w:themeColor="text1"/>
          <w:lang w:val="es-ES_tradnl"/>
        </w:rPr>
      </w:pPr>
    </w:p>
    <w:p w14:paraId="728A29D1" w14:textId="77777777" w:rsidR="00BF6B19" w:rsidRDefault="00BF6B19" w:rsidP="00BF6B19">
      <w:pPr>
        <w:spacing w:after="0" w:line="240" w:lineRule="auto"/>
        <w:jc w:val="both"/>
        <w:rPr>
          <w:rFonts w:ascii="Verdana" w:hAnsi="Verdana"/>
          <w:sz w:val="18"/>
          <w:szCs w:val="20"/>
        </w:rPr>
      </w:pPr>
      <w:r>
        <w:rPr>
          <w:rFonts w:ascii="Verdana" w:eastAsia="Arial" w:hAnsi="Verdana" w:cs="Arial"/>
          <w:sz w:val="20"/>
          <w:lang w:val="es-MX" w:eastAsia="es-ES" w:bidi="es-ES"/>
        </w:rPr>
        <w:t>[…]</w:t>
      </w:r>
    </w:p>
    <w:p w14:paraId="39732ED0" w14:textId="77777777" w:rsidR="00BF6B19" w:rsidRPr="00817382" w:rsidRDefault="00BF6B19" w:rsidP="00BF6B19">
      <w:pPr>
        <w:spacing w:after="0" w:line="240" w:lineRule="auto"/>
        <w:rPr>
          <w:rFonts w:ascii="Verdana" w:eastAsia="Geomanist Light" w:hAnsi="Verdana" w:cs="Arial"/>
          <w:color w:val="000000" w:themeColor="text1"/>
          <w:lang w:val="es-ES_tradnl"/>
        </w:rPr>
      </w:pPr>
    </w:p>
    <w:p w14:paraId="12D7AD05" w14:textId="77777777" w:rsidR="00BF6B19" w:rsidRPr="00E80185" w:rsidRDefault="00BF6B19" w:rsidP="00BF6B19">
      <w:pPr>
        <w:spacing w:after="0" w:line="240" w:lineRule="auto"/>
        <w:jc w:val="both"/>
        <w:rPr>
          <w:rFonts w:ascii="Verdana" w:hAnsi="Verdana"/>
          <w:sz w:val="20"/>
        </w:rPr>
      </w:pPr>
      <w:r w:rsidRPr="00E80185">
        <w:rPr>
          <w:rFonts w:ascii="Verdana" w:hAnsi="Verdana"/>
          <w:sz w:val="20"/>
        </w:rPr>
        <w:t xml:space="preserve">Así las cosas, a la luz de lo expuesto por el Consejo de Estado en los autos del 4 de octubre de 2024 y 6 de noviembre de 2025, no resultaría aplicable la prohibición del parágrafo del artículo 38 de la Ley de Garantías Electorales a los contratos interadministrativos. </w:t>
      </w:r>
    </w:p>
    <w:p w14:paraId="771548EB" w14:textId="77777777" w:rsidR="00BF6B19" w:rsidRDefault="00BF6B19" w:rsidP="00BF6B19">
      <w:pPr>
        <w:spacing w:after="0" w:line="240" w:lineRule="auto"/>
        <w:rPr>
          <w:rFonts w:ascii="Verdana" w:eastAsia="Geomanist Light" w:hAnsi="Verdana" w:cs="Arial"/>
          <w:color w:val="000000" w:themeColor="text1"/>
          <w:lang w:val="es-MX"/>
        </w:rPr>
      </w:pPr>
    </w:p>
    <w:p w14:paraId="069B50BE" w14:textId="77777777" w:rsidR="00BF6B19" w:rsidRDefault="00BF6B19" w:rsidP="00BF6B19">
      <w:pPr>
        <w:spacing w:after="0" w:line="240" w:lineRule="auto"/>
        <w:rPr>
          <w:rFonts w:ascii="Verdana" w:eastAsia="Geomanist Light" w:hAnsi="Verdana" w:cs="Arial"/>
          <w:color w:val="000000" w:themeColor="text1"/>
          <w:lang w:val="es-MX"/>
        </w:rPr>
      </w:pPr>
    </w:p>
    <w:p w14:paraId="0F7535C2" w14:textId="77777777" w:rsidR="00BF6B19" w:rsidRDefault="00BF6B19" w:rsidP="00BF6B19">
      <w:pPr>
        <w:spacing w:after="0" w:line="240" w:lineRule="auto"/>
        <w:rPr>
          <w:rFonts w:ascii="Verdana" w:eastAsia="Geomanist Light" w:hAnsi="Verdana" w:cs="Arial"/>
          <w:color w:val="000000" w:themeColor="text1"/>
          <w:lang w:val="es-MX"/>
        </w:rPr>
      </w:pPr>
    </w:p>
    <w:p w14:paraId="1E9C17D0" w14:textId="77777777" w:rsidR="00BF6B19" w:rsidRDefault="00BF6B19" w:rsidP="00BF6B19">
      <w:pPr>
        <w:spacing w:after="0" w:line="240" w:lineRule="auto"/>
        <w:rPr>
          <w:rFonts w:ascii="Verdana" w:eastAsia="Geomanist Light" w:hAnsi="Verdana" w:cs="Arial"/>
          <w:color w:val="000000" w:themeColor="text1"/>
          <w:lang w:val="es-MX"/>
        </w:rPr>
      </w:pPr>
    </w:p>
    <w:p w14:paraId="654A5336" w14:textId="77777777" w:rsidR="00BF6B19" w:rsidRDefault="00BF6B19" w:rsidP="00BF6B19">
      <w:pPr>
        <w:spacing w:after="0" w:line="240" w:lineRule="auto"/>
        <w:rPr>
          <w:rFonts w:ascii="Verdana" w:eastAsia="Geomanist Light" w:hAnsi="Verdana" w:cs="Arial"/>
          <w:color w:val="000000" w:themeColor="text1"/>
          <w:lang w:val="es-MX"/>
        </w:rPr>
      </w:pPr>
    </w:p>
    <w:p w14:paraId="7839003E" w14:textId="77777777" w:rsidR="00835517" w:rsidRDefault="00835517" w:rsidP="00D97EF3">
      <w:pPr>
        <w:spacing w:after="0" w:line="240" w:lineRule="auto"/>
        <w:rPr>
          <w:rFonts w:ascii="Verdana" w:eastAsia="Geomanist Light" w:hAnsi="Verdana" w:cs="Arial"/>
          <w:color w:val="000000" w:themeColor="text1"/>
          <w:lang w:val="es-MX"/>
        </w:rPr>
      </w:pPr>
    </w:p>
    <w:p w14:paraId="35E4F067" w14:textId="77777777" w:rsidR="00BF6B19" w:rsidRDefault="00BF6B19" w:rsidP="00D97EF3">
      <w:pPr>
        <w:spacing w:after="0" w:line="240" w:lineRule="auto"/>
        <w:rPr>
          <w:rFonts w:ascii="Verdana" w:eastAsia="Geomanist Light" w:hAnsi="Verdana" w:cs="Arial"/>
          <w:color w:val="000000" w:themeColor="text1"/>
          <w:lang w:val="es-MX"/>
        </w:rPr>
      </w:pPr>
    </w:p>
    <w:p w14:paraId="0B29C16A" w14:textId="77777777" w:rsidR="00BF6B19" w:rsidRDefault="00BF6B19" w:rsidP="00D97EF3">
      <w:pPr>
        <w:spacing w:after="0" w:line="240" w:lineRule="auto"/>
        <w:rPr>
          <w:rFonts w:ascii="Verdana" w:eastAsia="Geomanist Light" w:hAnsi="Verdana" w:cs="Arial"/>
          <w:color w:val="000000" w:themeColor="text1"/>
          <w:lang w:val="es-MX"/>
        </w:rPr>
      </w:pPr>
    </w:p>
    <w:p w14:paraId="485D0634" w14:textId="77777777" w:rsidR="00BF6B19" w:rsidRDefault="00BF6B19" w:rsidP="00D97EF3">
      <w:pPr>
        <w:spacing w:after="0" w:line="240" w:lineRule="auto"/>
        <w:rPr>
          <w:rFonts w:ascii="Verdana" w:eastAsia="Geomanist Light" w:hAnsi="Verdana" w:cs="Arial"/>
          <w:color w:val="000000" w:themeColor="text1"/>
          <w:lang w:val="es-MX"/>
        </w:rPr>
      </w:pPr>
    </w:p>
    <w:p w14:paraId="7941AF92" w14:textId="77777777" w:rsidR="00BF6B19" w:rsidRDefault="00BF6B19" w:rsidP="00D97EF3">
      <w:pPr>
        <w:spacing w:after="0" w:line="240" w:lineRule="auto"/>
        <w:rPr>
          <w:rFonts w:ascii="Verdana" w:eastAsia="Geomanist Light" w:hAnsi="Verdana" w:cs="Arial"/>
          <w:color w:val="000000" w:themeColor="text1"/>
          <w:lang w:val="es-MX"/>
        </w:rPr>
      </w:pPr>
    </w:p>
    <w:p w14:paraId="65919B6D" w14:textId="77777777" w:rsidR="00BF6B19" w:rsidRDefault="00BF6B19" w:rsidP="00D97EF3">
      <w:pPr>
        <w:spacing w:after="0" w:line="240" w:lineRule="auto"/>
        <w:rPr>
          <w:rFonts w:ascii="Verdana" w:eastAsia="Geomanist Light" w:hAnsi="Verdana" w:cs="Arial"/>
          <w:color w:val="000000" w:themeColor="text1"/>
          <w:lang w:val="es-MX"/>
        </w:rPr>
      </w:pPr>
    </w:p>
    <w:p w14:paraId="31A3901F" w14:textId="77777777" w:rsidR="00BF6B19" w:rsidRDefault="00BF6B19" w:rsidP="00D97EF3">
      <w:pPr>
        <w:spacing w:after="0" w:line="240" w:lineRule="auto"/>
        <w:rPr>
          <w:rFonts w:ascii="Verdana" w:eastAsia="Geomanist Light" w:hAnsi="Verdana" w:cs="Arial"/>
          <w:color w:val="000000" w:themeColor="text1"/>
          <w:lang w:val="es-MX"/>
        </w:rPr>
      </w:pPr>
    </w:p>
    <w:p w14:paraId="338C0F6C" w14:textId="77777777" w:rsidR="00BF6B19" w:rsidRDefault="00BF6B19" w:rsidP="00D97EF3">
      <w:pPr>
        <w:spacing w:after="0" w:line="240" w:lineRule="auto"/>
        <w:rPr>
          <w:rFonts w:ascii="Verdana" w:eastAsia="Geomanist Light" w:hAnsi="Verdana" w:cs="Arial"/>
          <w:color w:val="000000" w:themeColor="text1"/>
          <w:lang w:val="es-MX"/>
        </w:rPr>
      </w:pPr>
    </w:p>
    <w:p w14:paraId="51819EAA" w14:textId="77777777" w:rsidR="00BF6B19" w:rsidRDefault="00BF6B19" w:rsidP="00D97EF3">
      <w:pPr>
        <w:spacing w:after="0" w:line="240" w:lineRule="auto"/>
        <w:rPr>
          <w:rFonts w:ascii="Verdana" w:eastAsia="Geomanist Light" w:hAnsi="Verdana" w:cs="Arial"/>
          <w:color w:val="000000" w:themeColor="text1"/>
          <w:lang w:val="es-MX"/>
        </w:rPr>
      </w:pPr>
    </w:p>
    <w:p w14:paraId="3C76611D" w14:textId="77777777" w:rsidR="00BF6B19" w:rsidRDefault="00BF6B19" w:rsidP="00D97EF3">
      <w:pPr>
        <w:spacing w:after="0" w:line="240" w:lineRule="auto"/>
        <w:rPr>
          <w:rFonts w:ascii="Verdana" w:eastAsia="Geomanist Light" w:hAnsi="Verdana" w:cs="Arial"/>
          <w:color w:val="000000" w:themeColor="text1"/>
          <w:lang w:val="es-MX"/>
        </w:rPr>
      </w:pPr>
    </w:p>
    <w:p w14:paraId="3BDF8157" w14:textId="77777777" w:rsidR="00BF6B19" w:rsidRDefault="00BF6B19" w:rsidP="00D97EF3">
      <w:pPr>
        <w:spacing w:after="0" w:line="240" w:lineRule="auto"/>
        <w:rPr>
          <w:rFonts w:ascii="Verdana" w:eastAsia="Geomanist Light" w:hAnsi="Verdana" w:cs="Arial"/>
          <w:color w:val="000000" w:themeColor="text1"/>
          <w:lang w:val="es-MX"/>
        </w:rPr>
      </w:pPr>
    </w:p>
    <w:p w14:paraId="0DF97236" w14:textId="77777777" w:rsidR="00BF6B19" w:rsidRDefault="00BF6B19" w:rsidP="00D97EF3">
      <w:pPr>
        <w:spacing w:after="0" w:line="240" w:lineRule="auto"/>
        <w:rPr>
          <w:rFonts w:ascii="Verdana" w:eastAsia="Geomanist Light" w:hAnsi="Verdana" w:cs="Arial"/>
          <w:color w:val="000000" w:themeColor="text1"/>
          <w:lang w:val="es-MX"/>
        </w:rPr>
      </w:pPr>
    </w:p>
    <w:p w14:paraId="39121C64" w14:textId="77777777" w:rsidR="00BF6B19" w:rsidRDefault="00BF6B19" w:rsidP="00D97EF3">
      <w:pPr>
        <w:spacing w:after="0" w:line="240" w:lineRule="auto"/>
        <w:rPr>
          <w:rFonts w:ascii="Verdana" w:eastAsia="Geomanist Light" w:hAnsi="Verdana" w:cs="Arial"/>
          <w:color w:val="000000" w:themeColor="text1"/>
          <w:lang w:val="es-MX"/>
        </w:rPr>
      </w:pPr>
    </w:p>
    <w:p w14:paraId="25205C97" w14:textId="77777777" w:rsidR="00BF6B19" w:rsidRDefault="00BF6B19" w:rsidP="00D97EF3">
      <w:pPr>
        <w:spacing w:after="0" w:line="240" w:lineRule="auto"/>
        <w:rPr>
          <w:rFonts w:ascii="Verdana" w:eastAsia="Geomanist Light" w:hAnsi="Verdana" w:cs="Arial"/>
          <w:color w:val="000000" w:themeColor="text1"/>
          <w:lang w:val="es-MX"/>
        </w:rPr>
      </w:pPr>
    </w:p>
    <w:p w14:paraId="69640D5E" w14:textId="77777777" w:rsidR="00BF6B19" w:rsidRDefault="00BF6B19" w:rsidP="00D97EF3">
      <w:pPr>
        <w:spacing w:after="0" w:line="240" w:lineRule="auto"/>
        <w:rPr>
          <w:rFonts w:ascii="Verdana" w:eastAsia="Geomanist Light" w:hAnsi="Verdana" w:cs="Arial"/>
          <w:color w:val="000000" w:themeColor="text1"/>
          <w:lang w:val="es-MX"/>
        </w:rPr>
      </w:pPr>
    </w:p>
    <w:p w14:paraId="487C4B74" w14:textId="77777777" w:rsidR="00BF6B19" w:rsidRDefault="00BF6B19" w:rsidP="00D97EF3">
      <w:pPr>
        <w:spacing w:after="0" w:line="240" w:lineRule="auto"/>
        <w:rPr>
          <w:rFonts w:ascii="Verdana" w:eastAsia="Geomanist Light" w:hAnsi="Verdana" w:cs="Arial"/>
          <w:color w:val="000000" w:themeColor="text1"/>
          <w:lang w:val="es-MX"/>
        </w:rPr>
      </w:pPr>
    </w:p>
    <w:p w14:paraId="1602288C" w14:textId="77777777" w:rsidR="00BF6B19" w:rsidRDefault="00BF6B19" w:rsidP="00D97EF3">
      <w:pPr>
        <w:spacing w:after="0" w:line="240" w:lineRule="auto"/>
        <w:rPr>
          <w:rFonts w:ascii="Verdana" w:eastAsia="Geomanist Light" w:hAnsi="Verdana" w:cs="Arial"/>
          <w:color w:val="000000" w:themeColor="text1"/>
          <w:lang w:val="es-MX"/>
        </w:rPr>
      </w:pPr>
    </w:p>
    <w:p w14:paraId="2C32A0A0" w14:textId="77777777" w:rsidR="00BF6B19" w:rsidRDefault="00BF6B19" w:rsidP="00D97EF3">
      <w:pPr>
        <w:spacing w:after="0" w:line="240" w:lineRule="auto"/>
        <w:rPr>
          <w:rFonts w:ascii="Verdana" w:eastAsia="Geomanist Light" w:hAnsi="Verdana" w:cs="Arial"/>
          <w:color w:val="000000" w:themeColor="text1"/>
          <w:lang w:val="es-MX"/>
        </w:rPr>
      </w:pPr>
    </w:p>
    <w:p w14:paraId="38616C69" w14:textId="77777777" w:rsidR="002A38E9" w:rsidRDefault="002A38E9" w:rsidP="002A38E9">
      <w:pPr>
        <w:spacing w:after="0" w:line="240" w:lineRule="auto"/>
        <w:rPr>
          <w:rFonts w:ascii="Verdana" w:eastAsia="Geomanist Light" w:hAnsi="Verdana" w:cs="Arial"/>
          <w:color w:val="000000" w:themeColor="text1"/>
          <w:lang w:val="es-MX"/>
        </w:rPr>
      </w:pPr>
    </w:p>
    <w:p w14:paraId="60B168C2" w14:textId="32E45D3B" w:rsidR="00BC3A80" w:rsidRPr="00BC3A80" w:rsidRDefault="00BC3A80" w:rsidP="00BC3A80">
      <w:pPr>
        <w:spacing w:after="0" w:line="240" w:lineRule="auto"/>
        <w:rPr>
          <w:rFonts w:ascii="Verdana" w:eastAsia="Geomanist Light" w:hAnsi="Verdana" w:cs="Arial"/>
          <w:color w:val="201F1E"/>
          <w:lang w:val="es-MX"/>
        </w:rPr>
      </w:pPr>
      <w:r w:rsidRPr="00BC3A80">
        <w:rPr>
          <w:rFonts w:ascii="Verdana" w:eastAsia="Geomanist Light" w:hAnsi="Verdana" w:cs="Arial"/>
          <w:color w:val="000000" w:themeColor="text1"/>
          <w:lang w:val="es-MX"/>
        </w:rPr>
        <w:lastRenderedPageBreak/>
        <w:t>Bogotá D.C., </w:t>
      </w:r>
      <w:r w:rsidR="003E56CC">
        <w:rPr>
          <w:rFonts w:ascii="Verdana" w:eastAsia="Geomanist Light" w:hAnsi="Verdana" w:cs="Arial"/>
          <w:color w:val="201F1E"/>
          <w:lang w:val="es-MX"/>
        </w:rPr>
        <w:t>14 de noviembre de 2025</w:t>
      </w:r>
    </w:p>
    <w:p w14:paraId="110CB60B" w14:textId="77777777" w:rsidR="00BC3A80" w:rsidRPr="00BC3A80" w:rsidRDefault="00BC3A80" w:rsidP="00BC3A80">
      <w:pPr>
        <w:spacing w:after="0" w:line="240" w:lineRule="auto"/>
        <w:jc w:val="right"/>
        <w:rPr>
          <w:rFonts w:ascii="Verdana" w:hAnsi="Verdana" w:cs="Arial"/>
          <w:color w:val="000000"/>
          <w:lang w:val="es-ES_tradnl"/>
        </w:rPr>
      </w:pPr>
    </w:p>
    <w:p w14:paraId="2FB07620" w14:textId="4D86BEA7" w:rsidR="00BC3A80" w:rsidRPr="00BC3A80" w:rsidRDefault="00C5302D" w:rsidP="00C5302D">
      <w:pPr>
        <w:spacing w:after="0" w:line="240" w:lineRule="auto"/>
        <w:jc w:val="right"/>
        <w:rPr>
          <w:rFonts w:ascii="Verdana" w:hAnsi="Verdana" w:cs="Arial"/>
          <w:color w:val="000000"/>
          <w:lang w:val="es-ES_tradnl"/>
        </w:rPr>
      </w:pPr>
      <w:r w:rsidRPr="00C5302D">
        <w:rPr>
          <w:rFonts w:ascii="Verdana" w:hAnsi="Verdana" w:cs="Arial"/>
          <w:noProof/>
          <w:color w:val="000000"/>
          <w:lang w:val="es-ES_tradnl"/>
        </w:rPr>
        <w:drawing>
          <wp:inline distT="0" distB="0" distL="0" distR="0" wp14:anchorId="28AE9428" wp14:editId="28A13139">
            <wp:extent cx="2118360" cy="731520"/>
            <wp:effectExtent l="0" t="0" r="0" b="0"/>
            <wp:docPr id="19102129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18360" cy="731520"/>
                    </a:xfrm>
                    <a:prstGeom prst="rect">
                      <a:avLst/>
                    </a:prstGeom>
                    <a:noFill/>
                    <a:ln>
                      <a:noFill/>
                    </a:ln>
                  </pic:spPr>
                </pic:pic>
              </a:graphicData>
            </a:graphic>
          </wp:inline>
        </w:drawing>
      </w:r>
    </w:p>
    <w:p w14:paraId="1FB070F6" w14:textId="77777777" w:rsidR="00BC3A80" w:rsidRPr="00BC3A80" w:rsidRDefault="00BC3A80" w:rsidP="00BC3A80">
      <w:pPr>
        <w:spacing w:after="0" w:line="240" w:lineRule="auto"/>
        <w:jc w:val="both"/>
        <w:rPr>
          <w:rFonts w:ascii="Verdana" w:hAnsi="Verdana" w:cs="Arial"/>
          <w:lang w:val="es-ES_tradnl" w:eastAsia="es-ES"/>
        </w:rPr>
      </w:pPr>
      <w:r w:rsidRPr="00BC3A80">
        <w:rPr>
          <w:rFonts w:ascii="Verdana" w:hAnsi="Verdana" w:cs="Arial"/>
          <w:lang w:val="es-ES_tradnl" w:eastAsia="es-ES"/>
        </w:rPr>
        <w:t>Señor</w:t>
      </w:r>
    </w:p>
    <w:p w14:paraId="4EEA3DD8" w14:textId="77777777" w:rsidR="00BC3A80" w:rsidRPr="00BC3A80" w:rsidRDefault="00BC3A80" w:rsidP="00BC3A80">
      <w:pPr>
        <w:spacing w:after="0" w:line="240" w:lineRule="auto"/>
        <w:jc w:val="both"/>
        <w:rPr>
          <w:rFonts w:ascii="Verdana" w:hAnsi="Verdana" w:cs="Arial"/>
          <w:b/>
          <w:bCs/>
          <w:lang w:val="es-ES_tradnl" w:eastAsia="es-ES"/>
        </w:rPr>
      </w:pPr>
      <w:r w:rsidRPr="00BC3A80">
        <w:rPr>
          <w:rFonts w:ascii="Verdana" w:hAnsi="Verdana" w:cs="Arial"/>
          <w:b/>
          <w:bCs/>
          <w:lang w:val="es-ES_tradnl" w:eastAsia="es-ES"/>
        </w:rPr>
        <w:t>Gustavo Adolfo Castaño Galvis</w:t>
      </w:r>
    </w:p>
    <w:p w14:paraId="0B537551" w14:textId="77777777" w:rsidR="00BC3A80" w:rsidRPr="00BC3A80" w:rsidRDefault="00BC3A80" w:rsidP="00BC3A80">
      <w:pPr>
        <w:spacing w:after="0" w:line="240" w:lineRule="auto"/>
        <w:jc w:val="both"/>
        <w:rPr>
          <w:rFonts w:ascii="Verdana" w:hAnsi="Verdana" w:cs="Arial"/>
          <w:lang w:val="es-ES_tradnl" w:eastAsia="es-ES"/>
        </w:rPr>
      </w:pPr>
      <w:r w:rsidRPr="00BC3A80">
        <w:rPr>
          <w:rFonts w:ascii="Verdana" w:hAnsi="Verdana" w:cs="Arial"/>
          <w:lang w:val="es-ES_tradnl" w:eastAsia="es-ES"/>
        </w:rPr>
        <w:t>Empresas Varias de Medellín S.A ESP</w:t>
      </w:r>
    </w:p>
    <w:p w14:paraId="1BC862D8" w14:textId="77777777" w:rsidR="00BC3A80" w:rsidRPr="00BC3A80" w:rsidRDefault="00BC3A80" w:rsidP="00BC3A80">
      <w:pPr>
        <w:spacing w:after="0" w:line="240" w:lineRule="auto"/>
        <w:rPr>
          <w:rFonts w:ascii="Verdana" w:hAnsi="Verdana"/>
        </w:rPr>
      </w:pPr>
      <w:hyperlink r:id="rId12" w:history="1">
        <w:r w:rsidRPr="00BC3A80">
          <w:rPr>
            <w:rFonts w:ascii="Verdana" w:hAnsi="Verdana"/>
            <w:color w:val="0000FF"/>
            <w:u w:val="single"/>
          </w:rPr>
          <w:t>gustavo.adolfo.castano@emvarias.com.co</w:t>
        </w:r>
      </w:hyperlink>
      <w:r w:rsidRPr="00BC3A80">
        <w:rPr>
          <w:rFonts w:ascii="Verdana" w:hAnsi="Verdana"/>
        </w:rPr>
        <w:t xml:space="preserve"> </w:t>
      </w:r>
    </w:p>
    <w:p w14:paraId="7184B7B5" w14:textId="77777777" w:rsidR="00BC3A80" w:rsidRPr="00BC3A80" w:rsidRDefault="00BC3A80" w:rsidP="00BC3A80">
      <w:pPr>
        <w:tabs>
          <w:tab w:val="left" w:pos="3708"/>
        </w:tabs>
        <w:spacing w:after="0" w:line="240" w:lineRule="auto"/>
        <w:rPr>
          <w:rFonts w:ascii="Verdana" w:hAnsi="Verdana" w:cs="Arial"/>
          <w:lang w:val="es-ES_tradnl" w:eastAsia="es-ES"/>
        </w:rPr>
      </w:pPr>
      <w:r w:rsidRPr="00BC3A80">
        <w:rPr>
          <w:rFonts w:ascii="Verdana" w:hAnsi="Verdana" w:cs="Arial"/>
          <w:lang w:val="es-ES_tradnl" w:eastAsia="es-ES"/>
        </w:rPr>
        <w:t>Medellín, Antioquia</w:t>
      </w:r>
      <w:r w:rsidRPr="00BC3A80">
        <w:rPr>
          <w:rFonts w:ascii="Verdana" w:hAnsi="Verdana" w:cs="Arial"/>
          <w:lang w:val="es-ES_tradnl" w:eastAsia="es-ES"/>
        </w:rPr>
        <w:tab/>
      </w:r>
    </w:p>
    <w:p w14:paraId="0B888049" w14:textId="77777777" w:rsidR="00BC3A80" w:rsidRPr="00BC3A80" w:rsidRDefault="00BC3A80" w:rsidP="00BC3A80">
      <w:pPr>
        <w:spacing w:after="0" w:line="240" w:lineRule="auto"/>
        <w:rPr>
          <w:rFonts w:ascii="Verdana" w:hAnsi="Verdana" w:cs="Arial"/>
          <w:b/>
          <w:bCs/>
          <w:color w:val="000000"/>
          <w:lang w:val="es-ES_tradnl" w:eastAsia="es-ES_tradnl"/>
        </w:rPr>
      </w:pPr>
    </w:p>
    <w:p w14:paraId="0EAE28CB" w14:textId="77777777" w:rsidR="00BC3A80" w:rsidRPr="00BC3A80" w:rsidRDefault="00BC3A80" w:rsidP="00BC3A80">
      <w:pPr>
        <w:spacing w:after="0" w:line="240" w:lineRule="auto"/>
        <w:rPr>
          <w:rFonts w:ascii="Verdana" w:hAnsi="Verdana" w:cs="Arial"/>
          <w:b/>
          <w:bCs/>
          <w:color w:val="000000"/>
          <w:lang w:val="es-ES_tradnl"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BC3A80" w:rsidRPr="00BC3A80" w14:paraId="1DF4348F" w14:textId="77777777" w:rsidTr="00D014BF">
        <w:trPr>
          <w:trHeight w:val="633"/>
        </w:trPr>
        <w:tc>
          <w:tcPr>
            <w:tcW w:w="2689" w:type="dxa"/>
          </w:tcPr>
          <w:p w14:paraId="4A5FB708" w14:textId="77777777" w:rsidR="00BC3A80" w:rsidRPr="00BC3A80" w:rsidRDefault="00BC3A80" w:rsidP="00BC3A80">
            <w:pPr>
              <w:jc w:val="both"/>
              <w:rPr>
                <w:rFonts w:ascii="Verdana" w:hAnsi="Verdana" w:cs="Arial"/>
                <w:b/>
                <w:bCs/>
                <w:color w:val="7030A0"/>
                <w:lang w:val="es-ES_tradnl" w:eastAsia="es-ES_tradnl"/>
              </w:rPr>
            </w:pPr>
          </w:p>
        </w:tc>
        <w:tc>
          <w:tcPr>
            <w:tcW w:w="6100" w:type="dxa"/>
          </w:tcPr>
          <w:p w14:paraId="54FD8C17" w14:textId="77777777" w:rsidR="00BC3A80" w:rsidRPr="00BC3A80" w:rsidRDefault="00BC3A80" w:rsidP="00BC3A80">
            <w:pPr>
              <w:jc w:val="both"/>
              <w:rPr>
                <w:rFonts w:ascii="Verdana" w:hAnsi="Verdana" w:cs="Arial"/>
                <w:b/>
                <w:bCs/>
                <w:color w:val="7030A0"/>
                <w:lang w:val="es-ES_tradnl" w:eastAsia="es-ES"/>
              </w:rPr>
            </w:pPr>
            <w:r w:rsidRPr="00BC3A80">
              <w:rPr>
                <w:rFonts w:ascii="Verdana" w:hAnsi="Verdana" w:cs="Arial"/>
                <w:b/>
                <w:bCs/>
                <w:lang w:val="es-ES_tradnl" w:eastAsia="es-ES"/>
              </w:rPr>
              <w:t>Concepto C – 1568 de 2025</w:t>
            </w:r>
          </w:p>
        </w:tc>
      </w:tr>
      <w:tr w:rsidR="00BC3A80" w:rsidRPr="00BC3A80" w14:paraId="65C00D67" w14:textId="77777777" w:rsidTr="00D014BF">
        <w:trPr>
          <w:trHeight w:val="884"/>
        </w:trPr>
        <w:tc>
          <w:tcPr>
            <w:tcW w:w="2689" w:type="dxa"/>
          </w:tcPr>
          <w:p w14:paraId="3C91227F" w14:textId="77777777" w:rsidR="00BC3A80" w:rsidRPr="00BC3A80" w:rsidRDefault="00BC3A80" w:rsidP="00BC3A80">
            <w:pPr>
              <w:jc w:val="both"/>
              <w:rPr>
                <w:rFonts w:ascii="Verdana" w:hAnsi="Verdana" w:cs="Arial"/>
                <w:color w:val="000000"/>
                <w:lang w:val="es-ES_tradnl" w:eastAsia="es-ES_tradnl"/>
              </w:rPr>
            </w:pPr>
            <w:r w:rsidRPr="00BC3A80">
              <w:rPr>
                <w:rFonts w:ascii="Verdana" w:hAnsi="Verdana" w:cs="Arial"/>
                <w:b/>
                <w:color w:val="000000"/>
                <w:lang w:val="es-ES_tradnl" w:eastAsia="es-ES_tradnl"/>
              </w:rPr>
              <w:t>Temas:</w:t>
            </w:r>
            <w:r w:rsidRPr="00BC3A80">
              <w:rPr>
                <w:rFonts w:ascii="Verdana" w:hAnsi="Verdana" w:cs="Arial"/>
                <w:color w:val="000000"/>
                <w:lang w:val="es-ES_tradnl" w:eastAsia="es-ES_tradnl"/>
              </w:rPr>
              <w:t xml:space="preserve">                   </w:t>
            </w:r>
          </w:p>
        </w:tc>
        <w:tc>
          <w:tcPr>
            <w:tcW w:w="6100" w:type="dxa"/>
          </w:tcPr>
          <w:p w14:paraId="26E54618" w14:textId="77777777" w:rsidR="00BC3A80" w:rsidRPr="00BC3A80" w:rsidRDefault="00BC3A80" w:rsidP="00BC3A80">
            <w:pPr>
              <w:spacing w:line="276" w:lineRule="auto"/>
              <w:jc w:val="both"/>
              <w:rPr>
                <w:rFonts w:ascii="Verdana" w:hAnsi="Verdana" w:cs="Arial"/>
                <w:lang w:eastAsia="es-ES_tradnl"/>
              </w:rPr>
            </w:pPr>
            <w:r w:rsidRPr="00BC3A80">
              <w:rPr>
                <w:rFonts w:ascii="Verdana" w:hAnsi="Verdana" w:cs="Arial"/>
                <w:lang w:val="es-ES" w:eastAsia="es-ES"/>
              </w:rPr>
              <w:t xml:space="preserve">LEY DE GARANTÍAS ELECTORALES – Finalidad / LEY DE GARANTÍAS ELECTORALES ‒ Restricciones ‒ Contratación ‒ Tipos de elección / LEY DE GARANTÍAS ELECTORALES ‒ Artículo 33 ‒ Ámbito material / LEY DE GARANTÍAS ELECTORALES ‒ Aplicación ‒ excepciones ‒ Contratos de empréstitos / </w:t>
            </w:r>
            <w:r w:rsidRPr="00BC3A80">
              <w:rPr>
                <w:rFonts w:ascii="Verdana" w:hAnsi="Verdana" w:cs="Arial"/>
                <w:lang w:eastAsia="es-ES_tradnl"/>
              </w:rPr>
              <w:t>CONVENIOS INTERADMINISTRATIVOS – Criterio orgánico / CONTRATOS Y CONVENIOS INTERADMINISTRATIVOS – Circular Externa Única – Autos de suspensión – Consejo de Estado</w:t>
            </w:r>
          </w:p>
          <w:p w14:paraId="44BEC608" w14:textId="77777777" w:rsidR="00BC3A80" w:rsidRPr="00BC3A80" w:rsidRDefault="00BC3A80" w:rsidP="00BC3A80">
            <w:pPr>
              <w:spacing w:line="276" w:lineRule="auto"/>
              <w:jc w:val="both"/>
              <w:rPr>
                <w:rFonts w:ascii="Verdana" w:eastAsia="Arial" w:hAnsi="Verdana" w:cs="Arial"/>
                <w:bCs/>
                <w:color w:val="000000" w:themeColor="text1"/>
              </w:rPr>
            </w:pPr>
          </w:p>
        </w:tc>
      </w:tr>
      <w:tr w:rsidR="00BC3A80" w:rsidRPr="00BC3A80" w14:paraId="23795BD2" w14:textId="77777777" w:rsidTr="00D014BF">
        <w:tc>
          <w:tcPr>
            <w:tcW w:w="2689" w:type="dxa"/>
          </w:tcPr>
          <w:p w14:paraId="13CF02DC" w14:textId="77777777" w:rsidR="00BC3A80" w:rsidRPr="00BC3A80" w:rsidRDefault="00BC3A80" w:rsidP="00BC3A80">
            <w:pPr>
              <w:jc w:val="both"/>
              <w:rPr>
                <w:rFonts w:ascii="Verdana" w:hAnsi="Verdana" w:cs="Arial"/>
                <w:b/>
                <w:lang w:val="es-ES_tradnl" w:eastAsia="es-ES_tradnl"/>
              </w:rPr>
            </w:pPr>
            <w:r w:rsidRPr="00BC3A80">
              <w:rPr>
                <w:rFonts w:ascii="Verdana" w:hAnsi="Verdana" w:cs="Arial"/>
                <w:b/>
                <w:lang w:val="es-ES_tradnl" w:eastAsia="es-ES_tradnl"/>
              </w:rPr>
              <w:t>Radicación:</w:t>
            </w:r>
            <w:r w:rsidRPr="00BC3A80">
              <w:rPr>
                <w:rFonts w:ascii="Verdana" w:hAnsi="Verdana" w:cs="Arial"/>
                <w:lang w:val="es-ES_tradnl" w:eastAsia="es-ES_tradnl"/>
              </w:rPr>
              <w:t xml:space="preserve">               </w:t>
            </w:r>
          </w:p>
        </w:tc>
        <w:tc>
          <w:tcPr>
            <w:tcW w:w="6100" w:type="dxa"/>
          </w:tcPr>
          <w:p w14:paraId="07AD6E9E" w14:textId="77777777" w:rsidR="00BC3A80" w:rsidRPr="00BC3A80" w:rsidRDefault="00BC3A80" w:rsidP="00BC3A80">
            <w:pPr>
              <w:spacing w:line="276" w:lineRule="auto"/>
              <w:jc w:val="both"/>
              <w:rPr>
                <w:rFonts w:ascii="Verdana" w:hAnsi="Verdana" w:cs="Arial"/>
                <w:lang w:val="es-ES_tradnl" w:eastAsia="es-ES_tradnl"/>
              </w:rPr>
            </w:pPr>
            <w:r w:rsidRPr="00BC3A80">
              <w:rPr>
                <w:rFonts w:ascii="Verdana" w:hAnsi="Verdana" w:cs="Arial"/>
                <w:lang w:val="es-ES_tradnl" w:eastAsia="es-ES_tradnl"/>
              </w:rPr>
              <w:t>Respuesta a la consulta con radicado No. 1_2025_10_24_012010</w:t>
            </w:r>
          </w:p>
        </w:tc>
      </w:tr>
    </w:tbl>
    <w:p w14:paraId="01C45884" w14:textId="77777777" w:rsidR="00BC3A80" w:rsidRPr="00BC3A80" w:rsidRDefault="00BC3A80" w:rsidP="00BC3A80">
      <w:pPr>
        <w:spacing w:after="0" w:line="240" w:lineRule="auto"/>
        <w:jc w:val="both"/>
        <w:rPr>
          <w:rFonts w:ascii="Verdana" w:hAnsi="Verdana" w:cs="Arial"/>
          <w:color w:val="000000"/>
          <w:lang w:val="es-ES_tradnl" w:eastAsia="es-ES_tradnl"/>
        </w:rPr>
      </w:pPr>
    </w:p>
    <w:p w14:paraId="64846F88" w14:textId="77777777" w:rsidR="00BC3A80" w:rsidRPr="00BC3A80" w:rsidRDefault="00BC3A80" w:rsidP="00BC3A80">
      <w:pPr>
        <w:spacing w:after="0" w:line="240" w:lineRule="auto"/>
        <w:jc w:val="both"/>
        <w:rPr>
          <w:rFonts w:ascii="Verdana" w:hAnsi="Verdana" w:cs="Arial"/>
          <w:color w:val="000000"/>
          <w:lang w:val="es-ES_tradnl" w:eastAsia="es-ES_tradnl"/>
        </w:rPr>
      </w:pPr>
    </w:p>
    <w:p w14:paraId="47B79B5C" w14:textId="77777777" w:rsidR="00BC3A80" w:rsidRPr="00BC3A80" w:rsidRDefault="00BC3A80" w:rsidP="00BC3A80">
      <w:pPr>
        <w:spacing w:after="0" w:line="276" w:lineRule="auto"/>
        <w:jc w:val="both"/>
        <w:rPr>
          <w:rFonts w:ascii="Verdana" w:hAnsi="Verdana" w:cs="Arial"/>
          <w:lang w:val="es-ES_tradnl" w:eastAsia="es-ES"/>
        </w:rPr>
      </w:pPr>
      <w:r w:rsidRPr="00BC3A80">
        <w:rPr>
          <w:rFonts w:ascii="Verdana" w:hAnsi="Verdana" w:cs="Arial"/>
          <w:lang w:val="es-ES_tradnl" w:eastAsia="es-ES"/>
        </w:rPr>
        <w:t xml:space="preserve">Estimado señor Castaño: </w:t>
      </w:r>
    </w:p>
    <w:p w14:paraId="69CFF8ED" w14:textId="77777777" w:rsidR="00BC3A80" w:rsidRPr="00BC3A80" w:rsidRDefault="00BC3A80" w:rsidP="00BC3A80">
      <w:pPr>
        <w:tabs>
          <w:tab w:val="left" w:pos="3768"/>
        </w:tabs>
        <w:spacing w:after="0" w:line="276" w:lineRule="auto"/>
        <w:jc w:val="both"/>
        <w:rPr>
          <w:rFonts w:ascii="Verdana" w:hAnsi="Verdana" w:cs="Arial"/>
          <w:color w:val="000000" w:themeColor="text1"/>
          <w:lang w:val="es-ES_tradnl" w:eastAsia="es-ES"/>
        </w:rPr>
      </w:pPr>
      <w:r w:rsidRPr="00BC3A80">
        <w:rPr>
          <w:rFonts w:ascii="Verdana" w:hAnsi="Verdana" w:cs="Arial"/>
          <w:color w:val="000000" w:themeColor="text1"/>
          <w:lang w:val="es-ES_tradnl" w:eastAsia="es-ES"/>
        </w:rPr>
        <w:tab/>
      </w:r>
    </w:p>
    <w:p w14:paraId="6A8D9A80" w14:textId="77777777" w:rsidR="00BC3A80" w:rsidRPr="00BC3A80" w:rsidRDefault="00BC3A80" w:rsidP="00BC3A80">
      <w:pPr>
        <w:spacing w:after="0" w:line="276" w:lineRule="auto"/>
        <w:jc w:val="both"/>
        <w:rPr>
          <w:rFonts w:ascii="Verdana" w:hAnsi="Verdana" w:cs="Arial"/>
          <w:color w:val="7030A0"/>
          <w:lang w:val="es-ES_tradnl" w:eastAsia="es-ES"/>
        </w:rPr>
      </w:pPr>
      <w:r w:rsidRPr="00BC3A80">
        <w:rPr>
          <w:rFonts w:ascii="Verdana" w:hAnsi="Verdana" w:cs="Arial"/>
          <w:color w:val="000000" w:themeColor="text1"/>
          <w:lang w:val="es-ES_tradnl" w:eastAsia="es-ES"/>
        </w:rPr>
        <w:t>En ejercicio de la competencia otorgada por los artículos 3, numeral 5º, y 11, numeral 8º, del Decreto Ley 4170 de 2011,</w:t>
      </w:r>
      <w:r w:rsidRPr="00BC3A80">
        <w:rPr>
          <w:rFonts w:ascii="Verdana" w:eastAsia="Arial MT" w:hAnsi="Verdana" w:cs="Arial MT"/>
          <w:lang w:val="es-ES_tradnl" w:eastAsia="es-ES"/>
        </w:rPr>
        <w:t xml:space="preserve"> </w:t>
      </w:r>
      <w:r w:rsidRPr="00BC3A80">
        <w:rPr>
          <w:rFonts w:ascii="Verdana" w:hAnsi="Verdana" w:cs="Arial"/>
          <w:lang w:val="es-ES_tradnl"/>
        </w:rPr>
        <w:t>así como lo establecido en</w:t>
      </w:r>
      <w:r w:rsidRPr="00BC3A80">
        <w:rPr>
          <w:rFonts w:ascii="Verdana" w:hAnsi="Verdana" w:cs="Arial"/>
        </w:rPr>
        <w:t xml:space="preserve"> la Resolución 469 de 2025 expedida por esta Entidad</w:t>
      </w:r>
      <w:r w:rsidRPr="00BC3A80">
        <w:rPr>
          <w:rFonts w:ascii="Verdana" w:hAnsi="Verdana" w:cs="Arial"/>
          <w:lang w:val="es-ES_tradnl"/>
        </w:rPr>
        <w:t xml:space="preserve">, </w:t>
      </w:r>
      <w:r w:rsidRPr="00BC3A80">
        <w:rPr>
          <w:rFonts w:ascii="Verdana" w:hAnsi="Verdana" w:cs="Arial"/>
          <w:color w:val="000000" w:themeColor="text1"/>
          <w:lang w:val="es-ES_tradnl" w:eastAsia="es-ES"/>
        </w:rPr>
        <w:t xml:space="preserve">la Agencia Nacional de Contratación Pública – Colombia Compra Eficiente responde su solicitud de consulta de </w:t>
      </w:r>
      <w:r w:rsidRPr="00BC3A80">
        <w:rPr>
          <w:rFonts w:ascii="Verdana" w:hAnsi="Verdana" w:cs="Arial"/>
          <w:lang w:val="es-ES_tradnl" w:eastAsia="es-ES"/>
        </w:rPr>
        <w:t xml:space="preserve">fecha 24 de octubre de 2025, en la cual, respecto de la aplicación de la Ley de Garantías Electorales en la contratación de empréstitos, manifiesta lo siguiente: </w:t>
      </w:r>
    </w:p>
    <w:p w14:paraId="556D0ABF" w14:textId="77777777" w:rsidR="00BC3A80" w:rsidRPr="00BC3A80" w:rsidRDefault="00BC3A80" w:rsidP="00BC3A80">
      <w:pPr>
        <w:tabs>
          <w:tab w:val="left" w:pos="142"/>
          <w:tab w:val="left" w:pos="284"/>
        </w:tabs>
        <w:spacing w:after="0" w:line="276" w:lineRule="auto"/>
        <w:contextualSpacing/>
        <w:jc w:val="both"/>
        <w:rPr>
          <w:rFonts w:ascii="Verdana" w:eastAsia="Century Gothic" w:hAnsi="Verdana" w:cs="Century Gothic"/>
          <w:b/>
          <w:bCs/>
          <w:lang w:val="es-ES_tradnl"/>
        </w:rPr>
      </w:pPr>
    </w:p>
    <w:p w14:paraId="534230F4" w14:textId="77777777" w:rsidR="00BC3A80" w:rsidRPr="00BC3A80" w:rsidRDefault="00BC3A80" w:rsidP="00BC3A80">
      <w:pPr>
        <w:spacing w:after="0" w:line="240" w:lineRule="auto"/>
        <w:ind w:left="709" w:right="709"/>
        <w:jc w:val="both"/>
        <w:rPr>
          <w:rFonts w:ascii="Verdana" w:hAnsi="Verdana"/>
          <w:sz w:val="20"/>
          <w:szCs w:val="20"/>
        </w:rPr>
      </w:pPr>
      <w:bookmarkStart w:id="0" w:name="_Hlk95313578"/>
      <w:r w:rsidRPr="00BC3A80">
        <w:rPr>
          <w:rFonts w:ascii="Verdana" w:eastAsia="Century Gothic" w:hAnsi="Verdana" w:cs="Century Gothic"/>
          <w:sz w:val="20"/>
          <w:szCs w:val="20"/>
          <w:lang w:val="es-ES"/>
        </w:rPr>
        <w:t>“</w:t>
      </w:r>
      <w:bookmarkEnd w:id="0"/>
      <w:r w:rsidRPr="00BC3A80">
        <w:rPr>
          <w:rFonts w:ascii="Verdana" w:eastAsia="Century Gothic" w:hAnsi="Verdana" w:cs="Century Gothic"/>
          <w:sz w:val="20"/>
          <w:szCs w:val="20"/>
        </w:rPr>
        <w:t>Empresas varias de Medellín S.A. E.S.P., desde el año 2013 es una Sociedad por Acciones, empresa prestadora del servicio público domiciliario de aseo, conforme autorización dada por el Concejo Municipal a través del acuerdo No. 021 de 2013, constituida bajo la forma jurídica de empresa oficial de servicios públicos, de conformidad con los artículos 14,5 y 17 de la ley 142 de 1994. La consulta es la siguiente: EMVARIAS, requiere suscribir un Contrato de Empréstito con El Instituto para el Desarrollo de Antioquia, en sigla -IDEA-, el cual es un establecimiento público de carácter departamental, descentralizado, de fomento y desarrollo, con personería jurídica, autonomía administrativa y patrimonio independiente. Dicho contrato que se requiere suscribir es por valor de ciento treinta y nueve mil millones de pesos ($139.000.000.000) y un plazo de diez (10) años. De cara a la Ley 996 de 2005 (Ley de Garantías), necesitamos saber si existe alguna restricción para la celebración del mencionad</w:t>
      </w:r>
      <w:r w:rsidRPr="00BC3A80">
        <w:rPr>
          <w:rFonts w:ascii="Verdana" w:hAnsi="Verdana"/>
          <w:sz w:val="20"/>
          <w:szCs w:val="20"/>
        </w:rPr>
        <w:t>”</w:t>
      </w:r>
    </w:p>
    <w:p w14:paraId="2D5CEC3D" w14:textId="77777777" w:rsidR="00BC3A80" w:rsidRPr="00BC3A80" w:rsidRDefault="00BC3A80" w:rsidP="00BC3A80">
      <w:pPr>
        <w:tabs>
          <w:tab w:val="left" w:pos="142"/>
          <w:tab w:val="left" w:pos="284"/>
        </w:tabs>
        <w:spacing w:after="0" w:line="276" w:lineRule="auto"/>
        <w:contextualSpacing/>
        <w:jc w:val="both"/>
        <w:rPr>
          <w:rFonts w:ascii="Verdana" w:eastAsia="Century Gothic" w:hAnsi="Verdana" w:cs="Century Gothic"/>
          <w:b/>
          <w:bCs/>
          <w:lang w:val="es-ES_tradnl"/>
        </w:rPr>
      </w:pPr>
    </w:p>
    <w:p w14:paraId="60DFB3B4" w14:textId="77777777" w:rsidR="00BC3A80" w:rsidRPr="00BC3A80" w:rsidRDefault="00BC3A80" w:rsidP="00BC3A80">
      <w:pPr>
        <w:spacing w:after="120" w:line="276" w:lineRule="auto"/>
        <w:ind w:firstLine="709"/>
        <w:jc w:val="both"/>
        <w:rPr>
          <w:rFonts w:ascii="Verdana" w:hAnsi="Verdana" w:cs="Arial"/>
          <w:color w:val="000000"/>
          <w:lang w:val="es-ES" w:eastAsia="es-ES"/>
        </w:rPr>
      </w:pPr>
      <w:r w:rsidRPr="00BC3A80">
        <w:rPr>
          <w:rFonts w:ascii="Verdana"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C3A80">
        <w:tab/>
      </w:r>
    </w:p>
    <w:p w14:paraId="00FDEE8A" w14:textId="77777777" w:rsidR="00BC3A80" w:rsidRPr="00BC3A80" w:rsidRDefault="00BC3A80" w:rsidP="00BC3A80">
      <w:pPr>
        <w:spacing w:after="0" w:line="276" w:lineRule="auto"/>
        <w:ind w:firstLine="709"/>
        <w:jc w:val="both"/>
        <w:rPr>
          <w:rFonts w:ascii="Verdana" w:hAnsi="Verdana" w:cs="Arial"/>
          <w:color w:val="000000"/>
          <w:lang w:val="es-ES_tradnl" w:eastAsia="es-ES"/>
        </w:rPr>
      </w:pPr>
      <w:r w:rsidRPr="00BC3A80">
        <w:rPr>
          <w:rFonts w:ascii="Verdana" w:hAnsi="Verdana" w:cs="Arial"/>
          <w:color w:val="000000"/>
          <w:lang w:val="es-ES_tradnl"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problema</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jurídico</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 xml:space="preserve">de su consulta. </w:t>
      </w:r>
      <w:r w:rsidRPr="00BC3A80">
        <w:rPr>
          <w:rFonts w:ascii="Verdana" w:hAnsi="Verdana" w:cs="Arial"/>
          <w:lang w:val="es-ES_tradnl" w:eastAsia="es-ES"/>
        </w:rPr>
        <w:t xml:space="preserve"> </w:t>
      </w:r>
    </w:p>
    <w:p w14:paraId="28B4D80F" w14:textId="77777777" w:rsidR="00BC3A80" w:rsidRPr="00BC3A80" w:rsidRDefault="00BC3A80" w:rsidP="00BC3A80">
      <w:pPr>
        <w:spacing w:after="0" w:line="276" w:lineRule="auto"/>
        <w:ind w:firstLine="708"/>
        <w:jc w:val="both"/>
        <w:rPr>
          <w:rFonts w:ascii="Verdana" w:hAnsi="Verdana" w:cs="Arial"/>
          <w:lang w:val="es-ES_tradnl" w:eastAsia="es-ES"/>
        </w:rPr>
      </w:pPr>
    </w:p>
    <w:p w14:paraId="3CD18C92" w14:textId="77777777" w:rsidR="00BC3A80" w:rsidRPr="00BC3A80" w:rsidRDefault="00BC3A80" w:rsidP="00BC3A8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_tradnl"/>
        </w:rPr>
      </w:pPr>
      <w:r w:rsidRPr="00BC3A80">
        <w:rPr>
          <w:rFonts w:ascii="Verdana" w:eastAsia="Century Gothic" w:hAnsi="Verdana" w:cs="Century Gothic"/>
          <w:b/>
          <w:bCs/>
          <w:lang w:val="es-ES_tradnl"/>
        </w:rPr>
        <w:t>Problema planteado:</w:t>
      </w:r>
    </w:p>
    <w:p w14:paraId="4E0A8934" w14:textId="77777777" w:rsidR="00BC3A80" w:rsidRPr="00BC3A80" w:rsidRDefault="00BC3A80" w:rsidP="00BC3A80">
      <w:pPr>
        <w:tabs>
          <w:tab w:val="left" w:pos="426"/>
        </w:tabs>
        <w:spacing w:after="0" w:line="276" w:lineRule="auto"/>
        <w:jc w:val="both"/>
        <w:rPr>
          <w:rFonts w:ascii="Verdana" w:eastAsia="Century Gothic" w:hAnsi="Verdana" w:cs="Century Gothic"/>
          <w:lang w:val="es-ES_tradnl"/>
        </w:rPr>
      </w:pPr>
    </w:p>
    <w:p w14:paraId="053E6F0E" w14:textId="77777777" w:rsidR="00BC3A80" w:rsidRPr="00BC3A80" w:rsidRDefault="00BC3A80" w:rsidP="00BC3A80">
      <w:pPr>
        <w:spacing w:after="0" w:line="276" w:lineRule="auto"/>
        <w:jc w:val="both"/>
        <w:rPr>
          <w:rFonts w:ascii="Verdana" w:eastAsia="Century Gothic" w:hAnsi="Verdana" w:cs="Century Gothic"/>
          <w:lang w:val="es-ES_tradnl"/>
        </w:rPr>
      </w:pPr>
      <w:r w:rsidRPr="00BC3A80">
        <w:rPr>
          <w:rFonts w:ascii="Verdana" w:eastAsia="Century Gothic" w:hAnsi="Verdana" w:cs="Century Gothic"/>
          <w:lang w:val="es-ES_tradnl"/>
        </w:rPr>
        <w:t xml:space="preserve">De acuerdo con el contenido de su solicitud, esta Agencia resolverá el siguiente problema jurídico: ¿Resulta aplicable las restricciones establecidas en los </w:t>
      </w:r>
      <w:r w:rsidRPr="00BC3A80">
        <w:rPr>
          <w:rFonts w:ascii="Verdana" w:eastAsia="Century Gothic" w:hAnsi="Verdana" w:cs="Century Gothic"/>
          <w:lang w:val="es-ES_tradnl"/>
        </w:rPr>
        <w:lastRenderedPageBreak/>
        <w:t xml:space="preserve">artículos 33 y el parágrafo del artículo 38 de la </w:t>
      </w:r>
      <w:r w:rsidRPr="00BC3A80">
        <w:rPr>
          <w:rFonts w:ascii="Verdana" w:hAnsi="Verdana"/>
          <w:iCs/>
        </w:rPr>
        <w:t xml:space="preserve">Ley 996 de 2005 –Ley de Garantías Electorales- a la celebración de los contratos </w:t>
      </w:r>
      <w:r w:rsidRPr="00BC3A80">
        <w:rPr>
          <w:rFonts w:ascii="Verdana" w:eastAsia="Century Gothic" w:hAnsi="Verdana" w:cs="Century Gothic"/>
          <w:lang w:val="es-ES_tradnl"/>
        </w:rPr>
        <w:t xml:space="preserve">de empréstitos? </w:t>
      </w:r>
    </w:p>
    <w:p w14:paraId="4737136C" w14:textId="77777777" w:rsidR="00BC3A80" w:rsidRPr="00BC3A80" w:rsidRDefault="00BC3A80" w:rsidP="00BC3A80">
      <w:pPr>
        <w:spacing w:after="0" w:line="276" w:lineRule="auto"/>
        <w:jc w:val="both"/>
        <w:rPr>
          <w:rFonts w:ascii="Verdana" w:hAnsi="Verdana" w:cs="Arial"/>
          <w:color w:val="7030A0"/>
          <w:lang w:val="es-ES_tradnl"/>
        </w:rPr>
      </w:pPr>
    </w:p>
    <w:p w14:paraId="26F0FDF0" w14:textId="77777777" w:rsidR="00BC3A80" w:rsidRPr="00BC3A80" w:rsidRDefault="00BC3A80" w:rsidP="00BC3A80">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Respuesta:</w:t>
      </w:r>
    </w:p>
    <w:p w14:paraId="064AA2A7" w14:textId="77777777" w:rsidR="00BC3A80" w:rsidRPr="00BC3A80" w:rsidRDefault="00BC3A80" w:rsidP="00BC3A80">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C3A80" w:rsidRPr="00BC3A80" w14:paraId="168A0463" w14:textId="77777777" w:rsidTr="00D014BF">
        <w:trPr>
          <w:jc w:val="center"/>
        </w:trPr>
        <w:tc>
          <w:tcPr>
            <w:tcW w:w="8828" w:type="dxa"/>
          </w:tcPr>
          <w:p w14:paraId="784E9890" w14:textId="77777777" w:rsidR="00BC3A80" w:rsidRPr="00BC3A80" w:rsidRDefault="00BC3A80" w:rsidP="00BC3A80">
            <w:pPr>
              <w:spacing w:after="120" w:line="276" w:lineRule="auto"/>
              <w:jc w:val="both"/>
              <w:rPr>
                <w:rFonts w:ascii="Verdana" w:eastAsia="Arial" w:hAnsi="Verdana" w:cs="Arial"/>
                <w:bCs/>
                <w:color w:val="000000" w:themeColor="text1"/>
              </w:rPr>
            </w:pPr>
            <w:bookmarkStart w:id="1" w:name="_Hlk171694685"/>
            <w:r w:rsidRPr="00BC3A80">
              <w:rPr>
                <w:rFonts w:ascii="Verdana" w:eastAsia="Arial" w:hAnsi="Verdana" w:cs="Arial"/>
                <w:lang w:val="es-ES" w:eastAsia="es-ES" w:bidi="es-ES"/>
              </w:rPr>
              <w:t xml:space="preserve">Por virtud de las excepciones establecidas en el </w:t>
            </w:r>
            <w:r w:rsidRPr="00BC3A80">
              <w:rPr>
                <w:rFonts w:ascii="Verdana" w:eastAsiaTheme="minorHAnsi" w:hAnsi="Verdana" w:cs="Arial"/>
                <w:bCs/>
                <w:color w:val="000000" w:themeColor="text1"/>
                <w:lang w:val="es-ES"/>
              </w:rPr>
              <w:t xml:space="preserve">segundo inciso del </w:t>
            </w:r>
            <w:r w:rsidRPr="00BC3A80">
              <w:rPr>
                <w:rFonts w:ascii="Verdana" w:eastAsia="Arial" w:hAnsi="Verdana" w:cs="Arial"/>
                <w:lang w:val="es-ES" w:eastAsia="es-ES" w:bidi="es-ES"/>
              </w:rPr>
              <w:t>artículo 33</w:t>
            </w:r>
            <w:r w:rsidRPr="00BC3A80">
              <w:rPr>
                <w:rFonts w:ascii="Verdana" w:eastAsia="Arial" w:hAnsi="Verdana" w:cs="Arial"/>
                <w:bCs/>
                <w:color w:val="000000" w:themeColor="text1"/>
                <w:lang w:val="es-ES"/>
              </w:rPr>
              <w:t xml:space="preserve"> de la Ley de Garantías Electorales, los entes del Estado podrán contratar directamente contratos de empréstitos, </w:t>
            </w:r>
            <w:r w:rsidRPr="00BC3A80">
              <w:rPr>
                <w:rFonts w:ascii="Verdana" w:eastAsia="Arial" w:hAnsi="Verdana" w:cs="Arial"/>
                <w:bCs/>
                <w:color w:val="000000" w:themeColor="text1"/>
              </w:rPr>
              <w:t>durante los cuatro (4) meses anteriores a las elecciones presidenciales</w:t>
            </w:r>
            <w:r w:rsidRPr="00BC3A80">
              <w:rPr>
                <w:rFonts w:ascii="Verdana" w:eastAsia="Arial" w:hAnsi="Verdana" w:cs="Arial"/>
                <w:bCs/>
                <w:color w:val="000000" w:themeColor="text1"/>
                <w:lang w:val="es-ES"/>
              </w:rPr>
              <w:t xml:space="preserve">. Asimismo, si estos contratos se proyectan como contratos interadministrativos, de acuerdo a la postura del Consejo de Estado señalada en los autos del </w:t>
            </w:r>
            <w:r w:rsidRPr="00BC3A80">
              <w:rPr>
                <w:rFonts w:ascii="Verdana" w:eastAsia="Arial" w:hAnsi="Verdana" w:cs="Arial"/>
                <w:lang w:eastAsia="es-ES" w:bidi="es-ES"/>
              </w:rPr>
              <w:t>4 de octubre del 2024 y del 6 de noviembre de 2025</w:t>
            </w:r>
            <w:r w:rsidRPr="00BC3A80">
              <w:rPr>
                <w:rFonts w:ascii="Verdana" w:eastAsia="Arial" w:hAnsi="Verdana" w:cs="Arial"/>
                <w:bCs/>
                <w:color w:val="000000" w:themeColor="text1"/>
                <w:lang w:val="es-ES"/>
              </w:rPr>
              <w:t xml:space="preserve">, tampoco les resultaría aplicable la restricción contenida en el parágrafo del artículo 38, por lo que podrían contratar dentro de </w:t>
            </w:r>
            <w:r w:rsidRPr="00BC3A80">
              <w:rPr>
                <w:rFonts w:ascii="Verdana" w:eastAsia="Arial" w:hAnsi="Verdana" w:cs="Arial"/>
                <w:bCs/>
                <w:color w:val="000000" w:themeColor="text1"/>
              </w:rPr>
              <w:t>los cuatro meses anteriores a las elecciones para cualquier cargo de elección popular a que se refiere la ley, incluido el de Presidente de la República.</w:t>
            </w:r>
          </w:p>
          <w:p w14:paraId="7A3FB97B" w14:textId="77777777" w:rsidR="00BC3A80" w:rsidRPr="00BC3A80" w:rsidRDefault="00BC3A80" w:rsidP="00BC3A80">
            <w:pPr>
              <w:spacing w:after="120" w:line="276" w:lineRule="auto"/>
              <w:ind w:firstLine="743"/>
              <w:jc w:val="both"/>
              <w:rPr>
                <w:rFonts w:ascii="Verdana" w:eastAsia="Arial" w:hAnsi="Verdana" w:cs="Arial"/>
                <w:bCs/>
                <w:color w:val="000000" w:themeColor="text1"/>
              </w:rPr>
            </w:pPr>
            <w:r w:rsidRPr="00BC3A80">
              <w:rPr>
                <w:rFonts w:ascii="Verdana" w:eastAsia="Arial" w:hAnsi="Verdana" w:cs="Arial"/>
                <w:bCs/>
                <w:color w:val="000000" w:themeColor="text1"/>
              </w:rPr>
              <w:t xml:space="preserve">En efecto, </w:t>
            </w:r>
            <w:r w:rsidRPr="00BC3A80">
              <w:rPr>
                <w:rFonts w:ascii="Verdana" w:hAnsi="Verdana" w:cs="Arial"/>
                <w:bCs/>
                <w:color w:val="000000" w:themeColor="text1"/>
                <w:lang w:val="es-ES"/>
              </w:rPr>
              <w:t>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Conforme al artículo 2.2.1.1.1. del Decreto 1068 de 2015 dentro de las</w:t>
            </w:r>
            <w:r w:rsidRPr="00BC3A80">
              <w:rPr>
                <w:rFonts w:ascii="Verdana" w:hAnsi="Verdana" w:cs="Arial"/>
                <w:bCs/>
                <w:color w:val="000000" w:themeColor="text1"/>
              </w:rPr>
              <w:t xml:space="preserve"> operaciones de crédito público están comprendidas, entre otras, </w:t>
            </w:r>
            <w:r w:rsidRPr="00BC3A80">
              <w:rPr>
                <w:rFonts w:ascii="Verdana" w:hAnsi="Verdana" w:cs="Arial"/>
                <w:bCs/>
                <w:i/>
                <w:iCs/>
                <w:color w:val="000000" w:themeColor="text1"/>
              </w:rPr>
              <w:t>la contratación de empréstitos</w:t>
            </w:r>
            <w:r w:rsidRPr="00BC3A80">
              <w:rPr>
                <w:rFonts w:ascii="Verdana" w:hAnsi="Verdana" w:cs="Arial"/>
                <w:bCs/>
                <w:color w:val="000000" w:themeColor="text1"/>
              </w:rPr>
              <w:t>, la emisión, suscripción y colocación de títulos de deuda pública, los créditos de proveedores y el otorgamiento de garantías para obligaciones de pago a cargo de entidades estatales.</w:t>
            </w:r>
          </w:p>
          <w:p w14:paraId="79BB968C" w14:textId="77777777" w:rsidR="00BC3A80" w:rsidRPr="00BC3A80" w:rsidRDefault="00BC3A80" w:rsidP="00BC3A80">
            <w:pPr>
              <w:spacing w:after="120" w:line="276" w:lineRule="auto"/>
              <w:ind w:firstLine="709"/>
              <w:jc w:val="both"/>
              <w:rPr>
                <w:rFonts w:ascii="Verdana" w:eastAsiaTheme="minorHAnsi" w:hAnsi="Verdana" w:cs="Arial"/>
                <w:lang w:val="es-ES"/>
              </w:rPr>
            </w:pPr>
            <w:r w:rsidRPr="00BC3A80">
              <w:rPr>
                <w:rFonts w:ascii="Verdana" w:hAnsi="Verdana" w:cs="Arial"/>
                <w:bCs/>
                <w:color w:val="000000" w:themeColor="text1"/>
              </w:rPr>
              <w:t>En consecuencia</w:t>
            </w:r>
            <w:r w:rsidRPr="00BC3A80">
              <w:rPr>
                <w:rFonts w:ascii="Verdana" w:eastAsiaTheme="minorHAnsi" w:hAnsi="Verdana" w:cs="Arial"/>
                <w:lang w:val="es-ES"/>
              </w:rPr>
              <w:t xml:space="preserve">, la excepción del artículo 33 de la Ley 996 de 2005 a la prohibición a la contratación directa en el periodo previo a la elección presidencial, cobija a los contratos de empréstitos en la medida en que estos son contratos de crédito público, lo que significa que pueden contratarse directamente durante el periodo preelectoral. </w:t>
            </w:r>
          </w:p>
          <w:p w14:paraId="2C8B643C" w14:textId="77777777" w:rsidR="00BC3A80" w:rsidRPr="00BC3A80" w:rsidRDefault="00BC3A80" w:rsidP="00BC3A80">
            <w:pPr>
              <w:spacing w:after="12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Por su parte, respecto del parágrafo del artículo 38 de la Ley 996 de 2005 se precisa que este prohíbe a los Alcaldes, Gobernadores, Secretarios, Gerentes y Directores de las entidades del orden municipal, departamental o distrital celebrar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w:t>
            </w:r>
            <w:r w:rsidRPr="00BC3A80">
              <w:rPr>
                <w:rFonts w:ascii="Verdana" w:eastAsia="Times New Roman" w:hAnsi="Verdana" w:cs="Arial"/>
                <w:i/>
                <w:iCs/>
                <w:lang w:eastAsia="es-CO"/>
              </w:rPr>
              <w:t xml:space="preserve">para la ejecución de recursos </w:t>
            </w:r>
            <w:r w:rsidRPr="00BC3A80">
              <w:rPr>
                <w:rFonts w:ascii="Verdana" w:eastAsia="Times New Roman" w:hAnsi="Verdana" w:cs="Arial"/>
                <w:i/>
                <w:iCs/>
                <w:lang w:eastAsia="es-CO"/>
              </w:rPr>
              <w:lastRenderedPageBreak/>
              <w:t>públicos</w:t>
            </w:r>
            <w:r w:rsidRPr="00BC3A80">
              <w:rPr>
                <w:rFonts w:ascii="Verdana" w:eastAsia="Times New Roman" w:hAnsi="Verdana" w:cs="Arial"/>
                <w:lang w:eastAsia="es-CO"/>
              </w:rPr>
              <w:t xml:space="preserve">. En este sentido, si una o ambas partes de la relación contractual es una entidad de aquellas descritas en el parágrafo </w:t>
            </w:r>
            <w:r w:rsidRPr="00BC3A80">
              <w:rPr>
                <w:rFonts w:ascii="Verdana" w:eastAsia="Times New Roman" w:hAnsi="Verdana" w:cs="Arial"/>
                <w:i/>
                <w:lang w:eastAsia="es-CO"/>
              </w:rPr>
              <w:t>ibidem</w:t>
            </w:r>
            <w:r w:rsidRPr="00BC3A80">
              <w:rPr>
                <w:rFonts w:ascii="Verdana" w:eastAsia="Times New Roman" w:hAnsi="Verdana" w:cs="Arial"/>
                <w:lang w:eastAsia="es-CO"/>
              </w:rPr>
              <w:t xml:space="preserve">, no podrá celebrar tales </w:t>
            </w:r>
            <w:r w:rsidRPr="00BC3A80">
              <w:rPr>
                <w:rFonts w:ascii="Verdana" w:eastAsia="Times New Roman" w:hAnsi="Verdana" w:cs="Arial"/>
                <w:i/>
                <w:iCs/>
                <w:lang w:eastAsia="es-CO"/>
              </w:rPr>
              <w:t>convenios</w:t>
            </w:r>
            <w:r w:rsidRPr="00BC3A80">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A911082" w14:textId="77777777" w:rsidR="00BC3A80" w:rsidRPr="00BC3A80" w:rsidRDefault="00BC3A80" w:rsidP="00BC3A80">
            <w:pPr>
              <w:spacing w:after="12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a la luz de lo expuesto por el Consejo de Estado en los autos del 4 de octubre de 2024 y 6 de noviembre de 2025, en los cuales se decretó medida </w:t>
            </w:r>
            <w:r w:rsidRPr="00BC3A80">
              <w:rPr>
                <w:rFonts w:ascii="Verdana" w:eastAsia="Arial" w:hAnsi="Verdana" w:cs="Arial"/>
                <w:lang w:eastAsia="es-ES" w:bidi="es-ES"/>
              </w:rPr>
              <w:t xml:space="preserve">de suspensión provisional parcial del </w:t>
            </w:r>
            <w:r w:rsidRPr="00BC3A80">
              <w:rPr>
                <w:rFonts w:ascii="Verdana" w:hAnsi="Verdana" w:cs="Arial"/>
              </w:rPr>
              <w:t xml:space="preserve">numeral 16.2 de la Circular Externa Única de 2022 expedida por la Agencia Nacional de Contratación Pública -Colombia Compra Eficiente-, y </w:t>
            </w:r>
            <w:r w:rsidRPr="00BC3A80">
              <w:rPr>
                <w:rFonts w:ascii="Verdana" w:eastAsia="Arial" w:hAnsi="Verdana" w:cs="Arial"/>
                <w:lang w:eastAsia="es-ES" w:bidi="es-ES"/>
              </w:rPr>
              <w:t>de los apartes cuestionados del inciso segundo y del inciso cuarto del numeral 16.2 de la Circular Externa Única, versión 3 del 27 de diciembre de 2023,</w:t>
            </w:r>
            <w:r w:rsidRPr="00BC3A80">
              <w:rPr>
                <w:rFonts w:ascii="Verdana" w:eastAsia="Times New Roman" w:hAnsi="Verdana" w:cs="Arial"/>
                <w:lang w:eastAsia="es-CO"/>
              </w:rPr>
              <w:t xml:space="preserve"> no resultaría aplicable la prohibición del parágrafo del artículo 38 de la Ley de Garantías Electorales a los </w:t>
            </w:r>
            <w:r w:rsidRPr="00BC3A80">
              <w:rPr>
                <w:rFonts w:ascii="Verdana" w:eastAsia="Times New Roman" w:hAnsi="Verdana" w:cs="Arial"/>
                <w:i/>
                <w:iCs/>
                <w:lang w:eastAsia="es-CO"/>
              </w:rPr>
              <w:t>contratos interadministrativos</w:t>
            </w:r>
            <w:r w:rsidRPr="00BC3A80">
              <w:rPr>
                <w:rFonts w:ascii="Verdana" w:eastAsia="Times New Roman" w:hAnsi="Verdana" w:cs="Arial"/>
                <w:lang w:eastAsia="es-CO"/>
              </w:rPr>
              <w:t>.</w:t>
            </w:r>
          </w:p>
          <w:p w14:paraId="2A334CB4" w14:textId="77777777" w:rsidR="00BC3A80" w:rsidRPr="00BC3A80" w:rsidRDefault="00BC3A80" w:rsidP="00BC3A80">
            <w:pPr>
              <w:spacing w:after="12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Así las cosas, conforme a lo señalado por el Consejo de Estado, cuando dos entidades públicas celebren un </w:t>
            </w:r>
            <w:r w:rsidRPr="00BC3A80">
              <w:rPr>
                <w:rFonts w:ascii="Verdana" w:eastAsia="Times New Roman" w:hAnsi="Verdana" w:cs="Arial"/>
                <w:i/>
                <w:iCs/>
                <w:lang w:eastAsia="es-CO"/>
              </w:rPr>
              <w:t>contrato interadministrativo,</w:t>
            </w:r>
            <w:r w:rsidRPr="00BC3A80">
              <w:rPr>
                <w:rFonts w:ascii="Verdana" w:eastAsia="Times New Roman" w:hAnsi="Verdana" w:cs="Arial"/>
                <w:lang w:eastAsia="es-CO"/>
              </w:rPr>
              <w:t xml:space="preserve"> independientemente del objeto, dicho contrato puede suscribirse durante el periodo preelectoral. Por consiguiente y de acuerdo con la referida posición del Consejo de Estado, si el contrato de empréstito involucra a alguno de los sujetos mencionados en el parágrafo del artículo 38 de la Ley de Garantías Electorales y se constituye como un </w:t>
            </w:r>
            <w:r w:rsidRPr="00BC3A80">
              <w:rPr>
                <w:rFonts w:ascii="Verdana" w:eastAsia="Times New Roman" w:hAnsi="Verdana" w:cs="Arial"/>
                <w:i/>
                <w:iCs/>
                <w:lang w:eastAsia="es-CO"/>
              </w:rPr>
              <w:t xml:space="preserve">contrato interadministrativo </w:t>
            </w:r>
            <w:r w:rsidRPr="00BC3A80">
              <w:rPr>
                <w:rFonts w:ascii="Verdana" w:eastAsia="Times New Roman" w:hAnsi="Verdana" w:cs="Arial"/>
                <w:lang w:eastAsia="es-CO"/>
              </w:rPr>
              <w:t>no le resulta aplicable la limitación prevista en el parágrafo del artículo 38.</w:t>
            </w:r>
          </w:p>
          <w:p w14:paraId="0D126A70" w14:textId="77777777" w:rsidR="00BC3A80" w:rsidRPr="00BC3A80" w:rsidRDefault="00BC3A80" w:rsidP="00BC3A80">
            <w:pPr>
              <w:spacing w:after="120" w:line="276" w:lineRule="auto"/>
              <w:ind w:firstLine="709"/>
              <w:jc w:val="both"/>
              <w:rPr>
                <w:rFonts w:ascii="Verdana" w:eastAsia="Arial" w:hAnsi="Verdana" w:cs="Arial"/>
                <w:color w:val="000000" w:themeColor="text1"/>
              </w:rPr>
            </w:pPr>
            <w:r w:rsidRPr="00BC3A80">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BC3A80">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47D6F832" w14:textId="77777777" w:rsidR="00BC3A80" w:rsidRPr="00BC3A80" w:rsidRDefault="00BC3A80" w:rsidP="00BC3A80">
      <w:pPr>
        <w:tabs>
          <w:tab w:val="left" w:pos="142"/>
          <w:tab w:val="left" w:pos="284"/>
        </w:tabs>
        <w:spacing w:after="0" w:line="276" w:lineRule="auto"/>
        <w:jc w:val="both"/>
        <w:rPr>
          <w:rFonts w:ascii="Verdana" w:eastAsia="Century Gothic" w:hAnsi="Verdana" w:cs="Century Gothic"/>
          <w:b/>
          <w:bCs/>
          <w:lang w:val="es-ES_tradnl"/>
        </w:rPr>
      </w:pPr>
    </w:p>
    <w:bookmarkEnd w:id="1"/>
    <w:p w14:paraId="1CFC72C7" w14:textId="77777777" w:rsidR="00BC3A80" w:rsidRPr="00BC3A80" w:rsidRDefault="00BC3A80" w:rsidP="00BC3A80">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Razones de la respuesta:</w:t>
      </w:r>
    </w:p>
    <w:p w14:paraId="1BCC0341" w14:textId="77777777" w:rsidR="00BC3A80" w:rsidRPr="00BC3A80" w:rsidRDefault="00BC3A80" w:rsidP="00BC3A80">
      <w:pPr>
        <w:spacing w:after="0" w:line="276" w:lineRule="auto"/>
        <w:jc w:val="both"/>
        <w:rPr>
          <w:rFonts w:ascii="Verdana" w:hAnsi="Verdana" w:cs="Arial"/>
          <w:color w:val="7030A0"/>
          <w:lang w:val="es-ES_tradnl"/>
        </w:rPr>
      </w:pPr>
    </w:p>
    <w:p w14:paraId="7CA5889C" w14:textId="77777777" w:rsidR="00BC3A80" w:rsidRPr="00BC3A80" w:rsidRDefault="00BC3A80" w:rsidP="00BC3A80">
      <w:pPr>
        <w:spacing w:after="0" w:line="276" w:lineRule="auto"/>
        <w:jc w:val="both"/>
        <w:rPr>
          <w:rFonts w:ascii="Verdana" w:hAnsi="Verdana" w:cs="Arial"/>
          <w:lang w:val="es-ES_tradnl"/>
        </w:rPr>
      </w:pPr>
      <w:r w:rsidRPr="00BC3A80">
        <w:rPr>
          <w:rFonts w:ascii="Verdana" w:hAnsi="Verdana" w:cs="Arial"/>
          <w:lang w:val="es-ES_tradnl"/>
        </w:rPr>
        <w:t>Lo anterior se sustenta en las siguientes consideraciones:</w:t>
      </w:r>
    </w:p>
    <w:p w14:paraId="7576CB1E" w14:textId="77777777" w:rsidR="00BC3A80" w:rsidRPr="00BC3A80" w:rsidRDefault="00BC3A80" w:rsidP="00BC3A80">
      <w:pPr>
        <w:spacing w:after="0" w:line="276" w:lineRule="auto"/>
        <w:ind w:firstLine="709"/>
        <w:jc w:val="both"/>
        <w:rPr>
          <w:rFonts w:ascii="Verdana" w:hAnsi="Verdana" w:cs="Arial"/>
          <w:color w:val="000000" w:themeColor="text1"/>
        </w:rPr>
      </w:pPr>
    </w:p>
    <w:p w14:paraId="695B473D" w14:textId="77777777" w:rsidR="00BC3A80" w:rsidRPr="00BC3A80" w:rsidRDefault="00BC3A80" w:rsidP="00BC3A80">
      <w:pPr>
        <w:tabs>
          <w:tab w:val="left" w:pos="426"/>
        </w:tabs>
        <w:spacing w:after="120" w:line="276" w:lineRule="auto"/>
        <w:jc w:val="both"/>
        <w:rPr>
          <w:rFonts w:ascii="Verdana" w:eastAsia="Times New Roman" w:hAnsi="Verdana" w:cs="Arial"/>
          <w:lang w:val="es-ES" w:eastAsia="es-CO"/>
        </w:rPr>
      </w:pPr>
      <w:r w:rsidRPr="00BC3A80">
        <w:rPr>
          <w:rFonts w:ascii="Verdana" w:hAnsi="Verdana" w:cs="Arial"/>
          <w:color w:val="000000" w:themeColor="text1"/>
          <w:lang w:val="es-ES"/>
        </w:rPr>
        <w:lastRenderedPageBreak/>
        <w:t>i.</w:t>
      </w:r>
      <w:r w:rsidRPr="00BC3A80">
        <w:rPr>
          <w:rFonts w:ascii="Verdana" w:eastAsia="Verdana" w:hAnsi="Verdana" w:cs="Verdana"/>
          <w:lang w:val="es-ES"/>
        </w:rPr>
        <w:t xml:space="preserve"> </w:t>
      </w:r>
      <w:r w:rsidRPr="00BC3A80">
        <w:rPr>
          <w:rFonts w:ascii="Verdana" w:hAnsi="Verdana" w:cs="Arial"/>
          <w:lang w:val="es-ES"/>
        </w:rPr>
        <w:t>El ordenamiento jurídico colombiano contempla medidas para evitar la obtención de beneficios personales en asuntos propios de la administración pública</w:t>
      </w:r>
      <w:r w:rsidRPr="00BC3A80">
        <w:rPr>
          <w:rFonts w:ascii="Verdana" w:hAnsi="Verdana" w:cs="Arial"/>
          <w:i/>
          <w:lang w:val="es-ES"/>
        </w:rPr>
        <w:t xml:space="preserve">. </w:t>
      </w:r>
      <w:r w:rsidRPr="00BC3A80">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BC3A80">
        <w:rPr>
          <w:rFonts w:ascii="Verdana" w:eastAsiaTheme="minorHAnsi" w:hAnsi="Verdana" w:cstheme="minorBidi"/>
          <w:vertAlign w:val="superscript"/>
          <w:lang w:val="es-ES"/>
        </w:rPr>
        <w:footnoteReference w:id="2"/>
      </w:r>
      <w:r w:rsidRPr="00BC3A80">
        <w:rPr>
          <w:rFonts w:ascii="Verdana" w:hAnsi="Verdana" w:cs="Arial"/>
          <w:lang w:val="es-ES"/>
        </w:rPr>
        <w:t xml:space="preserve">. </w:t>
      </w:r>
    </w:p>
    <w:p w14:paraId="6DC8ED69" w14:textId="77777777" w:rsidR="00BC3A80" w:rsidRPr="00BC3A80" w:rsidRDefault="00BC3A80" w:rsidP="00BC3A80">
      <w:pPr>
        <w:tabs>
          <w:tab w:val="left" w:pos="426"/>
        </w:tabs>
        <w:spacing w:after="120" w:line="276" w:lineRule="auto"/>
        <w:ind w:firstLine="709"/>
        <w:jc w:val="both"/>
        <w:rPr>
          <w:rFonts w:ascii="Verdana" w:hAnsi="Verdana" w:cs="Arial"/>
          <w:lang w:val="es-ES"/>
        </w:rPr>
      </w:pPr>
      <w:r w:rsidRPr="00BC3A80">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C3A80">
        <w:rPr>
          <w:rFonts w:ascii="Verdana" w:eastAsia="Times New Roman" w:hAnsi="Verdana" w:cs="Arial"/>
          <w:vertAlign w:val="superscript"/>
          <w:lang w:val="es-ES" w:eastAsia="es-CO"/>
        </w:rPr>
        <w:footnoteReference w:id="3"/>
      </w:r>
      <w:r w:rsidRPr="00BC3A80">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BC3A80">
        <w:rPr>
          <w:rFonts w:ascii="Verdana" w:hAnsi="Verdana" w:cs="Arial"/>
          <w:lang w:val="es-ES"/>
        </w:rPr>
        <w:t xml:space="preserve"> </w:t>
      </w:r>
    </w:p>
    <w:p w14:paraId="5048D7D2" w14:textId="77777777" w:rsidR="00BC3A80" w:rsidRPr="00BC3A80" w:rsidRDefault="00BC3A80" w:rsidP="00BC3A80">
      <w:pPr>
        <w:tabs>
          <w:tab w:val="left" w:pos="426"/>
        </w:tabs>
        <w:spacing w:after="0" w:line="276" w:lineRule="auto"/>
        <w:ind w:firstLine="709"/>
        <w:jc w:val="both"/>
        <w:rPr>
          <w:rFonts w:ascii="Verdana" w:hAnsi="Verdana" w:cs="Arial"/>
          <w:lang w:val="es-ES"/>
        </w:rPr>
      </w:pPr>
      <w:r w:rsidRPr="00BC3A80">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158C64BD" w14:textId="77777777" w:rsidR="00BC3A80" w:rsidRPr="00BC3A80" w:rsidRDefault="00BC3A80" w:rsidP="00BC3A80">
      <w:pPr>
        <w:spacing w:after="0" w:line="276" w:lineRule="auto"/>
        <w:ind w:right="709"/>
        <w:jc w:val="both"/>
        <w:rPr>
          <w:rFonts w:ascii="Verdana" w:eastAsia="Times New Roman" w:hAnsi="Verdana" w:cs="Arial"/>
          <w:lang w:val="es-ES" w:eastAsia="es-CO"/>
        </w:rPr>
      </w:pPr>
    </w:p>
    <w:p w14:paraId="46016B25" w14:textId="77777777" w:rsidR="00BC3A80" w:rsidRPr="00BC3A80" w:rsidRDefault="00BC3A80" w:rsidP="00BC3A80">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3F784508" w14:textId="77777777" w:rsidR="00BC3A80" w:rsidRPr="00BC3A80" w:rsidRDefault="00BC3A80" w:rsidP="00BC3A80">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 </w:t>
      </w:r>
    </w:p>
    <w:p w14:paraId="03FD0E8A" w14:textId="77777777" w:rsidR="00BC3A80" w:rsidRPr="00BC3A80" w:rsidRDefault="00BC3A80" w:rsidP="00BC3A80">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BC3A80">
        <w:rPr>
          <w:rFonts w:ascii="Verdana" w:eastAsia="Times New Roman" w:hAnsi="Verdana" w:cs="Arial"/>
          <w:sz w:val="20"/>
          <w:szCs w:val="20"/>
          <w:lang w:val="es-ES" w:eastAsia="es-CO"/>
        </w:rPr>
        <w:lastRenderedPageBreak/>
        <w:t>las ideas y las propuestas las que definan el ascenso al poder, y no el músculo económico de los que se lo disputan”.</w:t>
      </w:r>
      <w:r w:rsidRPr="00BC3A80">
        <w:rPr>
          <w:rFonts w:ascii="Verdana" w:hAnsi="Verdana" w:cs="Arial"/>
          <w:sz w:val="20"/>
          <w:szCs w:val="20"/>
          <w:vertAlign w:val="superscript"/>
          <w:lang w:val="es-ES"/>
        </w:rPr>
        <w:footnoteReference w:id="4"/>
      </w:r>
    </w:p>
    <w:p w14:paraId="1E237450" w14:textId="77777777" w:rsidR="00BC3A80" w:rsidRPr="00BC3A80" w:rsidRDefault="00BC3A80" w:rsidP="00BC3A80">
      <w:pPr>
        <w:spacing w:after="0" w:line="276" w:lineRule="auto"/>
        <w:ind w:firstLine="709"/>
        <w:jc w:val="both"/>
        <w:rPr>
          <w:rFonts w:ascii="Verdana" w:eastAsia="Times New Roman" w:hAnsi="Verdana" w:cs="Arial"/>
          <w:lang w:val="es-ES" w:eastAsia="es-CO"/>
        </w:rPr>
      </w:pPr>
    </w:p>
    <w:p w14:paraId="5131F309" w14:textId="77777777" w:rsidR="00BC3A80" w:rsidRPr="00BC3A80" w:rsidRDefault="00BC3A80" w:rsidP="00BC3A80">
      <w:pPr>
        <w:spacing w:after="0" w:line="276" w:lineRule="auto"/>
        <w:ind w:firstLine="709"/>
        <w:jc w:val="both"/>
        <w:rPr>
          <w:rFonts w:ascii="Verdana" w:eastAsia="Times New Roman" w:hAnsi="Verdana" w:cs="Arial"/>
          <w:lang w:val="es-ES" w:eastAsia="es-CO"/>
        </w:rPr>
      </w:pPr>
      <w:r w:rsidRPr="00BC3A80">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04456F2C" w14:textId="77777777" w:rsidR="00BC3A80" w:rsidRPr="00BC3A80" w:rsidRDefault="00BC3A80" w:rsidP="00BC3A80">
      <w:pPr>
        <w:spacing w:after="0" w:line="276" w:lineRule="auto"/>
        <w:ind w:firstLine="709"/>
        <w:jc w:val="both"/>
        <w:rPr>
          <w:rFonts w:ascii="Verdana" w:eastAsia="Times New Roman" w:hAnsi="Verdana" w:cs="Arial"/>
          <w:lang w:val="es-ES" w:eastAsia="es-CO"/>
        </w:rPr>
      </w:pPr>
    </w:p>
    <w:p w14:paraId="76C6A8B9" w14:textId="77777777" w:rsidR="00BC3A80" w:rsidRPr="00BC3A80" w:rsidRDefault="00BC3A80" w:rsidP="00BC3A80">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E43B4D2" w14:textId="77777777" w:rsidR="00BC3A80" w:rsidRPr="00BC3A80" w:rsidRDefault="00BC3A80" w:rsidP="00BC3A80">
      <w:pPr>
        <w:spacing w:after="0" w:line="240" w:lineRule="auto"/>
        <w:ind w:right="709"/>
        <w:jc w:val="both"/>
        <w:rPr>
          <w:rFonts w:ascii="Verdana" w:eastAsia="Times New Roman" w:hAnsi="Verdana" w:cs="Arial"/>
          <w:lang w:val="es-ES" w:eastAsia="es-CO"/>
        </w:rPr>
      </w:pPr>
    </w:p>
    <w:p w14:paraId="467CC09E" w14:textId="77777777" w:rsidR="00BC3A80" w:rsidRPr="00BC3A80" w:rsidRDefault="00BC3A80" w:rsidP="00BC3A80">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La jurisprudencia de la Corte Constitucional</w:t>
      </w:r>
      <w:r w:rsidRPr="00BC3A80">
        <w:rPr>
          <w:rFonts w:ascii="Verdana" w:eastAsia="Times New Roman" w:hAnsi="Verdana" w:cs="Arial"/>
          <w:sz w:val="20"/>
          <w:szCs w:val="20"/>
          <w:vertAlign w:val="superscript"/>
          <w:lang w:val="es-ES" w:eastAsia="es-CO"/>
        </w:rPr>
        <w:footnoteReference w:id="5"/>
      </w:r>
      <w:r w:rsidRPr="00BC3A80">
        <w:rPr>
          <w:rFonts w:ascii="Verdana" w:eastAsia="Times New Roman" w:hAnsi="Verdana" w:cs="Arial"/>
          <w:sz w:val="20"/>
          <w:szCs w:val="20"/>
          <w:lang w:val="es-ES" w:eastAsia="es-CO"/>
        </w:rPr>
        <w:t> y del Consejo de Estado</w:t>
      </w:r>
      <w:r w:rsidRPr="00BC3A80">
        <w:rPr>
          <w:rFonts w:ascii="Verdana" w:eastAsia="Times New Roman" w:hAnsi="Verdana" w:cs="Arial"/>
          <w:sz w:val="20"/>
          <w:szCs w:val="20"/>
          <w:vertAlign w:val="superscript"/>
          <w:lang w:val="es-ES" w:eastAsia="es-CO"/>
        </w:rPr>
        <w:footnoteReference w:id="6"/>
      </w:r>
      <w:r w:rsidRPr="00BC3A80">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C3A80">
        <w:rPr>
          <w:rFonts w:ascii="Verdana" w:eastAsia="Times New Roman" w:hAnsi="Verdana" w:cs="Arial"/>
          <w:sz w:val="20"/>
          <w:szCs w:val="20"/>
          <w:vertAlign w:val="superscript"/>
          <w:lang w:val="es-ES" w:eastAsia="es-CO"/>
        </w:rPr>
        <w:footnoteReference w:id="7"/>
      </w:r>
      <w:r w:rsidRPr="00BC3A80">
        <w:rPr>
          <w:rFonts w:ascii="Verdana" w:eastAsia="Times New Roman" w:hAnsi="Verdana" w:cs="Arial"/>
          <w:sz w:val="20"/>
          <w:szCs w:val="20"/>
          <w:lang w:val="es-ES" w:eastAsia="es-CO"/>
        </w:rPr>
        <w:t>.</w:t>
      </w:r>
    </w:p>
    <w:p w14:paraId="3AF64F8E" w14:textId="77777777" w:rsidR="00BC3A80" w:rsidRPr="00BC3A80" w:rsidRDefault="00BC3A80" w:rsidP="00BC3A80">
      <w:pPr>
        <w:spacing w:after="0" w:line="276" w:lineRule="auto"/>
        <w:jc w:val="both"/>
        <w:rPr>
          <w:rFonts w:ascii="Verdana" w:hAnsi="Verdana" w:cs="Arial"/>
          <w:bCs/>
          <w:lang w:val="es-ES"/>
        </w:rPr>
      </w:pPr>
    </w:p>
    <w:p w14:paraId="1656D27B" w14:textId="77777777" w:rsidR="00BC3A80" w:rsidRPr="00BC3A80" w:rsidRDefault="00BC3A80" w:rsidP="00BC3A80">
      <w:pPr>
        <w:spacing w:after="120" w:line="276" w:lineRule="auto"/>
        <w:ind w:firstLine="709"/>
        <w:jc w:val="both"/>
        <w:rPr>
          <w:rFonts w:ascii="Verdana" w:eastAsia="Arial" w:hAnsi="Verdana" w:cs="Arial"/>
          <w:lang w:val="es-ES" w:eastAsia="es-ES" w:bidi="es-ES"/>
        </w:rPr>
      </w:pPr>
      <w:r w:rsidRPr="00BC3A80">
        <w:rPr>
          <w:rFonts w:ascii="Verdana" w:eastAsia="Times New Roman" w:hAnsi="Verdana" w:cs="Arial"/>
          <w:lang w:val="es-ES" w:eastAsia="es-CO"/>
        </w:rPr>
        <w:lastRenderedPageBreak/>
        <w:t>De</w:t>
      </w:r>
      <w:r w:rsidRPr="00BC3A80">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BD56EA2" w14:textId="77777777" w:rsidR="00BC3A80" w:rsidRPr="00BC3A80" w:rsidRDefault="00BC3A80" w:rsidP="00BC3A80">
      <w:pPr>
        <w:spacing w:after="120" w:line="276" w:lineRule="auto"/>
        <w:jc w:val="both"/>
        <w:rPr>
          <w:rFonts w:ascii="Verdana" w:eastAsia="Arial" w:hAnsi="Verdana" w:cs="Arial"/>
          <w:lang w:val="es-ES" w:eastAsia="es-ES" w:bidi="es-ES"/>
        </w:rPr>
      </w:pPr>
      <w:r w:rsidRPr="00BC3A80">
        <w:rPr>
          <w:rFonts w:ascii="Verdana" w:eastAsia="Arial" w:hAnsi="Verdana" w:cs="Arial"/>
          <w:lang w:val="es-ES" w:eastAsia="es-ES" w:bidi="es-ES"/>
        </w:rPr>
        <w:t>ii.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66020E4C" w14:textId="77777777" w:rsidR="00BC3A80" w:rsidRPr="00BC3A80" w:rsidRDefault="00BC3A80" w:rsidP="00BC3A80">
      <w:pPr>
        <w:spacing w:after="120" w:line="276" w:lineRule="auto"/>
        <w:ind w:firstLine="708"/>
        <w:jc w:val="both"/>
        <w:rPr>
          <w:rFonts w:ascii="Verdana" w:hAnsi="Verdana" w:cs="Arial"/>
          <w:lang w:val="es-ES"/>
        </w:rPr>
      </w:pPr>
      <w:r w:rsidRPr="00BC3A80">
        <w:rPr>
          <w:rFonts w:ascii="Verdana" w:hAnsi="Verdana" w:cs="Arial"/>
          <w:lang w:val="es-ES"/>
        </w:rPr>
        <w:t xml:space="preserve">Por un lado, el </w:t>
      </w:r>
      <w:r w:rsidRPr="00BC3A80">
        <w:rPr>
          <w:rFonts w:ascii="Verdana" w:hAnsi="Verdana" w:cs="Arial"/>
          <w:i/>
          <w:iCs/>
          <w:lang w:val="es-ES"/>
        </w:rPr>
        <w:t xml:space="preserve">artículo 33 </w:t>
      </w:r>
      <w:r w:rsidRPr="00BC3A80">
        <w:rPr>
          <w:rFonts w:ascii="Verdana" w:hAnsi="Verdana" w:cs="Arial"/>
          <w:lang w:val="es-ES"/>
        </w:rPr>
        <w:t xml:space="preserve">de la Ley 996 de 2005 prohíbe “[…] la contratación directa por parte de </w:t>
      </w:r>
      <w:r w:rsidRPr="00BC3A80">
        <w:rPr>
          <w:rFonts w:ascii="Verdana" w:hAnsi="Verdana" w:cs="Arial"/>
          <w:i/>
          <w:iCs/>
          <w:lang w:val="es-ES"/>
        </w:rPr>
        <w:t>todos los entes del Estado</w:t>
      </w:r>
      <w:r w:rsidRPr="00BC3A80">
        <w:rPr>
          <w:rFonts w:ascii="Verdana" w:hAnsi="Verdana" w:cs="Arial"/>
          <w:lang w:val="es-ES"/>
        </w:rPr>
        <w:t xml:space="preserve">” durante los cuatro (4) meses anteriores a las </w:t>
      </w:r>
      <w:r w:rsidRPr="00BC3A80">
        <w:rPr>
          <w:rFonts w:ascii="Verdana" w:hAnsi="Verdana" w:cs="Arial"/>
          <w:i/>
          <w:iCs/>
          <w:lang w:val="es-ES"/>
        </w:rPr>
        <w:t>elecciones presidenciales</w:t>
      </w:r>
      <w:r w:rsidRPr="00BC3A80">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C3A80">
        <w:rPr>
          <w:rFonts w:ascii="Verdana" w:hAnsi="Verdana" w:cs="Arial"/>
          <w:vertAlign w:val="superscript"/>
          <w:lang w:val="es-ES"/>
        </w:rPr>
        <w:footnoteReference w:id="8"/>
      </w:r>
      <w:r w:rsidRPr="00BC3A80">
        <w:rPr>
          <w:rFonts w:ascii="Verdana" w:hAnsi="Verdana" w:cs="Arial"/>
          <w:lang w:val="es-ES"/>
        </w:rPr>
        <w:t>.</w:t>
      </w:r>
    </w:p>
    <w:p w14:paraId="77EB6474" w14:textId="77777777" w:rsidR="00BC3A80" w:rsidRPr="00BC3A80" w:rsidRDefault="00BC3A80" w:rsidP="00BC3A80">
      <w:pPr>
        <w:widowControl w:val="0"/>
        <w:autoSpaceDE w:val="0"/>
        <w:autoSpaceDN w:val="0"/>
        <w:spacing w:after="120" w:line="276" w:lineRule="auto"/>
        <w:ind w:right="113" w:firstLine="709"/>
        <w:jc w:val="both"/>
        <w:rPr>
          <w:rFonts w:ascii="Verdana" w:eastAsia="Arial" w:hAnsi="Verdana" w:cs="Arial"/>
          <w:lang w:val="es-ES" w:eastAsia="es-ES" w:bidi="es-ES"/>
        </w:rPr>
      </w:pPr>
      <w:r w:rsidRPr="00BC3A80">
        <w:rPr>
          <w:rFonts w:ascii="Verdana" w:hAnsi="Verdana" w:cs="Arial"/>
          <w:lang w:val="es-ES"/>
        </w:rPr>
        <w:t xml:space="preserve">Por otro lado, </w:t>
      </w:r>
      <w:r w:rsidRPr="00BC3A80">
        <w:rPr>
          <w:rFonts w:ascii="Verdana" w:hAnsi="Verdana" w:cs="Arial"/>
          <w:i/>
          <w:iCs/>
          <w:lang w:val="es-ES"/>
        </w:rPr>
        <w:t xml:space="preserve">el parágrafo del artículo 38 </w:t>
      </w:r>
      <w:r w:rsidRPr="00BC3A80">
        <w:rPr>
          <w:rFonts w:ascii="Verdana" w:hAnsi="Verdana" w:cs="Arial"/>
          <w:lang w:val="es-ES"/>
        </w:rPr>
        <w:t xml:space="preserve">de la Ley 996 de 2005 prevé una restricción, aplicable respecto de </w:t>
      </w:r>
      <w:r w:rsidRPr="00BC3A80">
        <w:rPr>
          <w:rFonts w:ascii="Verdana" w:hAnsi="Verdana" w:cs="Arial"/>
          <w:i/>
          <w:iCs/>
          <w:lang w:val="es-ES"/>
        </w:rPr>
        <w:t>cualquier tipo de contienda electoral</w:t>
      </w:r>
      <w:r w:rsidRPr="00BC3A80">
        <w:rPr>
          <w:rFonts w:ascii="Verdana"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BC3A80">
        <w:rPr>
          <w:rFonts w:ascii="Verdana" w:hAnsi="Verdana" w:cs="Arial"/>
          <w:lang w:val="es-ES"/>
        </w:rPr>
        <w:lastRenderedPageBreak/>
        <w:t>proselitista”</w:t>
      </w:r>
      <w:r w:rsidRPr="00BC3A80">
        <w:rPr>
          <w:rFonts w:ascii="Verdana" w:hAnsi="Verdana" w:cs="Arial"/>
          <w:vertAlign w:val="superscript"/>
          <w:lang w:val="es-ES"/>
        </w:rPr>
        <w:footnoteReference w:id="9"/>
      </w:r>
      <w:r w:rsidRPr="00BC3A80">
        <w:rPr>
          <w:rFonts w:ascii="Verdana" w:hAnsi="Verdana" w:cs="Arial"/>
          <w:lang w:val="es-ES"/>
        </w:rPr>
        <w:t>.</w:t>
      </w:r>
      <w:r w:rsidRPr="00BC3A80">
        <w:rPr>
          <w:rFonts w:ascii="Verdana" w:eastAsia="Arial" w:hAnsi="Verdana" w:cs="Arial"/>
          <w:lang w:val="es-ES" w:eastAsia="es-ES" w:bidi="es-ES"/>
        </w:rPr>
        <w:t xml:space="preserve"> </w:t>
      </w:r>
    </w:p>
    <w:p w14:paraId="1C79B718" w14:textId="77777777" w:rsidR="00BC3A80" w:rsidRPr="00BC3A80" w:rsidRDefault="00BC3A80" w:rsidP="00BC3A80">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BC3A80">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0471DE6D" w14:textId="77777777" w:rsidR="00BC3A80" w:rsidRPr="00BC3A80" w:rsidRDefault="00BC3A80" w:rsidP="00BC3A80">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1F6EB2BF" w14:textId="77777777" w:rsidR="00BC3A80" w:rsidRPr="00BC3A80" w:rsidRDefault="00BC3A80" w:rsidP="00BC3A8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BC3A80">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BC3A80">
        <w:rPr>
          <w:rFonts w:ascii="Verdana" w:eastAsia="Arial" w:hAnsi="Verdana" w:cs="Arial"/>
          <w:sz w:val="20"/>
          <w:szCs w:val="20"/>
          <w:vertAlign w:val="superscript"/>
          <w:lang w:val="es-ES" w:eastAsia="es-ES" w:bidi="es-ES"/>
        </w:rPr>
        <w:footnoteReference w:id="10"/>
      </w:r>
    </w:p>
    <w:p w14:paraId="74CC173C" w14:textId="77777777" w:rsidR="00BC3A80" w:rsidRPr="00BC3A80" w:rsidRDefault="00BC3A80" w:rsidP="00BC3A80">
      <w:pPr>
        <w:widowControl w:val="0"/>
        <w:autoSpaceDE w:val="0"/>
        <w:autoSpaceDN w:val="0"/>
        <w:spacing w:after="0" w:line="276" w:lineRule="auto"/>
        <w:contextualSpacing/>
        <w:rPr>
          <w:rFonts w:ascii="Verdana" w:eastAsia="Arial" w:hAnsi="Verdana" w:cs="Arial"/>
          <w:lang w:val="es-ES" w:eastAsia="es-ES" w:bidi="es-ES"/>
        </w:rPr>
      </w:pPr>
    </w:p>
    <w:p w14:paraId="54A44E6F" w14:textId="77777777" w:rsidR="00BC3A80" w:rsidRPr="00BC3A80" w:rsidRDefault="00BC3A80" w:rsidP="00BC3A80">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BC3A80">
        <w:rPr>
          <w:rFonts w:ascii="Verdana" w:eastAsia="Arial" w:hAnsi="Verdana" w:cs="Arial"/>
          <w:i/>
          <w:lang w:val="es-ES" w:eastAsia="es-ES" w:bidi="es-ES"/>
        </w:rPr>
        <w:t>En primer lugar</w:t>
      </w:r>
      <w:r w:rsidRPr="00BC3A80">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BC3A80">
        <w:rPr>
          <w:rFonts w:ascii="Verdana" w:eastAsia="Arial" w:hAnsi="Verdana" w:cs="Arial"/>
          <w:i/>
          <w:lang w:val="es-ES" w:eastAsia="es-ES" w:bidi="es-ES"/>
        </w:rPr>
        <w:t>En segundo lugar</w:t>
      </w:r>
      <w:r w:rsidRPr="00BC3A80">
        <w:rPr>
          <w:rFonts w:ascii="Verdana" w:eastAsia="Arial" w:hAnsi="Verdana" w:cs="Arial"/>
          <w:lang w:val="es-ES" w:eastAsia="es-ES" w:bidi="es-ES"/>
        </w:rPr>
        <w:t xml:space="preserve">, también se encuentra la prohibición del </w:t>
      </w:r>
      <w:r w:rsidRPr="00BC3A80">
        <w:rPr>
          <w:rFonts w:ascii="Verdana" w:eastAsia="Arial" w:hAnsi="Verdana" w:cs="Arial"/>
          <w:lang w:val="es-ES" w:eastAsia="es-ES" w:bidi="es-ES"/>
        </w:rPr>
        <w:lastRenderedPageBreak/>
        <w:t>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E61D90F" w14:textId="77777777" w:rsidR="00BC3A80" w:rsidRPr="00BC3A80" w:rsidRDefault="00BC3A80" w:rsidP="00BC3A80">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4AD0DB08" w14:textId="77777777" w:rsidR="00BC3A80" w:rsidRPr="00BC3A80" w:rsidRDefault="00BC3A80" w:rsidP="00BC3A80">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496F9FCB" w14:textId="77777777" w:rsidR="00BC3A80" w:rsidRPr="00BC3A80" w:rsidRDefault="00BC3A80" w:rsidP="00BC3A80">
      <w:pPr>
        <w:spacing w:after="120" w:line="276" w:lineRule="auto"/>
        <w:jc w:val="both"/>
        <w:rPr>
          <w:rFonts w:ascii="Verdana" w:eastAsia="Times New Roman" w:hAnsi="Verdana" w:cs="Arial"/>
          <w:lang w:val="es-ES" w:eastAsia="es-CO"/>
        </w:rPr>
      </w:pPr>
      <w:r w:rsidRPr="00BC3A80">
        <w:rPr>
          <w:rFonts w:ascii="Verdana" w:hAnsi="Verdana" w:cs="Arial"/>
          <w:lang w:val="es-ES"/>
        </w:rPr>
        <w:t xml:space="preserve">iii) </w:t>
      </w:r>
      <w:r w:rsidRPr="00BC3A80">
        <w:rPr>
          <w:rFonts w:ascii="Verdana" w:hAnsi="Verdana" w:cs="Arial"/>
          <w:lang w:val="es-ES" w:eastAsia="es-ES" w:bidi="es-ES"/>
        </w:rPr>
        <w:t xml:space="preserve">Para responder al problema jurídico planteado es necesario, en primer lugar, precisar el alcance de la prohibición </w:t>
      </w:r>
      <w:r w:rsidRPr="00BC3A80">
        <w:rPr>
          <w:rFonts w:ascii="Verdana" w:eastAsia="Arial" w:hAnsi="Verdana" w:cs="Arial"/>
          <w:lang w:val="es-ES" w:eastAsia="es-ES" w:bidi="es-ES"/>
        </w:rPr>
        <w:t>establecida en e</w:t>
      </w:r>
      <w:r w:rsidRPr="00BC3A80">
        <w:rPr>
          <w:rFonts w:ascii="Verdana" w:hAnsi="Verdana" w:cs="Arial"/>
          <w:lang w:val="es-ES"/>
        </w:rPr>
        <w:t xml:space="preserve">l </w:t>
      </w:r>
      <w:r w:rsidRPr="00BC3A80">
        <w:rPr>
          <w:rFonts w:ascii="Verdana" w:eastAsia="Times New Roman" w:hAnsi="Verdana" w:cs="Arial"/>
          <w:lang w:val="es-ES"/>
        </w:rPr>
        <w:t xml:space="preserve">artículo 33 de la Ley 996 de 2005 y sus excepciones. El </w:t>
      </w:r>
      <w:r w:rsidRPr="00BC3A80">
        <w:rPr>
          <w:rFonts w:ascii="Verdana" w:eastAsia="Times New Roman" w:hAnsi="Verdana" w:cs="Arial"/>
          <w:i/>
          <w:iCs/>
          <w:lang w:val="es-ES"/>
        </w:rPr>
        <w:t>ámbito material</w:t>
      </w:r>
      <w:r w:rsidRPr="00BC3A80">
        <w:rPr>
          <w:rFonts w:ascii="Verdana" w:eastAsia="Times New Roman" w:hAnsi="Verdana" w:cs="Arial"/>
          <w:lang w:val="es-ES"/>
        </w:rPr>
        <w:t xml:space="preserve"> de esta prohibición está delimitado por la expresión </w:t>
      </w:r>
      <w:r w:rsidRPr="00BC3A80">
        <w:rPr>
          <w:rFonts w:ascii="Verdana" w:hAnsi="Verdana" w:cs="Arial"/>
          <w:bCs/>
          <w:lang w:val="es-ES"/>
        </w:rPr>
        <w:t>“</w:t>
      </w:r>
      <w:r w:rsidRPr="00BC3A80">
        <w:rPr>
          <w:rFonts w:ascii="Verdana" w:eastAsia="Times New Roman" w:hAnsi="Verdana" w:cs="Arial"/>
          <w:lang w:val="es-ES"/>
        </w:rPr>
        <w:t>queda prohibida la contratación directa</w:t>
      </w:r>
      <w:r w:rsidRPr="00BC3A80">
        <w:rPr>
          <w:rFonts w:ascii="Verdana" w:hAnsi="Verdana" w:cs="Arial"/>
          <w:lang w:val="es-ES"/>
        </w:rPr>
        <w:t>”</w:t>
      </w:r>
      <w:r w:rsidRPr="00BC3A80">
        <w:rPr>
          <w:rFonts w:ascii="Verdana" w:eastAsia="Times New Roman" w:hAnsi="Verdana" w:cs="Arial"/>
          <w:lang w:val="es-ES"/>
        </w:rPr>
        <w:t xml:space="preserve">. </w:t>
      </w:r>
      <w:r w:rsidRPr="00BC3A80">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5A51F913" w14:textId="77777777" w:rsidR="00BC3A80" w:rsidRPr="00BC3A80" w:rsidRDefault="00BC3A80" w:rsidP="00BC3A80">
      <w:pPr>
        <w:spacing w:after="0" w:line="276" w:lineRule="auto"/>
        <w:jc w:val="both"/>
        <w:rPr>
          <w:rFonts w:ascii="Verdana" w:eastAsia="Arial" w:hAnsi="Verdana" w:cs="Arial"/>
          <w:lang w:val="es-ES" w:eastAsia="es-ES" w:bidi="es-ES"/>
        </w:rPr>
      </w:pPr>
    </w:p>
    <w:p w14:paraId="15CD2EF0" w14:textId="77777777" w:rsidR="00BC3A80" w:rsidRPr="00BC3A80" w:rsidRDefault="00BC3A80" w:rsidP="00BC3A80">
      <w:pPr>
        <w:spacing w:after="0" w:line="240" w:lineRule="auto"/>
        <w:ind w:left="709" w:right="709"/>
        <w:jc w:val="both"/>
        <w:rPr>
          <w:rFonts w:ascii="Verdana" w:hAnsi="Verdana" w:cs="Arial"/>
          <w:sz w:val="20"/>
          <w:szCs w:val="20"/>
          <w:lang w:val="es-ES"/>
        </w:rPr>
      </w:pPr>
      <w:r w:rsidRPr="00BC3A80">
        <w:rPr>
          <w:rFonts w:ascii="Verdana" w:hAnsi="Verdana" w:cs="Arial"/>
          <w:sz w:val="20"/>
          <w:szCs w:val="20"/>
          <w:lang w:val="es-ES"/>
        </w:rPr>
        <w:t xml:space="preserve">“[…]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w:t>
      </w:r>
      <w:r w:rsidRPr="00BC3A80">
        <w:rPr>
          <w:rFonts w:ascii="Verdana" w:hAnsi="Verdana" w:cs="Arial"/>
          <w:sz w:val="20"/>
          <w:szCs w:val="20"/>
          <w:lang w:val="es-ES"/>
        </w:rPr>
        <w:lastRenderedPageBreak/>
        <w:t>estatal, sino a cualquier otro que prescinda de un proceso de licitación pública o concurso</w:t>
      </w:r>
      <w:r w:rsidRPr="00BC3A80">
        <w:rPr>
          <w:rFonts w:ascii="Verdana" w:eastAsia="Times New Roman" w:hAnsi="Verdana" w:cs="Arial"/>
          <w:sz w:val="20"/>
          <w:szCs w:val="20"/>
          <w:vertAlign w:val="superscript"/>
          <w:lang w:val="es-ES"/>
        </w:rPr>
        <w:footnoteReference w:id="11"/>
      </w:r>
      <w:r w:rsidRPr="00BC3A80">
        <w:rPr>
          <w:rFonts w:ascii="Verdana" w:eastAsia="Times New Roman" w:hAnsi="Verdana" w:cs="Arial"/>
          <w:sz w:val="20"/>
          <w:szCs w:val="20"/>
          <w:vertAlign w:val="superscript"/>
          <w:lang w:val="es-ES"/>
        </w:rPr>
        <w:t>.</w:t>
      </w:r>
      <w:r w:rsidRPr="00BC3A80">
        <w:rPr>
          <w:rFonts w:ascii="Verdana"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BC3A80">
        <w:rPr>
          <w:rFonts w:ascii="Verdana" w:eastAsia="Times New Roman" w:hAnsi="Verdana" w:cs="Arial"/>
          <w:sz w:val="20"/>
          <w:szCs w:val="20"/>
          <w:vertAlign w:val="superscript"/>
          <w:lang w:val="es-ES" w:eastAsia="es-CO"/>
        </w:rPr>
        <w:footnoteReference w:id="12"/>
      </w:r>
      <w:r w:rsidRPr="00BC3A80">
        <w:rPr>
          <w:rFonts w:ascii="Verdana" w:hAnsi="Verdana" w:cs="Arial"/>
          <w:sz w:val="20"/>
          <w:szCs w:val="20"/>
          <w:lang w:val="es-ES"/>
        </w:rPr>
        <w:t xml:space="preserve"> .</w:t>
      </w:r>
    </w:p>
    <w:p w14:paraId="7B8E6947" w14:textId="77777777" w:rsidR="00BC3A80" w:rsidRPr="00BC3A80" w:rsidRDefault="00BC3A80" w:rsidP="00BC3A80">
      <w:pPr>
        <w:shd w:val="clear" w:color="auto" w:fill="FFFFFF" w:themeFill="background1"/>
        <w:spacing w:after="0" w:line="276" w:lineRule="auto"/>
        <w:ind w:firstLine="709"/>
        <w:jc w:val="both"/>
        <w:rPr>
          <w:rFonts w:ascii="Verdana" w:eastAsia="Times New Roman" w:hAnsi="Verdana" w:cs="Arial"/>
          <w:lang w:val="es-ES" w:eastAsia="x-none"/>
        </w:rPr>
      </w:pPr>
    </w:p>
    <w:p w14:paraId="2169BC8F" w14:textId="77777777" w:rsidR="00BC3A80" w:rsidRPr="00BC3A80" w:rsidRDefault="00BC3A80" w:rsidP="00BC3A80">
      <w:pPr>
        <w:spacing w:after="120" w:line="276" w:lineRule="auto"/>
        <w:ind w:firstLine="708"/>
        <w:jc w:val="both"/>
        <w:rPr>
          <w:rFonts w:ascii="Verdana" w:eastAsia="Times New Roman" w:hAnsi="Verdana" w:cs="Arial"/>
          <w:bCs/>
          <w:lang w:val="es-ES" w:eastAsia="x-none"/>
        </w:rPr>
      </w:pPr>
      <w:r w:rsidRPr="00BC3A80">
        <w:rPr>
          <w:rFonts w:ascii="Verdana" w:eastAsia="Times New Roman" w:hAnsi="Verdana" w:cs="Arial"/>
          <w:lang w:val="es-ES" w:eastAsia="x-none"/>
        </w:rPr>
        <w:t xml:space="preserve">De acuerdo con este concepto, la prohibición del artículo 33 de la Ley de Garantías Electorales se refiere a </w:t>
      </w:r>
      <w:r w:rsidRPr="00BC3A80">
        <w:rPr>
          <w:rFonts w:ascii="Verdana" w:eastAsia="Times New Roman" w:hAnsi="Verdana" w:cs="Arial"/>
          <w:sz w:val="19"/>
          <w:szCs w:val="19"/>
          <w:lang w:val="es-ES" w:eastAsia="en-GB"/>
        </w:rPr>
        <w:t>“</w:t>
      </w:r>
      <w:r w:rsidRPr="00BC3A80">
        <w:rPr>
          <w:rFonts w:ascii="Verdana" w:eastAsia="Times New Roman" w:hAnsi="Verdana" w:cs="Arial"/>
          <w:lang w:val="es-ES" w:eastAsia="x-none"/>
        </w:rPr>
        <w:t>cualquier sistema que no implique convocatoria pública y posibilidad de pluralidad de oferentes</w:t>
      </w:r>
      <w:r w:rsidRPr="00BC3A80">
        <w:rPr>
          <w:rFonts w:ascii="Verdana" w:eastAsia="Times New Roman" w:hAnsi="Verdana" w:cs="Arial"/>
          <w:lang w:val="es-ES" w:eastAsia="en-GB"/>
        </w:rPr>
        <w:t>”</w:t>
      </w:r>
      <w:r w:rsidRPr="00BC3A80">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BC3A80">
        <w:rPr>
          <w:rFonts w:ascii="Verdana" w:eastAsia="Times New Roman" w:hAnsi="Verdana" w:cs="Arial"/>
          <w:lang w:val="es-ES"/>
        </w:rPr>
        <w:t>y la mínima cuantía</w:t>
      </w:r>
      <w:r w:rsidRPr="00BC3A80" w:rsidDel="00A85D9F">
        <w:rPr>
          <w:rFonts w:ascii="Verdana" w:eastAsia="Times New Roman" w:hAnsi="Verdana" w:cs="Arial"/>
          <w:lang w:val="es-ES" w:eastAsia="x-none"/>
        </w:rPr>
        <w:t xml:space="preserve"> </w:t>
      </w:r>
      <w:r w:rsidRPr="00BC3A80">
        <w:rPr>
          <w:rFonts w:ascii="Verdana" w:eastAsia="Times New Roman" w:hAnsi="Verdana" w:cs="Arial"/>
          <w:lang w:val="es-ES"/>
        </w:rPr>
        <w:t xml:space="preserve">u otros previstos en normas especiales. </w:t>
      </w:r>
      <w:r w:rsidRPr="00BC3A80">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BC3A80">
        <w:rPr>
          <w:rFonts w:ascii="Verdana" w:eastAsia="Times New Roman" w:hAnsi="Verdana" w:cs="Arial"/>
          <w:vertAlign w:val="superscript"/>
          <w:lang w:val="es-ES" w:eastAsia="x-none"/>
        </w:rPr>
        <w:footnoteReference w:id="13"/>
      </w:r>
      <w:r w:rsidRPr="00BC3A80">
        <w:rPr>
          <w:rFonts w:ascii="Verdana" w:eastAsia="Times New Roman" w:hAnsi="Verdana" w:cs="Arial"/>
          <w:lang w:val="es-ES" w:eastAsia="x-none"/>
        </w:rPr>
        <w:t xml:space="preserve"> y sistematizó las causales de contratación directa</w:t>
      </w:r>
      <w:r w:rsidRPr="00BC3A80">
        <w:rPr>
          <w:rFonts w:ascii="Verdana" w:eastAsia="Times New Roman" w:hAnsi="Verdana" w:cs="Arial"/>
          <w:vertAlign w:val="superscript"/>
          <w:lang w:val="es-ES" w:eastAsia="x-none"/>
        </w:rPr>
        <w:footnoteReference w:id="14"/>
      </w:r>
      <w:r w:rsidRPr="00BC3A80">
        <w:rPr>
          <w:rFonts w:ascii="Verdana" w:eastAsia="Times New Roman" w:hAnsi="Verdana" w:cs="Arial"/>
          <w:lang w:val="es-ES" w:eastAsia="x-none"/>
        </w:rPr>
        <w:t xml:space="preserve">, </w:t>
      </w:r>
      <w:r w:rsidRPr="00BC3A80">
        <w:rPr>
          <w:rFonts w:ascii="Verdana"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707385D9" w14:textId="77777777" w:rsidR="00BC3A80" w:rsidRPr="00BC3A80" w:rsidRDefault="00BC3A80" w:rsidP="00BC3A80">
      <w:pPr>
        <w:spacing w:after="120" w:line="276" w:lineRule="auto"/>
        <w:ind w:firstLine="708"/>
        <w:jc w:val="both"/>
        <w:rPr>
          <w:rFonts w:ascii="Verdana" w:eastAsia="Times New Roman" w:hAnsi="Verdana" w:cs="Arial"/>
          <w:bCs/>
          <w:lang w:val="es-ES" w:eastAsia="es-CO"/>
        </w:rPr>
      </w:pPr>
      <w:r w:rsidRPr="00BC3A80">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BC3A80">
        <w:rPr>
          <w:rFonts w:ascii="Verdana" w:eastAsia="Times New Roman" w:hAnsi="Verdana" w:cs="Arial"/>
          <w:bCs/>
          <w:i/>
          <w:iCs/>
          <w:lang w:val="es-ES" w:eastAsia="es-CO"/>
        </w:rPr>
        <w:t>, sino también frente a las entidades que tengan un régimen especial de contratación</w:t>
      </w:r>
      <w:r w:rsidRPr="00BC3A80">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BC3A80">
        <w:rPr>
          <w:rFonts w:ascii="Verdana" w:eastAsia="Times New Roman" w:hAnsi="Verdana" w:cs="Arial"/>
          <w:lang w:val="es-ES"/>
        </w:rPr>
        <w:t xml:space="preserve">Así, para la prohibición o restricción temporal contenida en su artículo 33, “contratación directa” es </w:t>
      </w:r>
      <w:r w:rsidRPr="00BC3A80">
        <w:rPr>
          <w:rFonts w:ascii="Verdana" w:eastAsia="Times New Roman" w:hAnsi="Verdana" w:cs="Arial"/>
          <w:i/>
          <w:iCs/>
          <w:lang w:val="es-ES"/>
        </w:rPr>
        <w:t>cualquier</w:t>
      </w:r>
      <w:r w:rsidRPr="00BC3A80">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BC3A80">
        <w:rPr>
          <w:rFonts w:ascii="Verdana" w:eastAsia="Times New Roman" w:hAnsi="Verdana" w:cs="Arial"/>
          <w:vertAlign w:val="superscript"/>
          <w:lang w:val="es-ES" w:eastAsia="x-none"/>
        </w:rPr>
        <w:footnoteReference w:id="15"/>
      </w:r>
      <w:r w:rsidRPr="00BC3A80">
        <w:rPr>
          <w:rFonts w:ascii="Verdana" w:eastAsia="Times New Roman" w:hAnsi="Verdana" w:cs="Arial"/>
          <w:lang w:val="es-ES"/>
        </w:rPr>
        <w:t>.</w:t>
      </w:r>
      <w:r w:rsidRPr="00BC3A80">
        <w:rPr>
          <w:rFonts w:ascii="Verdana" w:eastAsia="Times New Roman" w:hAnsi="Verdana" w:cs="Arial"/>
          <w:vertAlign w:val="superscript"/>
          <w:lang w:val="es-ES" w:eastAsia="x-none"/>
        </w:rPr>
        <w:t xml:space="preserve"> </w:t>
      </w:r>
    </w:p>
    <w:p w14:paraId="1AE2D61D" w14:textId="77777777" w:rsidR="00BC3A80" w:rsidRPr="00BC3A80" w:rsidRDefault="00BC3A80" w:rsidP="00BC3A80">
      <w:pPr>
        <w:spacing w:after="120" w:line="276" w:lineRule="auto"/>
        <w:ind w:firstLine="708"/>
        <w:jc w:val="both"/>
        <w:rPr>
          <w:rFonts w:ascii="Verdana" w:eastAsia="Times New Roman" w:hAnsi="Verdana" w:cs="Arial"/>
          <w:lang w:val="es-ES"/>
        </w:rPr>
      </w:pPr>
      <w:r w:rsidRPr="00BC3A80">
        <w:rPr>
          <w:rFonts w:ascii="Verdana" w:eastAsia="Times New Roman" w:hAnsi="Verdana" w:cs="Arial"/>
          <w:lang w:val="es-ES"/>
        </w:rPr>
        <w:lastRenderedPageBreak/>
        <w:t xml:space="preserve">De lo anterior se desprende que la restricción aplica, sin perjuicio de las excepciones establecidas en la misma ley, para celebrar </w:t>
      </w:r>
      <w:r w:rsidRPr="00BC3A80">
        <w:rPr>
          <w:rFonts w:ascii="Verdana" w:eastAsia="Times New Roman" w:hAnsi="Verdana" w:cs="Arial"/>
          <w:i/>
          <w:iCs/>
          <w:lang w:val="es-ES"/>
        </w:rPr>
        <w:t>cualquier contrato o convenio de forma directa</w:t>
      </w:r>
      <w:r w:rsidRPr="00BC3A80">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B3CC8D1" w14:textId="77777777" w:rsidR="00BC3A80" w:rsidRPr="00BC3A80" w:rsidRDefault="00BC3A80" w:rsidP="00BC3A80">
      <w:pPr>
        <w:spacing w:after="120" w:line="276" w:lineRule="auto"/>
        <w:ind w:firstLine="708"/>
        <w:jc w:val="both"/>
        <w:rPr>
          <w:rFonts w:ascii="Verdana" w:eastAsia="Times New Roman" w:hAnsi="Verdana" w:cs="Arial"/>
          <w:lang w:val="es-ES"/>
        </w:rPr>
      </w:pPr>
      <w:r w:rsidRPr="00BC3A80">
        <w:rPr>
          <w:rFonts w:ascii="Verdana" w:eastAsia="Times New Roman" w:hAnsi="Verdana" w:cs="Arial"/>
          <w:bCs/>
          <w:lang w:val="es-ES" w:eastAsia="es-CO"/>
        </w:rPr>
        <w:t xml:space="preserve">Con respecto a los </w:t>
      </w:r>
      <w:r w:rsidRPr="00BC3A80">
        <w:rPr>
          <w:rFonts w:ascii="Verdana" w:eastAsia="Times New Roman" w:hAnsi="Verdana" w:cs="Arial"/>
          <w:bCs/>
          <w:i/>
          <w:iCs/>
          <w:lang w:val="es-ES" w:eastAsia="es-CO"/>
        </w:rPr>
        <w:t>sujetos</w:t>
      </w:r>
      <w:r w:rsidRPr="00BC3A80">
        <w:rPr>
          <w:rFonts w:ascii="Verdana" w:eastAsia="Times New Roman" w:hAnsi="Verdana" w:cs="Arial"/>
          <w:bCs/>
          <w:lang w:val="es-ES" w:eastAsia="es-CO"/>
        </w:rPr>
        <w:t xml:space="preserve"> que se encuentran enmarcados en la prohibición del artículo 33, </w:t>
      </w:r>
      <w:r w:rsidRPr="00BC3A80">
        <w:rPr>
          <w:rFonts w:ascii="Verdana" w:eastAsia="Times New Roman" w:hAnsi="Verdana" w:cs="Arial"/>
          <w:lang w:val="es-ES"/>
        </w:rPr>
        <w:t>la Ley 996 de 2005 señala expresamente que son “</w:t>
      </w:r>
      <w:r w:rsidRPr="00BC3A80">
        <w:rPr>
          <w:rFonts w:ascii="Verdana" w:eastAsia="Times New Roman" w:hAnsi="Verdana" w:cs="Arial"/>
          <w:i/>
          <w:iCs/>
          <w:u w:val="single"/>
          <w:lang w:val="es-ES"/>
        </w:rPr>
        <w:t>todos</w:t>
      </w:r>
      <w:r w:rsidRPr="00BC3A80">
        <w:rPr>
          <w:rFonts w:ascii="Verdana" w:eastAsia="Times New Roman" w:hAnsi="Verdana" w:cs="Arial"/>
          <w:i/>
          <w:iCs/>
          <w:lang w:val="es-ES"/>
        </w:rPr>
        <w:t xml:space="preserve"> los entes del Estado</w:t>
      </w:r>
      <w:r w:rsidRPr="00BC3A80">
        <w:rPr>
          <w:rFonts w:ascii="Verdana" w:eastAsia="Times New Roman" w:hAnsi="Verdana" w:cs="Arial"/>
          <w:lang w:val="es-ES"/>
        </w:rPr>
        <w:t>” [énfasis propio]. Al respecto la Sala De Consulta y Servicio Civil del Consejo de Estado señaló lo siguiente:</w:t>
      </w:r>
    </w:p>
    <w:p w14:paraId="35F0A8D5" w14:textId="77777777" w:rsidR="00BC3A80" w:rsidRPr="00BC3A80" w:rsidRDefault="00BC3A80" w:rsidP="00BC3A80">
      <w:pPr>
        <w:spacing w:after="0" w:line="276" w:lineRule="auto"/>
        <w:ind w:firstLine="708"/>
        <w:jc w:val="both"/>
        <w:rPr>
          <w:rFonts w:ascii="Verdana" w:eastAsia="Times New Roman" w:hAnsi="Verdana" w:cs="Arial"/>
          <w:lang w:val="es-ES"/>
        </w:rPr>
      </w:pPr>
    </w:p>
    <w:p w14:paraId="6C89C1FA" w14:textId="77777777" w:rsidR="00BC3A80" w:rsidRPr="00BC3A80" w:rsidRDefault="00BC3A80" w:rsidP="00BC3A80">
      <w:pPr>
        <w:spacing w:after="0" w:line="240" w:lineRule="auto"/>
        <w:ind w:left="709" w:right="709"/>
        <w:jc w:val="both"/>
        <w:rPr>
          <w:rFonts w:ascii="Verdana" w:eastAsia="Times New Roman" w:hAnsi="Verdana" w:cs="Arial"/>
          <w:bCs/>
          <w:sz w:val="20"/>
          <w:szCs w:val="20"/>
          <w:lang w:val="es-ES" w:eastAsia="es-CO"/>
        </w:rPr>
      </w:pPr>
      <w:r w:rsidRPr="00BC3A80">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BC3A80">
        <w:rPr>
          <w:rFonts w:ascii="Verdana" w:eastAsia="Times New Roman" w:hAnsi="Verdana" w:cs="Arial"/>
          <w:bCs/>
          <w:sz w:val="20"/>
          <w:szCs w:val="20"/>
          <w:vertAlign w:val="superscript"/>
          <w:lang w:val="es-ES" w:eastAsia="es-CO"/>
        </w:rPr>
        <w:footnoteReference w:id="16"/>
      </w:r>
      <w:r w:rsidRPr="00BC3A80">
        <w:rPr>
          <w:rFonts w:ascii="Verdana" w:eastAsia="Times New Roman" w:hAnsi="Verdana" w:cs="Arial"/>
          <w:bCs/>
          <w:sz w:val="20"/>
          <w:szCs w:val="20"/>
          <w:lang w:val="es-ES" w:eastAsia="es-CO"/>
        </w:rPr>
        <w:t>.</w:t>
      </w:r>
    </w:p>
    <w:p w14:paraId="7BE38269" w14:textId="77777777" w:rsidR="00BC3A80" w:rsidRPr="00BC3A80" w:rsidRDefault="00BC3A80" w:rsidP="00BC3A80">
      <w:pPr>
        <w:spacing w:after="0" w:line="240" w:lineRule="auto"/>
        <w:ind w:left="709" w:right="709"/>
        <w:jc w:val="both"/>
        <w:rPr>
          <w:rFonts w:ascii="Verdana" w:eastAsia="Times New Roman" w:hAnsi="Verdana" w:cs="Arial"/>
          <w:bCs/>
          <w:lang w:val="es-ES" w:eastAsia="es-CO"/>
        </w:rPr>
      </w:pPr>
    </w:p>
    <w:p w14:paraId="620EFA3E" w14:textId="77777777" w:rsidR="00BC3A80" w:rsidRPr="00BC3A80" w:rsidRDefault="00BC3A80" w:rsidP="00BC3A80">
      <w:pPr>
        <w:spacing w:after="120" w:line="276" w:lineRule="auto"/>
        <w:ind w:firstLine="708"/>
        <w:jc w:val="both"/>
        <w:rPr>
          <w:rFonts w:ascii="Verdana" w:eastAsiaTheme="minorHAnsi" w:hAnsi="Verdana" w:cs="Arial"/>
          <w:bCs/>
          <w:sz w:val="20"/>
          <w:szCs w:val="20"/>
          <w:lang w:val="es-ES" w:eastAsia="es-CO"/>
        </w:rPr>
      </w:pPr>
      <w:r w:rsidRPr="00BC3A80">
        <w:rPr>
          <w:rFonts w:ascii="Verdana" w:eastAsiaTheme="minorHAnsi"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BC3A80">
        <w:rPr>
          <w:rFonts w:ascii="Verdana" w:eastAsiaTheme="minorHAnsi" w:hAnsi="Verdana" w:cstheme="minorBidi"/>
          <w:lang w:val="es-ES"/>
        </w:rPr>
        <w:t xml:space="preserve"> </w:t>
      </w:r>
      <w:r w:rsidRPr="00BC3A80">
        <w:rPr>
          <w:rFonts w:ascii="Verdana" w:eastAsiaTheme="minorHAnsi" w:hAnsi="Verdana" w:cs="Arial"/>
          <w:bCs/>
          <w:lang w:val="es-ES" w:eastAsia="x-none"/>
        </w:rPr>
        <w:t>En efecto, tal como lo ha sostenido el Consejo de Estado, el vocablo “todos” utilizado por el legislador comprende</w:t>
      </w:r>
      <w:r w:rsidRPr="00BC3A80">
        <w:rPr>
          <w:rFonts w:ascii="Verdana" w:eastAsiaTheme="minorHAnsi" w:hAnsi="Verdana" w:cstheme="minorBidi"/>
          <w:lang w:val="es-ES"/>
        </w:rPr>
        <w:t xml:space="preserve"> </w:t>
      </w:r>
      <w:r w:rsidRPr="00BC3A80">
        <w:rPr>
          <w:rFonts w:ascii="Verdana" w:eastAsiaTheme="minorHAnsi"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BC3A80">
        <w:rPr>
          <w:rFonts w:ascii="Verdana" w:eastAsiaTheme="minorHAnsi" w:hAnsi="Verdana" w:cs="Arial"/>
          <w:bCs/>
          <w:sz w:val="20"/>
          <w:szCs w:val="20"/>
          <w:vertAlign w:val="superscript"/>
          <w:lang w:val="es-ES" w:eastAsia="x-none"/>
        </w:rPr>
        <w:footnoteReference w:id="17"/>
      </w:r>
      <w:r w:rsidRPr="00BC3A80">
        <w:rPr>
          <w:rFonts w:ascii="Verdana" w:eastAsiaTheme="minorHAnsi" w:hAnsi="Verdana" w:cs="Arial"/>
          <w:bCs/>
          <w:sz w:val="20"/>
          <w:szCs w:val="20"/>
          <w:lang w:val="es-ES" w:eastAsia="x-none"/>
        </w:rPr>
        <w:t>.</w:t>
      </w:r>
      <w:r w:rsidRPr="00BC3A80">
        <w:rPr>
          <w:rFonts w:ascii="Verdana" w:eastAsiaTheme="minorHAnsi" w:hAnsi="Verdana" w:cs="Arial"/>
          <w:bCs/>
          <w:sz w:val="20"/>
          <w:szCs w:val="20"/>
          <w:lang w:val="es-ES" w:eastAsia="es-CO"/>
        </w:rPr>
        <w:t>”</w:t>
      </w:r>
    </w:p>
    <w:p w14:paraId="73A2FF5A" w14:textId="77777777" w:rsidR="00BC3A80" w:rsidRPr="00BC3A80" w:rsidRDefault="00BC3A80" w:rsidP="00BC3A80">
      <w:pPr>
        <w:spacing w:after="120" w:line="276" w:lineRule="auto"/>
        <w:ind w:firstLine="709"/>
        <w:jc w:val="both"/>
        <w:rPr>
          <w:rFonts w:ascii="Verdana" w:eastAsia="Arial" w:hAnsi="Verdana" w:cs="Arial"/>
          <w:bCs/>
          <w:color w:val="000000" w:themeColor="text1"/>
          <w:lang w:val="es-ES"/>
        </w:rPr>
      </w:pPr>
      <w:r w:rsidRPr="00BC3A80">
        <w:rPr>
          <w:rFonts w:ascii="Verdana" w:eastAsia="Arial" w:hAnsi="Verdana" w:cs="Arial"/>
          <w:color w:val="000000" w:themeColor="text1"/>
          <w:lang w:val="es-ES"/>
        </w:rPr>
        <w:lastRenderedPageBreak/>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4F2B0FF0" w14:textId="77777777" w:rsidR="00BC3A80" w:rsidRPr="00BC3A80" w:rsidRDefault="00BC3A80" w:rsidP="00BC3A80">
      <w:pPr>
        <w:spacing w:after="120" w:line="276" w:lineRule="auto"/>
        <w:ind w:firstLine="709"/>
        <w:jc w:val="both"/>
        <w:rPr>
          <w:rFonts w:ascii="Verdana" w:eastAsiaTheme="minorHAnsi" w:hAnsi="Verdana" w:cs="Arial"/>
          <w:bCs/>
          <w:color w:val="000000" w:themeColor="text1"/>
          <w:lang w:val="es-ES"/>
        </w:rPr>
      </w:pPr>
      <w:r w:rsidRPr="00BC3A80">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BC3A80">
        <w:rPr>
          <w:rFonts w:ascii="Verdana" w:eastAsiaTheme="minorHAnsi"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420F47EC" w14:textId="77777777" w:rsidR="00BC3A80" w:rsidRPr="00BC3A80" w:rsidRDefault="00BC3A80" w:rsidP="00BC3A80">
      <w:pPr>
        <w:tabs>
          <w:tab w:val="left" w:pos="709"/>
        </w:tabs>
        <w:spacing w:before="120" w:line="276" w:lineRule="auto"/>
        <w:jc w:val="both"/>
        <w:rPr>
          <w:rFonts w:ascii="Verdana" w:eastAsiaTheme="minorHAnsi" w:hAnsi="Verdana" w:cs="Arial"/>
          <w:bCs/>
          <w:color w:val="000000" w:themeColor="text1"/>
          <w:lang w:val="es-ES"/>
        </w:rPr>
      </w:pPr>
      <w:r w:rsidRPr="00BC3A80">
        <w:rPr>
          <w:rFonts w:ascii="Verdana" w:eastAsiaTheme="minorHAnsi" w:hAnsi="Verdana" w:cs="Arial"/>
          <w:bCs/>
          <w:color w:val="000000" w:themeColor="text1"/>
          <w:lang w:val="es-ES"/>
        </w:rPr>
        <w:tab/>
        <w:t>1) La contratación referente a la defensa y seguridad del Estado;</w:t>
      </w:r>
    </w:p>
    <w:p w14:paraId="5F470B7D" w14:textId="77777777" w:rsidR="00BC3A80" w:rsidRPr="00BC3A80" w:rsidRDefault="00BC3A80" w:rsidP="00BC3A80">
      <w:pPr>
        <w:tabs>
          <w:tab w:val="left" w:pos="709"/>
        </w:tabs>
        <w:spacing w:before="120" w:line="276" w:lineRule="auto"/>
        <w:jc w:val="both"/>
        <w:rPr>
          <w:rFonts w:ascii="Verdana" w:eastAsiaTheme="minorHAnsi" w:hAnsi="Verdana" w:cs="Arial"/>
          <w:bCs/>
          <w:color w:val="000000" w:themeColor="text1"/>
          <w:lang w:val="es-ES"/>
        </w:rPr>
      </w:pPr>
      <w:r w:rsidRPr="00BC3A80">
        <w:rPr>
          <w:rFonts w:ascii="Verdana" w:eastAsiaTheme="minorHAnsi" w:hAnsi="Verdana" w:cs="Arial"/>
          <w:bCs/>
          <w:color w:val="000000" w:themeColor="text1"/>
          <w:lang w:val="es-ES"/>
        </w:rPr>
        <w:tab/>
        <w:t>2) Los contratos de crédito público;</w:t>
      </w:r>
    </w:p>
    <w:p w14:paraId="4390A3AF" w14:textId="77777777" w:rsidR="00BC3A80" w:rsidRPr="00BC3A80" w:rsidRDefault="00BC3A80" w:rsidP="00BC3A80">
      <w:pPr>
        <w:tabs>
          <w:tab w:val="left" w:pos="709"/>
        </w:tabs>
        <w:spacing w:before="120" w:line="276" w:lineRule="auto"/>
        <w:jc w:val="both"/>
        <w:rPr>
          <w:rFonts w:ascii="Verdana" w:eastAsiaTheme="minorHAnsi" w:hAnsi="Verdana" w:cs="Arial"/>
          <w:bCs/>
          <w:color w:val="000000" w:themeColor="text1"/>
          <w:lang w:val="es-ES"/>
        </w:rPr>
      </w:pPr>
      <w:r w:rsidRPr="00BC3A80">
        <w:rPr>
          <w:rFonts w:ascii="Verdana" w:eastAsiaTheme="minorHAnsi" w:hAnsi="Verdana" w:cs="Arial"/>
          <w:bCs/>
          <w:color w:val="000000" w:themeColor="text1"/>
          <w:lang w:val="es-ES"/>
        </w:rPr>
        <w:tab/>
        <w:t xml:space="preserve">3) Los contratos requeridos para cubrir las emergencias educativas, sanitarias y desastres; </w:t>
      </w:r>
    </w:p>
    <w:p w14:paraId="1EE45248" w14:textId="77777777" w:rsidR="00BC3A80" w:rsidRPr="00BC3A80" w:rsidRDefault="00BC3A80" w:rsidP="00BC3A80">
      <w:pPr>
        <w:tabs>
          <w:tab w:val="left" w:pos="709"/>
        </w:tabs>
        <w:spacing w:before="120" w:line="276" w:lineRule="auto"/>
        <w:jc w:val="both"/>
        <w:rPr>
          <w:rFonts w:ascii="Verdana" w:eastAsiaTheme="minorHAnsi" w:hAnsi="Verdana" w:cs="Arial"/>
          <w:bCs/>
          <w:color w:val="000000" w:themeColor="text1"/>
          <w:lang w:val="es-ES"/>
        </w:rPr>
      </w:pPr>
      <w:r w:rsidRPr="00BC3A80">
        <w:rPr>
          <w:rFonts w:ascii="Verdana" w:eastAsiaTheme="minorHAnsi" w:hAnsi="Verdana" w:cs="Arial"/>
          <w:bCs/>
          <w:color w:val="000000" w:themeColor="text1"/>
          <w:lang w:val="es-ES"/>
        </w:rPr>
        <w:tab/>
        <w:t>4) La contratación para la reconstrucción de vías, puentes, carreteras, infraestructura energética y de comunicaciones, en caso de que hayan sido objeto de atentados, acciones terroristas, desastres naturales o casos de fuerza mayor y;</w:t>
      </w:r>
    </w:p>
    <w:p w14:paraId="3835689A" w14:textId="77777777" w:rsidR="00BC3A80" w:rsidRPr="00BC3A80" w:rsidRDefault="00BC3A80" w:rsidP="00BC3A80">
      <w:pPr>
        <w:tabs>
          <w:tab w:val="left" w:pos="709"/>
        </w:tabs>
        <w:spacing w:before="120" w:line="276" w:lineRule="auto"/>
        <w:jc w:val="both"/>
        <w:rPr>
          <w:rFonts w:ascii="Verdana" w:eastAsiaTheme="minorHAnsi" w:hAnsi="Verdana" w:cs="Arial"/>
          <w:bCs/>
          <w:color w:val="000000" w:themeColor="text1"/>
          <w:lang w:val="es-ES"/>
        </w:rPr>
      </w:pPr>
      <w:r w:rsidRPr="00BC3A80">
        <w:rPr>
          <w:rFonts w:ascii="Verdana" w:eastAsiaTheme="minorHAnsi" w:hAnsi="Verdana" w:cs="Arial"/>
          <w:bCs/>
          <w:color w:val="000000" w:themeColor="text1"/>
          <w:lang w:val="es-ES"/>
        </w:rPr>
        <w:tab/>
        <w:t xml:space="preserve">5) La contratación que deban realizar las entidades sanitarias y hospitalarias. </w:t>
      </w:r>
    </w:p>
    <w:p w14:paraId="73FAAA9E" w14:textId="77777777" w:rsidR="00BC3A80" w:rsidRPr="00BC3A80" w:rsidRDefault="00BC3A80" w:rsidP="00BC3A80">
      <w:pPr>
        <w:tabs>
          <w:tab w:val="left" w:pos="426"/>
        </w:tabs>
        <w:spacing w:before="120" w:line="276" w:lineRule="auto"/>
        <w:ind w:firstLine="709"/>
        <w:jc w:val="both"/>
        <w:rPr>
          <w:rFonts w:ascii="Verdana" w:eastAsiaTheme="minorHAnsi" w:hAnsi="Verdana" w:cs="Arial"/>
          <w:bCs/>
          <w:color w:val="000000" w:themeColor="text1"/>
          <w:lang w:val="es-ES"/>
        </w:rPr>
      </w:pPr>
      <w:r w:rsidRPr="00BC3A80">
        <w:rPr>
          <w:rFonts w:ascii="Verdana" w:eastAsiaTheme="minorHAnsi"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727064F5" w14:textId="77777777" w:rsidR="00BC3A80" w:rsidRPr="00BC3A80" w:rsidRDefault="00BC3A80" w:rsidP="00BC3A80">
      <w:pPr>
        <w:tabs>
          <w:tab w:val="left" w:pos="426"/>
        </w:tabs>
        <w:spacing w:after="0" w:line="240" w:lineRule="auto"/>
        <w:ind w:firstLine="709"/>
        <w:jc w:val="both"/>
        <w:rPr>
          <w:rFonts w:ascii="Verdana" w:eastAsiaTheme="minorHAnsi" w:hAnsi="Verdana" w:cs="Arial"/>
          <w:bCs/>
          <w:color w:val="000000" w:themeColor="text1"/>
          <w:lang w:val="es-ES"/>
        </w:rPr>
      </w:pPr>
    </w:p>
    <w:p w14:paraId="5CDE0B0E" w14:textId="77777777" w:rsidR="00BC3A80" w:rsidRPr="00BC3A80" w:rsidRDefault="00BC3A80" w:rsidP="00BC3A80">
      <w:pPr>
        <w:shd w:val="clear" w:color="auto" w:fill="FFFFFF"/>
        <w:spacing w:after="0" w:line="240" w:lineRule="auto"/>
        <w:ind w:left="709" w:right="709"/>
        <w:jc w:val="both"/>
        <w:rPr>
          <w:rFonts w:ascii="Verdana" w:eastAsiaTheme="minorHAnsi" w:hAnsi="Verdana" w:cs="Arial"/>
          <w:color w:val="000000" w:themeColor="text1"/>
          <w:sz w:val="20"/>
          <w:szCs w:val="20"/>
          <w:lang w:val="es-ES" w:eastAsia="es-CO"/>
        </w:rPr>
      </w:pPr>
      <w:r w:rsidRPr="00BC3A80">
        <w:rPr>
          <w:rFonts w:ascii="Verdana" w:eastAsiaTheme="minorHAnsi" w:hAnsi="Verdana" w:cs="Arial"/>
          <w:color w:val="000000" w:themeColor="text1"/>
          <w:sz w:val="20"/>
          <w:szCs w:val="20"/>
          <w:lang w:val="es-ES" w:eastAsia="es-CO"/>
        </w:rPr>
        <w:t xml:space="preserve">“[…] Las excepciones establecidas en los artículos 32 y 33 en comento, guardan relación, exclusivamente, con algunos servicios públicos que por </w:t>
      </w:r>
      <w:r w:rsidRPr="00BC3A80">
        <w:rPr>
          <w:rFonts w:ascii="Verdana" w:eastAsiaTheme="minorHAnsi" w:hAnsi="Verdana" w:cs="Arial"/>
          <w:color w:val="000000" w:themeColor="text1"/>
          <w:sz w:val="20"/>
          <w:szCs w:val="20"/>
          <w:lang w:val="es-ES" w:eastAsia="es-CO"/>
        </w:rPr>
        <w:lastRenderedPageBreak/>
        <w:t>su naturaleza no admiten postergaciones en la atención de sus necesidades de personal, bienes y servicios [...]</w:t>
      </w:r>
      <w:r w:rsidRPr="00BC3A80">
        <w:rPr>
          <w:rFonts w:ascii="Verdana" w:eastAsiaTheme="minorHAnsi" w:hAnsi="Verdana" w:cs="Arial"/>
          <w:color w:val="000000" w:themeColor="text1"/>
          <w:sz w:val="20"/>
          <w:szCs w:val="20"/>
          <w:vertAlign w:val="superscript"/>
          <w:lang w:val="es-ES" w:eastAsia="es-CO"/>
        </w:rPr>
        <w:footnoteReference w:id="18"/>
      </w:r>
      <w:r w:rsidRPr="00BC3A80">
        <w:rPr>
          <w:rFonts w:ascii="Verdana" w:eastAsiaTheme="minorHAnsi" w:hAnsi="Verdana" w:cs="Arial"/>
          <w:color w:val="000000" w:themeColor="text1"/>
          <w:sz w:val="20"/>
          <w:szCs w:val="20"/>
          <w:lang w:val="es-ES" w:eastAsia="es-CO"/>
        </w:rPr>
        <w:t xml:space="preserve">”. </w:t>
      </w:r>
    </w:p>
    <w:p w14:paraId="4D5B0242" w14:textId="77777777" w:rsidR="00BC3A80" w:rsidRPr="00BC3A80" w:rsidRDefault="00BC3A80" w:rsidP="00BC3A80">
      <w:pPr>
        <w:shd w:val="clear" w:color="auto" w:fill="FFFFFF"/>
        <w:spacing w:after="0" w:line="240" w:lineRule="auto"/>
        <w:ind w:left="709" w:right="709"/>
        <w:jc w:val="both"/>
        <w:rPr>
          <w:rFonts w:ascii="Verdana" w:eastAsiaTheme="minorHAnsi" w:hAnsi="Verdana" w:cs="Arial"/>
          <w:color w:val="000000" w:themeColor="text1"/>
          <w:sz w:val="20"/>
          <w:szCs w:val="20"/>
          <w:lang w:val="es-ES" w:eastAsia="es-CO"/>
        </w:rPr>
      </w:pPr>
    </w:p>
    <w:p w14:paraId="37728694" w14:textId="77777777" w:rsidR="00BC3A80" w:rsidRPr="00BC3A80" w:rsidRDefault="00BC3A80" w:rsidP="00BC3A80">
      <w:pPr>
        <w:tabs>
          <w:tab w:val="left" w:pos="426"/>
        </w:tabs>
        <w:spacing w:before="120" w:after="120" w:line="276" w:lineRule="auto"/>
        <w:ind w:firstLine="709"/>
        <w:jc w:val="both"/>
        <w:rPr>
          <w:rFonts w:ascii="Verdana" w:eastAsiaTheme="minorHAnsi" w:hAnsi="Verdana" w:cs="Arial"/>
          <w:color w:val="000000" w:themeColor="text1"/>
          <w:shd w:val="clear" w:color="auto" w:fill="FFFFFF"/>
          <w:lang w:val="es-ES"/>
        </w:rPr>
      </w:pPr>
      <w:r w:rsidRPr="00BC3A80">
        <w:rPr>
          <w:rFonts w:ascii="Verdana" w:eastAsiaTheme="minorHAnsi"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BC3A80">
        <w:rPr>
          <w:rFonts w:ascii="Verdana" w:eastAsiaTheme="minorHAnsi"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BC3A80">
        <w:rPr>
          <w:rFonts w:ascii="Verdana" w:eastAsiaTheme="minorHAnsi" w:hAnsi="Verdana" w:cs="Arial"/>
          <w:i/>
          <w:color w:val="000000" w:themeColor="text1"/>
          <w:lang w:val="es-ES"/>
        </w:rPr>
        <w:t xml:space="preserve">Las excepciones aplicables a la restricción de contratación pública. </w:t>
      </w:r>
      <w:r w:rsidRPr="00BC3A80">
        <w:rPr>
          <w:rFonts w:ascii="Verdana" w:eastAsiaTheme="minorHAnsi"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BC3A80">
        <w:rPr>
          <w:rFonts w:ascii="Verdana" w:eastAsiaTheme="minorHAnsi" w:hAnsi="Verdana" w:cs="Arial"/>
          <w:color w:val="000000" w:themeColor="text1"/>
          <w:shd w:val="clear" w:color="auto" w:fill="FFFFFF"/>
          <w:vertAlign w:val="superscript"/>
          <w:lang w:val="es-ES"/>
        </w:rPr>
        <w:footnoteReference w:id="19"/>
      </w:r>
      <w:r w:rsidRPr="00BC3A80">
        <w:rPr>
          <w:rFonts w:ascii="Verdana" w:eastAsiaTheme="minorHAnsi" w:hAnsi="Verdana" w:cs="Arial"/>
          <w:color w:val="000000" w:themeColor="text1"/>
          <w:shd w:val="clear" w:color="auto" w:fill="FFFFFF"/>
          <w:lang w:val="es-ES"/>
        </w:rPr>
        <w:t>.</w:t>
      </w:r>
    </w:p>
    <w:p w14:paraId="3FA1A51F" w14:textId="77777777" w:rsidR="00BC3A80" w:rsidRPr="00BC3A80" w:rsidRDefault="00BC3A80" w:rsidP="00BC3A80">
      <w:pPr>
        <w:tabs>
          <w:tab w:val="left" w:pos="426"/>
        </w:tabs>
        <w:spacing w:after="120" w:line="276" w:lineRule="auto"/>
        <w:ind w:firstLine="709"/>
        <w:jc w:val="both"/>
        <w:rPr>
          <w:rFonts w:ascii="Verdana" w:eastAsiaTheme="minorHAnsi" w:hAnsi="Verdana" w:cs="Arial"/>
          <w:bCs/>
          <w:color w:val="000000" w:themeColor="text1"/>
          <w:lang w:val="es-ES"/>
        </w:rPr>
      </w:pPr>
      <w:r w:rsidRPr="00BC3A80">
        <w:rPr>
          <w:rFonts w:ascii="Verdana" w:eastAsiaTheme="minorHAnsi" w:hAnsi="Verdana" w:cs="Arial"/>
          <w:bCs/>
          <w:color w:val="000000" w:themeColor="text1"/>
          <w:lang w:val="es-ES"/>
        </w:rPr>
        <w:t xml:space="preserve">Lo anterior implica que las excepciones al artículo 33 en comento deben interpretarse y aplicarse de manera </w:t>
      </w:r>
      <w:r w:rsidRPr="00BC3A80">
        <w:rPr>
          <w:rFonts w:ascii="Verdana" w:eastAsiaTheme="minorHAnsi" w:hAnsi="Verdana" w:cs="Arial"/>
          <w:bCs/>
          <w:i/>
          <w:iCs/>
          <w:color w:val="000000" w:themeColor="text1"/>
          <w:lang w:val="es-ES"/>
        </w:rPr>
        <w:t>estricta</w:t>
      </w:r>
      <w:r w:rsidRPr="00BC3A80">
        <w:rPr>
          <w:rFonts w:ascii="Verdana" w:eastAsiaTheme="minorHAnsi" w:hAnsi="Verdana" w:cs="Arial"/>
          <w:bCs/>
          <w:color w:val="000000" w:themeColor="text1"/>
          <w:lang w:val="es-ES"/>
        </w:rPr>
        <w:t>. En otras palabras, no es factible hacer interpretaciones extensivas</w:t>
      </w:r>
      <w:r w:rsidRPr="00BC3A80">
        <w:rPr>
          <w:rFonts w:ascii="Verdana" w:eastAsiaTheme="minorHAnsi" w:hAnsi="Verdana" w:cs="Arial"/>
          <w:bCs/>
          <w:i/>
          <w:iCs/>
          <w:color w:val="000000" w:themeColor="text1"/>
          <w:lang w:val="es-ES"/>
        </w:rPr>
        <w:t xml:space="preserve"> </w:t>
      </w:r>
      <w:r w:rsidRPr="00BC3A80">
        <w:rPr>
          <w:rFonts w:ascii="Verdana" w:eastAsiaTheme="minorHAnsi"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3748696F" w14:textId="77777777" w:rsidR="00BC3A80" w:rsidRPr="00BC3A80" w:rsidRDefault="00BC3A80" w:rsidP="00BC3A80">
      <w:pPr>
        <w:spacing w:after="120" w:line="276" w:lineRule="auto"/>
        <w:ind w:firstLine="709"/>
        <w:jc w:val="both"/>
        <w:rPr>
          <w:rFonts w:ascii="Verdana" w:hAnsi="Verdana" w:cs="Arial"/>
          <w:bCs/>
          <w:color w:val="000000" w:themeColor="text1"/>
          <w:lang w:val="es-ES"/>
        </w:rPr>
      </w:pPr>
      <w:r w:rsidRPr="00BC3A80">
        <w:rPr>
          <w:rFonts w:ascii="Verdana" w:hAnsi="Verdana" w:cs="Arial"/>
          <w:bCs/>
          <w:color w:val="000000" w:themeColor="text1"/>
          <w:lang w:val="es-ES"/>
        </w:rPr>
        <w:t>Particularmente, 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Además, esta norma dispone que dichas operaciones y las conexas con éstas se contratarán en forma directa.</w:t>
      </w:r>
    </w:p>
    <w:p w14:paraId="700192A0" w14:textId="77777777" w:rsidR="00BC3A80" w:rsidRPr="00BC3A80" w:rsidRDefault="00BC3A80" w:rsidP="00BC3A80">
      <w:pPr>
        <w:spacing w:after="120" w:line="276" w:lineRule="auto"/>
        <w:ind w:firstLine="709"/>
        <w:jc w:val="both"/>
        <w:rPr>
          <w:rFonts w:ascii="Verdana" w:hAnsi="Verdana" w:cs="Arial"/>
          <w:bCs/>
          <w:color w:val="000000" w:themeColor="text1"/>
        </w:rPr>
      </w:pPr>
      <w:r w:rsidRPr="00BC3A80">
        <w:rPr>
          <w:rFonts w:ascii="Verdana" w:hAnsi="Verdana" w:cs="Arial"/>
          <w:bCs/>
          <w:color w:val="000000" w:themeColor="text1"/>
          <w:lang w:val="es-ES"/>
        </w:rPr>
        <w:t xml:space="preserve">En ejercicio de sus facultades reglamentarias, el Gobierno Nacional recogió la definición legal de este tipo de operaciones y la amplió mediante el </w:t>
      </w:r>
      <w:r w:rsidRPr="00BC3A80">
        <w:rPr>
          <w:rFonts w:ascii="Verdana" w:hAnsi="Verdana" w:cs="Arial"/>
          <w:bCs/>
          <w:color w:val="000000" w:themeColor="text1"/>
          <w:lang w:val="es-ES"/>
        </w:rPr>
        <w:lastRenderedPageBreak/>
        <w:t>Decreto 2681 de 1993</w:t>
      </w:r>
      <w:r w:rsidRPr="00BC3A80">
        <w:rPr>
          <w:rFonts w:ascii="Verdana" w:hAnsi="Verdana" w:cs="Arial"/>
          <w:bCs/>
          <w:color w:val="000000" w:themeColor="text1"/>
          <w:vertAlign w:val="superscript"/>
          <w:lang w:val="es-ES"/>
        </w:rPr>
        <w:footnoteReference w:id="20"/>
      </w:r>
      <w:r w:rsidRPr="00BC3A80">
        <w:rPr>
          <w:rFonts w:ascii="Verdana" w:hAnsi="Verdana" w:cs="Arial"/>
          <w:bCs/>
          <w:color w:val="000000" w:themeColor="text1"/>
          <w:lang w:val="es-ES"/>
        </w:rPr>
        <w:t>, norma compilada, a su vez, en el artículo 2.2.1.1.1. del Decreto 1068 de 2015</w:t>
      </w:r>
      <w:r w:rsidRPr="00BC3A80">
        <w:rPr>
          <w:rFonts w:ascii="Verdana" w:hAnsi="Verdana" w:cs="Arial"/>
          <w:bCs/>
          <w:color w:val="000000" w:themeColor="text1"/>
          <w:vertAlign w:val="superscript"/>
          <w:lang w:val="es-ES"/>
        </w:rPr>
        <w:footnoteReference w:id="21"/>
      </w:r>
      <w:r w:rsidRPr="00BC3A80">
        <w:rPr>
          <w:rFonts w:ascii="Verdana" w:hAnsi="Verdana" w:cs="Arial"/>
          <w:bCs/>
          <w:color w:val="000000" w:themeColor="text1"/>
          <w:lang w:val="es-ES"/>
        </w:rPr>
        <w:t xml:space="preserve">. Este último dispuso que </w:t>
      </w:r>
      <w:r w:rsidRPr="00BC3A80">
        <w:rPr>
          <w:rFonts w:ascii="Verdana" w:hAnsi="Verdana" w:cs="Arial"/>
          <w:bCs/>
          <w:color w:val="000000" w:themeColor="text1"/>
        </w:rPr>
        <w:t xml:space="preserve">“[s]on operaciones de crédito público los actos o contratos que tienen por objeto dotar a la entidad estatal de recursos, bienes o servicios con plazo para su pago o aquellas mediante las cuales la entidad actúa como deudor solidario o garante de obligaciones de pago”. La norma reglamentaria agregó que dentro de estas operaciones están comprendidas, entre otras, </w:t>
      </w:r>
      <w:r w:rsidRPr="00BC3A80">
        <w:rPr>
          <w:rFonts w:ascii="Verdana" w:hAnsi="Verdana" w:cs="Arial"/>
          <w:bCs/>
          <w:i/>
          <w:iCs/>
          <w:color w:val="000000" w:themeColor="text1"/>
        </w:rPr>
        <w:t>la contratación de empréstitos</w:t>
      </w:r>
      <w:r w:rsidRPr="00BC3A80">
        <w:rPr>
          <w:rFonts w:ascii="Verdana" w:hAnsi="Verdana" w:cs="Arial"/>
          <w:bCs/>
          <w:color w:val="000000" w:themeColor="text1"/>
        </w:rPr>
        <w:t>, la emisión, suscripción y colocación de títulos de deuda pública, los créditos de proveedores y el otorgamiento de garantías para obligaciones de pago a cargo de entidades estatales.</w:t>
      </w:r>
    </w:p>
    <w:p w14:paraId="0762F306" w14:textId="77777777" w:rsidR="00BC3A80" w:rsidRPr="00BC3A80" w:rsidRDefault="00BC3A80" w:rsidP="00BC3A80">
      <w:pPr>
        <w:spacing w:after="120" w:line="276" w:lineRule="auto"/>
        <w:ind w:firstLine="709"/>
        <w:jc w:val="both"/>
        <w:rPr>
          <w:rFonts w:ascii="Verdana" w:hAnsi="Verdana" w:cs="Arial"/>
          <w:bCs/>
          <w:color w:val="000000" w:themeColor="text1"/>
        </w:rPr>
      </w:pPr>
      <w:r w:rsidRPr="00BC3A80">
        <w:rPr>
          <w:rFonts w:ascii="Verdana" w:eastAsiaTheme="minorHAnsi" w:hAnsi="Verdana" w:cs="Arial"/>
          <w:lang w:val="es-ES"/>
        </w:rPr>
        <w:t>Al respecto, el Consejo de Estado define el contrato de empréstito como “Una deuda u obligación adquirida por el Estado con las entidades de crédito, nacionales o extranjeras y/o particulares, en moneda nacional o extranjera, con una fecha de vencimiento y bajo una determinada tasa de interés”.</w:t>
      </w:r>
      <w:r w:rsidRPr="00BC3A80">
        <w:rPr>
          <w:rFonts w:ascii="Verdana" w:eastAsiaTheme="minorHAnsi" w:hAnsi="Verdana" w:cs="Arial"/>
          <w:vertAlign w:val="superscript"/>
          <w:lang w:val="es-ES"/>
        </w:rPr>
        <w:footnoteReference w:id="22"/>
      </w:r>
    </w:p>
    <w:p w14:paraId="7A11DA0F" w14:textId="77777777" w:rsidR="00BC3A80" w:rsidRPr="00BC3A80" w:rsidRDefault="00BC3A80" w:rsidP="00BC3A80">
      <w:pPr>
        <w:spacing w:after="120" w:line="276" w:lineRule="auto"/>
        <w:ind w:firstLine="709"/>
        <w:jc w:val="both"/>
        <w:rPr>
          <w:rFonts w:ascii="Verdana" w:hAnsi="Verdana" w:cs="Arial"/>
          <w:bCs/>
          <w:color w:val="000000" w:themeColor="text1"/>
        </w:rPr>
      </w:pPr>
      <w:r w:rsidRPr="00BC3A80">
        <w:rPr>
          <w:rFonts w:ascii="Verdana" w:hAnsi="Verdana" w:cs="Arial"/>
          <w:bCs/>
          <w:color w:val="000000" w:themeColor="text1"/>
        </w:rPr>
        <w:t>De esta forma, los</w:t>
      </w:r>
      <w:r w:rsidRPr="00BC3A80">
        <w:rPr>
          <w:rFonts w:ascii="Verdana" w:eastAsiaTheme="minorHAnsi" w:hAnsi="Verdana" w:cs="Arial"/>
          <w:lang w:val="es-ES"/>
        </w:rPr>
        <w:t xml:space="preserve"> contratos de empréstitos son una operación de crédito público, a través de la cual la entidad territorial, la Nación o las entidades descentralizadas de estas, podrán satisfacer las necesidades que tengan en materia de gastos de inversión, creando una “relación económica en virtud de la cual el Estado recibe dinero de terceros, creándose un vínculo de deudor y acreedor”</w:t>
      </w:r>
      <w:r w:rsidRPr="00BC3A80">
        <w:rPr>
          <w:rFonts w:ascii="Verdana" w:eastAsiaTheme="minorHAnsi" w:hAnsi="Verdana" w:cs="Arial"/>
          <w:vertAlign w:val="superscript"/>
          <w:lang w:val="es-ES"/>
        </w:rPr>
        <w:footnoteReference w:id="23"/>
      </w:r>
      <w:r w:rsidRPr="00BC3A80">
        <w:rPr>
          <w:rFonts w:ascii="Verdana" w:eastAsiaTheme="minorHAnsi" w:hAnsi="Verdana" w:cs="Arial"/>
          <w:lang w:val="es-ES"/>
        </w:rPr>
        <w:t>.</w:t>
      </w:r>
      <w:r w:rsidRPr="00BC3A80">
        <w:rPr>
          <w:rFonts w:ascii="Verdana" w:hAnsi="Verdana" w:cs="Arial"/>
          <w:bCs/>
          <w:color w:val="000000" w:themeColor="text1"/>
        </w:rPr>
        <w:t xml:space="preserve"> </w:t>
      </w:r>
    </w:p>
    <w:p w14:paraId="19E76A16" w14:textId="77777777" w:rsidR="00BC3A80" w:rsidRPr="00BC3A80" w:rsidRDefault="00BC3A80" w:rsidP="00BC3A80">
      <w:pPr>
        <w:spacing w:after="120" w:line="276" w:lineRule="auto"/>
        <w:ind w:firstLine="709"/>
        <w:jc w:val="both"/>
        <w:rPr>
          <w:rFonts w:ascii="Verdana" w:eastAsiaTheme="minorHAnsi" w:hAnsi="Verdana" w:cs="Arial"/>
          <w:lang w:val="es-ES"/>
        </w:rPr>
      </w:pPr>
      <w:r w:rsidRPr="00BC3A80">
        <w:rPr>
          <w:rFonts w:ascii="Verdana" w:hAnsi="Verdana" w:cs="Arial"/>
          <w:bCs/>
          <w:color w:val="000000" w:themeColor="text1"/>
        </w:rPr>
        <w:t>En consecuencia</w:t>
      </w:r>
      <w:r w:rsidRPr="00BC3A80">
        <w:rPr>
          <w:rFonts w:ascii="Verdana" w:eastAsiaTheme="minorHAnsi" w:hAnsi="Verdana" w:cs="Arial"/>
          <w:lang w:val="es-ES"/>
        </w:rPr>
        <w:t xml:space="preserve">, la excepción del artículo 33 de la Ley 996 de 2005 a la prohibición a la contratación directa en el periodo previo a la elección presidencial, cobija a los contratos de empréstitos en la medida en que estos son contratos de crédito público, lo que significa que pueden contratarse directamente durante el periodo preelectoral. </w:t>
      </w:r>
    </w:p>
    <w:p w14:paraId="5DDD928D" w14:textId="77777777" w:rsidR="00BC3A80" w:rsidRPr="00BC3A80" w:rsidRDefault="00BC3A80" w:rsidP="00BC3A80">
      <w:pPr>
        <w:spacing w:after="120" w:line="276" w:lineRule="auto"/>
        <w:jc w:val="both"/>
        <w:rPr>
          <w:rFonts w:ascii="Verdana" w:eastAsia="Times New Roman" w:hAnsi="Verdana" w:cs="Arial"/>
          <w:lang w:val="es-MX" w:eastAsia="x-none"/>
        </w:rPr>
      </w:pPr>
      <w:r w:rsidRPr="00BC3A80">
        <w:rPr>
          <w:rFonts w:ascii="Verdana" w:eastAsiaTheme="minorHAnsi" w:hAnsi="Verdana" w:cs="Arial"/>
          <w:lang w:val="es-ES"/>
        </w:rPr>
        <w:t xml:space="preserve">iv. Ahora bien, respecto del alcance del parágrafo </w:t>
      </w:r>
      <w:r w:rsidRPr="00BC3A80">
        <w:rPr>
          <w:rFonts w:ascii="Verdana" w:hAnsi="Verdana" w:cs="Arial"/>
        </w:rPr>
        <w:t xml:space="preserve">del artículo 38 de la Ley 996 de 2005, es preciso reiterar que esta prohibición dispone que: “[l]os Gobernadores, Alcaldes Municipales y/o Distritales, Secretarios, Gerentes y directores de Entidades Descentralizadas del orden Municipal, Departamental o </w:t>
      </w:r>
      <w:r w:rsidRPr="00BC3A80">
        <w:rPr>
          <w:rFonts w:ascii="Verdana" w:hAnsi="Verdana" w:cs="Arial"/>
        </w:rPr>
        <w:lastRenderedPageBreak/>
        <w:t xml:space="preserve">Distrital, dentro de los cuatro (4) meses anteriores a las elecciones, no podrán celebrar </w:t>
      </w:r>
      <w:r w:rsidRPr="00BC3A80">
        <w:rPr>
          <w:rFonts w:ascii="Verdana" w:hAnsi="Verdana" w:cs="Arial"/>
          <w:i/>
          <w:iCs/>
        </w:rPr>
        <w:t>convenios interadministrativos</w:t>
      </w:r>
      <w:r w:rsidRPr="00BC3A80">
        <w:rPr>
          <w:rFonts w:ascii="Verdana" w:hAnsi="Verdana" w:cs="Arial"/>
        </w:rPr>
        <w:t xml:space="preserve"> </w:t>
      </w:r>
      <w:r w:rsidRPr="00BC3A80">
        <w:rPr>
          <w:rFonts w:ascii="Verdana" w:hAnsi="Verdana" w:cs="Arial"/>
          <w:i/>
          <w:iCs/>
        </w:rPr>
        <w:t>para la ejecución de recursos públicos</w:t>
      </w:r>
      <w:r w:rsidRPr="00BC3A80">
        <w:rPr>
          <w:rFonts w:ascii="Verdana" w:hAnsi="Verdana" w:cs="Arial"/>
        </w:rPr>
        <w:t>”.</w:t>
      </w:r>
      <w:r w:rsidRPr="00BC3A80">
        <w:rPr>
          <w:rFonts w:ascii="Verdana" w:eastAsia="Times New Roman" w:hAnsi="Verdana" w:cs="Arial"/>
          <w:lang w:val="es-MX" w:eastAsia="x-none"/>
        </w:rPr>
        <w:t xml:space="preserve"> [Énfasis fuera del texto original]</w:t>
      </w:r>
    </w:p>
    <w:p w14:paraId="184C0CC8" w14:textId="77777777" w:rsidR="00BC3A80" w:rsidRPr="00BC3A80" w:rsidRDefault="00BC3A80" w:rsidP="00BC3A80">
      <w:pPr>
        <w:spacing w:after="120" w:line="276" w:lineRule="auto"/>
        <w:ind w:firstLine="709"/>
        <w:jc w:val="both"/>
        <w:rPr>
          <w:rFonts w:ascii="Verdana" w:hAnsi="Verdana" w:cs="Arial"/>
          <w:lang w:eastAsia="es-ES"/>
        </w:rPr>
      </w:pPr>
      <w:r w:rsidRPr="00BC3A80">
        <w:rPr>
          <w:rFonts w:ascii="Verdana" w:eastAsia="Times New Roman" w:hAnsi="Verdana" w:cs="Arial"/>
          <w:lang w:val="es-ES" w:eastAsia="es-ES_tradnl"/>
        </w:rPr>
        <w:t xml:space="preserve">Para tales efectos, debe precisarse que </w:t>
      </w:r>
      <w:r w:rsidRPr="00BC3A80">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BC3A80">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BC3A80">
        <w:rPr>
          <w:rFonts w:ascii="Verdana" w:hAnsi="Verdana" w:cs="Arial"/>
          <w:vertAlign w:val="superscript"/>
          <w:lang w:eastAsia="es-ES"/>
        </w:rPr>
        <w:footnoteReference w:id="24"/>
      </w:r>
      <w:r w:rsidRPr="00BC3A80">
        <w:rPr>
          <w:rFonts w:ascii="Verdana" w:hAnsi="Verdana" w:cs="Arial"/>
          <w:lang w:eastAsia="es-ES"/>
        </w:rPr>
        <w:t>.</w:t>
      </w:r>
    </w:p>
    <w:p w14:paraId="38931B2A" w14:textId="77777777" w:rsidR="00BC3A80" w:rsidRPr="00BC3A80" w:rsidRDefault="00BC3A80" w:rsidP="00BC3A80">
      <w:pPr>
        <w:spacing w:after="120" w:line="276" w:lineRule="auto"/>
        <w:ind w:firstLine="709"/>
        <w:jc w:val="both"/>
        <w:rPr>
          <w:rFonts w:ascii="Verdana" w:hAnsi="Verdana" w:cs="Arial"/>
          <w:color w:val="000000" w:themeColor="text1"/>
          <w:lang w:val="es-ES_tradnl"/>
        </w:rPr>
      </w:pPr>
      <w:r w:rsidRPr="00BC3A80">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7E85F12C" w14:textId="77777777" w:rsidR="00BC3A80" w:rsidRPr="00BC3A80" w:rsidRDefault="00BC3A80" w:rsidP="00BC3A80">
      <w:pPr>
        <w:spacing w:before="120" w:after="0" w:line="276" w:lineRule="auto"/>
        <w:ind w:firstLine="708"/>
        <w:jc w:val="both"/>
        <w:rPr>
          <w:rFonts w:ascii="Verdana" w:eastAsiaTheme="minorHAnsi" w:hAnsi="Verdana" w:cs="Arial"/>
          <w:lang w:val="es-ES_tradnl"/>
        </w:rPr>
      </w:pPr>
      <w:r w:rsidRPr="00BC3A80">
        <w:rPr>
          <w:rFonts w:ascii="Verdana" w:hAnsi="Verdana" w:cs="Arial"/>
          <w:lang w:val="es-ES_tradnl"/>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BC3A80">
        <w:rPr>
          <w:rFonts w:ascii="Verdana" w:hAnsi="Verdana" w:cs="Arial"/>
          <w:vertAlign w:val="superscript"/>
          <w:lang w:val="es-ES_tradnl"/>
        </w:rPr>
        <w:footnoteReference w:id="25"/>
      </w:r>
      <w:r w:rsidRPr="00BC3A80">
        <w:rPr>
          <w:rFonts w:ascii="Verdana" w:hAnsi="Verdana" w:cs="Arial"/>
          <w:lang w:val="es-ES_tradnl"/>
        </w:rPr>
        <w:t>. Nótese que, en este caso, lo que cambia es la modalidad de selección y no la naturaleza de contrato interadministrativo.</w:t>
      </w:r>
    </w:p>
    <w:p w14:paraId="738219CB" w14:textId="77777777" w:rsidR="00BC3A80" w:rsidRPr="00BC3A80" w:rsidRDefault="00BC3A80" w:rsidP="00BC3A80">
      <w:pPr>
        <w:spacing w:before="120" w:after="0" w:line="276" w:lineRule="auto"/>
        <w:ind w:firstLine="708"/>
        <w:jc w:val="both"/>
        <w:rPr>
          <w:rFonts w:ascii="Verdana" w:hAnsi="Verdana" w:cs="Arial"/>
          <w:lang w:val="es-ES_tradnl"/>
        </w:rPr>
      </w:pPr>
      <w:r w:rsidRPr="00BC3A80">
        <w:rPr>
          <w:rFonts w:ascii="Verdana" w:hAnsi="Verdana" w:cs="Arial"/>
          <w:lang w:val="es-ES_tradnl"/>
        </w:rPr>
        <w:t xml:space="preserve">Además, es necesario tener en cuenta que para que un contrato o convenio interadministrativo exista debe cumplir con los siguientes elementos: </w:t>
      </w:r>
      <w:r w:rsidRPr="00BC3A80">
        <w:rPr>
          <w:rFonts w:ascii="Verdana" w:hAnsi="Verdana" w:cs="Arial"/>
          <w:lang w:val="es-ES_tradnl"/>
        </w:rPr>
        <w:lastRenderedPageBreak/>
        <w:t>acuerdo sobre el objeto y la contraprestación y que conste por escrito</w:t>
      </w:r>
      <w:r w:rsidRPr="00BC3A80">
        <w:rPr>
          <w:rFonts w:ascii="Verdana" w:hAnsi="Verdana" w:cs="Arial"/>
          <w:vertAlign w:val="superscript"/>
          <w:lang w:val="es-ES_tradnl"/>
        </w:rPr>
        <w:footnoteReference w:id="26"/>
      </w:r>
      <w:r w:rsidRPr="00BC3A80">
        <w:rPr>
          <w:rFonts w:ascii="Verdana" w:hAnsi="Verdana" w:cs="Arial"/>
          <w:lang w:val="es-ES_tradnl"/>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612487D7" w14:textId="77777777" w:rsidR="00BC3A80" w:rsidRPr="00BC3A80" w:rsidRDefault="00BC3A80" w:rsidP="00BC3A80">
      <w:pPr>
        <w:spacing w:before="120" w:after="0" w:line="276" w:lineRule="auto"/>
        <w:ind w:firstLine="708"/>
        <w:jc w:val="both"/>
        <w:rPr>
          <w:rFonts w:ascii="Verdana" w:hAnsi="Verdana"/>
          <w:sz w:val="24"/>
          <w:szCs w:val="24"/>
          <w:lang w:eastAsia="es-CO"/>
        </w:rPr>
      </w:pPr>
      <w:r w:rsidRPr="00BC3A80">
        <w:rPr>
          <w:rFonts w:ascii="Verdana" w:hAnsi="Verdana" w:cs="Arial"/>
          <w:lang w:val="es-ES_tradnl"/>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BC3A80">
        <w:rPr>
          <w:rFonts w:ascii="Verdana" w:hAnsi="Verdana" w:cs="Arial"/>
          <w:vertAlign w:val="superscript"/>
          <w:lang w:val="es-ES_tradnl"/>
        </w:rPr>
        <w:footnoteReference w:id="27"/>
      </w:r>
      <w:r w:rsidRPr="00BC3A80">
        <w:rPr>
          <w:rFonts w:ascii="Verdana" w:hAnsi="Verdana" w:cs="Arial"/>
          <w:lang w:val="es-ES_tradnl"/>
        </w:rPr>
        <w:t>, pues, de acuerdo con lo anotado, esta clase de acuerdos de voluntades se definen por un criterio orgánico, por lo que uno de sus elementos esenciales es que en los extremos de la relación jurídico negocial concurran personas de derecho público</w:t>
      </w:r>
      <w:r w:rsidRPr="00BC3A80">
        <w:rPr>
          <w:rFonts w:ascii="Verdana" w:hAnsi="Verdana"/>
          <w:sz w:val="24"/>
          <w:szCs w:val="24"/>
          <w:lang w:eastAsia="es-CO"/>
        </w:rPr>
        <w:t>.</w:t>
      </w:r>
    </w:p>
    <w:p w14:paraId="517C3020" w14:textId="77777777" w:rsidR="00BC3A80" w:rsidRPr="00BC3A80" w:rsidRDefault="00BC3A80" w:rsidP="00BC3A80">
      <w:pPr>
        <w:spacing w:before="120" w:after="0" w:line="276" w:lineRule="auto"/>
        <w:ind w:firstLine="708"/>
        <w:jc w:val="both"/>
        <w:rPr>
          <w:rFonts w:ascii="Verdana" w:eastAsia="Times New Roman" w:hAnsi="Verdana" w:cs="Arial"/>
          <w:lang w:val="es-MX" w:eastAsia="es-CO"/>
        </w:rPr>
      </w:pPr>
      <w:r w:rsidRPr="00BC3A80">
        <w:rPr>
          <w:rFonts w:ascii="Verdana" w:eastAsia="Arial" w:hAnsi="Verdana" w:cs="Arial"/>
          <w:lang w:val="es-MX" w:eastAsia="es-ES" w:bidi="es-ES"/>
        </w:rPr>
        <w:t>De esta manera, s</w:t>
      </w:r>
      <w:r w:rsidRPr="00BC3A80">
        <w:rPr>
          <w:rFonts w:ascii="Verdana" w:eastAsia="Times New Roman" w:hAnsi="Verdana" w:cs="Arial"/>
          <w:lang w:eastAsia="es-CO"/>
        </w:rPr>
        <w:t xml:space="preserve">e observa entonces que </w:t>
      </w:r>
      <w:r w:rsidRPr="00BC3A80">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BC3A80">
        <w:rPr>
          <w:rFonts w:ascii="Verdana" w:eastAsia="Times New Roman" w:hAnsi="Verdana" w:cs="Arial"/>
          <w:i/>
          <w:iCs/>
          <w:lang w:val="es-MX" w:eastAsia="es-CO"/>
        </w:rPr>
        <w:t>convenios interadministrativos</w:t>
      </w:r>
      <w:r w:rsidRPr="00BC3A80">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BC3A80">
        <w:rPr>
          <w:rFonts w:ascii="Verdana" w:eastAsia="Times New Roman" w:hAnsi="Verdana" w:cs="Arial"/>
          <w:i/>
          <w:lang w:val="es-MX" w:eastAsia="es-CO"/>
        </w:rPr>
        <w:t>ibidem</w:t>
      </w:r>
      <w:r w:rsidRPr="00BC3A80">
        <w:rPr>
          <w:rFonts w:ascii="Verdana" w:eastAsia="Times New Roman" w:hAnsi="Verdana" w:cs="Arial"/>
          <w:lang w:val="es-MX" w:eastAsia="es-CO"/>
        </w:rPr>
        <w:t xml:space="preserve">, no podrá celebrar tales </w:t>
      </w:r>
      <w:r w:rsidRPr="00BC3A80">
        <w:rPr>
          <w:rFonts w:ascii="Verdana" w:eastAsia="Times New Roman" w:hAnsi="Verdana" w:cs="Arial"/>
          <w:i/>
          <w:iCs/>
          <w:lang w:val="es-MX" w:eastAsia="es-CO"/>
        </w:rPr>
        <w:t>convenios</w:t>
      </w:r>
      <w:r w:rsidRPr="00BC3A80">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244F207B" w14:textId="77777777" w:rsidR="00BC3A80" w:rsidRPr="00BC3A80" w:rsidRDefault="00BC3A80" w:rsidP="00BC3A80">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val="es-MX" w:eastAsia="es-CO"/>
        </w:rPr>
        <w:t>Respecto del alcance de esta prohibición la Circular Externa No. 006 de 2025 expedida por la ANCP -CCE, en los literales ii) y iv)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w:t>
      </w:r>
      <w:r w:rsidRPr="00BC3A80">
        <w:rPr>
          <w:rFonts w:ascii="Verdana" w:eastAsia="Times New Roman" w:hAnsi="Verdana" w:cs="Arial"/>
          <w:lang w:eastAsia="es-CO"/>
        </w:rPr>
        <w:lastRenderedPageBreak/>
        <w:t xml:space="preserve">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0A9DD4E5" w14:textId="77777777" w:rsidR="00BC3A80" w:rsidRPr="00BC3A80" w:rsidRDefault="00BC3A80" w:rsidP="00BC3A80">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w:t>
      </w:r>
      <w:r w:rsidRPr="00BC3A80">
        <w:rPr>
          <w:rFonts w:ascii="Verdana" w:eastAsia="Times New Roman" w:hAnsi="Verdana" w:cs="Arial"/>
          <w:i/>
          <w:iCs/>
          <w:lang w:eastAsia="es-CO"/>
        </w:rPr>
        <w:t>ejecución de recursos públicos</w:t>
      </w:r>
      <w:r w:rsidRPr="00BC3A80">
        <w:rPr>
          <w:rFonts w:ascii="Verdana" w:eastAsia="Times New Roman" w:hAnsi="Verdana" w:cs="Arial"/>
          <w:lang w:eastAsia="es-CO"/>
        </w:rPr>
        <w:t xml:space="preserve">. Esto significa que la prohibición no resulta aplicable a </w:t>
      </w:r>
      <w:r w:rsidRPr="00BC3A80">
        <w:rPr>
          <w:rFonts w:ascii="Verdana" w:eastAsia="Times New Roman" w:hAnsi="Verdana" w:cs="Arial"/>
          <w:i/>
          <w:iCs/>
          <w:lang w:eastAsia="es-CO"/>
        </w:rPr>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63FD103C" w14:textId="77777777" w:rsidR="00BC3A80" w:rsidRPr="00BC3A80" w:rsidRDefault="00BC3A80" w:rsidP="00BC3A80">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De esta manera, conforme a lo dispuesto en la Circular referida, si se suscriben </w:t>
      </w:r>
      <w:r w:rsidRPr="00BC3A80">
        <w:rPr>
          <w:rFonts w:ascii="Verdana" w:eastAsia="Times New Roman" w:hAnsi="Verdana" w:cs="Arial"/>
          <w:i/>
          <w:iCs/>
          <w:lang w:eastAsia="es-CO"/>
        </w:rPr>
        <w:t>convenios interadministrativos para la ejecución de recursos públicos</w:t>
      </w:r>
      <w:r w:rsidRPr="00BC3A80">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BC3A80">
        <w:rPr>
          <w:rFonts w:ascii="Verdana" w:eastAsia="Times New Roman" w:hAnsi="Verdana" w:cs="Arial"/>
          <w:i/>
          <w:iCs/>
          <w:lang w:eastAsia="es-CO"/>
        </w:rPr>
        <w:t>ibidem</w:t>
      </w:r>
      <w:r w:rsidRPr="00BC3A80">
        <w:rPr>
          <w:rFonts w:ascii="Verdana" w:eastAsia="Times New Roman" w:hAnsi="Verdana" w:cs="Arial"/>
          <w:lang w:eastAsia="es-CO"/>
        </w:rPr>
        <w:t>, independientemente de que se configure alguno de los supuestos de excepción que señaló el inciso final del artículo 33, es decir, que se trate de:</w:t>
      </w:r>
      <w:r w:rsidRPr="00BC3A80">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C3A80">
        <w:rPr>
          <w:rFonts w:ascii="Verdana" w:hAnsi="Verdana" w:cs="Arial"/>
          <w:bCs/>
          <w:lang w:val="es-MX" w:eastAsia="es-CO"/>
        </w:rPr>
        <w:t xml:space="preserve"> </w:t>
      </w:r>
      <w:r w:rsidRPr="00BC3A80">
        <w:rPr>
          <w:rFonts w:ascii="Verdana" w:eastAsia="Times New Roman" w:hAnsi="Verdana" w:cs="Arial"/>
          <w:lang w:eastAsia="es-CO"/>
        </w:rPr>
        <w:t xml:space="preserve">  </w:t>
      </w:r>
    </w:p>
    <w:p w14:paraId="7E64ACBA" w14:textId="77777777" w:rsidR="00BC3A80" w:rsidRPr="00BC3A80" w:rsidRDefault="00BC3A80" w:rsidP="00BC3A80">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En este punto, vale la pena destacar que </w:t>
      </w:r>
      <w:r w:rsidRPr="00BC3A80">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BC3A80">
        <w:rPr>
          <w:rFonts w:ascii="Verdana" w:hAnsi="Verdana" w:cs="Arial"/>
        </w:rPr>
        <w:t>numeral 16.2 de la Circular Externa Única de 2022 expedida por la Agencia Nacional de Contratación Pública -Colombia Compra Eficiente-, concretamente, respecto de los siguientes apartes normativos</w:t>
      </w:r>
      <w:r w:rsidRPr="00BC3A80">
        <w:rPr>
          <w:rFonts w:ascii="Verdana" w:hAnsi="Verdana" w:cs="Arial"/>
          <w:vertAlign w:val="superscript"/>
        </w:rPr>
        <w:footnoteReference w:id="28"/>
      </w:r>
      <w:r w:rsidRPr="00BC3A80">
        <w:rPr>
          <w:rFonts w:ascii="Verdana" w:hAnsi="Verdana" w:cs="Arial"/>
        </w:rPr>
        <w:t>:</w:t>
      </w:r>
      <w:r w:rsidRPr="00BC3A80">
        <w:rPr>
          <w:rFonts w:cs="Arial"/>
        </w:rPr>
        <w:t xml:space="preserve"> </w:t>
      </w:r>
    </w:p>
    <w:p w14:paraId="77436117" w14:textId="77777777" w:rsidR="00BC3A80" w:rsidRPr="00BC3A80" w:rsidRDefault="00BC3A80" w:rsidP="00BC3A80">
      <w:pPr>
        <w:spacing w:after="0" w:line="276" w:lineRule="auto"/>
        <w:ind w:firstLine="709"/>
        <w:jc w:val="both"/>
        <w:rPr>
          <w:rFonts w:cs="Arial"/>
        </w:rPr>
      </w:pPr>
    </w:p>
    <w:p w14:paraId="6EF0A391" w14:textId="77777777" w:rsidR="00BC3A80" w:rsidRPr="00BC3A80" w:rsidRDefault="00BC3A80" w:rsidP="00BC3A80">
      <w:pPr>
        <w:spacing w:after="0" w:line="240" w:lineRule="auto"/>
        <w:ind w:left="709" w:right="709"/>
        <w:jc w:val="both"/>
        <w:rPr>
          <w:rFonts w:ascii="Verdana" w:hAnsi="Verdana" w:cs="Arial"/>
          <w:sz w:val="20"/>
          <w:szCs w:val="20"/>
        </w:rPr>
      </w:pPr>
      <w:r w:rsidRPr="00BC3A80">
        <w:rPr>
          <w:rFonts w:ascii="Verdana" w:hAnsi="Verdana" w:cs="Arial"/>
          <w:sz w:val="20"/>
          <w:szCs w:val="20"/>
          <w:lang w:val="es-MX"/>
        </w:rPr>
        <w:t>i)</w:t>
      </w:r>
      <w:r w:rsidRPr="00BC3A80">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w:t>
      </w:r>
      <w:r w:rsidRPr="00BC3A80">
        <w:rPr>
          <w:rFonts w:ascii="Verdana" w:hAnsi="Verdana" w:cs="Arial"/>
          <w:sz w:val="20"/>
          <w:szCs w:val="20"/>
        </w:rPr>
        <w:lastRenderedPageBreak/>
        <w:t xml:space="preserve">la modalidad de selección para la contratación entre entidades públicas a través de estas dos figuras jurídicas” y, </w:t>
      </w:r>
    </w:p>
    <w:p w14:paraId="20BFE764" w14:textId="77777777" w:rsidR="00BC3A80" w:rsidRPr="00BC3A80" w:rsidRDefault="00BC3A80" w:rsidP="00BC3A80">
      <w:pPr>
        <w:spacing w:after="0" w:line="240" w:lineRule="auto"/>
        <w:ind w:left="709" w:right="709"/>
        <w:jc w:val="both"/>
        <w:rPr>
          <w:rFonts w:ascii="Verdana" w:hAnsi="Verdana" w:cs="Arial"/>
          <w:sz w:val="20"/>
          <w:szCs w:val="20"/>
        </w:rPr>
      </w:pPr>
    </w:p>
    <w:p w14:paraId="7D1CA896" w14:textId="77777777" w:rsidR="00BC3A80" w:rsidRPr="00BC3A80" w:rsidRDefault="00BC3A80" w:rsidP="00BC3A80">
      <w:pPr>
        <w:spacing w:after="0" w:line="240" w:lineRule="auto"/>
        <w:ind w:left="709" w:right="709"/>
        <w:jc w:val="both"/>
        <w:rPr>
          <w:rFonts w:ascii="Verdana" w:hAnsi="Verdana" w:cs="Arial"/>
          <w:sz w:val="20"/>
          <w:szCs w:val="20"/>
        </w:rPr>
      </w:pPr>
      <w:r w:rsidRPr="00BC3A80">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F7C8AB6" w14:textId="77777777" w:rsidR="00BC3A80" w:rsidRPr="00BC3A80" w:rsidRDefault="00BC3A80" w:rsidP="00BC3A80">
      <w:pPr>
        <w:spacing w:after="0" w:line="276" w:lineRule="auto"/>
        <w:ind w:left="709" w:right="709"/>
        <w:jc w:val="both"/>
        <w:rPr>
          <w:rFonts w:ascii="Verdana" w:hAnsi="Verdana" w:cs="Arial"/>
        </w:rPr>
      </w:pPr>
    </w:p>
    <w:p w14:paraId="77E24AA5" w14:textId="77777777" w:rsidR="00BC3A80" w:rsidRPr="00BC3A80" w:rsidRDefault="00BC3A80" w:rsidP="00BC3A80">
      <w:pPr>
        <w:spacing w:after="120" w:line="276" w:lineRule="auto"/>
        <w:ind w:firstLine="709"/>
        <w:jc w:val="both"/>
        <w:rPr>
          <w:rFonts w:ascii="Verdana" w:eastAsia="Arial" w:hAnsi="Verdana" w:cs="Arial"/>
          <w:i/>
          <w:iCs/>
          <w:lang w:eastAsia="es-ES" w:bidi="es-ES"/>
        </w:rPr>
      </w:pPr>
      <w:r w:rsidRPr="00BC3A80">
        <w:rPr>
          <w:rFonts w:ascii="Verdana" w:eastAsia="Arial" w:hAnsi="Verdana" w:cs="Arial"/>
          <w:lang w:val="es-MX" w:eastAsia="es-ES" w:bidi="es-ES"/>
        </w:rPr>
        <w:t xml:space="preserve">De conformidad con los argumentos de dicha providencia, se parte de la distinción entre los conceptos </w:t>
      </w:r>
      <w:r w:rsidRPr="00BC3A80">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BC3A80">
        <w:rPr>
          <w:rFonts w:ascii="Times New Roman" w:hAnsi="Times New Roman"/>
          <w:sz w:val="24"/>
          <w:szCs w:val="24"/>
          <w:lang w:eastAsia="es-CO"/>
        </w:rPr>
        <w:t xml:space="preserve"> </w:t>
      </w:r>
      <w:r w:rsidRPr="00BC3A80">
        <w:rPr>
          <w:rFonts w:ascii="Verdana" w:eastAsia="Arial" w:hAnsi="Verdana" w:cs="Arial"/>
          <w:lang w:eastAsia="es-ES" w:bidi="es-ES"/>
        </w:rPr>
        <w:t xml:space="preserve">En este sentido, en relación con el parágrafo del artículo 38 de la Ley 996 de 2005 concluyó que </w:t>
      </w:r>
      <w:r w:rsidRPr="00BC3A80">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BC3A80">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BC3A80">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3F5696AD" w14:textId="77777777" w:rsidR="00BC3A80" w:rsidRPr="00BC3A80" w:rsidRDefault="00BC3A80" w:rsidP="00BC3A80">
      <w:pPr>
        <w:spacing w:after="120" w:line="276" w:lineRule="auto"/>
        <w:ind w:firstLine="709"/>
        <w:jc w:val="both"/>
        <w:rPr>
          <w:rFonts w:ascii="Verdana" w:eastAsia="Arial" w:hAnsi="Verdana" w:cs="Arial"/>
          <w:lang w:eastAsia="es-ES" w:bidi="es-ES"/>
        </w:rPr>
      </w:pPr>
      <w:r w:rsidRPr="00BC3A80">
        <w:rPr>
          <w:rFonts w:ascii="Verdana" w:eastAsia="Arial" w:hAnsi="Verdana" w:cs="Arial"/>
          <w:lang w:eastAsia="es-ES" w:bidi="es-ES"/>
        </w:rPr>
        <w:t>De igual manera, mediante auto del 6 de noviembre de 2025, el Consejo de Estado, Subsección A de la Sección Tercera, decretó</w:t>
      </w:r>
      <w:r w:rsidRPr="00BC3A80">
        <w:rPr>
          <w:rFonts w:ascii="Verdana" w:eastAsia="Arial" w:hAnsi="Verdana" w:cs="Arial"/>
          <w:b/>
          <w:bCs/>
          <w:lang w:eastAsia="es-ES" w:bidi="es-ES"/>
        </w:rPr>
        <w:t xml:space="preserve"> </w:t>
      </w:r>
      <w:r w:rsidRPr="00BC3A80">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BC3A80">
        <w:rPr>
          <w:rFonts w:ascii="Verdana" w:eastAsia="Arial" w:hAnsi="Verdana" w:cs="Arial"/>
          <w:vertAlign w:val="superscript"/>
          <w:lang w:eastAsia="es-ES" w:bidi="es-ES"/>
        </w:rPr>
        <w:footnoteReference w:id="29"/>
      </w:r>
      <w:r w:rsidRPr="00BC3A80">
        <w:rPr>
          <w:rFonts w:ascii="Verdana" w:eastAsia="Arial" w:hAnsi="Verdana" w:cs="Arial"/>
          <w:lang w:eastAsia="es-ES" w:bidi="es-ES"/>
        </w:rPr>
        <w:t xml:space="preserve">. Para tales </w:t>
      </w:r>
      <w:r w:rsidRPr="00BC3A80">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77DF32B3" w14:textId="77777777" w:rsidR="00BC3A80" w:rsidRPr="00BC3A80" w:rsidRDefault="00BC3A80" w:rsidP="00BC3A80">
      <w:pPr>
        <w:spacing w:after="120" w:line="276" w:lineRule="auto"/>
        <w:ind w:firstLine="709"/>
        <w:jc w:val="both"/>
        <w:rPr>
          <w:rFonts w:ascii="Verdana" w:eastAsia="Times New Roman" w:hAnsi="Verdana" w:cs="Arial"/>
          <w:lang w:eastAsia="es-CO"/>
        </w:rPr>
      </w:pPr>
      <w:r w:rsidRPr="00BC3A80">
        <w:rPr>
          <w:rFonts w:ascii="Verdana" w:eastAsia="Times New Roman" w:hAnsi="Verdana" w:cs="Arial"/>
          <w:lang w:eastAsia="es-CO"/>
        </w:rPr>
        <w:t xml:space="preserve">Así las cosas, a la luz de lo expuesto por el Consejo de Estado en los autos del 4 de octubre de 2024 y 6 de noviembre de 2025, no resultaría aplicable la prohibición del parágrafo del artículo 38 de la Ley de Garantías Electorales a los </w:t>
      </w:r>
      <w:r w:rsidRPr="00BC3A80">
        <w:rPr>
          <w:rFonts w:ascii="Verdana" w:eastAsia="Times New Roman" w:hAnsi="Verdana" w:cs="Arial"/>
          <w:i/>
          <w:iCs/>
          <w:lang w:eastAsia="es-CO"/>
        </w:rPr>
        <w:t>contratos interadministrativos</w:t>
      </w:r>
      <w:r w:rsidRPr="00BC3A80">
        <w:rPr>
          <w:rFonts w:ascii="Verdana" w:eastAsia="Times New Roman" w:hAnsi="Verdana" w:cs="Arial"/>
          <w:lang w:eastAsia="es-CO"/>
        </w:rPr>
        <w:t xml:space="preserve">. </w:t>
      </w:r>
    </w:p>
    <w:p w14:paraId="48A904A6" w14:textId="77777777" w:rsidR="00BC3A80" w:rsidRPr="00BC3A80" w:rsidRDefault="00BC3A80" w:rsidP="00BC3A80">
      <w:pPr>
        <w:spacing w:after="120" w:line="276" w:lineRule="auto"/>
        <w:ind w:firstLine="709"/>
        <w:jc w:val="both"/>
        <w:rPr>
          <w:rFonts w:ascii="Verdana" w:eastAsia="Times New Roman" w:hAnsi="Verdana" w:cs="Arial"/>
          <w:lang w:eastAsia="es-CO"/>
        </w:rPr>
      </w:pPr>
      <w:r w:rsidRPr="00BC3A80">
        <w:rPr>
          <w:rFonts w:ascii="Verdana" w:eastAsia="Times New Roman" w:hAnsi="Verdana" w:cs="Arial"/>
          <w:lang w:eastAsia="es-CO"/>
        </w:rPr>
        <w:t xml:space="preserve">En este contexto, frente a la consulta planteada, resulta necesario verificar dos aspectos fundamentales: (i) si la celebración del contrato de empréstito involucra a alguno de los sujetos mencionados en el parágrafo del artículo 38 de la Ley de Garantías Electorales, y (ii) si el objeto proyectado tiene la naturaleza de un convenio interadministrativo destinado a la ejecución de recursos públicos. </w:t>
      </w:r>
      <w:r w:rsidRPr="00BC3A80">
        <w:rPr>
          <w:rFonts w:ascii="Verdana" w:hAnsi="Verdana" w:cs="Arial"/>
        </w:rPr>
        <w:t>Cuando este sea el caso</w:t>
      </w:r>
      <w:r w:rsidRPr="00BC3A80">
        <w:rPr>
          <w:rFonts w:ascii="Verdana" w:eastAsia="Times New Roman" w:hAnsi="Verdana" w:cs="Arial"/>
          <w:lang w:eastAsia="es-CO"/>
        </w:rPr>
        <w:t xml:space="preserve">, opera la prohibición establecida en la norma, restringiendo la celebración de tales convenios durante los cuatro meses previos a cualquier contienda electoral, pues como se indicó, la restricción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17242574" w14:textId="77777777" w:rsidR="00BC3A80" w:rsidRPr="00BC3A80" w:rsidRDefault="00BC3A80" w:rsidP="00BC3A80">
      <w:pPr>
        <w:spacing w:after="120" w:line="276" w:lineRule="auto"/>
        <w:ind w:firstLine="709"/>
        <w:jc w:val="both"/>
        <w:rPr>
          <w:rFonts w:ascii="Verdana" w:eastAsia="Times New Roman" w:hAnsi="Verdana" w:cs="Arial"/>
          <w:lang w:eastAsia="es-CO"/>
        </w:rPr>
      </w:pPr>
      <w:r w:rsidRPr="00BC3A80">
        <w:rPr>
          <w:rFonts w:ascii="Verdana" w:eastAsia="Times New Roman" w:hAnsi="Verdana" w:cs="Arial"/>
          <w:lang w:eastAsia="es-CO"/>
        </w:rPr>
        <w:t xml:space="preserve">Por su parte, conforme a lo señalado por el Consejo de Estado, cuando dos entidades públicas celebren un </w:t>
      </w:r>
      <w:r w:rsidRPr="00BC3A80">
        <w:rPr>
          <w:rFonts w:ascii="Verdana" w:eastAsia="Times New Roman" w:hAnsi="Verdana" w:cs="Arial"/>
          <w:i/>
          <w:iCs/>
          <w:lang w:eastAsia="es-CO"/>
        </w:rPr>
        <w:t>contrato interadministrativo,</w:t>
      </w:r>
      <w:r w:rsidRPr="00BC3A80">
        <w:rPr>
          <w:rFonts w:ascii="Verdana" w:eastAsia="Times New Roman" w:hAnsi="Verdana" w:cs="Arial"/>
          <w:lang w:eastAsia="es-CO"/>
        </w:rPr>
        <w:t xml:space="preserve"> independientemente del objeto, dicho contrato puede suscribirse durante el periodo preelectoral. Por consiguiente y de acuerdo con la referida posición del Consejo de Estado, si el contrato de empréstito involucra a alguno de los sujetos mencionados en el parágrafo del artículo 38 de la Ley de Garantías Electorales y se constituye como un contrato interadministrativo no le resulta aplicable la limitación prevista en el parágrafo del artículo 38. </w:t>
      </w:r>
    </w:p>
    <w:p w14:paraId="60BDA21D" w14:textId="77777777" w:rsidR="00BC3A80" w:rsidRPr="00BC3A80" w:rsidRDefault="00BC3A80" w:rsidP="00BC3A80">
      <w:pPr>
        <w:spacing w:after="120" w:line="276" w:lineRule="auto"/>
        <w:ind w:firstLine="709"/>
        <w:jc w:val="both"/>
        <w:rPr>
          <w:rFonts w:ascii="Verdana" w:eastAsia="Arial" w:hAnsi="Verdana" w:cs="Arial"/>
          <w:lang w:val="es-ES" w:eastAsia="es-ES" w:bidi="es-ES"/>
        </w:rPr>
      </w:pPr>
      <w:r w:rsidRPr="00BC3A80">
        <w:rPr>
          <w:rFonts w:ascii="Verdana" w:eastAsia="Times New Roman" w:hAnsi="Verdana" w:cs="Arial"/>
          <w:lang w:val="es-ES" w:eastAsia="es-CO" w:bidi="es-ES"/>
        </w:rPr>
        <w:lastRenderedPageBreak/>
        <w:t>En todo caso</w:t>
      </w:r>
      <w:r w:rsidRPr="00BC3A80">
        <w:rPr>
          <w:rFonts w:ascii="Verdana" w:eastAsia="Arial" w:hAnsi="Verdana" w:cs="Arial"/>
          <w:lang w:val="es-ES" w:eastAsia="es-ES" w:bidi="es-ES"/>
        </w:rPr>
        <w:t>,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BC3A80">
        <w:rPr>
          <w:rFonts w:ascii="Verdana" w:eastAsia="Arial" w:hAnsi="Verdana" w:cs="Arial"/>
          <w:vertAlign w:val="superscript"/>
          <w:lang w:val="es-ES" w:eastAsia="es-ES" w:bidi="es-ES"/>
        </w:rPr>
        <w:footnoteReference w:id="30"/>
      </w:r>
      <w:r w:rsidRPr="00BC3A80">
        <w:rPr>
          <w:rFonts w:ascii="Verdana" w:eastAsia="Arial" w:hAnsi="Verdana" w:cs="Arial"/>
          <w:lang w:val="es-ES" w:eastAsia="es-ES" w:bidi="es-ES"/>
        </w:rPr>
        <w:t>.</w:t>
      </w:r>
    </w:p>
    <w:p w14:paraId="66011D9B" w14:textId="77777777" w:rsidR="00BC3A80" w:rsidRPr="00BC3A80" w:rsidRDefault="00BC3A80" w:rsidP="00BC3A80">
      <w:pPr>
        <w:spacing w:after="120" w:line="276" w:lineRule="auto"/>
        <w:ind w:firstLine="709"/>
        <w:jc w:val="both"/>
        <w:rPr>
          <w:rFonts w:ascii="Verdana" w:eastAsia="Arial" w:hAnsi="Verdana" w:cs="Arial"/>
          <w:bCs/>
          <w:color w:val="000000" w:themeColor="text1"/>
          <w:lang w:val="es-ES"/>
        </w:rPr>
      </w:pPr>
      <w:r w:rsidRPr="00BC3A80">
        <w:rPr>
          <w:rFonts w:ascii="Verdana" w:eastAsia="Arial" w:hAnsi="Verdana" w:cs="Arial"/>
          <w:lang w:val="es-ES" w:eastAsia="es-ES" w:bidi="es-ES"/>
        </w:rPr>
        <w:t xml:space="preserve">En síntesis, por virtud de las excepciones establecidas en el </w:t>
      </w:r>
      <w:r w:rsidRPr="00BC3A80">
        <w:rPr>
          <w:rFonts w:ascii="Verdana" w:eastAsiaTheme="minorHAnsi" w:hAnsi="Verdana" w:cs="Arial"/>
          <w:bCs/>
          <w:color w:val="000000" w:themeColor="text1"/>
          <w:lang w:val="es-ES"/>
        </w:rPr>
        <w:t xml:space="preserve">segundo inciso del </w:t>
      </w:r>
      <w:r w:rsidRPr="00BC3A80">
        <w:rPr>
          <w:rFonts w:ascii="Verdana" w:eastAsia="Arial" w:hAnsi="Verdana" w:cs="Arial"/>
          <w:lang w:val="es-ES" w:eastAsia="es-ES" w:bidi="es-ES"/>
        </w:rPr>
        <w:t>artículo 33</w:t>
      </w:r>
      <w:r w:rsidRPr="00BC3A80">
        <w:rPr>
          <w:rFonts w:ascii="Verdana" w:eastAsia="Arial" w:hAnsi="Verdana" w:cs="Arial"/>
          <w:bCs/>
          <w:color w:val="000000" w:themeColor="text1"/>
          <w:lang w:val="es-ES"/>
        </w:rPr>
        <w:t xml:space="preserve"> de la Ley de Garantías Electorales, los entes del Estado podrán contratar directamente contratos de empréstitos, </w:t>
      </w:r>
      <w:r w:rsidRPr="00BC3A80">
        <w:rPr>
          <w:rFonts w:ascii="Verdana" w:eastAsia="Arial" w:hAnsi="Verdana" w:cs="Arial"/>
          <w:bCs/>
          <w:color w:val="000000" w:themeColor="text1"/>
        </w:rPr>
        <w:t>durante los cuatro (4) meses anteriores a las elecciones presidenciales</w:t>
      </w:r>
      <w:r w:rsidRPr="00BC3A80">
        <w:rPr>
          <w:rFonts w:ascii="Verdana" w:eastAsia="Arial" w:hAnsi="Verdana" w:cs="Arial"/>
          <w:bCs/>
          <w:color w:val="000000" w:themeColor="text1"/>
          <w:lang w:val="es-ES"/>
        </w:rPr>
        <w:t xml:space="preserve">. Asimismo, si estos contratos se proyectan como contratos interadministrativos, de acuerdo a la postura del Consejo de Estado, tampoco les resultaría aplicable la restricción contenida en el parágrafo del artículo 38, por lo que podrían contratar dentro de </w:t>
      </w:r>
      <w:r w:rsidRPr="00BC3A80">
        <w:rPr>
          <w:rFonts w:ascii="Verdana" w:eastAsia="Arial" w:hAnsi="Verdana" w:cs="Arial"/>
          <w:bCs/>
          <w:color w:val="000000" w:themeColor="text1"/>
        </w:rPr>
        <w:t>los cuatro meses anteriores a las elecciones para cualquier cargo de elección popular a que se refiere la ley, incluido el de Presidente de la República.</w:t>
      </w:r>
    </w:p>
    <w:p w14:paraId="53D9B2CD" w14:textId="77777777" w:rsidR="00BC3A80" w:rsidRPr="00BC3A80" w:rsidRDefault="00BC3A80" w:rsidP="00BC3A80">
      <w:pPr>
        <w:spacing w:after="120" w:line="276" w:lineRule="auto"/>
        <w:ind w:firstLine="709"/>
        <w:jc w:val="both"/>
        <w:rPr>
          <w:rFonts w:ascii="Verdana" w:eastAsia="Arial" w:hAnsi="Verdana" w:cs="Arial"/>
          <w:color w:val="000000" w:themeColor="text1"/>
        </w:rPr>
      </w:pPr>
      <w:r w:rsidRPr="00BC3A80">
        <w:rPr>
          <w:rFonts w:ascii="Verdana" w:eastAsia="Arial" w:hAnsi="Verdana" w:cs="Arial"/>
          <w:bCs/>
          <w:color w:val="000000" w:themeColor="text1"/>
        </w:rPr>
        <w:t xml:space="preserve">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BC3A80">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w:t>
      </w:r>
    </w:p>
    <w:p w14:paraId="61AD471A" w14:textId="77777777" w:rsidR="00BC3A80" w:rsidRPr="00BC3A80" w:rsidRDefault="00BC3A80" w:rsidP="00BC3A80">
      <w:pPr>
        <w:spacing w:after="120" w:line="276" w:lineRule="auto"/>
        <w:jc w:val="both"/>
        <w:rPr>
          <w:rFonts w:ascii="Verdana" w:hAnsi="Verdana" w:cs="Arial"/>
          <w:bCs/>
          <w:color w:val="000000" w:themeColor="text1"/>
        </w:rPr>
      </w:pPr>
      <w:r w:rsidRPr="00BC3A80">
        <w:rPr>
          <w:rFonts w:ascii="Verdana" w:hAnsi="Verdana" w:cs="Arial"/>
          <w:bCs/>
          <w:color w:val="000000" w:themeColor="text1"/>
        </w:rPr>
        <w:t xml:space="preserve">v.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w:t>
      </w:r>
      <w:r w:rsidRPr="00BC3A80">
        <w:rPr>
          <w:rFonts w:ascii="Verdana" w:hAnsi="Verdana" w:cs="Arial"/>
          <w:bCs/>
          <w:color w:val="000000" w:themeColor="text1"/>
        </w:rPr>
        <w:lastRenderedPageBreak/>
        <w:t>de situaciones particulares corresponde a los interesados adoptar la decisión correspondiente y, en caso de conflicto, a las autoridades judiciales, fiscales y disciplinarias.</w:t>
      </w:r>
    </w:p>
    <w:p w14:paraId="4F8D881C" w14:textId="77777777" w:rsidR="00BC3A80" w:rsidRPr="00BC3A80" w:rsidRDefault="00BC3A80" w:rsidP="00BC3A80">
      <w:pPr>
        <w:spacing w:after="0" w:line="276" w:lineRule="auto"/>
        <w:ind w:firstLine="708"/>
        <w:jc w:val="both"/>
        <w:rPr>
          <w:rFonts w:ascii="Verdana" w:hAnsi="Verdana" w:cs="Arial"/>
          <w:bCs/>
          <w:color w:val="000000" w:themeColor="text1"/>
        </w:rPr>
      </w:pPr>
      <w:r w:rsidRPr="00BC3A80">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3AB87F2" w14:textId="77777777" w:rsidR="00BC3A80" w:rsidRPr="00BC3A80" w:rsidRDefault="00BC3A80" w:rsidP="00BC3A80">
      <w:pPr>
        <w:spacing w:after="0" w:line="276" w:lineRule="auto"/>
        <w:ind w:firstLine="708"/>
        <w:jc w:val="both"/>
        <w:rPr>
          <w:rFonts w:ascii="Verdana" w:hAnsi="Verdana" w:cs="Arial"/>
          <w:bCs/>
          <w:color w:val="000000" w:themeColor="text1"/>
        </w:rPr>
      </w:pPr>
    </w:p>
    <w:p w14:paraId="668B065C" w14:textId="77777777" w:rsidR="00BC3A80" w:rsidRPr="00BC3A80" w:rsidRDefault="00BC3A80" w:rsidP="00BC3A80">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Referencias normativas:</w:t>
      </w:r>
    </w:p>
    <w:p w14:paraId="7E7FE124" w14:textId="77777777" w:rsidR="00BC3A80" w:rsidRPr="00BC3A80" w:rsidRDefault="00BC3A80" w:rsidP="00BC3A80">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C3A80" w:rsidRPr="00BC3A80" w14:paraId="501FA7C1" w14:textId="77777777" w:rsidTr="00D014BF">
        <w:trPr>
          <w:trHeight w:val="491"/>
          <w:jc w:val="center"/>
        </w:trPr>
        <w:tc>
          <w:tcPr>
            <w:tcW w:w="8647" w:type="dxa"/>
          </w:tcPr>
          <w:p w14:paraId="0AED2D99" w14:textId="77777777" w:rsidR="00BC3A80" w:rsidRPr="00BC3A80" w:rsidRDefault="00BC3A80" w:rsidP="00BC3A80">
            <w:pPr>
              <w:widowControl w:val="0"/>
              <w:numPr>
                <w:ilvl w:val="0"/>
                <w:numId w:val="17"/>
              </w:numPr>
              <w:autoSpaceDE w:val="0"/>
              <w:autoSpaceDN w:val="0"/>
              <w:spacing w:before="120" w:after="120" w:line="240" w:lineRule="auto"/>
              <w:jc w:val="both"/>
              <w:rPr>
                <w:rFonts w:ascii="Verdana" w:eastAsia="Arial MT" w:hAnsi="Verdana" w:cs="Arial"/>
                <w:lang w:val="es-ES" w:eastAsia="es-ES" w:bidi="es-ES"/>
              </w:rPr>
            </w:pPr>
            <w:r w:rsidRPr="00BC3A80">
              <w:rPr>
                <w:rFonts w:ascii="Verdana" w:eastAsia="Arial MT" w:hAnsi="Verdana" w:cs="Arial"/>
                <w:lang w:val="es-ES" w:eastAsia="es-ES" w:bidi="es-ES"/>
              </w:rPr>
              <w:t>Constitución Política, artículo 127.</w:t>
            </w:r>
          </w:p>
          <w:p w14:paraId="47FB0273" w14:textId="77777777" w:rsidR="00BC3A80" w:rsidRPr="00BC3A80" w:rsidRDefault="00BC3A80" w:rsidP="00BC3A80">
            <w:pPr>
              <w:widowControl w:val="0"/>
              <w:numPr>
                <w:ilvl w:val="0"/>
                <w:numId w:val="17"/>
              </w:numPr>
              <w:autoSpaceDE w:val="0"/>
              <w:autoSpaceDN w:val="0"/>
              <w:spacing w:after="120" w:line="240" w:lineRule="auto"/>
              <w:jc w:val="both"/>
              <w:rPr>
                <w:rFonts w:ascii="Verdana" w:eastAsia="Arial MT" w:hAnsi="Verdana" w:cs="Arial"/>
                <w:lang w:val="es-ES" w:eastAsia="es-ES" w:bidi="es-ES"/>
              </w:rPr>
            </w:pPr>
            <w:r w:rsidRPr="00BC3A80">
              <w:rPr>
                <w:rFonts w:ascii="Verdana" w:eastAsia="Arial MT" w:hAnsi="Verdana" w:cs="Arial"/>
                <w:bCs/>
                <w:lang w:val="es-ES" w:eastAsia="es-ES" w:bidi="es-ES"/>
              </w:rPr>
              <w:t>Ley 996 de 2005, artículos 33 y 38.</w:t>
            </w:r>
          </w:p>
          <w:p w14:paraId="0399D4A4" w14:textId="77777777" w:rsidR="00BC3A80" w:rsidRPr="00BC3A80" w:rsidRDefault="00BC3A80" w:rsidP="00BC3A80">
            <w:pPr>
              <w:widowControl w:val="0"/>
              <w:numPr>
                <w:ilvl w:val="0"/>
                <w:numId w:val="17"/>
              </w:numPr>
              <w:autoSpaceDE w:val="0"/>
              <w:autoSpaceDN w:val="0"/>
              <w:spacing w:after="120" w:line="240" w:lineRule="auto"/>
              <w:jc w:val="both"/>
              <w:rPr>
                <w:rFonts w:ascii="Verdana" w:eastAsia="Arial MT" w:hAnsi="Verdana" w:cs="Arial"/>
                <w:lang w:val="es-ES" w:eastAsia="es-ES" w:bidi="es-ES"/>
              </w:rPr>
            </w:pPr>
            <w:r w:rsidRPr="00BC3A80">
              <w:rPr>
                <w:rFonts w:ascii="Verdana" w:hAnsi="Verdana" w:cs="Arial"/>
                <w:bCs/>
                <w:color w:val="000000" w:themeColor="text1"/>
                <w:lang w:val="es-ES"/>
              </w:rPr>
              <w:t>Decreto 1068 de 2015, artículo 2.2.1.1.1.</w:t>
            </w:r>
          </w:p>
          <w:p w14:paraId="3F7F4968" w14:textId="77777777" w:rsidR="00BC3A80" w:rsidRPr="00BC3A80" w:rsidRDefault="00BC3A80" w:rsidP="00BC3A80">
            <w:pPr>
              <w:widowControl w:val="0"/>
              <w:numPr>
                <w:ilvl w:val="0"/>
                <w:numId w:val="17"/>
              </w:numPr>
              <w:autoSpaceDE w:val="0"/>
              <w:autoSpaceDN w:val="0"/>
              <w:spacing w:after="120" w:line="240" w:lineRule="auto"/>
              <w:jc w:val="both"/>
              <w:rPr>
                <w:rFonts w:ascii="Verdana" w:hAnsi="Verdana" w:cs="Arial"/>
                <w:lang w:val="es-ES"/>
              </w:rPr>
            </w:pPr>
            <w:r w:rsidRPr="00BC3A80">
              <w:rPr>
                <w:rFonts w:ascii="Verdana" w:hAnsi="Verdana" w:cs="Arial"/>
                <w:lang w:val="es-ES"/>
              </w:rPr>
              <w:t xml:space="preserve">Consejo de Estado, Sección Primera. Sentencia de 3 de marzo de 2005, Exp. 2004-00823-01(PI). </w:t>
            </w:r>
          </w:p>
          <w:p w14:paraId="112FEC9B" w14:textId="77777777" w:rsidR="00BC3A80" w:rsidRPr="00BC3A80" w:rsidRDefault="00BC3A80" w:rsidP="00BC3A80">
            <w:pPr>
              <w:widowControl w:val="0"/>
              <w:numPr>
                <w:ilvl w:val="0"/>
                <w:numId w:val="17"/>
              </w:numPr>
              <w:autoSpaceDE w:val="0"/>
              <w:autoSpaceDN w:val="0"/>
              <w:spacing w:after="120" w:line="240" w:lineRule="auto"/>
              <w:jc w:val="both"/>
              <w:rPr>
                <w:rFonts w:ascii="Verdana" w:hAnsi="Verdana" w:cs="Arial"/>
                <w:lang w:val="es-ES"/>
              </w:rPr>
            </w:pPr>
            <w:r w:rsidRPr="00BC3A80">
              <w:rPr>
                <w:rFonts w:ascii="Verdana" w:hAnsi="Verdana" w:cs="Arial"/>
                <w:lang w:val="es-ES"/>
              </w:rPr>
              <w:t xml:space="preserve">Consejo de Estado, Sala de Consulta y Servicio Civil, Concepto de fecha 24 de julio de 2013, Rad. 2166, C. P. Álvaro Namén Vargas. </w:t>
            </w:r>
          </w:p>
          <w:p w14:paraId="7694B745" w14:textId="77777777" w:rsidR="00BC3A80" w:rsidRPr="00BC3A80" w:rsidRDefault="00BC3A80" w:rsidP="00BC3A80">
            <w:pPr>
              <w:numPr>
                <w:ilvl w:val="0"/>
                <w:numId w:val="17"/>
              </w:numPr>
              <w:spacing w:before="120" w:after="120" w:line="276" w:lineRule="auto"/>
              <w:jc w:val="both"/>
              <w:rPr>
                <w:rFonts w:ascii="Verdana" w:hAnsi="Verdana" w:cs="Arial"/>
                <w:lang w:val="es-ES"/>
              </w:rPr>
            </w:pPr>
            <w:r w:rsidRPr="00BC3A80">
              <w:rPr>
                <w:rFonts w:ascii="Verdana" w:hAnsi="Verdana" w:cs="Arial"/>
              </w:rPr>
              <w:t>Consejo de Estado. Sala de Consulta y Servicio Civil. Concepto del 15 de noviembre de 2007. Expediente número 1863. Consejero Ponente: Luis Fernando Álvarez Jaramillo</w:t>
            </w:r>
          </w:p>
          <w:p w14:paraId="4247BE6A" w14:textId="77777777" w:rsidR="00BC3A80" w:rsidRPr="00BC3A80" w:rsidRDefault="00BC3A80" w:rsidP="00BC3A80">
            <w:pPr>
              <w:numPr>
                <w:ilvl w:val="0"/>
                <w:numId w:val="17"/>
              </w:numPr>
              <w:spacing w:before="120" w:after="120" w:line="276" w:lineRule="auto"/>
              <w:jc w:val="both"/>
              <w:rPr>
                <w:rFonts w:ascii="Verdana" w:hAnsi="Verdana" w:cs="Arial"/>
                <w:lang w:val="es-ES"/>
              </w:rPr>
            </w:pPr>
            <w:r w:rsidRPr="00BC3A80">
              <w:rPr>
                <w:rFonts w:ascii="Verdana" w:hAnsi="Verdana" w:cs="Arial"/>
                <w:lang w:val="es-ES"/>
              </w:rPr>
              <w:t>Consejo de Estado. Sala de Consulta y Servicio Civil. Concepto del 17 de febrero de 2015. C.P. William Zambrano Cetina. Radicación No. 11001-03-06-000-2015-00164-00(2269).</w:t>
            </w:r>
          </w:p>
          <w:p w14:paraId="5560B529" w14:textId="77777777" w:rsidR="00BC3A80" w:rsidRPr="00BC3A80" w:rsidRDefault="00BC3A80" w:rsidP="00BC3A80">
            <w:pPr>
              <w:numPr>
                <w:ilvl w:val="0"/>
                <w:numId w:val="17"/>
              </w:numPr>
              <w:spacing w:before="120" w:after="120" w:line="276" w:lineRule="auto"/>
              <w:jc w:val="both"/>
              <w:rPr>
                <w:rFonts w:ascii="Verdana" w:hAnsi="Verdana" w:cs="Arial"/>
                <w:lang w:val="es-ES"/>
              </w:rPr>
            </w:pPr>
            <w:r w:rsidRPr="00BC3A80">
              <w:rPr>
                <w:rFonts w:ascii="Verdana" w:hAnsi="Verdana" w:cs="Arial"/>
                <w:lang w:val="es-ES"/>
              </w:rPr>
              <w:t>Consejo de Estado, Sala de Consulta y Servicio Civil, Concepto de fecha 8 de mayo de 2018, No. 2382. C. P. Álvaro Namén Vargas.</w:t>
            </w:r>
          </w:p>
          <w:p w14:paraId="7A12B8C3" w14:textId="77777777" w:rsidR="00BC3A80" w:rsidRPr="00BC3A80" w:rsidRDefault="00BC3A80" w:rsidP="00BC3A80">
            <w:pPr>
              <w:numPr>
                <w:ilvl w:val="0"/>
                <w:numId w:val="17"/>
              </w:numPr>
              <w:spacing w:before="120" w:after="120" w:line="276" w:lineRule="auto"/>
              <w:jc w:val="both"/>
              <w:rPr>
                <w:rFonts w:ascii="Verdana" w:hAnsi="Verdana" w:cs="Arial"/>
                <w:lang w:val="es-ES"/>
              </w:rPr>
            </w:pPr>
            <w:r w:rsidRPr="00BC3A80">
              <w:rPr>
                <w:rFonts w:ascii="Verdana" w:hAnsi="Verdana" w:cs="Arial"/>
              </w:rPr>
              <w:t>Consejo de Estado. Sala de Consulta y Servicio Civil. Concepto del 2 de septiembre de 2013 Radicado No: 2168. CP: Alvaro Namén Vargas.</w:t>
            </w:r>
          </w:p>
          <w:p w14:paraId="3B470CFF" w14:textId="77777777" w:rsidR="00BC3A80" w:rsidRPr="00BC3A80" w:rsidRDefault="00BC3A80" w:rsidP="00BC3A80">
            <w:pPr>
              <w:widowControl w:val="0"/>
              <w:numPr>
                <w:ilvl w:val="0"/>
                <w:numId w:val="17"/>
              </w:numPr>
              <w:autoSpaceDE w:val="0"/>
              <w:autoSpaceDN w:val="0"/>
              <w:spacing w:after="120" w:line="276" w:lineRule="auto"/>
              <w:jc w:val="both"/>
              <w:rPr>
                <w:rFonts w:ascii="Verdana" w:hAnsi="Verdana" w:cs="Arial"/>
                <w:lang w:val="es-ES"/>
              </w:rPr>
            </w:pPr>
            <w:r w:rsidRPr="00BC3A80">
              <w:rPr>
                <w:rFonts w:ascii="Verdana" w:hAnsi="Verdana" w:cs="Arial"/>
                <w:lang w:val="pt-BR"/>
              </w:rPr>
              <w:t xml:space="preserve">Consejo de Estado, Sección Tercera. Auto del 4 de octubre de 2024. </w:t>
            </w:r>
            <w:r w:rsidRPr="00BC3A80">
              <w:rPr>
                <w:rFonts w:ascii="Verdana" w:hAnsi="Verdana" w:cs="Arial"/>
                <w:lang w:val="pt-BR"/>
              </w:rPr>
              <w:lastRenderedPageBreak/>
              <w:t>Exp. 70.313. C.P: Fredy Ibarra Martínez.</w:t>
            </w:r>
          </w:p>
          <w:p w14:paraId="2FCA6BBA" w14:textId="77777777" w:rsidR="00BC3A80" w:rsidRPr="00BC3A80" w:rsidRDefault="00BC3A80" w:rsidP="00BC3A80">
            <w:pPr>
              <w:widowControl w:val="0"/>
              <w:numPr>
                <w:ilvl w:val="0"/>
                <w:numId w:val="17"/>
              </w:numPr>
              <w:autoSpaceDE w:val="0"/>
              <w:autoSpaceDN w:val="0"/>
              <w:spacing w:after="120" w:line="276" w:lineRule="auto"/>
              <w:jc w:val="both"/>
              <w:rPr>
                <w:rFonts w:ascii="Verdana" w:hAnsi="Verdana" w:cs="Arial"/>
                <w:lang w:val="es-ES"/>
              </w:rPr>
            </w:pPr>
            <w:r w:rsidRPr="00BC3A80">
              <w:rPr>
                <w:rFonts w:ascii="Verdana" w:hAnsi="Verdana" w:cs="Arial"/>
                <w:lang w:val="pt-BR"/>
              </w:rPr>
              <w:t>Corte Constitucional. Sentencia C-671 de 2015. M.P. Alberto Rojas Ríos</w:t>
            </w:r>
          </w:p>
          <w:p w14:paraId="0393974A" w14:textId="77777777" w:rsidR="00BC3A80" w:rsidRPr="00BC3A80" w:rsidRDefault="00BC3A80" w:rsidP="00BC3A80">
            <w:pPr>
              <w:widowControl w:val="0"/>
              <w:numPr>
                <w:ilvl w:val="0"/>
                <w:numId w:val="17"/>
              </w:numPr>
              <w:autoSpaceDE w:val="0"/>
              <w:autoSpaceDN w:val="0"/>
              <w:spacing w:after="120" w:line="276" w:lineRule="auto"/>
              <w:jc w:val="both"/>
              <w:rPr>
                <w:rFonts w:ascii="Verdana" w:hAnsi="Verdana" w:cs="Arial"/>
                <w:lang w:val="es-ES"/>
              </w:rPr>
            </w:pPr>
            <w:r w:rsidRPr="00BC3A80">
              <w:rPr>
                <w:rFonts w:ascii="Verdana" w:hAnsi="Verdana" w:cs="Arial"/>
              </w:rPr>
              <w:t xml:space="preserve">Circular Externa No. 006 de 2025 </w:t>
            </w:r>
            <w:hyperlink r:id="rId13" w:history="1">
              <w:r w:rsidRPr="00BC3A80">
                <w:rPr>
                  <w:rFonts w:ascii="Verdana" w:hAnsi="Verdana" w:cs="Arial"/>
                  <w:color w:val="0000FF"/>
                  <w:u w:val="single"/>
                </w:rPr>
                <w:t>https://www.colombiacompra.gov.co/archivos/circular/circular-externa-006-de-2025</w:t>
              </w:r>
            </w:hyperlink>
            <w:r w:rsidRPr="00BC3A80">
              <w:rPr>
                <w:rFonts w:ascii="Verdana" w:hAnsi="Verdana" w:cs="Arial"/>
              </w:rPr>
              <w:t xml:space="preserve"> </w:t>
            </w:r>
          </w:p>
        </w:tc>
      </w:tr>
    </w:tbl>
    <w:p w14:paraId="697387F4" w14:textId="77777777" w:rsidR="00BC3A80" w:rsidRPr="00BC3A80" w:rsidRDefault="00BC3A80" w:rsidP="00BC3A80">
      <w:pPr>
        <w:widowControl w:val="0"/>
        <w:autoSpaceDE w:val="0"/>
        <w:autoSpaceDN w:val="0"/>
        <w:spacing w:after="0" w:line="276" w:lineRule="auto"/>
        <w:jc w:val="both"/>
        <w:rPr>
          <w:rFonts w:ascii="Verdana" w:hAnsi="Verdana" w:cs="Arial"/>
          <w:lang w:val="es-ES_tradnl"/>
        </w:rPr>
      </w:pPr>
    </w:p>
    <w:p w14:paraId="10338A9D" w14:textId="77777777" w:rsidR="00BC3A80" w:rsidRPr="00BC3A80" w:rsidRDefault="00BC3A80" w:rsidP="00BC3A80">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Doctrina de la Agencia Nacional de Contratación Pública:</w:t>
      </w:r>
    </w:p>
    <w:p w14:paraId="24595CE3" w14:textId="77777777" w:rsidR="00BC3A80" w:rsidRPr="00BC3A80" w:rsidRDefault="00BC3A80" w:rsidP="00BC3A80">
      <w:pPr>
        <w:widowControl w:val="0"/>
        <w:autoSpaceDE w:val="0"/>
        <w:autoSpaceDN w:val="0"/>
        <w:spacing w:after="0" w:line="276" w:lineRule="auto"/>
        <w:jc w:val="both"/>
        <w:rPr>
          <w:rFonts w:ascii="Verdana" w:hAnsi="Verdana" w:cs="Arial"/>
          <w:lang w:val="es-ES_tradnl"/>
        </w:rPr>
      </w:pPr>
    </w:p>
    <w:p w14:paraId="134D3E9E" w14:textId="77777777" w:rsidR="00BC3A80" w:rsidRPr="00BC3A80" w:rsidRDefault="00BC3A80" w:rsidP="00BC3A80">
      <w:pPr>
        <w:widowControl w:val="0"/>
        <w:autoSpaceDE w:val="0"/>
        <w:autoSpaceDN w:val="0"/>
        <w:spacing w:after="0" w:line="276" w:lineRule="auto"/>
        <w:jc w:val="both"/>
        <w:rPr>
          <w:rFonts w:ascii="Verdana" w:hAnsi="Verdana" w:cs="Arial"/>
          <w:color w:val="FF0000"/>
          <w:shd w:val="clear" w:color="auto" w:fill="FFFFFF"/>
          <w:lang w:val="es-ES_tradnl"/>
        </w:rPr>
      </w:pPr>
      <w:r w:rsidRPr="00BC3A80">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noviembre de 2025. </w:t>
      </w:r>
      <w:r w:rsidRPr="00BC3A80">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4" w:history="1">
        <w:r w:rsidRPr="00BC3A80">
          <w:rPr>
            <w:rFonts w:ascii="Verdana" w:hAnsi="Verdana" w:cs="Arial"/>
            <w:color w:val="0000FF"/>
            <w:u w:val="single"/>
            <w:shd w:val="clear" w:color="auto" w:fill="FFFFFF"/>
            <w:lang w:val="es-ES_tradnl"/>
          </w:rPr>
          <w:t>https://relatoria.colombiacompra.gov.co/busqueda/conceptos</w:t>
        </w:r>
      </w:hyperlink>
      <w:r w:rsidRPr="00BC3A80">
        <w:rPr>
          <w:rFonts w:ascii="Verdana" w:hAnsi="Verdana" w:cs="Arial"/>
          <w:shd w:val="clear" w:color="auto" w:fill="FFFFFF"/>
          <w:lang w:val="es-ES_tradnl"/>
        </w:rPr>
        <w:t xml:space="preserve">. </w:t>
      </w:r>
      <w:r w:rsidRPr="00BC3A80">
        <w:rPr>
          <w:rFonts w:ascii="Verdana" w:hAnsi="Verdana" w:cs="Arial"/>
          <w:color w:val="FF0000"/>
          <w:shd w:val="clear" w:color="auto" w:fill="FFFFFF"/>
          <w:lang w:val="es-ES_tradnl"/>
        </w:rPr>
        <w:t xml:space="preserve"> </w:t>
      </w:r>
    </w:p>
    <w:p w14:paraId="1567F82F" w14:textId="77777777" w:rsidR="00BC3A80" w:rsidRPr="00BC3A80" w:rsidRDefault="00BC3A80" w:rsidP="00BC3A80">
      <w:pPr>
        <w:widowControl w:val="0"/>
        <w:autoSpaceDE w:val="0"/>
        <w:autoSpaceDN w:val="0"/>
        <w:spacing w:after="0" w:line="276" w:lineRule="auto"/>
        <w:jc w:val="both"/>
        <w:rPr>
          <w:rFonts w:ascii="Verdana" w:hAnsi="Verdana" w:cs="Arial"/>
          <w:color w:val="FF0000"/>
          <w:shd w:val="clear" w:color="auto" w:fill="FFFFFF"/>
          <w:lang w:val="es-ES_tradnl"/>
        </w:rPr>
      </w:pPr>
    </w:p>
    <w:p w14:paraId="50A8F32C" w14:textId="77777777" w:rsidR="00BC3A80" w:rsidRPr="00BC3A80" w:rsidRDefault="00BC3A80" w:rsidP="00BC3A80">
      <w:pPr>
        <w:shd w:val="clear" w:color="auto" w:fill="FFFFFF"/>
        <w:spacing w:after="0" w:line="276" w:lineRule="auto"/>
        <w:jc w:val="both"/>
        <w:rPr>
          <w:rFonts w:ascii="Verdana" w:eastAsiaTheme="minorHAnsi" w:hAnsi="Verdana"/>
          <w:color w:val="467886"/>
          <w:u w:val="single"/>
        </w:rPr>
      </w:pPr>
      <w:r w:rsidRPr="00BC3A80">
        <w:rPr>
          <w:rFonts w:ascii="Verdana" w:hAnsi="Verdana"/>
          <w:color w:val="000000"/>
        </w:rPr>
        <w:t>Te informamos que ya se encuentra disponible la </w:t>
      </w:r>
      <w:r w:rsidRPr="00BC3A80">
        <w:rPr>
          <w:rFonts w:ascii="Verdana" w:hAnsi="Verdana"/>
          <w:b/>
          <w:bCs/>
          <w:color w:val="000000"/>
        </w:rPr>
        <w:t>Guía de lineamientos de transparencia y selección objetiva para el departamento de La Guajira – Objetivo sexto constitucional de la Sentencia T-302 del 2017. </w:t>
      </w:r>
      <w:r w:rsidRPr="00BC3A80">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BC3A80">
          <w:rPr>
            <w:rFonts w:ascii="Verdana" w:hAnsi="Verdana"/>
            <w:color w:val="0000FF"/>
            <w:u w:val="single"/>
          </w:rPr>
          <w:t>Guía de lineamientos de transparencia y selección objetiva para el departamento de La Guajira – Objetivo sexto constitucional de la Sentencia T-302 del 2017</w:t>
        </w:r>
      </w:hyperlink>
      <w:r w:rsidRPr="00BC3A80">
        <w:rPr>
          <w:rFonts w:ascii="Verdana" w:hAnsi="Verdana"/>
          <w:color w:val="000000"/>
          <w:u w:val="single"/>
        </w:rPr>
        <w:t>.</w:t>
      </w:r>
    </w:p>
    <w:p w14:paraId="7C85BF7D" w14:textId="77777777" w:rsidR="00BC3A80" w:rsidRPr="00BC3A80" w:rsidRDefault="00BC3A80" w:rsidP="00BC3A80">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BC3A80">
        <w:rPr>
          <w:rFonts w:ascii="Verdana" w:hAnsi="Verdana" w:cs="Arial"/>
          <w:color w:val="000000" w:themeColor="text1"/>
          <w:shd w:val="clear" w:color="auto" w:fill="FFFFFF"/>
          <w:lang w:val="es-ES_tradnl"/>
        </w:rPr>
        <w:lastRenderedPageBreak/>
        <w:t xml:space="preserve"> </w:t>
      </w:r>
    </w:p>
    <w:p w14:paraId="32101CD1" w14:textId="77777777" w:rsidR="00BC3A80" w:rsidRPr="00BC3A80" w:rsidRDefault="00BC3A80" w:rsidP="00BC3A80">
      <w:pPr>
        <w:spacing w:after="0"/>
        <w:jc w:val="both"/>
        <w:rPr>
          <w:rFonts w:ascii="Verdana" w:hAnsi="Verdana" w:cstheme="minorBidi"/>
        </w:rPr>
      </w:pPr>
      <w:r w:rsidRPr="00BC3A8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F2E41E3" w14:textId="77777777" w:rsidR="00BC3A80" w:rsidRPr="00BC3A80" w:rsidRDefault="00BC3A80" w:rsidP="00BC3A80">
      <w:pPr>
        <w:spacing w:after="0"/>
        <w:jc w:val="both"/>
        <w:rPr>
          <w:rFonts w:ascii="Verdana" w:hAnsi="Verdana"/>
        </w:rPr>
      </w:pPr>
    </w:p>
    <w:p w14:paraId="1CA271A4" w14:textId="77777777" w:rsidR="00BC3A80" w:rsidRPr="00BC3A80" w:rsidRDefault="00BC3A80" w:rsidP="00BC3A80">
      <w:pPr>
        <w:numPr>
          <w:ilvl w:val="0"/>
          <w:numId w:val="15"/>
        </w:numPr>
        <w:spacing w:after="0" w:line="240" w:lineRule="auto"/>
        <w:contextualSpacing/>
        <w:jc w:val="both"/>
        <w:rPr>
          <w:rFonts w:ascii="Verdana" w:eastAsia="Verdana" w:hAnsi="Verdana" w:cs="Verdana"/>
          <w:color w:val="4472C4" w:themeColor="accent1"/>
          <w:u w:val="single"/>
          <w:lang w:val="es-MX"/>
        </w:rPr>
      </w:pPr>
      <w:r w:rsidRPr="00BC3A80">
        <w:rPr>
          <w:rFonts w:ascii="Verdana" w:eastAsia="Verdana" w:hAnsi="Verdana" w:cs="Verdana"/>
          <w:lang w:val="es-MX"/>
        </w:rPr>
        <w:t xml:space="preserve">Línea nacional gratuita o servicio a la ciudadanía (Mesa de servicio): </w:t>
      </w:r>
      <w:r w:rsidRPr="00BC3A80">
        <w:rPr>
          <w:rFonts w:ascii="Verdana" w:hAnsi="Verdana"/>
          <w:color w:val="0000FF"/>
          <w:u w:val="single"/>
          <w:lang w:val="es-ES"/>
        </w:rPr>
        <w:t>01800 0520808</w:t>
      </w:r>
    </w:p>
    <w:p w14:paraId="1EEE61B1" w14:textId="77777777" w:rsidR="00BC3A80" w:rsidRPr="00BC3A80" w:rsidRDefault="00BC3A80" w:rsidP="00BC3A80">
      <w:pPr>
        <w:numPr>
          <w:ilvl w:val="0"/>
          <w:numId w:val="15"/>
        </w:numPr>
        <w:spacing w:after="0" w:line="259" w:lineRule="auto"/>
        <w:contextualSpacing/>
        <w:rPr>
          <w:rFonts w:ascii="Verdana" w:eastAsia="Verdana" w:hAnsi="Verdana" w:cs="Verdana"/>
          <w:color w:val="4472C4" w:themeColor="accent1"/>
          <w:u w:val="single"/>
          <w:lang w:val="es-MX"/>
        </w:rPr>
      </w:pPr>
      <w:r w:rsidRPr="00BC3A80">
        <w:rPr>
          <w:rFonts w:ascii="Verdana" w:eastAsia="Verdana" w:hAnsi="Verdana" w:cs="Verdana"/>
          <w:lang w:val="es-MX"/>
        </w:rPr>
        <w:t>Línea en Bogotá (Mesa de servicio):</w:t>
      </w:r>
      <w:r w:rsidRPr="00BC3A80">
        <w:rPr>
          <w:rFonts w:ascii="Verdana" w:hAnsi="Verdana"/>
          <w:color w:val="0000FF"/>
          <w:u w:val="single"/>
          <w:lang w:val="es-ES"/>
        </w:rPr>
        <w:t>+57 601 7456788</w:t>
      </w:r>
    </w:p>
    <w:p w14:paraId="3A269739" w14:textId="77777777" w:rsidR="00BC3A80" w:rsidRPr="00BC3A80" w:rsidRDefault="00BC3A80" w:rsidP="00BC3A80">
      <w:pPr>
        <w:numPr>
          <w:ilvl w:val="0"/>
          <w:numId w:val="15"/>
        </w:numPr>
        <w:spacing w:after="0" w:line="259" w:lineRule="auto"/>
        <w:contextualSpacing/>
        <w:rPr>
          <w:rFonts w:ascii="Verdana" w:eastAsia="Verdana" w:hAnsi="Verdana" w:cs="Verdana"/>
          <w:color w:val="0000FF"/>
          <w:u w:val="single"/>
          <w:lang w:val="es-MX"/>
        </w:rPr>
      </w:pPr>
      <w:r w:rsidRPr="00BC3A80">
        <w:rPr>
          <w:rFonts w:ascii="Verdana" w:eastAsia="Verdana" w:hAnsi="Verdana" w:cs="Verdana"/>
          <w:lang w:val="es-MX"/>
        </w:rPr>
        <w:t xml:space="preserve">Correo de radicación de correspondencia: </w:t>
      </w:r>
      <w:hyperlink r:id="rId16" w:history="1">
        <w:r w:rsidRPr="00BC3A80">
          <w:rPr>
            <w:rFonts w:ascii="Verdana" w:eastAsia="Verdana" w:hAnsi="Verdana" w:cs="Verdana"/>
            <w:color w:val="0000FF"/>
            <w:u w:val="single"/>
            <w:lang w:val="es-MX"/>
          </w:rPr>
          <w:t>ventanilladeradicacion@colombiacompra.gov.co</w:t>
        </w:r>
      </w:hyperlink>
    </w:p>
    <w:p w14:paraId="758429F7" w14:textId="77777777" w:rsidR="00BC3A80" w:rsidRPr="00BC3A80" w:rsidRDefault="00BC3A80" w:rsidP="00BC3A80">
      <w:pPr>
        <w:numPr>
          <w:ilvl w:val="0"/>
          <w:numId w:val="15"/>
        </w:numPr>
        <w:spacing w:after="0" w:line="259" w:lineRule="auto"/>
        <w:contextualSpacing/>
        <w:rPr>
          <w:rFonts w:ascii="Verdana" w:eastAsia="Verdana" w:hAnsi="Verdana" w:cs="Verdana"/>
          <w:color w:val="0000FF"/>
          <w:u w:val="single"/>
          <w:lang w:val="es-MX"/>
        </w:rPr>
      </w:pPr>
      <w:r w:rsidRPr="00BC3A80">
        <w:rPr>
          <w:rFonts w:ascii="Verdana" w:eastAsia="Verdana" w:hAnsi="Verdana" w:cs="Verdana"/>
          <w:lang w:val="es-ES"/>
        </w:rPr>
        <w:t xml:space="preserve">Formulario web para PQRSD: </w:t>
      </w:r>
      <w:hyperlink r:id="rId17" w:history="1">
        <w:r w:rsidRPr="00BC3A80">
          <w:rPr>
            <w:rFonts w:ascii="Verdana" w:eastAsia="Verdana" w:hAnsi="Verdana" w:cs="Verdana"/>
            <w:color w:val="0000FF"/>
            <w:u w:val="single"/>
            <w:lang w:val="es-MX"/>
          </w:rPr>
          <w:t>https://www.colombiacompra.gov.co/pqrsd/informacion-importante-antes-de-formular-una-pqrsd</w:t>
        </w:r>
      </w:hyperlink>
    </w:p>
    <w:p w14:paraId="6A4AD4C6" w14:textId="77777777" w:rsidR="00BC3A80" w:rsidRPr="00BC3A80" w:rsidRDefault="00BC3A80" w:rsidP="00BC3A80">
      <w:pPr>
        <w:spacing w:after="0" w:line="240" w:lineRule="auto"/>
        <w:ind w:left="720"/>
        <w:jc w:val="both"/>
        <w:rPr>
          <w:rFonts w:ascii="Verdana" w:eastAsiaTheme="minorHAnsi" w:hAnsi="Verdana" w:cstheme="minorBidi"/>
        </w:rPr>
      </w:pPr>
    </w:p>
    <w:p w14:paraId="53D1AD6F" w14:textId="77777777" w:rsidR="00BC3A80" w:rsidRPr="00BC3A80" w:rsidRDefault="00BC3A80" w:rsidP="00BC3A80">
      <w:pPr>
        <w:spacing w:after="0" w:line="240" w:lineRule="auto"/>
        <w:rPr>
          <w:rFonts w:ascii="Verdana" w:hAnsi="Verdana"/>
        </w:rPr>
      </w:pPr>
      <w:r w:rsidRPr="00BC3A80">
        <w:rPr>
          <w:rFonts w:ascii="Verdana" w:hAnsi="Verdana"/>
        </w:rPr>
        <w:t>Evalúa el servicio que ofrece la Agencia por el canal de atención de PQRSD en el siguiente enlace :</w:t>
      </w:r>
      <w:hyperlink r:id="rId18" w:tgtFrame="_blank" w:tooltip="https://forms.office.com/r/pphywvs2sz" w:history="1">
        <w:r w:rsidRPr="00BC3A80">
          <w:rPr>
            <w:rFonts w:ascii="Verdana" w:hAnsi="Verdana"/>
            <w:color w:val="0000FF"/>
            <w:u w:val="single"/>
          </w:rPr>
          <w:t>https://forms.office.com/r/pPHyWVs2SZ</w:t>
        </w:r>
      </w:hyperlink>
      <w:r w:rsidRPr="00BC3A80">
        <w:rPr>
          <w:rFonts w:ascii="Verdana" w:hAnsi="Verdana"/>
        </w:rPr>
        <w:t xml:space="preserve"> .¡Ayúdanos a mejorar porque el compromiso es de todos!</w:t>
      </w:r>
    </w:p>
    <w:p w14:paraId="2DF75EAE" w14:textId="77777777" w:rsidR="00BC3A80" w:rsidRPr="00BC3A80" w:rsidRDefault="00BC3A80" w:rsidP="00BC3A80">
      <w:pPr>
        <w:spacing w:after="0" w:line="240" w:lineRule="auto"/>
        <w:rPr>
          <w:rFonts w:ascii="Verdana" w:hAnsi="Verdana"/>
        </w:rPr>
      </w:pPr>
    </w:p>
    <w:p w14:paraId="05F80D82" w14:textId="77777777" w:rsidR="00BC3A80" w:rsidRPr="00BC3A80" w:rsidRDefault="00BC3A80" w:rsidP="00BC3A80">
      <w:pPr>
        <w:spacing w:after="0" w:line="240" w:lineRule="auto"/>
        <w:jc w:val="both"/>
        <w:rPr>
          <w:rFonts w:ascii="Verdana" w:hAnsi="Verdana"/>
        </w:rPr>
      </w:pPr>
      <w:r w:rsidRPr="00BC3A80">
        <w:rPr>
          <w:rFonts w:ascii="Verdana" w:hAnsi="Verdana"/>
        </w:rPr>
        <w:t xml:space="preserve">Por último, lo invitamos a seguirnos en las redes sociales en las cuales se difunde información institucional: </w:t>
      </w:r>
    </w:p>
    <w:p w14:paraId="182AF4F8" w14:textId="77777777" w:rsidR="00BC3A80" w:rsidRPr="00BC3A80" w:rsidRDefault="00BC3A80" w:rsidP="00BC3A80">
      <w:pPr>
        <w:spacing w:after="0" w:line="240" w:lineRule="auto"/>
        <w:jc w:val="both"/>
        <w:rPr>
          <w:rFonts w:ascii="Verdana" w:hAnsi="Verdana"/>
        </w:rPr>
      </w:pPr>
    </w:p>
    <w:p w14:paraId="43047F2C" w14:textId="77777777" w:rsidR="00BC3A80" w:rsidRPr="00BC3A80" w:rsidRDefault="00BC3A80" w:rsidP="00BC3A80">
      <w:pPr>
        <w:spacing w:after="0" w:line="240" w:lineRule="auto"/>
        <w:jc w:val="both"/>
        <w:rPr>
          <w:rFonts w:ascii="Verdana" w:hAnsi="Verdana"/>
        </w:rPr>
      </w:pPr>
      <w:r w:rsidRPr="00BC3A80">
        <w:rPr>
          <w:rFonts w:ascii="Verdana" w:hAnsi="Verdana"/>
        </w:rPr>
        <w:t xml:space="preserve">Twitter: </w:t>
      </w:r>
      <w:r w:rsidRPr="00BC3A80">
        <w:rPr>
          <w:rFonts w:ascii="Verdana" w:hAnsi="Verdana"/>
          <w:color w:val="0000FF"/>
          <w:u w:val="single"/>
        </w:rPr>
        <w:t>@colombiacompra</w:t>
      </w:r>
      <w:r w:rsidRPr="00BC3A80">
        <w:rPr>
          <w:rFonts w:ascii="Verdana" w:hAnsi="Verdana"/>
        </w:rPr>
        <w:t xml:space="preserve"> </w:t>
      </w:r>
    </w:p>
    <w:p w14:paraId="1E8F93DA" w14:textId="77777777" w:rsidR="00BC3A80" w:rsidRPr="00BC3A80" w:rsidRDefault="00BC3A80" w:rsidP="00BC3A80">
      <w:pPr>
        <w:spacing w:after="0" w:line="240" w:lineRule="auto"/>
        <w:jc w:val="both"/>
        <w:rPr>
          <w:rFonts w:ascii="Verdana" w:hAnsi="Verdana"/>
        </w:rPr>
      </w:pPr>
      <w:r w:rsidRPr="00BC3A80">
        <w:rPr>
          <w:rFonts w:ascii="Verdana" w:hAnsi="Verdana"/>
        </w:rPr>
        <w:t xml:space="preserve">Facebook: </w:t>
      </w:r>
      <w:r w:rsidRPr="00BC3A80">
        <w:rPr>
          <w:rFonts w:ascii="Verdana" w:hAnsi="Verdana"/>
          <w:color w:val="0000FF"/>
          <w:u w:val="single"/>
        </w:rPr>
        <w:t>ColombiaCompraEficiente</w:t>
      </w:r>
    </w:p>
    <w:p w14:paraId="0527D602" w14:textId="77777777" w:rsidR="00BC3A80" w:rsidRPr="00BC3A80" w:rsidRDefault="00BC3A80" w:rsidP="00BC3A80">
      <w:pPr>
        <w:spacing w:after="0" w:line="240" w:lineRule="auto"/>
        <w:jc w:val="both"/>
        <w:rPr>
          <w:rFonts w:ascii="Verdana" w:hAnsi="Verdana"/>
        </w:rPr>
      </w:pPr>
      <w:r w:rsidRPr="00BC3A80">
        <w:rPr>
          <w:rFonts w:ascii="Verdana" w:hAnsi="Verdana"/>
        </w:rPr>
        <w:t xml:space="preserve">LinkedIn: </w:t>
      </w:r>
      <w:r w:rsidRPr="00BC3A80">
        <w:rPr>
          <w:rFonts w:ascii="Verdana" w:hAnsi="Verdana"/>
          <w:color w:val="0000FF"/>
          <w:u w:val="single"/>
        </w:rPr>
        <w:t>Agencia Nacional de Contratación Pública - Colombia Compra Eficiente</w:t>
      </w:r>
      <w:r w:rsidRPr="00BC3A80">
        <w:rPr>
          <w:rFonts w:ascii="Verdana" w:hAnsi="Verdana"/>
        </w:rPr>
        <w:t xml:space="preserve"> Instagram: </w:t>
      </w:r>
      <w:r w:rsidRPr="00BC3A80">
        <w:rPr>
          <w:rFonts w:ascii="Verdana" w:hAnsi="Verdana"/>
          <w:color w:val="0000FF"/>
          <w:u w:val="single"/>
        </w:rPr>
        <w:t>@colombiacompraeficiente_cce</w:t>
      </w:r>
    </w:p>
    <w:p w14:paraId="6449CCF6" w14:textId="77777777" w:rsidR="00BC3A80" w:rsidRPr="00BC3A80" w:rsidRDefault="00BC3A80" w:rsidP="00BC3A80">
      <w:pPr>
        <w:widowControl w:val="0"/>
        <w:autoSpaceDE w:val="0"/>
        <w:autoSpaceDN w:val="0"/>
        <w:spacing w:after="120" w:line="276" w:lineRule="auto"/>
        <w:jc w:val="both"/>
        <w:rPr>
          <w:rFonts w:ascii="Verdana" w:hAnsi="Verdana" w:cs="Arial"/>
          <w:color w:val="FF0000"/>
          <w:shd w:val="clear" w:color="auto" w:fill="FFFFFF"/>
          <w:lang w:val="es-ES_tradnl"/>
        </w:rPr>
      </w:pPr>
      <w:r w:rsidRPr="00BC3A80">
        <w:rPr>
          <w:rFonts w:ascii="Verdana" w:hAnsi="Verdana" w:cs="Arial"/>
          <w:color w:val="FF0000"/>
          <w:shd w:val="clear" w:color="auto" w:fill="FFFFFF"/>
          <w:lang w:val="es-ES_tradnl"/>
        </w:rPr>
        <w:t xml:space="preserve">        </w:t>
      </w:r>
    </w:p>
    <w:p w14:paraId="7E48E915" w14:textId="77777777" w:rsidR="00BC3A80" w:rsidRPr="00BC3A80" w:rsidRDefault="00BC3A80" w:rsidP="00BC3A80">
      <w:pPr>
        <w:widowControl w:val="0"/>
        <w:autoSpaceDE w:val="0"/>
        <w:autoSpaceDN w:val="0"/>
        <w:spacing w:after="0" w:line="276" w:lineRule="auto"/>
        <w:jc w:val="both"/>
        <w:rPr>
          <w:rFonts w:ascii="Verdana" w:hAnsi="Verdana" w:cs="Arial"/>
          <w:lang w:val="es-ES_tradnl"/>
        </w:rPr>
      </w:pPr>
      <w:r w:rsidRPr="00BC3A80">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E22C429" w14:textId="77777777" w:rsidR="00BC3A80" w:rsidRPr="00BC3A80" w:rsidRDefault="00BC3A80" w:rsidP="00BC3A80">
      <w:pPr>
        <w:widowControl w:val="0"/>
        <w:autoSpaceDE w:val="0"/>
        <w:autoSpaceDN w:val="0"/>
        <w:spacing w:after="0" w:line="276" w:lineRule="auto"/>
        <w:jc w:val="both"/>
        <w:rPr>
          <w:rFonts w:ascii="Verdana" w:hAnsi="Verdana" w:cs="Arial"/>
          <w:lang w:val="es-ES_tradnl"/>
        </w:rPr>
      </w:pPr>
    </w:p>
    <w:p w14:paraId="26CC4AB6" w14:textId="77777777" w:rsidR="00BC3A80" w:rsidRPr="00BC3A80" w:rsidRDefault="00BC3A80" w:rsidP="00BC3A80">
      <w:pPr>
        <w:spacing w:after="0" w:line="240" w:lineRule="auto"/>
        <w:rPr>
          <w:rFonts w:ascii="Verdana" w:hAnsi="Verdana" w:cs="Arial"/>
          <w:lang w:val="es-ES_tradnl" w:eastAsia="es-CO"/>
        </w:rPr>
      </w:pPr>
      <w:r w:rsidRPr="00BC3A80">
        <w:rPr>
          <w:rFonts w:ascii="Verdana" w:eastAsia="Times New Roman" w:hAnsi="Verdana" w:cs="Arial"/>
          <w:lang w:val="es-ES_tradnl" w:eastAsia="es-CO"/>
        </w:rPr>
        <w:t>Atentamente,</w:t>
      </w:r>
      <w:r w:rsidRPr="00BC3A80">
        <w:rPr>
          <w:rFonts w:ascii="Verdana" w:hAnsi="Verdana" w:cs="Arial"/>
          <w:lang w:val="es-ES_tradnl" w:eastAsia="es-CO"/>
        </w:rPr>
        <w:t xml:space="preserve"> </w:t>
      </w:r>
    </w:p>
    <w:p w14:paraId="065AFE97" w14:textId="58371D45" w:rsidR="00BC3A80" w:rsidRPr="00BC3A80" w:rsidRDefault="00154321" w:rsidP="00BC3A80">
      <w:pPr>
        <w:spacing w:line="276" w:lineRule="auto"/>
        <w:jc w:val="center"/>
        <w:rPr>
          <w:rFonts w:ascii="Verdana" w:hAnsi="Verdana" w:cs="Arial"/>
          <w:color w:val="000000"/>
          <w:lang w:val="es-ES_tradnl" w:eastAsia="es-CO"/>
        </w:rPr>
      </w:pPr>
      <w:r w:rsidRPr="002C3AD6">
        <w:rPr>
          <w:rFonts w:ascii="Century Gothic" w:hAnsi="Century Gothic"/>
          <w:noProof/>
        </w:rPr>
        <w:lastRenderedPageBreak/>
        <w:drawing>
          <wp:inline distT="0" distB="0" distL="0" distR="0" wp14:anchorId="556ACF1C" wp14:editId="7D98465A">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318444"/>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BC3A80" w:rsidRPr="00BC3A80" w14:paraId="75449F1C" w14:textId="77777777" w:rsidTr="00D014BF">
        <w:trPr>
          <w:trHeight w:val="315"/>
        </w:trPr>
        <w:tc>
          <w:tcPr>
            <w:tcW w:w="893" w:type="dxa"/>
            <w:vAlign w:val="center"/>
            <w:hideMark/>
          </w:tcPr>
          <w:p w14:paraId="6BE58B7E" w14:textId="77777777" w:rsidR="00BC3A80" w:rsidRPr="00BC3A80" w:rsidRDefault="00BC3A80" w:rsidP="00BC3A80">
            <w:pPr>
              <w:contextualSpacing/>
              <w:rPr>
                <w:rFonts w:ascii="Verdana" w:hAnsi="Verdana" w:cs="Arial"/>
                <w:sz w:val="16"/>
                <w:szCs w:val="16"/>
                <w:lang w:val="es-ES" w:eastAsia="es-ES"/>
              </w:rPr>
            </w:pPr>
            <w:r w:rsidRPr="00BC3A8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0255A28" w14:textId="77777777" w:rsidR="00BC3A80" w:rsidRPr="00BC3A80" w:rsidRDefault="00BC3A80" w:rsidP="00BC3A80">
            <w:pPr>
              <w:contextualSpacing/>
              <w:rPr>
                <w:rFonts w:ascii="Verdana" w:hAnsi="Verdana"/>
                <w:sz w:val="16"/>
                <w:szCs w:val="16"/>
              </w:rPr>
            </w:pPr>
            <w:r w:rsidRPr="00BC3A80">
              <w:rPr>
                <w:rFonts w:ascii="Verdana" w:hAnsi="Verdana"/>
                <w:sz w:val="16"/>
                <w:szCs w:val="16"/>
              </w:rPr>
              <w:t>Tatiana Baquero Iguarán</w:t>
            </w:r>
          </w:p>
          <w:p w14:paraId="14009444" w14:textId="77777777" w:rsidR="00BC3A80" w:rsidRPr="00BC3A80" w:rsidRDefault="00BC3A80" w:rsidP="00BC3A80">
            <w:pPr>
              <w:contextualSpacing/>
              <w:rPr>
                <w:rFonts w:ascii="Verdana" w:eastAsia="Arial" w:hAnsi="Verdana" w:cs="Arial"/>
                <w:sz w:val="16"/>
                <w:szCs w:val="16"/>
              </w:rPr>
            </w:pPr>
            <w:r w:rsidRPr="00BC3A80">
              <w:rPr>
                <w:rFonts w:ascii="Verdana" w:hAnsi="Verdana"/>
                <w:sz w:val="16"/>
                <w:szCs w:val="16"/>
              </w:rPr>
              <w:t>Contratista de la Subdirección de Gestión Contractual</w:t>
            </w:r>
          </w:p>
        </w:tc>
      </w:tr>
      <w:tr w:rsidR="00BC3A80" w:rsidRPr="00BC3A80" w14:paraId="360CBC7F" w14:textId="77777777" w:rsidTr="00D014BF">
        <w:trPr>
          <w:trHeight w:val="330"/>
        </w:trPr>
        <w:tc>
          <w:tcPr>
            <w:tcW w:w="893" w:type="dxa"/>
            <w:vAlign w:val="center"/>
            <w:hideMark/>
          </w:tcPr>
          <w:p w14:paraId="6498EE08" w14:textId="77777777" w:rsidR="00BC3A80" w:rsidRPr="00BC3A80" w:rsidRDefault="00BC3A80" w:rsidP="00BC3A80">
            <w:pPr>
              <w:contextualSpacing/>
              <w:rPr>
                <w:rFonts w:ascii="Verdana" w:hAnsi="Verdana" w:cs="Arial"/>
                <w:sz w:val="16"/>
                <w:szCs w:val="16"/>
                <w:lang w:val="es-ES" w:eastAsia="es-ES"/>
              </w:rPr>
            </w:pPr>
            <w:r w:rsidRPr="00BC3A8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F0824B" w14:textId="77777777" w:rsidR="00BC3A80" w:rsidRPr="00BC3A80" w:rsidRDefault="00BC3A80" w:rsidP="00BC3A80">
            <w:pPr>
              <w:spacing w:before="100" w:beforeAutospacing="1" w:afterAutospacing="1"/>
              <w:contextualSpacing/>
              <w:textAlignment w:val="baseline"/>
              <w:rPr>
                <w:rFonts w:ascii="Verdana" w:eastAsia="Times New Roman" w:hAnsi="Verdana" w:cs="Arial"/>
                <w:sz w:val="16"/>
                <w:szCs w:val="16"/>
                <w:lang w:val="es-ES" w:eastAsia="es-ES_tradnl"/>
              </w:rPr>
            </w:pPr>
            <w:r w:rsidRPr="00BC3A80">
              <w:rPr>
                <w:rFonts w:ascii="Verdana" w:eastAsia="Times New Roman" w:hAnsi="Verdana" w:cs="Arial"/>
                <w:sz w:val="16"/>
                <w:szCs w:val="16"/>
                <w:lang w:val="es-ES" w:eastAsia="es-ES_tradnl"/>
              </w:rPr>
              <w:t>Alejandro Sarmiento Cantillo</w:t>
            </w:r>
          </w:p>
          <w:p w14:paraId="7AC36BD5" w14:textId="77777777" w:rsidR="00BC3A80" w:rsidRPr="00BC3A80" w:rsidRDefault="00BC3A80" w:rsidP="00BC3A80">
            <w:pPr>
              <w:contextualSpacing/>
              <w:textAlignment w:val="baseline"/>
              <w:rPr>
                <w:rFonts w:ascii="Verdana" w:eastAsia="Times New Roman" w:hAnsi="Verdana" w:cs="Segoe UI"/>
                <w:sz w:val="16"/>
                <w:szCs w:val="16"/>
                <w:lang w:eastAsia="es-ES_tradnl"/>
              </w:rPr>
            </w:pPr>
            <w:r w:rsidRPr="00BC3A80">
              <w:rPr>
                <w:rFonts w:ascii="Verdana" w:eastAsia="Times New Roman" w:hAnsi="Verdana" w:cs="Arial"/>
                <w:sz w:val="16"/>
                <w:szCs w:val="16"/>
                <w:lang w:val="es-ES" w:eastAsia="es-ES_tradnl"/>
              </w:rPr>
              <w:t>Gestor T1 ‒ 15 de la Subdirección de Gestión Contractual</w:t>
            </w:r>
            <w:r w:rsidRPr="00BC3A80">
              <w:rPr>
                <w:rFonts w:ascii="Verdana" w:eastAsia="Times New Roman" w:hAnsi="Verdana" w:cs="Arial"/>
                <w:sz w:val="16"/>
                <w:szCs w:val="16"/>
                <w:lang w:eastAsia="es-ES_tradnl"/>
              </w:rPr>
              <w:t> </w:t>
            </w:r>
          </w:p>
        </w:tc>
      </w:tr>
      <w:tr w:rsidR="00BC3A80" w:rsidRPr="00BC3A80" w14:paraId="2095CC2D" w14:textId="77777777" w:rsidTr="00D014BF">
        <w:trPr>
          <w:trHeight w:val="300"/>
        </w:trPr>
        <w:tc>
          <w:tcPr>
            <w:tcW w:w="893" w:type="dxa"/>
            <w:vAlign w:val="center"/>
          </w:tcPr>
          <w:p w14:paraId="21A82031" w14:textId="77777777" w:rsidR="00BC3A80" w:rsidRPr="00BC3A80" w:rsidRDefault="00BC3A80" w:rsidP="00BC3A80">
            <w:pPr>
              <w:contextualSpacing/>
              <w:rPr>
                <w:rFonts w:ascii="Verdana" w:hAnsi="Verdana" w:cs="Arial"/>
                <w:sz w:val="16"/>
                <w:szCs w:val="16"/>
                <w:lang w:val="es-ES" w:eastAsia="es-ES"/>
              </w:rPr>
            </w:pPr>
            <w:r w:rsidRPr="00BC3A8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9E7B94A" w14:textId="77777777" w:rsidR="00BC3A80" w:rsidRPr="00BC3A80" w:rsidRDefault="00BC3A80" w:rsidP="00BC3A80">
            <w:pPr>
              <w:contextualSpacing/>
              <w:rPr>
                <w:rFonts w:ascii="Verdana" w:hAnsi="Verdana" w:cs="Arial"/>
                <w:sz w:val="16"/>
                <w:szCs w:val="16"/>
                <w:lang w:val="pt-BR" w:eastAsia="es-ES"/>
              </w:rPr>
            </w:pPr>
            <w:r w:rsidRPr="00BC3A80">
              <w:rPr>
                <w:rFonts w:ascii="Verdana" w:hAnsi="Verdana" w:cs="Arial"/>
                <w:sz w:val="16"/>
                <w:szCs w:val="16"/>
                <w:lang w:val="pt-BR" w:eastAsia="es-ES"/>
              </w:rPr>
              <w:t>Carolina Quintero Gacharná</w:t>
            </w:r>
          </w:p>
          <w:p w14:paraId="59BC1C48" w14:textId="77777777" w:rsidR="00BC3A80" w:rsidRPr="00BC3A80" w:rsidRDefault="00BC3A80" w:rsidP="00BC3A80">
            <w:pPr>
              <w:contextualSpacing/>
              <w:rPr>
                <w:rFonts w:ascii="Verdana" w:hAnsi="Verdana" w:cs="Arial"/>
                <w:sz w:val="16"/>
                <w:szCs w:val="16"/>
                <w:lang w:val="pt-BR" w:eastAsia="es-ES"/>
              </w:rPr>
            </w:pPr>
            <w:r w:rsidRPr="00BC3A80">
              <w:rPr>
                <w:rFonts w:ascii="Verdana" w:hAnsi="Verdana" w:cs="Arial"/>
                <w:sz w:val="16"/>
                <w:szCs w:val="16"/>
                <w:lang w:eastAsia="es-ES"/>
              </w:rPr>
              <w:t>Subdirectora</w:t>
            </w:r>
            <w:r w:rsidRPr="00BC3A80">
              <w:rPr>
                <w:rFonts w:ascii="Verdana" w:hAnsi="Verdana" w:cs="Arial"/>
                <w:sz w:val="16"/>
                <w:szCs w:val="16"/>
                <w:lang w:val="pt-BR" w:eastAsia="es-ES"/>
              </w:rPr>
              <w:t xml:space="preserve"> de Gestión Contratual ANCP – CCE</w:t>
            </w:r>
          </w:p>
        </w:tc>
      </w:tr>
    </w:tbl>
    <w:p w14:paraId="2DC6A1E8" w14:textId="77777777" w:rsidR="00BC3A80" w:rsidRPr="00BC3A80" w:rsidRDefault="00BC3A80" w:rsidP="00BC3A80"/>
    <w:p w14:paraId="383E06AA" w14:textId="77777777" w:rsidR="00BC3A80" w:rsidRPr="00BC3A80" w:rsidRDefault="00BC3A80" w:rsidP="00BC3A80"/>
    <w:p w14:paraId="3E92893D" w14:textId="77777777" w:rsidR="00BC3A80" w:rsidRPr="00BC3A80" w:rsidRDefault="00BC3A80" w:rsidP="00BC3A80">
      <w:pPr>
        <w:tabs>
          <w:tab w:val="left" w:pos="3024"/>
        </w:tabs>
        <w:spacing w:after="0" w:line="240" w:lineRule="auto"/>
        <w:rPr>
          <w:rFonts w:ascii="Verdana" w:eastAsia="Geomanist Light" w:hAnsi="Verdana" w:cs="Arial"/>
          <w:color w:val="000000" w:themeColor="text1"/>
          <w:lang w:val="es-MX"/>
        </w:rPr>
      </w:pPr>
      <w:r w:rsidRPr="00BC3A80">
        <w:rPr>
          <w:rFonts w:ascii="Verdana" w:eastAsia="Geomanist Light" w:hAnsi="Verdana" w:cs="Arial"/>
          <w:color w:val="000000" w:themeColor="text1"/>
          <w:lang w:val="es-MX"/>
        </w:rPr>
        <w:tab/>
      </w:r>
    </w:p>
    <w:p w14:paraId="16A7CF11" w14:textId="77777777" w:rsidR="00BC3A80" w:rsidRPr="00BC3A80" w:rsidRDefault="00BC3A80" w:rsidP="00BC3A80">
      <w:pPr>
        <w:spacing w:line="259" w:lineRule="auto"/>
        <w:rPr>
          <w:rFonts w:asciiTheme="minorHAnsi" w:eastAsiaTheme="minorHAnsi" w:hAnsiTheme="minorHAnsi" w:cstheme="minorBidi"/>
        </w:rPr>
      </w:pPr>
    </w:p>
    <w:p w14:paraId="3EBF73DA" w14:textId="77777777" w:rsidR="00BC3A80" w:rsidRPr="00BC3A80" w:rsidRDefault="00BC3A80" w:rsidP="00BC3A80">
      <w:pPr>
        <w:spacing w:after="0" w:line="240" w:lineRule="auto"/>
        <w:rPr>
          <w:rFonts w:ascii="Verdana" w:eastAsia="Geomanist Light" w:hAnsi="Verdana" w:cs="Arial"/>
          <w:color w:val="000000" w:themeColor="text1"/>
          <w:lang w:val="es-MX"/>
        </w:rPr>
      </w:pPr>
    </w:p>
    <w:p w14:paraId="51CC4045" w14:textId="77777777" w:rsidR="00BC3A80" w:rsidRPr="00BC3A80" w:rsidRDefault="00BC3A80" w:rsidP="00BC3A80">
      <w:pPr>
        <w:spacing w:line="259" w:lineRule="auto"/>
        <w:rPr>
          <w:rFonts w:asciiTheme="minorHAnsi" w:eastAsiaTheme="minorHAnsi" w:hAnsiTheme="minorHAnsi" w:cstheme="minorBidi"/>
        </w:rPr>
      </w:pPr>
    </w:p>
    <w:p w14:paraId="23CA7B3F" w14:textId="77777777" w:rsidR="00BC3A80" w:rsidRPr="00BC3A80" w:rsidRDefault="00BC3A80" w:rsidP="00BC3A80">
      <w:pPr>
        <w:spacing w:after="0" w:line="240" w:lineRule="auto"/>
        <w:rPr>
          <w:rFonts w:ascii="Verdana" w:eastAsia="Geomanist Light" w:hAnsi="Verdana" w:cs="Arial"/>
          <w:color w:val="000000" w:themeColor="text1"/>
          <w:lang w:val="es-MX"/>
        </w:rPr>
      </w:pPr>
    </w:p>
    <w:p w14:paraId="29E6F41C" w14:textId="77777777" w:rsidR="00BC3A80" w:rsidRPr="00BC3A80" w:rsidRDefault="00BC3A80" w:rsidP="00BC3A80">
      <w:pPr>
        <w:spacing w:line="259" w:lineRule="auto"/>
        <w:rPr>
          <w:rFonts w:asciiTheme="minorHAnsi" w:eastAsiaTheme="minorHAnsi" w:hAnsiTheme="minorHAnsi" w:cstheme="minorBidi"/>
        </w:rPr>
      </w:pPr>
    </w:p>
    <w:p w14:paraId="1010C8B7" w14:textId="77777777" w:rsidR="00BC3A80" w:rsidRDefault="00BC3A80" w:rsidP="002A38E9">
      <w:pPr>
        <w:spacing w:after="0" w:line="240" w:lineRule="auto"/>
        <w:rPr>
          <w:rFonts w:ascii="Verdana" w:eastAsia="Geomanist Light" w:hAnsi="Verdana" w:cs="Arial"/>
          <w:color w:val="000000" w:themeColor="text1"/>
          <w:lang w:val="es-MX"/>
        </w:rPr>
      </w:pPr>
    </w:p>
    <w:sectPr w:rsidR="00BC3A80"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6FCBFA" w14:textId="77777777" w:rsidR="00932077" w:rsidRDefault="00932077" w:rsidP="004A1847">
      <w:pPr>
        <w:spacing w:after="0" w:line="240" w:lineRule="auto"/>
      </w:pPr>
      <w:r>
        <w:separator/>
      </w:r>
    </w:p>
  </w:endnote>
  <w:endnote w:type="continuationSeparator" w:id="0">
    <w:p w14:paraId="2D30D03D" w14:textId="77777777" w:rsidR="00932077" w:rsidRDefault="00932077" w:rsidP="004A1847">
      <w:pPr>
        <w:spacing w:after="0" w:line="240" w:lineRule="auto"/>
      </w:pPr>
      <w:r>
        <w:continuationSeparator/>
      </w:r>
    </w:p>
  </w:endnote>
  <w:endnote w:type="continuationNotice" w:id="1">
    <w:p w14:paraId="676E2C87" w14:textId="77777777" w:rsidR="00932077" w:rsidRDefault="009320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cstheme="minorBidi"/>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cstheme="minorBidi"/>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E4620" w14:textId="77777777" w:rsidR="00932077" w:rsidRDefault="00932077" w:rsidP="004A1847">
      <w:pPr>
        <w:spacing w:after="0" w:line="240" w:lineRule="auto"/>
      </w:pPr>
      <w:r>
        <w:separator/>
      </w:r>
    </w:p>
  </w:footnote>
  <w:footnote w:type="continuationSeparator" w:id="0">
    <w:p w14:paraId="4BB2BE98" w14:textId="77777777" w:rsidR="00932077" w:rsidRDefault="00932077" w:rsidP="004A1847">
      <w:pPr>
        <w:spacing w:after="0" w:line="240" w:lineRule="auto"/>
      </w:pPr>
      <w:r>
        <w:continuationSeparator/>
      </w:r>
    </w:p>
  </w:footnote>
  <w:footnote w:type="continuationNotice" w:id="1">
    <w:p w14:paraId="69AEAEAB" w14:textId="77777777" w:rsidR="00932077" w:rsidRDefault="00932077">
      <w:pPr>
        <w:spacing w:after="0" w:line="240" w:lineRule="auto"/>
      </w:pPr>
    </w:p>
  </w:footnote>
  <w:footnote w:id="2">
    <w:p w14:paraId="2FBBED07" w14:textId="77777777" w:rsidR="00BC3A80" w:rsidRPr="00E657A2" w:rsidRDefault="00BC3A80" w:rsidP="00BC3A80">
      <w:pPr>
        <w:pStyle w:val="Textonotapie"/>
        <w:ind w:firstLine="709"/>
        <w:contextualSpacing/>
        <w:jc w:val="both"/>
        <w:rPr>
          <w:rFonts w:ascii="Verdana" w:hAnsi="Verdana" w:cs="Arial"/>
          <w:sz w:val="16"/>
          <w:szCs w:val="16"/>
        </w:rPr>
      </w:pPr>
      <w:r w:rsidRPr="00E657A2">
        <w:rPr>
          <w:rStyle w:val="Refdenotaalpie"/>
          <w:rFonts w:ascii="Verdana" w:hAnsi="Verdana" w:cs="Arial"/>
          <w:sz w:val="16"/>
          <w:szCs w:val="16"/>
        </w:rPr>
        <w:footnoteRef/>
      </w:r>
      <w:r w:rsidRPr="00E657A2">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780ECE0" w14:textId="77777777" w:rsidR="00BC3A80" w:rsidRPr="00E657A2" w:rsidRDefault="00BC3A80" w:rsidP="00BC3A80">
      <w:pPr>
        <w:pStyle w:val="Textonotapie"/>
        <w:ind w:firstLine="709"/>
        <w:contextualSpacing/>
        <w:jc w:val="both"/>
        <w:rPr>
          <w:rFonts w:ascii="Verdana" w:hAnsi="Verdana" w:cs="Arial"/>
          <w:sz w:val="16"/>
          <w:szCs w:val="16"/>
        </w:rPr>
      </w:pPr>
      <w:r w:rsidRPr="00E657A2">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080C2438" w14:textId="77777777" w:rsidR="00BC3A80" w:rsidRPr="00E657A2" w:rsidRDefault="00BC3A80" w:rsidP="00BC3A80">
      <w:pPr>
        <w:pStyle w:val="Textonotapie"/>
        <w:ind w:firstLine="709"/>
        <w:contextualSpacing/>
        <w:jc w:val="both"/>
        <w:rPr>
          <w:rFonts w:ascii="Verdana" w:hAnsi="Verdana" w:cs="Arial"/>
          <w:sz w:val="16"/>
          <w:szCs w:val="16"/>
        </w:rPr>
      </w:pPr>
      <w:r w:rsidRPr="00E657A2">
        <w:rPr>
          <w:rStyle w:val="Refdenotaalpie"/>
          <w:rFonts w:ascii="Verdana" w:hAnsi="Verdana" w:cs="Arial"/>
          <w:sz w:val="16"/>
          <w:szCs w:val="16"/>
        </w:rPr>
        <w:footnoteRef/>
      </w:r>
      <w:r w:rsidRPr="00E657A2">
        <w:rPr>
          <w:rFonts w:ascii="Verdana" w:hAnsi="Verdana" w:cs="Arial"/>
          <w:sz w:val="16"/>
          <w:szCs w:val="16"/>
        </w:rPr>
        <w:t xml:space="preserve"> Gaceta del Congreso de la República No. 71 del 2005.</w:t>
      </w:r>
    </w:p>
  </w:footnote>
  <w:footnote w:id="4">
    <w:p w14:paraId="54D63FD3" w14:textId="77777777" w:rsidR="00BC3A80" w:rsidRPr="00E657A2" w:rsidRDefault="00BC3A80" w:rsidP="00BC3A80">
      <w:pPr>
        <w:pStyle w:val="Textonotapie"/>
        <w:ind w:firstLine="709"/>
        <w:contextualSpacing/>
        <w:jc w:val="both"/>
        <w:rPr>
          <w:rFonts w:ascii="Verdana" w:hAnsi="Verdana" w:cs="Arial"/>
          <w:sz w:val="16"/>
          <w:szCs w:val="16"/>
          <w:lang w:val="pt-BR"/>
        </w:rPr>
      </w:pPr>
      <w:r w:rsidRPr="00E657A2">
        <w:rPr>
          <w:rStyle w:val="Refdenotaalpie"/>
          <w:rFonts w:ascii="Verdana" w:hAnsi="Verdana" w:cs="Arial"/>
          <w:sz w:val="16"/>
          <w:szCs w:val="16"/>
        </w:rPr>
        <w:footnoteRef/>
      </w:r>
      <w:r w:rsidRPr="00E657A2">
        <w:rPr>
          <w:rFonts w:ascii="Verdana" w:hAnsi="Verdana" w:cs="Arial"/>
          <w:sz w:val="16"/>
          <w:szCs w:val="16"/>
          <w:lang w:val="pt-BR"/>
        </w:rPr>
        <w:t xml:space="preserve"> Corte Constitucional, Sentencia C- 1153 de 2005, M.P. Marco Gerardo Monroy Cabra.</w:t>
      </w:r>
    </w:p>
  </w:footnote>
  <w:footnote w:id="5">
    <w:p w14:paraId="3A5B666E" w14:textId="77777777" w:rsidR="00BC3A80" w:rsidRPr="00E657A2" w:rsidRDefault="00BC3A80" w:rsidP="00BC3A80">
      <w:pPr>
        <w:pStyle w:val="Textonotapie"/>
        <w:ind w:firstLine="709"/>
        <w:contextualSpacing/>
        <w:jc w:val="both"/>
        <w:rPr>
          <w:rFonts w:ascii="Verdana" w:hAnsi="Verdana" w:cs="Arial"/>
          <w:sz w:val="16"/>
          <w:szCs w:val="16"/>
          <w:lang w:val="pt-BR"/>
        </w:rPr>
      </w:pPr>
      <w:r w:rsidRPr="00E657A2">
        <w:rPr>
          <w:rStyle w:val="Refdenotaalpie"/>
          <w:rFonts w:ascii="Verdana" w:hAnsi="Verdana" w:cs="Arial"/>
          <w:sz w:val="16"/>
          <w:szCs w:val="16"/>
        </w:rPr>
        <w:footnoteRef/>
      </w:r>
      <w:r w:rsidRPr="00E657A2">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5F756F90" w14:textId="77777777" w:rsidR="00BC3A80" w:rsidRPr="00E657A2" w:rsidRDefault="00BC3A80" w:rsidP="00BC3A80">
      <w:pPr>
        <w:pStyle w:val="Textonotapie"/>
        <w:ind w:firstLine="709"/>
        <w:contextualSpacing/>
        <w:jc w:val="both"/>
        <w:rPr>
          <w:rFonts w:ascii="Verdana" w:hAnsi="Verdana" w:cs="Arial"/>
          <w:sz w:val="16"/>
          <w:szCs w:val="16"/>
          <w:lang w:val="es-CO"/>
        </w:rPr>
      </w:pPr>
      <w:r w:rsidRPr="00E657A2">
        <w:rPr>
          <w:rStyle w:val="Refdenotaalpie"/>
          <w:rFonts w:ascii="Verdana" w:hAnsi="Verdana" w:cs="Arial"/>
          <w:sz w:val="16"/>
          <w:szCs w:val="16"/>
        </w:rPr>
        <w:footnoteRef/>
      </w:r>
      <w:r w:rsidRPr="00E657A2">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3745CCD7" w14:textId="77777777" w:rsidR="00BC3A80" w:rsidRPr="00E657A2" w:rsidRDefault="00BC3A80" w:rsidP="00BC3A80">
      <w:pPr>
        <w:pStyle w:val="Textonotapie"/>
        <w:ind w:firstLine="709"/>
        <w:contextualSpacing/>
        <w:jc w:val="both"/>
        <w:rPr>
          <w:rFonts w:ascii="Verdana" w:hAnsi="Verdana" w:cs="Arial"/>
          <w:sz w:val="16"/>
          <w:szCs w:val="16"/>
        </w:rPr>
      </w:pPr>
      <w:r w:rsidRPr="00E657A2">
        <w:rPr>
          <w:rStyle w:val="Refdenotaalpie"/>
          <w:rFonts w:ascii="Verdana" w:hAnsi="Verdana" w:cs="Arial"/>
          <w:sz w:val="16"/>
          <w:szCs w:val="16"/>
        </w:rPr>
        <w:footnoteRef/>
      </w:r>
      <w:r w:rsidRPr="00E657A2">
        <w:rPr>
          <w:rFonts w:ascii="Verdana" w:hAnsi="Verdana" w:cs="Arial"/>
          <w:sz w:val="16"/>
          <w:szCs w:val="16"/>
        </w:rPr>
        <w:t xml:space="preserve"> Consejo de Estado, Sala de Consulta y Servicio Civil de fecha 24 de julio de 2013, Rad. 2166, C. P. Álvaro Namén Vargas.  </w:t>
      </w:r>
    </w:p>
  </w:footnote>
  <w:footnote w:id="8">
    <w:p w14:paraId="0BD032AB" w14:textId="77777777" w:rsidR="00BC3A80" w:rsidRPr="00E657A2" w:rsidRDefault="00BC3A80" w:rsidP="00BC3A80">
      <w:pPr>
        <w:spacing w:after="0" w:line="240" w:lineRule="auto"/>
        <w:ind w:firstLine="709"/>
        <w:contextualSpacing/>
        <w:jc w:val="both"/>
        <w:rPr>
          <w:rFonts w:ascii="Verdana" w:eastAsia="Times New Roman" w:hAnsi="Verdana" w:cs="Arial"/>
          <w:sz w:val="16"/>
          <w:szCs w:val="16"/>
        </w:rPr>
      </w:pPr>
      <w:r w:rsidRPr="00E657A2">
        <w:rPr>
          <w:rStyle w:val="Refdenotaalpie"/>
          <w:rFonts w:ascii="Verdana" w:hAnsi="Verdana" w:cs="Arial"/>
          <w:sz w:val="16"/>
          <w:szCs w:val="16"/>
        </w:rPr>
        <w:footnoteRef/>
      </w:r>
      <w:r w:rsidRPr="00E657A2">
        <w:rPr>
          <w:rFonts w:ascii="Verdana" w:hAnsi="Verdana" w:cs="Arial"/>
          <w:sz w:val="16"/>
          <w:szCs w:val="16"/>
        </w:rPr>
        <w:t xml:space="preserve"> </w:t>
      </w:r>
      <w:r w:rsidRPr="00E657A2">
        <w:rPr>
          <w:rFonts w:ascii="Verdana" w:hAnsi="Verdana" w:cs="Arial"/>
          <w:color w:val="000000"/>
          <w:sz w:val="16"/>
          <w:szCs w:val="16"/>
        </w:rPr>
        <w:t>“</w:t>
      </w:r>
      <w:r w:rsidRPr="00E657A2">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D348670" w14:textId="77777777" w:rsidR="00BC3A80" w:rsidRPr="00E657A2" w:rsidRDefault="00BC3A80" w:rsidP="00BC3A80">
      <w:pPr>
        <w:spacing w:after="0" w:line="240" w:lineRule="auto"/>
        <w:ind w:firstLine="709"/>
        <w:contextualSpacing/>
        <w:jc w:val="both"/>
        <w:rPr>
          <w:rFonts w:ascii="Verdana" w:eastAsia="Times New Roman" w:hAnsi="Verdana" w:cs="Arial"/>
          <w:sz w:val="16"/>
          <w:szCs w:val="16"/>
        </w:rPr>
      </w:pPr>
      <w:r w:rsidRPr="00E657A2">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657A2">
        <w:rPr>
          <w:rFonts w:ascii="Verdana" w:hAnsi="Verdana" w:cs="Arial"/>
          <w:color w:val="000000"/>
          <w:sz w:val="16"/>
          <w:szCs w:val="16"/>
        </w:rPr>
        <w:t>”</w:t>
      </w:r>
      <w:r w:rsidRPr="00E657A2">
        <w:rPr>
          <w:rFonts w:ascii="Verdana" w:eastAsia="Times New Roman" w:hAnsi="Verdana" w:cs="Arial"/>
          <w:sz w:val="16"/>
          <w:szCs w:val="16"/>
        </w:rPr>
        <w:t>.</w:t>
      </w:r>
    </w:p>
  </w:footnote>
  <w:footnote w:id="9">
    <w:p w14:paraId="731658FE" w14:textId="77777777" w:rsidR="00BC3A80" w:rsidRPr="00E657A2" w:rsidRDefault="00BC3A80" w:rsidP="00BC3A80">
      <w:pPr>
        <w:pStyle w:val="NormalWeb"/>
        <w:spacing w:before="0" w:beforeAutospacing="0" w:after="0" w:afterAutospacing="0"/>
        <w:ind w:firstLine="709"/>
        <w:contextualSpacing/>
        <w:jc w:val="both"/>
        <w:rPr>
          <w:rFonts w:ascii="Verdana" w:hAnsi="Verdana" w:cs="Arial"/>
          <w:sz w:val="16"/>
          <w:szCs w:val="16"/>
          <w:lang w:val="es-MX"/>
        </w:rPr>
      </w:pPr>
      <w:r w:rsidRPr="00E657A2">
        <w:rPr>
          <w:rStyle w:val="Refdenotaalpie"/>
          <w:rFonts w:ascii="Verdana" w:hAnsi="Verdana" w:cs="Arial"/>
          <w:sz w:val="16"/>
          <w:szCs w:val="16"/>
        </w:rPr>
        <w:footnoteRef/>
      </w:r>
      <w:r w:rsidRPr="00E657A2">
        <w:rPr>
          <w:rFonts w:ascii="Verdana" w:hAnsi="Verdana" w:cs="Arial"/>
          <w:sz w:val="16"/>
          <w:szCs w:val="16"/>
        </w:rPr>
        <w:t xml:space="preserve"> </w:t>
      </w:r>
      <w:r w:rsidRPr="00E657A2">
        <w:rPr>
          <w:rFonts w:ascii="Verdana" w:eastAsia="Calibri" w:hAnsi="Verdana" w:cs="Arial"/>
          <w:color w:val="000000"/>
          <w:sz w:val="16"/>
          <w:szCs w:val="16"/>
        </w:rPr>
        <w:t>“</w:t>
      </w:r>
      <w:r w:rsidRPr="00E657A2">
        <w:rPr>
          <w:rFonts w:ascii="Verdana" w:hAnsi="Verdana" w:cs="Arial"/>
          <w:sz w:val="16"/>
          <w:szCs w:val="16"/>
          <w:lang w:val="es-MX"/>
        </w:rPr>
        <w:t>Artículo 38. Prohibiciones para los servidores públicos. A los empleados del Estado les está prohibido: […]</w:t>
      </w:r>
    </w:p>
    <w:p w14:paraId="3B60EE1A" w14:textId="77777777" w:rsidR="00BC3A80" w:rsidRPr="00E657A2" w:rsidRDefault="00BC3A80" w:rsidP="00BC3A80">
      <w:pPr>
        <w:pStyle w:val="NormalWeb"/>
        <w:spacing w:before="0" w:beforeAutospacing="0" w:after="0" w:afterAutospacing="0"/>
        <w:ind w:firstLine="709"/>
        <w:contextualSpacing/>
        <w:jc w:val="both"/>
        <w:rPr>
          <w:rFonts w:ascii="Verdana" w:hAnsi="Verdana" w:cs="Arial"/>
          <w:sz w:val="16"/>
          <w:szCs w:val="16"/>
          <w:lang w:val="es-MX"/>
        </w:rPr>
      </w:pPr>
      <w:r w:rsidRPr="00E657A2">
        <w:rPr>
          <w:rStyle w:val="baj"/>
          <w:rFonts w:ascii="Verdana" w:hAnsi="Verdana" w:cs="Arial"/>
          <w:sz w:val="16"/>
          <w:szCs w:val="16"/>
          <w:lang w:val="es-MX"/>
        </w:rPr>
        <w:t>Parágrafo.</w:t>
      </w:r>
      <w:r w:rsidRPr="00E657A2">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657A2">
        <w:rPr>
          <w:rFonts w:ascii="Verdana" w:eastAsia="Calibri" w:hAnsi="Verdana" w:cs="Arial"/>
          <w:color w:val="000000"/>
          <w:sz w:val="16"/>
          <w:szCs w:val="16"/>
        </w:rPr>
        <w:t>”</w:t>
      </w:r>
      <w:r w:rsidRPr="00E657A2">
        <w:rPr>
          <w:rFonts w:ascii="Verdana" w:hAnsi="Verdana" w:cs="Arial"/>
          <w:sz w:val="16"/>
          <w:szCs w:val="16"/>
          <w:lang w:val="es-MX"/>
        </w:rPr>
        <w:t>.</w:t>
      </w:r>
    </w:p>
  </w:footnote>
  <w:footnote w:id="10">
    <w:p w14:paraId="109B2F98" w14:textId="77777777" w:rsidR="00BC3A80" w:rsidRPr="00E657A2" w:rsidRDefault="00BC3A80" w:rsidP="00BC3A80">
      <w:pPr>
        <w:spacing w:after="0" w:line="240" w:lineRule="auto"/>
        <w:ind w:left="100" w:right="244" w:firstLine="709"/>
        <w:contextualSpacing/>
        <w:jc w:val="both"/>
        <w:rPr>
          <w:rFonts w:ascii="Verdana" w:hAnsi="Verdana" w:cs="Arial"/>
          <w:sz w:val="16"/>
          <w:szCs w:val="16"/>
          <w:lang w:val="es-ES"/>
        </w:rPr>
      </w:pPr>
      <w:r w:rsidRPr="00E657A2">
        <w:rPr>
          <w:rStyle w:val="Refdenotaalpie"/>
          <w:rFonts w:ascii="Verdana" w:hAnsi="Verdana" w:cs="Arial"/>
          <w:sz w:val="16"/>
          <w:szCs w:val="16"/>
        </w:rPr>
        <w:footnoteRef/>
      </w:r>
      <w:r w:rsidRPr="00E657A2">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2C7D8D06" w14:textId="77777777" w:rsidR="00BC3A80" w:rsidRPr="00E657A2" w:rsidRDefault="00BC3A80" w:rsidP="00BC3A80">
      <w:pPr>
        <w:pStyle w:val="Textonotapie"/>
        <w:ind w:right="51" w:firstLine="709"/>
        <w:contextualSpacing/>
        <w:jc w:val="both"/>
        <w:rPr>
          <w:rFonts w:ascii="Verdana" w:hAnsi="Verdana" w:cs="Arial"/>
          <w:sz w:val="16"/>
          <w:szCs w:val="16"/>
        </w:rPr>
      </w:pPr>
      <w:r w:rsidRPr="00E657A2">
        <w:rPr>
          <w:rStyle w:val="Refdenotaalpie"/>
          <w:rFonts w:ascii="Verdana" w:hAnsi="Verdana" w:cs="Arial"/>
          <w:sz w:val="16"/>
          <w:szCs w:val="16"/>
        </w:rPr>
        <w:footnoteRef/>
      </w:r>
      <w:r w:rsidRPr="00E657A2">
        <w:rPr>
          <w:rFonts w:ascii="Verdana" w:hAnsi="Verdana" w:cs="Arial"/>
          <w:sz w:val="16"/>
          <w:szCs w:val="16"/>
        </w:rPr>
        <w:t xml:space="preserve"> “</w:t>
      </w:r>
      <w:r w:rsidRPr="00E657A2">
        <w:rPr>
          <w:rFonts w:ascii="Verdana" w:hAnsi="Verdana" w:cs="Arial"/>
          <w:sz w:val="16"/>
          <w:szCs w:val="16"/>
          <w:lang w:val="es-ES"/>
        </w:rPr>
        <w:t xml:space="preserve">[26] </w:t>
      </w:r>
      <w:r w:rsidRPr="00E657A2">
        <w:rPr>
          <w:rFonts w:ascii="Verdana" w:hAnsi="Verdana" w:cs="Arial"/>
          <w:sz w:val="16"/>
          <w:szCs w:val="16"/>
        </w:rPr>
        <w:t>Al respecto ver el concepto 1712 de 2 de febrero de 2006. Consejo de Estado Sala de Consulta y Servicio Civil”.</w:t>
      </w:r>
    </w:p>
  </w:footnote>
  <w:footnote w:id="12">
    <w:p w14:paraId="6797D87F" w14:textId="77777777" w:rsidR="00BC3A80" w:rsidRPr="00E657A2" w:rsidRDefault="00BC3A80" w:rsidP="00BC3A80">
      <w:pPr>
        <w:pStyle w:val="Textonotapie"/>
        <w:ind w:firstLine="709"/>
        <w:contextualSpacing/>
        <w:jc w:val="both"/>
        <w:rPr>
          <w:rFonts w:ascii="Verdana" w:hAnsi="Verdana" w:cs="Arial"/>
          <w:sz w:val="16"/>
          <w:szCs w:val="16"/>
        </w:rPr>
      </w:pPr>
      <w:r w:rsidRPr="00E657A2">
        <w:rPr>
          <w:rStyle w:val="Refdenotaalpie"/>
          <w:rFonts w:ascii="Verdana" w:hAnsi="Verdana" w:cs="Arial"/>
          <w:sz w:val="16"/>
          <w:szCs w:val="16"/>
        </w:rPr>
        <w:footnoteRef/>
      </w:r>
      <w:r w:rsidRPr="00E657A2">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47597E9E" w14:textId="77777777" w:rsidR="00BC3A80" w:rsidRPr="00E657A2" w:rsidRDefault="00BC3A80" w:rsidP="00BC3A80">
      <w:pPr>
        <w:pStyle w:val="Textonotapie"/>
        <w:ind w:firstLine="709"/>
        <w:contextualSpacing/>
        <w:jc w:val="both"/>
        <w:rPr>
          <w:rFonts w:ascii="Verdana" w:hAnsi="Verdana" w:cs="Arial"/>
          <w:sz w:val="16"/>
          <w:szCs w:val="16"/>
          <w:lang w:val="es-ES"/>
        </w:rPr>
      </w:pPr>
      <w:r w:rsidRPr="00E657A2">
        <w:rPr>
          <w:rStyle w:val="Refdenotaalpie"/>
          <w:rFonts w:ascii="Verdana" w:hAnsi="Verdana" w:cs="Arial"/>
          <w:sz w:val="16"/>
          <w:szCs w:val="16"/>
        </w:rPr>
        <w:footnoteRef/>
      </w:r>
      <w:r w:rsidRPr="00E657A2">
        <w:rPr>
          <w:rFonts w:ascii="Verdana" w:hAnsi="Verdana" w:cs="Arial"/>
          <w:sz w:val="16"/>
          <w:szCs w:val="16"/>
        </w:rPr>
        <w:t xml:space="preserve"> </w:t>
      </w:r>
      <w:r w:rsidRPr="00E657A2">
        <w:rPr>
          <w:rFonts w:ascii="Verdana" w:hAnsi="Verdana" w:cs="Arial"/>
          <w:sz w:val="16"/>
          <w:szCs w:val="16"/>
          <w:lang w:val="es-ES"/>
        </w:rPr>
        <w:t xml:space="preserve">Artículo 2. </w:t>
      </w:r>
    </w:p>
  </w:footnote>
  <w:footnote w:id="14">
    <w:p w14:paraId="4F5B3E40" w14:textId="77777777" w:rsidR="00BC3A80" w:rsidRPr="00E657A2" w:rsidRDefault="00BC3A80" w:rsidP="00BC3A80">
      <w:pPr>
        <w:pStyle w:val="Textonotapie"/>
        <w:ind w:firstLine="709"/>
        <w:contextualSpacing/>
        <w:jc w:val="both"/>
        <w:rPr>
          <w:rFonts w:ascii="Verdana" w:hAnsi="Verdana" w:cs="Arial"/>
          <w:sz w:val="16"/>
          <w:szCs w:val="16"/>
          <w:lang w:val="es-ES"/>
        </w:rPr>
      </w:pPr>
      <w:r w:rsidRPr="00E657A2">
        <w:rPr>
          <w:rStyle w:val="Refdenotaalpie"/>
          <w:rFonts w:ascii="Verdana" w:hAnsi="Verdana" w:cs="Arial"/>
          <w:sz w:val="16"/>
          <w:szCs w:val="16"/>
        </w:rPr>
        <w:footnoteRef/>
      </w:r>
      <w:r w:rsidRPr="00E657A2">
        <w:rPr>
          <w:rFonts w:ascii="Verdana" w:hAnsi="Verdana" w:cs="Arial"/>
          <w:sz w:val="16"/>
          <w:szCs w:val="16"/>
        </w:rPr>
        <w:t xml:space="preserve"> </w:t>
      </w:r>
      <w:r w:rsidRPr="00E657A2">
        <w:rPr>
          <w:rFonts w:ascii="Verdana" w:hAnsi="Verdana" w:cs="Arial"/>
          <w:i/>
          <w:sz w:val="16"/>
          <w:szCs w:val="16"/>
          <w:lang w:val="es-ES"/>
        </w:rPr>
        <w:t>Ídem</w:t>
      </w:r>
      <w:r w:rsidRPr="00E657A2">
        <w:rPr>
          <w:rFonts w:ascii="Verdana" w:hAnsi="Verdana" w:cs="Arial"/>
          <w:sz w:val="16"/>
          <w:szCs w:val="16"/>
          <w:lang w:val="es-ES"/>
        </w:rPr>
        <w:t>.</w:t>
      </w:r>
    </w:p>
  </w:footnote>
  <w:footnote w:id="15">
    <w:p w14:paraId="7A7008B2" w14:textId="77777777" w:rsidR="00BC3A80" w:rsidRPr="00E657A2" w:rsidRDefault="00BC3A80" w:rsidP="00BC3A80">
      <w:pPr>
        <w:pStyle w:val="Textonotapie"/>
        <w:ind w:firstLine="709"/>
        <w:contextualSpacing/>
        <w:jc w:val="both"/>
        <w:rPr>
          <w:rFonts w:ascii="Verdana" w:hAnsi="Verdana" w:cs="Arial"/>
          <w:sz w:val="16"/>
          <w:szCs w:val="16"/>
        </w:rPr>
      </w:pPr>
      <w:r w:rsidRPr="00E657A2">
        <w:rPr>
          <w:rStyle w:val="Refdenotaalpie"/>
          <w:rFonts w:ascii="Verdana" w:hAnsi="Verdana" w:cs="Arial"/>
          <w:sz w:val="16"/>
          <w:szCs w:val="16"/>
        </w:rPr>
        <w:footnoteRef/>
      </w:r>
      <w:r w:rsidRPr="00E657A2">
        <w:rPr>
          <w:rFonts w:ascii="Verdana" w:hAnsi="Verdana" w:cs="Arial"/>
          <w:sz w:val="16"/>
          <w:szCs w:val="16"/>
        </w:rPr>
        <w:t xml:space="preserve"> Consejo de Estado. Sala de Consulta y Servicio Civil. Concepto del 08 de mayo de 2018. Exp. 2.382. C.P. Álvaro Namén Vargas.</w:t>
      </w:r>
    </w:p>
  </w:footnote>
  <w:footnote w:id="16">
    <w:p w14:paraId="370A80A3" w14:textId="77777777" w:rsidR="00BC3A80" w:rsidRPr="00E657A2" w:rsidRDefault="00BC3A80" w:rsidP="00BC3A80">
      <w:pPr>
        <w:pStyle w:val="Textonotapie"/>
        <w:ind w:firstLine="708"/>
        <w:contextualSpacing/>
        <w:jc w:val="both"/>
        <w:rPr>
          <w:rFonts w:ascii="Verdana" w:hAnsi="Verdana"/>
          <w:sz w:val="16"/>
          <w:szCs w:val="16"/>
          <w:lang w:val="es-ES"/>
        </w:rPr>
      </w:pPr>
      <w:r w:rsidRPr="00E657A2">
        <w:rPr>
          <w:rStyle w:val="Refdenotaalpie"/>
          <w:rFonts w:ascii="Verdana" w:hAnsi="Verdana"/>
          <w:sz w:val="16"/>
          <w:szCs w:val="16"/>
        </w:rPr>
        <w:footnoteRef/>
      </w:r>
      <w:r w:rsidRPr="00E657A2">
        <w:rPr>
          <w:rFonts w:ascii="Verdana" w:hAnsi="Verdana"/>
          <w:sz w:val="16"/>
          <w:szCs w:val="16"/>
        </w:rPr>
        <w:t xml:space="preserve"> </w:t>
      </w:r>
      <w:r w:rsidRPr="00E657A2">
        <w:rPr>
          <w:rFonts w:ascii="Verdana" w:hAnsi="Verdana" w:cs="Arial"/>
          <w:sz w:val="16"/>
          <w:szCs w:val="16"/>
          <w:lang w:val="es-ES"/>
        </w:rPr>
        <w:t xml:space="preserve">Consejo de Estado, Sala de Consulta y Servicio Civil, Concepto de fecha 8 de mayo de 2018, No. </w:t>
      </w:r>
      <w:r w:rsidRPr="00E657A2">
        <w:rPr>
          <w:rFonts w:ascii="Verdana" w:hAnsi="Verdana"/>
          <w:sz w:val="16"/>
          <w:szCs w:val="16"/>
          <w:lang w:val="es-CO"/>
        </w:rPr>
        <w:t>2382.</w:t>
      </w:r>
      <w:r w:rsidRPr="00E657A2">
        <w:rPr>
          <w:rFonts w:ascii="Verdana" w:hAnsi="Verdana"/>
          <w:sz w:val="16"/>
          <w:szCs w:val="16"/>
        </w:rPr>
        <w:t xml:space="preserve"> </w:t>
      </w:r>
      <w:r w:rsidRPr="00E657A2">
        <w:rPr>
          <w:rFonts w:ascii="Verdana" w:hAnsi="Verdana"/>
          <w:sz w:val="16"/>
          <w:szCs w:val="16"/>
          <w:lang w:val="es-CO"/>
        </w:rPr>
        <w:t>C. P. Álvaro Namén Vargas.</w:t>
      </w:r>
    </w:p>
  </w:footnote>
  <w:footnote w:id="17">
    <w:p w14:paraId="28F5BD51" w14:textId="77777777" w:rsidR="00BC3A80" w:rsidRPr="00E657A2" w:rsidRDefault="00BC3A80" w:rsidP="00BC3A80">
      <w:pPr>
        <w:spacing w:after="0" w:line="240" w:lineRule="auto"/>
        <w:ind w:firstLine="709"/>
        <w:contextualSpacing/>
        <w:jc w:val="both"/>
        <w:rPr>
          <w:rFonts w:ascii="Verdana" w:hAnsi="Verdana" w:cs="Arial"/>
          <w:color w:val="000000" w:themeColor="text1"/>
          <w:sz w:val="16"/>
          <w:szCs w:val="16"/>
        </w:rPr>
      </w:pPr>
      <w:r w:rsidRPr="00E657A2">
        <w:rPr>
          <w:rStyle w:val="Refdenotaalpie"/>
          <w:rFonts w:ascii="Verdana" w:hAnsi="Verdana" w:cs="Arial"/>
          <w:color w:val="000000" w:themeColor="text1"/>
          <w:sz w:val="16"/>
          <w:szCs w:val="16"/>
        </w:rPr>
        <w:footnoteRef/>
      </w:r>
      <w:r w:rsidRPr="00E657A2">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766C8691" w14:textId="77777777" w:rsidR="00BC3A80" w:rsidRPr="00E657A2" w:rsidRDefault="00BC3A80" w:rsidP="00BC3A80">
      <w:pPr>
        <w:pStyle w:val="Textonotapie"/>
        <w:ind w:firstLine="708"/>
        <w:contextualSpacing/>
        <w:jc w:val="both"/>
        <w:rPr>
          <w:rFonts w:ascii="Verdana" w:hAnsi="Verdana" w:cs="Arial"/>
          <w:color w:val="000000" w:themeColor="text1"/>
          <w:sz w:val="16"/>
          <w:szCs w:val="16"/>
        </w:rPr>
      </w:pPr>
      <w:r w:rsidRPr="00E657A2">
        <w:rPr>
          <w:rStyle w:val="Refdenotaalpie"/>
          <w:rFonts w:ascii="Verdana" w:hAnsi="Verdana" w:cs="Arial"/>
          <w:color w:val="000000" w:themeColor="text1"/>
          <w:sz w:val="16"/>
          <w:szCs w:val="16"/>
        </w:rPr>
        <w:footnoteRef/>
      </w:r>
      <w:r w:rsidRPr="00E657A2">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19">
    <w:p w14:paraId="3C736715" w14:textId="77777777" w:rsidR="00BC3A80" w:rsidRPr="00E657A2" w:rsidRDefault="00BC3A80" w:rsidP="00BC3A80">
      <w:pPr>
        <w:pStyle w:val="Textonotapie"/>
        <w:ind w:firstLine="708"/>
        <w:contextualSpacing/>
        <w:jc w:val="both"/>
        <w:rPr>
          <w:rFonts w:ascii="Verdana" w:hAnsi="Verdana" w:cs="Arial"/>
          <w:color w:val="000000" w:themeColor="text1"/>
          <w:sz w:val="16"/>
          <w:szCs w:val="16"/>
        </w:rPr>
      </w:pPr>
      <w:r w:rsidRPr="00E657A2">
        <w:rPr>
          <w:rStyle w:val="Refdenotaalpie"/>
          <w:rFonts w:ascii="Verdana" w:hAnsi="Verdana" w:cs="Arial"/>
          <w:color w:val="000000" w:themeColor="text1"/>
          <w:sz w:val="16"/>
          <w:szCs w:val="16"/>
        </w:rPr>
        <w:footnoteRef/>
      </w:r>
      <w:r w:rsidRPr="00E657A2">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0">
    <w:p w14:paraId="32465497" w14:textId="77777777" w:rsidR="00BC3A80" w:rsidRPr="00E657A2" w:rsidRDefault="00BC3A80" w:rsidP="00BC3A80">
      <w:pPr>
        <w:pStyle w:val="Textonotapie"/>
        <w:ind w:firstLine="709"/>
        <w:rPr>
          <w:rFonts w:ascii="Verdana" w:hAnsi="Verdana" w:cs="Arial"/>
          <w:sz w:val="16"/>
          <w:szCs w:val="16"/>
          <w:lang w:val="es-ES"/>
        </w:rPr>
      </w:pPr>
      <w:r w:rsidRPr="00E657A2">
        <w:rPr>
          <w:rStyle w:val="Refdenotaalpie"/>
          <w:rFonts w:ascii="Verdana" w:hAnsi="Verdana" w:cs="Arial"/>
          <w:sz w:val="16"/>
          <w:szCs w:val="16"/>
        </w:rPr>
        <w:footnoteRef/>
      </w:r>
      <w:r w:rsidRPr="00E657A2">
        <w:rPr>
          <w:rFonts w:ascii="Verdana" w:hAnsi="Verdana" w:cs="Arial"/>
          <w:sz w:val="16"/>
          <w:szCs w:val="16"/>
        </w:rPr>
        <w:t xml:space="preserve"> </w:t>
      </w:r>
      <w:r w:rsidRPr="00E657A2">
        <w:rPr>
          <w:rFonts w:ascii="Verdana" w:hAnsi="Verdana" w:cs="Arial"/>
          <w:sz w:val="16"/>
          <w:szCs w:val="16"/>
          <w:lang w:val="es-ES"/>
        </w:rPr>
        <w:t>Por medio del cual se reglamentan parcialmente las operaciones de crédito público, las de manejo de la deuda pública, sus asimiladas y conexas y la contratación directa de las mismas.</w:t>
      </w:r>
    </w:p>
    <w:p w14:paraId="4F27F507" w14:textId="77777777" w:rsidR="00BC3A80" w:rsidRPr="00E657A2" w:rsidRDefault="00BC3A80" w:rsidP="00BC3A80">
      <w:pPr>
        <w:pStyle w:val="Textonotapie"/>
        <w:ind w:firstLine="709"/>
        <w:rPr>
          <w:rFonts w:ascii="Verdana" w:hAnsi="Verdana" w:cs="Arial"/>
          <w:sz w:val="16"/>
          <w:szCs w:val="16"/>
        </w:rPr>
      </w:pPr>
    </w:p>
  </w:footnote>
  <w:footnote w:id="21">
    <w:p w14:paraId="4AEFF505" w14:textId="77777777" w:rsidR="00BC3A80" w:rsidRPr="00E657A2" w:rsidRDefault="00BC3A80" w:rsidP="00BC3A80">
      <w:pPr>
        <w:pStyle w:val="Textonotapie"/>
        <w:ind w:firstLine="709"/>
        <w:rPr>
          <w:rFonts w:ascii="Verdana" w:hAnsi="Verdana" w:cs="Arial"/>
          <w:sz w:val="16"/>
          <w:szCs w:val="16"/>
          <w:lang w:val="es-ES"/>
        </w:rPr>
      </w:pPr>
      <w:r w:rsidRPr="00E657A2">
        <w:rPr>
          <w:rStyle w:val="Refdenotaalpie"/>
          <w:rFonts w:ascii="Verdana" w:hAnsi="Verdana" w:cs="Arial"/>
          <w:sz w:val="16"/>
          <w:szCs w:val="16"/>
        </w:rPr>
        <w:footnoteRef/>
      </w:r>
      <w:r w:rsidRPr="00E657A2">
        <w:rPr>
          <w:rFonts w:ascii="Verdana" w:hAnsi="Verdana" w:cs="Arial"/>
          <w:sz w:val="16"/>
          <w:szCs w:val="16"/>
        </w:rPr>
        <w:t xml:space="preserve"> </w:t>
      </w:r>
      <w:r w:rsidRPr="00E657A2">
        <w:rPr>
          <w:rFonts w:ascii="Verdana" w:hAnsi="Verdana" w:cs="Arial"/>
          <w:sz w:val="16"/>
          <w:szCs w:val="16"/>
          <w:lang w:val="es-ES"/>
        </w:rPr>
        <w:t>Por medio del cual se expide el Decreto Único Reglamentario del Sector Hacienda y Crédito Público.</w:t>
      </w:r>
    </w:p>
  </w:footnote>
  <w:footnote w:id="22">
    <w:p w14:paraId="729794BC" w14:textId="77777777" w:rsidR="00BC3A80" w:rsidRPr="00E657A2" w:rsidRDefault="00BC3A80" w:rsidP="00BC3A80">
      <w:pPr>
        <w:pStyle w:val="Textonotapie"/>
        <w:ind w:firstLine="709"/>
        <w:rPr>
          <w:rFonts w:ascii="Verdana" w:hAnsi="Verdana"/>
          <w:sz w:val="16"/>
          <w:szCs w:val="16"/>
          <w:lang w:val="es-ES"/>
        </w:rPr>
      </w:pPr>
      <w:r w:rsidRPr="00E657A2">
        <w:rPr>
          <w:rStyle w:val="Refdenotaalpie"/>
          <w:rFonts w:ascii="Verdana" w:hAnsi="Verdana"/>
          <w:sz w:val="16"/>
          <w:szCs w:val="16"/>
        </w:rPr>
        <w:footnoteRef/>
      </w:r>
      <w:r w:rsidRPr="00E657A2">
        <w:rPr>
          <w:rFonts w:ascii="Verdana" w:hAnsi="Verdana"/>
          <w:sz w:val="16"/>
          <w:szCs w:val="16"/>
        </w:rPr>
        <w:t xml:space="preserve"> CONSEJO DE ESTADO. Sala de lo Contencioso Administrativo. Sección Cuarta. Sentencia 13 de junio de 2013. Magistrada ponente: Carmen Teresa Ortiz de Rodríguez.  </w:t>
      </w:r>
    </w:p>
  </w:footnote>
  <w:footnote w:id="23">
    <w:p w14:paraId="3C31DAEC" w14:textId="77777777" w:rsidR="00BC3A80" w:rsidRPr="00E657A2" w:rsidRDefault="00BC3A80" w:rsidP="00BC3A80">
      <w:pPr>
        <w:pStyle w:val="Textonotapie"/>
        <w:ind w:firstLine="709"/>
        <w:rPr>
          <w:rFonts w:ascii="Verdana" w:hAnsi="Verdana"/>
          <w:sz w:val="16"/>
          <w:szCs w:val="16"/>
          <w:lang w:val="es-ES"/>
        </w:rPr>
      </w:pPr>
      <w:r w:rsidRPr="00E657A2">
        <w:rPr>
          <w:rStyle w:val="Refdenotaalpie"/>
          <w:rFonts w:ascii="Verdana" w:hAnsi="Verdana"/>
          <w:sz w:val="16"/>
          <w:szCs w:val="16"/>
        </w:rPr>
        <w:footnoteRef/>
      </w:r>
      <w:r w:rsidRPr="00E657A2">
        <w:rPr>
          <w:rFonts w:ascii="Verdana" w:hAnsi="Verdana"/>
          <w:sz w:val="16"/>
          <w:szCs w:val="16"/>
        </w:rPr>
        <w:t xml:space="preserve"> 72 GORDILLO. Agustín. El Contrato de crédito externo. Revista de Administración Pública, Núm 097. Pág 417.</w:t>
      </w:r>
    </w:p>
  </w:footnote>
  <w:footnote w:id="24">
    <w:p w14:paraId="5FA8557E" w14:textId="77777777" w:rsidR="00BC3A80" w:rsidRPr="00E657A2" w:rsidRDefault="00BC3A80" w:rsidP="00BC3A80">
      <w:pPr>
        <w:pStyle w:val="Textonotapie"/>
        <w:ind w:firstLine="709"/>
        <w:jc w:val="both"/>
        <w:rPr>
          <w:rFonts w:ascii="Verdana" w:hAnsi="Verdana"/>
          <w:sz w:val="16"/>
          <w:szCs w:val="16"/>
          <w:lang w:val="es-CO"/>
        </w:rPr>
      </w:pPr>
      <w:r w:rsidRPr="00E657A2">
        <w:rPr>
          <w:rStyle w:val="Refdenotaalpie"/>
          <w:rFonts w:ascii="Verdana" w:hAnsi="Verdana"/>
          <w:sz w:val="16"/>
          <w:szCs w:val="16"/>
        </w:rPr>
        <w:footnoteRef/>
      </w:r>
      <w:r w:rsidRPr="00E657A2">
        <w:rPr>
          <w:rFonts w:ascii="Verdana" w:hAnsi="Verdana"/>
          <w:sz w:val="16"/>
          <w:szCs w:val="16"/>
        </w:rPr>
        <w:t xml:space="preserve"> </w:t>
      </w:r>
      <w:r w:rsidRPr="00E657A2">
        <w:rPr>
          <w:rFonts w:ascii="Verdana" w:hAnsi="Verdana" w:cs="Arial"/>
          <w:sz w:val="16"/>
          <w:szCs w:val="16"/>
        </w:rPr>
        <w:t xml:space="preserve">Consejo de Estado -Sección Tercera-. Sentencia del </w:t>
      </w:r>
      <w:r w:rsidRPr="00E657A2">
        <w:rPr>
          <w:rFonts w:ascii="Verdana" w:hAnsi="Verdana" w:cs="Arial"/>
          <w:bCs/>
          <w:iCs/>
          <w:sz w:val="16"/>
          <w:szCs w:val="16"/>
        </w:rPr>
        <w:t>21 de febrero de 2025. Radicación Número: 68.280. CP: José Roberto Sáchica Méndez.</w:t>
      </w:r>
    </w:p>
  </w:footnote>
  <w:footnote w:id="25">
    <w:p w14:paraId="57E4A0BB" w14:textId="77777777" w:rsidR="00BC3A80" w:rsidRPr="00E657A2" w:rsidRDefault="00BC3A80" w:rsidP="00BC3A80">
      <w:pPr>
        <w:pStyle w:val="Textonotapie"/>
        <w:ind w:firstLine="708"/>
        <w:jc w:val="both"/>
        <w:rPr>
          <w:rFonts w:ascii="Verdana" w:hAnsi="Verdana" w:cs="Arial"/>
          <w:sz w:val="16"/>
          <w:szCs w:val="16"/>
        </w:rPr>
      </w:pPr>
      <w:r w:rsidRPr="00E657A2">
        <w:rPr>
          <w:rFonts w:ascii="Verdana" w:hAnsi="Verdana"/>
          <w:sz w:val="16"/>
          <w:szCs w:val="16"/>
          <w:vertAlign w:val="superscript"/>
        </w:rPr>
        <w:footnoteRef/>
      </w:r>
      <w:r w:rsidRPr="00E657A2">
        <w:rPr>
          <w:rFonts w:ascii="Verdana" w:hAnsi="Verdana"/>
          <w:sz w:val="16"/>
          <w:szCs w:val="16"/>
          <w:vertAlign w:val="superscript"/>
        </w:rPr>
        <w:t xml:space="preserve"> </w:t>
      </w:r>
      <w:r w:rsidRPr="00E657A2">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78F71D97" w14:textId="77777777" w:rsidR="00BC3A80" w:rsidRPr="00E657A2" w:rsidRDefault="00BC3A80" w:rsidP="00BC3A80">
      <w:pPr>
        <w:pStyle w:val="Textonotapie"/>
        <w:ind w:firstLine="708"/>
        <w:jc w:val="both"/>
        <w:rPr>
          <w:rFonts w:ascii="Verdana" w:hAnsi="Verdana" w:cs="Arial"/>
          <w:sz w:val="16"/>
          <w:szCs w:val="16"/>
        </w:rPr>
      </w:pPr>
    </w:p>
  </w:footnote>
  <w:footnote w:id="26">
    <w:p w14:paraId="3B372D21" w14:textId="77777777" w:rsidR="00BC3A80" w:rsidRPr="00E657A2" w:rsidRDefault="00BC3A80" w:rsidP="00BC3A80">
      <w:pPr>
        <w:pStyle w:val="Textonotapie"/>
        <w:ind w:firstLine="708"/>
        <w:jc w:val="both"/>
        <w:rPr>
          <w:rFonts w:ascii="Verdana" w:hAnsi="Verdana" w:cs="Arial"/>
          <w:sz w:val="16"/>
          <w:szCs w:val="16"/>
        </w:rPr>
      </w:pPr>
      <w:r w:rsidRPr="00E657A2">
        <w:rPr>
          <w:rFonts w:ascii="Verdana" w:hAnsi="Verdana"/>
          <w:sz w:val="16"/>
          <w:szCs w:val="16"/>
          <w:vertAlign w:val="superscript"/>
        </w:rPr>
        <w:footnoteRef/>
      </w:r>
      <w:r w:rsidRPr="00E657A2">
        <w:rPr>
          <w:rFonts w:ascii="Verdana" w:hAnsi="Verdana" w:cs="Arial"/>
          <w:sz w:val="16"/>
          <w:szCs w:val="16"/>
          <w:vertAlign w:val="superscript"/>
        </w:rPr>
        <w:t xml:space="preserve"> </w:t>
      </w:r>
      <w:r w:rsidRPr="00E657A2">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4ECB2DD1" w14:textId="77777777" w:rsidR="00BC3A80" w:rsidRPr="00E657A2" w:rsidRDefault="00BC3A80" w:rsidP="00BC3A80">
      <w:pPr>
        <w:pStyle w:val="Textonotapie"/>
        <w:ind w:firstLine="708"/>
        <w:jc w:val="both"/>
        <w:rPr>
          <w:rFonts w:ascii="Verdana" w:hAnsi="Verdana" w:cs="Arial"/>
          <w:sz w:val="16"/>
          <w:szCs w:val="16"/>
        </w:rPr>
      </w:pPr>
      <w:r w:rsidRPr="00E657A2">
        <w:rPr>
          <w:rFonts w:ascii="Verdana" w:hAnsi="Verdana" w:cs="Arial"/>
          <w:sz w:val="16"/>
          <w:szCs w:val="16"/>
        </w:rPr>
        <w:t>[…].</w:t>
      </w:r>
    </w:p>
  </w:footnote>
  <w:footnote w:id="27">
    <w:p w14:paraId="63A99B2B" w14:textId="77777777" w:rsidR="00BC3A80" w:rsidRPr="00E657A2" w:rsidRDefault="00BC3A80" w:rsidP="00BC3A80">
      <w:pPr>
        <w:pStyle w:val="Textonotapie"/>
        <w:ind w:firstLine="708"/>
        <w:jc w:val="both"/>
        <w:rPr>
          <w:rFonts w:ascii="Verdana" w:hAnsi="Verdana" w:cs="Arial"/>
          <w:sz w:val="16"/>
          <w:szCs w:val="16"/>
        </w:rPr>
      </w:pPr>
      <w:r w:rsidRPr="00E657A2">
        <w:rPr>
          <w:rFonts w:ascii="Verdana" w:hAnsi="Verdana"/>
          <w:sz w:val="16"/>
          <w:szCs w:val="16"/>
          <w:vertAlign w:val="superscript"/>
        </w:rPr>
        <w:footnoteRef/>
      </w:r>
      <w:r w:rsidRPr="00E657A2">
        <w:rPr>
          <w:rFonts w:ascii="Verdana" w:hAnsi="Verdana" w:cs="Arial"/>
          <w:sz w:val="16"/>
          <w:szCs w:val="16"/>
          <w:vertAlign w:val="superscript"/>
        </w:rPr>
        <w:t xml:space="preserve"> </w:t>
      </w:r>
      <w:r w:rsidRPr="00E657A2">
        <w:rPr>
          <w:rFonts w:ascii="Verdana" w:hAnsi="Verdana" w:cs="Arial"/>
          <w:sz w:val="16"/>
          <w:szCs w:val="16"/>
        </w:rPr>
        <w:t>Código Civil: «Artículo 27. Cuando el sentido de la ley sea claro, no se desatenderá su tenor a pretexto de consultar su espíritu».</w:t>
      </w:r>
    </w:p>
  </w:footnote>
  <w:footnote w:id="28">
    <w:p w14:paraId="7CB29E34" w14:textId="77777777" w:rsidR="00BC3A80" w:rsidRPr="00E657A2" w:rsidRDefault="00BC3A80" w:rsidP="00BC3A80">
      <w:pPr>
        <w:pStyle w:val="Textonotapie"/>
        <w:ind w:firstLine="709"/>
        <w:jc w:val="both"/>
        <w:rPr>
          <w:rFonts w:ascii="Verdana" w:hAnsi="Verdana" w:cs="Arial"/>
          <w:sz w:val="16"/>
          <w:szCs w:val="16"/>
          <w:lang w:val="es-CO"/>
        </w:rPr>
      </w:pPr>
      <w:r w:rsidRPr="00E657A2">
        <w:rPr>
          <w:rStyle w:val="Refdenotaalpie"/>
          <w:rFonts w:ascii="Verdana" w:hAnsi="Verdana"/>
          <w:sz w:val="16"/>
          <w:szCs w:val="16"/>
        </w:rPr>
        <w:footnoteRef/>
      </w:r>
      <w:r w:rsidRPr="00E657A2">
        <w:rPr>
          <w:rFonts w:ascii="Verdana" w:hAnsi="Verdana"/>
          <w:sz w:val="16"/>
          <w:szCs w:val="16"/>
          <w:lang w:val="es-CO"/>
        </w:rPr>
        <w:t xml:space="preserve"> Consejo de Estado, Sección Tercera. Auto del 4 de octubre de 2024. Exp. 70.313. C.P: Fredy Ibarra Martínez</w:t>
      </w:r>
    </w:p>
  </w:footnote>
  <w:footnote w:id="29">
    <w:p w14:paraId="6B6C2C12" w14:textId="77777777" w:rsidR="00BC3A80" w:rsidRPr="00E657A2" w:rsidRDefault="00BC3A80" w:rsidP="00BC3A80">
      <w:pPr>
        <w:pStyle w:val="Textonotapie"/>
        <w:ind w:firstLine="709"/>
        <w:jc w:val="both"/>
        <w:rPr>
          <w:rFonts w:ascii="Verdana" w:hAnsi="Verdana"/>
          <w:sz w:val="16"/>
          <w:szCs w:val="16"/>
          <w:lang w:val="es-CO"/>
        </w:rPr>
      </w:pPr>
      <w:r w:rsidRPr="00E657A2">
        <w:rPr>
          <w:rStyle w:val="Refdenotaalpie"/>
          <w:sz w:val="16"/>
          <w:szCs w:val="16"/>
        </w:rPr>
        <w:footnoteRef/>
      </w:r>
      <w:r w:rsidRPr="00E657A2">
        <w:rPr>
          <w:sz w:val="16"/>
          <w:szCs w:val="16"/>
        </w:rPr>
        <w:t xml:space="preserve"> L</w:t>
      </w:r>
      <w:r w:rsidRPr="00E657A2">
        <w:rPr>
          <w:rFonts w:ascii="Verdana" w:hAnsi="Verdana"/>
          <w:sz w:val="16"/>
          <w:szCs w:val="16"/>
        </w:rPr>
        <w:t>a parte resolutiva del auto dispone lo siguiente; “</w:t>
      </w:r>
      <w:r w:rsidRPr="00E657A2">
        <w:rPr>
          <w:rFonts w:ascii="Verdana" w:hAnsi="Verdana"/>
          <w:b/>
          <w:bCs/>
          <w:sz w:val="16"/>
          <w:szCs w:val="16"/>
          <w:lang w:val="es-CO"/>
        </w:rPr>
        <w:t xml:space="preserve">PRIMERO: DECRETAR </w:t>
      </w:r>
      <w:r w:rsidRPr="00E657A2">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E657A2">
        <w:rPr>
          <w:rFonts w:ascii="Verdana" w:hAnsi="Verdana"/>
          <w:i/>
          <w:iCs/>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E657A2">
        <w:rPr>
          <w:rFonts w:ascii="Verdana" w:hAnsi="Verdana"/>
          <w:sz w:val="16"/>
          <w:szCs w:val="16"/>
          <w:lang w:val="es-CO"/>
        </w:rPr>
        <w:t xml:space="preserve">, por las razones expuestas en precedencia. </w:t>
      </w:r>
    </w:p>
    <w:p w14:paraId="2FE3A00F" w14:textId="77777777" w:rsidR="00BC3A80" w:rsidRPr="00E657A2" w:rsidRDefault="00BC3A80" w:rsidP="00BC3A80">
      <w:pPr>
        <w:pStyle w:val="Textonotapie"/>
        <w:ind w:firstLine="709"/>
        <w:jc w:val="both"/>
        <w:rPr>
          <w:rFonts w:ascii="Verdana" w:hAnsi="Verdana" w:cs="Arial"/>
          <w:sz w:val="16"/>
          <w:szCs w:val="16"/>
          <w:lang w:val="es-CO"/>
        </w:rPr>
      </w:pPr>
      <w:r w:rsidRPr="00E657A2">
        <w:rPr>
          <w:rFonts w:ascii="Verdana" w:hAnsi="Verdana"/>
          <w:b/>
          <w:bCs/>
          <w:sz w:val="16"/>
          <w:szCs w:val="16"/>
          <w:lang w:val="es-CO"/>
        </w:rPr>
        <w:t xml:space="preserve">SEGUNDO: DECRETAR </w:t>
      </w:r>
      <w:r w:rsidRPr="00E657A2">
        <w:rPr>
          <w:rFonts w:ascii="Verdana" w:hAnsi="Verdana"/>
          <w:sz w:val="16"/>
          <w:szCs w:val="16"/>
          <w:lang w:val="es-CO"/>
        </w:rPr>
        <w:t>la suspensión provisional de la expresión “</w:t>
      </w:r>
      <w:r w:rsidRPr="00E657A2">
        <w:rPr>
          <w:rFonts w:ascii="Verdana" w:hAnsi="Verdana"/>
          <w:i/>
          <w:iCs/>
          <w:sz w:val="16"/>
          <w:szCs w:val="16"/>
          <w:lang w:val="es-CO"/>
        </w:rPr>
        <w:t>contratos</w:t>
      </w:r>
      <w:r w:rsidRPr="00E657A2">
        <w:rPr>
          <w:rFonts w:ascii="Verdana" w:hAnsi="Verdana"/>
          <w:sz w:val="16"/>
          <w:szCs w:val="16"/>
          <w:lang w:val="es-CO"/>
        </w:rPr>
        <w:t xml:space="preserve">” y del párrafo </w:t>
      </w:r>
      <w:r w:rsidRPr="00E657A2">
        <w:rPr>
          <w:rFonts w:ascii="Verdana" w:hAnsi="Verdana"/>
          <w:i/>
          <w:iCs/>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E657A2">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30">
    <w:p w14:paraId="4A801A1E" w14:textId="77777777" w:rsidR="00BC3A80" w:rsidRPr="00E657A2" w:rsidRDefault="00BC3A80" w:rsidP="00BC3A80">
      <w:pPr>
        <w:pStyle w:val="Textonotapie"/>
        <w:ind w:firstLine="709"/>
        <w:jc w:val="both"/>
        <w:rPr>
          <w:rFonts w:ascii="Verdana" w:hAnsi="Verdana" w:cs="Arial"/>
          <w:sz w:val="16"/>
          <w:szCs w:val="16"/>
        </w:rPr>
      </w:pPr>
      <w:r w:rsidRPr="00E657A2">
        <w:rPr>
          <w:rStyle w:val="Refdenotaalpie"/>
          <w:rFonts w:ascii="Verdana" w:hAnsi="Verdana" w:cs="Arial"/>
          <w:sz w:val="16"/>
          <w:szCs w:val="16"/>
        </w:rPr>
        <w:footnoteRef/>
      </w:r>
      <w:r w:rsidRPr="00E657A2">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4pt;height:11.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9435A3D"/>
    <w:multiLevelType w:val="hybridMultilevel"/>
    <w:tmpl w:val="6136C612"/>
    <w:lvl w:ilvl="0" w:tplc="0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1"/>
  </w:num>
  <w:num w:numId="13" w16cid:durableId="1512908409">
    <w:abstractNumId w:val="3"/>
  </w:num>
  <w:num w:numId="14" w16cid:durableId="895897244">
    <w:abstractNumId w:val="17"/>
  </w:num>
  <w:num w:numId="15" w16cid:durableId="390349800">
    <w:abstractNumId w:val="13"/>
  </w:num>
  <w:num w:numId="16" w16cid:durableId="1330140246">
    <w:abstractNumId w:val="0"/>
  </w:num>
  <w:num w:numId="17" w16cid:durableId="679089576">
    <w:abstractNumId w:val="9"/>
  </w:num>
  <w:num w:numId="18" w16cid:durableId="895049138">
    <w:abstractNumId w:val="11"/>
  </w:num>
  <w:num w:numId="19" w16cid:durableId="153255849">
    <w:abstractNumId w:val="10"/>
  </w:num>
  <w:num w:numId="20" w16cid:durableId="1337683695">
    <w:abstractNumId w:val="12"/>
  </w:num>
  <w:num w:numId="21" w16cid:durableId="1498232743">
    <w:abstractNumId w:val="9"/>
  </w:num>
  <w:num w:numId="22" w16cid:durableId="58198607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921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F8E"/>
    <w:rsid w:val="000073EF"/>
    <w:rsid w:val="00010114"/>
    <w:rsid w:val="00011B89"/>
    <w:rsid w:val="00016A14"/>
    <w:rsid w:val="00016F78"/>
    <w:rsid w:val="0001778C"/>
    <w:rsid w:val="00020ACC"/>
    <w:rsid w:val="00023A1E"/>
    <w:rsid w:val="00024942"/>
    <w:rsid w:val="00025BC3"/>
    <w:rsid w:val="00040CC2"/>
    <w:rsid w:val="00046945"/>
    <w:rsid w:val="000474D4"/>
    <w:rsid w:val="00061B2A"/>
    <w:rsid w:val="0006468E"/>
    <w:rsid w:val="00082362"/>
    <w:rsid w:val="00083C71"/>
    <w:rsid w:val="000861AC"/>
    <w:rsid w:val="000918D6"/>
    <w:rsid w:val="000A466B"/>
    <w:rsid w:val="000A683E"/>
    <w:rsid w:val="000B19B9"/>
    <w:rsid w:val="000D0334"/>
    <w:rsid w:val="000E13BB"/>
    <w:rsid w:val="000F59CB"/>
    <w:rsid w:val="000F62DA"/>
    <w:rsid w:val="000F6486"/>
    <w:rsid w:val="000F6F83"/>
    <w:rsid w:val="00106319"/>
    <w:rsid w:val="001076F0"/>
    <w:rsid w:val="00110326"/>
    <w:rsid w:val="00125105"/>
    <w:rsid w:val="00127233"/>
    <w:rsid w:val="00132307"/>
    <w:rsid w:val="001431BA"/>
    <w:rsid w:val="0014558F"/>
    <w:rsid w:val="001506AB"/>
    <w:rsid w:val="00151792"/>
    <w:rsid w:val="001520F6"/>
    <w:rsid w:val="00154158"/>
    <w:rsid w:val="00154321"/>
    <w:rsid w:val="0015796F"/>
    <w:rsid w:val="00163220"/>
    <w:rsid w:val="00167691"/>
    <w:rsid w:val="00173318"/>
    <w:rsid w:val="0017414F"/>
    <w:rsid w:val="001940FF"/>
    <w:rsid w:val="001A547C"/>
    <w:rsid w:val="001B01BB"/>
    <w:rsid w:val="001C6DE9"/>
    <w:rsid w:val="001E4177"/>
    <w:rsid w:val="001F6D18"/>
    <w:rsid w:val="001F7DC6"/>
    <w:rsid w:val="00216894"/>
    <w:rsid w:val="00223990"/>
    <w:rsid w:val="002306FC"/>
    <w:rsid w:val="002337AF"/>
    <w:rsid w:val="00235FCF"/>
    <w:rsid w:val="002421BB"/>
    <w:rsid w:val="0024222B"/>
    <w:rsid w:val="0024278B"/>
    <w:rsid w:val="002444A2"/>
    <w:rsid w:val="00255942"/>
    <w:rsid w:val="0025796E"/>
    <w:rsid w:val="002707A2"/>
    <w:rsid w:val="00272EFA"/>
    <w:rsid w:val="002776FC"/>
    <w:rsid w:val="002858BB"/>
    <w:rsid w:val="00287E28"/>
    <w:rsid w:val="00293ADB"/>
    <w:rsid w:val="002951A0"/>
    <w:rsid w:val="002952EA"/>
    <w:rsid w:val="002962BC"/>
    <w:rsid w:val="002A093D"/>
    <w:rsid w:val="002A0DD0"/>
    <w:rsid w:val="002A38E9"/>
    <w:rsid w:val="002A49AC"/>
    <w:rsid w:val="002A64FD"/>
    <w:rsid w:val="002B198C"/>
    <w:rsid w:val="002B3306"/>
    <w:rsid w:val="002B3B04"/>
    <w:rsid w:val="002C2543"/>
    <w:rsid w:val="002C2DC5"/>
    <w:rsid w:val="002C7A84"/>
    <w:rsid w:val="002D1B44"/>
    <w:rsid w:val="002E4FD9"/>
    <w:rsid w:val="002E673B"/>
    <w:rsid w:val="002E78B1"/>
    <w:rsid w:val="002F04BE"/>
    <w:rsid w:val="003005D1"/>
    <w:rsid w:val="00312D65"/>
    <w:rsid w:val="0031327B"/>
    <w:rsid w:val="003201C3"/>
    <w:rsid w:val="0032092F"/>
    <w:rsid w:val="00322A85"/>
    <w:rsid w:val="00324168"/>
    <w:rsid w:val="003448F4"/>
    <w:rsid w:val="003637C2"/>
    <w:rsid w:val="003675F3"/>
    <w:rsid w:val="00374F5E"/>
    <w:rsid w:val="00377E3E"/>
    <w:rsid w:val="003804B8"/>
    <w:rsid w:val="003865A5"/>
    <w:rsid w:val="00386859"/>
    <w:rsid w:val="00392E7C"/>
    <w:rsid w:val="003A2AED"/>
    <w:rsid w:val="003A779E"/>
    <w:rsid w:val="003B4F82"/>
    <w:rsid w:val="003B78D6"/>
    <w:rsid w:val="003C38B2"/>
    <w:rsid w:val="003C4685"/>
    <w:rsid w:val="003D0F4D"/>
    <w:rsid w:val="003D4148"/>
    <w:rsid w:val="003D5B0D"/>
    <w:rsid w:val="003D6BFB"/>
    <w:rsid w:val="003E0499"/>
    <w:rsid w:val="003E1198"/>
    <w:rsid w:val="003E55FF"/>
    <w:rsid w:val="003E56CC"/>
    <w:rsid w:val="003F3941"/>
    <w:rsid w:val="00400F07"/>
    <w:rsid w:val="0040386C"/>
    <w:rsid w:val="00405EE4"/>
    <w:rsid w:val="00406575"/>
    <w:rsid w:val="004100FE"/>
    <w:rsid w:val="00414C74"/>
    <w:rsid w:val="00425F33"/>
    <w:rsid w:val="0042722E"/>
    <w:rsid w:val="004310CC"/>
    <w:rsid w:val="00431C19"/>
    <w:rsid w:val="00432708"/>
    <w:rsid w:val="00432FB3"/>
    <w:rsid w:val="0043316A"/>
    <w:rsid w:val="0044528D"/>
    <w:rsid w:val="0044733C"/>
    <w:rsid w:val="00452D78"/>
    <w:rsid w:val="004629C7"/>
    <w:rsid w:val="00470939"/>
    <w:rsid w:val="004757AF"/>
    <w:rsid w:val="004867BC"/>
    <w:rsid w:val="00496902"/>
    <w:rsid w:val="00496D28"/>
    <w:rsid w:val="004A1847"/>
    <w:rsid w:val="004A305D"/>
    <w:rsid w:val="004A44AF"/>
    <w:rsid w:val="004A5D60"/>
    <w:rsid w:val="004A71A8"/>
    <w:rsid w:val="004C6CE2"/>
    <w:rsid w:val="004D2DF4"/>
    <w:rsid w:val="004D500A"/>
    <w:rsid w:val="004D6342"/>
    <w:rsid w:val="004F21C4"/>
    <w:rsid w:val="004F51EF"/>
    <w:rsid w:val="004F685F"/>
    <w:rsid w:val="004F7347"/>
    <w:rsid w:val="005026DE"/>
    <w:rsid w:val="00502804"/>
    <w:rsid w:val="005052B6"/>
    <w:rsid w:val="005202C6"/>
    <w:rsid w:val="00530AC2"/>
    <w:rsid w:val="00531711"/>
    <w:rsid w:val="00535ECD"/>
    <w:rsid w:val="00545F29"/>
    <w:rsid w:val="005563DD"/>
    <w:rsid w:val="005566E8"/>
    <w:rsid w:val="00561E87"/>
    <w:rsid w:val="00563ABB"/>
    <w:rsid w:val="00566BBD"/>
    <w:rsid w:val="00567DC7"/>
    <w:rsid w:val="00574867"/>
    <w:rsid w:val="00584D19"/>
    <w:rsid w:val="005875E6"/>
    <w:rsid w:val="00591460"/>
    <w:rsid w:val="00594EBB"/>
    <w:rsid w:val="005A5FEA"/>
    <w:rsid w:val="005A7AC2"/>
    <w:rsid w:val="005B583B"/>
    <w:rsid w:val="005B627C"/>
    <w:rsid w:val="005B6345"/>
    <w:rsid w:val="005C0244"/>
    <w:rsid w:val="005C3777"/>
    <w:rsid w:val="005C5CDC"/>
    <w:rsid w:val="005D476C"/>
    <w:rsid w:val="005E5877"/>
    <w:rsid w:val="006123CF"/>
    <w:rsid w:val="00617658"/>
    <w:rsid w:val="006219F8"/>
    <w:rsid w:val="00621E29"/>
    <w:rsid w:val="00622B6D"/>
    <w:rsid w:val="006302F7"/>
    <w:rsid w:val="00630A83"/>
    <w:rsid w:val="0063271A"/>
    <w:rsid w:val="0063406F"/>
    <w:rsid w:val="00660EA8"/>
    <w:rsid w:val="00665D70"/>
    <w:rsid w:val="00667952"/>
    <w:rsid w:val="006718BF"/>
    <w:rsid w:val="00675CD0"/>
    <w:rsid w:val="006900D9"/>
    <w:rsid w:val="0069507E"/>
    <w:rsid w:val="00696287"/>
    <w:rsid w:val="006A0C72"/>
    <w:rsid w:val="006A760C"/>
    <w:rsid w:val="006A7750"/>
    <w:rsid w:val="006B2328"/>
    <w:rsid w:val="006F282E"/>
    <w:rsid w:val="00700FB0"/>
    <w:rsid w:val="00705101"/>
    <w:rsid w:val="00706C16"/>
    <w:rsid w:val="007138A2"/>
    <w:rsid w:val="00730F22"/>
    <w:rsid w:val="00732894"/>
    <w:rsid w:val="00733097"/>
    <w:rsid w:val="00733A90"/>
    <w:rsid w:val="00741B6C"/>
    <w:rsid w:val="00742D7C"/>
    <w:rsid w:val="00756841"/>
    <w:rsid w:val="00762F08"/>
    <w:rsid w:val="007649AB"/>
    <w:rsid w:val="00771D0C"/>
    <w:rsid w:val="007833AC"/>
    <w:rsid w:val="00785166"/>
    <w:rsid w:val="007856DE"/>
    <w:rsid w:val="00792475"/>
    <w:rsid w:val="0079376D"/>
    <w:rsid w:val="00793F7B"/>
    <w:rsid w:val="00796494"/>
    <w:rsid w:val="007A6EFF"/>
    <w:rsid w:val="007B1695"/>
    <w:rsid w:val="007B268C"/>
    <w:rsid w:val="007B37BF"/>
    <w:rsid w:val="007B7171"/>
    <w:rsid w:val="007C0C0F"/>
    <w:rsid w:val="007C199B"/>
    <w:rsid w:val="007C3DC2"/>
    <w:rsid w:val="007C79D9"/>
    <w:rsid w:val="007E5497"/>
    <w:rsid w:val="007F7C8E"/>
    <w:rsid w:val="00806F5F"/>
    <w:rsid w:val="00806F94"/>
    <w:rsid w:val="008124DB"/>
    <w:rsid w:val="00820278"/>
    <w:rsid w:val="00825CFA"/>
    <w:rsid w:val="008272A0"/>
    <w:rsid w:val="00835517"/>
    <w:rsid w:val="00837723"/>
    <w:rsid w:val="00852173"/>
    <w:rsid w:val="00857BBA"/>
    <w:rsid w:val="00860D2C"/>
    <w:rsid w:val="00867F95"/>
    <w:rsid w:val="008729D0"/>
    <w:rsid w:val="008810A5"/>
    <w:rsid w:val="00882C19"/>
    <w:rsid w:val="00882D7C"/>
    <w:rsid w:val="008843B6"/>
    <w:rsid w:val="008846CC"/>
    <w:rsid w:val="00885F69"/>
    <w:rsid w:val="00891928"/>
    <w:rsid w:val="00897A3A"/>
    <w:rsid w:val="008A446D"/>
    <w:rsid w:val="008A56F8"/>
    <w:rsid w:val="008D180B"/>
    <w:rsid w:val="008D1B26"/>
    <w:rsid w:val="008D2F42"/>
    <w:rsid w:val="008D5BCF"/>
    <w:rsid w:val="008F0EA7"/>
    <w:rsid w:val="008F4F1F"/>
    <w:rsid w:val="0090195E"/>
    <w:rsid w:val="00906659"/>
    <w:rsid w:val="009075E9"/>
    <w:rsid w:val="009148E7"/>
    <w:rsid w:val="00915766"/>
    <w:rsid w:val="00917125"/>
    <w:rsid w:val="00921C91"/>
    <w:rsid w:val="00923EEF"/>
    <w:rsid w:val="00926FAB"/>
    <w:rsid w:val="00931ABB"/>
    <w:rsid w:val="00932077"/>
    <w:rsid w:val="00933DA2"/>
    <w:rsid w:val="00935EC5"/>
    <w:rsid w:val="009372EB"/>
    <w:rsid w:val="00940502"/>
    <w:rsid w:val="009415E7"/>
    <w:rsid w:val="009419F9"/>
    <w:rsid w:val="0095224B"/>
    <w:rsid w:val="00952DCF"/>
    <w:rsid w:val="0095479D"/>
    <w:rsid w:val="0095685E"/>
    <w:rsid w:val="00961B09"/>
    <w:rsid w:val="00962D87"/>
    <w:rsid w:val="00963D01"/>
    <w:rsid w:val="00965334"/>
    <w:rsid w:val="0097093E"/>
    <w:rsid w:val="009731CD"/>
    <w:rsid w:val="0097568B"/>
    <w:rsid w:val="00982372"/>
    <w:rsid w:val="00992E50"/>
    <w:rsid w:val="009979F0"/>
    <w:rsid w:val="009A0DFA"/>
    <w:rsid w:val="009A300E"/>
    <w:rsid w:val="009B25A8"/>
    <w:rsid w:val="009B2D26"/>
    <w:rsid w:val="009B344E"/>
    <w:rsid w:val="009B5C3F"/>
    <w:rsid w:val="009B7F46"/>
    <w:rsid w:val="009C105F"/>
    <w:rsid w:val="009C71FA"/>
    <w:rsid w:val="009C72E7"/>
    <w:rsid w:val="009C7F4D"/>
    <w:rsid w:val="009D3058"/>
    <w:rsid w:val="009E4800"/>
    <w:rsid w:val="009F3A13"/>
    <w:rsid w:val="00A00D23"/>
    <w:rsid w:val="00A122D3"/>
    <w:rsid w:val="00A17F13"/>
    <w:rsid w:val="00A20739"/>
    <w:rsid w:val="00A33C78"/>
    <w:rsid w:val="00A37E1D"/>
    <w:rsid w:val="00A476FF"/>
    <w:rsid w:val="00A51A1D"/>
    <w:rsid w:val="00A5203D"/>
    <w:rsid w:val="00A532DC"/>
    <w:rsid w:val="00A53477"/>
    <w:rsid w:val="00A7270D"/>
    <w:rsid w:val="00A736AF"/>
    <w:rsid w:val="00A81494"/>
    <w:rsid w:val="00A81E66"/>
    <w:rsid w:val="00A85104"/>
    <w:rsid w:val="00A852A6"/>
    <w:rsid w:val="00AA48DB"/>
    <w:rsid w:val="00AB086A"/>
    <w:rsid w:val="00AB0ADB"/>
    <w:rsid w:val="00AB152E"/>
    <w:rsid w:val="00AC2E22"/>
    <w:rsid w:val="00AC7AC3"/>
    <w:rsid w:val="00AD5990"/>
    <w:rsid w:val="00AE2D36"/>
    <w:rsid w:val="00AE46F2"/>
    <w:rsid w:val="00AE5270"/>
    <w:rsid w:val="00B00C0E"/>
    <w:rsid w:val="00B01B1A"/>
    <w:rsid w:val="00B04E53"/>
    <w:rsid w:val="00B064A8"/>
    <w:rsid w:val="00B20DFB"/>
    <w:rsid w:val="00B250DC"/>
    <w:rsid w:val="00B2596C"/>
    <w:rsid w:val="00B270F8"/>
    <w:rsid w:val="00B273A6"/>
    <w:rsid w:val="00B3532F"/>
    <w:rsid w:val="00B42A98"/>
    <w:rsid w:val="00B44A47"/>
    <w:rsid w:val="00B52B0D"/>
    <w:rsid w:val="00B57B54"/>
    <w:rsid w:val="00B70320"/>
    <w:rsid w:val="00B72CD3"/>
    <w:rsid w:val="00B72FFF"/>
    <w:rsid w:val="00B7699F"/>
    <w:rsid w:val="00B80056"/>
    <w:rsid w:val="00B8260D"/>
    <w:rsid w:val="00BC201B"/>
    <w:rsid w:val="00BC2084"/>
    <w:rsid w:val="00BC3A80"/>
    <w:rsid w:val="00BC3D36"/>
    <w:rsid w:val="00BD5F71"/>
    <w:rsid w:val="00BD7F72"/>
    <w:rsid w:val="00BE16CA"/>
    <w:rsid w:val="00BE4B90"/>
    <w:rsid w:val="00BE7AD5"/>
    <w:rsid w:val="00BF6B19"/>
    <w:rsid w:val="00C0121A"/>
    <w:rsid w:val="00C01ADE"/>
    <w:rsid w:val="00C04FB3"/>
    <w:rsid w:val="00C06784"/>
    <w:rsid w:val="00C125A5"/>
    <w:rsid w:val="00C200CA"/>
    <w:rsid w:val="00C262D5"/>
    <w:rsid w:val="00C2794D"/>
    <w:rsid w:val="00C330EB"/>
    <w:rsid w:val="00C37773"/>
    <w:rsid w:val="00C45133"/>
    <w:rsid w:val="00C5302D"/>
    <w:rsid w:val="00C6220F"/>
    <w:rsid w:val="00C754BE"/>
    <w:rsid w:val="00C76B1C"/>
    <w:rsid w:val="00C81947"/>
    <w:rsid w:val="00C839A7"/>
    <w:rsid w:val="00C847FE"/>
    <w:rsid w:val="00C84958"/>
    <w:rsid w:val="00C90BAD"/>
    <w:rsid w:val="00C9225D"/>
    <w:rsid w:val="00C93F58"/>
    <w:rsid w:val="00CA3E3D"/>
    <w:rsid w:val="00CB0F36"/>
    <w:rsid w:val="00CB1078"/>
    <w:rsid w:val="00CB6357"/>
    <w:rsid w:val="00CB6638"/>
    <w:rsid w:val="00CC1B26"/>
    <w:rsid w:val="00CC51D5"/>
    <w:rsid w:val="00CD5606"/>
    <w:rsid w:val="00CE297A"/>
    <w:rsid w:val="00CF1851"/>
    <w:rsid w:val="00CF78D5"/>
    <w:rsid w:val="00CF79F5"/>
    <w:rsid w:val="00CF7C89"/>
    <w:rsid w:val="00D00154"/>
    <w:rsid w:val="00D12657"/>
    <w:rsid w:val="00D12F01"/>
    <w:rsid w:val="00D20762"/>
    <w:rsid w:val="00D2192E"/>
    <w:rsid w:val="00D23AF7"/>
    <w:rsid w:val="00D35D66"/>
    <w:rsid w:val="00D40185"/>
    <w:rsid w:val="00D423A2"/>
    <w:rsid w:val="00D46909"/>
    <w:rsid w:val="00D50F54"/>
    <w:rsid w:val="00D520D8"/>
    <w:rsid w:val="00D5224A"/>
    <w:rsid w:val="00D5783F"/>
    <w:rsid w:val="00D63AC2"/>
    <w:rsid w:val="00D6740F"/>
    <w:rsid w:val="00D7383B"/>
    <w:rsid w:val="00D75951"/>
    <w:rsid w:val="00D81048"/>
    <w:rsid w:val="00D869C6"/>
    <w:rsid w:val="00D94E63"/>
    <w:rsid w:val="00D9691E"/>
    <w:rsid w:val="00D97EF3"/>
    <w:rsid w:val="00DA231B"/>
    <w:rsid w:val="00DA53ED"/>
    <w:rsid w:val="00DA7EF2"/>
    <w:rsid w:val="00DB3FC9"/>
    <w:rsid w:val="00DC2CB5"/>
    <w:rsid w:val="00DC39FC"/>
    <w:rsid w:val="00DF1273"/>
    <w:rsid w:val="00DF5254"/>
    <w:rsid w:val="00E162C6"/>
    <w:rsid w:val="00E16408"/>
    <w:rsid w:val="00E20894"/>
    <w:rsid w:val="00E245AB"/>
    <w:rsid w:val="00E247A7"/>
    <w:rsid w:val="00E25F97"/>
    <w:rsid w:val="00E2764C"/>
    <w:rsid w:val="00E27F2E"/>
    <w:rsid w:val="00E375C0"/>
    <w:rsid w:val="00E37A29"/>
    <w:rsid w:val="00E4003A"/>
    <w:rsid w:val="00E50A09"/>
    <w:rsid w:val="00E50AFE"/>
    <w:rsid w:val="00E57695"/>
    <w:rsid w:val="00E57CDE"/>
    <w:rsid w:val="00E724E5"/>
    <w:rsid w:val="00E75C92"/>
    <w:rsid w:val="00E771DC"/>
    <w:rsid w:val="00E85B68"/>
    <w:rsid w:val="00E8772A"/>
    <w:rsid w:val="00E90F6B"/>
    <w:rsid w:val="00E914BE"/>
    <w:rsid w:val="00E92C27"/>
    <w:rsid w:val="00E93F26"/>
    <w:rsid w:val="00EA0E3D"/>
    <w:rsid w:val="00EB0B00"/>
    <w:rsid w:val="00EB1BD0"/>
    <w:rsid w:val="00EB72E9"/>
    <w:rsid w:val="00EC38A7"/>
    <w:rsid w:val="00ED3690"/>
    <w:rsid w:val="00EE0B88"/>
    <w:rsid w:val="00EE1AA8"/>
    <w:rsid w:val="00EF3D98"/>
    <w:rsid w:val="00F04E45"/>
    <w:rsid w:val="00F10743"/>
    <w:rsid w:val="00F109CF"/>
    <w:rsid w:val="00F2176E"/>
    <w:rsid w:val="00F22329"/>
    <w:rsid w:val="00F22E63"/>
    <w:rsid w:val="00F262D3"/>
    <w:rsid w:val="00F27CF8"/>
    <w:rsid w:val="00F31EDC"/>
    <w:rsid w:val="00F33F66"/>
    <w:rsid w:val="00F45FFC"/>
    <w:rsid w:val="00F462B3"/>
    <w:rsid w:val="00F505B0"/>
    <w:rsid w:val="00F5664F"/>
    <w:rsid w:val="00F666C4"/>
    <w:rsid w:val="00F730FB"/>
    <w:rsid w:val="00F76AFC"/>
    <w:rsid w:val="00F91508"/>
    <w:rsid w:val="00F923E5"/>
    <w:rsid w:val="00FA47C0"/>
    <w:rsid w:val="00FB5DD1"/>
    <w:rsid w:val="00FC0EA5"/>
    <w:rsid w:val="00FC2B5D"/>
    <w:rsid w:val="00FC3FC8"/>
    <w:rsid w:val="00FF1449"/>
    <w:rsid w:val="00FF56C1"/>
    <w:rsid w:val="3239A092"/>
    <w:rsid w:val="56EA2E15"/>
    <w:rsid w:val="76058E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0CC"/>
    <w:pPr>
      <w:spacing w:line="25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262D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262D3"/>
    <w:rPr>
      <w:rFonts w:ascii="Geomanist Light" w:hAnsi="Geomanist Light"/>
      <w:lang w:val="es-ES"/>
    </w:rPr>
  </w:style>
  <w:style w:type="paragraph" w:styleId="Sinespaciado">
    <w:name w:val="No Spacing"/>
    <w:aliases w:val="No Indent"/>
    <w:uiPriority w:val="3"/>
    <w:qFormat/>
    <w:rsid w:val="00F262D3"/>
    <w:pPr>
      <w:spacing w:after="0" w:line="240" w:lineRule="auto"/>
    </w:pPr>
    <w:rPr>
      <w:sz w:val="24"/>
      <w:lang w:val="es-MX"/>
    </w:rPr>
  </w:style>
  <w:style w:type="character" w:customStyle="1" w:styleId="baj">
    <w:name w:val="b_aj"/>
    <w:basedOn w:val="Fuentedeprrafopredeter"/>
    <w:rsid w:val="0040386C"/>
  </w:style>
  <w:style w:type="character" w:styleId="nfasis">
    <w:name w:val="Emphasis"/>
    <w:basedOn w:val="Fuentedeprrafopredeter"/>
    <w:uiPriority w:val="20"/>
    <w:qFormat/>
    <w:rsid w:val="00024942"/>
    <w:rPr>
      <w:i/>
      <w:iCs/>
    </w:rPr>
  </w:style>
  <w:style w:type="table" w:customStyle="1" w:styleId="Tablaconcuadrcula1">
    <w:name w:val="Tabla con cuadrícula1"/>
    <w:basedOn w:val="Tablanormal"/>
    <w:next w:val="Tablaconcuadrcula"/>
    <w:uiPriority w:val="39"/>
    <w:qFormat/>
    <w:rsid w:val="002A38E9"/>
    <w:pPr>
      <w:spacing w:after="0" w:line="240" w:lineRule="auto"/>
    </w:pPr>
    <w:tblPr/>
  </w:style>
  <w:style w:type="character" w:customStyle="1" w:styleId="NormalWebCar">
    <w:name w:val="Normal (Web) Car"/>
    <w:link w:val="NormalWeb"/>
    <w:uiPriority w:val="99"/>
    <w:locked/>
    <w:rsid w:val="00992E50"/>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GUSTAVO.ADOLFO.CASTANO@EMVARIAS.COM.CO"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6204BB-0405-401B-899A-516230488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http://schemas.microsoft.com/office/infopath/2007/PartnerControls"/>
    <ds:schemaRef ds:uri="http://purl.org/dc/terms/"/>
    <ds:schemaRef ds:uri="http://purl.org/dc/dcmitype/"/>
    <ds:schemaRef ds:uri="9d85dbaf-23eb-4e57-a637-93dcacc8b1a1"/>
    <ds:schemaRef ds:uri="http://www.w3.org/XML/1998/namespace"/>
    <ds:schemaRef ds:uri="http://schemas.microsoft.com/office/2006/metadata/properties"/>
    <ds:schemaRef ds:uri="http://schemas.openxmlformats.org/package/2006/metadata/core-properties"/>
    <ds:schemaRef ds:uri="a6cb9e4b-f1d1-4245-83ec-6cad768d538a"/>
    <ds:schemaRef ds:uri="http://purl.org/dc/elements/1.1/"/>
  </ds:schemaRefs>
</ds:datastoreItem>
</file>

<file path=customXml/itemProps3.xml><?xml version="1.0" encoding="utf-8"?>
<ds:datastoreItem xmlns:ds="http://schemas.openxmlformats.org/officeDocument/2006/customXml" ds:itemID="{F180A14B-7D2A-47FB-BCE6-19AFB83E5666}">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27</Pages>
  <Words>8936</Words>
  <Characters>49148</Characters>
  <Application>Microsoft Office Word</Application>
  <DocSecurity>0</DocSecurity>
  <Lines>409</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 - CCE </cp:lastModifiedBy>
  <cp:revision>6</cp:revision>
  <cp:lastPrinted>2023-01-10T21:18:00Z</cp:lastPrinted>
  <dcterms:created xsi:type="dcterms:W3CDTF">2025-11-14T15:09:00Z</dcterms:created>
  <dcterms:modified xsi:type="dcterms:W3CDTF">2025-11-14T15:13:00Z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