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AD218" w14:textId="0AEF6C6A" w:rsidR="00CF798C" w:rsidRPr="0018417F" w:rsidRDefault="00CF798C" w:rsidP="00CF798C">
      <w:pPr>
        <w:spacing w:after="0" w:line="240" w:lineRule="auto"/>
        <w:jc w:val="both"/>
        <w:rPr>
          <w:rFonts w:ascii="Verdana" w:hAnsi="Verdana"/>
          <w:b/>
          <w:bCs/>
          <w:lang w:val="es-ES_tradnl"/>
        </w:rPr>
      </w:pPr>
      <w:bookmarkStart w:id="0" w:name="_Hlk143780582"/>
      <w:r w:rsidRPr="0018417F">
        <w:rPr>
          <w:rFonts w:ascii="Verdana" w:hAnsi="Verdana"/>
          <w:b/>
          <w:bCs/>
          <w:lang w:val="es-ES_tradnl"/>
        </w:rPr>
        <w:t>LEY DE EMPRENDIMIENTO – Artículos 31</w:t>
      </w:r>
      <w:r w:rsidR="00510E44">
        <w:rPr>
          <w:rFonts w:ascii="Verdana" w:hAnsi="Verdana"/>
          <w:b/>
          <w:bCs/>
          <w:lang w:val="es-ES_tradnl"/>
        </w:rPr>
        <w:t xml:space="preserve"> </w:t>
      </w:r>
      <w:r w:rsidRPr="0018417F">
        <w:rPr>
          <w:rFonts w:ascii="Verdana" w:hAnsi="Verdana"/>
          <w:b/>
          <w:bCs/>
          <w:lang w:val="es-ES_tradnl"/>
        </w:rPr>
        <w:t xml:space="preserve">– Criterios diferenciales </w:t>
      </w:r>
      <w:r w:rsidR="00510E44" w:rsidRPr="00510E44">
        <w:rPr>
          <w:rFonts w:ascii="Verdana" w:hAnsi="Verdana"/>
          <w:b/>
          <w:bCs/>
          <w:lang w:val="es-ES"/>
        </w:rPr>
        <w:t>–</w:t>
      </w:r>
      <w:r w:rsidRPr="0018417F">
        <w:rPr>
          <w:rFonts w:ascii="Verdana" w:hAnsi="Verdana"/>
          <w:b/>
          <w:bCs/>
          <w:lang w:val="es-ES_tradnl"/>
        </w:rPr>
        <w:t xml:space="preserve"> Reglamentación </w:t>
      </w:r>
    </w:p>
    <w:p w14:paraId="66EA9FDC" w14:textId="77777777" w:rsidR="00CF798C" w:rsidRPr="003631F5" w:rsidRDefault="00CF798C" w:rsidP="00CF798C">
      <w:pPr>
        <w:spacing w:after="0" w:line="240" w:lineRule="auto"/>
        <w:rPr>
          <w:rFonts w:ascii="Verdana" w:hAnsi="Verdana"/>
          <w:b/>
          <w:bCs/>
          <w:sz w:val="20"/>
          <w:szCs w:val="20"/>
          <w:lang w:val="es-ES_tradnl"/>
        </w:rPr>
      </w:pPr>
    </w:p>
    <w:p w14:paraId="52039D27" w14:textId="77777777" w:rsidR="00CF798C" w:rsidRPr="003631F5" w:rsidRDefault="00CF798C" w:rsidP="00CF798C">
      <w:pPr>
        <w:spacing w:after="0" w:line="240" w:lineRule="auto"/>
        <w:rPr>
          <w:rFonts w:ascii="Verdana" w:eastAsia="Calibri" w:hAnsi="Verdana" w:cs="Arial"/>
          <w:sz w:val="20"/>
          <w:szCs w:val="20"/>
          <w:lang w:val="es-ES_tradnl"/>
        </w:rPr>
      </w:pPr>
      <w:r w:rsidRPr="003631F5">
        <w:rPr>
          <w:rFonts w:ascii="Verdana" w:eastAsia="Calibri" w:hAnsi="Verdana" w:cs="Arial"/>
          <w:sz w:val="20"/>
          <w:szCs w:val="20"/>
          <w:lang w:val="es-ES_tradnl"/>
        </w:rPr>
        <w:t xml:space="preserve">El 31 de diciembre de 2020 se promulgó la Ley 2069, “Por medio de la cual se impulsa el emprendimiento en Colombia”. </w:t>
      </w:r>
    </w:p>
    <w:p w14:paraId="6FB0C006" w14:textId="77777777" w:rsidR="00CF798C" w:rsidRPr="003631F5" w:rsidRDefault="00CF798C" w:rsidP="00CF798C">
      <w:pPr>
        <w:spacing w:after="0" w:line="240" w:lineRule="auto"/>
        <w:rPr>
          <w:rFonts w:ascii="Verdana" w:eastAsia="Calibri" w:hAnsi="Verdana" w:cs="Arial"/>
          <w:sz w:val="20"/>
          <w:szCs w:val="20"/>
          <w:lang w:val="es-ES_tradnl"/>
        </w:rPr>
      </w:pPr>
    </w:p>
    <w:p w14:paraId="6AC3A4BB" w14:textId="77777777" w:rsidR="00CF798C" w:rsidRPr="003631F5" w:rsidRDefault="00CF798C" w:rsidP="00CF798C">
      <w:pPr>
        <w:tabs>
          <w:tab w:val="left" w:pos="709"/>
        </w:tabs>
        <w:spacing w:after="0" w:line="240" w:lineRule="auto"/>
        <w:jc w:val="both"/>
        <w:rPr>
          <w:rFonts w:ascii="Verdana" w:hAnsi="Verdana"/>
          <w:sz w:val="20"/>
          <w:szCs w:val="20"/>
        </w:rPr>
      </w:pPr>
      <w:r w:rsidRPr="003631F5">
        <w:rPr>
          <w:rFonts w:ascii="Verdana" w:hAnsi="Verdana"/>
          <w:sz w:val="20"/>
          <w:szCs w:val="20"/>
        </w:rPr>
        <w:t>[…] En ese contexto, la referida Ley incorpora una serie de estímulos e incentivos. En especial, en su Capítulo III “Compras públicas” del Título I</w:t>
      </w:r>
      <w:r w:rsidRPr="003631F5" w:rsidDel="0094280A">
        <w:rPr>
          <w:rFonts w:ascii="Verdana" w:hAnsi="Verdana"/>
          <w:sz w:val="20"/>
          <w:szCs w:val="20"/>
        </w:rPr>
        <w:t xml:space="preserve"> </w:t>
      </w:r>
      <w:r w:rsidRPr="003631F5">
        <w:rPr>
          <w:rFonts w:ascii="Verdana" w:hAnsi="Verdana"/>
          <w:sz w:val="20"/>
          <w:szCs w:val="20"/>
        </w:rPr>
        <w:t xml:space="preserve">se modifican varias disposiciones que regían el sistema de compra y contratación pública, las cuales tienen un impacto en distintas normas legales y reglamentarias. </w:t>
      </w:r>
    </w:p>
    <w:p w14:paraId="6E939231" w14:textId="77777777" w:rsidR="00CF798C" w:rsidRPr="003631F5" w:rsidRDefault="00CF798C" w:rsidP="00CF798C">
      <w:pPr>
        <w:tabs>
          <w:tab w:val="left" w:pos="709"/>
        </w:tabs>
        <w:spacing w:after="0" w:line="240" w:lineRule="auto"/>
        <w:jc w:val="both"/>
        <w:rPr>
          <w:rFonts w:ascii="Verdana" w:eastAsia="Calibri" w:hAnsi="Verdana" w:cs="Arial"/>
          <w:bCs/>
          <w:sz w:val="20"/>
          <w:szCs w:val="20"/>
        </w:rPr>
      </w:pPr>
    </w:p>
    <w:p w14:paraId="2E5C5019" w14:textId="77777777" w:rsidR="00CF798C" w:rsidRPr="003631F5" w:rsidRDefault="00CF798C" w:rsidP="00CF798C">
      <w:pPr>
        <w:tabs>
          <w:tab w:val="left" w:pos="709"/>
        </w:tabs>
        <w:spacing w:after="0" w:line="240" w:lineRule="auto"/>
        <w:jc w:val="both"/>
        <w:rPr>
          <w:rFonts w:ascii="Verdana" w:eastAsia="Calibri" w:hAnsi="Verdana" w:cs="Arial"/>
          <w:bCs/>
          <w:sz w:val="20"/>
          <w:szCs w:val="20"/>
        </w:rPr>
      </w:pPr>
      <w:r w:rsidRPr="003631F5">
        <w:rPr>
          <w:rFonts w:ascii="Verdana" w:eastAsia="Calibri" w:hAnsi="Verdana" w:cs="Arial"/>
          <w:bCs/>
          <w:sz w:val="20"/>
          <w:szCs w:val="20"/>
        </w:rPr>
        <w:t xml:space="preserve">Dentro del referido capítulo se encuentran los artículos 31 y 32 de la Ley 2069 de 2020, los cuales crean una serie de incentivos para las personas interesadas en celebrar contratos con el Estado. Por un lado, </w:t>
      </w:r>
      <w:r w:rsidRPr="003631F5">
        <w:rPr>
          <w:rFonts w:ascii="Verdana" w:eastAsia="Calibri" w:hAnsi="Verdana" w:cs="Arial"/>
          <w:bCs/>
          <w:sz w:val="20"/>
          <w:szCs w:val="20"/>
          <w:lang w:val="es-ES_tradnl"/>
        </w:rPr>
        <w:t xml:space="preserve">el artículo 31 </w:t>
      </w:r>
      <w:r w:rsidRPr="003631F5">
        <w:rPr>
          <w:rFonts w:ascii="Verdana" w:eastAsia="Calibri" w:hAnsi="Verdana" w:cs="Arial"/>
          <w:bCs/>
          <w:sz w:val="20"/>
          <w:szCs w:val="20"/>
        </w:rPr>
        <w:t xml:space="preserve">introduce criterios diferenciales para el acceso de las </w:t>
      </w:r>
      <w:proofErr w:type="spellStart"/>
      <w:r w:rsidRPr="003631F5">
        <w:rPr>
          <w:rFonts w:ascii="Verdana" w:eastAsia="Calibri" w:hAnsi="Verdana" w:cs="Arial"/>
          <w:bCs/>
          <w:sz w:val="20"/>
          <w:szCs w:val="20"/>
        </w:rPr>
        <w:t>Mipymes</w:t>
      </w:r>
      <w:proofErr w:type="spellEnd"/>
      <w:r w:rsidRPr="003631F5">
        <w:rPr>
          <w:rFonts w:ascii="Verdana" w:eastAsia="Calibri" w:hAnsi="Verdana" w:cs="Arial"/>
          <w:bCs/>
          <w:sz w:val="20"/>
          <w:szCs w:val="20"/>
        </w:rPr>
        <w:t xml:space="preserve"> al sistema de compras y contratación pública, mientras que el artículo 32 introduce criterios diferenciales en favor de los emprendimientos y empresas de mujeres. </w:t>
      </w:r>
    </w:p>
    <w:p w14:paraId="267990F2" w14:textId="77777777" w:rsidR="00CF798C" w:rsidRPr="003631F5" w:rsidRDefault="00CF798C" w:rsidP="00CF798C">
      <w:pPr>
        <w:tabs>
          <w:tab w:val="left" w:pos="709"/>
        </w:tabs>
        <w:spacing w:after="0" w:line="240" w:lineRule="auto"/>
        <w:jc w:val="both"/>
        <w:rPr>
          <w:rFonts w:ascii="Verdana" w:eastAsia="Calibri" w:hAnsi="Verdana" w:cs="Arial"/>
          <w:bCs/>
          <w:sz w:val="20"/>
          <w:szCs w:val="20"/>
        </w:rPr>
      </w:pPr>
    </w:p>
    <w:p w14:paraId="20BA60CB" w14:textId="77777777" w:rsidR="00CF798C" w:rsidRPr="0018417F" w:rsidRDefault="00CF798C" w:rsidP="00CF798C">
      <w:pPr>
        <w:spacing w:after="0" w:line="240" w:lineRule="auto"/>
        <w:jc w:val="both"/>
        <w:rPr>
          <w:rFonts w:ascii="Verdana" w:hAnsi="Verdana"/>
          <w:b/>
          <w:bCs/>
          <w:lang w:val="es-ES_tradnl"/>
        </w:rPr>
      </w:pPr>
      <w:r w:rsidRPr="0018417F">
        <w:rPr>
          <w:rFonts w:ascii="Verdana" w:hAnsi="Verdana"/>
          <w:b/>
          <w:bCs/>
          <w:lang w:val="es-ES_tradnl"/>
        </w:rPr>
        <w:t>MIPYMES – Criterios diferenciales – Decreto 1860 de 2021 – Contenido – Distinciones</w:t>
      </w:r>
    </w:p>
    <w:p w14:paraId="29200D29" w14:textId="77777777" w:rsidR="00CF798C" w:rsidRPr="003631F5" w:rsidRDefault="00CF798C" w:rsidP="00CF798C">
      <w:pPr>
        <w:tabs>
          <w:tab w:val="left" w:pos="709"/>
        </w:tabs>
        <w:spacing w:after="0" w:line="240" w:lineRule="auto"/>
        <w:jc w:val="both"/>
        <w:rPr>
          <w:rFonts w:ascii="Verdana" w:hAnsi="Verdana"/>
          <w:sz w:val="20"/>
          <w:szCs w:val="20"/>
          <w:lang w:val="es-ES_tradnl"/>
        </w:rPr>
      </w:pPr>
    </w:p>
    <w:p w14:paraId="4DA5A753" w14:textId="77777777" w:rsidR="00CF798C" w:rsidRPr="003631F5" w:rsidRDefault="00CF798C" w:rsidP="00CF798C">
      <w:pPr>
        <w:tabs>
          <w:tab w:val="left" w:pos="709"/>
        </w:tabs>
        <w:spacing w:after="0" w:line="240" w:lineRule="auto"/>
        <w:jc w:val="both"/>
        <w:rPr>
          <w:rFonts w:ascii="Verdana" w:hAnsi="Verdana"/>
          <w:sz w:val="20"/>
          <w:szCs w:val="20"/>
        </w:rPr>
      </w:pPr>
      <w:r w:rsidRPr="003631F5">
        <w:rPr>
          <w:rFonts w:ascii="Verdana" w:hAnsi="Verdana"/>
          <w:sz w:val="20"/>
          <w:szCs w:val="20"/>
        </w:rPr>
        <w:t xml:space="preserve">En primer lugar, respecto de los criterios diferenciales para </w:t>
      </w:r>
      <w:proofErr w:type="spellStart"/>
      <w:r w:rsidRPr="003631F5">
        <w:rPr>
          <w:rFonts w:ascii="Verdana" w:hAnsi="Verdana"/>
          <w:sz w:val="20"/>
          <w:szCs w:val="20"/>
        </w:rPr>
        <w:t>Mipyme</w:t>
      </w:r>
      <w:proofErr w:type="spellEnd"/>
      <w:r w:rsidRPr="003631F5">
        <w:rPr>
          <w:rFonts w:ascii="Verdana" w:hAnsi="Verdana"/>
          <w:sz w:val="20"/>
          <w:szCs w:val="20"/>
        </w:rPr>
        <w:t xml:space="preserve">, el artículo 31 de la Ley 2069 de 2020 estableció que las entidades estatales, de acuerdo con el análisis del sector, podrán incluir requisitos diferenciales y puntajes adicionales en función del tamaño empresarial para la promoción del acceso de este tipo de empresas al mercado de compras públicas. La aplicación de estos criterios, por disposición expresa del referido artículo, quedó condicionada por la expedición de su reglamentación. </w:t>
      </w:r>
    </w:p>
    <w:p w14:paraId="6710F54A" w14:textId="77777777" w:rsidR="00CF798C" w:rsidRPr="003631F5" w:rsidRDefault="00CF798C" w:rsidP="00CF798C">
      <w:pPr>
        <w:tabs>
          <w:tab w:val="left" w:pos="709"/>
        </w:tabs>
        <w:spacing w:after="0" w:line="240" w:lineRule="auto"/>
        <w:jc w:val="both"/>
        <w:rPr>
          <w:rFonts w:ascii="Verdana" w:hAnsi="Verdana"/>
          <w:sz w:val="20"/>
          <w:szCs w:val="20"/>
        </w:rPr>
      </w:pPr>
      <w:r w:rsidRPr="003631F5">
        <w:rPr>
          <w:rFonts w:ascii="Verdana" w:hAnsi="Verdana"/>
          <w:sz w:val="20"/>
          <w:szCs w:val="20"/>
        </w:rPr>
        <w:t xml:space="preserve"> </w:t>
      </w:r>
    </w:p>
    <w:p w14:paraId="109F056E" w14:textId="77777777" w:rsidR="00CF798C" w:rsidRPr="003631F5" w:rsidRDefault="00CF798C" w:rsidP="00CF798C">
      <w:pPr>
        <w:tabs>
          <w:tab w:val="left" w:pos="709"/>
        </w:tabs>
        <w:spacing w:after="0" w:line="240" w:lineRule="auto"/>
        <w:jc w:val="both"/>
        <w:rPr>
          <w:rFonts w:ascii="Verdana" w:hAnsi="Verdana"/>
          <w:sz w:val="20"/>
          <w:szCs w:val="20"/>
        </w:rPr>
      </w:pPr>
      <w:r w:rsidRPr="003631F5">
        <w:rPr>
          <w:rFonts w:ascii="Verdana" w:hAnsi="Verdana"/>
          <w:sz w:val="20"/>
          <w:szCs w:val="20"/>
        </w:rPr>
        <w:t xml:space="preserve">Por esta razón, el artículo 3 del Decreto 1860 de 2021, adicionó el artículo 2.2.1.2.4.2.18 al Decreto 1082 de 2015, regulando los criterios diferenciales para MiPymes establecidos por el artículo 31 de la Ley 2069 de 2020. En virtud de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3631F5">
        <w:rPr>
          <w:rFonts w:ascii="Verdana" w:hAnsi="Verdana"/>
          <w:sz w:val="20"/>
          <w:szCs w:val="20"/>
        </w:rPr>
        <w:t>Mipyme</w:t>
      </w:r>
      <w:proofErr w:type="spellEnd"/>
      <w:r w:rsidRPr="003631F5">
        <w:rPr>
          <w:rFonts w:ascii="Verdana" w:hAnsi="Verdana"/>
          <w:sz w:val="20"/>
          <w:szCs w:val="20"/>
        </w:rPr>
        <w:t xml:space="preserve"> domiciliadas en Colombia.</w:t>
      </w:r>
    </w:p>
    <w:p w14:paraId="3FA015DE" w14:textId="77777777" w:rsidR="00CF798C" w:rsidRPr="003631F5" w:rsidRDefault="00CF798C" w:rsidP="00CF798C">
      <w:pPr>
        <w:tabs>
          <w:tab w:val="left" w:pos="709"/>
        </w:tabs>
        <w:spacing w:after="0" w:line="240" w:lineRule="auto"/>
        <w:jc w:val="both"/>
        <w:rPr>
          <w:rFonts w:ascii="Verdana" w:hAnsi="Verdana"/>
          <w:sz w:val="20"/>
          <w:szCs w:val="20"/>
        </w:rPr>
      </w:pPr>
    </w:p>
    <w:p w14:paraId="7B73B55E" w14:textId="77777777" w:rsidR="00CF798C" w:rsidRPr="003631F5" w:rsidRDefault="00CF798C" w:rsidP="00CF798C">
      <w:pPr>
        <w:tabs>
          <w:tab w:val="left" w:pos="709"/>
        </w:tabs>
        <w:spacing w:after="0" w:line="240" w:lineRule="auto"/>
        <w:jc w:val="both"/>
        <w:rPr>
          <w:rFonts w:ascii="Verdana" w:hAnsi="Verdana"/>
          <w:sz w:val="20"/>
          <w:szCs w:val="20"/>
        </w:rPr>
      </w:pPr>
      <w:r w:rsidRPr="003631F5">
        <w:rPr>
          <w:rFonts w:ascii="Verdana" w:hAnsi="Verdana"/>
          <w:sz w:val="20"/>
          <w:szCs w:val="20"/>
        </w:rPr>
        <w:t xml:space="preserve">Lo anterior significa que la expresión “podrán” contenida en el artículo 31 de la Ley 2069 de 2020, fue utilizada por el legislador porque la incorporación de los criterios diferenciales y puntajes adicionales en favor de las </w:t>
      </w:r>
      <w:proofErr w:type="spellStart"/>
      <w:r w:rsidRPr="003631F5">
        <w:rPr>
          <w:rFonts w:ascii="Verdana" w:hAnsi="Verdana"/>
          <w:sz w:val="20"/>
          <w:szCs w:val="20"/>
        </w:rPr>
        <w:t>Mipymes</w:t>
      </w:r>
      <w:proofErr w:type="spellEnd"/>
      <w:r w:rsidRPr="003631F5">
        <w:rPr>
          <w:rFonts w:ascii="Verdana" w:hAnsi="Verdana"/>
          <w:sz w:val="20"/>
          <w:szCs w:val="20"/>
        </w:rPr>
        <w:t xml:space="preserve"> es potestativa de la entidad estatal. En todo caso, debe sustentarse en los resultados del análisis del sector realizado por la entidad estatal contratante en la etapa de planeación, lo que le permite a esta </w:t>
      </w:r>
      <w:r w:rsidRPr="003631F5">
        <w:rPr>
          <w:rFonts w:ascii="Verdana" w:hAnsi="Verdana"/>
          <w:sz w:val="20"/>
          <w:szCs w:val="20"/>
        </w:rPr>
        <w:lastRenderedPageBreak/>
        <w:t xml:space="preserve">inferir que su incorporación es pertinente y se sustenta en la evaluación objetiva, la cual será consignada en los estudios y documentos previos. </w:t>
      </w:r>
    </w:p>
    <w:p w14:paraId="2101E18B" w14:textId="77777777" w:rsidR="00CF798C" w:rsidRPr="003631F5" w:rsidRDefault="00CF798C" w:rsidP="00CF798C">
      <w:pPr>
        <w:tabs>
          <w:tab w:val="left" w:pos="709"/>
        </w:tabs>
        <w:spacing w:after="0" w:line="240" w:lineRule="auto"/>
        <w:jc w:val="both"/>
        <w:rPr>
          <w:rFonts w:ascii="Verdana" w:hAnsi="Verdana"/>
          <w:sz w:val="20"/>
          <w:szCs w:val="20"/>
        </w:rPr>
      </w:pPr>
    </w:p>
    <w:p w14:paraId="603657DA" w14:textId="77777777" w:rsidR="00CF798C" w:rsidRPr="0018417F" w:rsidRDefault="00CF798C" w:rsidP="00CF798C">
      <w:pPr>
        <w:spacing w:after="0" w:line="240" w:lineRule="auto"/>
        <w:jc w:val="both"/>
        <w:rPr>
          <w:rFonts w:ascii="Verdana" w:hAnsi="Verdana"/>
          <w:b/>
          <w:bCs/>
          <w:lang w:val="es-ES_tradnl"/>
        </w:rPr>
      </w:pPr>
      <w:r w:rsidRPr="0018417F">
        <w:rPr>
          <w:rFonts w:ascii="Verdana" w:hAnsi="Verdana"/>
          <w:b/>
          <w:bCs/>
          <w:lang w:val="es-ES_tradnl"/>
        </w:rPr>
        <w:t xml:space="preserve">MIPYMES – Criterios diferenciales – Decreto 1860 de 2021 – </w:t>
      </w:r>
      <w:proofErr w:type="spellStart"/>
      <w:r w:rsidRPr="0018417F">
        <w:rPr>
          <w:rFonts w:ascii="Verdana" w:hAnsi="Verdana"/>
          <w:b/>
          <w:bCs/>
          <w:lang w:val="es-ES_tradnl"/>
        </w:rPr>
        <w:t>Mipymes</w:t>
      </w:r>
      <w:proofErr w:type="spellEnd"/>
      <w:r w:rsidRPr="0018417F">
        <w:rPr>
          <w:rFonts w:ascii="Verdana" w:hAnsi="Verdana"/>
          <w:b/>
          <w:bCs/>
          <w:lang w:val="es-ES_tradnl"/>
        </w:rPr>
        <w:t xml:space="preserve"> – Puntaje </w:t>
      </w:r>
    </w:p>
    <w:p w14:paraId="1FD5358B" w14:textId="77777777" w:rsidR="00CF798C" w:rsidRPr="0018417F" w:rsidRDefault="00CF798C" w:rsidP="00CF798C">
      <w:pPr>
        <w:spacing w:after="0" w:line="240" w:lineRule="auto"/>
        <w:jc w:val="both"/>
        <w:rPr>
          <w:rFonts w:ascii="Verdana" w:hAnsi="Verdana"/>
          <w:b/>
          <w:bCs/>
          <w:lang w:val="es-ES_tradnl"/>
        </w:rPr>
      </w:pPr>
    </w:p>
    <w:p w14:paraId="5173C5D3" w14:textId="77777777" w:rsidR="00CF798C" w:rsidRPr="003631F5" w:rsidRDefault="00CF798C" w:rsidP="00CF798C">
      <w:pPr>
        <w:spacing w:after="0" w:line="240" w:lineRule="auto"/>
        <w:jc w:val="both"/>
        <w:rPr>
          <w:rFonts w:ascii="Verdana" w:hAnsi="Verdana"/>
          <w:sz w:val="20"/>
          <w:szCs w:val="20"/>
        </w:rPr>
      </w:pPr>
      <w:r w:rsidRPr="003631F5">
        <w:rPr>
          <w:rFonts w:ascii="Verdana" w:hAnsi="Verdana"/>
          <w:sz w:val="20"/>
          <w:szCs w:val="20"/>
        </w:rPr>
        <w:t xml:space="preserve">En atención a lo anterior, la entidad estatal luego del resultado arrojado en el análisis del sector definirá el criterio o criterios diferenciales que adoptará, para beneficiar a </w:t>
      </w:r>
      <w:proofErr w:type="spellStart"/>
      <w:r w:rsidRPr="003631F5">
        <w:rPr>
          <w:rFonts w:ascii="Verdana" w:hAnsi="Verdana"/>
          <w:sz w:val="20"/>
          <w:szCs w:val="20"/>
        </w:rPr>
        <w:t>Mipymes</w:t>
      </w:r>
      <w:proofErr w:type="spellEnd"/>
      <w:r w:rsidRPr="003631F5">
        <w:rPr>
          <w:rFonts w:ascii="Verdana" w:hAnsi="Verdana"/>
          <w:sz w:val="20"/>
          <w:szCs w:val="20"/>
        </w:rPr>
        <w:t xml:space="preserve">. Para dichos efectos se establecerán condiciones más exigentes respecto a alguno o algunos de los criterios de participación antes enunciados para los demás proponentes que concurran al proceso de contratación que no sean </w:t>
      </w:r>
      <w:proofErr w:type="spellStart"/>
      <w:r w:rsidRPr="003631F5">
        <w:rPr>
          <w:rFonts w:ascii="Verdana" w:hAnsi="Verdana"/>
          <w:sz w:val="20"/>
          <w:szCs w:val="20"/>
        </w:rPr>
        <w:t>Mipyme</w:t>
      </w:r>
      <w:proofErr w:type="spellEnd"/>
      <w:r w:rsidRPr="003631F5">
        <w:rPr>
          <w:rFonts w:ascii="Verdana" w:hAnsi="Verdana"/>
          <w:sz w:val="20"/>
          <w:szCs w:val="20"/>
        </w:rPr>
        <w:t xml:space="preserve">. Es importante tener en cuenta que los requisitos antes mencionados deberán fijarse respetando las condiciones habilitantes requeridas para el cumplimiento adecuado del contrato, teniendo en cuenta el alcance de las obligaciones. </w:t>
      </w:r>
    </w:p>
    <w:p w14:paraId="61790F8F" w14:textId="77777777" w:rsidR="00CF798C" w:rsidRPr="003631F5" w:rsidRDefault="00CF798C" w:rsidP="00CF798C">
      <w:pPr>
        <w:spacing w:after="0" w:line="240" w:lineRule="auto"/>
        <w:jc w:val="both"/>
        <w:rPr>
          <w:rFonts w:ascii="Verdana" w:hAnsi="Verdana"/>
          <w:sz w:val="20"/>
          <w:szCs w:val="20"/>
        </w:rPr>
      </w:pPr>
    </w:p>
    <w:p w14:paraId="7C56CDF7" w14:textId="77777777" w:rsidR="00CF798C" w:rsidRDefault="00CF798C" w:rsidP="00CF798C">
      <w:pPr>
        <w:spacing w:after="0" w:line="240" w:lineRule="auto"/>
        <w:jc w:val="both"/>
        <w:rPr>
          <w:rFonts w:ascii="Verdana" w:hAnsi="Verdana"/>
          <w:sz w:val="20"/>
          <w:szCs w:val="20"/>
        </w:rPr>
      </w:pPr>
      <w:r w:rsidRPr="003631F5">
        <w:rPr>
          <w:rFonts w:ascii="Verdana" w:hAnsi="Verdana"/>
          <w:sz w:val="20"/>
          <w:szCs w:val="20"/>
        </w:rPr>
        <w:t xml:space="preserve">Ahora bien, el artículo 2.2.1.2.4.2.18 del Decreto 1082 de 2015 también dispone de un puntaje adicional de hasta el cero punto veinticinco (0,25%) del valor total de los puntos establecidos en el pliego de condiciones o documentos equivalentes a los proponentes que acrediten su condición de </w:t>
      </w:r>
      <w:proofErr w:type="spellStart"/>
      <w:r w:rsidRPr="003631F5">
        <w:rPr>
          <w:rFonts w:ascii="Verdana" w:hAnsi="Verdana"/>
          <w:sz w:val="20"/>
          <w:szCs w:val="20"/>
        </w:rPr>
        <w:t>Mipymes</w:t>
      </w:r>
      <w:proofErr w:type="spellEnd"/>
      <w:r w:rsidRPr="003631F5">
        <w:rPr>
          <w:rFonts w:ascii="Verdana" w:hAnsi="Verdana"/>
          <w:sz w:val="20"/>
          <w:szCs w:val="20"/>
        </w:rPr>
        <w:t xml:space="preserve">.  </w:t>
      </w:r>
    </w:p>
    <w:p w14:paraId="44E4D7A0" w14:textId="77777777" w:rsidR="006C6083" w:rsidRPr="003631F5" w:rsidRDefault="006C6083" w:rsidP="00CF798C">
      <w:pPr>
        <w:spacing w:after="0" w:line="240" w:lineRule="auto"/>
        <w:jc w:val="both"/>
        <w:rPr>
          <w:rFonts w:ascii="Verdana" w:hAnsi="Verdana"/>
          <w:sz w:val="20"/>
          <w:szCs w:val="20"/>
        </w:rPr>
      </w:pPr>
    </w:p>
    <w:p w14:paraId="292887F3" w14:textId="77777777" w:rsidR="00CF798C" w:rsidRPr="003631F5" w:rsidRDefault="00CF798C" w:rsidP="00CF798C">
      <w:pPr>
        <w:spacing w:after="0" w:line="240" w:lineRule="auto"/>
        <w:jc w:val="both"/>
        <w:rPr>
          <w:rFonts w:ascii="Verdana" w:hAnsi="Verdana"/>
          <w:sz w:val="20"/>
          <w:szCs w:val="20"/>
        </w:rPr>
      </w:pPr>
      <w:r w:rsidRPr="003631F5">
        <w:rPr>
          <w:rFonts w:ascii="Verdana" w:hAnsi="Verdana"/>
          <w:sz w:val="20"/>
          <w:szCs w:val="20"/>
        </w:rPr>
        <w:t xml:space="preserve">Tratándose de proponentes plurales, los criterios diferenciales y los puntajes adicionales solo se aplicarán si por lo menos uno de los integrantes acredita es </w:t>
      </w:r>
      <w:proofErr w:type="spellStart"/>
      <w:r w:rsidRPr="003631F5">
        <w:rPr>
          <w:rFonts w:ascii="Verdana" w:hAnsi="Verdana"/>
          <w:sz w:val="20"/>
          <w:szCs w:val="20"/>
        </w:rPr>
        <w:t>Mipyme</w:t>
      </w:r>
      <w:proofErr w:type="spellEnd"/>
      <w:r w:rsidRPr="003631F5">
        <w:rPr>
          <w:rFonts w:ascii="Verdana" w:hAnsi="Verdana"/>
          <w:sz w:val="20"/>
          <w:szCs w:val="20"/>
        </w:rPr>
        <w:t xml:space="preserve"> y que tiene una participación igual o superior al diez por ciento (10%) en el consorcio o la unión temporal.</w:t>
      </w:r>
    </w:p>
    <w:p w14:paraId="12F43BA3" w14:textId="77777777" w:rsidR="00CF798C" w:rsidRPr="003631F5" w:rsidRDefault="00CF798C" w:rsidP="00CF798C">
      <w:pPr>
        <w:spacing w:after="0" w:line="240" w:lineRule="auto"/>
        <w:jc w:val="both"/>
        <w:rPr>
          <w:rFonts w:ascii="Verdana" w:hAnsi="Verdana"/>
          <w:sz w:val="20"/>
          <w:szCs w:val="20"/>
        </w:rPr>
      </w:pPr>
    </w:p>
    <w:p w14:paraId="3EA0A532" w14:textId="77777777" w:rsidR="00CF798C" w:rsidRPr="003631F5" w:rsidRDefault="00CF798C" w:rsidP="00CF798C">
      <w:pPr>
        <w:spacing w:after="0" w:line="240" w:lineRule="auto"/>
        <w:jc w:val="both"/>
        <w:rPr>
          <w:rFonts w:ascii="Verdana" w:hAnsi="Verdana"/>
          <w:sz w:val="20"/>
          <w:szCs w:val="20"/>
        </w:rPr>
      </w:pPr>
    </w:p>
    <w:p w14:paraId="33EE45DB" w14:textId="1CB55739" w:rsidR="00CF798C" w:rsidRPr="0018417F" w:rsidRDefault="00CF798C" w:rsidP="00CF798C">
      <w:pPr>
        <w:spacing w:after="0" w:line="240" w:lineRule="auto"/>
        <w:jc w:val="both"/>
        <w:rPr>
          <w:rFonts w:ascii="Verdana" w:hAnsi="Verdana"/>
          <w:b/>
          <w:bCs/>
          <w:lang w:val="es-ES_tradnl"/>
        </w:rPr>
      </w:pPr>
      <w:r w:rsidRPr="0018417F">
        <w:rPr>
          <w:rFonts w:ascii="Verdana" w:hAnsi="Verdana"/>
          <w:b/>
          <w:bCs/>
          <w:lang w:val="es-ES_tradnl"/>
        </w:rPr>
        <w:t xml:space="preserve">MIPYME – Criterios diferenciales – Aplicación – Limitación de Convocatoria a </w:t>
      </w:r>
      <w:proofErr w:type="spellStart"/>
      <w:r w:rsidRPr="0018417F">
        <w:rPr>
          <w:rFonts w:ascii="Verdana" w:hAnsi="Verdana"/>
          <w:b/>
          <w:bCs/>
          <w:lang w:val="es-ES_tradnl"/>
        </w:rPr>
        <w:t>Mipyme</w:t>
      </w:r>
      <w:proofErr w:type="spellEnd"/>
      <w:r w:rsidRPr="0018417F">
        <w:rPr>
          <w:rFonts w:ascii="Verdana" w:hAnsi="Verdana"/>
          <w:b/>
          <w:bCs/>
          <w:lang w:val="es-ES_tradnl"/>
        </w:rPr>
        <w:t xml:space="preserve"> – Incompatibilidad</w:t>
      </w:r>
      <w:r w:rsidR="00510E44">
        <w:rPr>
          <w:rFonts w:ascii="Verdana" w:hAnsi="Verdana"/>
          <w:b/>
          <w:bCs/>
          <w:lang w:val="es-ES_tradnl"/>
        </w:rPr>
        <w:t xml:space="preserve"> </w:t>
      </w:r>
      <w:r w:rsidR="00510E44" w:rsidRPr="00510E44">
        <w:rPr>
          <w:rFonts w:ascii="Verdana" w:hAnsi="Verdana"/>
          <w:b/>
          <w:bCs/>
          <w:lang w:val="es-ES"/>
        </w:rPr>
        <w:t>–</w:t>
      </w:r>
      <w:r w:rsidRPr="0018417F">
        <w:rPr>
          <w:rFonts w:ascii="Verdana" w:hAnsi="Verdana"/>
          <w:b/>
          <w:bCs/>
          <w:lang w:val="es-ES_tradnl"/>
        </w:rPr>
        <w:t xml:space="preserve"> Parágrafo 3 del artículo 2.2.1.2.4.2.18 del Decreto 1082 de 2015</w:t>
      </w:r>
    </w:p>
    <w:p w14:paraId="56FAC277" w14:textId="77777777" w:rsidR="00CF798C" w:rsidRPr="0018417F" w:rsidRDefault="00CF798C" w:rsidP="00CF798C">
      <w:pPr>
        <w:jc w:val="both"/>
        <w:rPr>
          <w:rFonts w:ascii="Verdana" w:hAnsi="Verdana" w:cs="Arial"/>
          <w:bCs/>
          <w:color w:val="000000"/>
          <w:sz w:val="20"/>
          <w:szCs w:val="20"/>
          <w:lang w:val="es-MX"/>
        </w:rPr>
      </w:pPr>
      <w:r w:rsidRPr="0018417F">
        <w:rPr>
          <w:rFonts w:ascii="Verdana" w:hAnsi="Verdana" w:cs="Arial"/>
          <w:bCs/>
          <w:color w:val="000000"/>
          <w:sz w:val="20"/>
          <w:szCs w:val="20"/>
          <w:lang w:val="es-MX"/>
        </w:rPr>
        <w:t xml:space="preserve">[…] </w:t>
      </w:r>
    </w:p>
    <w:p w14:paraId="13C6520E" w14:textId="77777777" w:rsidR="006C6083" w:rsidRDefault="00CF798C" w:rsidP="00CF798C">
      <w:pPr>
        <w:spacing w:line="276" w:lineRule="auto"/>
        <w:jc w:val="both"/>
        <w:rPr>
          <w:rFonts w:ascii="Verdana" w:hAnsi="Verdana" w:cs="Arial"/>
          <w:bCs/>
          <w:color w:val="000000"/>
          <w:sz w:val="20"/>
          <w:szCs w:val="20"/>
          <w:lang w:val="es-MX"/>
        </w:rPr>
      </w:pPr>
      <w:r w:rsidRPr="0018417F">
        <w:rPr>
          <w:rFonts w:ascii="Verdana" w:hAnsi="Verdana" w:cs="Arial"/>
          <w:bCs/>
          <w:color w:val="000000"/>
          <w:sz w:val="20"/>
          <w:szCs w:val="20"/>
          <w:lang w:val="es-MX"/>
        </w:rPr>
        <w:t xml:space="preserve">el parágrafo 3 del artículo 2.2.1.2.4.2.18 del Decreto 1082 de 2015, señala expresamente que los criterios diferenciales para </w:t>
      </w:r>
      <w:proofErr w:type="spellStart"/>
      <w:r w:rsidRPr="0018417F">
        <w:rPr>
          <w:rFonts w:ascii="Verdana" w:hAnsi="Verdana" w:cs="Arial"/>
          <w:bCs/>
          <w:color w:val="000000"/>
          <w:sz w:val="20"/>
          <w:szCs w:val="20"/>
          <w:lang w:val="es-MX"/>
        </w:rPr>
        <w:t>Mipyme</w:t>
      </w:r>
      <w:proofErr w:type="spellEnd"/>
      <w:r w:rsidRPr="0018417F">
        <w:rPr>
          <w:rFonts w:ascii="Verdana" w:hAnsi="Verdana" w:cs="Arial"/>
          <w:bCs/>
          <w:color w:val="000000"/>
          <w:sz w:val="20"/>
          <w:szCs w:val="20"/>
          <w:lang w:val="es-MX"/>
        </w:rPr>
        <w:t xml:space="preserve"> no rigen en las convocatorias limitadas que se realicen conforme a los artículos 2.2.1.2.4.2.2 y 2.2.1.2.4.2.3 del Decreto 1082 de 2015</w:t>
      </w:r>
    </w:p>
    <w:p w14:paraId="6D033C40" w14:textId="65CA0FA0" w:rsidR="00CF798C" w:rsidRPr="0018417F" w:rsidRDefault="00CF798C" w:rsidP="00CF798C">
      <w:pPr>
        <w:spacing w:line="276" w:lineRule="auto"/>
        <w:jc w:val="both"/>
        <w:rPr>
          <w:rFonts w:ascii="Verdana" w:hAnsi="Verdana" w:cs="Arial"/>
          <w:bCs/>
          <w:color w:val="000000"/>
          <w:sz w:val="20"/>
          <w:szCs w:val="20"/>
          <w:lang w:val="es-MX"/>
        </w:rPr>
      </w:pPr>
      <w:r w:rsidRPr="0018417F">
        <w:rPr>
          <w:rFonts w:ascii="Verdana" w:hAnsi="Verdana" w:cs="Arial"/>
          <w:bCs/>
          <w:color w:val="000000"/>
          <w:sz w:val="20"/>
          <w:szCs w:val="20"/>
          <w:lang w:val="es-MX"/>
        </w:rPr>
        <w:t xml:space="preserve">. Así las cosas, la norma es clara al señalar que  no rigen en las convocatorias limitadas que se realicen conforme a los artículos 2.2.1.2.4.2.2 y 2.2.1.2.4.2.3, de esta manera, este incentivo es incompatible con las convocatorias limitadas a </w:t>
      </w:r>
      <w:proofErr w:type="spellStart"/>
      <w:r w:rsidRPr="0018417F">
        <w:rPr>
          <w:rFonts w:ascii="Verdana" w:hAnsi="Verdana" w:cs="Arial"/>
          <w:bCs/>
          <w:color w:val="000000"/>
          <w:sz w:val="20"/>
          <w:szCs w:val="20"/>
          <w:lang w:val="es-MX"/>
        </w:rPr>
        <w:t>Mipyme</w:t>
      </w:r>
      <w:proofErr w:type="spellEnd"/>
      <w:r w:rsidRPr="0018417F">
        <w:rPr>
          <w:rFonts w:ascii="Verdana" w:hAnsi="Verdana" w:cs="Arial"/>
          <w:bCs/>
          <w:color w:val="000000"/>
          <w:sz w:val="20"/>
          <w:szCs w:val="20"/>
          <w:lang w:val="es-MX"/>
        </w:rPr>
        <w:t xml:space="preserve"> en la medida en que en estos procesos todos los participantes deben tener la calidad de </w:t>
      </w:r>
      <w:proofErr w:type="spellStart"/>
      <w:r w:rsidRPr="0018417F">
        <w:rPr>
          <w:rFonts w:ascii="Verdana" w:hAnsi="Verdana" w:cs="Arial"/>
          <w:bCs/>
          <w:color w:val="000000"/>
          <w:sz w:val="20"/>
          <w:szCs w:val="20"/>
          <w:lang w:val="es-MX"/>
        </w:rPr>
        <w:t>Mipyme</w:t>
      </w:r>
      <w:proofErr w:type="spellEnd"/>
      <w:r w:rsidRPr="0018417F">
        <w:rPr>
          <w:rFonts w:ascii="Verdana" w:hAnsi="Verdana" w:cs="Arial"/>
          <w:bCs/>
          <w:color w:val="000000"/>
          <w:sz w:val="20"/>
          <w:szCs w:val="20"/>
          <w:lang w:val="es-MX"/>
        </w:rPr>
        <w:t>, lo que conllevaría a la ineficacia de este incentivo que precisamente está dirigido a establecer condiciones más beneficiosas para este tipo de proponentes.</w:t>
      </w:r>
    </w:p>
    <w:p w14:paraId="302B481B" w14:textId="44E83BB1" w:rsidR="00CF798C" w:rsidRPr="0018417F" w:rsidRDefault="00CF798C" w:rsidP="00CF798C">
      <w:pPr>
        <w:spacing w:line="276" w:lineRule="auto"/>
        <w:jc w:val="both"/>
        <w:rPr>
          <w:rFonts w:ascii="Verdana" w:hAnsi="Verdana" w:cs="Arial"/>
          <w:noProof/>
          <w:sz w:val="20"/>
          <w:szCs w:val="20"/>
          <w:lang w:val="es-ES_tradnl"/>
        </w:rPr>
      </w:pPr>
      <w:r w:rsidRPr="0018417F">
        <w:rPr>
          <w:rFonts w:ascii="Verdana" w:hAnsi="Verdana" w:cs="Arial"/>
          <w:bCs/>
          <w:color w:val="000000"/>
          <w:sz w:val="20"/>
          <w:szCs w:val="20"/>
          <w:lang w:val="es-MX"/>
        </w:rPr>
        <w:lastRenderedPageBreak/>
        <w:t>En consecuencia, la exclusión contenida en el parágrafo 3 de la señalada norma debe entenderse como una incompatibilidad normativa entre el incentivo de diferenciación y los procesos limitados a MIPYME. En estos casos, no procede aplicar condiciones habilitantes diferenciadas, y las entidades deben evaluar las ofertas conforme los requisitos habilitantes señalados en el pliego de condiciones</w:t>
      </w:r>
      <w:r w:rsidR="006C6083">
        <w:rPr>
          <w:rFonts w:ascii="Verdana" w:hAnsi="Verdana" w:cs="Arial"/>
          <w:bCs/>
          <w:color w:val="000000"/>
          <w:sz w:val="20"/>
          <w:szCs w:val="20"/>
          <w:lang w:val="es-MX"/>
        </w:rPr>
        <w:t>.</w:t>
      </w:r>
      <w:r w:rsidRPr="0018417F">
        <w:rPr>
          <w:rFonts w:ascii="Verdana" w:hAnsi="Verdana" w:cs="Arial"/>
          <w:bCs/>
          <w:color w:val="000000"/>
          <w:sz w:val="20"/>
          <w:szCs w:val="20"/>
          <w:lang w:val="es-MX"/>
        </w:rPr>
        <w:t xml:space="preserve"> </w:t>
      </w:r>
    </w:p>
    <w:p w14:paraId="0779FA2C" w14:textId="77777777" w:rsidR="00CF798C" w:rsidRDefault="00CF798C" w:rsidP="00CF798C">
      <w:pPr>
        <w:spacing w:line="276" w:lineRule="auto"/>
        <w:jc w:val="both"/>
        <w:rPr>
          <w:rFonts w:ascii="Arial" w:hAnsi="Arial" w:cs="Arial"/>
          <w:noProof/>
          <w:sz w:val="20"/>
          <w:szCs w:val="20"/>
          <w:lang w:val="es-ES_tradnl"/>
        </w:rPr>
      </w:pPr>
    </w:p>
    <w:p w14:paraId="5359B685" w14:textId="77777777" w:rsidR="00CF798C" w:rsidRDefault="00CF798C" w:rsidP="00C15139">
      <w:pPr>
        <w:spacing w:after="0"/>
        <w:rPr>
          <w:rFonts w:ascii="Verdana" w:hAnsi="Verdana"/>
          <w:lang w:val="es-ES_tradnl"/>
        </w:rPr>
      </w:pPr>
    </w:p>
    <w:p w14:paraId="4A681EFB" w14:textId="77777777" w:rsidR="00CF798C" w:rsidRDefault="00CF798C" w:rsidP="00C15139">
      <w:pPr>
        <w:spacing w:after="0"/>
        <w:rPr>
          <w:rFonts w:ascii="Verdana" w:hAnsi="Verdana"/>
          <w:lang w:val="es-ES_tradnl"/>
        </w:rPr>
      </w:pPr>
    </w:p>
    <w:p w14:paraId="23D6192B" w14:textId="77777777" w:rsidR="00CF798C" w:rsidRDefault="00CF798C" w:rsidP="00C15139">
      <w:pPr>
        <w:spacing w:after="0"/>
        <w:rPr>
          <w:rFonts w:ascii="Verdana" w:hAnsi="Verdana"/>
          <w:lang w:val="es-ES_tradnl"/>
        </w:rPr>
      </w:pPr>
    </w:p>
    <w:p w14:paraId="241FD699" w14:textId="77777777" w:rsidR="00CF798C" w:rsidRDefault="00CF798C" w:rsidP="00C15139">
      <w:pPr>
        <w:spacing w:after="0"/>
        <w:rPr>
          <w:rFonts w:ascii="Verdana" w:hAnsi="Verdana"/>
          <w:lang w:val="es-ES_tradnl"/>
        </w:rPr>
      </w:pPr>
    </w:p>
    <w:p w14:paraId="4E025926" w14:textId="77777777" w:rsidR="00CF798C" w:rsidRDefault="00CF798C" w:rsidP="00C15139">
      <w:pPr>
        <w:spacing w:after="0"/>
        <w:rPr>
          <w:rFonts w:ascii="Verdana" w:hAnsi="Verdana"/>
          <w:lang w:val="es-ES_tradnl"/>
        </w:rPr>
      </w:pPr>
    </w:p>
    <w:p w14:paraId="141C6B19" w14:textId="77777777" w:rsidR="00CF798C" w:rsidRDefault="00CF798C" w:rsidP="00C15139">
      <w:pPr>
        <w:spacing w:after="0"/>
        <w:rPr>
          <w:rFonts w:ascii="Verdana" w:hAnsi="Verdana"/>
          <w:lang w:val="es-ES_tradnl"/>
        </w:rPr>
      </w:pPr>
    </w:p>
    <w:p w14:paraId="7E8CC7A1" w14:textId="77777777" w:rsidR="00CF798C" w:rsidRDefault="00CF798C" w:rsidP="00C15139">
      <w:pPr>
        <w:spacing w:after="0"/>
        <w:rPr>
          <w:rFonts w:ascii="Verdana" w:hAnsi="Verdana"/>
          <w:lang w:val="es-ES_tradnl"/>
        </w:rPr>
      </w:pPr>
    </w:p>
    <w:p w14:paraId="405E2576" w14:textId="77777777" w:rsidR="00CF798C" w:rsidRDefault="00CF798C" w:rsidP="00C15139">
      <w:pPr>
        <w:spacing w:after="0"/>
        <w:rPr>
          <w:rFonts w:ascii="Verdana" w:hAnsi="Verdana"/>
          <w:lang w:val="es-ES_tradnl"/>
        </w:rPr>
      </w:pPr>
    </w:p>
    <w:p w14:paraId="21278366" w14:textId="77777777" w:rsidR="00CF798C" w:rsidRDefault="00CF798C" w:rsidP="00C15139">
      <w:pPr>
        <w:spacing w:after="0"/>
        <w:rPr>
          <w:rFonts w:ascii="Verdana" w:hAnsi="Verdana"/>
          <w:lang w:val="es-ES_tradnl"/>
        </w:rPr>
      </w:pPr>
    </w:p>
    <w:p w14:paraId="0CC11676" w14:textId="77777777" w:rsidR="00CF798C" w:rsidRDefault="00CF798C" w:rsidP="00C15139">
      <w:pPr>
        <w:spacing w:after="0"/>
        <w:rPr>
          <w:rFonts w:ascii="Verdana" w:hAnsi="Verdana"/>
          <w:lang w:val="es-ES_tradnl"/>
        </w:rPr>
      </w:pPr>
    </w:p>
    <w:p w14:paraId="726B22EE" w14:textId="77777777" w:rsidR="00CF798C" w:rsidRDefault="00CF798C" w:rsidP="00C15139">
      <w:pPr>
        <w:spacing w:after="0"/>
        <w:rPr>
          <w:rFonts w:ascii="Verdana" w:hAnsi="Verdana"/>
          <w:lang w:val="es-ES_tradnl"/>
        </w:rPr>
      </w:pPr>
    </w:p>
    <w:p w14:paraId="01A3BB5F" w14:textId="77777777" w:rsidR="00CF798C" w:rsidRDefault="00CF798C" w:rsidP="00C15139">
      <w:pPr>
        <w:spacing w:after="0"/>
        <w:rPr>
          <w:rFonts w:ascii="Verdana" w:hAnsi="Verdana"/>
          <w:lang w:val="es-ES_tradnl"/>
        </w:rPr>
      </w:pPr>
    </w:p>
    <w:p w14:paraId="2188934E" w14:textId="77777777" w:rsidR="00CF798C" w:rsidRDefault="00CF798C" w:rsidP="00C15139">
      <w:pPr>
        <w:spacing w:after="0"/>
        <w:rPr>
          <w:rFonts w:ascii="Verdana" w:hAnsi="Verdana"/>
          <w:lang w:val="es-ES_tradnl"/>
        </w:rPr>
      </w:pPr>
    </w:p>
    <w:p w14:paraId="678377E8" w14:textId="77777777" w:rsidR="00CF798C" w:rsidRDefault="00CF798C" w:rsidP="00C15139">
      <w:pPr>
        <w:spacing w:after="0"/>
        <w:rPr>
          <w:rFonts w:ascii="Verdana" w:hAnsi="Verdana"/>
          <w:lang w:val="es-ES_tradnl"/>
        </w:rPr>
      </w:pPr>
    </w:p>
    <w:p w14:paraId="2D847DC6" w14:textId="77777777" w:rsidR="00CF798C" w:rsidRDefault="00CF798C" w:rsidP="00C15139">
      <w:pPr>
        <w:spacing w:after="0"/>
        <w:rPr>
          <w:rFonts w:ascii="Verdana" w:hAnsi="Verdana"/>
          <w:lang w:val="es-ES_tradnl"/>
        </w:rPr>
      </w:pPr>
    </w:p>
    <w:p w14:paraId="19A40D80" w14:textId="77777777" w:rsidR="00CF798C" w:rsidRDefault="00CF798C" w:rsidP="00C15139">
      <w:pPr>
        <w:spacing w:after="0"/>
        <w:rPr>
          <w:rFonts w:ascii="Verdana" w:hAnsi="Verdana"/>
          <w:lang w:val="es-ES_tradnl"/>
        </w:rPr>
      </w:pPr>
    </w:p>
    <w:p w14:paraId="24BF2D0B" w14:textId="77777777" w:rsidR="00CF798C" w:rsidRDefault="00CF798C" w:rsidP="00C15139">
      <w:pPr>
        <w:spacing w:after="0"/>
        <w:rPr>
          <w:rFonts w:ascii="Verdana" w:hAnsi="Verdana"/>
          <w:lang w:val="es-ES_tradnl"/>
        </w:rPr>
      </w:pPr>
    </w:p>
    <w:p w14:paraId="26902793" w14:textId="77777777" w:rsidR="00CF798C" w:rsidRDefault="00CF798C" w:rsidP="00C15139">
      <w:pPr>
        <w:spacing w:after="0"/>
        <w:rPr>
          <w:rFonts w:ascii="Verdana" w:hAnsi="Verdana"/>
          <w:lang w:val="es-ES_tradnl"/>
        </w:rPr>
      </w:pPr>
    </w:p>
    <w:p w14:paraId="6BE034B8" w14:textId="77777777" w:rsidR="00CF798C" w:rsidRDefault="00CF798C" w:rsidP="00C15139">
      <w:pPr>
        <w:spacing w:after="0"/>
        <w:rPr>
          <w:rFonts w:ascii="Verdana" w:hAnsi="Verdana"/>
          <w:lang w:val="es-ES_tradnl"/>
        </w:rPr>
      </w:pPr>
    </w:p>
    <w:p w14:paraId="7FCC60EA" w14:textId="77777777" w:rsidR="00CF798C" w:rsidRDefault="00CF798C" w:rsidP="00C15139">
      <w:pPr>
        <w:spacing w:after="0"/>
        <w:rPr>
          <w:rFonts w:ascii="Verdana" w:hAnsi="Verdana"/>
          <w:lang w:val="es-ES_tradnl"/>
        </w:rPr>
      </w:pPr>
    </w:p>
    <w:p w14:paraId="7A767EC5" w14:textId="77777777" w:rsidR="00CF798C" w:rsidRDefault="00CF798C" w:rsidP="00C15139">
      <w:pPr>
        <w:spacing w:after="0"/>
        <w:rPr>
          <w:rFonts w:ascii="Verdana" w:hAnsi="Verdana"/>
          <w:lang w:val="es-ES_tradnl"/>
        </w:rPr>
      </w:pPr>
    </w:p>
    <w:p w14:paraId="6BA64AB1" w14:textId="77777777" w:rsidR="00CF798C" w:rsidRDefault="00CF798C" w:rsidP="00C15139">
      <w:pPr>
        <w:spacing w:after="0"/>
        <w:rPr>
          <w:rFonts w:ascii="Verdana" w:hAnsi="Verdana"/>
          <w:lang w:val="es-ES_tradnl"/>
        </w:rPr>
      </w:pPr>
    </w:p>
    <w:p w14:paraId="5211428B" w14:textId="77777777" w:rsidR="00CF798C" w:rsidRDefault="00CF798C" w:rsidP="00C15139">
      <w:pPr>
        <w:spacing w:after="0"/>
        <w:rPr>
          <w:rFonts w:ascii="Verdana" w:hAnsi="Verdana"/>
          <w:lang w:val="es-ES_tradnl"/>
        </w:rPr>
      </w:pPr>
    </w:p>
    <w:p w14:paraId="63E64097" w14:textId="77777777" w:rsidR="00CF798C" w:rsidRDefault="00CF798C" w:rsidP="00C15139">
      <w:pPr>
        <w:spacing w:after="0"/>
        <w:rPr>
          <w:rFonts w:ascii="Verdana" w:hAnsi="Verdana"/>
          <w:lang w:val="es-ES_tradnl"/>
        </w:rPr>
      </w:pPr>
    </w:p>
    <w:p w14:paraId="6ADB318E" w14:textId="77777777" w:rsidR="00CF798C" w:rsidRDefault="00CF798C" w:rsidP="00C15139">
      <w:pPr>
        <w:spacing w:after="0"/>
        <w:rPr>
          <w:rFonts w:ascii="Verdana" w:hAnsi="Verdana"/>
          <w:lang w:val="es-ES_tradnl"/>
        </w:rPr>
      </w:pPr>
    </w:p>
    <w:p w14:paraId="631E21F6" w14:textId="77777777" w:rsidR="006C6083" w:rsidRDefault="006C6083" w:rsidP="00C15139">
      <w:pPr>
        <w:spacing w:after="0"/>
        <w:rPr>
          <w:rFonts w:ascii="Verdana" w:hAnsi="Verdana"/>
          <w:lang w:val="es-ES_tradnl"/>
        </w:rPr>
      </w:pPr>
    </w:p>
    <w:p w14:paraId="521C8169" w14:textId="77777777" w:rsidR="00CF798C" w:rsidRDefault="00CF798C" w:rsidP="00C15139">
      <w:pPr>
        <w:spacing w:after="0"/>
        <w:rPr>
          <w:rFonts w:ascii="Verdana" w:hAnsi="Verdana"/>
          <w:lang w:val="es-ES_tradnl"/>
        </w:rPr>
      </w:pPr>
    </w:p>
    <w:p w14:paraId="75230149" w14:textId="77777777" w:rsidR="00CF798C" w:rsidRDefault="00CF798C" w:rsidP="00C15139">
      <w:pPr>
        <w:spacing w:after="0"/>
        <w:rPr>
          <w:rFonts w:ascii="Verdana" w:hAnsi="Verdana"/>
          <w:lang w:val="es-ES_tradnl"/>
        </w:rPr>
      </w:pPr>
    </w:p>
    <w:p w14:paraId="0E04575B" w14:textId="77777777" w:rsidR="00CF798C" w:rsidRDefault="00CF798C" w:rsidP="00C15139">
      <w:pPr>
        <w:spacing w:after="0"/>
        <w:rPr>
          <w:rFonts w:ascii="Verdana" w:hAnsi="Verdana"/>
          <w:lang w:val="es-ES_tradnl"/>
        </w:rPr>
      </w:pPr>
    </w:p>
    <w:p w14:paraId="1468C46D" w14:textId="5797FC66" w:rsidR="00C15139" w:rsidRPr="0024624F" w:rsidRDefault="00C15139" w:rsidP="00C15139">
      <w:pPr>
        <w:spacing w:after="0"/>
        <w:rPr>
          <w:rFonts w:ascii="Verdana" w:hAnsi="Verdana"/>
        </w:rPr>
      </w:pPr>
      <w:r w:rsidRPr="0024624F">
        <w:rPr>
          <w:rFonts w:ascii="Verdana" w:hAnsi="Verdana"/>
        </w:rPr>
        <w:lastRenderedPageBreak/>
        <w:t xml:space="preserve">Bogotá D.C., </w:t>
      </w:r>
      <w:r w:rsidR="00EC43E0">
        <w:rPr>
          <w:rFonts w:ascii="Verdana" w:hAnsi="Verdana"/>
        </w:rPr>
        <w:t>14 de noviembre de 2025</w:t>
      </w:r>
      <w:r w:rsidRPr="000E2B93">
        <w:rPr>
          <w:rFonts w:ascii="Verdana" w:hAnsi="Verdana"/>
        </w:rPr>
        <w:tab/>
      </w:r>
      <w:r w:rsidRPr="000E2B93">
        <w:rPr>
          <w:rFonts w:ascii="Verdana" w:hAnsi="Verdana"/>
        </w:rPr>
        <w:br/>
      </w:r>
      <w:r w:rsidRPr="0024624F">
        <w:rPr>
          <w:rFonts w:ascii="Verdana" w:hAnsi="Verdana"/>
        </w:rPr>
        <w:tab/>
      </w:r>
    </w:p>
    <w:p w14:paraId="19E2A140" w14:textId="162A52A1" w:rsidR="00E243FB" w:rsidRDefault="00EC43E0" w:rsidP="00CC3BE3">
      <w:pPr>
        <w:spacing w:after="0" w:line="240" w:lineRule="auto"/>
        <w:jc w:val="both"/>
        <w:rPr>
          <w:rFonts w:ascii="Verdana" w:eastAsia="Calibri" w:hAnsi="Verdana" w:cs="Arial"/>
          <w:lang w:eastAsia="es-ES"/>
        </w:rPr>
      </w:pPr>
      <w:bookmarkStart w:id="1" w:name="_Hlk180638295"/>
      <w:bookmarkStart w:id="2" w:name="_Hlk181166167"/>
      <w:bookmarkEnd w:id="0"/>
      <w:r w:rsidRPr="00EC43E0">
        <w:rPr>
          <w:rFonts w:ascii="Verdana" w:eastAsia="Calibri" w:hAnsi="Verdana" w:cs="Arial"/>
          <w:noProof/>
          <w:lang w:eastAsia="es-ES"/>
        </w:rPr>
        <w:drawing>
          <wp:anchor distT="0" distB="0" distL="114300" distR="114300" simplePos="0" relativeHeight="251658240" behindDoc="1" locked="0" layoutInCell="1" allowOverlap="1" wp14:anchorId="5F384571" wp14:editId="0EADE3AC">
            <wp:simplePos x="0" y="0"/>
            <wp:positionH relativeFrom="column">
              <wp:posOffset>2556683</wp:posOffset>
            </wp:positionH>
            <wp:positionV relativeFrom="paragraph">
              <wp:posOffset>133003</wp:posOffset>
            </wp:positionV>
            <wp:extent cx="3486150" cy="1047750"/>
            <wp:effectExtent l="0" t="0" r="0" b="0"/>
            <wp:wrapNone/>
            <wp:docPr id="11811680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168024" name=""/>
                    <pic:cNvPicPr/>
                  </pic:nvPicPr>
                  <pic:blipFill>
                    <a:blip r:embed="rId10">
                      <a:extLst>
                        <a:ext uri="{28A0092B-C50C-407E-A947-70E740481C1C}">
                          <a14:useLocalDpi xmlns:a14="http://schemas.microsoft.com/office/drawing/2010/main" val="0"/>
                        </a:ext>
                      </a:extLst>
                    </a:blip>
                    <a:stretch>
                      <a:fillRect/>
                    </a:stretch>
                  </pic:blipFill>
                  <pic:spPr>
                    <a:xfrm>
                      <a:off x="0" y="0"/>
                      <a:ext cx="3486150" cy="1047750"/>
                    </a:xfrm>
                    <a:prstGeom prst="rect">
                      <a:avLst/>
                    </a:prstGeom>
                  </pic:spPr>
                </pic:pic>
              </a:graphicData>
            </a:graphic>
          </wp:anchor>
        </w:drawing>
      </w:r>
    </w:p>
    <w:p w14:paraId="6458A8D3" w14:textId="21E62BC8" w:rsidR="00CC3BE3" w:rsidRPr="005E62E2" w:rsidRDefault="00CC3BE3" w:rsidP="00CC3BE3">
      <w:pPr>
        <w:spacing w:after="0" w:line="240" w:lineRule="auto"/>
        <w:jc w:val="both"/>
        <w:rPr>
          <w:rFonts w:ascii="Verdana" w:eastAsia="Calibri" w:hAnsi="Verdana" w:cs="Arial"/>
          <w:lang w:eastAsia="es-ES"/>
        </w:rPr>
      </w:pPr>
      <w:r w:rsidRPr="005E62E2">
        <w:rPr>
          <w:rFonts w:ascii="Verdana" w:eastAsia="Calibri" w:hAnsi="Verdana" w:cs="Arial"/>
          <w:lang w:eastAsia="es-ES"/>
        </w:rPr>
        <w:t>Señor</w:t>
      </w:r>
      <w:r>
        <w:rPr>
          <w:rFonts w:ascii="Verdana" w:eastAsia="Calibri" w:hAnsi="Verdana" w:cs="Arial"/>
          <w:lang w:eastAsia="es-ES"/>
        </w:rPr>
        <w:t>a</w:t>
      </w:r>
      <w:r w:rsidRPr="005E62E2">
        <w:rPr>
          <w:rFonts w:ascii="Verdana" w:eastAsia="Calibri" w:hAnsi="Verdana" w:cs="Arial"/>
          <w:lang w:eastAsia="es-ES"/>
        </w:rPr>
        <w:tab/>
      </w:r>
    </w:p>
    <w:p w14:paraId="38519E77" w14:textId="77777777" w:rsidR="00CC3BE3" w:rsidRPr="00CC3BE3" w:rsidRDefault="00CC3BE3" w:rsidP="00CC3BE3">
      <w:pPr>
        <w:spacing w:after="0" w:line="240" w:lineRule="auto"/>
        <w:rPr>
          <w:rFonts w:ascii="Verdana" w:eastAsia="Calibri" w:hAnsi="Verdana" w:cs="Arial"/>
          <w:b/>
          <w:bCs/>
          <w:color w:val="000000"/>
          <w:lang w:eastAsia="es-ES_tradnl"/>
        </w:rPr>
      </w:pPr>
      <w:r w:rsidRPr="00CC3BE3">
        <w:rPr>
          <w:rFonts w:ascii="Verdana" w:eastAsia="Calibri" w:hAnsi="Verdana" w:cs="Arial"/>
          <w:b/>
          <w:bCs/>
          <w:color w:val="000000"/>
          <w:lang w:eastAsia="es-ES_tradnl"/>
        </w:rPr>
        <w:t>Alba Manrique Cárdenas</w:t>
      </w:r>
    </w:p>
    <w:p w14:paraId="2E38FFB7" w14:textId="77777777" w:rsidR="00CC3BE3" w:rsidRPr="00CC3BE3" w:rsidRDefault="00CC3BE3" w:rsidP="00CC3BE3">
      <w:pPr>
        <w:spacing w:after="0" w:line="240" w:lineRule="auto"/>
        <w:rPr>
          <w:rFonts w:ascii="Verdana" w:hAnsi="Verdana"/>
        </w:rPr>
      </w:pPr>
      <w:hyperlink r:id="rId11" w:history="1">
        <w:r w:rsidRPr="00CC3BE3">
          <w:rPr>
            <w:rStyle w:val="Hipervnculo"/>
            <w:rFonts w:ascii="Verdana" w:hAnsi="Verdana"/>
          </w:rPr>
          <w:t>albamanrique909@gmail.com</w:t>
        </w:r>
      </w:hyperlink>
    </w:p>
    <w:p w14:paraId="5BB6EA11" w14:textId="77777777" w:rsidR="00CC3BE3" w:rsidRDefault="00CC3BE3" w:rsidP="00CC3BE3">
      <w:pPr>
        <w:spacing w:after="0" w:line="240" w:lineRule="auto"/>
        <w:rPr>
          <w:rFonts w:ascii="Verdana" w:eastAsia="Calibri" w:hAnsi="Verdana" w:cs="Arial"/>
          <w:b/>
          <w:bCs/>
          <w:color w:val="000000"/>
          <w:lang w:val="es-ES_tradnl" w:eastAsia="es-ES_tradnl"/>
        </w:rPr>
      </w:pPr>
      <w:r w:rsidRPr="00CC3BE3">
        <w:rPr>
          <w:rFonts w:ascii="Verdana" w:hAnsi="Verdana"/>
        </w:rPr>
        <w:t>San Gil</w:t>
      </w:r>
      <w:r>
        <w:rPr>
          <w:rFonts w:ascii="Verdana" w:hAnsi="Verdana"/>
        </w:rPr>
        <w:t>, Santander</w:t>
      </w:r>
    </w:p>
    <w:p w14:paraId="133E7F2C" w14:textId="77777777" w:rsidR="00CC3BE3" w:rsidRDefault="00CC3BE3" w:rsidP="00CC3BE3">
      <w:pPr>
        <w:spacing w:after="0" w:line="240" w:lineRule="auto"/>
        <w:rPr>
          <w:rFonts w:ascii="Verdana" w:eastAsia="Calibri" w:hAnsi="Verdana" w:cs="Arial"/>
          <w:b/>
          <w:bCs/>
          <w:color w:val="000000"/>
          <w:lang w:val="es-ES_tradnl" w:eastAsia="es-ES_tradnl"/>
        </w:rPr>
      </w:pPr>
    </w:p>
    <w:p w14:paraId="5FA16B29" w14:textId="77777777" w:rsidR="00CC3BE3" w:rsidRDefault="00CC3BE3" w:rsidP="00CC3BE3">
      <w:pPr>
        <w:spacing w:after="0" w:line="240" w:lineRule="auto"/>
        <w:jc w:val="right"/>
        <w:rPr>
          <w:rFonts w:ascii="Verdana" w:eastAsia="Calibri" w:hAnsi="Verdana" w:cs="Arial"/>
          <w:b/>
          <w:bCs/>
          <w:color w:val="000000"/>
          <w:lang w:val="es-ES_tradnl" w:eastAsia="es-ES_tradnl"/>
        </w:rPr>
      </w:pPr>
    </w:p>
    <w:p w14:paraId="5E113255" w14:textId="77777777" w:rsidR="00CC3BE3" w:rsidRDefault="00CC3BE3" w:rsidP="00CC3BE3">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05"/>
        <w:gridCol w:w="6973"/>
        <w:gridCol w:w="336"/>
      </w:tblGrid>
      <w:tr w:rsidR="00CC3BE3" w:rsidRPr="00593A5F" w14:paraId="0B8E605E" w14:textId="77777777" w:rsidTr="00702E05">
        <w:trPr>
          <w:trHeight w:val="884"/>
        </w:trPr>
        <w:tc>
          <w:tcPr>
            <w:tcW w:w="1905" w:type="dxa"/>
          </w:tcPr>
          <w:p w14:paraId="54C4CAFB" w14:textId="77777777" w:rsidR="00CC3BE3" w:rsidRPr="00E5644F" w:rsidRDefault="00CC3BE3" w:rsidP="00C103D3">
            <w:pPr>
              <w:jc w:val="both"/>
              <w:rPr>
                <w:rFonts w:ascii="Verdana" w:eastAsia="Calibri" w:hAnsi="Verdana" w:cs="Arial"/>
                <w:b/>
                <w:bCs/>
                <w:color w:val="7030A0"/>
                <w:lang w:val="es-ES_tradnl" w:eastAsia="es-ES_tradnl"/>
              </w:rPr>
            </w:pPr>
          </w:p>
        </w:tc>
        <w:tc>
          <w:tcPr>
            <w:tcW w:w="7309" w:type="dxa"/>
            <w:gridSpan w:val="2"/>
          </w:tcPr>
          <w:p w14:paraId="1CABF2CD" w14:textId="77777777" w:rsidR="00CC3BE3" w:rsidRPr="00E5644F" w:rsidRDefault="00CC3BE3" w:rsidP="00C103D3">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1570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CC3BE3" w:rsidRPr="00593A5F" w14:paraId="6D522F5F" w14:textId="77777777" w:rsidTr="00702E05">
        <w:trPr>
          <w:trHeight w:val="884"/>
        </w:trPr>
        <w:tc>
          <w:tcPr>
            <w:tcW w:w="1905" w:type="dxa"/>
          </w:tcPr>
          <w:p w14:paraId="7013AAF8" w14:textId="77777777" w:rsidR="00CC3BE3" w:rsidRPr="00593A5F" w:rsidRDefault="00CC3BE3" w:rsidP="00C103D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7309" w:type="dxa"/>
            <w:gridSpan w:val="2"/>
          </w:tcPr>
          <w:p w14:paraId="3D92EE78" w14:textId="538A3172" w:rsidR="00CC3BE3" w:rsidRPr="00805185" w:rsidRDefault="00CC3BE3" w:rsidP="00C103D3">
            <w:pPr>
              <w:spacing w:after="120" w:line="276" w:lineRule="auto"/>
              <w:jc w:val="both"/>
              <w:rPr>
                <w:rFonts w:ascii="Verdana" w:hAnsi="Verdana"/>
              </w:rPr>
            </w:pPr>
            <w:r w:rsidRPr="00805185">
              <w:rPr>
                <w:rFonts w:ascii="Verdana" w:hAnsi="Verdana"/>
                <w:lang w:val="es-ES_tradnl"/>
              </w:rPr>
              <w:t>LEY DE EMPRENDIMIENTO – Artículo 31 – Criterios diferenciales – Reglamentación</w:t>
            </w:r>
            <w:r>
              <w:rPr>
                <w:rFonts w:ascii="Verdana" w:hAnsi="Verdana"/>
                <w:lang w:val="es-ES_tradnl"/>
              </w:rPr>
              <w:t xml:space="preserve"> / </w:t>
            </w:r>
            <w:r w:rsidRPr="00805185">
              <w:rPr>
                <w:rFonts w:ascii="Verdana" w:hAnsi="Verdana"/>
                <w:lang w:val="es-ES_tradnl"/>
              </w:rPr>
              <w:t xml:space="preserve">MIPYMES – Criterios diferenciales – Decreto 1860 de 2021 – Contenido – Distinciones- </w:t>
            </w:r>
            <w:r w:rsidRPr="00805185">
              <w:rPr>
                <w:rFonts w:ascii="Verdana" w:hAnsi="Verdana"/>
                <w:lang w:val="es-ES"/>
              </w:rPr>
              <w:t xml:space="preserve">MIPYMES – Criterios diferenciales – Decreto 1860 de 2021 – </w:t>
            </w:r>
            <w:proofErr w:type="spellStart"/>
            <w:r w:rsidRPr="00805185">
              <w:rPr>
                <w:rFonts w:ascii="Verdana" w:hAnsi="Verdana"/>
                <w:lang w:val="es-ES"/>
              </w:rPr>
              <w:t>Mipymes</w:t>
            </w:r>
            <w:proofErr w:type="spellEnd"/>
            <w:r w:rsidRPr="00805185">
              <w:rPr>
                <w:rFonts w:ascii="Verdana" w:hAnsi="Verdana"/>
                <w:lang w:val="es-ES"/>
              </w:rPr>
              <w:t xml:space="preserve"> </w:t>
            </w:r>
            <w:r>
              <w:rPr>
                <w:rFonts w:ascii="Verdana" w:hAnsi="Verdana"/>
                <w:lang w:val="es-ES"/>
              </w:rPr>
              <w:t>–</w:t>
            </w:r>
            <w:r w:rsidRPr="00805185">
              <w:rPr>
                <w:rFonts w:ascii="Verdana" w:hAnsi="Verdana"/>
                <w:lang w:val="es-ES"/>
              </w:rPr>
              <w:t xml:space="preserve"> </w:t>
            </w:r>
            <w:r>
              <w:rPr>
                <w:rFonts w:ascii="Verdana" w:hAnsi="Verdana"/>
                <w:lang w:val="es-ES"/>
              </w:rPr>
              <w:t xml:space="preserve">Puntajes / </w:t>
            </w:r>
            <w:r w:rsidRPr="00F10BB5">
              <w:rPr>
                <w:rFonts w:ascii="Verdana" w:hAnsi="Verdana"/>
                <w:lang w:val="es-ES"/>
              </w:rPr>
              <w:t xml:space="preserve">MIPYME – Criterios diferenciales – Aplicación – Limitación de Convocatoria a </w:t>
            </w:r>
            <w:proofErr w:type="spellStart"/>
            <w:r w:rsidRPr="00F10BB5">
              <w:rPr>
                <w:rFonts w:ascii="Verdana" w:hAnsi="Verdana"/>
                <w:lang w:val="es-ES"/>
              </w:rPr>
              <w:t>Mipyme</w:t>
            </w:r>
            <w:proofErr w:type="spellEnd"/>
            <w:r w:rsidRPr="00F10BB5">
              <w:rPr>
                <w:rFonts w:ascii="Verdana" w:hAnsi="Verdana"/>
                <w:lang w:val="es-ES"/>
              </w:rPr>
              <w:t xml:space="preserve"> – Incompatibilidad</w:t>
            </w:r>
            <w:r w:rsidR="00455177">
              <w:rPr>
                <w:rFonts w:ascii="Verdana" w:hAnsi="Verdana"/>
                <w:lang w:val="es-ES"/>
              </w:rPr>
              <w:t xml:space="preserve"> con criterios diferenciales</w:t>
            </w:r>
            <w:r w:rsidRPr="00F10BB5">
              <w:rPr>
                <w:rFonts w:ascii="Verdana" w:hAnsi="Verdana"/>
                <w:lang w:val="es-ES"/>
              </w:rPr>
              <w:t>- Parágrafo 3 del artículo 2.2.1.2.4.2.18 del Decreto 1082 de 2015</w:t>
            </w:r>
            <w:r>
              <w:rPr>
                <w:rFonts w:ascii="Verdana" w:hAnsi="Verdana"/>
                <w:lang w:val="es-ES"/>
              </w:rPr>
              <w:t xml:space="preserve">. </w:t>
            </w:r>
            <w:r w:rsidRPr="00805185">
              <w:rPr>
                <w:rFonts w:ascii="Verdana" w:hAnsi="Verdana"/>
                <w:lang w:val="es-ES"/>
              </w:rPr>
              <w:t xml:space="preserve"> </w:t>
            </w:r>
          </w:p>
          <w:p w14:paraId="48D34D88" w14:textId="77777777" w:rsidR="00CC3BE3" w:rsidRPr="00606078" w:rsidRDefault="00CC3BE3" w:rsidP="00C103D3">
            <w:pPr>
              <w:jc w:val="both"/>
              <w:rPr>
                <w:rFonts w:ascii="Verdana" w:eastAsia="Calibri" w:hAnsi="Verdana" w:cs="Arial"/>
                <w:b/>
                <w:highlight w:val="yellow"/>
                <w:lang w:val="es-ES" w:eastAsia="es-ES"/>
              </w:rPr>
            </w:pPr>
          </w:p>
        </w:tc>
      </w:tr>
      <w:tr w:rsidR="00CC3BE3" w:rsidRPr="00593A5F" w14:paraId="5F28FB85" w14:textId="77777777" w:rsidTr="00702E05">
        <w:trPr>
          <w:trHeight w:val="300"/>
        </w:trPr>
        <w:tc>
          <w:tcPr>
            <w:tcW w:w="1905" w:type="dxa"/>
          </w:tcPr>
          <w:p w14:paraId="04F04EF8" w14:textId="77777777" w:rsidR="00CC3BE3" w:rsidRPr="006730E9" w:rsidRDefault="00CC3BE3" w:rsidP="00C103D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7309" w:type="dxa"/>
            <w:gridSpan w:val="2"/>
          </w:tcPr>
          <w:p w14:paraId="12123286" w14:textId="77777777" w:rsidR="00CC3BE3" w:rsidRPr="006730E9" w:rsidRDefault="00CC3BE3" w:rsidP="00C103D3">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11589">
              <w:rPr>
                <w:rFonts w:ascii="Verdana" w:eastAsia="Calibri" w:hAnsi="Verdana" w:cs="Arial"/>
                <w:lang w:val="es-ES_tradnl" w:eastAsia="es-ES_tradnl"/>
              </w:rPr>
              <w:t>1_2025_10_24_012008</w:t>
            </w:r>
            <w:r>
              <w:rPr>
                <w:rFonts w:ascii="Verdana" w:eastAsia="Calibri" w:hAnsi="Verdana" w:cs="Arial"/>
                <w:lang w:val="es-ES_tradnl" w:eastAsia="es-ES_tradnl"/>
              </w:rPr>
              <w:t>.</w:t>
            </w:r>
          </w:p>
        </w:tc>
      </w:tr>
      <w:tr w:rsidR="00CC3BE3" w:rsidRPr="00DB23D2" w14:paraId="13FBEA9E" w14:textId="77777777" w:rsidTr="00702E05">
        <w:trPr>
          <w:gridAfter w:val="1"/>
          <w:wAfter w:w="336" w:type="dxa"/>
          <w:trHeight w:val="233"/>
        </w:trPr>
        <w:tc>
          <w:tcPr>
            <w:tcW w:w="8878" w:type="dxa"/>
            <w:gridSpan w:val="2"/>
          </w:tcPr>
          <w:p w14:paraId="42460A0A" w14:textId="77777777" w:rsidR="00CC3BE3" w:rsidRPr="00DB23D2" w:rsidRDefault="00CC3BE3" w:rsidP="00C103D3">
            <w:pPr>
              <w:spacing w:after="120" w:line="276" w:lineRule="auto"/>
              <w:jc w:val="both"/>
              <w:rPr>
                <w:rFonts w:ascii="Verdana" w:eastAsia="Calibri" w:hAnsi="Verdana" w:cs="Arial"/>
                <w:lang w:val="es-ES_tradnl" w:eastAsia="es-ES"/>
              </w:rPr>
            </w:pPr>
          </w:p>
        </w:tc>
      </w:tr>
    </w:tbl>
    <w:p w14:paraId="42645FBA" w14:textId="77777777" w:rsidR="00CC3BE3" w:rsidRPr="006730E9" w:rsidRDefault="00CC3BE3" w:rsidP="00CC3BE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Manrique;</w:t>
      </w:r>
    </w:p>
    <w:p w14:paraId="1FB9427B" w14:textId="77777777" w:rsidR="00CC3BE3" w:rsidRDefault="00CC3BE3" w:rsidP="00CC3BE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1382F58" w14:textId="676B8553" w:rsidR="00CC3BE3" w:rsidRPr="006730E9" w:rsidRDefault="00CC3BE3" w:rsidP="00CC3BE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864DFD">
        <w:rPr>
          <w:rFonts w:ascii="Verdana" w:eastAsia="Arial MT" w:hAnsi="Verdana" w:cs="Arial MT"/>
          <w:lang w:val="es-ES" w:eastAsia="es-ES"/>
        </w:rPr>
        <w:t xml:space="preserve">y de conformidad con las modalidades del derecho de petición contempladas en la Ley 1755 de 2015, así como lo establecido en la resolución </w:t>
      </w:r>
      <w:proofErr w:type="spellStart"/>
      <w:r w:rsidRPr="00864DFD">
        <w:rPr>
          <w:rFonts w:ascii="Verdana" w:eastAsia="Arial MT" w:hAnsi="Verdana" w:cs="Arial MT"/>
          <w:lang w:val="es-ES" w:eastAsia="es-ES"/>
        </w:rPr>
        <w:t>N°</w:t>
      </w:r>
      <w:proofErr w:type="spellEnd"/>
      <w:r w:rsidRPr="00864DFD">
        <w:rPr>
          <w:rFonts w:ascii="Verdana" w:eastAsia="Arial MT" w:hAnsi="Verdana" w:cs="Arial MT"/>
          <w:lang w:val="es-ES" w:eastAsia="es-ES"/>
        </w:rPr>
        <w:t xml:space="preserve"> 469 del 2025 expedida por esta Agencia, damos respuesta a su</w:t>
      </w:r>
      <w:r>
        <w:rPr>
          <w:rFonts w:ascii="Verdana" w:eastAsia="Arial MT" w:hAnsi="Verdana" w:cs="Arial MT"/>
          <w:lang w:val="es-ES" w:eastAsia="es-ES"/>
        </w:rPr>
        <w:t xml:space="preserve"> </w:t>
      </w:r>
      <w:r w:rsidRPr="006730E9">
        <w:rPr>
          <w:rFonts w:ascii="Verdana" w:eastAsia="Calibri" w:hAnsi="Verdana" w:cs="Arial"/>
          <w:lang w:val="es-ES" w:eastAsia="es-ES"/>
        </w:rPr>
        <w:t xml:space="preserve">solicitud </w:t>
      </w:r>
      <w:r>
        <w:rPr>
          <w:rFonts w:ascii="Verdana" w:eastAsia="Calibri" w:hAnsi="Verdana" w:cs="Arial"/>
          <w:lang w:val="es-ES" w:eastAsia="es-ES"/>
        </w:rPr>
        <w:t xml:space="preserve">de consulta radicada en esta entidad </w:t>
      </w:r>
      <w:r w:rsidRPr="00E5644F">
        <w:rPr>
          <w:rFonts w:ascii="Verdana" w:eastAsia="Calibri" w:hAnsi="Verdana" w:cs="Arial"/>
          <w:lang w:val="es-ES" w:eastAsia="es-ES"/>
        </w:rPr>
        <w:t xml:space="preserve">el </w:t>
      </w:r>
      <w:r w:rsidR="003F156C">
        <w:rPr>
          <w:rFonts w:ascii="Verdana" w:eastAsia="Calibri" w:hAnsi="Verdana" w:cs="Arial"/>
          <w:lang w:val="es-ES" w:eastAsia="es-ES"/>
        </w:rPr>
        <w:t xml:space="preserve">24 </w:t>
      </w:r>
      <w:r w:rsidRPr="00E5644F">
        <w:rPr>
          <w:rFonts w:ascii="Verdana" w:eastAsia="Calibri" w:hAnsi="Verdana" w:cs="Arial"/>
          <w:lang w:val="es-ES" w:eastAsia="es-ES"/>
        </w:rPr>
        <w:t xml:space="preserve">de </w:t>
      </w:r>
      <w:r w:rsidR="003F156C">
        <w:rPr>
          <w:rFonts w:ascii="Verdana" w:eastAsia="Calibri" w:hAnsi="Verdana" w:cs="Arial"/>
          <w:lang w:val="es-ES" w:eastAsia="es-ES"/>
        </w:rPr>
        <w:t>octubre</w:t>
      </w:r>
      <w:r w:rsidR="003F156C" w:rsidRPr="00E5644F">
        <w:rPr>
          <w:rFonts w:ascii="Verdana" w:eastAsia="Calibri" w:hAnsi="Verdana" w:cs="Arial"/>
          <w:lang w:val="es-ES" w:eastAsia="es-ES"/>
        </w:rPr>
        <w:t xml:space="preserve"> </w:t>
      </w:r>
      <w:r w:rsidRPr="00E5644F">
        <w:rPr>
          <w:rFonts w:ascii="Verdana" w:eastAsia="Calibri" w:hAnsi="Verdana" w:cs="Arial"/>
          <w:lang w:val="es-ES" w:eastAsia="es-ES"/>
        </w:rPr>
        <w:t>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37D0177" w14:textId="77777777" w:rsidR="00CC3BE3" w:rsidRPr="00326382" w:rsidRDefault="00CC3BE3" w:rsidP="00CC3BE3">
      <w:pPr>
        <w:spacing w:after="0" w:line="240" w:lineRule="auto"/>
        <w:ind w:left="709" w:right="474"/>
        <w:jc w:val="both"/>
        <w:rPr>
          <w:rFonts w:ascii="Verdana" w:hAnsi="Verdana" w:cs="Arial"/>
          <w:sz w:val="20"/>
          <w:szCs w:val="20"/>
          <w:shd w:val="clear" w:color="auto" w:fill="FFFFFF"/>
        </w:rPr>
      </w:pPr>
      <w:bookmarkStart w:id="3" w:name="_Hlk95313578"/>
    </w:p>
    <w:bookmarkEnd w:id="3"/>
    <w:p w14:paraId="6DADD213" w14:textId="77777777" w:rsidR="00CC3BE3" w:rsidRPr="009D04B0" w:rsidRDefault="00CC3BE3" w:rsidP="00CC3BE3">
      <w:pPr>
        <w:pStyle w:val="Prrafodelista"/>
        <w:tabs>
          <w:tab w:val="left" w:pos="142"/>
          <w:tab w:val="left" w:pos="284"/>
        </w:tabs>
        <w:ind w:left="284" w:right="709"/>
        <w:jc w:val="both"/>
        <w:rPr>
          <w:rFonts w:ascii="Verdana" w:eastAsia="Century Gothic" w:hAnsi="Verdana" w:cs="Century Gothic"/>
          <w:i/>
          <w:iCs/>
        </w:rPr>
      </w:pPr>
      <w:r>
        <w:rPr>
          <w:rFonts w:ascii="Verdana" w:eastAsia="Century Gothic" w:hAnsi="Verdana" w:cs="Century Gothic"/>
          <w:i/>
          <w:iCs/>
          <w:lang w:val="es-CO"/>
        </w:rPr>
        <w:t xml:space="preserve">   </w:t>
      </w:r>
      <w:r w:rsidRPr="009D04B0">
        <w:rPr>
          <w:rFonts w:ascii="Verdana" w:eastAsia="Century Gothic" w:hAnsi="Verdana" w:cs="Century Gothic"/>
          <w:i/>
          <w:iCs/>
          <w:lang w:val="es-CO"/>
        </w:rPr>
        <w:t xml:space="preserve">“(…) </w:t>
      </w:r>
    </w:p>
    <w:p w14:paraId="4061044F"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64EF29A2"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lastRenderedPageBreak/>
        <w:t>De manera atenta y en el marco de las competencias orientadoras que ejerce esa entidad, solicito su</w:t>
      </w:r>
      <w:r>
        <w:rPr>
          <w:rFonts w:ascii="Verdana" w:eastAsia="Century Gothic" w:hAnsi="Verdana" w:cs="Century Gothic"/>
          <w:i/>
          <w:iCs/>
          <w:lang w:val="es-CO"/>
        </w:rPr>
        <w:t xml:space="preserve"> </w:t>
      </w:r>
      <w:r w:rsidRPr="004A2CCB">
        <w:rPr>
          <w:rFonts w:ascii="Verdana" w:eastAsia="Century Gothic" w:hAnsi="Verdana" w:cs="Century Gothic"/>
          <w:i/>
          <w:iCs/>
          <w:lang w:val="es-CO"/>
        </w:rPr>
        <w:t>concepto respecto a la interpretación del parágrafo 3 del artículo 2.2.1.2.4.2.18 del Decreto 1082 de 2015,</w:t>
      </w:r>
      <w:r>
        <w:rPr>
          <w:rFonts w:ascii="Verdana" w:eastAsia="Century Gothic" w:hAnsi="Verdana" w:cs="Century Gothic"/>
          <w:i/>
          <w:iCs/>
          <w:lang w:val="es-CO"/>
        </w:rPr>
        <w:t xml:space="preserve"> </w:t>
      </w:r>
      <w:r w:rsidRPr="004A2CCB">
        <w:rPr>
          <w:rFonts w:ascii="Verdana" w:eastAsia="Century Gothic" w:hAnsi="Verdana" w:cs="Century Gothic"/>
          <w:i/>
          <w:iCs/>
          <w:lang w:val="es-CO"/>
        </w:rPr>
        <w:t>adicionado por el Decreto 1860 de 2021, el cual establece:</w:t>
      </w:r>
      <w:r>
        <w:rPr>
          <w:rFonts w:ascii="Verdana" w:eastAsia="Century Gothic" w:hAnsi="Verdana" w:cs="Century Gothic"/>
          <w:i/>
          <w:iCs/>
          <w:lang w:val="es-CO"/>
        </w:rPr>
        <w:t xml:space="preserve"> </w:t>
      </w:r>
    </w:p>
    <w:p w14:paraId="461D0B03"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633C3FCA"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“Lo previsto en esta norma aplica sin perjuicio de lo dispuesto en los Acuerdos Comerciales suscritos por el</w:t>
      </w:r>
      <w:r>
        <w:rPr>
          <w:rFonts w:ascii="Verdana" w:eastAsia="Century Gothic" w:hAnsi="Verdana" w:cs="Century Gothic"/>
          <w:i/>
          <w:iCs/>
          <w:lang w:val="es-CO"/>
        </w:rPr>
        <w:t xml:space="preserve"> </w:t>
      </w:r>
      <w:r w:rsidRPr="004A2CCB">
        <w:rPr>
          <w:rFonts w:ascii="Verdana" w:eastAsia="Century Gothic" w:hAnsi="Verdana" w:cs="Century Gothic"/>
          <w:i/>
          <w:iCs/>
          <w:lang w:val="es-CO"/>
        </w:rPr>
        <w:t>Estado colombiano, pero no rige en las convocatorias limitadas que se realicen conforme a los artículos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2.2.1.2.4.2.2 y 2.2.1.2.4.2.3 de este Decreto.”</w:t>
      </w:r>
    </w:p>
    <w:p w14:paraId="19681016"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483DDE74"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Este texto ha generado dudas interpretativas en cuanto a la aplicación del criterio diferencial de</w:t>
      </w:r>
      <w:r>
        <w:rPr>
          <w:rFonts w:ascii="Verdana" w:eastAsia="Century Gothic" w:hAnsi="Verdana" w:cs="Century Gothic"/>
          <w:i/>
          <w:iCs/>
          <w:lang w:val="es-CO"/>
        </w:rPr>
        <w:t xml:space="preserve"> </w:t>
      </w:r>
      <w:r w:rsidRPr="004A2CCB">
        <w:rPr>
          <w:rFonts w:ascii="Verdana" w:eastAsia="Century Gothic" w:hAnsi="Verdana" w:cs="Century Gothic"/>
          <w:i/>
          <w:iCs/>
          <w:lang w:val="es-CO"/>
        </w:rPr>
        <w:t>experiencia para las MIPYME en los procesos de selección limitados exclusivamente a MIPYME,</w:t>
      </w:r>
      <w:r>
        <w:rPr>
          <w:rFonts w:ascii="Verdana" w:eastAsia="Century Gothic" w:hAnsi="Verdana" w:cs="Century Gothic"/>
          <w:i/>
          <w:iCs/>
          <w:lang w:val="es-CO"/>
        </w:rPr>
        <w:t xml:space="preserve"> </w:t>
      </w:r>
      <w:r w:rsidRPr="004A2CCB">
        <w:rPr>
          <w:rFonts w:ascii="Verdana" w:eastAsia="Century Gothic" w:hAnsi="Verdana" w:cs="Century Gothic"/>
          <w:i/>
          <w:iCs/>
          <w:lang w:val="es-CO"/>
        </w:rPr>
        <w:t>conforme al artículo 2.2.1.2.4.2.18, así:</w:t>
      </w:r>
    </w:p>
    <w:p w14:paraId="088BE667"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7A12C439"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1. Primera interpretación: En los procesos limitados exclusivamente a MIPYME, no aplica el criterio</w:t>
      </w:r>
      <w:r>
        <w:rPr>
          <w:rFonts w:ascii="Verdana" w:eastAsia="Century Gothic" w:hAnsi="Verdana" w:cs="Century Gothic"/>
          <w:i/>
          <w:iCs/>
          <w:lang w:val="es-CO"/>
        </w:rPr>
        <w:t xml:space="preserve"> </w:t>
      </w:r>
      <w:r w:rsidRPr="004A2CCB">
        <w:rPr>
          <w:rFonts w:ascii="Verdana" w:eastAsia="Century Gothic" w:hAnsi="Verdana" w:cs="Century Gothic"/>
          <w:i/>
          <w:iCs/>
          <w:lang w:val="es-CO"/>
        </w:rPr>
        <w:t>diferencial, por lo cual las MIPYME que participen deberían acreditar la experiencia exigida en los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mismos términos que los oferentes no MIPYME (por ejemplo, haber ejecutado dos contratos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equivalentes al 100% del presupuesto oficial).</w:t>
      </w:r>
    </w:p>
    <w:p w14:paraId="3CFEB17F"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11EC3978"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2. Segunda interpretación: En las convocatorias limitadas exclusivamente a MIPYME, no es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necesario aplicar criterios diferenciales frente a otros tipos de oferentes porque solo participan</w:t>
      </w:r>
      <w:r>
        <w:rPr>
          <w:rFonts w:ascii="Verdana" w:eastAsia="Century Gothic" w:hAnsi="Verdana" w:cs="Century Gothic"/>
          <w:i/>
          <w:iCs/>
          <w:lang w:val="es-CO"/>
        </w:rPr>
        <w:t xml:space="preserve"> </w:t>
      </w:r>
      <w:r w:rsidRPr="004A2CCB">
        <w:rPr>
          <w:rFonts w:ascii="Verdana" w:eastAsia="Century Gothic" w:hAnsi="Verdana" w:cs="Century Gothic"/>
          <w:i/>
          <w:iCs/>
          <w:lang w:val="es-CO"/>
        </w:rPr>
        <w:t>MIPYME; sin embargo, pueden mantenerse los requisitos habilitantes diferenciados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establecidos para este tipo de empresas, como exigir únicamente un contrato equivalente al 100%</w:t>
      </w:r>
      <w:r>
        <w:rPr>
          <w:rFonts w:ascii="Verdana" w:eastAsia="Century Gothic" w:hAnsi="Verdana" w:cs="Century Gothic"/>
          <w:i/>
          <w:iCs/>
          <w:lang w:val="es-CO"/>
        </w:rPr>
        <w:t xml:space="preserve"> </w:t>
      </w:r>
      <w:r w:rsidRPr="004A2CCB">
        <w:rPr>
          <w:rFonts w:ascii="Verdana" w:eastAsia="Century Gothic" w:hAnsi="Verdana" w:cs="Century Gothic"/>
          <w:i/>
          <w:iCs/>
          <w:lang w:val="es-CO"/>
        </w:rPr>
        <w:t>del presupuesto oficial.</w:t>
      </w:r>
    </w:p>
    <w:p w14:paraId="2E656C63"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03FBE9DC"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Consideramos importante precisar el alcance de esta disposición, ya que si en una convocatoria limitada</w:t>
      </w:r>
      <w:r>
        <w:rPr>
          <w:rFonts w:ascii="Verdana" w:eastAsia="Century Gothic" w:hAnsi="Verdana" w:cs="Century Gothic"/>
          <w:i/>
          <w:iCs/>
          <w:lang w:val="es-CO"/>
        </w:rPr>
        <w:t xml:space="preserve"> </w:t>
      </w:r>
      <w:r w:rsidRPr="004A2CCB">
        <w:rPr>
          <w:rFonts w:ascii="Verdana" w:eastAsia="Century Gothic" w:hAnsi="Verdana" w:cs="Century Gothic"/>
          <w:i/>
          <w:iCs/>
          <w:lang w:val="es-CO"/>
        </w:rPr>
        <w:t>a MIPYME se exige la experiencia más rigurosa (por ejemplo, dos contratos en lugar de uno), se</w:t>
      </w:r>
      <w:r>
        <w:rPr>
          <w:rFonts w:ascii="Verdana" w:eastAsia="Century Gothic" w:hAnsi="Verdana" w:cs="Century Gothic"/>
          <w:i/>
          <w:iCs/>
          <w:lang w:val="es-CO"/>
        </w:rPr>
        <w:t xml:space="preserve"> </w:t>
      </w:r>
      <w:r w:rsidRPr="004A2CCB">
        <w:rPr>
          <w:rFonts w:ascii="Verdana" w:eastAsia="Century Gothic" w:hAnsi="Verdana" w:cs="Century Gothic"/>
          <w:i/>
          <w:iCs/>
          <w:lang w:val="es-CO"/>
        </w:rPr>
        <w:t>estaría restringiendo la participación efectiva de las MIPYME, contrariando la finalidad de fomento y</w:t>
      </w:r>
      <w:r>
        <w:rPr>
          <w:rFonts w:ascii="Verdana" w:eastAsia="Century Gothic" w:hAnsi="Verdana" w:cs="Century Gothic"/>
          <w:i/>
          <w:iCs/>
          <w:lang w:val="es-CO"/>
        </w:rPr>
        <w:t xml:space="preserve"> </w:t>
      </w:r>
      <w:r w:rsidRPr="004A2CCB">
        <w:rPr>
          <w:rFonts w:ascii="Verdana" w:eastAsia="Century Gothic" w:hAnsi="Verdana" w:cs="Century Gothic"/>
          <w:i/>
          <w:iCs/>
          <w:lang w:val="es-CO"/>
        </w:rPr>
        <w:t>promoción establecida por el Decreto 1860 de 2021.</w:t>
      </w:r>
    </w:p>
    <w:p w14:paraId="724752DE"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35430676" w14:textId="77777777" w:rsidR="00CC3BE3" w:rsidRDefault="00CC3BE3" w:rsidP="00CC3BE3">
      <w:pPr>
        <w:pStyle w:val="Prrafodelista"/>
        <w:tabs>
          <w:tab w:val="left" w:pos="142"/>
          <w:tab w:val="left" w:pos="284"/>
        </w:tabs>
        <w:ind w:left="709" w:right="709"/>
        <w:jc w:val="both"/>
        <w:rPr>
          <w:rFonts w:ascii="Verdana" w:eastAsia="Century Gothic" w:hAnsi="Verdana" w:cs="Century Gothic"/>
          <w:i/>
          <w:iCs/>
          <w:lang w:val="es-CO"/>
        </w:rPr>
      </w:pPr>
      <w:r w:rsidRPr="004A2CCB">
        <w:rPr>
          <w:rFonts w:ascii="Verdana" w:eastAsia="Century Gothic" w:hAnsi="Verdana" w:cs="Century Gothic"/>
          <w:i/>
          <w:iCs/>
          <w:lang w:val="es-CO"/>
        </w:rPr>
        <w:t>En la práctica, esto implicaría que los procesos “limitados a MIPYME” resultarían más exigentes para ellas</w:t>
      </w:r>
      <w:r>
        <w:rPr>
          <w:rFonts w:ascii="Verdana" w:eastAsia="Century Gothic" w:hAnsi="Verdana" w:cs="Century Gothic"/>
          <w:i/>
          <w:iCs/>
          <w:lang w:val="es-CO"/>
        </w:rPr>
        <w:t xml:space="preserve"> </w:t>
      </w:r>
      <w:r w:rsidRPr="004A2CCB">
        <w:rPr>
          <w:rFonts w:ascii="Verdana" w:eastAsia="Century Gothic" w:hAnsi="Verdana" w:cs="Century Gothic"/>
          <w:i/>
          <w:iCs/>
          <w:lang w:val="es-CO"/>
        </w:rPr>
        <w:t xml:space="preserve">que los procesos abiertos, situación que podría desincentivar su interés en limitar a </w:t>
      </w:r>
      <w:proofErr w:type="spellStart"/>
      <w:r w:rsidRPr="004A2CCB">
        <w:rPr>
          <w:rFonts w:ascii="Verdana" w:eastAsia="Century Gothic" w:hAnsi="Verdana" w:cs="Century Gothic"/>
          <w:i/>
          <w:iCs/>
          <w:lang w:val="es-CO"/>
        </w:rPr>
        <w:t>Mipymes</w:t>
      </w:r>
      <w:proofErr w:type="spellEnd"/>
      <w:r w:rsidRPr="004A2CCB">
        <w:rPr>
          <w:rFonts w:ascii="Verdana" w:eastAsia="Century Gothic" w:hAnsi="Verdana" w:cs="Century Gothic"/>
          <w:i/>
          <w:iCs/>
          <w:lang w:val="es-CO"/>
        </w:rPr>
        <w:t xml:space="preserve"> y desvirtuar el</w:t>
      </w:r>
      <w:r>
        <w:rPr>
          <w:rFonts w:ascii="Verdana" w:eastAsia="Century Gothic" w:hAnsi="Verdana" w:cs="Century Gothic"/>
          <w:i/>
          <w:iCs/>
          <w:lang w:val="es-CO"/>
        </w:rPr>
        <w:t xml:space="preserve"> </w:t>
      </w:r>
      <w:r w:rsidRPr="004A2CCB">
        <w:rPr>
          <w:rFonts w:ascii="Verdana" w:eastAsia="Century Gothic" w:hAnsi="Verdana" w:cs="Century Gothic"/>
          <w:i/>
          <w:iCs/>
          <w:lang w:val="es-CO"/>
        </w:rPr>
        <w:t>propósito de la norma.</w:t>
      </w:r>
    </w:p>
    <w:p w14:paraId="675BA16D" w14:textId="77777777" w:rsidR="00CC3BE3" w:rsidRPr="004A2CCB" w:rsidRDefault="00CC3BE3" w:rsidP="00CC3BE3">
      <w:pPr>
        <w:pStyle w:val="Prrafodelista"/>
        <w:tabs>
          <w:tab w:val="left" w:pos="142"/>
          <w:tab w:val="left" w:pos="284"/>
        </w:tabs>
        <w:ind w:left="709" w:right="709"/>
        <w:jc w:val="both"/>
        <w:rPr>
          <w:rFonts w:ascii="Verdana" w:eastAsia="Century Gothic" w:hAnsi="Verdana" w:cs="Century Gothic"/>
          <w:i/>
          <w:iCs/>
          <w:lang w:val="es-CO"/>
        </w:rPr>
      </w:pPr>
    </w:p>
    <w:p w14:paraId="414CB428" w14:textId="77777777" w:rsidR="00CC3BE3" w:rsidRPr="00022742" w:rsidRDefault="00CC3BE3" w:rsidP="003D007A">
      <w:pPr>
        <w:tabs>
          <w:tab w:val="left" w:pos="142"/>
          <w:tab w:val="left" w:pos="284"/>
        </w:tabs>
        <w:ind w:left="709" w:right="709"/>
        <w:jc w:val="both"/>
        <w:rPr>
          <w:rFonts w:ascii="Verdana" w:eastAsia="Century Gothic" w:hAnsi="Verdana" w:cs="Century Gothic"/>
          <w:i/>
          <w:iCs/>
        </w:rPr>
      </w:pPr>
      <w:r w:rsidRPr="004A2CCB">
        <w:rPr>
          <w:rFonts w:ascii="Verdana" w:eastAsia="Century Gothic" w:hAnsi="Verdana" w:cs="Century Gothic"/>
          <w:i/>
          <w:iCs/>
        </w:rPr>
        <w:t>En tal sentido, se solicita amablemente a Colombia Compra Eficiente precisar cuál de las dos</w:t>
      </w:r>
      <w:r>
        <w:rPr>
          <w:rFonts w:ascii="Verdana" w:eastAsia="Century Gothic" w:hAnsi="Verdana" w:cs="Century Gothic"/>
          <w:i/>
          <w:iCs/>
        </w:rPr>
        <w:t xml:space="preserve"> </w:t>
      </w:r>
      <w:r w:rsidRPr="004A2CCB">
        <w:rPr>
          <w:rFonts w:ascii="Verdana" w:eastAsia="Century Gothic" w:hAnsi="Verdana" w:cs="Century Gothic"/>
          <w:i/>
          <w:iCs/>
        </w:rPr>
        <w:t>interpretaciones corresponde al alcance normativo del parágrafo 3 del artículo 2.2.1.2.4.2.18, a fin de</w:t>
      </w:r>
      <w:r>
        <w:rPr>
          <w:rFonts w:ascii="Verdana" w:eastAsia="Century Gothic" w:hAnsi="Verdana" w:cs="Century Gothic"/>
          <w:i/>
          <w:iCs/>
        </w:rPr>
        <w:t xml:space="preserve"> </w:t>
      </w:r>
      <w:r w:rsidRPr="004A2CCB">
        <w:rPr>
          <w:rFonts w:ascii="Verdana" w:eastAsia="Century Gothic" w:hAnsi="Verdana" w:cs="Century Gothic"/>
          <w:i/>
          <w:iCs/>
        </w:rPr>
        <w:t>garantizar una aplicación coherente con los principios de promoción, participación y fortalecimiento de</w:t>
      </w:r>
      <w:r>
        <w:rPr>
          <w:rFonts w:ascii="Verdana" w:eastAsia="Century Gothic" w:hAnsi="Verdana" w:cs="Century Gothic"/>
          <w:i/>
          <w:iCs/>
        </w:rPr>
        <w:t xml:space="preserve"> </w:t>
      </w:r>
      <w:r w:rsidRPr="004A2CCB">
        <w:rPr>
          <w:rFonts w:ascii="Verdana" w:eastAsia="Century Gothic" w:hAnsi="Verdana" w:cs="Century Gothic"/>
          <w:i/>
          <w:iCs/>
        </w:rPr>
        <w:t>las MIPYME en la contratación pública.</w:t>
      </w:r>
      <w:r w:rsidRPr="004A2CCB">
        <w:rPr>
          <w:rFonts w:ascii="Verdana" w:eastAsia="Century Gothic" w:hAnsi="Verdana" w:cs="Century Gothic"/>
          <w:i/>
          <w:iCs/>
        </w:rPr>
        <w:cr/>
      </w:r>
      <w:r>
        <w:rPr>
          <w:rFonts w:ascii="Verdana" w:eastAsia="Century Gothic" w:hAnsi="Verdana" w:cs="Century Gothic"/>
          <w:i/>
          <w:iCs/>
        </w:rPr>
        <w:t xml:space="preserve">          </w:t>
      </w:r>
      <w:r w:rsidRPr="00022742">
        <w:rPr>
          <w:rFonts w:ascii="Verdana" w:eastAsia="Century Gothic" w:hAnsi="Verdana" w:cs="Century Gothic"/>
          <w:i/>
          <w:iCs/>
        </w:rPr>
        <w:t xml:space="preserve">(…)” </w:t>
      </w:r>
    </w:p>
    <w:p w14:paraId="36A8290A" w14:textId="77777777" w:rsidR="00CC3BE3" w:rsidRPr="00AA3B9F" w:rsidRDefault="00CC3BE3" w:rsidP="00CC3BE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C3B3B8C" w14:textId="77777777" w:rsidR="00CC3BE3" w:rsidRPr="00AA3B9F" w:rsidRDefault="00CC3BE3" w:rsidP="00CC3BE3">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37685EAC" w14:textId="77777777" w:rsidR="00CC3BE3" w:rsidRDefault="00CC3BE3" w:rsidP="00CC3BE3">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3A04CD38" w14:textId="77777777" w:rsidR="00CC3BE3" w:rsidRDefault="00CC3BE3" w:rsidP="00CC3BE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6541A3ED" w14:textId="77777777" w:rsidR="00CC3BE3" w:rsidRDefault="00CC3BE3" w:rsidP="00CC3BE3">
      <w:pPr>
        <w:pStyle w:val="Prrafodelista"/>
        <w:tabs>
          <w:tab w:val="left" w:pos="142"/>
          <w:tab w:val="left" w:pos="284"/>
        </w:tabs>
        <w:spacing w:after="0" w:line="276" w:lineRule="auto"/>
        <w:ind w:left="0"/>
        <w:jc w:val="both"/>
        <w:rPr>
          <w:rFonts w:ascii="Verdana" w:eastAsia="Century Gothic" w:hAnsi="Verdana" w:cs="Century Gothic"/>
          <w:b/>
          <w:bCs/>
        </w:rPr>
      </w:pPr>
    </w:p>
    <w:p w14:paraId="223A98FC" w14:textId="22E6A436" w:rsidR="00CC3BE3" w:rsidRPr="00593A5F" w:rsidRDefault="00CC3BE3" w:rsidP="00CC3BE3">
      <w:pPr>
        <w:pStyle w:val="Prrafodelista"/>
        <w:tabs>
          <w:tab w:val="left" w:pos="142"/>
          <w:tab w:val="left" w:pos="284"/>
        </w:tabs>
        <w:spacing w:after="0" w:line="276" w:lineRule="auto"/>
        <w:ind w:left="0"/>
        <w:jc w:val="both"/>
        <w:rPr>
          <w:rFonts w:ascii="Verdana" w:eastAsia="Century Gothic" w:hAnsi="Verdana" w:cs="Century Gothic"/>
          <w:b/>
          <w:bCs/>
        </w:rPr>
      </w:pPr>
      <w:r>
        <w:rPr>
          <w:rFonts w:ascii="Verdana" w:eastAsia="Calibri" w:hAnsi="Verdana" w:cs="Arial"/>
          <w:lang w:eastAsia="es-ES"/>
        </w:rPr>
        <w:lastRenderedPageBreak/>
        <w:tab/>
      </w:r>
      <w:r>
        <w:rPr>
          <w:rFonts w:ascii="Verdana" w:eastAsia="Calibri" w:hAnsi="Verdana" w:cs="Arial"/>
          <w:lang w:eastAsia="es-ES"/>
        </w:rPr>
        <w:tab/>
        <w:t xml:space="preserve">      </w:t>
      </w:r>
      <w:r w:rsidRPr="00E21BD1">
        <w:rPr>
          <w:rFonts w:ascii="Verdana" w:eastAsia="Calibri" w:hAnsi="Verdana" w:cs="Arial"/>
          <w:lang w:eastAsia="es-ES"/>
        </w:rPr>
        <w:t xml:space="preserve">De acuerdo con el contenido de su solicitud, esta Agencia resolverá el siguiente problema jurídico: </w:t>
      </w:r>
      <w:proofErr w:type="gramStart"/>
      <w:r w:rsidRPr="00E21BD1">
        <w:rPr>
          <w:rFonts w:ascii="Verdana" w:eastAsia="Calibri" w:hAnsi="Verdana" w:cs="Arial"/>
          <w:lang w:eastAsia="es-ES"/>
        </w:rPr>
        <w:t>¿</w:t>
      </w:r>
      <w:r w:rsidRPr="00E17B83">
        <w:rPr>
          <w:rFonts w:ascii="Verdana" w:eastAsia="Calibri" w:hAnsi="Verdana" w:cs="Arial"/>
          <w:lang w:eastAsia="es-ES"/>
        </w:rPr>
        <w:t>Debe entenderse que el parágrafo 3 del artículo 2.</w:t>
      </w:r>
      <w:proofErr w:type="gramEnd"/>
      <w:r w:rsidRPr="00E17B83">
        <w:rPr>
          <w:rFonts w:ascii="Verdana" w:eastAsia="Calibri" w:hAnsi="Verdana" w:cs="Arial"/>
          <w:lang w:eastAsia="es-ES"/>
        </w:rPr>
        <w:t>2.1.2.4.2.18 del Decreto 1082 de 2015, adicionado por el Decreto 1860 de 2021, excluye la aplicación de</w:t>
      </w:r>
      <w:r>
        <w:rPr>
          <w:rFonts w:ascii="Verdana" w:eastAsia="Calibri" w:hAnsi="Verdana" w:cs="Arial"/>
          <w:lang w:eastAsia="es-ES"/>
        </w:rPr>
        <w:t xml:space="preserve"> </w:t>
      </w:r>
      <w:r w:rsidRPr="00E17B83">
        <w:rPr>
          <w:rFonts w:ascii="Verdana" w:eastAsia="Calibri" w:hAnsi="Verdana" w:cs="Arial"/>
          <w:lang w:eastAsia="es-ES"/>
        </w:rPr>
        <w:t>l</w:t>
      </w:r>
      <w:r>
        <w:rPr>
          <w:rFonts w:ascii="Verdana" w:eastAsia="Calibri" w:hAnsi="Verdana" w:cs="Arial"/>
          <w:lang w:eastAsia="es-ES"/>
        </w:rPr>
        <w:t>os</w:t>
      </w:r>
      <w:r w:rsidRPr="00E17B83">
        <w:rPr>
          <w:rFonts w:ascii="Verdana" w:eastAsia="Calibri" w:hAnsi="Verdana" w:cs="Arial"/>
          <w:lang w:eastAsia="es-ES"/>
        </w:rPr>
        <w:t xml:space="preserve"> criterio</w:t>
      </w:r>
      <w:r>
        <w:rPr>
          <w:rFonts w:ascii="Verdana" w:eastAsia="Calibri" w:hAnsi="Verdana" w:cs="Arial"/>
          <w:lang w:eastAsia="es-ES"/>
        </w:rPr>
        <w:t>s</w:t>
      </w:r>
      <w:r w:rsidRPr="00E17B83">
        <w:rPr>
          <w:rFonts w:ascii="Verdana" w:eastAsia="Calibri" w:hAnsi="Verdana" w:cs="Arial"/>
          <w:lang w:eastAsia="es-ES"/>
        </w:rPr>
        <w:t xml:space="preserve"> diferencial</w:t>
      </w:r>
      <w:r>
        <w:rPr>
          <w:rFonts w:ascii="Verdana" w:eastAsia="Calibri" w:hAnsi="Verdana" w:cs="Arial"/>
          <w:lang w:eastAsia="es-ES"/>
        </w:rPr>
        <w:t>es</w:t>
      </w:r>
      <w:r w:rsidRPr="00E17B83">
        <w:rPr>
          <w:rFonts w:ascii="Verdana" w:eastAsia="Calibri" w:hAnsi="Verdana" w:cs="Arial"/>
          <w:lang w:eastAsia="es-ES"/>
        </w:rPr>
        <w:t xml:space="preserve"> para las MIPYME en los procesos de selección limitados exclusivamente a este tipo de empresas, </w:t>
      </w:r>
      <w:proofErr w:type="gramStart"/>
      <w:r w:rsidRPr="00E17B83">
        <w:rPr>
          <w:rFonts w:ascii="Verdana" w:eastAsia="Calibri" w:hAnsi="Verdana" w:cs="Arial"/>
          <w:lang w:eastAsia="es-ES"/>
        </w:rPr>
        <w:t>o</w:t>
      </w:r>
      <w:proofErr w:type="gramEnd"/>
      <w:r w:rsidRPr="00E17B83">
        <w:rPr>
          <w:rFonts w:ascii="Verdana" w:eastAsia="Calibri" w:hAnsi="Verdana" w:cs="Arial"/>
          <w:lang w:eastAsia="es-ES"/>
        </w:rPr>
        <w:t xml:space="preserve"> por el contrario, permite mantener requisitos habilitantes diferenciados que promuevan su participación efectiva</w:t>
      </w:r>
      <w:r w:rsidRPr="00E21BD1">
        <w:rPr>
          <w:rFonts w:ascii="Verdana" w:eastAsia="Calibri" w:hAnsi="Verdana" w:cs="Arial"/>
          <w:lang w:eastAsia="es-ES"/>
        </w:rPr>
        <w:t>?</w:t>
      </w:r>
      <w:r w:rsidRPr="00AA3B9F">
        <w:rPr>
          <w:rFonts w:ascii="Verdana" w:eastAsia="Calibri" w:hAnsi="Verdana" w:cs="Arial"/>
          <w:lang w:eastAsia="es-ES"/>
        </w:rPr>
        <w:t xml:space="preserve">  </w:t>
      </w:r>
    </w:p>
    <w:p w14:paraId="3D0BC5E0" w14:textId="77777777" w:rsidR="00CC3BE3" w:rsidRDefault="00CC3BE3" w:rsidP="00CC3BE3">
      <w:pPr>
        <w:pStyle w:val="Prrafodelista"/>
        <w:ind w:left="0" w:right="49"/>
        <w:jc w:val="both"/>
        <w:rPr>
          <w:rFonts w:ascii="Verdana" w:hAnsi="Verdana"/>
        </w:rPr>
      </w:pPr>
    </w:p>
    <w:p w14:paraId="07B30369" w14:textId="77777777" w:rsidR="00CC3BE3" w:rsidRPr="00593A5F" w:rsidRDefault="00CC3BE3" w:rsidP="00CC3B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9968F3C" w14:textId="77777777" w:rsidR="00CC3BE3" w:rsidRPr="00593A5F" w:rsidRDefault="00CC3BE3" w:rsidP="00CC3BE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CC3BE3" w:rsidRPr="00593A5F" w14:paraId="25C2395F" w14:textId="77777777" w:rsidTr="08AA83F8">
        <w:tc>
          <w:tcPr>
            <w:tcW w:w="8779" w:type="dxa"/>
          </w:tcPr>
          <w:p w14:paraId="2001E490" w14:textId="77777777" w:rsidR="00CC3BE3" w:rsidRPr="00A87348" w:rsidRDefault="00CC3BE3" w:rsidP="00C103D3">
            <w:pPr>
              <w:spacing w:after="120" w:line="276" w:lineRule="auto"/>
              <w:ind w:firstLine="709"/>
              <w:jc w:val="both"/>
              <w:rPr>
                <w:rFonts w:ascii="Verdana" w:hAnsi="Verdana" w:cs="Arial"/>
                <w:lang w:val="es-MX"/>
              </w:rPr>
            </w:pPr>
            <w:r>
              <w:rPr>
                <w:rFonts w:ascii="Verdana" w:hAnsi="Verdana" w:cs="Arial"/>
                <w:bCs/>
              </w:rPr>
              <w:t xml:space="preserve">El artículo </w:t>
            </w:r>
            <w:r w:rsidRPr="007817AA">
              <w:rPr>
                <w:rFonts w:ascii="Verdana" w:hAnsi="Verdana" w:cs="Arial"/>
                <w:bCs/>
              </w:rPr>
              <w:t>2.2.1.2.4.2.18</w:t>
            </w:r>
            <w:r>
              <w:rPr>
                <w:rFonts w:ascii="Verdana" w:hAnsi="Verdana" w:cs="Arial"/>
                <w:bCs/>
              </w:rPr>
              <w:t xml:space="preserve"> del Decreto 1082 de 2015 definió los criterios diferenciales que las entidades públicas adoptarán en los procesos de selección para </w:t>
            </w:r>
            <w:proofErr w:type="spellStart"/>
            <w:r>
              <w:rPr>
                <w:rFonts w:ascii="Verdana" w:hAnsi="Verdana" w:cs="Arial"/>
                <w:bCs/>
              </w:rPr>
              <w:t>Mipyme</w:t>
            </w:r>
            <w:proofErr w:type="spellEnd"/>
            <w:r>
              <w:rPr>
                <w:rFonts w:ascii="Verdana" w:hAnsi="Verdana" w:cs="Arial"/>
                <w:bCs/>
              </w:rPr>
              <w:t xml:space="preserve"> en el sistema de compras públicas, que podrán ser en alguno o algunos de los siguientes aspectos: </w:t>
            </w:r>
          </w:p>
          <w:p w14:paraId="03AA3438" w14:textId="77777777" w:rsidR="00CC3BE3" w:rsidRPr="00B31BBE" w:rsidRDefault="00CC3BE3" w:rsidP="00C103D3">
            <w:pPr>
              <w:spacing w:after="120" w:line="276" w:lineRule="auto"/>
              <w:ind w:firstLine="708"/>
              <w:jc w:val="both"/>
              <w:rPr>
                <w:rFonts w:ascii="Verdana" w:hAnsi="Verdana" w:cs="Arial"/>
                <w:bCs/>
              </w:rPr>
            </w:pPr>
            <w:r w:rsidRPr="00B31BBE">
              <w:rPr>
                <w:rFonts w:ascii="Verdana" w:hAnsi="Verdana" w:cs="Arial"/>
                <w:bCs/>
              </w:rPr>
              <w:t>1. Tiempo de experiencia.</w:t>
            </w:r>
          </w:p>
          <w:p w14:paraId="33A1FBE5" w14:textId="77777777" w:rsidR="00CC3BE3" w:rsidRPr="00B31BBE" w:rsidRDefault="00CC3BE3" w:rsidP="00C103D3">
            <w:pPr>
              <w:spacing w:after="120" w:line="276" w:lineRule="auto"/>
              <w:ind w:firstLine="708"/>
              <w:jc w:val="both"/>
              <w:rPr>
                <w:rFonts w:ascii="Verdana" w:hAnsi="Verdana" w:cs="Arial"/>
                <w:bCs/>
              </w:rPr>
            </w:pPr>
            <w:r w:rsidRPr="00B31BBE">
              <w:rPr>
                <w:rFonts w:ascii="Verdana" w:hAnsi="Verdana" w:cs="Arial"/>
                <w:bCs/>
              </w:rPr>
              <w:t>2. Número de contratos para la acreditación de la experiencia</w:t>
            </w:r>
            <w:r>
              <w:rPr>
                <w:rFonts w:ascii="Verdana" w:hAnsi="Verdana" w:cs="Arial"/>
                <w:bCs/>
              </w:rPr>
              <w:t>.</w:t>
            </w:r>
          </w:p>
          <w:p w14:paraId="684958D4" w14:textId="77777777" w:rsidR="00CC3BE3" w:rsidRPr="00B31BBE" w:rsidRDefault="00CC3BE3" w:rsidP="00C103D3">
            <w:pPr>
              <w:spacing w:after="120" w:line="276" w:lineRule="auto"/>
              <w:ind w:firstLine="708"/>
              <w:jc w:val="both"/>
              <w:rPr>
                <w:rFonts w:ascii="Verdana" w:hAnsi="Verdana" w:cs="Arial"/>
                <w:bCs/>
              </w:rPr>
            </w:pPr>
            <w:r w:rsidRPr="00B31BBE">
              <w:rPr>
                <w:rFonts w:ascii="Verdana" w:hAnsi="Verdana" w:cs="Arial"/>
                <w:bCs/>
              </w:rPr>
              <w:t>3. Índices de capacidad financiera.</w:t>
            </w:r>
          </w:p>
          <w:p w14:paraId="60E1B8A5" w14:textId="77777777" w:rsidR="00CC3BE3" w:rsidRPr="00B31BBE" w:rsidRDefault="00CC3BE3" w:rsidP="00C103D3">
            <w:pPr>
              <w:spacing w:after="120" w:line="276" w:lineRule="auto"/>
              <w:ind w:firstLine="708"/>
              <w:jc w:val="both"/>
              <w:rPr>
                <w:rFonts w:ascii="Verdana" w:hAnsi="Verdana" w:cs="Arial"/>
                <w:bCs/>
              </w:rPr>
            </w:pPr>
            <w:r w:rsidRPr="00B31BBE">
              <w:rPr>
                <w:rFonts w:ascii="Verdana" w:hAnsi="Verdana" w:cs="Arial"/>
                <w:bCs/>
              </w:rPr>
              <w:t>4. Índices de capacidad organizacional.</w:t>
            </w:r>
          </w:p>
          <w:p w14:paraId="4E7586E7" w14:textId="77777777" w:rsidR="00CC3BE3" w:rsidRDefault="00CC3BE3" w:rsidP="00C103D3">
            <w:pPr>
              <w:spacing w:after="120" w:line="276" w:lineRule="auto"/>
              <w:ind w:firstLine="708"/>
              <w:jc w:val="both"/>
              <w:rPr>
                <w:rFonts w:ascii="Verdana" w:hAnsi="Verdana" w:cs="Arial"/>
                <w:bCs/>
              </w:rPr>
            </w:pPr>
            <w:r w:rsidRPr="00B31BBE">
              <w:rPr>
                <w:rFonts w:ascii="Verdana" w:hAnsi="Verdana" w:cs="Arial"/>
                <w:bCs/>
              </w:rPr>
              <w:t>5. Valor de la garantía de seriedad de la oferta.</w:t>
            </w:r>
          </w:p>
          <w:p w14:paraId="0DC53A84" w14:textId="77777777" w:rsidR="00CC3BE3" w:rsidRPr="00A87348" w:rsidRDefault="00CC3BE3" w:rsidP="00C103D3">
            <w:pPr>
              <w:spacing w:after="120" w:line="276" w:lineRule="auto"/>
              <w:ind w:firstLine="709"/>
              <w:jc w:val="both"/>
              <w:rPr>
                <w:rFonts w:ascii="Verdana" w:eastAsia="Arial" w:hAnsi="Verdana" w:cs="Arial"/>
              </w:rPr>
            </w:pPr>
            <w:r>
              <w:rPr>
                <w:rFonts w:ascii="Verdana" w:hAnsi="Verdana" w:cs="Arial"/>
                <w:bCs/>
              </w:rPr>
              <w:t xml:space="preserve">Ahora bien, el artículo </w:t>
            </w:r>
            <w:r w:rsidRPr="007817AA">
              <w:rPr>
                <w:rFonts w:ascii="Verdana" w:hAnsi="Verdana" w:cs="Arial"/>
                <w:bCs/>
              </w:rPr>
              <w:t>2.2.1.2.4.2.18</w:t>
            </w:r>
            <w:r>
              <w:rPr>
                <w:rFonts w:ascii="Verdana" w:hAnsi="Verdana" w:cs="Arial"/>
                <w:bCs/>
              </w:rPr>
              <w:t xml:space="preserve"> del Decreto 1082 de 2015 también dispone de un puntaje adicional de hasta el cero punto veinticinco (0,25%) del valor total de los puntos establecidos en el pliego de condiciones o documentos equivalentes a los proponentes que acrediten su condición de </w:t>
            </w:r>
            <w:proofErr w:type="spellStart"/>
            <w:r>
              <w:rPr>
                <w:rFonts w:ascii="Verdana" w:hAnsi="Verdana" w:cs="Arial"/>
                <w:bCs/>
              </w:rPr>
              <w:t>Mipymes</w:t>
            </w:r>
            <w:proofErr w:type="spellEnd"/>
            <w:r>
              <w:rPr>
                <w:rFonts w:ascii="Verdana" w:hAnsi="Verdana" w:cs="Arial"/>
                <w:bCs/>
              </w:rPr>
              <w:t xml:space="preserve">.  </w:t>
            </w:r>
            <w:r w:rsidRPr="00330A7F">
              <w:rPr>
                <w:rFonts w:ascii="Verdana" w:eastAsia="Calibri" w:hAnsi="Verdana" w:cs="Arial"/>
              </w:rPr>
              <w:t>Tratándose de proponentes plurales, los criterios diferenciales y los puntajes adicionales solo se aplicarán si por lo menos uno de los integrantes acredita es</w:t>
            </w:r>
            <w:r>
              <w:rPr>
                <w:rFonts w:ascii="Verdana" w:eastAsia="Calibri" w:hAnsi="Verdana" w:cs="Arial"/>
              </w:rPr>
              <w:t xml:space="preserve"> </w:t>
            </w:r>
            <w:proofErr w:type="spellStart"/>
            <w:r>
              <w:rPr>
                <w:rFonts w:ascii="Verdana" w:eastAsia="Calibri" w:hAnsi="Verdana" w:cs="Arial"/>
              </w:rPr>
              <w:t>Mipyme</w:t>
            </w:r>
            <w:proofErr w:type="spellEnd"/>
            <w:r>
              <w:rPr>
                <w:rFonts w:ascii="Verdana" w:eastAsia="Calibri" w:hAnsi="Verdana" w:cs="Arial"/>
              </w:rPr>
              <w:t xml:space="preserve"> </w:t>
            </w:r>
            <w:r w:rsidRPr="00330A7F">
              <w:rPr>
                <w:rFonts w:ascii="Verdana" w:eastAsia="Calibri" w:hAnsi="Verdana" w:cs="Arial"/>
              </w:rPr>
              <w:t>y que tiene una participación igual</w:t>
            </w:r>
            <w:r>
              <w:rPr>
                <w:rFonts w:ascii="Verdana" w:eastAsia="Calibri" w:hAnsi="Verdana" w:cs="Arial"/>
              </w:rPr>
              <w:t xml:space="preserve"> </w:t>
            </w:r>
            <w:r w:rsidRPr="00330A7F">
              <w:rPr>
                <w:rFonts w:ascii="Verdana" w:eastAsia="Calibri" w:hAnsi="Verdana" w:cs="Arial"/>
              </w:rPr>
              <w:t>o superior al diez por ciento (10%) en el consorcio o la unión temporal.</w:t>
            </w:r>
          </w:p>
          <w:p w14:paraId="62629153" w14:textId="0536640B" w:rsidR="00CC3BE3" w:rsidRDefault="00CC3BE3" w:rsidP="08AA83F8">
            <w:pPr>
              <w:spacing w:before="120" w:line="276" w:lineRule="auto"/>
              <w:ind w:firstLine="709"/>
              <w:jc w:val="both"/>
              <w:rPr>
                <w:rFonts w:ascii="Verdana" w:eastAsia="Calibri" w:hAnsi="Verdana" w:cs="Arial"/>
                <w:color w:val="000000"/>
              </w:rPr>
            </w:pPr>
            <w:r w:rsidRPr="08AA83F8">
              <w:rPr>
                <w:rFonts w:ascii="Verdana" w:eastAsia="Calibri" w:hAnsi="Verdana" w:cs="Arial"/>
                <w:color w:val="000000"/>
                <w:lang w:val="es-MX"/>
              </w:rPr>
              <w:t xml:space="preserve">Ahora bien, conforme al problema jurídico planteado, es preciso destacar </w:t>
            </w:r>
            <w:proofErr w:type="gramStart"/>
            <w:r w:rsidRPr="08AA83F8">
              <w:rPr>
                <w:rFonts w:ascii="Verdana" w:eastAsia="Calibri" w:hAnsi="Verdana" w:cs="Arial"/>
                <w:color w:val="000000"/>
                <w:lang w:val="es-MX"/>
              </w:rPr>
              <w:t>que  el</w:t>
            </w:r>
            <w:proofErr w:type="gramEnd"/>
            <w:r w:rsidRPr="08AA83F8">
              <w:rPr>
                <w:rFonts w:ascii="Verdana" w:eastAsia="Calibri" w:hAnsi="Verdana" w:cs="Arial"/>
                <w:color w:val="000000"/>
                <w:lang w:val="es-MX"/>
              </w:rPr>
              <w:t xml:space="preserve"> parágrafo 3 del artículo 2.2.1.2.4.2.18 del Decreto 1082 de 2015, adicionado por el Decreto 1860 de 2021, establece de manera expresa que los criterios diferenciales para Mipymes no rigen en las convocatorias </w:t>
            </w:r>
            <w:r w:rsidRPr="08AA83F8">
              <w:rPr>
                <w:rFonts w:ascii="Verdana" w:eastAsia="Calibri" w:hAnsi="Verdana" w:cs="Arial"/>
                <w:color w:val="000000"/>
                <w:lang w:val="es-MX"/>
              </w:rPr>
              <w:lastRenderedPageBreak/>
              <w:t>limitadas que se adelanten conforme a los artículos 2.2.1.2.4.2.2 y 2.2.1.2.4.2.3 del mismo decreto</w:t>
            </w:r>
            <w:r w:rsidRPr="08AA83F8">
              <w:rPr>
                <w:rStyle w:val="Refdenotaalpie"/>
                <w:rFonts w:ascii="Verdana" w:eastAsia="Calibri" w:hAnsi="Verdana" w:cs="Arial"/>
                <w:color w:val="000000"/>
              </w:rPr>
              <w:footnoteReference w:id="1"/>
            </w:r>
            <w:r w:rsidRPr="08AA83F8">
              <w:rPr>
                <w:rFonts w:ascii="Verdana" w:eastAsia="Calibri" w:hAnsi="Verdana" w:cs="Arial"/>
                <w:color w:val="000000"/>
              </w:rPr>
              <w:t xml:space="preserve">. En ese sentido, la norma excluye de manera clara la aplicación de dichos incentivos en los procesos de selección limitados exclusivamente a Mipymes, lo que evidencia una incompatibilidad normativa entre la aplicación de criterios diferenciales y las convocatorias limitadas a Mipymes. </w:t>
            </w:r>
          </w:p>
          <w:p w14:paraId="7A6DFFE8" w14:textId="77777777" w:rsidR="00CC3BE3" w:rsidRDefault="00CC3BE3" w:rsidP="00C103D3">
            <w:pPr>
              <w:spacing w:before="120" w:line="276" w:lineRule="auto"/>
              <w:ind w:firstLine="709"/>
              <w:jc w:val="both"/>
              <w:rPr>
                <w:rFonts w:ascii="Verdana" w:eastAsia="Calibri" w:hAnsi="Verdana" w:cs="Arial"/>
                <w:bCs/>
                <w:color w:val="000000"/>
              </w:rPr>
            </w:pPr>
            <w:r w:rsidRPr="006C6103">
              <w:rPr>
                <w:rFonts w:ascii="Verdana" w:eastAsia="Calibri" w:hAnsi="Verdana" w:cs="Arial"/>
                <w:bCs/>
                <w:color w:val="000000"/>
              </w:rPr>
              <w:t xml:space="preserve">De hecho, los criterios diferenciales —como la flexibilización de requisitos de experiencia o la asignación de puntajes adicionales— adquieren sentido y alcance en escenarios competitivos donde confluyen </w:t>
            </w:r>
            <w:proofErr w:type="spellStart"/>
            <w:r w:rsidRPr="006C6103">
              <w:rPr>
                <w:rFonts w:ascii="Verdana" w:eastAsia="Calibri" w:hAnsi="Verdana" w:cs="Arial"/>
                <w:bCs/>
                <w:color w:val="000000"/>
              </w:rPr>
              <w:t>Mipyme</w:t>
            </w:r>
            <w:r>
              <w:rPr>
                <w:rFonts w:ascii="Verdana" w:eastAsia="Calibri" w:hAnsi="Verdana" w:cs="Arial"/>
                <w:bCs/>
                <w:color w:val="000000"/>
              </w:rPr>
              <w:t>s</w:t>
            </w:r>
            <w:proofErr w:type="spellEnd"/>
            <w:r w:rsidRPr="006C6103">
              <w:rPr>
                <w:rFonts w:ascii="Verdana" w:eastAsia="Calibri" w:hAnsi="Verdana" w:cs="Arial"/>
                <w:bCs/>
                <w:color w:val="000000"/>
              </w:rPr>
              <w:t xml:space="preserve"> y grandes empresas</w:t>
            </w:r>
            <w:r>
              <w:rPr>
                <w:rFonts w:ascii="Verdana" w:eastAsia="Calibri" w:hAnsi="Verdana" w:cs="Arial"/>
                <w:bCs/>
                <w:color w:val="000000"/>
              </w:rPr>
              <w:t>; e</w:t>
            </w:r>
            <w:r w:rsidRPr="006C6103">
              <w:rPr>
                <w:rFonts w:ascii="Verdana" w:eastAsia="Calibri" w:hAnsi="Verdana" w:cs="Arial"/>
                <w:bCs/>
                <w:color w:val="000000"/>
              </w:rPr>
              <w:t>s en ese contexto donde se justifica su aplicación para equilibrar las condiciones de participación</w:t>
            </w:r>
            <w:r>
              <w:rPr>
                <w:rFonts w:ascii="Verdana" w:eastAsia="Calibri" w:hAnsi="Verdana" w:cs="Arial"/>
                <w:bCs/>
                <w:color w:val="000000"/>
              </w:rPr>
              <w:t xml:space="preserve"> en los procesos de selección</w:t>
            </w:r>
            <w:r w:rsidRPr="006C6103">
              <w:rPr>
                <w:rFonts w:ascii="Verdana" w:eastAsia="Calibri" w:hAnsi="Verdana" w:cs="Arial"/>
                <w:bCs/>
                <w:color w:val="000000"/>
              </w:rPr>
              <w:t>. En contraste, aplicar diferenciación en procesos donde todos los proponentes ostentan la misma calidad empresarial resulta innecesario</w:t>
            </w:r>
            <w:r>
              <w:rPr>
                <w:rFonts w:ascii="Verdana" w:eastAsia="Calibri" w:hAnsi="Verdana" w:cs="Arial"/>
                <w:bCs/>
                <w:color w:val="000000"/>
              </w:rPr>
              <w:t xml:space="preserve"> ya que</w:t>
            </w:r>
            <w:r w:rsidRPr="0045599E">
              <w:rPr>
                <w:rFonts w:ascii="Verdana" w:eastAsia="Calibri" w:hAnsi="Verdana" w:cs="Arial"/>
                <w:bCs/>
                <w:color w:val="000000"/>
              </w:rPr>
              <w:t xml:space="preserve"> al participar únicamente empresas con calidad de </w:t>
            </w:r>
            <w:proofErr w:type="spellStart"/>
            <w:r w:rsidRPr="005919C4">
              <w:rPr>
                <w:rFonts w:ascii="Verdana" w:eastAsia="Calibri" w:hAnsi="Verdana" w:cs="Arial"/>
                <w:bCs/>
                <w:color w:val="000000"/>
              </w:rPr>
              <w:t>Mipyme</w:t>
            </w:r>
            <w:r>
              <w:rPr>
                <w:rFonts w:ascii="Verdana" w:eastAsia="Calibri" w:hAnsi="Verdana" w:cs="Arial"/>
                <w:bCs/>
                <w:color w:val="000000"/>
              </w:rPr>
              <w:t>s</w:t>
            </w:r>
            <w:proofErr w:type="spellEnd"/>
            <w:r w:rsidRPr="0045599E">
              <w:rPr>
                <w:rFonts w:ascii="Verdana" w:eastAsia="Calibri" w:hAnsi="Verdana" w:cs="Arial"/>
                <w:bCs/>
                <w:color w:val="000000"/>
              </w:rPr>
              <w:t>,</w:t>
            </w:r>
            <w:r>
              <w:rPr>
                <w:rFonts w:ascii="Verdana" w:eastAsia="Calibri" w:hAnsi="Verdana" w:cs="Arial"/>
                <w:bCs/>
                <w:color w:val="000000"/>
              </w:rPr>
              <w:t xml:space="preserve"> </w:t>
            </w:r>
            <w:r w:rsidRPr="0045599E">
              <w:rPr>
                <w:rFonts w:ascii="Verdana" w:eastAsia="Calibri" w:hAnsi="Verdana" w:cs="Arial"/>
                <w:bCs/>
                <w:color w:val="000000"/>
              </w:rPr>
              <w:t xml:space="preserve">el incentivo pierde eficacia como </w:t>
            </w:r>
            <w:r>
              <w:rPr>
                <w:rFonts w:ascii="Verdana" w:eastAsia="Calibri" w:hAnsi="Verdana" w:cs="Arial"/>
                <w:bCs/>
                <w:color w:val="000000"/>
              </w:rPr>
              <w:t>instrumento de discriminación positiva</w:t>
            </w:r>
            <w:r w:rsidRPr="0045599E">
              <w:rPr>
                <w:rFonts w:ascii="Verdana" w:eastAsia="Calibri" w:hAnsi="Verdana" w:cs="Arial"/>
                <w:bCs/>
                <w:color w:val="000000"/>
              </w:rPr>
              <w:t xml:space="preserve"> frente a oferentes de mayor capacidad</w:t>
            </w:r>
            <w:r>
              <w:rPr>
                <w:rFonts w:ascii="Verdana" w:eastAsia="Calibri" w:hAnsi="Verdana" w:cs="Arial"/>
                <w:bCs/>
                <w:color w:val="000000"/>
              </w:rPr>
              <w:t xml:space="preserve"> como ocurre con las grandes empresas</w:t>
            </w:r>
            <w:r w:rsidRPr="0045599E">
              <w:rPr>
                <w:rFonts w:ascii="Verdana" w:eastAsia="Calibri" w:hAnsi="Verdana" w:cs="Arial"/>
                <w:bCs/>
                <w:color w:val="000000"/>
              </w:rPr>
              <w:t xml:space="preserve">, desvirtuando </w:t>
            </w:r>
            <w:r>
              <w:rPr>
                <w:rFonts w:ascii="Verdana" w:eastAsia="Calibri" w:hAnsi="Verdana" w:cs="Arial"/>
                <w:bCs/>
                <w:color w:val="000000"/>
              </w:rPr>
              <w:t>el</w:t>
            </w:r>
            <w:r w:rsidRPr="0045599E">
              <w:rPr>
                <w:rFonts w:ascii="Verdana" w:eastAsia="Calibri" w:hAnsi="Verdana" w:cs="Arial"/>
                <w:bCs/>
                <w:color w:val="000000"/>
              </w:rPr>
              <w:t xml:space="preserve"> propósito </w:t>
            </w:r>
            <w:r>
              <w:rPr>
                <w:rFonts w:ascii="Verdana" w:eastAsia="Calibri" w:hAnsi="Verdana" w:cs="Arial"/>
                <w:bCs/>
                <w:color w:val="000000"/>
              </w:rPr>
              <w:t xml:space="preserve">de </w:t>
            </w:r>
            <w:r w:rsidRPr="00F03F1F">
              <w:rPr>
                <w:rFonts w:ascii="Verdana" w:eastAsia="Calibri" w:hAnsi="Verdana" w:cs="Arial"/>
                <w:bCs/>
                <w:color w:val="000000"/>
              </w:rPr>
              <w:t xml:space="preserve">promover el acceso a las </w:t>
            </w:r>
            <w:proofErr w:type="spellStart"/>
            <w:r w:rsidRPr="00F03F1F">
              <w:rPr>
                <w:rFonts w:ascii="Verdana" w:eastAsia="Calibri" w:hAnsi="Verdana" w:cs="Arial"/>
                <w:bCs/>
                <w:color w:val="000000"/>
              </w:rPr>
              <w:t>Mipyme</w:t>
            </w:r>
            <w:proofErr w:type="spellEnd"/>
            <w:r w:rsidRPr="00F03F1F">
              <w:rPr>
                <w:rFonts w:ascii="Verdana" w:eastAsia="Calibri" w:hAnsi="Verdana" w:cs="Arial"/>
                <w:bCs/>
                <w:color w:val="000000"/>
              </w:rPr>
              <w:t xml:space="preserve"> al mercado de Compras Públicas </w:t>
            </w:r>
            <w:r>
              <w:rPr>
                <w:rFonts w:ascii="Verdana" w:eastAsia="Calibri" w:hAnsi="Verdana" w:cs="Arial"/>
                <w:bCs/>
                <w:color w:val="000000"/>
              </w:rPr>
              <w:t>de la norma</w:t>
            </w:r>
            <w:r w:rsidRPr="0045599E">
              <w:rPr>
                <w:rFonts w:ascii="Verdana" w:eastAsia="Calibri" w:hAnsi="Verdana" w:cs="Arial"/>
                <w:bCs/>
                <w:color w:val="000000"/>
              </w:rPr>
              <w:t>.</w:t>
            </w:r>
          </w:p>
          <w:p w14:paraId="68FF508E" w14:textId="12A8A4DC" w:rsidR="00CC3BE3" w:rsidRPr="002973E9" w:rsidRDefault="00CC3BE3" w:rsidP="00C103D3">
            <w:pPr>
              <w:spacing w:before="120" w:line="276" w:lineRule="auto"/>
              <w:ind w:firstLine="709"/>
              <w:jc w:val="both"/>
              <w:rPr>
                <w:rFonts w:ascii="Verdana" w:eastAsia="Calibri" w:hAnsi="Verdana" w:cs="Arial"/>
                <w:lang w:val="es-ES"/>
              </w:rPr>
            </w:pPr>
            <w:r w:rsidRPr="08AA83F8">
              <w:rPr>
                <w:rFonts w:ascii="Verdana" w:eastAsia="Calibri" w:hAnsi="Verdana" w:cs="Arial"/>
                <w:color w:val="000000" w:themeColor="text1"/>
              </w:rPr>
              <w:t>En consecuencia, la exclusión contenida en el parágrafo 3 de la señalada norma debe entenderse como una incompatibilidad normativa entre</w:t>
            </w:r>
            <w:r w:rsidR="00EC50C0" w:rsidRPr="08AA83F8">
              <w:rPr>
                <w:rFonts w:ascii="Verdana" w:eastAsia="Calibri" w:hAnsi="Verdana" w:cs="Arial"/>
                <w:color w:val="000000" w:themeColor="text1"/>
              </w:rPr>
              <w:t xml:space="preserve"> la aplicación de</w:t>
            </w:r>
            <w:r w:rsidRPr="08AA83F8">
              <w:rPr>
                <w:rFonts w:ascii="Verdana" w:eastAsia="Calibri" w:hAnsi="Verdana" w:cs="Arial"/>
                <w:color w:val="000000" w:themeColor="text1"/>
              </w:rPr>
              <w:t xml:space="preserve"> incentivo</w:t>
            </w:r>
            <w:r w:rsidR="00EC50C0" w:rsidRPr="08AA83F8">
              <w:rPr>
                <w:rFonts w:ascii="Verdana" w:eastAsia="Calibri" w:hAnsi="Verdana" w:cs="Arial"/>
                <w:color w:val="000000" w:themeColor="text1"/>
              </w:rPr>
              <w:t>s</w:t>
            </w:r>
            <w:r w:rsidRPr="08AA83F8">
              <w:rPr>
                <w:rFonts w:ascii="Verdana" w:eastAsia="Calibri" w:hAnsi="Verdana" w:cs="Arial"/>
                <w:color w:val="000000" w:themeColor="text1"/>
              </w:rPr>
              <w:t xml:space="preserve"> de criterios diferenciales y los procesos limitados a Mipymes. En estos casos, no procede aplicar condiciones habilitantes diferenciadas, y las entidades deben evaluar las ofertas conforme los requisitos habilitantes señalados en el pliego de condiciones</w:t>
            </w:r>
            <w:r w:rsidR="00CC45EC">
              <w:rPr>
                <w:rFonts w:ascii="Verdana" w:eastAsia="Calibri" w:hAnsi="Verdana" w:cs="Arial"/>
                <w:color w:val="000000" w:themeColor="text1"/>
              </w:rPr>
              <w:t>.</w:t>
            </w:r>
            <w:r w:rsidRPr="08AA83F8">
              <w:rPr>
                <w:rFonts w:ascii="Verdana" w:eastAsia="Calibri" w:hAnsi="Verdana" w:cs="Arial"/>
                <w:color w:val="000000" w:themeColor="text1"/>
              </w:rPr>
              <w:t xml:space="preserve"> .</w:t>
            </w:r>
          </w:p>
        </w:tc>
      </w:tr>
    </w:tbl>
    <w:p w14:paraId="271FA690" w14:textId="77777777" w:rsidR="00CC3BE3" w:rsidRDefault="00CC3BE3" w:rsidP="00CC3BE3">
      <w:pPr>
        <w:tabs>
          <w:tab w:val="left" w:pos="142"/>
          <w:tab w:val="left" w:pos="284"/>
        </w:tabs>
        <w:spacing w:after="0" w:line="276" w:lineRule="auto"/>
        <w:jc w:val="both"/>
        <w:rPr>
          <w:rFonts w:ascii="Verdana" w:eastAsia="Century Gothic" w:hAnsi="Verdana" w:cs="Century Gothic"/>
          <w:b/>
          <w:bCs/>
          <w:lang w:val="es-ES"/>
        </w:rPr>
      </w:pPr>
    </w:p>
    <w:p w14:paraId="0445ACDF" w14:textId="77777777" w:rsidR="00CC3BE3" w:rsidRPr="00593A5F" w:rsidRDefault="00CC3BE3" w:rsidP="00CC3B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005903A" w14:textId="77777777" w:rsidR="00CC3BE3" w:rsidRPr="00593A5F" w:rsidRDefault="00CC3BE3" w:rsidP="00CC3BE3">
      <w:pPr>
        <w:spacing w:after="0" w:line="276" w:lineRule="auto"/>
        <w:jc w:val="both"/>
        <w:rPr>
          <w:rFonts w:ascii="Verdana" w:eastAsia="Calibri" w:hAnsi="Verdana" w:cs="Arial"/>
          <w:color w:val="7030A0"/>
          <w:lang w:val="es-ES"/>
        </w:rPr>
      </w:pPr>
    </w:p>
    <w:p w14:paraId="707AB0CC" w14:textId="77777777" w:rsidR="00CC3BE3" w:rsidRDefault="00CC3BE3" w:rsidP="00CC3BE3">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2DDD7700" w14:textId="77777777" w:rsidR="00CC3BE3" w:rsidRDefault="00CC3BE3" w:rsidP="00CC3BE3">
      <w:pPr>
        <w:spacing w:after="0" w:line="276" w:lineRule="auto"/>
        <w:jc w:val="both"/>
        <w:rPr>
          <w:rFonts w:ascii="Verdana" w:eastAsia="Calibri" w:hAnsi="Verdana" w:cs="Arial"/>
          <w:lang w:val="es-ES"/>
        </w:rPr>
      </w:pPr>
    </w:p>
    <w:p w14:paraId="242B0A34" w14:textId="77777777" w:rsidR="00CC3BE3" w:rsidRPr="0042517A" w:rsidRDefault="00CC3BE3" w:rsidP="00CC3BE3">
      <w:pPr>
        <w:tabs>
          <w:tab w:val="left" w:pos="709"/>
        </w:tabs>
        <w:spacing w:after="120" w:line="276" w:lineRule="auto"/>
        <w:ind w:firstLine="709"/>
        <w:jc w:val="both"/>
        <w:rPr>
          <w:rFonts w:ascii="Verdana" w:eastAsia="Calibri" w:hAnsi="Verdana" w:cs="Arial"/>
          <w:lang w:val="es-ES_tradnl"/>
        </w:rPr>
      </w:pPr>
      <w:r w:rsidRPr="0042517A">
        <w:rPr>
          <w:rFonts w:ascii="Verdana" w:eastAsia="Calibri" w:hAnsi="Verdana" w:cs="Arial"/>
          <w:lang w:val="es-ES_tradnl"/>
        </w:rPr>
        <w:lastRenderedPageBreak/>
        <w:t>El 31 de diciembre de 2020 se promulgó la Ley 2069, “Por medio de la cual se impulsa el emprendimiento en Colombia”. Esta Ley</w:t>
      </w:r>
      <w:r w:rsidRPr="00621427">
        <w:rPr>
          <w:rFonts w:ascii="Verdana" w:hAnsi="Verdana"/>
        </w:rPr>
        <w:t xml:space="preserve"> establece un marco regulatorio que propicia el emprendimiento, crecimiento, consolidación y sostenibilidad de las empresas, con el fin de aumentar el bienestar social y generar equidad.</w:t>
      </w:r>
    </w:p>
    <w:p w14:paraId="22332025" w14:textId="77777777" w:rsidR="00CC3BE3" w:rsidRDefault="00CC3BE3" w:rsidP="00CC3BE3">
      <w:pPr>
        <w:tabs>
          <w:tab w:val="left" w:pos="709"/>
        </w:tabs>
        <w:spacing w:after="120" w:line="276" w:lineRule="auto"/>
        <w:ind w:firstLine="709"/>
        <w:jc w:val="both"/>
        <w:rPr>
          <w:rFonts w:ascii="Verdana" w:hAnsi="Verdana"/>
        </w:rPr>
      </w:pPr>
      <w:r w:rsidRPr="007E605C">
        <w:rPr>
          <w:rFonts w:ascii="Verdana" w:hAnsi="Verdana"/>
        </w:rPr>
        <w:t>En ese contexto, la referida Ley incorpora una serie de estímulos e incentivos. En especial, en su Capítulo III “Compras públicas” del Título I</w:t>
      </w:r>
      <w:r w:rsidRPr="007E605C" w:rsidDel="0094280A">
        <w:rPr>
          <w:rFonts w:ascii="Verdana" w:hAnsi="Verdana"/>
        </w:rPr>
        <w:t xml:space="preserve"> </w:t>
      </w:r>
      <w:r w:rsidRPr="007E605C">
        <w:rPr>
          <w:rFonts w:ascii="Verdana" w:hAnsi="Verdana"/>
        </w:rPr>
        <w:t xml:space="preserve">se modifican varias disposiciones que regían el sistema de compra y contratación pública, las cuales tienen un impacto en distintas normas legales y reglamentarias. </w:t>
      </w:r>
    </w:p>
    <w:p w14:paraId="1E64E836" w14:textId="77777777" w:rsidR="00CC3BE3" w:rsidRPr="007E605C" w:rsidRDefault="00CC3BE3" w:rsidP="00CC3BE3">
      <w:pPr>
        <w:tabs>
          <w:tab w:val="left" w:pos="709"/>
        </w:tabs>
        <w:spacing w:after="120" w:line="276" w:lineRule="auto"/>
        <w:ind w:firstLine="709"/>
        <w:jc w:val="both"/>
        <w:rPr>
          <w:rFonts w:ascii="Verdana" w:eastAsia="Calibri" w:hAnsi="Verdana" w:cs="Arial"/>
          <w:bCs/>
        </w:rPr>
      </w:pPr>
      <w:r w:rsidRPr="007E605C">
        <w:rPr>
          <w:rFonts w:ascii="Verdana" w:eastAsia="Calibri" w:hAnsi="Verdana" w:cs="Arial"/>
          <w:bCs/>
        </w:rPr>
        <w:t xml:space="preserve">Dentro del referido capítulo se encuentran los artículos 31 y 32 de la Ley 2069 de 2020, los cuales crean una serie de incentivos para las personas interesadas en celebrar contratos con el Estado. Por un lado, </w:t>
      </w:r>
      <w:r w:rsidRPr="007E605C">
        <w:rPr>
          <w:rFonts w:ascii="Verdana" w:eastAsia="Calibri" w:hAnsi="Verdana" w:cs="Arial"/>
          <w:bCs/>
          <w:lang w:val="es-ES_tradnl"/>
        </w:rPr>
        <w:t xml:space="preserve">el artículo 31 </w:t>
      </w:r>
      <w:r w:rsidRPr="007E605C">
        <w:rPr>
          <w:rFonts w:ascii="Verdana" w:eastAsia="Calibri" w:hAnsi="Verdana" w:cs="Arial"/>
          <w:bCs/>
        </w:rPr>
        <w:t xml:space="preserve">introduce criterios diferenciales para el acceso de las </w:t>
      </w:r>
      <w:proofErr w:type="spellStart"/>
      <w:r w:rsidRPr="007E605C">
        <w:rPr>
          <w:rFonts w:ascii="Verdana" w:eastAsia="Calibri" w:hAnsi="Verdana" w:cs="Arial"/>
          <w:bCs/>
        </w:rPr>
        <w:t>Mipyme</w:t>
      </w:r>
      <w:r>
        <w:rPr>
          <w:rFonts w:ascii="Verdana" w:eastAsia="Calibri" w:hAnsi="Verdana" w:cs="Arial"/>
          <w:bCs/>
        </w:rPr>
        <w:t>s</w:t>
      </w:r>
      <w:proofErr w:type="spellEnd"/>
      <w:r w:rsidRPr="007E605C">
        <w:rPr>
          <w:rFonts w:ascii="Verdana" w:eastAsia="Calibri" w:hAnsi="Verdana" w:cs="Arial"/>
          <w:bCs/>
        </w:rPr>
        <w:t xml:space="preserve"> al sistema de compras y contratación pública, mientras que el artículo 32 introduce criterios diferenciales en favor de los emprendimientos y empresas de mujeres</w:t>
      </w:r>
      <w:r>
        <w:rPr>
          <w:rFonts w:ascii="Verdana" w:eastAsia="Calibri" w:hAnsi="Verdana" w:cs="Arial"/>
          <w:bCs/>
        </w:rPr>
        <w:t xml:space="preserve">. Teniendo en cuenta el problema jurídico, abordaremos los relacionado con el artículo 31 de la ley 2069 de 2020, a continuación, se procede a analizar la disposición y su respectiva reglamentación. </w:t>
      </w:r>
    </w:p>
    <w:p w14:paraId="202D1F02" w14:textId="77777777" w:rsidR="00CC3BE3" w:rsidRPr="0040650F" w:rsidRDefault="00CC3BE3" w:rsidP="00CC3BE3">
      <w:pPr>
        <w:spacing w:after="120" w:line="276" w:lineRule="auto"/>
        <w:ind w:firstLine="709"/>
        <w:jc w:val="both"/>
        <w:rPr>
          <w:rFonts w:ascii="Verdana" w:hAnsi="Verdana"/>
        </w:rPr>
      </w:pPr>
      <w:r>
        <w:rPr>
          <w:rFonts w:ascii="Verdana" w:hAnsi="Verdana" w:cs="Arial"/>
          <w:color w:val="000000" w:themeColor="text1"/>
        </w:rPr>
        <w:t>En primer lugar, r</w:t>
      </w:r>
      <w:r w:rsidRPr="00271797">
        <w:rPr>
          <w:rFonts w:ascii="Verdana" w:hAnsi="Verdana" w:cs="Arial"/>
          <w:color w:val="000000" w:themeColor="text1"/>
        </w:rPr>
        <w:t xml:space="preserve">especto de los criterios diferenciales para </w:t>
      </w:r>
      <w:proofErr w:type="spellStart"/>
      <w:r w:rsidRPr="00271797">
        <w:rPr>
          <w:rFonts w:ascii="Verdana" w:hAnsi="Verdana" w:cs="Arial"/>
          <w:color w:val="000000" w:themeColor="text1"/>
        </w:rPr>
        <w:t>Mipyme</w:t>
      </w:r>
      <w:proofErr w:type="spellEnd"/>
      <w:r w:rsidRPr="00271797">
        <w:rPr>
          <w:rFonts w:ascii="Verdana" w:hAnsi="Verdana" w:cs="Arial"/>
          <w:color w:val="000000" w:themeColor="text1"/>
        </w:rPr>
        <w:t>,</w:t>
      </w:r>
      <w:r>
        <w:rPr>
          <w:rFonts w:ascii="Verdana" w:hAnsi="Verdana" w:cs="Arial"/>
          <w:color w:val="000000" w:themeColor="text1"/>
        </w:rPr>
        <w:t xml:space="preserve"> </w:t>
      </w:r>
      <w:r w:rsidRPr="0040650F">
        <w:rPr>
          <w:rFonts w:ascii="Verdana" w:hAnsi="Verdana"/>
        </w:rPr>
        <w:t>el artículo 31 de la Ley 2069 de 2020 estableció que las entidades estatales</w:t>
      </w:r>
      <w:r>
        <w:rPr>
          <w:rFonts w:ascii="Verdana" w:hAnsi="Verdana"/>
        </w:rPr>
        <w:t>,</w:t>
      </w:r>
      <w:r w:rsidRPr="0040650F">
        <w:rPr>
          <w:rFonts w:ascii="Verdana" w:hAnsi="Verdana"/>
        </w:rPr>
        <w:t xml:space="preserve"> de acuerdo con el análisis del sector</w:t>
      </w:r>
      <w:r>
        <w:rPr>
          <w:rFonts w:ascii="Verdana" w:hAnsi="Verdana"/>
        </w:rPr>
        <w:t>,</w:t>
      </w:r>
      <w:r w:rsidRPr="0040650F">
        <w:rPr>
          <w:rFonts w:ascii="Verdana" w:hAnsi="Verdana"/>
        </w:rPr>
        <w:t xml:space="preserve"> </w:t>
      </w:r>
      <w:r w:rsidRPr="007E605C">
        <w:rPr>
          <w:rFonts w:ascii="Verdana" w:hAnsi="Verdana"/>
          <w:i/>
          <w:iCs/>
        </w:rPr>
        <w:t>podrán</w:t>
      </w:r>
      <w:r>
        <w:rPr>
          <w:rFonts w:ascii="Verdana" w:hAnsi="Verdana"/>
        </w:rPr>
        <w:t xml:space="preserve"> incluir</w:t>
      </w:r>
      <w:r w:rsidRPr="0040650F">
        <w:rPr>
          <w:rFonts w:ascii="Verdana" w:hAnsi="Verdana"/>
        </w:rPr>
        <w:t xml:space="preserve"> requisitos diferenciales y puntajes adicionales </w:t>
      </w:r>
      <w:r>
        <w:rPr>
          <w:rFonts w:ascii="Verdana" w:hAnsi="Verdana"/>
        </w:rPr>
        <w:t xml:space="preserve">en </w:t>
      </w:r>
      <w:r w:rsidRPr="0040650F">
        <w:rPr>
          <w:rFonts w:ascii="Verdana" w:hAnsi="Verdana"/>
        </w:rPr>
        <w:t xml:space="preserve">función del tamaño empresarial para la promoción del acceso de </w:t>
      </w:r>
      <w:r>
        <w:rPr>
          <w:rFonts w:ascii="Verdana" w:hAnsi="Verdana"/>
        </w:rPr>
        <w:t>este tipo de empresas</w:t>
      </w:r>
      <w:r w:rsidRPr="0040650F">
        <w:rPr>
          <w:rFonts w:ascii="Verdana" w:hAnsi="Verdana"/>
        </w:rPr>
        <w:t xml:space="preserve"> al mercado de compras públicas. La aplicación de estos criterios, por disposición expresa del referido artículo, quedó condicionada por la expedición de su reglamentación. </w:t>
      </w:r>
    </w:p>
    <w:p w14:paraId="7E0B5CD3" w14:textId="77777777" w:rsidR="00CC3BE3" w:rsidRDefault="00CC3BE3" w:rsidP="00CC3BE3">
      <w:pPr>
        <w:spacing w:after="120" w:line="276" w:lineRule="auto"/>
        <w:ind w:firstLine="709"/>
        <w:jc w:val="both"/>
        <w:rPr>
          <w:rFonts w:ascii="Verdana" w:eastAsia="Times New Roman" w:hAnsi="Verdana" w:cs="Arial"/>
          <w:lang w:eastAsia="es-MX"/>
        </w:rPr>
      </w:pPr>
      <w:r w:rsidRPr="0040650F">
        <w:rPr>
          <w:rFonts w:ascii="Verdana" w:hAnsi="Verdana"/>
        </w:rPr>
        <w:t xml:space="preserve"> </w:t>
      </w:r>
      <w:r>
        <w:rPr>
          <w:rFonts w:ascii="Verdana" w:hAnsi="Verdana"/>
        </w:rPr>
        <w:t>Por esta razón, e</w:t>
      </w:r>
      <w:r w:rsidRPr="0040650F">
        <w:rPr>
          <w:rFonts w:ascii="Verdana" w:eastAsia="Times New Roman" w:hAnsi="Verdana" w:cs="Arial"/>
          <w:color w:val="000000" w:themeColor="text1"/>
          <w:lang w:eastAsia="es-MX"/>
        </w:rPr>
        <w:t xml:space="preserve">l artículo 3 del Decreto 1860 de 2021, adicionó </w:t>
      </w:r>
      <w:r w:rsidRPr="0040650F">
        <w:rPr>
          <w:rFonts w:ascii="Verdana" w:eastAsia="Times New Roman" w:hAnsi="Verdana" w:cs="Arial"/>
          <w:bCs/>
          <w:color w:val="000000" w:themeColor="text1"/>
          <w:lang w:eastAsia="es-MX"/>
        </w:rPr>
        <w:t xml:space="preserve">el artículo 2.2.1.2.4.2.18 al </w:t>
      </w:r>
      <w:r w:rsidRPr="0040650F">
        <w:rPr>
          <w:rFonts w:ascii="Verdana" w:eastAsia="Times New Roman" w:hAnsi="Verdana" w:cs="Arial"/>
          <w:lang w:eastAsia="es-MX"/>
        </w:rPr>
        <w:t>Decreto 1082 de 2015</w:t>
      </w:r>
      <w:r>
        <w:rPr>
          <w:rFonts w:ascii="Verdana" w:eastAsia="Times New Roman" w:hAnsi="Verdana" w:cs="Arial"/>
          <w:lang w:eastAsia="es-MX"/>
        </w:rPr>
        <w:t>,</w:t>
      </w:r>
      <w:r w:rsidRPr="0040650F">
        <w:rPr>
          <w:rFonts w:ascii="Verdana" w:eastAsia="Times New Roman" w:hAnsi="Verdana" w:cs="Arial"/>
          <w:lang w:eastAsia="es-MX"/>
        </w:rPr>
        <w:t xml:space="preserve"> regulando los criterios diferenciales para MiPyme</w:t>
      </w:r>
      <w:r>
        <w:rPr>
          <w:rFonts w:ascii="Verdana" w:eastAsia="Times New Roman" w:hAnsi="Verdana" w:cs="Arial"/>
          <w:lang w:eastAsia="es-MX"/>
        </w:rPr>
        <w:t>s</w:t>
      </w:r>
      <w:r w:rsidRPr="0040650F">
        <w:rPr>
          <w:rFonts w:ascii="Verdana" w:eastAsia="Times New Roman" w:hAnsi="Verdana" w:cs="Arial"/>
          <w:lang w:eastAsia="es-MX"/>
        </w:rPr>
        <w:t xml:space="preserve"> establecidos por el artículo 31 de la Ley 2069 de 2020. En virtud de esta norma las entidades estatales</w:t>
      </w:r>
      <w:r>
        <w:rPr>
          <w:rFonts w:ascii="Verdana" w:eastAsia="Times New Roman" w:hAnsi="Verdana" w:cs="Arial"/>
          <w:lang w:eastAsia="es-MX"/>
        </w:rPr>
        <w:t>,</w:t>
      </w:r>
      <w:r w:rsidRPr="0040650F">
        <w:rPr>
          <w:rFonts w:ascii="Verdana" w:eastAsia="Times New Roman" w:hAnsi="Verdana" w:cs="Arial"/>
          <w:lang w:eastAsia="es-MX"/>
        </w:rPr>
        <w:t xml:space="preserve"> indistintamente de su régimen de contratación, los patrimonios autónomos constituidos por entidades estatales y los particulares que ejecuten recursos públicos establecerán condiciones habilitantes diferenciales que promuevan y faciliten la participación en los </w:t>
      </w:r>
      <w:r w:rsidRPr="0040650F">
        <w:rPr>
          <w:rFonts w:ascii="Verdana" w:eastAsia="Times New Roman" w:hAnsi="Verdana" w:cs="Arial"/>
          <w:lang w:eastAsia="es-MX"/>
        </w:rPr>
        <w:lastRenderedPageBreak/>
        <w:t xml:space="preserve">procedimientos de selección competitivos de las </w:t>
      </w:r>
      <w:proofErr w:type="spellStart"/>
      <w:r w:rsidRPr="0040650F">
        <w:rPr>
          <w:rFonts w:ascii="Verdana" w:eastAsia="Times New Roman" w:hAnsi="Verdana" w:cs="Arial"/>
          <w:lang w:eastAsia="es-MX"/>
        </w:rPr>
        <w:t>Mipyme</w:t>
      </w:r>
      <w:proofErr w:type="spellEnd"/>
      <w:r w:rsidRPr="0040650F">
        <w:rPr>
          <w:rFonts w:ascii="Verdana" w:eastAsia="Times New Roman" w:hAnsi="Verdana" w:cs="Arial"/>
          <w:lang w:eastAsia="es-MX"/>
        </w:rPr>
        <w:t xml:space="preserve"> domiciliadas en Colombia. </w:t>
      </w:r>
    </w:p>
    <w:p w14:paraId="14F50756" w14:textId="77777777" w:rsidR="00CC3BE3" w:rsidRDefault="00CC3BE3" w:rsidP="00CC3BE3">
      <w:pPr>
        <w:spacing w:after="0" w:line="276" w:lineRule="auto"/>
        <w:jc w:val="both"/>
        <w:rPr>
          <w:rFonts w:ascii="Verdana" w:eastAsia="Times New Roman" w:hAnsi="Verdana" w:cs="Arial"/>
          <w:lang w:eastAsia="es-MX"/>
        </w:rPr>
      </w:pPr>
      <w:r w:rsidRPr="005D4133">
        <w:rPr>
          <w:rFonts w:ascii="Verdana" w:eastAsia="Times New Roman" w:hAnsi="Verdana" w:cs="Arial"/>
          <w:lang w:eastAsia="es-MX"/>
        </w:rPr>
        <w:t xml:space="preserve">La </w:t>
      </w:r>
      <w:r>
        <w:rPr>
          <w:rFonts w:ascii="Verdana" w:eastAsia="Times New Roman" w:hAnsi="Verdana" w:cs="Arial"/>
          <w:lang w:eastAsia="es-MX"/>
        </w:rPr>
        <w:t xml:space="preserve">referida </w:t>
      </w:r>
      <w:r w:rsidRPr="005D4133">
        <w:rPr>
          <w:rFonts w:ascii="Verdana" w:eastAsia="Times New Roman" w:hAnsi="Verdana" w:cs="Arial"/>
          <w:lang w:eastAsia="es-MX"/>
        </w:rPr>
        <w:t>norma indica lo siguien</w:t>
      </w:r>
      <w:r>
        <w:rPr>
          <w:rFonts w:ascii="Verdana" w:eastAsia="Times New Roman" w:hAnsi="Verdana" w:cs="Arial"/>
          <w:lang w:eastAsia="es-MX"/>
        </w:rPr>
        <w:t xml:space="preserve">te: </w:t>
      </w:r>
    </w:p>
    <w:p w14:paraId="17272B50" w14:textId="77777777" w:rsidR="00CC3BE3" w:rsidRPr="00311EC7" w:rsidRDefault="00CC3BE3" w:rsidP="00CC3BE3">
      <w:pPr>
        <w:spacing w:after="0" w:line="276" w:lineRule="auto"/>
        <w:jc w:val="both"/>
        <w:rPr>
          <w:rFonts w:ascii="Verdana" w:eastAsia="Times New Roman" w:hAnsi="Verdana" w:cs="Arial"/>
          <w:lang w:eastAsia="es-MX"/>
        </w:rPr>
      </w:pPr>
    </w:p>
    <w:p w14:paraId="54B550F6"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Pr>
          <w:rFonts w:ascii="Verdana" w:eastAsia="Times New Roman" w:hAnsi="Verdana" w:cs="Arial"/>
          <w:b/>
          <w:bCs/>
          <w:sz w:val="20"/>
          <w:szCs w:val="20"/>
          <w:lang w:eastAsia="es-MX"/>
        </w:rPr>
        <w:t>“C</w:t>
      </w:r>
      <w:r w:rsidRPr="005D4133">
        <w:rPr>
          <w:rFonts w:ascii="Verdana" w:eastAsia="Times New Roman" w:hAnsi="Verdana" w:cs="Arial"/>
          <w:b/>
          <w:bCs/>
          <w:sz w:val="20"/>
          <w:szCs w:val="20"/>
          <w:lang w:eastAsia="es-MX"/>
        </w:rPr>
        <w:t xml:space="preserve">riterios diferenciales para </w:t>
      </w:r>
      <w:proofErr w:type="spellStart"/>
      <w:r w:rsidRPr="005D4133">
        <w:rPr>
          <w:rFonts w:ascii="Verdana" w:eastAsia="Times New Roman" w:hAnsi="Verdana" w:cs="Arial"/>
          <w:b/>
          <w:bCs/>
          <w:sz w:val="20"/>
          <w:szCs w:val="20"/>
          <w:lang w:eastAsia="es-MX"/>
        </w:rPr>
        <w:t>Mipyme</w:t>
      </w:r>
      <w:proofErr w:type="spellEnd"/>
      <w:r w:rsidRPr="005D4133">
        <w:rPr>
          <w:rFonts w:ascii="Verdana" w:eastAsia="Times New Roman" w:hAnsi="Verdana" w:cs="Arial"/>
          <w:b/>
          <w:bCs/>
          <w:sz w:val="20"/>
          <w:szCs w:val="20"/>
          <w:lang w:eastAsia="es-MX"/>
        </w:rPr>
        <w:t xml:space="preserve"> en el sistema de compras públicas.</w:t>
      </w:r>
      <w:r w:rsidRPr="005D4133">
        <w:rPr>
          <w:rFonts w:ascii="Verdana" w:eastAsia="Times New Roman" w:hAnsi="Verdana" w:cs="Arial"/>
          <w:sz w:val="20"/>
          <w:szCs w:val="20"/>
          <w:lang w:eastAsia="es-MX"/>
        </w:rPr>
        <w:t xml:space="preserve"> De acuerdo con el numeral 1 del artículo 12 de la Ley 590 de 2000, </w:t>
      </w:r>
      <w:r w:rsidRPr="00A87348">
        <w:rPr>
          <w:rFonts w:ascii="Verdana" w:eastAsia="Times New Roman" w:hAnsi="Verdana" w:cs="Arial"/>
          <w:i/>
          <w:iCs/>
          <w:sz w:val="20"/>
          <w:szCs w:val="20"/>
          <w:lang w:eastAsia="es-MX"/>
        </w:rPr>
        <w:t xml:space="preserve">según los resultados del análisis del sector,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A87348">
        <w:rPr>
          <w:rFonts w:ascii="Verdana" w:eastAsia="Times New Roman" w:hAnsi="Verdana" w:cs="Arial"/>
          <w:i/>
          <w:iCs/>
          <w:sz w:val="20"/>
          <w:szCs w:val="20"/>
          <w:lang w:eastAsia="es-MX"/>
        </w:rPr>
        <w:t>Mipyme</w:t>
      </w:r>
      <w:proofErr w:type="spellEnd"/>
      <w:r w:rsidRPr="00A87348">
        <w:rPr>
          <w:rFonts w:ascii="Verdana" w:eastAsia="Times New Roman" w:hAnsi="Verdana" w:cs="Arial"/>
          <w:i/>
          <w:iCs/>
          <w:sz w:val="20"/>
          <w:szCs w:val="20"/>
          <w:lang w:eastAsia="es-MX"/>
        </w:rPr>
        <w:t xml:space="preserve"> domiciliadas en Colombia.</w:t>
      </w:r>
      <w:r w:rsidRPr="005D4133">
        <w:rPr>
          <w:rFonts w:ascii="Verdana" w:eastAsia="Times New Roman" w:hAnsi="Verdana" w:cs="Arial"/>
          <w:sz w:val="20"/>
          <w:szCs w:val="20"/>
          <w:lang w:eastAsia="es-MX"/>
        </w:rPr>
        <w:t xml:space="preserve"> Para el efecto, en función de los criterios de clasificación empresarial, los Documentos del Proceso deberán incorporar requisitos habilitan tes diferencia/es relacionados con alguno o algunos de los siguientes aspectos:</w:t>
      </w:r>
    </w:p>
    <w:p w14:paraId="4AEFD059"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1. Tiempo de experiencia.</w:t>
      </w:r>
    </w:p>
    <w:p w14:paraId="6D18BE25"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2. Número de contratos para la acreditación de la experiencia.</w:t>
      </w:r>
    </w:p>
    <w:p w14:paraId="69438D25"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3. Índices de capacidad financiera.</w:t>
      </w:r>
    </w:p>
    <w:p w14:paraId="5F8AC072"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4. Índices de capacidad organizacional.</w:t>
      </w:r>
    </w:p>
    <w:p w14:paraId="6905C6DA"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t>5. Valor de la garantía de seriedad de /a oferta.</w:t>
      </w:r>
    </w:p>
    <w:p w14:paraId="1DAA998D"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sz w:val="20"/>
          <w:szCs w:val="20"/>
          <w:lang w:eastAsia="es-MX"/>
        </w:rPr>
        <w:br/>
        <w:t xml:space="preserve">Los requisitos mencionados deberán fijarse respetando las condiciones habilitantes requeridas para el cumplimiento adecuado del contrato, teniendo en cuenta el alcance de las obligaciones. En desarrollo de lo anterior, con la finalidad de beneficiar a las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se establecerán condiciones más exigentes respecto a alguno o algunos de los criterios de participación antes enunciados frente a los demás proponentes que concurran al procedimiento de selección que no sean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w:t>
      </w:r>
      <w:r w:rsidRPr="005D4133">
        <w:rPr>
          <w:rFonts w:ascii="Verdana" w:eastAsia="Times New Roman" w:hAnsi="Verdana" w:cs="Arial"/>
          <w:sz w:val="20"/>
          <w:szCs w:val="20"/>
          <w:lang w:eastAsia="es-MX"/>
        </w:rPr>
        <w:br/>
      </w:r>
      <w:r w:rsidRPr="005D4133">
        <w:rPr>
          <w:rFonts w:ascii="Verdana" w:eastAsia="Times New Roman" w:hAnsi="Verdana" w:cs="Arial"/>
          <w:sz w:val="20"/>
          <w:szCs w:val="20"/>
          <w:lang w:eastAsia="es-MX"/>
        </w:rPr>
        <w:br/>
        <w:t xml:space="preserve">Con excepción de los procedimientos de selección abreviada por subasta inversa y de mínima cuantía, las entidades sometidas al Estatuto General de Contratación de la Administración Pública, teniendo en cuenta los criterios de clasificación empresarial, podrán establecer puntajes adicionales para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En ningún caso, estos podrán superar el cero punto veinticinco por ciento (0.25%) del total de los puntos establecidos en el pliego de condiciones.</w:t>
      </w:r>
    </w:p>
    <w:p w14:paraId="34D16F78"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p>
    <w:p w14:paraId="61AE1FBD"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1.</w:t>
      </w:r>
      <w:r w:rsidRPr="005D4133">
        <w:rPr>
          <w:rFonts w:ascii="Verdana" w:eastAsia="Times New Roman" w:hAnsi="Verdana" w:cs="Arial"/>
          <w:sz w:val="20"/>
          <w:szCs w:val="20"/>
          <w:lang w:eastAsia="es-MX"/>
        </w:rPr>
        <w:t xml:space="preserve"> Para los efectos de este artículo, los criterios de clasificación empresarial son los definidos en el artículo 2.2.1.13.2.2 del Decreto 1074 </w:t>
      </w:r>
      <w:r w:rsidRPr="005D4133">
        <w:rPr>
          <w:rFonts w:ascii="Verdana" w:eastAsia="Times New Roman" w:hAnsi="Verdana" w:cs="Arial"/>
          <w:sz w:val="20"/>
          <w:szCs w:val="20"/>
          <w:lang w:eastAsia="es-MX"/>
        </w:rPr>
        <w:lastRenderedPageBreak/>
        <w:t>de 2015, Único Reglamentario del Sector Comercio, Industria y Turismo, o la norma que lo modifique, derogue o sustituya.</w:t>
      </w:r>
    </w:p>
    <w:p w14:paraId="70048AFF"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p>
    <w:p w14:paraId="795543B5"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2.</w:t>
      </w:r>
      <w:r w:rsidRPr="005D4133">
        <w:rPr>
          <w:rFonts w:ascii="Verdana" w:eastAsia="Times New Roman" w:hAnsi="Verdana" w:cs="Arial"/>
          <w:sz w:val="20"/>
          <w:szCs w:val="20"/>
          <w:lang w:eastAsia="es-MX"/>
        </w:rPr>
        <w:t xml:space="preserve"> Tratándose de proponentes plurales, los criterios diferenciales y los puntajes adicionales solo se aplicarán si por lo menos uno de los integrantes acredita la calidad de </w:t>
      </w:r>
      <w:proofErr w:type="spellStart"/>
      <w:r w:rsidRPr="005D4133">
        <w:rPr>
          <w:rFonts w:ascii="Verdana" w:eastAsia="Times New Roman" w:hAnsi="Verdana" w:cs="Arial"/>
          <w:sz w:val="20"/>
          <w:szCs w:val="20"/>
          <w:lang w:eastAsia="es-MX"/>
        </w:rPr>
        <w:t>Mipyme</w:t>
      </w:r>
      <w:proofErr w:type="spellEnd"/>
      <w:r w:rsidRPr="005D4133">
        <w:rPr>
          <w:rFonts w:ascii="Verdana" w:eastAsia="Times New Roman" w:hAnsi="Verdana" w:cs="Arial"/>
          <w:sz w:val="20"/>
          <w:szCs w:val="20"/>
          <w:lang w:eastAsia="es-MX"/>
        </w:rPr>
        <w:t xml:space="preserve"> y tiene una participación igual o superior al diez por ciento (10%) en el consorcio o la unión temporal.</w:t>
      </w:r>
    </w:p>
    <w:p w14:paraId="57136652"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p>
    <w:p w14:paraId="1E494377" w14:textId="77777777" w:rsidR="00CC3BE3" w:rsidRDefault="00CC3BE3" w:rsidP="00CC3BE3">
      <w:pPr>
        <w:spacing w:after="0" w:line="240" w:lineRule="auto"/>
        <w:ind w:left="709" w:right="709"/>
        <w:jc w:val="both"/>
        <w:rPr>
          <w:rFonts w:ascii="Verdana" w:eastAsia="Times New Roman" w:hAnsi="Verdana" w:cs="Arial"/>
          <w:sz w:val="20"/>
          <w:szCs w:val="20"/>
          <w:lang w:eastAsia="es-MX"/>
        </w:rPr>
      </w:pPr>
      <w:r w:rsidRPr="005D4133">
        <w:rPr>
          <w:rFonts w:ascii="Verdana" w:eastAsia="Times New Roman" w:hAnsi="Verdana" w:cs="Arial"/>
          <w:b/>
          <w:bCs/>
          <w:sz w:val="20"/>
          <w:szCs w:val="20"/>
          <w:lang w:eastAsia="es-MX"/>
        </w:rPr>
        <w:t>Parágrafo 3</w:t>
      </w:r>
      <w:r w:rsidRPr="005D4133">
        <w:rPr>
          <w:rFonts w:ascii="Verdana" w:eastAsia="Times New Roman" w:hAnsi="Verdana" w:cs="Arial"/>
          <w:sz w:val="20"/>
          <w:szCs w:val="20"/>
          <w:lang w:eastAsia="es-MX"/>
        </w:rPr>
        <w:t xml:space="preserve">. Lo previsto en esta norma aplica sin perjuicio de lo dispuesto en los Acuerdos Comerciales suscritos por el Estado colombiano, </w:t>
      </w:r>
      <w:r w:rsidRPr="0018417F">
        <w:rPr>
          <w:rFonts w:ascii="Verdana" w:eastAsia="Times New Roman" w:hAnsi="Verdana" w:cs="Arial"/>
          <w:i/>
          <w:iCs/>
          <w:sz w:val="20"/>
          <w:szCs w:val="20"/>
          <w:lang w:eastAsia="es-MX"/>
        </w:rPr>
        <w:t>pero no rige en las convocatorias limitadas que se realicen conforme a los artículos 2.2.1.2.4.2.2 y 2.2.1.2.4.2.3 de este Decreto</w:t>
      </w:r>
      <w:r>
        <w:rPr>
          <w:rFonts w:ascii="Verdana" w:eastAsia="Times New Roman" w:hAnsi="Verdana" w:cs="Arial"/>
          <w:sz w:val="20"/>
          <w:szCs w:val="20"/>
          <w:lang w:eastAsia="es-MX"/>
        </w:rPr>
        <w:t>”</w:t>
      </w:r>
      <w:r w:rsidRPr="005D4133">
        <w:rPr>
          <w:rFonts w:ascii="Verdana" w:eastAsia="Times New Roman" w:hAnsi="Verdana" w:cs="Arial"/>
          <w:sz w:val="20"/>
          <w:szCs w:val="20"/>
          <w:lang w:eastAsia="es-MX"/>
        </w:rPr>
        <w:t>.</w:t>
      </w:r>
      <w:r>
        <w:rPr>
          <w:rFonts w:ascii="Verdana" w:eastAsia="Times New Roman" w:hAnsi="Verdana" w:cs="Arial"/>
          <w:sz w:val="20"/>
          <w:szCs w:val="20"/>
          <w:lang w:eastAsia="es-MX"/>
        </w:rPr>
        <w:t xml:space="preserve"> (Énfasis fuera de texto). </w:t>
      </w:r>
    </w:p>
    <w:p w14:paraId="7BADE061" w14:textId="77777777" w:rsidR="00CC3BE3" w:rsidRDefault="00CC3BE3" w:rsidP="00CC3BE3">
      <w:pPr>
        <w:spacing w:after="0" w:line="276" w:lineRule="auto"/>
        <w:jc w:val="both"/>
        <w:rPr>
          <w:rFonts w:ascii="Verdana" w:eastAsia="Times New Roman" w:hAnsi="Verdana" w:cs="Arial"/>
          <w:lang w:eastAsia="es-MX"/>
        </w:rPr>
      </w:pPr>
      <w:r w:rsidRPr="0040650F">
        <w:rPr>
          <w:rFonts w:ascii="Verdana" w:eastAsia="Times New Roman" w:hAnsi="Verdana" w:cs="Arial"/>
          <w:lang w:eastAsia="es-MX"/>
        </w:rPr>
        <w:t xml:space="preserve"> </w:t>
      </w:r>
    </w:p>
    <w:p w14:paraId="5885D343" w14:textId="77777777" w:rsidR="00CC3BE3" w:rsidRPr="0040650F" w:rsidRDefault="00CC3BE3" w:rsidP="00CC3BE3">
      <w:pPr>
        <w:spacing w:after="120" w:line="276" w:lineRule="auto"/>
        <w:ind w:firstLine="709"/>
        <w:jc w:val="both"/>
        <w:rPr>
          <w:rFonts w:ascii="Verdana" w:eastAsia="Times New Roman" w:hAnsi="Verdana" w:cs="Arial"/>
          <w:color w:val="000000" w:themeColor="text1"/>
          <w:lang w:eastAsia="es-MX"/>
        </w:rPr>
      </w:pPr>
      <w:r>
        <w:rPr>
          <w:rFonts w:ascii="Verdana" w:eastAsia="Times New Roman" w:hAnsi="Verdana" w:cs="Arial"/>
          <w:lang w:eastAsia="es-MX"/>
        </w:rPr>
        <w:t>Conforme al artículo citado</w:t>
      </w:r>
      <w:r w:rsidRPr="0040650F">
        <w:rPr>
          <w:rFonts w:ascii="Verdana" w:eastAsia="Times New Roman" w:hAnsi="Verdana" w:cs="Arial"/>
          <w:lang w:eastAsia="es-MX"/>
        </w:rPr>
        <w:t>, según los resultados del análisis del sector</w:t>
      </w:r>
      <w:r>
        <w:rPr>
          <w:rFonts w:ascii="Verdana" w:eastAsia="Times New Roman" w:hAnsi="Verdana" w:cs="Arial"/>
          <w:lang w:eastAsia="es-MX"/>
        </w:rPr>
        <w:t xml:space="preserve"> y </w:t>
      </w:r>
      <w:r w:rsidRPr="0040650F">
        <w:rPr>
          <w:rFonts w:ascii="Verdana" w:eastAsia="Times New Roman" w:hAnsi="Verdana" w:cs="Arial"/>
          <w:lang w:eastAsia="es-MX"/>
        </w:rPr>
        <w:t xml:space="preserve">en función de los criterios de clasificación empresarial, los documentos del proceso </w:t>
      </w:r>
      <w:r>
        <w:rPr>
          <w:rFonts w:ascii="Verdana" w:eastAsia="Times New Roman" w:hAnsi="Verdana" w:cs="Arial"/>
          <w:lang w:eastAsia="es-MX"/>
        </w:rPr>
        <w:t>podrán</w:t>
      </w:r>
      <w:r w:rsidRPr="0040650F">
        <w:rPr>
          <w:rFonts w:ascii="Verdana" w:eastAsia="Times New Roman" w:hAnsi="Verdana" w:cs="Arial"/>
          <w:lang w:eastAsia="es-MX"/>
        </w:rPr>
        <w:t xml:space="preserve"> incorporar </w:t>
      </w:r>
      <w:r w:rsidRPr="0040650F">
        <w:rPr>
          <w:rFonts w:ascii="Verdana" w:eastAsia="Times New Roman" w:hAnsi="Verdana" w:cs="Arial"/>
          <w:color w:val="000000" w:themeColor="text1"/>
          <w:lang w:eastAsia="es-MX"/>
        </w:rPr>
        <w:t xml:space="preserve">requisitos habilitantes diferenciales relacionados con alguno o algunos de los siguientes aspectos: i) tiempo de experiencia, </w:t>
      </w:r>
      <w:proofErr w:type="spellStart"/>
      <w:r w:rsidRPr="0040650F">
        <w:rPr>
          <w:rFonts w:ascii="Verdana" w:eastAsia="Times New Roman" w:hAnsi="Verdana" w:cs="Arial"/>
          <w:color w:val="000000" w:themeColor="text1"/>
          <w:lang w:eastAsia="es-MX"/>
        </w:rPr>
        <w:t>ii</w:t>
      </w:r>
      <w:proofErr w:type="spellEnd"/>
      <w:r w:rsidRPr="0040650F">
        <w:rPr>
          <w:rFonts w:ascii="Verdana" w:eastAsia="Times New Roman" w:hAnsi="Verdana" w:cs="Arial"/>
          <w:color w:val="000000" w:themeColor="text1"/>
          <w:lang w:eastAsia="es-MX"/>
        </w:rPr>
        <w:t xml:space="preserve">) número de contratos para la acreditación de la experiencia, </w:t>
      </w:r>
      <w:proofErr w:type="spellStart"/>
      <w:r w:rsidRPr="0040650F">
        <w:rPr>
          <w:rFonts w:ascii="Verdana" w:eastAsia="Times New Roman" w:hAnsi="Verdana" w:cs="Arial"/>
          <w:color w:val="000000" w:themeColor="text1"/>
          <w:lang w:eastAsia="es-MX"/>
        </w:rPr>
        <w:t>iii</w:t>
      </w:r>
      <w:proofErr w:type="spellEnd"/>
      <w:r w:rsidRPr="0040650F">
        <w:rPr>
          <w:rFonts w:ascii="Verdana" w:eastAsia="Times New Roman" w:hAnsi="Verdana" w:cs="Arial"/>
          <w:color w:val="000000" w:themeColor="text1"/>
          <w:lang w:eastAsia="es-MX"/>
        </w:rPr>
        <w:t xml:space="preserve">) índices de capacidad financiera, </w:t>
      </w:r>
      <w:proofErr w:type="spellStart"/>
      <w:r w:rsidRPr="0040650F">
        <w:rPr>
          <w:rFonts w:ascii="Verdana" w:eastAsia="Times New Roman" w:hAnsi="Verdana" w:cs="Arial"/>
          <w:color w:val="000000" w:themeColor="text1"/>
          <w:lang w:eastAsia="es-MX"/>
        </w:rPr>
        <w:t>iv</w:t>
      </w:r>
      <w:proofErr w:type="spellEnd"/>
      <w:r w:rsidRPr="0040650F">
        <w:rPr>
          <w:rFonts w:ascii="Verdana" w:eastAsia="Times New Roman" w:hAnsi="Verdana" w:cs="Arial"/>
          <w:color w:val="000000" w:themeColor="text1"/>
          <w:lang w:eastAsia="es-MX"/>
        </w:rPr>
        <w:t>) índices de capacidad organizacional y v) valor de la garantía de seriedad de la oferta.</w:t>
      </w:r>
    </w:p>
    <w:p w14:paraId="21068C15" w14:textId="77777777" w:rsidR="00CC3BE3" w:rsidRDefault="00CC3BE3" w:rsidP="00CC3BE3">
      <w:pPr>
        <w:spacing w:after="120" w:line="276" w:lineRule="auto"/>
        <w:ind w:firstLine="709"/>
        <w:jc w:val="both"/>
        <w:rPr>
          <w:rFonts w:ascii="Verdana" w:hAnsi="Verdana" w:cs="Arial"/>
          <w:bCs/>
        </w:rPr>
      </w:pPr>
      <w:r w:rsidRPr="0040650F">
        <w:rPr>
          <w:rFonts w:ascii="Verdana" w:eastAsia="Times New Roman" w:hAnsi="Verdana" w:cs="Arial"/>
          <w:color w:val="000000" w:themeColor="text1"/>
          <w:lang w:eastAsia="es-MX"/>
        </w:rPr>
        <w:t>Lo anterior significa que</w:t>
      </w:r>
      <w:r>
        <w:rPr>
          <w:rFonts w:ascii="Verdana" w:hAnsi="Verdana" w:cs="Arial"/>
          <w:bCs/>
        </w:rPr>
        <w:t xml:space="preserve"> la expresión “</w:t>
      </w:r>
      <w:r w:rsidRPr="007D5676">
        <w:rPr>
          <w:rFonts w:ascii="Verdana" w:hAnsi="Verdana" w:cs="Arial"/>
          <w:b/>
          <w:u w:val="single"/>
        </w:rPr>
        <w:t>podrán</w:t>
      </w:r>
      <w:r w:rsidRPr="007D5676">
        <w:rPr>
          <w:rFonts w:ascii="Verdana" w:hAnsi="Verdana" w:cs="Arial"/>
          <w:bCs/>
        </w:rPr>
        <w:t xml:space="preserve">” </w:t>
      </w:r>
      <w:r>
        <w:rPr>
          <w:rFonts w:ascii="Verdana" w:hAnsi="Verdana" w:cs="Arial"/>
          <w:bCs/>
        </w:rPr>
        <w:t xml:space="preserve">contenida en el artículo 31 de la Ley 2069 de 2020, fue utilizada por el legislador porque la incorporación de los criterios diferenciales y puntajes adicionales en favor de las </w:t>
      </w:r>
      <w:proofErr w:type="spellStart"/>
      <w:r>
        <w:rPr>
          <w:rFonts w:ascii="Verdana" w:hAnsi="Verdana" w:cs="Arial"/>
          <w:bCs/>
        </w:rPr>
        <w:t>Mipymes</w:t>
      </w:r>
      <w:proofErr w:type="spellEnd"/>
      <w:r>
        <w:rPr>
          <w:rFonts w:ascii="Verdana" w:hAnsi="Verdana" w:cs="Arial"/>
          <w:bCs/>
        </w:rPr>
        <w:t xml:space="preserve"> es potestativa de la entidad estatal. En todo caso, debe sustentarse en los resultados del análisis del sector realizado por la entidad estatal contratante en la etapa de planeación, lo que le permite a esta inferir que su incorporación es pertinente y se sustenta en la evaluación objetiva, la cual será consignada en los estudios y documentos previos. </w:t>
      </w:r>
    </w:p>
    <w:p w14:paraId="1338B3D5" w14:textId="77777777" w:rsidR="00CC3BE3" w:rsidRDefault="00CC3BE3" w:rsidP="00CC3BE3">
      <w:pPr>
        <w:spacing w:after="120" w:line="276" w:lineRule="auto"/>
        <w:ind w:firstLine="709"/>
        <w:jc w:val="both"/>
        <w:rPr>
          <w:rFonts w:ascii="Verdana" w:hAnsi="Verdana" w:cs="Arial"/>
          <w:bCs/>
        </w:rPr>
      </w:pPr>
      <w:r>
        <w:rPr>
          <w:rFonts w:ascii="Verdana" w:hAnsi="Verdana" w:cs="Arial"/>
          <w:bCs/>
        </w:rPr>
        <w:t>De esta manera, en cada proceso de selección, la entidad estatal deberá definir, de manera concreta, la incorporación de tales criterios diferenciales y puntajes adicionales, sin que se entienda la norma como una regla obligatoria de inclusión en cabeza de las entidades estatales para su incorporación en los pliegos de condiciones. En todo caso, la entidad estatal siempre deberá justificar su inclusión u omisión, en los documentos del proceso de selección.</w:t>
      </w:r>
    </w:p>
    <w:p w14:paraId="0157C0AF" w14:textId="77777777" w:rsidR="00CC3BE3" w:rsidRPr="003966CB" w:rsidRDefault="00CC3BE3" w:rsidP="00CC3BE3">
      <w:pPr>
        <w:spacing w:after="120" w:line="276" w:lineRule="auto"/>
        <w:ind w:firstLine="709"/>
        <w:jc w:val="both"/>
        <w:rPr>
          <w:rFonts w:ascii="Verdana" w:eastAsia="Calibri" w:hAnsi="Verdana" w:cs="Arial"/>
        </w:rPr>
      </w:pPr>
      <w:r w:rsidRPr="003966CB">
        <w:rPr>
          <w:rFonts w:ascii="Verdana" w:hAnsi="Verdana" w:cs="Arial"/>
          <w:bCs/>
        </w:rPr>
        <w:lastRenderedPageBreak/>
        <w:t xml:space="preserve">En atención a lo anterior, la entidad estatal luego del resultado arrojado en el análisis del sector definirá el criterio o criterios diferenciales que adoptará, para beneficiar a </w:t>
      </w:r>
      <w:proofErr w:type="spellStart"/>
      <w:r w:rsidRPr="003966CB">
        <w:rPr>
          <w:rFonts w:ascii="Verdana" w:hAnsi="Verdana" w:cs="Arial"/>
          <w:bCs/>
        </w:rPr>
        <w:t>Mipymes</w:t>
      </w:r>
      <w:proofErr w:type="spellEnd"/>
      <w:r w:rsidRPr="003966CB">
        <w:rPr>
          <w:rFonts w:ascii="Verdana" w:hAnsi="Verdana" w:cs="Arial"/>
          <w:bCs/>
        </w:rPr>
        <w:t xml:space="preserve">. Para dichos efectos </w:t>
      </w:r>
      <w:r w:rsidRPr="00A87348">
        <w:rPr>
          <w:rFonts w:ascii="Verdana" w:eastAsia="Calibri" w:hAnsi="Verdana"/>
        </w:rPr>
        <w:t xml:space="preserve">se establecerán condiciones más exigentes respecto a alguno o algunos de los criterios de participación antes enunciados </w:t>
      </w:r>
      <w:r w:rsidRPr="00A87348">
        <w:rPr>
          <w:rFonts w:ascii="Verdana" w:hAnsi="Verdana"/>
        </w:rPr>
        <w:t>para</w:t>
      </w:r>
      <w:r w:rsidRPr="00A87348">
        <w:rPr>
          <w:rFonts w:ascii="Verdana" w:eastAsia="Calibri" w:hAnsi="Verdana"/>
        </w:rPr>
        <w:t xml:space="preserve"> los demás proponentes que concurran al proceso de contratación que no sean </w:t>
      </w:r>
      <w:proofErr w:type="spellStart"/>
      <w:r w:rsidRPr="00A87348">
        <w:rPr>
          <w:rFonts w:ascii="Verdana" w:eastAsia="Calibri" w:hAnsi="Verdana"/>
        </w:rPr>
        <w:t>Mipyme</w:t>
      </w:r>
      <w:proofErr w:type="spellEnd"/>
      <w:r w:rsidRPr="00A87348">
        <w:rPr>
          <w:rFonts w:ascii="Verdana" w:eastAsia="Calibri" w:hAnsi="Verdana"/>
        </w:rPr>
        <w:t xml:space="preserve">. </w:t>
      </w:r>
      <w:r w:rsidRPr="003966CB">
        <w:rPr>
          <w:rFonts w:ascii="Verdana" w:hAnsi="Verdana" w:cs="Arial"/>
          <w:bCs/>
        </w:rPr>
        <w:t>Es importante tener en cuenta que l</w:t>
      </w:r>
      <w:r w:rsidRPr="00A87348">
        <w:rPr>
          <w:rFonts w:ascii="Verdana" w:hAnsi="Verdana"/>
        </w:rPr>
        <w:t xml:space="preserve">os requisitos antes mencionados deberán fijarse respetando las condiciones habilitantes requeridas para el cumplimiento adecuado del contrato, teniendo en cuenta el alcance de las obligaciones. </w:t>
      </w:r>
    </w:p>
    <w:p w14:paraId="1E87A5EF" w14:textId="77777777" w:rsidR="00CC3BE3" w:rsidRPr="00A87348" w:rsidRDefault="00CC3BE3" w:rsidP="00CC3BE3">
      <w:pPr>
        <w:spacing w:after="120" w:line="276" w:lineRule="auto"/>
        <w:ind w:firstLine="709"/>
        <w:jc w:val="both"/>
        <w:rPr>
          <w:rFonts w:ascii="Verdana" w:eastAsia="Arial" w:hAnsi="Verdana" w:cs="Arial"/>
        </w:rPr>
      </w:pPr>
      <w:r>
        <w:rPr>
          <w:rFonts w:ascii="Verdana" w:hAnsi="Verdana" w:cs="Arial"/>
          <w:bCs/>
        </w:rPr>
        <w:t xml:space="preserve">Ahora bien, el artículo </w:t>
      </w:r>
      <w:r w:rsidRPr="007817AA">
        <w:rPr>
          <w:rFonts w:ascii="Verdana" w:hAnsi="Verdana" w:cs="Arial"/>
          <w:bCs/>
        </w:rPr>
        <w:t>2.2.1.2.4.2.18</w:t>
      </w:r>
      <w:r>
        <w:rPr>
          <w:rFonts w:ascii="Verdana" w:hAnsi="Verdana" w:cs="Arial"/>
          <w:bCs/>
        </w:rPr>
        <w:t xml:space="preserve"> del Decreto 1082 de 2015 también dispone de un puntaje adicional de hasta el cero punto veinticinco (0,25%) del valor total de los puntos establecidos en el pliego de condiciones o documentos equivalentes a los proponentes que acrediten su condición de </w:t>
      </w:r>
      <w:proofErr w:type="spellStart"/>
      <w:r>
        <w:rPr>
          <w:rFonts w:ascii="Verdana" w:hAnsi="Verdana" w:cs="Arial"/>
          <w:bCs/>
        </w:rPr>
        <w:t>Mipymes</w:t>
      </w:r>
      <w:proofErr w:type="spellEnd"/>
      <w:r>
        <w:rPr>
          <w:rFonts w:ascii="Verdana" w:hAnsi="Verdana" w:cs="Arial"/>
          <w:bCs/>
        </w:rPr>
        <w:t xml:space="preserve">.  </w:t>
      </w:r>
      <w:r w:rsidRPr="00330A7F">
        <w:rPr>
          <w:rFonts w:ascii="Verdana" w:eastAsia="Calibri" w:hAnsi="Verdana" w:cs="Arial"/>
        </w:rPr>
        <w:t>Tratándose de proponentes plurales, los criterios diferenciales y los puntajes adicionales solo se aplicarán si por lo menos uno de los integrantes acredita es</w:t>
      </w:r>
      <w:r>
        <w:rPr>
          <w:rFonts w:ascii="Verdana" w:eastAsia="Calibri" w:hAnsi="Verdana" w:cs="Arial"/>
        </w:rPr>
        <w:t xml:space="preserve"> </w:t>
      </w:r>
      <w:proofErr w:type="spellStart"/>
      <w:r>
        <w:rPr>
          <w:rFonts w:ascii="Verdana" w:eastAsia="Calibri" w:hAnsi="Verdana" w:cs="Arial"/>
        </w:rPr>
        <w:t>Mipyme</w:t>
      </w:r>
      <w:proofErr w:type="spellEnd"/>
      <w:r>
        <w:rPr>
          <w:rFonts w:ascii="Verdana" w:eastAsia="Calibri" w:hAnsi="Verdana" w:cs="Arial"/>
        </w:rPr>
        <w:t xml:space="preserve"> </w:t>
      </w:r>
      <w:r w:rsidRPr="00330A7F">
        <w:rPr>
          <w:rFonts w:ascii="Verdana" w:eastAsia="Calibri" w:hAnsi="Verdana" w:cs="Arial"/>
        </w:rPr>
        <w:t>y que tiene una participación igual</w:t>
      </w:r>
      <w:r>
        <w:rPr>
          <w:rFonts w:ascii="Verdana" w:eastAsia="Calibri" w:hAnsi="Verdana" w:cs="Arial"/>
        </w:rPr>
        <w:t xml:space="preserve"> </w:t>
      </w:r>
      <w:r w:rsidRPr="00330A7F">
        <w:rPr>
          <w:rFonts w:ascii="Verdana" w:eastAsia="Calibri" w:hAnsi="Verdana" w:cs="Arial"/>
        </w:rPr>
        <w:t>o superior al diez por ciento (10%) en el consorcio o la unión temporal.</w:t>
      </w:r>
    </w:p>
    <w:p w14:paraId="54F589AE" w14:textId="77777777" w:rsidR="00CC3BE3" w:rsidRDefault="00CC3BE3" w:rsidP="00CC3BE3">
      <w:pPr>
        <w:spacing w:after="120" w:line="276" w:lineRule="auto"/>
        <w:ind w:firstLine="709"/>
        <w:jc w:val="both"/>
        <w:rPr>
          <w:rFonts w:ascii="Verdana" w:eastAsia="Arial" w:hAnsi="Verdana" w:cs="Arial"/>
        </w:rPr>
      </w:pPr>
      <w:r w:rsidRPr="00BC1074">
        <w:rPr>
          <w:rFonts w:ascii="Verdana" w:eastAsia="Arial" w:hAnsi="Verdana" w:cs="Arial"/>
        </w:rPr>
        <w:t xml:space="preserve">Por lo demás, deben diferenciarse dos (2) circunstancias: i) una es la limitación de una convocatoria a </w:t>
      </w:r>
      <w:proofErr w:type="spellStart"/>
      <w:r w:rsidRPr="00BC1074">
        <w:rPr>
          <w:rFonts w:ascii="Verdana" w:eastAsia="Arial" w:hAnsi="Verdana" w:cs="Arial"/>
        </w:rPr>
        <w:t>Mipyme</w:t>
      </w:r>
      <w:proofErr w:type="spellEnd"/>
      <w:r w:rsidRPr="00BC1074">
        <w:rPr>
          <w:rFonts w:ascii="Verdana" w:eastAsia="Arial" w:hAnsi="Verdana" w:cs="Arial"/>
        </w:rPr>
        <w:t xml:space="preserve"> –regulada en los artículos 2.2.1.2.4.2.2. al 2.2.1.2.4.2.4. del Decreto 1082 de 2015, modificados por el artículo 5 del Decreto 1860 de 2021– y </w:t>
      </w:r>
      <w:proofErr w:type="spellStart"/>
      <w:r w:rsidRPr="00BC1074">
        <w:rPr>
          <w:rFonts w:ascii="Verdana" w:eastAsia="Arial" w:hAnsi="Verdana" w:cs="Arial"/>
        </w:rPr>
        <w:t>ii</w:t>
      </w:r>
      <w:proofErr w:type="spellEnd"/>
      <w:r w:rsidRPr="00BC1074">
        <w:rPr>
          <w:rFonts w:ascii="Verdana" w:eastAsia="Arial" w:hAnsi="Verdana" w:cs="Arial"/>
        </w:rPr>
        <w:t xml:space="preserve">) otra es el establecimiento de criterios diferenciales para </w:t>
      </w:r>
      <w:proofErr w:type="spellStart"/>
      <w:r w:rsidRPr="00BC1074">
        <w:rPr>
          <w:rFonts w:ascii="Verdana" w:eastAsia="Arial" w:hAnsi="Verdana" w:cs="Arial"/>
        </w:rPr>
        <w:t>Mipyme</w:t>
      </w:r>
      <w:proofErr w:type="spellEnd"/>
      <w:r w:rsidRPr="00BC1074">
        <w:rPr>
          <w:rFonts w:ascii="Verdana" w:eastAsia="Arial" w:hAnsi="Verdana" w:cs="Arial"/>
        </w:rPr>
        <w:t xml:space="preserve"> en el sistema de compras públicas –regido por el artículo 2.2.1.2.4.2.18., adicionado por el artículo 3 del Decreto 1860 de 2021–. Tanto es así que el parágrafo 3 del artículo 2.2.1.2.4.2.18. establece que “Lo previsto en esta norma […] no rige en las convocatorias limitadas que se realicen conforme a los artículos 2.2.1.2.4.2.2 y 2.2.1.2.4.2.3 de este Decreto”.</w:t>
      </w:r>
    </w:p>
    <w:p w14:paraId="6AAFC4F8" w14:textId="6AC93B80" w:rsidR="00CC3BE3" w:rsidRDefault="00CC3BE3" w:rsidP="00CC3BE3">
      <w:pPr>
        <w:spacing w:before="120" w:after="120" w:line="276" w:lineRule="auto"/>
        <w:ind w:firstLine="709"/>
        <w:jc w:val="both"/>
        <w:rPr>
          <w:rFonts w:ascii="Verdana" w:eastAsia="Calibri" w:hAnsi="Verdana" w:cs="Arial"/>
          <w:bCs/>
          <w:color w:val="000000"/>
        </w:rPr>
      </w:pPr>
      <w:r w:rsidRPr="00661770">
        <w:rPr>
          <w:rFonts w:ascii="Verdana" w:eastAsia="Calibri" w:hAnsi="Verdana" w:cs="Arial"/>
          <w:bCs/>
          <w:color w:val="000000"/>
          <w:lang w:val="es-MX"/>
        </w:rPr>
        <w:t xml:space="preserve">Ahora bien, es preciso destacar que el parágrafo 3 del artículo 2.2.1.2.4.2.18 del Decreto 1082 de 2015, adicionado por el Decreto 1860 de 2021, establece de manera expresa que los criterios diferenciales para </w:t>
      </w:r>
      <w:proofErr w:type="spellStart"/>
      <w:r w:rsidRPr="00661770">
        <w:rPr>
          <w:rFonts w:ascii="Verdana" w:eastAsia="Calibri" w:hAnsi="Verdana" w:cs="Arial"/>
          <w:bCs/>
          <w:color w:val="000000"/>
          <w:lang w:val="es-MX"/>
        </w:rPr>
        <w:t>Mipyme</w:t>
      </w:r>
      <w:r>
        <w:rPr>
          <w:rFonts w:ascii="Verdana" w:eastAsia="Calibri" w:hAnsi="Verdana" w:cs="Arial"/>
          <w:bCs/>
          <w:color w:val="000000"/>
          <w:lang w:val="es-MX"/>
        </w:rPr>
        <w:t>s</w:t>
      </w:r>
      <w:proofErr w:type="spellEnd"/>
      <w:r w:rsidRPr="00661770">
        <w:rPr>
          <w:rFonts w:ascii="Verdana" w:eastAsia="Calibri" w:hAnsi="Verdana" w:cs="Arial"/>
          <w:bCs/>
          <w:color w:val="000000"/>
          <w:lang w:val="es-MX"/>
        </w:rPr>
        <w:t xml:space="preserve"> no rigen en las convocatorias limitadas que se adelanten conforme a los artículos </w:t>
      </w:r>
      <w:r w:rsidRPr="00661770">
        <w:rPr>
          <w:rFonts w:ascii="Verdana" w:eastAsia="Calibri" w:hAnsi="Verdana" w:cs="Arial"/>
          <w:bCs/>
          <w:color w:val="000000"/>
          <w:lang w:val="es-MX"/>
        </w:rPr>
        <w:lastRenderedPageBreak/>
        <w:t>2.2.1.2.4.2.2 y 2.2.1.2.4.2.3 del mismo decreto</w:t>
      </w:r>
      <w:r w:rsidRPr="0018417F">
        <w:rPr>
          <w:rStyle w:val="Refdenotaalpie"/>
          <w:rFonts w:ascii="Verdana" w:eastAsia="Calibri" w:hAnsi="Verdana" w:cs="Arial"/>
          <w:bCs/>
          <w:color w:val="000000"/>
        </w:rPr>
        <w:footnoteReference w:id="2"/>
      </w:r>
      <w:r w:rsidRPr="0018417F">
        <w:rPr>
          <w:rFonts w:ascii="Verdana" w:eastAsia="Calibri" w:hAnsi="Verdana" w:cs="Arial"/>
          <w:bCs/>
          <w:color w:val="000000"/>
        </w:rPr>
        <w:t xml:space="preserve">. </w:t>
      </w:r>
      <w:r w:rsidRPr="005919C4">
        <w:rPr>
          <w:rFonts w:ascii="Verdana" w:eastAsia="Calibri" w:hAnsi="Verdana" w:cs="Arial"/>
          <w:bCs/>
          <w:color w:val="000000"/>
        </w:rPr>
        <w:t xml:space="preserve">En ese sentido, la norma excluye de manera clara la aplicación de dichos incentivos en los procesos de selección limitados exclusivamente a </w:t>
      </w:r>
      <w:proofErr w:type="spellStart"/>
      <w:r w:rsidRPr="005919C4">
        <w:rPr>
          <w:rFonts w:ascii="Verdana" w:eastAsia="Calibri" w:hAnsi="Verdana" w:cs="Arial"/>
          <w:bCs/>
          <w:color w:val="000000"/>
        </w:rPr>
        <w:t>Mipyme</w:t>
      </w:r>
      <w:r>
        <w:rPr>
          <w:rFonts w:ascii="Verdana" w:eastAsia="Calibri" w:hAnsi="Verdana" w:cs="Arial"/>
          <w:bCs/>
          <w:color w:val="000000"/>
        </w:rPr>
        <w:t>s</w:t>
      </w:r>
      <w:proofErr w:type="spellEnd"/>
      <w:r w:rsidRPr="005919C4">
        <w:rPr>
          <w:rFonts w:ascii="Verdana" w:eastAsia="Calibri" w:hAnsi="Verdana" w:cs="Arial"/>
          <w:bCs/>
          <w:color w:val="000000"/>
        </w:rPr>
        <w:t>, lo que evidencia una incompatibilidad normativa</w:t>
      </w:r>
      <w:r>
        <w:rPr>
          <w:rFonts w:ascii="Verdana" w:eastAsia="Calibri" w:hAnsi="Verdana" w:cs="Arial"/>
          <w:bCs/>
          <w:color w:val="000000"/>
        </w:rPr>
        <w:t xml:space="preserve"> entre la aplicación de criterios diferenciales y las convocatorias limitadas a </w:t>
      </w:r>
      <w:proofErr w:type="spellStart"/>
      <w:r>
        <w:rPr>
          <w:rFonts w:ascii="Verdana" w:eastAsia="Calibri" w:hAnsi="Verdana" w:cs="Arial"/>
          <w:bCs/>
          <w:color w:val="000000"/>
        </w:rPr>
        <w:t>mipymes</w:t>
      </w:r>
      <w:proofErr w:type="spellEnd"/>
      <w:r>
        <w:rPr>
          <w:rFonts w:ascii="Verdana" w:eastAsia="Calibri" w:hAnsi="Verdana" w:cs="Arial"/>
          <w:bCs/>
          <w:color w:val="000000"/>
        </w:rPr>
        <w:t xml:space="preserve">. </w:t>
      </w:r>
    </w:p>
    <w:p w14:paraId="74243DB3" w14:textId="77777777" w:rsidR="00CC3BE3" w:rsidRDefault="00CC3BE3" w:rsidP="00CC3BE3">
      <w:pPr>
        <w:spacing w:before="120" w:after="120" w:line="276" w:lineRule="auto"/>
        <w:ind w:firstLine="709"/>
        <w:jc w:val="both"/>
        <w:rPr>
          <w:rFonts w:ascii="Verdana" w:eastAsia="Calibri" w:hAnsi="Verdana" w:cs="Arial"/>
          <w:bCs/>
          <w:color w:val="000000"/>
        </w:rPr>
      </w:pPr>
      <w:r w:rsidRPr="006C6103">
        <w:rPr>
          <w:rFonts w:ascii="Verdana" w:eastAsia="Calibri" w:hAnsi="Verdana" w:cs="Arial"/>
          <w:bCs/>
          <w:color w:val="000000"/>
        </w:rPr>
        <w:t xml:space="preserve">De hecho, los criterios diferenciales —como la flexibilización de requisitos de experiencia o la asignación de puntajes adicionales— adquieren sentido y alcance en escenarios competitivos donde confluyen </w:t>
      </w:r>
      <w:proofErr w:type="spellStart"/>
      <w:r w:rsidRPr="006C6103">
        <w:rPr>
          <w:rFonts w:ascii="Verdana" w:eastAsia="Calibri" w:hAnsi="Verdana" w:cs="Arial"/>
          <w:bCs/>
          <w:color w:val="000000"/>
        </w:rPr>
        <w:t>Mipyme</w:t>
      </w:r>
      <w:r>
        <w:rPr>
          <w:rFonts w:ascii="Verdana" w:eastAsia="Calibri" w:hAnsi="Verdana" w:cs="Arial"/>
          <w:bCs/>
          <w:color w:val="000000"/>
        </w:rPr>
        <w:t>s</w:t>
      </w:r>
      <w:proofErr w:type="spellEnd"/>
      <w:r w:rsidRPr="006C6103">
        <w:rPr>
          <w:rFonts w:ascii="Verdana" w:eastAsia="Calibri" w:hAnsi="Verdana" w:cs="Arial"/>
          <w:bCs/>
          <w:color w:val="000000"/>
        </w:rPr>
        <w:t xml:space="preserve"> y grandes empresas</w:t>
      </w:r>
      <w:r>
        <w:rPr>
          <w:rFonts w:ascii="Verdana" w:eastAsia="Calibri" w:hAnsi="Verdana" w:cs="Arial"/>
          <w:bCs/>
          <w:color w:val="000000"/>
        </w:rPr>
        <w:t>; e</w:t>
      </w:r>
      <w:r w:rsidRPr="006C6103">
        <w:rPr>
          <w:rFonts w:ascii="Verdana" w:eastAsia="Calibri" w:hAnsi="Verdana" w:cs="Arial"/>
          <w:bCs/>
          <w:color w:val="000000"/>
        </w:rPr>
        <w:t>s en ese contexto donde se justifica su aplicación para equilibrar las condiciones de participación</w:t>
      </w:r>
      <w:r>
        <w:rPr>
          <w:rFonts w:ascii="Verdana" w:eastAsia="Calibri" w:hAnsi="Verdana" w:cs="Arial"/>
          <w:bCs/>
          <w:color w:val="000000"/>
        </w:rPr>
        <w:t xml:space="preserve"> en los procesos de selección</w:t>
      </w:r>
      <w:r w:rsidRPr="006C6103">
        <w:rPr>
          <w:rFonts w:ascii="Verdana" w:eastAsia="Calibri" w:hAnsi="Verdana" w:cs="Arial"/>
          <w:bCs/>
          <w:color w:val="000000"/>
        </w:rPr>
        <w:t>. En contraste, aplicar diferenciación en procesos donde todos los proponentes ostentan la misma calidad empresarial resulta innecesario</w:t>
      </w:r>
      <w:r>
        <w:rPr>
          <w:rFonts w:ascii="Verdana" w:eastAsia="Calibri" w:hAnsi="Verdana" w:cs="Arial"/>
          <w:bCs/>
          <w:color w:val="000000"/>
        </w:rPr>
        <w:t xml:space="preserve"> ya que</w:t>
      </w:r>
      <w:r w:rsidRPr="0045599E">
        <w:rPr>
          <w:rFonts w:ascii="Verdana" w:eastAsia="Calibri" w:hAnsi="Verdana" w:cs="Arial"/>
          <w:bCs/>
          <w:color w:val="000000"/>
        </w:rPr>
        <w:t xml:space="preserve"> al participar únicamente empresas con calidad de </w:t>
      </w:r>
      <w:proofErr w:type="spellStart"/>
      <w:r w:rsidRPr="005919C4">
        <w:rPr>
          <w:rFonts w:ascii="Verdana" w:eastAsia="Calibri" w:hAnsi="Verdana" w:cs="Arial"/>
          <w:bCs/>
          <w:color w:val="000000"/>
        </w:rPr>
        <w:t>Mipyme</w:t>
      </w:r>
      <w:r>
        <w:rPr>
          <w:rFonts w:ascii="Verdana" w:eastAsia="Calibri" w:hAnsi="Verdana" w:cs="Arial"/>
          <w:bCs/>
          <w:color w:val="000000"/>
        </w:rPr>
        <w:t>s</w:t>
      </w:r>
      <w:proofErr w:type="spellEnd"/>
      <w:r w:rsidRPr="0045599E">
        <w:rPr>
          <w:rFonts w:ascii="Verdana" w:eastAsia="Calibri" w:hAnsi="Verdana" w:cs="Arial"/>
          <w:bCs/>
          <w:color w:val="000000"/>
        </w:rPr>
        <w:t>,</w:t>
      </w:r>
      <w:r>
        <w:rPr>
          <w:rFonts w:ascii="Verdana" w:eastAsia="Calibri" w:hAnsi="Verdana" w:cs="Arial"/>
          <w:bCs/>
          <w:color w:val="000000"/>
        </w:rPr>
        <w:t xml:space="preserve"> </w:t>
      </w:r>
      <w:r w:rsidRPr="0045599E">
        <w:rPr>
          <w:rFonts w:ascii="Verdana" w:eastAsia="Calibri" w:hAnsi="Verdana" w:cs="Arial"/>
          <w:bCs/>
          <w:color w:val="000000"/>
        </w:rPr>
        <w:t xml:space="preserve">el incentivo pierde eficacia como </w:t>
      </w:r>
      <w:r>
        <w:rPr>
          <w:rFonts w:ascii="Verdana" w:eastAsia="Calibri" w:hAnsi="Verdana" w:cs="Arial"/>
          <w:bCs/>
          <w:color w:val="000000"/>
        </w:rPr>
        <w:t>instrumento de discriminación positiva</w:t>
      </w:r>
      <w:r w:rsidRPr="0045599E">
        <w:rPr>
          <w:rFonts w:ascii="Verdana" w:eastAsia="Calibri" w:hAnsi="Verdana" w:cs="Arial"/>
          <w:bCs/>
          <w:color w:val="000000"/>
        </w:rPr>
        <w:t xml:space="preserve"> frente a oferentes de mayor capacidad</w:t>
      </w:r>
      <w:r>
        <w:rPr>
          <w:rFonts w:ascii="Verdana" w:eastAsia="Calibri" w:hAnsi="Verdana" w:cs="Arial"/>
          <w:bCs/>
          <w:color w:val="000000"/>
        </w:rPr>
        <w:t xml:space="preserve"> como ocurre con las grandes empresas</w:t>
      </w:r>
      <w:r w:rsidRPr="0045599E">
        <w:rPr>
          <w:rFonts w:ascii="Verdana" w:eastAsia="Calibri" w:hAnsi="Verdana" w:cs="Arial"/>
          <w:bCs/>
          <w:color w:val="000000"/>
        </w:rPr>
        <w:t xml:space="preserve">, desvirtuando </w:t>
      </w:r>
      <w:r>
        <w:rPr>
          <w:rFonts w:ascii="Verdana" w:eastAsia="Calibri" w:hAnsi="Verdana" w:cs="Arial"/>
          <w:bCs/>
          <w:color w:val="000000"/>
        </w:rPr>
        <w:t>el</w:t>
      </w:r>
      <w:r w:rsidRPr="0045599E">
        <w:rPr>
          <w:rFonts w:ascii="Verdana" w:eastAsia="Calibri" w:hAnsi="Verdana" w:cs="Arial"/>
          <w:bCs/>
          <w:color w:val="000000"/>
        </w:rPr>
        <w:t xml:space="preserve"> propósito </w:t>
      </w:r>
      <w:r>
        <w:rPr>
          <w:rFonts w:ascii="Verdana" w:eastAsia="Calibri" w:hAnsi="Verdana" w:cs="Arial"/>
          <w:bCs/>
          <w:color w:val="000000"/>
        </w:rPr>
        <w:t xml:space="preserve">de </w:t>
      </w:r>
      <w:r w:rsidRPr="00F03F1F">
        <w:rPr>
          <w:rFonts w:ascii="Verdana" w:eastAsia="Calibri" w:hAnsi="Verdana" w:cs="Arial"/>
          <w:bCs/>
          <w:color w:val="000000"/>
        </w:rPr>
        <w:t xml:space="preserve">promover el acceso a las </w:t>
      </w:r>
      <w:proofErr w:type="spellStart"/>
      <w:r w:rsidRPr="00F03F1F">
        <w:rPr>
          <w:rFonts w:ascii="Verdana" w:eastAsia="Calibri" w:hAnsi="Verdana" w:cs="Arial"/>
          <w:bCs/>
          <w:color w:val="000000"/>
        </w:rPr>
        <w:t>Mipyme</w:t>
      </w:r>
      <w:proofErr w:type="spellEnd"/>
      <w:r w:rsidRPr="00F03F1F">
        <w:rPr>
          <w:rFonts w:ascii="Verdana" w:eastAsia="Calibri" w:hAnsi="Verdana" w:cs="Arial"/>
          <w:bCs/>
          <w:color w:val="000000"/>
        </w:rPr>
        <w:t xml:space="preserve"> al mercado de Compras Públicas </w:t>
      </w:r>
      <w:r>
        <w:rPr>
          <w:rFonts w:ascii="Verdana" w:eastAsia="Calibri" w:hAnsi="Verdana" w:cs="Arial"/>
          <w:bCs/>
          <w:color w:val="000000"/>
        </w:rPr>
        <w:t>de la norma</w:t>
      </w:r>
      <w:r w:rsidRPr="0045599E">
        <w:rPr>
          <w:rFonts w:ascii="Verdana" w:eastAsia="Calibri" w:hAnsi="Verdana" w:cs="Arial"/>
          <w:bCs/>
          <w:color w:val="000000"/>
        </w:rPr>
        <w:t>.</w:t>
      </w:r>
    </w:p>
    <w:p w14:paraId="2D5FF38A" w14:textId="44FC8474" w:rsidR="00CC3BE3" w:rsidRPr="0018417F" w:rsidRDefault="00CC3BE3" w:rsidP="00CC3BE3">
      <w:pPr>
        <w:spacing w:before="120" w:after="120" w:line="276" w:lineRule="auto"/>
        <w:ind w:firstLine="709"/>
        <w:jc w:val="both"/>
        <w:rPr>
          <w:rFonts w:ascii="Verdana" w:eastAsia="Calibri" w:hAnsi="Verdana" w:cs="Arial"/>
          <w:bCs/>
          <w:color w:val="000000"/>
        </w:rPr>
      </w:pPr>
      <w:r>
        <w:rPr>
          <w:rFonts w:ascii="Verdana" w:eastAsia="Calibri" w:hAnsi="Verdana" w:cs="Arial"/>
          <w:bCs/>
          <w:color w:val="000000"/>
        </w:rPr>
        <w:t>En consecuencia, l</w:t>
      </w:r>
      <w:r w:rsidRPr="00DB659A">
        <w:rPr>
          <w:rFonts w:ascii="Verdana" w:eastAsia="Calibri" w:hAnsi="Verdana" w:cs="Arial"/>
          <w:bCs/>
          <w:color w:val="000000"/>
        </w:rPr>
        <w:t>a exclusión contenida en el parágrafo 3</w:t>
      </w:r>
      <w:r>
        <w:rPr>
          <w:rFonts w:ascii="Verdana" w:eastAsia="Calibri" w:hAnsi="Verdana" w:cs="Arial"/>
          <w:bCs/>
          <w:color w:val="000000"/>
        </w:rPr>
        <w:t xml:space="preserve"> de la señalada norma</w:t>
      </w:r>
      <w:r w:rsidRPr="00DB659A">
        <w:rPr>
          <w:rFonts w:ascii="Verdana" w:eastAsia="Calibri" w:hAnsi="Verdana" w:cs="Arial"/>
          <w:bCs/>
          <w:color w:val="000000"/>
        </w:rPr>
        <w:t xml:space="preserve"> debe entenderse como una incompatibilidad normativa entre </w:t>
      </w:r>
      <w:r w:rsidR="00EC50C0">
        <w:rPr>
          <w:rFonts w:ascii="Verdana" w:eastAsia="Calibri" w:hAnsi="Verdana" w:cs="Arial"/>
          <w:bCs/>
          <w:color w:val="000000"/>
        </w:rPr>
        <w:t>la aplicación de</w:t>
      </w:r>
      <w:r w:rsidR="00EC50C0" w:rsidRPr="00DB659A">
        <w:rPr>
          <w:rFonts w:ascii="Verdana" w:eastAsia="Calibri" w:hAnsi="Verdana" w:cs="Arial"/>
          <w:bCs/>
          <w:color w:val="000000"/>
        </w:rPr>
        <w:t xml:space="preserve"> incentivo</w:t>
      </w:r>
      <w:r w:rsidR="00EC50C0">
        <w:rPr>
          <w:rFonts w:ascii="Verdana" w:eastAsia="Calibri" w:hAnsi="Verdana" w:cs="Arial"/>
          <w:bCs/>
          <w:color w:val="000000"/>
        </w:rPr>
        <w:t>s</w:t>
      </w:r>
      <w:r w:rsidR="00EC50C0" w:rsidRPr="00DB659A">
        <w:rPr>
          <w:rFonts w:ascii="Verdana" w:eastAsia="Calibri" w:hAnsi="Verdana" w:cs="Arial"/>
          <w:bCs/>
          <w:color w:val="000000"/>
        </w:rPr>
        <w:t xml:space="preserve"> de </w:t>
      </w:r>
      <w:r w:rsidR="00EC50C0">
        <w:rPr>
          <w:rFonts w:ascii="Verdana" w:eastAsia="Calibri" w:hAnsi="Verdana" w:cs="Arial"/>
          <w:bCs/>
          <w:color w:val="000000"/>
        </w:rPr>
        <w:t>criterios diferenciales</w:t>
      </w:r>
      <w:r w:rsidRPr="00DB659A">
        <w:rPr>
          <w:rFonts w:ascii="Verdana" w:eastAsia="Calibri" w:hAnsi="Verdana" w:cs="Arial"/>
          <w:bCs/>
          <w:color w:val="000000"/>
        </w:rPr>
        <w:t xml:space="preserve"> y los procesos limitados a </w:t>
      </w:r>
      <w:proofErr w:type="spellStart"/>
      <w:r w:rsidRPr="00DB659A">
        <w:rPr>
          <w:rFonts w:ascii="Verdana" w:eastAsia="Calibri" w:hAnsi="Verdana" w:cs="Arial"/>
          <w:bCs/>
          <w:color w:val="000000"/>
        </w:rPr>
        <w:t>Mipyme</w:t>
      </w:r>
      <w:r>
        <w:rPr>
          <w:rFonts w:ascii="Verdana" w:eastAsia="Calibri" w:hAnsi="Verdana" w:cs="Arial"/>
          <w:bCs/>
          <w:color w:val="000000"/>
        </w:rPr>
        <w:t>s</w:t>
      </w:r>
      <w:proofErr w:type="spellEnd"/>
      <w:r w:rsidRPr="00DB659A">
        <w:rPr>
          <w:rFonts w:ascii="Verdana" w:eastAsia="Calibri" w:hAnsi="Verdana" w:cs="Arial"/>
          <w:bCs/>
          <w:color w:val="000000"/>
        </w:rPr>
        <w:t xml:space="preserve">. En estos casos, no procede aplicar condiciones habilitantes diferenciadas, y las entidades deben </w:t>
      </w:r>
      <w:r>
        <w:rPr>
          <w:rFonts w:ascii="Verdana" w:eastAsia="Calibri" w:hAnsi="Verdana" w:cs="Arial"/>
          <w:bCs/>
          <w:color w:val="000000"/>
        </w:rPr>
        <w:t xml:space="preserve">evaluar las ofertas conforme los requisitos habilitantes señalados en el pliego de </w:t>
      </w:r>
      <w:proofErr w:type="gramStart"/>
      <w:r>
        <w:rPr>
          <w:rFonts w:ascii="Verdana" w:eastAsia="Calibri" w:hAnsi="Verdana" w:cs="Arial"/>
          <w:bCs/>
          <w:color w:val="000000"/>
        </w:rPr>
        <w:t>condiciones</w:t>
      </w:r>
      <w:r w:rsidR="002B3852">
        <w:rPr>
          <w:rFonts w:ascii="Verdana" w:eastAsia="Calibri" w:hAnsi="Verdana" w:cs="Arial"/>
          <w:bCs/>
          <w:color w:val="000000"/>
        </w:rPr>
        <w:t>.</w:t>
      </w:r>
      <w:r w:rsidRPr="00DB659A">
        <w:rPr>
          <w:rFonts w:ascii="Verdana" w:eastAsia="Calibri" w:hAnsi="Verdana" w:cs="Arial"/>
          <w:bCs/>
          <w:color w:val="000000"/>
        </w:rPr>
        <w:t>.</w:t>
      </w:r>
      <w:proofErr w:type="gramEnd"/>
    </w:p>
    <w:p w14:paraId="550EC42E" w14:textId="77777777" w:rsidR="00CC3BE3" w:rsidRPr="0018417F" w:rsidRDefault="00CC3BE3" w:rsidP="00CC3BE3">
      <w:pPr>
        <w:spacing w:before="120" w:after="120" w:line="276" w:lineRule="auto"/>
        <w:ind w:firstLine="709"/>
        <w:jc w:val="both"/>
        <w:rPr>
          <w:rFonts w:ascii="Verdana" w:eastAsia="Calibri" w:hAnsi="Verdana" w:cs="Arial"/>
          <w:bCs/>
          <w:color w:val="000000"/>
        </w:rPr>
      </w:pPr>
      <w:r>
        <w:rPr>
          <w:rFonts w:ascii="Verdana" w:eastAsia="Calibri" w:hAnsi="Verdana" w:cs="Arial"/>
          <w:bCs/>
          <w:color w:val="000000"/>
        </w:rPr>
        <w:t>Sin perjuicio de lo anterior</w:t>
      </w:r>
      <w:r w:rsidRPr="0018417F">
        <w:rPr>
          <w:rFonts w:ascii="Verdana" w:eastAsia="Calibri" w:hAnsi="Verdana" w:cs="Arial"/>
          <w:bCs/>
          <w:color w:val="000000"/>
        </w:rPr>
        <w:t xml:space="preserve">, los criterios diferenciales a favor de emprendimientos y empresas de mujeres regulados en el artículo 2.1.2.4.2.15 del Decreto 1082 del 2015 sí son compatibles con las convocatorias limitadas a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conforme lo señala el parágrafo 4 del artículo 2.2.1.2.4.2.4. del Decreto 1082 del 2015. Según esta disposición «Los incentivos previstos en los artículos 2.2.1.2.4.2.2 y 2.2.1.2.4.2.3 de este Decreto no excluyen la aplicación de los criterios diferenciales para los emprendimientos y empresas de mujeres en el sistema de compras públicas». Lo anterior, teniendo en cuenta que la condición </w:t>
      </w:r>
      <w:r w:rsidRPr="0018417F">
        <w:rPr>
          <w:rFonts w:ascii="Verdana" w:eastAsia="Calibri" w:hAnsi="Verdana" w:cs="Arial"/>
          <w:bCs/>
          <w:color w:val="000000"/>
        </w:rPr>
        <w:lastRenderedPageBreak/>
        <w:t xml:space="preserve">de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no es excluyente con la calidad de emprendimiento y empresa de mujer establecida en el artículo 2.2.1.2.4.2.14. del Decreto 1082 de 2015. Por ello, este criterio podrá aplicarse en las convocatorias limitadas a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pues no hay una disposición que los excluya. Además, es acumulativo con el criterio diferencial a favor de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lo que significa que en un proceso de contratación no limitado a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podrán establecerse criterios diferenciales a favor de </w:t>
      </w:r>
      <w:proofErr w:type="spellStart"/>
      <w:r w:rsidRPr="0018417F">
        <w:rPr>
          <w:rFonts w:ascii="Verdana" w:eastAsia="Calibri" w:hAnsi="Verdana" w:cs="Arial"/>
          <w:bCs/>
          <w:color w:val="000000"/>
        </w:rPr>
        <w:t>Mipyme</w:t>
      </w:r>
      <w:proofErr w:type="spellEnd"/>
      <w:r w:rsidRPr="0018417F">
        <w:rPr>
          <w:rFonts w:ascii="Verdana" w:eastAsia="Calibri" w:hAnsi="Verdana" w:cs="Arial"/>
          <w:bCs/>
          <w:color w:val="000000"/>
        </w:rPr>
        <w:t xml:space="preserve"> y de emprendimiento y empresas de mujeres. </w:t>
      </w:r>
    </w:p>
    <w:p w14:paraId="32890AC1" w14:textId="77777777" w:rsidR="00CC3BE3" w:rsidRPr="0018417F" w:rsidRDefault="00CC3BE3" w:rsidP="00CC3BE3">
      <w:pPr>
        <w:spacing w:after="0" w:line="276" w:lineRule="auto"/>
        <w:jc w:val="both"/>
        <w:rPr>
          <w:rFonts w:ascii="Verdana" w:eastAsia="Calibri" w:hAnsi="Verdana" w:cs="Arial"/>
          <w:bCs/>
          <w:color w:val="000000"/>
        </w:rPr>
      </w:pPr>
    </w:p>
    <w:p w14:paraId="4E6E531F" w14:textId="77777777" w:rsidR="00CC3BE3" w:rsidRPr="00593A5F" w:rsidRDefault="00CC3BE3" w:rsidP="00CC3BE3">
      <w:pPr>
        <w:spacing w:after="120" w:line="276" w:lineRule="auto"/>
        <w:jc w:val="both"/>
        <w:rPr>
          <w:rFonts w:ascii="Verdana" w:eastAsia="Century Gothic" w:hAnsi="Verdana" w:cs="Century Gothic"/>
          <w:b/>
          <w:bCs/>
        </w:rPr>
      </w:pPr>
      <w:r>
        <w:rPr>
          <w:rFonts w:ascii="Verdana" w:eastAsia="Century Gothic" w:hAnsi="Verdana" w:cs="Century Gothic"/>
          <w:b/>
          <w:bCs/>
        </w:rPr>
        <w:t xml:space="preserve">4. </w:t>
      </w:r>
      <w:r w:rsidRPr="00593A5F">
        <w:rPr>
          <w:rFonts w:ascii="Verdana" w:eastAsia="Century Gothic" w:hAnsi="Verdana" w:cs="Century Gothic"/>
          <w:b/>
          <w:bCs/>
        </w:rPr>
        <w:t>Referencias normativas, jurisprudenciales y otras fuentes:</w:t>
      </w:r>
    </w:p>
    <w:p w14:paraId="7977B143" w14:textId="77777777" w:rsidR="00CC3BE3" w:rsidRPr="00593A5F" w:rsidRDefault="00CC3BE3" w:rsidP="00CC3BE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3BE3" w:rsidRPr="00593A5F" w14:paraId="3A235844" w14:textId="77777777" w:rsidTr="00C103D3">
        <w:trPr>
          <w:trHeight w:val="870"/>
        </w:trPr>
        <w:tc>
          <w:tcPr>
            <w:tcW w:w="8647" w:type="dxa"/>
          </w:tcPr>
          <w:p w14:paraId="7FD851D8" w14:textId="77777777" w:rsidR="00CC3BE3" w:rsidRDefault="00CC3BE3" w:rsidP="00CC3BE3">
            <w:pPr>
              <w:pStyle w:val="Prrafodelista"/>
              <w:numPr>
                <w:ilvl w:val="0"/>
                <w:numId w:val="17"/>
              </w:numPr>
              <w:spacing w:line="276" w:lineRule="auto"/>
              <w:ind w:left="454"/>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2069 de 2020. Artículo 31.</w:t>
            </w:r>
          </w:p>
          <w:p w14:paraId="28C8CB13" w14:textId="77777777" w:rsidR="00CC3BE3" w:rsidRPr="000D446F" w:rsidRDefault="00CC3BE3" w:rsidP="00CC3BE3">
            <w:pPr>
              <w:widowControl w:val="0"/>
              <w:numPr>
                <w:ilvl w:val="0"/>
                <w:numId w:val="17"/>
              </w:numPr>
              <w:autoSpaceDE w:val="0"/>
              <w:autoSpaceDN w:val="0"/>
              <w:spacing w:after="120"/>
              <w:ind w:left="454"/>
              <w:jc w:val="both"/>
              <w:rPr>
                <w:rFonts w:ascii="Verdana" w:hAnsi="Verdana" w:cs="Arial"/>
              </w:rPr>
            </w:pPr>
            <w:r>
              <w:rPr>
                <w:rFonts w:ascii="Verdana" w:eastAsia="Calibri" w:hAnsi="Verdana" w:cs="Arial"/>
                <w:bCs/>
                <w:color w:val="000000"/>
                <w:szCs w:val="24"/>
                <w:lang w:val="es-ES_tradnl" w:eastAsia="es-ES_tradnl" w:bidi="es-ES"/>
              </w:rPr>
              <w:t xml:space="preserve">Decreto 1082 de 2015. Artículos </w:t>
            </w:r>
            <w:r w:rsidRPr="00FB4EEF">
              <w:rPr>
                <w:rFonts w:ascii="Verdana" w:hAnsi="Verdana" w:cs="Arial"/>
              </w:rPr>
              <w:t>2.2.1.13.2.2</w:t>
            </w:r>
            <w:r>
              <w:rPr>
                <w:rFonts w:ascii="Verdana" w:hAnsi="Verdana" w:cs="Arial"/>
              </w:rPr>
              <w:t>,</w:t>
            </w:r>
            <w:r w:rsidRPr="00FB4EEF">
              <w:rPr>
                <w:rFonts w:ascii="Verdana" w:hAnsi="Verdana" w:cs="Arial"/>
              </w:rPr>
              <w:t xml:space="preserve"> </w:t>
            </w:r>
            <w:r w:rsidRPr="008B2E9F">
              <w:rPr>
                <w:rFonts w:ascii="Verdana" w:hAnsi="Verdana" w:cs="Arial"/>
              </w:rPr>
              <w:t>2.2.1.2.4.2.15.</w:t>
            </w:r>
            <w:r>
              <w:rPr>
                <w:rFonts w:ascii="Verdana" w:hAnsi="Verdana" w:cs="Arial"/>
              </w:rPr>
              <w:t xml:space="preserve"> y </w:t>
            </w:r>
            <w:r w:rsidRPr="00FB4EEF">
              <w:rPr>
                <w:rFonts w:ascii="Verdana" w:hAnsi="Verdana" w:cs="Arial"/>
              </w:rPr>
              <w:t>2.2.1.2.4.2.18.</w:t>
            </w:r>
            <w:r>
              <w:rPr>
                <w:rFonts w:ascii="Verdana" w:hAnsi="Verdana" w:cs="Arial"/>
              </w:rPr>
              <w:t xml:space="preserve"> parágrafo 3.</w:t>
            </w:r>
            <w:r w:rsidRPr="008B2E9F">
              <w:rPr>
                <w:rFonts w:ascii="Verdana" w:hAnsi="Verdana" w:cs="Arial"/>
              </w:rPr>
              <w:t xml:space="preserve"> </w:t>
            </w:r>
            <w:r>
              <w:rPr>
                <w:rFonts w:ascii="Verdana" w:eastAsia="Calibri" w:hAnsi="Verdana" w:cs="Arial"/>
                <w:bCs/>
                <w:color w:val="000000"/>
                <w:szCs w:val="24"/>
                <w:lang w:val="es-ES_tradnl" w:eastAsia="es-ES_tradnl" w:bidi="es-ES"/>
              </w:rPr>
              <w:t xml:space="preserve"> </w:t>
            </w:r>
            <w:r w:rsidRPr="00BD69D5">
              <w:rPr>
                <w:rFonts w:ascii="Verdana" w:hAnsi="Verdana" w:cs="Arial"/>
                <w:color w:val="000000" w:themeColor="text1"/>
                <w:lang w:val="es-ES_tradnl"/>
              </w:rPr>
              <w:t xml:space="preserve"> </w:t>
            </w:r>
          </w:p>
        </w:tc>
      </w:tr>
    </w:tbl>
    <w:p w14:paraId="78FE03AA" w14:textId="77777777" w:rsidR="00CC3BE3" w:rsidRPr="00593A5F" w:rsidRDefault="00CC3BE3" w:rsidP="00CC3BE3">
      <w:pPr>
        <w:widowControl w:val="0"/>
        <w:autoSpaceDE w:val="0"/>
        <w:autoSpaceDN w:val="0"/>
        <w:spacing w:after="0" w:line="276" w:lineRule="auto"/>
        <w:jc w:val="both"/>
        <w:rPr>
          <w:rFonts w:ascii="Verdana" w:hAnsi="Verdana" w:cs="Arial"/>
        </w:rPr>
      </w:pPr>
    </w:p>
    <w:p w14:paraId="43DF7E3A" w14:textId="77777777" w:rsidR="00CC3BE3" w:rsidRPr="0018417F" w:rsidRDefault="00CC3BE3" w:rsidP="00CC3BE3">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8417F">
        <w:rPr>
          <w:rFonts w:ascii="Verdana" w:eastAsia="Century Gothic" w:hAnsi="Verdana" w:cs="Century Gothic"/>
          <w:b/>
          <w:bCs/>
        </w:rPr>
        <w:t>Doctrina de la Agencia Nacional de Contratación Pública:</w:t>
      </w:r>
    </w:p>
    <w:p w14:paraId="6FFA5F71" w14:textId="77777777" w:rsidR="00CC3BE3" w:rsidRDefault="00CC3BE3" w:rsidP="00CC3BE3">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732C7339" w14:textId="77777777" w:rsidR="00CC3BE3" w:rsidRPr="00185EE9" w:rsidRDefault="00CC3BE3" w:rsidP="00CC3BE3">
      <w:pPr>
        <w:widowControl w:val="0"/>
        <w:autoSpaceDE w:val="0"/>
        <w:autoSpaceDN w:val="0"/>
        <w:spacing w:after="0" w:line="276" w:lineRule="auto"/>
        <w:jc w:val="both"/>
        <w:rPr>
          <w:rFonts w:ascii="Verdana" w:eastAsia="Calibri" w:hAnsi="Verdana" w:cs="Times New Roman"/>
        </w:rPr>
      </w:pPr>
      <w:r w:rsidRPr="003764D0">
        <w:rPr>
          <w:rFonts w:ascii="Verdana" w:hAnsi="Verdana" w:cs="Arial"/>
          <w:shd w:val="clear" w:color="auto" w:fill="FFFFFF"/>
          <w:lang w:val="es-ES"/>
        </w:rPr>
        <w:t>Sobre los incentivos en favor de las MiPymes en la contratación estatal, según la modificación realizada por el Decreto 1860 de 2021 al Decreto 1082 de 2015, esta Subdirección se ha referido en los Conceptos C-043 del 09 de febrero de 2021, C-005 del 16 de febrero de 2021, C-081 del 23 de febrero de 2021, C-087 del 23 de febrero de 2021, C-037 del 26 de febrero de 2021, C-035 del 02 de marzo de 2021, C-040 del 02 de marzo de 2021, C-125 del 05 de abril de 2021</w:t>
      </w:r>
      <w:r>
        <w:rPr>
          <w:rFonts w:ascii="Verdana" w:hAnsi="Verdana" w:cs="Arial"/>
          <w:shd w:val="clear" w:color="auto" w:fill="FFFFFF"/>
          <w:lang w:val="es-ES"/>
        </w:rPr>
        <w:t xml:space="preserve">, </w:t>
      </w:r>
      <w:r w:rsidRPr="003764D0">
        <w:rPr>
          <w:rFonts w:ascii="Verdana" w:hAnsi="Verdana" w:cs="Arial"/>
          <w:shd w:val="clear" w:color="auto" w:fill="FFFFFF"/>
          <w:lang w:val="es-ES"/>
        </w:rPr>
        <w:t xml:space="preserve">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w:t>
      </w:r>
      <w:r>
        <w:rPr>
          <w:rFonts w:ascii="Verdana" w:hAnsi="Verdana" w:cs="Arial"/>
          <w:shd w:val="clear" w:color="auto" w:fill="FFFFFF"/>
          <w:lang w:val="es-ES"/>
        </w:rPr>
        <w:t xml:space="preserve">C-479 del 26 de julio de 2022, C-626 del 29 de septiembre de 2022, C-344 del 18 de agosto de 2023, C-245 del 13 de agosto de 2024, C-822 del 13 de diciembre de 2024 y C-175 del 21 de marzo de 2025, </w:t>
      </w:r>
      <w:r w:rsidRPr="00535747">
        <w:rPr>
          <w:rFonts w:ascii="Verdana" w:eastAsia="Calibri" w:hAnsi="Verdana" w:cs="Arial"/>
          <w:lang w:val="es-ES" w:eastAsia="es-ES_tradnl"/>
        </w:rPr>
        <w:t>entre otros</w:t>
      </w:r>
      <w:r>
        <w:rPr>
          <w:rFonts w:ascii="Verdana" w:eastAsia="Calibri" w:hAnsi="Verdana" w:cs="Arial"/>
          <w:lang w:val="es-ES" w:eastAsia="es-ES_tradnl"/>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 xml:space="preserve">se encuentran disponibles para consulta en el Sistema de Relatoría de la Agencia, en el cual también podrás encontrar jurisprudencia del Consejo de Estado, laudos arbitrales y la normativa de la contratación concordada con la doctrina de la </w:t>
      </w:r>
      <w:r w:rsidRPr="00185EE9">
        <w:rPr>
          <w:rFonts w:ascii="Verdana" w:eastAsia="Calibri" w:hAnsi="Verdana" w:cs="Times New Roman"/>
        </w:rPr>
        <w:lastRenderedPageBreak/>
        <w:t>Subdirección de Gestión Contractual, accede a través del siguiente enlace:</w:t>
      </w:r>
    </w:p>
    <w:p w14:paraId="0B4D579C" w14:textId="77777777" w:rsidR="00CC3BE3" w:rsidRPr="0065720B" w:rsidRDefault="00CC3BE3" w:rsidP="00CC3BE3">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31269F90" w14:textId="77777777" w:rsidR="00CC3BE3" w:rsidRDefault="00CC3BE3" w:rsidP="00CC3BE3">
      <w:pPr>
        <w:widowControl w:val="0"/>
        <w:autoSpaceDE w:val="0"/>
        <w:autoSpaceDN w:val="0"/>
        <w:spacing w:after="0" w:line="276" w:lineRule="auto"/>
        <w:jc w:val="both"/>
        <w:rPr>
          <w:rStyle w:val="normaltextrun"/>
          <w:rFonts w:ascii="Verdana" w:hAnsi="Verdana" w:cs="Arial"/>
          <w:shd w:val="clear" w:color="auto" w:fill="FFFFFF"/>
          <w:lang w:val="es-ES"/>
        </w:rPr>
      </w:pPr>
    </w:p>
    <w:p w14:paraId="31C43161" w14:textId="77777777" w:rsidR="00CC3BE3" w:rsidRPr="00505CD6" w:rsidRDefault="00CC3BE3" w:rsidP="00CC3BE3">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hAnsi="Verdana" w:cs="Arial"/>
          <w:color w:val="000000" w:themeColor="text1"/>
          <w:shd w:val="clear" w:color="auto" w:fill="FFFFFF"/>
        </w:rPr>
        <w:t>L</w:t>
      </w:r>
      <w:r w:rsidRPr="00574BB0">
        <w:rPr>
          <w:rFonts w:ascii="Verdana" w:hAnsi="Verdana" w:cs="Arial"/>
          <w:color w:val="000000" w:themeColor="text1"/>
          <w:shd w:val="clear" w:color="auto" w:fill="FFFFFF"/>
        </w:rPr>
        <w:t>e contamos que ya se encuentra disponible la </w:t>
      </w:r>
      <w:r w:rsidRPr="00574BB0">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74BB0">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74BB0">
        <w:rPr>
          <w:rFonts w:ascii="Verdana" w:hAnsi="Verdana" w:cs="Arial"/>
          <w:color w:val="000000" w:themeColor="text1"/>
          <w:shd w:val="clear" w:color="auto" w:fill="FFFFFF"/>
        </w:rPr>
        <w:t>Wayúu</w:t>
      </w:r>
      <w:proofErr w:type="spellEnd"/>
      <w:r w:rsidRPr="00574BB0">
        <w:rPr>
          <w:rFonts w:ascii="Verdana"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574BB0">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574BB0">
        <w:rPr>
          <w:rFonts w:ascii="Verdana" w:hAnsi="Verdana" w:cs="Arial"/>
          <w:color w:val="000000" w:themeColor="text1"/>
          <w:u w:val="single"/>
          <w:shd w:val="clear" w:color="auto" w:fill="FFFFFF"/>
        </w:rPr>
        <w:t>"</w:t>
      </w:r>
    </w:p>
    <w:p w14:paraId="4EA71674" w14:textId="77777777" w:rsidR="00CC3BE3" w:rsidRDefault="00CC3BE3" w:rsidP="00CC3BE3">
      <w:pPr>
        <w:widowControl w:val="0"/>
        <w:autoSpaceDE w:val="0"/>
        <w:autoSpaceDN w:val="0"/>
        <w:spacing w:after="0" w:line="276" w:lineRule="auto"/>
        <w:jc w:val="both"/>
        <w:rPr>
          <w:rFonts w:ascii="Verdana" w:eastAsia="Calibri" w:hAnsi="Verdana" w:cs="Arial"/>
          <w:color w:val="000000" w:themeColor="text1"/>
        </w:rPr>
      </w:pPr>
    </w:p>
    <w:p w14:paraId="7B152D2A"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67299F8"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2589A6B9" w14:textId="77777777" w:rsidR="00CC3BE3" w:rsidRPr="00572E1B" w:rsidRDefault="00CC3BE3" w:rsidP="00CC3BE3">
      <w:pPr>
        <w:widowControl w:val="0"/>
        <w:numPr>
          <w:ilvl w:val="0"/>
          <w:numId w:val="18"/>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Línea nacional gratuita o servicio a la ciudadanía (Mesa de servicio): </w:t>
      </w:r>
      <w:r w:rsidRPr="00572E1B">
        <w:rPr>
          <w:rFonts w:ascii="Verdana" w:eastAsia="Calibri" w:hAnsi="Verdana" w:cs="Arial"/>
          <w:color w:val="000000" w:themeColor="text1"/>
          <w:u w:val="single"/>
          <w:lang w:val="es-ES"/>
        </w:rPr>
        <w:t>01800 0520808</w:t>
      </w:r>
      <w:r w:rsidRPr="00572E1B">
        <w:rPr>
          <w:rFonts w:ascii="Verdana" w:eastAsia="Calibri" w:hAnsi="Verdana" w:cs="Arial"/>
          <w:color w:val="000000" w:themeColor="text1"/>
        </w:rPr>
        <w:t> </w:t>
      </w:r>
    </w:p>
    <w:p w14:paraId="2CCDC2C7" w14:textId="77777777" w:rsidR="00CC3BE3" w:rsidRPr="00572E1B" w:rsidRDefault="00CC3BE3" w:rsidP="00CC3BE3">
      <w:pPr>
        <w:widowControl w:val="0"/>
        <w:numPr>
          <w:ilvl w:val="0"/>
          <w:numId w:val="19"/>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Línea en Bogotá (Mesa de servicio</w:t>
      </w:r>
      <w:proofErr w:type="gramStart"/>
      <w:r w:rsidRPr="00572E1B">
        <w:rPr>
          <w:rFonts w:ascii="Verdana" w:eastAsia="Calibri" w:hAnsi="Verdana" w:cs="Arial"/>
          <w:color w:val="000000" w:themeColor="text1"/>
          <w:lang w:val="es-MX"/>
        </w:rPr>
        <w:t>):</w:t>
      </w:r>
      <w:r w:rsidRPr="00572E1B">
        <w:rPr>
          <w:rFonts w:ascii="Verdana" w:eastAsia="Calibri" w:hAnsi="Verdana" w:cs="Arial"/>
          <w:color w:val="000000" w:themeColor="text1"/>
          <w:u w:val="single"/>
          <w:lang w:val="es-ES"/>
        </w:rPr>
        <w:t>+</w:t>
      </w:r>
      <w:proofErr w:type="gramEnd"/>
      <w:r w:rsidRPr="00572E1B">
        <w:rPr>
          <w:rFonts w:ascii="Verdana" w:eastAsia="Calibri" w:hAnsi="Verdana" w:cs="Arial"/>
          <w:color w:val="000000" w:themeColor="text1"/>
          <w:u w:val="single"/>
          <w:lang w:val="es-ES"/>
        </w:rPr>
        <w:t>57 601 7456788</w:t>
      </w:r>
      <w:r w:rsidRPr="00572E1B">
        <w:rPr>
          <w:rFonts w:ascii="Verdana" w:eastAsia="Calibri" w:hAnsi="Verdana" w:cs="Arial"/>
          <w:color w:val="000000" w:themeColor="text1"/>
        </w:rPr>
        <w:t> </w:t>
      </w:r>
    </w:p>
    <w:p w14:paraId="6CB60F47" w14:textId="77777777" w:rsidR="00CC3BE3" w:rsidRPr="00572E1B" w:rsidRDefault="00CC3BE3" w:rsidP="00CC3BE3">
      <w:pPr>
        <w:widowControl w:val="0"/>
        <w:numPr>
          <w:ilvl w:val="0"/>
          <w:numId w:val="20"/>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MX"/>
        </w:rPr>
        <w:t xml:space="preserve">Correo de radicación de correspondencia: </w:t>
      </w:r>
      <w:hyperlink r:id="rId14" w:tgtFrame="_blank" w:history="1">
        <w:r w:rsidRPr="00572E1B">
          <w:rPr>
            <w:rStyle w:val="Hipervnculo"/>
            <w:rFonts w:ascii="Verdana" w:eastAsia="Calibri" w:hAnsi="Verdana" w:cs="Arial"/>
            <w:lang w:val="es-MX"/>
          </w:rPr>
          <w:t>ventanilladeradicacion@colombiacompra.gov.co</w:t>
        </w:r>
      </w:hyperlink>
      <w:r w:rsidRPr="00572E1B">
        <w:rPr>
          <w:rFonts w:ascii="Verdana" w:eastAsia="Calibri" w:hAnsi="Verdana" w:cs="Arial"/>
          <w:color w:val="000000" w:themeColor="text1"/>
        </w:rPr>
        <w:t> </w:t>
      </w:r>
    </w:p>
    <w:p w14:paraId="1F74FF78" w14:textId="77777777" w:rsidR="00CC3BE3" w:rsidRPr="00572E1B" w:rsidRDefault="00CC3BE3" w:rsidP="00CC3BE3">
      <w:pPr>
        <w:widowControl w:val="0"/>
        <w:numPr>
          <w:ilvl w:val="0"/>
          <w:numId w:val="21"/>
        </w:numPr>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lang w:val="es-ES"/>
        </w:rPr>
        <w:t xml:space="preserve">Formulario web para PQRSD: </w:t>
      </w:r>
      <w:hyperlink r:id="rId15" w:tgtFrame="_blank" w:history="1">
        <w:r w:rsidRPr="00572E1B">
          <w:rPr>
            <w:rStyle w:val="Hipervnculo"/>
            <w:rFonts w:ascii="Verdana" w:eastAsia="Calibri" w:hAnsi="Verdana" w:cs="Arial"/>
            <w:lang w:val="es-MX"/>
          </w:rPr>
          <w:t>https://www.colombiacompra.gov.co/pqrsd/informacion-importante-antes-de-formular-una-pqrsd</w:t>
        </w:r>
      </w:hyperlink>
      <w:r w:rsidRPr="00572E1B">
        <w:rPr>
          <w:rFonts w:ascii="Verdana" w:eastAsia="Calibri" w:hAnsi="Verdana" w:cs="Arial"/>
          <w:color w:val="000000" w:themeColor="text1"/>
        </w:rPr>
        <w:t> </w:t>
      </w:r>
    </w:p>
    <w:p w14:paraId="66796EFD"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5BA3DC4A"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Evalúa el servicio que ofrece la Agencia por el canal de atención de PQRSD en el siguiente </w:t>
      </w:r>
      <w:proofErr w:type="gramStart"/>
      <w:r w:rsidRPr="00572E1B">
        <w:rPr>
          <w:rFonts w:ascii="Verdana" w:eastAsia="Calibri" w:hAnsi="Verdana" w:cs="Arial"/>
          <w:color w:val="000000" w:themeColor="text1"/>
        </w:rPr>
        <w:t>enlace :</w:t>
      </w:r>
      <w:proofErr w:type="gramEnd"/>
      <w:r w:rsidRPr="00572E1B">
        <w:rPr>
          <w:rFonts w:ascii="Verdana" w:eastAsia="Calibri" w:hAnsi="Verdana" w:cs="Arial"/>
          <w:color w:val="000000" w:themeColor="text1"/>
        </w:rPr>
        <w:fldChar w:fldCharType="begin"/>
      </w:r>
      <w:r w:rsidRPr="00572E1B">
        <w:rPr>
          <w:rFonts w:ascii="Verdana" w:eastAsia="Calibri" w:hAnsi="Verdana" w:cs="Arial"/>
          <w:color w:val="000000" w:themeColor="text1"/>
        </w:rPr>
        <w:instrText>HYPERLINK "https://forms.office.com/r/pPHyWVs2SZ" \t "_blank"</w:instrText>
      </w:r>
      <w:r w:rsidRPr="00572E1B">
        <w:rPr>
          <w:rFonts w:ascii="Verdana" w:eastAsia="Calibri" w:hAnsi="Verdana" w:cs="Arial"/>
          <w:color w:val="000000" w:themeColor="text1"/>
        </w:rPr>
      </w:r>
      <w:r w:rsidRPr="00572E1B">
        <w:rPr>
          <w:rFonts w:ascii="Verdana" w:eastAsia="Calibri" w:hAnsi="Verdana" w:cs="Arial"/>
          <w:color w:val="000000" w:themeColor="text1"/>
        </w:rPr>
        <w:fldChar w:fldCharType="separate"/>
      </w:r>
      <w:r w:rsidRPr="00572E1B">
        <w:rPr>
          <w:rStyle w:val="Hipervnculo"/>
          <w:rFonts w:ascii="Verdana" w:eastAsia="Calibri" w:hAnsi="Verdana" w:cs="Arial"/>
        </w:rPr>
        <w:t>https://forms.office.com/r/pPHyWVs2SZ</w:t>
      </w:r>
      <w:r w:rsidRPr="00572E1B">
        <w:rPr>
          <w:rFonts w:ascii="Verdana" w:eastAsia="Calibri" w:hAnsi="Verdana" w:cs="Arial"/>
          <w:color w:val="000000" w:themeColor="text1"/>
        </w:rPr>
        <w:fldChar w:fldCharType="end"/>
      </w:r>
      <w:proofErr w:type="gramStart"/>
      <w:r w:rsidRPr="00572E1B">
        <w:rPr>
          <w:rFonts w:ascii="Verdana" w:eastAsia="Calibri" w:hAnsi="Verdana" w:cs="Arial"/>
          <w:color w:val="000000" w:themeColor="text1"/>
        </w:rPr>
        <w:t>.¡</w:t>
      </w:r>
      <w:proofErr w:type="gramEnd"/>
      <w:r w:rsidRPr="00572E1B">
        <w:rPr>
          <w:rFonts w:ascii="Verdana" w:eastAsia="Calibri" w:hAnsi="Verdana" w:cs="Arial"/>
          <w:color w:val="000000" w:themeColor="text1"/>
        </w:rPr>
        <w:t>Ayúdanos a mejorar porque el compromiso es de todos! </w:t>
      </w:r>
    </w:p>
    <w:p w14:paraId="3846F0CE"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1490D439"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lastRenderedPageBreak/>
        <w:t>Por último, lo invitamos a seguirnos en las redes sociales en las cuales se difunde información institucional:  </w:t>
      </w:r>
    </w:p>
    <w:p w14:paraId="132A49D4"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585F098E"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Twitter: </w:t>
      </w:r>
      <w:r w:rsidRPr="00572E1B">
        <w:rPr>
          <w:rFonts w:ascii="Verdana" w:eastAsia="Calibri" w:hAnsi="Verdana" w:cs="Arial"/>
          <w:color w:val="000000" w:themeColor="text1"/>
          <w:u w:val="single"/>
        </w:rPr>
        <w:t>@colombiacompra</w:t>
      </w:r>
      <w:r w:rsidRPr="00572E1B">
        <w:rPr>
          <w:rFonts w:ascii="Verdana" w:eastAsia="Calibri" w:hAnsi="Verdana" w:cs="Arial"/>
          <w:color w:val="000000" w:themeColor="text1"/>
        </w:rPr>
        <w:t>  </w:t>
      </w:r>
    </w:p>
    <w:p w14:paraId="50FE67A0"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Facebook: </w:t>
      </w:r>
      <w:proofErr w:type="spellStart"/>
      <w:r w:rsidRPr="00572E1B">
        <w:rPr>
          <w:rFonts w:ascii="Verdana" w:eastAsia="Calibri" w:hAnsi="Verdana" w:cs="Arial"/>
          <w:color w:val="000000" w:themeColor="text1"/>
          <w:u w:val="single"/>
        </w:rPr>
        <w:t>ColombiaCompraEficiente</w:t>
      </w:r>
      <w:proofErr w:type="spellEnd"/>
      <w:r w:rsidRPr="00572E1B">
        <w:rPr>
          <w:rFonts w:ascii="Verdana" w:eastAsia="Calibri" w:hAnsi="Verdana" w:cs="Arial"/>
          <w:color w:val="000000" w:themeColor="text1"/>
        </w:rPr>
        <w:t> </w:t>
      </w:r>
    </w:p>
    <w:p w14:paraId="4ADA3333"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xml:space="preserve">LinkedIn: </w:t>
      </w:r>
      <w:r w:rsidRPr="00572E1B">
        <w:rPr>
          <w:rFonts w:ascii="Verdana" w:eastAsia="Calibri" w:hAnsi="Verdana" w:cs="Arial"/>
          <w:color w:val="000000" w:themeColor="text1"/>
          <w:u w:val="single"/>
        </w:rPr>
        <w:t>Agencia Nacional de Contratación Pública - Colombia Compra Eficiente</w:t>
      </w:r>
      <w:r w:rsidRPr="00572E1B">
        <w:rPr>
          <w:rFonts w:ascii="Verdana" w:eastAsia="Calibri" w:hAnsi="Verdana" w:cs="Arial"/>
          <w:color w:val="000000" w:themeColor="text1"/>
        </w:rPr>
        <w:t xml:space="preserve"> Instagram: </w:t>
      </w:r>
      <w:r w:rsidRPr="00572E1B">
        <w:rPr>
          <w:rFonts w:ascii="Verdana" w:eastAsia="Calibri" w:hAnsi="Verdana" w:cs="Arial"/>
          <w:color w:val="000000" w:themeColor="text1"/>
          <w:u w:val="single"/>
        </w:rPr>
        <w:t>@colombiacompraeficiente_cce</w:t>
      </w:r>
      <w:r w:rsidRPr="00572E1B">
        <w:rPr>
          <w:rFonts w:ascii="Verdana" w:eastAsia="Calibri" w:hAnsi="Verdana" w:cs="Arial"/>
          <w:color w:val="000000" w:themeColor="text1"/>
        </w:rPr>
        <w:t> </w:t>
      </w:r>
    </w:p>
    <w:p w14:paraId="2FEB0FB5" w14:textId="77777777" w:rsidR="00CC3BE3" w:rsidRPr="00572E1B" w:rsidRDefault="00CC3BE3" w:rsidP="00CC3BE3">
      <w:pPr>
        <w:widowControl w:val="0"/>
        <w:autoSpaceDE w:val="0"/>
        <w:autoSpaceDN w:val="0"/>
        <w:spacing w:after="0" w:line="276" w:lineRule="auto"/>
        <w:jc w:val="both"/>
        <w:rPr>
          <w:rFonts w:ascii="Verdana" w:eastAsia="Calibri" w:hAnsi="Verdana" w:cs="Arial"/>
          <w:color w:val="000000" w:themeColor="text1"/>
        </w:rPr>
      </w:pPr>
      <w:r w:rsidRPr="00572E1B">
        <w:rPr>
          <w:rFonts w:ascii="Verdana" w:eastAsia="Calibri" w:hAnsi="Verdana" w:cs="Arial"/>
          <w:color w:val="000000" w:themeColor="text1"/>
        </w:rPr>
        <w:t> </w:t>
      </w:r>
    </w:p>
    <w:p w14:paraId="67C666F9" w14:textId="77777777" w:rsidR="00CC3BE3" w:rsidRPr="00505CD6" w:rsidRDefault="00CC3BE3" w:rsidP="00CC3BE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1693E97" w14:textId="77777777" w:rsidR="00CC3BE3" w:rsidRPr="00505CD6" w:rsidRDefault="00CC3BE3" w:rsidP="00CC3BE3">
      <w:pPr>
        <w:widowControl w:val="0"/>
        <w:autoSpaceDE w:val="0"/>
        <w:autoSpaceDN w:val="0"/>
        <w:spacing w:after="0" w:line="276" w:lineRule="auto"/>
        <w:jc w:val="both"/>
        <w:rPr>
          <w:rFonts w:ascii="Verdana" w:hAnsi="Verdana" w:cs="Arial"/>
        </w:rPr>
      </w:pPr>
    </w:p>
    <w:bookmarkEnd w:id="1"/>
    <w:bookmarkEnd w:id="2"/>
    <w:p w14:paraId="7D93026A" w14:textId="77777777" w:rsidR="00CC3BE3" w:rsidRPr="00505CD6" w:rsidRDefault="00CC3BE3" w:rsidP="00CC3BE3">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BD09B5D" w14:textId="659F9C69" w:rsidR="00CC3BE3" w:rsidRPr="00EF055B" w:rsidRDefault="00D16D34" w:rsidP="00CC3BE3">
      <w:pPr>
        <w:spacing w:line="276" w:lineRule="auto"/>
        <w:jc w:val="center"/>
        <w:rPr>
          <w:noProof/>
          <w:color w:val="000000"/>
        </w:rPr>
      </w:pPr>
      <w:r w:rsidRPr="002C3AD6">
        <w:rPr>
          <w:rFonts w:ascii="Century Gothic" w:hAnsi="Century Gothic"/>
          <w:noProof/>
        </w:rPr>
        <w:drawing>
          <wp:inline distT="0" distB="0" distL="0" distR="0" wp14:anchorId="37404475" wp14:editId="378F0DF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C3BE3" w:rsidRPr="00593A5F" w14:paraId="426EA4D8" w14:textId="77777777" w:rsidTr="08AA83F8">
        <w:trPr>
          <w:trHeight w:val="315"/>
        </w:trPr>
        <w:tc>
          <w:tcPr>
            <w:tcW w:w="893" w:type="dxa"/>
            <w:vAlign w:val="center"/>
            <w:hideMark/>
          </w:tcPr>
          <w:p w14:paraId="5CE50631" w14:textId="77777777" w:rsidR="00CC3BE3" w:rsidRPr="003751C7" w:rsidRDefault="00CC3BE3" w:rsidP="00C103D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92B639C" w14:textId="77777777" w:rsidR="00CC3BE3" w:rsidRPr="00C42FC5" w:rsidRDefault="00CC3BE3" w:rsidP="00C103D3">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María Joshira Nieto Manzano.</w:t>
            </w:r>
          </w:p>
          <w:p w14:paraId="70994165" w14:textId="77777777" w:rsidR="00CC3BE3" w:rsidRPr="00C42FC5" w:rsidRDefault="00CC3BE3" w:rsidP="00C103D3">
            <w:pPr>
              <w:contextualSpacing/>
              <w:rPr>
                <w:rStyle w:val="normaltextrun"/>
                <w:rFonts w:eastAsia="Times New Roman" w:cstheme="minorHAnsi"/>
                <w:lang w:eastAsia="es-CO"/>
              </w:rPr>
            </w:pPr>
            <w:r w:rsidRPr="00C42FC5">
              <w:rPr>
                <w:rStyle w:val="normaltextrun"/>
                <w:rFonts w:ascii="Verdana" w:eastAsia="Times New Roman" w:hAnsi="Verdana" w:cstheme="minorHAnsi"/>
                <w:sz w:val="16"/>
                <w:szCs w:val="16"/>
                <w:lang w:eastAsia="es-CO"/>
              </w:rPr>
              <w:t>Contratista</w:t>
            </w:r>
            <w:r w:rsidRPr="00C42FC5">
              <w:rPr>
                <w:rStyle w:val="normaltextrun"/>
                <w:rFonts w:eastAsia="Times New Roman" w:cstheme="minorHAnsi"/>
                <w:lang w:eastAsia="es-CO"/>
              </w:rPr>
              <w:t xml:space="preserve"> de la Subdirección de Gestión Contractual</w:t>
            </w:r>
          </w:p>
        </w:tc>
      </w:tr>
      <w:tr w:rsidR="00CC3BE3" w:rsidRPr="00593A5F" w14:paraId="00DD07DB" w14:textId="77777777" w:rsidTr="08AA83F8">
        <w:trPr>
          <w:trHeight w:val="330"/>
        </w:trPr>
        <w:tc>
          <w:tcPr>
            <w:tcW w:w="893" w:type="dxa"/>
            <w:vAlign w:val="center"/>
            <w:hideMark/>
          </w:tcPr>
          <w:p w14:paraId="29B6D4B4" w14:textId="77777777" w:rsidR="00CC3BE3" w:rsidRPr="003751C7" w:rsidRDefault="00CC3BE3" w:rsidP="00C103D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0AB5E2" w14:textId="15C284C7" w:rsidR="00CC3BE3" w:rsidRDefault="00CC3BE3" w:rsidP="08AA83F8">
            <w:pPr>
              <w:pStyle w:val="paragraph"/>
              <w:spacing w:before="0" w:beforeAutospacing="0" w:after="0" w:afterAutospacing="0"/>
              <w:contextualSpacing/>
              <w:textAlignment w:val="baseline"/>
              <w:rPr>
                <w:rStyle w:val="normaltextrun"/>
                <w:rFonts w:ascii="Verdana" w:hAnsi="Verdana" w:cstheme="minorBidi"/>
                <w:sz w:val="16"/>
                <w:szCs w:val="16"/>
              </w:rPr>
            </w:pPr>
            <w:r w:rsidRPr="08AA83F8">
              <w:rPr>
                <w:rStyle w:val="normaltextrun"/>
                <w:rFonts w:ascii="Verdana" w:hAnsi="Verdana" w:cstheme="minorBidi"/>
                <w:sz w:val="16"/>
                <w:szCs w:val="16"/>
              </w:rPr>
              <w:t>Juan Carlos González</w:t>
            </w:r>
            <w:r w:rsidR="61D020A3" w:rsidRPr="08AA83F8">
              <w:rPr>
                <w:rStyle w:val="normaltextrun"/>
                <w:rFonts w:ascii="Verdana" w:hAnsi="Verdana" w:cstheme="minorBidi"/>
                <w:sz w:val="16"/>
                <w:szCs w:val="16"/>
              </w:rPr>
              <w:t xml:space="preserve"> Vásquez</w:t>
            </w:r>
            <w:r w:rsidRPr="08AA83F8">
              <w:rPr>
                <w:rStyle w:val="normaltextrun"/>
                <w:rFonts w:ascii="Verdana" w:hAnsi="Verdana" w:cstheme="minorBidi"/>
                <w:sz w:val="16"/>
                <w:szCs w:val="16"/>
              </w:rPr>
              <w:t>.</w:t>
            </w:r>
          </w:p>
          <w:p w14:paraId="43F09DA8" w14:textId="77777777" w:rsidR="00CC3BE3" w:rsidRPr="00C42FC5" w:rsidRDefault="00CC3BE3" w:rsidP="00C103D3">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CC3BE3" w:rsidRPr="00593A5F" w14:paraId="560EC47C" w14:textId="77777777" w:rsidTr="08AA83F8">
        <w:trPr>
          <w:trHeight w:val="300"/>
        </w:trPr>
        <w:tc>
          <w:tcPr>
            <w:tcW w:w="893" w:type="dxa"/>
            <w:vAlign w:val="center"/>
          </w:tcPr>
          <w:p w14:paraId="3A831D86" w14:textId="77777777" w:rsidR="00CC3BE3" w:rsidRPr="003751C7" w:rsidRDefault="00CC3BE3" w:rsidP="00C103D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1063AA" w14:textId="77777777" w:rsidR="00CC3BE3" w:rsidRPr="000015E6" w:rsidRDefault="00CC3BE3" w:rsidP="00C103D3">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r>
              <w:rPr>
                <w:rFonts w:ascii="Verdana" w:eastAsia="Calibri" w:hAnsi="Verdana" w:cs="Arial"/>
                <w:sz w:val="16"/>
                <w:szCs w:val="16"/>
                <w:lang w:val="pt-BR" w:eastAsia="es-ES"/>
              </w:rPr>
              <w:t>.</w:t>
            </w:r>
          </w:p>
          <w:p w14:paraId="36CC48B9" w14:textId="77777777" w:rsidR="00CC3BE3" w:rsidRPr="000015E6" w:rsidRDefault="00CC3BE3" w:rsidP="00C103D3">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0F94BCBD" w14:textId="77777777" w:rsidR="00CC3BE3" w:rsidRPr="0044528D" w:rsidRDefault="00CC3BE3" w:rsidP="00CC3BE3">
      <w:pPr>
        <w:spacing w:after="0"/>
        <w:rPr>
          <w:rFonts w:ascii="Verdana" w:hAnsi="Verdana"/>
        </w:rPr>
      </w:pPr>
    </w:p>
    <w:p w14:paraId="58196385" w14:textId="77777777" w:rsidR="00CC3BE3" w:rsidRPr="00596868" w:rsidRDefault="00CC3BE3" w:rsidP="00CC3BE3"/>
    <w:p w14:paraId="0F293BF4" w14:textId="27701BBF" w:rsidR="00127233" w:rsidRPr="0015699B" w:rsidRDefault="00127233" w:rsidP="00CC3BE3">
      <w:pPr>
        <w:spacing w:after="0"/>
        <w:rPr>
          <w:rFonts w:ascii="Verdana" w:eastAsia="Times New Roman" w:hAnsi="Verdana" w:cs="Segoe UI"/>
          <w:lang w:eastAsia="es-CO"/>
        </w:rPr>
      </w:pPr>
    </w:p>
    <w:sectPr w:rsidR="00127233" w:rsidRPr="0015699B" w:rsidSect="00702E05">
      <w:headerReference w:type="default" r:id="rId17"/>
      <w:footerReference w:type="default" r:id="rId18"/>
      <w:pgSz w:w="12240" w:h="15840" w:code="1"/>
      <w:pgMar w:top="1417" w:right="1701" w:bottom="1417" w:left="1701" w:header="709" w:footer="129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CD0D7" w14:textId="77777777" w:rsidR="00C37CB7" w:rsidRDefault="00C37CB7" w:rsidP="004A1847">
      <w:pPr>
        <w:spacing w:after="0" w:line="240" w:lineRule="auto"/>
      </w:pPr>
      <w:r>
        <w:separator/>
      </w:r>
    </w:p>
  </w:endnote>
  <w:endnote w:type="continuationSeparator" w:id="0">
    <w:p w14:paraId="585DFC49" w14:textId="77777777" w:rsidR="00C37CB7" w:rsidRDefault="00C37CB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3E273" w14:textId="77777777" w:rsidR="00C37CB7" w:rsidRDefault="00C37CB7" w:rsidP="004A1847">
      <w:pPr>
        <w:spacing w:after="0" w:line="240" w:lineRule="auto"/>
      </w:pPr>
      <w:r>
        <w:separator/>
      </w:r>
    </w:p>
  </w:footnote>
  <w:footnote w:type="continuationSeparator" w:id="0">
    <w:p w14:paraId="6DC817C2" w14:textId="77777777" w:rsidR="00C37CB7" w:rsidRDefault="00C37CB7" w:rsidP="004A1847">
      <w:pPr>
        <w:spacing w:after="0" w:line="240" w:lineRule="auto"/>
      </w:pPr>
      <w:r>
        <w:continuationSeparator/>
      </w:r>
    </w:p>
  </w:footnote>
  <w:footnote w:id="1">
    <w:p w14:paraId="2AD8DD54" w14:textId="77777777" w:rsidR="00CC3BE3" w:rsidRPr="00AD0745" w:rsidRDefault="00CC3BE3" w:rsidP="00CC3BE3">
      <w:pPr>
        <w:ind w:firstLine="709"/>
        <w:jc w:val="both"/>
        <w:rPr>
          <w:rFonts w:ascii="Arial" w:eastAsia="Arial" w:hAnsi="Arial" w:cs="Arial"/>
          <w:color w:val="000000"/>
          <w:sz w:val="16"/>
          <w:szCs w:val="16"/>
        </w:rPr>
      </w:pPr>
      <w:r w:rsidRPr="00AD0745">
        <w:rPr>
          <w:rFonts w:ascii="Arial" w:eastAsia="Arial" w:hAnsi="Arial" w:cs="Arial"/>
          <w:color w:val="000000"/>
          <w:sz w:val="16"/>
          <w:szCs w:val="16"/>
        </w:rPr>
        <w:footnoteRef/>
      </w:r>
      <w:r w:rsidRPr="00AD0745">
        <w:rPr>
          <w:rFonts w:ascii="Arial" w:eastAsia="Arial" w:hAnsi="Arial" w:cs="Arial"/>
          <w:color w:val="000000"/>
          <w:sz w:val="16"/>
          <w:szCs w:val="16"/>
        </w:rPr>
        <w:t xml:space="preserve"> «PARÁGRAFO 3. Lo previsto en esta norma aplica sin perjuicio de lo dispuesto en los Acuerdos Comerciales suscritos por el Estado colombiano, pero no rige en las convocatorias limitadas que se realicen conforme a los artículos 2.2.1.2.4.2.2 y 2.2.1.2.4.2.3 de este Decreto».</w:t>
      </w:r>
    </w:p>
  </w:footnote>
  <w:footnote w:id="2">
    <w:p w14:paraId="5CAF9FE1" w14:textId="77777777" w:rsidR="00CC3BE3" w:rsidRPr="00AD0745" w:rsidRDefault="00CC3BE3" w:rsidP="00CC3BE3">
      <w:pPr>
        <w:ind w:firstLine="709"/>
        <w:jc w:val="both"/>
        <w:rPr>
          <w:rFonts w:ascii="Arial" w:eastAsia="Arial" w:hAnsi="Arial" w:cs="Arial"/>
          <w:color w:val="000000"/>
          <w:sz w:val="16"/>
          <w:szCs w:val="16"/>
        </w:rPr>
      </w:pPr>
      <w:r w:rsidRPr="00AD0745">
        <w:rPr>
          <w:rFonts w:ascii="Arial" w:eastAsia="Arial" w:hAnsi="Arial" w:cs="Arial"/>
          <w:color w:val="000000"/>
          <w:sz w:val="16"/>
          <w:szCs w:val="16"/>
        </w:rPr>
        <w:footnoteRef/>
      </w:r>
      <w:r w:rsidRPr="00AD0745">
        <w:rPr>
          <w:rFonts w:ascii="Arial" w:eastAsia="Arial" w:hAnsi="Arial" w:cs="Arial"/>
          <w:color w:val="000000"/>
          <w:sz w:val="16"/>
          <w:szCs w:val="16"/>
        </w:rPr>
        <w:t xml:space="preserve"> «PARÁGRAFO 3. Lo previsto en esta norma aplica sin perjuicio de lo dispuesto en los Acuerdos Comerciales suscritos por el Estado colombiano, pero no rige en las convocatorias limitadas que se realicen conforme a los artículos 2.2.1.2.4.2.2 y 2.2.1.2.4.2.3 de este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1312"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444506649"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918415931" name="Imagen 1918415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B606DB"/>
    <w:multiLevelType w:val="multilevel"/>
    <w:tmpl w:val="4E6E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9015C9"/>
    <w:multiLevelType w:val="multilevel"/>
    <w:tmpl w:val="F38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3EE7D34"/>
    <w:multiLevelType w:val="multilevel"/>
    <w:tmpl w:val="24507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203983"/>
    <w:multiLevelType w:val="multilevel"/>
    <w:tmpl w:val="32EC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380713882">
    <w:abstractNumId w:val="0"/>
  </w:num>
  <w:num w:numId="17" w16cid:durableId="782461700">
    <w:abstractNumId w:val="12"/>
  </w:num>
  <w:num w:numId="18" w16cid:durableId="1276667598">
    <w:abstractNumId w:val="18"/>
  </w:num>
  <w:num w:numId="19" w16cid:durableId="788888712">
    <w:abstractNumId w:val="4"/>
  </w:num>
  <w:num w:numId="20" w16cid:durableId="1943099715">
    <w:abstractNumId w:val="3"/>
  </w:num>
  <w:num w:numId="21" w16cid:durableId="1544181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15149"/>
    <w:rsid w:val="0022400B"/>
    <w:rsid w:val="002421BB"/>
    <w:rsid w:val="0025796E"/>
    <w:rsid w:val="002707A2"/>
    <w:rsid w:val="002951A0"/>
    <w:rsid w:val="002962BC"/>
    <w:rsid w:val="002A093D"/>
    <w:rsid w:val="002A0DD0"/>
    <w:rsid w:val="002A49AC"/>
    <w:rsid w:val="002A64FD"/>
    <w:rsid w:val="002B3852"/>
    <w:rsid w:val="002C7A84"/>
    <w:rsid w:val="002E2BF8"/>
    <w:rsid w:val="002E4FD9"/>
    <w:rsid w:val="0030657A"/>
    <w:rsid w:val="00322A85"/>
    <w:rsid w:val="00324168"/>
    <w:rsid w:val="00330834"/>
    <w:rsid w:val="003448F4"/>
    <w:rsid w:val="00374F5E"/>
    <w:rsid w:val="00377E3E"/>
    <w:rsid w:val="003A779E"/>
    <w:rsid w:val="003D007A"/>
    <w:rsid w:val="003D0F4D"/>
    <w:rsid w:val="003D5B0D"/>
    <w:rsid w:val="003E0499"/>
    <w:rsid w:val="003E4F80"/>
    <w:rsid w:val="003E6439"/>
    <w:rsid w:val="003F156C"/>
    <w:rsid w:val="003F3941"/>
    <w:rsid w:val="00406575"/>
    <w:rsid w:val="00414C74"/>
    <w:rsid w:val="0042722E"/>
    <w:rsid w:val="0044528D"/>
    <w:rsid w:val="00455177"/>
    <w:rsid w:val="00466E39"/>
    <w:rsid w:val="004A1847"/>
    <w:rsid w:val="004A305D"/>
    <w:rsid w:val="004F21C4"/>
    <w:rsid w:val="004F2810"/>
    <w:rsid w:val="004F685F"/>
    <w:rsid w:val="00510E44"/>
    <w:rsid w:val="005566E8"/>
    <w:rsid w:val="00574867"/>
    <w:rsid w:val="00591460"/>
    <w:rsid w:val="005A65E0"/>
    <w:rsid w:val="005C3777"/>
    <w:rsid w:val="005C5CDC"/>
    <w:rsid w:val="005D476C"/>
    <w:rsid w:val="006200BF"/>
    <w:rsid w:val="006219F8"/>
    <w:rsid w:val="006302F7"/>
    <w:rsid w:val="00646B9F"/>
    <w:rsid w:val="00665D70"/>
    <w:rsid w:val="00683C30"/>
    <w:rsid w:val="006900D9"/>
    <w:rsid w:val="006C6083"/>
    <w:rsid w:val="00702E0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A08F9"/>
    <w:rsid w:val="00BC3D36"/>
    <w:rsid w:val="00BD54A6"/>
    <w:rsid w:val="00BD7F72"/>
    <w:rsid w:val="00BF7425"/>
    <w:rsid w:val="00C04FB3"/>
    <w:rsid w:val="00C11D8B"/>
    <w:rsid w:val="00C15139"/>
    <w:rsid w:val="00C330EB"/>
    <w:rsid w:val="00C37CB7"/>
    <w:rsid w:val="00C50D69"/>
    <w:rsid w:val="00C5365C"/>
    <w:rsid w:val="00C754BE"/>
    <w:rsid w:val="00C76B1C"/>
    <w:rsid w:val="00C925AC"/>
    <w:rsid w:val="00CB6357"/>
    <w:rsid w:val="00CC1B26"/>
    <w:rsid w:val="00CC3BE3"/>
    <w:rsid w:val="00CC45EC"/>
    <w:rsid w:val="00CF798C"/>
    <w:rsid w:val="00D16D34"/>
    <w:rsid w:val="00D361FD"/>
    <w:rsid w:val="00D423A2"/>
    <w:rsid w:val="00D44E26"/>
    <w:rsid w:val="00D520D8"/>
    <w:rsid w:val="00D63AC2"/>
    <w:rsid w:val="00D7383B"/>
    <w:rsid w:val="00D7788A"/>
    <w:rsid w:val="00DA231B"/>
    <w:rsid w:val="00DC39FC"/>
    <w:rsid w:val="00DF5254"/>
    <w:rsid w:val="00E02524"/>
    <w:rsid w:val="00E16408"/>
    <w:rsid w:val="00E20894"/>
    <w:rsid w:val="00E243FB"/>
    <w:rsid w:val="00E245AB"/>
    <w:rsid w:val="00E2764C"/>
    <w:rsid w:val="00E27F2E"/>
    <w:rsid w:val="00E50AFE"/>
    <w:rsid w:val="00E75C92"/>
    <w:rsid w:val="00E771DC"/>
    <w:rsid w:val="00E8772A"/>
    <w:rsid w:val="00E90F6B"/>
    <w:rsid w:val="00E92C27"/>
    <w:rsid w:val="00EA0E3D"/>
    <w:rsid w:val="00EC38A7"/>
    <w:rsid w:val="00EC43E0"/>
    <w:rsid w:val="00EC50C0"/>
    <w:rsid w:val="00EE1AA8"/>
    <w:rsid w:val="00F04D2D"/>
    <w:rsid w:val="00F23FEA"/>
    <w:rsid w:val="00F31EDC"/>
    <w:rsid w:val="00F462B3"/>
    <w:rsid w:val="00F5664F"/>
    <w:rsid w:val="00F666C4"/>
    <w:rsid w:val="00F76AFC"/>
    <w:rsid w:val="00FA47C0"/>
    <w:rsid w:val="00FB5DD1"/>
    <w:rsid w:val="00FC2B5D"/>
    <w:rsid w:val="00FC5913"/>
    <w:rsid w:val="00FF1449"/>
    <w:rsid w:val="00FF7963"/>
    <w:rsid w:val="06006603"/>
    <w:rsid w:val="08AA83F8"/>
    <w:rsid w:val="09908A09"/>
    <w:rsid w:val="13CFC91B"/>
    <w:rsid w:val="19A2EC2C"/>
    <w:rsid w:val="2859CA1B"/>
    <w:rsid w:val="28E037A1"/>
    <w:rsid w:val="32A4F9CF"/>
    <w:rsid w:val="356CEDFD"/>
    <w:rsid w:val="3F448E3D"/>
    <w:rsid w:val="61D020A3"/>
    <w:rsid w:val="69614A15"/>
    <w:rsid w:val="6E6E22E9"/>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C3BE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C3BE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bamanrique909@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7A1AAA-ED7F-4C64-B0F7-B77A754BE1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16</Pages>
  <Words>4675</Words>
  <Characters>26420</Characters>
  <Application>Microsoft Office Word</Application>
  <DocSecurity>0</DocSecurity>
  <Lines>574</Lines>
  <Paragraphs>134</Paragraphs>
  <ScaleCrop>false</ScaleCrop>
  <Company/>
  <LinksUpToDate>false</LinksUpToDate>
  <CharactersWithSpaces>30961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2025-11-14T19:23:00Z</dcterms:created>
  <dcterms:modified xsi:type="dcterms:W3CDTF">2025-11-18T15:06:00Z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