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96D84B" w14:textId="77777777" w:rsidR="00EF44FF" w:rsidRPr="00D807F9" w:rsidRDefault="00EF44FF" w:rsidP="00EF44FF">
      <w:pPr>
        <w:spacing w:after="0" w:line="240" w:lineRule="auto"/>
        <w:jc w:val="both"/>
        <w:rPr>
          <w:rFonts w:ascii="Verdana" w:eastAsia="Calibri" w:hAnsi="Verdana" w:cs="Arial"/>
          <w:bCs/>
          <w:color w:val="000000"/>
          <w:sz w:val="20"/>
          <w:szCs w:val="20"/>
          <w:lang w:val="es-ES_tradnl"/>
        </w:rPr>
      </w:pPr>
    </w:p>
    <w:p w14:paraId="09F4AE69" w14:textId="77777777" w:rsidR="00EF44FF" w:rsidRPr="00D807F9" w:rsidRDefault="00EF44FF" w:rsidP="00EF44FF">
      <w:pPr>
        <w:spacing w:after="0" w:line="240" w:lineRule="auto"/>
        <w:jc w:val="both"/>
        <w:rPr>
          <w:rFonts w:ascii="Verdana" w:eastAsia="Calibri" w:hAnsi="Verdana" w:cs="Arial"/>
          <w:b/>
          <w:lang w:val="es-ES_tradnl"/>
        </w:rPr>
      </w:pPr>
      <w:r w:rsidRPr="00D807F9">
        <w:rPr>
          <w:rFonts w:ascii="Verdana" w:eastAsia="Calibri" w:hAnsi="Verdana" w:cs="Arial"/>
          <w:b/>
          <w:lang w:val="es-ES_tradnl"/>
        </w:rPr>
        <w:t xml:space="preserve">ESTUDIOS DEL SECTOR </w:t>
      </w:r>
      <w:r w:rsidRPr="00D807F9">
        <w:rPr>
          <w:rFonts w:ascii="Verdana" w:eastAsia="Calibri" w:hAnsi="Verdana" w:cs="Arial"/>
          <w:b/>
          <w:color w:val="000000" w:themeColor="text1"/>
        </w:rPr>
        <w:t>–</w:t>
      </w:r>
      <w:r w:rsidRPr="00D807F9">
        <w:rPr>
          <w:rFonts w:ascii="Verdana" w:eastAsia="Calibri" w:hAnsi="Verdana" w:cs="Arial"/>
          <w:b/>
          <w:lang w:val="es-ES_tradnl"/>
        </w:rPr>
        <w:t xml:space="preserve"> Manifestación </w:t>
      </w:r>
      <w:r w:rsidRPr="00D807F9">
        <w:rPr>
          <w:rFonts w:ascii="Verdana" w:eastAsia="Calibri" w:hAnsi="Verdana" w:cs="Arial"/>
          <w:b/>
          <w:color w:val="000000" w:themeColor="text1"/>
        </w:rPr>
        <w:t>– P</w:t>
      </w:r>
      <w:proofErr w:type="spellStart"/>
      <w:r w:rsidRPr="00D807F9">
        <w:rPr>
          <w:rFonts w:ascii="Verdana" w:eastAsia="Calibri" w:hAnsi="Verdana" w:cs="Arial"/>
          <w:b/>
          <w:lang w:val="es-ES_tradnl"/>
        </w:rPr>
        <w:t>rincipio</w:t>
      </w:r>
      <w:proofErr w:type="spellEnd"/>
      <w:r w:rsidRPr="00D807F9">
        <w:rPr>
          <w:rFonts w:ascii="Verdana" w:eastAsia="Calibri" w:hAnsi="Verdana" w:cs="Arial"/>
          <w:b/>
          <w:lang w:val="es-ES_tradnl"/>
        </w:rPr>
        <w:t xml:space="preserve"> de planeación </w:t>
      </w:r>
    </w:p>
    <w:p w14:paraId="0AD39A9C" w14:textId="77777777" w:rsidR="00EF44FF" w:rsidRPr="00051B3E" w:rsidRDefault="00EF44FF" w:rsidP="00EF44FF">
      <w:pPr>
        <w:spacing w:after="0" w:line="240" w:lineRule="auto"/>
        <w:jc w:val="both"/>
        <w:rPr>
          <w:rFonts w:ascii="Verdana" w:eastAsia="Calibri" w:hAnsi="Verdana" w:cs="Arial"/>
          <w:sz w:val="20"/>
          <w:szCs w:val="20"/>
          <w:lang w:val="es-ES_tradnl"/>
        </w:rPr>
      </w:pPr>
    </w:p>
    <w:p w14:paraId="72DF0971" w14:textId="77777777" w:rsidR="00EF44FF" w:rsidRPr="00D807F9" w:rsidRDefault="00EF44FF" w:rsidP="00EF44FF">
      <w:pPr>
        <w:tabs>
          <w:tab w:val="left" w:pos="426"/>
        </w:tabs>
        <w:spacing w:after="0" w:line="240" w:lineRule="auto"/>
        <w:jc w:val="both"/>
        <w:rPr>
          <w:rFonts w:ascii="Verdana" w:eastAsia="Calibri" w:hAnsi="Verdana" w:cs="Arial"/>
          <w:sz w:val="20"/>
          <w:szCs w:val="20"/>
          <w:lang w:val="es-ES"/>
        </w:rPr>
      </w:pPr>
      <w:r w:rsidRPr="00051B3E">
        <w:rPr>
          <w:rFonts w:ascii="Verdana" w:eastAsia="Calibri" w:hAnsi="Verdana" w:cs="Arial"/>
          <w:sz w:val="20"/>
          <w:szCs w:val="20"/>
          <w:lang w:val="es-ES"/>
        </w:rPr>
        <w:t>[…] la entidad debe realizar el análisis necesario para conocer el sector relativo al objeto del proceso de contratación, sin que sea relevante la modalidad de selección. Hacer un análisis desde la perspectiva legal implica la revisión de la regulación vigente para el mercado dentro del que se encuentra el objeto del contrato. La perspectiva comercial hace referencia a analizar quiénes pueden ofrecer el bien o servicio que se quiere contratar, cuáles son sus condiciones, si tienen condiciones especiales que sean relevantes a la hora de determinar los requisitos habilitantes, entre otros. Desde una perspectiva financiera, el análisis conlleva una revisión de las características financieras que se presentan dentro del mercado del bien o servicio, como por ejemplo, el índice de endeudamiento que tienen las empresas o personas naturales que ofrecen dicho bien o servicio. Con la perspectiva organizacional se pretende que la entidad estatal entienda cómo están organizados internamente los posibles oferentes y de qué manera realizan sus negocios y operaciones.</w:t>
      </w:r>
    </w:p>
    <w:p w14:paraId="717A2BC9" w14:textId="77777777" w:rsidR="00EF44FF" w:rsidRDefault="00EF44FF" w:rsidP="00EF44FF">
      <w:pPr>
        <w:tabs>
          <w:tab w:val="left" w:pos="426"/>
        </w:tabs>
        <w:spacing w:after="0" w:line="240" w:lineRule="auto"/>
        <w:jc w:val="both"/>
        <w:rPr>
          <w:rFonts w:ascii="Verdana" w:eastAsia="Calibri" w:hAnsi="Verdana" w:cs="Arial"/>
          <w:sz w:val="20"/>
          <w:lang w:val="es-ES_tradnl"/>
        </w:rPr>
      </w:pPr>
      <w:r>
        <w:rPr>
          <w:rFonts w:ascii="Verdana" w:eastAsia="Calibri" w:hAnsi="Verdana" w:cs="Arial"/>
          <w:sz w:val="20"/>
          <w:lang w:val="es-ES_tradnl"/>
        </w:rPr>
        <w:t>[…]</w:t>
      </w:r>
    </w:p>
    <w:p w14:paraId="76EEA1E5" w14:textId="77777777" w:rsidR="00EF44FF" w:rsidRDefault="00EF44FF" w:rsidP="00EF44FF">
      <w:pPr>
        <w:tabs>
          <w:tab w:val="left" w:pos="426"/>
        </w:tabs>
        <w:spacing w:after="0" w:line="240" w:lineRule="auto"/>
        <w:jc w:val="both"/>
        <w:rPr>
          <w:rFonts w:ascii="Verdana" w:eastAsia="Calibri" w:hAnsi="Verdana" w:cs="Arial"/>
          <w:sz w:val="20"/>
          <w:lang w:val="es-ES_tradnl"/>
        </w:rPr>
      </w:pPr>
    </w:p>
    <w:p w14:paraId="3BC5D357" w14:textId="77777777" w:rsidR="00EF44FF" w:rsidRDefault="00EF44FF" w:rsidP="00EF44FF">
      <w:pPr>
        <w:tabs>
          <w:tab w:val="left" w:pos="426"/>
        </w:tabs>
        <w:spacing w:after="0" w:line="240" w:lineRule="auto"/>
        <w:jc w:val="both"/>
        <w:rPr>
          <w:rFonts w:ascii="Verdana" w:eastAsia="Calibri" w:hAnsi="Verdana" w:cs="Arial"/>
          <w:sz w:val="20"/>
          <w:lang w:val="es-ES_tradnl"/>
        </w:rPr>
      </w:pPr>
      <w:r w:rsidRPr="00D807F9">
        <w:rPr>
          <w:rFonts w:ascii="Verdana" w:eastAsia="Calibri" w:hAnsi="Verdana" w:cs="Arial"/>
          <w:sz w:val="20"/>
          <w:lang w:val="es-ES_tradnl"/>
        </w:rPr>
        <w:t>De esta manera, existe una relación entre el estudio del sector y la estimación del valor del contrato, por lo cual deben tenerse en cuenta las diferentes variables del mercado como los costos de la cadena de producción. Pero, con independencia de esto, la entidad debe obtener el menor precio o uno razonable. En todo caso, el valor debe estar justificado para que no corresponda a sobrecostos ni a precios artificialmente bajos, y que con ello la entidad pague un valor adecuado, que no sea mayor ni menor. Esto se logra con el estudio del mercado y sus costos, el cual debe estar a disposición de los participantes del procedimiento contractual.</w:t>
      </w:r>
    </w:p>
    <w:p w14:paraId="2F4981E7" w14:textId="77777777" w:rsidR="00EF44FF" w:rsidRDefault="00EF44FF" w:rsidP="00EF44FF">
      <w:pPr>
        <w:tabs>
          <w:tab w:val="left" w:pos="426"/>
        </w:tabs>
        <w:spacing w:after="0" w:line="240" w:lineRule="auto"/>
        <w:jc w:val="both"/>
        <w:rPr>
          <w:rFonts w:ascii="Verdana" w:eastAsia="Calibri" w:hAnsi="Verdana" w:cs="Arial"/>
          <w:sz w:val="20"/>
          <w:lang w:val="es-ES_tradnl"/>
        </w:rPr>
      </w:pPr>
    </w:p>
    <w:p w14:paraId="320957D5" w14:textId="77777777" w:rsidR="00EF44FF" w:rsidRPr="00985B28" w:rsidRDefault="00EF44FF" w:rsidP="00EF44FF">
      <w:pPr>
        <w:tabs>
          <w:tab w:val="left" w:pos="426"/>
        </w:tabs>
        <w:spacing w:after="0" w:line="240" w:lineRule="auto"/>
        <w:jc w:val="both"/>
        <w:rPr>
          <w:rFonts w:ascii="Verdana" w:eastAsia="Calibri" w:hAnsi="Verdana" w:cs="Arial"/>
          <w:b/>
          <w:bCs/>
          <w:lang w:val="es-ES_tradnl"/>
        </w:rPr>
      </w:pPr>
      <w:r w:rsidRPr="00985B28">
        <w:rPr>
          <w:rFonts w:ascii="Verdana" w:eastAsia="Calibri" w:hAnsi="Verdana" w:cs="Arial"/>
          <w:b/>
          <w:bCs/>
          <w:lang w:val="es-ES_tradnl"/>
        </w:rPr>
        <w:t xml:space="preserve">Interventoría – Valor de la obra – Precios de referencia – Inexistencia </w:t>
      </w:r>
    </w:p>
    <w:p w14:paraId="2B7B42D9" w14:textId="77777777" w:rsidR="00EF44FF" w:rsidRDefault="00EF44FF" w:rsidP="00EF44FF">
      <w:pPr>
        <w:tabs>
          <w:tab w:val="left" w:pos="426"/>
        </w:tabs>
        <w:spacing w:after="0" w:line="240" w:lineRule="auto"/>
        <w:jc w:val="both"/>
        <w:rPr>
          <w:rFonts w:ascii="Verdana" w:eastAsia="Calibri" w:hAnsi="Verdana" w:cs="Arial"/>
          <w:sz w:val="20"/>
          <w:lang w:val="es-ES_tradnl"/>
        </w:rPr>
      </w:pPr>
    </w:p>
    <w:p w14:paraId="32C048B6" w14:textId="77777777" w:rsidR="00EF44FF" w:rsidRDefault="00EF44FF" w:rsidP="00EF44FF">
      <w:pPr>
        <w:tabs>
          <w:tab w:val="left" w:pos="426"/>
        </w:tabs>
        <w:spacing w:after="0" w:line="240" w:lineRule="auto"/>
        <w:jc w:val="both"/>
        <w:rPr>
          <w:rFonts w:ascii="Verdana" w:eastAsia="Calibri" w:hAnsi="Verdana" w:cs="Arial"/>
          <w:sz w:val="20"/>
          <w:lang w:val="es-ES_tradnl"/>
        </w:rPr>
      </w:pPr>
      <w:r>
        <w:rPr>
          <w:rFonts w:ascii="Verdana" w:eastAsia="Calibri" w:hAnsi="Verdana" w:cs="Arial"/>
          <w:sz w:val="20"/>
          <w:lang w:val="es-ES_tradnl"/>
        </w:rPr>
        <w:t>R</w:t>
      </w:r>
      <w:r w:rsidRPr="00985B28">
        <w:rPr>
          <w:rFonts w:ascii="Verdana" w:eastAsia="Calibri" w:hAnsi="Verdana" w:cs="Arial"/>
          <w:sz w:val="20"/>
          <w:lang w:val="es-ES_tradnl"/>
        </w:rPr>
        <w:t>especto a la interventoría, las normas contractuales no definen un valor de referencia representado sobre el costo total de la obra ni, mucho menos, las consecuencias y los casos en que puede superarlo. Aunque estén estrechamente relacionados, la interventoría tiene tanto un estudio previo como un análisis del sector completamente distintos a los del contrato vigilado. De acuerdo con las particularidades de cada caso concreto, en atención a la complejidad del negocio, la entidad analizará factores que inciden los costos directos e indirectos para la interventoría, pues los mismas tampoco se definen en la ley o el reglamento.</w:t>
      </w:r>
    </w:p>
    <w:p w14:paraId="15B24BB5" w14:textId="77777777" w:rsidR="00EF44FF" w:rsidRPr="00AF1555" w:rsidRDefault="00EF44FF" w:rsidP="00EF44FF">
      <w:pPr>
        <w:tabs>
          <w:tab w:val="left" w:pos="709"/>
        </w:tabs>
        <w:spacing w:after="0" w:line="240" w:lineRule="auto"/>
        <w:jc w:val="both"/>
        <w:rPr>
          <w:rFonts w:ascii="Verdana" w:eastAsia="Calibri" w:hAnsi="Verdana" w:cs="Arial"/>
          <w:bCs/>
          <w:sz w:val="20"/>
          <w:szCs w:val="20"/>
          <w:lang w:val="es-ES_tradnl" w:eastAsia="es-ES_tradnl"/>
        </w:rPr>
      </w:pPr>
    </w:p>
    <w:p w14:paraId="740F0D35" w14:textId="77777777" w:rsidR="00EF44FF" w:rsidRPr="00AF1555" w:rsidRDefault="00EF44FF" w:rsidP="00EF44FF">
      <w:pPr>
        <w:spacing w:after="0" w:line="240" w:lineRule="auto"/>
        <w:jc w:val="both"/>
        <w:rPr>
          <w:rFonts w:ascii="Verdana" w:eastAsia="Calibri" w:hAnsi="Verdana" w:cs="Arial"/>
          <w:b/>
          <w:color w:val="000000" w:themeColor="text1"/>
          <w:lang w:val="es-ES"/>
        </w:rPr>
      </w:pPr>
      <w:r w:rsidRPr="00292198">
        <w:rPr>
          <w:rFonts w:ascii="Verdana" w:eastAsia="Calibri" w:hAnsi="Verdana" w:cs="Arial"/>
          <w:b/>
          <w:color w:val="000000" w:themeColor="text1"/>
          <w:lang w:val="es-ES"/>
        </w:rPr>
        <w:t>PRECIOS UNITARIOS – APU – AIU – Diferencias</w:t>
      </w:r>
      <w:r w:rsidRPr="00AF1555">
        <w:rPr>
          <w:rFonts w:ascii="Verdana" w:eastAsia="Calibri" w:hAnsi="Verdana" w:cs="Arial"/>
          <w:b/>
          <w:color w:val="000000" w:themeColor="text1"/>
          <w:lang w:val="es-ES"/>
        </w:rPr>
        <w:t xml:space="preserve"> </w:t>
      </w:r>
    </w:p>
    <w:p w14:paraId="007A9BC6" w14:textId="77777777" w:rsidR="00EF44FF" w:rsidRPr="00AF1555" w:rsidRDefault="00EF44FF" w:rsidP="00EF44FF">
      <w:pPr>
        <w:spacing w:after="0" w:line="240" w:lineRule="auto"/>
        <w:jc w:val="both"/>
        <w:rPr>
          <w:rFonts w:ascii="Verdana" w:eastAsia="Calibri" w:hAnsi="Verdana" w:cs="Arial"/>
          <w:bCs/>
          <w:color w:val="000000" w:themeColor="text1"/>
          <w:sz w:val="20"/>
          <w:szCs w:val="20"/>
          <w:lang w:val="es-ES"/>
        </w:rPr>
      </w:pPr>
    </w:p>
    <w:p w14:paraId="7AB6B598" w14:textId="77777777" w:rsidR="00EF44FF" w:rsidRPr="00EB0B5F" w:rsidRDefault="00EF44FF" w:rsidP="00EF44FF">
      <w:pPr>
        <w:spacing w:after="0" w:line="240" w:lineRule="auto"/>
        <w:jc w:val="both"/>
        <w:rPr>
          <w:rFonts w:ascii="Verdana" w:eastAsia="Calibri" w:hAnsi="Verdana" w:cs="Arial"/>
          <w:iCs/>
          <w:color w:val="000000" w:themeColor="text1"/>
          <w:sz w:val="20"/>
          <w:szCs w:val="20"/>
          <w:lang w:eastAsia="es-ES_tradnl"/>
        </w:rPr>
      </w:pPr>
      <w:r>
        <w:rPr>
          <w:rFonts w:ascii="Verdana" w:eastAsia="Calibri" w:hAnsi="Verdana" w:cs="Arial"/>
          <w:bCs/>
          <w:color w:val="000000" w:themeColor="text1"/>
          <w:sz w:val="20"/>
          <w:szCs w:val="20"/>
          <w:lang w:val="es-ES" w:eastAsia="es-ES_tradnl"/>
        </w:rPr>
        <w:t xml:space="preserve">[…] </w:t>
      </w:r>
      <w:r w:rsidRPr="00683260">
        <w:rPr>
          <w:rFonts w:ascii="Verdana" w:eastAsia="Calibri" w:hAnsi="Verdana" w:cs="Arial"/>
          <w:bCs/>
          <w:color w:val="000000" w:themeColor="text1"/>
          <w:sz w:val="20"/>
          <w:szCs w:val="20"/>
          <w:lang w:val="es-ES" w:eastAsia="es-ES_tradnl"/>
        </w:rPr>
        <w:t xml:space="preserve">en los contratos cuyo precio se estructura a partir del sistema de precios unitarios, ha hecho parte de la práctica de los negocios que el contratante le solicite al potencial contratista que separe en su propuesta los </w:t>
      </w:r>
      <w:r w:rsidRPr="00683260">
        <w:rPr>
          <w:rFonts w:ascii="Verdana" w:eastAsia="Calibri" w:hAnsi="Verdana" w:cs="Arial"/>
          <w:bCs/>
          <w:i/>
          <w:iCs/>
          <w:color w:val="000000" w:themeColor="text1"/>
          <w:sz w:val="20"/>
          <w:szCs w:val="20"/>
          <w:lang w:val="es-ES" w:eastAsia="es-ES_tradnl"/>
        </w:rPr>
        <w:t>costos directos</w:t>
      </w:r>
      <w:r w:rsidRPr="00683260">
        <w:rPr>
          <w:rFonts w:ascii="Verdana" w:eastAsia="Calibri" w:hAnsi="Verdana" w:cs="Arial"/>
          <w:bCs/>
          <w:color w:val="000000" w:themeColor="text1"/>
          <w:sz w:val="20"/>
          <w:szCs w:val="20"/>
          <w:lang w:val="es-ES" w:eastAsia="es-ES_tradnl"/>
        </w:rPr>
        <w:t xml:space="preserve"> –es decir, los que están directamente implicados en la ejecución del objeto–, de los </w:t>
      </w:r>
      <w:r w:rsidRPr="00683260">
        <w:rPr>
          <w:rFonts w:ascii="Verdana" w:eastAsia="Calibri" w:hAnsi="Verdana" w:cs="Arial"/>
          <w:bCs/>
          <w:i/>
          <w:iCs/>
          <w:color w:val="000000" w:themeColor="text1"/>
          <w:sz w:val="20"/>
          <w:szCs w:val="20"/>
          <w:lang w:val="es-ES" w:eastAsia="es-ES_tradnl"/>
        </w:rPr>
        <w:t>costos indirectos</w:t>
      </w:r>
      <w:r w:rsidRPr="00683260">
        <w:rPr>
          <w:rFonts w:ascii="Verdana" w:eastAsia="Calibri" w:hAnsi="Verdana" w:cs="Arial"/>
          <w:bCs/>
          <w:color w:val="000000" w:themeColor="text1"/>
          <w:sz w:val="20"/>
          <w:szCs w:val="20"/>
          <w:lang w:val="es-ES" w:eastAsia="es-ES_tradnl"/>
        </w:rPr>
        <w:t xml:space="preserve"> –que equivalen a los rubros que no tienen que ver de manera inmediata con la ejecución de </w:t>
      </w:r>
      <w:r w:rsidRPr="00683260">
        <w:rPr>
          <w:rFonts w:ascii="Verdana" w:eastAsia="Calibri" w:hAnsi="Verdana" w:cs="Arial"/>
          <w:bCs/>
          <w:color w:val="000000" w:themeColor="text1"/>
          <w:sz w:val="20"/>
          <w:szCs w:val="20"/>
          <w:lang w:val="es-ES" w:eastAsia="es-ES_tradnl"/>
        </w:rPr>
        <w:lastRenderedPageBreak/>
        <w:t xml:space="preserve">las actividades contractuales, pero que integran también el precio, bien porque constituyen erogaciones administrativas o contingentes para el contratista o bien porque se dirigen a salvaguardar su ganancia–. En tal sentido, mientras que los </w:t>
      </w:r>
      <w:r w:rsidRPr="00683260">
        <w:rPr>
          <w:rFonts w:ascii="Verdana" w:eastAsia="Calibri" w:hAnsi="Verdana" w:cs="Arial"/>
          <w:bCs/>
          <w:i/>
          <w:iCs/>
          <w:color w:val="000000" w:themeColor="text1"/>
          <w:sz w:val="20"/>
          <w:szCs w:val="20"/>
          <w:lang w:val="es-ES" w:eastAsia="es-ES_tradnl"/>
        </w:rPr>
        <w:t>costos directos</w:t>
      </w:r>
      <w:r w:rsidRPr="00683260">
        <w:rPr>
          <w:rFonts w:ascii="Verdana" w:eastAsia="Calibri" w:hAnsi="Verdana" w:cs="Arial"/>
          <w:bCs/>
          <w:color w:val="000000" w:themeColor="text1"/>
          <w:sz w:val="20"/>
          <w:szCs w:val="20"/>
          <w:lang w:val="es-ES" w:eastAsia="es-ES_tradnl"/>
        </w:rPr>
        <w:t xml:space="preserve"> se evidencian en el análisis de precios unitarios –APU–, como la sumatoria de los valores de los </w:t>
      </w:r>
      <w:r w:rsidRPr="00683260">
        <w:rPr>
          <w:rFonts w:ascii="Verdana" w:eastAsia="Calibri" w:hAnsi="Verdana" w:cs="Arial"/>
          <w:bCs/>
          <w:i/>
          <w:iCs/>
          <w:color w:val="000000" w:themeColor="text1"/>
          <w:sz w:val="20"/>
          <w:szCs w:val="20"/>
          <w:lang w:val="es-ES" w:eastAsia="es-ES_tradnl"/>
        </w:rPr>
        <w:t>ítems</w:t>
      </w:r>
      <w:r w:rsidRPr="00683260">
        <w:rPr>
          <w:rFonts w:ascii="Verdana" w:eastAsia="Calibri" w:hAnsi="Verdana" w:cs="Arial"/>
          <w:bCs/>
          <w:color w:val="000000" w:themeColor="text1"/>
          <w:sz w:val="20"/>
          <w:szCs w:val="20"/>
          <w:lang w:val="es-ES" w:eastAsia="es-ES_tradnl"/>
        </w:rPr>
        <w:t xml:space="preserve"> según su unidad de medida, los </w:t>
      </w:r>
      <w:r w:rsidRPr="00683260">
        <w:rPr>
          <w:rFonts w:ascii="Verdana" w:eastAsia="Calibri" w:hAnsi="Verdana" w:cs="Arial"/>
          <w:bCs/>
          <w:i/>
          <w:iCs/>
          <w:color w:val="000000" w:themeColor="text1"/>
          <w:sz w:val="20"/>
          <w:szCs w:val="20"/>
          <w:lang w:val="es-ES" w:eastAsia="es-ES_tradnl"/>
        </w:rPr>
        <w:t>costos indirectos</w:t>
      </w:r>
      <w:r w:rsidRPr="00683260">
        <w:rPr>
          <w:rFonts w:ascii="Verdana" w:eastAsia="Calibri" w:hAnsi="Verdana" w:cs="Arial"/>
          <w:bCs/>
          <w:color w:val="000000" w:themeColor="text1"/>
          <w:sz w:val="20"/>
          <w:szCs w:val="20"/>
          <w:lang w:val="es-ES" w:eastAsia="es-ES_tradnl"/>
        </w:rPr>
        <w:t xml:space="preserve"> se suelen abreviar en las variables que integran el acrónimo AIU –Administración, Imprevistos y Utilidad–</w:t>
      </w:r>
      <w:r w:rsidRPr="00AF1555">
        <w:rPr>
          <w:rFonts w:ascii="Verdana" w:eastAsia="Calibri" w:hAnsi="Verdana" w:cs="Arial"/>
          <w:color w:val="000000" w:themeColor="text1"/>
          <w:sz w:val="20"/>
          <w:szCs w:val="20"/>
          <w:lang w:val="es-ES_tradnl"/>
        </w:rPr>
        <w:t>.</w:t>
      </w:r>
    </w:p>
    <w:p w14:paraId="4E61910A" w14:textId="77777777" w:rsidR="00EF44FF" w:rsidRPr="00AF1555" w:rsidRDefault="00EF44FF" w:rsidP="00EF44FF">
      <w:pPr>
        <w:spacing w:after="0" w:line="240" w:lineRule="auto"/>
        <w:jc w:val="both"/>
        <w:rPr>
          <w:rFonts w:ascii="Verdana" w:eastAsia="Geomanist Light" w:hAnsi="Verdana" w:cs="Arial"/>
          <w:color w:val="000000" w:themeColor="text1"/>
          <w:sz w:val="20"/>
          <w:szCs w:val="20"/>
          <w:lang w:val="es-ES_tradnl"/>
        </w:rPr>
      </w:pPr>
    </w:p>
    <w:p w14:paraId="10060593" w14:textId="77777777" w:rsidR="00EF44FF" w:rsidRPr="00AF1555" w:rsidRDefault="00EF44FF" w:rsidP="00EF44FF">
      <w:pPr>
        <w:spacing w:after="0" w:line="240" w:lineRule="auto"/>
        <w:jc w:val="both"/>
        <w:rPr>
          <w:rFonts w:ascii="Verdana" w:eastAsia="Calibri" w:hAnsi="Verdana" w:cs="Arial"/>
          <w:b/>
          <w:lang w:val="es-ES"/>
        </w:rPr>
      </w:pPr>
      <w:r w:rsidRPr="00292198">
        <w:rPr>
          <w:rFonts w:ascii="Verdana" w:eastAsia="Calibri" w:hAnsi="Verdana" w:cs="Arial"/>
          <w:b/>
          <w:lang w:val="es-ES"/>
        </w:rPr>
        <w:t>AIU – Costos indirectos – Finalidad – Ejecución del contrato</w:t>
      </w:r>
    </w:p>
    <w:p w14:paraId="5210A32E" w14:textId="77777777" w:rsidR="00EF44FF" w:rsidRPr="00AF1555" w:rsidRDefault="00EF44FF" w:rsidP="00EF44FF">
      <w:pPr>
        <w:spacing w:after="0" w:line="240" w:lineRule="auto"/>
        <w:jc w:val="both"/>
        <w:rPr>
          <w:rFonts w:ascii="Verdana" w:eastAsia="Calibri" w:hAnsi="Verdana" w:cs="Arial"/>
          <w:b/>
          <w:sz w:val="20"/>
          <w:szCs w:val="20"/>
          <w:lang w:val="es-ES"/>
        </w:rPr>
      </w:pPr>
    </w:p>
    <w:p w14:paraId="63510030" w14:textId="77777777" w:rsidR="00EF44FF" w:rsidRPr="00683260" w:rsidRDefault="00EF44FF" w:rsidP="00EF44FF">
      <w:pPr>
        <w:spacing w:after="0" w:line="240" w:lineRule="auto"/>
        <w:jc w:val="both"/>
        <w:rPr>
          <w:rFonts w:ascii="Verdana" w:eastAsia="Calibri" w:hAnsi="Verdana" w:cs="Arial"/>
          <w:bCs/>
          <w:sz w:val="20"/>
          <w:szCs w:val="20"/>
          <w:lang w:val="es-ES"/>
        </w:rPr>
      </w:pPr>
      <w:r w:rsidRPr="00683260">
        <w:rPr>
          <w:rFonts w:ascii="Verdana" w:eastAsia="Calibri" w:hAnsi="Verdana" w:cs="Arial"/>
          <w:bCs/>
          <w:sz w:val="20"/>
          <w:szCs w:val="20"/>
          <w:lang w:val="es-ES"/>
        </w:rPr>
        <w:t xml:space="preserve">Lo usual, que se advierte en la práctica de las entidades estatales, es que acuden al AIU con la finalidad de establecer un precio más estable, de manera que el valor del contrato consistirá en lo que resulte de afectar los costos directos por el porcentaje, en principio, invariable del AIU, de manera que al valor de los costos directos se le sume el AIU. Así las cosas, las partes asumen los riesgos inherentes a esta forma de pactar el precio, entendiendo aceptados los </w:t>
      </w:r>
      <w:proofErr w:type="spellStart"/>
      <w:r w:rsidRPr="00683260">
        <w:rPr>
          <w:rFonts w:ascii="Verdana" w:eastAsia="Calibri" w:hAnsi="Verdana" w:cs="Arial"/>
          <w:bCs/>
          <w:sz w:val="20"/>
          <w:szCs w:val="20"/>
          <w:lang w:val="es-ES"/>
        </w:rPr>
        <w:t>áleas</w:t>
      </w:r>
      <w:proofErr w:type="spellEnd"/>
      <w:r w:rsidRPr="00683260">
        <w:rPr>
          <w:rFonts w:ascii="Verdana" w:eastAsia="Calibri" w:hAnsi="Verdana" w:cs="Arial"/>
          <w:bCs/>
          <w:sz w:val="20"/>
          <w:szCs w:val="20"/>
          <w:lang w:val="es-ES"/>
        </w:rPr>
        <w:t xml:space="preserve"> normales que se presenten en la ejecución del contrato, de manera que, aunque el contratista incurra en mayores costos de los ítems incluidos en la </w:t>
      </w:r>
      <w:r w:rsidRPr="00683260">
        <w:rPr>
          <w:rFonts w:ascii="Verdana" w:eastAsia="Calibri" w:hAnsi="Verdana" w:cs="Arial"/>
          <w:bCs/>
          <w:i/>
          <w:iCs/>
          <w:sz w:val="20"/>
          <w:szCs w:val="20"/>
          <w:lang w:val="es-ES"/>
        </w:rPr>
        <w:t>Administración</w:t>
      </w:r>
      <w:r w:rsidRPr="00683260">
        <w:rPr>
          <w:rFonts w:ascii="Verdana" w:eastAsia="Calibri" w:hAnsi="Verdana" w:cs="Arial"/>
          <w:bCs/>
          <w:sz w:val="20"/>
          <w:szCs w:val="20"/>
          <w:lang w:val="es-ES"/>
        </w:rPr>
        <w:t xml:space="preserve"> o en más gastos de </w:t>
      </w:r>
      <w:r w:rsidRPr="00683260">
        <w:rPr>
          <w:rFonts w:ascii="Verdana" w:eastAsia="Calibri" w:hAnsi="Verdana" w:cs="Arial"/>
          <w:bCs/>
          <w:i/>
          <w:iCs/>
          <w:sz w:val="20"/>
          <w:szCs w:val="20"/>
          <w:lang w:val="es-ES"/>
        </w:rPr>
        <w:t>Imprevistos</w:t>
      </w:r>
      <w:r w:rsidRPr="00683260">
        <w:rPr>
          <w:rFonts w:ascii="Verdana" w:eastAsia="Calibri" w:hAnsi="Verdana" w:cs="Arial"/>
          <w:bCs/>
          <w:sz w:val="20"/>
          <w:szCs w:val="20"/>
          <w:lang w:val="es-ES"/>
        </w:rPr>
        <w:t xml:space="preserve"> al presentar su oferta, o que estos disminuyan, aparezcan algunos nuevos o desaparezcan algunos de ellos, el valor se mantenga invariable. De este modo, las partes optan por darle estabilidad al negocio, asumiendo cada una de ellas lo que le favorezca o desfavorezca, lo que evita, además, incurrir en costos de transacción relacionados con la necesidad de acreditar y verificar cada costo o gasto específico asociado a la </w:t>
      </w:r>
      <w:r w:rsidRPr="00683260">
        <w:rPr>
          <w:rFonts w:ascii="Verdana" w:eastAsia="Calibri" w:hAnsi="Verdana" w:cs="Arial"/>
          <w:bCs/>
          <w:i/>
          <w:iCs/>
          <w:sz w:val="20"/>
          <w:szCs w:val="20"/>
          <w:lang w:val="es-ES"/>
        </w:rPr>
        <w:t xml:space="preserve">Administración </w:t>
      </w:r>
      <w:r w:rsidRPr="00683260">
        <w:rPr>
          <w:rFonts w:ascii="Verdana" w:eastAsia="Calibri" w:hAnsi="Verdana" w:cs="Arial"/>
          <w:bCs/>
          <w:sz w:val="20"/>
          <w:szCs w:val="20"/>
          <w:lang w:val="es-ES"/>
        </w:rPr>
        <w:t>o lo</w:t>
      </w:r>
      <w:r w:rsidRPr="00683260">
        <w:rPr>
          <w:rFonts w:ascii="Verdana" w:eastAsia="Calibri" w:hAnsi="Verdana" w:cs="Arial"/>
          <w:bCs/>
          <w:i/>
          <w:iCs/>
          <w:sz w:val="20"/>
          <w:szCs w:val="20"/>
          <w:lang w:val="es-ES"/>
        </w:rPr>
        <w:t>s Imprevistos</w:t>
      </w:r>
      <w:r w:rsidRPr="00683260">
        <w:rPr>
          <w:rFonts w:ascii="Verdana" w:eastAsia="Calibri" w:hAnsi="Verdana" w:cs="Arial"/>
          <w:bCs/>
          <w:sz w:val="20"/>
          <w:szCs w:val="20"/>
          <w:lang w:val="es-ES"/>
        </w:rPr>
        <w:t>, lo que generaría más gastos tanto para la entidad como para el contratista</w:t>
      </w:r>
      <w:r>
        <w:rPr>
          <w:rFonts w:ascii="Verdana" w:eastAsia="Calibri" w:hAnsi="Verdana" w:cs="Arial"/>
          <w:bCs/>
          <w:sz w:val="20"/>
          <w:szCs w:val="20"/>
        </w:rPr>
        <w:t>.</w:t>
      </w:r>
    </w:p>
    <w:p w14:paraId="35812188" w14:textId="77777777" w:rsidR="00EF44FF" w:rsidRPr="00AF1555" w:rsidRDefault="00EF44FF" w:rsidP="00EF44FF">
      <w:pPr>
        <w:spacing w:after="0" w:line="240" w:lineRule="auto"/>
        <w:jc w:val="both"/>
        <w:rPr>
          <w:rFonts w:ascii="Verdana" w:eastAsia="Geomanist Light" w:hAnsi="Verdana" w:cs="Arial"/>
          <w:color w:val="000000" w:themeColor="text1"/>
          <w:sz w:val="20"/>
          <w:szCs w:val="20"/>
          <w:lang w:val="es-ES_tradnl"/>
        </w:rPr>
      </w:pPr>
    </w:p>
    <w:p w14:paraId="35F02E0E" w14:textId="77777777" w:rsidR="00EF44FF" w:rsidRPr="00AF1555" w:rsidRDefault="00EF44FF" w:rsidP="00EF44FF">
      <w:pPr>
        <w:tabs>
          <w:tab w:val="left" w:pos="426"/>
        </w:tabs>
        <w:spacing w:after="0" w:line="240" w:lineRule="auto"/>
        <w:jc w:val="both"/>
        <w:rPr>
          <w:rFonts w:ascii="Verdana" w:hAnsi="Verdana" w:cs="Arial"/>
          <w:b/>
          <w:lang w:eastAsia="es-CO"/>
        </w:rPr>
      </w:pPr>
      <w:r>
        <w:rPr>
          <w:rFonts w:ascii="Verdana" w:hAnsi="Verdana" w:cs="Arial"/>
          <w:b/>
          <w:lang w:eastAsia="es-CO"/>
        </w:rPr>
        <w:t>AIU – Componentes – Discrecionalidad</w:t>
      </w:r>
    </w:p>
    <w:p w14:paraId="5A23AC25" w14:textId="77777777" w:rsidR="00EF44FF" w:rsidRPr="00AF1555" w:rsidRDefault="00EF44FF" w:rsidP="00EF44FF">
      <w:pPr>
        <w:tabs>
          <w:tab w:val="left" w:pos="426"/>
        </w:tabs>
        <w:spacing w:after="0" w:line="240" w:lineRule="auto"/>
        <w:jc w:val="both"/>
        <w:rPr>
          <w:rFonts w:ascii="Verdana" w:hAnsi="Verdana" w:cs="Arial"/>
          <w:b/>
          <w:sz w:val="20"/>
          <w:szCs w:val="20"/>
          <w:lang w:eastAsia="es-CO"/>
        </w:rPr>
      </w:pPr>
    </w:p>
    <w:p w14:paraId="258FF836" w14:textId="77777777" w:rsidR="00EF44FF" w:rsidRDefault="00EF44FF" w:rsidP="00EF44FF">
      <w:pPr>
        <w:spacing w:after="0" w:line="240" w:lineRule="auto"/>
        <w:jc w:val="both"/>
        <w:rPr>
          <w:rFonts w:ascii="Verdana" w:hAnsi="Verdana" w:cs="Arial"/>
          <w:bCs/>
          <w:sz w:val="20"/>
          <w:szCs w:val="20"/>
          <w:lang w:val="es-ES" w:eastAsia="es-CO"/>
        </w:rPr>
      </w:pPr>
      <w:r>
        <w:rPr>
          <w:rFonts w:ascii="Verdana" w:hAnsi="Verdana" w:cs="Arial"/>
          <w:bCs/>
          <w:sz w:val="20"/>
          <w:szCs w:val="20"/>
          <w:lang w:val="es-ES" w:eastAsia="es-CO"/>
        </w:rPr>
        <w:t xml:space="preserve">[…] </w:t>
      </w:r>
      <w:r w:rsidRPr="00683260">
        <w:rPr>
          <w:rFonts w:ascii="Verdana" w:hAnsi="Verdana" w:cs="Arial"/>
          <w:bCs/>
          <w:sz w:val="20"/>
          <w:szCs w:val="20"/>
          <w:lang w:val="es-ES" w:eastAsia="es-CO"/>
        </w:rPr>
        <w:t>las entidades cuentan con discrecionalidad para establecer en el pliego de condiciones o en su documento equivalente, así como en el contrato, el sistema de precios unitarios y la figura del AIU. De este modo, teniendo en cuenta el concepto de AIU, ni la forma de calcularlo son aspectos que cuenten con una regulación normativa en materia contractual del Estado, la determinación de los componentes del AIU dependerá del análisis particular que realice la entidad en relación con el presupuesto estimado del valor de la ejecución del contrato que, a su vez, sirve de guía para que los proponentes formulen sus ofertas.</w:t>
      </w:r>
    </w:p>
    <w:p w14:paraId="1F31F142" w14:textId="77777777" w:rsidR="00EF44FF" w:rsidRPr="00683260" w:rsidRDefault="00EF44FF" w:rsidP="00EF44FF">
      <w:pPr>
        <w:spacing w:after="0" w:line="240" w:lineRule="auto"/>
        <w:jc w:val="both"/>
        <w:rPr>
          <w:rFonts w:ascii="Verdana" w:hAnsi="Verdana" w:cs="Arial"/>
          <w:bCs/>
          <w:sz w:val="20"/>
          <w:szCs w:val="20"/>
          <w:lang w:val="es-ES" w:eastAsia="es-CO"/>
        </w:rPr>
      </w:pPr>
    </w:p>
    <w:p w14:paraId="5A0128F2" w14:textId="77777777" w:rsidR="00EF44FF" w:rsidRDefault="00EF44FF" w:rsidP="00EF44FF">
      <w:pPr>
        <w:spacing w:after="0" w:line="240" w:lineRule="auto"/>
        <w:jc w:val="both"/>
        <w:rPr>
          <w:rFonts w:ascii="Verdana" w:eastAsia="Geomanist Light" w:hAnsi="Verdana" w:cs="Arial"/>
          <w:color w:val="000000" w:themeColor="text1"/>
          <w:lang w:val="es-MX"/>
        </w:rPr>
      </w:pPr>
      <w:r w:rsidRPr="00683260">
        <w:rPr>
          <w:rFonts w:ascii="Verdana" w:hAnsi="Verdana" w:cs="Arial"/>
          <w:bCs/>
          <w:sz w:val="20"/>
          <w:szCs w:val="20"/>
          <w:lang w:val="es-ES" w:eastAsia="es-CO"/>
        </w:rPr>
        <w:t xml:space="preserve">En consecuencia,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En tal perspectiva, cuentan con discrecionalidad para establecer en el pliego de condiciones o en su documento equivalente, así como en el contrato, el sistema de precios unitarios y la figura del AIU; modelo que, como se indicó, es más pertinente para los contratos de tracto sucesivo, como el de obra. Por ende, la decisión de incluir el AIU, al igual que la metodología de delimitación de sus variables –ítems y porcentajes– debe obedecer a un juicioso análisis de oportunidad y conveniencia, que consulte las reglas de la experiencia, así como los aspectos </w:t>
      </w:r>
      <w:r w:rsidRPr="00683260">
        <w:rPr>
          <w:rFonts w:ascii="Verdana" w:hAnsi="Verdana" w:cs="Arial"/>
          <w:bCs/>
          <w:sz w:val="20"/>
          <w:szCs w:val="20"/>
          <w:lang w:val="es-ES" w:eastAsia="es-CO"/>
        </w:rPr>
        <w:lastRenderedPageBreak/>
        <w:t>particulares de cada negocio. Lo anterior en armonía con la garantía de los principios de la función administrativa y de la gestión fiscal, dentro de los cuales se halla el principio de economía, postulado que exige la optimización de los recursos públicos.</w:t>
      </w:r>
    </w:p>
    <w:p w14:paraId="798CC00D" w14:textId="77777777" w:rsidR="00EF44FF" w:rsidRPr="00AF1555" w:rsidRDefault="00EF44FF" w:rsidP="00EF44FF">
      <w:pPr>
        <w:spacing w:after="0" w:line="240" w:lineRule="auto"/>
        <w:rPr>
          <w:rFonts w:ascii="Verdana" w:eastAsia="Geomanist Light" w:hAnsi="Verdana" w:cs="Arial"/>
          <w:color w:val="000000" w:themeColor="text1"/>
          <w:sz w:val="20"/>
          <w:szCs w:val="20"/>
          <w:lang w:val="es-ES_tradnl"/>
        </w:rPr>
      </w:pPr>
    </w:p>
    <w:p w14:paraId="27B0A165" w14:textId="77777777" w:rsidR="00EF44FF" w:rsidRPr="00AF1555" w:rsidRDefault="00EF44FF" w:rsidP="00EF44FF">
      <w:pPr>
        <w:spacing w:after="0" w:line="240" w:lineRule="auto"/>
        <w:jc w:val="both"/>
        <w:rPr>
          <w:rFonts w:ascii="Verdana" w:eastAsia="Calibri" w:hAnsi="Verdana" w:cs="Arial"/>
          <w:b/>
          <w:sz w:val="20"/>
          <w:szCs w:val="20"/>
          <w:lang w:val="es-ES"/>
        </w:rPr>
      </w:pPr>
      <w:r>
        <w:rPr>
          <w:rFonts w:ascii="Verdana" w:eastAsia="Calibri" w:hAnsi="Verdana" w:cs="Arial"/>
          <w:b/>
          <w:lang w:val="es-ES"/>
        </w:rPr>
        <w:t>E</w:t>
      </w:r>
      <w:r w:rsidRPr="00A94C7E">
        <w:rPr>
          <w:rFonts w:ascii="Verdana" w:eastAsia="Calibri" w:hAnsi="Verdana" w:cs="Arial"/>
          <w:b/>
          <w:lang w:val="es-ES"/>
        </w:rPr>
        <w:t xml:space="preserve">VALUACIÓN DEL PRECIO ‒ Costo real – </w:t>
      </w:r>
      <w:r>
        <w:rPr>
          <w:rFonts w:ascii="Verdana" w:eastAsia="Calibri" w:hAnsi="Verdana" w:cs="Arial"/>
          <w:b/>
          <w:lang w:val="es-ES"/>
        </w:rPr>
        <w:t>I</w:t>
      </w:r>
      <w:r w:rsidRPr="00A94C7E">
        <w:rPr>
          <w:rFonts w:ascii="Verdana" w:eastAsia="Calibri" w:hAnsi="Verdana" w:cs="Arial"/>
          <w:b/>
          <w:lang w:val="es-ES"/>
        </w:rPr>
        <w:t xml:space="preserve">ncluye </w:t>
      </w:r>
      <w:r>
        <w:rPr>
          <w:rFonts w:ascii="Verdana" w:eastAsia="Calibri" w:hAnsi="Verdana" w:cs="Arial"/>
          <w:b/>
          <w:lang w:val="es-ES"/>
        </w:rPr>
        <w:t xml:space="preserve">la carga impositiva </w:t>
      </w:r>
    </w:p>
    <w:p w14:paraId="3E2C5E1B" w14:textId="77777777" w:rsidR="00EF44FF" w:rsidRDefault="00EF44FF" w:rsidP="00EF44FF">
      <w:pPr>
        <w:spacing w:after="0" w:line="240" w:lineRule="auto"/>
        <w:jc w:val="both"/>
        <w:rPr>
          <w:rFonts w:ascii="Verdana" w:eastAsia="Calibri" w:hAnsi="Verdana" w:cs="Arial"/>
          <w:bCs/>
          <w:sz w:val="20"/>
          <w:szCs w:val="20"/>
          <w:lang w:val="es-ES"/>
        </w:rPr>
      </w:pPr>
    </w:p>
    <w:p w14:paraId="47231769" w14:textId="77777777" w:rsidR="00EF44FF" w:rsidRDefault="00EF44FF" w:rsidP="00EF44FF">
      <w:pPr>
        <w:spacing w:after="0" w:line="240" w:lineRule="auto"/>
        <w:jc w:val="both"/>
        <w:rPr>
          <w:rFonts w:ascii="Verdana" w:eastAsia="Calibri" w:hAnsi="Verdana" w:cs="Arial"/>
          <w:bCs/>
          <w:sz w:val="20"/>
          <w:szCs w:val="20"/>
          <w:lang w:val="es-ES"/>
        </w:rPr>
      </w:pPr>
      <w:r>
        <w:rPr>
          <w:rFonts w:ascii="Verdana" w:eastAsia="Calibri" w:hAnsi="Verdana" w:cs="Arial"/>
          <w:bCs/>
          <w:sz w:val="20"/>
          <w:szCs w:val="20"/>
          <w:lang w:val="es-ES"/>
        </w:rPr>
        <w:t>T</w:t>
      </w:r>
      <w:r w:rsidRPr="00F102CB">
        <w:rPr>
          <w:rFonts w:ascii="Verdana" w:eastAsia="Calibri" w:hAnsi="Verdana" w:cs="Arial"/>
          <w:bCs/>
          <w:sz w:val="20"/>
          <w:szCs w:val="20"/>
          <w:lang w:val="es-ES"/>
        </w:rPr>
        <w:t>anto para elaborar el presupuesto oficial como para la presentación de las ofertas, el precio debe considerar los costos en que incurrirá el contratista para cumplir sus obligaciones, lo cual incluye la carga tributaria que afecta el negocio jurídico. La definición del régimen tributario aplicable a los proponentes que se presentan al procedimiento de selección no es realizada por la entidad estatal, sino que es un tema definido por el legislador, quien optó por establecer ciertas cargas a algunos sujetos y a otros no.</w:t>
      </w:r>
    </w:p>
    <w:p w14:paraId="2845FCAD" w14:textId="77777777" w:rsidR="00EF44FF" w:rsidRPr="00F102CB" w:rsidRDefault="00EF44FF" w:rsidP="00EF44FF">
      <w:pPr>
        <w:spacing w:after="0" w:line="240" w:lineRule="auto"/>
        <w:jc w:val="both"/>
        <w:rPr>
          <w:rFonts w:ascii="Verdana" w:eastAsia="Calibri" w:hAnsi="Verdana" w:cs="Arial"/>
          <w:bCs/>
          <w:sz w:val="20"/>
          <w:szCs w:val="20"/>
          <w:lang w:val="es-ES"/>
        </w:rPr>
      </w:pPr>
    </w:p>
    <w:p w14:paraId="1FFB310C" w14:textId="77777777" w:rsidR="00EF44FF" w:rsidRPr="00F102CB" w:rsidRDefault="00EF44FF" w:rsidP="00EF44FF">
      <w:pPr>
        <w:spacing w:after="0" w:line="240" w:lineRule="auto"/>
        <w:jc w:val="both"/>
        <w:rPr>
          <w:rFonts w:ascii="Verdana" w:eastAsia="Calibri" w:hAnsi="Verdana" w:cs="Arial"/>
          <w:bCs/>
          <w:sz w:val="20"/>
          <w:szCs w:val="20"/>
          <w:lang w:val="es-ES"/>
        </w:rPr>
      </w:pPr>
      <w:r w:rsidRPr="00F102CB">
        <w:rPr>
          <w:rFonts w:ascii="Verdana" w:eastAsia="Calibri" w:hAnsi="Verdana" w:cs="Arial"/>
          <w:bCs/>
          <w:sz w:val="20"/>
          <w:szCs w:val="20"/>
          <w:lang w:val="es-ES"/>
        </w:rPr>
        <w:t xml:space="preserve">Los impuestos son parte integral del precio, pues es lo que finalmente terminará pagando la entidad cuando adjudique el contrato, por lo cual en aplicación de los principios de selección objetiva y de igualdad, la entidad contratante debe evaluar las ofertas con base en el precio final o real que ofrezca cada proponente, toda vez que de esa comparación es que surgirá la oferta más favorable o ventajosa para el Estado. </w:t>
      </w:r>
      <w:r w:rsidRPr="008979BE">
        <w:rPr>
          <w:rFonts w:ascii="Verdana" w:eastAsia="Calibri" w:hAnsi="Verdana" w:cs="Arial"/>
          <w:bCs/>
          <w:sz w:val="20"/>
          <w:szCs w:val="20"/>
          <w:lang w:val="es-ES"/>
        </w:rPr>
        <w:t>Esta carga hace parte del comp</w:t>
      </w:r>
      <w:r>
        <w:rPr>
          <w:rFonts w:ascii="Verdana" w:eastAsia="Calibri" w:hAnsi="Verdana" w:cs="Arial"/>
          <w:bCs/>
          <w:sz w:val="20"/>
          <w:szCs w:val="20"/>
          <w:lang w:val="es-ES"/>
        </w:rPr>
        <w:t>on</w:t>
      </w:r>
      <w:r w:rsidRPr="008979BE">
        <w:rPr>
          <w:rFonts w:ascii="Verdana" w:eastAsia="Calibri" w:hAnsi="Verdana" w:cs="Arial"/>
          <w:bCs/>
          <w:sz w:val="20"/>
          <w:szCs w:val="20"/>
          <w:lang w:val="es-ES"/>
        </w:rPr>
        <w:t xml:space="preserve">ente de Administración del AIU por ser un costo indirecto del negocio, y está a cargo del sujeto pasivo que </w:t>
      </w:r>
      <w:r>
        <w:rPr>
          <w:rFonts w:ascii="Verdana" w:eastAsia="Calibri" w:hAnsi="Verdana" w:cs="Arial"/>
          <w:bCs/>
          <w:sz w:val="20"/>
          <w:szCs w:val="20"/>
          <w:lang w:val="es-ES"/>
        </w:rPr>
        <w:t xml:space="preserve">dé </w:t>
      </w:r>
      <w:r w:rsidRPr="008979BE">
        <w:rPr>
          <w:rFonts w:ascii="Verdana" w:eastAsia="Calibri" w:hAnsi="Verdana" w:cs="Arial"/>
          <w:bCs/>
          <w:sz w:val="20"/>
          <w:szCs w:val="20"/>
          <w:lang w:val="es-ES"/>
        </w:rPr>
        <w:t>lugar al hecho generador conforme a las normas tributarias. No obstante, la Agencia no se ha pronunciado sobre los impuestos locales en los proyectos de inversión pública</w:t>
      </w:r>
      <w:r>
        <w:rPr>
          <w:rFonts w:ascii="Verdana" w:eastAsia="Calibri" w:hAnsi="Verdana" w:cs="Arial"/>
          <w:bCs/>
          <w:sz w:val="20"/>
          <w:szCs w:val="20"/>
          <w:lang w:val="es-ES"/>
        </w:rPr>
        <w:t>.</w:t>
      </w:r>
    </w:p>
    <w:p w14:paraId="029555AE" w14:textId="77777777" w:rsidR="00EF44FF" w:rsidRPr="00A41F79" w:rsidRDefault="00EF44FF" w:rsidP="00EF44FF">
      <w:pPr>
        <w:spacing w:after="0" w:line="240" w:lineRule="auto"/>
        <w:rPr>
          <w:rFonts w:ascii="Verdana" w:eastAsia="Geomanist Light" w:hAnsi="Verdana" w:cs="Arial"/>
          <w:color w:val="000000" w:themeColor="text1"/>
          <w:lang w:val="es-ES_tradnl"/>
        </w:rPr>
      </w:pPr>
    </w:p>
    <w:p w14:paraId="3604B028" w14:textId="77777777" w:rsidR="00EF44FF" w:rsidRDefault="00EF44FF" w:rsidP="00EF44FF">
      <w:pPr>
        <w:spacing w:after="0" w:line="240" w:lineRule="auto"/>
        <w:rPr>
          <w:rFonts w:ascii="Verdana" w:eastAsia="Geomanist Light" w:hAnsi="Verdana" w:cs="Arial"/>
          <w:color w:val="000000" w:themeColor="text1"/>
          <w:lang w:val="es-MX"/>
        </w:rPr>
      </w:pPr>
    </w:p>
    <w:p w14:paraId="6CE6ADFF" w14:textId="77777777" w:rsidR="00EF44FF" w:rsidRDefault="00EF44FF" w:rsidP="00EF44FF">
      <w:pPr>
        <w:spacing w:after="0" w:line="240" w:lineRule="auto"/>
        <w:rPr>
          <w:rFonts w:ascii="Verdana" w:eastAsia="Geomanist Light" w:hAnsi="Verdana" w:cs="Arial"/>
          <w:color w:val="000000" w:themeColor="text1"/>
          <w:lang w:val="es-MX"/>
        </w:rPr>
      </w:pPr>
    </w:p>
    <w:p w14:paraId="68ADFAB5" w14:textId="77777777" w:rsidR="00EF44FF" w:rsidRDefault="00EF44FF" w:rsidP="00EF44FF">
      <w:pPr>
        <w:spacing w:after="0" w:line="240" w:lineRule="auto"/>
        <w:rPr>
          <w:rFonts w:ascii="Verdana" w:eastAsia="Geomanist Light" w:hAnsi="Verdana" w:cs="Arial"/>
          <w:color w:val="000000" w:themeColor="text1"/>
          <w:lang w:val="es-MX"/>
        </w:rPr>
      </w:pPr>
    </w:p>
    <w:p w14:paraId="7577E152" w14:textId="77777777" w:rsidR="00EF44FF" w:rsidRDefault="00EF44FF" w:rsidP="00EF44FF">
      <w:pPr>
        <w:spacing w:after="0" w:line="240" w:lineRule="auto"/>
        <w:rPr>
          <w:rFonts w:ascii="Verdana" w:eastAsia="Geomanist Light" w:hAnsi="Verdana" w:cs="Arial"/>
          <w:color w:val="000000" w:themeColor="text1"/>
          <w:lang w:val="es-MX"/>
        </w:rPr>
      </w:pPr>
    </w:p>
    <w:p w14:paraId="130BF264" w14:textId="77777777" w:rsidR="00EF44FF" w:rsidRDefault="00EF44FF" w:rsidP="00EF44FF">
      <w:pPr>
        <w:spacing w:after="0" w:line="240" w:lineRule="auto"/>
        <w:rPr>
          <w:rFonts w:ascii="Verdana" w:eastAsia="Geomanist Light" w:hAnsi="Verdana" w:cs="Arial"/>
          <w:color w:val="000000" w:themeColor="text1"/>
          <w:lang w:val="es-MX"/>
        </w:rPr>
      </w:pPr>
    </w:p>
    <w:p w14:paraId="4C5E9382" w14:textId="77777777" w:rsidR="00EF44FF" w:rsidRDefault="00EF44FF" w:rsidP="00EF44FF">
      <w:pPr>
        <w:spacing w:after="0" w:line="240" w:lineRule="auto"/>
        <w:rPr>
          <w:rFonts w:ascii="Verdana" w:eastAsia="Geomanist Light" w:hAnsi="Verdana" w:cs="Arial"/>
          <w:color w:val="000000" w:themeColor="text1"/>
          <w:lang w:val="es-MX"/>
        </w:rPr>
      </w:pPr>
    </w:p>
    <w:p w14:paraId="634DD05F" w14:textId="77777777" w:rsidR="00EF44FF" w:rsidRDefault="00EF44FF" w:rsidP="00EF44FF">
      <w:pPr>
        <w:spacing w:after="0" w:line="240" w:lineRule="auto"/>
        <w:rPr>
          <w:rFonts w:ascii="Verdana" w:eastAsia="Geomanist Light" w:hAnsi="Verdana" w:cs="Arial"/>
          <w:color w:val="000000" w:themeColor="text1"/>
          <w:lang w:val="es-MX"/>
        </w:rPr>
      </w:pPr>
    </w:p>
    <w:p w14:paraId="3B3FA6CD" w14:textId="77777777" w:rsidR="00EF44FF" w:rsidRDefault="00EF44FF" w:rsidP="00EF44FF">
      <w:pPr>
        <w:spacing w:after="0" w:line="240" w:lineRule="auto"/>
        <w:rPr>
          <w:rFonts w:ascii="Verdana" w:eastAsia="Geomanist Light" w:hAnsi="Verdana" w:cs="Arial"/>
          <w:color w:val="000000" w:themeColor="text1"/>
          <w:lang w:val="es-MX"/>
        </w:rPr>
      </w:pPr>
    </w:p>
    <w:p w14:paraId="13EEDB98" w14:textId="77777777" w:rsidR="00EF44FF" w:rsidRDefault="00EF44FF" w:rsidP="00EF44FF">
      <w:pPr>
        <w:spacing w:after="0" w:line="240" w:lineRule="auto"/>
        <w:rPr>
          <w:rFonts w:ascii="Verdana" w:eastAsia="Geomanist Light" w:hAnsi="Verdana" w:cs="Arial"/>
          <w:color w:val="000000" w:themeColor="text1"/>
          <w:lang w:val="es-MX"/>
        </w:rPr>
      </w:pPr>
    </w:p>
    <w:p w14:paraId="4D6B16E2" w14:textId="77777777" w:rsidR="00EF44FF" w:rsidRDefault="00EF44FF" w:rsidP="00EF44FF">
      <w:pPr>
        <w:spacing w:after="0" w:line="240" w:lineRule="auto"/>
        <w:rPr>
          <w:rFonts w:ascii="Verdana" w:eastAsia="Geomanist Light" w:hAnsi="Verdana" w:cs="Arial"/>
          <w:color w:val="000000" w:themeColor="text1"/>
          <w:lang w:val="es-MX"/>
        </w:rPr>
      </w:pPr>
    </w:p>
    <w:p w14:paraId="2059AC94" w14:textId="77777777" w:rsidR="00EF44FF" w:rsidRDefault="00EF44FF" w:rsidP="00EF44FF">
      <w:pPr>
        <w:spacing w:after="0" w:line="240" w:lineRule="auto"/>
        <w:rPr>
          <w:rFonts w:ascii="Verdana" w:eastAsia="Geomanist Light" w:hAnsi="Verdana" w:cs="Arial"/>
          <w:color w:val="000000" w:themeColor="text1"/>
          <w:lang w:val="es-MX"/>
        </w:rPr>
      </w:pPr>
    </w:p>
    <w:p w14:paraId="2B3E6064" w14:textId="77777777" w:rsidR="00EF44FF" w:rsidRDefault="00EF44FF" w:rsidP="00EF44FF">
      <w:pPr>
        <w:spacing w:after="0" w:line="240" w:lineRule="auto"/>
        <w:rPr>
          <w:rFonts w:ascii="Verdana" w:eastAsia="Geomanist Light" w:hAnsi="Verdana" w:cs="Arial"/>
          <w:color w:val="000000" w:themeColor="text1"/>
          <w:lang w:val="es-MX"/>
        </w:rPr>
      </w:pPr>
    </w:p>
    <w:p w14:paraId="13049FC4" w14:textId="77777777" w:rsidR="00EF44FF" w:rsidRDefault="00EF44FF" w:rsidP="00EF44FF">
      <w:pPr>
        <w:spacing w:after="0" w:line="240" w:lineRule="auto"/>
        <w:rPr>
          <w:rFonts w:ascii="Verdana" w:eastAsia="Geomanist Light" w:hAnsi="Verdana" w:cs="Arial"/>
          <w:color w:val="000000" w:themeColor="text1"/>
          <w:lang w:val="es-MX"/>
        </w:rPr>
      </w:pPr>
    </w:p>
    <w:p w14:paraId="3371E7F6" w14:textId="77777777" w:rsidR="00EF44FF" w:rsidRDefault="00EF44FF" w:rsidP="00EF44FF">
      <w:pPr>
        <w:spacing w:after="0" w:line="240" w:lineRule="auto"/>
        <w:rPr>
          <w:rFonts w:ascii="Verdana" w:eastAsia="Geomanist Light" w:hAnsi="Verdana" w:cs="Arial"/>
          <w:color w:val="000000" w:themeColor="text1"/>
          <w:lang w:val="es-MX"/>
        </w:rPr>
      </w:pPr>
    </w:p>
    <w:p w14:paraId="33DCA654" w14:textId="77777777" w:rsidR="00EF44FF" w:rsidRDefault="00EF44FF" w:rsidP="00EF44FF">
      <w:pPr>
        <w:spacing w:after="0" w:line="240" w:lineRule="auto"/>
        <w:rPr>
          <w:rFonts w:ascii="Verdana" w:eastAsia="Geomanist Light" w:hAnsi="Verdana" w:cs="Arial"/>
          <w:color w:val="000000" w:themeColor="text1"/>
          <w:lang w:val="es-MX"/>
        </w:rPr>
      </w:pPr>
    </w:p>
    <w:p w14:paraId="32E5B5D0" w14:textId="77777777" w:rsidR="00EF44FF" w:rsidRDefault="00EF44FF" w:rsidP="00EF44FF">
      <w:pPr>
        <w:spacing w:after="0" w:line="240" w:lineRule="auto"/>
        <w:rPr>
          <w:rFonts w:ascii="Verdana" w:eastAsia="Geomanist Light" w:hAnsi="Verdana" w:cs="Arial"/>
          <w:color w:val="000000" w:themeColor="text1"/>
          <w:lang w:val="es-MX"/>
        </w:rPr>
      </w:pPr>
    </w:p>
    <w:p w14:paraId="317CC97A" w14:textId="77777777" w:rsidR="00EF44FF" w:rsidRDefault="00EF44FF" w:rsidP="00EF44FF">
      <w:pPr>
        <w:spacing w:after="0" w:line="240" w:lineRule="auto"/>
        <w:rPr>
          <w:rFonts w:ascii="Verdana" w:eastAsia="Geomanist Light" w:hAnsi="Verdana" w:cs="Arial"/>
          <w:color w:val="000000" w:themeColor="text1"/>
          <w:lang w:val="es-MX"/>
        </w:rPr>
      </w:pPr>
    </w:p>
    <w:p w14:paraId="1B4A09CA" w14:textId="77777777" w:rsidR="00EF44FF" w:rsidRDefault="00EF44FF" w:rsidP="00EF44FF">
      <w:pPr>
        <w:spacing w:after="0" w:line="240" w:lineRule="auto"/>
        <w:rPr>
          <w:rFonts w:ascii="Verdana" w:eastAsia="Geomanist Light" w:hAnsi="Verdana" w:cs="Arial"/>
          <w:color w:val="000000" w:themeColor="text1"/>
          <w:lang w:val="es-MX"/>
        </w:rPr>
      </w:pPr>
    </w:p>
    <w:p w14:paraId="02665444" w14:textId="77777777" w:rsidR="00EF44FF" w:rsidRDefault="00EF44FF" w:rsidP="00EF44FF">
      <w:pPr>
        <w:spacing w:after="0" w:line="240" w:lineRule="auto"/>
        <w:rPr>
          <w:rFonts w:ascii="Verdana" w:eastAsia="Geomanist Light" w:hAnsi="Verdana" w:cs="Arial"/>
          <w:color w:val="000000" w:themeColor="text1"/>
          <w:lang w:val="es-MX"/>
        </w:rPr>
      </w:pPr>
    </w:p>
    <w:p w14:paraId="46EFA0BA" w14:textId="77777777" w:rsidR="00EF44FF" w:rsidRDefault="00EF44FF" w:rsidP="005156DF">
      <w:pPr>
        <w:spacing w:after="0" w:line="240" w:lineRule="auto"/>
        <w:rPr>
          <w:rFonts w:ascii="Verdana" w:eastAsia="Geomanist Light" w:hAnsi="Verdana" w:cs="Arial"/>
          <w:color w:val="000000" w:themeColor="text1"/>
          <w:lang w:val="es-MX"/>
        </w:rPr>
      </w:pPr>
    </w:p>
    <w:p w14:paraId="755D0E71" w14:textId="12A7B5A1" w:rsidR="005156DF" w:rsidRPr="00593A5F" w:rsidRDefault="005156DF" w:rsidP="005156DF">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574B21" w:rsidRPr="00574B21">
        <w:rPr>
          <w:rFonts w:ascii="Verdana" w:eastAsia="Geomanist Light" w:hAnsi="Verdana" w:cs="Arial"/>
          <w:color w:val="000000" w:themeColor="text1"/>
          <w:lang w:val="es-MX"/>
        </w:rPr>
        <w:t>12 de Noviembre de 2025</w:t>
      </w:r>
    </w:p>
    <w:p w14:paraId="0E0004CF" w14:textId="77777777" w:rsidR="005156DF" w:rsidRDefault="005156DF" w:rsidP="005156DF">
      <w:pPr>
        <w:spacing w:after="0" w:line="240" w:lineRule="auto"/>
        <w:rPr>
          <w:rFonts w:ascii="Verdana" w:eastAsia="Calibri" w:hAnsi="Verdana" w:cs="Arial"/>
          <w:color w:val="000000"/>
          <w:lang w:val="es-ES"/>
        </w:rPr>
      </w:pPr>
    </w:p>
    <w:p w14:paraId="427E6D68" w14:textId="4AA7454B" w:rsidR="00574B21" w:rsidRDefault="00574B21" w:rsidP="00574B21">
      <w:pPr>
        <w:spacing w:after="0" w:line="240" w:lineRule="auto"/>
        <w:jc w:val="right"/>
        <w:rPr>
          <w:rFonts w:ascii="Verdana" w:eastAsia="Calibri" w:hAnsi="Verdana" w:cs="Arial"/>
          <w:color w:val="000000"/>
          <w:lang w:val="es-ES"/>
        </w:rPr>
      </w:pPr>
      <w:r w:rsidRPr="00574B21">
        <w:rPr>
          <w:rFonts w:ascii="Verdana" w:eastAsia="Calibri" w:hAnsi="Verdana" w:cs="Arial"/>
          <w:color w:val="000000"/>
          <w:lang w:val="es-ES"/>
        </w:rPr>
        <w:drawing>
          <wp:inline distT="0" distB="0" distL="0" distR="0" wp14:anchorId="0E1A1DAC" wp14:editId="1AF117A5">
            <wp:extent cx="2400300" cy="622300"/>
            <wp:effectExtent l="0" t="0" r="0" b="0"/>
            <wp:docPr id="74645506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6455065" name=""/>
                    <pic:cNvPicPr/>
                  </pic:nvPicPr>
                  <pic:blipFill>
                    <a:blip r:embed="rId10"/>
                    <a:stretch>
                      <a:fillRect/>
                    </a:stretch>
                  </pic:blipFill>
                  <pic:spPr>
                    <a:xfrm>
                      <a:off x="0" y="0"/>
                      <a:ext cx="2400300" cy="622300"/>
                    </a:xfrm>
                    <a:prstGeom prst="rect">
                      <a:avLst/>
                    </a:prstGeom>
                  </pic:spPr>
                </pic:pic>
              </a:graphicData>
            </a:graphic>
          </wp:inline>
        </w:drawing>
      </w:r>
    </w:p>
    <w:p w14:paraId="31C52123" w14:textId="77777777" w:rsidR="005156DF" w:rsidRPr="00593A5F" w:rsidRDefault="005156DF" w:rsidP="005156DF">
      <w:pPr>
        <w:spacing w:after="0" w:line="240" w:lineRule="auto"/>
        <w:jc w:val="both"/>
        <w:rPr>
          <w:rFonts w:ascii="Verdana" w:eastAsia="Calibri" w:hAnsi="Verdana" w:cs="Arial"/>
          <w:color w:val="000000"/>
          <w:lang w:val="es-ES"/>
        </w:rPr>
      </w:pPr>
    </w:p>
    <w:p w14:paraId="72950E6F" w14:textId="77777777" w:rsidR="005156DF" w:rsidRPr="00B96799" w:rsidRDefault="005156DF" w:rsidP="005156DF">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5B57A68B" w14:textId="77777777" w:rsidR="005156DF" w:rsidRDefault="005156DF" w:rsidP="005156DF">
      <w:pPr>
        <w:spacing w:after="0" w:line="240" w:lineRule="auto"/>
        <w:rPr>
          <w:rFonts w:ascii="Verdana" w:eastAsia="Calibri" w:hAnsi="Verdana" w:cs="Arial"/>
          <w:b/>
          <w:lang w:val="es-ES" w:eastAsia="es-ES"/>
        </w:rPr>
      </w:pPr>
      <w:r w:rsidRPr="2858887B">
        <w:rPr>
          <w:rFonts w:ascii="Verdana" w:eastAsia="Calibri" w:hAnsi="Verdana" w:cs="Arial"/>
          <w:b/>
          <w:lang w:val="es-ES" w:eastAsia="es-ES"/>
        </w:rPr>
        <w:t>Fabián Armando Chávarro Pineda</w:t>
      </w:r>
    </w:p>
    <w:p w14:paraId="4C9D03D4" w14:textId="77777777" w:rsidR="005156DF" w:rsidRPr="00B35CA5" w:rsidRDefault="005156DF" w:rsidP="005156DF">
      <w:pPr>
        <w:spacing w:after="0" w:line="240" w:lineRule="auto"/>
        <w:rPr>
          <w:rFonts w:ascii="Verdana" w:eastAsia="Calibri" w:hAnsi="Verdana" w:cs="Arial"/>
          <w:lang w:val="es-ES" w:eastAsia="es-ES"/>
        </w:rPr>
      </w:pPr>
      <w:hyperlink r:id="rId11" w:history="1">
        <w:r w:rsidRPr="006025F8">
          <w:rPr>
            <w:rStyle w:val="Hipervnculo"/>
            <w:rFonts w:ascii="Verdana" w:hAnsi="Verdana"/>
          </w:rPr>
          <w:t>eco.fachapi@gmail.com</w:t>
        </w:r>
      </w:hyperlink>
      <w:r>
        <w:rPr>
          <w:rFonts w:ascii="Verdana" w:hAnsi="Verdana"/>
        </w:rPr>
        <w:t xml:space="preserve"> </w:t>
      </w:r>
      <w:r w:rsidRPr="00B35CA5">
        <w:rPr>
          <w:rFonts w:ascii="Verdana" w:hAnsi="Verdana"/>
        </w:rPr>
        <w:t xml:space="preserve">   </w:t>
      </w:r>
      <w:r w:rsidRPr="00B35CA5">
        <w:rPr>
          <w:rFonts w:ascii="Verdana" w:eastAsia="Calibri" w:hAnsi="Verdana" w:cs="Arial"/>
          <w:lang w:val="es-ES" w:eastAsia="es-ES"/>
        </w:rPr>
        <w:t xml:space="preserve">    </w:t>
      </w:r>
    </w:p>
    <w:p w14:paraId="3EA8B3FB" w14:textId="77777777" w:rsidR="005156DF" w:rsidRDefault="005156DF" w:rsidP="005156DF">
      <w:pPr>
        <w:spacing w:after="0" w:line="240" w:lineRule="auto"/>
        <w:rPr>
          <w:rFonts w:ascii="Verdana" w:eastAsia="Calibri" w:hAnsi="Verdana" w:cs="Arial"/>
          <w:lang w:val="es-ES" w:eastAsia="es-ES"/>
        </w:rPr>
      </w:pPr>
      <w:r w:rsidRPr="006D13B2">
        <w:rPr>
          <w:rFonts w:ascii="Verdana" w:eastAsia="Calibri" w:hAnsi="Verdana" w:cs="Arial"/>
          <w:lang w:val="es-ES" w:eastAsia="es-ES"/>
        </w:rPr>
        <w:t>Bogotá D.C.</w:t>
      </w:r>
      <w:r>
        <w:rPr>
          <w:rFonts w:ascii="Verdana" w:eastAsia="Calibri" w:hAnsi="Verdana" w:cs="Arial"/>
          <w:lang w:val="es-ES" w:eastAsia="es-ES"/>
        </w:rPr>
        <w:t xml:space="preserve"> </w:t>
      </w:r>
    </w:p>
    <w:p w14:paraId="690D8776" w14:textId="77777777" w:rsidR="005156DF" w:rsidRPr="00593A5F" w:rsidRDefault="005156DF" w:rsidP="005156DF">
      <w:pPr>
        <w:spacing w:after="0" w:line="240" w:lineRule="auto"/>
        <w:rPr>
          <w:rFonts w:ascii="Verdana" w:eastAsia="Calibri" w:hAnsi="Verdana" w:cs="Arial"/>
          <w:b/>
          <w:bCs/>
          <w:color w:val="000000"/>
          <w:lang w:val="es-ES_tradnl" w:eastAsia="es-ES_tradnl"/>
        </w:rPr>
      </w:pPr>
    </w:p>
    <w:p w14:paraId="4712AD8E" w14:textId="77777777" w:rsidR="005156DF" w:rsidRPr="00593A5F" w:rsidRDefault="005156DF" w:rsidP="005156DF">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156DF" w:rsidRPr="00593A5F" w14:paraId="68F69C16" w14:textId="77777777" w:rsidTr="00CB547E">
        <w:trPr>
          <w:trHeight w:val="884"/>
        </w:trPr>
        <w:tc>
          <w:tcPr>
            <w:tcW w:w="2689" w:type="dxa"/>
          </w:tcPr>
          <w:p w14:paraId="32990BCF" w14:textId="77777777" w:rsidR="005156DF" w:rsidRPr="00C00976" w:rsidRDefault="005156DF" w:rsidP="00CB547E">
            <w:pPr>
              <w:jc w:val="both"/>
              <w:rPr>
                <w:rFonts w:ascii="Verdana" w:eastAsia="Calibri" w:hAnsi="Verdana" w:cs="Arial"/>
                <w:b/>
                <w:bCs/>
                <w:color w:val="7030A0"/>
                <w:lang w:val="es-ES_tradnl" w:eastAsia="es-ES_tradnl"/>
              </w:rPr>
            </w:pPr>
          </w:p>
        </w:tc>
        <w:tc>
          <w:tcPr>
            <w:tcW w:w="6100" w:type="dxa"/>
          </w:tcPr>
          <w:p w14:paraId="3466DB44" w14:textId="56491A44" w:rsidR="005156DF" w:rsidRPr="00C00976" w:rsidRDefault="005156DF" w:rsidP="00CB547E">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1E3ACD" w:rsidRPr="00C8339B">
              <w:rPr>
                <w:rFonts w:ascii="Verdana" w:eastAsia="Calibri" w:hAnsi="Verdana" w:cs="Arial"/>
                <w:b/>
                <w:bCs/>
                <w:lang w:val="es-ES" w:eastAsia="es-ES"/>
              </w:rPr>
              <w:t>1571</w:t>
            </w:r>
            <w:r w:rsidRPr="008E6AD9">
              <w:rPr>
                <w:rFonts w:ascii="Verdana" w:eastAsia="Calibri" w:hAnsi="Verdana" w:cs="Arial"/>
                <w:b/>
                <w:bCs/>
                <w:lang w:val="es-ES" w:eastAsia="es-ES"/>
              </w:rPr>
              <w:t xml:space="preserve"> de 202</w:t>
            </w:r>
            <w:r>
              <w:rPr>
                <w:rFonts w:ascii="Verdana" w:eastAsia="Calibri" w:hAnsi="Verdana" w:cs="Arial"/>
                <w:b/>
                <w:bCs/>
                <w:lang w:val="es-ES" w:eastAsia="es-ES"/>
              </w:rPr>
              <w:t>5</w:t>
            </w:r>
          </w:p>
        </w:tc>
      </w:tr>
      <w:tr w:rsidR="005156DF" w:rsidRPr="00593A5F" w14:paraId="69AB30B9" w14:textId="77777777" w:rsidTr="00CB547E">
        <w:trPr>
          <w:trHeight w:val="884"/>
        </w:trPr>
        <w:tc>
          <w:tcPr>
            <w:tcW w:w="2689" w:type="dxa"/>
          </w:tcPr>
          <w:p w14:paraId="57CEF6C5" w14:textId="77777777" w:rsidR="005156DF" w:rsidRPr="00593A5F" w:rsidRDefault="005156DF" w:rsidP="00CB547E">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39DDCA4B" w14:textId="65A79F6F" w:rsidR="005156DF" w:rsidRPr="00A11406" w:rsidRDefault="005156DF" w:rsidP="00CB547E">
            <w:pPr>
              <w:spacing w:line="276" w:lineRule="auto"/>
              <w:jc w:val="both"/>
              <w:rPr>
                <w:rFonts w:ascii="Verdana" w:eastAsia="Calibri" w:hAnsi="Verdana" w:cs="Arial"/>
                <w:lang w:val="es-ES" w:eastAsia="es-ES"/>
              </w:rPr>
            </w:pPr>
            <w:r w:rsidRPr="00216BF9">
              <w:rPr>
                <w:rFonts w:ascii="Verdana" w:eastAsia="Calibri" w:hAnsi="Verdana" w:cs="Arial"/>
                <w:lang w:val="es-ES" w:eastAsia="es-ES"/>
              </w:rPr>
              <w:t>ESTUDIOS DEL SECTOR – Manifestación – Principio de planeación</w:t>
            </w:r>
            <w:r>
              <w:rPr>
                <w:rFonts w:ascii="Verdana" w:eastAsia="Calibri" w:hAnsi="Verdana" w:cs="Arial"/>
                <w:lang w:val="es-ES" w:eastAsia="es-ES"/>
              </w:rPr>
              <w:t xml:space="preserve"> / </w:t>
            </w:r>
            <w:r w:rsidR="00F23432" w:rsidRPr="00985B28">
              <w:rPr>
                <w:rFonts w:ascii="Verdana" w:eastAsia="Calibri" w:hAnsi="Verdana" w:cs="Arial"/>
                <w:lang w:val="es-ES" w:eastAsia="es-ES"/>
              </w:rPr>
              <w:t>INTERVENTORÍA</w:t>
            </w:r>
            <w:r w:rsidRPr="00985B28">
              <w:rPr>
                <w:rFonts w:ascii="Verdana" w:eastAsia="Calibri" w:hAnsi="Verdana" w:cs="Arial"/>
                <w:lang w:val="es-ES" w:eastAsia="es-ES"/>
              </w:rPr>
              <w:t xml:space="preserve"> – Valor de la obra – Precios de referencia – Inexistencia</w:t>
            </w:r>
            <w:r>
              <w:rPr>
                <w:rFonts w:ascii="Verdana" w:eastAsia="Calibri" w:hAnsi="Verdana" w:cs="Arial"/>
                <w:lang w:val="es-ES" w:eastAsia="es-ES"/>
              </w:rPr>
              <w:t xml:space="preserve"> / </w:t>
            </w:r>
            <w:r w:rsidRPr="00DD2A75">
              <w:rPr>
                <w:rFonts w:ascii="Verdana" w:eastAsia="Calibri" w:hAnsi="Verdana" w:cs="Arial"/>
                <w:lang w:val="es-ES" w:eastAsia="es-ES"/>
              </w:rPr>
              <w:t>PRECIOS UNITARIOS – APU – AIU – Diferencias – Configuración / AIU – Costos indirectos – Finalidad – Ejecución del contrato</w:t>
            </w:r>
            <w:r>
              <w:rPr>
                <w:rFonts w:ascii="Verdana" w:eastAsia="Calibri" w:hAnsi="Verdana" w:cs="Arial"/>
                <w:lang w:val="es-ES" w:eastAsia="es-ES"/>
              </w:rPr>
              <w:t xml:space="preserve"> / </w:t>
            </w:r>
            <w:r w:rsidRPr="00683260">
              <w:rPr>
                <w:rFonts w:ascii="Verdana" w:eastAsia="Calibri" w:hAnsi="Verdana" w:cs="Arial"/>
                <w:lang w:val="es-ES" w:eastAsia="es-ES"/>
              </w:rPr>
              <w:t>AIU – Componentes – Discrecionalidad</w:t>
            </w:r>
            <w:r w:rsidRPr="009E03E6">
              <w:rPr>
                <w:rFonts w:ascii="Verdana" w:eastAsia="Calibri" w:hAnsi="Verdana" w:cs="Arial"/>
                <w:lang w:val="es-ES" w:eastAsia="es-ES"/>
              </w:rPr>
              <w:t xml:space="preserve"> </w:t>
            </w:r>
            <w:r>
              <w:rPr>
                <w:rFonts w:ascii="Verdana" w:eastAsia="Calibri" w:hAnsi="Verdana" w:cs="Arial"/>
                <w:lang w:val="es-ES" w:eastAsia="es-ES"/>
              </w:rPr>
              <w:t xml:space="preserve">/ </w:t>
            </w:r>
            <w:r w:rsidRPr="00E15CF2">
              <w:rPr>
                <w:rFonts w:ascii="Verdana" w:eastAsia="Calibri" w:hAnsi="Verdana" w:cs="Arial"/>
                <w:lang w:val="es-ES" w:eastAsia="es-ES"/>
              </w:rPr>
              <w:t>EVALUACIÓN DEL PRECIO ‒ Costo real – Incluye la carga impositiva</w:t>
            </w:r>
          </w:p>
          <w:p w14:paraId="0CA67A36" w14:textId="77777777" w:rsidR="005156DF" w:rsidRPr="00593A5F" w:rsidRDefault="005156DF" w:rsidP="00CB547E">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5156DF" w:rsidRPr="008E6AD9" w14:paraId="1021A232" w14:textId="77777777" w:rsidTr="00CB547E">
        <w:tc>
          <w:tcPr>
            <w:tcW w:w="2689" w:type="dxa"/>
          </w:tcPr>
          <w:p w14:paraId="67791181" w14:textId="77777777" w:rsidR="005156DF" w:rsidRPr="008E6AD9" w:rsidRDefault="005156DF" w:rsidP="00CB547E">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2AA17C13" w14:textId="77777777" w:rsidR="005156DF" w:rsidRPr="008E6AD9" w:rsidRDefault="005156DF" w:rsidP="00CB547E">
            <w:pPr>
              <w:spacing w:line="276" w:lineRule="auto"/>
              <w:jc w:val="both"/>
              <w:rPr>
                <w:rFonts w:ascii="Verdana" w:eastAsia="Calibri" w:hAnsi="Verdana" w:cs="Arial"/>
                <w:lang w:eastAsia="es-ES_tradnl"/>
              </w:rPr>
            </w:pPr>
            <w:r w:rsidRPr="006D13B2">
              <w:rPr>
                <w:rFonts w:ascii="Verdana" w:eastAsia="Calibri" w:hAnsi="Verdana" w:cs="Arial"/>
                <w:lang w:val="es-ES_tradnl" w:eastAsia="es-ES_tradnl"/>
              </w:rPr>
              <w:t xml:space="preserve">Respuesta a la consulta con radicado No. </w:t>
            </w:r>
            <w:r w:rsidRPr="008515A4">
              <w:rPr>
                <w:rFonts w:ascii="Verdana" w:eastAsia="Calibri" w:hAnsi="Verdana" w:cs="Arial"/>
                <w:lang w:val="es-ES_tradnl" w:eastAsia="es-ES_tradnl"/>
              </w:rPr>
              <w:t>1_2025_10_27_012021</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755821F7" w14:textId="77777777" w:rsidR="005156DF" w:rsidRPr="00593A5F" w:rsidRDefault="005156DF" w:rsidP="005156DF">
      <w:pPr>
        <w:spacing w:after="0" w:line="240" w:lineRule="auto"/>
        <w:jc w:val="both"/>
        <w:rPr>
          <w:rFonts w:ascii="Verdana" w:eastAsia="Calibri" w:hAnsi="Verdana" w:cs="Arial"/>
          <w:color w:val="000000"/>
          <w:lang w:val="es-ES_tradnl" w:eastAsia="es-ES_tradnl"/>
        </w:rPr>
      </w:pPr>
    </w:p>
    <w:p w14:paraId="511BFDB6" w14:textId="77777777" w:rsidR="005156DF" w:rsidRPr="00593A5F" w:rsidRDefault="005156DF" w:rsidP="005156DF">
      <w:pPr>
        <w:spacing w:after="0" w:line="240" w:lineRule="auto"/>
        <w:jc w:val="both"/>
        <w:rPr>
          <w:rFonts w:ascii="Verdana" w:eastAsia="Calibri" w:hAnsi="Verdana" w:cs="Arial"/>
          <w:color w:val="000000"/>
          <w:lang w:val="es-ES_tradnl" w:eastAsia="es-ES_tradnl"/>
        </w:rPr>
      </w:pPr>
    </w:p>
    <w:p w14:paraId="39E1080F" w14:textId="77777777" w:rsidR="005156DF" w:rsidRPr="008E6AD9" w:rsidRDefault="005156DF" w:rsidP="005156DF">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señor </w:t>
      </w:r>
      <w:r w:rsidRPr="00EA435A">
        <w:rPr>
          <w:rFonts w:ascii="Verdana" w:eastAsia="Calibri" w:hAnsi="Verdana" w:cs="Arial"/>
          <w:lang w:val="es-ES" w:eastAsia="es-ES"/>
        </w:rPr>
        <w:t>Chávarro Pineda</w:t>
      </w:r>
      <w:r w:rsidRPr="008E6AD9">
        <w:rPr>
          <w:rFonts w:ascii="Verdana" w:eastAsia="Calibri" w:hAnsi="Verdana" w:cs="Arial"/>
          <w:lang w:val="es-ES" w:eastAsia="es-ES"/>
        </w:rPr>
        <w:t xml:space="preserve">: </w:t>
      </w:r>
    </w:p>
    <w:p w14:paraId="08FEF23B" w14:textId="77777777" w:rsidR="005156DF" w:rsidRDefault="005156DF" w:rsidP="005156DF">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79F7F8D" w14:textId="77777777" w:rsidR="005156DF" w:rsidRPr="00593A5F" w:rsidRDefault="005156DF" w:rsidP="005156DF">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27 de octubre de 2025</w:t>
      </w:r>
      <w:r w:rsidRPr="008E6AD9">
        <w:rPr>
          <w:rFonts w:ascii="Verdana" w:eastAsia="Calibri" w:hAnsi="Verdana" w:cs="Arial"/>
          <w:lang w:val="es-ES" w:eastAsia="es-ES"/>
        </w:rPr>
        <w:t>,</w:t>
      </w:r>
      <w:r>
        <w:rPr>
          <w:rFonts w:ascii="Verdana" w:eastAsia="Calibri" w:hAnsi="Verdana" w:cs="Arial"/>
          <w:lang w:val="es-ES" w:eastAsia="es-ES"/>
        </w:rPr>
        <w:t xml:space="preserve"> </w:t>
      </w:r>
      <w:r w:rsidRPr="008E6AD9">
        <w:rPr>
          <w:rFonts w:ascii="Verdana" w:eastAsia="Calibri" w:hAnsi="Verdana" w:cs="Arial"/>
          <w:lang w:val="es-ES" w:eastAsia="es-ES"/>
        </w:rPr>
        <w:t>en la cua</w:t>
      </w:r>
      <w:r>
        <w:rPr>
          <w:rFonts w:ascii="Verdana" w:eastAsia="Calibri" w:hAnsi="Verdana" w:cs="Arial"/>
          <w:lang w:val="es-ES" w:eastAsia="es-ES"/>
        </w:rPr>
        <w:t>l</w:t>
      </w:r>
      <w:r w:rsidRPr="00AB219D">
        <w:rPr>
          <w:rFonts w:ascii="Verdana" w:eastAsia="Calibri" w:hAnsi="Verdana" w:cs="Arial"/>
          <w:lang w:val="es-ES" w:eastAsia="es-ES"/>
        </w:rPr>
        <w:t xml:space="preserve"> </w:t>
      </w:r>
      <w:r>
        <w:rPr>
          <w:rFonts w:ascii="Verdana" w:eastAsia="Calibri" w:hAnsi="Verdana" w:cs="Arial"/>
          <w:lang w:val="es-ES" w:eastAsia="es-ES"/>
        </w:rPr>
        <w:t>realiza las siguientes preguntas</w:t>
      </w:r>
      <w:r w:rsidRPr="008E6AD9">
        <w:rPr>
          <w:rFonts w:ascii="Verdana" w:eastAsia="Calibri" w:hAnsi="Verdana" w:cs="Arial"/>
          <w:lang w:val="es-ES" w:eastAsia="es-ES"/>
        </w:rPr>
        <w:t xml:space="preserve">: </w:t>
      </w:r>
    </w:p>
    <w:p w14:paraId="7CED0DF3" w14:textId="77777777" w:rsidR="005156DF" w:rsidRPr="00272A7B" w:rsidRDefault="005156DF" w:rsidP="005156DF">
      <w:pPr>
        <w:pStyle w:val="Prrafodelista"/>
        <w:tabs>
          <w:tab w:val="left" w:pos="142"/>
          <w:tab w:val="left" w:pos="284"/>
        </w:tabs>
        <w:spacing w:after="0" w:line="276" w:lineRule="auto"/>
        <w:ind w:left="0"/>
        <w:jc w:val="both"/>
        <w:rPr>
          <w:rFonts w:ascii="Verdana" w:eastAsia="Century Gothic" w:hAnsi="Verdana" w:cs="Century Gothic"/>
          <w:b/>
          <w:bCs/>
        </w:rPr>
      </w:pPr>
    </w:p>
    <w:p w14:paraId="2D3D194A" w14:textId="77777777" w:rsidR="005156DF" w:rsidRPr="00D14478" w:rsidRDefault="005156DF" w:rsidP="005156DF">
      <w:pPr>
        <w:spacing w:after="120" w:line="240" w:lineRule="auto"/>
        <w:ind w:left="709" w:right="709"/>
        <w:jc w:val="both"/>
        <w:rPr>
          <w:rFonts w:ascii="Verdana" w:eastAsia="Century Gothic" w:hAnsi="Verdana" w:cs="Century Gothic"/>
          <w:sz w:val="20"/>
          <w:szCs w:val="20"/>
          <w:lang w:val="es-ES"/>
        </w:rPr>
      </w:pPr>
      <w:bookmarkStart w:id="0" w:name="_Hlk95313578"/>
      <w:r w:rsidRPr="00D14478">
        <w:rPr>
          <w:rFonts w:ascii="Verdana" w:eastAsia="Century Gothic" w:hAnsi="Verdana" w:cs="Century Gothic"/>
          <w:sz w:val="20"/>
          <w:szCs w:val="20"/>
          <w:lang w:val="es-ES"/>
        </w:rPr>
        <w:t>“</w:t>
      </w:r>
      <w:bookmarkEnd w:id="0"/>
      <w:r w:rsidRPr="00D14478">
        <w:rPr>
          <w:rFonts w:ascii="Verdana" w:eastAsia="Century Gothic" w:hAnsi="Verdana" w:cs="Century Gothic"/>
          <w:sz w:val="20"/>
          <w:szCs w:val="20"/>
          <w:u w:val="single"/>
          <w:lang w:val="es-ES"/>
        </w:rPr>
        <w:t>Sobre la interventoría</w:t>
      </w:r>
    </w:p>
    <w:p w14:paraId="1C000905" w14:textId="77777777" w:rsidR="005156DF" w:rsidRPr="00D14478" w:rsidRDefault="005156DF" w:rsidP="005156DF">
      <w:pPr>
        <w:spacing w:after="120" w:line="240" w:lineRule="auto"/>
        <w:ind w:left="709" w:right="709"/>
        <w:jc w:val="both"/>
        <w:rPr>
          <w:rFonts w:ascii="Verdana" w:eastAsia="Century Gothic" w:hAnsi="Verdana" w:cs="Century Gothic"/>
          <w:sz w:val="20"/>
          <w:szCs w:val="20"/>
          <w:lang w:val="es-ES"/>
        </w:rPr>
      </w:pPr>
      <w:r w:rsidRPr="00D14478">
        <w:rPr>
          <w:rFonts w:ascii="Verdana" w:eastAsia="Century Gothic" w:hAnsi="Verdana" w:cs="Century Gothic"/>
          <w:sz w:val="20"/>
          <w:szCs w:val="20"/>
          <w:lang w:val="es-ES"/>
        </w:rPr>
        <w:lastRenderedPageBreak/>
        <w:t>1. ¿Cuál es el porcentaje técnico y financiero recomendado para la interventoría de proyectos de obra e infraestructura pública, considerando los estándares aplicados a los PROYECTOS TIPO del DNP?</w:t>
      </w:r>
    </w:p>
    <w:p w14:paraId="4866D630" w14:textId="77777777" w:rsidR="005156DF" w:rsidRPr="00D14478" w:rsidRDefault="005156DF" w:rsidP="005156DF">
      <w:pPr>
        <w:spacing w:after="120" w:line="240" w:lineRule="auto"/>
        <w:ind w:left="709" w:right="709"/>
        <w:jc w:val="both"/>
        <w:rPr>
          <w:rFonts w:ascii="Verdana" w:eastAsia="Century Gothic" w:hAnsi="Verdana" w:cs="Century Gothic"/>
          <w:sz w:val="20"/>
          <w:szCs w:val="20"/>
          <w:lang w:val="es-ES"/>
        </w:rPr>
      </w:pPr>
      <w:r w:rsidRPr="00D14478">
        <w:rPr>
          <w:rFonts w:ascii="Verdana" w:eastAsia="Century Gothic" w:hAnsi="Verdana" w:cs="Century Gothic"/>
          <w:sz w:val="20"/>
          <w:szCs w:val="20"/>
          <w:lang w:val="es-ES"/>
        </w:rPr>
        <w:t>2. ¿Qué implicaciones técnicas, fiscales o de viabilidad podría tener que el valor de la interventoría supere el rango promedio generalizado y aceptado como razonable entre el 5% y el 7% del valor total del proyecto de obra?</w:t>
      </w:r>
    </w:p>
    <w:p w14:paraId="2C33D352" w14:textId="77777777" w:rsidR="005156DF" w:rsidRPr="00D14478" w:rsidRDefault="005156DF" w:rsidP="005156DF">
      <w:pPr>
        <w:spacing w:after="120" w:line="240" w:lineRule="auto"/>
        <w:ind w:left="709" w:right="709"/>
        <w:jc w:val="both"/>
        <w:rPr>
          <w:rFonts w:ascii="Verdana" w:eastAsia="Century Gothic" w:hAnsi="Verdana" w:cs="Century Gothic"/>
          <w:sz w:val="20"/>
          <w:szCs w:val="20"/>
          <w:lang w:val="es-ES"/>
        </w:rPr>
      </w:pPr>
      <w:r w:rsidRPr="00D14478">
        <w:rPr>
          <w:rFonts w:ascii="Verdana" w:eastAsia="Century Gothic" w:hAnsi="Verdana" w:cs="Century Gothic"/>
          <w:sz w:val="20"/>
          <w:szCs w:val="20"/>
          <w:lang w:val="es-ES"/>
        </w:rPr>
        <w:t xml:space="preserve">3. ¿En qué tipos de proyectos es admisible una interventoría superior al promedio generalizado en obras públicas, y </w:t>
      </w:r>
      <w:proofErr w:type="gramStart"/>
      <w:r w:rsidRPr="00D14478">
        <w:rPr>
          <w:rFonts w:ascii="Verdana" w:eastAsia="Century Gothic" w:hAnsi="Verdana" w:cs="Century Gothic"/>
          <w:sz w:val="20"/>
          <w:szCs w:val="20"/>
          <w:lang w:val="es-ES"/>
        </w:rPr>
        <w:t>bajo qué condiciones</w:t>
      </w:r>
      <w:proofErr w:type="gramEnd"/>
      <w:r w:rsidRPr="00D14478">
        <w:rPr>
          <w:rFonts w:ascii="Verdana" w:eastAsia="Century Gothic" w:hAnsi="Verdana" w:cs="Century Gothic"/>
          <w:sz w:val="20"/>
          <w:szCs w:val="20"/>
          <w:lang w:val="es-ES"/>
        </w:rPr>
        <w:t xml:space="preserve"> técnicas justificadas podría autorizarse un mayor porcentaje?</w:t>
      </w:r>
    </w:p>
    <w:p w14:paraId="5B3EA922" w14:textId="77777777" w:rsidR="005156DF" w:rsidRPr="00D14478" w:rsidRDefault="005156DF" w:rsidP="005156DF">
      <w:pPr>
        <w:spacing w:after="120" w:line="240" w:lineRule="auto"/>
        <w:ind w:left="709" w:right="709"/>
        <w:jc w:val="both"/>
        <w:rPr>
          <w:rFonts w:ascii="Verdana" w:eastAsia="Century Gothic" w:hAnsi="Verdana" w:cs="Century Gothic"/>
          <w:sz w:val="20"/>
          <w:szCs w:val="20"/>
          <w:lang w:val="es-ES"/>
        </w:rPr>
      </w:pPr>
      <w:r w:rsidRPr="00D14478">
        <w:rPr>
          <w:rFonts w:ascii="Verdana" w:eastAsia="Century Gothic" w:hAnsi="Verdana" w:cs="Century Gothic"/>
          <w:sz w:val="20"/>
          <w:szCs w:val="20"/>
          <w:lang w:val="es-ES"/>
        </w:rPr>
        <w:t>4. ¿Qué insumos y factores de análisis de costos directos e indirectos deben incluirse en la estructuración del presupuesto de la interventoría para garantizar que refleje una valoración técnica razonable?</w:t>
      </w:r>
    </w:p>
    <w:p w14:paraId="0DEB6DF9" w14:textId="77777777" w:rsidR="005156DF" w:rsidRPr="00D14478" w:rsidRDefault="005156DF" w:rsidP="005156DF">
      <w:pPr>
        <w:spacing w:after="120" w:line="240" w:lineRule="auto"/>
        <w:ind w:left="709" w:right="709"/>
        <w:jc w:val="both"/>
        <w:rPr>
          <w:rFonts w:ascii="Verdana" w:eastAsia="Century Gothic" w:hAnsi="Verdana" w:cs="Century Gothic"/>
          <w:sz w:val="20"/>
          <w:szCs w:val="20"/>
          <w:u w:val="single"/>
          <w:lang w:val="es-ES"/>
        </w:rPr>
      </w:pPr>
      <w:r w:rsidRPr="00D14478">
        <w:rPr>
          <w:rFonts w:ascii="Verdana" w:eastAsia="Century Gothic" w:hAnsi="Verdana" w:cs="Century Gothic"/>
          <w:sz w:val="20"/>
          <w:szCs w:val="20"/>
          <w:u w:val="single"/>
          <w:lang w:val="es-ES"/>
        </w:rPr>
        <w:t>Sobre administración, imprevistos y utilidad (AIU)</w:t>
      </w:r>
    </w:p>
    <w:p w14:paraId="1BE69D29" w14:textId="77777777" w:rsidR="005156DF" w:rsidRPr="00D14478" w:rsidRDefault="005156DF" w:rsidP="005156DF">
      <w:pPr>
        <w:spacing w:after="120" w:line="240" w:lineRule="auto"/>
        <w:ind w:left="709" w:right="709"/>
        <w:jc w:val="both"/>
        <w:rPr>
          <w:rFonts w:ascii="Verdana" w:eastAsia="Century Gothic" w:hAnsi="Verdana" w:cs="Century Gothic"/>
          <w:sz w:val="20"/>
          <w:szCs w:val="20"/>
          <w:lang w:val="es-ES"/>
        </w:rPr>
      </w:pPr>
      <w:r w:rsidRPr="00D14478">
        <w:rPr>
          <w:rFonts w:ascii="Verdana" w:eastAsia="Century Gothic" w:hAnsi="Verdana" w:cs="Century Gothic"/>
          <w:sz w:val="20"/>
          <w:szCs w:val="20"/>
          <w:lang w:val="es-ES"/>
        </w:rPr>
        <w:t>5. Teniendo en cuenta que el componente de AIU oscila, como promedio generalizado, entre el 25% y el 30% del valor directo de la obra, ¿debe este porcentaje determinarse siempre mediante un análisis técnico de costos, o puede adoptarse como un valor fijo razonable de referencia en los estudios previos y análisis del presupuesto oficial?</w:t>
      </w:r>
    </w:p>
    <w:p w14:paraId="7927EE1B" w14:textId="77777777" w:rsidR="005156DF" w:rsidRPr="00D14478" w:rsidRDefault="005156DF" w:rsidP="005156DF">
      <w:pPr>
        <w:spacing w:after="120" w:line="240" w:lineRule="auto"/>
        <w:ind w:left="709" w:right="709"/>
        <w:jc w:val="both"/>
        <w:rPr>
          <w:rFonts w:ascii="Verdana" w:eastAsia="Century Gothic" w:hAnsi="Verdana" w:cs="Century Gothic"/>
          <w:sz w:val="20"/>
          <w:szCs w:val="20"/>
          <w:lang w:val="es-ES"/>
        </w:rPr>
      </w:pPr>
      <w:r w:rsidRPr="00D14478">
        <w:rPr>
          <w:rFonts w:ascii="Verdana" w:eastAsia="Century Gothic" w:hAnsi="Verdana" w:cs="Century Gothic"/>
          <w:sz w:val="20"/>
          <w:szCs w:val="20"/>
          <w:lang w:val="es-ES"/>
        </w:rPr>
        <w:t>6. ¿En qué tipos de proyectos o condiciones particulares puede justificarse un AIU superior al 30%, y en qué casos podría ser menor al rango estándar aceptado?</w:t>
      </w:r>
    </w:p>
    <w:p w14:paraId="0BE67534" w14:textId="77777777" w:rsidR="005156DF" w:rsidRPr="00D14478" w:rsidRDefault="005156DF" w:rsidP="005156DF">
      <w:pPr>
        <w:spacing w:after="120" w:line="240" w:lineRule="auto"/>
        <w:ind w:left="709" w:right="709"/>
        <w:jc w:val="both"/>
        <w:rPr>
          <w:rFonts w:ascii="Verdana" w:eastAsia="Century Gothic" w:hAnsi="Verdana" w:cs="Century Gothic"/>
          <w:sz w:val="20"/>
          <w:szCs w:val="20"/>
          <w:lang w:val="es-ES"/>
        </w:rPr>
      </w:pPr>
      <w:r w:rsidRPr="00D14478">
        <w:rPr>
          <w:rFonts w:ascii="Verdana" w:eastAsia="Century Gothic" w:hAnsi="Verdana" w:cs="Century Gothic"/>
          <w:sz w:val="20"/>
          <w:szCs w:val="20"/>
          <w:lang w:val="es-ES"/>
        </w:rPr>
        <w:t>7. ¿Qué criterios recomienda el DNP para definir la composición interna de los porcentajes de administración, imprevistos y utilidad dentro del análisis de costos indirectos?</w:t>
      </w:r>
    </w:p>
    <w:p w14:paraId="232AF4E1" w14:textId="77777777" w:rsidR="005156DF" w:rsidRPr="00D14478" w:rsidRDefault="005156DF" w:rsidP="005156DF">
      <w:pPr>
        <w:spacing w:after="120" w:line="240" w:lineRule="auto"/>
        <w:ind w:left="709" w:right="709"/>
        <w:jc w:val="both"/>
        <w:rPr>
          <w:rFonts w:ascii="Verdana" w:eastAsia="Century Gothic" w:hAnsi="Verdana" w:cs="Century Gothic"/>
          <w:sz w:val="20"/>
          <w:szCs w:val="20"/>
          <w:lang w:val="es-ES"/>
        </w:rPr>
      </w:pPr>
      <w:r w:rsidRPr="00D14478">
        <w:rPr>
          <w:rFonts w:ascii="Verdana" w:eastAsia="Century Gothic" w:hAnsi="Verdana" w:cs="Century Gothic"/>
          <w:sz w:val="20"/>
          <w:szCs w:val="20"/>
          <w:lang w:val="es-ES"/>
        </w:rPr>
        <w:t>8. ¿Cómo debe documentarse y justificarse el uso del componente de imprevistos dentro del AIU, y en cuáles casos este puede ejecutarse parcialmente o trasladarse al contratista?</w:t>
      </w:r>
    </w:p>
    <w:p w14:paraId="42011CED" w14:textId="77777777" w:rsidR="005156DF" w:rsidRPr="00D14478" w:rsidRDefault="005156DF" w:rsidP="005156DF">
      <w:pPr>
        <w:spacing w:after="120" w:line="240" w:lineRule="auto"/>
        <w:ind w:left="709" w:right="709"/>
        <w:jc w:val="both"/>
        <w:rPr>
          <w:rFonts w:ascii="Verdana" w:eastAsia="Century Gothic" w:hAnsi="Verdana" w:cs="Century Gothic"/>
          <w:sz w:val="20"/>
          <w:szCs w:val="20"/>
          <w:u w:val="single"/>
          <w:lang w:val="es-ES"/>
        </w:rPr>
      </w:pPr>
      <w:r w:rsidRPr="00D14478">
        <w:rPr>
          <w:rFonts w:ascii="Verdana" w:eastAsia="Century Gothic" w:hAnsi="Verdana" w:cs="Century Gothic"/>
          <w:sz w:val="20"/>
          <w:szCs w:val="20"/>
          <w:u w:val="single"/>
          <w:lang w:val="es-ES"/>
        </w:rPr>
        <w:t>Sobre impuestos y contribuciones territoriales</w:t>
      </w:r>
    </w:p>
    <w:p w14:paraId="3FBF8AFC" w14:textId="77777777" w:rsidR="005156DF" w:rsidRPr="00D14478" w:rsidRDefault="005156DF" w:rsidP="005156DF">
      <w:pPr>
        <w:spacing w:after="120" w:line="240" w:lineRule="auto"/>
        <w:ind w:left="709" w:right="709"/>
        <w:jc w:val="both"/>
        <w:rPr>
          <w:rFonts w:ascii="Verdana" w:eastAsia="Century Gothic" w:hAnsi="Verdana" w:cs="Century Gothic"/>
          <w:sz w:val="20"/>
          <w:szCs w:val="20"/>
          <w:lang w:val="es-ES"/>
        </w:rPr>
      </w:pPr>
      <w:r w:rsidRPr="00D14478">
        <w:rPr>
          <w:rFonts w:ascii="Verdana" w:eastAsia="Century Gothic" w:hAnsi="Verdana" w:cs="Century Gothic"/>
          <w:sz w:val="20"/>
          <w:szCs w:val="20"/>
          <w:lang w:val="es-ES"/>
        </w:rPr>
        <w:t>9. Conforme a los Estatutos Tributarios de las entidades territoriales, ¿es procedente incluir los impuestos, tasas y contribuciones establecidos por la entidad territorial dentro del componente de Administración del análisis de costos del proyecto?</w:t>
      </w:r>
    </w:p>
    <w:p w14:paraId="3243CC0D" w14:textId="77777777" w:rsidR="005156DF" w:rsidRPr="00D14478" w:rsidRDefault="005156DF" w:rsidP="005156DF">
      <w:pPr>
        <w:spacing w:after="120" w:line="240" w:lineRule="auto"/>
        <w:ind w:left="709" w:right="709"/>
        <w:jc w:val="both"/>
        <w:rPr>
          <w:rFonts w:ascii="Verdana" w:eastAsia="Century Gothic" w:hAnsi="Verdana" w:cs="Century Gothic"/>
          <w:sz w:val="20"/>
          <w:szCs w:val="20"/>
          <w:lang w:val="es-ES"/>
        </w:rPr>
      </w:pPr>
      <w:r w:rsidRPr="00D14478">
        <w:rPr>
          <w:rFonts w:ascii="Verdana" w:eastAsia="Century Gothic" w:hAnsi="Verdana" w:cs="Century Gothic"/>
          <w:sz w:val="20"/>
          <w:szCs w:val="20"/>
          <w:lang w:val="es-ES"/>
        </w:rPr>
        <w:t>10. En caso de incorporarse dichos tributos en el análisis de costos, ¿el sujeto pasivo de los impuestos y contribuciones territoriales debe ser el contratista de la obra (por el hecho generador), y no la entidad territorial como sujeto activo?</w:t>
      </w:r>
    </w:p>
    <w:p w14:paraId="6DF7D4C7" w14:textId="77777777" w:rsidR="005156DF" w:rsidRPr="00D14478" w:rsidRDefault="005156DF" w:rsidP="005156DF">
      <w:pPr>
        <w:spacing w:after="120" w:line="240" w:lineRule="auto"/>
        <w:ind w:left="709" w:right="709"/>
        <w:jc w:val="both"/>
        <w:rPr>
          <w:rFonts w:ascii="Verdana" w:eastAsia="Century Gothic" w:hAnsi="Verdana" w:cs="Century Gothic"/>
          <w:sz w:val="20"/>
          <w:szCs w:val="20"/>
          <w:lang w:val="es-ES"/>
        </w:rPr>
      </w:pPr>
      <w:r w:rsidRPr="00D14478">
        <w:rPr>
          <w:rFonts w:ascii="Verdana" w:eastAsia="Century Gothic" w:hAnsi="Verdana" w:cs="Century Gothic"/>
          <w:sz w:val="20"/>
          <w:szCs w:val="20"/>
          <w:lang w:val="es-ES"/>
        </w:rPr>
        <w:t>11. ¿Existe algún pronunciamiento del DNP que oriente el tratamiento de los impuestos locales dentro de los componentes financieros de los proyectos de inversión pública registrados en la PIIP?</w:t>
      </w:r>
    </w:p>
    <w:p w14:paraId="57AAD020" w14:textId="77777777" w:rsidR="005156DF" w:rsidRPr="008145ED" w:rsidRDefault="005156DF" w:rsidP="005156DF">
      <w:pPr>
        <w:spacing w:after="0" w:line="240" w:lineRule="auto"/>
        <w:ind w:left="709" w:right="709"/>
        <w:jc w:val="both"/>
        <w:rPr>
          <w:rFonts w:ascii="Verdana" w:eastAsia="Century Gothic" w:hAnsi="Verdana" w:cs="Century Gothic"/>
          <w:sz w:val="21"/>
          <w:szCs w:val="21"/>
          <w:lang w:val="es-ES"/>
        </w:rPr>
      </w:pPr>
      <w:r w:rsidRPr="00D14478">
        <w:rPr>
          <w:rFonts w:ascii="Verdana" w:eastAsia="Century Gothic" w:hAnsi="Verdana" w:cs="Century Gothic"/>
          <w:sz w:val="20"/>
          <w:szCs w:val="20"/>
          <w:lang w:val="es-ES"/>
        </w:rPr>
        <w:lastRenderedPageBreak/>
        <w:t>12. En el marco del principio de economía, ¿qué criterios técnicos y financieros recomienda el DNP para asegurar que los porcentajes asignados a interventoría, AIU e impuestos sean razonables, proporcionales y ajustados al valor real del proyecto, evitando sobrecostos o duplicidades?”.</w:t>
      </w:r>
      <w:r>
        <w:rPr>
          <w:rFonts w:ascii="Verdana" w:eastAsia="Century Gothic" w:hAnsi="Verdana" w:cs="Century Gothic"/>
          <w:sz w:val="20"/>
          <w:szCs w:val="20"/>
          <w:lang w:val="es-ES"/>
        </w:rPr>
        <w:t xml:space="preserve"> </w:t>
      </w:r>
    </w:p>
    <w:p w14:paraId="4EFF42CD" w14:textId="77777777" w:rsidR="005156DF" w:rsidRPr="008E6AD9" w:rsidRDefault="005156DF" w:rsidP="005156DF">
      <w:pPr>
        <w:pStyle w:val="Prrafodelista"/>
        <w:tabs>
          <w:tab w:val="left" w:pos="142"/>
          <w:tab w:val="left" w:pos="284"/>
        </w:tabs>
        <w:spacing w:after="0" w:line="276" w:lineRule="auto"/>
        <w:ind w:left="0"/>
        <w:jc w:val="both"/>
        <w:rPr>
          <w:rFonts w:ascii="Verdana" w:eastAsia="Century Gothic" w:hAnsi="Verdana" w:cs="Century Gothic"/>
          <w:b/>
          <w:bCs/>
        </w:rPr>
      </w:pPr>
    </w:p>
    <w:p w14:paraId="31B290E2" w14:textId="77777777" w:rsidR="005156DF" w:rsidRPr="00A652FF" w:rsidRDefault="005156DF" w:rsidP="005156DF">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2A6D02D9" w14:textId="77777777" w:rsidR="005156DF" w:rsidRDefault="005156DF" w:rsidP="005156DF">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 que menciona en las preguntas de la solicitud</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33130305" w14:textId="77777777" w:rsidR="005156DF" w:rsidRPr="00593A5F" w:rsidRDefault="005156DF" w:rsidP="005156DF">
      <w:pPr>
        <w:spacing w:after="0" w:line="276" w:lineRule="auto"/>
        <w:ind w:firstLine="709"/>
        <w:jc w:val="both"/>
        <w:rPr>
          <w:rFonts w:ascii="Verdana" w:eastAsia="Calibri" w:hAnsi="Verdana" w:cs="Arial"/>
          <w:color w:val="000000"/>
          <w:lang w:val="es-ES" w:eastAsia="es-ES"/>
        </w:rPr>
      </w:pPr>
    </w:p>
    <w:p w14:paraId="7B679587" w14:textId="77777777" w:rsidR="005156DF" w:rsidRPr="00593A5F" w:rsidRDefault="005156DF" w:rsidP="005156DF">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4FE05D85" w14:textId="77777777" w:rsidR="005156DF" w:rsidRPr="00593A5F" w:rsidRDefault="005156DF" w:rsidP="005156DF">
      <w:pPr>
        <w:tabs>
          <w:tab w:val="left" w:pos="426"/>
        </w:tabs>
        <w:spacing w:after="0" w:line="276" w:lineRule="auto"/>
        <w:jc w:val="both"/>
        <w:rPr>
          <w:rFonts w:ascii="Verdana" w:eastAsia="Century Gothic" w:hAnsi="Verdana" w:cs="Century Gothic"/>
          <w:lang w:val="es-ES"/>
        </w:rPr>
      </w:pPr>
    </w:p>
    <w:p w14:paraId="6D708C5C" w14:textId="075DFDDD" w:rsidR="005156DF" w:rsidRPr="00593A5F" w:rsidRDefault="005156DF" w:rsidP="005156DF">
      <w:pPr>
        <w:spacing w:after="0" w:line="276" w:lineRule="auto"/>
        <w:jc w:val="both"/>
        <w:rPr>
          <w:rFonts w:ascii="Verdana" w:eastAsia="Century Gothic" w:hAnsi="Verdana" w:cs="Century Gothic"/>
        </w:rPr>
      </w:pPr>
      <w:r w:rsidRPr="005C5B58">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¿cuáles son los criterios para valorar el precio de la interventoría, los componentes del AIU y la inclusión de la carga impositiva en el sistema de compras públicas?</w:t>
      </w:r>
    </w:p>
    <w:p w14:paraId="11C5857C" w14:textId="77777777" w:rsidR="005156DF" w:rsidRPr="004B140F" w:rsidRDefault="005156DF" w:rsidP="005156DF">
      <w:pPr>
        <w:spacing w:after="0" w:line="276" w:lineRule="auto"/>
        <w:jc w:val="both"/>
        <w:rPr>
          <w:rFonts w:ascii="Verdana" w:eastAsia="Calibri" w:hAnsi="Verdana" w:cs="Arial"/>
          <w:color w:val="7030A0"/>
        </w:rPr>
      </w:pPr>
    </w:p>
    <w:p w14:paraId="619E9447" w14:textId="77777777" w:rsidR="005156DF" w:rsidRPr="00593A5F" w:rsidRDefault="005156DF" w:rsidP="005156D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1BAB4468" w14:textId="77777777" w:rsidR="005156DF" w:rsidRPr="00593A5F" w:rsidRDefault="005156DF" w:rsidP="005156DF">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156DF" w:rsidRPr="00593A5F" w14:paraId="37D5B9EC" w14:textId="77777777" w:rsidTr="00CB547E">
        <w:trPr>
          <w:jc w:val="center"/>
        </w:trPr>
        <w:tc>
          <w:tcPr>
            <w:tcW w:w="8828" w:type="dxa"/>
          </w:tcPr>
          <w:p w14:paraId="146C10BE" w14:textId="77777777" w:rsidR="005156DF" w:rsidRDefault="005156DF" w:rsidP="00CB547E">
            <w:pPr>
              <w:spacing w:after="120" w:line="276" w:lineRule="auto"/>
              <w:jc w:val="both"/>
              <w:rPr>
                <w:rFonts w:ascii="Verdana" w:eastAsia="Calibri" w:hAnsi="Verdana" w:cs="Arial"/>
                <w:bCs/>
                <w:lang w:val="es-ES_tradnl"/>
              </w:rPr>
            </w:pPr>
            <w:bookmarkStart w:id="1" w:name="_Hlk171694685"/>
            <w:r w:rsidRPr="68ED2B87">
              <w:rPr>
                <w:rFonts w:ascii="Verdana" w:eastAsia="Times New Roman" w:hAnsi="Verdana" w:cs="Arial"/>
                <w:color w:val="000000" w:themeColor="text1"/>
                <w:lang w:val="es-ES" w:eastAsia="es-ES"/>
              </w:rPr>
              <w:t xml:space="preserve">Conforme a la interpretación general de las normas del sistema de compras públicas, </w:t>
            </w:r>
            <w:r w:rsidRPr="00216BF9">
              <w:rPr>
                <w:rFonts w:ascii="Verdana" w:eastAsia="Times New Roman" w:hAnsi="Verdana" w:cs="Arial"/>
                <w:i/>
                <w:iCs/>
                <w:color w:val="000000" w:themeColor="text1"/>
                <w:lang w:val="es-ES" w:eastAsia="es-ES"/>
              </w:rPr>
              <w:t xml:space="preserve">respecto </w:t>
            </w:r>
            <w:r>
              <w:rPr>
                <w:rFonts w:ascii="Verdana" w:eastAsia="Times New Roman" w:hAnsi="Verdana" w:cs="Arial"/>
                <w:i/>
                <w:iCs/>
                <w:color w:val="000000" w:themeColor="text1"/>
                <w:lang w:val="es-ES" w:eastAsia="es-ES"/>
              </w:rPr>
              <w:t>a</w:t>
            </w:r>
            <w:r w:rsidRPr="00216BF9">
              <w:rPr>
                <w:rFonts w:ascii="Verdana" w:eastAsia="Times New Roman" w:hAnsi="Verdana" w:cs="Arial"/>
                <w:i/>
                <w:iCs/>
                <w:color w:val="000000" w:themeColor="text1"/>
                <w:lang w:val="es-ES" w:eastAsia="es-ES"/>
              </w:rPr>
              <w:t xml:space="preserve"> la interventoría</w:t>
            </w:r>
            <w:r>
              <w:rPr>
                <w:rFonts w:ascii="Verdana" w:eastAsia="Times New Roman" w:hAnsi="Verdana" w:cs="Arial"/>
                <w:color w:val="000000" w:themeColor="text1"/>
                <w:lang w:val="es-ES" w:eastAsia="es-ES"/>
              </w:rPr>
              <w:t xml:space="preserve">, </w:t>
            </w:r>
            <w:r>
              <w:rPr>
                <w:rFonts w:ascii="Verdana" w:eastAsia="Calibri" w:hAnsi="Verdana" w:cs="Arial"/>
                <w:bCs/>
                <w:lang w:val="es-ES_tradnl"/>
              </w:rPr>
              <w:t xml:space="preserve">las normas contractuales no definen un valor de referencia representado sobre el costo total de la obra ni, mucho </w:t>
            </w:r>
            <w:r>
              <w:rPr>
                <w:rFonts w:ascii="Verdana" w:eastAsia="Calibri" w:hAnsi="Verdana" w:cs="Arial"/>
                <w:bCs/>
                <w:lang w:val="es-ES_tradnl"/>
              </w:rPr>
              <w:lastRenderedPageBreak/>
              <w:t xml:space="preserve">menos, las consecuencias y los casos en que puede superarlo. Aunque estén estrechamente relacionados, la interventoría tiene tanto un estudio previo como un análisis del sector completamente distintos a los del contrato vigilado. De acuerdo con las particularidades de cada caso concreto, en atención a la complejidad del negocio, la entidad analizará factores que inciden los costos directos e indirectos para la interventoría, pues los mismas tampoco se definen en la ley o el reglamento. </w:t>
            </w:r>
          </w:p>
          <w:p w14:paraId="10CAFD07" w14:textId="77777777" w:rsidR="005156DF" w:rsidRDefault="005156DF" w:rsidP="00CB547E">
            <w:pPr>
              <w:spacing w:after="120" w:line="276" w:lineRule="auto"/>
              <w:ind w:firstLine="734"/>
              <w:jc w:val="both"/>
              <w:rPr>
                <w:rFonts w:ascii="Verdana" w:eastAsia="Times New Roman" w:hAnsi="Verdana" w:cs="Arial"/>
                <w:color w:val="000000" w:themeColor="text1"/>
                <w:lang w:val="es-ES" w:eastAsia="es-ES"/>
              </w:rPr>
            </w:pPr>
            <w:r w:rsidRPr="00EA435A">
              <w:rPr>
                <w:rFonts w:ascii="Verdana" w:eastAsia="Calibri" w:hAnsi="Verdana" w:cs="Arial"/>
                <w:bCs/>
                <w:lang w:val="es-ES_tradnl"/>
              </w:rPr>
              <w:t>Sin perjuicio de lo anterior</w:t>
            </w:r>
            <w:r>
              <w:rPr>
                <w:rFonts w:ascii="Verdana" w:eastAsia="Calibri" w:hAnsi="Verdana" w:cs="Arial"/>
                <w:bCs/>
                <w:lang w:val="es-ES_tradnl"/>
              </w:rPr>
              <w:t>, es importante evitar el sobredimensionamiento de los precios. Ello es consecuencia</w:t>
            </w:r>
            <w:r>
              <w:rPr>
                <w:rFonts w:ascii="Verdana" w:hAnsi="Verdana" w:cs="Arial"/>
                <w:lang w:val="es-ES"/>
              </w:rPr>
              <w:t xml:space="preserve">, entre otras causas, de la pretermisión de los estudios de mercado o de una estimación de precios errónea por alejamiento de la realidad, los cuales conducen a la recepción y facturación de servicios por encima de su valor real. Por ello, “[…] </w:t>
            </w:r>
            <w:r w:rsidRPr="0050021C">
              <w:rPr>
                <w:rFonts w:ascii="Verdana" w:hAnsi="Verdana" w:cs="Arial"/>
                <w:lang w:val="es-ES"/>
              </w:rPr>
              <w:t>con el fin de detectar mayores valores reprochables y pactados al momento de celebrar el contrato se debe acudir primeramente a una comparación con aquel precio que arroje el mercado y en caso de que lo supere verificar las razones que justifican o explican en forma sensata y razonada esa circunstancia, teniendo en cuenta todas las variables que en él inciden</w:t>
            </w:r>
            <w:r>
              <w:rPr>
                <w:rFonts w:ascii="Verdana" w:hAnsi="Verdana" w:cs="Arial"/>
                <w:lang w:val="es-ES"/>
              </w:rPr>
              <w:t xml:space="preserve"> […]”. Lo anterior muestra la necesidad de realizar adecuadamente el análisis de sector en la fase de planeación del contrato.</w:t>
            </w:r>
          </w:p>
          <w:p w14:paraId="5659AB44" w14:textId="77777777" w:rsidR="005156DF" w:rsidRDefault="005156DF" w:rsidP="00CB547E">
            <w:pPr>
              <w:spacing w:after="120" w:line="276" w:lineRule="auto"/>
              <w:ind w:firstLine="734"/>
              <w:jc w:val="both"/>
              <w:rPr>
                <w:rFonts w:ascii="Verdana" w:eastAsia="Times New Roman" w:hAnsi="Verdana" w:cs="Arial"/>
                <w:color w:val="000000" w:themeColor="text1"/>
                <w:lang w:val="es-ES" w:eastAsia="es-ES"/>
              </w:rPr>
            </w:pPr>
            <w:r w:rsidRPr="00A42C9C">
              <w:rPr>
                <w:rFonts w:ascii="Verdana" w:eastAsia="Times New Roman" w:hAnsi="Verdana" w:cs="Arial"/>
                <w:i/>
                <w:iCs/>
                <w:color w:val="000000" w:themeColor="text1"/>
                <w:lang w:val="es-ES" w:eastAsia="es-ES"/>
              </w:rPr>
              <w:t>Respecto al AIU</w:t>
            </w:r>
            <w:r>
              <w:rPr>
                <w:rFonts w:ascii="Verdana" w:eastAsia="Times New Roman" w:hAnsi="Verdana" w:cs="Arial"/>
                <w:color w:val="000000" w:themeColor="text1"/>
                <w:lang w:val="es-ES" w:eastAsia="es-ES"/>
              </w:rPr>
              <w:t xml:space="preserve">, </w:t>
            </w:r>
            <w:r w:rsidRPr="00104C20">
              <w:rPr>
                <w:rFonts w:ascii="Verdana" w:hAnsi="Verdana" w:cs="Arial"/>
                <w:bCs/>
                <w:szCs w:val="24"/>
                <w:lang w:val="es-ES_tradnl" w:eastAsia="es-ES_tradnl"/>
              </w:rPr>
              <w:t>cuando las entidades estatales incluyen esta forma de desglosar el precio, en los últimos términos indicados, al realizar el estudio de mercado elaboran un presupuesto estimado del valor de la ejecución del contrato</w:t>
            </w:r>
            <w:r>
              <w:rPr>
                <w:rFonts w:ascii="Verdana" w:hAnsi="Verdana" w:cs="Arial"/>
                <w:bCs/>
                <w:szCs w:val="24"/>
                <w:lang w:val="es-ES_tradnl" w:eastAsia="es-ES_tradnl"/>
              </w:rPr>
              <w:t>, el cual supone un análisis técnico de los costos</w:t>
            </w:r>
            <w:r w:rsidRPr="00104C20">
              <w:rPr>
                <w:rFonts w:ascii="Verdana" w:hAnsi="Verdana" w:cs="Arial"/>
                <w:bCs/>
                <w:szCs w:val="24"/>
                <w:lang w:val="es-ES_tradnl" w:eastAsia="es-ES_tradnl"/>
              </w:rPr>
              <w:t xml:space="preserve">. Dicho presupuesto estimado incluye los costos genéricos </w:t>
            </w:r>
            <w:r w:rsidRPr="00104C20">
              <w:rPr>
                <w:rFonts w:ascii="Verdana" w:hAnsi="Verdana" w:cs="Arial"/>
                <w:bCs/>
                <w:i/>
                <w:iCs/>
                <w:szCs w:val="24"/>
                <w:lang w:val="es-ES_tradnl" w:eastAsia="es-ES_tradnl"/>
              </w:rPr>
              <w:t xml:space="preserve">indirectos </w:t>
            </w:r>
            <w:r w:rsidRPr="00104C20">
              <w:rPr>
                <w:rFonts w:ascii="Verdana" w:hAnsi="Verdana" w:cs="Arial"/>
                <w:bCs/>
                <w:szCs w:val="24"/>
                <w:lang w:val="es-ES_tradnl" w:eastAsia="es-ES_tradnl"/>
              </w:rPr>
              <w:t xml:space="preserve">en que incurren los contratistas, entre ellos, los de la </w:t>
            </w:r>
            <w:r w:rsidRPr="00104C20">
              <w:rPr>
                <w:rFonts w:ascii="Verdana" w:hAnsi="Verdana" w:cs="Arial"/>
                <w:bCs/>
                <w:i/>
                <w:iCs/>
                <w:szCs w:val="24"/>
                <w:lang w:val="es-ES_tradnl" w:eastAsia="es-ES_tradnl"/>
              </w:rPr>
              <w:t>Administración</w:t>
            </w:r>
            <w:r>
              <w:rPr>
                <w:rFonts w:ascii="Verdana" w:hAnsi="Verdana" w:cs="Arial"/>
                <w:bCs/>
                <w:i/>
                <w:iCs/>
                <w:szCs w:val="24"/>
                <w:lang w:val="es-ES_tradnl" w:eastAsia="es-ES_tradnl"/>
              </w:rPr>
              <w:t xml:space="preserve"> </w:t>
            </w:r>
            <w:r>
              <w:rPr>
                <w:rFonts w:ascii="Verdana" w:hAnsi="Verdana" w:cs="Arial"/>
                <w:lang w:val="es-ES_tradnl" w:eastAsia="es-ES"/>
              </w:rPr>
              <w:t>y</w:t>
            </w:r>
            <w:r w:rsidRPr="00415D51">
              <w:rPr>
                <w:rFonts w:ascii="Verdana" w:hAnsi="Verdana" w:cs="Arial"/>
                <w:lang w:val="es-ES" w:eastAsia="es-ES"/>
              </w:rPr>
              <w:t xml:space="preserve"> lo</w:t>
            </w:r>
            <w:r>
              <w:rPr>
                <w:rFonts w:ascii="Verdana" w:hAnsi="Verdana" w:cs="Arial"/>
                <w:i/>
                <w:iCs/>
                <w:lang w:val="es-ES" w:eastAsia="es-ES"/>
              </w:rPr>
              <w:t>s Imprevistos</w:t>
            </w:r>
            <w:r w:rsidRPr="00104C20">
              <w:rPr>
                <w:rFonts w:ascii="Verdana" w:hAnsi="Verdana" w:cs="Arial"/>
                <w:bCs/>
                <w:szCs w:val="24"/>
                <w:lang w:val="es-ES_tradnl" w:eastAsia="es-ES_tradnl"/>
              </w:rPr>
              <w:t>, para efectos de definir el porcentaje con el que calculan el presupuesto, pese a que el monto de est</w:t>
            </w:r>
            <w:r>
              <w:rPr>
                <w:rFonts w:ascii="Verdana" w:hAnsi="Verdana" w:cs="Arial"/>
                <w:bCs/>
                <w:szCs w:val="24"/>
                <w:lang w:val="es-ES_tradnl" w:eastAsia="es-ES_tradnl"/>
              </w:rPr>
              <w:t>os</w:t>
            </w:r>
            <w:r w:rsidRPr="00104C20">
              <w:rPr>
                <w:rFonts w:ascii="Verdana" w:hAnsi="Verdana" w:cs="Arial"/>
                <w:bCs/>
                <w:szCs w:val="24"/>
                <w:lang w:val="es-ES_tradnl" w:eastAsia="es-ES_tradnl"/>
              </w:rPr>
              <w:t xml:space="preserve"> componente</w:t>
            </w:r>
            <w:r>
              <w:rPr>
                <w:rFonts w:ascii="Verdana" w:hAnsi="Verdana" w:cs="Arial"/>
                <w:bCs/>
                <w:szCs w:val="24"/>
                <w:lang w:val="es-ES_tradnl" w:eastAsia="es-ES_tradnl"/>
              </w:rPr>
              <w:t>s</w:t>
            </w:r>
            <w:r w:rsidRPr="00104C20">
              <w:rPr>
                <w:rFonts w:ascii="Verdana" w:hAnsi="Verdana" w:cs="Arial"/>
                <w:bCs/>
                <w:szCs w:val="24"/>
                <w:lang w:val="es-ES_tradnl" w:eastAsia="es-ES_tradnl"/>
              </w:rPr>
              <w:t xml:space="preserve"> varía ostensiblemente de un proponente a otro, pues </w:t>
            </w:r>
            <w:r>
              <w:rPr>
                <w:rFonts w:ascii="Verdana" w:hAnsi="Verdana" w:cs="Arial"/>
                <w:bCs/>
                <w:szCs w:val="24"/>
                <w:lang w:val="es-ES_tradnl" w:eastAsia="es-ES_tradnl"/>
              </w:rPr>
              <w:t>su</w:t>
            </w:r>
            <w:r w:rsidRPr="00104C20">
              <w:rPr>
                <w:rFonts w:ascii="Verdana" w:hAnsi="Verdana" w:cs="Arial"/>
                <w:bCs/>
                <w:szCs w:val="24"/>
                <w:lang w:val="es-ES_tradnl" w:eastAsia="es-ES_tradnl"/>
              </w:rPr>
              <w:t xml:space="preserve"> valor real depende de circunstancias particulares de los </w:t>
            </w:r>
            <w:r>
              <w:rPr>
                <w:rFonts w:ascii="Verdana" w:hAnsi="Verdana" w:cs="Arial"/>
                <w:bCs/>
                <w:szCs w:val="24"/>
                <w:lang w:val="es-ES_tradnl" w:eastAsia="es-ES_tradnl"/>
              </w:rPr>
              <w:t>oferentes</w:t>
            </w:r>
            <w:r w:rsidRPr="00104C20">
              <w:rPr>
                <w:rFonts w:ascii="Verdana" w:hAnsi="Verdana" w:cs="Arial"/>
                <w:bCs/>
                <w:szCs w:val="24"/>
                <w:lang w:val="es-ES_tradnl" w:eastAsia="es-ES_tradnl"/>
              </w:rPr>
              <w:t xml:space="preserve">. </w:t>
            </w:r>
            <w:r>
              <w:rPr>
                <w:rFonts w:ascii="Verdana" w:hAnsi="Verdana" w:cs="Arial"/>
                <w:bCs/>
                <w:szCs w:val="24"/>
                <w:lang w:val="es-ES_tradnl" w:eastAsia="es-ES_tradnl"/>
              </w:rPr>
              <w:t>Por tanto, en abstracto, no existe un límite mínimo ni máximo respecto al porcentaje.</w:t>
            </w:r>
          </w:p>
          <w:p w14:paraId="490C329C" w14:textId="4B49D6AB" w:rsidR="005156DF" w:rsidRDefault="005156DF" w:rsidP="00CB547E">
            <w:pPr>
              <w:spacing w:after="120" w:line="276" w:lineRule="auto"/>
              <w:ind w:firstLine="734"/>
              <w:jc w:val="both"/>
              <w:rPr>
                <w:rFonts w:ascii="Verdana" w:eastAsia="Times New Roman" w:hAnsi="Verdana" w:cs="Arial"/>
                <w:color w:val="000000"/>
                <w:lang w:val="es-ES" w:eastAsia="es-ES"/>
              </w:rPr>
            </w:pPr>
            <w:r>
              <w:rPr>
                <w:rFonts w:ascii="Verdana" w:eastAsia="Times New Roman" w:hAnsi="Verdana" w:cs="Arial"/>
                <w:color w:val="000000" w:themeColor="text1"/>
                <w:lang w:val="es-ES" w:eastAsia="es-ES"/>
              </w:rPr>
              <w:t xml:space="preserve">Así, </w:t>
            </w:r>
            <w:r w:rsidRPr="68ED2B87">
              <w:rPr>
                <w:rFonts w:ascii="Verdana" w:eastAsia="Times New Roman" w:hAnsi="Verdana" w:cs="Arial"/>
                <w:color w:val="000000" w:themeColor="text1"/>
                <w:lang w:val="es-ES" w:eastAsia="es-ES"/>
              </w:rPr>
              <w:t xml:space="preserve">el AIU hace parte del precio de los contratos, cuando se ha pactado esta metodología de cálculo de los costos indirectos, que resulta más común, sobre todo, en los contratos de tracto sucesivo, como los de obra pública a precios unitarios. Al ser un elemento que integra el precio que se paga al contratista, </w:t>
            </w:r>
            <w:r w:rsidR="007C307C">
              <w:rPr>
                <w:rFonts w:ascii="Verdana" w:eastAsia="Times New Roman" w:hAnsi="Verdana" w:cs="Arial"/>
                <w:color w:val="000000" w:themeColor="text1"/>
                <w:lang w:val="es-ES" w:eastAsia="es-ES"/>
              </w:rPr>
              <w:t>é</w:t>
            </w:r>
            <w:r w:rsidRPr="68ED2B87">
              <w:rPr>
                <w:rFonts w:ascii="Verdana" w:eastAsia="Times New Roman" w:hAnsi="Verdana" w:cs="Arial"/>
                <w:color w:val="000000" w:themeColor="text1"/>
                <w:lang w:val="es-ES" w:eastAsia="es-ES"/>
              </w:rPr>
              <w:t xml:space="preserve">ste goza, en principio, de libertad en la fijación de sus </w:t>
            </w:r>
            <w:r w:rsidRPr="68ED2B87">
              <w:rPr>
                <w:rFonts w:ascii="Verdana" w:eastAsia="Times New Roman" w:hAnsi="Verdana" w:cs="Arial"/>
                <w:color w:val="000000" w:themeColor="text1"/>
                <w:lang w:val="es-ES" w:eastAsia="es-ES"/>
              </w:rPr>
              <w:lastRenderedPageBreak/>
              <w:t>componentes, salvo que las partes hayan acordado una metodología especial en el contrato, que le imponga al contratista algunas restricciones, en virtud de la autonomía de la voluntad.</w:t>
            </w:r>
          </w:p>
          <w:p w14:paraId="73FE5B84" w14:textId="77777777" w:rsidR="005156DF" w:rsidRDefault="005156DF" w:rsidP="00CB547E">
            <w:pPr>
              <w:spacing w:after="120" w:line="276" w:lineRule="auto"/>
              <w:ind w:firstLine="731"/>
              <w:jc w:val="both"/>
              <w:rPr>
                <w:rFonts w:ascii="Verdana" w:eastAsia="Arial" w:hAnsi="Verdana" w:cs="Arial"/>
                <w:color w:val="000000"/>
              </w:rPr>
            </w:pPr>
            <w:r w:rsidRPr="00301910">
              <w:rPr>
                <w:rFonts w:ascii="Verdana" w:eastAsia="Arial" w:hAnsi="Verdana" w:cs="Arial"/>
                <w:color w:val="000000"/>
              </w:rPr>
              <w:t xml:space="preserve">Al no estar el AIU regulado normativamente, no existe un deber jurídico consagrado en el Estatuto General de Contratación de la Administración Pública dirigido al contratista, para que este rinda cuentas sobre la destinación de los ítems que componen dicha partida. </w:t>
            </w:r>
            <w:r>
              <w:rPr>
                <w:rFonts w:ascii="Verdana" w:eastAsia="Arial" w:hAnsi="Verdana" w:cs="Arial"/>
                <w:color w:val="000000"/>
              </w:rPr>
              <w:t>L</w:t>
            </w:r>
            <w:r w:rsidRPr="00301910">
              <w:rPr>
                <w:rFonts w:ascii="Verdana" w:eastAsia="Arial" w:hAnsi="Verdana" w:cs="Arial"/>
                <w:color w:val="000000"/>
              </w:rPr>
              <w:t>a metodología de estipulación y administración del AIU ha sido un desarrollo de la costumbre mercantil que se ha venido adoptado voluntariamente por parte de las entidades estatales. Sin embargo, en caso de que el pliego de condiciones o el contrato establezca la obligación de rendir dichas cuentas, deberá respetarse este pacto.</w:t>
            </w:r>
          </w:p>
          <w:p w14:paraId="0009D6C9" w14:textId="77777777" w:rsidR="005156DF" w:rsidRDefault="005156DF" w:rsidP="00CB547E">
            <w:pPr>
              <w:spacing w:after="120" w:line="276" w:lineRule="auto"/>
              <w:ind w:firstLine="731"/>
              <w:jc w:val="both"/>
              <w:rPr>
                <w:rFonts w:ascii="Verdana" w:hAnsi="Verdana" w:cs="Arial"/>
                <w:lang w:val="es-ES" w:eastAsia="es-ES"/>
              </w:rPr>
            </w:pPr>
            <w:r>
              <w:rPr>
                <w:rFonts w:ascii="Verdana" w:hAnsi="Verdana" w:cs="Arial"/>
                <w:lang w:val="es-ES" w:eastAsia="es-ES"/>
              </w:rPr>
              <w:t>Al no existir valores fijos de referencia regulados en la ley o el reglamento</w:t>
            </w:r>
            <w:r w:rsidRPr="00104C20">
              <w:rPr>
                <w:rFonts w:ascii="Verdana" w:hAnsi="Verdana" w:cs="Arial"/>
                <w:lang w:val="es-ES" w:eastAsia="es-ES"/>
              </w:rPr>
              <w:t>, la decisión de incluir el AIU, al igual que la metodología de delimitación de sus variables –ítems y porcentajes– debe obedecer a un juicioso análisis de oportunidad y conveniencia, que consulte las reglas de la experiencia, así como los aspectos particulares de cada negocio. Lo anterior en armonía con la garantía de los principios de la función administrativa y de la gestión fiscal, dentro de los cuales se halla el principio de economía, postulado que exige la optimización de los recursos públicos.</w:t>
            </w:r>
          </w:p>
          <w:p w14:paraId="14818BDA" w14:textId="77777777" w:rsidR="005156DF" w:rsidRPr="00090CBB" w:rsidRDefault="005156DF" w:rsidP="00CB547E">
            <w:pPr>
              <w:spacing w:after="120" w:line="276" w:lineRule="auto"/>
              <w:ind w:right="51" w:firstLine="734"/>
              <w:jc w:val="both"/>
              <w:rPr>
                <w:rFonts w:ascii="Verdana" w:eastAsia="Calibri" w:hAnsi="Verdana" w:cs="Arial"/>
                <w:color w:val="000000" w:themeColor="text1"/>
              </w:rPr>
            </w:pPr>
            <w:r w:rsidRPr="00301C61">
              <w:rPr>
                <w:rFonts w:ascii="Verdana" w:eastAsia="Arial" w:hAnsi="Verdana" w:cs="Arial"/>
                <w:i/>
                <w:iCs/>
                <w:color w:val="000000"/>
              </w:rPr>
              <w:t>Respecto a los temas impositivos</w:t>
            </w:r>
            <w:r>
              <w:rPr>
                <w:rFonts w:ascii="Verdana" w:eastAsia="Arial" w:hAnsi="Verdana" w:cs="Arial"/>
                <w:color w:val="000000"/>
              </w:rPr>
              <w:t xml:space="preserve">, </w:t>
            </w:r>
            <w:r>
              <w:rPr>
                <w:rFonts w:ascii="Verdana" w:eastAsia="Calibri" w:hAnsi="Verdana" w:cs="Arial"/>
                <w:bCs/>
                <w:color w:val="000000" w:themeColor="text1"/>
              </w:rPr>
              <w:t xml:space="preserve">tanto para elaborar el presupuesto oficial como para la presentación de las ofertas, </w:t>
            </w:r>
            <w:r w:rsidRPr="007E03EB">
              <w:rPr>
                <w:rFonts w:ascii="Verdana" w:eastAsia="Calibri" w:hAnsi="Verdana" w:cs="Arial"/>
                <w:bCs/>
                <w:color w:val="000000" w:themeColor="text1"/>
              </w:rPr>
              <w:t xml:space="preserve">el precio debe </w:t>
            </w:r>
            <w:r>
              <w:rPr>
                <w:rFonts w:ascii="Verdana" w:eastAsia="Calibri" w:hAnsi="Verdana" w:cs="Arial"/>
                <w:bCs/>
                <w:color w:val="000000" w:themeColor="text1"/>
              </w:rPr>
              <w:t>considerar</w:t>
            </w:r>
            <w:r w:rsidRPr="007E03EB">
              <w:rPr>
                <w:rFonts w:ascii="Verdana" w:eastAsia="Calibri" w:hAnsi="Verdana" w:cs="Arial"/>
                <w:bCs/>
                <w:color w:val="000000" w:themeColor="text1"/>
              </w:rPr>
              <w:t xml:space="preserve"> los costos en que incurrirá el contratista para cumplir sus obligaciones</w:t>
            </w:r>
            <w:r>
              <w:rPr>
                <w:rFonts w:ascii="Verdana" w:eastAsia="Calibri" w:hAnsi="Verdana" w:cs="Arial"/>
                <w:bCs/>
                <w:color w:val="000000" w:themeColor="text1"/>
              </w:rPr>
              <w:t>, lo cual incluye la carga tributaria que afecta el negocio jurídico. L</w:t>
            </w:r>
            <w:r w:rsidRPr="00DC39AE">
              <w:rPr>
                <w:rFonts w:ascii="Verdana" w:hAnsi="Verdana" w:cs="Arial"/>
                <w:color w:val="000000" w:themeColor="text1"/>
                <w:lang w:val="es-MX"/>
              </w:rPr>
              <w:t>a definición del régimen tributario aplicable a los proponentes que se presentan al procedimiento de selección no es realizada por la entidad estatal, sino que es un tema definido por el legislador, quien optó por establecer ciertas cargas a algunos sujetos y a otros no</w:t>
            </w:r>
            <w:r>
              <w:rPr>
                <w:rFonts w:ascii="Verdana" w:hAnsi="Verdana" w:cs="Arial"/>
                <w:color w:val="000000" w:themeColor="text1"/>
                <w:lang w:val="es-MX"/>
              </w:rPr>
              <w:t>.</w:t>
            </w:r>
          </w:p>
          <w:p w14:paraId="48DEF1D4" w14:textId="77777777" w:rsidR="005156DF" w:rsidRPr="00351FBE" w:rsidRDefault="005156DF" w:rsidP="00CB547E">
            <w:pPr>
              <w:spacing w:before="120" w:after="120" w:line="276" w:lineRule="auto"/>
              <w:ind w:firstLine="709"/>
              <w:jc w:val="both"/>
              <w:rPr>
                <w:rFonts w:ascii="Verdana" w:hAnsi="Verdana" w:cs="Arial"/>
                <w:color w:val="000000" w:themeColor="text1"/>
                <w:lang w:val="es-MX"/>
              </w:rPr>
            </w:pPr>
            <w:r>
              <w:rPr>
                <w:rFonts w:ascii="Verdana" w:hAnsi="Verdana" w:cs="Arial"/>
                <w:color w:val="000000" w:themeColor="text1"/>
                <w:lang w:val="es-MX"/>
              </w:rPr>
              <w:t>L</w:t>
            </w:r>
            <w:r w:rsidRPr="00DC39AE">
              <w:rPr>
                <w:rFonts w:ascii="Verdana" w:hAnsi="Verdana" w:cs="Arial"/>
                <w:color w:val="000000" w:themeColor="text1"/>
                <w:lang w:val="es-MX"/>
              </w:rPr>
              <w:t xml:space="preserve">os impuestos son parte integral del precio, pues es lo que finalmente terminará pagando la entidad cuando adjudique el contrato, por lo cual en aplicación de los principios de selección objetiva y de igualdad, la entidad contratante debe evaluar las ofertas con base en el precio final o real que ofrezca cada proponente, toda vez que de esa comparación es que surgirá la oferta más favorable o ventajosa para el Estado. </w:t>
            </w:r>
            <w:r w:rsidRPr="008979BE">
              <w:rPr>
                <w:rFonts w:ascii="Verdana" w:hAnsi="Verdana" w:cs="Arial"/>
                <w:color w:val="000000" w:themeColor="text1"/>
                <w:lang w:val="es-MX"/>
              </w:rPr>
              <w:t xml:space="preserve">Esta carga hace parte del componente de Administración del AIU por ser un costo indirecto del negocio, </w:t>
            </w:r>
            <w:r w:rsidRPr="008979BE">
              <w:rPr>
                <w:rFonts w:ascii="Verdana" w:hAnsi="Verdana" w:cs="Arial"/>
                <w:color w:val="000000" w:themeColor="text1"/>
                <w:lang w:val="es-MX"/>
              </w:rPr>
              <w:lastRenderedPageBreak/>
              <w:t>y está a cargo del sujeto pasivo que dé lugar al hecho generador conforme a las normas tributarias. No obstante, la Agencia no se ha pronunciado sobre los impuestos locales en los proyectos de inversión pública</w:t>
            </w:r>
            <w:r>
              <w:rPr>
                <w:rFonts w:ascii="Verdana" w:hAnsi="Verdana" w:cs="Arial"/>
                <w:color w:val="000000" w:themeColor="text1"/>
                <w:lang w:val="es-MX"/>
              </w:rPr>
              <w:t>.</w:t>
            </w:r>
          </w:p>
          <w:p w14:paraId="2BF02C06" w14:textId="77777777" w:rsidR="005156DF" w:rsidRPr="00B83801" w:rsidRDefault="005156DF" w:rsidP="00CB547E">
            <w:pPr>
              <w:spacing w:before="120" w:line="276" w:lineRule="auto"/>
              <w:ind w:firstLine="709"/>
              <w:jc w:val="both"/>
              <w:rPr>
                <w:rFonts w:ascii="Verdana" w:hAnsi="Verdana" w:cs="Arial"/>
                <w:lang w:eastAsia="es-ES"/>
              </w:rPr>
            </w:pPr>
            <w:r w:rsidRPr="00FA05D1">
              <w:rPr>
                <w:rFonts w:ascii="Verdana" w:hAnsi="Verdana" w:cs="Arial"/>
                <w:lang w:eastAsia="es-ES"/>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1D4A611D" w14:textId="77777777" w:rsidR="005156DF" w:rsidRPr="00593A5F" w:rsidRDefault="005156DF" w:rsidP="005156DF">
      <w:pPr>
        <w:tabs>
          <w:tab w:val="left" w:pos="142"/>
          <w:tab w:val="left" w:pos="284"/>
        </w:tabs>
        <w:spacing w:after="0" w:line="276" w:lineRule="auto"/>
        <w:jc w:val="both"/>
        <w:rPr>
          <w:rFonts w:ascii="Verdana" w:eastAsia="Century Gothic" w:hAnsi="Verdana" w:cs="Century Gothic"/>
          <w:b/>
          <w:bCs/>
          <w:lang w:val="es-ES"/>
        </w:rPr>
      </w:pPr>
    </w:p>
    <w:bookmarkEnd w:id="1"/>
    <w:p w14:paraId="497C48DC" w14:textId="77777777" w:rsidR="005156DF" w:rsidRPr="00593A5F" w:rsidRDefault="005156DF" w:rsidP="005156D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40040A05" w14:textId="77777777" w:rsidR="005156DF" w:rsidRPr="00593A5F" w:rsidRDefault="005156DF" w:rsidP="005156DF">
      <w:pPr>
        <w:spacing w:after="0" w:line="276" w:lineRule="auto"/>
        <w:jc w:val="both"/>
        <w:rPr>
          <w:rFonts w:ascii="Verdana" w:eastAsia="Calibri" w:hAnsi="Verdana" w:cs="Arial"/>
          <w:color w:val="7030A0"/>
          <w:lang w:val="es-ES"/>
        </w:rPr>
      </w:pPr>
    </w:p>
    <w:p w14:paraId="76014372" w14:textId="77777777" w:rsidR="005156DF" w:rsidRDefault="005156DF" w:rsidP="005156DF">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29856041" w14:textId="77777777" w:rsidR="005156DF" w:rsidRPr="00104C20" w:rsidRDefault="005156DF" w:rsidP="005156DF">
      <w:pPr>
        <w:spacing w:after="0" w:line="276" w:lineRule="auto"/>
        <w:jc w:val="both"/>
        <w:rPr>
          <w:rFonts w:ascii="Verdana" w:eastAsia="Calibri" w:hAnsi="Verdana" w:cs="Arial"/>
          <w:lang w:val="es-ES"/>
        </w:rPr>
      </w:pPr>
    </w:p>
    <w:p w14:paraId="7CCA7068" w14:textId="77777777" w:rsidR="005156DF" w:rsidRPr="00D403DB" w:rsidRDefault="005156DF" w:rsidP="005156DF">
      <w:pPr>
        <w:spacing w:line="276" w:lineRule="auto"/>
        <w:jc w:val="both"/>
        <w:rPr>
          <w:rFonts w:ascii="Verdana" w:hAnsi="Verdana" w:cs="Arial"/>
          <w:lang w:val="es-ES"/>
        </w:rPr>
      </w:pPr>
      <w:r>
        <w:rPr>
          <w:rFonts w:ascii="Verdana" w:hAnsi="Verdana" w:cs="Arial"/>
          <w:bCs/>
          <w:szCs w:val="24"/>
          <w:lang w:val="es-ES_tradnl" w:eastAsia="es-ES_tradnl"/>
        </w:rPr>
        <w:t xml:space="preserve">i. </w:t>
      </w:r>
      <w:r>
        <w:rPr>
          <w:rFonts w:ascii="Verdana" w:hAnsi="Verdana" w:cs="Arial"/>
          <w:lang w:val="es-ES"/>
        </w:rPr>
        <w:t>L</w:t>
      </w:r>
      <w:r w:rsidRPr="00F63528">
        <w:rPr>
          <w:rFonts w:ascii="Verdana" w:eastAsia="Calibri" w:hAnsi="Verdana" w:cs="Arial"/>
          <w:bCs/>
          <w:lang w:val="es-ES_tradnl"/>
        </w:rPr>
        <w:t>a planeación contractual es una herramienta de gerencia pública, la cual exige estructurar el proceso contractual dedicando tiempo y esfuerzos para elaborar estudios previos, con el fin de determinar la necesidad que pretende satisfacer y cuál es la mejor manera de hacerlo, consultando el tipo de bienes y servicios que ofrece el mercado y cuáles son sus características, especificaciones, precios, costos, riesgos, garantías, disponibilidad, oferentes, etc., que conlleven a una diligente escogencia de la mejor oferta para beneficiar los intereses y fines públicos inmersos en la contratación de las entidades estatales.</w:t>
      </w:r>
    </w:p>
    <w:p w14:paraId="7D473AF7" w14:textId="77777777" w:rsidR="005156DF" w:rsidRPr="00F63528" w:rsidRDefault="005156DF" w:rsidP="005156DF">
      <w:pPr>
        <w:pStyle w:val="Sinespaciado"/>
        <w:spacing w:before="120" w:line="276" w:lineRule="auto"/>
        <w:ind w:firstLine="708"/>
        <w:jc w:val="both"/>
        <w:rPr>
          <w:rFonts w:ascii="Verdana" w:hAnsi="Verdana" w:cs="Arial"/>
          <w:bCs/>
          <w:sz w:val="22"/>
          <w:lang w:val="es-ES"/>
        </w:rPr>
      </w:pPr>
      <w:r w:rsidRPr="00F63528">
        <w:rPr>
          <w:rFonts w:ascii="Verdana" w:hAnsi="Verdana" w:cs="Arial"/>
          <w:bCs/>
          <w:sz w:val="22"/>
        </w:rPr>
        <w:t xml:space="preserve">El Estatuto General de Contratación de la Administración Pública contiene disposiciones que demandan de las entidades estatales el deber de realizar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 En relación con el valor del futuro contrato y su correlativo respaldo presupuestal, se tienen, por ejemplo, las siguientes reglas derivadas de la aplicación del principio de economía previsto en el artículo 25 de la Ley 80 de 1993: </w:t>
      </w:r>
    </w:p>
    <w:p w14:paraId="30AE193B" w14:textId="77777777" w:rsidR="005156DF" w:rsidRPr="00F63528" w:rsidRDefault="005156DF" w:rsidP="005156DF">
      <w:pPr>
        <w:pStyle w:val="Sinespaciado"/>
        <w:spacing w:line="276" w:lineRule="auto"/>
        <w:ind w:firstLine="708"/>
        <w:jc w:val="both"/>
        <w:rPr>
          <w:rFonts w:ascii="Verdana" w:hAnsi="Verdana" w:cs="Arial"/>
          <w:bCs/>
          <w:sz w:val="22"/>
          <w:lang w:val="es-ES"/>
        </w:rPr>
      </w:pPr>
    </w:p>
    <w:p w14:paraId="220ABDE2" w14:textId="77777777" w:rsidR="005156DF" w:rsidRPr="00B41A86" w:rsidRDefault="005156DF" w:rsidP="005156DF">
      <w:pPr>
        <w:pStyle w:val="Sinespaciado"/>
        <w:ind w:left="709" w:right="709"/>
        <w:jc w:val="both"/>
        <w:rPr>
          <w:rFonts w:ascii="Verdana" w:hAnsi="Verdana" w:cs="Arial"/>
          <w:sz w:val="20"/>
          <w:szCs w:val="20"/>
        </w:rPr>
      </w:pPr>
      <w:r w:rsidRPr="00B41A86">
        <w:rPr>
          <w:rFonts w:ascii="Verdana" w:hAnsi="Verdana" w:cs="Arial"/>
          <w:sz w:val="20"/>
          <w:szCs w:val="20"/>
        </w:rPr>
        <w:t>“7o. La conveniencia o inconveniencia del objeto a contratar y las autorizaciones y aprobaciones para ello, se analizarán o impartirán con antelación al inicio del proceso de selección del contratista o al de la firma del contrato, según el caso.</w:t>
      </w:r>
    </w:p>
    <w:p w14:paraId="11234B97" w14:textId="77777777" w:rsidR="005156DF" w:rsidRPr="00B41A86" w:rsidRDefault="005156DF" w:rsidP="005156DF">
      <w:pPr>
        <w:pStyle w:val="Sinespaciado"/>
        <w:spacing w:after="120"/>
        <w:ind w:left="709" w:right="709"/>
        <w:jc w:val="both"/>
        <w:rPr>
          <w:rFonts w:ascii="Verdana" w:hAnsi="Verdana" w:cs="Arial"/>
          <w:sz w:val="20"/>
          <w:szCs w:val="20"/>
        </w:rPr>
      </w:pPr>
      <w:r w:rsidRPr="00B41A86">
        <w:rPr>
          <w:rFonts w:ascii="Verdana" w:hAnsi="Verdana" w:cs="Arial"/>
          <w:sz w:val="20"/>
          <w:szCs w:val="20"/>
        </w:rPr>
        <w:t>[…]</w:t>
      </w:r>
    </w:p>
    <w:p w14:paraId="12179415" w14:textId="77777777" w:rsidR="005156DF" w:rsidRPr="00B41A86" w:rsidRDefault="005156DF" w:rsidP="005156DF">
      <w:pPr>
        <w:pStyle w:val="Sinespaciado"/>
        <w:spacing w:after="120"/>
        <w:ind w:left="709" w:right="709"/>
        <w:jc w:val="both"/>
        <w:rPr>
          <w:rFonts w:ascii="Verdana" w:hAnsi="Verdana" w:cs="Arial"/>
          <w:sz w:val="20"/>
          <w:szCs w:val="20"/>
        </w:rPr>
      </w:pPr>
      <w:r w:rsidRPr="00B41A86">
        <w:rPr>
          <w:rFonts w:ascii="Verdana" w:hAnsi="Verdana" w:cs="Arial"/>
          <w:sz w:val="20"/>
          <w:szCs w:val="20"/>
        </w:rPr>
        <w:t>12. Previo a la apertura de un proceso de selección, o a la firma del contrato en el caso en que la modalidad de selección sea contratación directa, deberán elaborarse los estudios, diseños y proyectos requeridos, y los pliegos de condiciones, según corresponda.</w:t>
      </w:r>
    </w:p>
    <w:p w14:paraId="2D98B442" w14:textId="77777777" w:rsidR="005156DF" w:rsidRPr="00B41A86" w:rsidRDefault="005156DF" w:rsidP="005156DF">
      <w:pPr>
        <w:pStyle w:val="Sinespaciado"/>
        <w:spacing w:after="120"/>
        <w:ind w:left="709" w:right="709"/>
        <w:jc w:val="both"/>
        <w:rPr>
          <w:rFonts w:ascii="Verdana" w:hAnsi="Verdana" w:cs="Arial"/>
          <w:sz w:val="20"/>
          <w:szCs w:val="20"/>
        </w:rPr>
      </w:pPr>
      <w:r w:rsidRPr="00B41A86">
        <w:rPr>
          <w:rFonts w:ascii="Verdana" w:hAnsi="Verdana" w:cs="Arial"/>
          <w:sz w:val="20"/>
          <w:szCs w:val="20"/>
        </w:rPr>
        <w:t>Cuando el objeto de la contratación incluya la realización de una obra, en la misma oportunidad señalada en el inciso primero, la entidad contratante deberá contar con los estudios y diseños que permitan establecer la viabilidad del proyecto y su impacto social, económico y ambiental. Esta condición será aplicable incluso para los contratos que incluyan dentro del objeto el diseño.</w:t>
      </w:r>
    </w:p>
    <w:p w14:paraId="56481E85" w14:textId="77777777" w:rsidR="005156DF" w:rsidRPr="00B41A86" w:rsidRDefault="005156DF" w:rsidP="005156DF">
      <w:pPr>
        <w:spacing w:line="240" w:lineRule="auto"/>
        <w:ind w:left="709" w:right="709"/>
        <w:jc w:val="both"/>
        <w:rPr>
          <w:rFonts w:ascii="Verdana" w:hAnsi="Verdana" w:cs="Arial"/>
          <w:sz w:val="20"/>
          <w:szCs w:val="20"/>
        </w:rPr>
      </w:pPr>
      <w:r w:rsidRPr="00B41A86">
        <w:rPr>
          <w:rFonts w:ascii="Verdana" w:hAnsi="Verdana" w:cs="Arial"/>
          <w:sz w:val="20"/>
          <w:szCs w:val="20"/>
        </w:rPr>
        <w:t>13. Las autoridades constituirán las reservas y compromisos presupuestales necesarios, tomando como base el valor de las prestaciones al momento de celebrar el contrato y el estimativo de los ajustes resultantes de la aplicación de la cláusula de actualización de precios.</w:t>
      </w:r>
    </w:p>
    <w:p w14:paraId="27C7A64A" w14:textId="77777777" w:rsidR="005156DF" w:rsidRDefault="005156DF" w:rsidP="005156DF">
      <w:pPr>
        <w:spacing w:before="120" w:after="0" w:line="240" w:lineRule="auto"/>
        <w:ind w:left="709" w:right="709"/>
        <w:jc w:val="both"/>
        <w:rPr>
          <w:rFonts w:ascii="Verdana" w:hAnsi="Verdana" w:cs="Arial"/>
        </w:rPr>
      </w:pPr>
      <w:r w:rsidRPr="00B41A86">
        <w:rPr>
          <w:rFonts w:ascii="Verdana" w:hAnsi="Verdana" w:cs="Arial"/>
          <w:sz w:val="20"/>
          <w:szCs w:val="20"/>
        </w:rPr>
        <w:t>14. Las entidades incluirán en sus presupuestos anuales una apropiación global destinada a cubrir los costos imprevistos ocasionados por los retardos en los pagos, así como los que se originen en la revisión de los precios pactados por razón de los cambios o alteraciones en las condiciones iniciales de los contratos por ellas celebrados […]”.</w:t>
      </w:r>
      <w:r w:rsidRPr="00627B03">
        <w:rPr>
          <w:rFonts w:ascii="Verdana" w:hAnsi="Verdana" w:cs="Arial"/>
        </w:rPr>
        <w:t xml:space="preserve"> </w:t>
      </w:r>
    </w:p>
    <w:p w14:paraId="314333C9" w14:textId="77777777" w:rsidR="005156DF" w:rsidRPr="00627B03" w:rsidRDefault="005156DF" w:rsidP="005156DF">
      <w:pPr>
        <w:spacing w:after="0"/>
        <w:ind w:left="709" w:right="709"/>
        <w:jc w:val="both"/>
        <w:rPr>
          <w:rFonts w:ascii="Verdana" w:hAnsi="Verdana" w:cs="Arial"/>
        </w:rPr>
      </w:pPr>
    </w:p>
    <w:p w14:paraId="7A2663C2" w14:textId="77777777" w:rsidR="005156DF" w:rsidRPr="00627B03" w:rsidRDefault="005156DF" w:rsidP="005156DF">
      <w:pPr>
        <w:pStyle w:val="Sinespaciado"/>
        <w:spacing w:line="276" w:lineRule="auto"/>
        <w:ind w:firstLine="708"/>
        <w:jc w:val="both"/>
        <w:rPr>
          <w:rFonts w:ascii="Verdana" w:hAnsi="Verdana" w:cs="Arial"/>
          <w:sz w:val="22"/>
        </w:rPr>
      </w:pPr>
      <w:r w:rsidRPr="00627B03">
        <w:rPr>
          <w:rFonts w:ascii="Verdana" w:hAnsi="Verdana" w:cs="Arial"/>
          <w:sz w:val="22"/>
        </w:rPr>
        <w:t xml:space="preserve">De las normas citadas se resalta que, en virtud del principio de economía, para iniciar un proceso de contratación se requieren unos estudios previos que permitan estructurar, concretar y viabilizar los aspectos esenciales del futuro contrato, dentro de los cuales se encuentran su objeto y valor estimado, entre otros elementos. Los componentes de los estudios previos que sirven de soporte para elaborar el proyecto de pliego, los pliegos de condiciones y el contrato, están previstos en el artículo 2.2.1.1.2.1.1 del Decreto 1082 de 2015, norma que exige que se determine el objeto a contratar con sus especificaciones y se estime el costo que implica la celebración del contrato de la siguiente manera: </w:t>
      </w:r>
    </w:p>
    <w:p w14:paraId="2DCDFD18" w14:textId="77777777" w:rsidR="005156DF" w:rsidRPr="00627B03" w:rsidRDefault="005156DF" w:rsidP="005156DF">
      <w:pPr>
        <w:pStyle w:val="Sinespaciado"/>
        <w:spacing w:line="276" w:lineRule="auto"/>
        <w:jc w:val="both"/>
        <w:rPr>
          <w:rFonts w:ascii="Verdana" w:hAnsi="Verdana" w:cs="Arial"/>
        </w:rPr>
      </w:pPr>
    </w:p>
    <w:p w14:paraId="52733FAF" w14:textId="77777777" w:rsidR="005156DF" w:rsidRPr="00B41A86" w:rsidRDefault="005156DF" w:rsidP="005156DF">
      <w:pPr>
        <w:pStyle w:val="Sinespaciado"/>
        <w:ind w:left="709" w:right="709"/>
        <w:jc w:val="both"/>
        <w:rPr>
          <w:rFonts w:ascii="Verdana" w:hAnsi="Verdana" w:cs="Arial"/>
          <w:sz w:val="20"/>
          <w:szCs w:val="20"/>
        </w:rPr>
      </w:pPr>
      <w:r w:rsidRPr="00B41A86">
        <w:rPr>
          <w:rFonts w:ascii="Verdana" w:hAnsi="Verdana" w:cs="Arial"/>
          <w:sz w:val="20"/>
          <w:szCs w:val="20"/>
        </w:rPr>
        <w:t xml:space="preserve">“2. El objeto a contratar, con sus especificaciones, las autorizaciones, permisos y licencias requeridos para su ejecución, y cuando el contrato </w:t>
      </w:r>
      <w:r w:rsidRPr="00B41A86">
        <w:rPr>
          <w:rFonts w:ascii="Verdana" w:hAnsi="Verdana" w:cs="Arial"/>
          <w:sz w:val="20"/>
          <w:szCs w:val="20"/>
        </w:rPr>
        <w:lastRenderedPageBreak/>
        <w:t>incluye diseño y construcción, los documentos técnicos para el desarrollo del proyecto.</w:t>
      </w:r>
    </w:p>
    <w:p w14:paraId="2A5EFEBB" w14:textId="77777777" w:rsidR="005156DF" w:rsidRPr="00B41A86" w:rsidRDefault="005156DF" w:rsidP="005156DF">
      <w:pPr>
        <w:pStyle w:val="Sinespaciado"/>
        <w:spacing w:after="120"/>
        <w:ind w:left="709" w:right="709"/>
        <w:jc w:val="both"/>
        <w:rPr>
          <w:rFonts w:ascii="Verdana" w:hAnsi="Verdana" w:cs="Arial"/>
          <w:sz w:val="20"/>
          <w:szCs w:val="20"/>
        </w:rPr>
      </w:pPr>
      <w:r w:rsidRPr="00B41A86">
        <w:rPr>
          <w:rFonts w:ascii="Verdana" w:hAnsi="Verdana" w:cs="Arial"/>
          <w:sz w:val="20"/>
          <w:szCs w:val="20"/>
        </w:rPr>
        <w:t>[…]</w:t>
      </w:r>
    </w:p>
    <w:p w14:paraId="195F23D4" w14:textId="77777777" w:rsidR="005156DF" w:rsidRPr="00B41A86" w:rsidRDefault="005156DF" w:rsidP="005156DF">
      <w:pPr>
        <w:pStyle w:val="Sinespaciado"/>
        <w:ind w:left="709" w:right="709"/>
        <w:jc w:val="both"/>
        <w:rPr>
          <w:rFonts w:ascii="Verdana" w:hAnsi="Verdana" w:cs="Arial"/>
          <w:sz w:val="20"/>
          <w:szCs w:val="20"/>
        </w:rPr>
      </w:pPr>
      <w:r w:rsidRPr="00B41A86">
        <w:rPr>
          <w:rFonts w:ascii="Verdana" w:hAnsi="Verdana" w:cs="Arial"/>
          <w:sz w:val="20"/>
          <w:szCs w:val="20"/>
        </w:rPr>
        <w:t xml:space="preserve">4. El valor estimado del contrato y la justificación del mismo. Cuando el valor del contrato esté determinado por precios unitarios, la Entidad Estatal debe incluir la forma como los calculó y soportar sus cálculos presupuestales en la estimación de aquellos. Si el contrato es de concesión, la Entidad Estatal no debe publicar el modelo financiero utilizado en su estructuración”.  </w:t>
      </w:r>
    </w:p>
    <w:p w14:paraId="71EE31F6" w14:textId="77777777" w:rsidR="005156DF" w:rsidRPr="00F63528" w:rsidRDefault="005156DF" w:rsidP="005156DF">
      <w:pPr>
        <w:spacing w:after="0" w:line="276" w:lineRule="auto"/>
        <w:ind w:firstLine="709"/>
        <w:jc w:val="both"/>
        <w:rPr>
          <w:rFonts w:ascii="Verdana" w:eastAsia="Calibri" w:hAnsi="Verdana" w:cs="Arial"/>
          <w:bCs/>
          <w:lang w:val="es-ES_tradnl"/>
        </w:rPr>
      </w:pPr>
    </w:p>
    <w:p w14:paraId="59FFA22D" w14:textId="77777777" w:rsidR="005156DF" w:rsidRPr="00F63528" w:rsidRDefault="005156DF" w:rsidP="005156DF">
      <w:pPr>
        <w:spacing w:line="276" w:lineRule="auto"/>
        <w:ind w:firstLine="709"/>
        <w:jc w:val="both"/>
        <w:rPr>
          <w:rFonts w:ascii="Verdana" w:eastAsia="Calibri" w:hAnsi="Verdana" w:cs="Arial"/>
          <w:lang w:val="es-ES"/>
        </w:rPr>
      </w:pPr>
      <w:r w:rsidRPr="2858887B">
        <w:rPr>
          <w:rFonts w:ascii="Verdana" w:eastAsia="Calibri" w:hAnsi="Verdana" w:cs="Arial"/>
          <w:lang w:val="es-ES"/>
        </w:rPr>
        <w:t xml:space="preserve">Para cumplir este objetivo es necesario el estudio del mercado y el análisis del sector económico y de los oferentes, actividad de planeación previa que sirve para identificar aspectos concretos del mercado que pueden afectar el proceso de selección o las condiciones del negocio a realizar a través del proceso de contratación de bienes, obras o servicios. En este sentido, el artículo </w:t>
      </w:r>
      <w:bookmarkStart w:id="2" w:name="_Hlk36117416"/>
      <w:r w:rsidRPr="2858887B">
        <w:rPr>
          <w:rFonts w:ascii="Verdana" w:eastAsia="Calibri" w:hAnsi="Verdana" w:cs="Arial"/>
          <w:lang w:val="es-ES"/>
        </w:rPr>
        <w:t>2.2.1.1.1.6.1 del Decreto 1082 de 2015</w:t>
      </w:r>
      <w:bookmarkEnd w:id="2"/>
      <w:r w:rsidRPr="2858887B">
        <w:rPr>
          <w:rFonts w:ascii="Verdana" w:eastAsia="Calibri" w:hAnsi="Verdana" w:cs="Arial"/>
          <w:lang w:val="es-ES"/>
        </w:rPr>
        <w:t xml:space="preserve"> dispone lo siguiente: “La Entidad Estatal debe hacer, durante la etapa de planeación, el análisis necesario para conocer el sector relativo al objeto del Proceso de Contratación desde la perspectiva legal, comercial, financiera, organizacional, técnica, y de análisis de Riesgo. La Entidad Estatal debe dejar constancia de este análisis en los Documentos del Proceso”.</w:t>
      </w:r>
    </w:p>
    <w:p w14:paraId="3EFD8345" w14:textId="77777777" w:rsidR="005156DF" w:rsidRPr="00F63528" w:rsidRDefault="005156DF" w:rsidP="005156DF">
      <w:pPr>
        <w:spacing w:before="120" w:line="276" w:lineRule="auto"/>
        <w:ind w:firstLine="709"/>
        <w:jc w:val="both"/>
        <w:rPr>
          <w:rFonts w:ascii="Verdana" w:eastAsia="Calibri" w:hAnsi="Verdana" w:cs="Arial"/>
          <w:lang w:val="es-ES"/>
        </w:rPr>
      </w:pPr>
      <w:r w:rsidRPr="2858887B">
        <w:rPr>
          <w:rFonts w:ascii="Verdana" w:eastAsia="Calibri" w:hAnsi="Verdana" w:cs="Arial"/>
          <w:lang w:val="es-ES"/>
        </w:rPr>
        <w:t xml:space="preserve">De acuerdo con la norma citada, </w:t>
      </w:r>
      <w:bookmarkStart w:id="3" w:name="_Hlk36140682"/>
      <w:r w:rsidRPr="2858887B">
        <w:rPr>
          <w:rFonts w:ascii="Verdana" w:eastAsia="Calibri" w:hAnsi="Verdana" w:cs="Arial"/>
          <w:lang w:val="es-ES"/>
        </w:rPr>
        <w:t>la entidad debe realizar el análisis necesario para conocer el sector relativo al objeto del proceso de contratación, sin que sea relevante la modalidad de selección. Hacer un análisis desde la perspectiva legal implica la revisión de la regulación vigente para el mercado dentro del que se encuentra el objeto del contrato. La perspectiva comercial hace referencia a analizar quiénes pueden ofrecer el bien o servicio que se quiere contratar, cuáles son sus condiciones, si tienen condiciones especiales que sean relevantes para determinar los requisitos habilitantes, entre otros. Desde una perspectiva financiera, el análisis conlleva una revisión de las características financieras que se presentan dentro del mercado del bien o servicio, como por ejemplo el índice de endeudamiento que tienen las empresas o personas naturales que ofrecen dicho bien o servicio. Con la perspectiva organizacional se pretende que la entidad estatal entienda cómo están organizados internamente los posibles oferentes y de qué manera realizan sus negocios y operaciones.</w:t>
      </w:r>
    </w:p>
    <w:p w14:paraId="1EA1CFA0" w14:textId="77777777" w:rsidR="005156DF" w:rsidRPr="00F63528" w:rsidRDefault="005156DF" w:rsidP="005156DF">
      <w:pPr>
        <w:spacing w:before="120" w:line="276" w:lineRule="auto"/>
        <w:ind w:firstLine="709"/>
        <w:jc w:val="both"/>
        <w:rPr>
          <w:rFonts w:ascii="Verdana" w:eastAsia="Calibri" w:hAnsi="Verdana" w:cs="Arial"/>
          <w:bCs/>
          <w:lang w:val="es-ES_tradnl"/>
        </w:rPr>
      </w:pPr>
      <w:r w:rsidRPr="00F63528">
        <w:rPr>
          <w:rFonts w:ascii="Verdana" w:eastAsia="Calibri" w:hAnsi="Verdana" w:cs="Arial"/>
          <w:bCs/>
          <w:lang w:val="es-ES_tradnl"/>
        </w:rPr>
        <w:t xml:space="preserve">Para negociar de manera adecuada, es necesario conocer la estructura de los posibles contratistas, pues permite identificar la forma en la que suplirá los </w:t>
      </w:r>
      <w:r w:rsidRPr="00F63528">
        <w:rPr>
          <w:rFonts w:ascii="Verdana" w:eastAsia="Calibri" w:hAnsi="Verdana" w:cs="Arial"/>
          <w:bCs/>
          <w:lang w:val="es-ES_tradnl"/>
        </w:rPr>
        <w:lastRenderedPageBreak/>
        <w:t>requerimientos de la entidad. El análisis del sector debe tener en cuenta el objeto del proceso de contratación, las condiciones del bien o servicio y las ventajas que representa para la Administración contratar el bien o servicio con el contratista. En este último punto, el análisis del sector permite sustentar la decisión de realizar un proceso de contratación desde el punto de vista de la eficiencia, eficacia y economía.</w:t>
      </w:r>
    </w:p>
    <w:p w14:paraId="40A6F3A2" w14:textId="77777777" w:rsidR="005156DF" w:rsidRPr="00F63528" w:rsidRDefault="005156DF" w:rsidP="005156DF">
      <w:pPr>
        <w:spacing w:before="120" w:line="276" w:lineRule="auto"/>
        <w:ind w:firstLine="709"/>
        <w:jc w:val="both"/>
        <w:rPr>
          <w:rFonts w:ascii="Verdana" w:eastAsia="Calibri" w:hAnsi="Verdana" w:cs="Arial"/>
          <w:bCs/>
          <w:lang w:val="es-ES_tradnl"/>
        </w:rPr>
      </w:pPr>
      <w:r w:rsidRPr="00F63528">
        <w:rPr>
          <w:rFonts w:ascii="Verdana" w:eastAsia="Calibri" w:hAnsi="Verdana" w:cs="Arial"/>
          <w:bCs/>
          <w:lang w:val="es-ES_tradnl"/>
        </w:rPr>
        <w:t xml:space="preserve">Dicho análisis facilita tanto el conocimiento del sector, desde una perspectiva multidisciplinaria, como de los proveedores disponibles en el mercado para satisfacer la necesidad de la entidad contratante. El análisis del sector implica un estudio de la oferta, lo que permitirá identificar qué proveedores existen en el mercado y cómo intervienen en la cadena de producción, comercialización y distribución de los bienes, obras o servicios. Asimismo, podrá estudiar la demanda para determinar cómo las entidades estatales y los particulares adquieren esos bienes, obras o servicios para extraer las mejores prácticas e información para el proceso de contratación. </w:t>
      </w:r>
    </w:p>
    <w:bookmarkEnd w:id="3"/>
    <w:p w14:paraId="5FDD64C4" w14:textId="77777777" w:rsidR="005156DF" w:rsidRDefault="005156DF" w:rsidP="005156DF">
      <w:pPr>
        <w:spacing w:before="120" w:after="120" w:line="276" w:lineRule="auto"/>
        <w:ind w:firstLine="709"/>
        <w:jc w:val="both"/>
        <w:rPr>
          <w:rFonts w:ascii="Verdana" w:eastAsia="Calibri" w:hAnsi="Verdana" w:cs="Arial"/>
          <w:bCs/>
          <w:lang w:val="es-ES_tradnl"/>
        </w:rPr>
      </w:pPr>
      <w:r w:rsidRPr="00F63528">
        <w:rPr>
          <w:rFonts w:ascii="Verdana" w:eastAsia="Calibri" w:hAnsi="Verdana" w:cs="Arial"/>
          <w:bCs/>
          <w:lang w:val="es-ES_tradnl"/>
        </w:rPr>
        <w:t>Colombia Compra Eficiente dispone de una “Guía para la Elaboración de Estudios del Sector”, instrumento que sirve de apoyo para entender el mercado del bien, obra o servicio que la entidad estatal pretende adquirir para diseñar el proceso de contratación con la información necesaria para alcanzar los objetivos de eficacia, eficiencia, economía, promoción de la competencia y manejo del riesgo. En dicho instrumento, se recomienda que un análisis integral sobre varios aspectos del mercado –económico, técnico, regulatorio, etc.–, lo cual permitirá que la entidad delimite con precisión qué bienes y servicios existen, cuáles son las condiciones de su comercialización, cómo es la oferta y la demanda y cuáles son los factores que inciden en el valor del contrato, tales como el análisis de precios, las cargas tributarias, la tasa de cambio, las garantías, los gastos de transporte, etc.</w:t>
      </w:r>
      <w:r>
        <w:rPr>
          <w:rFonts w:ascii="Verdana" w:eastAsia="Calibri" w:hAnsi="Verdana" w:cs="Arial"/>
          <w:bCs/>
          <w:lang w:val="es-ES_tradnl"/>
        </w:rPr>
        <w:t xml:space="preserve"> </w:t>
      </w:r>
      <w:r w:rsidRPr="00F63528">
        <w:rPr>
          <w:rFonts w:ascii="Verdana" w:eastAsia="Calibri" w:hAnsi="Verdana" w:cs="Arial"/>
          <w:bCs/>
          <w:lang w:val="es-ES_tradnl"/>
        </w:rPr>
        <w:t xml:space="preserve">Para determinar el objeto a contratar y su valor estimado de las obras, bienes o servicios, el numeral 1.3.4 de la guía recomienda hacer un </w:t>
      </w:r>
      <w:r w:rsidRPr="00F63528">
        <w:rPr>
          <w:rFonts w:ascii="Verdana" w:eastAsia="Calibri" w:hAnsi="Verdana" w:cs="Arial"/>
          <w:bCs/>
          <w:i/>
          <w:iCs/>
          <w:lang w:val="es-ES_tradnl"/>
        </w:rPr>
        <w:t>estudio de mercado</w:t>
      </w:r>
      <w:r w:rsidRPr="00F63528">
        <w:rPr>
          <w:rFonts w:ascii="Verdana" w:eastAsia="Calibri" w:hAnsi="Verdana" w:cs="Arial"/>
          <w:bCs/>
          <w:lang w:val="es-ES_tradnl"/>
        </w:rPr>
        <w:t xml:space="preserve">, para lo cual la entidad puede apoyarse en la solicitud de cotizaciones, la consulta de bases de datos especializadas o el análisis de precios históricos. </w:t>
      </w:r>
    </w:p>
    <w:p w14:paraId="4B6FA804" w14:textId="77777777" w:rsidR="005156DF" w:rsidRDefault="005156DF" w:rsidP="005156DF">
      <w:pPr>
        <w:spacing w:after="120" w:line="276" w:lineRule="auto"/>
        <w:ind w:firstLine="709"/>
        <w:jc w:val="both"/>
        <w:rPr>
          <w:rFonts w:ascii="Verdana" w:eastAsia="Calibri" w:hAnsi="Verdana" w:cs="Arial"/>
          <w:lang w:val="es-ES"/>
        </w:rPr>
      </w:pPr>
      <w:r w:rsidRPr="2858887B">
        <w:rPr>
          <w:rFonts w:ascii="Verdana" w:eastAsia="Calibri" w:hAnsi="Verdana" w:cs="Arial"/>
          <w:lang w:val="es-ES"/>
        </w:rPr>
        <w:t xml:space="preserve">De esta manera, existe una relación entre el estudio del sector y la estimación del valor del contrato, por lo cual deben tenerse en cuenta las diferentes variables del mercado como los costos de la cadena de producción. Pero, con independencia de esto, la entidad debe obtener el menor precio o uno </w:t>
      </w:r>
      <w:r w:rsidRPr="2858887B">
        <w:rPr>
          <w:rFonts w:ascii="Verdana" w:eastAsia="Calibri" w:hAnsi="Verdana" w:cs="Arial"/>
          <w:lang w:val="es-ES"/>
        </w:rPr>
        <w:lastRenderedPageBreak/>
        <w:t>razonable. En todo caso, el valor debe estar justificado para que no corresponda a sobrecostos ni a precios artificialmente bajos, y que con ello la entidad pague un valor adecuado, que no sea mayor ni menor. Esto se logra con el estudio del mercado y sus costos, el cual debe estar a disposición de los participantes del procedimiento contractual.</w:t>
      </w:r>
    </w:p>
    <w:p w14:paraId="158D821D" w14:textId="77777777" w:rsidR="005156DF" w:rsidRDefault="005156DF" w:rsidP="005156DF">
      <w:pPr>
        <w:spacing w:after="120" w:line="276" w:lineRule="auto"/>
        <w:ind w:firstLine="709"/>
        <w:jc w:val="both"/>
        <w:rPr>
          <w:rFonts w:ascii="Verdana" w:eastAsia="Calibri" w:hAnsi="Verdana" w:cs="Arial"/>
          <w:bCs/>
          <w:lang w:val="es-ES_tradnl"/>
        </w:rPr>
      </w:pPr>
      <w:r>
        <w:rPr>
          <w:rFonts w:ascii="Verdana" w:eastAsia="Calibri" w:hAnsi="Verdana" w:cs="Arial"/>
          <w:bCs/>
          <w:lang w:val="es-ES_tradnl"/>
        </w:rPr>
        <w:t xml:space="preserve">En relación con la interventoría, las normas contractuales no definen un valor de referencia representado sobre el costo total de la obra ni, mucho menos, </w:t>
      </w:r>
      <w:r w:rsidRPr="00EA435A">
        <w:rPr>
          <w:rFonts w:ascii="Verdana" w:eastAsia="Calibri" w:hAnsi="Verdana" w:cs="Arial"/>
          <w:bCs/>
          <w:lang w:val="es-ES_tradnl"/>
        </w:rPr>
        <w:t>las consecuencias y los casos en que puede superarlo</w:t>
      </w:r>
      <w:r>
        <w:rPr>
          <w:rFonts w:ascii="Verdana" w:eastAsia="Calibri" w:hAnsi="Verdana" w:cs="Arial"/>
          <w:bCs/>
          <w:lang w:val="es-ES_tradnl"/>
        </w:rPr>
        <w:t xml:space="preserve">. Aunque estén estrechamente relacionados, la interventoría tiene tanto un estudio previo como un análisis del sector completamente distintos a los del contrato vigilado. De acuerdo con las particularidades de cada caso concreto, en atención a la complejidad del negocio, la entidad analizará factores que inciden los costos directos e indirectos para la interventoría, pues los mismas tampoco se definen en la ley o el reglamento. </w:t>
      </w:r>
    </w:p>
    <w:p w14:paraId="70C55226" w14:textId="77777777" w:rsidR="005156DF" w:rsidRDefault="005156DF" w:rsidP="005156DF">
      <w:pPr>
        <w:spacing w:after="0" w:line="276" w:lineRule="auto"/>
        <w:ind w:firstLine="708"/>
        <w:jc w:val="both"/>
        <w:rPr>
          <w:rFonts w:ascii="Verdana" w:hAnsi="Verdana" w:cs="Arial"/>
          <w:lang w:val="es-ES"/>
        </w:rPr>
      </w:pPr>
      <w:r>
        <w:rPr>
          <w:rFonts w:ascii="Verdana" w:eastAsia="Calibri" w:hAnsi="Verdana" w:cs="Arial"/>
          <w:bCs/>
          <w:lang w:val="es-ES_tradnl"/>
        </w:rPr>
        <w:t>Sin perjuicio de lo anterior</w:t>
      </w:r>
      <w:r w:rsidRPr="0086234D">
        <w:rPr>
          <w:rFonts w:ascii="Verdana" w:eastAsia="Calibri" w:hAnsi="Verdana" w:cs="Arial"/>
          <w:bCs/>
          <w:lang w:val="es-ES_tradnl"/>
        </w:rPr>
        <w:t>, es importante evitar el sobredimensionamiento de los precios</w:t>
      </w:r>
      <w:r>
        <w:rPr>
          <w:rFonts w:ascii="Verdana" w:eastAsia="Calibri" w:hAnsi="Verdana" w:cs="Arial"/>
          <w:bCs/>
          <w:lang w:val="es-ES_tradnl"/>
        </w:rPr>
        <w:t>. Ello es consecuencia</w:t>
      </w:r>
      <w:r>
        <w:rPr>
          <w:rFonts w:ascii="Verdana" w:hAnsi="Verdana" w:cs="Arial"/>
          <w:lang w:val="es-ES"/>
        </w:rPr>
        <w:t xml:space="preserve">, entre otras causas, de la pretermisión de los estudios de mercado o de una estimación de precios errónea por alejamiento de la realidad, los cuales conducen a la recepción y facturación de servicios por encima de su valor real. Por ello, “[…] </w:t>
      </w:r>
      <w:r w:rsidRPr="0050021C">
        <w:rPr>
          <w:rFonts w:ascii="Verdana" w:hAnsi="Verdana" w:cs="Arial"/>
          <w:lang w:val="es-ES"/>
        </w:rPr>
        <w:t>con el fin de detectar mayores valores reprochables y pactados al momento de celebrar el contrato se debe acudir primeramente a una comparación con aquel precio que arroje el mercado y en caso de que lo supere verificar las razones que justifican o explican en forma sensata y razonada esa circunstancia, teniendo en cuenta todas las variables que en él inciden</w:t>
      </w:r>
      <w:r>
        <w:rPr>
          <w:rFonts w:ascii="Verdana" w:hAnsi="Verdana" w:cs="Arial"/>
          <w:lang w:val="es-ES"/>
        </w:rPr>
        <w:t xml:space="preserve"> […]”</w:t>
      </w:r>
      <w:r>
        <w:rPr>
          <w:rStyle w:val="Refdenotaalpie"/>
          <w:rFonts w:ascii="Verdana" w:hAnsi="Verdana" w:cs="Arial"/>
          <w:lang w:val="es-ES"/>
        </w:rPr>
        <w:footnoteReference w:id="2"/>
      </w:r>
      <w:r>
        <w:rPr>
          <w:rFonts w:ascii="Verdana" w:hAnsi="Verdana" w:cs="Arial"/>
          <w:lang w:val="es-ES"/>
        </w:rPr>
        <w:t>. Lo anterior muestra la necesidad de realizar adecuadamente el análisis de sector en la fase de planeación del contrato.</w:t>
      </w:r>
    </w:p>
    <w:p w14:paraId="5CED5DCF" w14:textId="77777777" w:rsidR="005156DF" w:rsidRPr="0086234D" w:rsidRDefault="005156DF" w:rsidP="005156DF">
      <w:pPr>
        <w:spacing w:after="0" w:line="276" w:lineRule="auto"/>
        <w:ind w:firstLine="709"/>
        <w:jc w:val="both"/>
        <w:rPr>
          <w:rFonts w:ascii="Verdana" w:eastAsia="Calibri" w:hAnsi="Verdana" w:cs="Arial"/>
          <w:bCs/>
          <w:lang w:val="es-ES_tradnl"/>
        </w:rPr>
      </w:pPr>
    </w:p>
    <w:p w14:paraId="1934BE85" w14:textId="77777777" w:rsidR="005156DF" w:rsidRPr="00104C20" w:rsidRDefault="005156DF" w:rsidP="005156DF">
      <w:pPr>
        <w:spacing w:after="0" w:line="276" w:lineRule="auto"/>
        <w:jc w:val="both"/>
        <w:rPr>
          <w:rFonts w:ascii="Verdana" w:hAnsi="Verdana" w:cs="Arial"/>
          <w:lang w:val="es-ES" w:eastAsia="es-ES"/>
        </w:rPr>
      </w:pPr>
      <w:proofErr w:type="spellStart"/>
      <w:r w:rsidRPr="2858887B">
        <w:rPr>
          <w:rFonts w:ascii="Verdana" w:hAnsi="Verdana" w:cs="Arial"/>
          <w:lang w:val="es-ES" w:eastAsia="es-ES"/>
        </w:rPr>
        <w:t>ii</w:t>
      </w:r>
      <w:proofErr w:type="spellEnd"/>
      <w:r w:rsidRPr="2858887B">
        <w:rPr>
          <w:rFonts w:ascii="Verdana" w:hAnsi="Verdana" w:cs="Arial"/>
          <w:lang w:val="es-ES" w:eastAsia="es-ES"/>
        </w:rPr>
        <w:t xml:space="preserve">. Como es sabido, uno de los elementos más comunes en los contratos estatales es el precio, también conocido como valor. Aunque no todo contrato lo incluye –pues también existen negocios gratuitos– lo usual es que los contratos estatales se perfeccionen como onerosos y, la mayoría de las veces, como conmutativos. Adicionalmente, el precio suele ser el elemento más importante </w:t>
      </w:r>
      <w:r w:rsidRPr="2858887B">
        <w:rPr>
          <w:rFonts w:ascii="Verdana" w:hAnsi="Verdana" w:cs="Arial"/>
          <w:lang w:val="es-ES" w:eastAsia="es-ES"/>
        </w:rPr>
        <w:lastRenderedPageBreak/>
        <w:t>para el contratista, porque equivale a la remuneración que la entidad contratante le pagará por la ejecución del objeto contractual.</w:t>
      </w:r>
    </w:p>
    <w:p w14:paraId="177DB282" w14:textId="77777777" w:rsidR="005156DF" w:rsidRPr="00104C20" w:rsidRDefault="005156DF" w:rsidP="005156DF">
      <w:pPr>
        <w:spacing w:before="120" w:after="0" w:line="276" w:lineRule="auto"/>
        <w:ind w:firstLine="709"/>
        <w:jc w:val="both"/>
        <w:rPr>
          <w:rFonts w:ascii="Verdana" w:hAnsi="Verdana" w:cs="Arial"/>
          <w:lang w:val="es-ES" w:eastAsia="es-ES"/>
        </w:rPr>
      </w:pPr>
      <w:r w:rsidRPr="00104C20">
        <w:rPr>
          <w:rFonts w:ascii="Verdana" w:hAnsi="Verdana" w:cs="Arial"/>
          <w:lang w:val="es-ES" w:eastAsia="es-ES"/>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w:t>
      </w:r>
      <w:r w:rsidRPr="00104C20">
        <w:rPr>
          <w:rFonts w:ascii="Verdana" w:hAnsi="Verdana" w:cs="Arial"/>
          <w:vertAlign w:val="superscript"/>
          <w:lang w:val="es-ES" w:eastAsia="es-ES"/>
        </w:rPr>
        <w:footnoteReference w:id="3"/>
      </w:r>
      <w:r w:rsidRPr="00104C20">
        <w:rPr>
          <w:rFonts w:ascii="Verdana" w:hAnsi="Verdana" w:cs="Arial"/>
          <w:lang w:val="es-ES" w:eastAsia="es-ES"/>
        </w:rPr>
        <w:t xml:space="preserve">. 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w:t>
      </w:r>
      <w:proofErr w:type="spellStart"/>
      <w:r w:rsidRPr="00104C20">
        <w:rPr>
          <w:rFonts w:ascii="Verdana" w:hAnsi="Verdana" w:cs="Arial"/>
          <w:lang w:val="es-ES" w:eastAsia="es-ES"/>
        </w:rPr>
        <w:t>ii</w:t>
      </w:r>
      <w:proofErr w:type="spellEnd"/>
      <w:r w:rsidRPr="00104C20">
        <w:rPr>
          <w:rFonts w:ascii="Verdana" w:hAnsi="Verdana" w:cs="Arial"/>
          <w:lang w:val="es-ES" w:eastAsia="es-ES"/>
        </w:rPr>
        <w:t xml:space="preserve">) el precio global –que equivale al monto total, sin discriminar unidades–, y </w:t>
      </w:r>
      <w:proofErr w:type="spellStart"/>
      <w:r w:rsidRPr="00104C20">
        <w:rPr>
          <w:rFonts w:ascii="Verdana" w:hAnsi="Verdana" w:cs="Arial"/>
          <w:lang w:val="es-ES" w:eastAsia="es-ES"/>
        </w:rPr>
        <w:t>iii</w:t>
      </w:r>
      <w:proofErr w:type="spellEnd"/>
      <w:r w:rsidRPr="00104C20">
        <w:rPr>
          <w:rFonts w:ascii="Verdana" w:hAnsi="Verdana" w:cs="Arial"/>
          <w:lang w:val="es-ES" w:eastAsia="es-ES"/>
        </w:rPr>
        <w:t>) la administración delegada de recursos –en la que se distinguen los costos de inversión de los honorarios del administrador–.</w:t>
      </w:r>
    </w:p>
    <w:p w14:paraId="4C35F5ED" w14:textId="77777777" w:rsidR="005156DF" w:rsidRPr="00104C20" w:rsidRDefault="005156DF" w:rsidP="005156DF">
      <w:pPr>
        <w:spacing w:before="120" w:after="0" w:line="276" w:lineRule="auto"/>
        <w:ind w:firstLine="709"/>
        <w:jc w:val="both"/>
        <w:rPr>
          <w:rFonts w:ascii="Verdana" w:hAnsi="Verdana" w:cs="Arial"/>
          <w:lang w:val="es-ES" w:eastAsia="es-ES"/>
        </w:rPr>
      </w:pPr>
      <w:r w:rsidRPr="00104C20">
        <w:rPr>
          <w:rFonts w:ascii="Verdana" w:hAnsi="Verdana" w:cs="Arial"/>
          <w:lang w:val="es-ES" w:eastAsia="es-ES"/>
        </w:rPr>
        <w:t xml:space="preserve">Pues bien, en los contratos cuyo precio se estructura a partir del sistema de precios unitarios, ha hecho parte de la práctica de los negocios que el contratante le solicite al potencial contratista que separe en su propuesta los </w:t>
      </w:r>
      <w:r w:rsidRPr="008335E8">
        <w:rPr>
          <w:rFonts w:ascii="Verdana" w:hAnsi="Verdana" w:cs="Arial"/>
          <w:i/>
          <w:iCs/>
          <w:lang w:val="es-ES" w:eastAsia="es-ES"/>
        </w:rPr>
        <w:lastRenderedPageBreak/>
        <w:t>costos directos</w:t>
      </w:r>
      <w:r w:rsidRPr="00104C20">
        <w:rPr>
          <w:rFonts w:ascii="Verdana" w:hAnsi="Verdana" w:cs="Arial"/>
          <w:lang w:val="es-ES" w:eastAsia="es-ES"/>
        </w:rPr>
        <w:t xml:space="preserve"> –es decir, los que están directamente implicados en la ejecución del objeto–, de los </w:t>
      </w:r>
      <w:r w:rsidRPr="008335E8">
        <w:rPr>
          <w:rFonts w:ascii="Verdana" w:hAnsi="Verdana" w:cs="Arial"/>
          <w:i/>
          <w:iCs/>
          <w:lang w:val="es-ES" w:eastAsia="es-ES"/>
        </w:rPr>
        <w:t>costos indirectos</w:t>
      </w:r>
      <w:r w:rsidRPr="00104C20">
        <w:rPr>
          <w:rFonts w:ascii="Verdana" w:hAnsi="Verdana" w:cs="Arial"/>
          <w:lang w:val="es-ES" w:eastAsia="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w:t>
      </w:r>
      <w:r w:rsidRPr="008335E8">
        <w:rPr>
          <w:rFonts w:ascii="Verdana" w:hAnsi="Verdana" w:cs="Arial"/>
          <w:i/>
          <w:iCs/>
          <w:lang w:val="es-ES" w:eastAsia="es-ES"/>
        </w:rPr>
        <w:t>costos directos</w:t>
      </w:r>
      <w:r w:rsidRPr="00104C20">
        <w:rPr>
          <w:rFonts w:ascii="Verdana" w:hAnsi="Verdana" w:cs="Arial"/>
          <w:lang w:val="es-ES" w:eastAsia="es-ES"/>
        </w:rPr>
        <w:t xml:space="preserve"> se evidencian en el análisis de precios unitarios –APU–, como la sumatoria de los valores de los </w:t>
      </w:r>
      <w:r w:rsidRPr="00104C20">
        <w:rPr>
          <w:rFonts w:ascii="Verdana" w:hAnsi="Verdana" w:cs="Arial"/>
          <w:i/>
          <w:iCs/>
          <w:lang w:val="es-ES" w:eastAsia="es-ES"/>
        </w:rPr>
        <w:t>ítems</w:t>
      </w:r>
      <w:r w:rsidRPr="00104C20">
        <w:rPr>
          <w:rFonts w:ascii="Verdana" w:hAnsi="Verdana" w:cs="Arial"/>
          <w:lang w:val="es-ES" w:eastAsia="es-ES"/>
        </w:rPr>
        <w:t xml:space="preserve"> según su unidad de medida, los </w:t>
      </w:r>
      <w:r w:rsidRPr="008335E8">
        <w:rPr>
          <w:rFonts w:ascii="Verdana" w:hAnsi="Verdana" w:cs="Arial"/>
          <w:i/>
          <w:iCs/>
          <w:lang w:val="es-ES" w:eastAsia="es-ES"/>
        </w:rPr>
        <w:t>costos indirectos</w:t>
      </w:r>
      <w:r w:rsidRPr="00104C20">
        <w:rPr>
          <w:rFonts w:ascii="Verdana" w:hAnsi="Verdana" w:cs="Arial"/>
          <w:lang w:val="es-ES" w:eastAsia="es-ES"/>
        </w:rPr>
        <w:t xml:space="preserve"> se suelen abreviar en las variables que integran el acrónimo AIU –Administración, Imprevistos y Utilidad–. </w:t>
      </w:r>
    </w:p>
    <w:p w14:paraId="4D2850A0" w14:textId="77777777" w:rsidR="005156DF" w:rsidRPr="00104C20" w:rsidRDefault="005156DF" w:rsidP="005156DF">
      <w:pPr>
        <w:spacing w:before="120" w:after="0" w:line="276" w:lineRule="auto"/>
        <w:ind w:firstLine="709"/>
        <w:jc w:val="both"/>
        <w:rPr>
          <w:rFonts w:ascii="Verdana" w:hAnsi="Verdana" w:cs="Arial"/>
          <w:bCs/>
          <w:szCs w:val="24"/>
          <w:lang w:eastAsia="es-ES_tradnl"/>
        </w:rPr>
      </w:pPr>
      <w:r>
        <w:rPr>
          <w:rFonts w:ascii="Verdana" w:hAnsi="Verdana" w:cs="Arial"/>
          <w:bCs/>
          <w:szCs w:val="24"/>
          <w:lang w:val="es-ES" w:eastAsia="es-ES_tradnl"/>
        </w:rPr>
        <w:t>L</w:t>
      </w:r>
      <w:r w:rsidRPr="00104C20">
        <w:rPr>
          <w:rFonts w:ascii="Verdana" w:hAnsi="Verdana" w:cs="Arial"/>
          <w:bCs/>
          <w:szCs w:val="24"/>
          <w:lang w:val="es-ES_tradnl" w:eastAsia="es-ES_tradnl"/>
        </w:rPr>
        <w:t>a jurisprudencia ha señalado que “</w:t>
      </w:r>
      <w:r>
        <w:rPr>
          <w:rFonts w:ascii="Verdana" w:hAnsi="Verdana" w:cs="Arial"/>
          <w:bCs/>
          <w:szCs w:val="24"/>
          <w:lang w:val="es-ES_tradnl" w:eastAsia="es-ES_tradnl"/>
        </w:rPr>
        <w:t xml:space="preserve">[…] </w:t>
      </w:r>
      <w:r w:rsidRPr="00104C20">
        <w:rPr>
          <w:rFonts w:ascii="Verdana" w:hAnsi="Verdana" w:cs="Arial"/>
          <w:bCs/>
          <w:szCs w:val="24"/>
          <w:lang w:eastAsia="es-ES_tradnl"/>
        </w:rPr>
        <w:t>en la conformación de dichos precios unitarios, se tienen en cuenta todos los gastos que se requieren para realizar la unidad de medida respectiva –el metro lineal, el metro cúbico, el metro cuadrado, etc.-. Y lo que comúnmente se denomina análisis de precios unitarios, corresponde a la descomposición de los mismos para determinar los costos que los conforman: la maquinaria que se utilizará, calculando el valor por el tiempo que se requiera; la mano de obra, teniendo en cuenta el costo hora-hombre, y cuántas personas se requieren para la ejecución de esa unidad de medida; la cantidad de los materiales necesarios, etc.</w:t>
      </w:r>
      <w:r w:rsidRPr="00104C20">
        <w:rPr>
          <w:rFonts w:ascii="Verdana" w:hAnsi="Verdana" w:cs="Arial"/>
          <w:bCs/>
          <w:szCs w:val="24"/>
          <w:lang w:val="es-ES_tradnl" w:eastAsia="es-ES_tradnl"/>
        </w:rPr>
        <w:t>”</w:t>
      </w:r>
      <w:r w:rsidRPr="00104C20">
        <w:rPr>
          <w:rStyle w:val="Refdenotaalpie"/>
          <w:rFonts w:ascii="Verdana" w:hAnsi="Verdana" w:cs="Arial"/>
          <w:bCs/>
          <w:szCs w:val="24"/>
          <w:lang w:val="es-ES_tradnl" w:eastAsia="es-ES_tradnl"/>
        </w:rPr>
        <w:footnoteReference w:id="4"/>
      </w:r>
      <w:r w:rsidRPr="00104C20">
        <w:rPr>
          <w:rFonts w:ascii="Verdana" w:hAnsi="Verdana" w:cs="Arial"/>
          <w:bCs/>
          <w:szCs w:val="24"/>
          <w:lang w:eastAsia="es-ES_tradnl"/>
        </w:rPr>
        <w:t>. En concordancia, la doctrina explica que en la estructuración de los precios unitarios se tendrán en cuenta todos los co</w:t>
      </w:r>
      <w:r>
        <w:rPr>
          <w:rFonts w:ascii="Verdana" w:hAnsi="Verdana" w:cs="Arial"/>
          <w:bCs/>
          <w:szCs w:val="24"/>
          <w:lang w:eastAsia="es-ES_tradnl"/>
        </w:rPr>
        <w:t>st</w:t>
      </w:r>
      <w:r w:rsidRPr="00104C20">
        <w:rPr>
          <w:rFonts w:ascii="Verdana" w:hAnsi="Verdana" w:cs="Arial"/>
          <w:bCs/>
          <w:szCs w:val="24"/>
          <w:lang w:eastAsia="es-ES_tradnl"/>
        </w:rPr>
        <w:t>os directos necesarios para la ejecución del objeto contractual que se multiplicará por al AIU, lo que determina el valor unitario:</w:t>
      </w:r>
    </w:p>
    <w:p w14:paraId="1EA9E790" w14:textId="77777777" w:rsidR="005156DF" w:rsidRPr="00104C20" w:rsidRDefault="005156DF" w:rsidP="005156DF">
      <w:pPr>
        <w:spacing w:after="0" w:line="276" w:lineRule="auto"/>
        <w:ind w:firstLine="709"/>
        <w:jc w:val="both"/>
        <w:rPr>
          <w:rFonts w:ascii="Verdana" w:hAnsi="Verdana" w:cs="Arial"/>
          <w:bCs/>
          <w:szCs w:val="24"/>
          <w:lang w:eastAsia="es-ES_tradnl"/>
        </w:rPr>
      </w:pPr>
    </w:p>
    <w:p w14:paraId="77254631" w14:textId="77777777" w:rsidR="005156DF" w:rsidRPr="00BC4483" w:rsidRDefault="005156DF" w:rsidP="005156DF">
      <w:pPr>
        <w:tabs>
          <w:tab w:val="left" w:pos="709"/>
        </w:tabs>
        <w:spacing w:after="120" w:line="240" w:lineRule="auto"/>
        <w:ind w:left="709" w:right="709"/>
        <w:jc w:val="both"/>
        <w:rPr>
          <w:rFonts w:ascii="Verdana" w:hAnsi="Verdana" w:cs="Arial"/>
          <w:sz w:val="20"/>
          <w:szCs w:val="20"/>
          <w:lang w:val="es-ES" w:eastAsia="es-ES"/>
        </w:rPr>
      </w:pPr>
      <w:r w:rsidRPr="00BC4483">
        <w:rPr>
          <w:rFonts w:ascii="Verdana" w:hAnsi="Verdana" w:cs="Arial"/>
          <w:sz w:val="20"/>
          <w:szCs w:val="20"/>
          <w:lang w:val="es-ES" w:eastAsia="es-ES"/>
        </w:rPr>
        <w:t>“Cada uno de los valores unitarios resultan de un análisis de los componentes requeridos para su elaboración, estudio que se denomina comúnmente ‘análisis de precios unitarios’. Así, se examinará, por ejemplo, que para la construcción de un metro cuadrado de muro se requieren 50 ladrillos, que tienen un valor de $50.000; 15 kilos de cemento, que tienen un valor de $5.000; 30 kilos de arena, que tienen un valor de $500; 5 litros de agua, que tienen un valor de 100, y la mano de obra que tiene un valor de $5.000. La sumatoria de cada uno de estos insumos básicos arroja el costo directo que debe cancelar el contratista para la construcción de un metro de muro.</w:t>
      </w:r>
    </w:p>
    <w:p w14:paraId="6C02BF8F" w14:textId="77777777" w:rsidR="005156DF" w:rsidRPr="00104C20" w:rsidRDefault="005156DF" w:rsidP="005156DF">
      <w:pPr>
        <w:tabs>
          <w:tab w:val="left" w:pos="709"/>
        </w:tabs>
        <w:spacing w:after="0" w:line="240" w:lineRule="auto"/>
        <w:ind w:left="709" w:right="709"/>
        <w:jc w:val="both"/>
        <w:rPr>
          <w:rFonts w:ascii="Verdana" w:hAnsi="Verdana" w:cs="Arial"/>
          <w:sz w:val="21"/>
          <w:szCs w:val="21"/>
          <w:lang w:val="es-ES_tradnl" w:eastAsia="es-ES_tradnl"/>
        </w:rPr>
      </w:pPr>
      <w:r w:rsidRPr="00BC4483">
        <w:rPr>
          <w:rFonts w:ascii="Verdana" w:hAnsi="Verdana" w:cs="Arial"/>
          <w:sz w:val="20"/>
          <w:szCs w:val="20"/>
          <w:lang w:val="es-ES_tradnl" w:eastAsia="es-ES_tradnl"/>
        </w:rPr>
        <w:t xml:space="preserve">El costo directo se multiplica por el AIU, es decir, por los gastos de administración, que incluye los gastos de personal que dirige la obra; los gastos de imprevistos, que pretende cubrir imprevistos y la utilidad. El </w:t>
      </w:r>
      <w:r w:rsidRPr="00BC4483">
        <w:rPr>
          <w:rFonts w:ascii="Verdana" w:hAnsi="Verdana" w:cs="Arial"/>
          <w:sz w:val="20"/>
          <w:szCs w:val="20"/>
          <w:lang w:val="es-ES_tradnl" w:eastAsia="es-ES_tradnl"/>
        </w:rPr>
        <w:lastRenderedPageBreak/>
        <w:t>resultado de la multiplicación anterior determina el valor unitario que deberá cancelar la entidad estatal. Dentro del valor unitario, entonces, están incorporados la totalidad de los gastos en los que incurre el contratista y la utilidad que espera recibir”</w:t>
      </w:r>
      <w:r w:rsidRPr="00BC4483">
        <w:rPr>
          <w:rStyle w:val="Refdenotaalpie"/>
          <w:rFonts w:ascii="Verdana" w:hAnsi="Verdana" w:cs="Arial"/>
          <w:sz w:val="20"/>
          <w:szCs w:val="20"/>
          <w:lang w:val="es-ES_tradnl" w:eastAsia="es-ES_tradnl"/>
        </w:rPr>
        <w:footnoteReference w:id="5"/>
      </w:r>
      <w:r w:rsidRPr="00BC4483">
        <w:rPr>
          <w:rFonts w:ascii="Verdana" w:hAnsi="Verdana" w:cs="Arial"/>
          <w:sz w:val="20"/>
          <w:szCs w:val="20"/>
          <w:lang w:val="es-ES_tradnl" w:eastAsia="es-ES_tradnl"/>
        </w:rPr>
        <w:t xml:space="preserve">. </w:t>
      </w:r>
    </w:p>
    <w:p w14:paraId="407BB13B" w14:textId="77777777" w:rsidR="005156DF" w:rsidRPr="00104C20" w:rsidRDefault="005156DF" w:rsidP="005156DF">
      <w:pPr>
        <w:tabs>
          <w:tab w:val="left" w:pos="709"/>
        </w:tabs>
        <w:spacing w:after="0" w:line="276" w:lineRule="auto"/>
        <w:ind w:left="709" w:right="760"/>
        <w:jc w:val="both"/>
        <w:rPr>
          <w:rFonts w:ascii="Verdana" w:hAnsi="Verdana" w:cs="Arial"/>
          <w:szCs w:val="24"/>
          <w:lang w:val="es-ES_tradnl" w:eastAsia="es-ES_tradnl"/>
        </w:rPr>
      </w:pPr>
    </w:p>
    <w:p w14:paraId="644B0E01" w14:textId="77777777" w:rsidR="005156DF" w:rsidRPr="00104C20" w:rsidRDefault="005156DF" w:rsidP="005156DF">
      <w:pPr>
        <w:spacing w:after="0" w:line="276" w:lineRule="auto"/>
        <w:ind w:firstLine="709"/>
        <w:jc w:val="both"/>
        <w:rPr>
          <w:rFonts w:ascii="Verdana" w:hAnsi="Verdana" w:cs="Arial"/>
          <w:szCs w:val="24"/>
          <w:lang w:val="es-ES_tradnl" w:eastAsia="es-ES_tradnl"/>
        </w:rPr>
      </w:pPr>
      <w:r w:rsidRPr="00104C20">
        <w:rPr>
          <w:rFonts w:ascii="Verdana" w:hAnsi="Verdana" w:cs="Arial"/>
          <w:szCs w:val="24"/>
          <w:lang w:val="es-ES_tradnl" w:eastAsia="es-ES_tradnl"/>
        </w:rPr>
        <w:t xml:space="preserve">Por su parte, de acuerdo con la Sección Tercera del Consejo de Estado, el AIU, concepto de común utilización en los contratos de tracto sucesivo –entre ellos, los contratos de obra– no cuenta con una definición normativa, pero hay elementos que permiten precisar su alcance, así: </w:t>
      </w:r>
    </w:p>
    <w:p w14:paraId="2E6539F2" w14:textId="77777777" w:rsidR="005156DF" w:rsidRPr="00104C20" w:rsidRDefault="005156DF" w:rsidP="005156DF">
      <w:pPr>
        <w:spacing w:after="0" w:line="276" w:lineRule="auto"/>
        <w:ind w:firstLine="709"/>
        <w:jc w:val="both"/>
        <w:rPr>
          <w:rFonts w:ascii="Verdana" w:hAnsi="Verdana" w:cs="Arial"/>
          <w:szCs w:val="24"/>
          <w:lang w:val="es-ES_tradnl" w:eastAsia="es-ES_tradnl"/>
        </w:rPr>
      </w:pPr>
    </w:p>
    <w:p w14:paraId="7C6CBCDF" w14:textId="77777777" w:rsidR="005156DF" w:rsidRPr="00BC4483" w:rsidRDefault="005156DF" w:rsidP="005156DF">
      <w:pPr>
        <w:tabs>
          <w:tab w:val="left" w:pos="709"/>
        </w:tabs>
        <w:spacing w:after="120" w:line="240" w:lineRule="auto"/>
        <w:ind w:left="709" w:right="709"/>
        <w:jc w:val="both"/>
        <w:rPr>
          <w:rFonts w:ascii="Verdana" w:hAnsi="Verdana" w:cs="Arial"/>
          <w:sz w:val="20"/>
          <w:szCs w:val="20"/>
          <w:lang w:val="es-ES_tradnl" w:eastAsia="es-ES_tradnl"/>
        </w:rPr>
      </w:pPr>
      <w:r w:rsidRPr="00BC4483">
        <w:rPr>
          <w:rFonts w:ascii="Verdana" w:hAnsi="Verdana" w:cs="Arial"/>
          <w:sz w:val="20"/>
          <w:szCs w:val="20"/>
          <w:lang w:val="es-ES_tradnl" w:eastAsia="es-ES_tradnl"/>
        </w:rPr>
        <w:t xml:space="preserve">“[…] el AIU propuesto para el contrato, corresponde a: </w:t>
      </w:r>
    </w:p>
    <w:p w14:paraId="7296AD8C" w14:textId="77777777" w:rsidR="005156DF" w:rsidRPr="00BC4483" w:rsidRDefault="005156DF" w:rsidP="005156DF">
      <w:pPr>
        <w:tabs>
          <w:tab w:val="left" w:pos="709"/>
        </w:tabs>
        <w:spacing w:after="120" w:line="240" w:lineRule="auto"/>
        <w:ind w:left="709" w:right="709"/>
        <w:jc w:val="both"/>
        <w:rPr>
          <w:rFonts w:ascii="Verdana" w:hAnsi="Verdana" w:cs="Arial"/>
          <w:sz w:val="20"/>
          <w:szCs w:val="20"/>
          <w:lang w:val="es-ES_tradnl" w:eastAsia="es-ES_tradnl"/>
        </w:rPr>
      </w:pPr>
      <w:r w:rsidRPr="00BC4483">
        <w:rPr>
          <w:rFonts w:ascii="Verdana" w:hAnsi="Verdana" w:cs="Arial"/>
          <w:sz w:val="20"/>
          <w:szCs w:val="20"/>
          <w:lang w:val="es-ES_tradnl" w:eastAsia="es-ES_tradnl"/>
        </w:rPr>
        <w:t xml:space="preserve">i) los costos de administración o costos indirectos para la operación del contrato, tales como los gastos de disponibilidad de la organización del contratista, esto es: A; </w:t>
      </w:r>
    </w:p>
    <w:p w14:paraId="198CBB57" w14:textId="77777777" w:rsidR="005156DF" w:rsidRPr="00BC4483" w:rsidRDefault="005156DF" w:rsidP="005156DF">
      <w:pPr>
        <w:tabs>
          <w:tab w:val="left" w:pos="709"/>
        </w:tabs>
        <w:spacing w:after="120" w:line="240" w:lineRule="auto"/>
        <w:ind w:left="709" w:right="709"/>
        <w:jc w:val="both"/>
        <w:rPr>
          <w:rFonts w:ascii="Verdana" w:hAnsi="Verdana" w:cs="Arial"/>
          <w:sz w:val="20"/>
          <w:szCs w:val="20"/>
          <w:lang w:val="es-ES" w:eastAsia="es-ES"/>
        </w:rPr>
      </w:pPr>
      <w:proofErr w:type="spellStart"/>
      <w:r w:rsidRPr="00BC4483">
        <w:rPr>
          <w:rFonts w:ascii="Verdana" w:hAnsi="Verdana" w:cs="Arial"/>
          <w:sz w:val="20"/>
          <w:szCs w:val="20"/>
          <w:lang w:val="es-ES" w:eastAsia="es-ES"/>
        </w:rPr>
        <w:t>ii</w:t>
      </w:r>
      <w:proofErr w:type="spellEnd"/>
      <w:r w:rsidRPr="00BC4483">
        <w:rPr>
          <w:rFonts w:ascii="Verdana" w:hAnsi="Verdana" w:cs="Arial"/>
          <w:sz w:val="20"/>
          <w:szCs w:val="20"/>
          <w:lang w:val="es-ES" w:eastAsia="es-ES"/>
        </w:rPr>
        <w:t xml:space="preserve">) los imprevistos, que es el porcentaje destinado a cubrir los gastos con los que no se contaba y que se presenten durante la ejecución del contrato, esto es, el </w:t>
      </w:r>
      <w:proofErr w:type="spellStart"/>
      <w:r w:rsidRPr="00BC4483">
        <w:rPr>
          <w:rFonts w:ascii="Verdana" w:hAnsi="Verdana" w:cs="Arial"/>
          <w:sz w:val="20"/>
          <w:szCs w:val="20"/>
          <w:lang w:val="es-ES" w:eastAsia="es-ES"/>
        </w:rPr>
        <w:t>álea</w:t>
      </w:r>
      <w:proofErr w:type="spellEnd"/>
      <w:r w:rsidRPr="00BC4483">
        <w:rPr>
          <w:rFonts w:ascii="Verdana" w:hAnsi="Verdana" w:cs="Arial"/>
          <w:sz w:val="20"/>
          <w:szCs w:val="20"/>
          <w:lang w:val="es-ES" w:eastAsia="es-ES"/>
        </w:rPr>
        <w:t xml:space="preserve"> normal del contrato: I; </w:t>
      </w:r>
    </w:p>
    <w:p w14:paraId="46FBA63D" w14:textId="77777777" w:rsidR="005156DF" w:rsidRPr="00BC4483" w:rsidRDefault="005156DF" w:rsidP="005156DF">
      <w:pPr>
        <w:tabs>
          <w:tab w:val="left" w:pos="709"/>
        </w:tabs>
        <w:spacing w:after="120" w:line="240" w:lineRule="auto"/>
        <w:ind w:left="709" w:right="709"/>
        <w:jc w:val="both"/>
        <w:rPr>
          <w:rFonts w:ascii="Verdana" w:hAnsi="Verdana" w:cs="Arial"/>
          <w:sz w:val="20"/>
          <w:szCs w:val="20"/>
          <w:lang w:val="es-ES" w:eastAsia="es-ES"/>
        </w:rPr>
      </w:pPr>
      <w:proofErr w:type="spellStart"/>
      <w:r w:rsidRPr="00BC4483">
        <w:rPr>
          <w:rFonts w:ascii="Verdana" w:hAnsi="Verdana" w:cs="Arial"/>
          <w:sz w:val="20"/>
          <w:szCs w:val="20"/>
          <w:lang w:val="es-ES" w:eastAsia="es-ES"/>
        </w:rPr>
        <w:t>iii</w:t>
      </w:r>
      <w:proofErr w:type="spellEnd"/>
      <w:r w:rsidRPr="00BC4483">
        <w:rPr>
          <w:rFonts w:ascii="Verdana" w:hAnsi="Verdana" w:cs="Arial"/>
          <w:sz w:val="20"/>
          <w:szCs w:val="20"/>
          <w:lang w:val="es-ES" w:eastAsia="es-ES"/>
        </w:rPr>
        <w:t xml:space="preserve">) la utilidad o el beneficio económico que pretende percibir el contratista por la ejecución del contrato, esto es: U. </w:t>
      </w:r>
    </w:p>
    <w:p w14:paraId="3F253D63" w14:textId="77777777" w:rsidR="005156DF" w:rsidRPr="00104C20" w:rsidRDefault="005156DF" w:rsidP="005156DF">
      <w:pPr>
        <w:tabs>
          <w:tab w:val="left" w:pos="709"/>
        </w:tabs>
        <w:spacing w:after="0" w:line="240" w:lineRule="auto"/>
        <w:ind w:left="709" w:right="709"/>
        <w:jc w:val="both"/>
        <w:rPr>
          <w:rFonts w:ascii="Verdana" w:hAnsi="Verdana" w:cs="Arial"/>
          <w:sz w:val="21"/>
          <w:szCs w:val="21"/>
          <w:lang w:val="es-ES_tradnl" w:eastAsia="es-ES_tradnl"/>
        </w:rPr>
      </w:pPr>
      <w:r w:rsidRPr="00BC4483">
        <w:rPr>
          <w:rFonts w:ascii="Verdana" w:hAnsi="Verdana" w:cs="Arial"/>
          <w:sz w:val="20"/>
          <w:szCs w:val="20"/>
          <w:lang w:val="es-ES_tradnl" w:eastAsia="es-ES_tradnl"/>
        </w:rPr>
        <w:t>Ahora, teniendo en cuenta que no existe ninguna reglamentación que establezca porcentajes mínimos o máximos para determinar el A.I.U., cada empresa o comerciante de acuerdo con su infraestructura, experiencia, las condiciones del mercado, la naturaleza del contrato a celebrar, entre otros factores, establece su estructura de costos conforme a la cual se compromete a ejecutar cabalmente un contrato en el caso de que le sea adjudicado”</w:t>
      </w:r>
      <w:r w:rsidRPr="00BC4483">
        <w:rPr>
          <w:rFonts w:ascii="Verdana" w:hAnsi="Verdana" w:cs="Arial"/>
          <w:sz w:val="20"/>
          <w:szCs w:val="20"/>
          <w:vertAlign w:val="superscript"/>
          <w:lang w:val="es-ES_tradnl" w:eastAsia="es-ES_tradnl"/>
        </w:rPr>
        <w:footnoteReference w:id="6"/>
      </w:r>
      <w:r w:rsidRPr="00BC4483">
        <w:rPr>
          <w:rFonts w:ascii="Verdana" w:hAnsi="Verdana" w:cs="Arial"/>
          <w:sz w:val="20"/>
          <w:szCs w:val="20"/>
          <w:lang w:val="es-ES_tradnl" w:eastAsia="es-ES_tradnl"/>
        </w:rPr>
        <w:t>.</w:t>
      </w:r>
    </w:p>
    <w:p w14:paraId="12B0E6E5" w14:textId="77777777" w:rsidR="005156DF" w:rsidRPr="00104C20" w:rsidRDefault="005156DF" w:rsidP="005156DF">
      <w:pPr>
        <w:tabs>
          <w:tab w:val="left" w:pos="709"/>
        </w:tabs>
        <w:spacing w:after="0" w:line="276" w:lineRule="auto"/>
        <w:ind w:left="709" w:right="760"/>
        <w:jc w:val="both"/>
        <w:rPr>
          <w:rFonts w:ascii="Verdana" w:hAnsi="Verdana" w:cs="Arial"/>
          <w:szCs w:val="24"/>
          <w:lang w:val="es-ES_tradnl" w:eastAsia="es-ES_tradnl"/>
        </w:rPr>
      </w:pPr>
    </w:p>
    <w:p w14:paraId="27969032" w14:textId="77777777" w:rsidR="005156DF" w:rsidRPr="00104C20" w:rsidRDefault="005156DF" w:rsidP="005156DF">
      <w:pPr>
        <w:spacing w:after="0" w:line="276" w:lineRule="auto"/>
        <w:ind w:firstLine="709"/>
        <w:jc w:val="both"/>
        <w:rPr>
          <w:rFonts w:ascii="Verdana" w:hAnsi="Verdana" w:cs="Arial"/>
          <w:lang w:val="es-ES" w:eastAsia="es-ES"/>
        </w:rPr>
      </w:pPr>
      <w:r w:rsidRPr="00104C20">
        <w:rPr>
          <w:rFonts w:ascii="Verdana" w:hAnsi="Verdana" w:cs="Arial"/>
          <w:lang w:val="es-ES" w:eastAsia="es-ES"/>
        </w:rPr>
        <w:t>A su turno, la Sala de Consulta y Servicio Civil del Consejo de Estado sostuvo en concepto del 5 de septiembre de 2018</w:t>
      </w:r>
      <w:r w:rsidRPr="00104C20">
        <w:rPr>
          <w:rFonts w:ascii="Verdana" w:hAnsi="Verdana" w:cs="Arial"/>
          <w:vertAlign w:val="superscript"/>
          <w:lang w:val="es-ES" w:eastAsia="es-ES"/>
        </w:rPr>
        <w:footnoteReference w:id="7"/>
      </w:r>
      <w:r w:rsidRPr="00104C20">
        <w:rPr>
          <w:rFonts w:ascii="Verdana" w:hAnsi="Verdana" w:cs="Arial"/>
          <w:lang w:val="es-ES" w:eastAsia="es-ES"/>
        </w:rPr>
        <w:t xml:space="preserve"> que “el concepto del A.I.U. comprende la Administración (costos indirectos) imprevistos y utilidades, y en algunos contratos este valor aparece cuantificado en forma independiente al valor de la obra y como un porcentaje de </w:t>
      </w:r>
      <w:proofErr w:type="gramStart"/>
      <w:r w:rsidRPr="00104C20">
        <w:rPr>
          <w:rFonts w:ascii="Verdana" w:hAnsi="Verdana" w:cs="Arial"/>
          <w:lang w:val="es-ES" w:eastAsia="es-ES"/>
        </w:rPr>
        <w:t>la misma</w:t>
      </w:r>
      <w:proofErr w:type="gramEnd"/>
      <w:r w:rsidRPr="00104C20">
        <w:rPr>
          <w:rFonts w:ascii="Verdana" w:hAnsi="Verdana" w:cs="Arial"/>
          <w:vertAlign w:val="superscript"/>
          <w:lang w:val="es-ES" w:eastAsia="es-ES"/>
        </w:rPr>
        <w:footnoteReference w:id="8"/>
      </w:r>
      <w:r w:rsidRPr="00104C20">
        <w:rPr>
          <w:rFonts w:ascii="Verdana" w:hAnsi="Verdana" w:cs="Arial"/>
          <w:lang w:val="es-ES" w:eastAsia="es-ES"/>
        </w:rPr>
        <w:t xml:space="preserve">, sin perjuicio que en otros </w:t>
      </w:r>
      <w:r w:rsidRPr="00104C20">
        <w:rPr>
          <w:rFonts w:ascii="Verdana" w:hAnsi="Verdana" w:cs="Arial"/>
          <w:lang w:val="es-ES" w:eastAsia="es-ES"/>
        </w:rPr>
        <w:lastRenderedPageBreak/>
        <w:t>contratos este valor no aparezca discriminado y se incorpore en el valor de los precios unitarios”</w:t>
      </w:r>
      <w:r w:rsidRPr="00104C20">
        <w:rPr>
          <w:rFonts w:ascii="Verdana" w:hAnsi="Verdana" w:cs="Arial"/>
          <w:vertAlign w:val="superscript"/>
          <w:lang w:val="es-ES" w:eastAsia="es-ES"/>
        </w:rPr>
        <w:footnoteReference w:id="9"/>
      </w:r>
      <w:r w:rsidRPr="00104C20">
        <w:rPr>
          <w:rFonts w:ascii="Verdana" w:hAnsi="Verdana" w:cs="Arial"/>
          <w:lang w:val="es-ES" w:eastAsia="es-ES"/>
        </w:rPr>
        <w:t xml:space="preserve">. </w:t>
      </w:r>
    </w:p>
    <w:p w14:paraId="5626A00F" w14:textId="77777777" w:rsidR="005156DF" w:rsidRPr="00104C20" w:rsidRDefault="005156DF" w:rsidP="005156DF">
      <w:pPr>
        <w:spacing w:before="120" w:after="0" w:line="276" w:lineRule="auto"/>
        <w:ind w:firstLine="709"/>
        <w:jc w:val="both"/>
        <w:rPr>
          <w:rFonts w:ascii="Verdana" w:hAnsi="Verdana" w:cs="Arial"/>
          <w:bCs/>
          <w:szCs w:val="24"/>
          <w:lang w:val="es-ES_tradnl" w:eastAsia="es-ES_tradnl"/>
        </w:rPr>
      </w:pPr>
      <w:r w:rsidRPr="00104C20">
        <w:rPr>
          <w:rFonts w:ascii="Verdana" w:hAnsi="Verdana" w:cs="Arial"/>
          <w:bCs/>
          <w:szCs w:val="24"/>
          <w:lang w:val="es-ES_tradnl" w:eastAsia="es-ES_tradnl"/>
        </w:rPr>
        <w:t>Así pues, ni el sistema de precios unitarios –como metodología de estipulación del valor contractual–, ni el concepto de AIU, ni mucho menos la forma de calcularlo –es decir, su porcentaje–, son aspectos regulados en el conjunto de las disposiciones legales y reglamentarias que integran la normativa contractual del Estado</w:t>
      </w:r>
      <w:r>
        <w:rPr>
          <w:rFonts w:ascii="Verdana" w:hAnsi="Verdana" w:cs="Arial"/>
          <w:bCs/>
          <w:szCs w:val="24"/>
          <w:lang w:val="es-ES_tradnl" w:eastAsia="es-ES_tradnl"/>
        </w:rPr>
        <w:t>:</w:t>
      </w:r>
      <w:r w:rsidRPr="00104C20">
        <w:rPr>
          <w:rFonts w:ascii="Verdana" w:hAnsi="Verdana" w:cs="Arial"/>
          <w:bCs/>
          <w:szCs w:val="24"/>
          <w:lang w:val="es-ES_tradnl" w:eastAsia="es-ES_tradnl"/>
        </w:rPr>
        <w:t xml:space="preserve"> “La justificación de esta manera de cotizar el precio procede, incluso, de la formación universitaria que reciben los ingenieros, a quienes les enseñan esta metodología para elaborar las ofertas. En fin, lo que se quiere indicar con estos comentarios es que la necesidad de presentar una propuesta desglosando en forma intensa su precio no procede de la ley, ni del reglamento, sino de la costumbre, […]”</w:t>
      </w:r>
      <w:r w:rsidRPr="00104C20">
        <w:rPr>
          <w:rFonts w:ascii="Verdana" w:hAnsi="Verdana" w:cs="Arial"/>
          <w:bCs/>
          <w:szCs w:val="24"/>
          <w:vertAlign w:val="superscript"/>
          <w:lang w:val="es-ES_tradnl" w:eastAsia="es-ES_tradnl"/>
        </w:rPr>
        <w:footnoteReference w:id="10"/>
      </w:r>
      <w:r w:rsidRPr="00104C20">
        <w:rPr>
          <w:rFonts w:ascii="Verdana" w:hAnsi="Verdana" w:cs="Arial"/>
          <w:bCs/>
          <w:szCs w:val="24"/>
          <w:lang w:val="es-ES_tradnl" w:eastAsia="es-ES_tradnl"/>
        </w:rPr>
        <w:t xml:space="preserve">. De otro lado, quien define el valor de cada </w:t>
      </w:r>
      <w:r w:rsidRPr="00104C20">
        <w:rPr>
          <w:rFonts w:ascii="Verdana" w:hAnsi="Verdana" w:cs="Arial"/>
          <w:bCs/>
          <w:i/>
          <w:iCs/>
          <w:szCs w:val="24"/>
          <w:lang w:val="es-ES_tradnl" w:eastAsia="es-ES_tradnl"/>
        </w:rPr>
        <w:t>letra</w:t>
      </w:r>
      <w:r w:rsidRPr="00104C20">
        <w:rPr>
          <w:rFonts w:ascii="Verdana" w:hAnsi="Verdana" w:cs="Arial"/>
          <w:bCs/>
          <w:szCs w:val="24"/>
          <w:lang w:val="es-ES_tradnl" w:eastAsia="es-ES_tradnl"/>
        </w:rPr>
        <w:t xml:space="preserve"> –AIU– es el proponente, pues goza de libertad empresarial para hacerlo en la elaboración de su oferta</w:t>
      </w:r>
      <w:r w:rsidRPr="00104C20">
        <w:rPr>
          <w:rFonts w:ascii="Verdana" w:hAnsi="Verdana" w:cs="Arial"/>
          <w:bCs/>
          <w:szCs w:val="24"/>
          <w:vertAlign w:val="superscript"/>
          <w:lang w:val="es-ES_tradnl" w:eastAsia="es-ES_tradnl"/>
        </w:rPr>
        <w:footnoteReference w:id="11"/>
      </w:r>
      <w:r w:rsidRPr="00104C20">
        <w:rPr>
          <w:rFonts w:ascii="Verdana" w:hAnsi="Verdana" w:cs="Arial"/>
          <w:bCs/>
          <w:szCs w:val="24"/>
          <w:lang w:val="es-ES_tradnl" w:eastAsia="es-ES_tradnl"/>
        </w:rPr>
        <w:t>.</w:t>
      </w:r>
    </w:p>
    <w:p w14:paraId="22D74DBF" w14:textId="77777777" w:rsidR="005156DF" w:rsidRPr="00415D51" w:rsidRDefault="005156DF" w:rsidP="005156DF">
      <w:pPr>
        <w:spacing w:before="120" w:after="0" w:line="276" w:lineRule="auto"/>
        <w:ind w:firstLine="709"/>
        <w:jc w:val="both"/>
        <w:rPr>
          <w:rFonts w:ascii="Verdana" w:hAnsi="Verdana" w:cs="Arial"/>
          <w:lang w:val="es-ES" w:eastAsia="es-ES"/>
        </w:rPr>
      </w:pPr>
      <w:r>
        <w:rPr>
          <w:rFonts w:ascii="Verdana" w:hAnsi="Verdana" w:cs="Arial"/>
          <w:lang w:val="es-ES" w:eastAsia="es-ES"/>
        </w:rPr>
        <w:t>De esta manera</w:t>
      </w:r>
      <w:r w:rsidRPr="00104C20">
        <w:rPr>
          <w:rFonts w:ascii="Verdana" w:hAnsi="Verdana" w:cs="Arial"/>
          <w:lang w:val="es-ES" w:eastAsia="es-ES"/>
        </w:rPr>
        <w:t>, usualmente en los contratos cuyo valor se estructura bajo el sistema de precios unitarios y con el desglose del AIU, el precio se paga con base en el valor de los costos directos incrementados por el porcentaje del AIU, forma de pago que pueden incluir las entidades estatales en virtud de la autonomía de la voluntad a que remiten los artículos 13, 32 y 40 del EGCAP.</w:t>
      </w:r>
      <w:r>
        <w:rPr>
          <w:rFonts w:ascii="Verdana" w:hAnsi="Verdana" w:cs="Arial"/>
          <w:lang w:val="es-ES" w:eastAsia="es-ES"/>
        </w:rPr>
        <w:t xml:space="preserve"> </w:t>
      </w:r>
      <w:r w:rsidRPr="00104C20">
        <w:rPr>
          <w:rFonts w:ascii="Verdana" w:hAnsi="Verdana" w:cs="Arial"/>
          <w:bCs/>
          <w:szCs w:val="24"/>
          <w:lang w:val="es-ES_tradnl" w:eastAsia="es-ES_tradnl"/>
        </w:rPr>
        <w:t xml:space="preserve">Ahora bien, nada obstaría para que las partes le dieran otros efectos particulares a la forma en que pagan el precio estructurado con AIU. Por ejemplo, podrían incluir cláusulas o reglas bajo las cuales se estableciera que el valor de alguno o de todos los componentes de la </w:t>
      </w:r>
      <w:r w:rsidRPr="008335E8">
        <w:rPr>
          <w:rFonts w:ascii="Verdana" w:hAnsi="Verdana" w:cs="Arial"/>
          <w:bCs/>
          <w:i/>
          <w:iCs/>
          <w:szCs w:val="24"/>
          <w:lang w:val="es-ES_tradnl" w:eastAsia="es-ES_tradnl"/>
        </w:rPr>
        <w:t>Administración</w:t>
      </w:r>
      <w:r w:rsidRPr="00104C20">
        <w:rPr>
          <w:rFonts w:ascii="Verdana" w:hAnsi="Verdana" w:cs="Arial"/>
          <w:bCs/>
          <w:szCs w:val="24"/>
          <w:lang w:val="es-ES_tradnl" w:eastAsia="es-ES_tradnl"/>
        </w:rPr>
        <w:t xml:space="preserve"> o los </w:t>
      </w:r>
      <w:r w:rsidRPr="008335E8">
        <w:rPr>
          <w:rFonts w:ascii="Verdana" w:hAnsi="Verdana" w:cs="Arial"/>
          <w:bCs/>
          <w:i/>
          <w:iCs/>
          <w:szCs w:val="24"/>
          <w:lang w:val="es-ES_tradnl" w:eastAsia="es-ES_tradnl"/>
        </w:rPr>
        <w:t>Imprevistos</w:t>
      </w:r>
      <w:r w:rsidRPr="00104C20">
        <w:rPr>
          <w:rFonts w:ascii="Verdana" w:hAnsi="Verdana" w:cs="Arial"/>
          <w:bCs/>
          <w:szCs w:val="24"/>
          <w:lang w:val="es-ES_tradnl" w:eastAsia="es-ES_tradnl"/>
        </w:rPr>
        <w:t xml:space="preserve"> s</w:t>
      </w:r>
      <w:r>
        <w:rPr>
          <w:rFonts w:ascii="Verdana" w:hAnsi="Verdana" w:cs="Arial"/>
          <w:bCs/>
          <w:szCs w:val="24"/>
          <w:lang w:val="es-ES_tradnl" w:eastAsia="es-ES_tradnl"/>
        </w:rPr>
        <w:t>ó</w:t>
      </w:r>
      <w:r w:rsidRPr="00104C20">
        <w:rPr>
          <w:rFonts w:ascii="Verdana" w:hAnsi="Verdana" w:cs="Arial"/>
          <w:bCs/>
          <w:szCs w:val="24"/>
          <w:lang w:val="es-ES_tradnl" w:eastAsia="es-ES_tradnl"/>
        </w:rPr>
        <w:t>lo se pagan si el contratista demuestra que incurrió en algun</w:t>
      </w:r>
      <w:r>
        <w:rPr>
          <w:rFonts w:ascii="Verdana" w:hAnsi="Verdana" w:cs="Arial"/>
          <w:bCs/>
          <w:szCs w:val="24"/>
          <w:lang w:val="es-ES_tradnl" w:eastAsia="es-ES_tradnl"/>
        </w:rPr>
        <w:t>a</w:t>
      </w:r>
      <w:r w:rsidRPr="00104C20">
        <w:rPr>
          <w:rFonts w:ascii="Verdana" w:hAnsi="Verdana" w:cs="Arial"/>
          <w:bCs/>
          <w:szCs w:val="24"/>
          <w:lang w:val="es-ES_tradnl" w:eastAsia="es-ES_tradnl"/>
        </w:rPr>
        <w:t xml:space="preserve">s </w:t>
      </w:r>
      <w:r>
        <w:rPr>
          <w:rFonts w:ascii="Verdana" w:hAnsi="Verdana" w:cs="Arial"/>
          <w:bCs/>
          <w:szCs w:val="24"/>
          <w:lang w:val="es-ES_tradnl" w:eastAsia="es-ES_tradnl"/>
        </w:rPr>
        <w:t>situaciones</w:t>
      </w:r>
      <w:r w:rsidRPr="00104C20">
        <w:rPr>
          <w:rFonts w:ascii="Verdana" w:hAnsi="Verdana" w:cs="Arial"/>
          <w:bCs/>
          <w:szCs w:val="24"/>
          <w:lang w:val="es-ES_tradnl" w:eastAsia="es-ES_tradnl"/>
        </w:rPr>
        <w:t xml:space="preserve"> específic</w:t>
      </w:r>
      <w:r>
        <w:rPr>
          <w:rFonts w:ascii="Verdana" w:hAnsi="Verdana" w:cs="Arial"/>
          <w:bCs/>
          <w:szCs w:val="24"/>
          <w:lang w:val="es-ES_tradnl" w:eastAsia="es-ES_tradnl"/>
        </w:rPr>
        <w:t xml:space="preserve">as </w:t>
      </w:r>
      <w:r w:rsidRPr="00104C20">
        <w:rPr>
          <w:rFonts w:ascii="Verdana" w:hAnsi="Verdana" w:cs="Arial"/>
          <w:bCs/>
          <w:szCs w:val="24"/>
          <w:lang w:val="es-ES_tradnl" w:eastAsia="es-ES_tradnl"/>
        </w:rPr>
        <w:t xml:space="preserve">y bajo el monto que este logre demostrar. </w:t>
      </w:r>
    </w:p>
    <w:p w14:paraId="38CE5A40" w14:textId="77777777" w:rsidR="005156DF" w:rsidRPr="00104C20" w:rsidRDefault="005156DF" w:rsidP="005156DF">
      <w:pPr>
        <w:spacing w:before="120" w:after="0" w:line="276" w:lineRule="auto"/>
        <w:jc w:val="both"/>
        <w:rPr>
          <w:rFonts w:ascii="Verdana" w:hAnsi="Verdana" w:cs="Arial"/>
          <w:lang w:val="es-ES" w:eastAsia="es-ES"/>
        </w:rPr>
      </w:pPr>
      <w:r w:rsidRPr="00104C20">
        <w:rPr>
          <w:rFonts w:ascii="Verdana" w:hAnsi="Verdana" w:cs="Arial"/>
          <w:bCs/>
          <w:szCs w:val="24"/>
          <w:lang w:val="es-ES_tradnl" w:eastAsia="es-ES_tradnl"/>
        </w:rPr>
        <w:tab/>
      </w:r>
      <w:r w:rsidRPr="00104C20">
        <w:rPr>
          <w:rFonts w:ascii="Verdana" w:hAnsi="Verdana" w:cs="Arial"/>
          <w:lang w:val="es-ES" w:eastAsia="es-ES"/>
        </w:rPr>
        <w:t xml:space="preserve">Sin embargo, una regulación como la anterior no es la que suele emplearse en los contratos estatales. Lo usual, que se advierte en la práctica de las entidades estatales, es que acuden al AIU con la finalidad de establecer un precio más estable, de manera que el valor del contrato consistirá en lo que </w:t>
      </w:r>
      <w:r w:rsidRPr="00104C20">
        <w:rPr>
          <w:rFonts w:ascii="Verdana" w:hAnsi="Verdana" w:cs="Arial"/>
          <w:lang w:val="es-ES" w:eastAsia="es-ES"/>
        </w:rPr>
        <w:lastRenderedPageBreak/>
        <w:t xml:space="preserve">resulte de afectar los costos directos por el porcentaje, en principio, invariable del AIU, de manera que al valor de los costos directos se le sume el AIU. Así las cosas, las partes asumen los riesgos inherentes a esta forma de pactar el precio, entendiendo aceptados los </w:t>
      </w:r>
      <w:proofErr w:type="spellStart"/>
      <w:r>
        <w:rPr>
          <w:rFonts w:ascii="Verdana" w:hAnsi="Verdana" w:cs="Arial"/>
          <w:lang w:val="es-ES" w:eastAsia="es-ES"/>
        </w:rPr>
        <w:t>á</w:t>
      </w:r>
      <w:r w:rsidRPr="00104C20">
        <w:rPr>
          <w:rFonts w:ascii="Verdana" w:hAnsi="Verdana" w:cs="Arial"/>
          <w:lang w:val="es-ES" w:eastAsia="es-ES"/>
        </w:rPr>
        <w:t>leas</w:t>
      </w:r>
      <w:proofErr w:type="spellEnd"/>
      <w:r w:rsidRPr="00104C20">
        <w:rPr>
          <w:rFonts w:ascii="Verdana" w:hAnsi="Verdana" w:cs="Arial"/>
          <w:lang w:val="es-ES" w:eastAsia="es-ES"/>
        </w:rPr>
        <w:t xml:space="preserve"> normales que se presenten en la ejecución del contrato, de manera que</w:t>
      </w:r>
      <w:r>
        <w:rPr>
          <w:rFonts w:ascii="Verdana" w:hAnsi="Verdana" w:cs="Arial"/>
          <w:lang w:val="es-ES" w:eastAsia="es-ES"/>
        </w:rPr>
        <w:t>,</w:t>
      </w:r>
      <w:r w:rsidRPr="00104C20">
        <w:rPr>
          <w:rFonts w:ascii="Verdana" w:hAnsi="Verdana" w:cs="Arial"/>
          <w:lang w:val="es-ES" w:eastAsia="es-ES"/>
        </w:rPr>
        <w:t xml:space="preserve"> aunque el contratista incurra en mayores costos de los ítems incluidos en la </w:t>
      </w:r>
      <w:r w:rsidRPr="00104C20">
        <w:rPr>
          <w:rFonts w:ascii="Verdana" w:hAnsi="Verdana" w:cs="Arial"/>
          <w:i/>
          <w:iCs/>
          <w:lang w:val="es-ES" w:eastAsia="es-ES"/>
        </w:rPr>
        <w:t>Administración</w:t>
      </w:r>
      <w:r w:rsidRPr="00104C20">
        <w:rPr>
          <w:rFonts w:ascii="Verdana" w:hAnsi="Verdana" w:cs="Arial"/>
          <w:lang w:val="es-ES" w:eastAsia="es-ES"/>
        </w:rPr>
        <w:t xml:space="preserve"> </w:t>
      </w:r>
      <w:r>
        <w:rPr>
          <w:rFonts w:ascii="Verdana" w:hAnsi="Verdana" w:cs="Arial"/>
          <w:lang w:val="es-ES" w:eastAsia="es-ES"/>
        </w:rPr>
        <w:t xml:space="preserve">o en más gastos de </w:t>
      </w:r>
      <w:r w:rsidRPr="00415D51">
        <w:rPr>
          <w:rFonts w:ascii="Verdana" w:hAnsi="Verdana" w:cs="Arial"/>
          <w:i/>
          <w:iCs/>
          <w:lang w:val="es-ES" w:eastAsia="es-ES"/>
        </w:rPr>
        <w:t>Imprevistos</w:t>
      </w:r>
      <w:r>
        <w:rPr>
          <w:rFonts w:ascii="Verdana" w:hAnsi="Verdana" w:cs="Arial"/>
          <w:lang w:val="es-ES" w:eastAsia="es-ES"/>
        </w:rPr>
        <w:t xml:space="preserve"> </w:t>
      </w:r>
      <w:r w:rsidRPr="00104C20">
        <w:rPr>
          <w:rFonts w:ascii="Verdana" w:hAnsi="Verdana" w:cs="Arial"/>
          <w:lang w:val="es-ES" w:eastAsia="es-ES"/>
        </w:rPr>
        <w:t xml:space="preserve">al presentar su oferta, o que estos disminuyan, aparezcan algunos nuevos o desaparezcan algunos de ellos, el valor se mantenga invariable. De este modo, las partes optan por darle estabilidad al negocio, asumiendo cada una de ellas lo que le favorezca o desfavorezca, lo que evita, además, incurrir en costos de transacción relacionados con la necesidad de acreditar y verificar cada costo </w:t>
      </w:r>
      <w:r>
        <w:rPr>
          <w:rFonts w:ascii="Verdana" w:hAnsi="Verdana" w:cs="Arial"/>
          <w:lang w:val="es-ES" w:eastAsia="es-ES"/>
        </w:rPr>
        <w:t xml:space="preserve">o gasto </w:t>
      </w:r>
      <w:r w:rsidRPr="00104C20">
        <w:rPr>
          <w:rFonts w:ascii="Verdana" w:hAnsi="Verdana" w:cs="Arial"/>
          <w:lang w:val="es-ES" w:eastAsia="es-ES"/>
        </w:rPr>
        <w:t xml:space="preserve">específico asociado a la </w:t>
      </w:r>
      <w:r w:rsidRPr="00104C20">
        <w:rPr>
          <w:rFonts w:ascii="Verdana" w:hAnsi="Verdana" w:cs="Arial"/>
          <w:i/>
          <w:iCs/>
          <w:lang w:val="es-ES" w:eastAsia="es-ES"/>
        </w:rPr>
        <w:t>Administración</w:t>
      </w:r>
      <w:r>
        <w:rPr>
          <w:rFonts w:ascii="Verdana" w:hAnsi="Verdana" w:cs="Arial"/>
          <w:i/>
          <w:iCs/>
          <w:lang w:val="es-ES" w:eastAsia="es-ES"/>
        </w:rPr>
        <w:t xml:space="preserve"> </w:t>
      </w:r>
      <w:r w:rsidRPr="00415D51">
        <w:rPr>
          <w:rFonts w:ascii="Verdana" w:hAnsi="Verdana" w:cs="Arial"/>
          <w:lang w:val="es-ES" w:eastAsia="es-ES"/>
        </w:rPr>
        <w:t>o lo</w:t>
      </w:r>
      <w:r>
        <w:rPr>
          <w:rFonts w:ascii="Verdana" w:hAnsi="Verdana" w:cs="Arial"/>
          <w:i/>
          <w:iCs/>
          <w:lang w:val="es-ES" w:eastAsia="es-ES"/>
        </w:rPr>
        <w:t>s Imprevistos</w:t>
      </w:r>
      <w:r w:rsidRPr="00104C20">
        <w:rPr>
          <w:rFonts w:ascii="Verdana" w:hAnsi="Verdana" w:cs="Arial"/>
          <w:lang w:val="es-ES" w:eastAsia="es-ES"/>
        </w:rPr>
        <w:t>, lo que generaría más gastos tanto para la entidad como para el contratista.</w:t>
      </w:r>
    </w:p>
    <w:p w14:paraId="5F691620" w14:textId="77777777" w:rsidR="005156DF" w:rsidRPr="00104C20" w:rsidRDefault="005156DF" w:rsidP="005156DF">
      <w:pPr>
        <w:spacing w:before="120" w:after="0" w:line="276" w:lineRule="auto"/>
        <w:jc w:val="both"/>
        <w:rPr>
          <w:rFonts w:ascii="Verdana" w:hAnsi="Verdana" w:cs="Arial"/>
          <w:bCs/>
          <w:szCs w:val="24"/>
          <w:lang w:val="es-ES_tradnl" w:eastAsia="es-ES_tradnl"/>
        </w:rPr>
      </w:pPr>
      <w:r w:rsidRPr="00104C20">
        <w:rPr>
          <w:rFonts w:ascii="Verdana" w:hAnsi="Verdana" w:cs="Arial"/>
          <w:bCs/>
          <w:szCs w:val="24"/>
          <w:lang w:val="es-ES_tradnl" w:eastAsia="es-ES_tradnl"/>
        </w:rPr>
        <w:tab/>
        <w:t>En este sentido, cuando las entidades estatales incluyen esta forma de desglosar el precio, en los últimos términos indicados, al realizar el estudio de mercado elaboran un presupuesto estimado del valor de la ejecución del contrato</w:t>
      </w:r>
      <w:r>
        <w:rPr>
          <w:rFonts w:ascii="Verdana" w:hAnsi="Verdana" w:cs="Arial"/>
          <w:bCs/>
          <w:szCs w:val="24"/>
          <w:lang w:val="es-ES_tradnl" w:eastAsia="es-ES_tradnl"/>
        </w:rPr>
        <w:t>, el cual supone un análisis técnico de los costos</w:t>
      </w:r>
      <w:r w:rsidRPr="00104C20">
        <w:rPr>
          <w:rFonts w:ascii="Verdana" w:hAnsi="Verdana" w:cs="Arial"/>
          <w:bCs/>
          <w:szCs w:val="24"/>
          <w:lang w:val="es-ES_tradnl" w:eastAsia="es-ES_tradnl"/>
        </w:rPr>
        <w:t xml:space="preserve">. Dicho presupuesto estimado incluye los costos genéricos </w:t>
      </w:r>
      <w:r w:rsidRPr="00104C20">
        <w:rPr>
          <w:rFonts w:ascii="Verdana" w:hAnsi="Verdana" w:cs="Arial"/>
          <w:bCs/>
          <w:i/>
          <w:iCs/>
          <w:szCs w:val="24"/>
          <w:lang w:val="es-ES_tradnl" w:eastAsia="es-ES_tradnl"/>
        </w:rPr>
        <w:t xml:space="preserve">indirectos </w:t>
      </w:r>
      <w:r w:rsidRPr="00104C20">
        <w:rPr>
          <w:rFonts w:ascii="Verdana" w:hAnsi="Verdana" w:cs="Arial"/>
          <w:bCs/>
          <w:szCs w:val="24"/>
          <w:lang w:val="es-ES_tradnl" w:eastAsia="es-ES_tradnl"/>
        </w:rPr>
        <w:t xml:space="preserve">en que incurren los contratistas, entre ellos, los de la </w:t>
      </w:r>
      <w:r w:rsidRPr="00104C20">
        <w:rPr>
          <w:rFonts w:ascii="Verdana" w:hAnsi="Verdana" w:cs="Arial"/>
          <w:bCs/>
          <w:i/>
          <w:iCs/>
          <w:szCs w:val="24"/>
          <w:lang w:val="es-ES_tradnl" w:eastAsia="es-ES_tradnl"/>
        </w:rPr>
        <w:t>Administración</w:t>
      </w:r>
      <w:r>
        <w:rPr>
          <w:rFonts w:ascii="Verdana" w:hAnsi="Verdana" w:cs="Arial"/>
          <w:bCs/>
          <w:i/>
          <w:iCs/>
          <w:szCs w:val="24"/>
          <w:lang w:val="es-ES_tradnl" w:eastAsia="es-ES_tradnl"/>
        </w:rPr>
        <w:t xml:space="preserve"> </w:t>
      </w:r>
      <w:r>
        <w:rPr>
          <w:rFonts w:ascii="Verdana" w:hAnsi="Verdana" w:cs="Arial"/>
          <w:lang w:val="es-ES_tradnl" w:eastAsia="es-ES"/>
        </w:rPr>
        <w:t>y</w:t>
      </w:r>
      <w:r w:rsidRPr="00415D51">
        <w:rPr>
          <w:rFonts w:ascii="Verdana" w:hAnsi="Verdana" w:cs="Arial"/>
          <w:lang w:val="es-ES" w:eastAsia="es-ES"/>
        </w:rPr>
        <w:t xml:space="preserve"> lo</w:t>
      </w:r>
      <w:r>
        <w:rPr>
          <w:rFonts w:ascii="Verdana" w:hAnsi="Verdana" w:cs="Arial"/>
          <w:i/>
          <w:iCs/>
          <w:lang w:val="es-ES" w:eastAsia="es-ES"/>
        </w:rPr>
        <w:t>s Imprevistos</w:t>
      </w:r>
      <w:r w:rsidRPr="00104C20">
        <w:rPr>
          <w:rFonts w:ascii="Verdana" w:hAnsi="Verdana" w:cs="Arial"/>
          <w:bCs/>
          <w:szCs w:val="24"/>
          <w:lang w:val="es-ES_tradnl" w:eastAsia="es-ES_tradnl"/>
        </w:rPr>
        <w:t>, para efectos de definir el porcentaje con el que calculan el presupuesto, pese a que el monto de est</w:t>
      </w:r>
      <w:r>
        <w:rPr>
          <w:rFonts w:ascii="Verdana" w:hAnsi="Verdana" w:cs="Arial"/>
          <w:bCs/>
          <w:szCs w:val="24"/>
          <w:lang w:val="es-ES_tradnl" w:eastAsia="es-ES_tradnl"/>
        </w:rPr>
        <w:t>os</w:t>
      </w:r>
      <w:r w:rsidRPr="00104C20">
        <w:rPr>
          <w:rFonts w:ascii="Verdana" w:hAnsi="Verdana" w:cs="Arial"/>
          <w:bCs/>
          <w:szCs w:val="24"/>
          <w:lang w:val="es-ES_tradnl" w:eastAsia="es-ES_tradnl"/>
        </w:rPr>
        <w:t xml:space="preserve"> componente</w:t>
      </w:r>
      <w:r>
        <w:rPr>
          <w:rFonts w:ascii="Verdana" w:hAnsi="Verdana" w:cs="Arial"/>
          <w:bCs/>
          <w:szCs w:val="24"/>
          <w:lang w:val="es-ES_tradnl" w:eastAsia="es-ES_tradnl"/>
        </w:rPr>
        <w:t>s</w:t>
      </w:r>
      <w:r w:rsidRPr="00104C20">
        <w:rPr>
          <w:rFonts w:ascii="Verdana" w:hAnsi="Verdana" w:cs="Arial"/>
          <w:bCs/>
          <w:szCs w:val="24"/>
          <w:lang w:val="es-ES_tradnl" w:eastAsia="es-ES_tradnl"/>
        </w:rPr>
        <w:t xml:space="preserve"> varía ostensiblemente de un proponente a otro, pues </w:t>
      </w:r>
      <w:r>
        <w:rPr>
          <w:rFonts w:ascii="Verdana" w:hAnsi="Verdana" w:cs="Arial"/>
          <w:bCs/>
          <w:szCs w:val="24"/>
          <w:lang w:val="es-ES_tradnl" w:eastAsia="es-ES_tradnl"/>
        </w:rPr>
        <w:t>su</w:t>
      </w:r>
      <w:r w:rsidRPr="00104C20">
        <w:rPr>
          <w:rFonts w:ascii="Verdana" w:hAnsi="Verdana" w:cs="Arial"/>
          <w:bCs/>
          <w:szCs w:val="24"/>
          <w:lang w:val="es-ES_tradnl" w:eastAsia="es-ES_tradnl"/>
        </w:rPr>
        <w:t xml:space="preserve"> valor real depende de circunstancias particulares de los </w:t>
      </w:r>
      <w:r>
        <w:rPr>
          <w:rFonts w:ascii="Verdana" w:hAnsi="Verdana" w:cs="Arial"/>
          <w:bCs/>
          <w:szCs w:val="24"/>
          <w:lang w:val="es-ES_tradnl" w:eastAsia="es-ES_tradnl"/>
        </w:rPr>
        <w:t>oferentes</w:t>
      </w:r>
      <w:r w:rsidRPr="00104C20">
        <w:rPr>
          <w:rFonts w:ascii="Verdana" w:hAnsi="Verdana" w:cs="Arial"/>
          <w:bCs/>
          <w:szCs w:val="24"/>
          <w:vertAlign w:val="superscript"/>
          <w:lang w:val="es-ES_tradnl" w:eastAsia="es-ES_tradnl"/>
        </w:rPr>
        <w:footnoteReference w:id="12"/>
      </w:r>
      <w:r w:rsidRPr="00104C20">
        <w:rPr>
          <w:rFonts w:ascii="Verdana" w:hAnsi="Verdana" w:cs="Arial"/>
          <w:bCs/>
          <w:szCs w:val="24"/>
          <w:lang w:val="es-ES_tradnl" w:eastAsia="es-ES_tradnl"/>
        </w:rPr>
        <w:t xml:space="preserve">. </w:t>
      </w:r>
      <w:r>
        <w:rPr>
          <w:rFonts w:ascii="Verdana" w:hAnsi="Verdana" w:cs="Arial"/>
          <w:bCs/>
          <w:szCs w:val="24"/>
          <w:lang w:val="es-ES_tradnl" w:eastAsia="es-ES_tradnl"/>
        </w:rPr>
        <w:t>Por tanto, en abstracto, no existe un límite mínimo ni máximo respecto al porcentaje.</w:t>
      </w:r>
    </w:p>
    <w:p w14:paraId="5D82B166" w14:textId="77777777" w:rsidR="005156DF" w:rsidRDefault="005156DF" w:rsidP="005156DF">
      <w:pPr>
        <w:spacing w:before="120" w:after="0" w:line="276" w:lineRule="auto"/>
        <w:ind w:firstLine="709"/>
        <w:jc w:val="both"/>
        <w:rPr>
          <w:rFonts w:ascii="Verdana" w:hAnsi="Verdana" w:cs="Arial"/>
          <w:lang w:val="es-ES" w:eastAsia="es-ES"/>
        </w:rPr>
      </w:pPr>
      <w:r w:rsidRPr="00104C20">
        <w:rPr>
          <w:rFonts w:ascii="Verdana" w:hAnsi="Verdana" w:cs="Arial"/>
          <w:lang w:val="es-ES" w:eastAsia="es-ES"/>
        </w:rPr>
        <w:t xml:space="preserve">De manera que las entidades calculan un valor estimado que, a su vez, sirve de guía para que los proponentes formulen sus ofertas, pero bajo la premisa de que pagarán un porcentaje fijo incluido por los interesados en sus propuestas, dado lo variable que resulta este valor, y lo complejo y gravoso de realizar un seguimiento minucioso a los costos en que incurren los contratistas por este componente en particular. Además, que estos podrían ser mayores a los inicialmente pactados con el contratista, de manera que la fijación de un </w:t>
      </w:r>
      <w:r w:rsidRPr="00104C20">
        <w:rPr>
          <w:rFonts w:ascii="Verdana" w:hAnsi="Verdana" w:cs="Arial"/>
          <w:lang w:val="es-ES" w:eastAsia="es-ES"/>
        </w:rPr>
        <w:lastRenderedPageBreak/>
        <w:t xml:space="preserve">porcentaje fijo y estable también puede resultar favorable a la entidad estatal, pues su contraparte no le podrá exigir un monto superior, bajo el argumento de que incurrió en costos </w:t>
      </w:r>
      <w:r>
        <w:rPr>
          <w:rFonts w:ascii="Verdana" w:hAnsi="Verdana" w:cs="Arial"/>
          <w:lang w:val="es-ES" w:eastAsia="es-ES"/>
        </w:rPr>
        <w:t xml:space="preserve">o gastos </w:t>
      </w:r>
      <w:r w:rsidRPr="00104C20">
        <w:rPr>
          <w:rFonts w:ascii="Verdana" w:hAnsi="Verdana" w:cs="Arial"/>
          <w:lang w:val="es-ES" w:eastAsia="es-ES"/>
        </w:rPr>
        <w:t xml:space="preserve">adicionales asociados al componente </w:t>
      </w:r>
      <w:r w:rsidRPr="008335E8">
        <w:rPr>
          <w:rFonts w:ascii="Verdana" w:hAnsi="Verdana" w:cs="Arial"/>
          <w:i/>
          <w:iCs/>
          <w:lang w:val="es-ES" w:eastAsia="es-ES"/>
        </w:rPr>
        <w:t>Administración</w:t>
      </w:r>
      <w:r>
        <w:rPr>
          <w:rFonts w:ascii="Verdana" w:hAnsi="Verdana" w:cs="Arial"/>
          <w:lang w:val="es-ES" w:eastAsia="es-ES"/>
        </w:rPr>
        <w:t xml:space="preserve"> o de </w:t>
      </w:r>
      <w:r w:rsidRPr="008335E8">
        <w:rPr>
          <w:rFonts w:ascii="Verdana" w:hAnsi="Verdana" w:cs="Arial"/>
          <w:i/>
          <w:iCs/>
          <w:lang w:val="es-ES" w:eastAsia="es-ES"/>
        </w:rPr>
        <w:t>Imprevistos</w:t>
      </w:r>
      <w:r w:rsidRPr="00104C20">
        <w:rPr>
          <w:rFonts w:ascii="Verdana" w:hAnsi="Verdana" w:cs="Arial"/>
          <w:vertAlign w:val="superscript"/>
          <w:lang w:val="es-ES" w:eastAsia="es-ES"/>
        </w:rPr>
        <w:footnoteReference w:id="13"/>
      </w:r>
      <w:r w:rsidRPr="00104C20">
        <w:rPr>
          <w:rFonts w:ascii="Verdana" w:hAnsi="Verdana" w:cs="Arial"/>
          <w:lang w:val="es-ES" w:eastAsia="es-ES"/>
        </w:rPr>
        <w:t>.</w:t>
      </w:r>
    </w:p>
    <w:p w14:paraId="79DC85D8" w14:textId="77777777" w:rsidR="005156DF" w:rsidRPr="00371A1F" w:rsidRDefault="005156DF" w:rsidP="005156DF">
      <w:pPr>
        <w:spacing w:before="120" w:after="0" w:line="276" w:lineRule="auto"/>
        <w:ind w:firstLine="708"/>
        <w:jc w:val="both"/>
        <w:rPr>
          <w:rFonts w:ascii="Verdana" w:hAnsi="Verdana" w:cs="Arial"/>
          <w:lang w:val="es-ES" w:eastAsia="es-ES"/>
        </w:rPr>
      </w:pPr>
      <w:r w:rsidRPr="00371A1F">
        <w:rPr>
          <w:rFonts w:ascii="Verdana" w:hAnsi="Verdana" w:cs="Arial"/>
          <w:lang w:val="es-ES" w:eastAsia="es-ES"/>
        </w:rPr>
        <w:t xml:space="preserve">Tratándose de los </w:t>
      </w:r>
      <w:r w:rsidRPr="00371A1F">
        <w:rPr>
          <w:rFonts w:ascii="Verdana" w:hAnsi="Verdana" w:cs="Arial"/>
          <w:i/>
          <w:iCs/>
          <w:lang w:val="es-ES" w:eastAsia="es-ES"/>
        </w:rPr>
        <w:t>imprevistos</w:t>
      </w:r>
      <w:r w:rsidRPr="00371A1F">
        <w:rPr>
          <w:rFonts w:ascii="Verdana" w:hAnsi="Verdana" w:cs="Arial"/>
          <w:lang w:val="es-ES" w:eastAsia="es-ES"/>
        </w:rPr>
        <w:t xml:space="preserve">, es necesario tener en cuenta que la Contraloría General de la República replanteó las conclusiones de los Conceptos OJ-0043 y 0J-0075 de 2019, así como del Concepto OJ-130 de 2020. Si bien en ellos sostenía que “[…] los imprevistos no forman parte de la utilidad del contratista, razón por la cual las entidades públicas, al momento de liquidar los contratos deberán analizar las condiciones de ejecución de los mismos y con base en éstas, determinar si se concretaron o no los riesgos imprevisibles a los que estaba destinado dicho rubro y de ser así en qué proporción fue afectado”, dicha tesis cambió a partir del Concepto OJ-083 de 2022 reiterado en el Concepto OJ 093 de la misma anualidad. Así, en línea de lo explicado </w:t>
      </w:r>
      <w:r w:rsidRPr="00371A1F">
        <w:rPr>
          <w:rFonts w:ascii="Verdana" w:hAnsi="Verdana" w:cs="Arial"/>
          <w:i/>
          <w:iCs/>
          <w:lang w:val="es-ES" w:eastAsia="es-ES"/>
        </w:rPr>
        <w:t>ut supra</w:t>
      </w:r>
      <w:r w:rsidRPr="00371A1F">
        <w:rPr>
          <w:rFonts w:ascii="Verdana" w:hAnsi="Verdana" w:cs="Arial"/>
          <w:lang w:val="es-ES" w:eastAsia="es-ES"/>
        </w:rPr>
        <w:t>, la Contraloría General de la República estima que:</w:t>
      </w:r>
    </w:p>
    <w:p w14:paraId="1C07AFF9" w14:textId="77777777" w:rsidR="005156DF" w:rsidRPr="00371A1F" w:rsidRDefault="005156DF" w:rsidP="005156DF">
      <w:pPr>
        <w:spacing w:after="0" w:line="276" w:lineRule="auto"/>
        <w:ind w:firstLine="708"/>
        <w:jc w:val="both"/>
        <w:rPr>
          <w:rFonts w:ascii="Verdana" w:hAnsi="Verdana" w:cs="Arial"/>
          <w:lang w:val="es-ES" w:eastAsia="es-ES"/>
        </w:rPr>
      </w:pPr>
    </w:p>
    <w:p w14:paraId="6DF6AAB6" w14:textId="77777777" w:rsidR="005156DF" w:rsidRPr="00BC4483" w:rsidRDefault="005156DF" w:rsidP="005156DF">
      <w:pPr>
        <w:spacing w:after="0" w:line="240" w:lineRule="auto"/>
        <w:ind w:left="709" w:right="709"/>
        <w:jc w:val="both"/>
        <w:rPr>
          <w:rFonts w:ascii="Verdana" w:hAnsi="Verdana" w:cs="Arial"/>
          <w:sz w:val="20"/>
          <w:szCs w:val="20"/>
          <w:lang w:val="es-ES" w:eastAsia="es-ES"/>
        </w:rPr>
      </w:pPr>
      <w:r w:rsidRPr="00BC4483">
        <w:rPr>
          <w:rFonts w:ascii="Verdana" w:hAnsi="Verdana" w:cs="Arial"/>
          <w:sz w:val="20"/>
          <w:szCs w:val="20"/>
          <w:lang w:val="es-ES" w:eastAsia="es-ES"/>
        </w:rPr>
        <w:t>“Cuando las entidades públicas deciden incluir en el valor de los contratos los costos de administración imprevistos y utilidad, A.I.U. tienen autonomía para pactar las condiciones para su reconocimiento y pago. En ejercicio de dicha autonomía, las entidades pueden decidir que no se exigirá al contratista que rinda cuentas sobre la partida de imprevistos o que lo haga, en determinadas condiciones.</w:t>
      </w:r>
    </w:p>
    <w:p w14:paraId="2AFFFE5B" w14:textId="77777777" w:rsidR="005156DF" w:rsidRPr="00BC4483" w:rsidRDefault="005156DF" w:rsidP="005156DF">
      <w:pPr>
        <w:spacing w:after="0" w:line="240" w:lineRule="auto"/>
        <w:ind w:left="709" w:right="709"/>
        <w:jc w:val="both"/>
        <w:rPr>
          <w:rFonts w:ascii="Verdana" w:hAnsi="Verdana" w:cs="Arial"/>
          <w:sz w:val="20"/>
          <w:szCs w:val="20"/>
          <w:lang w:val="es-ES" w:eastAsia="es-ES"/>
        </w:rPr>
      </w:pPr>
      <w:r w:rsidRPr="00BC4483">
        <w:rPr>
          <w:rFonts w:ascii="Verdana" w:hAnsi="Verdana" w:cs="Arial"/>
          <w:sz w:val="20"/>
          <w:szCs w:val="20"/>
          <w:lang w:val="es-ES" w:eastAsia="es-ES"/>
        </w:rPr>
        <w:t>[…]</w:t>
      </w:r>
    </w:p>
    <w:p w14:paraId="39CDB4A9" w14:textId="77777777" w:rsidR="005156DF" w:rsidRPr="00BC4483" w:rsidRDefault="005156DF" w:rsidP="005156DF">
      <w:pPr>
        <w:spacing w:before="120" w:after="0" w:line="240" w:lineRule="auto"/>
        <w:ind w:left="709" w:right="709"/>
        <w:jc w:val="both"/>
        <w:rPr>
          <w:rFonts w:ascii="Verdana" w:hAnsi="Verdana" w:cs="Arial"/>
          <w:sz w:val="20"/>
          <w:szCs w:val="20"/>
          <w:lang w:val="es-ES" w:eastAsia="es-ES"/>
        </w:rPr>
      </w:pPr>
      <w:r w:rsidRPr="00BC4483">
        <w:rPr>
          <w:rFonts w:ascii="Verdana" w:hAnsi="Verdana" w:cs="Arial"/>
          <w:sz w:val="20"/>
          <w:szCs w:val="20"/>
          <w:lang w:val="es-ES" w:eastAsia="es-ES"/>
        </w:rPr>
        <w:t xml:space="preserve">La obligación del contratista de demostrar si ocurrieron hechos que impacta la partida de imprevistos, dependerá de las condiciones que fueron fijadas en cada caso en el respectivo pliego de condiciones y en el contrato. </w:t>
      </w:r>
    </w:p>
    <w:p w14:paraId="23989BCD" w14:textId="77777777" w:rsidR="005156DF" w:rsidRPr="00315F83" w:rsidRDefault="005156DF" w:rsidP="005156DF">
      <w:pPr>
        <w:spacing w:before="120" w:after="0" w:line="240" w:lineRule="auto"/>
        <w:ind w:left="709" w:right="709"/>
        <w:jc w:val="both"/>
        <w:rPr>
          <w:rFonts w:ascii="Verdana" w:hAnsi="Verdana" w:cs="Arial"/>
          <w:sz w:val="21"/>
          <w:szCs w:val="21"/>
          <w:lang w:val="es-ES" w:eastAsia="es-ES"/>
        </w:rPr>
      </w:pPr>
      <w:r w:rsidRPr="00BC4483">
        <w:rPr>
          <w:rFonts w:ascii="Verdana" w:hAnsi="Verdana" w:cs="Arial"/>
          <w:sz w:val="20"/>
          <w:szCs w:val="20"/>
          <w:lang w:val="es-ES" w:eastAsia="es-ES"/>
        </w:rPr>
        <w:t>Las entidades contratantes deben determinar, en cada caso, según las condiciones que fueron definida para el reconocimiento y pago del A.I.U. si el pago de la partida de imprevistos debe corresponder al porcentaje fijado en la oferta económica para ello”.</w:t>
      </w:r>
    </w:p>
    <w:p w14:paraId="309DCA3C" w14:textId="77777777" w:rsidR="005156DF" w:rsidRDefault="005156DF" w:rsidP="005156DF">
      <w:pPr>
        <w:spacing w:after="0" w:line="276" w:lineRule="auto"/>
        <w:jc w:val="both"/>
        <w:rPr>
          <w:rFonts w:ascii="Verdana" w:hAnsi="Verdana" w:cs="Arial"/>
          <w:lang w:val="es-ES" w:eastAsia="es-ES"/>
        </w:rPr>
      </w:pPr>
    </w:p>
    <w:p w14:paraId="31A1CE93" w14:textId="767EFBA1" w:rsidR="007E79DE" w:rsidRDefault="00062F7A" w:rsidP="00C8339B">
      <w:pPr>
        <w:spacing w:after="120" w:line="276" w:lineRule="auto"/>
        <w:ind w:firstLine="709"/>
        <w:jc w:val="both"/>
        <w:rPr>
          <w:rFonts w:ascii="Verdana" w:hAnsi="Verdana" w:cs="Arial"/>
          <w:lang w:val="es-ES" w:eastAsia="es-ES"/>
        </w:rPr>
      </w:pPr>
      <w:r>
        <w:rPr>
          <w:rFonts w:ascii="Verdana" w:hAnsi="Verdana" w:cs="Arial"/>
          <w:lang w:val="es-ES" w:eastAsia="es-ES"/>
        </w:rPr>
        <w:t xml:space="preserve">Sin embargo, </w:t>
      </w:r>
      <w:r w:rsidR="00722538">
        <w:rPr>
          <w:rFonts w:ascii="Verdana" w:hAnsi="Verdana" w:cs="Arial"/>
          <w:lang w:val="es-ES" w:eastAsia="es-ES"/>
        </w:rPr>
        <w:t>la Contraloría</w:t>
      </w:r>
      <w:r w:rsidR="00722538" w:rsidRPr="00722538">
        <w:rPr>
          <w:rFonts w:ascii="Verdana" w:hAnsi="Verdana" w:cs="Arial"/>
          <w:lang w:val="es-ES" w:eastAsia="es-ES"/>
        </w:rPr>
        <w:t xml:space="preserve"> </w:t>
      </w:r>
      <w:r w:rsidR="00F260E7">
        <w:rPr>
          <w:rFonts w:ascii="Verdana" w:hAnsi="Verdana" w:cs="Arial"/>
          <w:lang w:val="es-ES" w:eastAsia="es-ES"/>
        </w:rPr>
        <w:t>retoma la línea inicial</w:t>
      </w:r>
      <w:r w:rsidR="006474CD" w:rsidRPr="006474CD">
        <w:rPr>
          <w:rFonts w:ascii="Verdana" w:hAnsi="Verdana" w:cs="Arial"/>
          <w:lang w:val="es-ES" w:eastAsia="es-ES"/>
        </w:rPr>
        <w:t xml:space="preserve"> </w:t>
      </w:r>
      <w:r w:rsidR="006474CD">
        <w:rPr>
          <w:rFonts w:ascii="Verdana" w:hAnsi="Verdana" w:cs="Arial"/>
          <w:lang w:val="es-ES" w:eastAsia="es-ES"/>
        </w:rPr>
        <w:t>en e</w:t>
      </w:r>
      <w:r w:rsidR="006474CD" w:rsidRPr="00722538">
        <w:rPr>
          <w:rFonts w:ascii="Verdana" w:hAnsi="Verdana" w:cs="Arial"/>
          <w:lang w:val="es-ES" w:eastAsia="es-ES"/>
        </w:rPr>
        <w:t xml:space="preserve">l </w:t>
      </w:r>
      <w:r w:rsidR="006474CD">
        <w:rPr>
          <w:rFonts w:ascii="Verdana" w:hAnsi="Verdana" w:cs="Arial"/>
          <w:lang w:val="es-ES" w:eastAsia="es-ES"/>
        </w:rPr>
        <w:t>C</w:t>
      </w:r>
      <w:r w:rsidR="006474CD" w:rsidRPr="00722538">
        <w:rPr>
          <w:rFonts w:ascii="Verdana" w:hAnsi="Verdana" w:cs="Arial"/>
          <w:lang w:val="es-ES" w:eastAsia="es-ES"/>
        </w:rPr>
        <w:t>oncepto CGR-OJ-139 de 2025</w:t>
      </w:r>
      <w:r w:rsidR="00F2431C">
        <w:rPr>
          <w:rFonts w:ascii="Verdana" w:hAnsi="Verdana" w:cs="Arial"/>
          <w:lang w:val="es-ES" w:eastAsia="es-ES"/>
        </w:rPr>
        <w:t xml:space="preserve">, </w:t>
      </w:r>
      <w:r w:rsidR="006474CD">
        <w:rPr>
          <w:rFonts w:ascii="Verdana" w:hAnsi="Verdana" w:cs="Arial"/>
          <w:lang w:val="es-ES" w:eastAsia="es-ES"/>
        </w:rPr>
        <w:t xml:space="preserve">por lo que </w:t>
      </w:r>
      <w:r w:rsidR="006474CD" w:rsidRPr="006474CD">
        <w:rPr>
          <w:rFonts w:ascii="Verdana" w:hAnsi="Verdana" w:cs="Arial"/>
          <w:lang w:val="es-ES" w:eastAsia="es-ES"/>
        </w:rPr>
        <w:t>privilegia la demostración de</w:t>
      </w:r>
      <w:r w:rsidR="006474CD">
        <w:rPr>
          <w:rFonts w:ascii="Verdana" w:hAnsi="Verdana" w:cs="Arial"/>
          <w:lang w:val="es-ES" w:eastAsia="es-ES"/>
        </w:rPr>
        <w:t xml:space="preserve"> </w:t>
      </w:r>
      <w:r w:rsidR="006474CD" w:rsidRPr="006474CD">
        <w:rPr>
          <w:rFonts w:ascii="Verdana" w:hAnsi="Verdana" w:cs="Arial"/>
          <w:lang w:val="es-ES" w:eastAsia="es-ES"/>
        </w:rPr>
        <w:t>l</w:t>
      </w:r>
      <w:r w:rsidR="006474CD">
        <w:rPr>
          <w:rFonts w:ascii="Verdana" w:hAnsi="Verdana" w:cs="Arial"/>
          <w:lang w:val="es-ES" w:eastAsia="es-ES"/>
        </w:rPr>
        <w:t>os</w:t>
      </w:r>
      <w:r w:rsidR="006474CD" w:rsidRPr="006474CD">
        <w:rPr>
          <w:rFonts w:ascii="Verdana" w:hAnsi="Verdana" w:cs="Arial"/>
          <w:lang w:val="es-ES" w:eastAsia="es-ES"/>
        </w:rPr>
        <w:t xml:space="preserve"> imprevisto</w:t>
      </w:r>
      <w:r w:rsidR="006474CD">
        <w:rPr>
          <w:rFonts w:ascii="Verdana" w:hAnsi="Verdana" w:cs="Arial"/>
          <w:lang w:val="es-ES" w:eastAsia="es-ES"/>
        </w:rPr>
        <w:t>s</w:t>
      </w:r>
      <w:r w:rsidR="006474CD" w:rsidRPr="006474CD">
        <w:rPr>
          <w:rFonts w:ascii="Verdana" w:hAnsi="Verdana" w:cs="Arial"/>
          <w:lang w:val="es-ES" w:eastAsia="es-ES"/>
        </w:rPr>
        <w:t xml:space="preserve"> como </w:t>
      </w:r>
      <w:r w:rsidR="006474CD" w:rsidRPr="006474CD">
        <w:rPr>
          <w:rFonts w:ascii="Verdana" w:hAnsi="Verdana" w:cs="Arial"/>
          <w:lang w:val="es-ES" w:eastAsia="es-ES"/>
        </w:rPr>
        <w:lastRenderedPageBreak/>
        <w:t>condición para su pago.</w:t>
      </w:r>
      <w:r w:rsidR="003057D1">
        <w:rPr>
          <w:rFonts w:ascii="Verdana" w:hAnsi="Verdana" w:cs="Arial"/>
          <w:lang w:val="es-ES" w:eastAsia="es-ES"/>
        </w:rPr>
        <w:t xml:space="preserve"> </w:t>
      </w:r>
      <w:r w:rsidR="005C430E">
        <w:rPr>
          <w:rFonts w:ascii="Verdana" w:hAnsi="Verdana" w:cs="Arial"/>
          <w:lang w:val="es-ES" w:eastAsia="es-ES"/>
        </w:rPr>
        <w:t xml:space="preserve">Para estos efectos, estima que </w:t>
      </w:r>
      <w:r w:rsidR="00F251DF">
        <w:rPr>
          <w:rFonts w:ascii="Verdana" w:hAnsi="Verdana" w:cs="Arial"/>
          <w:lang w:val="es-ES" w:eastAsia="es-ES"/>
        </w:rPr>
        <w:t xml:space="preserve">“[…] </w:t>
      </w:r>
      <w:r w:rsidR="005E5163" w:rsidRPr="005E5163">
        <w:rPr>
          <w:rFonts w:ascii="Verdana" w:hAnsi="Verdana" w:cs="Arial"/>
          <w:lang w:val="es-ES" w:eastAsia="es-ES"/>
        </w:rPr>
        <w:t>al ser</w:t>
      </w:r>
      <w:r w:rsidR="00C83931">
        <w:rPr>
          <w:rFonts w:ascii="Verdana" w:hAnsi="Verdana" w:cs="Arial"/>
          <w:lang w:val="es-ES" w:eastAsia="es-ES"/>
        </w:rPr>
        <w:t xml:space="preserve"> </w:t>
      </w:r>
      <w:r w:rsidR="005E5163" w:rsidRPr="005E5163">
        <w:rPr>
          <w:rFonts w:ascii="Verdana" w:hAnsi="Verdana" w:cs="Arial"/>
          <w:lang w:val="es-ES" w:eastAsia="es-ES"/>
        </w:rPr>
        <w:t>independiente y cumplir una función diferente, el componente de Imprevistos, s</w:t>
      </w:r>
      <w:r w:rsidR="00C83931">
        <w:rPr>
          <w:rFonts w:ascii="Verdana" w:hAnsi="Verdana" w:cs="Arial"/>
          <w:lang w:val="es-ES" w:eastAsia="es-ES"/>
        </w:rPr>
        <w:t>í</w:t>
      </w:r>
      <w:r w:rsidR="005E5163" w:rsidRPr="005E5163">
        <w:rPr>
          <w:rFonts w:ascii="Verdana" w:hAnsi="Verdana" w:cs="Arial"/>
          <w:lang w:val="es-ES" w:eastAsia="es-ES"/>
        </w:rPr>
        <w:t xml:space="preserve"> debe</w:t>
      </w:r>
      <w:r w:rsidR="00C83931">
        <w:rPr>
          <w:rFonts w:ascii="Verdana" w:hAnsi="Verdana" w:cs="Arial"/>
          <w:lang w:val="es-ES" w:eastAsia="es-ES"/>
        </w:rPr>
        <w:t xml:space="preserve"> </w:t>
      </w:r>
      <w:r w:rsidR="005E5163" w:rsidRPr="005E5163">
        <w:rPr>
          <w:rFonts w:ascii="Verdana" w:hAnsi="Verdana" w:cs="Arial"/>
          <w:lang w:val="es-ES" w:eastAsia="es-ES"/>
        </w:rPr>
        <w:t xml:space="preserve">ser demostrado, puesto que, la apropiación </w:t>
      </w:r>
      <w:proofErr w:type="gramStart"/>
      <w:r w:rsidR="005E5163" w:rsidRPr="005E5163">
        <w:rPr>
          <w:rFonts w:ascii="Verdana" w:hAnsi="Verdana" w:cs="Arial"/>
          <w:lang w:val="es-ES" w:eastAsia="es-ES"/>
        </w:rPr>
        <w:t>del mismo</w:t>
      </w:r>
      <w:proofErr w:type="gramEnd"/>
      <w:r w:rsidR="005E5163" w:rsidRPr="005E5163">
        <w:rPr>
          <w:rFonts w:ascii="Verdana" w:hAnsi="Verdana" w:cs="Arial"/>
          <w:lang w:val="es-ES" w:eastAsia="es-ES"/>
        </w:rPr>
        <w:t>, sin justificación técnica, fáctica</w:t>
      </w:r>
      <w:r w:rsidR="00C83931">
        <w:rPr>
          <w:rFonts w:ascii="Verdana" w:hAnsi="Verdana" w:cs="Arial"/>
          <w:lang w:val="es-ES" w:eastAsia="es-ES"/>
        </w:rPr>
        <w:t xml:space="preserve"> </w:t>
      </w:r>
      <w:r w:rsidR="005E5163" w:rsidRPr="005E5163">
        <w:rPr>
          <w:rFonts w:ascii="Verdana" w:hAnsi="Verdana" w:cs="Arial"/>
          <w:lang w:val="es-ES" w:eastAsia="es-ES"/>
        </w:rPr>
        <w:t>o contractual, iría en contra de los principios de buena fe y equidad en la contratación</w:t>
      </w:r>
      <w:r w:rsidR="00AB7E13">
        <w:rPr>
          <w:rFonts w:ascii="Verdana" w:hAnsi="Verdana" w:cs="Arial"/>
          <w:lang w:val="es-ES" w:eastAsia="es-ES"/>
        </w:rPr>
        <w:t xml:space="preserve"> </w:t>
      </w:r>
      <w:r w:rsidR="005E5163" w:rsidRPr="005E5163">
        <w:rPr>
          <w:rFonts w:ascii="Verdana" w:hAnsi="Verdana" w:cs="Arial"/>
          <w:lang w:val="es-ES" w:eastAsia="es-ES"/>
        </w:rPr>
        <w:t>estatal</w:t>
      </w:r>
      <w:r w:rsidR="00AB7E13">
        <w:rPr>
          <w:rFonts w:ascii="Verdana" w:hAnsi="Verdana" w:cs="Arial"/>
          <w:lang w:val="es-ES" w:eastAsia="es-ES"/>
        </w:rPr>
        <w:t xml:space="preserve"> […]”</w:t>
      </w:r>
      <w:r w:rsidR="005E5163" w:rsidRPr="005E5163">
        <w:rPr>
          <w:rFonts w:ascii="Verdana" w:hAnsi="Verdana" w:cs="Arial"/>
          <w:lang w:val="es-ES" w:eastAsia="es-ES"/>
        </w:rPr>
        <w:t>.</w:t>
      </w:r>
      <w:r w:rsidR="00305164">
        <w:rPr>
          <w:rFonts w:ascii="Verdana" w:hAnsi="Verdana" w:cs="Arial"/>
          <w:lang w:val="es-ES" w:eastAsia="es-ES"/>
        </w:rPr>
        <w:t xml:space="preserve"> </w:t>
      </w:r>
    </w:p>
    <w:p w14:paraId="30643391" w14:textId="0DFE85EA" w:rsidR="005156DF" w:rsidRDefault="000E4B88" w:rsidP="005156DF">
      <w:pPr>
        <w:spacing w:after="0" w:line="276" w:lineRule="auto"/>
        <w:ind w:firstLine="709"/>
        <w:jc w:val="both"/>
        <w:rPr>
          <w:rFonts w:ascii="Verdana" w:hAnsi="Verdana" w:cs="Arial"/>
          <w:lang w:val="es-ES" w:eastAsia="es-ES"/>
        </w:rPr>
      </w:pPr>
      <w:r>
        <w:rPr>
          <w:rFonts w:ascii="Verdana" w:hAnsi="Verdana" w:cs="Arial"/>
          <w:lang w:val="es-ES" w:eastAsia="es-ES"/>
        </w:rPr>
        <w:t xml:space="preserve">Pese a que la </w:t>
      </w:r>
      <w:r w:rsidR="00270AEE">
        <w:rPr>
          <w:rFonts w:ascii="Verdana" w:hAnsi="Verdana" w:cs="Arial"/>
          <w:lang w:val="es-ES" w:eastAsia="es-ES"/>
        </w:rPr>
        <w:t xml:space="preserve">postura del órgano de control </w:t>
      </w:r>
      <w:r w:rsidR="00E8144A">
        <w:rPr>
          <w:rFonts w:ascii="Verdana" w:hAnsi="Verdana" w:cs="Arial"/>
          <w:lang w:val="es-ES" w:eastAsia="es-ES"/>
        </w:rPr>
        <w:t xml:space="preserve">ha sido cambiante </w:t>
      </w:r>
      <w:r w:rsidR="00851E6E">
        <w:rPr>
          <w:rFonts w:ascii="Verdana" w:hAnsi="Verdana" w:cs="Arial"/>
          <w:lang w:val="es-ES" w:eastAsia="es-ES"/>
        </w:rPr>
        <w:t>y no se encuentra unificada</w:t>
      </w:r>
      <w:r w:rsidR="005156DF" w:rsidRPr="008335E8">
        <w:rPr>
          <w:rFonts w:ascii="Verdana" w:hAnsi="Verdana" w:cs="Arial"/>
          <w:lang w:val="es-ES" w:eastAsia="es-ES"/>
        </w:rPr>
        <w:t xml:space="preserve">, </w:t>
      </w:r>
      <w:r w:rsidR="0049487F">
        <w:rPr>
          <w:rFonts w:ascii="Verdana" w:hAnsi="Verdana" w:cs="Arial"/>
          <w:lang w:val="es-ES" w:eastAsia="es-ES"/>
        </w:rPr>
        <w:t xml:space="preserve">Colombia Compra Eficiente considera que </w:t>
      </w:r>
      <w:r w:rsidR="005156DF" w:rsidRPr="008335E8">
        <w:rPr>
          <w:rFonts w:ascii="Verdana" w:hAnsi="Verdana" w:cs="Arial"/>
          <w:lang w:val="es-ES" w:eastAsia="es-ES"/>
        </w:rPr>
        <w:t>las entidades cuentan con discrecionalidad para establecer en el pliego de condiciones o en su documento equivalente, así como en el contrato, el sistema de precios unitarios y la figura del AIU. De este modo, teniendo en cuenta el concepto de AIU, ni la forma de calcularlo son aspectos que cuenten con una regulación normativa en materia contractual del Estado, la determinación de los componentes del AIU dependerá del análisis particular que realice la entidad en relación con el presupuesto estimado del valor de la ejecución del contrato que, a su vez, sirve de guía para que los proponentes formulen sus ofertas.</w:t>
      </w:r>
    </w:p>
    <w:p w14:paraId="0F1B1E5E" w14:textId="77777777" w:rsidR="005156DF" w:rsidRDefault="005156DF" w:rsidP="005156DF">
      <w:pPr>
        <w:spacing w:before="120" w:after="0" w:line="276" w:lineRule="auto"/>
        <w:ind w:firstLine="709"/>
        <w:jc w:val="both"/>
        <w:rPr>
          <w:rFonts w:ascii="Verdana" w:hAnsi="Verdana" w:cs="Arial"/>
          <w:lang w:val="es-ES" w:eastAsia="es-ES"/>
        </w:rPr>
      </w:pPr>
      <w:r w:rsidRPr="00104C20">
        <w:rPr>
          <w:rFonts w:ascii="Verdana" w:hAnsi="Verdana" w:cs="Arial"/>
          <w:lang w:val="es-ES" w:eastAsia="es-ES"/>
        </w:rPr>
        <w:t xml:space="preserve">En consecuencia,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En tal perspectiva, cuentan con discrecionalidad para establecer en el pliego de condiciones o en su documento equivalente, así como en el contrato, el sistema de precios unitarios y la figura del AIU; modelo que, como se indicó, es más pertinente para los contratos de tracto sucesivo, como el de obra. </w:t>
      </w:r>
    </w:p>
    <w:p w14:paraId="1E68A3B7" w14:textId="77777777" w:rsidR="005156DF" w:rsidRDefault="005156DF" w:rsidP="005156DF">
      <w:pPr>
        <w:spacing w:before="120" w:after="0" w:line="276" w:lineRule="auto"/>
        <w:ind w:firstLine="709"/>
        <w:jc w:val="both"/>
        <w:rPr>
          <w:rFonts w:ascii="Verdana" w:hAnsi="Verdana" w:cs="Arial"/>
          <w:lang w:val="es-ES" w:eastAsia="es-ES"/>
        </w:rPr>
      </w:pPr>
      <w:r>
        <w:rPr>
          <w:rFonts w:ascii="Verdana" w:hAnsi="Verdana" w:cs="Arial"/>
          <w:lang w:val="es-ES" w:eastAsia="es-ES"/>
        </w:rPr>
        <w:t xml:space="preserve">Al no existir valores fijos de referencia regulados en la ley o el reglamento, </w:t>
      </w:r>
      <w:r w:rsidRPr="00104C20">
        <w:rPr>
          <w:rFonts w:ascii="Verdana" w:hAnsi="Verdana" w:cs="Arial"/>
          <w:lang w:val="es-ES" w:eastAsia="es-ES"/>
        </w:rPr>
        <w:t>la decisión de incluir el AIU, al igual que la metodología de delimitación de sus variables –ítems y porcentajes– debe obedecer a un juicioso análisis de oportunidad y conveniencia, que consulte las reglas de la experiencia, así como los aspectos particulares de cada negocio. Lo anterior en armonía con la garantía de los principios de la función administrativa y de la gestión fiscal, dentro de los cuales se halla el principio de economía, postulado que exige la optimización de los recursos públicos.</w:t>
      </w:r>
    </w:p>
    <w:p w14:paraId="2F5D535C" w14:textId="77777777" w:rsidR="005156DF" w:rsidRDefault="005156DF" w:rsidP="005156DF">
      <w:pPr>
        <w:spacing w:after="0" w:line="276" w:lineRule="auto"/>
        <w:ind w:firstLine="709"/>
        <w:jc w:val="both"/>
        <w:rPr>
          <w:rFonts w:ascii="Verdana" w:hAnsi="Verdana" w:cs="Arial"/>
          <w:lang w:val="es-ES" w:eastAsia="es-ES"/>
        </w:rPr>
      </w:pPr>
    </w:p>
    <w:p w14:paraId="2A53CCE3" w14:textId="77777777" w:rsidR="005156DF" w:rsidRPr="00DC39AE" w:rsidRDefault="005156DF" w:rsidP="005156DF">
      <w:pPr>
        <w:spacing w:after="120" w:line="276" w:lineRule="auto"/>
        <w:jc w:val="both"/>
        <w:rPr>
          <w:rFonts w:ascii="Verdana" w:hAnsi="Verdana" w:cs="Arial"/>
          <w:color w:val="000000" w:themeColor="text1"/>
          <w:spacing w:val="4"/>
        </w:rPr>
      </w:pPr>
      <w:proofErr w:type="spellStart"/>
      <w:r>
        <w:rPr>
          <w:rFonts w:ascii="Verdana" w:hAnsi="Verdana" w:cs="Arial"/>
          <w:lang w:val="es-ES" w:eastAsia="es-ES"/>
        </w:rPr>
        <w:t>iii</w:t>
      </w:r>
      <w:proofErr w:type="spellEnd"/>
      <w:r>
        <w:rPr>
          <w:rFonts w:ascii="Verdana" w:hAnsi="Verdana" w:cs="Arial"/>
          <w:lang w:val="es-ES" w:eastAsia="es-ES"/>
        </w:rPr>
        <w:t xml:space="preserve">. </w:t>
      </w:r>
      <w:r w:rsidRPr="00DC39AE">
        <w:rPr>
          <w:rFonts w:ascii="Verdana" w:hAnsi="Verdana" w:cs="Arial"/>
          <w:color w:val="000000" w:themeColor="text1"/>
          <w:spacing w:val="4"/>
        </w:rPr>
        <w:t xml:space="preserve">Las actuaciones de quienes intervengan en la contratación estatal se desarrollarán con arreglo al deber de </w:t>
      </w:r>
      <w:r w:rsidRPr="00DC39AE">
        <w:rPr>
          <w:rFonts w:ascii="Verdana" w:hAnsi="Verdana" w:cs="Arial"/>
          <w:bCs/>
          <w:color w:val="000000" w:themeColor="text1"/>
          <w:lang w:val="es-ES"/>
        </w:rPr>
        <w:t xml:space="preserve">selección objetiva, el cual debe </w:t>
      </w:r>
      <w:r w:rsidRPr="00DC39AE">
        <w:rPr>
          <w:rFonts w:ascii="Verdana" w:hAnsi="Verdana" w:cs="Arial"/>
          <w:bCs/>
          <w:color w:val="000000" w:themeColor="text1"/>
          <w:lang w:val="es-ES"/>
        </w:rPr>
        <w:lastRenderedPageBreak/>
        <w:t>interpretarse de manera conjunta e integrada con los principios orientadores de la actividad contractual, como lo son el de transparencia, economía y responsabilidad, consagrados en los artículos 24, 25 y 26 de la Ley 80 de 1993.</w:t>
      </w:r>
    </w:p>
    <w:p w14:paraId="6BE7D97C" w14:textId="77777777" w:rsidR="005156DF" w:rsidRPr="00DC39AE" w:rsidRDefault="005156DF" w:rsidP="005156DF">
      <w:pPr>
        <w:spacing w:after="120" w:line="276" w:lineRule="auto"/>
        <w:ind w:firstLine="709"/>
        <w:jc w:val="both"/>
        <w:rPr>
          <w:rFonts w:ascii="Verdana" w:hAnsi="Verdana" w:cs="Arial"/>
          <w:color w:val="000000" w:themeColor="text1"/>
          <w:spacing w:val="4"/>
        </w:rPr>
      </w:pPr>
      <w:r w:rsidRPr="00DC39AE">
        <w:rPr>
          <w:rFonts w:ascii="Verdana" w:hAnsi="Verdana" w:cs="Arial"/>
          <w:bCs/>
          <w:color w:val="000000" w:themeColor="text1"/>
          <w:lang w:val="es-ES"/>
        </w:rPr>
        <w:t xml:space="preserve">El artículo 5º de la Ley 1150 de 2007, mediante la cual se introdujeron algunas modificaciones a la Ley 80 de 1993, se refiere a la </w:t>
      </w:r>
      <w:r w:rsidRPr="00DC39AE">
        <w:rPr>
          <w:rFonts w:ascii="Verdana" w:hAnsi="Verdana" w:cs="Arial"/>
          <w:bCs/>
          <w:i/>
          <w:iCs/>
          <w:color w:val="000000" w:themeColor="text1"/>
          <w:lang w:val="es-ES"/>
        </w:rPr>
        <w:t>“</w:t>
      </w:r>
      <w:r w:rsidRPr="00A04392">
        <w:rPr>
          <w:rFonts w:ascii="Verdana" w:hAnsi="Verdana" w:cs="Arial"/>
          <w:bCs/>
          <w:color w:val="000000" w:themeColor="text1"/>
          <w:lang w:val="es-ES"/>
        </w:rPr>
        <w:t>selección objetiva</w:t>
      </w:r>
      <w:r w:rsidRPr="00DC39AE">
        <w:rPr>
          <w:rFonts w:ascii="Verdana" w:hAnsi="Verdana" w:cs="Arial"/>
          <w:bCs/>
          <w:i/>
          <w:iCs/>
          <w:color w:val="000000" w:themeColor="text1"/>
          <w:lang w:val="es-ES"/>
        </w:rPr>
        <w:t>”</w:t>
      </w:r>
      <w:r w:rsidRPr="00DC39AE">
        <w:rPr>
          <w:rFonts w:ascii="Verdana" w:hAnsi="Verdana" w:cs="Arial"/>
          <w:bCs/>
          <w:color w:val="000000" w:themeColor="text1"/>
          <w:lang w:val="es-ES"/>
        </w:rPr>
        <w:t xml:space="preserve"> y la define como oferta más favorable aquella que resulte ser más ventajosa para la entidad, después de haber sido aplicados los criterios de escogencia y su ponderación, determinados de manera precisa y detallada en el pliego de condiciones, sin que tal favorabilidad la constituyan elementos extraños a los factores contemplados en ellos.</w:t>
      </w:r>
      <w:r>
        <w:rPr>
          <w:rFonts w:ascii="Verdana" w:hAnsi="Verdana" w:cs="Arial"/>
          <w:color w:val="000000" w:themeColor="text1"/>
          <w:lang w:val="es-ES"/>
        </w:rPr>
        <w:t xml:space="preserve"> </w:t>
      </w:r>
      <w:r w:rsidRPr="00DC39AE">
        <w:rPr>
          <w:rFonts w:ascii="Verdana" w:hAnsi="Verdana" w:cs="Arial"/>
          <w:color w:val="000000" w:themeColor="text1"/>
          <w:spacing w:val="4"/>
        </w:rPr>
        <w:t>En ese sentido, no cabe duda de que la selección objetiva se fundamenta en aplicar rigurosamente los requisitos de selección de los oferentes y los criterios o factores de evaluación o calificación de las ofertas de forma precisa, detallada y concreta, que permitan a la entidad seleccionar una óptima propuesta o la más ventajosa para la entidad.</w:t>
      </w:r>
    </w:p>
    <w:p w14:paraId="388F4CA7" w14:textId="77777777" w:rsidR="005156DF" w:rsidRDefault="005156DF" w:rsidP="005156DF">
      <w:pPr>
        <w:spacing w:after="0" w:line="276" w:lineRule="auto"/>
        <w:ind w:firstLine="709"/>
        <w:jc w:val="both"/>
        <w:rPr>
          <w:rFonts w:ascii="Verdana" w:hAnsi="Verdana" w:cs="Arial"/>
          <w:color w:val="000000" w:themeColor="text1"/>
          <w:lang w:val="es-MX"/>
        </w:rPr>
      </w:pPr>
      <w:bookmarkStart w:id="4" w:name="_Hlk108685728"/>
      <w:r w:rsidRPr="00DC39AE">
        <w:rPr>
          <w:rFonts w:ascii="Verdana" w:hAnsi="Verdana" w:cs="Arial"/>
          <w:color w:val="000000" w:themeColor="text1"/>
          <w:lang w:val="es-MX"/>
        </w:rPr>
        <w:t>Así las cosas, para que la entidad pueda determinar cuál es la oferta que más ventaja le reporta, lo lógico es que la comparación de precios se haga sobre los que finalmente tendrá que pagar, es decir, no puede realizarse una ponderación adecuada, en el factor económico, si la entidad compara precios que no son reales, pues ello es lo que ocurre si en dicha comparación se toman precios que no serán los que finalmente pagará, porque no se encuentra</w:t>
      </w:r>
      <w:r>
        <w:rPr>
          <w:rFonts w:ascii="Verdana" w:hAnsi="Verdana" w:cs="Arial"/>
          <w:color w:val="000000" w:themeColor="text1"/>
          <w:lang w:val="es-MX"/>
        </w:rPr>
        <w:t>n</w:t>
      </w:r>
      <w:r w:rsidRPr="00DC39AE">
        <w:rPr>
          <w:rFonts w:ascii="Verdana" w:hAnsi="Verdana" w:cs="Arial"/>
          <w:color w:val="000000" w:themeColor="text1"/>
          <w:lang w:val="es-MX"/>
        </w:rPr>
        <w:t xml:space="preserve"> incluido</w:t>
      </w:r>
      <w:r>
        <w:rPr>
          <w:rFonts w:ascii="Verdana" w:hAnsi="Verdana" w:cs="Arial"/>
          <w:color w:val="000000" w:themeColor="text1"/>
          <w:lang w:val="es-MX"/>
        </w:rPr>
        <w:t>s</w:t>
      </w:r>
      <w:r w:rsidRPr="00DC39AE">
        <w:rPr>
          <w:rFonts w:ascii="Verdana" w:hAnsi="Verdana" w:cs="Arial"/>
          <w:color w:val="000000" w:themeColor="text1"/>
          <w:lang w:val="es-MX"/>
        </w:rPr>
        <w:t xml:space="preserve"> </w:t>
      </w:r>
      <w:bookmarkEnd w:id="4"/>
      <w:r>
        <w:rPr>
          <w:rFonts w:ascii="Verdana" w:hAnsi="Verdana" w:cs="Arial"/>
          <w:color w:val="000000" w:themeColor="text1"/>
          <w:lang w:val="es-MX"/>
        </w:rPr>
        <w:t>los impuestos aplicables</w:t>
      </w:r>
      <w:r w:rsidRPr="00DC39AE">
        <w:rPr>
          <w:rFonts w:ascii="Verdana" w:hAnsi="Verdana" w:cs="Arial"/>
          <w:color w:val="000000" w:themeColor="text1"/>
          <w:lang w:val="es-MX"/>
        </w:rPr>
        <w:t xml:space="preserve">. De esta manera, el principio de selección objetiva, antes que permitir que la entidad compare las ofertas económicas sin tener en cuenta </w:t>
      </w:r>
      <w:r>
        <w:rPr>
          <w:rFonts w:ascii="Verdana" w:hAnsi="Verdana" w:cs="Arial"/>
          <w:color w:val="000000" w:themeColor="text1"/>
          <w:lang w:val="es-MX"/>
        </w:rPr>
        <w:t>la carga tributaria</w:t>
      </w:r>
      <w:r w:rsidRPr="00DC39AE">
        <w:rPr>
          <w:rFonts w:ascii="Verdana" w:hAnsi="Verdana" w:cs="Arial"/>
          <w:color w:val="000000" w:themeColor="text1"/>
          <w:lang w:val="es-MX"/>
        </w:rPr>
        <w:t xml:space="preserve">, busca que la comparación se haga sobre la realidad de lo ofrecido por cada proponente, es decir, el valor total de lo que terminará pagando la entidad cuando adjudique el contrato. </w:t>
      </w:r>
      <w:r>
        <w:rPr>
          <w:rFonts w:ascii="Verdana" w:hAnsi="Verdana" w:cs="Arial"/>
          <w:color w:val="000000" w:themeColor="text1"/>
          <w:lang w:val="es-MX"/>
        </w:rPr>
        <w:t>Para la doctrina:</w:t>
      </w:r>
    </w:p>
    <w:p w14:paraId="6C7C7E01" w14:textId="77777777" w:rsidR="005156DF" w:rsidRDefault="005156DF" w:rsidP="005156DF">
      <w:pPr>
        <w:spacing w:after="0" w:line="276" w:lineRule="auto"/>
        <w:ind w:firstLine="709"/>
        <w:jc w:val="both"/>
        <w:rPr>
          <w:rFonts w:ascii="Verdana" w:hAnsi="Verdana" w:cs="Arial"/>
          <w:color w:val="000000" w:themeColor="text1"/>
          <w:lang w:val="es-MX"/>
        </w:rPr>
      </w:pPr>
    </w:p>
    <w:p w14:paraId="7EFAD64F" w14:textId="77777777" w:rsidR="005156DF" w:rsidRPr="00A41F79" w:rsidRDefault="005156DF" w:rsidP="005156DF">
      <w:pPr>
        <w:spacing w:after="120" w:line="240" w:lineRule="auto"/>
        <w:ind w:left="709" w:right="709"/>
        <w:jc w:val="both"/>
        <w:rPr>
          <w:rFonts w:ascii="Verdana" w:hAnsi="Verdana" w:cs="Arial"/>
          <w:color w:val="000000" w:themeColor="text1"/>
          <w:sz w:val="20"/>
          <w:szCs w:val="20"/>
          <w:lang w:val="es-MX"/>
        </w:rPr>
      </w:pPr>
      <w:r w:rsidRPr="00A41F79">
        <w:rPr>
          <w:rFonts w:ascii="Verdana" w:hAnsi="Verdana" w:cs="Arial"/>
          <w:color w:val="000000" w:themeColor="text1"/>
          <w:sz w:val="20"/>
          <w:szCs w:val="20"/>
          <w:lang w:val="es-MX"/>
        </w:rPr>
        <w:t>“[…] el precio debe incluir los costos en que incurrirá el contratista para cumplir sus obligaciones y obtener la utilidad que espera del negocio. Esto significa que hacen parte del precio las inversiones y gastos que deba hacer, más la utilidad que espera.</w:t>
      </w:r>
    </w:p>
    <w:p w14:paraId="77FC8EC1" w14:textId="77777777" w:rsidR="005156DF" w:rsidRPr="00A41F79" w:rsidRDefault="005156DF" w:rsidP="005156DF">
      <w:pPr>
        <w:spacing w:after="0" w:line="240" w:lineRule="auto"/>
        <w:ind w:left="709" w:right="709"/>
        <w:jc w:val="both"/>
        <w:rPr>
          <w:rFonts w:ascii="Verdana" w:hAnsi="Verdana" w:cs="Arial"/>
          <w:color w:val="000000" w:themeColor="text1"/>
          <w:sz w:val="20"/>
          <w:szCs w:val="20"/>
          <w:lang w:val="es-MX"/>
        </w:rPr>
      </w:pPr>
      <w:r w:rsidRPr="00A41F79">
        <w:rPr>
          <w:rFonts w:ascii="Verdana" w:hAnsi="Verdana" w:cs="Arial"/>
          <w:color w:val="000000" w:themeColor="text1"/>
          <w:sz w:val="20"/>
          <w:szCs w:val="20"/>
          <w:lang w:val="es-MX"/>
        </w:rPr>
        <w:t xml:space="preserve">Entre los costos se encuentran los impuestos que afectarán el contrato, por ejemplo el IVA, la contribución especial, las estampillas, y otros. Esta precisión resulta importante porque el valor, que incluye el impuesto, determina el precio final. Basta hacer una pregunta para entender la idea: ¿un bien gravado puede venderse sin el impuesto, sin violar las normas tributarias? Como no es posible, entonces es inevitable incorporarlo al costo, porque el oferente -futuro contratista- inevitablemente debe </w:t>
      </w:r>
      <w:r w:rsidRPr="00A41F79">
        <w:rPr>
          <w:rFonts w:ascii="Verdana" w:hAnsi="Verdana" w:cs="Arial"/>
          <w:color w:val="000000" w:themeColor="text1"/>
          <w:sz w:val="20"/>
          <w:szCs w:val="20"/>
          <w:lang w:val="es-MX"/>
        </w:rPr>
        <w:lastRenderedPageBreak/>
        <w:t>incurrir en el, so pena de no poder cobrarlo luego. En otras palabras, es absurdo presentar una oferta que no incluya los impuestos que gravan la actividad o los productos, guardando la esperanza de que se adjudique el contrato por ese precio -que será bajo-, y confiando en que posteriormente se podrá facturar el impuesto, so pretexto de que al fin y al cabo laley grava la actividad. Por el contrario, el oferente tiene la obligación de incluir todos los gastos en que incurrirá para vender sus bienes o servicios, so pena de que la entidad entienda que el precio ofrecido los incluye, y luego sólo pagará el precio ofertado, pues allí se debieron incluir -es lo lógico y así debe entenderse- todos los gastos en que incurrirá el proponente.</w:t>
      </w:r>
    </w:p>
    <w:p w14:paraId="2EFD7E45" w14:textId="77777777" w:rsidR="005156DF" w:rsidRPr="00A41F79" w:rsidRDefault="005156DF" w:rsidP="005156DF">
      <w:pPr>
        <w:spacing w:after="120" w:line="240" w:lineRule="auto"/>
        <w:ind w:left="709" w:right="709"/>
        <w:jc w:val="both"/>
        <w:rPr>
          <w:rFonts w:ascii="Verdana" w:hAnsi="Verdana" w:cs="Arial"/>
          <w:color w:val="000000" w:themeColor="text1"/>
          <w:sz w:val="20"/>
          <w:szCs w:val="20"/>
          <w:lang w:val="es-MX"/>
        </w:rPr>
      </w:pPr>
      <w:r w:rsidRPr="00A41F79">
        <w:rPr>
          <w:rFonts w:ascii="Verdana" w:hAnsi="Verdana" w:cs="Arial"/>
          <w:color w:val="000000" w:themeColor="text1"/>
          <w:sz w:val="20"/>
          <w:szCs w:val="20"/>
          <w:lang w:val="es-MX"/>
        </w:rPr>
        <w:t>[…]</w:t>
      </w:r>
    </w:p>
    <w:p w14:paraId="4DE1F628" w14:textId="77777777" w:rsidR="005156DF" w:rsidRDefault="005156DF" w:rsidP="005156DF">
      <w:pPr>
        <w:spacing w:after="0" w:line="240" w:lineRule="auto"/>
        <w:ind w:left="709" w:right="709"/>
        <w:jc w:val="both"/>
        <w:rPr>
          <w:rFonts w:ascii="Verdana" w:hAnsi="Verdana" w:cs="Arial"/>
          <w:color w:val="000000" w:themeColor="text1"/>
          <w:lang w:val="es-MX"/>
        </w:rPr>
      </w:pPr>
      <w:r w:rsidRPr="00A41F79">
        <w:rPr>
          <w:rFonts w:ascii="Verdana" w:hAnsi="Verdana" w:cs="Arial"/>
          <w:color w:val="000000" w:themeColor="text1"/>
          <w:sz w:val="20"/>
          <w:szCs w:val="20"/>
          <w:lang w:val="es-MX"/>
        </w:rPr>
        <w:t>Esta misma idea aplica para elaborar el presupuesto oficial del contrato estatal, e igualmente para obtener el certificado de disponibilidad presupuestal, porque la entidad, cuando calcula los costos probables del contrato, naturalmente debe incluir los impuestos que gravan los productos o servicios que desea adquirir, pues en el mercado no se los venderán sin ellos. Acaso comprará un vehículo sin IVA o una carretera sin el impuesto de guerra o contribución especial? Del mismo modo, la disponibilidad presupuestal debe incluir el impuesto, pues de no hacerlo el contrato quedará desfinanciado, y la entidad asumiría compromisos económicos sin tener la cobertura económica suficiente para no incurrir en mora”</w:t>
      </w:r>
      <w:r w:rsidRPr="00A41F79">
        <w:rPr>
          <w:rStyle w:val="Refdenotaalpie"/>
          <w:rFonts w:ascii="Verdana" w:hAnsi="Verdana" w:cs="Arial"/>
          <w:color w:val="000000" w:themeColor="text1"/>
          <w:sz w:val="20"/>
          <w:szCs w:val="20"/>
          <w:lang w:val="es-MX"/>
        </w:rPr>
        <w:footnoteReference w:id="14"/>
      </w:r>
      <w:r w:rsidRPr="00A41F79">
        <w:rPr>
          <w:rFonts w:ascii="Verdana" w:hAnsi="Verdana" w:cs="Arial"/>
          <w:color w:val="000000" w:themeColor="text1"/>
          <w:sz w:val="20"/>
          <w:szCs w:val="20"/>
          <w:lang w:val="es-MX"/>
        </w:rPr>
        <w:t>.</w:t>
      </w:r>
    </w:p>
    <w:p w14:paraId="70AD353E" w14:textId="77777777" w:rsidR="005156DF" w:rsidRDefault="005156DF" w:rsidP="005156DF">
      <w:pPr>
        <w:spacing w:after="0" w:line="276" w:lineRule="auto"/>
        <w:jc w:val="both"/>
        <w:rPr>
          <w:rFonts w:ascii="Verdana" w:hAnsi="Verdana" w:cs="Arial"/>
          <w:color w:val="000000" w:themeColor="text1"/>
          <w:lang w:val="es-MX"/>
        </w:rPr>
      </w:pPr>
    </w:p>
    <w:p w14:paraId="3FE08E20" w14:textId="77777777" w:rsidR="005156DF" w:rsidRPr="00DC39AE" w:rsidRDefault="005156DF" w:rsidP="005156DF">
      <w:pPr>
        <w:spacing w:after="120" w:line="276" w:lineRule="auto"/>
        <w:ind w:firstLine="708"/>
        <w:jc w:val="both"/>
        <w:rPr>
          <w:rFonts w:ascii="Verdana" w:hAnsi="Verdana" w:cs="Arial"/>
          <w:color w:val="000000" w:themeColor="text1"/>
          <w:lang w:val="es-MX"/>
        </w:rPr>
      </w:pPr>
      <w:r w:rsidRPr="00DC39AE">
        <w:rPr>
          <w:rFonts w:ascii="Verdana" w:hAnsi="Verdana" w:cs="Arial"/>
          <w:color w:val="000000" w:themeColor="text1"/>
          <w:lang w:val="es-MX"/>
        </w:rPr>
        <w:t>De otro lado, el principio de igualdad consagrado en el artículo 13 de la Constitución Política es un pilar fundamental, no solo de la contratación estatal sino del ordenamiento jurídico. La igualdad, según la Corte Constitucional, tiene la connotación de principio, valor y derecho, por lo que representa un criterio de obligatoria observancia tanto para la producción, como para la aplicación e interpretación del derecho</w:t>
      </w:r>
      <w:r w:rsidRPr="00DC39AE">
        <w:rPr>
          <w:rFonts w:ascii="Verdana" w:hAnsi="Verdana" w:cs="Arial"/>
          <w:color w:val="000000" w:themeColor="text1"/>
          <w:vertAlign w:val="superscript"/>
          <w:lang w:val="es-MX"/>
        </w:rPr>
        <w:footnoteReference w:id="15"/>
      </w:r>
      <w:r w:rsidRPr="00DC39AE">
        <w:rPr>
          <w:rFonts w:ascii="Verdana" w:hAnsi="Verdana" w:cs="Arial"/>
          <w:color w:val="000000" w:themeColor="text1"/>
          <w:lang w:val="es-MX"/>
        </w:rPr>
        <w:t xml:space="preserve">. A la luz del artículo 209 de la Constitución Política, la igualdad es uno de los principios orientadores de la función administrativa y, en virtud, del principio de igualdad las autoridades darán el mismo trato y </w:t>
      </w:r>
      <w:r w:rsidRPr="00DC39AE">
        <w:rPr>
          <w:rFonts w:ascii="Verdana" w:hAnsi="Verdana" w:cs="Arial"/>
          <w:color w:val="000000" w:themeColor="text1"/>
          <w:lang w:val="es-MX"/>
        </w:rPr>
        <w:lastRenderedPageBreak/>
        <w:t xml:space="preserve">protección a las personas e instituciones que intervengan en las actuaciones bajo su conocimiento, como lo ordena el numeral 2º del artículo 3º de la Ley 1437 de 2011. </w:t>
      </w:r>
    </w:p>
    <w:p w14:paraId="24B92C2E" w14:textId="77777777" w:rsidR="005156DF" w:rsidRPr="00DC39AE" w:rsidRDefault="005156DF" w:rsidP="005156DF">
      <w:pPr>
        <w:spacing w:before="120" w:after="0" w:line="276" w:lineRule="auto"/>
        <w:ind w:firstLine="709"/>
        <w:jc w:val="both"/>
        <w:rPr>
          <w:rFonts w:ascii="Verdana" w:hAnsi="Verdana" w:cs="Arial"/>
          <w:color w:val="000000" w:themeColor="text1"/>
          <w:lang w:val="es-MX"/>
        </w:rPr>
      </w:pPr>
      <w:r w:rsidRPr="00DC39AE">
        <w:rPr>
          <w:rFonts w:ascii="Verdana" w:hAnsi="Verdana" w:cs="Arial"/>
          <w:color w:val="000000" w:themeColor="text1"/>
          <w:lang w:val="es-MX"/>
        </w:rPr>
        <w:t xml:space="preserve">En el ámbito de la contratación pública, la igualdad se materializa a través del equilibrio de todos los oferentes frente al proceso de selección, desde la exigencia de los requisitos estipulados en los pliegos de condiciones, en la calificación de sus ofertas y en su selección. La igualdad en los procesos de contratación supone que las condiciones a las que se enfrentan los proponentes sean las mismas para todos y que la oferta adjudicada sea la más favorable a la entidad. Por ello el Consejo de Estado ha determinado que la aplicación del principio de igualdad en la contratación pública materializa otros principios de similar importancia como la selección objetiva y la transparencia: </w:t>
      </w:r>
    </w:p>
    <w:p w14:paraId="6EE0B048" w14:textId="77777777" w:rsidR="005156DF" w:rsidRPr="00DC39AE" w:rsidRDefault="005156DF" w:rsidP="005156DF">
      <w:pPr>
        <w:spacing w:after="0" w:line="276" w:lineRule="auto"/>
        <w:ind w:left="709"/>
        <w:contextualSpacing/>
        <w:jc w:val="both"/>
        <w:rPr>
          <w:rFonts w:ascii="Verdana" w:hAnsi="Verdana" w:cs="Arial"/>
          <w:color w:val="000000" w:themeColor="text1"/>
          <w:lang w:val="es-MX"/>
        </w:rPr>
      </w:pPr>
    </w:p>
    <w:p w14:paraId="3CD7B69D" w14:textId="77777777" w:rsidR="005156DF" w:rsidRPr="00A41F79" w:rsidRDefault="005156DF" w:rsidP="005156DF">
      <w:pPr>
        <w:spacing w:line="240" w:lineRule="auto"/>
        <w:ind w:left="709" w:right="709"/>
        <w:contextualSpacing/>
        <w:jc w:val="both"/>
        <w:rPr>
          <w:rFonts w:ascii="Verdana" w:hAnsi="Verdana" w:cs="Arial"/>
          <w:color w:val="000000" w:themeColor="text1"/>
          <w:sz w:val="20"/>
          <w:szCs w:val="20"/>
          <w:lang w:val="es-MX"/>
        </w:rPr>
      </w:pPr>
      <w:r w:rsidRPr="00A41F79">
        <w:rPr>
          <w:rFonts w:ascii="Verdana" w:hAnsi="Verdana" w:cs="Arial"/>
          <w:color w:val="000000" w:themeColor="text1"/>
          <w:sz w:val="20"/>
          <w:szCs w:val="20"/>
          <w:lang w:val="es-MX"/>
        </w:rPr>
        <w:t>“La igualdad de los licitadores, presupuesto fundamental que garantiza la selección objetiva y desarrolla el principio de transparencia que orienta la contratación estatal, se traduce en la identidad de oportunidades dispuesta para los sujetos interesados en contratar con la Administración. Y la sujeción estricta al pliego de condiciones es un principio fundamental del proceso licitatorio, que desarrolla la objetividad connatural a este procedimiento, en consideración a que el pliego es fuente principal de los derechos y obligaciones de la administración y de los proponentes”</w:t>
      </w:r>
      <w:r w:rsidRPr="00A41F79">
        <w:rPr>
          <w:rFonts w:ascii="Verdana" w:hAnsi="Verdana" w:cs="Arial"/>
          <w:color w:val="000000" w:themeColor="text1"/>
          <w:sz w:val="20"/>
          <w:szCs w:val="20"/>
          <w:vertAlign w:val="superscript"/>
          <w:lang w:val="es-MX"/>
        </w:rPr>
        <w:footnoteReference w:id="16"/>
      </w:r>
      <w:r w:rsidRPr="00A41F79">
        <w:rPr>
          <w:rFonts w:ascii="Verdana" w:hAnsi="Verdana" w:cs="Arial"/>
          <w:color w:val="000000" w:themeColor="text1"/>
          <w:sz w:val="20"/>
          <w:szCs w:val="20"/>
          <w:lang w:val="es-MX"/>
        </w:rPr>
        <w:t>.</w:t>
      </w:r>
    </w:p>
    <w:p w14:paraId="3A8573A3" w14:textId="77777777" w:rsidR="005156DF" w:rsidRPr="00DC39AE" w:rsidRDefault="005156DF" w:rsidP="005156DF">
      <w:pPr>
        <w:spacing w:line="276" w:lineRule="auto"/>
        <w:contextualSpacing/>
        <w:jc w:val="both"/>
        <w:rPr>
          <w:rFonts w:ascii="Verdana" w:hAnsi="Verdana" w:cs="Arial"/>
          <w:color w:val="000000" w:themeColor="text1"/>
          <w:lang w:val="es-MX"/>
        </w:rPr>
      </w:pPr>
    </w:p>
    <w:p w14:paraId="2CB1FC72" w14:textId="77777777" w:rsidR="005156DF" w:rsidRPr="00DC39AE" w:rsidRDefault="005156DF" w:rsidP="005156DF">
      <w:pPr>
        <w:spacing w:before="120" w:after="120" w:line="276" w:lineRule="auto"/>
        <w:ind w:firstLine="709"/>
        <w:jc w:val="both"/>
        <w:rPr>
          <w:rFonts w:ascii="Verdana" w:hAnsi="Verdana" w:cs="Arial"/>
          <w:color w:val="000000" w:themeColor="text1"/>
          <w:lang w:val="es-MX"/>
        </w:rPr>
      </w:pPr>
      <w:bookmarkStart w:id="6" w:name="_Hlk108689460"/>
      <w:bookmarkStart w:id="7" w:name="_Hlk108448910"/>
      <w:r>
        <w:rPr>
          <w:rFonts w:ascii="Verdana" w:hAnsi="Verdana" w:cs="Arial"/>
          <w:color w:val="000000" w:themeColor="text1"/>
          <w:lang w:val="es-MX"/>
        </w:rPr>
        <w:t>Por tanto, n</w:t>
      </w:r>
      <w:r w:rsidRPr="00DC39AE">
        <w:rPr>
          <w:rFonts w:ascii="Verdana" w:hAnsi="Verdana" w:cs="Arial"/>
          <w:color w:val="000000" w:themeColor="text1"/>
          <w:lang w:val="es-MX"/>
        </w:rPr>
        <w:t xml:space="preserve">o puede alegarse la violación del principio de igualdad cuando una entidad compara el precio real que ofrece cada proponente, pues la jurisprudencia constitucional ha determinado que la igualdad de trato se predica entre iguales. En otras palabras, para que se pueda exigir el respeto de la igualdad hay que demostrar que se está en la misma situación de hecho y de derecho. </w:t>
      </w:r>
    </w:p>
    <w:bookmarkEnd w:id="6"/>
    <w:p w14:paraId="432E7F26" w14:textId="77777777" w:rsidR="005156DF" w:rsidRPr="00DC39AE" w:rsidRDefault="005156DF" w:rsidP="005156DF">
      <w:pPr>
        <w:spacing w:before="120" w:after="120" w:line="276" w:lineRule="auto"/>
        <w:ind w:firstLine="709"/>
        <w:jc w:val="both"/>
        <w:rPr>
          <w:rFonts w:ascii="Verdana" w:hAnsi="Verdana" w:cs="Arial"/>
          <w:color w:val="000000" w:themeColor="text1"/>
          <w:lang w:val="es-MX"/>
        </w:rPr>
      </w:pPr>
      <w:r w:rsidRPr="00DC39AE">
        <w:rPr>
          <w:rFonts w:ascii="Verdana" w:hAnsi="Verdana" w:cs="Arial"/>
          <w:color w:val="000000" w:themeColor="text1"/>
          <w:lang w:val="es-MX"/>
        </w:rPr>
        <w:t xml:space="preserve">Además, debe tenerse presente que la definición del régimen tributario aplicable a los proponentes que se presentan al procedimiento de selección no es realizada por la entidad estatal, sino que es un tema definido por el legislador, quien optó por establecer ciertas cargas a algunos sujetos y a otros no. Es decir que la distinción o discriminación fue realizada por el legislador. </w:t>
      </w:r>
    </w:p>
    <w:bookmarkEnd w:id="7"/>
    <w:p w14:paraId="69D0B78F" w14:textId="77777777" w:rsidR="005156DF" w:rsidRPr="00DC39AE" w:rsidRDefault="005156DF" w:rsidP="005156DF">
      <w:pPr>
        <w:spacing w:before="120" w:after="120" w:line="276" w:lineRule="auto"/>
        <w:ind w:firstLine="709"/>
        <w:jc w:val="both"/>
        <w:rPr>
          <w:rFonts w:ascii="Verdana" w:hAnsi="Verdana" w:cs="Arial"/>
          <w:color w:val="000000" w:themeColor="text1"/>
          <w:lang w:val="es-MX"/>
        </w:rPr>
      </w:pPr>
      <w:r w:rsidRPr="00DC39AE">
        <w:rPr>
          <w:rFonts w:ascii="Verdana" w:hAnsi="Verdana" w:cs="Arial"/>
          <w:color w:val="000000" w:themeColor="text1"/>
          <w:lang w:val="es-MX"/>
        </w:rPr>
        <w:lastRenderedPageBreak/>
        <w:t xml:space="preserve">Por ello, la Corte Constitucional ha señalado que un correcto entendimiento del derecho a la igualdad parte de la consideración de tratar igual a quienes estén en situaciones esencialmente similares y desigual a quienes estén en situaciones diferentes: De esta manera, </w:t>
      </w:r>
      <w:r>
        <w:rPr>
          <w:rFonts w:ascii="Verdana" w:hAnsi="Verdana" w:cs="Arial"/>
          <w:color w:val="000000" w:themeColor="text1"/>
          <w:lang w:val="es-MX"/>
        </w:rPr>
        <w:t>“</w:t>
      </w:r>
      <w:r w:rsidRPr="00DC39AE">
        <w:rPr>
          <w:rFonts w:ascii="Verdana" w:hAnsi="Verdana" w:cs="Arial"/>
          <w:color w:val="000000" w:themeColor="text1"/>
          <w:lang w:val="es-MX"/>
        </w:rPr>
        <w:t>La correcta aplicación del derecho a la igualdad no sólo supone la igualdad de trato respecto de los privilegios, oportunidades y cargas entre los iguales, sino también el tratamiento desigual entre supuestos disímiles</w:t>
      </w:r>
      <w:r>
        <w:rPr>
          <w:rFonts w:ascii="Verdana" w:hAnsi="Verdana" w:cs="Arial"/>
          <w:color w:val="000000" w:themeColor="text1"/>
          <w:lang w:val="es-MX"/>
        </w:rPr>
        <w:t>”</w:t>
      </w:r>
      <w:r w:rsidRPr="00DC39AE">
        <w:rPr>
          <w:rFonts w:ascii="Verdana" w:hAnsi="Verdana" w:cs="Arial"/>
          <w:color w:val="000000" w:themeColor="text1"/>
          <w:vertAlign w:val="superscript"/>
          <w:lang w:val="es-MX"/>
        </w:rPr>
        <w:footnoteReference w:id="17"/>
      </w:r>
      <w:r w:rsidRPr="00DC39AE">
        <w:rPr>
          <w:rFonts w:ascii="Verdana" w:hAnsi="Verdana" w:cs="Arial"/>
          <w:color w:val="000000" w:themeColor="text1"/>
          <w:lang w:val="es-MX"/>
        </w:rPr>
        <w:t xml:space="preserve">. </w:t>
      </w:r>
    </w:p>
    <w:p w14:paraId="071ED23A" w14:textId="77777777" w:rsidR="005156DF" w:rsidRDefault="005156DF" w:rsidP="005156DF">
      <w:pPr>
        <w:spacing w:before="120" w:after="0" w:line="276" w:lineRule="auto"/>
        <w:ind w:firstLine="709"/>
        <w:jc w:val="both"/>
        <w:rPr>
          <w:rFonts w:ascii="Verdana" w:hAnsi="Verdana" w:cs="Arial"/>
          <w:color w:val="000000" w:themeColor="text1"/>
          <w:lang w:val="es-MX"/>
        </w:rPr>
      </w:pPr>
      <w:bookmarkStart w:id="8" w:name="_Hlk108448954"/>
      <w:r>
        <w:rPr>
          <w:rFonts w:ascii="Verdana" w:hAnsi="Verdana" w:cs="Arial"/>
          <w:color w:val="000000" w:themeColor="text1"/>
          <w:lang w:val="es-MX"/>
        </w:rPr>
        <w:t>L</w:t>
      </w:r>
      <w:r w:rsidRPr="00DC39AE">
        <w:rPr>
          <w:rFonts w:ascii="Verdana" w:hAnsi="Verdana" w:cs="Arial"/>
          <w:color w:val="000000" w:themeColor="text1"/>
          <w:lang w:val="es-MX"/>
        </w:rPr>
        <w:t xml:space="preserve">os impuestos son parte integral del precio, pues es lo que finalmente terminará pagando la entidad cuando adjudique el contrato, por lo cual en aplicación de los principios de selección objetiva y de igualdad, la entidad contratante debe evaluar las ofertas con base en el precio final o real que ofrezca cada proponente, toda vez que de esa comparación es que surgirá la oferta más favorable o ventajosa para el Estado. </w:t>
      </w:r>
      <w:bookmarkEnd w:id="8"/>
      <w:r w:rsidRPr="008979BE">
        <w:rPr>
          <w:rFonts w:ascii="Verdana" w:hAnsi="Verdana" w:cs="Arial"/>
          <w:color w:val="000000" w:themeColor="text1"/>
          <w:lang w:val="es-MX"/>
        </w:rPr>
        <w:t>Esta carga hace parte del componente de Administración del AIU por ser un costo indirecto del negocio, y está a cargo del sujeto pasivo que dé lugar al hecho generador conforme a las normas tributarias. No obstante, la Agencia no se ha pronunciado sobre los impuestos locales en los proyectos de inversión pública</w:t>
      </w:r>
      <w:r>
        <w:rPr>
          <w:rFonts w:ascii="Verdana" w:hAnsi="Verdana" w:cs="Arial"/>
          <w:color w:val="000000" w:themeColor="text1"/>
          <w:lang w:val="es-MX"/>
        </w:rPr>
        <w:t>.</w:t>
      </w:r>
    </w:p>
    <w:p w14:paraId="4473B66A" w14:textId="77777777" w:rsidR="005156DF" w:rsidRPr="00301C61" w:rsidRDefault="005156DF" w:rsidP="005156DF">
      <w:pPr>
        <w:spacing w:after="0" w:line="276" w:lineRule="auto"/>
        <w:ind w:firstLine="709"/>
        <w:jc w:val="both"/>
        <w:rPr>
          <w:rFonts w:ascii="Verdana" w:hAnsi="Verdana" w:cs="Arial"/>
          <w:color w:val="000000" w:themeColor="text1"/>
          <w:lang w:val="es-MX"/>
        </w:rPr>
      </w:pPr>
    </w:p>
    <w:p w14:paraId="2629D4F4" w14:textId="77777777" w:rsidR="005156DF" w:rsidRPr="003A380F" w:rsidRDefault="005156DF" w:rsidP="005156DF">
      <w:pPr>
        <w:spacing w:after="120" w:line="276" w:lineRule="auto"/>
        <w:jc w:val="both"/>
        <w:rPr>
          <w:rFonts w:ascii="Verdana" w:eastAsia="Calibri" w:hAnsi="Verdana" w:cs="Arial"/>
          <w:bCs/>
          <w:color w:val="000000" w:themeColor="text1"/>
        </w:rPr>
      </w:pPr>
      <w:proofErr w:type="spellStart"/>
      <w:r>
        <w:rPr>
          <w:rFonts w:ascii="Verdana" w:eastAsia="Calibri" w:hAnsi="Verdana" w:cs="Arial"/>
          <w:bCs/>
          <w:color w:val="000000" w:themeColor="text1"/>
        </w:rPr>
        <w:t>iv</w:t>
      </w:r>
      <w:proofErr w:type="spellEnd"/>
      <w:r>
        <w:rPr>
          <w:rFonts w:ascii="Verdana" w:eastAsia="Calibri" w:hAnsi="Verdana" w:cs="Arial"/>
          <w:bCs/>
          <w:color w:val="000000" w:themeColor="text1"/>
        </w:rPr>
        <w:t xml:space="preserve">. </w:t>
      </w:r>
      <w:r w:rsidRPr="003A380F">
        <w:rPr>
          <w:rFonts w:ascii="Verdana" w:eastAsia="Calibri" w:hAnsi="Verdana" w:cs="Arial"/>
          <w:bCs/>
          <w:color w:val="000000" w:themeColor="text1"/>
        </w:rPr>
        <w:t>Al margen de la explicación precedente</w:t>
      </w:r>
      <w:r>
        <w:rPr>
          <w:rFonts w:ascii="Verdana" w:eastAsia="Calibri" w:hAnsi="Verdana" w:cs="Arial"/>
          <w:bCs/>
          <w:color w:val="000000" w:themeColor="text1"/>
        </w:rPr>
        <w:t>,</w:t>
      </w:r>
      <w:r w:rsidRPr="003A380F">
        <w:rPr>
          <w:rFonts w:ascii="Verdana" w:eastAsia="Calibri" w:hAnsi="Verdana" w:cs="Arial"/>
          <w:bCs/>
          <w:color w:val="000000" w:themeColor="text1"/>
        </w:rPr>
        <w:t xml:space="preserve"> debe advertirse que el análisis requerido para resolver problemas específicos en torno a la gestión contractual de las entidades públicas debe ser realizado por quienes tengan interés en ello, de acuerdo con lo explicado </w:t>
      </w:r>
      <w:r>
        <w:rPr>
          <w:rFonts w:ascii="Verdana" w:eastAsia="Calibri" w:hAnsi="Verdana" w:cs="Arial"/>
          <w:bCs/>
          <w:color w:val="000000" w:themeColor="text1"/>
        </w:rPr>
        <w:t>en la</w:t>
      </w:r>
      <w:r w:rsidRPr="003A380F">
        <w:rPr>
          <w:rFonts w:ascii="Verdana" w:eastAsia="Calibri" w:hAnsi="Verdana" w:cs="Arial"/>
          <w:bCs/>
          <w:color w:val="000000" w:themeColor="text1"/>
        </w:rPr>
        <w:t xml:space="preserve">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DDB6351" w14:textId="77777777" w:rsidR="005156DF" w:rsidRPr="00301910" w:rsidRDefault="005156DF" w:rsidP="005156DF">
      <w:pPr>
        <w:spacing w:before="120" w:after="0" w:line="276" w:lineRule="auto"/>
        <w:ind w:firstLine="709"/>
        <w:jc w:val="both"/>
        <w:rPr>
          <w:rFonts w:ascii="Verdana" w:hAnsi="Verdana" w:cs="Arial"/>
          <w:lang w:eastAsia="es-ES"/>
        </w:rPr>
      </w:pPr>
      <w:r w:rsidRPr="003A380F">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w:t>
      </w:r>
      <w:r w:rsidRPr="003A380F">
        <w:rPr>
          <w:rFonts w:ascii="Verdana" w:eastAsia="Calibri" w:hAnsi="Verdana" w:cs="Arial"/>
          <w:bCs/>
          <w:color w:val="000000" w:themeColor="text1"/>
        </w:rPr>
        <w:lastRenderedPageBreak/>
        <w:t>el principio de juridicidad. Así, cada entidad definirá la forma de adelantar su gestión contractual, sin que sea atribución de Colombia Compra Eficiente validar sus actuaciones.</w:t>
      </w:r>
    </w:p>
    <w:p w14:paraId="547DE9A0" w14:textId="77777777" w:rsidR="005156DF" w:rsidRPr="004A56BA" w:rsidRDefault="005156DF" w:rsidP="005156DF">
      <w:pPr>
        <w:spacing w:after="0" w:line="276" w:lineRule="auto"/>
        <w:jc w:val="both"/>
        <w:rPr>
          <w:rFonts w:ascii="Verdana" w:eastAsia="Times New Roman" w:hAnsi="Verdana" w:cs="Arial"/>
          <w:color w:val="000000" w:themeColor="text1"/>
          <w:lang w:eastAsia="es-CO"/>
        </w:rPr>
      </w:pPr>
    </w:p>
    <w:p w14:paraId="7D7878BC" w14:textId="77777777" w:rsidR="005156DF" w:rsidRPr="00593A5F" w:rsidRDefault="005156DF" w:rsidP="005156D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11BCCDCB" w14:textId="77777777" w:rsidR="005156DF" w:rsidRPr="00593A5F" w:rsidRDefault="005156DF" w:rsidP="005156DF">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156DF" w:rsidRPr="002407CE" w14:paraId="441D54C7" w14:textId="77777777" w:rsidTr="00CB547E">
        <w:trPr>
          <w:trHeight w:val="404"/>
          <w:jc w:val="center"/>
        </w:trPr>
        <w:tc>
          <w:tcPr>
            <w:tcW w:w="8647" w:type="dxa"/>
          </w:tcPr>
          <w:p w14:paraId="132FA437" w14:textId="77777777" w:rsidR="005156DF" w:rsidRDefault="005156DF" w:rsidP="00CB547E">
            <w:pPr>
              <w:pStyle w:val="Prrafodelista"/>
              <w:widowControl w:val="0"/>
              <w:numPr>
                <w:ilvl w:val="0"/>
                <w:numId w:val="17"/>
              </w:numPr>
              <w:autoSpaceDE w:val="0"/>
              <w:autoSpaceDN w:val="0"/>
              <w:spacing w:line="276" w:lineRule="auto"/>
              <w:jc w:val="both"/>
              <w:rPr>
                <w:rFonts w:ascii="Verdana" w:hAnsi="Verdana" w:cs="Arial"/>
              </w:rPr>
            </w:pPr>
            <w:r>
              <w:rPr>
                <w:rFonts w:ascii="Verdana" w:hAnsi="Verdana" w:cs="Arial"/>
              </w:rPr>
              <w:t>Constitución Política de 1991, artículos 13 y 209.</w:t>
            </w:r>
          </w:p>
          <w:p w14:paraId="25BB7FB0" w14:textId="77777777" w:rsidR="005156DF" w:rsidRPr="00453ED8" w:rsidRDefault="005156DF" w:rsidP="00CB547E">
            <w:pPr>
              <w:pStyle w:val="Prrafodelista"/>
              <w:widowControl w:val="0"/>
              <w:autoSpaceDE w:val="0"/>
              <w:autoSpaceDN w:val="0"/>
              <w:spacing w:line="276" w:lineRule="auto"/>
              <w:jc w:val="both"/>
              <w:rPr>
                <w:rFonts w:ascii="Verdana" w:hAnsi="Verdana" w:cs="Arial"/>
                <w:sz w:val="12"/>
                <w:szCs w:val="12"/>
              </w:rPr>
            </w:pPr>
          </w:p>
          <w:p w14:paraId="251E5523" w14:textId="77777777" w:rsidR="005156DF" w:rsidRDefault="005156DF" w:rsidP="00CB547E">
            <w:pPr>
              <w:pStyle w:val="Prrafodelista"/>
              <w:widowControl w:val="0"/>
              <w:numPr>
                <w:ilvl w:val="0"/>
                <w:numId w:val="17"/>
              </w:numPr>
              <w:autoSpaceDE w:val="0"/>
              <w:autoSpaceDN w:val="0"/>
              <w:spacing w:line="276" w:lineRule="auto"/>
              <w:jc w:val="both"/>
              <w:rPr>
                <w:rFonts w:ascii="Verdana" w:hAnsi="Verdana" w:cs="Arial"/>
              </w:rPr>
            </w:pPr>
            <w:r>
              <w:rPr>
                <w:rFonts w:ascii="Verdana" w:hAnsi="Verdana" w:cs="Arial"/>
              </w:rPr>
              <w:t xml:space="preserve">Ley 80 de 1993, artículos </w:t>
            </w:r>
            <w:r w:rsidRPr="00E278D2">
              <w:rPr>
                <w:rFonts w:ascii="Verdana" w:hAnsi="Verdana" w:cs="Arial"/>
              </w:rPr>
              <w:t xml:space="preserve">13, </w:t>
            </w:r>
            <w:r>
              <w:rPr>
                <w:rFonts w:ascii="Verdana" w:hAnsi="Verdana" w:cs="Arial"/>
              </w:rPr>
              <w:t xml:space="preserve">24, 25, 26, </w:t>
            </w:r>
            <w:r w:rsidRPr="00E278D2">
              <w:rPr>
                <w:rFonts w:ascii="Verdana" w:hAnsi="Verdana" w:cs="Arial"/>
              </w:rPr>
              <w:t>32 y 40</w:t>
            </w:r>
            <w:r>
              <w:rPr>
                <w:rFonts w:ascii="Verdana" w:hAnsi="Verdana" w:cs="Arial"/>
              </w:rPr>
              <w:t xml:space="preserve">. </w:t>
            </w:r>
          </w:p>
          <w:p w14:paraId="17B4DD29" w14:textId="77777777" w:rsidR="005156DF" w:rsidRPr="00453ED8" w:rsidRDefault="005156DF" w:rsidP="00CB547E">
            <w:pPr>
              <w:widowControl w:val="0"/>
              <w:autoSpaceDE w:val="0"/>
              <w:autoSpaceDN w:val="0"/>
              <w:spacing w:line="276" w:lineRule="auto"/>
              <w:jc w:val="both"/>
              <w:rPr>
                <w:rFonts w:ascii="Verdana" w:hAnsi="Verdana" w:cs="Arial"/>
                <w:sz w:val="12"/>
                <w:szCs w:val="12"/>
              </w:rPr>
            </w:pPr>
          </w:p>
          <w:p w14:paraId="10951F47" w14:textId="77777777" w:rsidR="005156DF" w:rsidRDefault="005156DF" w:rsidP="00CB547E">
            <w:pPr>
              <w:pStyle w:val="Prrafodelista"/>
              <w:widowControl w:val="0"/>
              <w:numPr>
                <w:ilvl w:val="0"/>
                <w:numId w:val="17"/>
              </w:numPr>
              <w:autoSpaceDE w:val="0"/>
              <w:autoSpaceDN w:val="0"/>
              <w:spacing w:line="276" w:lineRule="auto"/>
              <w:jc w:val="both"/>
              <w:rPr>
                <w:rFonts w:ascii="Verdana" w:hAnsi="Verdana" w:cs="Arial"/>
              </w:rPr>
            </w:pPr>
            <w:r>
              <w:rPr>
                <w:rFonts w:ascii="Verdana" w:hAnsi="Verdana" w:cs="Arial"/>
              </w:rPr>
              <w:t>Ley 1150 de 2007, artículo 7.</w:t>
            </w:r>
          </w:p>
          <w:p w14:paraId="43DD8ECE" w14:textId="77777777" w:rsidR="005156DF" w:rsidRPr="00453ED8" w:rsidRDefault="005156DF" w:rsidP="00CB547E">
            <w:pPr>
              <w:widowControl w:val="0"/>
              <w:autoSpaceDE w:val="0"/>
              <w:autoSpaceDN w:val="0"/>
              <w:spacing w:line="276" w:lineRule="auto"/>
              <w:jc w:val="both"/>
              <w:rPr>
                <w:rFonts w:ascii="Verdana" w:hAnsi="Verdana" w:cs="Arial"/>
                <w:sz w:val="12"/>
                <w:szCs w:val="12"/>
              </w:rPr>
            </w:pPr>
          </w:p>
          <w:p w14:paraId="25BC4E87" w14:textId="77777777" w:rsidR="005156DF" w:rsidRPr="00E278D2" w:rsidRDefault="005156DF" w:rsidP="00CB547E">
            <w:pPr>
              <w:pStyle w:val="Prrafodelista"/>
              <w:widowControl w:val="0"/>
              <w:numPr>
                <w:ilvl w:val="0"/>
                <w:numId w:val="17"/>
              </w:numPr>
              <w:autoSpaceDE w:val="0"/>
              <w:autoSpaceDN w:val="0"/>
              <w:spacing w:line="276" w:lineRule="auto"/>
              <w:jc w:val="both"/>
              <w:rPr>
                <w:rFonts w:ascii="Verdana" w:hAnsi="Verdana" w:cs="Arial"/>
              </w:rPr>
            </w:pPr>
            <w:r>
              <w:rPr>
                <w:rFonts w:ascii="Verdana" w:hAnsi="Verdana" w:cs="Arial"/>
              </w:rPr>
              <w:t xml:space="preserve">Decreto 1082 de 2015, artículos </w:t>
            </w:r>
            <w:r w:rsidRPr="00453ED8">
              <w:rPr>
                <w:rFonts w:ascii="Verdana" w:hAnsi="Verdana" w:cs="Arial"/>
              </w:rPr>
              <w:t>2.2.1.1.2.1.1</w:t>
            </w:r>
            <w:r>
              <w:rPr>
                <w:rFonts w:ascii="Verdana" w:hAnsi="Verdana" w:cs="Arial"/>
              </w:rPr>
              <w:t xml:space="preserve"> y </w:t>
            </w:r>
            <w:r w:rsidRPr="00453ED8">
              <w:rPr>
                <w:rFonts w:ascii="Verdana" w:hAnsi="Verdana" w:cs="Arial"/>
              </w:rPr>
              <w:t>2.2.1.1.1.6.1</w:t>
            </w:r>
            <w:r>
              <w:rPr>
                <w:rFonts w:ascii="Verdana" w:hAnsi="Verdana" w:cs="Arial"/>
              </w:rPr>
              <w:t>.</w:t>
            </w:r>
            <w:r w:rsidRPr="00E278D2">
              <w:rPr>
                <w:rFonts w:ascii="Verdana" w:hAnsi="Verdana" w:cs="Arial"/>
              </w:rPr>
              <w:t xml:space="preserve"> </w:t>
            </w:r>
          </w:p>
        </w:tc>
      </w:tr>
    </w:tbl>
    <w:p w14:paraId="344A37ED" w14:textId="77777777" w:rsidR="005156DF" w:rsidRPr="002407CE" w:rsidRDefault="005156DF" w:rsidP="005156DF">
      <w:pPr>
        <w:widowControl w:val="0"/>
        <w:autoSpaceDE w:val="0"/>
        <w:autoSpaceDN w:val="0"/>
        <w:spacing w:after="0" w:line="276" w:lineRule="auto"/>
        <w:jc w:val="both"/>
        <w:rPr>
          <w:rFonts w:ascii="Verdana" w:hAnsi="Verdana" w:cs="Arial"/>
        </w:rPr>
      </w:pPr>
    </w:p>
    <w:p w14:paraId="1E504C93" w14:textId="77777777" w:rsidR="005156DF" w:rsidRPr="00593A5F" w:rsidRDefault="005156DF" w:rsidP="005156D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9967634" w14:textId="77777777" w:rsidR="005156DF" w:rsidRPr="00593A5F" w:rsidRDefault="005156DF" w:rsidP="005156DF">
      <w:pPr>
        <w:widowControl w:val="0"/>
        <w:autoSpaceDE w:val="0"/>
        <w:autoSpaceDN w:val="0"/>
        <w:spacing w:after="0" w:line="276" w:lineRule="auto"/>
        <w:jc w:val="both"/>
        <w:rPr>
          <w:rFonts w:ascii="Verdana" w:hAnsi="Verdana" w:cs="Arial"/>
        </w:rPr>
      </w:pPr>
    </w:p>
    <w:p w14:paraId="6C415159" w14:textId="77777777" w:rsidR="005156DF" w:rsidRPr="00E278D2" w:rsidRDefault="005156DF" w:rsidP="005156DF">
      <w:pPr>
        <w:widowControl w:val="0"/>
        <w:autoSpaceDE w:val="0"/>
        <w:autoSpaceDN w:val="0"/>
        <w:spacing w:after="0" w:line="276" w:lineRule="auto"/>
        <w:jc w:val="both"/>
        <w:rPr>
          <w:rStyle w:val="normaltextrun"/>
          <w:rFonts w:ascii="Verdana" w:hAnsi="Verdana" w:cs="Arial"/>
          <w:shd w:val="clear" w:color="auto" w:fill="FFFFFF"/>
        </w:rPr>
      </w:pPr>
      <w:r w:rsidRPr="00683260">
        <w:rPr>
          <w:rStyle w:val="normaltextrun"/>
          <w:rFonts w:ascii="Verdana" w:hAnsi="Verdana" w:cs="Arial"/>
          <w:shd w:val="clear" w:color="auto" w:fill="FFFFFF"/>
        </w:rPr>
        <w:t xml:space="preserve">La Agencia Nacional de Contratación Pública – Colombia Compra Eficiente se ha pronunciado en varias ocasiones sobre el AIU en los </w:t>
      </w:r>
      <w:r>
        <w:rPr>
          <w:rStyle w:val="normaltextrun"/>
          <w:rFonts w:ascii="Verdana" w:hAnsi="Verdana" w:cs="Arial"/>
          <w:shd w:val="clear" w:color="auto" w:fill="FFFFFF"/>
        </w:rPr>
        <w:t xml:space="preserve">Conceptos </w:t>
      </w:r>
      <w:r w:rsidRPr="00E278D2">
        <w:rPr>
          <w:rStyle w:val="normaltextrun"/>
          <w:rFonts w:ascii="Verdana" w:hAnsi="Verdana" w:cs="Arial"/>
          <w:shd w:val="clear" w:color="auto" w:fill="FFFFFF"/>
        </w:rPr>
        <w:t>4201714000005136 del 14 de noviembre de 2017; 4201714000006401 del 23 de noviembre de 2017;</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4201813000004155 del 9 de mayo de 2018; 4201814000008069 del 27 de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septiembre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2018;</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4201814000007383</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del</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18</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octubre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2018;</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4201814000008069 del 13 de noviembre de 2018; 4201912000004214 del 26</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junio de 2019; 4201912000006455 y 4201912000006463 del 19 de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septiembre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2019;</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4201912000007375</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del</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28</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octubre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2019;</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4201912000007092 del 29 de noviembre de 2019; 4202012000000093, C–037</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del 28 de enero de 2020, 4202012000000664 del 30 de enero de 2020, C-191 del 16 de marzo de 2020,</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C-211 del 8 de abril de 2020, C-714 del 9 de diciembre</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de 2020, C-059 del 10 de marzo de 2021, C-613 del 6 de octubre de 2022, C-716 de 15 de noviembre de 2022, C-802 de 23 de noviembre de 2022, C-854 del 9 de diciembre de 2022, C-914 del 27 de diciembre de 2022</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C</w:t>
      </w:r>
      <w:r>
        <w:rPr>
          <w:rStyle w:val="normaltextrun"/>
          <w:rFonts w:ascii="Verdana" w:hAnsi="Verdana" w:cs="Arial"/>
          <w:shd w:val="clear" w:color="auto" w:fill="FFFFFF"/>
        </w:rPr>
        <w:t>-</w:t>
      </w:r>
      <w:r w:rsidRPr="00E278D2">
        <w:rPr>
          <w:rStyle w:val="normaltextrun"/>
          <w:rFonts w:ascii="Verdana" w:hAnsi="Verdana" w:cs="Arial"/>
          <w:shd w:val="clear" w:color="auto" w:fill="FFFFFF"/>
        </w:rPr>
        <w:t>361 de septiembre de 2023</w:t>
      </w:r>
      <w:r>
        <w:rPr>
          <w:rStyle w:val="normaltextrun"/>
          <w:rFonts w:ascii="Verdana" w:hAnsi="Verdana" w:cs="Arial"/>
          <w:shd w:val="clear" w:color="auto" w:fill="FFFFFF"/>
        </w:rPr>
        <w:t xml:space="preserve">, </w:t>
      </w:r>
      <w:r w:rsidRPr="00E278D2">
        <w:rPr>
          <w:rStyle w:val="normaltextrun"/>
          <w:rFonts w:ascii="Verdana" w:hAnsi="Verdana" w:cs="Arial"/>
          <w:shd w:val="clear" w:color="auto" w:fill="FFFFFF"/>
        </w:rPr>
        <w:t>C-401 del 27 de septiembre de 202</w:t>
      </w:r>
      <w:r>
        <w:rPr>
          <w:rStyle w:val="normaltextrun"/>
          <w:rFonts w:ascii="Verdana" w:hAnsi="Verdana" w:cs="Arial"/>
          <w:shd w:val="clear" w:color="auto" w:fill="FFFFFF"/>
        </w:rPr>
        <w:t xml:space="preserve">3 y C-455 del 18 de septiembre de 2024, C-248 del 3 de abril de 2025 y C-460 del 18 de junio de 2025. </w:t>
      </w:r>
      <w:r w:rsidRPr="00E278D2">
        <w:rPr>
          <w:rStyle w:val="normaltextrun"/>
          <w:rFonts w:ascii="Verdana" w:hAnsi="Verdana" w:cs="Arial"/>
          <w:shd w:val="clear" w:color="auto" w:fill="FFFFFF"/>
        </w:rPr>
        <w:t>Estos y otros conceptos se encuentran disponibles para consulta en el Sistema de relatoría de la Agencia</w:t>
      </w:r>
      <w:r w:rsidRPr="00A1554D">
        <w:rPr>
          <w:rFonts w:ascii="Verdana" w:hAnsi="Verdana"/>
        </w:rPr>
        <w:t>, al cual puede acceder</w:t>
      </w:r>
      <w:r>
        <w:rPr>
          <w:rFonts w:ascii="Verdana" w:hAnsi="Verdana"/>
        </w:rPr>
        <w:t>se</w:t>
      </w:r>
      <w:r w:rsidRPr="00A1554D">
        <w:rPr>
          <w:rFonts w:ascii="Verdana" w:hAnsi="Verdana"/>
        </w:rPr>
        <w:t xml:space="preserve"> a través del siguiente enlace:</w:t>
      </w:r>
      <w:r w:rsidRPr="00A1554D">
        <w:rPr>
          <w:rStyle w:val="normaltextrun"/>
          <w:rFonts w:ascii="Verdana" w:hAnsi="Verdana" w:cs="Arial"/>
          <w:shd w:val="clear" w:color="auto" w:fill="FFFFFF"/>
          <w:lang w:val="es-ES"/>
        </w:rPr>
        <w:t xml:space="preserve"> </w:t>
      </w:r>
      <w:hyperlink r:id="rId12" w:history="1">
        <w:r w:rsidRPr="00A1554D">
          <w:rPr>
            <w:rStyle w:val="Hipervnculo"/>
            <w:rFonts w:ascii="Verdana" w:hAnsi="Verdana" w:cs="Arial"/>
            <w:shd w:val="clear" w:color="auto" w:fill="FFFFFF"/>
            <w:lang w:val="es-ES"/>
          </w:rPr>
          <w:t>https://relatoria.colombiacompra.gov.co/busqueda/conceptos</w:t>
        </w:r>
      </w:hyperlink>
      <w:r w:rsidRPr="00CD3D06">
        <w:rPr>
          <w:rStyle w:val="normaltextrun"/>
          <w:rFonts w:ascii="Verdana" w:hAnsi="Verdana" w:cs="Arial"/>
          <w:shd w:val="clear" w:color="auto" w:fill="FFFFFF"/>
          <w:lang w:val="es-ES"/>
        </w:rPr>
        <w:t>.</w:t>
      </w:r>
      <w:r>
        <w:rPr>
          <w:rStyle w:val="normaltextrun"/>
          <w:rFonts w:ascii="Verdana" w:hAnsi="Verdana" w:cs="Arial"/>
          <w:color w:val="FF0000"/>
          <w:shd w:val="clear" w:color="auto" w:fill="FFFFFF"/>
          <w:lang w:val="es-ES"/>
        </w:rPr>
        <w:t xml:space="preserve"> </w:t>
      </w:r>
    </w:p>
    <w:p w14:paraId="20DAC6D5" w14:textId="77777777" w:rsidR="005156DF" w:rsidRDefault="005156DF" w:rsidP="005156DF">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040AAAD4" w14:textId="77777777" w:rsidR="005156DF" w:rsidRPr="00E440FD" w:rsidRDefault="005156DF" w:rsidP="005156DF">
      <w:pPr>
        <w:shd w:val="clear" w:color="auto" w:fill="FFFFFF"/>
        <w:spacing w:after="0" w:line="276" w:lineRule="auto"/>
        <w:jc w:val="both"/>
        <w:rPr>
          <w:rFonts w:ascii="Verdana" w:hAnsi="Verdana"/>
          <w:color w:val="467886"/>
          <w:u w:val="single"/>
        </w:rPr>
      </w:pPr>
      <w:r w:rsidRPr="00B83C56">
        <w:rPr>
          <w:rFonts w:ascii="Verdana" w:hAnsi="Verdana"/>
          <w:color w:val="000000"/>
        </w:rPr>
        <w:lastRenderedPageBreak/>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28484B80" w14:textId="77777777" w:rsidR="005156DF" w:rsidRDefault="005156DF" w:rsidP="005156DF">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4A73EC">
        <w:rPr>
          <w:rFonts w:ascii="Verdana" w:hAnsi="Verdana" w:cs="Arial"/>
          <w:color w:val="000000" w:themeColor="text1"/>
          <w:shd w:val="clear" w:color="auto" w:fill="FFFFFF"/>
          <w:lang w:val="es-ES_tradnl"/>
        </w:rPr>
        <w:t xml:space="preserve"> </w:t>
      </w:r>
    </w:p>
    <w:p w14:paraId="78854816" w14:textId="77777777" w:rsidR="005156DF" w:rsidRPr="00116940" w:rsidRDefault="005156DF" w:rsidP="005156DF">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2C2B64FC" w14:textId="77777777" w:rsidR="005156DF" w:rsidRPr="00116940" w:rsidRDefault="005156DF" w:rsidP="005156DF">
      <w:pPr>
        <w:spacing w:after="0"/>
        <w:jc w:val="both"/>
        <w:rPr>
          <w:rFonts w:ascii="Verdana" w:hAnsi="Verdana"/>
        </w:rPr>
      </w:pPr>
    </w:p>
    <w:p w14:paraId="17CDEE18" w14:textId="77777777" w:rsidR="005156DF" w:rsidRPr="00116940" w:rsidRDefault="005156DF" w:rsidP="005156DF">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5233BA54" w14:textId="77777777" w:rsidR="005156DF" w:rsidRPr="00116940" w:rsidRDefault="005156DF" w:rsidP="005156DF">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257FF76B" w14:textId="77777777" w:rsidR="005156DF" w:rsidRPr="00116940" w:rsidRDefault="005156DF" w:rsidP="005156DF">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4">
        <w:r w:rsidRPr="00116940">
          <w:rPr>
            <w:rStyle w:val="Hipervnculo"/>
            <w:rFonts w:ascii="Verdana" w:eastAsia="Verdana" w:hAnsi="Verdana" w:cs="Verdana"/>
            <w:lang w:val="es-MX"/>
          </w:rPr>
          <w:t>ventanilladeradicacion@colombiacompra.gov.co</w:t>
        </w:r>
      </w:hyperlink>
    </w:p>
    <w:p w14:paraId="3943819D" w14:textId="77777777" w:rsidR="005156DF" w:rsidRPr="00116940" w:rsidRDefault="005156DF" w:rsidP="005156DF">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5">
        <w:r w:rsidRPr="00116940">
          <w:rPr>
            <w:rStyle w:val="Hipervnculo"/>
            <w:rFonts w:ascii="Verdana" w:eastAsia="Verdana" w:hAnsi="Verdana" w:cs="Verdana"/>
            <w:lang w:val="es-MX"/>
          </w:rPr>
          <w:t>https://www.colombiacompra.gov.co/pqrsd/informacion-importante-antes-de-formular-una-pqrsd</w:t>
        </w:r>
      </w:hyperlink>
    </w:p>
    <w:p w14:paraId="6DD03149" w14:textId="77777777" w:rsidR="005156DF" w:rsidRPr="00116940" w:rsidRDefault="005156DF" w:rsidP="005156DF">
      <w:pPr>
        <w:spacing w:after="0" w:line="240" w:lineRule="auto"/>
        <w:ind w:left="720"/>
        <w:jc w:val="both"/>
        <w:rPr>
          <w:rFonts w:ascii="Verdana" w:hAnsi="Verdana"/>
        </w:rPr>
      </w:pPr>
    </w:p>
    <w:p w14:paraId="66FFA1C6" w14:textId="77777777" w:rsidR="005156DF" w:rsidRPr="00116940" w:rsidRDefault="005156DF" w:rsidP="005156DF">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6"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77EE041D" w14:textId="77777777" w:rsidR="005156DF" w:rsidRPr="00116940" w:rsidRDefault="005156DF" w:rsidP="005156DF">
      <w:pPr>
        <w:spacing w:after="0" w:line="240" w:lineRule="auto"/>
        <w:rPr>
          <w:rFonts w:ascii="Verdana" w:hAnsi="Verdana"/>
        </w:rPr>
      </w:pPr>
    </w:p>
    <w:p w14:paraId="0120CEEA" w14:textId="77777777" w:rsidR="005156DF" w:rsidRPr="00116940" w:rsidRDefault="005156DF" w:rsidP="005156DF">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62AE9C94" w14:textId="77777777" w:rsidR="005156DF" w:rsidRPr="00116940" w:rsidRDefault="005156DF" w:rsidP="005156DF">
      <w:pPr>
        <w:spacing w:after="0" w:line="240" w:lineRule="auto"/>
        <w:jc w:val="both"/>
        <w:rPr>
          <w:rFonts w:ascii="Verdana" w:hAnsi="Verdana"/>
        </w:rPr>
      </w:pPr>
    </w:p>
    <w:p w14:paraId="5FB9D519" w14:textId="77777777" w:rsidR="005156DF" w:rsidRPr="00116940" w:rsidRDefault="005156DF" w:rsidP="005156DF">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773104A2" w14:textId="77777777" w:rsidR="005156DF" w:rsidRPr="00116940" w:rsidRDefault="005156DF" w:rsidP="005156DF">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2E8BB1EA" w14:textId="77777777" w:rsidR="005156DF" w:rsidRPr="00FA05D1" w:rsidRDefault="005156DF" w:rsidP="005156DF">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4035299C" w14:textId="77777777" w:rsidR="005156DF" w:rsidRPr="00E278D2" w:rsidRDefault="005156DF" w:rsidP="005156DF">
      <w:pPr>
        <w:widowControl w:val="0"/>
        <w:autoSpaceDE w:val="0"/>
        <w:autoSpaceDN w:val="0"/>
        <w:spacing w:after="120" w:line="276" w:lineRule="auto"/>
        <w:jc w:val="both"/>
        <w:rPr>
          <w:rFonts w:ascii="Verdana" w:hAnsi="Verdana" w:cs="Arial"/>
          <w:color w:val="FF0000"/>
          <w:shd w:val="clear" w:color="auto" w:fill="FFFFFF"/>
          <w:lang w:val="es-MX"/>
        </w:rPr>
      </w:pPr>
      <w:r>
        <w:rPr>
          <w:rStyle w:val="normaltextrun"/>
          <w:rFonts w:ascii="Verdana" w:hAnsi="Verdana" w:cs="Arial"/>
          <w:color w:val="FF0000"/>
          <w:shd w:val="clear" w:color="auto" w:fill="FFFFFF"/>
          <w:lang w:val="es-ES"/>
        </w:rPr>
        <w:t xml:space="preserve"> </w:t>
      </w:r>
      <w:r w:rsidRPr="00A1554D">
        <w:rPr>
          <w:rStyle w:val="normaltextrun"/>
          <w:rFonts w:ascii="Verdana" w:hAnsi="Verdana" w:cs="Arial"/>
          <w:color w:val="FF0000"/>
          <w:shd w:val="clear" w:color="auto" w:fill="FFFFFF"/>
          <w:lang w:val="es-ES"/>
        </w:rPr>
        <w:t xml:space="preserve">    </w:t>
      </w:r>
    </w:p>
    <w:p w14:paraId="528A2A13" w14:textId="77777777" w:rsidR="005156DF" w:rsidRPr="00593A5F" w:rsidRDefault="005156DF" w:rsidP="005156DF">
      <w:pPr>
        <w:widowControl w:val="0"/>
        <w:autoSpaceDE w:val="0"/>
        <w:autoSpaceDN w:val="0"/>
        <w:spacing w:after="0" w:line="276" w:lineRule="auto"/>
        <w:jc w:val="both"/>
        <w:rPr>
          <w:rFonts w:ascii="Verdana" w:hAnsi="Verdana" w:cs="Arial"/>
          <w:lang w:val="es-ES_tradnl"/>
        </w:rPr>
      </w:pPr>
      <w:r w:rsidRPr="00593A5F">
        <w:rPr>
          <w:rFonts w:ascii="Verdana" w:hAnsi="Verdana" w:cs="Arial"/>
        </w:rPr>
        <w:lastRenderedPageBreak/>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197D0408" w14:textId="77777777" w:rsidR="005156DF" w:rsidRPr="00593A5F" w:rsidRDefault="005156DF" w:rsidP="005156DF">
      <w:pPr>
        <w:widowControl w:val="0"/>
        <w:autoSpaceDE w:val="0"/>
        <w:autoSpaceDN w:val="0"/>
        <w:spacing w:after="0" w:line="276" w:lineRule="auto"/>
        <w:jc w:val="both"/>
        <w:rPr>
          <w:rFonts w:ascii="Verdana" w:hAnsi="Verdana" w:cs="Arial"/>
        </w:rPr>
      </w:pPr>
    </w:p>
    <w:p w14:paraId="6C10544F" w14:textId="77777777" w:rsidR="005156DF" w:rsidRPr="00593A5F" w:rsidRDefault="005156DF" w:rsidP="005156DF">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497F5DC0" w14:textId="38F65A30" w:rsidR="005156DF" w:rsidRPr="00593A5F" w:rsidRDefault="003F37AB" w:rsidP="005156DF">
      <w:pPr>
        <w:spacing w:line="276" w:lineRule="auto"/>
        <w:jc w:val="center"/>
        <w:rPr>
          <w:rFonts w:ascii="Verdana" w:hAnsi="Verdana" w:cs="Arial"/>
          <w:color w:val="000000"/>
          <w:lang w:val="es-ES_tradnl" w:eastAsia="es-CO"/>
        </w:rPr>
      </w:pPr>
      <w:r>
        <w:rPr>
          <w:noProof/>
        </w:rPr>
        <w:drawing>
          <wp:inline distT="0" distB="0" distL="0" distR="0" wp14:anchorId="5DEEADFD" wp14:editId="2895B8D9">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156DF" w:rsidRPr="00593A5F" w14:paraId="566CBE83" w14:textId="77777777" w:rsidTr="00CB547E">
        <w:trPr>
          <w:trHeight w:val="315"/>
        </w:trPr>
        <w:tc>
          <w:tcPr>
            <w:tcW w:w="893" w:type="dxa"/>
            <w:vAlign w:val="center"/>
            <w:hideMark/>
          </w:tcPr>
          <w:p w14:paraId="363C5CC0" w14:textId="77777777" w:rsidR="005156DF" w:rsidRPr="003751C7" w:rsidRDefault="005156DF" w:rsidP="00CB547E">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4BF0EF6" w14:textId="77777777" w:rsidR="005156DF" w:rsidRPr="00254A7A" w:rsidRDefault="005156DF" w:rsidP="00CB547E">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70ADCBB4" w14:textId="77777777" w:rsidR="005156DF" w:rsidRPr="00254A7A" w:rsidRDefault="005156DF" w:rsidP="00CB547E">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5156DF" w:rsidRPr="00593A5F" w14:paraId="17FEA0F2" w14:textId="77777777" w:rsidTr="00CB547E">
        <w:trPr>
          <w:trHeight w:val="330"/>
        </w:trPr>
        <w:tc>
          <w:tcPr>
            <w:tcW w:w="893" w:type="dxa"/>
            <w:vAlign w:val="center"/>
            <w:hideMark/>
          </w:tcPr>
          <w:p w14:paraId="24D586AD" w14:textId="77777777" w:rsidR="005156DF" w:rsidRPr="003751C7" w:rsidRDefault="005156DF" w:rsidP="00CB547E">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E9C6195" w14:textId="77777777" w:rsidR="005156DF" w:rsidRPr="00254A7A" w:rsidRDefault="005156DF" w:rsidP="00CB547E">
            <w:pPr>
              <w:pStyle w:val="paragraph"/>
              <w:spacing w:after="0"/>
              <w:contextualSpacing/>
              <w:textAlignment w:val="baseline"/>
              <w:rPr>
                <w:rStyle w:val="normaltextrun"/>
                <w:rFonts w:ascii="Verdana" w:hAnsi="Verdana" w:cs="Arial"/>
                <w:sz w:val="16"/>
                <w:szCs w:val="16"/>
                <w:lang w:val="es-ES"/>
              </w:rPr>
            </w:pPr>
            <w:r w:rsidRPr="00254A7A">
              <w:rPr>
                <w:rStyle w:val="normaltextrun"/>
                <w:rFonts w:ascii="Verdana" w:hAnsi="Verdana" w:cs="Arial"/>
                <w:sz w:val="16"/>
                <w:szCs w:val="16"/>
                <w:lang w:val="es-ES"/>
              </w:rPr>
              <w:t>Alejandro Sarmiento Cantillo</w:t>
            </w:r>
          </w:p>
          <w:p w14:paraId="40585696" w14:textId="77777777" w:rsidR="005156DF" w:rsidRPr="00254A7A" w:rsidRDefault="005156DF" w:rsidP="00CB547E">
            <w:pPr>
              <w:pStyle w:val="paragraph"/>
              <w:spacing w:before="0" w:beforeAutospacing="0" w:after="0" w:afterAutospacing="0"/>
              <w:contextualSpacing/>
              <w:textAlignment w:val="baseline"/>
              <w:rPr>
                <w:rFonts w:ascii="Verdana" w:hAnsi="Verdana" w:cs="Segoe UI"/>
                <w:sz w:val="16"/>
                <w:szCs w:val="16"/>
              </w:rPr>
            </w:pPr>
            <w:r w:rsidRPr="00254A7A">
              <w:rPr>
                <w:rStyle w:val="normaltextrun"/>
                <w:rFonts w:ascii="Verdana" w:hAnsi="Verdana" w:cs="Arial"/>
                <w:sz w:val="16"/>
                <w:szCs w:val="16"/>
                <w:lang w:val="es-ES"/>
              </w:rPr>
              <w:t>Gestor T1 ‒ 15 de la Subdirección de Gestión Contractual</w:t>
            </w:r>
            <w:r w:rsidRPr="00254A7A">
              <w:rPr>
                <w:rStyle w:val="eop"/>
                <w:rFonts w:ascii="Verdana" w:hAnsi="Verdana" w:cs="Arial"/>
                <w:sz w:val="16"/>
                <w:szCs w:val="16"/>
              </w:rPr>
              <w:t> </w:t>
            </w:r>
          </w:p>
        </w:tc>
      </w:tr>
      <w:tr w:rsidR="005156DF" w:rsidRPr="00593A5F" w14:paraId="1DAE0620" w14:textId="77777777" w:rsidTr="00CB547E">
        <w:trPr>
          <w:trHeight w:val="300"/>
        </w:trPr>
        <w:tc>
          <w:tcPr>
            <w:tcW w:w="893" w:type="dxa"/>
            <w:vAlign w:val="center"/>
          </w:tcPr>
          <w:p w14:paraId="1E711F56" w14:textId="77777777" w:rsidR="005156DF" w:rsidRPr="003751C7" w:rsidRDefault="005156DF" w:rsidP="00CB547E">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4CBDB4A" w14:textId="77777777" w:rsidR="005156DF" w:rsidRPr="003751C7" w:rsidRDefault="005156DF" w:rsidP="00CB547E">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4BA896CD" w14:textId="77777777" w:rsidR="005156DF" w:rsidRPr="003751C7" w:rsidRDefault="005156DF" w:rsidP="00CB547E">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382DB053" w14:textId="77777777" w:rsidR="005156DF" w:rsidRPr="00593A5F" w:rsidRDefault="005156DF" w:rsidP="005156DF">
      <w:pPr>
        <w:spacing w:after="0" w:line="240" w:lineRule="auto"/>
        <w:rPr>
          <w:rFonts w:ascii="Verdana" w:eastAsia="Times New Roman" w:hAnsi="Verdana" w:cs="Arial"/>
          <w:sz w:val="24"/>
          <w:szCs w:val="24"/>
          <w:lang w:eastAsia="es-ES"/>
        </w:rPr>
      </w:pPr>
    </w:p>
    <w:p w14:paraId="4BD22A8E" w14:textId="77777777" w:rsidR="005156DF" w:rsidRPr="00996186" w:rsidRDefault="005156DF" w:rsidP="005156DF"/>
    <w:p w14:paraId="0F293BF4" w14:textId="3AE43989" w:rsidR="00127233" w:rsidRPr="007B68DB" w:rsidRDefault="00127233" w:rsidP="007B68DB"/>
    <w:sectPr w:rsidR="00127233" w:rsidRPr="007B68DB"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6EDDDB" w14:textId="77777777" w:rsidR="00101402" w:rsidRDefault="00101402" w:rsidP="004A1847">
      <w:pPr>
        <w:spacing w:after="0" w:line="240" w:lineRule="auto"/>
      </w:pPr>
      <w:r>
        <w:separator/>
      </w:r>
    </w:p>
  </w:endnote>
  <w:endnote w:type="continuationSeparator" w:id="0">
    <w:p w14:paraId="37E8B12A" w14:textId="77777777" w:rsidR="00101402" w:rsidRDefault="00101402" w:rsidP="004A1847">
      <w:pPr>
        <w:spacing w:after="0" w:line="240" w:lineRule="auto"/>
      </w:pPr>
      <w:r>
        <w:continuationSeparator/>
      </w:r>
    </w:p>
  </w:endnote>
  <w:endnote w:type="continuationNotice" w:id="1">
    <w:p w14:paraId="07368284" w14:textId="77777777" w:rsidR="00101402" w:rsidRDefault="0010140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C8339B" w:rsidRDefault="356CEDFD" w:rsidP="356CEDFD">
    <w:pPr>
      <w:pBdr>
        <w:top w:val="nil"/>
        <w:left w:val="nil"/>
        <w:bottom w:val="nil"/>
        <w:right w:val="nil"/>
        <w:between w:val="nil"/>
      </w:pBdr>
      <w:tabs>
        <w:tab w:val="center" w:pos="4419"/>
        <w:tab w:val="right" w:pos="8838"/>
        <w:tab w:val="center" w:pos="5400"/>
      </w:tabs>
      <w:spacing w:after="0"/>
      <w:jc w:val="right"/>
      <w:rPr>
        <w:lang w:val="pt-BR"/>
      </w:rPr>
    </w:pPr>
    <w:r w:rsidRPr="00C8339B">
      <w:rPr>
        <w:rFonts w:ascii="Century Gothic" w:eastAsia="Geo" w:hAnsi="Century Gothic" w:cs="Geo"/>
        <w:b/>
        <w:color w:val="000000" w:themeColor="text1"/>
        <w:sz w:val="16"/>
        <w:szCs w:val="16"/>
        <w:lang w:val="pt-BR" w:eastAsia="es-CO"/>
      </w:rPr>
      <w:t xml:space="preserve">Código: </w:t>
    </w:r>
    <w:r w:rsidRPr="00C8339B">
      <w:rPr>
        <w:rFonts w:ascii="Century Gothic" w:eastAsia="Geo" w:hAnsi="Century Gothic" w:cs="Geo"/>
        <w:color w:val="000000" w:themeColor="text1"/>
        <w:sz w:val="16"/>
        <w:szCs w:val="16"/>
        <w:lang w:val="pt-BR" w:eastAsia="es-CO"/>
      </w:rPr>
      <w:t xml:space="preserve">CCE-REC-FM-17 </w:t>
    </w:r>
    <w:r w:rsidRPr="00C8339B">
      <w:rPr>
        <w:rFonts w:ascii="Century Gothic" w:eastAsia="Geo" w:hAnsi="Century Gothic" w:cs="Geo"/>
        <w:b/>
        <w:color w:val="000000" w:themeColor="text1"/>
        <w:sz w:val="16"/>
        <w:szCs w:val="16"/>
        <w:lang w:val="pt-BR" w:eastAsia="es-CO"/>
      </w:rPr>
      <w:t>V</w:t>
    </w:r>
    <w:r w:rsidRPr="00C8339B">
      <w:rPr>
        <w:rFonts w:ascii="Century Gothic" w:eastAsia="Arial Nova" w:hAnsi="Century Gothic" w:cs="Arial Nova"/>
        <w:b/>
        <w:color w:val="000000" w:themeColor="text1"/>
        <w:sz w:val="16"/>
        <w:szCs w:val="16"/>
        <w:lang w:val="pt-BR" w:eastAsia="es-CO"/>
      </w:rPr>
      <w:t xml:space="preserve">: </w:t>
    </w:r>
    <w:r w:rsidRPr="00C8339B">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0760A8" w14:textId="77777777" w:rsidR="00101402" w:rsidRDefault="00101402" w:rsidP="004A1847">
      <w:pPr>
        <w:spacing w:after="0" w:line="240" w:lineRule="auto"/>
      </w:pPr>
      <w:r>
        <w:separator/>
      </w:r>
    </w:p>
  </w:footnote>
  <w:footnote w:type="continuationSeparator" w:id="0">
    <w:p w14:paraId="3DF13AA6" w14:textId="77777777" w:rsidR="00101402" w:rsidRDefault="00101402" w:rsidP="004A1847">
      <w:pPr>
        <w:spacing w:after="0" w:line="240" w:lineRule="auto"/>
      </w:pPr>
      <w:r>
        <w:continuationSeparator/>
      </w:r>
    </w:p>
  </w:footnote>
  <w:footnote w:type="continuationNotice" w:id="1">
    <w:p w14:paraId="0FB2CF1A" w14:textId="77777777" w:rsidR="00101402" w:rsidRDefault="00101402">
      <w:pPr>
        <w:spacing w:after="0" w:line="240" w:lineRule="auto"/>
      </w:pPr>
    </w:p>
  </w:footnote>
  <w:footnote w:id="2">
    <w:p w14:paraId="1B8843CB" w14:textId="77777777" w:rsidR="005156DF" w:rsidRPr="00EA435A" w:rsidRDefault="005156DF" w:rsidP="005156DF">
      <w:pPr>
        <w:pStyle w:val="Textonotapie"/>
        <w:ind w:firstLine="708"/>
        <w:jc w:val="both"/>
        <w:rPr>
          <w:rFonts w:ascii="Verdana" w:hAnsi="Verdana"/>
          <w:sz w:val="16"/>
          <w:szCs w:val="16"/>
          <w:lang w:val="es-CO"/>
        </w:rPr>
      </w:pPr>
      <w:r w:rsidRPr="0050021C">
        <w:rPr>
          <w:rStyle w:val="Refdenotaalpie"/>
          <w:rFonts w:ascii="Verdana" w:hAnsi="Verdana"/>
          <w:sz w:val="16"/>
          <w:szCs w:val="16"/>
        </w:rPr>
        <w:footnoteRef/>
      </w:r>
      <w:r w:rsidRPr="0050021C">
        <w:rPr>
          <w:rFonts w:ascii="Verdana" w:hAnsi="Verdana"/>
          <w:sz w:val="16"/>
          <w:szCs w:val="16"/>
        </w:rPr>
        <w:t xml:space="preserve"> </w:t>
      </w:r>
      <w:r w:rsidRPr="00EA435A">
        <w:rPr>
          <w:rFonts w:ascii="Verdana" w:hAnsi="Verdana"/>
          <w:sz w:val="16"/>
          <w:szCs w:val="16"/>
        </w:rPr>
        <w:t>CONSEJO DE ESTADO. Sección Tercera. Subsección B. Sentencia del 27 de abril de 2011. Rad. 18293. C.P. Ruth Stella Correa Palacio.</w:t>
      </w:r>
    </w:p>
  </w:footnote>
  <w:footnote w:id="3">
    <w:p w14:paraId="559D8B0D" w14:textId="77777777" w:rsidR="005156DF" w:rsidRPr="00104C20" w:rsidRDefault="005156DF" w:rsidP="005156DF">
      <w:pPr>
        <w:pStyle w:val="Textonotapie"/>
        <w:ind w:firstLine="709"/>
        <w:jc w:val="both"/>
        <w:rPr>
          <w:rFonts w:ascii="Verdana" w:eastAsia="Calibri" w:hAnsi="Verdana" w:cs="Arial"/>
          <w:sz w:val="16"/>
          <w:szCs w:val="16"/>
          <w:lang w:val="es-ES_tradnl" w:eastAsia="es-ES_tradnl"/>
        </w:rPr>
      </w:pPr>
      <w:r w:rsidRPr="00104C20">
        <w:rPr>
          <w:rStyle w:val="Refdenotaalpie"/>
          <w:rFonts w:ascii="Verdana" w:hAnsi="Verdana" w:cs="Arial"/>
          <w:sz w:val="16"/>
          <w:szCs w:val="16"/>
        </w:rPr>
        <w:footnoteRef/>
      </w:r>
      <w:r w:rsidRPr="00104C20">
        <w:rPr>
          <w:rFonts w:ascii="Verdana" w:hAnsi="Verdana" w:cs="Arial"/>
          <w:sz w:val="16"/>
          <w:szCs w:val="16"/>
        </w:rPr>
        <w:t xml:space="preserve"> </w:t>
      </w:r>
      <w:r w:rsidRPr="00104C20">
        <w:rPr>
          <w:rFonts w:ascii="Verdana" w:eastAsia="Calibri" w:hAnsi="Verdana" w:cs="Arial"/>
          <w:sz w:val="16"/>
          <w:szCs w:val="16"/>
          <w:lang w:val="es-ES_tradnl" w:eastAsia="es-ES_tradnl"/>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17EC566E" w14:textId="77777777" w:rsidR="005156DF" w:rsidRPr="00104C20" w:rsidRDefault="005156DF" w:rsidP="005156DF">
      <w:pPr>
        <w:pStyle w:val="Textonotapie"/>
        <w:ind w:firstLine="709"/>
        <w:jc w:val="both"/>
        <w:rPr>
          <w:rFonts w:ascii="Verdana" w:hAnsi="Verdana" w:cs="Arial"/>
          <w:sz w:val="16"/>
          <w:szCs w:val="16"/>
          <w:lang w:val="es-ES"/>
        </w:rPr>
      </w:pPr>
      <w:r w:rsidRPr="00104C20">
        <w:rPr>
          <w:rFonts w:ascii="Verdana" w:eastAsia="Calibri" w:hAnsi="Verdana" w:cs="Arial"/>
          <w:sz w:val="16"/>
          <w:szCs w:val="16"/>
          <w:lang w:val="es-ES_tradnl" w:eastAsia="es-ES_tradnl"/>
        </w:rPr>
        <w:t>Sin embargo, en otros negocios, como la obra pública, la concesión y la consultoría, el Estado está acostumbrado a que se desglosen intensamente los costos, exigiendo no sólo el precio total sino una distinción entre los costos directos y los costos indirectos.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ítems que componen el contrato–. Los costos indirectos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 w:id="4">
    <w:p w14:paraId="60BC723B" w14:textId="77777777" w:rsidR="005156DF" w:rsidRPr="00104C20" w:rsidRDefault="005156DF" w:rsidP="005156DF">
      <w:pPr>
        <w:pStyle w:val="Textonotapie"/>
        <w:ind w:firstLine="708"/>
        <w:jc w:val="both"/>
        <w:rPr>
          <w:rFonts w:ascii="Verdana" w:hAnsi="Verdana" w:cs="Arial"/>
          <w:sz w:val="16"/>
          <w:szCs w:val="16"/>
        </w:rPr>
      </w:pPr>
      <w:r w:rsidRPr="00104C20">
        <w:rPr>
          <w:rStyle w:val="Refdenotaalpie"/>
          <w:rFonts w:ascii="Verdana" w:hAnsi="Verdana" w:cs="Arial"/>
          <w:sz w:val="16"/>
          <w:szCs w:val="16"/>
        </w:rPr>
        <w:footnoteRef/>
      </w:r>
      <w:r w:rsidRPr="00104C20">
        <w:rPr>
          <w:rFonts w:ascii="Verdana" w:hAnsi="Verdana" w:cs="Arial"/>
          <w:sz w:val="16"/>
          <w:szCs w:val="16"/>
        </w:rPr>
        <w:t xml:space="preserve"> </w:t>
      </w:r>
      <w:r w:rsidRPr="00104C20">
        <w:rPr>
          <w:rFonts w:ascii="Verdana" w:eastAsia="Calibri" w:hAnsi="Verdana" w:cs="Arial"/>
          <w:sz w:val="16"/>
          <w:szCs w:val="16"/>
          <w:lang w:val="es-ES_tradnl" w:eastAsia="es-ES_tradnl"/>
        </w:rPr>
        <w:t>CONSEJO DE ESTADO. Sección Tercera. Subsección B. Sentencia del 29 de febrero de 2012. Exp. 16371, C.P. Danilo Rojas Betancourth.</w:t>
      </w:r>
    </w:p>
  </w:footnote>
  <w:footnote w:id="5">
    <w:p w14:paraId="38772B15" w14:textId="77777777" w:rsidR="005156DF" w:rsidRPr="00104C20" w:rsidRDefault="005156DF" w:rsidP="005156DF">
      <w:pPr>
        <w:pStyle w:val="Textonotapie"/>
        <w:ind w:firstLine="709"/>
        <w:jc w:val="both"/>
        <w:rPr>
          <w:rFonts w:ascii="Verdana" w:hAnsi="Verdana" w:cs="Arial"/>
          <w:sz w:val="16"/>
          <w:szCs w:val="16"/>
          <w:lang w:val="es-CO"/>
        </w:rPr>
      </w:pPr>
      <w:r w:rsidRPr="00104C20">
        <w:rPr>
          <w:rStyle w:val="Refdenotaalpie"/>
          <w:rFonts w:ascii="Verdana" w:hAnsi="Verdana" w:cs="Arial"/>
          <w:sz w:val="16"/>
          <w:szCs w:val="16"/>
        </w:rPr>
        <w:footnoteRef/>
      </w:r>
      <w:r w:rsidRPr="00104C20">
        <w:rPr>
          <w:rFonts w:ascii="Verdana" w:hAnsi="Verdana" w:cs="Arial"/>
          <w:sz w:val="16"/>
          <w:szCs w:val="16"/>
        </w:rPr>
        <w:t xml:space="preserve"> </w:t>
      </w:r>
      <w:r w:rsidRPr="00104C20">
        <w:rPr>
          <w:rFonts w:ascii="Verdana" w:eastAsia="Calibri" w:hAnsi="Verdana" w:cs="Arial"/>
          <w:sz w:val="16"/>
          <w:szCs w:val="16"/>
          <w:lang w:val="es-ES_tradnl" w:eastAsia="es-ES_tradnl"/>
        </w:rPr>
        <w:t>PINO RICCI, Jorge. El régimen jurídico de los contratos estatales. Universidad Externado de Colombia. Bogotá, 2005. pp. 416.</w:t>
      </w:r>
    </w:p>
  </w:footnote>
  <w:footnote w:id="6">
    <w:p w14:paraId="4EBCA2D0" w14:textId="77777777" w:rsidR="005156DF" w:rsidRPr="00104C20" w:rsidRDefault="005156DF" w:rsidP="005156DF">
      <w:pPr>
        <w:pStyle w:val="Textonotapie"/>
        <w:ind w:firstLine="708"/>
        <w:jc w:val="both"/>
        <w:rPr>
          <w:rFonts w:ascii="Verdana" w:hAnsi="Verdana" w:cs="Arial"/>
          <w:sz w:val="16"/>
          <w:szCs w:val="16"/>
        </w:rPr>
      </w:pPr>
      <w:r w:rsidRPr="00104C20">
        <w:rPr>
          <w:rStyle w:val="Refdenotaalpie"/>
          <w:rFonts w:ascii="Verdana" w:hAnsi="Verdana" w:cs="Arial"/>
          <w:sz w:val="16"/>
          <w:szCs w:val="16"/>
        </w:rPr>
        <w:footnoteRef/>
      </w:r>
      <w:r w:rsidRPr="00104C20">
        <w:rPr>
          <w:rFonts w:ascii="Verdana" w:hAnsi="Verdana" w:cs="Arial"/>
          <w:sz w:val="16"/>
          <w:szCs w:val="16"/>
        </w:rPr>
        <w:t xml:space="preserve"> </w:t>
      </w:r>
      <w:r w:rsidRPr="00104C20">
        <w:rPr>
          <w:rFonts w:ascii="Verdana" w:eastAsia="Calibri" w:hAnsi="Verdana" w:cs="Arial"/>
          <w:sz w:val="16"/>
          <w:szCs w:val="16"/>
          <w:lang w:val="es-ES_tradnl" w:eastAsia="es-ES_tradnl"/>
        </w:rPr>
        <w:t>CONSEJO DE ESTADO. Sección Tercera. Subsección B. Sentencia del 14 de octubre de 2011. Exp. 20811, C.P. Ruth Stella Correa Palacio.</w:t>
      </w:r>
    </w:p>
  </w:footnote>
  <w:footnote w:id="7">
    <w:p w14:paraId="35BEEBC4" w14:textId="77777777" w:rsidR="005156DF" w:rsidRPr="00104C20" w:rsidRDefault="005156DF" w:rsidP="005156DF">
      <w:pPr>
        <w:pStyle w:val="Textonotapie"/>
        <w:ind w:firstLine="708"/>
        <w:jc w:val="both"/>
        <w:rPr>
          <w:rFonts w:ascii="Verdana" w:hAnsi="Verdana" w:cs="Arial"/>
          <w:sz w:val="16"/>
          <w:szCs w:val="16"/>
        </w:rPr>
      </w:pPr>
      <w:r w:rsidRPr="00104C20">
        <w:rPr>
          <w:rStyle w:val="Refdenotaalpie"/>
          <w:rFonts w:ascii="Verdana" w:hAnsi="Verdana" w:cs="Arial"/>
          <w:sz w:val="16"/>
          <w:szCs w:val="16"/>
        </w:rPr>
        <w:footnoteRef/>
      </w:r>
      <w:r w:rsidRPr="00104C20">
        <w:rPr>
          <w:rFonts w:ascii="Verdana" w:hAnsi="Verdana" w:cs="Arial"/>
          <w:sz w:val="16"/>
          <w:szCs w:val="16"/>
        </w:rPr>
        <w:t xml:space="preserve"> </w:t>
      </w:r>
      <w:r w:rsidRPr="00104C20">
        <w:rPr>
          <w:rFonts w:ascii="Verdana" w:eastAsia="Calibri" w:hAnsi="Verdana" w:cs="Arial"/>
          <w:sz w:val="16"/>
          <w:szCs w:val="16"/>
          <w:lang w:val="es-ES_tradnl" w:eastAsia="es-ES_tradnl"/>
        </w:rPr>
        <w:t>CONSEJO DE ESTADO. Sala de Consulta y Servicio Civil. Concepto del 5 de septiembre de 2018, radicado No. 11001-03-06-000-2018-00124-00 C.P. Édgar González López.</w:t>
      </w:r>
    </w:p>
  </w:footnote>
  <w:footnote w:id="8">
    <w:p w14:paraId="78678EBF" w14:textId="77777777" w:rsidR="005156DF" w:rsidRPr="00104C20" w:rsidRDefault="005156DF" w:rsidP="005156DF">
      <w:pPr>
        <w:pStyle w:val="Textonotapie"/>
        <w:ind w:firstLine="708"/>
        <w:jc w:val="both"/>
        <w:rPr>
          <w:rFonts w:ascii="Verdana" w:hAnsi="Verdana" w:cs="Arial"/>
          <w:sz w:val="16"/>
          <w:szCs w:val="16"/>
        </w:rPr>
      </w:pPr>
      <w:r w:rsidRPr="00104C20">
        <w:rPr>
          <w:rStyle w:val="Refdenotaalpie"/>
          <w:rFonts w:ascii="Verdana" w:hAnsi="Verdana" w:cs="Arial"/>
          <w:sz w:val="16"/>
          <w:szCs w:val="16"/>
        </w:rPr>
        <w:footnoteRef/>
      </w:r>
      <w:r w:rsidRPr="00104C20">
        <w:rPr>
          <w:rFonts w:ascii="Verdana" w:hAnsi="Verdana" w:cs="Arial"/>
          <w:sz w:val="16"/>
          <w:szCs w:val="16"/>
        </w:rPr>
        <w:t xml:space="preserve"> </w:t>
      </w:r>
      <w:r w:rsidRPr="00104C20">
        <w:rPr>
          <w:rFonts w:ascii="Verdana" w:eastAsia="Calibri" w:hAnsi="Verdana" w:cs="Arial"/>
          <w:sz w:val="16"/>
          <w:szCs w:val="16"/>
          <w:lang w:val="es-ES_tradnl" w:eastAsia="es-ES_tradnl"/>
        </w:rPr>
        <w:t>“Los costos indirectos incorporados en el A, corresponden como regla general a gastos de la oficina central, honorarios del director de obra, y de personal especializado. Generalmente estos costos pueden estar compartidos con los diversos contratos de obra que en forma simultánea esté ejecutando el contratista. Un ejemplo corresponde a los costos de la oficina central, y de los asesores de proyectos”.</w:t>
      </w:r>
    </w:p>
  </w:footnote>
  <w:footnote w:id="9">
    <w:p w14:paraId="37DC3FB5" w14:textId="77777777" w:rsidR="005156DF" w:rsidRPr="00104C20" w:rsidRDefault="005156DF" w:rsidP="005156DF">
      <w:pPr>
        <w:pStyle w:val="Textonotapie"/>
        <w:ind w:firstLine="708"/>
        <w:jc w:val="both"/>
        <w:rPr>
          <w:rFonts w:ascii="Verdana" w:hAnsi="Verdana" w:cs="Arial"/>
          <w:sz w:val="16"/>
          <w:szCs w:val="16"/>
        </w:rPr>
      </w:pPr>
      <w:r w:rsidRPr="00104C20">
        <w:rPr>
          <w:rStyle w:val="Refdenotaalpie"/>
          <w:rFonts w:ascii="Verdana" w:hAnsi="Verdana" w:cs="Arial"/>
          <w:sz w:val="16"/>
          <w:szCs w:val="16"/>
        </w:rPr>
        <w:footnoteRef/>
      </w:r>
      <w:r w:rsidRPr="00104C20">
        <w:rPr>
          <w:rFonts w:ascii="Verdana" w:hAnsi="Verdana" w:cs="Arial"/>
          <w:sz w:val="16"/>
          <w:szCs w:val="16"/>
        </w:rPr>
        <w:t xml:space="preserve"> </w:t>
      </w:r>
      <w:r w:rsidRPr="00104C20">
        <w:rPr>
          <w:rFonts w:ascii="Verdana" w:eastAsia="Calibri" w:hAnsi="Verdana" w:cs="Arial"/>
          <w:sz w:val="16"/>
          <w:szCs w:val="16"/>
          <w:lang w:val="es-ES_tradnl" w:eastAsia="es-ES_tradnl"/>
        </w:rPr>
        <w:t>“</w:t>
      </w:r>
      <w:r>
        <w:rPr>
          <w:rFonts w:ascii="Verdana" w:eastAsia="Calibri" w:hAnsi="Verdana" w:cs="Arial"/>
          <w:sz w:val="16"/>
          <w:szCs w:val="16"/>
          <w:lang w:val="es-ES_tradnl" w:eastAsia="es-ES_tradnl"/>
        </w:rPr>
        <w:t>[</w:t>
      </w:r>
      <w:r w:rsidRPr="00104C20">
        <w:rPr>
          <w:rFonts w:ascii="Verdana" w:eastAsia="Calibri" w:hAnsi="Verdana" w:cs="Arial"/>
          <w:sz w:val="16"/>
          <w:szCs w:val="16"/>
          <w:lang w:val="es-ES_tradnl" w:eastAsia="es-ES_tradnl"/>
        </w:rPr>
        <w:t>…</w:t>
      </w:r>
      <w:r>
        <w:rPr>
          <w:rFonts w:ascii="Verdana" w:eastAsia="Calibri" w:hAnsi="Verdana" w:cs="Arial"/>
          <w:sz w:val="16"/>
          <w:szCs w:val="16"/>
          <w:lang w:val="es-ES_tradnl" w:eastAsia="es-ES_tradnl"/>
        </w:rPr>
        <w:t xml:space="preserve">] </w:t>
      </w:r>
      <w:r w:rsidRPr="00104C20">
        <w:rPr>
          <w:rFonts w:ascii="Verdana" w:eastAsia="Calibri" w:hAnsi="Verdana" w:cs="Arial"/>
          <w:sz w:val="16"/>
          <w:szCs w:val="16"/>
          <w:lang w:val="es-ES_tradnl" w:eastAsia="es-ES_tradnl"/>
        </w:rPr>
        <w:t>la utilidad es el beneficio económico que pretende percibir el contratista por la ejecución del contrato y por costos de administración se han tenido como tales los que constituyen costos indirectos para la operación del contrato, tales como los gastos de disponibilidad de la organización del contratista; el porcentaje para imprevistos, como su nombre lo indica, está destinado a cubrir los gastos con los que no se contaba y que se presenten durante la ejecución del contrato” (Consejo de Estado. Sección Tercera. Consejero Ponente: Ramiro Saavedra Becerra. Sentencia del 28 de agosto de 2003. Radicado: 17.554).</w:t>
      </w:r>
      <w:r w:rsidRPr="00104C20">
        <w:rPr>
          <w:rFonts w:ascii="Verdana" w:hAnsi="Verdana" w:cs="Arial"/>
          <w:sz w:val="16"/>
          <w:szCs w:val="16"/>
        </w:rPr>
        <w:t xml:space="preserve"> </w:t>
      </w:r>
    </w:p>
  </w:footnote>
  <w:footnote w:id="10">
    <w:p w14:paraId="1784C212" w14:textId="77777777" w:rsidR="005156DF" w:rsidRPr="00104C20" w:rsidRDefault="005156DF" w:rsidP="005156DF">
      <w:pPr>
        <w:pStyle w:val="Textonotapie"/>
        <w:ind w:firstLine="709"/>
        <w:jc w:val="both"/>
        <w:rPr>
          <w:rFonts w:ascii="Verdana" w:eastAsia="Calibri" w:hAnsi="Verdana" w:cs="Arial"/>
          <w:sz w:val="16"/>
          <w:szCs w:val="16"/>
          <w:lang w:val="es-ES_tradnl" w:eastAsia="es-ES_tradnl"/>
        </w:rPr>
      </w:pPr>
      <w:r w:rsidRPr="00104C20">
        <w:rPr>
          <w:rStyle w:val="Refdenotaalpie"/>
          <w:rFonts w:ascii="Verdana" w:hAnsi="Verdana" w:cs="Arial"/>
          <w:sz w:val="16"/>
          <w:szCs w:val="16"/>
        </w:rPr>
        <w:footnoteRef/>
      </w:r>
      <w:r w:rsidRPr="00104C20">
        <w:rPr>
          <w:rFonts w:ascii="Verdana" w:hAnsi="Verdana" w:cs="Arial"/>
          <w:sz w:val="16"/>
          <w:szCs w:val="16"/>
        </w:rPr>
        <w:t xml:space="preserve"> </w:t>
      </w:r>
      <w:r w:rsidRPr="00104C20">
        <w:rPr>
          <w:rFonts w:ascii="Verdana" w:eastAsia="Calibri" w:hAnsi="Verdana" w:cs="Arial"/>
          <w:sz w:val="16"/>
          <w:szCs w:val="16"/>
          <w:lang w:val="es-ES_tradnl" w:eastAsia="es-ES_tradnl"/>
        </w:rPr>
        <w:t>MARÍN, Op. Cit., pp. 64-65.</w:t>
      </w:r>
    </w:p>
  </w:footnote>
  <w:footnote w:id="11">
    <w:p w14:paraId="5B15F2AC" w14:textId="77777777" w:rsidR="005156DF" w:rsidRPr="00104C20" w:rsidRDefault="005156DF" w:rsidP="005156DF">
      <w:pPr>
        <w:pStyle w:val="Textonotapie"/>
        <w:ind w:firstLine="709"/>
        <w:jc w:val="both"/>
        <w:rPr>
          <w:rFonts w:ascii="Verdana" w:hAnsi="Verdana" w:cs="Arial"/>
          <w:sz w:val="16"/>
          <w:szCs w:val="16"/>
          <w:lang w:val="es-ES"/>
        </w:rPr>
      </w:pPr>
      <w:r w:rsidRPr="00104C20">
        <w:rPr>
          <w:rStyle w:val="Refdenotaalpie"/>
          <w:rFonts w:ascii="Verdana" w:hAnsi="Verdana" w:cs="Arial"/>
          <w:sz w:val="16"/>
          <w:szCs w:val="16"/>
        </w:rPr>
        <w:footnoteRef/>
      </w:r>
      <w:r w:rsidRPr="00104C20">
        <w:rPr>
          <w:rFonts w:ascii="Verdana" w:hAnsi="Verdana" w:cs="Arial"/>
          <w:sz w:val="16"/>
          <w:szCs w:val="16"/>
        </w:rPr>
        <w:t xml:space="preserve"> </w:t>
      </w:r>
      <w:r w:rsidRPr="00104C20">
        <w:rPr>
          <w:rFonts w:ascii="Verdana" w:eastAsia="Calibri" w:hAnsi="Verdana" w:cs="Arial"/>
          <w:sz w:val="16"/>
          <w:szCs w:val="16"/>
          <w:lang w:val="es-ES_tradnl" w:eastAsia="es-ES_tradnl"/>
        </w:rPr>
        <w:t>Ibíd., p. 66.</w:t>
      </w:r>
    </w:p>
  </w:footnote>
  <w:footnote w:id="12">
    <w:p w14:paraId="740B8AEC" w14:textId="77777777" w:rsidR="005156DF" w:rsidRPr="00104C20" w:rsidRDefault="005156DF" w:rsidP="005156DF">
      <w:pPr>
        <w:pStyle w:val="Textonotapie"/>
        <w:ind w:firstLine="708"/>
        <w:jc w:val="both"/>
        <w:rPr>
          <w:rFonts w:ascii="Verdana" w:hAnsi="Verdana" w:cs="Arial"/>
          <w:bCs/>
          <w:sz w:val="16"/>
          <w:szCs w:val="16"/>
          <w:lang w:val="es-ES_tradnl"/>
        </w:rPr>
      </w:pPr>
      <w:r w:rsidRPr="00104C20">
        <w:rPr>
          <w:rStyle w:val="Refdenotaalpie"/>
          <w:rFonts w:ascii="Verdana" w:hAnsi="Verdana" w:cs="Arial"/>
          <w:sz w:val="16"/>
          <w:szCs w:val="16"/>
        </w:rPr>
        <w:footnoteRef/>
      </w:r>
      <w:r w:rsidRPr="00104C20">
        <w:rPr>
          <w:rFonts w:ascii="Verdana" w:hAnsi="Verdana" w:cs="Arial"/>
          <w:sz w:val="16"/>
          <w:szCs w:val="16"/>
        </w:rPr>
        <w:t xml:space="preserve"> </w:t>
      </w:r>
      <w:r w:rsidRPr="00104C20">
        <w:rPr>
          <w:rFonts w:ascii="Verdana" w:eastAsia="Calibri" w:hAnsi="Verdana" w:cs="Arial"/>
          <w:sz w:val="16"/>
          <w:szCs w:val="16"/>
          <w:lang w:val="es-ES_tradnl" w:eastAsia="es-ES_tradnl"/>
        </w:rPr>
        <w:t>“Que el porcentaje sea superior o inferior, o que para una empresa sea mayor o menor que para otra, depende de muchas razones, por ejemplo: del personal que se requiera en la obra –unas empresas emplean más o menos que otras–; de la magnitud del trabajo; de las cargas administrativas que cada empresa tienen –pensionados, convenciones colectivas y otros; del tamaño de la misma –mientras más grande es la A tiende a ser mayor; del costo de los campamentos; del transporte del personal; del sitio de las obras –si la empresa tiene un domicilio en el lugar del trabajo su A tiende a ser menor, y si se encuentra en otra ciudad tiende a subir, por ejemplo porque el salario de los ingenieros se incrementa por los viáticos–”. (Ibíd, p. 76).</w:t>
      </w:r>
    </w:p>
  </w:footnote>
  <w:footnote w:id="13">
    <w:p w14:paraId="79DD62C9" w14:textId="77777777" w:rsidR="005156DF" w:rsidRPr="00104C20" w:rsidRDefault="005156DF" w:rsidP="005156DF">
      <w:pPr>
        <w:pStyle w:val="Textonotapie"/>
        <w:ind w:firstLine="708"/>
        <w:jc w:val="both"/>
        <w:rPr>
          <w:rFonts w:ascii="Verdana" w:hAnsi="Verdana" w:cs="Arial"/>
          <w:sz w:val="16"/>
          <w:szCs w:val="16"/>
        </w:rPr>
      </w:pPr>
      <w:r w:rsidRPr="00104C20">
        <w:rPr>
          <w:rStyle w:val="Refdenotaalpie"/>
          <w:rFonts w:ascii="Verdana" w:hAnsi="Verdana" w:cs="Arial"/>
          <w:sz w:val="16"/>
          <w:szCs w:val="16"/>
        </w:rPr>
        <w:footnoteRef/>
      </w:r>
      <w:r w:rsidRPr="00104C20">
        <w:rPr>
          <w:rFonts w:ascii="Verdana" w:hAnsi="Verdana" w:cs="Arial"/>
          <w:sz w:val="16"/>
          <w:szCs w:val="16"/>
        </w:rPr>
        <w:t xml:space="preserve"> </w:t>
      </w:r>
      <w:r w:rsidRPr="00104C20">
        <w:rPr>
          <w:rFonts w:ascii="Verdana" w:eastAsia="Calibri" w:hAnsi="Verdana" w:cs="Arial"/>
          <w:sz w:val="16"/>
          <w:szCs w:val="16"/>
          <w:lang w:val="es-ES_tradnl" w:eastAsia="es-ES_tradnl"/>
        </w:rPr>
        <w:t>Lo anterior, sin perjuicio de las fórmulas de reajuste que se establezcan en el contrato y lo establecido en el artículo 27 de la Ley 80 de 1993. En tal sentido, en los casos de desequilibrio económico, porque los costos indirectos en los que incurre el contratista exceden el alea normal, es decir, le causan una afectación grave de su economía, podría exigirle a la entidad que le pague más de lo que se estipuló en la A o en la I, siendo esta una circunstancia extraordinaria.</w:t>
      </w:r>
    </w:p>
  </w:footnote>
  <w:footnote w:id="14">
    <w:p w14:paraId="3D23BE2B" w14:textId="77777777" w:rsidR="005156DF" w:rsidRPr="009100BB" w:rsidRDefault="005156DF" w:rsidP="005156DF">
      <w:pPr>
        <w:pStyle w:val="Textonotapie"/>
        <w:ind w:firstLine="708"/>
        <w:jc w:val="both"/>
        <w:rPr>
          <w:rFonts w:ascii="Verdana" w:hAnsi="Verdana"/>
          <w:sz w:val="16"/>
          <w:szCs w:val="16"/>
          <w:lang w:val="es-CO"/>
        </w:rPr>
      </w:pPr>
      <w:r w:rsidRPr="009100BB">
        <w:rPr>
          <w:rStyle w:val="Refdenotaalpie"/>
          <w:rFonts w:ascii="Verdana" w:hAnsi="Verdana"/>
          <w:sz w:val="16"/>
          <w:szCs w:val="16"/>
        </w:rPr>
        <w:footnoteRef/>
      </w:r>
      <w:r w:rsidRPr="009100BB">
        <w:rPr>
          <w:rFonts w:ascii="Verdana" w:hAnsi="Verdana"/>
          <w:sz w:val="16"/>
          <w:szCs w:val="16"/>
        </w:rPr>
        <w:t xml:space="preserve"> MAR</w:t>
      </w:r>
      <w:r>
        <w:rPr>
          <w:rFonts w:ascii="Verdana" w:hAnsi="Verdana"/>
          <w:sz w:val="16"/>
          <w:szCs w:val="16"/>
        </w:rPr>
        <w:t>ÍN CORTÉS, Fabián G. El precio. Medellín: Editorial Jurídica Sánchez R LTDA y Centro de Estudios de Derecho Administrativo, 2012. pp. 59-63.</w:t>
      </w:r>
    </w:p>
  </w:footnote>
  <w:footnote w:id="15">
    <w:p w14:paraId="1F4348EC" w14:textId="77777777" w:rsidR="005156DF" w:rsidRPr="00D87760" w:rsidRDefault="005156DF" w:rsidP="005156DF">
      <w:pPr>
        <w:pStyle w:val="Textonotapie"/>
        <w:ind w:firstLine="708"/>
        <w:contextualSpacing/>
        <w:jc w:val="both"/>
        <w:rPr>
          <w:rFonts w:ascii="Verdana" w:eastAsia="Times New Roman" w:hAnsi="Verdana" w:cs="Arial"/>
          <w:color w:val="000000" w:themeColor="text1"/>
          <w:sz w:val="16"/>
          <w:szCs w:val="16"/>
          <w:lang w:eastAsia="es-ES_tradnl"/>
        </w:rPr>
      </w:pPr>
      <w:r w:rsidRPr="00D87760">
        <w:rPr>
          <w:rStyle w:val="Refdenotaalpie"/>
          <w:rFonts w:ascii="Verdana" w:hAnsi="Verdana" w:cs="Arial"/>
          <w:color w:val="000000" w:themeColor="text1"/>
          <w:sz w:val="16"/>
          <w:szCs w:val="16"/>
        </w:rPr>
        <w:footnoteRef/>
      </w:r>
      <w:r w:rsidRPr="00D87760">
        <w:rPr>
          <w:rFonts w:ascii="Verdana" w:hAnsi="Verdana" w:cs="Arial"/>
          <w:color w:val="000000" w:themeColor="text1"/>
          <w:sz w:val="16"/>
          <w:szCs w:val="16"/>
        </w:rPr>
        <w:t xml:space="preserve"> </w:t>
      </w:r>
      <w:r>
        <w:rPr>
          <w:rFonts w:ascii="Verdana" w:eastAsia="Times New Roman" w:hAnsi="Verdana" w:cs="Arial"/>
          <w:color w:val="000000" w:themeColor="text1"/>
          <w:sz w:val="16"/>
          <w:szCs w:val="16"/>
          <w:lang w:eastAsia="es-ES_tradnl"/>
        </w:rPr>
        <w:t>“</w:t>
      </w:r>
      <w:r w:rsidRPr="00D87760">
        <w:rPr>
          <w:rFonts w:ascii="Verdana" w:eastAsia="Times New Roman" w:hAnsi="Verdana" w:cs="Arial"/>
          <w:color w:val="000000" w:themeColor="text1"/>
          <w:sz w:val="16"/>
          <w:szCs w:val="16"/>
          <w:lang w:eastAsia="es-ES_tradnl"/>
        </w:rPr>
        <w:t>La igualdad tiene un triple rol en el ordenamiento constitucional: el de valor, el de principio y el de derecho</w:t>
      </w:r>
      <w:bookmarkStart w:id="5" w:name="_ftnref57"/>
      <w:bookmarkEnd w:id="5"/>
      <w:r w:rsidRPr="00D87760">
        <w:rPr>
          <w:rFonts w:ascii="Verdana" w:eastAsia="Times New Roman" w:hAnsi="Verdana" w:cs="Arial"/>
          <w:color w:val="000000" w:themeColor="text1"/>
          <w:sz w:val="16"/>
          <w:szCs w:val="16"/>
          <w:lang w:eastAsia="es-ES_tradnl"/>
        </w:rPr>
        <w:t>. En tanto valor, la igualdad es una norma que establece fines, dirigidos a todas las autoridades creadoras del derecho y en especial al legislador; en tanto principio, la igualdad es una norma que establece un deber ser específico y, por tanto, se trata de una norma de mayor eficacia que debe ser aplicada de manera directa e inmediata por el legislador o por el juez; en tanto derecho, la igualdad es un derecho subjetivo que “se concreta en deberes de abstención como la prohibición de la discriminación y en obligaciones de acción como la consagración de tratos favorables para los grupos que se encuentran en debilidad manifiesta. La correcta aplicación del derecho a la igualdad no sólo supone la igualdad de trato respecto de los privilegios, oportunidades y cargas entre los iguales, sino también el tratamiento desigual entre supuestos disímiles</w:t>
      </w:r>
      <w:r>
        <w:rPr>
          <w:rFonts w:ascii="Verdana" w:eastAsia="Times New Roman" w:hAnsi="Verdana" w:cs="Arial"/>
          <w:color w:val="000000" w:themeColor="text1"/>
          <w:sz w:val="16"/>
          <w:szCs w:val="16"/>
          <w:lang w:eastAsia="es-ES_tradnl"/>
        </w:rPr>
        <w:t>”</w:t>
      </w:r>
      <w:r w:rsidRPr="00D87760">
        <w:rPr>
          <w:rFonts w:ascii="Verdana" w:eastAsia="Times New Roman" w:hAnsi="Verdana" w:cs="Arial"/>
          <w:color w:val="000000" w:themeColor="text1"/>
          <w:sz w:val="16"/>
          <w:szCs w:val="16"/>
          <w:lang w:eastAsia="es-ES_tradnl"/>
        </w:rPr>
        <w:t xml:space="preserve">. Corte Constitucional. Sentencia C-811 de 2014. M.P. Mauricio González Cuervo. </w:t>
      </w:r>
    </w:p>
  </w:footnote>
  <w:footnote w:id="16">
    <w:p w14:paraId="73513C48" w14:textId="77777777" w:rsidR="005156DF" w:rsidRPr="00D87760" w:rsidRDefault="005156DF" w:rsidP="005156DF">
      <w:pPr>
        <w:pStyle w:val="Textonotapie"/>
        <w:ind w:firstLine="708"/>
        <w:contextualSpacing/>
        <w:jc w:val="both"/>
        <w:rPr>
          <w:rFonts w:ascii="Verdana" w:eastAsia="Times New Roman" w:hAnsi="Verdana" w:cs="Arial"/>
          <w:color w:val="000000" w:themeColor="text1"/>
          <w:sz w:val="16"/>
          <w:szCs w:val="16"/>
          <w:lang w:eastAsia="es-ES_tradnl"/>
        </w:rPr>
      </w:pPr>
      <w:r w:rsidRPr="00D87760">
        <w:rPr>
          <w:rStyle w:val="Refdenotaalpie"/>
          <w:rFonts w:ascii="Verdana" w:hAnsi="Verdana" w:cs="Arial"/>
          <w:color w:val="000000" w:themeColor="text1"/>
          <w:sz w:val="16"/>
          <w:szCs w:val="16"/>
        </w:rPr>
        <w:footnoteRef/>
      </w:r>
      <w:r w:rsidRPr="00D87760">
        <w:rPr>
          <w:rFonts w:ascii="Verdana" w:hAnsi="Verdana" w:cs="Arial"/>
          <w:color w:val="000000" w:themeColor="text1"/>
          <w:sz w:val="16"/>
          <w:szCs w:val="16"/>
        </w:rPr>
        <w:t xml:space="preserve"> </w:t>
      </w:r>
      <w:r w:rsidRPr="00D87760">
        <w:rPr>
          <w:rFonts w:ascii="Verdana" w:eastAsia="Times New Roman" w:hAnsi="Verdana" w:cs="Arial"/>
          <w:color w:val="000000" w:themeColor="text1"/>
          <w:sz w:val="16"/>
          <w:szCs w:val="16"/>
          <w:lang w:eastAsia="es-ES_tradnl"/>
        </w:rPr>
        <w:t xml:space="preserve">Consejo de Estado. Sección Tercera. Sentencia del 19 de julio de 2001. Rad. 1996-3771-01 (12.037). C.P. Alier Eduardo Hernández Enríquez. </w:t>
      </w:r>
    </w:p>
  </w:footnote>
  <w:footnote w:id="17">
    <w:p w14:paraId="0E8278FD" w14:textId="77777777" w:rsidR="005156DF" w:rsidRPr="00D87760" w:rsidRDefault="005156DF" w:rsidP="005156DF">
      <w:pPr>
        <w:pStyle w:val="Textonotapie"/>
        <w:ind w:firstLine="708"/>
        <w:contextualSpacing/>
        <w:jc w:val="both"/>
        <w:rPr>
          <w:rFonts w:ascii="Verdana" w:hAnsi="Verdana" w:cs="Arial"/>
          <w:color w:val="000000" w:themeColor="text1"/>
          <w:sz w:val="16"/>
          <w:szCs w:val="16"/>
        </w:rPr>
      </w:pPr>
      <w:r w:rsidRPr="00D87760">
        <w:rPr>
          <w:rStyle w:val="Refdenotaalpie"/>
          <w:rFonts w:ascii="Verdana" w:hAnsi="Verdana" w:cs="Arial"/>
          <w:color w:val="000000" w:themeColor="text1"/>
          <w:sz w:val="16"/>
          <w:szCs w:val="16"/>
        </w:rPr>
        <w:footnoteRef/>
      </w:r>
      <w:r w:rsidRPr="00D87760">
        <w:rPr>
          <w:rFonts w:ascii="Verdana" w:hAnsi="Verdana" w:cs="Arial"/>
          <w:color w:val="000000" w:themeColor="text1"/>
          <w:sz w:val="16"/>
          <w:szCs w:val="16"/>
        </w:rPr>
        <w:t xml:space="preserve"> </w:t>
      </w:r>
      <w:r w:rsidRPr="00D87760">
        <w:rPr>
          <w:rFonts w:ascii="Verdana" w:eastAsia="Times New Roman" w:hAnsi="Verdana" w:cs="Arial"/>
          <w:color w:val="000000" w:themeColor="text1"/>
          <w:sz w:val="16"/>
          <w:szCs w:val="16"/>
          <w:lang w:eastAsia="es-ES_tradnl"/>
        </w:rPr>
        <w:t>Corte Constitucional. Sentencia C-862 de 2008. M.P. Marco Gerardo Monroy Cabra.</w:t>
      </w:r>
      <w:r w:rsidRPr="00D87760">
        <w:rPr>
          <w:rFonts w:ascii="Verdana" w:hAnsi="Verdana" w:cs="Arial"/>
          <w:color w:val="000000" w:themeColor="text1"/>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0" type="#_x0000_t75" style="width:7.45pt;height:7.4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7FB6"/>
    <w:rsid w:val="00016F78"/>
    <w:rsid w:val="00034AD1"/>
    <w:rsid w:val="00034F7C"/>
    <w:rsid w:val="00046945"/>
    <w:rsid w:val="00061B2A"/>
    <w:rsid w:val="00062F7A"/>
    <w:rsid w:val="000708D0"/>
    <w:rsid w:val="00082362"/>
    <w:rsid w:val="000A683E"/>
    <w:rsid w:val="000A7E9B"/>
    <w:rsid w:val="000B19B9"/>
    <w:rsid w:val="000B7B2C"/>
    <w:rsid w:val="000D0334"/>
    <w:rsid w:val="000D5DA7"/>
    <w:rsid w:val="000E4B88"/>
    <w:rsid w:val="000F6486"/>
    <w:rsid w:val="00101402"/>
    <w:rsid w:val="001146EB"/>
    <w:rsid w:val="00116940"/>
    <w:rsid w:val="00125105"/>
    <w:rsid w:val="00125C2B"/>
    <w:rsid w:val="00127233"/>
    <w:rsid w:val="00131C1C"/>
    <w:rsid w:val="0015699B"/>
    <w:rsid w:val="00180CC9"/>
    <w:rsid w:val="0018480E"/>
    <w:rsid w:val="00192C9B"/>
    <w:rsid w:val="001A33BF"/>
    <w:rsid w:val="001B4C2F"/>
    <w:rsid w:val="001E2E03"/>
    <w:rsid w:val="001E3ACD"/>
    <w:rsid w:val="001E3D24"/>
    <w:rsid w:val="001E4177"/>
    <w:rsid w:val="001F0B24"/>
    <w:rsid w:val="001F7D85"/>
    <w:rsid w:val="001F7DC6"/>
    <w:rsid w:val="002119A5"/>
    <w:rsid w:val="00211F54"/>
    <w:rsid w:val="0022400B"/>
    <w:rsid w:val="002421BB"/>
    <w:rsid w:val="0025783A"/>
    <w:rsid w:val="0025796E"/>
    <w:rsid w:val="002707A2"/>
    <w:rsid w:val="00270AEE"/>
    <w:rsid w:val="002951A0"/>
    <w:rsid w:val="0029572B"/>
    <w:rsid w:val="002962BC"/>
    <w:rsid w:val="002A093D"/>
    <w:rsid w:val="002A0DD0"/>
    <w:rsid w:val="002A1863"/>
    <w:rsid w:val="002A49AC"/>
    <w:rsid w:val="002A64FD"/>
    <w:rsid w:val="002B5E7A"/>
    <w:rsid w:val="002C748B"/>
    <w:rsid w:val="002C7A84"/>
    <w:rsid w:val="002D57CB"/>
    <w:rsid w:val="002E2BF8"/>
    <w:rsid w:val="002E4FD9"/>
    <w:rsid w:val="00305164"/>
    <w:rsid w:val="003057D1"/>
    <w:rsid w:val="0030657A"/>
    <w:rsid w:val="00322A85"/>
    <w:rsid w:val="00324168"/>
    <w:rsid w:val="00330834"/>
    <w:rsid w:val="00342FCC"/>
    <w:rsid w:val="003443BA"/>
    <w:rsid w:val="003448F4"/>
    <w:rsid w:val="00356A3E"/>
    <w:rsid w:val="00364601"/>
    <w:rsid w:val="00374F5E"/>
    <w:rsid w:val="00377E3E"/>
    <w:rsid w:val="003A779E"/>
    <w:rsid w:val="003D0F4D"/>
    <w:rsid w:val="003D5B0D"/>
    <w:rsid w:val="003E0499"/>
    <w:rsid w:val="003E4F80"/>
    <w:rsid w:val="003E6439"/>
    <w:rsid w:val="003E65C5"/>
    <w:rsid w:val="003F37AB"/>
    <w:rsid w:val="003F3941"/>
    <w:rsid w:val="003F7165"/>
    <w:rsid w:val="0040481C"/>
    <w:rsid w:val="00406575"/>
    <w:rsid w:val="00414C74"/>
    <w:rsid w:val="0042722E"/>
    <w:rsid w:val="0044528D"/>
    <w:rsid w:val="00466E39"/>
    <w:rsid w:val="00474728"/>
    <w:rsid w:val="0049487F"/>
    <w:rsid w:val="004A1847"/>
    <w:rsid w:val="004A305D"/>
    <w:rsid w:val="004C518A"/>
    <w:rsid w:val="004F21C4"/>
    <w:rsid w:val="004F685F"/>
    <w:rsid w:val="00501D37"/>
    <w:rsid w:val="005156DF"/>
    <w:rsid w:val="005367B0"/>
    <w:rsid w:val="005566E8"/>
    <w:rsid w:val="00566768"/>
    <w:rsid w:val="00574867"/>
    <w:rsid w:val="00574B21"/>
    <w:rsid w:val="00591460"/>
    <w:rsid w:val="005A0D84"/>
    <w:rsid w:val="005A65E0"/>
    <w:rsid w:val="005A70E1"/>
    <w:rsid w:val="005B45EA"/>
    <w:rsid w:val="005C02DF"/>
    <w:rsid w:val="005C3777"/>
    <w:rsid w:val="005C430E"/>
    <w:rsid w:val="005C5CDC"/>
    <w:rsid w:val="005D476C"/>
    <w:rsid w:val="005E5163"/>
    <w:rsid w:val="006200BF"/>
    <w:rsid w:val="006219F8"/>
    <w:rsid w:val="006302F7"/>
    <w:rsid w:val="00646B9F"/>
    <w:rsid w:val="006474CD"/>
    <w:rsid w:val="00653292"/>
    <w:rsid w:val="00665D70"/>
    <w:rsid w:val="00675B26"/>
    <w:rsid w:val="006900D9"/>
    <w:rsid w:val="007063F6"/>
    <w:rsid w:val="00706C16"/>
    <w:rsid w:val="00722538"/>
    <w:rsid w:val="007340C3"/>
    <w:rsid w:val="0075235A"/>
    <w:rsid w:val="00756841"/>
    <w:rsid w:val="007649AB"/>
    <w:rsid w:val="00771D0C"/>
    <w:rsid w:val="007833AC"/>
    <w:rsid w:val="007B268C"/>
    <w:rsid w:val="007B68DB"/>
    <w:rsid w:val="007B7171"/>
    <w:rsid w:val="007C0C0F"/>
    <w:rsid w:val="007C307C"/>
    <w:rsid w:val="007C3DC2"/>
    <w:rsid w:val="007E5497"/>
    <w:rsid w:val="007E79DE"/>
    <w:rsid w:val="00806F5F"/>
    <w:rsid w:val="0081505B"/>
    <w:rsid w:val="00820278"/>
    <w:rsid w:val="008258C9"/>
    <w:rsid w:val="00842F73"/>
    <w:rsid w:val="00844AE9"/>
    <w:rsid w:val="00851E6E"/>
    <w:rsid w:val="00867F95"/>
    <w:rsid w:val="008843B6"/>
    <w:rsid w:val="00891928"/>
    <w:rsid w:val="0089277F"/>
    <w:rsid w:val="00893DF2"/>
    <w:rsid w:val="008A446D"/>
    <w:rsid w:val="008B25F1"/>
    <w:rsid w:val="008B5E42"/>
    <w:rsid w:val="008D180B"/>
    <w:rsid w:val="008D23A0"/>
    <w:rsid w:val="008F0EA7"/>
    <w:rsid w:val="00923EEF"/>
    <w:rsid w:val="009419F9"/>
    <w:rsid w:val="00942995"/>
    <w:rsid w:val="0095685E"/>
    <w:rsid w:val="00961B09"/>
    <w:rsid w:val="009634E1"/>
    <w:rsid w:val="00965334"/>
    <w:rsid w:val="0097093E"/>
    <w:rsid w:val="00971BCF"/>
    <w:rsid w:val="00985709"/>
    <w:rsid w:val="009A0DFA"/>
    <w:rsid w:val="009A1C6F"/>
    <w:rsid w:val="009A1D2E"/>
    <w:rsid w:val="009B2D26"/>
    <w:rsid w:val="009C0A9E"/>
    <w:rsid w:val="009C51E9"/>
    <w:rsid w:val="009C71FA"/>
    <w:rsid w:val="009C72E7"/>
    <w:rsid w:val="009C7F7E"/>
    <w:rsid w:val="009D3058"/>
    <w:rsid w:val="009E71B6"/>
    <w:rsid w:val="009F3A13"/>
    <w:rsid w:val="00A0013F"/>
    <w:rsid w:val="00A122D3"/>
    <w:rsid w:val="00A14468"/>
    <w:rsid w:val="00A14749"/>
    <w:rsid w:val="00A17E16"/>
    <w:rsid w:val="00A17F13"/>
    <w:rsid w:val="00A20739"/>
    <w:rsid w:val="00A23AF9"/>
    <w:rsid w:val="00A2514E"/>
    <w:rsid w:val="00A33C78"/>
    <w:rsid w:val="00A34F4C"/>
    <w:rsid w:val="00AA4EF0"/>
    <w:rsid w:val="00AB0ADB"/>
    <w:rsid w:val="00AB262A"/>
    <w:rsid w:val="00AB6F64"/>
    <w:rsid w:val="00AB7E13"/>
    <w:rsid w:val="00B00C0E"/>
    <w:rsid w:val="00B01B1A"/>
    <w:rsid w:val="00B0381D"/>
    <w:rsid w:val="00B2116C"/>
    <w:rsid w:val="00B44A47"/>
    <w:rsid w:val="00B46CAC"/>
    <w:rsid w:val="00B72CD3"/>
    <w:rsid w:val="00B72FFF"/>
    <w:rsid w:val="00B7464C"/>
    <w:rsid w:val="00BA27EA"/>
    <w:rsid w:val="00BA68AA"/>
    <w:rsid w:val="00BC3D36"/>
    <w:rsid w:val="00BD43C0"/>
    <w:rsid w:val="00BD54A6"/>
    <w:rsid w:val="00BD7F72"/>
    <w:rsid w:val="00BF7425"/>
    <w:rsid w:val="00C04FB3"/>
    <w:rsid w:val="00C11D8B"/>
    <w:rsid w:val="00C15139"/>
    <w:rsid w:val="00C330EB"/>
    <w:rsid w:val="00C50D69"/>
    <w:rsid w:val="00C5365C"/>
    <w:rsid w:val="00C63571"/>
    <w:rsid w:val="00C754BE"/>
    <w:rsid w:val="00C76B1C"/>
    <w:rsid w:val="00C8339B"/>
    <w:rsid w:val="00C83931"/>
    <w:rsid w:val="00C925AC"/>
    <w:rsid w:val="00C97793"/>
    <w:rsid w:val="00CA2AA2"/>
    <w:rsid w:val="00CA3608"/>
    <w:rsid w:val="00CB547E"/>
    <w:rsid w:val="00CB6357"/>
    <w:rsid w:val="00CC1B26"/>
    <w:rsid w:val="00CC2554"/>
    <w:rsid w:val="00CC527E"/>
    <w:rsid w:val="00CF146C"/>
    <w:rsid w:val="00D137D9"/>
    <w:rsid w:val="00D361FD"/>
    <w:rsid w:val="00D40A24"/>
    <w:rsid w:val="00D423A2"/>
    <w:rsid w:val="00D44E26"/>
    <w:rsid w:val="00D520D8"/>
    <w:rsid w:val="00D63AC2"/>
    <w:rsid w:val="00D7383B"/>
    <w:rsid w:val="00D73EAD"/>
    <w:rsid w:val="00D7788A"/>
    <w:rsid w:val="00D95BFA"/>
    <w:rsid w:val="00DA231B"/>
    <w:rsid w:val="00DC39FC"/>
    <w:rsid w:val="00DF5254"/>
    <w:rsid w:val="00E02524"/>
    <w:rsid w:val="00E16408"/>
    <w:rsid w:val="00E20894"/>
    <w:rsid w:val="00E245AB"/>
    <w:rsid w:val="00E2764C"/>
    <w:rsid w:val="00E27F2E"/>
    <w:rsid w:val="00E37B21"/>
    <w:rsid w:val="00E40774"/>
    <w:rsid w:val="00E50AFE"/>
    <w:rsid w:val="00E74FDE"/>
    <w:rsid w:val="00E75C92"/>
    <w:rsid w:val="00E771DC"/>
    <w:rsid w:val="00E8144A"/>
    <w:rsid w:val="00E8772A"/>
    <w:rsid w:val="00E90F6B"/>
    <w:rsid w:val="00E92C27"/>
    <w:rsid w:val="00EA0E3D"/>
    <w:rsid w:val="00EA65B7"/>
    <w:rsid w:val="00EC38A7"/>
    <w:rsid w:val="00EE1AA8"/>
    <w:rsid w:val="00EF44FF"/>
    <w:rsid w:val="00F23432"/>
    <w:rsid w:val="00F23FEA"/>
    <w:rsid w:val="00F2431C"/>
    <w:rsid w:val="00F251DF"/>
    <w:rsid w:val="00F260E7"/>
    <w:rsid w:val="00F31EDC"/>
    <w:rsid w:val="00F462B3"/>
    <w:rsid w:val="00F5664F"/>
    <w:rsid w:val="00F666C4"/>
    <w:rsid w:val="00F76AFC"/>
    <w:rsid w:val="00F84D43"/>
    <w:rsid w:val="00FA47C0"/>
    <w:rsid w:val="00FB5DD1"/>
    <w:rsid w:val="00FC2B5D"/>
    <w:rsid w:val="00FF10AC"/>
    <w:rsid w:val="00FF1449"/>
    <w:rsid w:val="00FF7963"/>
    <w:rsid w:val="09908A09"/>
    <w:rsid w:val="13CFC91B"/>
    <w:rsid w:val="19A2EC2C"/>
    <w:rsid w:val="2858887B"/>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0F4E95DB-7A53-8343-A5C9-663349024A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156D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156DF"/>
    <w:rPr>
      <w:rFonts w:ascii="Geomanist Light" w:hAnsi="Geomanist Light"/>
      <w:lang w:val="es-ES"/>
    </w:rPr>
  </w:style>
  <w:style w:type="paragraph" w:styleId="Sinespaciado">
    <w:name w:val="No Spacing"/>
    <w:aliases w:val="No Indent"/>
    <w:uiPriority w:val="3"/>
    <w:qFormat/>
    <w:rsid w:val="005156DF"/>
    <w:pPr>
      <w:spacing w:after="0" w:line="240" w:lineRule="auto"/>
    </w:pPr>
    <w:rPr>
      <w:sz w:val="24"/>
      <w:lang w:val="es-MX"/>
    </w:rPr>
  </w:style>
  <w:style w:type="character" w:styleId="Refdecomentario">
    <w:name w:val="annotation reference"/>
    <w:basedOn w:val="Fuentedeprrafopredeter"/>
    <w:uiPriority w:val="99"/>
    <w:semiHidden/>
    <w:unhideWhenUsed/>
    <w:rsid w:val="008D23A0"/>
    <w:rPr>
      <w:sz w:val="16"/>
      <w:szCs w:val="16"/>
    </w:rPr>
  </w:style>
  <w:style w:type="paragraph" w:styleId="Textocomentario">
    <w:name w:val="annotation text"/>
    <w:basedOn w:val="Normal"/>
    <w:link w:val="TextocomentarioCar"/>
    <w:uiPriority w:val="99"/>
    <w:unhideWhenUsed/>
    <w:rsid w:val="008D23A0"/>
    <w:pPr>
      <w:spacing w:line="240" w:lineRule="auto"/>
    </w:pPr>
    <w:rPr>
      <w:sz w:val="20"/>
      <w:szCs w:val="20"/>
    </w:rPr>
  </w:style>
  <w:style w:type="character" w:customStyle="1" w:styleId="TextocomentarioCar">
    <w:name w:val="Texto comentario Car"/>
    <w:basedOn w:val="Fuentedeprrafopredeter"/>
    <w:link w:val="Textocomentario"/>
    <w:uiPriority w:val="99"/>
    <w:rsid w:val="008D23A0"/>
    <w:rPr>
      <w:sz w:val="20"/>
      <w:szCs w:val="20"/>
    </w:rPr>
  </w:style>
  <w:style w:type="paragraph" w:styleId="Asuntodelcomentario">
    <w:name w:val="annotation subject"/>
    <w:basedOn w:val="Textocomentario"/>
    <w:next w:val="Textocomentario"/>
    <w:link w:val="AsuntodelcomentarioCar"/>
    <w:uiPriority w:val="99"/>
    <w:semiHidden/>
    <w:unhideWhenUsed/>
    <w:rsid w:val="008D23A0"/>
    <w:rPr>
      <w:b/>
      <w:bCs/>
    </w:rPr>
  </w:style>
  <w:style w:type="character" w:customStyle="1" w:styleId="AsuntodelcomentarioCar">
    <w:name w:val="Asunto del comentario Car"/>
    <w:basedOn w:val="TextocomentarioCar"/>
    <w:link w:val="Asuntodelcomentario"/>
    <w:uiPriority w:val="99"/>
    <w:semiHidden/>
    <w:rsid w:val="008D23A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co.fachapi@gmail.com"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CB2E7099-27C3-43FA-A8AD-E2285B41B67E}"/>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fd6426d-c0fc-47b5-a6b8-86becfa1e099"/>
    <ds:schemaRef ds:uri="8ae15d26-076e-464e-81a7-6f76a0fb3917"/>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27</Pages>
  <Words>9368</Words>
  <Characters>51529</Characters>
  <Application>Microsoft Office Word</Application>
  <DocSecurity>0</DocSecurity>
  <Lines>429</Lines>
  <Paragraphs>121</Paragraphs>
  <ScaleCrop>false</ScaleCrop>
  <Company/>
  <LinksUpToDate>false</LinksUpToDate>
  <CharactersWithSpaces>60776</CharactersWithSpaces>
  <SharedDoc>false</SharedDoc>
  <HLinks>
    <vt:vector size="36" baseType="variant">
      <vt:variant>
        <vt:i4>4456513</vt:i4>
      </vt:variant>
      <vt:variant>
        <vt:i4>15</vt:i4>
      </vt:variant>
      <vt:variant>
        <vt:i4>0</vt:i4>
      </vt:variant>
      <vt:variant>
        <vt:i4>5</vt:i4>
      </vt:variant>
      <vt:variant>
        <vt:lpwstr>https://forms.office.com/r/pPHyWVs2SZ</vt:lpwstr>
      </vt:variant>
      <vt:variant>
        <vt:lpwstr/>
      </vt:variant>
      <vt:variant>
        <vt:i4>3407926</vt:i4>
      </vt:variant>
      <vt:variant>
        <vt:i4>12</vt:i4>
      </vt:variant>
      <vt:variant>
        <vt:i4>0</vt:i4>
      </vt:variant>
      <vt:variant>
        <vt:i4>5</vt:i4>
      </vt:variant>
      <vt:variant>
        <vt:lpwstr>https://www.colombiacompra.gov.co/pqrsd/informacion-importante-antes-de-formular-una-pqrsd</vt:lpwstr>
      </vt:variant>
      <vt:variant>
        <vt:lpwstr/>
      </vt:variant>
      <vt:variant>
        <vt:i4>4980779</vt:i4>
      </vt:variant>
      <vt:variant>
        <vt:i4>9</vt:i4>
      </vt:variant>
      <vt:variant>
        <vt:i4>0</vt:i4>
      </vt:variant>
      <vt:variant>
        <vt:i4>5</vt:i4>
      </vt:variant>
      <vt:variant>
        <vt:lpwstr>mailto:ventanilladeradicacion@colombiacompra.gov.co</vt:lpwstr>
      </vt:variant>
      <vt:variant>
        <vt:lpwstr/>
      </vt:variant>
      <vt:variant>
        <vt:i4>7995518</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65659</vt:i4>
      </vt:variant>
      <vt:variant>
        <vt:i4>0</vt:i4>
      </vt:variant>
      <vt:variant>
        <vt:i4>0</vt:i4>
      </vt:variant>
      <vt:variant>
        <vt:i4>5</vt:i4>
      </vt:variant>
      <vt:variant>
        <vt:lpwstr>mailto:eco.fachapi@gmail.com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5</cp:revision>
  <cp:lastPrinted>2023-01-10T21:18:00Z</cp:lastPrinted>
  <dcterms:created xsi:type="dcterms:W3CDTF">2025-11-12T03:04:00Z</dcterms:created>
  <dcterms:modified xsi:type="dcterms:W3CDTF">2025-11-12T14:26:00Z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