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CCD4A" w14:textId="77777777" w:rsidR="00D86E98" w:rsidRPr="00BB73C5" w:rsidRDefault="00D86E98" w:rsidP="00D86E98">
      <w:pPr>
        <w:spacing w:after="0" w:line="240" w:lineRule="auto"/>
        <w:jc w:val="both"/>
        <w:rPr>
          <w:rFonts w:ascii="Verdana" w:hAnsi="Verdana" w:cs="Arial"/>
          <w:b/>
          <w:lang w:val="es-MX"/>
        </w:rPr>
      </w:pPr>
      <w:bookmarkStart w:id="0" w:name="_Hlk143780582"/>
      <w:r w:rsidRPr="00BB73C5">
        <w:rPr>
          <w:rFonts w:ascii="Verdana" w:hAnsi="Verdana" w:cs="Arial"/>
          <w:b/>
          <w:lang w:val="es-MX"/>
        </w:rPr>
        <w:t xml:space="preserve">INHABILIDADES E INCOMPATIBILIDADES ─ Definición ─ fundamento – clases </w:t>
      </w:r>
    </w:p>
    <w:p w14:paraId="2F0C7EEE" w14:textId="77777777" w:rsidR="00D86E98" w:rsidRDefault="00D86E98" w:rsidP="00D86E98">
      <w:pPr>
        <w:spacing w:after="0" w:line="240" w:lineRule="auto"/>
        <w:jc w:val="both"/>
        <w:rPr>
          <w:rFonts w:ascii="Verdana" w:hAnsi="Verdana" w:cs="Arial"/>
          <w:b/>
          <w:lang w:val="es-MX"/>
        </w:rPr>
      </w:pPr>
    </w:p>
    <w:p w14:paraId="0D6E2B6F" w14:textId="77777777" w:rsidR="00D86E98" w:rsidRPr="00BB73C5" w:rsidRDefault="00D86E98" w:rsidP="00D86E98">
      <w:pPr>
        <w:spacing w:after="0" w:line="240" w:lineRule="auto"/>
        <w:jc w:val="both"/>
        <w:rPr>
          <w:rFonts w:ascii="Verdana" w:hAnsi="Verdana" w:cs="Arial"/>
          <w:sz w:val="20"/>
          <w:lang w:val="es-MX"/>
        </w:rPr>
      </w:pPr>
      <w:r w:rsidRPr="00BB73C5">
        <w:rPr>
          <w:rFonts w:ascii="Verdana" w:hAnsi="Verdana" w:cs="Arial"/>
          <w:sz w:val="20"/>
          <w:lang w:val="es-MX"/>
        </w:rPr>
        <w:t>Las inhabilidades e incompatibilidades pueden enfocarse en varios asuntos: en primer lugar, se encuentran las inhabilidades e incompatibilidades que impiden que u</w:t>
      </w:r>
      <w:proofErr w:type="spellStart"/>
      <w:r w:rsidRPr="00BB73C5">
        <w:rPr>
          <w:rFonts w:ascii="Verdana" w:hAnsi="Verdana" w:cs="Arial"/>
          <w:sz w:val="20"/>
        </w:rPr>
        <w:t>na</w:t>
      </w:r>
      <w:proofErr w:type="spellEnd"/>
      <w:r w:rsidRPr="00BB73C5">
        <w:rPr>
          <w:rFonts w:ascii="Verdana" w:hAnsi="Verdana" w:cs="Arial"/>
          <w:sz w:val="20"/>
        </w:rPr>
        <w:t xml:space="preserve">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BB73C5">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5684F2ED" w14:textId="77777777" w:rsidR="00D86E98" w:rsidRPr="00BB73C5" w:rsidRDefault="00D86E98" w:rsidP="00D86E98">
      <w:pPr>
        <w:spacing w:after="0" w:line="240" w:lineRule="auto"/>
        <w:jc w:val="both"/>
        <w:rPr>
          <w:rFonts w:ascii="Verdana" w:hAnsi="Verdana" w:cs="Arial"/>
          <w:b/>
          <w:lang w:val="es-MX"/>
        </w:rPr>
      </w:pPr>
    </w:p>
    <w:p w14:paraId="45685161" w14:textId="77777777" w:rsidR="00D86E98" w:rsidRPr="00BB73C5" w:rsidRDefault="00D86E98" w:rsidP="00D86E98">
      <w:pPr>
        <w:spacing w:after="0" w:line="240" w:lineRule="auto"/>
        <w:jc w:val="both"/>
        <w:rPr>
          <w:rFonts w:ascii="Verdana" w:hAnsi="Verdana" w:cs="Arial"/>
          <w:b/>
          <w:lang w:val="es-MX"/>
        </w:rPr>
      </w:pPr>
      <w:r w:rsidRPr="00BB73C5">
        <w:rPr>
          <w:rFonts w:ascii="Verdana" w:hAnsi="Verdana" w:cs="Arial"/>
          <w:b/>
          <w:lang w:val="es-MX"/>
        </w:rPr>
        <w:t xml:space="preserve">INHABILIDADES E INCOMPATIBILIDADES - Finalidad ─ Limitación capacidad contractual </w:t>
      </w:r>
    </w:p>
    <w:p w14:paraId="4E06C390" w14:textId="77777777" w:rsidR="00D86E98" w:rsidRDefault="00D86E98" w:rsidP="00D86E98">
      <w:pPr>
        <w:spacing w:after="0" w:line="240" w:lineRule="auto"/>
        <w:jc w:val="both"/>
        <w:rPr>
          <w:rFonts w:ascii="Verdana" w:hAnsi="Verdana" w:cs="Arial"/>
          <w:b/>
          <w:lang w:val="es-MX"/>
        </w:rPr>
      </w:pPr>
    </w:p>
    <w:p w14:paraId="74895688" w14:textId="77777777" w:rsidR="00D86E98" w:rsidRPr="00B23D14" w:rsidRDefault="00D86E98" w:rsidP="00D86E98">
      <w:pPr>
        <w:spacing w:after="0" w:line="240" w:lineRule="auto"/>
        <w:jc w:val="both"/>
        <w:rPr>
          <w:rFonts w:ascii="Verdana" w:eastAsia="Calibri" w:hAnsi="Verdana" w:cs="Arial"/>
          <w:sz w:val="20"/>
          <w:lang w:val="es-MX"/>
        </w:rPr>
      </w:pPr>
      <w:r w:rsidRPr="00B23D14">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53C99CD6" w14:textId="77777777" w:rsidR="00D86E98" w:rsidRPr="00BB73C5" w:rsidRDefault="00D86E98" w:rsidP="00D86E98">
      <w:pPr>
        <w:spacing w:after="0" w:line="240" w:lineRule="auto"/>
        <w:jc w:val="both"/>
        <w:rPr>
          <w:rFonts w:ascii="Verdana" w:hAnsi="Verdana" w:cs="Arial"/>
          <w:b/>
          <w:lang w:val="es-MX"/>
        </w:rPr>
      </w:pPr>
    </w:p>
    <w:p w14:paraId="78929A47" w14:textId="77777777" w:rsidR="00D86E98" w:rsidRPr="00BB73C5" w:rsidRDefault="00D86E98" w:rsidP="00D86E98">
      <w:pPr>
        <w:spacing w:after="0" w:line="240" w:lineRule="auto"/>
        <w:jc w:val="both"/>
        <w:rPr>
          <w:rFonts w:ascii="Verdana" w:hAnsi="Verdana" w:cs="Arial"/>
          <w:b/>
          <w:lang w:val="es-ES_tradnl"/>
        </w:rPr>
      </w:pPr>
      <w:r w:rsidRPr="00BB73C5">
        <w:rPr>
          <w:rFonts w:ascii="Verdana" w:hAnsi="Verdana" w:cs="Arial"/>
          <w:b/>
          <w:lang w:val="es-ES_tradnl"/>
        </w:rPr>
        <w:t>INHABILIDADES – Taxatividad – Principio de legalidad – Interpretación restrictiva</w:t>
      </w:r>
      <w:r w:rsidRPr="00BB73C5" w:rsidDel="00A75E55">
        <w:rPr>
          <w:rFonts w:ascii="Verdana" w:hAnsi="Verdana" w:cs="Arial"/>
          <w:b/>
          <w:lang w:val="es-ES_tradnl"/>
        </w:rPr>
        <w:t xml:space="preserve"> </w:t>
      </w:r>
    </w:p>
    <w:p w14:paraId="2B357C26" w14:textId="77777777" w:rsidR="00D86E98" w:rsidRDefault="00D86E98" w:rsidP="00D86E98">
      <w:pPr>
        <w:spacing w:after="0" w:line="240" w:lineRule="auto"/>
        <w:jc w:val="both"/>
        <w:rPr>
          <w:rFonts w:ascii="Verdana" w:hAnsi="Verdana" w:cs="Arial"/>
          <w:b/>
          <w:lang w:val="es-ES_tradnl"/>
        </w:rPr>
      </w:pPr>
    </w:p>
    <w:p w14:paraId="3DE87614" w14:textId="77777777" w:rsidR="00D86E98" w:rsidRDefault="00D86E98" w:rsidP="00D86E98">
      <w:pPr>
        <w:spacing w:after="0" w:line="240" w:lineRule="auto"/>
        <w:jc w:val="both"/>
        <w:rPr>
          <w:rFonts w:ascii="Verdana" w:hAnsi="Verdana" w:cs="Arial"/>
          <w:sz w:val="20"/>
          <w:lang w:val="es-ES_tradnl"/>
        </w:rPr>
      </w:pPr>
      <w:r w:rsidRPr="00B23D14">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B23D14">
        <w:rPr>
          <w:rFonts w:ascii="Verdana" w:hAnsi="Verdana" w:cs="Arial"/>
          <w:i/>
          <w:iCs/>
          <w:sz w:val="20"/>
          <w:lang w:val="es-ES_tradnl"/>
        </w:rPr>
        <w:t xml:space="preserve">restrictiva, </w:t>
      </w:r>
      <w:r w:rsidRPr="00B23D14">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1A06A08E" w14:textId="77777777" w:rsidR="00D86E98" w:rsidRPr="00B23D14" w:rsidRDefault="00D86E98" w:rsidP="00D86E98">
      <w:pPr>
        <w:spacing w:after="0" w:line="240" w:lineRule="auto"/>
        <w:jc w:val="both"/>
        <w:rPr>
          <w:rFonts w:ascii="Verdana" w:hAnsi="Verdana" w:cs="Arial"/>
          <w:sz w:val="20"/>
          <w:lang w:val="es-ES_tradnl"/>
        </w:rPr>
      </w:pPr>
    </w:p>
    <w:p w14:paraId="0B4A1F69" w14:textId="77777777" w:rsidR="00D86E98" w:rsidRDefault="00D86E98" w:rsidP="00D86E98">
      <w:pPr>
        <w:spacing w:after="0" w:line="240" w:lineRule="auto"/>
        <w:jc w:val="both"/>
        <w:rPr>
          <w:rFonts w:ascii="Verdana" w:hAnsi="Verdana" w:cs="Arial"/>
          <w:sz w:val="20"/>
          <w:lang w:val="es-ES_tradnl"/>
        </w:rPr>
      </w:pPr>
      <w:r w:rsidRPr="00B23D14">
        <w:rPr>
          <w:rFonts w:ascii="Verdana" w:hAnsi="Verdana" w:cs="Arial"/>
          <w:sz w:val="20"/>
          <w:lang w:val="es-ES_tradnl"/>
        </w:rPr>
        <w:lastRenderedPageBreak/>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cs="Arial"/>
          <w:sz w:val="20"/>
          <w:lang w:val="es-ES_tradnl"/>
        </w:rPr>
        <w:t>.</w:t>
      </w:r>
    </w:p>
    <w:p w14:paraId="35A3BEFC" w14:textId="77777777" w:rsidR="00D86E98" w:rsidRPr="00D86E98" w:rsidRDefault="00D86E98" w:rsidP="00D86E98">
      <w:pPr>
        <w:spacing w:after="0" w:line="240" w:lineRule="auto"/>
        <w:jc w:val="both"/>
        <w:rPr>
          <w:rFonts w:ascii="Verdana" w:hAnsi="Verdana"/>
          <w:b/>
          <w:lang w:val="es-ES_tradnl"/>
        </w:rPr>
      </w:pPr>
    </w:p>
    <w:p w14:paraId="0F96E1C6" w14:textId="77777777" w:rsidR="00D86E98" w:rsidRPr="00D86E98" w:rsidRDefault="00D86E98" w:rsidP="00D86E98">
      <w:pPr>
        <w:spacing w:after="0"/>
        <w:jc w:val="both"/>
        <w:rPr>
          <w:rFonts w:ascii="Verdana" w:hAnsi="Verdana" w:cs="Arial"/>
          <w:b/>
        </w:rPr>
      </w:pPr>
      <w:r w:rsidRPr="00D86E98">
        <w:rPr>
          <w:rFonts w:ascii="Verdana" w:hAnsi="Verdana" w:cs="Arial"/>
          <w:b/>
        </w:rPr>
        <w:t xml:space="preserve">CONTRATO DE PRESTACIÓN DE SERVICIOS – Inhabilidades e incompatibilidades – Arquitectura </w:t>
      </w:r>
    </w:p>
    <w:p w14:paraId="33E6FF18" w14:textId="1D1C83B4" w:rsidR="00D86E98" w:rsidRDefault="00D86E98" w:rsidP="00D86E98">
      <w:pPr>
        <w:spacing w:after="0"/>
        <w:jc w:val="both"/>
        <w:rPr>
          <w:rFonts w:ascii="Verdana" w:hAnsi="Verdana" w:cs="Arial"/>
          <w:b/>
        </w:rPr>
      </w:pPr>
    </w:p>
    <w:p w14:paraId="052883E9" w14:textId="468F1045" w:rsidR="00A87F3B" w:rsidRDefault="00A87F3B" w:rsidP="00A87F3B">
      <w:pPr>
        <w:spacing w:after="0" w:line="240" w:lineRule="auto"/>
        <w:jc w:val="both"/>
        <w:rPr>
          <w:rFonts w:ascii="Verdana" w:hAnsi="Verdana" w:cs="Arial"/>
          <w:sz w:val="20"/>
          <w:lang w:val="es-ES"/>
        </w:rPr>
      </w:pPr>
      <w:r w:rsidRPr="00A87F3B">
        <w:rPr>
          <w:rFonts w:ascii="Verdana" w:hAnsi="Verdana" w:cs="Arial"/>
          <w:sz w:val="20"/>
          <w:lang w:val="es-ES"/>
        </w:rPr>
        <w:t xml:space="preserve">En ese sentido, 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a través de contratos distintos y concomitantes. </w:t>
      </w:r>
    </w:p>
    <w:p w14:paraId="79701462" w14:textId="77777777" w:rsidR="00A87F3B" w:rsidRPr="00A87F3B" w:rsidRDefault="00A87F3B" w:rsidP="00A87F3B">
      <w:pPr>
        <w:spacing w:after="0" w:line="240" w:lineRule="auto"/>
        <w:jc w:val="both"/>
        <w:rPr>
          <w:rFonts w:ascii="Verdana" w:hAnsi="Verdana" w:cs="Arial"/>
          <w:sz w:val="20"/>
          <w:lang w:val="es-ES"/>
        </w:rPr>
      </w:pPr>
    </w:p>
    <w:p w14:paraId="7E592A54" w14:textId="19C54DB5" w:rsidR="00A87F3B" w:rsidRDefault="00A87F3B" w:rsidP="00A87F3B">
      <w:pPr>
        <w:spacing w:after="0" w:line="240" w:lineRule="auto"/>
        <w:jc w:val="both"/>
        <w:rPr>
          <w:rFonts w:ascii="Verdana" w:hAnsi="Verdana" w:cs="Arial"/>
          <w:bCs/>
          <w:sz w:val="20"/>
        </w:rPr>
      </w:pPr>
      <w:r w:rsidRPr="00A87F3B">
        <w:rPr>
          <w:rFonts w:ascii="Verdana" w:hAnsi="Verdana" w:cs="Arial"/>
          <w:sz w:val="20"/>
          <w:lang w:val="es-ES"/>
        </w:rPr>
        <w:t xml:space="preserve">Sin embargo, </w:t>
      </w:r>
      <w:r w:rsidRPr="00A87F3B">
        <w:rPr>
          <w:rFonts w:ascii="Verdana" w:hAnsi="Verdana" w:cs="Arial"/>
          <w:sz w:val="20"/>
        </w:rPr>
        <w:t>es pertinente tener en cuenta que el ordenamiento jurídico contempla restricciones sobre aspectos particulares que es importante considerar al momento de analizar una situación como la señalada. Así,</w:t>
      </w:r>
      <w:r w:rsidRPr="00A87F3B">
        <w:rPr>
          <w:rFonts w:ascii="Verdana" w:hAnsi="Verdana" w:cs="Arial"/>
          <w:sz w:val="20"/>
          <w:lang w:val="es-ES"/>
        </w:rPr>
        <w:t xml:space="preserve"> la Ley 435 de 1998 “</w:t>
      </w:r>
      <w:r w:rsidRPr="00A87F3B">
        <w:rPr>
          <w:rFonts w:ascii="Verdana" w:hAnsi="Verdana" w:cs="Arial"/>
          <w:bCs/>
          <w:sz w:val="20"/>
        </w:rPr>
        <w:t>por la cual se reglamenta el ejercicio de la profesión de Arquitectura y sus profesiones auxiliares, se crea el Consejo Profesional Nacional de Arquitectura y sus profesiones auxiliares, se dicta el Código de Ética Profesional, se establece el Régimen Disciplinario para estas profesiones, se reestructura el Consejo Profesional Nacional de Ingeniería y Arquitectura en Consejo Profesional Nacional de Ingeniería y sus profesiones auxiliares y otras disposiciones”.</w:t>
      </w:r>
    </w:p>
    <w:p w14:paraId="4142E64E" w14:textId="77777777" w:rsidR="00A87F3B" w:rsidRPr="00A87F3B" w:rsidRDefault="00A87F3B" w:rsidP="00A87F3B">
      <w:pPr>
        <w:spacing w:after="0" w:line="240" w:lineRule="auto"/>
        <w:jc w:val="both"/>
        <w:rPr>
          <w:rFonts w:ascii="Verdana" w:hAnsi="Verdana" w:cs="Arial"/>
          <w:bCs/>
          <w:sz w:val="20"/>
        </w:rPr>
      </w:pPr>
    </w:p>
    <w:p w14:paraId="69F545BD" w14:textId="23E5B3CE" w:rsidR="00A87F3B" w:rsidRDefault="00A87F3B" w:rsidP="00A87F3B">
      <w:pPr>
        <w:spacing w:after="0" w:line="240" w:lineRule="auto"/>
        <w:jc w:val="both"/>
        <w:rPr>
          <w:rFonts w:ascii="Verdana" w:hAnsi="Verdana" w:cs="Arial"/>
          <w:sz w:val="20"/>
        </w:rPr>
      </w:pPr>
      <w:r w:rsidRPr="00A87F3B">
        <w:rPr>
          <w:rFonts w:ascii="Verdana" w:hAnsi="Verdana" w:cs="Arial"/>
          <w:bCs/>
          <w:sz w:val="20"/>
        </w:rPr>
        <w:t xml:space="preserve">Dicha Ley </w:t>
      </w:r>
      <w:r w:rsidRPr="00A87F3B">
        <w:rPr>
          <w:rFonts w:ascii="Verdana" w:hAnsi="Verdana" w:cs="Arial"/>
          <w:sz w:val="20"/>
          <w:lang w:val="es-ES"/>
        </w:rPr>
        <w:t xml:space="preserve">establece un conjunto de prohibiciones para los profesionales de la arquitectura y sus profesiones auxiliares, algunas de las cuales se aplican en los procedimientos de selección de los contratistas del Estado, se trata de prohibiciones dirigidas a los </w:t>
      </w:r>
      <w:r w:rsidRPr="00A87F3B">
        <w:rPr>
          <w:rFonts w:ascii="Verdana" w:hAnsi="Verdana" w:cs="Arial"/>
          <w:i/>
          <w:sz w:val="20"/>
          <w:lang w:val="es-ES"/>
        </w:rPr>
        <w:t>profesionales</w:t>
      </w:r>
      <w:r w:rsidRPr="00A87F3B">
        <w:rPr>
          <w:rFonts w:ascii="Verdana" w:hAnsi="Verdana" w:cs="Arial"/>
          <w:sz w:val="20"/>
          <w:lang w:val="es-ES"/>
        </w:rPr>
        <w:t xml:space="preserve">, no necesariamente a los </w:t>
      </w:r>
      <w:r w:rsidRPr="00A87F3B">
        <w:rPr>
          <w:rFonts w:ascii="Verdana" w:hAnsi="Verdana" w:cs="Arial"/>
          <w:i/>
          <w:sz w:val="20"/>
          <w:lang w:val="es-ES"/>
        </w:rPr>
        <w:t>proponentes ni a los contratistas</w:t>
      </w:r>
      <w:r w:rsidRPr="00A87F3B">
        <w:rPr>
          <w:rFonts w:ascii="Verdana" w:hAnsi="Verdana" w:cs="Arial"/>
          <w:sz w:val="20"/>
          <w:lang w:val="es-ES"/>
        </w:rPr>
        <w:t>. Así se infiere del artículo 20, literal b, de la precitada Ley que alude a los deberes de los profesionales de la Arquitectura: “</w:t>
      </w:r>
      <w:r w:rsidRPr="00A87F3B">
        <w:rPr>
          <w:rFonts w:ascii="Verdana" w:hAnsi="Verdana" w:cs="Arial"/>
          <w:bCs/>
          <w:sz w:val="20"/>
        </w:rPr>
        <w:t>Artículo 20.</w:t>
      </w:r>
      <w:r w:rsidRPr="00A87F3B">
        <w:rPr>
          <w:rFonts w:ascii="Verdana" w:hAnsi="Verdana" w:cs="Arial"/>
          <w:sz w:val="20"/>
        </w:rPr>
        <w:t> Son deberes de los profesionales de quienes trata el presente Código que se desempeñen en funciones públicas o privadas, los siguientes: […]</w:t>
      </w:r>
      <w:r w:rsidRPr="00A87F3B">
        <w:rPr>
          <w:rFonts w:ascii="Verdana" w:hAnsi="Verdana" w:cs="Arial"/>
          <w:sz w:val="20"/>
          <w:lang w:val="es-ES"/>
        </w:rPr>
        <w:t xml:space="preserve"> </w:t>
      </w:r>
      <w:r w:rsidRPr="00A87F3B">
        <w:rPr>
          <w:rFonts w:ascii="Verdana" w:hAnsi="Verdana" w:cs="Arial"/>
          <w:sz w:val="20"/>
        </w:rPr>
        <w:t>b) Los profesionales que por sus funciones en el sector público o privado sean responsables de fijar, preparar o evaluar condiciones de pliegos de licitaciones o concursos deberán actuar en todos los casos de manera imparcial […]”.</w:t>
      </w:r>
    </w:p>
    <w:p w14:paraId="3E2F9B8F" w14:textId="77777777" w:rsidR="00A87F3B" w:rsidRPr="00A87F3B" w:rsidRDefault="00A87F3B" w:rsidP="00A87F3B">
      <w:pPr>
        <w:spacing w:after="0" w:line="240" w:lineRule="auto"/>
        <w:jc w:val="both"/>
        <w:rPr>
          <w:rFonts w:ascii="Verdana" w:hAnsi="Verdana" w:cs="Arial"/>
          <w:sz w:val="20"/>
        </w:rPr>
      </w:pPr>
    </w:p>
    <w:p w14:paraId="6B4A60C7" w14:textId="09950BFF" w:rsidR="00D86E98" w:rsidRPr="00D86E98" w:rsidRDefault="00D86E98" w:rsidP="00D86E98">
      <w:pPr>
        <w:spacing w:after="0"/>
        <w:jc w:val="both"/>
        <w:rPr>
          <w:rFonts w:ascii="Verdana" w:hAnsi="Verdana" w:cs="Arial"/>
          <w:b/>
        </w:rPr>
      </w:pPr>
      <w:r w:rsidRPr="00D86E98">
        <w:rPr>
          <w:rFonts w:ascii="Verdana" w:hAnsi="Verdana" w:cs="Arial"/>
          <w:b/>
        </w:rPr>
        <w:t>INHABILIDADES E INCOMPATIBILIDADES – Arquitectura – Actividades</w:t>
      </w:r>
    </w:p>
    <w:p w14:paraId="4F21E1B6" w14:textId="1EFF3F96" w:rsidR="00D86E98" w:rsidRDefault="00D86E98" w:rsidP="00D86E98">
      <w:pPr>
        <w:spacing w:after="0"/>
        <w:jc w:val="both"/>
        <w:rPr>
          <w:rFonts w:ascii="Verdana" w:hAnsi="Verdana" w:cs="Arial"/>
          <w:b/>
        </w:rPr>
      </w:pPr>
    </w:p>
    <w:p w14:paraId="0B7C59D6" w14:textId="1587503C" w:rsidR="00F948E6" w:rsidRDefault="00F948E6" w:rsidP="00F948E6">
      <w:pPr>
        <w:spacing w:after="0" w:line="240" w:lineRule="auto"/>
        <w:jc w:val="both"/>
        <w:rPr>
          <w:rFonts w:ascii="Verdana" w:hAnsi="Verdana" w:cs="Arial"/>
          <w:bCs/>
          <w:sz w:val="20"/>
        </w:rPr>
      </w:pPr>
      <w:r w:rsidRPr="00F948E6">
        <w:rPr>
          <w:rFonts w:ascii="Verdana" w:hAnsi="Verdana" w:cs="Arial"/>
          <w:bCs/>
          <w:sz w:val="20"/>
        </w:rPr>
        <w:t>Se resalta que, del artículo precitado, es importante su literal b</w:t>
      </w:r>
      <w:r w:rsidRPr="00F948E6">
        <w:rPr>
          <w:rFonts w:ascii="Verdana" w:hAnsi="Verdana" w:cs="Arial"/>
          <w:bCs/>
          <w:sz w:val="20"/>
          <w:lang w:val="es-ES_tradnl"/>
        </w:rPr>
        <w:t>: “</w:t>
      </w:r>
      <w:r w:rsidRPr="00F948E6">
        <w:rPr>
          <w:rFonts w:ascii="Verdana" w:hAnsi="Verdana" w:cs="Arial"/>
          <w:bCs/>
          <w:sz w:val="20"/>
        </w:rPr>
        <w:t xml:space="preserve">Artículo 22. Incurrirán en falta al régimen a que se refiere el presente capítulo: […] b) El profesional </w:t>
      </w:r>
      <w:proofErr w:type="gramStart"/>
      <w:r w:rsidRPr="00F948E6">
        <w:rPr>
          <w:rFonts w:ascii="Verdana" w:hAnsi="Verdana" w:cs="Arial"/>
          <w:bCs/>
          <w:sz w:val="20"/>
        </w:rPr>
        <w:t>que</w:t>
      </w:r>
      <w:proofErr w:type="gramEnd"/>
      <w:r w:rsidRPr="00F948E6">
        <w:rPr>
          <w:rFonts w:ascii="Verdana" w:hAnsi="Verdana" w:cs="Arial"/>
          <w:bCs/>
          <w:sz w:val="20"/>
        </w:rPr>
        <w:t xml:space="preserve"> en </w:t>
      </w:r>
      <w:r w:rsidRPr="00F948E6">
        <w:rPr>
          <w:rFonts w:ascii="Verdana" w:hAnsi="Verdana" w:cs="Arial"/>
          <w:bCs/>
          <w:sz w:val="20"/>
        </w:rPr>
        <w:lastRenderedPageBreak/>
        <w:t xml:space="preserve">ejercicio de sus actividades públicas o privadas, hubiese intervenido en determinado asunto, no podrá luego actuar o asesorar directa o indirectamente a la parte contraria en la misma cuestión […]. Teniendo en cuenta una interpretación restrictiva del artículo 22, literal b, se precisa: en primer lugar, hay un criterio subjetivo, pues se alude a los profesionales de arquitectura. En segundo lugar, un criterio material que alude a dos tipos de actividades: públicas o privadas. Las primeras están vinculadas con la </w:t>
      </w:r>
      <w:r w:rsidRPr="00F948E6">
        <w:rPr>
          <w:rFonts w:ascii="Verdana" w:hAnsi="Verdana" w:cs="Arial"/>
          <w:iCs/>
          <w:sz w:val="20"/>
        </w:rPr>
        <w:t xml:space="preserve">función pública, independiente de quienes la ejercen o son investidos de ella, y considerando que por esta vía el sujeto que la ejerce participa o colabora en la realización de funciones y cometidos del Estado, como es el caso de la contratación estatal. Las segundas están relacionadas con aquellas actividades que, a diferencia de las públicas, se basa en la participación o colaboración de actividades que benefician a un particular. En tercer lugar, la intervención en un asunto, esto es, que hayan participado en una actividad pública o privado concreta. En cuarto lugar, una prohibición de actuar o asesorar. En cuanto a la expresión “actuar”, hay que acudir al Diccionario de la Lengua Española, que expresa: 1. </w:t>
      </w:r>
      <w:r w:rsidRPr="00F948E6">
        <w:rPr>
          <w:rFonts w:ascii="Verdana" w:hAnsi="Verdana" w:cs="Arial"/>
          <w:bCs/>
          <w:sz w:val="20"/>
        </w:rPr>
        <w:t>intr. Dicho de una persona o de una cosa: Ejercer actos propios de su naturaleza […].2. intr. Ejercer funciones propias de su cargo u oficio”. Estas dos definiciones que la expresión “actuar” se refiere al ejercicio de la profesión de arquitectura, para lo cual hay que remitirse al art</w:t>
      </w:r>
      <w:r>
        <w:rPr>
          <w:rFonts w:ascii="Verdana" w:hAnsi="Verdana" w:cs="Arial"/>
          <w:bCs/>
          <w:sz w:val="20"/>
        </w:rPr>
        <w:t>ículo 2° de la Ley 435 de 1998 […]</w:t>
      </w:r>
    </w:p>
    <w:p w14:paraId="031DCF70" w14:textId="77777777" w:rsidR="00F948E6" w:rsidRPr="00F948E6" w:rsidRDefault="00F948E6" w:rsidP="00F948E6">
      <w:pPr>
        <w:spacing w:after="0" w:line="240" w:lineRule="auto"/>
        <w:jc w:val="both"/>
        <w:rPr>
          <w:rFonts w:ascii="Verdana" w:hAnsi="Verdana" w:cs="Arial"/>
          <w:bCs/>
          <w:sz w:val="20"/>
        </w:rPr>
      </w:pPr>
    </w:p>
    <w:p w14:paraId="3C8F0B88" w14:textId="77777777" w:rsidR="00F948E6" w:rsidRPr="00F948E6" w:rsidRDefault="00F948E6" w:rsidP="00F948E6">
      <w:pPr>
        <w:spacing w:after="0" w:line="240" w:lineRule="auto"/>
        <w:jc w:val="both"/>
        <w:rPr>
          <w:rFonts w:ascii="Verdana" w:hAnsi="Verdana" w:cs="Arial"/>
          <w:bCs/>
          <w:sz w:val="20"/>
        </w:rPr>
      </w:pPr>
      <w:r w:rsidRPr="00F948E6">
        <w:rPr>
          <w:rFonts w:ascii="Verdana" w:hAnsi="Verdana" w:cs="Arial"/>
          <w:bCs/>
          <w:sz w:val="20"/>
        </w:rPr>
        <w:t>En efecto, el artículo 2° incluye como una de las actividades de la arquitectura la elaboración de estudios, trámites y expedición de licencias de urbanismo y construcción.</w:t>
      </w:r>
      <w:r w:rsidRPr="00F948E6">
        <w:rPr>
          <w:rFonts w:ascii="Verdana" w:hAnsi="Verdana" w:cs="Arial"/>
          <w:bCs/>
          <w:sz w:val="20"/>
          <w:lang w:val="es-ES_tradnl"/>
        </w:rPr>
        <w:t xml:space="preserve"> </w:t>
      </w:r>
      <w:r w:rsidRPr="00F948E6">
        <w:rPr>
          <w:rFonts w:ascii="Verdana" w:hAnsi="Verdana" w:cs="Arial"/>
          <w:bCs/>
          <w:sz w:val="20"/>
        </w:rPr>
        <w:t xml:space="preserve">Finalmente, la expresión “directa o indirectamente a la parte contraria en la misma cuestión”, debe interpretarse, en el sentido que el profesional de arquitectura debe estar relacionada con el asunto, ya sea de forma inmediata o por intermediario en el proyecto. </w:t>
      </w:r>
    </w:p>
    <w:p w14:paraId="413727F9" w14:textId="77777777" w:rsidR="00F948E6" w:rsidRPr="00F948E6" w:rsidRDefault="00F948E6" w:rsidP="00D86E98">
      <w:pPr>
        <w:spacing w:after="0"/>
        <w:jc w:val="both"/>
        <w:rPr>
          <w:rFonts w:ascii="Verdana" w:hAnsi="Verdana" w:cs="Arial"/>
          <w:b/>
          <w:lang w:val="es-ES_tradnl"/>
        </w:rPr>
      </w:pPr>
    </w:p>
    <w:p w14:paraId="30BE765C" w14:textId="77777777" w:rsidR="00D86E98" w:rsidRPr="00D86E98" w:rsidRDefault="00D86E98" w:rsidP="00D86E98">
      <w:pPr>
        <w:spacing w:after="0"/>
        <w:jc w:val="both"/>
        <w:rPr>
          <w:rFonts w:ascii="Verdana" w:hAnsi="Verdana" w:cs="Arial"/>
          <w:b/>
        </w:rPr>
      </w:pPr>
      <w:r w:rsidRPr="00D86E98">
        <w:rPr>
          <w:rFonts w:ascii="Verdana" w:hAnsi="Verdana" w:cs="Arial"/>
          <w:b/>
        </w:rPr>
        <w:t>CONFLICTO DE INTERÉS – Verificación</w:t>
      </w:r>
    </w:p>
    <w:p w14:paraId="272CA48D" w14:textId="77777777" w:rsidR="00D86E98" w:rsidRDefault="00D86E98" w:rsidP="00273BF5">
      <w:pPr>
        <w:spacing w:after="0"/>
        <w:rPr>
          <w:rFonts w:ascii="Verdana" w:hAnsi="Verdana" w:cs="Arial"/>
        </w:rPr>
      </w:pPr>
    </w:p>
    <w:p w14:paraId="3113EDB3" w14:textId="77777777" w:rsidR="00F948E6" w:rsidRPr="00F948E6" w:rsidRDefault="00F948E6" w:rsidP="00F948E6">
      <w:pPr>
        <w:spacing w:after="0" w:line="240" w:lineRule="auto"/>
        <w:jc w:val="both"/>
        <w:rPr>
          <w:rFonts w:ascii="Verdana" w:hAnsi="Verdana" w:cs="Arial"/>
        </w:rPr>
      </w:pPr>
      <w:r w:rsidRPr="00F948E6">
        <w:rPr>
          <w:rFonts w:ascii="Verdana" w:hAnsi="Verdana" w:cs="Arial"/>
          <w:sz w:val="20"/>
        </w:rPr>
        <w:t>Adicionalmente, es fundamental analizar cada caso de manera individual para descartar posibles conflictos de interés, entendidos como situaciones en las que los intereses personales de una persona puedan entrar en contradicción con sus deberes profesionales. En este contexto, resulta especialmente relevante revisar los casos de arquitectos contratistas por prestación de servicios profesionales que, además de cumplir funciones en una dependencia de una entidad pública, ejercen su actividad como independientes y radican licencias de construcción ante la misma dependencia de la entidad. En efecto, es indispensable que se analice la ocurrencia de potenciales conflictos de interés de cara a una posible vulneración de la transparencia, imparcialidad, y moralidad administrativa</w:t>
      </w:r>
      <w:r w:rsidRPr="00F948E6">
        <w:rPr>
          <w:rFonts w:ascii="Verdana" w:hAnsi="Verdana" w:cs="Arial"/>
        </w:rPr>
        <w:t xml:space="preserve">. </w:t>
      </w:r>
    </w:p>
    <w:p w14:paraId="50FE1A2C" w14:textId="77777777" w:rsidR="00D86E98" w:rsidRDefault="00D86E98" w:rsidP="00273BF5">
      <w:pPr>
        <w:spacing w:after="0"/>
        <w:rPr>
          <w:rFonts w:ascii="Verdana" w:hAnsi="Verdana" w:cs="Arial"/>
        </w:rPr>
      </w:pPr>
    </w:p>
    <w:p w14:paraId="2A737BF9" w14:textId="66593AA0" w:rsidR="00D86E98" w:rsidRDefault="00D86E98" w:rsidP="00273BF5">
      <w:pPr>
        <w:spacing w:after="0"/>
        <w:rPr>
          <w:rFonts w:ascii="Verdana" w:hAnsi="Verdana" w:cs="Arial"/>
        </w:rPr>
      </w:pPr>
    </w:p>
    <w:p w14:paraId="082AF9F9" w14:textId="63B96916" w:rsidR="00F948E6" w:rsidRDefault="00F948E6" w:rsidP="00273BF5">
      <w:pPr>
        <w:spacing w:after="0"/>
        <w:rPr>
          <w:rFonts w:ascii="Verdana" w:hAnsi="Verdana" w:cs="Arial"/>
        </w:rPr>
      </w:pPr>
    </w:p>
    <w:p w14:paraId="5B0150AD" w14:textId="050B9EB7" w:rsidR="00F948E6" w:rsidRDefault="00F948E6" w:rsidP="00273BF5">
      <w:pPr>
        <w:spacing w:after="0"/>
        <w:rPr>
          <w:rFonts w:ascii="Verdana" w:hAnsi="Verdana" w:cs="Arial"/>
        </w:rPr>
      </w:pPr>
    </w:p>
    <w:p w14:paraId="29D48D13" w14:textId="77777777" w:rsidR="00F948E6" w:rsidRDefault="00F948E6" w:rsidP="00273BF5">
      <w:pPr>
        <w:spacing w:after="0"/>
        <w:rPr>
          <w:rFonts w:ascii="Verdana" w:hAnsi="Verdana" w:cs="Arial"/>
        </w:rPr>
      </w:pPr>
    </w:p>
    <w:p w14:paraId="30448ED7" w14:textId="67243ADC" w:rsidR="00273BF5" w:rsidRPr="0044528D" w:rsidRDefault="00273BF5" w:rsidP="00273BF5">
      <w:pPr>
        <w:spacing w:after="0"/>
        <w:rPr>
          <w:rFonts w:ascii="Verdana" w:hAnsi="Verdana"/>
        </w:rPr>
      </w:pPr>
      <w:r w:rsidRPr="0024624F">
        <w:rPr>
          <w:rFonts w:ascii="Verdana" w:hAnsi="Verdana"/>
        </w:rPr>
        <w:lastRenderedPageBreak/>
        <w:t xml:space="preserve">Bogotá D.C., </w:t>
      </w:r>
      <w:r w:rsidR="00950B6F">
        <w:rPr>
          <w:rFonts w:ascii="Verdana" w:hAnsi="Verdana"/>
        </w:rPr>
        <w:t>1</w:t>
      </w:r>
      <w:r w:rsidR="00F948E6">
        <w:rPr>
          <w:rFonts w:ascii="Verdana" w:hAnsi="Verdana"/>
        </w:rPr>
        <w:t>2</w:t>
      </w:r>
      <w:r w:rsidR="00950B6F">
        <w:rPr>
          <w:rFonts w:ascii="Verdana" w:hAnsi="Verdana"/>
        </w:rPr>
        <w:t xml:space="preserve"> de noviembre de 2025</w:t>
      </w:r>
      <w:r>
        <w:rPr>
          <w:rFonts w:ascii="Verdana" w:hAnsi="Verdana"/>
        </w:rPr>
        <w:tab/>
      </w:r>
    </w:p>
    <w:p w14:paraId="51289A02" w14:textId="149C50FB" w:rsidR="00273BF5" w:rsidRPr="008D01FC" w:rsidRDefault="00950B6F" w:rsidP="00273BF5">
      <w:pPr>
        <w:spacing w:after="0"/>
        <w:rPr>
          <w:rFonts w:ascii="Verdana" w:hAnsi="Verdana"/>
        </w:rPr>
      </w:pPr>
      <w:r w:rsidRPr="00950B6F">
        <w:rPr>
          <w:rFonts w:ascii="Verdana" w:hAnsi="Verdana"/>
          <w:noProof/>
          <w:lang w:val="en-US"/>
        </w:rPr>
        <w:drawing>
          <wp:anchor distT="0" distB="0" distL="114300" distR="114300" simplePos="0" relativeHeight="251658240" behindDoc="0" locked="0" layoutInCell="1" allowOverlap="1" wp14:anchorId="5DE4FC17" wp14:editId="0AEC16C6">
            <wp:simplePos x="0" y="0"/>
            <wp:positionH relativeFrom="margin">
              <wp:align>right</wp:align>
            </wp:positionH>
            <wp:positionV relativeFrom="paragraph">
              <wp:posOffset>12700</wp:posOffset>
            </wp:positionV>
            <wp:extent cx="2855595" cy="788670"/>
            <wp:effectExtent l="0" t="0" r="190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5595" cy="788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A918A5" w14:textId="77777777" w:rsidR="00273BF5" w:rsidRPr="0060163E" w:rsidRDefault="00273BF5" w:rsidP="00273BF5">
      <w:pPr>
        <w:spacing w:after="0"/>
        <w:rPr>
          <w:rFonts w:ascii="Verdana" w:hAnsi="Verdana"/>
        </w:rPr>
      </w:pPr>
    </w:p>
    <w:p w14:paraId="7B232437" w14:textId="77777777" w:rsidR="00273BF5" w:rsidRPr="000A5271" w:rsidRDefault="00273BF5" w:rsidP="00273BF5">
      <w:pPr>
        <w:spacing w:after="0" w:line="240" w:lineRule="auto"/>
        <w:rPr>
          <w:rFonts w:ascii="Verdana" w:eastAsia="Calibri" w:hAnsi="Verdana" w:cs="Times New Roman"/>
          <w:lang w:val="es-MX"/>
        </w:rPr>
      </w:pPr>
      <w:r w:rsidRPr="000A5271">
        <w:rPr>
          <w:rFonts w:ascii="Verdana" w:eastAsia="Calibri" w:hAnsi="Verdana" w:cs="Times New Roman"/>
          <w:lang w:val="es-MX"/>
        </w:rPr>
        <w:t>Señor</w:t>
      </w:r>
    </w:p>
    <w:p w14:paraId="0E314D9E" w14:textId="77777777" w:rsidR="00273BF5" w:rsidRPr="000A5271" w:rsidRDefault="00273BF5" w:rsidP="00273BF5">
      <w:pPr>
        <w:spacing w:after="0" w:line="240" w:lineRule="auto"/>
        <w:rPr>
          <w:rFonts w:ascii="Verdana" w:eastAsia="Calibri" w:hAnsi="Verdana" w:cs="Times New Roman"/>
          <w:b/>
        </w:rPr>
      </w:pPr>
      <w:r w:rsidRPr="000A5271">
        <w:rPr>
          <w:rFonts w:ascii="Verdana" w:eastAsia="Calibri" w:hAnsi="Verdana" w:cs="Times New Roman"/>
          <w:b/>
        </w:rPr>
        <w:t>Holmes Eduardo Aguas Martínez</w:t>
      </w:r>
    </w:p>
    <w:p w14:paraId="147B4ECA" w14:textId="77777777" w:rsidR="00273BF5" w:rsidRPr="000A5271" w:rsidRDefault="00FF4CC2" w:rsidP="00273BF5">
      <w:pPr>
        <w:spacing w:after="0" w:line="240" w:lineRule="auto"/>
        <w:rPr>
          <w:rFonts w:ascii="Verdana" w:hAnsi="Verdana"/>
        </w:rPr>
      </w:pPr>
      <w:hyperlink r:id="rId12" w:history="1">
        <w:r w:rsidR="00273BF5" w:rsidRPr="00C02339">
          <w:rPr>
            <w:rStyle w:val="Hipervnculo"/>
            <w:rFonts w:ascii="Verdana" w:hAnsi="Verdana"/>
          </w:rPr>
          <w:t>aguasholmes@gmail.com</w:t>
        </w:r>
      </w:hyperlink>
      <w:r w:rsidR="00273BF5">
        <w:rPr>
          <w:rFonts w:ascii="Verdana" w:hAnsi="Verdana"/>
        </w:rPr>
        <w:t xml:space="preserve"> </w:t>
      </w:r>
    </w:p>
    <w:p w14:paraId="598A4B30" w14:textId="77777777" w:rsidR="00273BF5" w:rsidRPr="000A5271" w:rsidRDefault="00273BF5" w:rsidP="00273BF5">
      <w:pPr>
        <w:spacing w:after="0" w:line="240" w:lineRule="auto"/>
        <w:rPr>
          <w:rFonts w:ascii="Verdana" w:eastAsia="Calibri" w:hAnsi="Verdana" w:cs="Times New Roman"/>
        </w:rPr>
      </w:pPr>
      <w:r w:rsidRPr="000A5271">
        <w:rPr>
          <w:rFonts w:ascii="Verdana" w:eastAsia="Calibri" w:hAnsi="Verdana" w:cs="Times New Roman"/>
        </w:rPr>
        <w:t xml:space="preserve">Magangué-Bolívar </w:t>
      </w:r>
    </w:p>
    <w:p w14:paraId="297345EF" w14:textId="77777777" w:rsidR="00273BF5" w:rsidRPr="0060163E" w:rsidRDefault="00273BF5" w:rsidP="00273BF5">
      <w:pPr>
        <w:spacing w:after="0" w:line="240" w:lineRule="auto"/>
        <w:rPr>
          <w:rFonts w:ascii="Verdana" w:eastAsia="Calibri" w:hAnsi="Verdana" w:cs="Times New Roman"/>
        </w:rPr>
      </w:pPr>
    </w:p>
    <w:p w14:paraId="464E9EF7" w14:textId="77777777" w:rsidR="00273BF5" w:rsidRPr="0060163E" w:rsidRDefault="00273BF5" w:rsidP="00273BF5">
      <w:pPr>
        <w:spacing w:after="0" w:line="240" w:lineRule="auto"/>
        <w:rPr>
          <w:rFonts w:ascii="Verdana" w:eastAsia="Calibri" w:hAnsi="Verdana" w:cs="Times New Roman"/>
        </w:rPr>
      </w:pPr>
    </w:p>
    <w:p w14:paraId="51354BF6" w14:textId="77777777" w:rsidR="00273BF5" w:rsidRPr="0060163E" w:rsidRDefault="00273BF5" w:rsidP="00273BF5">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1579</w:t>
      </w:r>
      <w:r w:rsidRPr="0060163E">
        <w:rPr>
          <w:rFonts w:ascii="Verdana" w:eastAsia="Calibri" w:hAnsi="Verdana" w:cs="Times New Roman"/>
          <w:b/>
          <w:bCs/>
          <w:lang w:val="es-ES"/>
        </w:rPr>
        <w:t xml:space="preserve"> de 2025</w:t>
      </w:r>
    </w:p>
    <w:p w14:paraId="04AFFB3B" w14:textId="77777777" w:rsidR="00273BF5" w:rsidRPr="0060163E" w:rsidRDefault="00273BF5" w:rsidP="00273BF5">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73BF5" w:rsidRPr="0060163E" w14:paraId="2CDB52CE" w14:textId="77777777" w:rsidTr="00835DC0">
        <w:trPr>
          <w:trHeight w:val="884"/>
        </w:trPr>
        <w:tc>
          <w:tcPr>
            <w:tcW w:w="2685" w:type="dxa"/>
            <w:hideMark/>
          </w:tcPr>
          <w:p w14:paraId="6E45B842" w14:textId="77777777" w:rsidR="00273BF5" w:rsidRPr="0060163E" w:rsidRDefault="00273BF5" w:rsidP="00835DC0">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03BAB42A" w14:textId="77777777" w:rsidR="00273BF5" w:rsidRPr="006D2BEC" w:rsidRDefault="00273BF5" w:rsidP="00835DC0">
            <w:pPr>
              <w:spacing w:line="276" w:lineRule="auto"/>
              <w:jc w:val="both"/>
              <w:rPr>
                <w:rFonts w:ascii="Verdana" w:hAnsi="Verdana" w:cs="Arial"/>
                <w:lang w:val="es-MX"/>
              </w:rPr>
            </w:pP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2821E7">
              <w:rPr>
                <w:rFonts w:ascii="Verdana" w:hAnsi="Verdana" w:cs="Arial"/>
              </w:rPr>
              <w:t xml:space="preserve">CONTRATO DE PRESTACIÓN DE SERVICIOS – Inhabilidades e incompatibilidades </w:t>
            </w:r>
            <w:r>
              <w:rPr>
                <w:rFonts w:ascii="Verdana" w:hAnsi="Verdana" w:cs="Arial"/>
              </w:rPr>
              <w:t>– Arquitectura / INHABILIDADES E INCOMPATIBILIDADES – Arquitectura - Actividades / CONF</w:t>
            </w:r>
            <w:r w:rsidRPr="002821E7">
              <w:rPr>
                <w:rFonts w:ascii="Verdana" w:hAnsi="Verdana" w:cs="Arial"/>
              </w:rPr>
              <w:t>L</w:t>
            </w:r>
            <w:r>
              <w:rPr>
                <w:rFonts w:ascii="Verdana" w:hAnsi="Verdana" w:cs="Arial"/>
              </w:rPr>
              <w:t>ICTO DE INTERÉS – Verificación.</w:t>
            </w:r>
          </w:p>
          <w:p w14:paraId="2C9E7039" w14:textId="77777777" w:rsidR="00273BF5" w:rsidRPr="006D2BEC" w:rsidRDefault="00273BF5" w:rsidP="00835DC0">
            <w:pPr>
              <w:jc w:val="both"/>
              <w:rPr>
                <w:rFonts w:ascii="Verdana" w:hAnsi="Verdana" w:cs="Arial"/>
                <w:lang w:val="es-ES_tradnl"/>
              </w:rPr>
            </w:pPr>
          </w:p>
        </w:tc>
        <w:tc>
          <w:tcPr>
            <w:tcW w:w="6237" w:type="dxa"/>
          </w:tcPr>
          <w:p w14:paraId="554400B0" w14:textId="77777777" w:rsidR="00273BF5" w:rsidRPr="006D2BEC" w:rsidRDefault="00273BF5" w:rsidP="00835DC0">
            <w:pPr>
              <w:rPr>
                <w:rFonts w:ascii="Verdana" w:hAnsi="Verdana"/>
              </w:rPr>
            </w:pPr>
          </w:p>
        </w:tc>
      </w:tr>
      <w:tr w:rsidR="00273BF5" w:rsidRPr="0060163E" w14:paraId="6654C76A" w14:textId="77777777" w:rsidTr="00835DC0">
        <w:tc>
          <w:tcPr>
            <w:tcW w:w="2685" w:type="dxa"/>
          </w:tcPr>
          <w:p w14:paraId="75046DC4" w14:textId="77777777" w:rsidR="00273BF5" w:rsidRPr="0060163E" w:rsidRDefault="00273BF5" w:rsidP="00835DC0">
            <w:pPr>
              <w:rPr>
                <w:rFonts w:ascii="Verdana" w:hAnsi="Verdana"/>
                <w:lang w:val="es-ES_tradnl"/>
              </w:rPr>
            </w:pPr>
          </w:p>
          <w:p w14:paraId="45F3FC9A" w14:textId="77777777" w:rsidR="00273BF5" w:rsidRPr="0060163E" w:rsidRDefault="00273BF5" w:rsidP="00835DC0">
            <w:pPr>
              <w:rPr>
                <w:rFonts w:ascii="Verdana" w:hAnsi="Verdana"/>
                <w:b/>
                <w:bCs/>
                <w:lang w:val="es-ES_tradnl"/>
              </w:rPr>
            </w:pPr>
            <w:r w:rsidRPr="0060163E">
              <w:rPr>
                <w:rFonts w:ascii="Verdana" w:hAnsi="Verdana"/>
                <w:b/>
                <w:bCs/>
                <w:lang w:val="es-ES_tradnl"/>
              </w:rPr>
              <w:t xml:space="preserve">Radicación:               </w:t>
            </w:r>
          </w:p>
        </w:tc>
        <w:tc>
          <w:tcPr>
            <w:tcW w:w="6241" w:type="dxa"/>
          </w:tcPr>
          <w:p w14:paraId="3C2E7849" w14:textId="77777777" w:rsidR="00273BF5" w:rsidRPr="0060163E" w:rsidRDefault="00273BF5" w:rsidP="00835DC0">
            <w:pPr>
              <w:jc w:val="both"/>
              <w:rPr>
                <w:rFonts w:ascii="Verdana" w:hAnsi="Verdana"/>
                <w:lang w:val="es-ES_tradnl"/>
              </w:rPr>
            </w:pPr>
          </w:p>
          <w:p w14:paraId="5DC96847" w14:textId="77777777" w:rsidR="00273BF5" w:rsidRDefault="00273BF5" w:rsidP="00835DC0">
            <w:pPr>
              <w:jc w:val="both"/>
              <w:rPr>
                <w:rFonts w:ascii="Verdana" w:hAnsi="Verdana"/>
              </w:rPr>
            </w:pPr>
            <w:r w:rsidRPr="0060163E">
              <w:rPr>
                <w:rFonts w:ascii="Verdana" w:hAnsi="Verdana"/>
                <w:lang w:val="es-ES_tradnl"/>
              </w:rPr>
              <w:t>Respue</w:t>
            </w:r>
            <w:r>
              <w:rPr>
                <w:rFonts w:ascii="Verdana" w:hAnsi="Verdana"/>
                <w:lang w:val="es-ES_tradnl"/>
              </w:rPr>
              <w:t xml:space="preserve">sta a consulta con radicado </w:t>
            </w:r>
            <w:r w:rsidRPr="00944A3B">
              <w:rPr>
                <w:rFonts w:ascii="Verdana" w:hAnsi="Verdana"/>
              </w:rPr>
              <w:t>1_2025_10_28_012076</w:t>
            </w:r>
          </w:p>
          <w:p w14:paraId="12B24AE1" w14:textId="77777777" w:rsidR="00273BF5" w:rsidRPr="0060163E" w:rsidRDefault="00273BF5" w:rsidP="00835DC0">
            <w:pPr>
              <w:jc w:val="both"/>
              <w:rPr>
                <w:rFonts w:ascii="Verdana" w:hAnsi="Verdana"/>
              </w:rPr>
            </w:pPr>
          </w:p>
        </w:tc>
        <w:tc>
          <w:tcPr>
            <w:tcW w:w="6237" w:type="dxa"/>
          </w:tcPr>
          <w:p w14:paraId="5CEF6078" w14:textId="77777777" w:rsidR="00273BF5" w:rsidRPr="0060163E" w:rsidRDefault="00273BF5" w:rsidP="00835DC0">
            <w:pPr>
              <w:rPr>
                <w:rFonts w:ascii="Verdana" w:hAnsi="Verdana"/>
                <w:lang w:val="es-ES_tradnl"/>
              </w:rPr>
            </w:pPr>
          </w:p>
        </w:tc>
      </w:tr>
      <w:tr w:rsidR="00273BF5" w:rsidRPr="0060163E" w14:paraId="44A5FFE1" w14:textId="77777777" w:rsidTr="00835DC0">
        <w:tc>
          <w:tcPr>
            <w:tcW w:w="2685" w:type="dxa"/>
          </w:tcPr>
          <w:p w14:paraId="5D7315F5" w14:textId="77777777" w:rsidR="00273BF5" w:rsidRPr="0060163E" w:rsidRDefault="00273BF5" w:rsidP="00835DC0">
            <w:pPr>
              <w:rPr>
                <w:rFonts w:ascii="Verdana" w:hAnsi="Verdana"/>
                <w:lang w:val="es-ES_tradnl"/>
              </w:rPr>
            </w:pPr>
          </w:p>
        </w:tc>
        <w:tc>
          <w:tcPr>
            <w:tcW w:w="6241" w:type="dxa"/>
          </w:tcPr>
          <w:p w14:paraId="231E39CA" w14:textId="77777777" w:rsidR="00273BF5" w:rsidRPr="0060163E" w:rsidRDefault="00273BF5" w:rsidP="00835DC0">
            <w:pPr>
              <w:jc w:val="both"/>
              <w:rPr>
                <w:rFonts w:ascii="Verdana" w:hAnsi="Verdana"/>
                <w:lang w:val="es-ES_tradnl"/>
              </w:rPr>
            </w:pPr>
          </w:p>
        </w:tc>
        <w:tc>
          <w:tcPr>
            <w:tcW w:w="6237" w:type="dxa"/>
          </w:tcPr>
          <w:p w14:paraId="599BAF6E" w14:textId="77777777" w:rsidR="00273BF5" w:rsidRPr="0060163E" w:rsidRDefault="00273BF5" w:rsidP="00835DC0">
            <w:pPr>
              <w:rPr>
                <w:rFonts w:ascii="Verdana" w:hAnsi="Verdana"/>
                <w:lang w:val="es-ES_tradnl"/>
              </w:rPr>
            </w:pPr>
          </w:p>
        </w:tc>
      </w:tr>
    </w:tbl>
    <w:p w14:paraId="2F562A50" w14:textId="77777777" w:rsidR="00273BF5" w:rsidRPr="0060163E" w:rsidRDefault="00273BF5" w:rsidP="00273BF5">
      <w:pPr>
        <w:spacing w:after="0" w:line="256" w:lineRule="auto"/>
        <w:rPr>
          <w:rFonts w:ascii="Verdana" w:eastAsia="Calibri" w:hAnsi="Verdana" w:cs="Times New Roman"/>
          <w:lang w:val="es-ES"/>
        </w:rPr>
      </w:pPr>
      <w:r>
        <w:rPr>
          <w:rFonts w:ascii="Verdana" w:eastAsia="Calibri" w:hAnsi="Verdana" w:cs="Times New Roman"/>
          <w:lang w:val="es-ES"/>
        </w:rPr>
        <w:t>Estimado Señor Aguas:</w:t>
      </w:r>
    </w:p>
    <w:p w14:paraId="17A21528" w14:textId="77777777" w:rsidR="00273BF5" w:rsidRPr="0060163E" w:rsidRDefault="00273BF5" w:rsidP="00273BF5">
      <w:pPr>
        <w:spacing w:after="0" w:line="276" w:lineRule="auto"/>
        <w:rPr>
          <w:rFonts w:ascii="Verdana" w:eastAsia="Calibri" w:hAnsi="Verdana" w:cs="Times New Roman"/>
          <w:lang w:val="es-ES"/>
        </w:rPr>
      </w:pPr>
    </w:p>
    <w:p w14:paraId="40126E0E" w14:textId="77777777" w:rsidR="00273BF5" w:rsidRPr="008211D2" w:rsidRDefault="00273BF5" w:rsidP="00273BF5">
      <w:pPr>
        <w:spacing w:after="0" w:line="276" w:lineRule="auto"/>
        <w:jc w:val="both"/>
        <w:rPr>
          <w:rFonts w:ascii="Verdana" w:eastAsia="Calibri" w:hAnsi="Verdana" w:cs="Times New Roman"/>
          <w:bCs/>
          <w:lang w:val="es-ES" w:bidi="es-ES"/>
        </w:rPr>
      </w:pPr>
      <w:r w:rsidRPr="008211D2">
        <w:rPr>
          <w:rFonts w:ascii="Verdana" w:eastAsia="Calibri" w:hAnsi="Verdana" w:cs="Times New Roman"/>
          <w:bCs/>
          <w:lang w:val="es-ES" w:bidi="es-ES"/>
        </w:rPr>
        <w:t xml:space="preserve">En ejercicio de la competencia otorgada por los artículos 3, numeral 5º, y 11, numeral 8º, del Decreto Ley 4170 de 2011, </w:t>
      </w:r>
      <w:r w:rsidRPr="008211D2">
        <w:rPr>
          <w:rFonts w:ascii="Verdana" w:eastAsia="Calibri" w:hAnsi="Verdana" w:cs="Times New Roman"/>
          <w:bCs/>
        </w:rPr>
        <w:t xml:space="preserve">así como lo establecido por la Resolución 469 de 2025 expedida por esta Entidad, </w:t>
      </w:r>
      <w:r w:rsidRPr="008211D2">
        <w:rPr>
          <w:rFonts w:ascii="Verdana" w:eastAsia="Calibri" w:hAnsi="Verdana" w:cs="Times New Roman"/>
          <w:bCs/>
          <w:lang w:val="es-ES" w:bidi="es-ES"/>
        </w:rPr>
        <w:t>la Agencia Nacional de Contratación Pública – Colombia Compra Eficiente– responde la sol</w:t>
      </w:r>
      <w:r>
        <w:rPr>
          <w:rFonts w:ascii="Verdana" w:eastAsia="Calibri" w:hAnsi="Verdana" w:cs="Times New Roman"/>
          <w:bCs/>
          <w:lang w:val="es-ES" w:bidi="es-ES"/>
        </w:rPr>
        <w:t>icitud de consulta presentada el 28 de octubre de 2025</w:t>
      </w:r>
      <w:r w:rsidRPr="008211D2">
        <w:rPr>
          <w:rFonts w:ascii="Verdana" w:eastAsia="Calibri" w:hAnsi="Verdana" w:cs="Times New Roman"/>
          <w:bCs/>
          <w:lang w:val="es-ES" w:bidi="es-ES"/>
        </w:rPr>
        <w:t xml:space="preserve">, en la cual manifiesta: </w:t>
      </w:r>
    </w:p>
    <w:p w14:paraId="1E14F6B7" w14:textId="77777777" w:rsidR="00273BF5" w:rsidRPr="0060163E" w:rsidRDefault="00273BF5" w:rsidP="00273BF5">
      <w:pPr>
        <w:spacing w:after="0" w:line="276" w:lineRule="auto"/>
        <w:jc w:val="both"/>
        <w:rPr>
          <w:rFonts w:ascii="Verdana" w:eastAsia="Calibri" w:hAnsi="Verdana" w:cs="Times New Roman"/>
          <w:lang w:val="es-ES"/>
        </w:rPr>
      </w:pPr>
    </w:p>
    <w:p w14:paraId="254985FA" w14:textId="77777777" w:rsidR="00273BF5" w:rsidRPr="00506C86" w:rsidRDefault="00273BF5" w:rsidP="00273BF5">
      <w:pPr>
        <w:spacing w:after="0" w:line="240" w:lineRule="auto"/>
        <w:ind w:left="709" w:right="709"/>
        <w:jc w:val="both"/>
        <w:rPr>
          <w:rFonts w:ascii="Verdana" w:eastAsia="Calibri" w:hAnsi="Verdana" w:cs="Times New Roman"/>
          <w:bCs/>
          <w:sz w:val="20"/>
          <w:szCs w:val="20"/>
        </w:rPr>
      </w:pPr>
      <w:r w:rsidRPr="00506C86">
        <w:rPr>
          <w:rFonts w:ascii="Verdana" w:eastAsia="Calibri" w:hAnsi="Verdana" w:cs="Times New Roman"/>
          <w:bCs/>
          <w:sz w:val="20"/>
          <w:szCs w:val="20"/>
        </w:rPr>
        <w:t xml:space="preserve">“soy arquitecto y tengo una OPS con la </w:t>
      </w:r>
      <w:proofErr w:type="spellStart"/>
      <w:r w:rsidRPr="00506C86">
        <w:rPr>
          <w:rFonts w:ascii="Verdana" w:eastAsia="Calibri" w:hAnsi="Verdana" w:cs="Times New Roman"/>
          <w:bCs/>
          <w:sz w:val="20"/>
          <w:szCs w:val="20"/>
        </w:rPr>
        <w:t>alcaldia</w:t>
      </w:r>
      <w:proofErr w:type="spellEnd"/>
      <w:r w:rsidRPr="00506C86">
        <w:rPr>
          <w:rFonts w:ascii="Verdana" w:eastAsia="Calibri" w:hAnsi="Verdana" w:cs="Times New Roman"/>
          <w:bCs/>
          <w:sz w:val="20"/>
          <w:szCs w:val="20"/>
        </w:rPr>
        <w:t xml:space="preserve"> de Magangué Bolívar, quiero saber si estoy inhabilitado</w:t>
      </w:r>
      <w:r>
        <w:rPr>
          <w:rFonts w:ascii="Verdana" w:eastAsia="Calibri" w:hAnsi="Verdana" w:cs="Times New Roman"/>
          <w:bCs/>
          <w:sz w:val="20"/>
          <w:szCs w:val="20"/>
        </w:rPr>
        <w:t xml:space="preserve"> </w:t>
      </w:r>
      <w:r w:rsidRPr="00506C86">
        <w:rPr>
          <w:rFonts w:ascii="Verdana" w:eastAsia="Calibri" w:hAnsi="Verdana" w:cs="Times New Roman"/>
          <w:bCs/>
          <w:sz w:val="20"/>
          <w:szCs w:val="20"/>
        </w:rPr>
        <w:t>para realizarlos siguientes puntos:</w:t>
      </w:r>
    </w:p>
    <w:p w14:paraId="10A583D7" w14:textId="77777777" w:rsidR="00273BF5" w:rsidRPr="00506C86" w:rsidRDefault="00273BF5" w:rsidP="00273BF5">
      <w:pPr>
        <w:spacing w:after="0" w:line="240" w:lineRule="auto"/>
        <w:ind w:left="709" w:right="709"/>
        <w:jc w:val="both"/>
        <w:rPr>
          <w:rFonts w:ascii="Verdana" w:eastAsia="Calibri" w:hAnsi="Verdana" w:cs="Times New Roman"/>
          <w:bCs/>
          <w:sz w:val="20"/>
          <w:szCs w:val="20"/>
        </w:rPr>
      </w:pPr>
      <w:r w:rsidRPr="00506C86">
        <w:rPr>
          <w:rFonts w:ascii="Verdana" w:eastAsia="Calibri" w:hAnsi="Verdana" w:cs="Times New Roman"/>
          <w:bCs/>
          <w:sz w:val="20"/>
          <w:szCs w:val="20"/>
        </w:rPr>
        <w:t>1) contratos con particulares de diseño y construcción de viviendas.</w:t>
      </w:r>
    </w:p>
    <w:p w14:paraId="38BF958A" w14:textId="77777777" w:rsidR="00273BF5" w:rsidRPr="00506C86" w:rsidRDefault="00273BF5" w:rsidP="00273BF5">
      <w:pPr>
        <w:spacing w:after="0" w:line="240" w:lineRule="auto"/>
        <w:ind w:left="709" w:right="709"/>
        <w:jc w:val="both"/>
        <w:rPr>
          <w:rFonts w:ascii="Verdana" w:eastAsia="Calibri" w:hAnsi="Verdana" w:cs="Times New Roman"/>
          <w:bCs/>
          <w:sz w:val="20"/>
          <w:szCs w:val="20"/>
        </w:rPr>
      </w:pPr>
      <w:r w:rsidRPr="00506C86">
        <w:rPr>
          <w:rFonts w:ascii="Verdana" w:eastAsia="Calibri" w:hAnsi="Verdana" w:cs="Times New Roman"/>
          <w:bCs/>
          <w:sz w:val="20"/>
          <w:szCs w:val="20"/>
        </w:rPr>
        <w:t xml:space="preserve">2) si los planos que hago a estas personas no pueden solicitar licencias de construcción </w:t>
      </w:r>
      <w:proofErr w:type="spellStart"/>
      <w:r w:rsidRPr="00506C86">
        <w:rPr>
          <w:rFonts w:ascii="Verdana" w:eastAsia="Calibri" w:hAnsi="Verdana" w:cs="Times New Roman"/>
          <w:bCs/>
          <w:sz w:val="20"/>
          <w:szCs w:val="20"/>
        </w:rPr>
        <w:t>por que</w:t>
      </w:r>
      <w:proofErr w:type="spellEnd"/>
      <w:r w:rsidRPr="00506C86">
        <w:rPr>
          <w:rFonts w:ascii="Verdana" w:eastAsia="Calibri" w:hAnsi="Verdana" w:cs="Times New Roman"/>
          <w:bCs/>
          <w:sz w:val="20"/>
          <w:szCs w:val="20"/>
        </w:rPr>
        <w:t xml:space="preserve"> yo las</w:t>
      </w:r>
      <w:r>
        <w:rPr>
          <w:rFonts w:ascii="Verdana" w:eastAsia="Calibri" w:hAnsi="Verdana" w:cs="Times New Roman"/>
          <w:bCs/>
          <w:sz w:val="20"/>
          <w:szCs w:val="20"/>
        </w:rPr>
        <w:t xml:space="preserve"> </w:t>
      </w:r>
      <w:r w:rsidRPr="00506C86">
        <w:rPr>
          <w:rFonts w:ascii="Verdana" w:eastAsia="Calibri" w:hAnsi="Verdana" w:cs="Times New Roman"/>
          <w:bCs/>
          <w:sz w:val="20"/>
          <w:szCs w:val="20"/>
        </w:rPr>
        <w:t xml:space="preserve">firmo como arquitecto. ya que </w:t>
      </w:r>
      <w:proofErr w:type="spellStart"/>
      <w:r w:rsidRPr="00506C86">
        <w:rPr>
          <w:rFonts w:ascii="Verdana" w:eastAsia="Calibri" w:hAnsi="Verdana" w:cs="Times New Roman"/>
          <w:bCs/>
          <w:sz w:val="20"/>
          <w:szCs w:val="20"/>
        </w:rPr>
        <w:t>magangué</w:t>
      </w:r>
      <w:proofErr w:type="spellEnd"/>
      <w:r w:rsidRPr="00506C86">
        <w:rPr>
          <w:rFonts w:ascii="Verdana" w:eastAsia="Calibri" w:hAnsi="Verdana" w:cs="Times New Roman"/>
          <w:bCs/>
          <w:sz w:val="20"/>
          <w:szCs w:val="20"/>
        </w:rPr>
        <w:t xml:space="preserve"> no </w:t>
      </w:r>
      <w:r w:rsidRPr="00506C86">
        <w:rPr>
          <w:rFonts w:ascii="Verdana" w:eastAsia="Calibri" w:hAnsi="Verdana" w:cs="Times New Roman"/>
          <w:bCs/>
          <w:sz w:val="20"/>
          <w:szCs w:val="20"/>
        </w:rPr>
        <w:lastRenderedPageBreak/>
        <w:t>hay curaduría y en la secretaría de planeación es la</w:t>
      </w:r>
      <w:r>
        <w:rPr>
          <w:rFonts w:ascii="Verdana" w:eastAsia="Calibri" w:hAnsi="Verdana" w:cs="Times New Roman"/>
          <w:bCs/>
          <w:sz w:val="20"/>
          <w:szCs w:val="20"/>
        </w:rPr>
        <w:t xml:space="preserve"> </w:t>
      </w:r>
      <w:r w:rsidRPr="00506C86">
        <w:rPr>
          <w:rFonts w:ascii="Verdana" w:eastAsia="Calibri" w:hAnsi="Verdana" w:cs="Times New Roman"/>
          <w:bCs/>
          <w:sz w:val="20"/>
          <w:szCs w:val="20"/>
        </w:rPr>
        <w:t>encargada de otorgar estas licencias.</w:t>
      </w:r>
    </w:p>
    <w:p w14:paraId="28D89F15" w14:textId="77777777" w:rsidR="00273BF5" w:rsidRPr="00506C86" w:rsidRDefault="00273BF5" w:rsidP="00273BF5">
      <w:pPr>
        <w:spacing w:after="0" w:line="240" w:lineRule="auto"/>
        <w:ind w:left="709" w:right="709"/>
        <w:jc w:val="both"/>
        <w:rPr>
          <w:rFonts w:ascii="Verdana" w:eastAsia="Calibri" w:hAnsi="Verdana" w:cs="Times New Roman"/>
          <w:bCs/>
          <w:sz w:val="20"/>
          <w:szCs w:val="20"/>
        </w:rPr>
      </w:pPr>
      <w:r w:rsidRPr="00506C86">
        <w:rPr>
          <w:rFonts w:ascii="Verdana" w:eastAsia="Calibri" w:hAnsi="Verdana" w:cs="Times New Roman"/>
          <w:bCs/>
          <w:sz w:val="20"/>
          <w:szCs w:val="20"/>
        </w:rPr>
        <w:t>3) aclaro que mi OPS es como arquitecto de apoyo a la secretaría de planeación, mas no tengo que ver</w:t>
      </w:r>
      <w:r>
        <w:rPr>
          <w:rFonts w:ascii="Verdana" w:eastAsia="Calibri" w:hAnsi="Verdana" w:cs="Times New Roman"/>
          <w:bCs/>
          <w:sz w:val="20"/>
          <w:szCs w:val="20"/>
        </w:rPr>
        <w:t xml:space="preserve"> </w:t>
      </w:r>
      <w:r w:rsidRPr="00506C86">
        <w:rPr>
          <w:rFonts w:ascii="Verdana" w:eastAsia="Calibri" w:hAnsi="Verdana" w:cs="Times New Roman"/>
          <w:bCs/>
          <w:sz w:val="20"/>
          <w:szCs w:val="20"/>
        </w:rPr>
        <w:t>con las licencias, ya que quien las revisa es la arquitecta que esta de planta y las firma es el secretario de</w:t>
      </w:r>
      <w:r>
        <w:rPr>
          <w:rFonts w:ascii="Verdana" w:eastAsia="Calibri" w:hAnsi="Verdana" w:cs="Times New Roman"/>
          <w:bCs/>
          <w:sz w:val="20"/>
          <w:szCs w:val="20"/>
        </w:rPr>
        <w:t xml:space="preserve"> </w:t>
      </w:r>
      <w:r w:rsidRPr="00506C86">
        <w:rPr>
          <w:rFonts w:ascii="Verdana" w:eastAsia="Calibri" w:hAnsi="Verdana" w:cs="Times New Roman"/>
          <w:bCs/>
          <w:sz w:val="20"/>
          <w:szCs w:val="20"/>
        </w:rPr>
        <w:t>planeación”</w:t>
      </w:r>
    </w:p>
    <w:p w14:paraId="195BBB34" w14:textId="77777777" w:rsidR="00273BF5" w:rsidRPr="008211D2" w:rsidRDefault="00273BF5" w:rsidP="00273BF5">
      <w:pPr>
        <w:spacing w:after="0" w:line="240" w:lineRule="auto"/>
        <w:ind w:left="709" w:right="709"/>
        <w:jc w:val="both"/>
        <w:rPr>
          <w:rFonts w:ascii="Verdana" w:eastAsia="Calibri" w:hAnsi="Verdana" w:cs="Times New Roman"/>
          <w:bCs/>
          <w:i/>
          <w:iCs/>
          <w:sz w:val="20"/>
          <w:szCs w:val="20"/>
        </w:rPr>
      </w:pPr>
    </w:p>
    <w:p w14:paraId="6F2973CF" w14:textId="77777777" w:rsidR="00273BF5" w:rsidRPr="0060163E" w:rsidRDefault="00273BF5" w:rsidP="00273BF5">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44CB5B3" w14:textId="77777777" w:rsidR="00273BF5" w:rsidRDefault="00273BF5" w:rsidP="00273BF5">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w:t>
      </w:r>
      <w:r>
        <w:rPr>
          <w:rFonts w:ascii="Verdana" w:eastAsia="Calibri" w:hAnsi="Verdana" w:cs="Times New Roman"/>
          <w:lang w:val="es-ES"/>
        </w:rPr>
        <w:t xml:space="preserve">s con el problema jurídico de su consulta. </w:t>
      </w:r>
    </w:p>
    <w:p w14:paraId="2DE36447" w14:textId="77777777" w:rsidR="00273BF5" w:rsidRPr="0060163E" w:rsidRDefault="00273BF5" w:rsidP="00273BF5">
      <w:pPr>
        <w:spacing w:after="0" w:line="276" w:lineRule="auto"/>
        <w:ind w:firstLine="708"/>
        <w:jc w:val="both"/>
        <w:rPr>
          <w:rFonts w:ascii="Verdana" w:eastAsia="Calibri" w:hAnsi="Verdana" w:cs="Times New Roman"/>
          <w:lang w:val="es-ES"/>
        </w:rPr>
      </w:pPr>
    </w:p>
    <w:p w14:paraId="078ABFE1" w14:textId="77777777" w:rsidR="00273BF5" w:rsidRPr="0060163E" w:rsidRDefault="00273BF5" w:rsidP="00273BF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70EFC42C" w14:textId="77777777" w:rsidR="00273BF5" w:rsidRPr="0060163E" w:rsidRDefault="00273BF5" w:rsidP="00273BF5">
      <w:pPr>
        <w:spacing w:after="0" w:line="276" w:lineRule="auto"/>
        <w:rPr>
          <w:rFonts w:ascii="Verdana" w:eastAsia="Calibri" w:hAnsi="Verdana" w:cs="Times New Roman"/>
        </w:rPr>
      </w:pPr>
    </w:p>
    <w:p w14:paraId="3945B6FC" w14:textId="77777777" w:rsidR="00273BF5" w:rsidRPr="00BF497E" w:rsidRDefault="00273BF5" w:rsidP="00273BF5">
      <w:pPr>
        <w:spacing w:after="0" w:line="276" w:lineRule="auto"/>
        <w:jc w:val="both"/>
        <w:rPr>
          <w:rFonts w:ascii="Verdana" w:eastAsia="Calibri" w:hAnsi="Verdana" w:cs="Times New Roman"/>
        </w:rPr>
      </w:pPr>
      <w:r w:rsidRPr="0060163E">
        <w:rPr>
          <w:rFonts w:ascii="Verdana" w:eastAsia="Calibri" w:hAnsi="Verdana" w:cs="Times New Roman"/>
        </w:rPr>
        <w:t xml:space="preserve">De acuerdo con el contenido de su solicitud, esta Agencia procede a resolver </w:t>
      </w:r>
      <w:r>
        <w:rPr>
          <w:rFonts w:ascii="Verdana" w:eastAsia="Calibri" w:hAnsi="Verdana" w:cs="Times New Roman"/>
        </w:rPr>
        <w:t xml:space="preserve">el siguiente problema jurídico: </w:t>
      </w:r>
      <w:r w:rsidRPr="00BF497E">
        <w:rPr>
          <w:rFonts w:ascii="Verdana" w:eastAsia="Calibri" w:hAnsi="Verdana" w:cs="Times New Roman"/>
        </w:rPr>
        <w:t xml:space="preserve">¿Está inhabilitado </w:t>
      </w:r>
      <w:bookmarkStart w:id="1" w:name="_Hlk213780682"/>
      <w:r w:rsidRPr="00BF497E">
        <w:rPr>
          <w:rFonts w:ascii="Verdana" w:eastAsia="Calibri" w:hAnsi="Verdana" w:cs="Times New Roman"/>
        </w:rPr>
        <w:t>un arquitecto vinculado por prestación de servicios con una entidad pública para celebrar contratos privados de diseño y construcción de viviendas y firmar planos que serán usados por particulares en solicitudes de licencias de construcción, cuando dicha e</w:t>
      </w:r>
      <w:r>
        <w:rPr>
          <w:rFonts w:ascii="Verdana" w:eastAsia="Calibri" w:hAnsi="Verdana" w:cs="Times New Roman"/>
        </w:rPr>
        <w:t>ntidad es la competente</w:t>
      </w:r>
      <w:r w:rsidRPr="00BF497E">
        <w:rPr>
          <w:rFonts w:ascii="Verdana" w:eastAsia="Calibri" w:hAnsi="Verdana" w:cs="Times New Roman"/>
        </w:rPr>
        <w:t xml:space="preserve"> de otorgarlas</w:t>
      </w:r>
      <w:bookmarkEnd w:id="1"/>
      <w:r w:rsidRPr="00BF497E">
        <w:rPr>
          <w:rFonts w:ascii="Verdana" w:eastAsia="Calibri" w:hAnsi="Verdana" w:cs="Times New Roman"/>
        </w:rPr>
        <w:t>?</w:t>
      </w:r>
    </w:p>
    <w:p w14:paraId="4289A3B5" w14:textId="77777777" w:rsidR="00273BF5" w:rsidRDefault="00273BF5" w:rsidP="00273BF5">
      <w:pPr>
        <w:spacing w:after="0" w:line="276" w:lineRule="auto"/>
        <w:rPr>
          <w:rFonts w:ascii="Verdana" w:eastAsia="Calibri" w:hAnsi="Verdana" w:cs="Times New Roman"/>
        </w:rPr>
      </w:pPr>
    </w:p>
    <w:p w14:paraId="355A3F81" w14:textId="77777777" w:rsidR="00273BF5" w:rsidRPr="0060163E" w:rsidRDefault="00273BF5" w:rsidP="00273BF5">
      <w:pPr>
        <w:spacing w:after="0" w:line="276" w:lineRule="auto"/>
        <w:rPr>
          <w:rFonts w:ascii="Verdana" w:eastAsia="Calibri" w:hAnsi="Verdana" w:cs="Times New Roman"/>
        </w:rPr>
      </w:pPr>
    </w:p>
    <w:p w14:paraId="62430F27" w14:textId="77777777" w:rsidR="00273BF5" w:rsidRPr="0060163E" w:rsidRDefault="00273BF5" w:rsidP="00273BF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lastRenderedPageBreak/>
        <w:t xml:space="preserve">II. </w:t>
      </w:r>
      <w:r w:rsidRPr="0060163E">
        <w:rPr>
          <w:rFonts w:ascii="Verdana" w:eastAsia="Calibri" w:hAnsi="Verdana" w:cs="Times New Roman"/>
          <w:b/>
          <w:bCs/>
          <w:lang w:val="es-ES"/>
        </w:rPr>
        <w:t>Respuesta:</w:t>
      </w:r>
    </w:p>
    <w:p w14:paraId="41A93C76" w14:textId="77777777" w:rsidR="00273BF5" w:rsidRPr="0060163E" w:rsidRDefault="00273BF5" w:rsidP="00273BF5">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3BF5" w:rsidRPr="0060163E" w14:paraId="51D235C9" w14:textId="77777777" w:rsidTr="00835DC0">
        <w:trPr>
          <w:trHeight w:val="870"/>
          <w:jc w:val="center"/>
        </w:trPr>
        <w:tc>
          <w:tcPr>
            <w:tcW w:w="8647" w:type="dxa"/>
          </w:tcPr>
          <w:p w14:paraId="148146EC" w14:textId="77777777" w:rsidR="00273BF5" w:rsidRPr="00982AE2" w:rsidRDefault="00273BF5" w:rsidP="00835DC0">
            <w:pPr>
              <w:spacing w:after="120" w:line="276" w:lineRule="auto"/>
              <w:jc w:val="both"/>
              <w:rPr>
                <w:rFonts w:ascii="Verdana" w:eastAsia="Calibri" w:hAnsi="Verdana" w:cs="Arial"/>
                <w:bCs/>
              </w:rPr>
            </w:pPr>
            <w:r w:rsidRPr="00982AE2">
              <w:rPr>
                <w:rFonts w:ascii="Verdana" w:eastAsia="Calibri" w:hAnsi="Verdana" w:cs="Arial"/>
                <w:bCs/>
              </w:rPr>
              <w:t xml:space="preserve">De acuerdo al problema jurídico presentado, y teniendo en cuenta las precisiones tratadas en las razones de la respuesta, se señala que analizado el régimen de inhabilidades e incompatibilidades previsto para la contratación estatal, se concluye que no existe una inhabilidad o incompatibilidad en aquellos supuestos de arquitectos contratistas por prestación de servicios profesionales que, además de cumplir labores en una dependencia de una entidad pública, ejercen su actividad como independientes </w:t>
            </w:r>
            <w:r>
              <w:rPr>
                <w:rFonts w:ascii="Verdana" w:eastAsia="Calibri" w:hAnsi="Verdana" w:cs="Arial"/>
                <w:bCs/>
              </w:rPr>
              <w:t xml:space="preserve">en la elaboración de </w:t>
            </w:r>
            <w:r w:rsidRPr="00FE0967">
              <w:rPr>
                <w:rFonts w:ascii="Verdana" w:eastAsia="Calibri" w:hAnsi="Verdana" w:cs="Arial"/>
                <w:bCs/>
              </w:rPr>
              <w:t>diseño</w:t>
            </w:r>
            <w:r>
              <w:rPr>
                <w:rFonts w:ascii="Verdana" w:eastAsia="Calibri" w:hAnsi="Verdana" w:cs="Arial"/>
                <w:bCs/>
              </w:rPr>
              <w:t xml:space="preserve">s, </w:t>
            </w:r>
            <w:r w:rsidRPr="00FE0967">
              <w:rPr>
                <w:rFonts w:ascii="Verdana" w:eastAsia="Calibri" w:hAnsi="Verdana" w:cs="Arial"/>
                <w:bCs/>
              </w:rPr>
              <w:t>construcción de viviendas y firma</w:t>
            </w:r>
            <w:r>
              <w:rPr>
                <w:rFonts w:ascii="Verdana" w:eastAsia="Calibri" w:hAnsi="Verdana" w:cs="Arial"/>
                <w:bCs/>
              </w:rPr>
              <w:t xml:space="preserve"> de</w:t>
            </w:r>
            <w:r w:rsidRPr="00FE0967">
              <w:rPr>
                <w:rFonts w:ascii="Verdana" w:eastAsia="Calibri" w:hAnsi="Verdana" w:cs="Arial"/>
                <w:bCs/>
              </w:rPr>
              <w:t xml:space="preserve"> planos que serán usados por particulares en solicitudes de licencias de construcción, cuando dicha </w:t>
            </w:r>
            <w:r>
              <w:rPr>
                <w:rFonts w:ascii="Verdana" w:eastAsia="Calibri" w:hAnsi="Verdana" w:cs="Arial"/>
                <w:bCs/>
              </w:rPr>
              <w:t xml:space="preserve">dependencia de la </w:t>
            </w:r>
            <w:r w:rsidRPr="00FE0967">
              <w:rPr>
                <w:rFonts w:ascii="Verdana" w:eastAsia="Calibri" w:hAnsi="Verdana" w:cs="Arial"/>
                <w:bCs/>
              </w:rPr>
              <w:t xml:space="preserve">entidad es la </w:t>
            </w:r>
            <w:r>
              <w:rPr>
                <w:rFonts w:ascii="Verdana" w:eastAsia="Calibri" w:hAnsi="Verdana" w:cs="Arial"/>
                <w:bCs/>
              </w:rPr>
              <w:t xml:space="preserve">competente </w:t>
            </w:r>
            <w:r w:rsidRPr="00FE0967">
              <w:rPr>
                <w:rFonts w:ascii="Verdana" w:eastAsia="Calibri" w:hAnsi="Verdana" w:cs="Arial"/>
                <w:bCs/>
              </w:rPr>
              <w:t>de otorgarlas</w:t>
            </w:r>
            <w:r w:rsidRPr="00982AE2">
              <w:rPr>
                <w:rFonts w:ascii="Verdana" w:eastAsia="Calibri" w:hAnsi="Verdana" w:cs="Arial"/>
                <w:bCs/>
              </w:rPr>
              <w:t xml:space="preserve">. Esta situación no se subsume en ninguno de los supuestos de hecho, ni se advierte que la hipótesis materia de consulta configure alguna de las causales previstas en el artículo 8 de la Ley 80 de 1993. </w:t>
            </w:r>
          </w:p>
          <w:p w14:paraId="3E8A8D39" w14:textId="77777777" w:rsidR="00273BF5" w:rsidRDefault="00273BF5" w:rsidP="00835DC0">
            <w:pPr>
              <w:spacing w:after="120" w:line="276" w:lineRule="auto"/>
              <w:ind w:firstLine="709"/>
              <w:jc w:val="both"/>
              <w:rPr>
                <w:rFonts w:ascii="Verdana" w:eastAsia="Calibri" w:hAnsi="Verdana" w:cs="Arial"/>
                <w:bCs/>
              </w:rPr>
            </w:pPr>
            <w:r w:rsidRPr="00982AE2">
              <w:rPr>
                <w:rFonts w:ascii="Verdana" w:eastAsia="Calibri" w:hAnsi="Verdana" w:cs="Arial"/>
                <w:bCs/>
              </w:rPr>
              <w:t xml:space="preserve">Sin embargo, es pertinente tener en cuenta que el ordenamiento jurídico contempla restricciones sobre aspectos particulares que es importante considerar al momento de analizar una situación como la señalada. Así, la Ley 435 de 1998 “por la cual se reglamenta el ejercicio de la profesión de Arquitectura y sus profesiones auxiliares, se crea el Consejo Profesional Nacional de Arquitectura y sus profesiones auxiliares, se dicta el Código de Ética Profesional, se establece el Régimen Disciplinario para estas profesiones, se reestructura el Consejo Profesional Nacional de Ingeniería y Arquitectura en Consejo Profesional Nacional de Ingeniería y sus profesiones auxiliares y otras disposiciones”. Al respecto, el artículo 22 de la Ley 435 de 1998 establece restricciones para el ejercicio profesional en contextos públicos y privados, señalando que incurren en falta quienes actúan como asesores o representantes técnicos simultáneamente en empresas con actividades idénticas sin autorización expresa, quienes intervienen en un asunto y luego asesoran a la parte contraria, y quienes participan como peritos en situaciones que les generan inhabilidades o incompatibilidades legales. </w:t>
            </w:r>
          </w:p>
          <w:p w14:paraId="6458941A" w14:textId="77777777" w:rsidR="00273BF5" w:rsidRPr="00831FD2" w:rsidRDefault="00273BF5" w:rsidP="00835DC0">
            <w:pPr>
              <w:spacing w:after="120" w:line="276" w:lineRule="auto"/>
              <w:ind w:firstLine="709"/>
              <w:jc w:val="both"/>
              <w:rPr>
                <w:rFonts w:ascii="Verdana" w:eastAsia="Calibri" w:hAnsi="Verdana" w:cs="Arial"/>
                <w:bCs/>
                <w:lang w:val="es-ES_tradnl"/>
              </w:rPr>
            </w:pPr>
            <w:r w:rsidRPr="00C00AD8">
              <w:rPr>
                <w:rFonts w:ascii="Verdana" w:eastAsia="Calibri" w:hAnsi="Verdana" w:cs="Arial"/>
                <w:bCs/>
              </w:rPr>
              <w:t>Con base en l</w:t>
            </w:r>
            <w:r>
              <w:rPr>
                <w:rFonts w:ascii="Verdana" w:eastAsia="Calibri" w:hAnsi="Verdana" w:cs="Arial"/>
                <w:bCs/>
              </w:rPr>
              <w:t xml:space="preserve">as razones de la respuesta </w:t>
            </w:r>
            <w:r w:rsidRPr="00C00AD8">
              <w:rPr>
                <w:rFonts w:ascii="Verdana" w:eastAsia="Calibri" w:hAnsi="Verdana" w:cs="Arial"/>
                <w:bCs/>
              </w:rPr>
              <w:t xml:space="preserve">y conforme a una interpretación restrictiva del régimen de inhabilidades e incompatibilidades, se concluye que corresponde a la autoridad competente en vigilancia del </w:t>
            </w:r>
            <w:r w:rsidRPr="00C00AD8">
              <w:rPr>
                <w:rFonts w:ascii="Verdana" w:eastAsia="Calibri" w:hAnsi="Verdana" w:cs="Arial"/>
                <w:bCs/>
              </w:rPr>
              <w:lastRenderedPageBreak/>
              <w:t xml:space="preserve">ejercicio profesional determinar si el arquitecto vinculado mediante contrato de prestación de servicios con una entidad pública incurre en alguna </w:t>
            </w:r>
            <w:r>
              <w:rPr>
                <w:rFonts w:ascii="Verdana" w:eastAsia="Calibri" w:hAnsi="Verdana" w:cs="Arial"/>
                <w:bCs/>
              </w:rPr>
              <w:t xml:space="preserve">falta a la profesión </w:t>
            </w:r>
            <w:r w:rsidRPr="00C00AD8">
              <w:rPr>
                <w:rFonts w:ascii="Verdana" w:eastAsia="Calibri" w:hAnsi="Verdana" w:cs="Arial"/>
                <w:bCs/>
              </w:rPr>
              <w:t xml:space="preserve">al celebrar contratos privados de diseño y construcción de viviendas, y </w:t>
            </w:r>
            <w:r>
              <w:rPr>
                <w:rFonts w:ascii="Verdana" w:eastAsia="Calibri" w:hAnsi="Verdana" w:cs="Arial"/>
                <w:bCs/>
              </w:rPr>
              <w:t>la firma de</w:t>
            </w:r>
            <w:r w:rsidRPr="00C00AD8">
              <w:rPr>
                <w:rFonts w:ascii="Verdana" w:eastAsia="Calibri" w:hAnsi="Verdana" w:cs="Arial"/>
                <w:bCs/>
              </w:rPr>
              <w:t xml:space="preserve"> planos que serán utilizados por particulares en solicitudes de licencias de construcción, cuando dicha entidad es la encargada de otorgarlas</w:t>
            </w:r>
            <w:r>
              <w:rPr>
                <w:rFonts w:ascii="Verdana" w:eastAsia="Calibri" w:hAnsi="Verdana" w:cs="Arial"/>
                <w:bCs/>
              </w:rPr>
              <w:t>.</w:t>
            </w:r>
          </w:p>
          <w:p w14:paraId="3536A5D4" w14:textId="77777777" w:rsidR="00273BF5" w:rsidRPr="004A4508" w:rsidRDefault="00273BF5" w:rsidP="00835DC0">
            <w:pPr>
              <w:spacing w:after="120" w:line="276" w:lineRule="auto"/>
              <w:ind w:firstLine="709"/>
              <w:jc w:val="both"/>
              <w:rPr>
                <w:rFonts w:ascii="Verdana" w:eastAsia="Arial MT" w:hAnsi="Verdana" w:cs="Arial"/>
                <w:bCs/>
                <w:iCs/>
                <w:lang w:eastAsia="es-ES" w:bidi="es-ES"/>
              </w:rPr>
            </w:pPr>
            <w:r>
              <w:rPr>
                <w:rFonts w:ascii="Verdana" w:eastAsia="Arial MT" w:hAnsi="Verdana" w:cs="Arial"/>
                <w:bCs/>
                <w:iCs/>
                <w:lang w:eastAsia="es-ES" w:bidi="es-ES"/>
              </w:rPr>
              <w:t xml:space="preserve">De lo expuesto, la Agencia Nacional de Contratación Pública –Colombia Compra Eficiente no puede definir o catalogar una inhabilidad o incompatibilidad en razón a la profesión de la arquitectura y sus profesiones auxiliares, pues no es competencia de esta, </w:t>
            </w:r>
            <w:r w:rsidRPr="00EC793E">
              <w:rPr>
                <w:rFonts w:ascii="Verdana" w:eastAsia="Arial MT" w:hAnsi="Verdana" w:cs="Arial"/>
                <w:bCs/>
                <w:iCs/>
                <w:lang w:eastAsia="es-ES" w:bidi="es-ES"/>
              </w:rPr>
              <w:t>sino revisar si estas implican una restricci</w:t>
            </w:r>
            <w:r>
              <w:rPr>
                <w:rFonts w:ascii="Verdana" w:eastAsia="Arial MT" w:hAnsi="Verdana" w:cs="Arial"/>
                <w:bCs/>
                <w:iCs/>
                <w:lang w:eastAsia="es-ES" w:bidi="es-ES"/>
              </w:rPr>
              <w:t xml:space="preserve">ón para contratar con el Estado. En efecto, </w:t>
            </w:r>
            <w:r w:rsidRPr="00EC793E">
              <w:rPr>
                <w:rFonts w:ascii="Verdana" w:eastAsia="Arial MT" w:hAnsi="Verdana" w:cs="Arial"/>
                <w:bCs/>
                <w:lang w:val="es-ES_tradnl" w:eastAsia="es-ES" w:bidi="es-ES"/>
              </w:rPr>
              <w:t xml:space="preserve">se destaca que el supuesto planteado no hay una inhabilidad o incompatibilidad, teniendo en cuenta que, de las normas del sistema de compras y contratación pública, no existe una causal contemplada para ello. </w:t>
            </w:r>
            <w:r w:rsidRPr="00EC793E">
              <w:rPr>
                <w:rFonts w:ascii="Verdana" w:eastAsia="Arial MT" w:hAnsi="Verdana" w:cs="Arial"/>
                <w:bCs/>
                <w:lang w:eastAsia="es-ES" w:bidi="es-ES"/>
              </w:rPr>
              <w:t>No obstante, es importante recordar que no es permitido hacer una interpretación extensiva de los efectos de inhabilidades e incompatibilidades en razón a una p</w:t>
            </w:r>
            <w:r>
              <w:rPr>
                <w:rFonts w:ascii="Verdana" w:eastAsia="Arial MT" w:hAnsi="Verdana" w:cs="Arial"/>
                <w:bCs/>
                <w:lang w:eastAsia="es-ES" w:bidi="es-ES"/>
              </w:rPr>
              <w:t xml:space="preserve">rofesión en torno a los contratos estatales, </w:t>
            </w:r>
            <w:r w:rsidRPr="00EC793E">
              <w:rPr>
                <w:rFonts w:ascii="Verdana" w:eastAsia="Arial MT" w:hAnsi="Verdana" w:cs="Arial"/>
                <w:bCs/>
                <w:lang w:eastAsia="es-ES" w:bidi="es-ES"/>
              </w:rPr>
              <w:t xml:space="preserve">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p>
          <w:p w14:paraId="0C847D93" w14:textId="77777777" w:rsidR="00273BF5" w:rsidRPr="00636B74" w:rsidRDefault="00273BF5" w:rsidP="00835DC0">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Adicionalmente, es</w:t>
            </w:r>
            <w:r w:rsidRPr="00913D97">
              <w:rPr>
                <w:rFonts w:ascii="Verdana" w:eastAsia="Arial MT" w:hAnsi="Verdana" w:cs="Arial"/>
                <w:lang w:eastAsia="es-ES" w:bidi="es-ES"/>
              </w:rPr>
              <w:t xml:space="preserve"> fundamental analizar cada caso de manera individual para descartar posibles conflictos de interés, entendidos como situaciones en las que los intereses personales de una persona puedan entrar en contradicción con sus deberes profesionales. En este contexto, resulta especialmente relevante revisar los casos de arquitectos contratistas por prestación de servicios profesionales que, además de cumplir funciones en una dependencia de una entidad pública, ejercen su actividad como independientes y radican licencias de construcción ante </w:t>
            </w:r>
            <w:r>
              <w:rPr>
                <w:rFonts w:ascii="Verdana" w:eastAsia="Arial MT" w:hAnsi="Verdana" w:cs="Arial"/>
                <w:lang w:eastAsia="es-ES" w:bidi="es-ES"/>
              </w:rPr>
              <w:t>la misma dependencia de la</w:t>
            </w:r>
            <w:r w:rsidRPr="00913D97">
              <w:rPr>
                <w:rFonts w:ascii="Verdana" w:eastAsia="Arial MT" w:hAnsi="Verdana" w:cs="Arial"/>
                <w:lang w:eastAsia="es-ES" w:bidi="es-ES"/>
              </w:rPr>
              <w:t xml:space="preserve"> entidad.</w:t>
            </w:r>
            <w:r>
              <w:rPr>
                <w:rFonts w:ascii="Verdana" w:eastAsia="Arial MT" w:hAnsi="Verdana" w:cs="Arial"/>
                <w:lang w:eastAsia="es-ES" w:bidi="es-ES"/>
              </w:rPr>
              <w:t xml:space="preserve"> </w:t>
            </w:r>
            <w:r w:rsidRPr="00AE22D5">
              <w:rPr>
                <w:rFonts w:ascii="Verdana" w:eastAsia="Calibri" w:hAnsi="Verdana" w:cs="Arial"/>
              </w:rPr>
              <w:t>En</w:t>
            </w:r>
            <w:r>
              <w:rPr>
                <w:rFonts w:ascii="Verdana" w:eastAsia="Calibri" w:hAnsi="Verdana" w:cs="Arial"/>
              </w:rPr>
              <w:t xml:space="preserve"> efecto</w:t>
            </w:r>
            <w:r w:rsidRPr="00AE22D5">
              <w:rPr>
                <w:rFonts w:ascii="Verdana" w:eastAsia="Calibri" w:hAnsi="Verdana" w:cs="Arial"/>
              </w:rPr>
              <w:t xml:space="preserve">, </w:t>
            </w:r>
            <w:r w:rsidRPr="00AE22D5">
              <w:rPr>
                <w:rFonts w:ascii="Verdana" w:eastAsia="Calibri" w:hAnsi="Verdana" w:cs="Arial"/>
                <w:color w:val="000000" w:themeColor="text1"/>
                <w:szCs w:val="24"/>
                <w:lang w:eastAsia="es-ES_tradnl"/>
              </w:rPr>
              <w:t>es indispensable que se analice la</w:t>
            </w:r>
            <w:r w:rsidRPr="00AE22D5">
              <w:rPr>
                <w:rFonts w:ascii="Verdana" w:eastAsia="Calibri" w:hAnsi="Verdana" w:cs="Arial"/>
              </w:rPr>
              <w:t xml:space="preserve"> ocurrencia de potenciales conflictos de interés de cara a una posible vulneración de la transparencia, imparcialidad, y moralidad administrativa. </w:t>
            </w:r>
          </w:p>
        </w:tc>
      </w:tr>
    </w:tbl>
    <w:p w14:paraId="08664181" w14:textId="77777777" w:rsidR="00273BF5" w:rsidRDefault="00273BF5" w:rsidP="00273BF5">
      <w:pPr>
        <w:spacing w:after="0" w:line="276" w:lineRule="auto"/>
        <w:contextualSpacing/>
        <w:rPr>
          <w:rFonts w:ascii="Verdana" w:eastAsia="Calibri" w:hAnsi="Verdana" w:cs="Times New Roman"/>
          <w:b/>
          <w:bCs/>
          <w:lang w:val="es-ES"/>
        </w:rPr>
      </w:pPr>
    </w:p>
    <w:p w14:paraId="55EBB167" w14:textId="77777777" w:rsidR="00273BF5" w:rsidRDefault="00273BF5" w:rsidP="00273BF5">
      <w:pPr>
        <w:spacing w:after="0" w:line="276" w:lineRule="auto"/>
        <w:contextualSpacing/>
        <w:rPr>
          <w:rFonts w:ascii="Verdana" w:eastAsia="Calibri" w:hAnsi="Verdana" w:cs="Times New Roman"/>
          <w:b/>
          <w:bCs/>
          <w:lang w:val="es-ES"/>
        </w:rPr>
      </w:pPr>
    </w:p>
    <w:p w14:paraId="4E019775" w14:textId="77777777" w:rsidR="00273BF5" w:rsidRPr="0060163E" w:rsidRDefault="00273BF5" w:rsidP="00273BF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2E1C3195" w14:textId="77777777" w:rsidR="00273BF5" w:rsidRPr="0060163E" w:rsidRDefault="00273BF5" w:rsidP="00273BF5">
      <w:pPr>
        <w:spacing w:after="0" w:line="276" w:lineRule="auto"/>
        <w:rPr>
          <w:rFonts w:ascii="Verdana" w:eastAsia="Calibri" w:hAnsi="Verdana" w:cs="Times New Roman"/>
          <w:b/>
          <w:bCs/>
          <w:lang w:val="es-ES"/>
        </w:rPr>
      </w:pPr>
    </w:p>
    <w:p w14:paraId="0AA6DEF3" w14:textId="77777777" w:rsidR="00273BF5" w:rsidRPr="0060163E" w:rsidRDefault="00273BF5" w:rsidP="00273BF5">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3EC3BE22" w14:textId="77777777" w:rsidR="00273BF5" w:rsidRPr="0060163E" w:rsidRDefault="00273BF5" w:rsidP="00273BF5">
      <w:pPr>
        <w:spacing w:after="0" w:line="276" w:lineRule="auto"/>
        <w:jc w:val="both"/>
        <w:rPr>
          <w:rFonts w:ascii="Verdana" w:eastAsia="Calibri" w:hAnsi="Verdana" w:cs="Arial"/>
          <w:lang w:val="es-MX"/>
        </w:rPr>
      </w:pPr>
    </w:p>
    <w:p w14:paraId="7661FE7B" w14:textId="77777777" w:rsidR="00273BF5" w:rsidRDefault="00273BF5" w:rsidP="00273BF5">
      <w:pPr>
        <w:spacing w:after="0" w:line="276" w:lineRule="auto"/>
        <w:jc w:val="both"/>
        <w:rPr>
          <w:rFonts w:ascii="Verdana" w:eastAsia="Calibri" w:hAnsi="Verdana" w:cs="Arial"/>
          <w:lang w:val="es-MX"/>
        </w:rPr>
      </w:pPr>
      <w:r w:rsidRPr="0060163E">
        <w:rPr>
          <w:rFonts w:ascii="Verdana" w:eastAsia="Calibri" w:hAnsi="Verdana" w:cs="Arial"/>
          <w:lang w:val="es-MX"/>
        </w:rPr>
        <w:t>i)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286CB69C" w14:textId="77777777" w:rsidR="00273BF5" w:rsidRDefault="00273BF5" w:rsidP="00273BF5">
      <w:pPr>
        <w:spacing w:after="0" w:line="276" w:lineRule="auto"/>
        <w:jc w:val="both"/>
        <w:rPr>
          <w:rFonts w:ascii="Verdana" w:eastAsia="Calibri" w:hAnsi="Verdana" w:cs="Arial"/>
          <w:lang w:val="es-MX"/>
        </w:rPr>
      </w:pPr>
    </w:p>
    <w:p w14:paraId="6DA6574F" w14:textId="77777777" w:rsidR="00273BF5" w:rsidRDefault="00273BF5" w:rsidP="00273BF5">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1"/>
      </w:r>
      <w:r w:rsidRPr="000B4D9F">
        <w:rPr>
          <w:rFonts w:ascii="Verdana" w:eastAsia="Calibri" w:hAnsi="Verdana" w:cs="Arial"/>
          <w:bCs/>
          <w:iCs/>
          <w:sz w:val="21"/>
          <w:szCs w:val="21"/>
          <w:lang w:val="es-ES"/>
        </w:rPr>
        <w:t>.</w:t>
      </w:r>
    </w:p>
    <w:p w14:paraId="21706D55" w14:textId="77777777" w:rsidR="00273BF5" w:rsidRPr="000B4D9F" w:rsidRDefault="00273BF5" w:rsidP="00273BF5">
      <w:pPr>
        <w:spacing w:after="0" w:line="240" w:lineRule="auto"/>
        <w:ind w:left="709" w:right="709"/>
        <w:jc w:val="both"/>
        <w:rPr>
          <w:rFonts w:ascii="Verdana" w:eastAsia="Calibri" w:hAnsi="Verdana" w:cs="Arial"/>
          <w:bCs/>
          <w:iCs/>
          <w:sz w:val="21"/>
          <w:szCs w:val="21"/>
          <w:lang w:val="es-ES_tradnl"/>
        </w:rPr>
      </w:pPr>
    </w:p>
    <w:p w14:paraId="711F24A0" w14:textId="77777777" w:rsidR="00273BF5" w:rsidRDefault="00273BF5" w:rsidP="00273BF5">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proofErr w:type="spellStart"/>
      <w:r w:rsidRPr="007218AE">
        <w:rPr>
          <w:rFonts w:ascii="Verdana" w:eastAsia="Calibri" w:hAnsi="Verdana" w:cs="Arial"/>
        </w:rPr>
        <w:t>na</w:t>
      </w:r>
      <w:proofErr w:type="spellEnd"/>
      <w:r w:rsidRPr="007218AE">
        <w:rPr>
          <w:rFonts w:ascii="Verdana" w:eastAsia="Calibri" w:hAnsi="Verdana" w:cs="Arial"/>
        </w:rPr>
        <w:t xml:space="preserve">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w:t>
      </w:r>
      <w:r>
        <w:rPr>
          <w:rFonts w:ascii="Verdana" w:eastAsia="Calibri" w:hAnsi="Verdana" w:cs="Arial"/>
          <w:lang w:val="es-MX"/>
        </w:rPr>
        <w:lastRenderedPageBreak/>
        <w:t xml:space="preserve">competente para resolver consultas sobre normas del sistema de compras y contratación públicas que establezca inhabilidades e incompatibilidades para contratar con el Estado. </w:t>
      </w:r>
    </w:p>
    <w:p w14:paraId="52CD0AA8" w14:textId="77777777" w:rsidR="00273BF5" w:rsidRPr="0060163E" w:rsidRDefault="00273BF5" w:rsidP="00273BF5">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
      </w:r>
    </w:p>
    <w:p w14:paraId="1F1EA4AD" w14:textId="77777777" w:rsidR="00273BF5" w:rsidRPr="0060163E" w:rsidRDefault="00273BF5" w:rsidP="00273BF5">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75A04BEC" w14:textId="77777777" w:rsidR="00273BF5" w:rsidRPr="0060163E" w:rsidRDefault="00273BF5" w:rsidP="00273BF5">
      <w:pPr>
        <w:spacing w:after="0" w:line="276" w:lineRule="auto"/>
        <w:jc w:val="both"/>
        <w:rPr>
          <w:rFonts w:ascii="Verdana" w:eastAsia="Calibri" w:hAnsi="Verdana" w:cs="Arial"/>
          <w:lang w:val="es-MX"/>
        </w:rPr>
      </w:pPr>
    </w:p>
    <w:p w14:paraId="218D9D17" w14:textId="77777777" w:rsidR="00273BF5" w:rsidRPr="0045272C" w:rsidRDefault="00273BF5" w:rsidP="00273BF5">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50D034AD" w14:textId="77777777" w:rsidR="00273BF5" w:rsidRPr="0045272C" w:rsidRDefault="00273BF5" w:rsidP="00273BF5">
      <w:pPr>
        <w:shd w:val="clear" w:color="auto" w:fill="FFFFFF"/>
        <w:spacing w:after="0" w:line="240" w:lineRule="auto"/>
        <w:ind w:left="709" w:right="709"/>
        <w:jc w:val="both"/>
        <w:rPr>
          <w:rFonts w:ascii="Verdana" w:eastAsia="Calibri" w:hAnsi="Verdana" w:cs="Arial"/>
          <w:sz w:val="20"/>
          <w:szCs w:val="20"/>
          <w:lang w:val="es-ES"/>
        </w:rPr>
      </w:pPr>
    </w:p>
    <w:p w14:paraId="5E81A8F6" w14:textId="77777777" w:rsidR="00273BF5" w:rsidRPr="0045272C" w:rsidRDefault="00273BF5" w:rsidP="00273BF5">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w:t>
      </w:r>
      <w:r w:rsidRPr="0045272C">
        <w:rPr>
          <w:rFonts w:ascii="Verdana" w:eastAsia="Calibri" w:hAnsi="Verdana" w:cs="Arial"/>
          <w:sz w:val="20"/>
          <w:szCs w:val="20"/>
          <w:lang w:val="es-ES"/>
        </w:rPr>
        <w:lastRenderedPageBreak/>
        <w:t>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5272C">
        <w:rPr>
          <w:rFonts w:ascii="Verdana" w:eastAsia="Calibri" w:hAnsi="Verdana" w:cs="Arial"/>
          <w:sz w:val="20"/>
          <w:szCs w:val="20"/>
          <w:vertAlign w:val="superscript"/>
          <w:lang w:val="es-ES"/>
        </w:rPr>
        <w:footnoteReference w:id="3"/>
      </w:r>
    </w:p>
    <w:p w14:paraId="2F3BD696" w14:textId="77777777" w:rsidR="00273BF5" w:rsidRPr="0045272C" w:rsidRDefault="00273BF5" w:rsidP="00273BF5">
      <w:pPr>
        <w:shd w:val="clear" w:color="auto" w:fill="FFFFFF"/>
        <w:spacing w:after="0" w:line="240" w:lineRule="auto"/>
        <w:ind w:left="709" w:right="709"/>
        <w:jc w:val="both"/>
        <w:rPr>
          <w:rFonts w:ascii="Verdana" w:eastAsia="Calibri" w:hAnsi="Verdana" w:cs="Arial"/>
          <w:sz w:val="20"/>
          <w:szCs w:val="20"/>
          <w:lang w:val="es-ES"/>
        </w:rPr>
      </w:pPr>
    </w:p>
    <w:p w14:paraId="25A3FD94" w14:textId="77777777" w:rsidR="00273BF5" w:rsidRPr="0060163E" w:rsidRDefault="00273BF5" w:rsidP="00273BF5">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1F43DC60" w14:textId="77777777" w:rsidR="00273BF5" w:rsidRPr="004218E1" w:rsidRDefault="00273BF5" w:rsidP="00273BF5">
      <w:pPr>
        <w:spacing w:after="0" w:line="276" w:lineRule="auto"/>
        <w:rPr>
          <w:rFonts w:ascii="Verdana" w:eastAsia="Times New Roman" w:hAnsi="Verdana" w:cs="Arial"/>
          <w:sz w:val="21"/>
          <w:szCs w:val="21"/>
          <w:shd w:val="clear" w:color="auto" w:fill="FFFFFF"/>
          <w:lang w:eastAsia="es-ES_tradnl"/>
        </w:rPr>
      </w:pPr>
    </w:p>
    <w:p w14:paraId="096A1EE7" w14:textId="77777777" w:rsidR="00273BF5" w:rsidRPr="0045272C" w:rsidRDefault="00273BF5" w:rsidP="00273BF5">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47303718" w14:textId="77777777" w:rsidR="00273BF5" w:rsidRPr="0045272C" w:rsidRDefault="00273BF5" w:rsidP="00273BF5">
      <w:pPr>
        <w:spacing w:after="0" w:line="240" w:lineRule="auto"/>
        <w:ind w:left="709" w:right="709"/>
        <w:jc w:val="both"/>
        <w:rPr>
          <w:rFonts w:ascii="Verdana" w:eastAsia="Calibri" w:hAnsi="Verdana" w:cs="Arial"/>
          <w:sz w:val="20"/>
          <w:szCs w:val="20"/>
          <w:lang w:val="es-MX"/>
        </w:rPr>
      </w:pPr>
    </w:p>
    <w:p w14:paraId="1FBE6FE2" w14:textId="77777777" w:rsidR="00273BF5" w:rsidRPr="0045272C" w:rsidRDefault="00273BF5" w:rsidP="00273BF5">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5272C">
        <w:rPr>
          <w:rFonts w:ascii="Verdana" w:eastAsia="Calibri" w:hAnsi="Verdana" w:cs="Arial"/>
          <w:sz w:val="20"/>
          <w:szCs w:val="20"/>
          <w:vertAlign w:val="superscript"/>
          <w:lang w:val="es-MX"/>
        </w:rPr>
        <w:footnoteReference w:id="4"/>
      </w:r>
      <w:r w:rsidRPr="0045272C">
        <w:rPr>
          <w:rFonts w:ascii="Verdana" w:eastAsia="Calibri" w:hAnsi="Verdana" w:cs="Arial"/>
          <w:sz w:val="20"/>
          <w:szCs w:val="20"/>
          <w:lang w:val="es-MX"/>
        </w:rPr>
        <w:t xml:space="preserve">. </w:t>
      </w:r>
    </w:p>
    <w:p w14:paraId="67D6F49C" w14:textId="77777777" w:rsidR="00273BF5" w:rsidRPr="0045272C" w:rsidRDefault="00273BF5" w:rsidP="00273BF5">
      <w:pPr>
        <w:spacing w:after="0" w:line="276" w:lineRule="auto"/>
        <w:ind w:right="709"/>
        <w:jc w:val="both"/>
        <w:rPr>
          <w:rFonts w:ascii="Verdana" w:eastAsia="Calibri" w:hAnsi="Verdana" w:cs="Arial"/>
          <w:sz w:val="20"/>
          <w:szCs w:val="20"/>
          <w:lang w:val="es-MX"/>
        </w:rPr>
      </w:pPr>
    </w:p>
    <w:p w14:paraId="3C72F7C3" w14:textId="77777777" w:rsidR="00273BF5" w:rsidRPr="0060163E" w:rsidRDefault="00273BF5" w:rsidP="00273BF5">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Además, la Corte Constitucional explica que el legislador tiene la competencia para determinar qué hechos o situaciones generan inhabilidad para </w:t>
      </w:r>
      <w:r w:rsidRPr="0060163E">
        <w:rPr>
          <w:rFonts w:ascii="Verdana" w:eastAsia="Calibri" w:hAnsi="Verdana" w:cs="Arial"/>
          <w:lang w:val="es-MX"/>
        </w:rPr>
        <w:lastRenderedPageBreak/>
        <w:t>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2197CDAE" w14:textId="77777777" w:rsidR="00273BF5" w:rsidRPr="0060163E" w:rsidRDefault="00273BF5" w:rsidP="00273BF5">
      <w:pPr>
        <w:tabs>
          <w:tab w:val="left" w:pos="1532"/>
        </w:tabs>
        <w:spacing w:after="0" w:line="276" w:lineRule="auto"/>
        <w:jc w:val="both"/>
        <w:rPr>
          <w:rFonts w:ascii="Verdana" w:eastAsia="Calibri" w:hAnsi="Verdana" w:cs="Arial"/>
          <w:lang w:val="es-MX"/>
        </w:rPr>
      </w:pPr>
    </w:p>
    <w:p w14:paraId="57BA5DE2" w14:textId="77777777" w:rsidR="00273BF5" w:rsidRPr="0045272C" w:rsidRDefault="00273BF5" w:rsidP="00273BF5">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45272C">
        <w:rPr>
          <w:rFonts w:ascii="Verdana" w:eastAsia="Calibri" w:hAnsi="Verdana" w:cs="Arial"/>
          <w:sz w:val="20"/>
          <w:szCs w:val="20"/>
          <w:lang w:val="es-MX"/>
        </w:rPr>
        <w:t>libertate</w:t>
      </w:r>
      <w:proofErr w:type="spellEnd"/>
      <w:r w:rsidRPr="0045272C">
        <w:rPr>
          <w:rFonts w:ascii="Verdana" w:eastAsia="Calibri" w:hAnsi="Verdana" w:cs="Arial"/>
          <w:sz w:val="20"/>
          <w:szCs w:val="20"/>
          <w:lang w:val="es-MX"/>
        </w:rPr>
        <w:t xml:space="preserve">, sino el de legalidad, el que ordena que la función pública debe someterse estrictamente a lo que disponga la Constitución y la ley (CP art. 6). </w:t>
      </w:r>
    </w:p>
    <w:p w14:paraId="23B0807E" w14:textId="77777777" w:rsidR="00273BF5" w:rsidRPr="0045272C" w:rsidRDefault="00273BF5" w:rsidP="00273BF5">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 </w:t>
      </w:r>
    </w:p>
    <w:p w14:paraId="453E3000" w14:textId="77777777" w:rsidR="00273BF5" w:rsidRPr="0045272C" w:rsidRDefault="00273BF5" w:rsidP="00273BF5">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5272C">
        <w:rPr>
          <w:rFonts w:ascii="Verdana" w:eastAsia="Calibri" w:hAnsi="Verdana" w:cs="Arial"/>
          <w:sz w:val="20"/>
          <w:szCs w:val="20"/>
          <w:vertAlign w:val="superscript"/>
          <w:lang w:val="es-MX"/>
        </w:rPr>
        <w:footnoteReference w:id="5"/>
      </w:r>
      <w:r w:rsidRPr="0045272C">
        <w:rPr>
          <w:rFonts w:ascii="Verdana" w:eastAsia="Calibri" w:hAnsi="Verdana" w:cs="Arial"/>
          <w:sz w:val="20"/>
          <w:szCs w:val="20"/>
          <w:lang w:val="es-MX"/>
        </w:rPr>
        <w:t>.</w:t>
      </w:r>
    </w:p>
    <w:p w14:paraId="7DC43BC0" w14:textId="77777777" w:rsidR="00273BF5" w:rsidRPr="0045272C" w:rsidRDefault="00273BF5" w:rsidP="00273BF5">
      <w:pPr>
        <w:spacing w:after="0" w:line="276" w:lineRule="auto"/>
        <w:ind w:left="709" w:right="709"/>
        <w:jc w:val="both"/>
        <w:rPr>
          <w:rFonts w:ascii="Verdana" w:eastAsia="Calibri" w:hAnsi="Verdana" w:cs="Arial"/>
          <w:sz w:val="20"/>
          <w:szCs w:val="20"/>
          <w:lang w:val="es-MX"/>
        </w:rPr>
      </w:pPr>
    </w:p>
    <w:p w14:paraId="6C352717" w14:textId="77777777" w:rsidR="00273BF5" w:rsidRPr="0060163E" w:rsidRDefault="00273BF5" w:rsidP="00273BF5">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6"/>
      </w:r>
      <w:r w:rsidRPr="0060163E">
        <w:rPr>
          <w:rFonts w:ascii="Verdana" w:eastAsia="Calibri" w:hAnsi="Verdana" w:cs="Arial"/>
          <w:lang w:val="es-MX"/>
        </w:rPr>
        <w:t>.</w:t>
      </w:r>
    </w:p>
    <w:p w14:paraId="4E297E63" w14:textId="77777777" w:rsidR="00273BF5" w:rsidRPr="0060163E" w:rsidRDefault="00273BF5" w:rsidP="00273BF5">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7"/>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28E27E7F" w14:textId="77777777" w:rsidR="00273BF5" w:rsidRPr="0060163E" w:rsidRDefault="00273BF5" w:rsidP="00273BF5">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141BA282" w14:textId="77777777" w:rsidR="00273BF5" w:rsidRPr="0060163E" w:rsidRDefault="00273BF5" w:rsidP="00273BF5">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8"/>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w:t>
      </w:r>
      <w:r w:rsidRPr="0060163E">
        <w:rPr>
          <w:rFonts w:ascii="Verdana" w:eastAsia="Calibri" w:hAnsi="Verdana" w:cs="Arial"/>
          <w:lang w:val="es-ES_tradnl"/>
        </w:rPr>
        <w:lastRenderedPageBreak/>
        <w:t xml:space="preserve">interior de la jurisprudencia, tanto de la Corte Constitucional como de la Sección Tercera del Consejo de Estado. </w:t>
      </w:r>
    </w:p>
    <w:p w14:paraId="03361CF0" w14:textId="77777777" w:rsidR="00273BF5" w:rsidRPr="0060163E" w:rsidRDefault="00273BF5" w:rsidP="00273BF5">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xml:space="preserve">. </w:t>
      </w:r>
    </w:p>
    <w:p w14:paraId="4E00D025" w14:textId="77777777" w:rsidR="00273BF5" w:rsidRPr="0060163E" w:rsidRDefault="00273BF5" w:rsidP="00273BF5">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En tal sentido, la Sección Tercera ha señalado que:</w:t>
      </w:r>
    </w:p>
    <w:p w14:paraId="103DF4B0" w14:textId="77777777" w:rsidR="00273BF5" w:rsidRPr="0060163E" w:rsidRDefault="00273BF5" w:rsidP="00273BF5">
      <w:pPr>
        <w:spacing w:after="0" w:line="276" w:lineRule="auto"/>
        <w:ind w:firstLine="709"/>
        <w:jc w:val="both"/>
        <w:rPr>
          <w:rFonts w:ascii="Verdana" w:eastAsia="Calibri" w:hAnsi="Verdana" w:cs="Arial"/>
          <w:lang w:val="es-ES_tradnl"/>
        </w:rPr>
      </w:pPr>
    </w:p>
    <w:p w14:paraId="33E0B4DE" w14:textId="77777777" w:rsidR="00273BF5" w:rsidRPr="0045272C" w:rsidRDefault="00273BF5" w:rsidP="00273BF5">
      <w:pPr>
        <w:spacing w:after="0" w:line="240" w:lineRule="auto"/>
        <w:ind w:left="709" w:right="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5272C">
        <w:rPr>
          <w:rFonts w:ascii="Verdana" w:eastAsia="Calibri" w:hAnsi="Verdana" w:cs="Arial"/>
          <w:sz w:val="20"/>
          <w:szCs w:val="20"/>
          <w:vertAlign w:val="superscript"/>
          <w:lang w:val="es-ES_tradnl"/>
        </w:rPr>
        <w:footnoteReference w:id="11"/>
      </w:r>
      <w:r w:rsidRPr="0045272C">
        <w:rPr>
          <w:rFonts w:ascii="Verdana" w:eastAsia="Calibri" w:hAnsi="Verdana" w:cs="Arial"/>
          <w:sz w:val="20"/>
          <w:szCs w:val="20"/>
          <w:lang w:val="es-ES_tradnl"/>
        </w:rPr>
        <w:t>.</w:t>
      </w:r>
    </w:p>
    <w:p w14:paraId="4E877393" w14:textId="77777777" w:rsidR="00273BF5" w:rsidRPr="0045272C" w:rsidRDefault="00273BF5" w:rsidP="00273BF5">
      <w:pPr>
        <w:spacing w:after="0" w:line="240" w:lineRule="auto"/>
        <w:ind w:firstLine="709"/>
        <w:jc w:val="both"/>
        <w:rPr>
          <w:rFonts w:ascii="Verdana" w:eastAsia="Calibri" w:hAnsi="Verdana" w:cs="Arial"/>
          <w:sz w:val="20"/>
          <w:szCs w:val="20"/>
          <w:lang w:val="es-ES_tradnl"/>
        </w:rPr>
      </w:pPr>
    </w:p>
    <w:p w14:paraId="3D69C0D1" w14:textId="77777777" w:rsidR="00273BF5" w:rsidRPr="0045272C" w:rsidRDefault="00273BF5" w:rsidP="00273BF5">
      <w:pPr>
        <w:spacing w:after="0" w:line="240" w:lineRule="auto"/>
        <w:ind w:firstLine="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También ha dicho que:</w:t>
      </w:r>
    </w:p>
    <w:p w14:paraId="1D16F9C7" w14:textId="77777777" w:rsidR="00273BF5" w:rsidRPr="0045272C" w:rsidRDefault="00273BF5" w:rsidP="00273BF5">
      <w:pPr>
        <w:spacing w:after="0" w:line="240" w:lineRule="auto"/>
        <w:ind w:left="709" w:right="616"/>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 la aplicación de estos preceptos exige una interpretación restrictiva, dado que según el principio hermenéutico </w:t>
      </w:r>
      <w:r w:rsidRPr="0045272C">
        <w:rPr>
          <w:rFonts w:ascii="Verdana" w:eastAsia="Calibri" w:hAnsi="Verdana" w:cs="Arial"/>
          <w:i/>
          <w:iCs/>
          <w:sz w:val="20"/>
          <w:szCs w:val="20"/>
          <w:lang w:val="es-ES"/>
        </w:rPr>
        <w:t xml:space="preserve">pro </w:t>
      </w:r>
      <w:proofErr w:type="spellStart"/>
      <w:r w:rsidRPr="0045272C">
        <w:rPr>
          <w:rFonts w:ascii="Verdana" w:eastAsia="Calibri" w:hAnsi="Verdana" w:cs="Arial"/>
          <w:i/>
          <w:iCs/>
          <w:sz w:val="20"/>
          <w:szCs w:val="20"/>
          <w:lang w:val="es-ES"/>
        </w:rPr>
        <w:t>libertate</w:t>
      </w:r>
      <w:proofErr w:type="spellEnd"/>
      <w:r w:rsidRPr="0045272C">
        <w:rPr>
          <w:rFonts w:ascii="Verdana" w:eastAsia="Calibri" w:hAnsi="Verdana" w:cs="Arial"/>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w:t>
      </w:r>
      <w:r w:rsidRPr="0045272C">
        <w:rPr>
          <w:rFonts w:ascii="Verdana" w:eastAsia="Calibri" w:hAnsi="Verdana" w:cs="Arial"/>
          <w:sz w:val="20"/>
          <w:szCs w:val="20"/>
          <w:lang w:val="es-ES"/>
        </w:rPr>
        <w:lastRenderedPageBreak/>
        <w:t>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5272C">
        <w:rPr>
          <w:rFonts w:ascii="Verdana" w:eastAsia="Calibri" w:hAnsi="Verdana" w:cs="Arial"/>
          <w:sz w:val="20"/>
          <w:szCs w:val="20"/>
          <w:vertAlign w:val="superscript"/>
          <w:lang w:val="es-ES"/>
        </w:rPr>
        <w:footnoteReference w:id="12"/>
      </w:r>
      <w:r w:rsidRPr="0045272C">
        <w:rPr>
          <w:rFonts w:ascii="Verdana" w:eastAsia="Calibri" w:hAnsi="Verdana" w:cs="Arial"/>
          <w:sz w:val="20"/>
          <w:szCs w:val="20"/>
          <w:lang w:val="es-ES"/>
        </w:rPr>
        <w:t>.</w:t>
      </w:r>
    </w:p>
    <w:p w14:paraId="157917B2" w14:textId="77777777" w:rsidR="00273BF5" w:rsidRPr="0045272C" w:rsidRDefault="00273BF5" w:rsidP="00273BF5">
      <w:pPr>
        <w:spacing w:after="0" w:line="276" w:lineRule="auto"/>
        <w:jc w:val="both"/>
        <w:rPr>
          <w:rFonts w:ascii="Verdana" w:eastAsia="Arial" w:hAnsi="Verdana" w:cs="Arial"/>
          <w:color w:val="000000"/>
          <w:sz w:val="20"/>
          <w:szCs w:val="20"/>
          <w:lang w:val="es-ES_tradnl"/>
        </w:rPr>
      </w:pPr>
    </w:p>
    <w:p w14:paraId="618EB751" w14:textId="77777777" w:rsidR="00273BF5" w:rsidRPr="0060163E" w:rsidRDefault="00273BF5" w:rsidP="00273BF5">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3"/>
      </w:r>
    </w:p>
    <w:p w14:paraId="3B1B8C59" w14:textId="77777777" w:rsidR="00273BF5" w:rsidRPr="0060163E" w:rsidRDefault="00273BF5" w:rsidP="00273BF5">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4"/>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5"/>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 xml:space="preserve">existe consenso, incluso como lo ha </w:t>
      </w:r>
      <w:r w:rsidRPr="0060163E">
        <w:rPr>
          <w:rFonts w:ascii="Verdana" w:eastAsia="MS Mincho" w:hAnsi="Verdana" w:cs="Arial"/>
          <w:color w:val="000000"/>
          <w:shd w:val="clear" w:color="auto" w:fill="FFFFFF"/>
        </w:rPr>
        <w:lastRenderedPageBreak/>
        <w:t>expresado esta Agencia en ocasiones anteriores, que la creación de inhabilidades o incompatibilidades está reservada al constituyente o al legislador.</w:t>
      </w:r>
    </w:p>
    <w:p w14:paraId="2AE3F7B8" w14:textId="77777777" w:rsidR="00273BF5" w:rsidRPr="00FF2FD4" w:rsidRDefault="00273BF5" w:rsidP="00273BF5">
      <w:pPr>
        <w:spacing w:after="0" w:line="276" w:lineRule="auto"/>
        <w:jc w:val="both"/>
        <w:rPr>
          <w:rFonts w:ascii="Verdana" w:eastAsia="Calibri" w:hAnsi="Verdana" w:cs="Arial"/>
          <w:b/>
          <w:lang w:val="es-ES_tradnl"/>
        </w:rPr>
      </w:pPr>
    </w:p>
    <w:p w14:paraId="06A308F7" w14:textId="77777777" w:rsidR="00273BF5" w:rsidRPr="00AE22D5" w:rsidRDefault="00273BF5" w:rsidP="00273BF5">
      <w:pPr>
        <w:spacing w:after="0" w:line="276" w:lineRule="auto"/>
        <w:jc w:val="both"/>
        <w:rPr>
          <w:rFonts w:ascii="Verdana" w:eastAsia="Calibri" w:hAnsi="Verdana" w:cs="Arial"/>
          <w:color w:val="000000"/>
        </w:rPr>
      </w:pPr>
      <w:proofErr w:type="spellStart"/>
      <w:r>
        <w:rPr>
          <w:rFonts w:ascii="Verdana" w:eastAsia="Calibri" w:hAnsi="Verdana" w:cs="Arial"/>
          <w:lang w:val="es-ES"/>
        </w:rPr>
        <w:t>ii</w:t>
      </w:r>
      <w:proofErr w:type="spellEnd"/>
      <w:r>
        <w:rPr>
          <w:rFonts w:ascii="Verdana" w:eastAsia="Calibri" w:hAnsi="Verdana" w:cs="Arial"/>
          <w:lang w:val="es-ES"/>
        </w:rPr>
        <w:t>.</w:t>
      </w:r>
      <w:r w:rsidRPr="00AE22D5">
        <w:rPr>
          <w:rFonts w:ascii="Verdana" w:hAnsi="Verdana" w:cs="Arial"/>
          <w:color w:val="000000" w:themeColor="text1"/>
          <w:lang w:val="es-ES"/>
        </w:rPr>
        <w:t xml:space="preserve"> </w:t>
      </w:r>
      <w:r w:rsidRPr="00AE22D5">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79BAB45" w14:textId="77777777" w:rsidR="00273BF5" w:rsidRPr="00AE22D5" w:rsidRDefault="00273BF5" w:rsidP="00273BF5">
      <w:pPr>
        <w:spacing w:after="0" w:line="276" w:lineRule="auto"/>
        <w:jc w:val="both"/>
        <w:rPr>
          <w:rFonts w:ascii="Verdana" w:eastAsia="Calibri" w:hAnsi="Verdana" w:cs="Arial"/>
          <w:color w:val="000000"/>
        </w:rPr>
      </w:pPr>
    </w:p>
    <w:p w14:paraId="6A06511A"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F6246E3"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p>
    <w:p w14:paraId="48463048"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47B70E60" w14:textId="77777777" w:rsidR="00273BF5" w:rsidRPr="00AE22D5" w:rsidRDefault="00273BF5" w:rsidP="00273BF5">
      <w:pPr>
        <w:tabs>
          <w:tab w:val="left" w:pos="284"/>
        </w:tabs>
        <w:spacing w:after="0" w:line="276" w:lineRule="auto"/>
        <w:contextualSpacing/>
        <w:jc w:val="both"/>
        <w:rPr>
          <w:rFonts w:ascii="Verdana" w:eastAsia="Calibri" w:hAnsi="Verdana" w:cs="Arial"/>
          <w:b/>
          <w:color w:val="000000"/>
        </w:rPr>
      </w:pPr>
    </w:p>
    <w:p w14:paraId="54AF5902" w14:textId="77777777" w:rsidR="00273BF5" w:rsidRPr="00AE22D5" w:rsidRDefault="00273BF5" w:rsidP="00273BF5">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65F67D49" w14:textId="77777777" w:rsidR="00273BF5" w:rsidRPr="00AE22D5" w:rsidRDefault="00273BF5" w:rsidP="00273BF5">
      <w:pPr>
        <w:spacing w:after="0" w:line="276" w:lineRule="auto"/>
        <w:ind w:firstLine="709"/>
        <w:jc w:val="both"/>
        <w:rPr>
          <w:rFonts w:ascii="Verdana" w:eastAsia="Calibri" w:hAnsi="Verdana" w:cs="Arial"/>
          <w:color w:val="000000"/>
        </w:rPr>
      </w:pPr>
    </w:p>
    <w:p w14:paraId="3C315860"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w:t>
      </w:r>
    </w:p>
    <w:p w14:paraId="4C182235"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Contratación directa. La modalidad de selección de contratación directa, solamente procederá en los siguientes casos:</w:t>
      </w:r>
    </w:p>
    <w:p w14:paraId="54E52218"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p>
    <w:p w14:paraId="7559E090"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w:t>
      </w:r>
    </w:p>
    <w:p w14:paraId="1408D918" w14:textId="77777777" w:rsidR="00273BF5" w:rsidRPr="00AE22D5" w:rsidRDefault="00273BF5" w:rsidP="00273BF5">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p>
    <w:p w14:paraId="327D2D09" w14:textId="77777777" w:rsidR="00273BF5" w:rsidRPr="00AE22D5" w:rsidRDefault="00273BF5" w:rsidP="00273BF5">
      <w:pPr>
        <w:spacing w:after="0" w:line="240" w:lineRule="auto"/>
        <w:ind w:right="709"/>
        <w:jc w:val="both"/>
        <w:rPr>
          <w:rFonts w:ascii="Verdana" w:eastAsia="Calibri" w:hAnsi="Verdana" w:cs="Arial"/>
          <w:color w:val="000000"/>
          <w:sz w:val="20"/>
          <w:szCs w:val="20"/>
        </w:rPr>
      </w:pPr>
    </w:p>
    <w:p w14:paraId="07357868" w14:textId="77777777" w:rsidR="00273BF5" w:rsidRPr="00AE22D5" w:rsidRDefault="00273BF5" w:rsidP="00273BF5">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2958E1DC" w14:textId="77777777" w:rsidR="00273BF5" w:rsidRPr="00AE22D5" w:rsidRDefault="00273BF5" w:rsidP="00273B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51DD719D" w14:textId="77777777" w:rsidR="00273BF5" w:rsidRPr="00AE22D5" w:rsidRDefault="00273BF5" w:rsidP="00273B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75C72D2" w14:textId="77777777" w:rsidR="00273BF5" w:rsidRPr="00AE22D5" w:rsidRDefault="00273BF5" w:rsidP="00273B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c) Si bien se celebran para obtener la prestación personal de un servicio, se diferencian del contrato de trabajo</w:t>
      </w:r>
      <w:r w:rsidRPr="00AE22D5">
        <w:rPr>
          <w:rFonts w:ascii="Verdana" w:eastAsia="Calibri" w:hAnsi="Verdana" w:cs="Arial"/>
          <w:color w:val="000000"/>
          <w:vertAlign w:val="superscript"/>
        </w:rPr>
        <w:footnoteReference w:id="16"/>
      </w:r>
      <w:r w:rsidRPr="00AE22D5">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AE22D5">
        <w:rPr>
          <w:rFonts w:ascii="Verdana" w:eastAsia="Calibri" w:hAnsi="Verdana" w:cs="Arial"/>
          <w:i/>
          <w:color w:val="000000"/>
        </w:rPr>
        <w:t>subordinación y dependencia</w:t>
      </w:r>
      <w:r w:rsidRPr="00AE22D5">
        <w:rPr>
          <w:rFonts w:ascii="Verdana" w:eastAsia="Calibri" w:hAnsi="Verdana" w:cs="Arial"/>
          <w:iCs/>
          <w:color w:val="000000"/>
        </w:rPr>
        <w:t>,</w:t>
      </w:r>
      <w:r w:rsidRPr="00AE22D5">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E22D5">
        <w:rPr>
          <w:rFonts w:ascii="Verdana" w:eastAsia="Calibri" w:hAnsi="Verdana" w:cs="Arial"/>
          <w:i/>
          <w:color w:val="000000"/>
        </w:rPr>
        <w:t>no pueden</w:t>
      </w:r>
      <w:r w:rsidRPr="00AE22D5">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AE22D5">
        <w:rPr>
          <w:rFonts w:ascii="Verdana" w:eastAsia="Calibri" w:hAnsi="Verdana" w:cs="Arial"/>
          <w:color w:val="000000"/>
          <w:vertAlign w:val="superscript"/>
        </w:rPr>
        <w:footnoteReference w:id="17"/>
      </w:r>
      <w:r w:rsidRPr="00AE22D5">
        <w:rPr>
          <w:rFonts w:ascii="Verdana" w:eastAsia="Calibri" w:hAnsi="Verdana" w:cs="Arial"/>
          <w:color w:val="000000"/>
        </w:rPr>
        <w:t xml:space="preserve">. Pero es posible </w:t>
      </w:r>
      <w:r w:rsidRPr="00AE22D5">
        <w:rPr>
          <w:rFonts w:ascii="Verdana" w:eastAsia="Calibri" w:hAnsi="Verdana" w:cs="Arial"/>
          <w:color w:val="000000"/>
        </w:rPr>
        <w:lastRenderedPageBreak/>
        <w:t xml:space="preserve">que, a pesar de este mandato deontológico, en la práctica surja la relación laboral, pues, como se sabe, el contrato de trabajo es un </w:t>
      </w:r>
      <w:r w:rsidRPr="00AE22D5">
        <w:rPr>
          <w:rFonts w:ascii="Verdana" w:eastAsia="Calibri" w:hAnsi="Verdana" w:cs="Arial"/>
          <w:i/>
          <w:color w:val="000000"/>
        </w:rPr>
        <w:t>contrato realidad</w:t>
      </w:r>
      <w:r w:rsidRPr="00AE22D5">
        <w:rPr>
          <w:rFonts w:ascii="Verdana" w:eastAsia="Calibri" w:hAnsi="Verdana" w:cs="Arial"/>
          <w:color w:val="000000"/>
        </w:rPr>
        <w:t xml:space="preserve">, ya que para su perfeccionamiento rige el principio de la prevalencia de la realidad sobre las formalidades. </w:t>
      </w:r>
    </w:p>
    <w:p w14:paraId="70ADB382" w14:textId="77777777" w:rsidR="00273BF5" w:rsidRPr="00AE22D5" w:rsidRDefault="00273BF5" w:rsidP="00273B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AE22D5">
        <w:rPr>
          <w:rFonts w:ascii="Verdana" w:eastAsia="Calibri" w:hAnsi="Verdana" w:cs="Arial"/>
          <w:color w:val="000000"/>
          <w:vertAlign w:val="superscript"/>
        </w:rPr>
        <w:footnoteReference w:id="18"/>
      </w:r>
      <w:r w:rsidRPr="00AE22D5">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AE22D5">
        <w:rPr>
          <w:rFonts w:ascii="Verdana" w:eastAsia="Calibri" w:hAnsi="Verdana" w:cs="Arial"/>
          <w:color w:val="000000"/>
          <w:vertAlign w:val="superscript"/>
        </w:rPr>
        <w:footnoteReference w:id="19"/>
      </w:r>
      <w:r w:rsidRPr="00AE22D5">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independencia en la ejecución del mismo.</w:t>
      </w:r>
    </w:p>
    <w:p w14:paraId="52CC7E88" w14:textId="77777777" w:rsidR="00273BF5" w:rsidRPr="00AE22D5" w:rsidRDefault="00273BF5" w:rsidP="00273BF5">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 Deben ser temporales. Así lo señaló la Corte Constitucional en la misma providencia a la que se aludió previamente, expresando que:</w:t>
      </w:r>
    </w:p>
    <w:p w14:paraId="0A1F0E70" w14:textId="77777777" w:rsidR="00273BF5" w:rsidRPr="00AE22D5" w:rsidRDefault="00273BF5" w:rsidP="00273BF5">
      <w:pPr>
        <w:spacing w:after="0" w:line="276" w:lineRule="auto"/>
        <w:ind w:firstLine="709"/>
        <w:jc w:val="both"/>
        <w:rPr>
          <w:rFonts w:ascii="Verdana" w:eastAsia="Calibri" w:hAnsi="Verdana" w:cs="Arial"/>
          <w:color w:val="000000"/>
        </w:rPr>
      </w:pPr>
    </w:p>
    <w:p w14:paraId="647988CC" w14:textId="77777777" w:rsidR="00273BF5" w:rsidRPr="00AE22D5" w:rsidRDefault="00273BF5" w:rsidP="00273BF5">
      <w:pPr>
        <w:spacing w:after="0" w:line="240" w:lineRule="auto"/>
        <w:ind w:left="709" w:right="709"/>
        <w:jc w:val="both"/>
        <w:rPr>
          <w:rFonts w:ascii="Verdana" w:eastAsia="Calibri" w:hAnsi="Verdana" w:cs="Arial"/>
          <w:color w:val="000000"/>
          <w:sz w:val="21"/>
          <w:szCs w:val="21"/>
        </w:rPr>
      </w:pPr>
      <w:r w:rsidRPr="00AE22D5">
        <w:rPr>
          <w:rFonts w:ascii="Verdana" w:eastAsia="Calibri" w:hAnsi="Verdana" w:cs="Arial"/>
          <w:color w:val="000000"/>
          <w:sz w:val="20"/>
          <w:szCs w:val="20"/>
        </w:rPr>
        <w:lastRenderedPageBreak/>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AE22D5">
        <w:rPr>
          <w:rFonts w:ascii="Verdana" w:eastAsia="Calibri" w:hAnsi="Verdana" w:cs="Arial"/>
          <w:color w:val="000000"/>
          <w:sz w:val="21"/>
          <w:szCs w:val="21"/>
          <w:vertAlign w:val="superscript"/>
        </w:rPr>
        <w:footnoteReference w:id="20"/>
      </w:r>
      <w:r w:rsidRPr="00AE22D5">
        <w:rPr>
          <w:rFonts w:ascii="Verdana" w:eastAsia="Calibri" w:hAnsi="Verdana" w:cs="Arial"/>
          <w:color w:val="000000"/>
          <w:sz w:val="21"/>
          <w:szCs w:val="21"/>
        </w:rPr>
        <w:t>.</w:t>
      </w:r>
    </w:p>
    <w:p w14:paraId="2581D719" w14:textId="77777777" w:rsidR="00273BF5" w:rsidRPr="00AE22D5" w:rsidRDefault="00273BF5" w:rsidP="00273BF5">
      <w:pPr>
        <w:spacing w:after="0" w:line="276" w:lineRule="auto"/>
        <w:ind w:firstLine="709"/>
        <w:jc w:val="both"/>
        <w:rPr>
          <w:rFonts w:ascii="Verdana" w:eastAsia="Calibri" w:hAnsi="Verdana" w:cs="Arial"/>
          <w:color w:val="000000"/>
        </w:rPr>
      </w:pPr>
    </w:p>
    <w:p w14:paraId="01259D86" w14:textId="77777777" w:rsidR="00273BF5" w:rsidRPr="00AE22D5" w:rsidRDefault="00273BF5" w:rsidP="00273BF5">
      <w:pPr>
        <w:spacing w:after="120" w:line="276" w:lineRule="auto"/>
        <w:ind w:firstLine="709"/>
        <w:jc w:val="both"/>
        <w:rPr>
          <w:rFonts w:ascii="Verdana" w:eastAsia="Calibri" w:hAnsi="Verdana" w:cs="Arial"/>
          <w:color w:val="000000"/>
          <w:sz w:val="21"/>
          <w:szCs w:val="21"/>
        </w:rPr>
      </w:pPr>
      <w:r w:rsidRPr="00AE22D5">
        <w:rPr>
          <w:rFonts w:ascii="Verdana" w:eastAsia="Calibri" w:hAnsi="Verdana" w:cs="Arial"/>
          <w:color w:val="000000"/>
        </w:rPr>
        <w:t xml:space="preserve">e) Los contratos de prestación de servicios profesionales hacen parte del género denominado </w:t>
      </w:r>
      <w:r w:rsidRPr="00AE22D5">
        <w:rPr>
          <w:rFonts w:ascii="Verdana" w:eastAsia="Calibri" w:hAnsi="Verdana" w:cs="Arial"/>
          <w:i/>
          <w:color w:val="000000"/>
        </w:rPr>
        <w:t>contratos de prestación de servicios</w:t>
      </w:r>
      <w:r w:rsidRPr="00AE22D5">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AE22D5">
        <w:rPr>
          <w:rFonts w:ascii="Verdana" w:eastAsia="Calibri" w:hAnsi="Verdana" w:cs="Arial"/>
          <w:color w:val="000000"/>
          <w:vertAlign w:val="superscript"/>
        </w:rPr>
        <w:footnoteReference w:id="21"/>
      </w:r>
      <w:r w:rsidRPr="00AE22D5">
        <w:rPr>
          <w:rFonts w:ascii="Verdana" w:eastAsia="Calibri" w:hAnsi="Verdana" w:cs="Arial"/>
          <w:color w:val="000000"/>
        </w:rPr>
        <w:t xml:space="preserve">. </w:t>
      </w:r>
    </w:p>
    <w:p w14:paraId="1B18BD14" w14:textId="77777777" w:rsidR="00273BF5" w:rsidRPr="00AE22D5" w:rsidRDefault="00273BF5" w:rsidP="00273B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AE22D5">
        <w:rPr>
          <w:rFonts w:ascii="Verdana" w:eastAsia="Calibri" w:hAnsi="Verdana" w:cs="Arial"/>
          <w:color w:val="000000"/>
          <w:vertAlign w:val="superscript"/>
        </w:rPr>
        <w:footnoteReference w:id="22"/>
      </w:r>
      <w:r w:rsidRPr="00AE22D5">
        <w:rPr>
          <w:rFonts w:ascii="Verdana" w:eastAsia="Calibri" w:hAnsi="Verdana" w:cs="Arial"/>
          <w:color w:val="000000"/>
        </w:rPr>
        <w:t xml:space="preserve">. Pero, </w:t>
      </w:r>
      <w:r w:rsidRPr="00AE22D5">
        <w:rPr>
          <w:rFonts w:ascii="Verdana" w:eastAsia="Calibri" w:hAnsi="Verdana" w:cs="Arial"/>
          <w:color w:val="000000"/>
        </w:rPr>
        <w:lastRenderedPageBreak/>
        <w:t>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1F1A5FDE" w14:textId="77777777" w:rsidR="00273BF5" w:rsidRPr="00AE22D5" w:rsidRDefault="00273BF5" w:rsidP="00273B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g) Para su celebración no se requiere la expedición del acto administrativo de justificación de la contratación directa</w:t>
      </w:r>
      <w:r w:rsidRPr="00AE22D5">
        <w:rPr>
          <w:rFonts w:ascii="Verdana" w:eastAsia="Calibri" w:hAnsi="Verdana" w:cs="Arial"/>
          <w:color w:val="000000"/>
          <w:vertAlign w:val="superscript"/>
        </w:rPr>
        <w:footnoteReference w:id="23"/>
      </w:r>
      <w:r w:rsidRPr="00AE22D5">
        <w:rPr>
          <w:rFonts w:ascii="Verdana" w:eastAsia="Calibri" w:hAnsi="Verdana" w:cs="Arial"/>
          <w:color w:val="000000"/>
        </w:rPr>
        <w:t xml:space="preserve">. </w:t>
      </w:r>
    </w:p>
    <w:p w14:paraId="51DC7E15" w14:textId="77777777" w:rsidR="00273BF5" w:rsidRPr="00AE22D5" w:rsidRDefault="00273BF5" w:rsidP="00273B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AE22D5">
        <w:rPr>
          <w:rFonts w:ascii="Verdana" w:eastAsia="Calibri" w:hAnsi="Verdana" w:cs="Arial"/>
          <w:color w:val="000000"/>
          <w:vertAlign w:val="superscript"/>
        </w:rPr>
        <w:footnoteReference w:id="24"/>
      </w:r>
      <w:r w:rsidRPr="00AE22D5">
        <w:rPr>
          <w:rFonts w:ascii="Verdana" w:eastAsia="Calibri" w:hAnsi="Verdana" w:cs="Arial"/>
          <w:color w:val="000000"/>
        </w:rPr>
        <w:t>.</w:t>
      </w:r>
    </w:p>
    <w:p w14:paraId="12DDD731" w14:textId="77777777" w:rsidR="00273BF5" w:rsidRPr="00AE22D5" w:rsidRDefault="00273BF5" w:rsidP="00273BF5">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i) En ellos no es obligatoria la liquidación, pues así lo estableció el artículo 217 del Decreto 019 de 2012, que modificó el artículo 60 de la Ley 80 de 1993</w:t>
      </w:r>
      <w:r w:rsidRPr="00AE22D5">
        <w:rPr>
          <w:rFonts w:ascii="Verdana" w:eastAsia="Calibri" w:hAnsi="Verdana" w:cs="Arial"/>
          <w:color w:val="000000"/>
          <w:vertAlign w:val="superscript"/>
        </w:rPr>
        <w:footnoteReference w:id="25"/>
      </w:r>
      <w:r w:rsidRPr="00AE22D5">
        <w:rPr>
          <w:rFonts w:ascii="Verdana" w:eastAsia="Calibri" w:hAnsi="Verdana" w:cs="Arial"/>
          <w:color w:val="000000"/>
        </w:rPr>
        <w:t xml:space="preserve">, </w:t>
      </w:r>
      <w:r w:rsidRPr="00AE22D5">
        <w:rPr>
          <w:rFonts w:ascii="Verdana" w:eastAsia="Calibri" w:hAnsi="Verdana" w:cs="Arial"/>
          <w:color w:val="000000"/>
          <w:lang w:val="es-ES" w:eastAsia="es-ES"/>
        </w:rPr>
        <w:t>refiriéndose expresamente a los contratos de prestación de servicios profesionales y de apoyo a la gestión.</w:t>
      </w:r>
    </w:p>
    <w:p w14:paraId="63952FA4" w14:textId="77777777" w:rsidR="00273BF5" w:rsidRPr="00AE22D5" w:rsidRDefault="00273BF5" w:rsidP="00273B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j) Para su celebración no se requiere inscripción en el Registro Único de Proponentes (RUP), según lo prevé el artículo 6 de la Ley 1150 de 2007</w:t>
      </w:r>
      <w:r w:rsidRPr="00AE22D5">
        <w:rPr>
          <w:rFonts w:ascii="Verdana" w:eastAsia="Calibri" w:hAnsi="Verdana" w:cs="Arial"/>
          <w:color w:val="000000"/>
          <w:vertAlign w:val="superscript"/>
        </w:rPr>
        <w:footnoteReference w:id="26"/>
      </w:r>
      <w:r w:rsidRPr="00AE22D5">
        <w:rPr>
          <w:rFonts w:ascii="Verdana" w:eastAsia="Calibri" w:hAnsi="Verdana" w:cs="Arial"/>
          <w:color w:val="000000"/>
        </w:rPr>
        <w:t>.</w:t>
      </w:r>
    </w:p>
    <w:p w14:paraId="6D51934C" w14:textId="77777777" w:rsidR="00273BF5" w:rsidRPr="00AE22D5" w:rsidRDefault="00273BF5" w:rsidP="00273BF5">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k) En ellos no son necesarias las garantías</w:t>
      </w:r>
      <w:r w:rsidRPr="00AE22D5">
        <w:rPr>
          <w:rFonts w:ascii="Verdana" w:eastAsia="Calibri" w:hAnsi="Verdana" w:cs="Arial"/>
          <w:color w:val="000000"/>
          <w:vertAlign w:val="superscript"/>
        </w:rPr>
        <w:footnoteReference w:id="27"/>
      </w:r>
      <w:r w:rsidRPr="00AE22D5">
        <w:rPr>
          <w:rFonts w:ascii="Verdana" w:eastAsia="Calibri" w:hAnsi="Verdana" w:cs="Arial"/>
          <w:color w:val="000000"/>
        </w:rPr>
        <w:t>.</w:t>
      </w:r>
    </w:p>
    <w:p w14:paraId="6D8CB9F3" w14:textId="77777777" w:rsidR="00273BF5" w:rsidRPr="00AE22D5" w:rsidRDefault="00273BF5" w:rsidP="00273BF5">
      <w:pPr>
        <w:spacing w:after="120" w:line="276" w:lineRule="auto"/>
        <w:ind w:firstLine="709"/>
        <w:jc w:val="both"/>
        <w:rPr>
          <w:rFonts w:ascii="Verdana" w:hAnsi="Verdana" w:cs="Arial"/>
          <w:color w:val="000000" w:themeColor="text1"/>
          <w:lang w:val="es-ES"/>
        </w:rPr>
      </w:pPr>
      <w:r w:rsidRPr="00AE22D5">
        <w:rPr>
          <w:rFonts w:ascii="Verdana" w:hAnsi="Verdana" w:cs="Arial"/>
          <w:color w:val="000000" w:themeColor="text1"/>
          <w:lang w:val="es-ES"/>
        </w:rPr>
        <w:t xml:space="preserve">Teniendo en cuenta las anteriores características del contrato de prestación de servicios profesionales, es claro que quienes celebren contratos de esta naturaleza no son servidores públicos. </w:t>
      </w:r>
    </w:p>
    <w:p w14:paraId="4AC69C7B" w14:textId="77777777" w:rsidR="00273BF5" w:rsidRPr="00982AE2" w:rsidRDefault="00273BF5" w:rsidP="00273BF5">
      <w:pPr>
        <w:spacing w:after="120" w:line="276" w:lineRule="auto"/>
        <w:ind w:firstLine="708"/>
        <w:jc w:val="both"/>
        <w:rPr>
          <w:rFonts w:ascii="Verdana" w:eastAsia="Calibri" w:hAnsi="Verdana" w:cs="Arial"/>
          <w:bCs/>
        </w:rPr>
      </w:pPr>
      <w:r w:rsidRPr="00AE22D5">
        <w:rPr>
          <w:rFonts w:ascii="Verdana" w:hAnsi="Verdana" w:cs="Arial"/>
          <w:color w:val="000000" w:themeColor="text1"/>
          <w:lang w:val="es-ES"/>
        </w:rPr>
        <w:t xml:space="preserve">Así, </w:t>
      </w:r>
      <w:r w:rsidRPr="00AE22D5">
        <w:rPr>
          <w:rFonts w:ascii="Verdana" w:hAnsi="Verdana" w:cs="Arial"/>
          <w:bCs/>
          <w:color w:val="000000" w:themeColor="text1"/>
          <w:lang w:val="es-ES_tradnl"/>
        </w:rPr>
        <w:t xml:space="preserve">en atención al objeto de la consulta que origina el presente concepto, </w:t>
      </w:r>
      <w:r w:rsidRPr="00982AE2">
        <w:rPr>
          <w:rFonts w:ascii="Verdana" w:eastAsia="Calibri" w:hAnsi="Verdana" w:cs="Arial"/>
          <w:bCs/>
        </w:rPr>
        <w:t xml:space="preserve">se señala que analizado el régimen de inhabilidades e incompatibilidades previsto para la contratación estatal, se concluye que no existe una inhabilidad o incompatibilidad en aquellos supuestos de arquitectos contratistas por prestación de servicios profesionales que, además de cumplir labores en una dependencia de una entidad pública, ejercen su actividad como independientes </w:t>
      </w:r>
      <w:r>
        <w:rPr>
          <w:rFonts w:ascii="Verdana" w:eastAsia="Calibri" w:hAnsi="Verdana" w:cs="Arial"/>
          <w:bCs/>
        </w:rPr>
        <w:t xml:space="preserve">en la elaboración de </w:t>
      </w:r>
      <w:r w:rsidRPr="00FE0967">
        <w:rPr>
          <w:rFonts w:ascii="Verdana" w:eastAsia="Calibri" w:hAnsi="Verdana" w:cs="Arial"/>
          <w:bCs/>
        </w:rPr>
        <w:t>diseño</w:t>
      </w:r>
      <w:r>
        <w:rPr>
          <w:rFonts w:ascii="Verdana" w:eastAsia="Calibri" w:hAnsi="Verdana" w:cs="Arial"/>
          <w:bCs/>
        </w:rPr>
        <w:t xml:space="preserve">s, </w:t>
      </w:r>
      <w:r w:rsidRPr="00FE0967">
        <w:rPr>
          <w:rFonts w:ascii="Verdana" w:eastAsia="Calibri" w:hAnsi="Verdana" w:cs="Arial"/>
          <w:bCs/>
        </w:rPr>
        <w:t>construcción de viviendas y firma</w:t>
      </w:r>
      <w:r>
        <w:rPr>
          <w:rFonts w:ascii="Verdana" w:eastAsia="Calibri" w:hAnsi="Verdana" w:cs="Arial"/>
          <w:bCs/>
        </w:rPr>
        <w:t xml:space="preserve"> de</w:t>
      </w:r>
      <w:r w:rsidRPr="00FE0967">
        <w:rPr>
          <w:rFonts w:ascii="Verdana" w:eastAsia="Calibri" w:hAnsi="Verdana" w:cs="Arial"/>
          <w:bCs/>
        </w:rPr>
        <w:t xml:space="preserve"> planos que serán usados por particulares en solicitudes de licencias de construcción, cuando dicha entidad es la encargada de otorgarlas</w:t>
      </w:r>
      <w:r w:rsidRPr="00982AE2">
        <w:rPr>
          <w:rFonts w:ascii="Verdana" w:eastAsia="Calibri" w:hAnsi="Verdana" w:cs="Arial"/>
          <w:bCs/>
        </w:rPr>
        <w:t xml:space="preserve">. Esta situación no se subsume en ninguno de los supuestos de hecho, ni se advierte que la hipótesis materia de consulta configure alguna de las causales previstas en el artículo 8 de la Ley 80 de 1993. </w:t>
      </w:r>
    </w:p>
    <w:p w14:paraId="406E089B" w14:textId="77777777" w:rsidR="00273BF5" w:rsidRPr="00AE22D5" w:rsidRDefault="00273BF5" w:rsidP="00273BF5">
      <w:pPr>
        <w:spacing w:after="120" w:line="276" w:lineRule="auto"/>
        <w:ind w:firstLine="709"/>
        <w:jc w:val="both"/>
        <w:rPr>
          <w:rFonts w:ascii="Verdana" w:hAnsi="Verdana" w:cs="Arial"/>
          <w:color w:val="000000" w:themeColor="text1"/>
          <w:lang w:val="es-ES"/>
        </w:rPr>
      </w:pPr>
      <w:r w:rsidRPr="00AE22D5">
        <w:rPr>
          <w:rFonts w:ascii="Verdana" w:hAnsi="Verdana" w:cs="Arial"/>
          <w:color w:val="000000" w:themeColor="text1"/>
          <w:lang w:val="es-ES"/>
        </w:rPr>
        <w:t xml:space="preserve">En ese sentido, </w:t>
      </w:r>
      <w:bookmarkStart w:id="2" w:name="_Hlk192056119"/>
      <w:r w:rsidRPr="00AE22D5">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w:t>
      </w:r>
      <w:r w:rsidRPr="00AE22D5">
        <w:rPr>
          <w:rFonts w:ascii="Verdana" w:hAnsi="Verdana" w:cs="Arial"/>
          <w:color w:val="000000" w:themeColor="text1"/>
          <w:lang w:val="es-ES"/>
        </w:rPr>
        <w:lastRenderedPageBreak/>
        <w:t xml:space="preserve">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a través de contratos distintos y concomitantes. </w:t>
      </w:r>
    </w:p>
    <w:bookmarkEnd w:id="2"/>
    <w:p w14:paraId="584CE7B1" w14:textId="77777777" w:rsidR="00273BF5" w:rsidRDefault="00273BF5" w:rsidP="00273BF5">
      <w:pPr>
        <w:spacing w:after="120" w:line="276" w:lineRule="auto"/>
        <w:ind w:firstLine="709"/>
        <w:jc w:val="both"/>
        <w:rPr>
          <w:rFonts w:ascii="Verdana" w:hAnsi="Verdana" w:cs="Arial"/>
          <w:bCs/>
          <w:color w:val="000000" w:themeColor="text1"/>
        </w:rPr>
      </w:pPr>
      <w:r w:rsidRPr="00AE22D5">
        <w:rPr>
          <w:rFonts w:ascii="Verdana" w:hAnsi="Verdana" w:cs="Arial"/>
          <w:color w:val="000000" w:themeColor="text1"/>
          <w:lang w:val="es-ES"/>
        </w:rPr>
        <w:t xml:space="preserve">Sin embargo, </w:t>
      </w:r>
      <w:r w:rsidRPr="00AE22D5">
        <w:rPr>
          <w:rFonts w:ascii="Verdana" w:eastAsia="Calibri" w:hAnsi="Verdana" w:cs="Arial"/>
          <w:color w:val="000000" w:themeColor="text1"/>
          <w:szCs w:val="24"/>
          <w:lang w:eastAsia="es-ES_tradnl"/>
        </w:rPr>
        <w:t>es pertinente tener en cuenta que el ordenamiento jurídico contempla restricciones sobre aspectos particulares que es importante considerar al momento de analizar una situación como la señalada. Así,</w:t>
      </w:r>
      <w:r w:rsidRPr="00AE22D5">
        <w:rPr>
          <w:rFonts w:ascii="Verdana" w:hAnsi="Verdana" w:cs="Arial"/>
          <w:color w:val="000000" w:themeColor="text1"/>
          <w:lang w:val="es-ES"/>
        </w:rPr>
        <w:t xml:space="preserve"> la</w:t>
      </w:r>
      <w:r>
        <w:rPr>
          <w:rFonts w:ascii="Verdana" w:hAnsi="Verdana" w:cs="Arial"/>
          <w:color w:val="000000" w:themeColor="text1"/>
          <w:lang w:val="es-ES"/>
        </w:rPr>
        <w:t xml:space="preserve"> Ley 435 de 1998 </w:t>
      </w:r>
      <w:r w:rsidRPr="00F90FE0">
        <w:rPr>
          <w:rFonts w:ascii="Verdana" w:hAnsi="Verdana" w:cs="Arial"/>
          <w:color w:val="000000" w:themeColor="text1"/>
          <w:lang w:val="es-ES"/>
        </w:rPr>
        <w:t>“</w:t>
      </w:r>
      <w:r w:rsidRPr="00F90FE0">
        <w:rPr>
          <w:rFonts w:ascii="Verdana" w:hAnsi="Verdana" w:cs="Arial"/>
          <w:bCs/>
          <w:color w:val="000000" w:themeColor="text1"/>
        </w:rPr>
        <w:t>por la cual se reglamenta el ejercicio de la profesión de Arquitectura y sus profesiones auxiliares, se crea el Consejo Profesional Nacional de Arquitectura y sus profesiones auxiliares, se dicta el Código de Ética Profesional, se establece el Régimen Disciplinario para estas profesiones, se reestructura el Consejo Profesional Nacional de Ingeniería y Arquitectura en Consejo Profesional Nacional de Ingeniería y sus profesiones auxiliares y otras disposiciones”</w:t>
      </w:r>
      <w:r>
        <w:rPr>
          <w:rFonts w:ascii="Verdana" w:hAnsi="Verdana" w:cs="Arial"/>
          <w:bCs/>
          <w:color w:val="000000" w:themeColor="text1"/>
        </w:rPr>
        <w:t>.</w:t>
      </w:r>
    </w:p>
    <w:p w14:paraId="196152C9" w14:textId="77777777" w:rsidR="00273BF5" w:rsidRDefault="00273BF5" w:rsidP="00273BF5">
      <w:pPr>
        <w:spacing w:after="120" w:line="276" w:lineRule="auto"/>
        <w:ind w:firstLine="709"/>
        <w:jc w:val="both"/>
        <w:rPr>
          <w:rFonts w:ascii="Verdana" w:hAnsi="Verdana" w:cs="Arial"/>
          <w:color w:val="000000" w:themeColor="text1"/>
        </w:rPr>
      </w:pPr>
      <w:r>
        <w:rPr>
          <w:rFonts w:ascii="Verdana" w:hAnsi="Verdana" w:cs="Arial"/>
          <w:bCs/>
          <w:color w:val="000000" w:themeColor="text1"/>
        </w:rPr>
        <w:t xml:space="preserve">Dicha Ley </w:t>
      </w:r>
      <w:r w:rsidRPr="00AE22D5">
        <w:rPr>
          <w:rFonts w:ascii="Verdana" w:hAnsi="Verdana" w:cs="Arial"/>
          <w:color w:val="000000" w:themeColor="text1"/>
          <w:lang w:val="es-ES"/>
        </w:rPr>
        <w:t>establece un conjunto de prohibiciones para lo</w:t>
      </w:r>
      <w:r>
        <w:rPr>
          <w:rFonts w:ascii="Verdana" w:hAnsi="Verdana" w:cs="Arial"/>
          <w:color w:val="000000" w:themeColor="text1"/>
          <w:lang w:val="es-ES"/>
        </w:rPr>
        <w:t>s profesionales de la arquitectura y sus profesiones auxiliares</w:t>
      </w:r>
      <w:r w:rsidRPr="00AE22D5">
        <w:rPr>
          <w:rFonts w:ascii="Verdana" w:hAnsi="Verdana" w:cs="Arial"/>
          <w:color w:val="000000" w:themeColor="text1"/>
          <w:lang w:val="es-ES"/>
        </w:rPr>
        <w:t xml:space="preserve">, algunas de las cuales se aplican en los procedimientos de selección de los contratistas del Estado, se trata de prohibiciones dirigidas a los </w:t>
      </w:r>
      <w:r w:rsidRPr="00AE22D5">
        <w:rPr>
          <w:rFonts w:ascii="Verdana" w:hAnsi="Verdana" w:cs="Arial"/>
          <w:i/>
          <w:color w:val="000000" w:themeColor="text1"/>
          <w:lang w:val="es-ES"/>
        </w:rPr>
        <w:t>profesionales</w:t>
      </w:r>
      <w:r w:rsidRPr="00AE22D5">
        <w:rPr>
          <w:rFonts w:ascii="Verdana" w:hAnsi="Verdana" w:cs="Arial"/>
          <w:color w:val="000000" w:themeColor="text1"/>
          <w:lang w:val="es-ES"/>
        </w:rPr>
        <w:t xml:space="preserve">, no necesariamente a los </w:t>
      </w:r>
      <w:r w:rsidRPr="00AE22D5">
        <w:rPr>
          <w:rFonts w:ascii="Verdana" w:hAnsi="Verdana" w:cs="Arial"/>
          <w:i/>
          <w:color w:val="000000" w:themeColor="text1"/>
          <w:lang w:val="es-ES"/>
        </w:rPr>
        <w:t>proponentes ni a los contratistas</w:t>
      </w:r>
      <w:r w:rsidRPr="00AE22D5">
        <w:rPr>
          <w:rFonts w:ascii="Verdana" w:hAnsi="Verdana" w:cs="Arial"/>
          <w:color w:val="000000" w:themeColor="text1"/>
          <w:lang w:val="es-ES"/>
        </w:rPr>
        <w:t>. Así se infiere del artículo</w:t>
      </w:r>
      <w:r>
        <w:rPr>
          <w:rFonts w:ascii="Verdana" w:hAnsi="Verdana" w:cs="Arial"/>
          <w:color w:val="000000" w:themeColor="text1"/>
          <w:lang w:val="es-ES"/>
        </w:rPr>
        <w:t xml:space="preserve"> 20, literal b, de la precitada Ley que alude a los deberes de los profesionales de la Arquitectura: “</w:t>
      </w:r>
      <w:r w:rsidRPr="00467A47">
        <w:rPr>
          <w:rFonts w:ascii="Verdana" w:hAnsi="Verdana" w:cs="Arial"/>
          <w:bCs/>
          <w:color w:val="000000" w:themeColor="text1"/>
        </w:rPr>
        <w:t>Artículo 20.</w:t>
      </w:r>
      <w:r w:rsidRPr="00467A47">
        <w:rPr>
          <w:rFonts w:ascii="Verdana" w:hAnsi="Verdana" w:cs="Arial"/>
          <w:color w:val="000000" w:themeColor="text1"/>
        </w:rPr>
        <w:t> Son deberes de los profesionales de quienes trata el presente Código que se desempeñen en funciones públi</w:t>
      </w:r>
      <w:r>
        <w:rPr>
          <w:rFonts w:ascii="Verdana" w:hAnsi="Verdana" w:cs="Arial"/>
          <w:color w:val="000000" w:themeColor="text1"/>
        </w:rPr>
        <w:t>cas o privadas, los siguientes: […]</w:t>
      </w:r>
      <w:r>
        <w:rPr>
          <w:rFonts w:ascii="Verdana" w:hAnsi="Verdana" w:cs="Arial"/>
          <w:color w:val="000000" w:themeColor="text1"/>
          <w:lang w:val="es-ES"/>
        </w:rPr>
        <w:t xml:space="preserve"> </w:t>
      </w:r>
      <w:r w:rsidRPr="00467A47">
        <w:rPr>
          <w:rFonts w:ascii="Verdana" w:hAnsi="Verdana" w:cs="Arial"/>
          <w:color w:val="000000" w:themeColor="text1"/>
        </w:rPr>
        <w:t>b) Los profesionales que por sus funciones en el sector público o privado sean responsables de fijar, preparar o evaluar condiciones de pliegos de licitaciones o concursos deberán actuar en todos</w:t>
      </w:r>
      <w:r>
        <w:rPr>
          <w:rFonts w:ascii="Verdana" w:hAnsi="Verdana" w:cs="Arial"/>
          <w:color w:val="000000" w:themeColor="text1"/>
        </w:rPr>
        <w:t xml:space="preserve"> los casos de manera imparcial […]”. En esta línea, es importante tener en cuenta el régimen de inhabilidades e incompatibilidades de esta profesión regulado en el artículo 22 de la precitada Ley: </w:t>
      </w:r>
    </w:p>
    <w:p w14:paraId="45B1A88F" w14:textId="77777777" w:rsidR="00273BF5" w:rsidRPr="00582B05" w:rsidRDefault="00273BF5" w:rsidP="00273BF5">
      <w:pPr>
        <w:spacing w:after="0" w:line="240" w:lineRule="auto"/>
        <w:ind w:left="709" w:right="709"/>
        <w:jc w:val="both"/>
        <w:rPr>
          <w:rFonts w:ascii="Verdana" w:eastAsia="Calibri" w:hAnsi="Verdana" w:cs="Arial"/>
          <w:sz w:val="20"/>
          <w:szCs w:val="20"/>
        </w:rPr>
      </w:pPr>
      <w:r w:rsidRPr="00582B05">
        <w:rPr>
          <w:rFonts w:ascii="Verdana" w:eastAsia="Calibri" w:hAnsi="Verdana" w:cs="Arial"/>
          <w:bCs/>
          <w:sz w:val="20"/>
          <w:szCs w:val="20"/>
        </w:rPr>
        <w:t>Artículo 22.</w:t>
      </w:r>
      <w:r w:rsidRPr="00582B05">
        <w:rPr>
          <w:rFonts w:ascii="Verdana" w:eastAsia="Calibri" w:hAnsi="Verdana" w:cs="Arial"/>
          <w:sz w:val="20"/>
          <w:szCs w:val="20"/>
        </w:rPr>
        <w:t> Incurrirán en falta al régimen a que se refiere el presente capítulo: </w:t>
      </w:r>
    </w:p>
    <w:p w14:paraId="4B9C50FD" w14:textId="77777777" w:rsidR="00273BF5" w:rsidRPr="00582B05" w:rsidRDefault="00273BF5" w:rsidP="00273BF5">
      <w:pPr>
        <w:spacing w:after="0" w:line="240" w:lineRule="auto"/>
        <w:ind w:left="709" w:right="709"/>
        <w:jc w:val="both"/>
        <w:rPr>
          <w:rFonts w:ascii="Verdana" w:eastAsia="Calibri" w:hAnsi="Verdana" w:cs="Arial"/>
          <w:sz w:val="20"/>
          <w:szCs w:val="20"/>
        </w:rPr>
      </w:pPr>
      <w:r w:rsidRPr="00582B05">
        <w:rPr>
          <w:rFonts w:ascii="Verdana" w:eastAsia="Calibri" w:hAnsi="Verdana" w:cs="Arial"/>
          <w:sz w:val="20"/>
          <w:szCs w:val="20"/>
        </w:rPr>
        <w:t>a) Los profesionales que actúen simultáneamente como representantes técnicos o asesores de más de una empresa que desarrolle idénticas actividades y en un mismo tema, sin expreso consentimiento y autorización de las mismas para tal actuación; </w:t>
      </w:r>
    </w:p>
    <w:p w14:paraId="46DBC7FC" w14:textId="77777777" w:rsidR="00273BF5" w:rsidRPr="00582B05" w:rsidRDefault="00273BF5" w:rsidP="00273BF5">
      <w:pPr>
        <w:spacing w:after="0" w:line="240" w:lineRule="auto"/>
        <w:ind w:left="709" w:right="709"/>
        <w:jc w:val="both"/>
        <w:rPr>
          <w:rFonts w:ascii="Verdana" w:eastAsia="Calibri" w:hAnsi="Verdana" w:cs="Arial"/>
          <w:sz w:val="20"/>
          <w:szCs w:val="20"/>
        </w:rPr>
      </w:pPr>
      <w:r w:rsidRPr="00582B05">
        <w:rPr>
          <w:rFonts w:ascii="Verdana" w:eastAsia="Calibri" w:hAnsi="Verdana" w:cs="Arial"/>
          <w:sz w:val="20"/>
          <w:szCs w:val="20"/>
        </w:rPr>
        <w:lastRenderedPageBreak/>
        <w:t xml:space="preserve">b) El profesional </w:t>
      </w:r>
      <w:proofErr w:type="gramStart"/>
      <w:r w:rsidRPr="00582B05">
        <w:rPr>
          <w:rFonts w:ascii="Verdana" w:eastAsia="Calibri" w:hAnsi="Verdana" w:cs="Arial"/>
          <w:sz w:val="20"/>
          <w:szCs w:val="20"/>
        </w:rPr>
        <w:t>que</w:t>
      </w:r>
      <w:proofErr w:type="gramEnd"/>
      <w:r w:rsidRPr="00582B05">
        <w:rPr>
          <w:rFonts w:ascii="Verdana" w:eastAsia="Calibri" w:hAnsi="Verdana" w:cs="Arial"/>
          <w:sz w:val="20"/>
          <w:szCs w:val="20"/>
        </w:rPr>
        <w:t xml:space="preserve"> en ejercicio de sus actividades públicas o privadas, hubiese intervenido en determinado asunto, no podrá luego actuar o asesorar directa o indirectamente a la parte contraria en la misma cuestión; </w:t>
      </w:r>
    </w:p>
    <w:p w14:paraId="7893F2B9" w14:textId="77777777" w:rsidR="00273BF5" w:rsidRPr="00582B05" w:rsidRDefault="00273BF5" w:rsidP="00273BF5">
      <w:pPr>
        <w:spacing w:after="0" w:line="240" w:lineRule="auto"/>
        <w:ind w:left="709" w:right="709"/>
        <w:jc w:val="both"/>
        <w:rPr>
          <w:rFonts w:ascii="Verdana" w:eastAsia="Calibri" w:hAnsi="Verdana" w:cs="Arial"/>
          <w:sz w:val="20"/>
          <w:szCs w:val="20"/>
        </w:rPr>
      </w:pPr>
      <w:r w:rsidRPr="00582B05">
        <w:rPr>
          <w:rFonts w:ascii="Verdana" w:eastAsia="Calibri" w:hAnsi="Verdana" w:cs="Arial"/>
          <w:sz w:val="20"/>
          <w:szCs w:val="20"/>
        </w:rPr>
        <w:t>c) El profesional no debe intervenir como perito o anexar en cuestiones que le comprendan las inhabilidades e incompatibilidades generales de la ley. </w:t>
      </w:r>
    </w:p>
    <w:p w14:paraId="5ED39DCA" w14:textId="77777777" w:rsidR="00273BF5" w:rsidRPr="00582B05" w:rsidRDefault="00273BF5" w:rsidP="00273BF5">
      <w:pPr>
        <w:spacing w:after="0" w:line="240" w:lineRule="auto"/>
        <w:ind w:left="709" w:right="709"/>
        <w:jc w:val="both"/>
        <w:rPr>
          <w:rFonts w:ascii="Verdana" w:eastAsia="Calibri" w:hAnsi="Verdana" w:cs="Arial"/>
          <w:sz w:val="20"/>
          <w:szCs w:val="20"/>
        </w:rPr>
      </w:pPr>
      <w:r w:rsidRPr="00582B05">
        <w:rPr>
          <w:rFonts w:ascii="Verdana" w:eastAsia="Calibri" w:hAnsi="Verdana" w:cs="Arial"/>
          <w:bCs/>
          <w:sz w:val="20"/>
          <w:szCs w:val="20"/>
        </w:rPr>
        <w:t>Parágrafo.</w:t>
      </w:r>
      <w:r w:rsidRPr="00582B05">
        <w:rPr>
          <w:rFonts w:ascii="Verdana" w:eastAsia="Calibri" w:hAnsi="Verdana" w:cs="Arial"/>
          <w:sz w:val="20"/>
          <w:szCs w:val="20"/>
        </w:rPr>
        <w:t> En las licitaciones y en lo atinente a sus relaciones contractuales, los profesionales estarán sujetos a las incompatibilidades establec</w:t>
      </w:r>
      <w:r>
        <w:rPr>
          <w:rFonts w:ascii="Verdana" w:eastAsia="Calibri" w:hAnsi="Verdana" w:cs="Arial"/>
          <w:sz w:val="20"/>
          <w:szCs w:val="20"/>
        </w:rPr>
        <w:t>idas en la legislación vigente.</w:t>
      </w:r>
    </w:p>
    <w:p w14:paraId="77592E83" w14:textId="77777777" w:rsidR="00273BF5" w:rsidRPr="00EC40F8" w:rsidRDefault="00273BF5" w:rsidP="00273BF5">
      <w:pPr>
        <w:spacing w:after="120" w:line="276" w:lineRule="auto"/>
        <w:ind w:firstLine="709"/>
        <w:jc w:val="both"/>
        <w:rPr>
          <w:rFonts w:ascii="Verdana" w:eastAsia="Calibri" w:hAnsi="Verdana" w:cs="Arial"/>
        </w:rPr>
      </w:pPr>
    </w:p>
    <w:p w14:paraId="335A5984" w14:textId="77777777" w:rsidR="00273BF5" w:rsidRDefault="00273BF5" w:rsidP="00273BF5">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Este artículo </w:t>
      </w:r>
      <w:r w:rsidRPr="00582B05">
        <w:rPr>
          <w:rFonts w:ascii="Verdana" w:eastAsia="Arial MT" w:hAnsi="Verdana" w:cs="Arial"/>
          <w:lang w:eastAsia="es-ES" w:bidi="es-ES"/>
        </w:rPr>
        <w:t>establece restricciones para el ejercicio profesional en contextos públicos y privados, señalando que incurren en falta quienes actúan como asesores o representantes técnicos simultáneamente en empresas con actividades idénticas sin autorización expresa, quienes intervienen en un asunto y luego asesoran a la parte contraria, y quienes participan como peritos en situaciones que les generan inhabilidades o incompatibilidades legales. Además, el parágrafo aclara que</w:t>
      </w:r>
      <w:r>
        <w:rPr>
          <w:rFonts w:ascii="Verdana" w:eastAsia="Arial MT" w:hAnsi="Verdana" w:cs="Arial"/>
          <w:lang w:eastAsia="es-ES" w:bidi="es-ES"/>
        </w:rPr>
        <w:t>,</w:t>
      </w:r>
      <w:r w:rsidRPr="00582B05">
        <w:rPr>
          <w:rFonts w:ascii="Verdana" w:eastAsia="Arial MT" w:hAnsi="Verdana" w:cs="Arial"/>
          <w:lang w:eastAsia="es-ES" w:bidi="es-ES"/>
        </w:rPr>
        <w:t xml:space="preserve"> en procesos licitatorios y relaciones contractuales, los profesionales están sujetos a las incompatibilidades previstas en la legislación vigente, lo que implica que deben abstenerse de participar en actuaciones que comprometan su</w:t>
      </w:r>
      <w:r>
        <w:rPr>
          <w:rFonts w:ascii="Verdana" w:eastAsia="Arial MT" w:hAnsi="Verdana" w:cs="Arial"/>
          <w:lang w:eastAsia="es-ES" w:bidi="es-ES"/>
        </w:rPr>
        <w:t xml:space="preserve"> imparcialidad, transparencia, </w:t>
      </w:r>
      <w:r w:rsidRPr="00582B05">
        <w:rPr>
          <w:rFonts w:ascii="Verdana" w:eastAsia="Arial MT" w:hAnsi="Verdana" w:cs="Arial"/>
          <w:lang w:eastAsia="es-ES" w:bidi="es-ES"/>
        </w:rPr>
        <w:t>legalidad</w:t>
      </w:r>
      <w:r>
        <w:rPr>
          <w:rFonts w:ascii="Verdana" w:eastAsia="Arial MT" w:hAnsi="Verdana" w:cs="Arial"/>
          <w:lang w:eastAsia="es-ES" w:bidi="es-ES"/>
        </w:rPr>
        <w:t xml:space="preserve"> y moralidad</w:t>
      </w:r>
      <w:r w:rsidRPr="00582B05">
        <w:rPr>
          <w:rFonts w:ascii="Verdana" w:eastAsia="Arial MT" w:hAnsi="Verdana" w:cs="Arial"/>
          <w:lang w:eastAsia="es-ES" w:bidi="es-ES"/>
        </w:rPr>
        <w:t xml:space="preserve"> en el ejercicio de sus funciones.</w:t>
      </w:r>
    </w:p>
    <w:p w14:paraId="2C28F598" w14:textId="77777777" w:rsidR="00273BF5" w:rsidRPr="00945CF4" w:rsidRDefault="00273BF5" w:rsidP="00273BF5">
      <w:pPr>
        <w:spacing w:after="120" w:line="276" w:lineRule="auto"/>
        <w:ind w:firstLine="709"/>
        <w:jc w:val="both"/>
        <w:rPr>
          <w:rFonts w:ascii="Verdana" w:eastAsia="Calibri" w:hAnsi="Verdana" w:cs="Arial"/>
          <w:bCs/>
          <w:highlight w:val="yellow"/>
        </w:rPr>
      </w:pPr>
      <w:r>
        <w:rPr>
          <w:rFonts w:ascii="Verdana" w:eastAsia="Calibri" w:hAnsi="Verdana" w:cs="Arial"/>
          <w:bCs/>
        </w:rPr>
        <w:t>Se resalta que, del artículo precitado, es importante su literal b</w:t>
      </w:r>
      <w:r w:rsidRPr="009C3C97">
        <w:rPr>
          <w:rFonts w:ascii="Verdana" w:eastAsia="Calibri" w:hAnsi="Verdana" w:cs="Arial"/>
          <w:bCs/>
          <w:lang w:val="es-ES_tradnl"/>
        </w:rPr>
        <w:t>: “</w:t>
      </w:r>
      <w:r w:rsidRPr="006F5FA6">
        <w:rPr>
          <w:rFonts w:ascii="Verdana" w:eastAsia="Calibri" w:hAnsi="Verdana" w:cs="Arial"/>
          <w:bCs/>
        </w:rPr>
        <w:t>Artículo 22. Incurrirán en falta al régimen a que se refiere el presente capítulo:</w:t>
      </w:r>
      <w:r>
        <w:rPr>
          <w:rFonts w:ascii="Verdana" w:eastAsia="Calibri" w:hAnsi="Verdana" w:cs="Arial"/>
          <w:bCs/>
        </w:rPr>
        <w:t xml:space="preserve"> […] </w:t>
      </w:r>
      <w:r w:rsidRPr="006F5FA6">
        <w:rPr>
          <w:rFonts w:ascii="Verdana" w:eastAsia="Calibri" w:hAnsi="Verdana" w:cs="Arial"/>
          <w:bCs/>
        </w:rPr>
        <w:t xml:space="preserve">b) El profesional </w:t>
      </w:r>
      <w:proofErr w:type="gramStart"/>
      <w:r w:rsidRPr="006F5FA6">
        <w:rPr>
          <w:rFonts w:ascii="Verdana" w:eastAsia="Calibri" w:hAnsi="Verdana" w:cs="Arial"/>
          <w:bCs/>
        </w:rPr>
        <w:t>que</w:t>
      </w:r>
      <w:proofErr w:type="gramEnd"/>
      <w:r w:rsidRPr="006F5FA6">
        <w:rPr>
          <w:rFonts w:ascii="Verdana" w:eastAsia="Calibri" w:hAnsi="Verdana" w:cs="Arial"/>
          <w:bCs/>
        </w:rPr>
        <w:t xml:space="preserve"> en ejercicio de sus actividades públicas o privadas, hubiese intervenido en determinado asunto, no podrá luego actuar o asesorar directa o indirectamente a la parte contraria en la misma cuestión</w:t>
      </w:r>
      <w:r>
        <w:rPr>
          <w:rFonts w:ascii="Verdana" w:eastAsia="Calibri" w:hAnsi="Verdana" w:cs="Arial"/>
          <w:bCs/>
        </w:rPr>
        <w:t xml:space="preserve"> […]. Teniendo en cuenta una </w:t>
      </w:r>
      <w:r w:rsidRPr="009C3C97">
        <w:rPr>
          <w:rFonts w:ascii="Verdana" w:eastAsia="Calibri" w:hAnsi="Verdana" w:cs="Arial"/>
          <w:bCs/>
        </w:rPr>
        <w:t>interpret</w:t>
      </w:r>
      <w:r>
        <w:rPr>
          <w:rFonts w:ascii="Verdana" w:eastAsia="Calibri" w:hAnsi="Verdana" w:cs="Arial"/>
          <w:bCs/>
        </w:rPr>
        <w:t>ación restrictiva del artículo 22</w:t>
      </w:r>
      <w:r w:rsidRPr="009C3C97">
        <w:rPr>
          <w:rFonts w:ascii="Verdana" w:eastAsia="Calibri" w:hAnsi="Verdana" w:cs="Arial"/>
          <w:bCs/>
        </w:rPr>
        <w:t xml:space="preserve">, literal b, se precisa: en primer lugar, hay un criterio subjetivo, pues se alude a los profesionales de </w:t>
      </w:r>
      <w:r>
        <w:rPr>
          <w:rFonts w:ascii="Verdana" w:eastAsia="Calibri" w:hAnsi="Verdana" w:cs="Arial"/>
          <w:bCs/>
        </w:rPr>
        <w:t>arquitectura. E</w:t>
      </w:r>
      <w:r w:rsidRPr="009C3C97">
        <w:rPr>
          <w:rFonts w:ascii="Verdana" w:eastAsia="Calibri" w:hAnsi="Verdana" w:cs="Arial"/>
          <w:bCs/>
        </w:rPr>
        <w:t>n segundo lugar, un criterio material que alude a dos tipos de actividades: públicas o privadas. Las primeras están vinculadas con</w:t>
      </w:r>
      <w:r>
        <w:rPr>
          <w:rFonts w:ascii="Verdana" w:eastAsia="Calibri" w:hAnsi="Verdana" w:cs="Arial"/>
          <w:bCs/>
        </w:rPr>
        <w:t xml:space="preserve"> la</w:t>
      </w:r>
      <w:r w:rsidRPr="009C3C97">
        <w:rPr>
          <w:rFonts w:ascii="Verdana" w:eastAsia="Calibri" w:hAnsi="Verdana" w:cs="Arial"/>
          <w:bCs/>
        </w:rPr>
        <w:t xml:space="preserve"> </w:t>
      </w:r>
      <w:r w:rsidRPr="009C3C97">
        <w:rPr>
          <w:rFonts w:ascii="Verdana" w:hAnsi="Verdana" w:cs="Arial"/>
          <w:iCs/>
          <w:shd w:val="clear" w:color="auto" w:fill="FFFFFF"/>
        </w:rPr>
        <w:t xml:space="preserve">función pública, </w:t>
      </w:r>
      <w:r>
        <w:rPr>
          <w:rFonts w:ascii="Verdana" w:hAnsi="Verdana" w:cs="Arial"/>
          <w:iCs/>
          <w:shd w:val="clear" w:color="auto" w:fill="FFFFFF"/>
        </w:rPr>
        <w:t xml:space="preserve">independiente de </w:t>
      </w:r>
      <w:r w:rsidRPr="009C3C97">
        <w:rPr>
          <w:rFonts w:ascii="Verdana" w:hAnsi="Verdana" w:cs="Arial"/>
          <w:iCs/>
          <w:shd w:val="clear" w:color="auto" w:fill="FFFFFF"/>
        </w:rPr>
        <w:t>quienes la ejercen o son investidos de ella, y considerando que por esta vía el sujeto que la eje</w:t>
      </w:r>
      <w:r>
        <w:rPr>
          <w:rFonts w:ascii="Verdana" w:hAnsi="Verdana" w:cs="Arial"/>
          <w:iCs/>
          <w:shd w:val="clear" w:color="auto" w:fill="FFFFFF"/>
        </w:rPr>
        <w:t>rce participa o colabora en la realización de</w:t>
      </w:r>
      <w:r w:rsidRPr="009C3C97">
        <w:rPr>
          <w:rFonts w:ascii="Verdana" w:hAnsi="Verdana" w:cs="Arial"/>
          <w:iCs/>
          <w:shd w:val="clear" w:color="auto" w:fill="FFFFFF"/>
        </w:rPr>
        <w:t xml:space="preserve"> funciones y cometidos del Estado</w:t>
      </w:r>
      <w:r>
        <w:rPr>
          <w:rFonts w:ascii="Verdana" w:hAnsi="Verdana" w:cs="Arial"/>
          <w:iCs/>
          <w:shd w:val="clear" w:color="auto" w:fill="FFFFFF"/>
        </w:rPr>
        <w:t>, como es el caso de la contratación estatal</w:t>
      </w:r>
      <w:r w:rsidRPr="009C3C97">
        <w:rPr>
          <w:rFonts w:ascii="Verdana" w:hAnsi="Verdana" w:cs="Arial"/>
          <w:iCs/>
          <w:shd w:val="clear" w:color="auto" w:fill="FFFFFF"/>
        </w:rPr>
        <w:t>. </w:t>
      </w:r>
      <w:r>
        <w:rPr>
          <w:rFonts w:ascii="Verdana" w:hAnsi="Verdana" w:cs="Arial"/>
          <w:iCs/>
          <w:shd w:val="clear" w:color="auto" w:fill="FFFFFF"/>
        </w:rPr>
        <w:t xml:space="preserve">Las segundas están relacionadas con aquellas actividades que, a diferencia de las públicas, se basa en la participación o colaboración de actividades que benefician a un particular. En tercer lugar, la intervención en un </w:t>
      </w:r>
      <w:r>
        <w:rPr>
          <w:rFonts w:ascii="Verdana" w:hAnsi="Verdana" w:cs="Arial"/>
          <w:iCs/>
          <w:shd w:val="clear" w:color="auto" w:fill="FFFFFF"/>
        </w:rPr>
        <w:lastRenderedPageBreak/>
        <w:t xml:space="preserve">asunto, esto es, que hayan participado en una actividad pública o privado concreta. En cuarto lugar, una prohibición de actuar o asesorar. En cuanto a la expresión “actuar”, hay que acudir al Diccionario de la Lengua Española, que expresa: 1. </w:t>
      </w:r>
      <w:r>
        <w:rPr>
          <w:rFonts w:ascii="Verdana" w:eastAsia="Calibri" w:hAnsi="Verdana" w:cs="Arial"/>
          <w:bCs/>
        </w:rPr>
        <w:t>intr. Dicho de una persona o de una cosa</w:t>
      </w:r>
      <w:r w:rsidRPr="00AF0ED2">
        <w:rPr>
          <w:rFonts w:ascii="Verdana" w:eastAsia="Calibri" w:hAnsi="Verdana" w:cs="Arial"/>
          <w:bCs/>
        </w:rPr>
        <w:t>: Ejercer actos propios de su naturaleza</w:t>
      </w:r>
      <w:r>
        <w:rPr>
          <w:rFonts w:ascii="Verdana" w:eastAsia="Calibri" w:hAnsi="Verdana" w:cs="Arial"/>
          <w:bCs/>
        </w:rPr>
        <w:t xml:space="preserve"> […]</w:t>
      </w:r>
      <w:r w:rsidRPr="00AF0ED2">
        <w:rPr>
          <w:rFonts w:ascii="Verdana" w:eastAsia="Calibri" w:hAnsi="Verdana" w:cs="Arial"/>
          <w:bCs/>
        </w:rPr>
        <w:t>.</w:t>
      </w:r>
      <w:r>
        <w:rPr>
          <w:rFonts w:ascii="Verdana" w:eastAsia="Calibri" w:hAnsi="Verdana" w:cs="Arial"/>
          <w:bCs/>
        </w:rPr>
        <w:t xml:space="preserve">2. intr. Ejercer funciones propias de su cargo u oficio”. Estas dos definiciones que la expresión “actuar” se refiere al ejercicio de la profesión </w:t>
      </w:r>
      <w:r w:rsidRPr="00053F42">
        <w:rPr>
          <w:rFonts w:ascii="Verdana" w:eastAsia="Calibri" w:hAnsi="Verdana" w:cs="Arial"/>
          <w:bCs/>
        </w:rPr>
        <w:t xml:space="preserve">de arquitectura, para lo cual hay que remitirse al artículo 2° de la Ley 435 de 1998, que entiende el ejercicio de la </w:t>
      </w:r>
      <w:r>
        <w:rPr>
          <w:rFonts w:ascii="Verdana" w:eastAsia="Calibri" w:hAnsi="Verdana" w:cs="Arial"/>
          <w:bCs/>
        </w:rPr>
        <w:t xml:space="preserve">arquitectura </w:t>
      </w:r>
      <w:r w:rsidRPr="00053F42">
        <w:rPr>
          <w:rFonts w:ascii="Verdana" w:eastAsia="Calibri" w:hAnsi="Verdana" w:cs="Arial"/>
          <w:bCs/>
        </w:rPr>
        <w:t>como el desempeño de una serie de actividades</w:t>
      </w:r>
      <w:r>
        <w:rPr>
          <w:rFonts w:ascii="Verdana" w:eastAsia="Calibri" w:hAnsi="Verdana" w:cs="Arial"/>
          <w:bCs/>
        </w:rPr>
        <w:t>:</w:t>
      </w:r>
    </w:p>
    <w:p w14:paraId="3A629D7D" w14:textId="77777777" w:rsidR="00273BF5" w:rsidRPr="00945CF4" w:rsidRDefault="00273BF5" w:rsidP="00273BF5">
      <w:pPr>
        <w:tabs>
          <w:tab w:val="num" w:pos="720"/>
        </w:tabs>
        <w:spacing w:after="0" w:line="276" w:lineRule="auto"/>
        <w:ind w:firstLine="709"/>
        <w:jc w:val="both"/>
        <w:rPr>
          <w:rFonts w:ascii="Verdana" w:eastAsia="Calibri" w:hAnsi="Verdana" w:cs="Arial"/>
          <w:bCs/>
          <w:highlight w:val="yellow"/>
        </w:rPr>
      </w:pPr>
    </w:p>
    <w:p w14:paraId="74409302" w14:textId="77777777" w:rsidR="00273BF5" w:rsidRPr="00053F42" w:rsidRDefault="00273BF5" w:rsidP="00273BF5">
      <w:pPr>
        <w:tabs>
          <w:tab w:val="num" w:pos="720"/>
        </w:tabs>
        <w:spacing w:line="240" w:lineRule="auto"/>
        <w:ind w:left="709" w:right="709"/>
        <w:jc w:val="both"/>
        <w:rPr>
          <w:rFonts w:ascii="Verdana" w:hAnsi="Verdana" w:cs="Arial"/>
          <w:color w:val="000000"/>
          <w:sz w:val="20"/>
          <w:szCs w:val="20"/>
        </w:rPr>
      </w:pPr>
      <w:r w:rsidRPr="00053F42">
        <w:rPr>
          <w:rStyle w:val="Textoennegrita"/>
          <w:rFonts w:ascii="Verdana" w:hAnsi="Verdana" w:cs="Arial"/>
          <w:color w:val="000000"/>
          <w:sz w:val="20"/>
          <w:szCs w:val="20"/>
        </w:rPr>
        <w:t>“</w:t>
      </w:r>
      <w:r w:rsidRPr="00053F42">
        <w:rPr>
          <w:rFonts w:ascii="Verdana" w:hAnsi="Verdana" w:cs="Arial"/>
          <w:color w:val="000000"/>
          <w:sz w:val="20"/>
          <w:szCs w:val="20"/>
        </w:rPr>
        <w:t>Artículo 2°. Para efectos de la presente ley, se entiende por ejercicio de la profesión de arquitectura, la actividad desarrollada por los Arquitectos en materia de: </w:t>
      </w:r>
    </w:p>
    <w:p w14:paraId="6C54A251"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05E40187"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a) Diseño arquitectónico y urbanístico, estudios preliminares, maquetas, dibujos, documentación técnica y especificación, elaboración de planos de esquemas básicos, anteproyectos y proyectos arquitectónicos y urbanísticos; </w:t>
      </w:r>
    </w:p>
    <w:p w14:paraId="171B5483"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0E85EF79"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b) Realización de presupuesto de construcción, control de costos, administración de contratos y gestión de proyectos; </w:t>
      </w:r>
    </w:p>
    <w:p w14:paraId="4340AC2E"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231A3588"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xml:space="preserve">c) Construcción, ampliación, restauración y preservación de obras de arquitectura y urbanismo, que comprenden entre otras la ejecución de programas y el control de las mismas, </w:t>
      </w:r>
      <w:proofErr w:type="spellStart"/>
      <w:r w:rsidRPr="002F6AEC">
        <w:rPr>
          <w:rFonts w:ascii="Verdana" w:hAnsi="Verdana" w:cs="Arial"/>
          <w:color w:val="000000"/>
          <w:sz w:val="20"/>
          <w:szCs w:val="20"/>
        </w:rPr>
        <w:t>cualesquiera</w:t>
      </w:r>
      <w:proofErr w:type="spellEnd"/>
      <w:r w:rsidRPr="002F6AEC">
        <w:rPr>
          <w:rFonts w:ascii="Verdana" w:hAnsi="Verdana" w:cs="Arial"/>
          <w:color w:val="000000"/>
          <w:sz w:val="20"/>
          <w:szCs w:val="20"/>
        </w:rPr>
        <w:t xml:space="preserve"> sea la modalidad contractual utilizada, siempre y cuando se circunscriban dentro de su campo de acción; </w:t>
      </w:r>
    </w:p>
    <w:p w14:paraId="3F846D8F"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566BE7E8"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d) Interventoría de proyectos y construcciones; </w:t>
      </w:r>
    </w:p>
    <w:p w14:paraId="04AC8AC6"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6A547916"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e) Gerencia de obras de arquitectura y urbanismo; </w:t>
      </w:r>
    </w:p>
    <w:p w14:paraId="45B632CF"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79C805AA"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f) Estudios, asesorías y consultas sobre planes de desarrollo urbano, regional y ordenamiento territorial; </w:t>
      </w:r>
    </w:p>
    <w:p w14:paraId="098E3C21"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30A56AB9"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g) Estudios, trámites y expedición de licencias de urbanismo y construcción; </w:t>
      </w:r>
    </w:p>
    <w:p w14:paraId="54FBFF8A"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62874425"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xml:space="preserve">h) Elaboración de avalúos y </w:t>
      </w:r>
      <w:proofErr w:type="spellStart"/>
      <w:r w:rsidRPr="002F6AEC">
        <w:rPr>
          <w:rFonts w:ascii="Verdana" w:hAnsi="Verdana" w:cs="Arial"/>
          <w:color w:val="000000"/>
          <w:sz w:val="20"/>
          <w:szCs w:val="20"/>
        </w:rPr>
        <w:t>peritazgos</w:t>
      </w:r>
      <w:proofErr w:type="spellEnd"/>
      <w:r w:rsidRPr="002F6AEC">
        <w:rPr>
          <w:rFonts w:ascii="Verdana" w:hAnsi="Verdana" w:cs="Arial"/>
          <w:color w:val="000000"/>
          <w:sz w:val="20"/>
          <w:szCs w:val="20"/>
        </w:rPr>
        <w:t xml:space="preserve"> en materias de arquitectura a edificaciones; </w:t>
      </w:r>
    </w:p>
    <w:p w14:paraId="7A4E38AC"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25E11AA4"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lastRenderedPageBreak/>
        <w:t>i) Docencia de la arquitectura; </w:t>
      </w:r>
    </w:p>
    <w:p w14:paraId="47C7DEAB" w14:textId="77777777" w:rsidR="00273BF5" w:rsidRPr="002F6AEC"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  </w:t>
      </w:r>
    </w:p>
    <w:p w14:paraId="59B61ED6" w14:textId="77777777" w:rsidR="00273BF5" w:rsidRPr="00053F42" w:rsidRDefault="00273BF5" w:rsidP="00273BF5">
      <w:pPr>
        <w:tabs>
          <w:tab w:val="num" w:pos="720"/>
        </w:tabs>
        <w:spacing w:after="0" w:line="240" w:lineRule="auto"/>
        <w:ind w:left="709" w:right="709"/>
        <w:jc w:val="both"/>
        <w:rPr>
          <w:rFonts w:ascii="Verdana" w:hAnsi="Verdana" w:cs="Arial"/>
          <w:color w:val="000000"/>
          <w:sz w:val="20"/>
          <w:szCs w:val="20"/>
        </w:rPr>
      </w:pPr>
      <w:r w:rsidRPr="002F6AEC">
        <w:rPr>
          <w:rFonts w:ascii="Verdana" w:hAnsi="Verdana" w:cs="Arial"/>
          <w:color w:val="000000"/>
          <w:sz w:val="20"/>
          <w:szCs w:val="20"/>
        </w:rPr>
        <w:t>j) Las demás que se ejerzan dentro del campo de la profesión de la arquitectura</w:t>
      </w:r>
      <w:r w:rsidRPr="00053F42">
        <w:rPr>
          <w:rFonts w:ascii="Verdana" w:eastAsia="Times New Roman" w:hAnsi="Verdana" w:cs="Arial"/>
          <w:color w:val="000000"/>
          <w:sz w:val="20"/>
          <w:szCs w:val="20"/>
        </w:rPr>
        <w:t>”. </w:t>
      </w:r>
    </w:p>
    <w:p w14:paraId="3AC9D3FB" w14:textId="77777777" w:rsidR="00273BF5" w:rsidRPr="00313B0C" w:rsidRDefault="00273BF5" w:rsidP="00273BF5">
      <w:pPr>
        <w:spacing w:after="120" w:line="240" w:lineRule="auto"/>
        <w:jc w:val="both"/>
        <w:rPr>
          <w:rFonts w:ascii="Verdana" w:eastAsia="Calibri" w:hAnsi="Verdana" w:cs="Arial"/>
          <w:bCs/>
        </w:rPr>
      </w:pPr>
    </w:p>
    <w:p w14:paraId="6BD60EA9" w14:textId="77777777" w:rsidR="00273BF5" w:rsidRDefault="00273BF5" w:rsidP="00273BF5">
      <w:pPr>
        <w:spacing w:after="120" w:line="276" w:lineRule="auto"/>
        <w:ind w:firstLine="709"/>
        <w:jc w:val="both"/>
        <w:rPr>
          <w:rFonts w:ascii="Verdana" w:eastAsia="Calibri" w:hAnsi="Verdana" w:cs="Arial"/>
          <w:bCs/>
        </w:rPr>
      </w:pPr>
      <w:r>
        <w:rPr>
          <w:rFonts w:ascii="Verdana" w:eastAsia="Calibri" w:hAnsi="Verdana" w:cs="Arial"/>
          <w:bCs/>
        </w:rPr>
        <w:t>En efecto, el artículo 2° incluye como una de las actividades de la arquitectura la elaboración de e</w:t>
      </w:r>
      <w:r w:rsidRPr="002F6AEC">
        <w:rPr>
          <w:rFonts w:ascii="Verdana" w:eastAsia="Calibri" w:hAnsi="Verdana" w:cs="Arial"/>
          <w:bCs/>
        </w:rPr>
        <w:t>studios, trámites y expedición de licencias de urbanismo y construcción</w:t>
      </w:r>
      <w:r>
        <w:rPr>
          <w:rFonts w:ascii="Verdana" w:eastAsia="Calibri" w:hAnsi="Verdana" w:cs="Arial"/>
          <w:bCs/>
        </w:rPr>
        <w:t>.</w:t>
      </w:r>
      <w:r>
        <w:rPr>
          <w:rFonts w:ascii="Verdana" w:eastAsia="Calibri" w:hAnsi="Verdana" w:cs="Arial"/>
          <w:bCs/>
          <w:lang w:val="es-ES_tradnl"/>
        </w:rPr>
        <w:t xml:space="preserve"> </w:t>
      </w:r>
      <w:r>
        <w:rPr>
          <w:rFonts w:ascii="Verdana" w:eastAsia="Calibri" w:hAnsi="Verdana" w:cs="Arial"/>
          <w:bCs/>
        </w:rPr>
        <w:t xml:space="preserve">Finalmente, la expresión “directa o indirectamente a la parte contraria en la misma cuestión”, debe interpretarse, en el sentido que el profesional de arquitectura debe estar relacionada con el asunto, ya sea de forma inmediata o por intermediario en el proyecto. </w:t>
      </w:r>
    </w:p>
    <w:p w14:paraId="0DFD585E" w14:textId="77777777" w:rsidR="00273BF5" w:rsidRPr="00831FD2" w:rsidRDefault="00273BF5" w:rsidP="00273BF5">
      <w:pPr>
        <w:spacing w:after="120" w:line="276" w:lineRule="auto"/>
        <w:ind w:firstLine="709"/>
        <w:jc w:val="both"/>
        <w:rPr>
          <w:rFonts w:ascii="Verdana" w:eastAsia="Calibri" w:hAnsi="Verdana" w:cs="Arial"/>
          <w:bCs/>
          <w:lang w:val="es-ES_tradnl"/>
        </w:rPr>
      </w:pPr>
      <w:r w:rsidRPr="00C00AD8">
        <w:rPr>
          <w:rFonts w:ascii="Verdana" w:eastAsia="Calibri" w:hAnsi="Verdana" w:cs="Arial"/>
          <w:bCs/>
        </w:rPr>
        <w:t xml:space="preserve">Con base en </w:t>
      </w:r>
      <w:r>
        <w:rPr>
          <w:rFonts w:ascii="Verdana" w:eastAsia="Calibri" w:hAnsi="Verdana" w:cs="Arial"/>
          <w:bCs/>
        </w:rPr>
        <w:t xml:space="preserve">estas precisiones </w:t>
      </w:r>
      <w:r w:rsidRPr="00C00AD8">
        <w:rPr>
          <w:rFonts w:ascii="Verdana" w:eastAsia="Calibri" w:hAnsi="Verdana" w:cs="Arial"/>
          <w:bCs/>
        </w:rPr>
        <w:t xml:space="preserve">y conforme a una interpretación restrictiva del régimen de inhabilidades e incompatibilidades, se concluye que corresponde a la autoridad competente en vigilancia del ejercicio profesional determinar si el arquitecto vinculado mediante contrato de prestación de servicios con una entidad pública incurre en </w:t>
      </w:r>
      <w:r w:rsidRPr="00FF7A6D">
        <w:rPr>
          <w:rFonts w:ascii="Verdana" w:eastAsia="Calibri" w:hAnsi="Verdana" w:cs="Arial"/>
          <w:bCs/>
        </w:rPr>
        <w:t xml:space="preserve">alguna falta a la profesión </w:t>
      </w:r>
      <w:r w:rsidRPr="00C00AD8">
        <w:rPr>
          <w:rFonts w:ascii="Verdana" w:eastAsia="Calibri" w:hAnsi="Verdana" w:cs="Arial"/>
          <w:bCs/>
        </w:rPr>
        <w:t>al celebrar contratos privados de diseño y construcción de viviendas, y al firmar planos que serán utilizados por particulares en solicitudes de licencias de construcción, cuando dicha entidad es la encargada de otorgarlas</w:t>
      </w:r>
      <w:r>
        <w:rPr>
          <w:rFonts w:ascii="Verdana" w:eastAsia="Calibri" w:hAnsi="Verdana" w:cs="Arial"/>
          <w:bCs/>
        </w:rPr>
        <w:t>.</w:t>
      </w:r>
    </w:p>
    <w:p w14:paraId="4B33C213" w14:textId="77777777" w:rsidR="00273BF5" w:rsidRPr="004A4508" w:rsidRDefault="00273BF5" w:rsidP="00273BF5">
      <w:pPr>
        <w:spacing w:after="120" w:line="276" w:lineRule="auto"/>
        <w:ind w:firstLine="709"/>
        <w:jc w:val="both"/>
        <w:rPr>
          <w:rFonts w:ascii="Verdana" w:eastAsia="Arial MT" w:hAnsi="Verdana" w:cs="Arial"/>
          <w:bCs/>
          <w:iCs/>
          <w:lang w:eastAsia="es-ES" w:bidi="es-ES"/>
        </w:rPr>
      </w:pPr>
      <w:r>
        <w:rPr>
          <w:rFonts w:ascii="Verdana" w:eastAsia="Arial MT" w:hAnsi="Verdana" w:cs="Arial"/>
          <w:bCs/>
          <w:iCs/>
          <w:lang w:eastAsia="es-ES" w:bidi="es-ES"/>
        </w:rPr>
        <w:t xml:space="preserve">De lo expuesto, la Agencia Nacional de Contratación Pública –Colombia Compra Eficiente no puede definir o catalogar una inhabilidad o incompatibilidad en razón a la profesión de la arquitectura y sus profesiones auxiliares, pues no es competencia de esta, </w:t>
      </w:r>
      <w:r w:rsidRPr="00EC793E">
        <w:rPr>
          <w:rFonts w:ascii="Verdana" w:eastAsia="Arial MT" w:hAnsi="Verdana" w:cs="Arial"/>
          <w:bCs/>
          <w:iCs/>
          <w:lang w:eastAsia="es-ES" w:bidi="es-ES"/>
        </w:rPr>
        <w:t>sino revisar si estas implican una restricci</w:t>
      </w:r>
      <w:r>
        <w:rPr>
          <w:rFonts w:ascii="Verdana" w:eastAsia="Arial MT" w:hAnsi="Verdana" w:cs="Arial"/>
          <w:bCs/>
          <w:iCs/>
          <w:lang w:eastAsia="es-ES" w:bidi="es-ES"/>
        </w:rPr>
        <w:t xml:space="preserve">ón para contratar con el Estado. En efecto, </w:t>
      </w:r>
      <w:r w:rsidRPr="00EC793E">
        <w:rPr>
          <w:rFonts w:ascii="Verdana" w:eastAsia="Arial MT" w:hAnsi="Verdana" w:cs="Arial"/>
          <w:bCs/>
          <w:lang w:val="es-ES_tradnl" w:eastAsia="es-ES" w:bidi="es-ES"/>
        </w:rPr>
        <w:t xml:space="preserve">se destaca que el supuesto planteado no hay una inhabilidad o incompatibilidad, teniendo en cuenta que, de las normas del sistema de compras y contratación pública, no existe una causal contemplada para ello. </w:t>
      </w:r>
      <w:r w:rsidRPr="00EC793E">
        <w:rPr>
          <w:rFonts w:ascii="Verdana" w:eastAsia="Arial MT" w:hAnsi="Verdana" w:cs="Arial"/>
          <w:bCs/>
          <w:lang w:eastAsia="es-ES" w:bidi="es-ES"/>
        </w:rPr>
        <w:t>No obstante, es importante recordar que no es permitido hacer una interpretación extensiva de los efectos de inhabilidades e incompatibilidades en razón a una p</w:t>
      </w:r>
      <w:r>
        <w:rPr>
          <w:rFonts w:ascii="Verdana" w:eastAsia="Arial MT" w:hAnsi="Verdana" w:cs="Arial"/>
          <w:bCs/>
          <w:lang w:eastAsia="es-ES" w:bidi="es-ES"/>
        </w:rPr>
        <w:t xml:space="preserve">rofesión en torno a los contratos estatales, </w:t>
      </w:r>
      <w:r w:rsidRPr="00EC793E">
        <w:rPr>
          <w:rFonts w:ascii="Verdana" w:eastAsia="Arial MT" w:hAnsi="Verdana" w:cs="Arial"/>
          <w:bCs/>
          <w:lang w:eastAsia="es-ES" w:bidi="es-ES"/>
        </w:rPr>
        <w:t xml:space="preserve">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p>
    <w:p w14:paraId="1BA92806" w14:textId="77777777" w:rsidR="00273BF5" w:rsidRPr="004A4508" w:rsidRDefault="00273BF5" w:rsidP="00273BF5">
      <w:pPr>
        <w:spacing w:after="120" w:line="276" w:lineRule="auto"/>
        <w:ind w:firstLine="709"/>
        <w:jc w:val="both"/>
        <w:rPr>
          <w:rFonts w:ascii="Verdana" w:eastAsia="Arial MT" w:hAnsi="Verdana" w:cs="Arial"/>
          <w:lang w:eastAsia="es-ES" w:bidi="es-ES"/>
        </w:rPr>
      </w:pPr>
      <w:bookmarkStart w:id="3" w:name="_Hlk213782318"/>
      <w:r>
        <w:rPr>
          <w:rFonts w:ascii="Verdana" w:eastAsia="Arial MT" w:hAnsi="Verdana" w:cs="Arial"/>
          <w:lang w:eastAsia="es-ES" w:bidi="es-ES"/>
        </w:rPr>
        <w:lastRenderedPageBreak/>
        <w:t>Adicionalmente, es</w:t>
      </w:r>
      <w:r w:rsidRPr="00913D97">
        <w:rPr>
          <w:rFonts w:ascii="Verdana" w:eastAsia="Arial MT" w:hAnsi="Verdana" w:cs="Arial"/>
          <w:lang w:eastAsia="es-ES" w:bidi="es-ES"/>
        </w:rPr>
        <w:t xml:space="preserve"> fundamental analizar cada caso de manera individual para descartar posibles conflictos de interés, entendidos como situaciones en las que los intereses personales de una persona puedan entrar en contradicción con sus deberes profesionales. En este contexto, resulta especialmente relevante revisar los casos de arquitectos contratistas por prestación de servicios profesionales que, además de cumplir funciones en una dependencia de una entidad pública, ejercen su actividad como independientes y radican licencias de construcción ante </w:t>
      </w:r>
      <w:r>
        <w:rPr>
          <w:rFonts w:ascii="Verdana" w:eastAsia="Arial MT" w:hAnsi="Verdana" w:cs="Arial"/>
          <w:lang w:eastAsia="es-ES" w:bidi="es-ES"/>
        </w:rPr>
        <w:t>la misma dependencia de la</w:t>
      </w:r>
      <w:r w:rsidRPr="00913D97">
        <w:rPr>
          <w:rFonts w:ascii="Verdana" w:eastAsia="Arial MT" w:hAnsi="Verdana" w:cs="Arial"/>
          <w:lang w:eastAsia="es-ES" w:bidi="es-ES"/>
        </w:rPr>
        <w:t xml:space="preserve"> entidad.</w:t>
      </w:r>
      <w:r>
        <w:rPr>
          <w:rFonts w:ascii="Verdana" w:eastAsia="Arial MT" w:hAnsi="Verdana" w:cs="Arial"/>
          <w:lang w:eastAsia="es-ES" w:bidi="es-ES"/>
        </w:rPr>
        <w:t xml:space="preserve"> </w:t>
      </w:r>
      <w:r w:rsidRPr="00AE22D5">
        <w:rPr>
          <w:rFonts w:ascii="Verdana" w:eastAsia="Calibri" w:hAnsi="Verdana" w:cs="Arial"/>
        </w:rPr>
        <w:t>En</w:t>
      </w:r>
      <w:r>
        <w:rPr>
          <w:rFonts w:ascii="Verdana" w:eastAsia="Calibri" w:hAnsi="Verdana" w:cs="Arial"/>
        </w:rPr>
        <w:t xml:space="preserve"> efecto</w:t>
      </w:r>
      <w:r w:rsidRPr="00AE22D5">
        <w:rPr>
          <w:rFonts w:ascii="Verdana" w:eastAsia="Calibri" w:hAnsi="Verdana" w:cs="Arial"/>
        </w:rPr>
        <w:t xml:space="preserve">, </w:t>
      </w:r>
      <w:r w:rsidRPr="00AE22D5">
        <w:rPr>
          <w:rFonts w:ascii="Verdana" w:eastAsia="Calibri" w:hAnsi="Verdana" w:cs="Arial"/>
          <w:color w:val="000000" w:themeColor="text1"/>
          <w:szCs w:val="24"/>
          <w:lang w:eastAsia="es-ES_tradnl"/>
        </w:rPr>
        <w:t>es indispensable que se analice la</w:t>
      </w:r>
      <w:r w:rsidRPr="00AE22D5">
        <w:rPr>
          <w:rFonts w:ascii="Verdana" w:eastAsia="Calibri" w:hAnsi="Verdana" w:cs="Arial"/>
        </w:rPr>
        <w:t xml:space="preserve"> ocurrencia de potenciales conflictos de interés de cara a una posible vulneración de la transparencia, imparcialidad, y moralidad administrativa. </w:t>
      </w:r>
    </w:p>
    <w:bookmarkEnd w:id="3"/>
    <w:p w14:paraId="43712ED8" w14:textId="77777777" w:rsidR="00273BF5" w:rsidRDefault="00273BF5" w:rsidP="00273BF5">
      <w:pPr>
        <w:spacing w:after="0" w:line="276" w:lineRule="auto"/>
        <w:jc w:val="both"/>
        <w:rPr>
          <w:rFonts w:ascii="Verdana" w:eastAsia="Times New Roman" w:hAnsi="Verdana" w:cs="Arial"/>
          <w:color w:val="000000"/>
          <w:lang w:eastAsia="es-ES"/>
        </w:rPr>
      </w:pPr>
    </w:p>
    <w:p w14:paraId="681EE4F1" w14:textId="77777777" w:rsidR="00273BF5" w:rsidRPr="00DB2A80" w:rsidRDefault="00273BF5" w:rsidP="00273BF5">
      <w:pPr>
        <w:spacing w:after="120" w:line="276" w:lineRule="auto"/>
        <w:jc w:val="both"/>
        <w:rPr>
          <w:rFonts w:ascii="Verdana" w:hAnsi="Verdana"/>
        </w:rPr>
      </w:pPr>
      <w:proofErr w:type="spellStart"/>
      <w:r>
        <w:rPr>
          <w:rFonts w:ascii="Verdana" w:eastAsia="Arial" w:hAnsi="Verdana" w:cs="Arial"/>
          <w:lang w:val="es-ES_tradnl"/>
        </w:rPr>
        <w:t>iii</w:t>
      </w:r>
      <w:proofErr w:type="spellEnd"/>
      <w:r>
        <w:rPr>
          <w:rFonts w:ascii="Verdana" w:eastAsia="Arial" w:hAnsi="Verdana" w:cs="Arial"/>
          <w:lang w:val="es-ES_tradnl"/>
        </w:rPr>
        <w:t xml:space="preserve">.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41CE8A" w14:textId="77777777" w:rsidR="00273BF5" w:rsidRPr="00DB2A80" w:rsidRDefault="00273BF5" w:rsidP="00273BF5">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B9D4791" w14:textId="77777777" w:rsidR="00273BF5" w:rsidRPr="00DB2A80" w:rsidRDefault="00273BF5" w:rsidP="00273BF5">
      <w:pPr>
        <w:spacing w:after="0" w:line="276" w:lineRule="auto"/>
        <w:jc w:val="both"/>
        <w:rPr>
          <w:rFonts w:ascii="Verdana" w:eastAsia="Arial" w:hAnsi="Verdana" w:cs="Arial"/>
        </w:rPr>
      </w:pPr>
    </w:p>
    <w:p w14:paraId="0BCF71CD" w14:textId="77777777" w:rsidR="00273BF5" w:rsidRPr="0060163E" w:rsidRDefault="00273BF5" w:rsidP="00273BF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304D7D25" w14:textId="77777777" w:rsidR="00273BF5" w:rsidRPr="0060163E" w:rsidRDefault="00273BF5" w:rsidP="00273BF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3BF5" w:rsidRPr="0060163E" w14:paraId="106DC37E" w14:textId="77777777" w:rsidTr="00835DC0">
        <w:trPr>
          <w:trHeight w:val="487"/>
          <w:jc w:val="center"/>
        </w:trPr>
        <w:tc>
          <w:tcPr>
            <w:tcW w:w="8647" w:type="dxa"/>
          </w:tcPr>
          <w:p w14:paraId="27C6CCB5" w14:textId="77777777" w:rsidR="00273BF5" w:rsidRPr="000A7D76" w:rsidRDefault="00273BF5" w:rsidP="00273BF5">
            <w:pPr>
              <w:numPr>
                <w:ilvl w:val="0"/>
                <w:numId w:val="19"/>
              </w:numPr>
              <w:spacing w:before="120" w:after="120" w:line="276" w:lineRule="auto"/>
              <w:ind w:left="640" w:hanging="357"/>
              <w:jc w:val="both"/>
              <w:rPr>
                <w:rFonts w:ascii="Verdana" w:hAnsi="Verdana" w:cs="Arial"/>
                <w:lang w:val="es-ES"/>
              </w:rPr>
            </w:pPr>
            <w:r w:rsidRPr="000A7D76">
              <w:rPr>
                <w:rFonts w:ascii="Verdana" w:hAnsi="Verdana" w:cs="Arial"/>
                <w:lang w:val="es-ES"/>
              </w:rPr>
              <w:lastRenderedPageBreak/>
              <w:t xml:space="preserve">Ley 80 de 1993, artículos 2, 8, 25 y 32 </w:t>
            </w:r>
          </w:p>
          <w:p w14:paraId="10A8148C" w14:textId="77777777" w:rsidR="00273BF5" w:rsidRPr="000A7D76" w:rsidRDefault="00273BF5" w:rsidP="00273BF5">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Ley 435 de 1998, artículos 2, 20 y 22.</w:t>
            </w:r>
            <w:r w:rsidRPr="000A7D76">
              <w:rPr>
                <w:rFonts w:ascii="Verdana" w:hAnsi="Verdana" w:cs="Arial"/>
                <w:lang w:val="es-ES"/>
              </w:rPr>
              <w:t xml:space="preserve"> </w:t>
            </w:r>
          </w:p>
          <w:p w14:paraId="1B28FBB4"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0A7D76">
              <w:rPr>
                <w:rFonts w:ascii="Verdana" w:hAnsi="Verdana" w:cs="Arial"/>
                <w:lang w:val="es-ES"/>
              </w:rPr>
              <w:t>Decreto 1082 de 2015:</w:t>
            </w:r>
            <w:r>
              <w:rPr>
                <w:rFonts w:ascii="Verdana" w:hAnsi="Verdana" w:cs="Arial"/>
                <w:lang w:val="es-ES"/>
              </w:rPr>
              <w:t xml:space="preserve"> artículos</w:t>
            </w:r>
            <w:r w:rsidRPr="00DB2A80">
              <w:rPr>
                <w:rFonts w:ascii="Verdana" w:hAnsi="Verdana" w:cs="Arial"/>
                <w:lang w:val="es-ES"/>
              </w:rPr>
              <w:t xml:space="preserve"> 2.2.1.2.1.4.9., 2.2.1.2.1.4.5., 2.2.1.2.3.1.1 al 2.2.1.2.3.5.1.</w:t>
            </w:r>
          </w:p>
          <w:p w14:paraId="0E4CEEC0"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Consejo de Estado. Sala de Consulta y Servicio Civil. Concepto del 29 de abril de 1998. Rad. 1097. C.P. Augusto Trejos Jaramillo.</w:t>
            </w:r>
          </w:p>
          <w:p w14:paraId="387004BB"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Sección Tercera. Subsección C. Sentencia del 22 de mayo de 2013. Rad. 24.057. C.P. Olga Mélida Valle De </w:t>
            </w:r>
            <w:proofErr w:type="spellStart"/>
            <w:r w:rsidRPr="00DB2A80">
              <w:rPr>
                <w:rFonts w:ascii="Verdana" w:hAnsi="Verdana" w:cs="Arial"/>
                <w:lang w:val="es-ES"/>
              </w:rPr>
              <w:t>De</w:t>
            </w:r>
            <w:proofErr w:type="spellEnd"/>
            <w:r w:rsidRPr="00DB2A80">
              <w:rPr>
                <w:rFonts w:ascii="Verdana" w:hAnsi="Verdana" w:cs="Arial"/>
                <w:lang w:val="es-ES"/>
              </w:rPr>
              <w:t xml:space="preserve"> La Hoz.</w:t>
            </w:r>
          </w:p>
          <w:p w14:paraId="3C7250A0"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Sección Tercera. Subsección A. Sentencia del 13 de noviembre de 2013. Rad. 25.646. C.P. Mauricio Fajardo Gómez.  </w:t>
            </w:r>
          </w:p>
          <w:p w14:paraId="088BEA09"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Sala de lo contencioso administrativo. Sentencia del 12 de diciembre de 2014. </w:t>
            </w:r>
            <w:proofErr w:type="spellStart"/>
            <w:r w:rsidRPr="00DB2A80">
              <w:rPr>
                <w:rFonts w:ascii="Verdana" w:hAnsi="Verdana" w:cs="Arial"/>
                <w:lang w:val="es-ES"/>
              </w:rPr>
              <w:t>Exp</w:t>
            </w:r>
            <w:proofErr w:type="spellEnd"/>
            <w:r w:rsidRPr="00DB2A80">
              <w:rPr>
                <w:rFonts w:ascii="Verdana" w:hAnsi="Verdana" w:cs="Arial"/>
                <w:lang w:val="es-ES"/>
              </w:rPr>
              <w:t xml:space="preserve">. 26496. C.P. Ramiro Pazos Guerrero. </w:t>
            </w:r>
          </w:p>
          <w:p w14:paraId="7A9E21EC"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Sala de Consulta y Servicio Civil. Concepto del 30 de abril de 2015. </w:t>
            </w:r>
            <w:proofErr w:type="spellStart"/>
            <w:r w:rsidRPr="00DB2A80">
              <w:rPr>
                <w:rFonts w:ascii="Verdana" w:hAnsi="Verdana" w:cs="Arial"/>
                <w:lang w:val="es-ES"/>
              </w:rPr>
              <w:t>Exp</w:t>
            </w:r>
            <w:proofErr w:type="spellEnd"/>
            <w:r w:rsidRPr="00DB2A80">
              <w:rPr>
                <w:rFonts w:ascii="Verdana" w:hAnsi="Verdana" w:cs="Arial"/>
                <w:lang w:val="es-ES"/>
              </w:rPr>
              <w:t xml:space="preserve">. 2251. C.P. Álvaro </w:t>
            </w:r>
            <w:proofErr w:type="spellStart"/>
            <w:r w:rsidRPr="00DB2A80">
              <w:rPr>
                <w:rFonts w:ascii="Verdana" w:hAnsi="Verdana" w:cs="Arial"/>
                <w:lang w:val="es-ES"/>
              </w:rPr>
              <w:t>Namén</w:t>
            </w:r>
            <w:proofErr w:type="spellEnd"/>
            <w:r w:rsidRPr="00DB2A80">
              <w:rPr>
                <w:rFonts w:ascii="Verdana" w:hAnsi="Verdana" w:cs="Arial"/>
                <w:lang w:val="es-ES"/>
              </w:rPr>
              <w:t xml:space="preserve"> Vargas.</w:t>
            </w:r>
          </w:p>
          <w:p w14:paraId="1F8865F4"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Consejo de Estado. Sección Tercera. Subsección A. Sentencia del 24 de junio de 2015. </w:t>
            </w:r>
            <w:proofErr w:type="spellStart"/>
            <w:r w:rsidRPr="00DB2A80">
              <w:rPr>
                <w:rFonts w:ascii="Verdana" w:hAnsi="Verdana" w:cs="Arial"/>
                <w:lang w:val="es-ES"/>
              </w:rPr>
              <w:t>Exp</w:t>
            </w:r>
            <w:proofErr w:type="spellEnd"/>
            <w:r w:rsidRPr="00DB2A80">
              <w:rPr>
                <w:rFonts w:ascii="Verdana" w:hAnsi="Verdana" w:cs="Arial"/>
                <w:lang w:val="es-ES"/>
              </w:rPr>
              <w:t>. 40.635. C.P. Hernán Andrade Rincón (E).</w:t>
            </w:r>
          </w:p>
          <w:p w14:paraId="4EBC07FF"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Corte Constitucional. Sentencia C-415 de 1994. M.P. Eduardo Cifuentes Muñoz.</w:t>
            </w:r>
          </w:p>
          <w:p w14:paraId="1E8BB0FC"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C-181 de 1997. M.P. Fabio Morón Díaz. </w:t>
            </w:r>
          </w:p>
          <w:p w14:paraId="701163DF"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Corte Constitucional. Sentencia C-154 de 1997. Magistrado Ponente: Hernando Herrera Vergara.</w:t>
            </w:r>
          </w:p>
          <w:p w14:paraId="66316848"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C-780 de 2001. M.P. Jaime Córdoba Triviño. </w:t>
            </w:r>
          </w:p>
          <w:p w14:paraId="107A7F2E"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T-1039 de 2006. M.P. Humberto Sierra Porto. </w:t>
            </w:r>
          </w:p>
          <w:p w14:paraId="466DC633" w14:textId="77777777" w:rsidR="00273BF5"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 xml:space="preserve">Corte Constitucional. Sentencia C-614 de 2009. M.P. Jorge Ignacio Pretelt Chaljub. </w:t>
            </w:r>
          </w:p>
          <w:p w14:paraId="7C597F18" w14:textId="77777777" w:rsidR="00273BF5" w:rsidRPr="00DB2A80" w:rsidRDefault="00273BF5" w:rsidP="00273BF5">
            <w:pPr>
              <w:numPr>
                <w:ilvl w:val="0"/>
                <w:numId w:val="19"/>
              </w:numPr>
              <w:spacing w:before="120" w:after="120" w:line="276" w:lineRule="auto"/>
              <w:ind w:left="640" w:hanging="357"/>
              <w:jc w:val="both"/>
              <w:rPr>
                <w:rFonts w:ascii="Verdana" w:hAnsi="Verdana" w:cs="Arial"/>
                <w:lang w:val="es-ES"/>
              </w:rPr>
            </w:pPr>
            <w:r w:rsidRPr="00DB2A80">
              <w:rPr>
                <w:rFonts w:ascii="Verdana" w:hAnsi="Verdana" w:cs="Arial"/>
                <w:lang w:val="es-ES"/>
              </w:rPr>
              <w:t>Corte Constitucional. Sentencia C-1016 de 2012. M.P. Jorge Iván Palacio.</w:t>
            </w:r>
          </w:p>
        </w:tc>
      </w:tr>
    </w:tbl>
    <w:p w14:paraId="5DF17158" w14:textId="77777777" w:rsidR="00273BF5" w:rsidRPr="0060163E" w:rsidRDefault="00273BF5" w:rsidP="00273BF5">
      <w:pPr>
        <w:spacing w:after="0" w:line="276" w:lineRule="auto"/>
        <w:ind w:left="360"/>
        <w:contextualSpacing/>
        <w:rPr>
          <w:rFonts w:ascii="Verdana" w:eastAsia="Calibri" w:hAnsi="Verdana" w:cs="Times New Roman"/>
          <w:b/>
          <w:bCs/>
          <w:lang w:val="es-ES"/>
        </w:rPr>
      </w:pPr>
    </w:p>
    <w:p w14:paraId="12961C21" w14:textId="77777777" w:rsidR="00273BF5" w:rsidRPr="0060163E" w:rsidRDefault="00273BF5" w:rsidP="00273BF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23C1EBB1" w14:textId="77777777" w:rsidR="00273BF5" w:rsidRPr="0060163E" w:rsidRDefault="00273BF5" w:rsidP="00273BF5">
      <w:pPr>
        <w:spacing w:after="0" w:line="276" w:lineRule="auto"/>
        <w:rPr>
          <w:rFonts w:ascii="Verdana" w:eastAsia="Calibri" w:hAnsi="Verdana" w:cs="Times New Roman"/>
          <w:lang w:val="es-ES"/>
        </w:rPr>
      </w:pPr>
    </w:p>
    <w:p w14:paraId="617BA6A3" w14:textId="77777777" w:rsidR="00273BF5" w:rsidRPr="00913D97" w:rsidRDefault="00273BF5" w:rsidP="00273BF5">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C-1058 del 5 de septiembre de 2025, C-1388 del 30 de octubre de 2025, </w:t>
      </w:r>
      <w:r w:rsidRPr="00640340">
        <w:rPr>
          <w:rFonts w:ascii="Verdana" w:hAnsi="Verdana" w:cs="Arial"/>
          <w:shd w:val="clear" w:color="auto" w:fill="FFFFFF"/>
          <w:lang w:val="es-ES"/>
        </w:rPr>
        <w:t xml:space="preserve">entre otros. </w:t>
      </w:r>
      <w:r>
        <w:rPr>
          <w:rFonts w:ascii="Verdana" w:hAnsi="Verdana" w:cs="Arial"/>
          <w:shd w:val="clear" w:color="auto" w:fill="FFFFFF"/>
          <w:lang w:val="es-ES"/>
        </w:rPr>
        <w:t xml:space="preserve">En cuanto a los conflictos de interés sobre el ejercicio de profesiones de la ingeniería y la arquitectura, se destacan los Conceptos C-710 del 15 de julio de 2025, C-1058 del 5 de septiembre de 2025, y C-1388 del 30 de octubre de 2025. </w:t>
      </w:r>
      <w:r w:rsidRPr="0060163E">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w:t>
      </w:r>
      <w:r w:rsidRPr="0060163E">
        <w:rPr>
          <w:rFonts w:ascii="Verdana" w:eastAsia="Calibri" w:hAnsi="Verdana" w:cs="Times New Roman"/>
        </w:rPr>
        <w:lastRenderedPageBreak/>
        <w:t>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3"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5FB4A40A" w14:textId="77777777" w:rsidR="00273BF5" w:rsidRPr="0060163E" w:rsidRDefault="00273BF5" w:rsidP="00273BF5">
      <w:pPr>
        <w:spacing w:after="0" w:line="276" w:lineRule="auto"/>
        <w:jc w:val="both"/>
        <w:rPr>
          <w:rFonts w:ascii="Verdana" w:hAnsi="Verdana"/>
        </w:rPr>
      </w:pPr>
    </w:p>
    <w:p w14:paraId="3005F1E5" w14:textId="77777777" w:rsidR="00273BF5" w:rsidRPr="00DB2A80" w:rsidRDefault="00273BF5" w:rsidP="00273BF5">
      <w:pPr>
        <w:spacing w:after="0" w:line="256" w:lineRule="auto"/>
        <w:jc w:val="both"/>
        <w:rPr>
          <w:rFonts w:ascii="Verdana" w:eastAsia="Calibri" w:hAnsi="Verdana" w:cs="Times New Roman"/>
        </w:rPr>
      </w:pPr>
      <w:r w:rsidRPr="00DB2A80">
        <w:rPr>
          <w:rFonts w:ascii="Verdana" w:eastAsia="Calibri" w:hAnsi="Verdana" w:cs="Times New Roman"/>
        </w:rPr>
        <w:t xml:space="preserve">Te informamos que ya se encuentra disponible la </w:t>
      </w:r>
      <w:r w:rsidRPr="00DB2A8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B2A80">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B2A80">
        <w:rPr>
          <w:rFonts w:ascii="Verdana" w:eastAsia="Calibri" w:hAnsi="Verdana" w:cs="Times New Roman"/>
        </w:rPr>
        <w:t>Wayúu</w:t>
      </w:r>
      <w:proofErr w:type="spellEnd"/>
      <w:r w:rsidRPr="00DB2A80">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F1DA4FF" w14:textId="77777777" w:rsidR="00273BF5" w:rsidRPr="00DB2A80" w:rsidRDefault="00273BF5" w:rsidP="00273BF5">
      <w:pPr>
        <w:spacing w:after="0" w:line="256" w:lineRule="auto"/>
        <w:jc w:val="both"/>
        <w:rPr>
          <w:rFonts w:ascii="Verdana" w:eastAsia="Calibri" w:hAnsi="Verdana" w:cs="Times New Roman"/>
        </w:rPr>
      </w:pPr>
    </w:p>
    <w:p w14:paraId="5F4FBD6D" w14:textId="77777777" w:rsidR="00273BF5" w:rsidRPr="00DB2A80" w:rsidRDefault="00273BF5" w:rsidP="00273BF5">
      <w:pPr>
        <w:spacing w:after="0" w:line="256" w:lineRule="auto"/>
        <w:jc w:val="both"/>
        <w:rPr>
          <w:rFonts w:ascii="Verdana" w:eastAsia="Calibri" w:hAnsi="Verdana" w:cs="Times New Roman"/>
          <w:bCs/>
          <w:lang w:val="es-ES_tradnl"/>
        </w:rPr>
      </w:pPr>
      <w:r w:rsidRPr="00DB2A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122E2EE" w14:textId="77777777" w:rsidR="00273BF5" w:rsidRPr="00DB2A80" w:rsidRDefault="00273BF5" w:rsidP="00273BF5">
      <w:pPr>
        <w:spacing w:after="0" w:line="256" w:lineRule="auto"/>
        <w:jc w:val="both"/>
        <w:rPr>
          <w:rFonts w:ascii="Verdana" w:eastAsia="Calibri" w:hAnsi="Verdana" w:cs="Times New Roman"/>
        </w:rPr>
      </w:pPr>
    </w:p>
    <w:p w14:paraId="02688042" w14:textId="77777777" w:rsidR="00273BF5" w:rsidRPr="00DB2A80" w:rsidRDefault="00273BF5" w:rsidP="00273BF5">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56FED22D" w14:textId="1A6F2292" w:rsidR="00273BF5" w:rsidRDefault="00273BF5" w:rsidP="00A87F3B">
      <w:pPr>
        <w:spacing w:after="0" w:line="256" w:lineRule="auto"/>
        <w:rPr>
          <w:rFonts w:ascii="Century Gothic" w:hAnsi="Century Gothic"/>
          <w:noProof/>
          <w:lang w:val="en-US"/>
        </w:rPr>
      </w:pPr>
    </w:p>
    <w:p w14:paraId="08D1F0E0" w14:textId="139E011D" w:rsidR="00273BF5" w:rsidRDefault="00A87F3B" w:rsidP="00273BF5">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F9D699D" wp14:editId="0212022D">
            <wp:extent cx="3359650" cy="1304290"/>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01869" cy="1320680"/>
                    </a:xfrm>
                    <a:prstGeom prst="rect">
                      <a:avLst/>
                    </a:prstGeom>
                  </pic:spPr>
                </pic:pic>
              </a:graphicData>
            </a:graphic>
          </wp:inline>
        </w:drawing>
      </w:r>
    </w:p>
    <w:p w14:paraId="791283C2" w14:textId="77777777" w:rsidR="00273BF5" w:rsidRPr="00DB2A80" w:rsidRDefault="00273BF5" w:rsidP="00273BF5">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73BF5" w:rsidRPr="00DB2A80" w14:paraId="72F73EFE" w14:textId="77777777" w:rsidTr="00835DC0">
        <w:trPr>
          <w:trHeight w:val="409"/>
        </w:trPr>
        <w:tc>
          <w:tcPr>
            <w:tcW w:w="817" w:type="dxa"/>
            <w:tcBorders>
              <w:top w:val="nil"/>
              <w:left w:val="nil"/>
              <w:bottom w:val="nil"/>
              <w:right w:val="nil"/>
            </w:tcBorders>
            <w:vAlign w:val="center"/>
            <w:hideMark/>
          </w:tcPr>
          <w:p w14:paraId="5655A721"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EF98E5B"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36D70C14"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273BF5" w:rsidRPr="00DB2A80" w14:paraId="72E0673A" w14:textId="77777777" w:rsidTr="00835DC0">
        <w:trPr>
          <w:trHeight w:val="409"/>
        </w:trPr>
        <w:tc>
          <w:tcPr>
            <w:tcW w:w="817" w:type="dxa"/>
            <w:tcBorders>
              <w:top w:val="nil"/>
              <w:left w:val="nil"/>
              <w:bottom w:val="nil"/>
              <w:right w:val="nil"/>
            </w:tcBorders>
            <w:vAlign w:val="center"/>
            <w:hideMark/>
          </w:tcPr>
          <w:p w14:paraId="12388D6A"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E95C7CB"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731E77A2"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273BF5" w:rsidRPr="00DB2A80" w14:paraId="0357AA20" w14:textId="77777777" w:rsidTr="00835DC0">
        <w:trPr>
          <w:trHeight w:val="389"/>
        </w:trPr>
        <w:tc>
          <w:tcPr>
            <w:tcW w:w="817" w:type="dxa"/>
            <w:tcBorders>
              <w:top w:val="nil"/>
              <w:left w:val="nil"/>
              <w:bottom w:val="nil"/>
              <w:right w:val="nil"/>
            </w:tcBorders>
            <w:vAlign w:val="center"/>
            <w:hideMark/>
          </w:tcPr>
          <w:p w14:paraId="25E51322"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01BCAF4"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 xml:space="preserve">Carolina Quintero </w:t>
            </w:r>
            <w:proofErr w:type="spellStart"/>
            <w:r w:rsidRPr="00DB2A80">
              <w:rPr>
                <w:rFonts w:ascii="Verdana" w:eastAsia="Calibri" w:hAnsi="Verdana" w:cs="Times New Roman"/>
                <w:sz w:val="16"/>
                <w:szCs w:val="16"/>
              </w:rPr>
              <w:t>Gacharná</w:t>
            </w:r>
            <w:proofErr w:type="spellEnd"/>
          </w:p>
          <w:p w14:paraId="2545D70C" w14:textId="77777777" w:rsidR="00273BF5" w:rsidRPr="00DB2A80" w:rsidRDefault="00273BF5" w:rsidP="00835DC0">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55263B08" w14:textId="77777777" w:rsidR="00273BF5" w:rsidRPr="00492C00" w:rsidRDefault="00273BF5" w:rsidP="00273BF5">
      <w:pPr>
        <w:rPr>
          <w:rFonts w:ascii="Verdana" w:hAnsi="Verdana"/>
        </w:rPr>
      </w:pPr>
    </w:p>
    <w:bookmarkEnd w:id="0"/>
    <w:p w14:paraId="5D64733D" w14:textId="0836FC1C" w:rsidR="007A1830" w:rsidRPr="00273BF5" w:rsidRDefault="007A1830" w:rsidP="00273BF5"/>
    <w:sectPr w:rsidR="007A1830" w:rsidRPr="00273BF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A5F0B" w14:textId="77777777" w:rsidR="00104066" w:rsidRDefault="00104066" w:rsidP="004A1847">
      <w:pPr>
        <w:spacing w:after="0" w:line="240" w:lineRule="auto"/>
      </w:pPr>
      <w:r>
        <w:separator/>
      </w:r>
    </w:p>
  </w:endnote>
  <w:endnote w:type="continuationSeparator" w:id="0">
    <w:p w14:paraId="371D6EEF" w14:textId="77777777" w:rsidR="00104066" w:rsidRDefault="001040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02FA8A6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948E6" w:rsidRPr="00F948E6">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100C4" w14:textId="77777777" w:rsidR="00104066" w:rsidRDefault="00104066" w:rsidP="004A1847">
      <w:pPr>
        <w:spacing w:after="0" w:line="240" w:lineRule="auto"/>
      </w:pPr>
      <w:r>
        <w:separator/>
      </w:r>
    </w:p>
  </w:footnote>
  <w:footnote w:type="continuationSeparator" w:id="0">
    <w:p w14:paraId="1A538F2F" w14:textId="77777777" w:rsidR="00104066" w:rsidRDefault="00104066" w:rsidP="004A1847">
      <w:pPr>
        <w:spacing w:after="0" w:line="240" w:lineRule="auto"/>
      </w:pPr>
      <w:r>
        <w:continuationSeparator/>
      </w:r>
    </w:p>
  </w:footnote>
  <w:footnote w:id="1">
    <w:p w14:paraId="2A65B746" w14:textId="77777777" w:rsidR="00273BF5" w:rsidRPr="00DB7B3E" w:rsidRDefault="00273BF5" w:rsidP="00273BF5">
      <w:pPr>
        <w:pStyle w:val="Textonotapie"/>
        <w:ind w:firstLine="708"/>
        <w:jc w:val="both"/>
        <w:rPr>
          <w:rFonts w:ascii="Verdana" w:hAnsi="Verdana"/>
          <w:sz w:val="16"/>
          <w:szCs w:val="16"/>
        </w:rPr>
      </w:pPr>
      <w:r w:rsidRPr="00DB7B3E">
        <w:rPr>
          <w:rFonts w:ascii="Verdana" w:hAnsi="Verdana"/>
          <w:sz w:val="16"/>
          <w:szCs w:val="16"/>
          <w:vertAlign w:val="superscript"/>
        </w:rPr>
        <w:footnoteRef/>
      </w:r>
      <w:r w:rsidRPr="00DB7B3E">
        <w:rPr>
          <w:rFonts w:ascii="Verdana" w:hAnsi="Verdana"/>
          <w:sz w:val="16"/>
          <w:szCs w:val="16"/>
        </w:rPr>
        <w:t xml:space="preserve"> Corte Constitucional. Sentencia C-181 de 1997. M.P. Fabio Morón Díaz. Ver también las Sentencias C-540 de 2001, C-893 de 2003 y C-903 de 2008, entre otras.</w:t>
      </w:r>
    </w:p>
  </w:footnote>
  <w:footnote w:id="2">
    <w:p w14:paraId="1B34D3C5" w14:textId="77777777" w:rsidR="00273BF5" w:rsidRPr="00E34BBF" w:rsidRDefault="00273BF5" w:rsidP="00273BF5">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C-1016 de 2012. M.P. Jorge Iván Palacio.</w:t>
      </w:r>
    </w:p>
  </w:footnote>
  <w:footnote w:id="3">
    <w:p w14:paraId="54ACF027" w14:textId="77777777" w:rsidR="00273BF5" w:rsidRDefault="00273BF5" w:rsidP="00273BF5">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sz w:val="16"/>
          <w:szCs w:val="16"/>
        </w:rPr>
        <w:t>Consejo d</w:t>
      </w:r>
      <w:r w:rsidRPr="00E34BBF">
        <w:rPr>
          <w:rFonts w:ascii="Verdana" w:hAnsi="Verdana"/>
          <w:sz w:val="16"/>
          <w:szCs w:val="16"/>
        </w:rPr>
        <w:t xml:space="preserve">e Estado. Sección Tercera. Subsección A. Sentencia del 13 de noviembre de 2013. </w:t>
      </w:r>
      <w:r w:rsidRPr="00E34BBF">
        <w:rPr>
          <w:rFonts w:ascii="Verdana" w:hAnsi="Verdana"/>
          <w:sz w:val="16"/>
          <w:szCs w:val="16"/>
          <w:lang w:val="pt-BR"/>
        </w:rPr>
        <w:t xml:space="preserve">Rad. 25.646. C.P. Mauricio Fajardo Gómez. </w:t>
      </w:r>
    </w:p>
    <w:p w14:paraId="0985DBDE" w14:textId="77777777" w:rsidR="00273BF5" w:rsidRPr="00E34BBF" w:rsidRDefault="00273BF5" w:rsidP="00273BF5">
      <w:pPr>
        <w:pStyle w:val="Textonotapie"/>
        <w:ind w:firstLine="708"/>
        <w:jc w:val="both"/>
        <w:rPr>
          <w:rFonts w:ascii="Verdana" w:hAnsi="Verdana"/>
          <w:sz w:val="16"/>
          <w:szCs w:val="16"/>
          <w:lang w:val="pt-BR"/>
        </w:rPr>
      </w:pPr>
      <w:r w:rsidRPr="00E34BBF">
        <w:rPr>
          <w:rFonts w:ascii="Verdana" w:hAnsi="Verdana"/>
          <w:sz w:val="16"/>
          <w:szCs w:val="16"/>
          <w:lang w:val="pt-BR"/>
        </w:rPr>
        <w:t xml:space="preserve"> </w:t>
      </w:r>
    </w:p>
  </w:footnote>
  <w:footnote w:id="4">
    <w:p w14:paraId="6F508300" w14:textId="77777777" w:rsidR="00273BF5" w:rsidRPr="00E34BBF" w:rsidRDefault="00273BF5" w:rsidP="00273BF5">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C-415 de 1994. M.P. Eduardo Cifuentes Muñoz.</w:t>
      </w:r>
    </w:p>
  </w:footnote>
  <w:footnote w:id="5">
    <w:p w14:paraId="7EBE8F68" w14:textId="77777777" w:rsidR="00273BF5" w:rsidRDefault="00273BF5" w:rsidP="00273BF5">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Ibídem.</w:t>
      </w:r>
    </w:p>
    <w:p w14:paraId="6F908516" w14:textId="77777777" w:rsidR="00273BF5" w:rsidRPr="00E34BBF" w:rsidRDefault="00273BF5" w:rsidP="00273BF5">
      <w:pPr>
        <w:pStyle w:val="Textonotapie"/>
        <w:ind w:firstLine="708"/>
        <w:jc w:val="both"/>
        <w:rPr>
          <w:rFonts w:ascii="Verdana" w:hAnsi="Verdana"/>
          <w:sz w:val="16"/>
          <w:szCs w:val="16"/>
          <w:lang w:val="pt-BR"/>
        </w:rPr>
      </w:pPr>
    </w:p>
  </w:footnote>
  <w:footnote w:id="6">
    <w:p w14:paraId="164E8405" w14:textId="77777777" w:rsidR="00273BF5" w:rsidRDefault="00273BF5" w:rsidP="00273BF5">
      <w:pPr>
        <w:pStyle w:val="Textonotapie"/>
        <w:ind w:firstLine="708"/>
        <w:jc w:val="both"/>
        <w:rPr>
          <w:rFonts w:ascii="Verdana" w:hAnsi="Verdana"/>
          <w:sz w:val="16"/>
          <w:szCs w:val="16"/>
          <w:lang w:val="es-CO"/>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w:t>
      </w:r>
      <w:r w:rsidRPr="00E34BBF">
        <w:rPr>
          <w:rFonts w:ascii="Verdana" w:hAnsi="Verdana"/>
          <w:sz w:val="16"/>
          <w:szCs w:val="16"/>
        </w:rPr>
        <w:t xml:space="preserve">Sentencia C-780 de 2001. </w:t>
      </w:r>
      <w:r w:rsidRPr="00E34BBF">
        <w:rPr>
          <w:rFonts w:ascii="Verdana" w:hAnsi="Verdana"/>
          <w:sz w:val="16"/>
          <w:szCs w:val="16"/>
          <w:lang w:val="es-CO"/>
        </w:rPr>
        <w:t xml:space="preserve">M.P. Jaime Córdoba Triviño. </w:t>
      </w:r>
    </w:p>
    <w:p w14:paraId="5D2B845D" w14:textId="77777777" w:rsidR="00273BF5" w:rsidRPr="00E34BBF" w:rsidRDefault="00273BF5" w:rsidP="00273BF5">
      <w:pPr>
        <w:pStyle w:val="Textonotapie"/>
        <w:ind w:firstLine="708"/>
        <w:jc w:val="both"/>
        <w:rPr>
          <w:rFonts w:ascii="Verdana" w:hAnsi="Verdana"/>
          <w:sz w:val="16"/>
          <w:szCs w:val="16"/>
          <w:lang w:val="es-CO"/>
        </w:rPr>
      </w:pPr>
    </w:p>
  </w:footnote>
  <w:footnote w:id="7">
    <w:p w14:paraId="6981C7BD" w14:textId="77777777" w:rsidR="00273BF5" w:rsidRPr="00E34BBF" w:rsidRDefault="00273BF5" w:rsidP="00273BF5">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eastAsia="Calibri" w:hAnsi="Verdana" w:cs="Arial"/>
          <w:sz w:val="16"/>
          <w:szCs w:val="16"/>
          <w:lang w:val="es-ES" w:eastAsia="en-US"/>
        </w:rPr>
        <w:t>Ley 80 de 1993: “</w:t>
      </w:r>
      <w:r w:rsidRPr="00E34BBF">
        <w:rPr>
          <w:rFonts w:ascii="Verdana" w:eastAsia="Calibri" w:hAnsi="Verdana" w:cs="Arial"/>
          <w:sz w:val="16"/>
          <w:szCs w:val="16"/>
          <w:lang w:val="es-ES" w:eastAsia="en-US"/>
        </w:rPr>
        <w:t>Artículo 8: 1o. Son inhábiles para participar en licitaciones o concursos y para celebrar contratos con las entidades estatales: </w:t>
      </w:r>
    </w:p>
    <w:p w14:paraId="32D88357"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Las personas que se hallen inhabilitadas para contratar por la Constitución y las leyes. </w:t>
      </w:r>
    </w:p>
    <w:p w14:paraId="373366BD"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Quienes participaron en las licitaciones o concursos o celebraron los contratos de que trata el literal anterior estando inhabilitados. </w:t>
      </w:r>
    </w:p>
    <w:p w14:paraId="49F93B19"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Quienes dieron lugar a la declaratoria de caducidad. </w:t>
      </w:r>
    </w:p>
    <w:p w14:paraId="795D1122"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Quienes en sentencia judicial hayan sido condenados a la pena accesoria de interdicción de derechos y funciones públicas y quienes hayan sido sancionados disciplinariamente con destitución. </w:t>
      </w:r>
    </w:p>
    <w:p w14:paraId="02674A81"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Quienes sin justa causa se abstengan de suscribir el contrato estatal adjudicado. </w:t>
      </w:r>
    </w:p>
    <w:p w14:paraId="4FA1E1CC"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f) Los servidores públicos. </w:t>
      </w:r>
    </w:p>
    <w:p w14:paraId="10602C07"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5485B5A6" w14:textId="77777777" w:rsidR="00273BF5" w:rsidRPr="00E34BBF" w:rsidRDefault="00273BF5" w:rsidP="00273BF5">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2896887C"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i) Los socios de sociedades de personas a las cuales se haya declarado la caducidad, así como las sociedades de personas de las que aquellos formen parte con posterioridad a dicha declaratoria. </w:t>
      </w:r>
    </w:p>
    <w:p w14:paraId="31FEB518"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13762E77"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37E14F6B"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34BBF">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34BBF">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34BBF">
        <w:rPr>
          <w:rFonts w:ascii="Verdana" w:eastAsia="Calibri" w:hAnsi="Verdana" w:cs="Arial"/>
          <w:sz w:val="16"/>
          <w:szCs w:val="16"/>
          <w:lang w:val="es-ES" w:eastAsia="en-US"/>
        </w:rPr>
        <w:softHyphen/>
        <w:t>nería jurídica en los términos de ley, o cuyos representantes legales, ad</w:t>
      </w:r>
      <w:r w:rsidRPr="00E34BBF">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34BBF">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59B07A96"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w:t>
      </w:r>
    </w:p>
    <w:p w14:paraId="625BA79A" w14:textId="77777777" w:rsidR="00273BF5" w:rsidRPr="00E34BBF" w:rsidRDefault="00273BF5" w:rsidP="00273BF5">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2o. Tampoco podrán participar en licitaciones o concursos ni celebrar contratos estatales con la entidad respectiva: </w:t>
      </w:r>
    </w:p>
    <w:p w14:paraId="7139BA59"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4EAEEEC1"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280A36DC"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2AE75A1C"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0878A2E4" w14:textId="77777777" w:rsidR="00273BF5" w:rsidRPr="00E34BBF" w:rsidRDefault="00273BF5" w:rsidP="00273BF5">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170DB995" w14:textId="77777777" w:rsidR="00273BF5" w:rsidRDefault="00273BF5" w:rsidP="00273BF5">
      <w:pPr>
        <w:pStyle w:val="NormalWeb"/>
        <w:spacing w:before="0" w:beforeAutospacing="0" w:after="0" w:afterAutospacing="0"/>
        <w:ind w:firstLine="708"/>
        <w:jc w:val="both"/>
        <w:rPr>
          <w:rFonts w:ascii="Verdana" w:eastAsia="Calibri" w:hAnsi="Verdana" w:cs="Arial"/>
          <w:sz w:val="16"/>
          <w:szCs w:val="16"/>
          <w:lang w:val="pt-BR" w:eastAsia="en-US"/>
        </w:rPr>
      </w:pPr>
      <w:r w:rsidRPr="00E34BBF">
        <w:rPr>
          <w:rFonts w:ascii="Verdana" w:eastAsia="Calibri" w:hAnsi="Verdana" w:cs="Arial"/>
          <w:sz w:val="16"/>
          <w:szCs w:val="16"/>
          <w:lang w:val="es-ES" w:eastAsia="en-US"/>
        </w:rPr>
        <w:t>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w:t>
      </w:r>
      <w:r>
        <w:rPr>
          <w:rFonts w:ascii="Verdana" w:eastAsia="Calibri" w:hAnsi="Verdana" w:cs="Arial"/>
          <w:sz w:val="16"/>
          <w:szCs w:val="16"/>
          <w:lang w:val="es-ES" w:eastAsia="en-US"/>
        </w:rPr>
        <w:t>o civil del ex empleado público”</w:t>
      </w:r>
      <w:r w:rsidRPr="00E34BBF">
        <w:rPr>
          <w:rFonts w:ascii="Verdana" w:eastAsia="Calibri" w:hAnsi="Verdana" w:cs="Arial"/>
          <w:sz w:val="16"/>
          <w:szCs w:val="16"/>
          <w:lang w:val="es-ES" w:eastAsia="en-US"/>
        </w:rPr>
        <w:t xml:space="preserve">. </w:t>
      </w:r>
      <w:r w:rsidRPr="00E34BBF">
        <w:rPr>
          <w:rFonts w:ascii="Verdana" w:eastAsia="Calibri" w:hAnsi="Verdana" w:cs="Arial"/>
          <w:sz w:val="16"/>
          <w:szCs w:val="16"/>
          <w:lang w:val="pt-BR" w:eastAsia="en-US"/>
        </w:rPr>
        <w:t xml:space="preserve">(…). </w:t>
      </w:r>
    </w:p>
    <w:p w14:paraId="049537D0" w14:textId="77777777" w:rsidR="00273BF5" w:rsidRPr="0045272C" w:rsidRDefault="00273BF5" w:rsidP="00273BF5">
      <w:pPr>
        <w:pStyle w:val="NormalWeb"/>
        <w:spacing w:before="0" w:beforeAutospacing="0" w:after="0" w:afterAutospacing="0"/>
        <w:ind w:firstLine="708"/>
        <w:jc w:val="both"/>
        <w:rPr>
          <w:rFonts w:ascii="Verdana" w:eastAsia="Calibri" w:hAnsi="Verdana" w:cs="Arial"/>
          <w:sz w:val="16"/>
          <w:szCs w:val="16"/>
          <w:lang w:val="pt-BR" w:eastAsia="en-US"/>
        </w:rPr>
      </w:pPr>
    </w:p>
  </w:footnote>
  <w:footnote w:id="8">
    <w:p w14:paraId="6B8AE041" w14:textId="77777777" w:rsidR="00273BF5" w:rsidRPr="00E34BBF" w:rsidRDefault="00273BF5" w:rsidP="00273BF5">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Ibídem. p. 69.</w:t>
      </w:r>
    </w:p>
  </w:footnote>
  <w:footnote w:id="9">
    <w:p w14:paraId="49CA1892" w14:textId="77777777" w:rsidR="00273BF5" w:rsidRDefault="00273BF5" w:rsidP="00273BF5">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 xml:space="preserve">Corte Constitucional. Sentencia T-1039 de 2006. M.P. Humberto Sierra Porto. </w:t>
      </w:r>
      <w:r w:rsidRPr="00E34BBF">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691D75B9" w14:textId="77777777" w:rsidR="00273BF5" w:rsidRPr="00E34BBF" w:rsidRDefault="00273BF5" w:rsidP="00273BF5">
      <w:pPr>
        <w:pStyle w:val="Textonotapie"/>
        <w:ind w:firstLine="708"/>
        <w:jc w:val="both"/>
        <w:rPr>
          <w:rFonts w:ascii="Verdana" w:hAnsi="Verdana" w:cs="Arial"/>
          <w:sz w:val="16"/>
          <w:szCs w:val="16"/>
          <w:lang w:val="es-ES"/>
        </w:rPr>
      </w:pPr>
    </w:p>
  </w:footnote>
  <w:footnote w:id="10">
    <w:p w14:paraId="2A3A2E7F" w14:textId="77777777" w:rsidR="00273BF5" w:rsidRDefault="00273BF5" w:rsidP="00273BF5">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lang w:val="es-ES"/>
        </w:rPr>
        <w:t>Consejo d</w:t>
      </w:r>
      <w:r w:rsidRPr="00E34BBF">
        <w:rPr>
          <w:rFonts w:ascii="Verdana" w:hAnsi="Verdana" w:cs="Arial"/>
          <w:sz w:val="16"/>
          <w:szCs w:val="16"/>
          <w:lang w:val="es-ES"/>
        </w:rPr>
        <w:t>e Estado. Sala de Consulta y Servicio Civil. Concepto del 30 de abril de 2015. Exp. 2251. C.P. Álvaro Namén Vargas.</w:t>
      </w:r>
    </w:p>
    <w:p w14:paraId="15169462" w14:textId="77777777" w:rsidR="00273BF5" w:rsidRPr="0045272C" w:rsidRDefault="00273BF5" w:rsidP="00273BF5">
      <w:pPr>
        <w:pStyle w:val="Textonotapie"/>
        <w:ind w:firstLine="708"/>
        <w:jc w:val="both"/>
        <w:rPr>
          <w:rFonts w:ascii="Verdana" w:hAnsi="Verdana" w:cs="Arial"/>
          <w:sz w:val="16"/>
          <w:szCs w:val="16"/>
          <w:lang w:val="es-ES"/>
        </w:rPr>
      </w:pPr>
    </w:p>
  </w:footnote>
  <w:footnote w:id="11">
    <w:p w14:paraId="1E4729B4" w14:textId="77777777" w:rsidR="00273BF5" w:rsidRDefault="00273BF5" w:rsidP="00273BF5">
      <w:pPr>
        <w:pStyle w:val="Textonotapie"/>
        <w:ind w:firstLine="708"/>
        <w:jc w:val="both"/>
        <w:rPr>
          <w:rFonts w:ascii="Verdana" w:hAnsi="Verdana" w:cs="Arial"/>
          <w:sz w:val="16"/>
          <w:szCs w:val="16"/>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A. Sentencia del 24 de junio de 2015. Exp. 40.635. C.P. Hernán Andrade Rincón (E).</w:t>
      </w:r>
    </w:p>
    <w:p w14:paraId="2B17976A" w14:textId="77777777" w:rsidR="00273BF5" w:rsidRPr="0045272C" w:rsidRDefault="00273BF5" w:rsidP="00273BF5">
      <w:pPr>
        <w:pStyle w:val="Textonotapie"/>
        <w:ind w:firstLine="708"/>
        <w:jc w:val="both"/>
        <w:rPr>
          <w:rFonts w:ascii="Verdana" w:hAnsi="Verdana" w:cs="Arial"/>
          <w:sz w:val="16"/>
          <w:szCs w:val="16"/>
        </w:rPr>
      </w:pPr>
    </w:p>
  </w:footnote>
  <w:footnote w:id="12">
    <w:p w14:paraId="431879C0" w14:textId="77777777" w:rsidR="00273BF5" w:rsidRPr="00E34BBF" w:rsidRDefault="00273BF5" w:rsidP="00273BF5">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C. Sentencia del 22 de mayo de 2013. Rad. 24.057. C.P. Olga Mélida Valle De De La Hoz.</w:t>
      </w:r>
    </w:p>
  </w:footnote>
  <w:footnote w:id="13">
    <w:p w14:paraId="1D039617" w14:textId="77777777" w:rsidR="00273BF5" w:rsidRDefault="00273BF5" w:rsidP="00273BF5">
      <w:pPr>
        <w:pStyle w:val="Textonotapie"/>
        <w:ind w:firstLine="708"/>
        <w:jc w:val="both"/>
        <w:rPr>
          <w:rFonts w:ascii="Verdana" w:hAnsi="Verdana" w:cs="Arial"/>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Corte Constitucional. Sentencia C-415 de 1994. M.P. Eduardo Cifuentes Muñoz.</w:t>
      </w:r>
    </w:p>
    <w:p w14:paraId="2DA1B3F1" w14:textId="77777777" w:rsidR="00273BF5" w:rsidRPr="0045272C" w:rsidRDefault="00273BF5" w:rsidP="00273BF5">
      <w:pPr>
        <w:pStyle w:val="Textonotapie"/>
        <w:ind w:firstLine="708"/>
        <w:jc w:val="both"/>
        <w:rPr>
          <w:rFonts w:ascii="Verdana" w:hAnsi="Verdana" w:cs="Arial"/>
          <w:sz w:val="16"/>
          <w:szCs w:val="16"/>
          <w:lang w:val="pt-BR"/>
        </w:rPr>
      </w:pPr>
    </w:p>
  </w:footnote>
  <w:footnote w:id="14">
    <w:p w14:paraId="2F80F83F" w14:textId="77777777" w:rsidR="00273BF5" w:rsidRDefault="00273BF5" w:rsidP="00273BF5">
      <w:pPr>
        <w:pStyle w:val="Textonotapie"/>
        <w:ind w:firstLine="708"/>
        <w:jc w:val="both"/>
        <w:rPr>
          <w:rFonts w:ascii="Verdana" w:hAnsi="Verdana" w:cs="Arial"/>
          <w:color w:val="000000"/>
          <w:sz w:val="16"/>
          <w:szCs w:val="16"/>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Pr>
          <w:rFonts w:ascii="Verdana" w:hAnsi="Verdana" w:cs="Arial"/>
          <w:color w:val="000000"/>
          <w:sz w:val="16"/>
          <w:szCs w:val="16"/>
          <w:lang w:val="pt-BR"/>
        </w:rPr>
        <w:t>Consejo d</w:t>
      </w:r>
      <w:r w:rsidRPr="00E34BBF">
        <w:rPr>
          <w:rFonts w:ascii="Verdana" w:hAnsi="Verdana" w:cs="Arial"/>
          <w:color w:val="000000"/>
          <w:sz w:val="16"/>
          <w:szCs w:val="16"/>
          <w:lang w:val="pt-BR"/>
        </w:rPr>
        <w:t xml:space="preserve">e Estado. Sala de lo contencioso administrativo. Sentencia del 12 de diciembre de 2014. Exp. 26496. C.P. Ramiro Pazos Guerrero. </w:t>
      </w:r>
      <w:r w:rsidRPr="00E34BBF">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p w14:paraId="01C05E9C" w14:textId="77777777" w:rsidR="00273BF5" w:rsidRPr="0045272C" w:rsidRDefault="00273BF5" w:rsidP="00273BF5">
      <w:pPr>
        <w:pStyle w:val="Textonotapie"/>
        <w:ind w:firstLine="708"/>
        <w:jc w:val="both"/>
        <w:rPr>
          <w:rFonts w:ascii="Verdana" w:hAnsi="Verdana" w:cs="Arial"/>
          <w:color w:val="000000"/>
          <w:sz w:val="16"/>
          <w:szCs w:val="16"/>
        </w:rPr>
      </w:pPr>
    </w:p>
  </w:footnote>
  <w:footnote w:id="15">
    <w:p w14:paraId="4BFA325B" w14:textId="77777777" w:rsidR="00273BF5" w:rsidRPr="00E34BBF" w:rsidRDefault="00273BF5" w:rsidP="00273BF5">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color w:val="000000"/>
          <w:sz w:val="16"/>
          <w:szCs w:val="16"/>
        </w:rPr>
        <w:t>Consejo d</w:t>
      </w:r>
      <w:r w:rsidRPr="00E34BBF">
        <w:rPr>
          <w:rFonts w:ascii="Verdana" w:hAnsi="Verdana" w:cs="Arial"/>
          <w:color w:val="000000"/>
          <w:sz w:val="16"/>
          <w:szCs w:val="16"/>
        </w:rPr>
        <w:t>e Estado. Sala de Consulta y Servicio Civil. Concepto del 29 de abril de 1998. Rad. 1097. C.P. Augusto Trejos Jaramillo.</w:t>
      </w:r>
    </w:p>
  </w:footnote>
  <w:footnote w:id="16">
    <w:p w14:paraId="586AA2ED"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DF95516"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17">
    <w:p w14:paraId="3141F18E"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9DC8FC7"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D84B22A"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El Gobierno nacional reglamentará el mecanismo para realizar la mensualización de que trata el presente artículo.</w:t>
      </w:r>
    </w:p>
    <w:p w14:paraId="56B3CC2C"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footnote>
  <w:footnote w:id="18">
    <w:p w14:paraId="4AACA8CC" w14:textId="77777777" w:rsidR="00273BF5" w:rsidRDefault="00273BF5" w:rsidP="00273BF5">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p w14:paraId="5CD47AC4" w14:textId="77777777" w:rsidR="00273BF5" w:rsidRPr="00FE6A9E" w:rsidRDefault="00273BF5" w:rsidP="00273BF5">
      <w:pPr>
        <w:pStyle w:val="Textonotapie"/>
        <w:ind w:firstLine="708"/>
        <w:rPr>
          <w:rFonts w:ascii="Verdana" w:hAnsi="Verdana"/>
          <w:sz w:val="16"/>
          <w:szCs w:val="16"/>
          <w:lang w:val="es-ES"/>
        </w:rPr>
      </w:pPr>
    </w:p>
  </w:footnote>
  <w:footnote w:id="19">
    <w:p w14:paraId="5E76972E" w14:textId="77777777" w:rsidR="00273BF5" w:rsidRDefault="00273BF5" w:rsidP="00273BF5">
      <w:pPr>
        <w:spacing w:after="0"/>
        <w:ind w:firstLine="708"/>
        <w:jc w:val="both"/>
        <w:rPr>
          <w:rFonts w:ascii="Verdana" w:eastAsia="Arial Nova" w:hAnsi="Verdana" w:cs="Arial"/>
          <w:sz w:val="16"/>
          <w:szCs w:val="16"/>
          <w:lang w:val="es"/>
        </w:rPr>
      </w:pPr>
      <w:r w:rsidRPr="00FE6A9E">
        <w:rPr>
          <w:rStyle w:val="Refdenotaalpie"/>
          <w:rFonts w:ascii="Verdana" w:hAnsi="Verdana" w:cs="Arial"/>
          <w:sz w:val="16"/>
          <w:szCs w:val="16"/>
        </w:rPr>
        <w:footnoteRef/>
      </w:r>
      <w:r w:rsidRPr="00FE6A9E">
        <w:rPr>
          <w:rFonts w:ascii="Verdana" w:hAnsi="Verdana" w:cs="Arial"/>
          <w:sz w:val="16"/>
          <w:szCs w:val="16"/>
        </w:rPr>
        <w:t xml:space="preserve"> </w:t>
      </w:r>
      <w:r w:rsidRPr="00FE6A9E">
        <w:rPr>
          <w:rFonts w:ascii="Verdana" w:eastAsia="Arial Nova" w:hAnsi="Verdana" w:cs="Arial"/>
          <w:sz w:val="16"/>
          <w:szCs w:val="16"/>
          <w:lang w:val="es"/>
        </w:rPr>
        <w:t xml:space="preserve">Corte Constitucional. Sentencia C-614 de 2009. M.P. Jorge Ignacio Pretelt Chaljub. </w:t>
      </w:r>
    </w:p>
    <w:p w14:paraId="0692A1B9" w14:textId="77777777" w:rsidR="00273BF5" w:rsidRPr="00810621" w:rsidRDefault="00273BF5" w:rsidP="00273BF5">
      <w:pPr>
        <w:spacing w:after="0"/>
        <w:ind w:firstLine="708"/>
        <w:jc w:val="both"/>
        <w:rPr>
          <w:rFonts w:ascii="Verdana" w:eastAsia="Arial Nova" w:hAnsi="Verdana" w:cs="Arial"/>
          <w:sz w:val="16"/>
          <w:szCs w:val="16"/>
          <w:lang w:val="es"/>
        </w:rPr>
      </w:pPr>
    </w:p>
  </w:footnote>
  <w:footnote w:id="20">
    <w:p w14:paraId="4252D9CC" w14:textId="77777777" w:rsidR="00273BF5" w:rsidRPr="0045272C" w:rsidRDefault="00273BF5" w:rsidP="00273BF5">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footnote>
  <w:footnote w:id="21">
    <w:p w14:paraId="7F7A4BA9" w14:textId="77777777" w:rsidR="00273BF5" w:rsidRPr="0045272C"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footnote>
  <w:footnote w:id="22">
    <w:p w14:paraId="11B58975"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C67191A"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1A3B0537" w14:textId="77777777" w:rsidR="00273BF5"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6543D1BD" w14:textId="77777777" w:rsidR="00273BF5" w:rsidRPr="0045272C" w:rsidRDefault="00273BF5" w:rsidP="00273BF5">
      <w:pPr>
        <w:pStyle w:val="Textonotapie"/>
        <w:ind w:firstLine="709"/>
        <w:jc w:val="both"/>
        <w:rPr>
          <w:rFonts w:ascii="Verdana" w:hAnsi="Verdana" w:cs="Arial"/>
          <w:color w:val="000000"/>
          <w:sz w:val="16"/>
          <w:szCs w:val="16"/>
          <w:lang w:val="es-ES"/>
        </w:rPr>
      </w:pPr>
    </w:p>
  </w:footnote>
  <w:footnote w:id="23">
    <w:p w14:paraId="75D239CA"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1CFFFD6F"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1. La causal que invoca para contratar directamente.</w:t>
      </w:r>
    </w:p>
    <w:p w14:paraId="23AA5954"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El objeto del contrato.</w:t>
      </w:r>
    </w:p>
    <w:p w14:paraId="5931A25D"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3. El presupuesto para la contratación y las condiciones que exigirá al contratista.</w:t>
      </w:r>
    </w:p>
    <w:p w14:paraId="602EA220"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4. El lugar en el cual los interesados pueden consultar los estudios y documentos previos.</w:t>
      </w:r>
    </w:p>
    <w:p w14:paraId="780E8561" w14:textId="77777777" w:rsidR="00273BF5" w:rsidRPr="0045272C"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24">
    <w:p w14:paraId="601FDFAF"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Esta norma expresa: “</w:t>
      </w:r>
      <w:r w:rsidRPr="00FE6A9E">
        <w:rPr>
          <w:rFonts w:ascii="Verdana" w:hAnsi="Verdana" w:cs="Arial"/>
          <w:color w:val="000000"/>
          <w:sz w:val="16"/>
          <w:szCs w:val="16"/>
        </w:rPr>
        <w:t>P</w:t>
      </w:r>
      <w:r w:rsidRPr="00FE6A9E">
        <w:rPr>
          <w:rFonts w:ascii="Verdana" w:hAnsi="Verdana" w:cs="Arial"/>
          <w:color w:val="000000"/>
          <w:sz w:val="16"/>
          <w:szCs w:val="16"/>
          <w:lang w:val="es-ES"/>
        </w:rPr>
        <w:t>ara el cumplimiento de los fines de la contratación, las entidades estatales al celebrar un contrato:</w:t>
      </w:r>
    </w:p>
    <w:p w14:paraId="41D529BF"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29AF50D1"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5BC1FE4" w14:textId="77777777" w:rsidR="00273BF5" w:rsidRPr="00FE6A9E"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Las entidades estatales podrán pactar estas cláusulas en los contratos de suministro y de prestación de servicios.</w:t>
      </w:r>
    </w:p>
    <w:p w14:paraId="5D204FFC" w14:textId="77777777" w:rsidR="00273BF5" w:rsidRDefault="00273BF5" w:rsidP="00273BF5">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3BA94E70" w14:textId="77777777" w:rsidR="00273BF5" w:rsidRPr="0045272C" w:rsidRDefault="00273BF5" w:rsidP="00273BF5">
      <w:pPr>
        <w:pStyle w:val="Textonotapie"/>
        <w:ind w:firstLine="709"/>
        <w:jc w:val="both"/>
        <w:rPr>
          <w:rFonts w:ascii="Verdana" w:hAnsi="Verdana" w:cs="Arial"/>
          <w:color w:val="000000"/>
          <w:sz w:val="16"/>
          <w:szCs w:val="16"/>
          <w:lang w:val="es-ES"/>
        </w:rPr>
      </w:pPr>
    </w:p>
  </w:footnote>
  <w:footnote w:id="25">
    <w:p w14:paraId="6932FAFF" w14:textId="77777777" w:rsidR="00273BF5" w:rsidRDefault="00273BF5" w:rsidP="00273BF5">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63D40072" w14:textId="77777777" w:rsidR="00273BF5" w:rsidRPr="0045272C" w:rsidRDefault="00273BF5" w:rsidP="00273BF5">
      <w:pPr>
        <w:pStyle w:val="Textonotapie"/>
        <w:ind w:firstLine="708"/>
        <w:rPr>
          <w:rFonts w:ascii="Verdana" w:hAnsi="Verdana" w:cs="Arial"/>
          <w:color w:val="000000"/>
          <w:sz w:val="16"/>
          <w:szCs w:val="16"/>
          <w:lang w:val="es-ES"/>
        </w:rPr>
      </w:pPr>
    </w:p>
  </w:footnote>
  <w:footnote w:id="26">
    <w:p w14:paraId="57220043" w14:textId="77777777" w:rsidR="00273BF5" w:rsidRPr="00FE6A9E" w:rsidRDefault="00273BF5" w:rsidP="00273BF5">
      <w:pPr>
        <w:pStyle w:val="Textonotapie"/>
        <w:ind w:firstLine="709"/>
        <w:jc w:val="both"/>
        <w:rPr>
          <w:rFonts w:ascii="Verdana" w:hAnsi="Verdana" w:cs="Arial"/>
          <w:color w:val="000000"/>
          <w:sz w:val="16"/>
          <w:szCs w:val="16"/>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E70E4ED" w14:textId="77777777" w:rsidR="00273BF5" w:rsidRPr="00FE6A9E" w:rsidRDefault="00273BF5" w:rsidP="00273BF5">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C0B4917" w14:textId="77777777" w:rsidR="00273BF5" w:rsidRDefault="00273BF5" w:rsidP="00273BF5">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w:t>
      </w:r>
    </w:p>
    <w:p w14:paraId="37FFCDE6" w14:textId="77777777" w:rsidR="00273BF5" w:rsidRPr="0045272C" w:rsidRDefault="00273BF5" w:rsidP="00273BF5">
      <w:pPr>
        <w:pStyle w:val="Textonotapie"/>
        <w:ind w:firstLine="709"/>
        <w:jc w:val="both"/>
        <w:rPr>
          <w:rFonts w:ascii="Verdana" w:hAnsi="Verdana" w:cs="Arial"/>
          <w:color w:val="000000"/>
          <w:sz w:val="16"/>
          <w:szCs w:val="16"/>
        </w:rPr>
      </w:pPr>
    </w:p>
  </w:footnote>
  <w:footnote w:id="27">
    <w:p w14:paraId="6B8AC286" w14:textId="77777777" w:rsidR="00273BF5" w:rsidRPr="0045272C" w:rsidRDefault="00273BF5" w:rsidP="00273BF5">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1"/>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4"/>
  </w:num>
  <w:num w:numId="7">
    <w:abstractNumId w:val="6"/>
  </w:num>
  <w:num w:numId="8">
    <w:abstractNumId w:val="13"/>
  </w:num>
  <w:num w:numId="9">
    <w:abstractNumId w:val="8"/>
  </w:num>
  <w:num w:numId="10">
    <w:abstractNumId w:val="12"/>
  </w:num>
  <w:num w:numId="11">
    <w:abstractNumId w:val="9"/>
  </w:num>
  <w:num w:numId="12">
    <w:abstractNumId w:val="0"/>
  </w:num>
  <w:num w:numId="13">
    <w:abstractNumId w:val="3"/>
  </w:num>
  <w:num w:numId="14">
    <w:abstractNumId w:val="15"/>
  </w:num>
  <w:num w:numId="15">
    <w:abstractNumId w:val="11"/>
  </w:num>
  <w:num w:numId="16">
    <w:abstractNumId w:val="4"/>
  </w:num>
  <w:num w:numId="17">
    <w:abstractNumId w:val="10"/>
  </w:num>
  <w:num w:numId="18">
    <w:abstractNumId w:val="16"/>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711CF"/>
    <w:rsid w:val="00082362"/>
    <w:rsid w:val="000A683E"/>
    <w:rsid w:val="000B19B9"/>
    <w:rsid w:val="000D0334"/>
    <w:rsid w:val="000D5DA7"/>
    <w:rsid w:val="000F6486"/>
    <w:rsid w:val="00104066"/>
    <w:rsid w:val="00105C57"/>
    <w:rsid w:val="00116940"/>
    <w:rsid w:val="00125105"/>
    <w:rsid w:val="00127233"/>
    <w:rsid w:val="001328F3"/>
    <w:rsid w:val="0015699B"/>
    <w:rsid w:val="001A33BF"/>
    <w:rsid w:val="001E2E05"/>
    <w:rsid w:val="001E4177"/>
    <w:rsid w:val="001F0B24"/>
    <w:rsid w:val="001F7DC6"/>
    <w:rsid w:val="0022400B"/>
    <w:rsid w:val="002421BB"/>
    <w:rsid w:val="0025796E"/>
    <w:rsid w:val="002707A2"/>
    <w:rsid w:val="00273BF5"/>
    <w:rsid w:val="0028778F"/>
    <w:rsid w:val="002951A0"/>
    <w:rsid w:val="002962BC"/>
    <w:rsid w:val="002A093D"/>
    <w:rsid w:val="002A0DD0"/>
    <w:rsid w:val="002A49AC"/>
    <w:rsid w:val="002A64FD"/>
    <w:rsid w:val="002B730F"/>
    <w:rsid w:val="002C7A84"/>
    <w:rsid w:val="002E2BF8"/>
    <w:rsid w:val="002E4FD9"/>
    <w:rsid w:val="0030657A"/>
    <w:rsid w:val="00316053"/>
    <w:rsid w:val="00322A85"/>
    <w:rsid w:val="00324168"/>
    <w:rsid w:val="00330834"/>
    <w:rsid w:val="003448F4"/>
    <w:rsid w:val="00374F5E"/>
    <w:rsid w:val="00377E3E"/>
    <w:rsid w:val="00381BAB"/>
    <w:rsid w:val="003A779E"/>
    <w:rsid w:val="003D0F4D"/>
    <w:rsid w:val="003D5B0D"/>
    <w:rsid w:val="003E0499"/>
    <w:rsid w:val="003E4F80"/>
    <w:rsid w:val="003E6439"/>
    <w:rsid w:val="003F3941"/>
    <w:rsid w:val="00406575"/>
    <w:rsid w:val="004140B3"/>
    <w:rsid w:val="00414C74"/>
    <w:rsid w:val="0042722E"/>
    <w:rsid w:val="0044528D"/>
    <w:rsid w:val="004555EA"/>
    <w:rsid w:val="00466E39"/>
    <w:rsid w:val="00494F04"/>
    <w:rsid w:val="004A1847"/>
    <w:rsid w:val="004A305D"/>
    <w:rsid w:val="004B3DAC"/>
    <w:rsid w:val="004F21C4"/>
    <w:rsid w:val="004F685F"/>
    <w:rsid w:val="005566E8"/>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65D70"/>
    <w:rsid w:val="00684F67"/>
    <w:rsid w:val="006900D9"/>
    <w:rsid w:val="006A2BE4"/>
    <w:rsid w:val="007025D7"/>
    <w:rsid w:val="00706C16"/>
    <w:rsid w:val="00731F30"/>
    <w:rsid w:val="007340C3"/>
    <w:rsid w:val="0075235A"/>
    <w:rsid w:val="00756841"/>
    <w:rsid w:val="007649AB"/>
    <w:rsid w:val="00771D0C"/>
    <w:rsid w:val="007833AC"/>
    <w:rsid w:val="00795086"/>
    <w:rsid w:val="007A1830"/>
    <w:rsid w:val="007B268C"/>
    <w:rsid w:val="007B7171"/>
    <w:rsid w:val="007C0C0F"/>
    <w:rsid w:val="007C3DC2"/>
    <w:rsid w:val="007D3058"/>
    <w:rsid w:val="007E5497"/>
    <w:rsid w:val="00806F5F"/>
    <w:rsid w:val="00820278"/>
    <w:rsid w:val="008258C9"/>
    <w:rsid w:val="00844AE9"/>
    <w:rsid w:val="00867F95"/>
    <w:rsid w:val="008843B6"/>
    <w:rsid w:val="00891928"/>
    <w:rsid w:val="008A446D"/>
    <w:rsid w:val="008B25F1"/>
    <w:rsid w:val="008D180B"/>
    <w:rsid w:val="008F0EA7"/>
    <w:rsid w:val="008F17DC"/>
    <w:rsid w:val="008F4334"/>
    <w:rsid w:val="008F6705"/>
    <w:rsid w:val="00923EEF"/>
    <w:rsid w:val="009419F9"/>
    <w:rsid w:val="00950B6F"/>
    <w:rsid w:val="0095685E"/>
    <w:rsid w:val="00961B09"/>
    <w:rsid w:val="00965334"/>
    <w:rsid w:val="0097093E"/>
    <w:rsid w:val="009A0486"/>
    <w:rsid w:val="009A0DFA"/>
    <w:rsid w:val="009B2D26"/>
    <w:rsid w:val="009C71FA"/>
    <w:rsid w:val="009C72E7"/>
    <w:rsid w:val="009C7F7E"/>
    <w:rsid w:val="009D3058"/>
    <w:rsid w:val="009F3A13"/>
    <w:rsid w:val="00A0334B"/>
    <w:rsid w:val="00A122D3"/>
    <w:rsid w:val="00A14468"/>
    <w:rsid w:val="00A17F13"/>
    <w:rsid w:val="00A20739"/>
    <w:rsid w:val="00A23AF9"/>
    <w:rsid w:val="00A31A76"/>
    <w:rsid w:val="00A33C78"/>
    <w:rsid w:val="00A73F45"/>
    <w:rsid w:val="00A87F3B"/>
    <w:rsid w:val="00AB0ADB"/>
    <w:rsid w:val="00B00C0E"/>
    <w:rsid w:val="00B01B1A"/>
    <w:rsid w:val="00B44A47"/>
    <w:rsid w:val="00B54271"/>
    <w:rsid w:val="00B72CD3"/>
    <w:rsid w:val="00B72FFF"/>
    <w:rsid w:val="00B74092"/>
    <w:rsid w:val="00BC3D36"/>
    <w:rsid w:val="00BC70CB"/>
    <w:rsid w:val="00BD54A6"/>
    <w:rsid w:val="00BD7F72"/>
    <w:rsid w:val="00BF5C08"/>
    <w:rsid w:val="00BF7425"/>
    <w:rsid w:val="00C04FB3"/>
    <w:rsid w:val="00C11D8B"/>
    <w:rsid w:val="00C330EB"/>
    <w:rsid w:val="00C50D69"/>
    <w:rsid w:val="00C5365C"/>
    <w:rsid w:val="00C754BE"/>
    <w:rsid w:val="00C76B1C"/>
    <w:rsid w:val="00C925AC"/>
    <w:rsid w:val="00CB6357"/>
    <w:rsid w:val="00CC1B26"/>
    <w:rsid w:val="00D06146"/>
    <w:rsid w:val="00D0699E"/>
    <w:rsid w:val="00D334DD"/>
    <w:rsid w:val="00D361FD"/>
    <w:rsid w:val="00D423A2"/>
    <w:rsid w:val="00D44E26"/>
    <w:rsid w:val="00D520D8"/>
    <w:rsid w:val="00D62B9C"/>
    <w:rsid w:val="00D63AC2"/>
    <w:rsid w:val="00D7383B"/>
    <w:rsid w:val="00D7788A"/>
    <w:rsid w:val="00D86E98"/>
    <w:rsid w:val="00DA231B"/>
    <w:rsid w:val="00DC39FC"/>
    <w:rsid w:val="00DC7CCB"/>
    <w:rsid w:val="00DF5254"/>
    <w:rsid w:val="00E02524"/>
    <w:rsid w:val="00E16408"/>
    <w:rsid w:val="00E20894"/>
    <w:rsid w:val="00E245AB"/>
    <w:rsid w:val="00E2764C"/>
    <w:rsid w:val="00E27F2E"/>
    <w:rsid w:val="00E41358"/>
    <w:rsid w:val="00E50AFE"/>
    <w:rsid w:val="00E75C92"/>
    <w:rsid w:val="00E771DC"/>
    <w:rsid w:val="00E8772A"/>
    <w:rsid w:val="00E90F6B"/>
    <w:rsid w:val="00E92C27"/>
    <w:rsid w:val="00EA0E3D"/>
    <w:rsid w:val="00EC38A7"/>
    <w:rsid w:val="00EE1AA8"/>
    <w:rsid w:val="00EF5E13"/>
    <w:rsid w:val="00EF647F"/>
    <w:rsid w:val="00F23FEA"/>
    <w:rsid w:val="00F27B7B"/>
    <w:rsid w:val="00F31EDC"/>
    <w:rsid w:val="00F462B3"/>
    <w:rsid w:val="00F5664F"/>
    <w:rsid w:val="00F666C4"/>
    <w:rsid w:val="00F76AFC"/>
    <w:rsid w:val="00F948E6"/>
    <w:rsid w:val="00FA47C0"/>
    <w:rsid w:val="00FB5DD1"/>
    <w:rsid w:val="00FC2B5D"/>
    <w:rsid w:val="00FF1449"/>
    <w:rsid w:val="00FF4CC2"/>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BF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73B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guasholmes@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1DD453-6B58-4F61-A0F0-96718FAB9249}">
  <ds:schemaRefs>
    <ds:schemaRef ds:uri="http://schemas.openxmlformats.org/officeDocument/2006/bibliography"/>
  </ds:schemaRefs>
</ds:datastoreItem>
</file>

<file path=customXml/itemProps2.xml><?xml version="1.0" encoding="utf-8"?>
<ds:datastoreItem xmlns:ds="http://schemas.openxmlformats.org/officeDocument/2006/customXml" ds:itemID="{3C16D69E-9A29-4D3C-9E14-F542D79B5D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dcmitype/"/>
    <ds:schemaRef ds:uri="http://purl.org/dc/terms/"/>
    <ds:schemaRef ds:uri="http://www.w3.org/XML/1998/namespace"/>
    <ds:schemaRef ds:uri="a6cb9e4b-f1d1-4245-83ec-6cad768d538a"/>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9054</Words>
  <Characters>49799</Characters>
  <Application>Microsoft Office Word</Application>
  <DocSecurity>0</DocSecurity>
  <Lines>414</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2025-11-14T01:13:00Z</dcterms:created>
  <dcterms:modified xsi:type="dcterms:W3CDTF">2025-11-14T01:13:00Z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