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820A9" w14:textId="77777777" w:rsidR="003A7026" w:rsidRPr="00ED0E42" w:rsidRDefault="003A7026" w:rsidP="003A7026">
      <w:pPr>
        <w:spacing w:after="0" w:line="240" w:lineRule="auto"/>
        <w:jc w:val="both"/>
        <w:rPr>
          <w:rFonts w:ascii="Verdana" w:eastAsia="Calibri" w:hAnsi="Verdana" w:cs="Arial"/>
          <w:bCs/>
          <w:sz w:val="20"/>
          <w:szCs w:val="20"/>
          <w:lang w:val="es-ES_tradnl" w:eastAsia="es-ES_tradnl"/>
        </w:rPr>
      </w:pPr>
    </w:p>
    <w:p w14:paraId="6499C42A" w14:textId="77777777" w:rsidR="003A7026" w:rsidRPr="00ED0E42" w:rsidRDefault="003A7026" w:rsidP="003A7026">
      <w:pPr>
        <w:spacing w:after="0" w:line="240" w:lineRule="auto"/>
        <w:jc w:val="both"/>
        <w:rPr>
          <w:rFonts w:ascii="Verdana" w:eastAsia="Calibri" w:hAnsi="Verdana" w:cs="Arial"/>
          <w:b/>
          <w:lang w:val="es-ES_tradnl" w:eastAsia="es-ES_tradnl"/>
        </w:rPr>
      </w:pPr>
      <w:r w:rsidRPr="00ED0E42">
        <w:rPr>
          <w:rFonts w:ascii="Verdana" w:eastAsia="Calibri" w:hAnsi="Verdana" w:cs="Arial"/>
          <w:b/>
          <w:lang w:val="es-ES_tradnl" w:eastAsia="es-ES_tradnl"/>
        </w:rPr>
        <w:t>CONTRATO ESTATAL – Finalidad</w:t>
      </w:r>
    </w:p>
    <w:p w14:paraId="7A07781D" w14:textId="77777777" w:rsidR="003A7026" w:rsidRPr="00ED0E42" w:rsidRDefault="003A7026" w:rsidP="003A7026">
      <w:pPr>
        <w:spacing w:after="0" w:line="240" w:lineRule="auto"/>
        <w:jc w:val="both"/>
        <w:rPr>
          <w:rFonts w:ascii="Verdana" w:eastAsia="Calibri" w:hAnsi="Verdana" w:cs="Arial"/>
          <w:bCs/>
          <w:sz w:val="20"/>
          <w:szCs w:val="20"/>
          <w:lang w:val="es-ES_tradnl" w:eastAsia="es-ES_tradnl"/>
        </w:rPr>
      </w:pPr>
    </w:p>
    <w:p w14:paraId="0B97F037" w14:textId="77777777" w:rsidR="003A7026" w:rsidRPr="00ED0E42" w:rsidRDefault="003A7026" w:rsidP="003A7026">
      <w:pPr>
        <w:spacing w:after="0" w:line="240" w:lineRule="auto"/>
        <w:jc w:val="both"/>
        <w:rPr>
          <w:rFonts w:ascii="Verdana" w:eastAsia="Calibri" w:hAnsi="Verdana" w:cs="Arial"/>
          <w:bCs/>
          <w:sz w:val="20"/>
          <w:szCs w:val="20"/>
          <w:lang w:val="es-ES_tradnl" w:eastAsia="es-ES_tradnl"/>
        </w:rPr>
      </w:pPr>
      <w:r w:rsidRPr="00ED0E42">
        <w:rPr>
          <w:rFonts w:ascii="Verdana" w:eastAsia="Calibri" w:hAnsi="Verdana" w:cs="Arial"/>
          <w:bCs/>
          <w:sz w:val="20"/>
          <w:szCs w:val="20"/>
          <w:lang w:val="es-ES_tradnl" w:eastAsia="es-ES_tradnl"/>
        </w:rPr>
        <w:t>La contratación estatal tiene como propósito el cumplimiento de los fines estatales, la continua y eficiente prestación de los servicios públicos y la efectividad de los derechos e intereses de los administrados que colaboran con ellas en la consecución de dichos fines. En cumplimiento de ese propósito, el legislador determinó que las actuaciones adelantadas por las entidades estatales, en materia contractual, se llevan a cabo, entre otros, en cumplimiento de los principios que gobiernan los procesos de contratación pública.</w:t>
      </w:r>
    </w:p>
    <w:p w14:paraId="5EE7353C" w14:textId="77777777" w:rsidR="003A7026" w:rsidRPr="00ED0E42" w:rsidRDefault="003A7026" w:rsidP="003A7026">
      <w:pPr>
        <w:spacing w:after="0" w:line="240" w:lineRule="auto"/>
        <w:jc w:val="both"/>
        <w:rPr>
          <w:rFonts w:ascii="Verdana" w:eastAsia="Calibri" w:hAnsi="Verdana" w:cs="Arial"/>
          <w:bCs/>
          <w:sz w:val="20"/>
          <w:szCs w:val="20"/>
          <w:lang w:val="es-ES_tradnl" w:eastAsia="es-ES_tradnl"/>
        </w:rPr>
      </w:pPr>
    </w:p>
    <w:p w14:paraId="66F23508" w14:textId="77777777" w:rsidR="003A7026" w:rsidRPr="00FE39ED" w:rsidRDefault="003A7026" w:rsidP="003A7026">
      <w:pPr>
        <w:spacing w:after="0" w:line="240" w:lineRule="auto"/>
        <w:jc w:val="both"/>
        <w:rPr>
          <w:rFonts w:ascii="Verdana" w:eastAsia="Calibri" w:hAnsi="Verdana" w:cs="Arial"/>
          <w:b/>
        </w:rPr>
      </w:pPr>
      <w:r>
        <w:rPr>
          <w:rFonts w:ascii="Verdana" w:eastAsia="Calibri" w:hAnsi="Verdana" w:cs="Arial"/>
          <w:b/>
        </w:rPr>
        <w:t xml:space="preserve">PRINCIPIO DE TRANSPARENCIA – Observaciones – Fundamento </w:t>
      </w:r>
      <w:r w:rsidRPr="00FE39ED">
        <w:rPr>
          <w:rFonts w:ascii="Verdana" w:eastAsia="Calibri" w:hAnsi="Verdana" w:cs="Arial"/>
          <w:b/>
        </w:rPr>
        <w:t xml:space="preserve"> </w:t>
      </w:r>
    </w:p>
    <w:p w14:paraId="74E965DF" w14:textId="77777777" w:rsidR="003A7026" w:rsidRPr="00FE39ED" w:rsidRDefault="003A7026" w:rsidP="003A7026">
      <w:pPr>
        <w:spacing w:after="0" w:line="240" w:lineRule="auto"/>
        <w:jc w:val="both"/>
        <w:rPr>
          <w:rFonts w:ascii="Verdana" w:eastAsia="Calibri" w:hAnsi="Verdana" w:cs="Arial"/>
          <w:b/>
          <w:sz w:val="20"/>
          <w:szCs w:val="20"/>
        </w:rPr>
      </w:pPr>
    </w:p>
    <w:p w14:paraId="38F6006B" w14:textId="77777777" w:rsidR="003A7026" w:rsidRPr="00FE39ED" w:rsidRDefault="003A7026" w:rsidP="003A7026">
      <w:pPr>
        <w:spacing w:after="0" w:line="240" w:lineRule="auto"/>
        <w:jc w:val="both"/>
        <w:rPr>
          <w:rFonts w:ascii="Verdana" w:hAnsi="Verdana" w:cs="Arial"/>
          <w:sz w:val="20"/>
          <w:szCs w:val="20"/>
          <w:lang w:eastAsia="x-none"/>
        </w:rPr>
      </w:pPr>
      <w:r w:rsidRPr="00F84FDB">
        <w:rPr>
          <w:rFonts w:ascii="Verdana" w:hAnsi="Verdana" w:cs="Arial"/>
          <w:sz w:val="20"/>
          <w:szCs w:val="20"/>
          <w:lang w:eastAsia="x-none"/>
        </w:rPr>
        <w:t>El artículo 23 de la Ley 80 de 1993 regula los principios aplicables a las actuaciones contractuales adelantadas por las entidades estatales . Entre otros, allí se estableció el principio de transparencia de la actividad contractual, objeto de regulación expresa en el artículo 24 ibidem.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r>
        <w:rPr>
          <w:rFonts w:ascii="Verdana" w:hAnsi="Verdana" w:cs="Arial"/>
          <w:sz w:val="20"/>
          <w:szCs w:val="20"/>
          <w:lang w:eastAsia="x-none"/>
        </w:rPr>
        <w:t>.</w:t>
      </w:r>
    </w:p>
    <w:p w14:paraId="507ACBA2" w14:textId="77777777" w:rsidR="003A7026" w:rsidRDefault="003A7026" w:rsidP="003A7026">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11E2D9A0" w14:textId="77777777" w:rsidR="003A7026" w:rsidRPr="00FE39ED" w:rsidRDefault="003A7026" w:rsidP="003A7026">
      <w:pPr>
        <w:spacing w:after="0" w:line="240" w:lineRule="auto"/>
        <w:jc w:val="both"/>
        <w:rPr>
          <w:rFonts w:ascii="Verdana" w:eastAsia="Calibri" w:hAnsi="Verdana" w:cs="Arial"/>
          <w:b/>
          <w:sz w:val="20"/>
          <w:szCs w:val="20"/>
        </w:rPr>
      </w:pPr>
    </w:p>
    <w:p w14:paraId="46C38573" w14:textId="77777777" w:rsidR="003A7026" w:rsidRPr="00FE39ED" w:rsidRDefault="003A7026" w:rsidP="003A7026">
      <w:pPr>
        <w:pStyle w:val="Textoindependiente"/>
        <w:spacing w:after="0" w:line="240" w:lineRule="auto"/>
        <w:jc w:val="both"/>
        <w:rPr>
          <w:rFonts w:ascii="Verdana" w:hAnsi="Verdana"/>
          <w:bCs/>
          <w:sz w:val="20"/>
          <w:szCs w:val="20"/>
          <w:lang w:eastAsia="x-none"/>
        </w:rPr>
      </w:pPr>
      <w:r w:rsidRPr="00F84FDB">
        <w:rPr>
          <w:rFonts w:ascii="Verdana" w:hAnsi="Verdana"/>
          <w:bCs/>
          <w:sz w:val="20"/>
          <w:szCs w:val="20"/>
          <w:lang w:eastAsia="x-none"/>
        </w:rPr>
        <w:t>Conforme a lo anterior, el conocimiento y la motivación de las decisiones tomadas por la administración son un presupuesto necesario para controvertirlas. Así las cosas, de acuerdo con lo dispuesto en el numeral 2º previamente citado, la doctrina considera que “[…]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FE39ED">
        <w:rPr>
          <w:rFonts w:ascii="Verdana" w:hAnsi="Verdana"/>
          <w:bCs/>
          <w:sz w:val="20"/>
          <w:szCs w:val="20"/>
          <w:lang w:eastAsia="x-none"/>
        </w:rPr>
        <w:t xml:space="preserve">. </w:t>
      </w:r>
    </w:p>
    <w:p w14:paraId="55E35AB4" w14:textId="77777777" w:rsidR="003A7026" w:rsidRPr="00FE39ED" w:rsidRDefault="003A7026" w:rsidP="003A7026">
      <w:pPr>
        <w:pStyle w:val="Textoindependiente"/>
        <w:spacing w:after="0" w:line="240" w:lineRule="auto"/>
        <w:jc w:val="both"/>
        <w:rPr>
          <w:rFonts w:ascii="Verdana" w:eastAsia="Calibri" w:hAnsi="Verdana"/>
          <w:b/>
          <w:sz w:val="20"/>
          <w:szCs w:val="20"/>
        </w:rPr>
      </w:pPr>
    </w:p>
    <w:p w14:paraId="0E1B81A3" w14:textId="77777777" w:rsidR="003A7026" w:rsidRPr="00FE39ED" w:rsidRDefault="003A7026" w:rsidP="003A7026">
      <w:pPr>
        <w:pStyle w:val="Textoindependiente"/>
        <w:spacing w:after="0" w:line="240" w:lineRule="auto"/>
        <w:jc w:val="both"/>
        <w:rPr>
          <w:rFonts w:ascii="Verdana" w:eastAsia="Calibri" w:hAnsi="Verdana"/>
          <w:b/>
        </w:rPr>
      </w:pPr>
      <w:r>
        <w:rPr>
          <w:rFonts w:ascii="Verdana" w:eastAsia="Calibri" w:hAnsi="Verdana"/>
          <w:b/>
        </w:rPr>
        <w:t>PROYECTO DE PLIEGO DE CONDICIONES</w:t>
      </w:r>
      <w:r w:rsidRPr="00FE39ED">
        <w:rPr>
          <w:rFonts w:ascii="Verdana" w:eastAsia="Calibri" w:hAnsi="Verdana"/>
          <w:b/>
        </w:rPr>
        <w:t xml:space="preserve"> – </w:t>
      </w:r>
      <w:r>
        <w:rPr>
          <w:rFonts w:ascii="Verdana" w:eastAsia="Calibri" w:hAnsi="Verdana"/>
          <w:b/>
        </w:rPr>
        <w:t>Observaciones – Plazo para responder</w:t>
      </w:r>
      <w:r w:rsidRPr="00FE39ED">
        <w:rPr>
          <w:rFonts w:ascii="Verdana" w:eastAsia="Calibri" w:hAnsi="Verdana"/>
          <w:b/>
        </w:rPr>
        <w:t xml:space="preserve"> </w:t>
      </w:r>
    </w:p>
    <w:p w14:paraId="50490050" w14:textId="77777777" w:rsidR="003A7026" w:rsidRPr="00FE39ED" w:rsidRDefault="003A7026" w:rsidP="003A7026">
      <w:pPr>
        <w:pStyle w:val="Textoindependiente"/>
        <w:spacing w:after="0" w:line="240" w:lineRule="auto"/>
        <w:jc w:val="both"/>
        <w:rPr>
          <w:rFonts w:ascii="Verdana" w:eastAsia="Calibri" w:hAnsi="Verdana"/>
          <w:b/>
          <w:sz w:val="20"/>
          <w:szCs w:val="20"/>
        </w:rPr>
      </w:pPr>
    </w:p>
    <w:p w14:paraId="1B9DDC73" w14:textId="77777777" w:rsidR="003A7026"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La Ley 1150 de 2007 estableció en el artículo 8 la obligación de las entidades estatales de publicar el proyecto de pliego de condiciones o su documento equivalente, con el propósito de que el público en general pueda presentar las observaciones que estime pertinentes . Esa misma disposición consagra la obligación de las entidades estatales de pronunciarse sobre las observaciones presentadas, las cuales deberán motivarse ya sea para acogerlas o para rechazarlas.</w:t>
      </w:r>
    </w:p>
    <w:p w14:paraId="121EE406" w14:textId="77777777" w:rsidR="003A7026" w:rsidRPr="00454111" w:rsidRDefault="003A7026" w:rsidP="003A7026">
      <w:pPr>
        <w:pStyle w:val="Textoindependiente"/>
        <w:spacing w:after="0" w:line="240" w:lineRule="auto"/>
        <w:jc w:val="both"/>
        <w:rPr>
          <w:rFonts w:ascii="Verdana" w:eastAsia="Calibri" w:hAnsi="Verdana"/>
          <w:bCs/>
          <w:sz w:val="20"/>
          <w:szCs w:val="20"/>
        </w:rPr>
      </w:pPr>
    </w:p>
    <w:p w14:paraId="461E6F27" w14:textId="77777777" w:rsidR="003A7026"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 xml:space="preserve">Por su parte, el inciso 2 del artículo 2.2.1.1.1.7.1 del Decreto 1082 de 2015 precisó que “[…] 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w:t>
      </w:r>
      <w:r w:rsidRPr="00454111">
        <w:rPr>
          <w:rFonts w:ascii="Verdana" w:eastAsia="Calibri" w:hAnsi="Verdana"/>
          <w:bCs/>
          <w:sz w:val="20"/>
          <w:szCs w:val="20"/>
        </w:rPr>
        <w:lastRenderedPageBreak/>
        <w:t>efecto […]” (Cursiva fuera texto). Respecto al plazo o término para presentar observaciones al proyecto de pliego de condiciones, el artículo 2.2.1.1.2.1.4 ibidem agrega que “Los interesados pueden hacer comentarios al proyecto de pliegos de condiciones a partir de la fecha de publicación de los mismos: (a) durante un término de diez (10) días hábiles en la licitación pública; y (b) durante un término de cinco (5) días hábiles en la selección abreviada y el concurso de méritos”.</w:t>
      </w:r>
    </w:p>
    <w:p w14:paraId="189B151F" w14:textId="77777777" w:rsidR="003A7026" w:rsidRPr="00454111" w:rsidRDefault="003A7026" w:rsidP="003A7026">
      <w:pPr>
        <w:pStyle w:val="Textoindependiente"/>
        <w:spacing w:after="0" w:line="240" w:lineRule="auto"/>
        <w:jc w:val="both"/>
        <w:rPr>
          <w:rFonts w:ascii="Verdana" w:eastAsia="Calibri" w:hAnsi="Verdana"/>
          <w:bCs/>
          <w:sz w:val="20"/>
          <w:szCs w:val="20"/>
        </w:rPr>
      </w:pPr>
    </w:p>
    <w:p w14:paraId="1085F399" w14:textId="77777777" w:rsidR="003A7026" w:rsidRPr="00FE39ED"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En relación con la respuesta a las observaciones presentadas al proyecto de pliego de condiciones,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impera un límite para que la entidad estatal profiera la respuesta a esas observaciones, el cual está determinado por la expedición del acto administrativo de apertura del proceso de selección. Esto significa que antes que la entidad estatal profiera dicho acto administrativo y publique el pliego de condiciones definitivo, deberá responder las observaciones presentadas al proyecto de pliego de condiciones.</w:t>
      </w:r>
    </w:p>
    <w:p w14:paraId="7DDEE3EF" w14:textId="77777777" w:rsidR="003A7026" w:rsidRPr="00FE39ED" w:rsidRDefault="003A7026" w:rsidP="003A7026">
      <w:pPr>
        <w:pStyle w:val="Textoindependiente"/>
        <w:spacing w:after="0" w:line="240" w:lineRule="auto"/>
        <w:jc w:val="both"/>
        <w:rPr>
          <w:rFonts w:ascii="Verdana" w:hAnsi="Verdana"/>
          <w:sz w:val="20"/>
          <w:szCs w:val="20"/>
        </w:rPr>
      </w:pPr>
    </w:p>
    <w:p w14:paraId="6ADB403B" w14:textId="77777777" w:rsidR="003A7026" w:rsidRPr="00FE39ED" w:rsidRDefault="003A7026" w:rsidP="003A7026">
      <w:pPr>
        <w:pStyle w:val="Textoindependiente"/>
        <w:spacing w:after="0" w:line="240" w:lineRule="auto"/>
        <w:jc w:val="both"/>
        <w:rPr>
          <w:rFonts w:ascii="Verdana" w:eastAsia="Calibri" w:hAnsi="Verdana"/>
          <w:b/>
        </w:rPr>
      </w:pPr>
      <w:r>
        <w:rPr>
          <w:rFonts w:ascii="Verdana" w:eastAsia="Calibri" w:hAnsi="Verdana"/>
          <w:b/>
        </w:rPr>
        <w:t>OBSERVACIONES</w:t>
      </w:r>
      <w:r w:rsidRPr="00FE39ED">
        <w:rPr>
          <w:rFonts w:ascii="Verdana" w:eastAsia="Calibri" w:hAnsi="Verdana"/>
          <w:b/>
        </w:rPr>
        <w:t xml:space="preserve"> –</w:t>
      </w:r>
      <w:r>
        <w:rPr>
          <w:rFonts w:ascii="Verdana" w:eastAsia="Calibri" w:hAnsi="Verdana"/>
          <w:b/>
        </w:rPr>
        <w:t xml:space="preserve"> Oportunidad –</w:t>
      </w:r>
      <w:r w:rsidRPr="00FE39ED">
        <w:rPr>
          <w:rFonts w:ascii="Verdana" w:eastAsia="Calibri" w:hAnsi="Verdana"/>
          <w:b/>
        </w:rPr>
        <w:t xml:space="preserve"> </w:t>
      </w:r>
      <w:r>
        <w:rPr>
          <w:rFonts w:ascii="Verdana" w:eastAsia="Calibri" w:hAnsi="Verdana"/>
          <w:b/>
        </w:rPr>
        <w:t>Derecho de petición</w:t>
      </w:r>
      <w:r w:rsidRPr="00FE39ED">
        <w:rPr>
          <w:rFonts w:ascii="Verdana" w:eastAsia="Calibri" w:hAnsi="Verdana"/>
          <w:b/>
        </w:rPr>
        <w:t xml:space="preserve"> –</w:t>
      </w:r>
      <w:r>
        <w:rPr>
          <w:rFonts w:ascii="Verdana" w:eastAsia="Calibri" w:hAnsi="Verdana"/>
          <w:b/>
        </w:rPr>
        <w:t xml:space="preserve"> Legitimación –</w:t>
      </w:r>
      <w:r w:rsidRPr="00FE39ED">
        <w:rPr>
          <w:rFonts w:ascii="Verdana" w:eastAsia="Calibri" w:hAnsi="Verdana"/>
          <w:b/>
        </w:rPr>
        <w:t xml:space="preserve"> </w:t>
      </w:r>
      <w:r>
        <w:rPr>
          <w:rFonts w:ascii="Verdana" w:eastAsia="Calibri" w:hAnsi="Verdana"/>
          <w:b/>
        </w:rPr>
        <w:t>Derecho a lo pedido – Distinción</w:t>
      </w:r>
      <w:r w:rsidRPr="00FE39ED">
        <w:rPr>
          <w:rFonts w:ascii="Verdana" w:eastAsia="Calibri" w:hAnsi="Verdana"/>
          <w:b/>
        </w:rPr>
        <w:t xml:space="preserve"> </w:t>
      </w:r>
    </w:p>
    <w:p w14:paraId="783C13BD" w14:textId="77777777" w:rsidR="003A7026" w:rsidRPr="00FE39ED" w:rsidRDefault="003A7026" w:rsidP="003A7026">
      <w:pPr>
        <w:pStyle w:val="Textoindependiente"/>
        <w:spacing w:after="0" w:line="240" w:lineRule="auto"/>
        <w:jc w:val="both"/>
        <w:rPr>
          <w:rFonts w:ascii="Verdana" w:eastAsia="Calibri" w:hAnsi="Verdana"/>
          <w:b/>
          <w:sz w:val="20"/>
          <w:szCs w:val="20"/>
        </w:rPr>
      </w:pPr>
    </w:p>
    <w:p w14:paraId="33CE20B0" w14:textId="77777777" w:rsidR="003A7026"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Dado que las observaciones son una manifestación de la garantía prevista en el artículo 23 superior en el ámbito contractual, es claro que “Toda persona tiene derecho a presentar peticiones respetuosas a las autoridades por motivos de interés general o particular y a obtener pronta resolución” […]. Asimismo, el artículo 66 de la Ley 80 de 1993 dispone que “Todo contrato que celebren las entidades estatales, estará sujeto a la vigilancia y control ciudadano” –inciso primero–; razón por la cual, “Las autoridades brindarán especial apoyo y colaboración a las personas y asociaciones que emprendan campañas de control y vigilancia de la gestión pública contractual […]” –inciso tercero–. Luego, la legitimación para formular observaciones es amplia: corresponde tanto a las personas naturales como jurídicas, en este último con independencia de que sean públicas o privadas.</w:t>
      </w:r>
    </w:p>
    <w:p w14:paraId="05C8D07D" w14:textId="77777777" w:rsidR="003A7026" w:rsidRPr="00454111" w:rsidRDefault="003A7026" w:rsidP="003A7026">
      <w:pPr>
        <w:pStyle w:val="Textoindependiente"/>
        <w:spacing w:after="0" w:line="240" w:lineRule="auto"/>
        <w:jc w:val="both"/>
        <w:rPr>
          <w:rFonts w:ascii="Verdana" w:eastAsia="Calibri" w:hAnsi="Verdana"/>
          <w:bCs/>
          <w:sz w:val="20"/>
          <w:szCs w:val="20"/>
        </w:rPr>
      </w:pPr>
    </w:p>
    <w:p w14:paraId="03F30901" w14:textId="77777777" w:rsidR="003A7026"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 xml:space="preserve">Respecto a las limitaciones,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454111">
        <w:rPr>
          <w:rFonts w:ascii="Verdana" w:eastAsia="Calibri" w:hAnsi="Verdana"/>
          <w:bCs/>
          <w:sz w:val="20"/>
          <w:szCs w:val="20"/>
        </w:rPr>
        <w:t>preclusividad</w:t>
      </w:r>
      <w:proofErr w:type="spellEnd"/>
      <w:r w:rsidRPr="00454111">
        <w:rPr>
          <w:rFonts w:ascii="Verdana" w:eastAsia="Calibri" w:hAnsi="Verdana"/>
          <w:bCs/>
          <w:sz w:val="20"/>
          <w:szCs w:val="20"/>
        </w:rPr>
        <w:t xml:space="preserve"> y perentoriedad de los términos que rigen el proceso de contratación. Lo anterior teniendo en cuenta que, una vez agotada cada fase de este, la entidad estatal –en principio– no puede volver sobre aquella.</w:t>
      </w:r>
    </w:p>
    <w:p w14:paraId="1DAD2AAE" w14:textId="77777777" w:rsidR="003A7026" w:rsidRPr="00454111" w:rsidRDefault="003A7026" w:rsidP="003A7026">
      <w:pPr>
        <w:pStyle w:val="Textoindependiente"/>
        <w:spacing w:after="0" w:line="240" w:lineRule="auto"/>
        <w:jc w:val="both"/>
        <w:rPr>
          <w:rFonts w:ascii="Verdana" w:eastAsia="Calibri" w:hAnsi="Verdana"/>
          <w:bCs/>
          <w:sz w:val="20"/>
          <w:szCs w:val="20"/>
        </w:rPr>
      </w:pPr>
    </w:p>
    <w:p w14:paraId="174B1B59" w14:textId="77777777" w:rsidR="003A7026" w:rsidRPr="00FE39ED" w:rsidRDefault="003A7026" w:rsidP="003A7026">
      <w:pPr>
        <w:pStyle w:val="Textoindependiente"/>
        <w:spacing w:after="0" w:line="240" w:lineRule="auto"/>
        <w:jc w:val="both"/>
        <w:rPr>
          <w:rFonts w:ascii="Verdana" w:eastAsia="Calibri" w:hAnsi="Verdana"/>
          <w:bCs/>
          <w:sz w:val="20"/>
          <w:szCs w:val="20"/>
        </w:rPr>
      </w:pPr>
      <w:r w:rsidRPr="00454111">
        <w:rPr>
          <w:rFonts w:ascii="Verdana" w:eastAsia="Calibri" w:hAnsi="Verdana"/>
          <w:bCs/>
          <w:sz w:val="20"/>
          <w:szCs w:val="20"/>
        </w:rPr>
        <w:t xml:space="preserve">Sin embargo, esto no significa que la entidad esté obligada a aceptar las observaciones formuladas oportunamente, por lo que es necesario distinguir entre el “derecho a pedir” y el “derecho a lo pedido”. Como explica la jurisprudencia, “[…] el ámbito de protección constitucional de la petición se circunscribe al derecho a la solicitud y a tener una </w:t>
      </w:r>
      <w:r w:rsidRPr="00454111">
        <w:rPr>
          <w:rFonts w:ascii="Verdana" w:eastAsia="Calibri" w:hAnsi="Verdana"/>
          <w:bCs/>
          <w:sz w:val="20"/>
          <w:szCs w:val="20"/>
        </w:rPr>
        <w:lastRenderedPageBreak/>
        <w:t>contestación para la misma, en ningún caso implica otorgar la materia de la solicitud como tal”. En esta medida, la posibilidad de formular observaciones no corresponde a un acto de coadministración, pues la entidad define el contenido de los documentos del proceso en el ámbito de la competencia atribuida por lo artículos 2, 11 y 12 del Estatuto General de Contratación de la Administración Pública.</w:t>
      </w:r>
    </w:p>
    <w:p w14:paraId="39289DFE" w14:textId="77777777" w:rsidR="003A7026" w:rsidRDefault="003A7026" w:rsidP="00506C1E">
      <w:pPr>
        <w:spacing w:after="0" w:line="240" w:lineRule="auto"/>
        <w:rPr>
          <w:rFonts w:ascii="Verdana" w:eastAsia="Geomanist Light" w:hAnsi="Verdana" w:cs="Arial"/>
          <w:color w:val="000000" w:themeColor="text1"/>
        </w:rPr>
      </w:pPr>
    </w:p>
    <w:p w14:paraId="1286521E" w14:textId="77777777" w:rsidR="003A7026" w:rsidRDefault="003A7026" w:rsidP="00506C1E">
      <w:pPr>
        <w:spacing w:after="0" w:line="240" w:lineRule="auto"/>
        <w:rPr>
          <w:rFonts w:ascii="Verdana" w:eastAsia="Geomanist Light" w:hAnsi="Verdana" w:cs="Arial"/>
          <w:color w:val="000000" w:themeColor="text1"/>
        </w:rPr>
      </w:pPr>
    </w:p>
    <w:p w14:paraId="6084CF08" w14:textId="77777777" w:rsidR="003A7026" w:rsidRDefault="003A7026" w:rsidP="00506C1E">
      <w:pPr>
        <w:spacing w:after="0" w:line="240" w:lineRule="auto"/>
        <w:rPr>
          <w:rFonts w:ascii="Verdana" w:eastAsia="Geomanist Light" w:hAnsi="Verdana" w:cs="Arial"/>
          <w:color w:val="000000" w:themeColor="text1"/>
        </w:rPr>
      </w:pPr>
    </w:p>
    <w:p w14:paraId="4B4212C4" w14:textId="77777777" w:rsidR="003A7026" w:rsidRDefault="003A7026" w:rsidP="00506C1E">
      <w:pPr>
        <w:spacing w:after="0" w:line="240" w:lineRule="auto"/>
        <w:rPr>
          <w:rFonts w:ascii="Verdana" w:eastAsia="Geomanist Light" w:hAnsi="Verdana" w:cs="Arial"/>
          <w:color w:val="000000" w:themeColor="text1"/>
        </w:rPr>
      </w:pPr>
    </w:p>
    <w:p w14:paraId="0986D45D" w14:textId="77777777" w:rsidR="003A7026" w:rsidRDefault="003A7026" w:rsidP="00506C1E">
      <w:pPr>
        <w:spacing w:after="0" w:line="240" w:lineRule="auto"/>
        <w:rPr>
          <w:rFonts w:ascii="Verdana" w:eastAsia="Geomanist Light" w:hAnsi="Verdana" w:cs="Arial"/>
          <w:color w:val="000000" w:themeColor="text1"/>
        </w:rPr>
      </w:pPr>
    </w:p>
    <w:p w14:paraId="17B2D9E5" w14:textId="77777777" w:rsidR="003A7026" w:rsidRDefault="003A7026" w:rsidP="00506C1E">
      <w:pPr>
        <w:spacing w:after="0" w:line="240" w:lineRule="auto"/>
        <w:rPr>
          <w:rFonts w:ascii="Verdana" w:eastAsia="Geomanist Light" w:hAnsi="Verdana" w:cs="Arial"/>
          <w:color w:val="000000" w:themeColor="text1"/>
        </w:rPr>
      </w:pPr>
    </w:p>
    <w:p w14:paraId="06511A4F" w14:textId="77777777" w:rsidR="003A7026" w:rsidRDefault="003A7026" w:rsidP="00506C1E">
      <w:pPr>
        <w:spacing w:after="0" w:line="240" w:lineRule="auto"/>
        <w:rPr>
          <w:rFonts w:ascii="Verdana" w:eastAsia="Geomanist Light" w:hAnsi="Verdana" w:cs="Arial"/>
          <w:color w:val="000000" w:themeColor="text1"/>
        </w:rPr>
      </w:pPr>
    </w:p>
    <w:p w14:paraId="538CD9B1" w14:textId="77777777" w:rsidR="003A7026" w:rsidRDefault="003A7026" w:rsidP="00506C1E">
      <w:pPr>
        <w:spacing w:after="0" w:line="240" w:lineRule="auto"/>
        <w:rPr>
          <w:rFonts w:ascii="Verdana" w:eastAsia="Geomanist Light" w:hAnsi="Verdana" w:cs="Arial"/>
          <w:color w:val="000000" w:themeColor="text1"/>
        </w:rPr>
      </w:pPr>
    </w:p>
    <w:p w14:paraId="4DBBF421" w14:textId="77777777" w:rsidR="003A7026" w:rsidRDefault="003A7026" w:rsidP="00506C1E">
      <w:pPr>
        <w:spacing w:after="0" w:line="240" w:lineRule="auto"/>
        <w:rPr>
          <w:rFonts w:ascii="Verdana" w:eastAsia="Geomanist Light" w:hAnsi="Verdana" w:cs="Arial"/>
          <w:color w:val="000000" w:themeColor="text1"/>
        </w:rPr>
      </w:pPr>
    </w:p>
    <w:p w14:paraId="6C5F2AFA" w14:textId="77777777" w:rsidR="003A7026" w:rsidRDefault="003A7026" w:rsidP="00506C1E">
      <w:pPr>
        <w:spacing w:after="0" w:line="240" w:lineRule="auto"/>
        <w:rPr>
          <w:rFonts w:ascii="Verdana" w:eastAsia="Geomanist Light" w:hAnsi="Verdana" w:cs="Arial"/>
          <w:color w:val="000000" w:themeColor="text1"/>
        </w:rPr>
      </w:pPr>
    </w:p>
    <w:p w14:paraId="2922E8CA" w14:textId="77777777" w:rsidR="003A7026" w:rsidRDefault="003A7026" w:rsidP="00506C1E">
      <w:pPr>
        <w:spacing w:after="0" w:line="240" w:lineRule="auto"/>
        <w:rPr>
          <w:rFonts w:ascii="Verdana" w:eastAsia="Geomanist Light" w:hAnsi="Verdana" w:cs="Arial"/>
          <w:color w:val="000000" w:themeColor="text1"/>
        </w:rPr>
      </w:pPr>
    </w:p>
    <w:p w14:paraId="087FF91A" w14:textId="77777777" w:rsidR="003A7026" w:rsidRDefault="003A7026" w:rsidP="00506C1E">
      <w:pPr>
        <w:spacing w:after="0" w:line="240" w:lineRule="auto"/>
        <w:rPr>
          <w:rFonts w:ascii="Verdana" w:eastAsia="Geomanist Light" w:hAnsi="Verdana" w:cs="Arial"/>
          <w:color w:val="000000" w:themeColor="text1"/>
        </w:rPr>
      </w:pPr>
    </w:p>
    <w:p w14:paraId="5364DBEF" w14:textId="77777777" w:rsidR="003A7026" w:rsidRDefault="003A7026" w:rsidP="00506C1E">
      <w:pPr>
        <w:spacing w:after="0" w:line="240" w:lineRule="auto"/>
        <w:rPr>
          <w:rFonts w:ascii="Verdana" w:eastAsia="Geomanist Light" w:hAnsi="Verdana" w:cs="Arial"/>
          <w:color w:val="000000" w:themeColor="text1"/>
        </w:rPr>
      </w:pPr>
    </w:p>
    <w:p w14:paraId="0B229298" w14:textId="77777777" w:rsidR="003A7026" w:rsidRDefault="003A7026" w:rsidP="00506C1E">
      <w:pPr>
        <w:spacing w:after="0" w:line="240" w:lineRule="auto"/>
        <w:rPr>
          <w:rFonts w:ascii="Verdana" w:eastAsia="Geomanist Light" w:hAnsi="Verdana" w:cs="Arial"/>
          <w:color w:val="000000" w:themeColor="text1"/>
        </w:rPr>
      </w:pPr>
    </w:p>
    <w:p w14:paraId="6FECB19D" w14:textId="77777777" w:rsidR="003A7026" w:rsidRDefault="003A7026" w:rsidP="00506C1E">
      <w:pPr>
        <w:spacing w:after="0" w:line="240" w:lineRule="auto"/>
        <w:rPr>
          <w:rFonts w:ascii="Verdana" w:eastAsia="Geomanist Light" w:hAnsi="Verdana" w:cs="Arial"/>
          <w:color w:val="000000" w:themeColor="text1"/>
        </w:rPr>
      </w:pPr>
    </w:p>
    <w:p w14:paraId="10D22661" w14:textId="77777777" w:rsidR="003A7026" w:rsidRDefault="003A7026" w:rsidP="00506C1E">
      <w:pPr>
        <w:spacing w:after="0" w:line="240" w:lineRule="auto"/>
        <w:rPr>
          <w:rFonts w:ascii="Verdana" w:eastAsia="Geomanist Light" w:hAnsi="Verdana" w:cs="Arial"/>
          <w:color w:val="000000" w:themeColor="text1"/>
        </w:rPr>
      </w:pPr>
    </w:p>
    <w:p w14:paraId="365BA520" w14:textId="77777777" w:rsidR="003A7026" w:rsidRDefault="003A7026" w:rsidP="00506C1E">
      <w:pPr>
        <w:spacing w:after="0" w:line="240" w:lineRule="auto"/>
        <w:rPr>
          <w:rFonts w:ascii="Verdana" w:eastAsia="Geomanist Light" w:hAnsi="Verdana" w:cs="Arial"/>
          <w:color w:val="000000" w:themeColor="text1"/>
        </w:rPr>
      </w:pPr>
    </w:p>
    <w:p w14:paraId="7E21E38D" w14:textId="77777777" w:rsidR="003A7026" w:rsidRDefault="003A7026" w:rsidP="00506C1E">
      <w:pPr>
        <w:spacing w:after="0" w:line="240" w:lineRule="auto"/>
        <w:rPr>
          <w:rFonts w:ascii="Verdana" w:eastAsia="Geomanist Light" w:hAnsi="Verdana" w:cs="Arial"/>
          <w:color w:val="000000" w:themeColor="text1"/>
        </w:rPr>
      </w:pPr>
    </w:p>
    <w:p w14:paraId="6E70C3D0" w14:textId="77777777" w:rsidR="003A7026" w:rsidRDefault="003A7026" w:rsidP="00506C1E">
      <w:pPr>
        <w:spacing w:after="0" w:line="240" w:lineRule="auto"/>
        <w:rPr>
          <w:rFonts w:ascii="Verdana" w:eastAsia="Geomanist Light" w:hAnsi="Verdana" w:cs="Arial"/>
          <w:color w:val="000000" w:themeColor="text1"/>
        </w:rPr>
      </w:pPr>
    </w:p>
    <w:p w14:paraId="79044E62" w14:textId="77777777" w:rsidR="003A7026" w:rsidRDefault="003A7026" w:rsidP="00506C1E">
      <w:pPr>
        <w:spacing w:after="0" w:line="240" w:lineRule="auto"/>
        <w:rPr>
          <w:rFonts w:ascii="Verdana" w:eastAsia="Geomanist Light" w:hAnsi="Verdana" w:cs="Arial"/>
          <w:color w:val="000000" w:themeColor="text1"/>
        </w:rPr>
      </w:pPr>
    </w:p>
    <w:p w14:paraId="71E6DBB4" w14:textId="77777777" w:rsidR="003A7026" w:rsidRDefault="003A7026" w:rsidP="00506C1E">
      <w:pPr>
        <w:spacing w:after="0" w:line="240" w:lineRule="auto"/>
        <w:rPr>
          <w:rFonts w:ascii="Verdana" w:eastAsia="Geomanist Light" w:hAnsi="Verdana" w:cs="Arial"/>
          <w:color w:val="000000" w:themeColor="text1"/>
        </w:rPr>
      </w:pPr>
    </w:p>
    <w:p w14:paraId="29CF698F" w14:textId="77777777" w:rsidR="003A7026" w:rsidRDefault="003A7026" w:rsidP="00506C1E">
      <w:pPr>
        <w:spacing w:after="0" w:line="240" w:lineRule="auto"/>
        <w:rPr>
          <w:rFonts w:ascii="Verdana" w:eastAsia="Geomanist Light" w:hAnsi="Verdana" w:cs="Arial"/>
          <w:color w:val="000000" w:themeColor="text1"/>
        </w:rPr>
      </w:pPr>
    </w:p>
    <w:p w14:paraId="53D8A8FC" w14:textId="77777777" w:rsidR="003A7026" w:rsidRDefault="003A7026" w:rsidP="00506C1E">
      <w:pPr>
        <w:spacing w:after="0" w:line="240" w:lineRule="auto"/>
        <w:rPr>
          <w:rFonts w:ascii="Verdana" w:eastAsia="Geomanist Light" w:hAnsi="Verdana" w:cs="Arial"/>
          <w:color w:val="000000" w:themeColor="text1"/>
        </w:rPr>
      </w:pPr>
    </w:p>
    <w:p w14:paraId="1FB186FF" w14:textId="77777777" w:rsidR="003A7026" w:rsidRDefault="003A7026" w:rsidP="00506C1E">
      <w:pPr>
        <w:spacing w:after="0" w:line="240" w:lineRule="auto"/>
        <w:rPr>
          <w:rFonts w:ascii="Verdana" w:eastAsia="Geomanist Light" w:hAnsi="Verdana" w:cs="Arial"/>
          <w:color w:val="000000" w:themeColor="text1"/>
        </w:rPr>
      </w:pPr>
    </w:p>
    <w:p w14:paraId="771B0806" w14:textId="77777777" w:rsidR="003A7026" w:rsidRDefault="003A7026" w:rsidP="00506C1E">
      <w:pPr>
        <w:spacing w:after="0" w:line="240" w:lineRule="auto"/>
        <w:rPr>
          <w:rFonts w:ascii="Verdana" w:eastAsia="Geomanist Light" w:hAnsi="Verdana" w:cs="Arial"/>
          <w:color w:val="000000" w:themeColor="text1"/>
        </w:rPr>
      </w:pPr>
    </w:p>
    <w:p w14:paraId="6F6AA2FC" w14:textId="77777777" w:rsidR="003A7026" w:rsidRDefault="003A7026" w:rsidP="00506C1E">
      <w:pPr>
        <w:spacing w:after="0" w:line="240" w:lineRule="auto"/>
        <w:rPr>
          <w:rFonts w:ascii="Verdana" w:eastAsia="Geomanist Light" w:hAnsi="Verdana" w:cs="Arial"/>
          <w:color w:val="000000" w:themeColor="text1"/>
        </w:rPr>
      </w:pPr>
    </w:p>
    <w:p w14:paraId="16F10B29" w14:textId="77777777" w:rsidR="003A7026" w:rsidRDefault="003A7026" w:rsidP="00506C1E">
      <w:pPr>
        <w:spacing w:after="0" w:line="240" w:lineRule="auto"/>
        <w:rPr>
          <w:rFonts w:ascii="Verdana" w:eastAsia="Geomanist Light" w:hAnsi="Verdana" w:cs="Arial"/>
          <w:color w:val="000000" w:themeColor="text1"/>
        </w:rPr>
      </w:pPr>
    </w:p>
    <w:p w14:paraId="69D74F85" w14:textId="77777777" w:rsidR="003A7026" w:rsidRDefault="003A7026" w:rsidP="00506C1E">
      <w:pPr>
        <w:spacing w:after="0" w:line="240" w:lineRule="auto"/>
        <w:rPr>
          <w:rFonts w:ascii="Verdana" w:eastAsia="Geomanist Light" w:hAnsi="Verdana" w:cs="Arial"/>
          <w:color w:val="000000" w:themeColor="text1"/>
        </w:rPr>
      </w:pPr>
    </w:p>
    <w:p w14:paraId="557E4E85" w14:textId="77777777" w:rsidR="003A7026" w:rsidRDefault="003A7026" w:rsidP="00506C1E">
      <w:pPr>
        <w:spacing w:after="0" w:line="240" w:lineRule="auto"/>
        <w:rPr>
          <w:rFonts w:ascii="Verdana" w:eastAsia="Geomanist Light" w:hAnsi="Verdana" w:cs="Arial"/>
          <w:color w:val="000000" w:themeColor="text1"/>
        </w:rPr>
      </w:pPr>
    </w:p>
    <w:p w14:paraId="662D4D89" w14:textId="77777777" w:rsidR="003A7026" w:rsidRDefault="003A7026" w:rsidP="00506C1E">
      <w:pPr>
        <w:spacing w:after="0" w:line="240" w:lineRule="auto"/>
        <w:rPr>
          <w:rFonts w:ascii="Verdana" w:eastAsia="Geomanist Light" w:hAnsi="Verdana" w:cs="Arial"/>
          <w:color w:val="000000" w:themeColor="text1"/>
        </w:rPr>
      </w:pPr>
    </w:p>
    <w:p w14:paraId="0DA10FF8" w14:textId="77777777" w:rsidR="003A7026" w:rsidRDefault="003A7026" w:rsidP="00506C1E">
      <w:pPr>
        <w:spacing w:after="0" w:line="240" w:lineRule="auto"/>
        <w:rPr>
          <w:rFonts w:ascii="Verdana" w:eastAsia="Geomanist Light" w:hAnsi="Verdana" w:cs="Arial"/>
          <w:color w:val="000000" w:themeColor="text1"/>
        </w:rPr>
      </w:pPr>
    </w:p>
    <w:p w14:paraId="325EA2A4" w14:textId="77777777" w:rsidR="003A7026" w:rsidRDefault="003A7026" w:rsidP="00506C1E">
      <w:pPr>
        <w:spacing w:after="0" w:line="240" w:lineRule="auto"/>
        <w:rPr>
          <w:rFonts w:ascii="Verdana" w:eastAsia="Geomanist Light" w:hAnsi="Verdana" w:cs="Arial"/>
          <w:color w:val="000000" w:themeColor="text1"/>
        </w:rPr>
      </w:pPr>
    </w:p>
    <w:p w14:paraId="4A0A90BD" w14:textId="77777777" w:rsidR="003A7026" w:rsidRDefault="003A7026" w:rsidP="00506C1E">
      <w:pPr>
        <w:spacing w:after="0" w:line="240" w:lineRule="auto"/>
        <w:rPr>
          <w:rFonts w:ascii="Verdana" w:eastAsia="Geomanist Light" w:hAnsi="Verdana" w:cs="Arial"/>
          <w:color w:val="000000" w:themeColor="text1"/>
        </w:rPr>
      </w:pPr>
    </w:p>
    <w:p w14:paraId="737494F7" w14:textId="77777777" w:rsidR="003A7026" w:rsidRDefault="003A7026" w:rsidP="00506C1E">
      <w:pPr>
        <w:spacing w:after="0" w:line="240" w:lineRule="auto"/>
        <w:rPr>
          <w:rFonts w:ascii="Verdana" w:eastAsia="Geomanist Light" w:hAnsi="Verdana" w:cs="Arial"/>
          <w:color w:val="000000" w:themeColor="text1"/>
        </w:rPr>
      </w:pPr>
    </w:p>
    <w:p w14:paraId="08895C64" w14:textId="77777777" w:rsidR="003A7026" w:rsidRDefault="003A7026" w:rsidP="00506C1E">
      <w:pPr>
        <w:spacing w:after="0" w:line="240" w:lineRule="auto"/>
        <w:rPr>
          <w:rFonts w:ascii="Verdana" w:eastAsia="Geomanist Light" w:hAnsi="Verdana" w:cs="Arial"/>
          <w:color w:val="000000" w:themeColor="text1"/>
        </w:rPr>
      </w:pPr>
    </w:p>
    <w:p w14:paraId="514CDBC2" w14:textId="77777777" w:rsidR="003A7026" w:rsidRPr="003A7026" w:rsidRDefault="003A7026" w:rsidP="00506C1E">
      <w:pPr>
        <w:spacing w:after="0" w:line="240" w:lineRule="auto"/>
        <w:rPr>
          <w:rFonts w:ascii="Verdana" w:eastAsia="Geomanist Light" w:hAnsi="Verdana" w:cs="Arial"/>
          <w:color w:val="000000" w:themeColor="text1"/>
        </w:rPr>
      </w:pPr>
    </w:p>
    <w:p w14:paraId="29A7CC81" w14:textId="77777777" w:rsidR="003A7026" w:rsidRDefault="003A7026" w:rsidP="00506C1E">
      <w:pPr>
        <w:spacing w:after="0" w:line="240" w:lineRule="auto"/>
        <w:rPr>
          <w:rFonts w:ascii="Verdana" w:eastAsia="Geomanist Light" w:hAnsi="Verdana" w:cs="Arial"/>
          <w:color w:val="000000" w:themeColor="text1"/>
          <w:lang w:val="es-MX"/>
        </w:rPr>
      </w:pPr>
    </w:p>
    <w:p w14:paraId="7B1DD7C4" w14:textId="0C977673" w:rsidR="00506C1E" w:rsidRPr="00593A5F" w:rsidRDefault="00506C1E" w:rsidP="00506C1E">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6A3FB9">
        <w:rPr>
          <w:rFonts w:ascii="Verdana" w:eastAsia="Geomanist Light" w:hAnsi="Verdana" w:cs="Arial"/>
          <w:color w:val="000000" w:themeColor="text1"/>
          <w:lang w:val="es-MX"/>
        </w:rPr>
        <w:t>06 de Noviembre de 2025</w:t>
      </w:r>
    </w:p>
    <w:p w14:paraId="42EB844C" w14:textId="77777777" w:rsidR="00506C1E" w:rsidRDefault="00506C1E" w:rsidP="00506C1E">
      <w:pPr>
        <w:spacing w:after="0" w:line="240" w:lineRule="auto"/>
        <w:jc w:val="both"/>
        <w:rPr>
          <w:rFonts w:ascii="Verdana" w:eastAsia="Calibri" w:hAnsi="Verdana" w:cs="Arial"/>
          <w:color w:val="000000"/>
          <w:lang w:val="es-ES"/>
        </w:rPr>
      </w:pPr>
    </w:p>
    <w:p w14:paraId="46FED0B1" w14:textId="01B58F13" w:rsidR="00370523" w:rsidRDefault="00370523" w:rsidP="00370523">
      <w:pPr>
        <w:spacing w:after="0" w:line="240" w:lineRule="auto"/>
        <w:jc w:val="right"/>
        <w:rPr>
          <w:rFonts w:ascii="Verdana" w:eastAsia="Calibri" w:hAnsi="Verdana" w:cs="Arial"/>
          <w:color w:val="000000"/>
          <w:lang w:val="es-ES"/>
        </w:rPr>
      </w:pPr>
      <w:r w:rsidRPr="00370523">
        <w:rPr>
          <w:rFonts w:ascii="Verdana" w:eastAsia="Calibri" w:hAnsi="Verdana" w:cs="Arial"/>
          <w:noProof/>
          <w:color w:val="000000"/>
          <w:lang w:val="es-ES"/>
        </w:rPr>
        <w:drawing>
          <wp:inline distT="0" distB="0" distL="0" distR="0" wp14:anchorId="2D3E6BC0" wp14:editId="4EB85FCC">
            <wp:extent cx="2400300" cy="622300"/>
            <wp:effectExtent l="0" t="0" r="0" b="0"/>
            <wp:docPr id="10260704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070415" name=""/>
                    <pic:cNvPicPr/>
                  </pic:nvPicPr>
                  <pic:blipFill>
                    <a:blip r:embed="rId10"/>
                    <a:stretch>
                      <a:fillRect/>
                    </a:stretch>
                  </pic:blipFill>
                  <pic:spPr>
                    <a:xfrm>
                      <a:off x="0" y="0"/>
                      <a:ext cx="2400300" cy="622300"/>
                    </a:xfrm>
                    <a:prstGeom prst="rect">
                      <a:avLst/>
                    </a:prstGeom>
                  </pic:spPr>
                </pic:pic>
              </a:graphicData>
            </a:graphic>
          </wp:inline>
        </w:drawing>
      </w:r>
    </w:p>
    <w:p w14:paraId="603F2875" w14:textId="77777777" w:rsidR="00506C1E" w:rsidRPr="00593A5F" w:rsidRDefault="00506C1E" w:rsidP="00506C1E">
      <w:pPr>
        <w:spacing w:after="0" w:line="240" w:lineRule="auto"/>
        <w:jc w:val="both"/>
        <w:rPr>
          <w:rFonts w:ascii="Verdana" w:eastAsia="Calibri" w:hAnsi="Verdana" w:cs="Arial"/>
          <w:color w:val="000000"/>
          <w:lang w:val="es-ES"/>
        </w:rPr>
      </w:pPr>
    </w:p>
    <w:p w14:paraId="71FFE9F7" w14:textId="77777777" w:rsidR="00506C1E" w:rsidRPr="00B96799" w:rsidRDefault="00506C1E" w:rsidP="00506C1E">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1BFA44B" w14:textId="77777777" w:rsidR="00506C1E" w:rsidRPr="0085423D" w:rsidRDefault="00506C1E" w:rsidP="00506C1E">
      <w:pPr>
        <w:spacing w:after="0" w:line="240" w:lineRule="auto"/>
        <w:rPr>
          <w:rFonts w:ascii="Verdana" w:eastAsia="Calibri" w:hAnsi="Verdana" w:cs="Arial"/>
          <w:b/>
          <w:lang w:val="es-ES" w:eastAsia="es-ES"/>
        </w:rPr>
      </w:pPr>
      <w:r w:rsidRPr="4AD6C21E">
        <w:rPr>
          <w:rFonts w:ascii="Verdana" w:eastAsia="Calibri" w:hAnsi="Verdana" w:cs="Arial"/>
          <w:b/>
          <w:lang w:val="es-ES" w:eastAsia="es-ES"/>
        </w:rPr>
        <w:t xml:space="preserve">Juan Camilo Jaimes Vargas </w:t>
      </w:r>
    </w:p>
    <w:p w14:paraId="300E7297" w14:textId="77777777" w:rsidR="00506C1E" w:rsidRPr="00C22FA0" w:rsidRDefault="00506C1E" w:rsidP="00506C1E">
      <w:pPr>
        <w:spacing w:after="0" w:line="240" w:lineRule="auto"/>
        <w:rPr>
          <w:rFonts w:ascii="Verdana" w:eastAsia="Calibri" w:hAnsi="Verdana" w:cs="Arial"/>
          <w:lang w:val="es-ES" w:eastAsia="es-ES"/>
        </w:rPr>
      </w:pPr>
      <w:hyperlink r:id="rId11" w:history="1">
        <w:r w:rsidRPr="00A65C76">
          <w:rPr>
            <w:rStyle w:val="Hipervnculo"/>
            <w:rFonts w:ascii="Verdana" w:hAnsi="Verdana"/>
          </w:rPr>
          <w:t>juancjaimes07@hotmail.com</w:t>
        </w:r>
      </w:hyperlink>
      <w:r>
        <w:rPr>
          <w:rFonts w:ascii="Verdana" w:hAnsi="Verdana"/>
        </w:rPr>
        <w:t xml:space="preserve"> </w:t>
      </w:r>
      <w:r w:rsidRPr="00C22FA0">
        <w:rPr>
          <w:rFonts w:ascii="Verdana" w:hAnsi="Verdana"/>
        </w:rPr>
        <w:t xml:space="preserve">             </w:t>
      </w:r>
      <w:r w:rsidRPr="00C22FA0">
        <w:rPr>
          <w:rFonts w:ascii="Verdana" w:eastAsia="Calibri" w:hAnsi="Verdana" w:cs="Arial"/>
          <w:lang w:val="es-ES" w:eastAsia="es-ES"/>
        </w:rPr>
        <w:t xml:space="preserve">    </w:t>
      </w:r>
    </w:p>
    <w:p w14:paraId="354EDE2E" w14:textId="77777777" w:rsidR="00506C1E" w:rsidRDefault="00506C1E" w:rsidP="00506C1E">
      <w:pPr>
        <w:spacing w:after="0" w:line="240" w:lineRule="auto"/>
        <w:rPr>
          <w:rFonts w:ascii="Verdana" w:eastAsia="Calibri" w:hAnsi="Verdana" w:cs="Arial"/>
          <w:lang w:val="es-ES" w:eastAsia="es-ES"/>
        </w:rPr>
      </w:pPr>
      <w:r>
        <w:rPr>
          <w:rFonts w:ascii="Verdana" w:eastAsia="Calibri" w:hAnsi="Verdana" w:cs="Arial"/>
          <w:lang w:val="es-ES" w:eastAsia="es-ES"/>
        </w:rPr>
        <w:t xml:space="preserve">Bucaramanga, Santander </w:t>
      </w:r>
    </w:p>
    <w:p w14:paraId="2DAE5497" w14:textId="77777777" w:rsidR="00506C1E" w:rsidRPr="00593A5F" w:rsidRDefault="00506C1E" w:rsidP="00506C1E">
      <w:pPr>
        <w:spacing w:after="0" w:line="240" w:lineRule="auto"/>
        <w:rPr>
          <w:rFonts w:ascii="Verdana" w:eastAsia="Calibri" w:hAnsi="Verdana" w:cs="Arial"/>
          <w:b/>
          <w:bCs/>
          <w:color w:val="000000"/>
          <w:lang w:val="es-ES_tradnl" w:eastAsia="es-ES_tradnl"/>
        </w:rPr>
      </w:pPr>
    </w:p>
    <w:p w14:paraId="13F00272" w14:textId="77777777" w:rsidR="00506C1E" w:rsidRPr="00593A5F" w:rsidRDefault="00506C1E" w:rsidP="00506C1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06C1E" w:rsidRPr="00593A5F" w14:paraId="2275EF4B" w14:textId="77777777" w:rsidTr="00993118">
        <w:trPr>
          <w:trHeight w:val="884"/>
        </w:trPr>
        <w:tc>
          <w:tcPr>
            <w:tcW w:w="2689" w:type="dxa"/>
          </w:tcPr>
          <w:p w14:paraId="799A7DDE" w14:textId="77777777" w:rsidR="00506C1E" w:rsidRPr="00C00976" w:rsidRDefault="00506C1E" w:rsidP="00993118">
            <w:pPr>
              <w:jc w:val="both"/>
              <w:rPr>
                <w:rFonts w:ascii="Verdana" w:eastAsia="Calibri" w:hAnsi="Verdana" w:cs="Arial"/>
                <w:b/>
                <w:bCs/>
                <w:color w:val="7030A0"/>
                <w:lang w:val="es-ES_tradnl" w:eastAsia="es-ES_tradnl"/>
              </w:rPr>
            </w:pPr>
          </w:p>
        </w:tc>
        <w:tc>
          <w:tcPr>
            <w:tcW w:w="6100" w:type="dxa"/>
          </w:tcPr>
          <w:p w14:paraId="36DB9F2A" w14:textId="2A94242D" w:rsidR="00506C1E" w:rsidRPr="00C00976" w:rsidRDefault="00506C1E" w:rsidP="0099311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395C46">
              <w:rPr>
                <w:rFonts w:ascii="Verdana" w:eastAsia="Calibri" w:hAnsi="Verdana" w:cs="Arial"/>
                <w:b/>
                <w:bCs/>
                <w:lang w:val="es-ES" w:eastAsia="es-ES"/>
              </w:rPr>
              <w:t>1581</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506C1E" w:rsidRPr="00593A5F" w14:paraId="16E99D89" w14:textId="77777777" w:rsidTr="00993118">
        <w:trPr>
          <w:trHeight w:val="884"/>
        </w:trPr>
        <w:tc>
          <w:tcPr>
            <w:tcW w:w="2689" w:type="dxa"/>
          </w:tcPr>
          <w:p w14:paraId="2169CC57" w14:textId="77777777" w:rsidR="00506C1E" w:rsidRPr="00593A5F" w:rsidRDefault="00506C1E" w:rsidP="009931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2D0F301" w14:textId="77777777" w:rsidR="00506C1E" w:rsidRPr="00A11406" w:rsidRDefault="00506C1E" w:rsidP="00993118">
            <w:pPr>
              <w:spacing w:line="276" w:lineRule="auto"/>
              <w:jc w:val="both"/>
              <w:rPr>
                <w:rFonts w:ascii="Verdana" w:eastAsia="Calibri" w:hAnsi="Verdana" w:cs="Arial"/>
                <w:lang w:val="es-ES" w:eastAsia="es-ES"/>
              </w:rPr>
            </w:pPr>
            <w:r w:rsidRPr="00454111">
              <w:rPr>
                <w:rFonts w:ascii="Verdana" w:eastAsia="Calibri" w:hAnsi="Verdana" w:cs="Arial"/>
                <w:lang w:val="es-ES" w:eastAsia="es-ES"/>
              </w:rPr>
              <w:t>CONTRATO ESTATAL – Finalidad</w:t>
            </w:r>
            <w:r>
              <w:rPr>
                <w:rFonts w:ascii="Verdana" w:eastAsia="Calibri" w:hAnsi="Verdana" w:cs="Arial"/>
                <w:lang w:val="es-ES" w:eastAsia="es-ES"/>
              </w:rPr>
              <w:t xml:space="preserve"> / </w:t>
            </w:r>
            <w:r w:rsidRPr="00454111">
              <w:rPr>
                <w:rFonts w:ascii="Verdana" w:eastAsia="Calibri" w:hAnsi="Verdana" w:cs="Arial"/>
                <w:lang w:val="es-ES" w:eastAsia="es-ES"/>
              </w:rPr>
              <w:t>PRINCIPIO DE TRANSPARENCIA – Observaciones – Fundamento</w:t>
            </w:r>
            <w:r>
              <w:rPr>
                <w:rFonts w:ascii="Verdana" w:eastAsia="Calibri" w:hAnsi="Verdana" w:cs="Arial"/>
                <w:lang w:val="es-ES" w:eastAsia="es-ES"/>
              </w:rPr>
              <w:t xml:space="preserve"> / </w:t>
            </w:r>
            <w:r w:rsidRPr="00454111">
              <w:rPr>
                <w:rFonts w:ascii="Verdana" w:eastAsia="Calibri" w:hAnsi="Verdana" w:cs="Arial"/>
                <w:lang w:val="es-ES" w:eastAsia="es-ES"/>
              </w:rPr>
              <w:t>PROYECTO DE PLIEGO DE CONDICIONES – Observaciones – Plazo para responder</w:t>
            </w:r>
            <w:r>
              <w:rPr>
                <w:rFonts w:ascii="Verdana" w:eastAsia="Calibri" w:hAnsi="Verdana" w:cs="Arial"/>
                <w:lang w:val="es-ES" w:eastAsia="es-ES"/>
              </w:rPr>
              <w:t xml:space="preserve"> / </w:t>
            </w:r>
            <w:r w:rsidRPr="00454111">
              <w:rPr>
                <w:rFonts w:ascii="Verdana" w:eastAsia="Calibri" w:hAnsi="Verdana" w:cs="Arial"/>
                <w:lang w:val="es-ES" w:eastAsia="es-ES"/>
              </w:rPr>
              <w:t xml:space="preserve">OBSERVACIONES – Oportunidad – Derecho de petición – Legitimación – Derecho a lo pedido – Distinción </w:t>
            </w:r>
            <w:r w:rsidRPr="00FE39ED">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5075F8E" w14:textId="77777777" w:rsidR="00506C1E" w:rsidRPr="00593A5F" w:rsidRDefault="00506C1E" w:rsidP="0099311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06C1E" w:rsidRPr="008E6AD9" w14:paraId="439CC713" w14:textId="77777777" w:rsidTr="00993118">
        <w:tc>
          <w:tcPr>
            <w:tcW w:w="2689" w:type="dxa"/>
          </w:tcPr>
          <w:p w14:paraId="1B4D472C" w14:textId="77777777" w:rsidR="00506C1E" w:rsidRPr="008E6AD9" w:rsidRDefault="00506C1E" w:rsidP="0099311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EB01183" w14:textId="77777777" w:rsidR="00506C1E" w:rsidRPr="00B92340" w:rsidRDefault="00506C1E" w:rsidP="0099311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7F3DE3">
              <w:rPr>
                <w:rFonts w:ascii="Verdana" w:eastAsia="Calibri" w:hAnsi="Verdana" w:cs="Arial"/>
                <w:lang w:val="es-ES_tradnl" w:eastAsia="es-ES_tradnl"/>
              </w:rPr>
              <w:t>1_2025_10_28_012085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08E00BC" w14:textId="77777777" w:rsidR="00506C1E" w:rsidRPr="00593A5F" w:rsidRDefault="00506C1E" w:rsidP="00506C1E">
      <w:pPr>
        <w:spacing w:after="0" w:line="240" w:lineRule="auto"/>
        <w:jc w:val="both"/>
        <w:rPr>
          <w:rFonts w:ascii="Verdana" w:eastAsia="Calibri" w:hAnsi="Verdana" w:cs="Arial"/>
          <w:color w:val="000000"/>
          <w:lang w:val="es-ES_tradnl" w:eastAsia="es-ES_tradnl"/>
        </w:rPr>
      </w:pPr>
    </w:p>
    <w:p w14:paraId="12BF2E86" w14:textId="77777777" w:rsidR="00506C1E" w:rsidRPr="00593A5F" w:rsidRDefault="00506C1E" w:rsidP="00506C1E">
      <w:pPr>
        <w:spacing w:after="0" w:line="240" w:lineRule="auto"/>
        <w:jc w:val="both"/>
        <w:rPr>
          <w:rFonts w:ascii="Verdana" w:eastAsia="Calibri" w:hAnsi="Verdana" w:cs="Arial"/>
          <w:color w:val="000000"/>
          <w:lang w:val="es-ES_tradnl" w:eastAsia="es-ES_tradnl"/>
        </w:rPr>
      </w:pPr>
    </w:p>
    <w:p w14:paraId="4B6898AE" w14:textId="77777777" w:rsidR="00506C1E" w:rsidRPr="008E6AD9" w:rsidRDefault="00506C1E" w:rsidP="00506C1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C22FA0">
        <w:rPr>
          <w:rFonts w:ascii="Verdana" w:eastAsia="Calibri" w:hAnsi="Verdana" w:cs="Arial"/>
          <w:lang w:val="es-ES" w:eastAsia="es-ES"/>
        </w:rPr>
        <w:t>Jaimes Vargas</w:t>
      </w:r>
      <w:r w:rsidRPr="008E6AD9">
        <w:rPr>
          <w:rFonts w:ascii="Verdana" w:eastAsia="Calibri" w:hAnsi="Verdana" w:cs="Arial"/>
          <w:lang w:val="es-ES" w:eastAsia="es-ES"/>
        </w:rPr>
        <w:t xml:space="preserve">: </w:t>
      </w:r>
    </w:p>
    <w:p w14:paraId="06B6286D" w14:textId="77777777" w:rsidR="00506C1E" w:rsidRDefault="00506C1E" w:rsidP="00506C1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5398F94" w14:textId="77777777" w:rsidR="00506C1E" w:rsidRPr="00593A5F" w:rsidRDefault="00506C1E" w:rsidP="00506C1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28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pregunta lo siguiente</w:t>
      </w:r>
      <w:r w:rsidRPr="008E6AD9">
        <w:rPr>
          <w:rFonts w:ascii="Verdana" w:eastAsia="Calibri" w:hAnsi="Verdana" w:cs="Arial"/>
          <w:lang w:val="es-ES" w:eastAsia="es-ES"/>
        </w:rPr>
        <w:t xml:space="preserve">: </w:t>
      </w:r>
    </w:p>
    <w:p w14:paraId="5C45DA29" w14:textId="77777777" w:rsidR="00506C1E" w:rsidRPr="00272A7B" w:rsidRDefault="00506C1E" w:rsidP="00506C1E">
      <w:pPr>
        <w:pStyle w:val="Prrafodelista"/>
        <w:tabs>
          <w:tab w:val="left" w:pos="142"/>
          <w:tab w:val="left" w:pos="284"/>
        </w:tabs>
        <w:spacing w:after="0" w:line="276" w:lineRule="auto"/>
        <w:ind w:left="0"/>
        <w:jc w:val="both"/>
        <w:rPr>
          <w:rFonts w:ascii="Verdana" w:eastAsia="Century Gothic" w:hAnsi="Verdana" w:cs="Century Gothic"/>
          <w:b/>
          <w:bCs/>
        </w:rPr>
      </w:pPr>
    </w:p>
    <w:p w14:paraId="7ECF35FA" w14:textId="77777777" w:rsidR="00506C1E" w:rsidRPr="001904AF" w:rsidRDefault="00506C1E" w:rsidP="00506C1E">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C22FA0">
        <w:rPr>
          <w:rFonts w:ascii="Verdana" w:eastAsia="Century Gothic" w:hAnsi="Verdana" w:cs="Century Gothic"/>
          <w:sz w:val="20"/>
          <w:szCs w:val="20"/>
          <w:lang w:val="es-ES"/>
        </w:rPr>
        <w:t xml:space="preserve">¿En el marco de un proceso de selección abreviada mediante subasta inversa financiado con recursos de crédito público previamente aprobados por el Concejo Municipal, pueden los concejales formular observaciones durante la etapa de borrador del proceso de contratación? En caso </w:t>
      </w:r>
      <w:r w:rsidRPr="00C22FA0">
        <w:rPr>
          <w:rFonts w:ascii="Verdana" w:eastAsia="Century Gothic" w:hAnsi="Verdana" w:cs="Century Gothic"/>
          <w:sz w:val="20"/>
          <w:szCs w:val="20"/>
          <w:lang w:val="es-ES"/>
        </w:rPr>
        <w:lastRenderedPageBreak/>
        <w:t>afirmativo, ¿cuáles son los límites de dichas observaciones para no incurrir en coadministración ni intervenir en asuntos propios de la competencia de la administración municipal?</w:t>
      </w:r>
      <w:r w:rsidRPr="001904AF">
        <w:rPr>
          <w:rFonts w:ascii="Verdana" w:eastAsia="Century Gothic" w:hAnsi="Verdana" w:cs="Century Gothic"/>
          <w:sz w:val="20"/>
          <w:szCs w:val="20"/>
          <w:lang w:val="es-ES"/>
        </w:rPr>
        <w:t>”.</w:t>
      </w:r>
    </w:p>
    <w:p w14:paraId="6E56A4EA" w14:textId="77777777" w:rsidR="00506C1E" w:rsidRPr="008E6AD9" w:rsidRDefault="00506C1E" w:rsidP="00506C1E">
      <w:pPr>
        <w:pStyle w:val="Prrafodelista"/>
        <w:tabs>
          <w:tab w:val="left" w:pos="142"/>
          <w:tab w:val="left" w:pos="284"/>
        </w:tabs>
        <w:spacing w:after="0" w:line="276" w:lineRule="auto"/>
        <w:ind w:left="0"/>
        <w:jc w:val="both"/>
        <w:rPr>
          <w:rFonts w:ascii="Verdana" w:eastAsia="Century Gothic" w:hAnsi="Verdana" w:cs="Century Gothic"/>
          <w:b/>
          <w:bCs/>
        </w:rPr>
      </w:pPr>
    </w:p>
    <w:p w14:paraId="0D0190D5" w14:textId="77777777" w:rsidR="00506C1E" w:rsidRPr="00A652FF" w:rsidRDefault="00506C1E" w:rsidP="00506C1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1DFD8B" w14:textId="77777777" w:rsidR="00506C1E" w:rsidRDefault="00506C1E" w:rsidP="00506C1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9947FE1" w14:textId="77777777" w:rsidR="00506C1E" w:rsidRPr="00593A5F" w:rsidRDefault="00506C1E" w:rsidP="00506C1E">
      <w:pPr>
        <w:spacing w:after="0" w:line="276" w:lineRule="auto"/>
        <w:ind w:firstLine="709"/>
        <w:jc w:val="both"/>
        <w:rPr>
          <w:rFonts w:ascii="Verdana" w:eastAsia="Calibri" w:hAnsi="Verdana" w:cs="Arial"/>
          <w:color w:val="000000"/>
          <w:lang w:val="es-ES" w:eastAsia="es-ES"/>
        </w:rPr>
      </w:pPr>
    </w:p>
    <w:p w14:paraId="00FAD866" w14:textId="77777777" w:rsidR="00506C1E" w:rsidRPr="00593A5F" w:rsidRDefault="00506C1E" w:rsidP="00506C1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24C659F" w14:textId="77777777" w:rsidR="00506C1E" w:rsidRPr="00593A5F" w:rsidRDefault="00506C1E" w:rsidP="00506C1E">
      <w:pPr>
        <w:tabs>
          <w:tab w:val="left" w:pos="426"/>
        </w:tabs>
        <w:spacing w:after="0" w:line="276" w:lineRule="auto"/>
        <w:jc w:val="both"/>
        <w:rPr>
          <w:rFonts w:ascii="Verdana" w:eastAsia="Century Gothic" w:hAnsi="Verdana" w:cs="Century Gothic"/>
          <w:lang w:val="es-ES"/>
        </w:rPr>
      </w:pPr>
    </w:p>
    <w:p w14:paraId="37E350D1" w14:textId="6F3D5436" w:rsidR="00506C1E" w:rsidRPr="00593A5F" w:rsidRDefault="00506C1E" w:rsidP="00506C1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sidR="523563B2" w:rsidRPr="78F01B6D">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w:t>
      </w:r>
      <w:r w:rsidRPr="78F01B6D">
        <w:rPr>
          <w:rFonts w:ascii="Verdana" w:eastAsia="Century Gothic" w:hAnsi="Verdana" w:cs="Century Gothic"/>
        </w:rPr>
        <w:t>jurídico</w:t>
      </w:r>
      <w:r w:rsidRPr="00906BE9">
        <w:rPr>
          <w:rFonts w:ascii="Verdana" w:eastAsia="Century Gothic" w:hAnsi="Verdana" w:cs="Century Gothic"/>
        </w:rPr>
        <w:t>:</w:t>
      </w:r>
      <w:r>
        <w:rPr>
          <w:rFonts w:ascii="Verdana" w:eastAsia="Century Gothic" w:hAnsi="Verdana" w:cs="Century Gothic"/>
        </w:rPr>
        <w:t xml:space="preserve"> ¿quiénes pueden formular observaciones al borrador de los </w:t>
      </w:r>
      <w:r w:rsidR="7A7B5BCE" w:rsidRPr="78F01B6D">
        <w:rPr>
          <w:rFonts w:ascii="Verdana" w:eastAsia="Century Gothic" w:hAnsi="Verdana" w:cs="Century Gothic"/>
        </w:rPr>
        <w:t xml:space="preserve">documentos previos de los </w:t>
      </w:r>
      <w:r>
        <w:rPr>
          <w:rFonts w:ascii="Verdana" w:eastAsia="Century Gothic" w:hAnsi="Verdana" w:cs="Century Gothic"/>
        </w:rPr>
        <w:t xml:space="preserve">procesos de selección y con qué limitaciones pueden hacerlo?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26A02EEB" w14:textId="77777777" w:rsidR="00506C1E" w:rsidRPr="004B140F" w:rsidRDefault="00506C1E" w:rsidP="00506C1E">
      <w:pPr>
        <w:spacing w:after="0" w:line="276" w:lineRule="auto"/>
        <w:jc w:val="both"/>
        <w:rPr>
          <w:rFonts w:ascii="Verdana" w:eastAsia="Calibri" w:hAnsi="Verdana" w:cs="Arial"/>
          <w:color w:val="7030A0"/>
        </w:rPr>
      </w:pPr>
    </w:p>
    <w:p w14:paraId="6A34A617" w14:textId="77777777" w:rsidR="00506C1E" w:rsidRPr="00593A5F" w:rsidRDefault="00506C1E" w:rsidP="00506C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0D4AD75" w14:textId="77777777" w:rsidR="00506C1E" w:rsidRPr="00593A5F" w:rsidRDefault="00506C1E" w:rsidP="00506C1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6C1E" w:rsidRPr="00593A5F" w14:paraId="79746991" w14:textId="77777777" w:rsidTr="00993118">
        <w:trPr>
          <w:jc w:val="center"/>
        </w:trPr>
        <w:tc>
          <w:tcPr>
            <w:tcW w:w="8828" w:type="dxa"/>
            <w:shd w:val="clear" w:color="auto" w:fill="auto"/>
          </w:tcPr>
          <w:p w14:paraId="7A0F0099" w14:textId="77777777" w:rsidR="00506C1E" w:rsidRPr="00661939" w:rsidRDefault="00506C1E" w:rsidP="00993118">
            <w:pPr>
              <w:spacing w:after="120" w:line="276" w:lineRule="auto"/>
              <w:ind w:right="51"/>
              <w:jc w:val="both"/>
              <w:rPr>
                <w:rFonts w:ascii="Verdana" w:eastAsia="Calibri" w:hAnsi="Verdana" w:cs="Arial"/>
                <w:bCs/>
                <w:color w:val="000000" w:themeColor="text1"/>
              </w:rPr>
            </w:pPr>
            <w:bookmarkStart w:id="1" w:name="_Hlk171694685"/>
            <w:r>
              <w:rPr>
                <w:rFonts w:ascii="Verdana" w:eastAsia="Calibri" w:hAnsi="Verdana" w:cs="Arial"/>
                <w:bCs/>
                <w:color w:val="000000" w:themeColor="text1"/>
              </w:rPr>
              <w:t>Conforme a la interpretación general de las normas del sistema de compras públicas</w:t>
            </w:r>
            <w:r w:rsidRPr="00E2397D">
              <w:rPr>
                <w:rFonts w:ascii="Verdana" w:eastAsia="Arial" w:hAnsi="Verdana" w:cs="Arial"/>
                <w:lang w:val="es-MX" w:eastAsia="es-ES" w:bidi="es-ES"/>
              </w:rPr>
              <w:t xml:space="preserve">, </w:t>
            </w:r>
            <w:r>
              <w:rPr>
                <w:rFonts w:ascii="Verdana" w:eastAsia="Arial" w:hAnsi="Verdana" w:cs="Arial"/>
                <w:lang w:val="es-MX" w:eastAsia="es-ES" w:bidi="es-ES"/>
              </w:rPr>
              <w:t xml:space="preserve">de acuerdo con el artículo 24.2 de la Ley 80 de 1993, </w:t>
            </w:r>
            <w:r w:rsidRPr="00B745D2">
              <w:rPr>
                <w:rFonts w:ascii="Verdana" w:eastAsia="Arial" w:hAnsi="Verdana" w:cs="Arial"/>
                <w:lang w:val="es-MX" w:eastAsia="es-ES" w:bidi="es-ES"/>
              </w:rPr>
              <w:t xml:space="preserve">el principio de transparencia garantiza la participación tanto de los interesados como de la ciudadanía en general en las actuaciones contractuales adelantadas por las entidades estatales. Esta participación se materializa en la oportunidad </w:t>
            </w:r>
            <w:r w:rsidRPr="00B745D2">
              <w:rPr>
                <w:rFonts w:ascii="Verdana" w:eastAsia="Arial" w:hAnsi="Verdana" w:cs="Arial"/>
                <w:lang w:val="es-MX" w:eastAsia="es-ES" w:bidi="es-ES"/>
              </w:rPr>
              <w:lastRenderedPageBreak/>
              <w:t>concedida para presentar observaciones en las distintas etapas o fases del proceso que culmina con la celebración del contrato estatal, lo cual busca salvaguardar también el ejercicio del derecho de contradicción en las actuaciones administrativas</w:t>
            </w:r>
            <w:r>
              <w:rPr>
                <w:rFonts w:ascii="Verdana" w:eastAsia="Arial" w:hAnsi="Verdana" w:cs="Arial"/>
                <w:lang w:val="es-MX" w:eastAsia="es-ES" w:bidi="es-ES"/>
              </w:rPr>
              <w:t>.</w:t>
            </w:r>
          </w:p>
          <w:p w14:paraId="2C96D609" w14:textId="77777777" w:rsidR="00506C1E" w:rsidRPr="00981BF5" w:rsidRDefault="00506C1E" w:rsidP="00993118">
            <w:pPr>
              <w:spacing w:before="120" w:after="120" w:line="276" w:lineRule="auto"/>
              <w:ind w:firstLine="709"/>
              <w:jc w:val="both"/>
              <w:rPr>
                <w:rFonts w:ascii="Verdana" w:hAnsi="Verdana" w:cs="Arial"/>
                <w:color w:val="000000" w:themeColor="text1"/>
              </w:rPr>
            </w:pPr>
            <w:r w:rsidRPr="00564010">
              <w:rPr>
                <w:rFonts w:ascii="Verdana" w:eastAsia="Calibri" w:hAnsi="Verdana" w:cs="Arial"/>
                <w:bCs/>
                <w:i/>
                <w:iCs/>
                <w:color w:val="000000" w:themeColor="text1"/>
              </w:rPr>
              <w:t>Respecto al borrador del proceso contractual</w:t>
            </w:r>
            <w:r>
              <w:rPr>
                <w:rFonts w:ascii="Verdana" w:eastAsia="Calibri" w:hAnsi="Verdana" w:cs="Arial"/>
                <w:bCs/>
                <w:color w:val="000000" w:themeColor="text1"/>
              </w:rPr>
              <w:t>, l</w:t>
            </w:r>
            <w:r w:rsidRPr="00981BF5">
              <w:rPr>
                <w:rFonts w:ascii="Verdana" w:hAnsi="Verdana" w:cs="Arial"/>
                <w:color w:val="000000" w:themeColor="text1"/>
              </w:rPr>
              <w:t>a Ley 1150 de 2007 estableció en el artículo 8 la obligación de las entidades estatales de publicar el proyecto de pliego de condiciones o su documento equivalente, con el propósito de que el público en general pueda presentar las observaciones que estime pertinentes. Esa misma disposición consagra la obligación de las entidades estatales de pronunciarse sobre las observaciones presentadas, las cuales deberán motivarse ya sea para acogerlas o para rechazarlas.</w:t>
            </w:r>
          </w:p>
          <w:p w14:paraId="319DDE3A" w14:textId="77777777" w:rsidR="00506C1E" w:rsidRDefault="00506C1E" w:rsidP="00993118">
            <w:pPr>
              <w:spacing w:after="120" w:line="276" w:lineRule="auto"/>
              <w:ind w:right="51" w:firstLine="734"/>
              <w:jc w:val="both"/>
              <w:rPr>
                <w:rFonts w:ascii="Verdana" w:hAnsi="Verdana" w:cs="Arial"/>
                <w:color w:val="000000" w:themeColor="text1"/>
              </w:rPr>
            </w:pPr>
            <w:r w:rsidRPr="00981BF5">
              <w:rPr>
                <w:rFonts w:ascii="Verdana" w:hAnsi="Verdana" w:cs="Arial"/>
                <w:color w:val="000000" w:themeColor="text1"/>
              </w:rPr>
              <w:t xml:space="preserve">Dado que las observaciones son una manifestación de la garantía prevista en el artículo 23 superior en el ámbito contractual, </w:t>
            </w:r>
            <w:r>
              <w:rPr>
                <w:rFonts w:ascii="Verdana" w:hAnsi="Verdana" w:cs="Arial"/>
                <w:color w:val="000000" w:themeColor="text1"/>
              </w:rPr>
              <w:t>es claro que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 Asimismo, el artículo 66 de la Ley 80 de 1993 dispone que “</w:t>
            </w:r>
            <w:r w:rsidRPr="0052666C">
              <w:rPr>
                <w:rFonts w:ascii="Verdana" w:hAnsi="Verdana" w:cs="Arial"/>
                <w:color w:val="000000" w:themeColor="text1"/>
              </w:rPr>
              <w:t>Todo contrato que celebren las entidades estatales, estará sujeto a la vigilancia y control ciudadano</w:t>
            </w:r>
            <w:r>
              <w:rPr>
                <w:rFonts w:ascii="Verdana" w:hAnsi="Verdana" w:cs="Arial"/>
                <w:color w:val="000000" w:themeColor="text1"/>
              </w:rPr>
              <w:t>” –inciso primero–; razón por la cual, “</w:t>
            </w:r>
            <w:r w:rsidRPr="0052666C">
              <w:rPr>
                <w:rFonts w:ascii="Verdana" w:hAnsi="Verdana" w:cs="Arial"/>
                <w:color w:val="000000" w:themeColor="text1"/>
              </w:rPr>
              <w:t>Las autoridades brindarán especial apoyo y colaboración a las personas y asociaciones que emprendan campañas de control y vigilancia de la gestión pública contractual</w:t>
            </w:r>
            <w:r>
              <w:rPr>
                <w:rFonts w:ascii="Verdana" w:hAnsi="Verdana" w:cs="Arial"/>
                <w:color w:val="000000" w:themeColor="text1"/>
              </w:rPr>
              <w:t xml:space="preserve"> […]” –inciso tercero–. Luego, la legitimación para formular observaciones es amplia: corresponde tanto a las personas naturales como jurídicas, en este último con independencia de que sean públicas o privadas.</w:t>
            </w:r>
          </w:p>
          <w:p w14:paraId="10633170" w14:textId="77777777" w:rsidR="00506C1E" w:rsidRDefault="00506C1E" w:rsidP="00993118">
            <w:pPr>
              <w:spacing w:after="120" w:line="276" w:lineRule="auto"/>
              <w:ind w:right="51" w:firstLine="734"/>
              <w:jc w:val="both"/>
              <w:rPr>
                <w:rFonts w:ascii="Verdana" w:hAnsi="Verdana" w:cs="Arial"/>
                <w:color w:val="000000" w:themeColor="text1"/>
              </w:rPr>
            </w:pPr>
            <w:r w:rsidRPr="00564010">
              <w:rPr>
                <w:rFonts w:ascii="Verdana" w:eastAsia="Calibri" w:hAnsi="Verdana" w:cs="Arial"/>
                <w:bCs/>
                <w:i/>
                <w:iCs/>
                <w:color w:val="000000" w:themeColor="text1"/>
              </w:rPr>
              <w:t>Respecto a las limitaciones</w:t>
            </w:r>
            <w:r>
              <w:rPr>
                <w:rFonts w:ascii="Verdana" w:eastAsia="Calibri" w:hAnsi="Verdana" w:cs="Arial"/>
                <w:bCs/>
                <w:color w:val="000000" w:themeColor="text1"/>
              </w:rPr>
              <w:t xml:space="preserve">, </w:t>
            </w:r>
            <w:r w:rsidRPr="00981BF5">
              <w:rPr>
                <w:rFonts w:ascii="Verdana" w:hAnsi="Verdana" w:cs="Arial"/>
                <w:color w:val="000000" w:themeColor="text1"/>
              </w:rPr>
              <w:t xml:space="preserve">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981BF5">
              <w:rPr>
                <w:rFonts w:ascii="Verdana" w:hAnsi="Verdana" w:cs="Arial"/>
                <w:color w:val="000000" w:themeColor="text1"/>
              </w:rPr>
              <w:t>preclusividad</w:t>
            </w:r>
            <w:proofErr w:type="spellEnd"/>
            <w:r w:rsidRPr="00981BF5">
              <w:rPr>
                <w:rFonts w:ascii="Verdana" w:hAnsi="Verdana" w:cs="Arial"/>
                <w:color w:val="000000" w:themeColor="text1"/>
              </w:rPr>
              <w:t xml:space="preserve"> y perentoriedad de los términos que rigen el proceso de contratación. Lo anterior teniendo en cuenta que, una vez agotada cada fase de este, la entidad estatal –en principio– no puede volver sobre aquella.</w:t>
            </w:r>
          </w:p>
          <w:p w14:paraId="486C4B69" w14:textId="77777777" w:rsidR="00506C1E" w:rsidRPr="00661939" w:rsidRDefault="00506C1E" w:rsidP="00993118">
            <w:pPr>
              <w:spacing w:after="120" w:line="276" w:lineRule="auto"/>
              <w:ind w:right="51" w:firstLine="734"/>
              <w:jc w:val="both"/>
              <w:rPr>
                <w:rFonts w:ascii="Verdana" w:eastAsia="Calibri" w:hAnsi="Verdana" w:cs="Arial"/>
                <w:bCs/>
                <w:color w:val="000000" w:themeColor="text1"/>
              </w:rPr>
            </w:pP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es necesario distinguir entre el “derecho a pedir” y el “derecho a lo pedido”.</w:t>
            </w:r>
            <w:r>
              <w:rPr>
                <w:rFonts w:ascii="Verdana" w:hAnsi="Verdana" w:cs="Arial"/>
                <w:color w:val="000000" w:themeColor="text1"/>
              </w:rPr>
              <w:t xml:space="preserve"> </w:t>
            </w:r>
            <w:r w:rsidRPr="00981BF5">
              <w:rPr>
                <w:rFonts w:ascii="Verdana" w:hAnsi="Verdana" w:cs="Arial"/>
                <w:color w:val="000000" w:themeColor="text1"/>
              </w:rPr>
              <w:t xml:space="preserve">Como explica </w:t>
            </w:r>
            <w:r w:rsidRPr="00981BF5">
              <w:rPr>
                <w:rFonts w:ascii="Verdana" w:hAnsi="Verdana" w:cs="Arial"/>
                <w:color w:val="000000" w:themeColor="text1"/>
              </w:rPr>
              <w:lastRenderedPageBreak/>
              <w:t>la</w:t>
            </w:r>
            <w:r>
              <w:rPr>
                <w:rFonts w:ascii="Verdana" w:hAnsi="Verdana" w:cs="Arial"/>
                <w:color w:val="000000" w:themeColor="text1"/>
              </w:rPr>
              <w:t xml:space="preserve"> jurisprudencia</w:t>
            </w:r>
            <w:r w:rsidRPr="00981BF5">
              <w:rPr>
                <w:rFonts w:ascii="Verdana" w:hAnsi="Verdana" w:cs="Arial"/>
                <w:color w:val="000000" w:themeColor="text1"/>
              </w:rPr>
              <w:t>,</w:t>
            </w:r>
            <w:r>
              <w:rPr>
                <w:rFonts w:ascii="Verdana" w:hAnsi="Verdana" w:cs="Arial"/>
                <w:color w:val="000000" w:themeColor="text1"/>
              </w:rPr>
              <w:t xml:space="preserve"> </w:t>
            </w:r>
            <w:r w:rsidRPr="00981BF5">
              <w:rPr>
                <w:rStyle w:val="eop"/>
                <w:rFonts w:ascii="Verdana" w:hAnsi="Verdana" w:cs="Arial"/>
                <w:color w:val="000000"/>
                <w:shd w:val="clear" w:color="auto" w:fill="FFFFFF"/>
              </w:rPr>
              <w:t>“[…] el ámbito de protección constitucional de la petición se circunscribe al derecho a la solicitud y a tener una contestación para la misma, en ningún caso implica otorgar la materia de la solicitud como tal”</w:t>
            </w:r>
            <w:r w:rsidRPr="00981BF5">
              <w:rPr>
                <w:rFonts w:ascii="Verdana" w:eastAsia="Arial" w:hAnsi="Verdana" w:cs="Arial"/>
                <w:color w:val="000000"/>
              </w:rPr>
              <w:t>.</w:t>
            </w:r>
            <w:r>
              <w:rPr>
                <w:rFonts w:ascii="Verdana" w:eastAsia="Arial" w:hAnsi="Verdana" w:cs="Arial"/>
                <w:color w:val="000000"/>
              </w:rPr>
              <w:t xml:space="preserve"> En esta medida, la posibilidad de formular observaciones no corresponde a un acto de coadministración, pues la entidad define el contenido de los documentos del proceso en el ámbito de la competencia atribuida por lo artículos 2, 11 y 12 del Estatuto General de Contratación de la Administración Pública.</w:t>
            </w:r>
            <w:r w:rsidRPr="00981BF5">
              <w:rPr>
                <w:rStyle w:val="normaltextrun"/>
                <w:rFonts w:ascii="Verdana" w:hAnsi="Verdana" w:cs="Arial"/>
                <w:color w:val="000000"/>
                <w:shd w:val="clear" w:color="auto" w:fill="FFFFFF"/>
              </w:rPr>
              <w:t xml:space="preserve"> </w:t>
            </w:r>
            <w:r>
              <w:rPr>
                <w:rFonts w:ascii="Verdana" w:eastAsia="Calibri" w:hAnsi="Verdana" w:cs="Arial"/>
                <w:bCs/>
                <w:color w:val="000000" w:themeColor="text1"/>
              </w:rPr>
              <w:t xml:space="preserve"> </w:t>
            </w:r>
          </w:p>
          <w:p w14:paraId="7D95DE0C" w14:textId="77777777" w:rsidR="00506C1E" w:rsidRPr="001941FD" w:rsidRDefault="00506C1E" w:rsidP="00993118">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202DF95" w14:textId="77777777" w:rsidR="00506C1E" w:rsidRPr="00593A5F" w:rsidRDefault="00506C1E" w:rsidP="00506C1E">
      <w:pPr>
        <w:tabs>
          <w:tab w:val="left" w:pos="142"/>
          <w:tab w:val="left" w:pos="284"/>
        </w:tabs>
        <w:spacing w:after="0" w:line="276" w:lineRule="auto"/>
        <w:jc w:val="both"/>
        <w:rPr>
          <w:rFonts w:ascii="Verdana" w:eastAsia="Century Gothic" w:hAnsi="Verdana" w:cs="Century Gothic"/>
          <w:b/>
          <w:bCs/>
          <w:lang w:val="es-ES"/>
        </w:rPr>
      </w:pPr>
    </w:p>
    <w:bookmarkEnd w:id="1"/>
    <w:p w14:paraId="43480D01" w14:textId="77777777" w:rsidR="00506C1E" w:rsidRPr="00593A5F" w:rsidRDefault="00506C1E" w:rsidP="00506C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E27A9D8" w14:textId="77777777" w:rsidR="00506C1E" w:rsidRPr="00593A5F" w:rsidRDefault="00506C1E" w:rsidP="00506C1E">
      <w:pPr>
        <w:spacing w:after="0" w:line="276" w:lineRule="auto"/>
        <w:jc w:val="both"/>
        <w:rPr>
          <w:rFonts w:ascii="Verdana" w:eastAsia="Calibri" w:hAnsi="Verdana" w:cs="Arial"/>
          <w:color w:val="7030A0"/>
          <w:lang w:val="es-ES"/>
        </w:rPr>
      </w:pPr>
    </w:p>
    <w:p w14:paraId="12ABA315" w14:textId="77777777" w:rsidR="00506C1E" w:rsidRDefault="00506C1E" w:rsidP="00506C1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D9C0769" w14:textId="77777777" w:rsidR="00506C1E" w:rsidRPr="00415608" w:rsidRDefault="00506C1E" w:rsidP="00506C1E">
      <w:pPr>
        <w:spacing w:after="0" w:line="276" w:lineRule="auto"/>
        <w:jc w:val="both"/>
        <w:rPr>
          <w:rFonts w:ascii="Verdana" w:eastAsia="Calibri" w:hAnsi="Verdana" w:cs="Arial"/>
          <w:lang w:val="es-ES"/>
        </w:rPr>
      </w:pPr>
    </w:p>
    <w:p w14:paraId="45D53C7B" w14:textId="77777777" w:rsidR="00506C1E" w:rsidRPr="00981BF5" w:rsidRDefault="00506C1E" w:rsidP="00506C1E">
      <w:pPr>
        <w:spacing w:after="120" w:line="276" w:lineRule="auto"/>
        <w:jc w:val="both"/>
        <w:rPr>
          <w:rFonts w:ascii="Verdana" w:eastAsia="Calibri" w:hAnsi="Verdana" w:cs="Arial"/>
          <w:lang w:val="es-MX"/>
        </w:rPr>
      </w:pPr>
      <w:r w:rsidRPr="00981BF5">
        <w:rPr>
          <w:rFonts w:ascii="Verdana" w:eastAsia="Calibri" w:hAnsi="Verdana" w:cs="Arial"/>
          <w:lang w:val="es-MX"/>
        </w:rPr>
        <w:t>La contratación estatal tiene como propósito el cumplimiento de los fines estatales, la continua y eficiente prestación de los servicios públicos y la efectividad de los derechos e intereses de los administrados que colaboran con las entidades estatales en la consecución de dichos propósitos</w:t>
      </w:r>
      <w:r w:rsidRPr="00981BF5">
        <w:rPr>
          <w:rFonts w:ascii="Verdana" w:eastAsia="Calibri" w:hAnsi="Verdana" w:cs="Arial"/>
          <w:vertAlign w:val="superscript"/>
          <w:lang w:val="es-MX"/>
        </w:rPr>
        <w:footnoteReference w:id="2"/>
      </w:r>
      <w:r w:rsidRPr="00981BF5">
        <w:rPr>
          <w:rFonts w:ascii="Verdana" w:eastAsia="Calibri" w:hAnsi="Verdana" w:cs="Arial"/>
          <w:lang w:val="es-MX"/>
        </w:rPr>
        <w:t xml:space="preserve">. En cumplimiento de ese objetivo, el legislador determinó que las actuaciones adelantadas por las entidades estatales se llevan a cabo, entre otros, en cumplimiento de los principios que gobiernan los procesos de contratación pública. </w:t>
      </w:r>
    </w:p>
    <w:p w14:paraId="207E25C2" w14:textId="77777777" w:rsidR="00506C1E" w:rsidRPr="00981BF5" w:rsidRDefault="00506C1E" w:rsidP="00506C1E">
      <w:pPr>
        <w:spacing w:after="0" w:line="276" w:lineRule="auto"/>
        <w:ind w:firstLine="709"/>
        <w:jc w:val="both"/>
        <w:rPr>
          <w:rFonts w:ascii="Verdana" w:eastAsia="Calibri" w:hAnsi="Verdana" w:cs="Arial"/>
          <w:lang w:val="es-MX"/>
        </w:rPr>
      </w:pPr>
      <w:r w:rsidRPr="00981BF5">
        <w:rPr>
          <w:rFonts w:ascii="Verdana" w:eastAsia="Calibri" w:hAnsi="Verdana" w:cs="Arial"/>
          <w:lang w:val="es-MX"/>
        </w:rPr>
        <w:lastRenderedPageBreak/>
        <w:t>El artículo 23 de la Ley 80 de 1993 regula los principios aplicables a las actuaciones contractuales adelantadas por las entidades estatales</w:t>
      </w:r>
      <w:r w:rsidRPr="00981BF5">
        <w:rPr>
          <w:rFonts w:ascii="Verdana" w:eastAsia="Calibri" w:hAnsi="Verdana" w:cs="Arial"/>
          <w:vertAlign w:val="superscript"/>
          <w:lang w:val="es-MX"/>
        </w:rPr>
        <w:footnoteReference w:id="3"/>
      </w:r>
      <w:r w:rsidRPr="00981BF5">
        <w:rPr>
          <w:rFonts w:ascii="Verdana" w:eastAsia="Calibri" w:hAnsi="Verdana" w:cs="Arial"/>
          <w:lang w:val="es-MX"/>
        </w:rPr>
        <w:t xml:space="preserve">. Entre otros, allí se estableció el principio de transparencia de la actividad contractual, objeto de regulación expresa en el artículo 24 </w:t>
      </w:r>
      <w:r w:rsidRPr="00981BF5">
        <w:rPr>
          <w:rFonts w:ascii="Verdana" w:eastAsia="Calibri" w:hAnsi="Verdana" w:cs="Arial"/>
          <w:i/>
          <w:iCs/>
          <w:lang w:val="es-MX"/>
        </w:rPr>
        <w:t>ibidem</w:t>
      </w:r>
      <w:r w:rsidRPr="00981BF5">
        <w:rPr>
          <w:rFonts w:ascii="Verdana" w:eastAsia="Calibri" w:hAnsi="Verdana" w:cs="Arial"/>
          <w:lang w:val="es-MX"/>
        </w:rPr>
        <w:t>.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p>
    <w:p w14:paraId="227B4C9C" w14:textId="77777777" w:rsidR="00506C1E" w:rsidRPr="00981BF5" w:rsidRDefault="00506C1E" w:rsidP="00506C1E">
      <w:pPr>
        <w:spacing w:after="0" w:line="276" w:lineRule="auto"/>
        <w:ind w:left="709" w:right="709"/>
        <w:jc w:val="both"/>
        <w:rPr>
          <w:rFonts w:ascii="Verdana" w:eastAsia="Calibri" w:hAnsi="Verdana" w:cs="Arial"/>
          <w:lang w:val="es-MX"/>
        </w:rPr>
      </w:pPr>
    </w:p>
    <w:p w14:paraId="6F36BAEF" w14:textId="77777777" w:rsidR="00506C1E" w:rsidRPr="00981BF5" w:rsidRDefault="00506C1E" w:rsidP="00506C1E">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“ARTÍCULO 24. DEL PRINCIPIO DE TRANSPARENCIA. En virtud de este principio:</w:t>
      </w:r>
    </w:p>
    <w:p w14:paraId="21AE60DB" w14:textId="77777777" w:rsidR="00506C1E" w:rsidRPr="00981BF5" w:rsidRDefault="00506C1E" w:rsidP="00506C1E">
      <w:pPr>
        <w:spacing w:after="12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w:t>
      </w:r>
    </w:p>
    <w:p w14:paraId="39C678F7" w14:textId="77777777" w:rsidR="00506C1E" w:rsidRPr="00981BF5" w:rsidRDefault="00506C1E" w:rsidP="00506C1E">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0E1B798B" w14:textId="77777777" w:rsidR="00506C1E" w:rsidRPr="00981BF5" w:rsidRDefault="00506C1E" w:rsidP="00506C1E">
      <w:pPr>
        <w:spacing w:after="0" w:line="240" w:lineRule="auto"/>
        <w:ind w:left="709" w:right="709"/>
        <w:jc w:val="both"/>
        <w:rPr>
          <w:rFonts w:ascii="Verdana" w:eastAsia="Calibri" w:hAnsi="Verdana" w:cs="Arial"/>
          <w:sz w:val="21"/>
          <w:szCs w:val="21"/>
          <w:lang w:val="es-MX"/>
        </w:rPr>
      </w:pPr>
      <w:r w:rsidRPr="00981BF5">
        <w:rPr>
          <w:rFonts w:ascii="Verdana" w:eastAsia="Calibri" w:hAnsi="Verdana" w:cs="Arial"/>
          <w:sz w:val="20"/>
          <w:szCs w:val="20"/>
          <w:lang w:val="es-MX"/>
        </w:rPr>
        <w:t>[…]”.</w:t>
      </w:r>
    </w:p>
    <w:p w14:paraId="4F128CDB" w14:textId="77777777" w:rsidR="00506C1E" w:rsidRPr="00981BF5" w:rsidRDefault="00506C1E" w:rsidP="00506C1E">
      <w:pPr>
        <w:spacing w:after="0" w:line="276" w:lineRule="auto"/>
        <w:ind w:left="709" w:right="709"/>
        <w:jc w:val="both"/>
        <w:rPr>
          <w:rFonts w:ascii="Verdana" w:eastAsia="Calibri" w:hAnsi="Verdana" w:cs="Arial"/>
          <w:lang w:val="es-MX"/>
        </w:rPr>
      </w:pPr>
    </w:p>
    <w:p w14:paraId="15B292B7" w14:textId="77777777" w:rsidR="00506C1E" w:rsidRPr="00981BF5" w:rsidRDefault="00506C1E" w:rsidP="00506C1E">
      <w:pPr>
        <w:spacing w:after="120" w:line="276" w:lineRule="auto"/>
        <w:ind w:firstLine="709"/>
        <w:jc w:val="both"/>
        <w:rPr>
          <w:rFonts w:ascii="Verdana" w:eastAsia="Batang" w:hAnsi="Verdana" w:cs="Arial"/>
          <w:lang w:val="es-MX"/>
        </w:rPr>
      </w:pPr>
      <w:r w:rsidRPr="00981BF5">
        <w:rPr>
          <w:rFonts w:ascii="Verdana" w:eastAsia="Calibri" w:hAnsi="Verdana" w:cs="Arial"/>
          <w:lang w:val="es-MX"/>
        </w:rPr>
        <w:t xml:space="preserve">Conforme a lo anterior, el conocimiento y la motivación de las decisiones tomadas por la administración son un presupuesto necesario para controvertirlas. Así las cosas, de acuerdo con lo dispuesto en el numeral 2º previamente citado, </w:t>
      </w:r>
      <w:r w:rsidRPr="00981BF5">
        <w:rPr>
          <w:rFonts w:ascii="Verdana" w:hAnsi="Verdana" w:cs="Arial"/>
          <w:color w:val="0B1107" w:themeColor="accent6" w:themeShade="1A"/>
        </w:rPr>
        <w:t xml:space="preserve">la doctrina considera que </w:t>
      </w:r>
      <w:r w:rsidRPr="00981BF5">
        <w:rPr>
          <w:rFonts w:ascii="Verdana" w:eastAsia="Calibri" w:hAnsi="Verdana" w:cs="Arial"/>
          <w:lang w:val="es-MX"/>
        </w:rPr>
        <w:t>“[…]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981BF5">
        <w:rPr>
          <w:rStyle w:val="Refdenotaalpie"/>
          <w:rFonts w:ascii="Verdana" w:eastAsia="Calibri" w:hAnsi="Verdana" w:cs="Arial"/>
          <w:lang w:val="es-MX"/>
        </w:rPr>
        <w:footnoteReference w:id="4"/>
      </w:r>
      <w:r w:rsidRPr="00981BF5">
        <w:rPr>
          <w:rFonts w:ascii="Verdana" w:eastAsia="Calibri" w:hAnsi="Verdana" w:cs="Arial"/>
          <w:lang w:val="es-MX"/>
        </w:rPr>
        <w:t>.</w:t>
      </w:r>
      <w:r w:rsidRPr="00981BF5">
        <w:rPr>
          <w:rFonts w:ascii="Verdana" w:eastAsia="Batang" w:hAnsi="Verdana" w:cs="Arial"/>
          <w:lang w:val="es-MX"/>
        </w:rPr>
        <w:t xml:space="preserve"> </w:t>
      </w:r>
    </w:p>
    <w:p w14:paraId="7EB33232" w14:textId="77777777" w:rsidR="00506C1E" w:rsidRPr="00981BF5" w:rsidRDefault="00506C1E" w:rsidP="00506C1E">
      <w:pPr>
        <w:spacing w:after="0" w:line="276" w:lineRule="auto"/>
        <w:ind w:firstLine="709"/>
        <w:jc w:val="both"/>
        <w:rPr>
          <w:rFonts w:ascii="Verdana" w:eastAsia="Batang" w:hAnsi="Verdana" w:cs="Arial"/>
          <w:lang w:val="es-MX"/>
        </w:rPr>
      </w:pPr>
      <w:r w:rsidRPr="00981BF5">
        <w:rPr>
          <w:rFonts w:ascii="Verdana" w:eastAsia="Batang" w:hAnsi="Verdana" w:cs="Arial"/>
          <w:lang w:val="es-MX"/>
        </w:rPr>
        <w:t xml:space="preserve">Este principio está desarrollado el Decreto 1082 de 2015, el cual establece los plazos dentro de los cuales los interesados podrán realizar observaciones en las actuaciones adelantadas a instancia de las entidades estatales en sus procesos de contratación. Dichos plazos podrán ampliarse, más no restringirse </w:t>
      </w:r>
      <w:r w:rsidRPr="00981BF5">
        <w:rPr>
          <w:rFonts w:ascii="Verdana" w:eastAsia="Batang" w:hAnsi="Verdana" w:cs="Arial"/>
          <w:lang w:val="es-MX"/>
        </w:rPr>
        <w:lastRenderedPageBreak/>
        <w:t>por las entidades, dependiendo del procedimiento de selección. En cuanto a la importancia del principio de transparencia que rige las actuaciones contractuales de las entidades estatales, la Sección Tercera del Consejo de Estado explica lo siguiente:</w:t>
      </w:r>
    </w:p>
    <w:p w14:paraId="3B999F73" w14:textId="77777777" w:rsidR="00506C1E" w:rsidRPr="00981BF5" w:rsidRDefault="00506C1E" w:rsidP="00506C1E">
      <w:pPr>
        <w:spacing w:after="0" w:line="276" w:lineRule="auto"/>
        <w:ind w:left="709" w:right="709"/>
        <w:jc w:val="both"/>
        <w:rPr>
          <w:rFonts w:ascii="Verdana" w:eastAsia="Batang" w:hAnsi="Verdana" w:cs="Arial"/>
          <w:lang w:val="es-MX"/>
        </w:rPr>
      </w:pPr>
    </w:p>
    <w:p w14:paraId="0F86DF37" w14:textId="77777777" w:rsidR="00506C1E" w:rsidRPr="00981BF5" w:rsidRDefault="00506C1E" w:rsidP="00506C1E">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 xml:space="preserve">“El principio de transparencia persigue la garantía que en la formación del contrato, con plena publicidad de las bases del proceso de selección y en igualdad de oportunidades de quienes en él participen, se escoja la oferta más favorable para los intereses de la administración, de suerte que la actuación administrativa de la contratación sea imparcial, alejada de todo favoritismo y, por ende, extraña a cualquier factor político, económico o familiar. </w:t>
      </w:r>
    </w:p>
    <w:p w14:paraId="442DEBB1" w14:textId="77777777" w:rsidR="00506C1E" w:rsidRPr="00981BF5" w:rsidRDefault="00506C1E" w:rsidP="00506C1E">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En palabras de la Corte Suprema de Justicia:</w:t>
      </w:r>
    </w:p>
    <w:p w14:paraId="30B7AD4F" w14:textId="77777777" w:rsidR="00506C1E" w:rsidRPr="00981BF5" w:rsidRDefault="00506C1E" w:rsidP="00506C1E">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‘Mediante la transparencia se garantiza la igualdad y el ejercicio del poder con acatamiento de la imparcialidad y la publicidad. (…) Transparencia quiere decir claridad, diafanidad, nitidez, pureza, translucidez. Significa que algo debe ser visible, que puede verse, para evitar la oscuridad, la opacidad, lo turbio y lo nebuloso.  Así, la actuación administrativa contractual, debe ser perspicua, tersa y cristalina (…). Se trata de un postulado que pretende combatir la corrupción en la contratación estatal, que en sus grandes líneas desarrolla también los principios constitucionales de igualdad, moralidad, eficiencia, imparcialidad y publicidad aplicados a la función administrativa (art. 209. C.N)’.</w:t>
      </w:r>
    </w:p>
    <w:p w14:paraId="11807888" w14:textId="77777777" w:rsidR="00506C1E" w:rsidRPr="00981BF5" w:rsidRDefault="00506C1E" w:rsidP="00506C1E">
      <w:pPr>
        <w:spacing w:after="0" w:line="240" w:lineRule="auto"/>
        <w:ind w:left="709" w:right="709"/>
        <w:jc w:val="both"/>
        <w:rPr>
          <w:rFonts w:ascii="Verdana" w:eastAsia="Batang" w:hAnsi="Verdana" w:cs="Arial"/>
          <w:sz w:val="21"/>
          <w:szCs w:val="21"/>
          <w:lang w:val="es-MX"/>
        </w:rPr>
      </w:pPr>
      <w:r w:rsidRPr="00981BF5">
        <w:rPr>
          <w:rFonts w:ascii="Verdana" w:eastAsia="Batang" w:hAnsi="Verdana" w:cs="Arial"/>
          <w:sz w:val="20"/>
          <w:szCs w:val="20"/>
          <w:lang w:val="es-MX"/>
        </w:rPr>
        <w:t>Por consiguiente, este principio aplicado a la contratación pública, excluye una actividad oculta, secreta, oscura y arbitraria en la actividad contractual y, al contrario, propende por una selección objetiva de la propuesta y del contratista del Estado para el logro de los fines de la contratación y la satisfacción de los intereses colectivos, en los términos del artículo 29 de la Ley 80 de 1993,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Pr="00981BF5">
        <w:rPr>
          <w:rFonts w:ascii="Verdana" w:eastAsia="Batang" w:hAnsi="Verdana" w:cs="Arial"/>
          <w:sz w:val="20"/>
          <w:szCs w:val="20"/>
          <w:vertAlign w:val="superscript"/>
          <w:lang w:val="es-MX"/>
        </w:rPr>
        <w:footnoteReference w:id="5"/>
      </w:r>
      <w:r w:rsidRPr="00981BF5">
        <w:rPr>
          <w:rFonts w:ascii="Verdana" w:eastAsia="Batang" w:hAnsi="Verdana" w:cs="Arial"/>
          <w:sz w:val="20"/>
          <w:szCs w:val="20"/>
          <w:lang w:val="es-MX"/>
        </w:rPr>
        <w:t>.</w:t>
      </w:r>
    </w:p>
    <w:p w14:paraId="089CC22A" w14:textId="77777777" w:rsidR="00506C1E" w:rsidRPr="00981BF5" w:rsidRDefault="00506C1E" w:rsidP="00506C1E">
      <w:pPr>
        <w:spacing w:after="0" w:line="276" w:lineRule="auto"/>
        <w:ind w:firstLine="709"/>
        <w:jc w:val="both"/>
        <w:rPr>
          <w:rFonts w:ascii="Verdana" w:eastAsia="Batang" w:hAnsi="Verdana" w:cs="Arial"/>
          <w:lang w:val="es-MX"/>
        </w:rPr>
      </w:pPr>
    </w:p>
    <w:p w14:paraId="00D1870D" w14:textId="77777777" w:rsidR="00506C1E" w:rsidRPr="00981BF5" w:rsidRDefault="00506C1E" w:rsidP="00506C1E">
      <w:pPr>
        <w:spacing w:after="0" w:line="276" w:lineRule="auto"/>
        <w:ind w:firstLine="708"/>
        <w:jc w:val="both"/>
        <w:rPr>
          <w:rFonts w:ascii="Verdana" w:eastAsia="Batang" w:hAnsi="Verdana" w:cs="Arial"/>
          <w:lang w:val="es-MX"/>
        </w:rPr>
      </w:pPr>
      <w:r w:rsidRPr="00981BF5">
        <w:rPr>
          <w:rFonts w:ascii="Verdana" w:eastAsia="Batang" w:hAnsi="Verdana" w:cs="Arial"/>
          <w:lang w:val="es-MX"/>
        </w:rPr>
        <w:t>En conclusión, el principio de transparencia garantiza la participación tanto de los interesados como de la ciudadanía en general en las actuaciones contractuales adelantadas por las entidades estatales</w:t>
      </w:r>
      <w:r w:rsidRPr="00981BF5">
        <w:rPr>
          <w:rFonts w:ascii="Verdana" w:eastAsia="Batang" w:hAnsi="Verdana" w:cs="Arial"/>
          <w:vertAlign w:val="superscript"/>
          <w:lang w:val="es-MX"/>
        </w:rPr>
        <w:footnoteReference w:id="6"/>
      </w:r>
      <w:r w:rsidRPr="00981BF5">
        <w:rPr>
          <w:rFonts w:ascii="Verdana" w:eastAsia="Batang" w:hAnsi="Verdana" w:cs="Arial"/>
          <w:lang w:val="es-MX"/>
        </w:rPr>
        <w:t xml:space="preserve">. Esta participación se </w:t>
      </w:r>
      <w:r w:rsidRPr="00981BF5">
        <w:rPr>
          <w:rFonts w:ascii="Verdana" w:eastAsia="Batang" w:hAnsi="Verdana" w:cs="Arial"/>
          <w:lang w:val="es-MX"/>
        </w:rPr>
        <w:lastRenderedPageBreak/>
        <w:t>materializa en la oportunidad concedida para presentar observaciones en las distintas etapas o fases del proceso que culmina con la celebración del contrato estatal, lo cual busca salvaguardar también el ejercicio del derecho de contradicción en las actuaciones administrativas</w:t>
      </w:r>
      <w:r w:rsidRPr="00981BF5">
        <w:rPr>
          <w:rStyle w:val="Refdenotaalpie"/>
          <w:rFonts w:ascii="Verdana" w:eastAsia="Batang" w:hAnsi="Verdana" w:cs="Arial"/>
          <w:lang w:val="es-MX"/>
        </w:rPr>
        <w:footnoteReference w:id="7"/>
      </w:r>
      <w:r w:rsidRPr="00981BF5">
        <w:rPr>
          <w:rFonts w:ascii="Verdana" w:eastAsia="Batang" w:hAnsi="Verdana" w:cs="Arial"/>
          <w:lang w:val="es-MX"/>
        </w:rPr>
        <w:t>. Por ello, es necesario distinguir las etapas o fases del proceso contractual, a efectos de establecer el término o plazo para presentar observaciones por parte de los interesados y el plazo para responderlas por parte de las entidades estatales:</w:t>
      </w:r>
    </w:p>
    <w:p w14:paraId="01369D46"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i/>
          <w:iCs/>
          <w:color w:val="000000" w:themeColor="text1"/>
        </w:rPr>
        <w:t>i) Publicación del proyecto de pliego de condiciones</w:t>
      </w:r>
      <w:r w:rsidRPr="00981BF5">
        <w:rPr>
          <w:rFonts w:ascii="Verdana" w:hAnsi="Verdana" w:cs="Arial"/>
          <w:color w:val="000000" w:themeColor="text1"/>
        </w:rPr>
        <w:t>. La Ley 1150 de 2007 estableció en el artículo 8 la obligación de las entidades estatales de publicar el proyecto de pliego de condiciones o su documento equivalente, con el propósito de que el público en general pueda presentar las observaciones que estime pertinentes</w:t>
      </w:r>
      <w:r w:rsidRPr="00981BF5">
        <w:rPr>
          <w:rStyle w:val="Refdenotaalpie"/>
          <w:rFonts w:ascii="Verdana" w:hAnsi="Verdana" w:cs="Arial"/>
          <w:color w:val="000000" w:themeColor="text1"/>
        </w:rPr>
        <w:footnoteReference w:id="8"/>
      </w:r>
      <w:r w:rsidRPr="00981BF5">
        <w:rPr>
          <w:rFonts w:ascii="Verdana" w:hAnsi="Verdana" w:cs="Arial"/>
          <w:color w:val="000000" w:themeColor="text1"/>
        </w:rPr>
        <w:t>. Esa misma disposición consagra la obligación de las entidades estatales de pronunciarse sobre las observaciones presentadas, las cuales deberán motivarse ya sea para acogerlas o para rechazarlas.</w:t>
      </w:r>
    </w:p>
    <w:p w14:paraId="273C259A"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Por su parte, el inciso 2 del artículo 2.2.1.1.1.7.1 del Decreto 1082 de 2015 precisó que “[…] La Entidad Estatal está obligada a publicar oportunamente el aviso de convocatoria o la invitación en los Procesos de Contratación de mínima cuantía y </w:t>
      </w:r>
      <w:r w:rsidRPr="00981BF5">
        <w:rPr>
          <w:rFonts w:ascii="Verdana" w:hAnsi="Verdana" w:cs="Arial"/>
          <w:i/>
          <w:iCs/>
          <w:color w:val="000000" w:themeColor="text1"/>
        </w:rPr>
        <w:t>el proyecto de pliegos de condiciones</w:t>
      </w:r>
      <w:r w:rsidRPr="00981BF5">
        <w:rPr>
          <w:rFonts w:ascii="Verdana" w:hAnsi="Verdana" w:cs="Arial"/>
          <w:color w:val="000000" w:themeColor="text1"/>
        </w:rPr>
        <w:t xml:space="preserve"> en el SECOP para que los interesados en el Proceso de Contratación puedan presentar observaciones o solicitar aclaraciones en el término previsto para el efecto […]” (Cursiva fuera texto). Respecto al plazo o término para presentar observaciones al proyecto de pliego de condiciones, el artículo 2.2.1.1.2.1.4 </w:t>
      </w:r>
      <w:r w:rsidRPr="00981BF5">
        <w:rPr>
          <w:rFonts w:ascii="Verdana" w:hAnsi="Verdana" w:cs="Arial"/>
          <w:i/>
          <w:iCs/>
          <w:color w:val="000000" w:themeColor="text1"/>
        </w:rPr>
        <w:t xml:space="preserve">ibidem </w:t>
      </w:r>
      <w:r w:rsidRPr="00981BF5">
        <w:rPr>
          <w:rFonts w:ascii="Verdana" w:hAnsi="Verdana" w:cs="Arial"/>
          <w:color w:val="000000" w:themeColor="text1"/>
        </w:rPr>
        <w:t xml:space="preserve">agrega que “Los interesados pueden hacer comentarios al proyecto de pliegos de condiciones a partir de la fecha de publicación de los mismos: (a) durante un término de diez </w:t>
      </w:r>
      <w:r w:rsidRPr="00981BF5">
        <w:rPr>
          <w:rFonts w:ascii="Verdana" w:hAnsi="Verdana" w:cs="Arial"/>
          <w:color w:val="000000" w:themeColor="text1"/>
        </w:rPr>
        <w:lastRenderedPageBreak/>
        <w:t>(10) días hábiles en la licitación pública; y (b) durante un término de cinco (5) días hábiles en la selección abreviada y el concurso de méritos”.</w:t>
      </w:r>
    </w:p>
    <w:p w14:paraId="497B5980"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En relación con la respuesta a las observaciones presentadas al proyecto de pliego de condiciones,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impera un límite para que la entidad estatal profiera la respuesta a esas observaciones, el cual está determinado por la expedición del acto administrativo de apertura del proceso de selección. Esto significa que antes que la entidad estatal profiera dicho acto administrativo y publique el pliego de condiciones definitivo, deberá responder las observaciones presentadas al proyecto de pliego de condiciones.</w:t>
      </w:r>
    </w:p>
    <w:p w14:paraId="1C2558CF" w14:textId="77777777" w:rsidR="00506C1E" w:rsidRPr="00981BF5" w:rsidRDefault="00506C1E" w:rsidP="00506C1E">
      <w:pPr>
        <w:spacing w:before="120" w:after="120" w:line="276" w:lineRule="auto"/>
        <w:ind w:firstLine="709"/>
        <w:jc w:val="both"/>
        <w:rPr>
          <w:rFonts w:ascii="Verdana" w:hAnsi="Verdana" w:cs="Arial"/>
          <w:color w:val="000000" w:themeColor="text1"/>
        </w:rPr>
      </w:pPr>
      <w:proofErr w:type="spellStart"/>
      <w:r w:rsidRPr="00981BF5">
        <w:rPr>
          <w:rFonts w:ascii="Verdana" w:hAnsi="Verdana" w:cs="Arial"/>
          <w:i/>
          <w:iCs/>
          <w:color w:val="000000" w:themeColor="text1"/>
        </w:rPr>
        <w:t>ii</w:t>
      </w:r>
      <w:proofErr w:type="spellEnd"/>
      <w:r w:rsidRPr="00981BF5">
        <w:rPr>
          <w:rFonts w:ascii="Verdana" w:hAnsi="Verdana" w:cs="Arial"/>
          <w:i/>
          <w:iCs/>
          <w:color w:val="000000" w:themeColor="text1"/>
        </w:rPr>
        <w:t>) Apertura del proceso de selección</w:t>
      </w:r>
      <w:r w:rsidRPr="00981BF5">
        <w:rPr>
          <w:rFonts w:ascii="Verdana" w:hAnsi="Verdana" w:cs="Arial"/>
          <w:color w:val="000000" w:themeColor="text1"/>
        </w:rPr>
        <w:t>. Esta fase o etapa inicia con la expedición del acto administrativo de apertura del proceso de selección, momento en el cual se publica el pliego de condiciones de definitivo, documento respecto al cual también pueden presentarse observaciones y/o solicitudes de aclaraciones.</w:t>
      </w:r>
    </w:p>
    <w:p w14:paraId="5FCCBC23"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r w:rsidRPr="00981BF5">
        <w:rPr>
          <w:rFonts w:ascii="Verdana" w:hAnsi="Verdana" w:cs="Arial"/>
          <w:color w:val="000000" w:themeColor="text1"/>
        </w:rPr>
        <w:t>El ordenamiento jurídico no estableció un término para la presentación de las observaciones al pliego de condiciones definitivo, salvo en la licitación pública, proceso en el cual a petición o solicitud de parte o de al menos uno de los interesados, dentro de los tres (3) días hábiles siguientes al inicio del término para la presentación de propuestas se realizará una audiencia con el propósito de precisar el contenido y alcance de los pliegos de condiciones</w:t>
      </w:r>
      <w:r w:rsidRPr="00981BF5">
        <w:rPr>
          <w:rStyle w:val="Refdenotaalpie"/>
          <w:rFonts w:ascii="Verdana" w:hAnsi="Verdana" w:cs="Arial"/>
          <w:color w:val="000000" w:themeColor="text1"/>
        </w:rPr>
        <w:footnoteReference w:id="9"/>
      </w:r>
      <w:r w:rsidRPr="00981BF5">
        <w:rPr>
          <w:rFonts w:ascii="Verdana" w:hAnsi="Verdana" w:cs="Arial"/>
          <w:color w:val="000000" w:themeColor="text1"/>
        </w:rPr>
        <w:t xml:space="preserve">. Este asunto, de conformidad el artículo </w:t>
      </w:r>
      <w:r w:rsidRPr="00981BF5">
        <w:rPr>
          <w:rStyle w:val="Textoennegrita"/>
          <w:rFonts w:ascii="Verdana" w:hAnsi="Verdana" w:cs="Arial"/>
          <w:b w:val="0"/>
          <w:bCs w:val="0"/>
          <w:color w:val="000000" w:themeColor="text1"/>
        </w:rPr>
        <w:t xml:space="preserve">2.2.1.2.1.1.2 del Decreto 1082 de 2015, se abordará y resolverá en la audiencia de asignación de riesgos de que trata el artículo 4 de la Ley 1150 de 2007. Por tanto, las observaciones presentadas o solicitudes de </w:t>
      </w:r>
      <w:r w:rsidRPr="00981BF5">
        <w:rPr>
          <w:rStyle w:val="Textoennegrita"/>
          <w:rFonts w:ascii="Verdana" w:hAnsi="Verdana" w:cs="Arial"/>
          <w:b w:val="0"/>
          <w:bCs w:val="0"/>
          <w:color w:val="000000" w:themeColor="text1"/>
        </w:rPr>
        <w:lastRenderedPageBreak/>
        <w:t xml:space="preserve">aclaraciones realizadas al pliego de condiciones en la audiencia de asignación de riesgos deberán ser resueltas por la entidad estatal en esa misma diligencia.  </w:t>
      </w:r>
    </w:p>
    <w:p w14:paraId="4C5A7ABB"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r w:rsidRPr="00981BF5">
        <w:rPr>
          <w:rStyle w:val="Textoennegrita"/>
          <w:rFonts w:ascii="Verdana" w:hAnsi="Verdana" w:cs="Arial"/>
          <w:b w:val="0"/>
          <w:bCs w:val="0"/>
          <w:color w:val="000000" w:themeColor="text1"/>
        </w:rPr>
        <w:t xml:space="preserve">Pese a lo anterior, es preciso señalar que las entidades estatales con la apertura del proceso de selección están en la obligación de publicar el cronograma del mismo, el cual es definido como el “Documento en el cual la Entidad Estatal establece las fechas, horas y plazos para las actividades propias del Proceso de Contratación y el lugar en el que estas deben llevarse </w:t>
      </w:r>
      <w:r w:rsidRPr="0058605F">
        <w:rPr>
          <w:rStyle w:val="Textoennegrita"/>
          <w:rFonts w:ascii="Verdana" w:hAnsi="Verdana" w:cs="Arial"/>
          <w:b w:val="0"/>
          <w:bCs w:val="0"/>
          <w:color w:val="000000" w:themeColor="text1"/>
        </w:rPr>
        <w:t>a cabo”</w:t>
      </w:r>
      <w:r w:rsidRPr="0058605F">
        <w:rPr>
          <w:rStyle w:val="Refdenotaalpie"/>
          <w:rFonts w:ascii="Verdana" w:hAnsi="Verdana" w:cs="Arial"/>
          <w:color w:val="000000" w:themeColor="text1"/>
        </w:rPr>
        <w:footnoteReference w:id="10"/>
      </w:r>
      <w:r w:rsidRPr="0058605F">
        <w:rPr>
          <w:rStyle w:val="Textoennegrita"/>
          <w:rFonts w:ascii="Verdana" w:hAnsi="Verdana" w:cs="Arial"/>
          <w:b w:val="0"/>
          <w:bCs w:val="0"/>
          <w:color w:val="000000" w:themeColor="text1"/>
        </w:rPr>
        <w:t>.</w:t>
      </w:r>
      <w:r w:rsidRPr="00981BF5">
        <w:rPr>
          <w:rStyle w:val="Textoennegrita"/>
          <w:rFonts w:ascii="Verdana" w:hAnsi="Verdana" w:cs="Arial"/>
          <w:b w:val="0"/>
          <w:bCs w:val="0"/>
          <w:color w:val="000000" w:themeColor="text1"/>
        </w:rPr>
        <w:t xml:space="preserve"> En el cronograma, la entidad estatal debe contemplar un término o plazo para la presentación de observaciones y/o aclaraciones al pliego de condiciones definitivo, al igual que un plazo para responder esas solicitudes, inclusive en el proceso de licitación.</w:t>
      </w:r>
    </w:p>
    <w:p w14:paraId="462346FA"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r w:rsidRPr="00981BF5">
        <w:rPr>
          <w:rStyle w:val="Textoennegrita"/>
          <w:rFonts w:ascii="Verdana" w:hAnsi="Verdana" w:cs="Arial"/>
          <w:b w:val="0"/>
          <w:bCs w:val="0"/>
          <w:color w:val="000000" w:themeColor="text1"/>
        </w:rPr>
        <w:t xml:space="preserve">Ahora bien, en esta fase o etapa del proceso de contratación el ordenamiento jurídico tampoco contempló un término para responder las observaciones y/o solicitudes de aclaraciones; sin embargo, también existe un límite para que la entidad estatal pueda pronunciarse sobre esas solicitudes. Así las cosas, el pronunciamiento sobre las observaciones y/o solicitudes de aclaraciones al pliego de condiciones definitivo debe efectuarse antes del vencimiento del plazo establecido en el cronograma para la presentación de las propuestas u ofertas por parte de los interesados. </w:t>
      </w:r>
    </w:p>
    <w:p w14:paraId="5266C600"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r w:rsidRPr="00981BF5">
        <w:rPr>
          <w:rStyle w:val="Textoennegrita"/>
          <w:rFonts w:ascii="Verdana" w:hAnsi="Verdana" w:cs="Arial"/>
          <w:b w:val="0"/>
          <w:bCs w:val="0"/>
          <w:color w:val="000000" w:themeColor="text1"/>
        </w:rPr>
        <w:t>Esto en consideración a que, conforme al numeral 6 del artículo 30 de la Ley 80 de 1993, la propuesta debe ajustarse a todos los puntos determinados en el pliego de condiciones</w:t>
      </w:r>
      <w:r w:rsidRPr="00253A51">
        <w:rPr>
          <w:rStyle w:val="Refdenotaalpie"/>
          <w:rFonts w:ascii="Verdana" w:hAnsi="Verdana" w:cs="Arial"/>
          <w:color w:val="000000" w:themeColor="text1"/>
        </w:rPr>
        <w:footnoteReference w:id="11"/>
      </w:r>
      <w:r w:rsidRPr="00981BF5">
        <w:rPr>
          <w:rStyle w:val="Textoennegrita"/>
          <w:rFonts w:ascii="Verdana" w:hAnsi="Verdana" w:cs="Arial"/>
          <w:b w:val="0"/>
          <w:bCs w:val="0"/>
          <w:color w:val="000000" w:themeColor="text1"/>
        </w:rPr>
        <w:t xml:space="preserve">. </w:t>
      </w:r>
      <w:r w:rsidRPr="00981BF5">
        <w:rPr>
          <w:rStyle w:val="Textoennegrita"/>
          <w:rFonts w:ascii="Verdana" w:hAnsi="Verdana" w:cs="Arial"/>
          <w:b w:val="0"/>
          <w:bCs w:val="0"/>
          <w:i/>
          <w:iCs/>
          <w:color w:val="000000" w:themeColor="text1"/>
        </w:rPr>
        <w:t>Contrario sensu,</w:t>
      </w:r>
      <w:r w:rsidRPr="00981BF5">
        <w:rPr>
          <w:rStyle w:val="Textoennegrita"/>
          <w:rFonts w:ascii="Verdana" w:hAnsi="Verdana" w:cs="Arial"/>
          <w:b w:val="0"/>
          <w:bCs w:val="0"/>
          <w:color w:val="000000" w:themeColor="text1"/>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p>
    <w:p w14:paraId="4BC6DE64" w14:textId="77777777" w:rsidR="00506C1E" w:rsidRPr="00981BF5" w:rsidRDefault="00506C1E" w:rsidP="00506C1E">
      <w:pPr>
        <w:spacing w:before="120" w:line="276" w:lineRule="auto"/>
        <w:ind w:firstLine="709"/>
        <w:jc w:val="both"/>
        <w:rPr>
          <w:rFonts w:ascii="Verdana" w:hAnsi="Verdana" w:cs="Arial"/>
        </w:rPr>
      </w:pPr>
      <w:r w:rsidRPr="00981BF5">
        <w:rPr>
          <w:rFonts w:ascii="Verdana" w:hAnsi="Verdana" w:cs="Arial"/>
        </w:rPr>
        <w:t xml:space="preserve">De esta manera, las observaciones o aclaraciones que sean presentadas frente al proyecto de pliego de condiciones deberán ser resueltas por la entidad </w:t>
      </w:r>
      <w:r w:rsidRPr="00981BF5">
        <w:rPr>
          <w:rFonts w:ascii="Verdana" w:hAnsi="Verdana" w:cs="Arial"/>
        </w:rPr>
        <w:lastRenderedPageBreak/>
        <w:t xml:space="preserve">antes de publicar el pliego de condiciones definitivo, lo cual implica que la entidad no podrá seguir adelante con la siguiente etapa del correspondiente proceso de contratación, si antes no se ha pronunciado sobre las observaciones presentadas. Sin perjuicio de lo anterior, es pertinente aclarar que no todas las observaciones o aclaraciones que se presenten en virtud del control ciudadano conllevarán a una modificación del pliego de condiciones. </w:t>
      </w:r>
    </w:p>
    <w:p w14:paraId="274E8DDA" w14:textId="77777777" w:rsidR="00506C1E" w:rsidRPr="00981BF5" w:rsidRDefault="00506C1E" w:rsidP="00506C1E">
      <w:pPr>
        <w:spacing w:before="120" w:line="276" w:lineRule="auto"/>
        <w:ind w:firstLine="709"/>
        <w:jc w:val="both"/>
        <w:rPr>
          <w:rFonts w:ascii="Verdana" w:hAnsi="Verdana" w:cs="Arial"/>
        </w:rPr>
      </w:pPr>
      <w:r w:rsidRPr="00981BF5">
        <w:rPr>
          <w:rFonts w:ascii="Verdana" w:hAnsi="Verdana" w:cs="Arial"/>
        </w:rPr>
        <w:t>De otro lado, incluso frente al pliego de condiciones definitivo es posible que se presenten observaciones adicionales, correspondiéndole a la entidad estatal pronunciarse motivadamente frente a cada una de ellas y, de ser el caso, indicar expresamente si con ocasión del análisis de las observaciones es necesario modificar, ajustar o aclarar algún aspecto o condición del pliego. En este evento, la modificación debe realizarse por acto administrativo –adenda–, sin que necesariamente se deba titular o rotular de esta manera, como requisito para que esta produzca efectos. En todo caso, en cada procedimiento de selección deberá dilucidarse cuál es la intención de la entidad estatal al pronunciarse frente a las observaciones recibidas, en el sentido de si mediante su respuesta realizará alguna modificación y en qué consistirá. Lo anterior no obsta para señalar que, en todo caso, para evitar discrepancias lo recomendable frente a las entidades estatales consiste en que el documento se identifique claramente como adenda y se señale de forma precisa qué contenido se modificará del pliego de condiciones.</w:t>
      </w:r>
    </w:p>
    <w:p w14:paraId="0BA4B0C7"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proofErr w:type="spellStart"/>
      <w:r w:rsidRPr="00981BF5">
        <w:rPr>
          <w:rStyle w:val="Textoennegrita"/>
          <w:rFonts w:ascii="Verdana" w:hAnsi="Verdana" w:cs="Arial"/>
          <w:b w:val="0"/>
          <w:bCs w:val="0"/>
          <w:i/>
          <w:iCs/>
          <w:color w:val="000000" w:themeColor="text1"/>
        </w:rPr>
        <w:t>iii</w:t>
      </w:r>
      <w:proofErr w:type="spellEnd"/>
      <w:r w:rsidRPr="00981BF5">
        <w:rPr>
          <w:rStyle w:val="Textoennegrita"/>
          <w:rFonts w:ascii="Verdana" w:hAnsi="Verdana" w:cs="Arial"/>
          <w:b w:val="0"/>
          <w:bCs w:val="0"/>
          <w:i/>
          <w:iCs/>
          <w:color w:val="000000" w:themeColor="text1"/>
        </w:rPr>
        <w:t>) Informes de evaluación</w:t>
      </w:r>
      <w:r w:rsidRPr="00981BF5">
        <w:rPr>
          <w:rStyle w:val="Textoennegrita"/>
          <w:rFonts w:ascii="Verdana" w:hAnsi="Verdana" w:cs="Arial"/>
          <w:b w:val="0"/>
          <w:bCs w:val="0"/>
          <w:color w:val="000000" w:themeColor="text1"/>
        </w:rPr>
        <w:t>. El informe de evaluación de las propuestas en los procesos de licitación pública debe permanecer en la Secretaría General de la entidad estatal contratante por el un término de cinco (5) días hábiles</w:t>
      </w:r>
      <w:r w:rsidRPr="00B933BE">
        <w:rPr>
          <w:rStyle w:val="Refdenotaalpie"/>
          <w:rFonts w:ascii="Verdana" w:hAnsi="Verdana" w:cs="Arial"/>
          <w:color w:val="000000" w:themeColor="text1"/>
        </w:rPr>
        <w:footnoteReference w:id="12"/>
      </w:r>
      <w:r w:rsidRPr="00981BF5">
        <w:rPr>
          <w:rStyle w:val="Textoennegrita"/>
          <w:rFonts w:ascii="Verdana" w:hAnsi="Verdana" w:cs="Arial"/>
          <w:b w:val="0"/>
          <w:bCs w:val="0"/>
          <w:color w:val="000000" w:themeColor="text1"/>
        </w:rPr>
        <w:t xml:space="preserve">. En los procesos de selección de concurso de méritos y de selección abreviada de menor cuantía, las entidades estatales están en la obligación de publicar el informe de evaluación por un término de tres (3) días hábiles, mientras que en </w:t>
      </w:r>
      <w:r w:rsidRPr="00981BF5">
        <w:rPr>
          <w:rStyle w:val="Textoennegrita"/>
          <w:rFonts w:ascii="Verdana" w:hAnsi="Verdana" w:cs="Arial"/>
          <w:b w:val="0"/>
          <w:bCs w:val="0"/>
          <w:color w:val="000000" w:themeColor="text1"/>
        </w:rPr>
        <w:lastRenderedPageBreak/>
        <w:t>los procesos de selección de mínima cuantía ese informe de evaluación deberá publicarse al menos por el término de un (1) día hábil</w:t>
      </w:r>
      <w:r w:rsidRPr="00B933BE">
        <w:rPr>
          <w:rStyle w:val="Refdenotaalpie"/>
          <w:rFonts w:ascii="Verdana" w:hAnsi="Verdana" w:cs="Arial"/>
          <w:color w:val="000000" w:themeColor="text1"/>
        </w:rPr>
        <w:footnoteReference w:id="13"/>
      </w:r>
      <w:r w:rsidRPr="00981BF5">
        <w:rPr>
          <w:rStyle w:val="Textoennegrita"/>
          <w:rFonts w:ascii="Verdana" w:hAnsi="Verdana" w:cs="Arial"/>
          <w:b w:val="0"/>
          <w:bCs w:val="0"/>
          <w:color w:val="000000" w:themeColor="text1"/>
        </w:rPr>
        <w:t>.</w:t>
      </w:r>
    </w:p>
    <w:p w14:paraId="481E67D5" w14:textId="77777777" w:rsidR="00506C1E" w:rsidRPr="00981BF5" w:rsidRDefault="00506C1E" w:rsidP="00506C1E">
      <w:pPr>
        <w:spacing w:before="120" w:after="120" w:line="276" w:lineRule="auto"/>
        <w:ind w:firstLine="709"/>
        <w:jc w:val="both"/>
        <w:rPr>
          <w:rStyle w:val="Textoennegrita"/>
          <w:rFonts w:ascii="Verdana" w:hAnsi="Verdana" w:cs="Arial"/>
          <w:b w:val="0"/>
          <w:bCs w:val="0"/>
          <w:color w:val="000000" w:themeColor="text1"/>
        </w:rPr>
      </w:pPr>
      <w:r w:rsidRPr="00981BF5">
        <w:rPr>
          <w:rStyle w:val="Textoennegrita"/>
          <w:rFonts w:ascii="Verdana" w:hAnsi="Verdana" w:cs="Arial"/>
          <w:b w:val="0"/>
          <w:bCs w:val="0"/>
          <w:color w:val="000000" w:themeColor="text1"/>
        </w:rPr>
        <w:t xml:space="preserve">El propósito de la publicidad del informe de evaluación de las propuestas en cada uno de los procesos de selección citados es que los oferentes puedan realizar las observaciones que a su juicio consideren pertinentes. No obstante, el ordenamiento jurídico no contempló de manera expresa un término para que las entidades estatales se pronuncien sobre las observaciones presentadas al informe de evaluación. Sin embargo, existe un momento límite para responder esas observaciones, el cual está determinado por el acto de adjudicación del respectivo contrato. Es decir, la entidad estatal contratante está en la obligación de responder las observaciones presentadas al informe de evaluación de las propuestas como condición previa para la expedición del acto de adjudicación. </w:t>
      </w:r>
    </w:p>
    <w:p w14:paraId="5182304B"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Style w:val="Textoennegrita"/>
          <w:rFonts w:ascii="Verdana" w:hAnsi="Verdana" w:cs="Arial"/>
          <w:b w:val="0"/>
          <w:bCs w:val="0"/>
          <w:color w:val="000000" w:themeColor="text1"/>
        </w:rPr>
        <w:t xml:space="preserve">Es de resaltar que, en los procesos de licitación, la respuesta a las observaciones presentadas al informe de evaluación deberá efectuarse antes de la realización de la audiencia de adjudicación, puesto que en esta “[…] </w:t>
      </w:r>
      <w:r w:rsidRPr="00981BF5">
        <w:rPr>
          <w:rFonts w:ascii="Verdana" w:hAnsi="Verdana" w:cs="Arial"/>
          <w:color w:val="000000" w:themeColor="text1"/>
        </w:rPr>
        <w:t>los oferentes pueden pronunciarse sobre las respuestas dadas por la Entidad Estatal a las observaciones presentadas respecto del informe de evaluación”</w:t>
      </w:r>
      <w:r w:rsidRPr="00981BF5">
        <w:rPr>
          <w:rStyle w:val="Refdenotaalpie"/>
          <w:rFonts w:ascii="Verdana" w:hAnsi="Verdana" w:cs="Arial"/>
          <w:color w:val="000000" w:themeColor="text1"/>
        </w:rPr>
        <w:footnoteReference w:id="14"/>
      </w:r>
      <w:r w:rsidRPr="00981BF5">
        <w:rPr>
          <w:rFonts w:ascii="Verdana" w:hAnsi="Verdana" w:cs="Arial"/>
          <w:color w:val="000000" w:themeColor="text1"/>
        </w:rPr>
        <w:t>.</w:t>
      </w:r>
    </w:p>
    <w:p w14:paraId="0A8385E4"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lastRenderedPageBreak/>
        <w:t>Así, en relación con los términos con que cuentan las entidades estatales para responder las observaciones y/o solicitudes de aclaraciones en las distintas etapas o fases del proceso de contratación, se precisa que el ordenamiento jurídico no contempló de manera expresa dichos plazos. Estos se encuentran establecidos de forma tácita, en tanto que, no es posible avanzar en las fases o etapas del proceso de contratación, si la entidad estatal, previamente, no ha resuelto las observaciones presentadas y/o solicitudes de aclaraciones realizadas en cada una de las etapas analizadas.</w:t>
      </w:r>
    </w:p>
    <w:p w14:paraId="72B42ABB"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Respecto a la formulación de observaciones por parte de los interesados, estas se sujetan al principio de economía. De acuerdo con el numeral 1 del artículo 25 de la Ley 80 de 1993, “En las normas de selección y en los pliegos de condiciones para la escogencia de contratistas, se cumplirán y establecerán los procedimientos y etapas estrictamente necesarios para asegurar la selección objetiva de la propuesta más favorable. </w:t>
      </w:r>
      <w:r w:rsidRPr="00981BF5">
        <w:rPr>
          <w:rFonts w:ascii="Verdana" w:hAnsi="Verdana" w:cs="Arial"/>
          <w:i/>
          <w:iCs/>
          <w:color w:val="000000" w:themeColor="text1"/>
        </w:rPr>
        <w:t>Para este propósito, se señalarán términos preclusivos y perentorios para las diferentes etapas de la selección y las autoridades darán impulso oficioso a las actuaciones</w:t>
      </w:r>
      <w:r w:rsidRPr="00981BF5">
        <w:rPr>
          <w:rFonts w:ascii="Verdana" w:hAnsi="Verdana" w:cs="Arial"/>
          <w:color w:val="000000" w:themeColor="text1"/>
        </w:rPr>
        <w:t xml:space="preserve">” (Énfasis fuera de texto). </w:t>
      </w:r>
    </w:p>
    <w:p w14:paraId="04D83CE7"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Por ello,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981BF5">
        <w:rPr>
          <w:rFonts w:ascii="Verdana" w:hAnsi="Verdana" w:cs="Arial"/>
          <w:color w:val="000000" w:themeColor="text1"/>
        </w:rPr>
        <w:t>preclusividad</w:t>
      </w:r>
      <w:proofErr w:type="spellEnd"/>
      <w:r w:rsidRPr="00981BF5">
        <w:rPr>
          <w:rFonts w:ascii="Verdana" w:hAnsi="Verdana" w:cs="Arial"/>
          <w:color w:val="000000" w:themeColor="text1"/>
        </w:rPr>
        <w:t xml:space="preserve"> y perentoriedad de los términos que rigen el proceso de contratación. Lo anterior teniendo en cuenta que, una vez agotada cada fase de este, la entidad estatal –en principio– no puede volver sobre aquella. </w:t>
      </w:r>
    </w:p>
    <w:p w14:paraId="76A50BDC" w14:textId="77777777" w:rsidR="00506C1E" w:rsidRPr="00981BF5"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A modo de ejemplo, carece de sentido realizar observaciones sobre los factores de evaluación durante el término de traslado de los informes de evaluación, especialmente, cuando han vencido los plazos para observar tanto el proyecto de pliego de condiciones como el pliego de condiciones definitivo. </w:t>
      </w:r>
      <w:r>
        <w:rPr>
          <w:rFonts w:ascii="Verdana" w:hAnsi="Verdana" w:cs="Arial"/>
          <w:color w:val="000000" w:themeColor="text1"/>
        </w:rPr>
        <w:t>Aunque</w:t>
      </w:r>
      <w:r w:rsidRPr="00981BF5">
        <w:rPr>
          <w:rFonts w:ascii="Verdana" w:hAnsi="Verdana" w:cs="Arial"/>
          <w:color w:val="000000" w:themeColor="text1"/>
        </w:rPr>
        <w:t xml:space="preserve"> la entidad estatal que adelanta un proceso de contratación está en la obligación de responder las observaciones extemporáneas, no lo es menos que esa respuesta debe limitarse al rechazo de la solicitud, precisamente, por realizarse fuera del plazo previsto en los documentos del proceso.</w:t>
      </w:r>
    </w:p>
    <w:p w14:paraId="34C4DBA0" w14:textId="77777777" w:rsidR="00506C1E" w:rsidRDefault="00506C1E" w:rsidP="00506C1E">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lastRenderedPageBreak/>
        <w:t xml:space="preserve">Para estos efectos, conforme al inciso segundo del artículo 13 de la Ley 1437 de 2011, “Toda actuación que inicie cualquier persona ante las autoridades implica el ejercicio del derecho de petición […] sin que sea necesario invocarlo. Mediante él, entre otras actuaciones, se podrá solicitar: el reconocimiento de un derecho, la intervención de una entidad o funcionario, la resolución de una situación jurídica, la prestación de un servicio, requerir información, consultar, examinar y requerir copias de documentos, formular consultas, quejas, denuncias y reclamos e interponer recursos”. Dado que las observaciones son una manifestación de la garantía prevista en el artículo 23 superior en el ámbito contractual, </w:t>
      </w:r>
      <w:r>
        <w:rPr>
          <w:rFonts w:ascii="Verdana" w:hAnsi="Verdana" w:cs="Arial"/>
          <w:color w:val="000000" w:themeColor="text1"/>
        </w:rPr>
        <w:t>es claro que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 Asimismo, el artículo 66 de la Ley 80 de 1993 dispone que “</w:t>
      </w:r>
      <w:r w:rsidRPr="0052666C">
        <w:rPr>
          <w:rFonts w:ascii="Verdana" w:hAnsi="Verdana" w:cs="Arial"/>
          <w:color w:val="000000" w:themeColor="text1"/>
        </w:rPr>
        <w:t>Todo contrato que celebren las entidades estatales, estará sujeto a la vigilancia y control ciudadano</w:t>
      </w:r>
      <w:r>
        <w:rPr>
          <w:rFonts w:ascii="Verdana" w:hAnsi="Verdana" w:cs="Arial"/>
          <w:color w:val="000000" w:themeColor="text1"/>
        </w:rPr>
        <w:t>” –inciso primero–; razón por la cual, “</w:t>
      </w:r>
      <w:r w:rsidRPr="0052666C">
        <w:rPr>
          <w:rFonts w:ascii="Verdana" w:hAnsi="Verdana" w:cs="Arial"/>
          <w:color w:val="000000" w:themeColor="text1"/>
        </w:rPr>
        <w:t>Las autoridades brindarán especial apoyo y colaboración a las personas y asociaciones que emprendan campañas de control y vigilancia de la gestión pública contractual</w:t>
      </w:r>
      <w:r>
        <w:rPr>
          <w:rFonts w:ascii="Verdana" w:hAnsi="Verdana" w:cs="Arial"/>
          <w:color w:val="000000" w:themeColor="text1"/>
        </w:rPr>
        <w:t xml:space="preserve"> […]” –inciso tercero–. Luego, la legitimación para formular observaciones es amplia: corresponde tanto a las personas naturales como jurídicas, en este último con independencia de que sean públicas o privadas.</w:t>
      </w:r>
    </w:p>
    <w:p w14:paraId="7F2A67C2" w14:textId="77777777" w:rsidR="00506C1E" w:rsidRPr="00981BF5" w:rsidRDefault="00506C1E" w:rsidP="00506C1E">
      <w:pPr>
        <w:spacing w:before="120" w:after="120" w:line="276" w:lineRule="auto"/>
        <w:ind w:firstLine="709"/>
        <w:jc w:val="both"/>
        <w:rPr>
          <w:rStyle w:val="eop"/>
          <w:rFonts w:ascii="Verdana" w:hAnsi="Verdana" w:cs="Arial"/>
          <w:color w:val="000000"/>
          <w:shd w:val="clear" w:color="auto" w:fill="FFFFFF"/>
        </w:rPr>
      </w:pP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 xml:space="preserve">es necesario distinguir entre el “derecho a pedir” y el “derecho a lo pedido”. Como explica la Corte Constitucional, </w:t>
      </w:r>
      <w:r w:rsidRPr="00981BF5">
        <w:rPr>
          <w:rStyle w:val="normaltextrun"/>
          <w:rFonts w:ascii="Verdana" w:hAnsi="Verdana" w:cs="Arial"/>
          <w:color w:val="000000"/>
          <w:shd w:val="clear" w:color="auto" w:fill="FFFFFF"/>
        </w:rPr>
        <w:t xml:space="preserve">“[…] </w:t>
      </w:r>
      <w:r w:rsidRPr="00981BF5">
        <w:rPr>
          <w:rFonts w:ascii="Verdana" w:hAnsi="Verdana" w:cs="Arial"/>
          <w:color w:val="000000"/>
          <w:shd w:val="clear" w:color="auto" w:fill="FFFFFF"/>
        </w:rPr>
        <w:t xml:space="preserve">es claro que el solicitante no tiene, en modo alguno, derecho a esperar que la autoridad resuelva su pedido de manera favorable, concediendo lo que él busca, al punto de poder afirmar que se vulnera el derecho de petición si quien lo resuelve no accede, sin objeción, a […] lo pedido. </w:t>
      </w:r>
      <w:r w:rsidRPr="00981BF5">
        <w:rPr>
          <w:rFonts w:ascii="Verdana" w:hAnsi="Verdana" w:cs="Arial"/>
          <w:i/>
          <w:iCs/>
          <w:color w:val="000000"/>
          <w:shd w:val="clear" w:color="auto" w:fill="FFFFFF"/>
        </w:rPr>
        <w:t>La garantía de este derecho consiste en que la autoridad deberá necesariamente estudiar la solicitud que ha recibido, pronunciarse de fondo sobre ella en un tiempo prudencial, y asegurarse de poner la respuesta en conocimiento del peticionario,</w:t>
      </w:r>
      <w:r w:rsidRPr="00981BF5">
        <w:rPr>
          <w:rFonts w:ascii="Verdana" w:hAnsi="Verdana"/>
          <w:i/>
          <w:iCs/>
        </w:rPr>
        <w:t xml:space="preserve"> </w:t>
      </w:r>
      <w:r w:rsidRPr="00981BF5">
        <w:rPr>
          <w:rFonts w:ascii="Verdana" w:hAnsi="Verdana" w:cs="Arial"/>
          <w:i/>
          <w:iCs/>
          <w:color w:val="000000"/>
          <w:shd w:val="clear" w:color="auto" w:fill="FFFFFF"/>
        </w:rPr>
        <w:t>de tal modo que éste no tenga que esperar de manera indefinida</w:t>
      </w:r>
      <w:r w:rsidRPr="00981BF5">
        <w:rPr>
          <w:rFonts w:ascii="Verdana" w:hAnsi="Verdana" w:cs="Arial"/>
          <w:color w:val="000000"/>
          <w:shd w:val="clear" w:color="auto" w:fill="FFFFFF"/>
        </w:rPr>
        <w:t xml:space="preserve"> […]”</w:t>
      </w:r>
      <w:r w:rsidRPr="00981BF5">
        <w:rPr>
          <w:rStyle w:val="Refdenotaalpie"/>
          <w:rFonts w:ascii="Verdana" w:hAnsi="Verdana" w:cs="Arial"/>
          <w:color w:val="000000"/>
          <w:shd w:val="clear" w:color="auto" w:fill="FFFFFF"/>
        </w:rPr>
        <w:footnoteReference w:id="15"/>
      </w:r>
      <w:r w:rsidRPr="00981BF5">
        <w:rPr>
          <w:rFonts w:ascii="Verdana" w:hAnsi="Verdana" w:cs="Arial"/>
          <w:color w:val="000000"/>
          <w:shd w:val="clear" w:color="auto" w:fill="FFFFFF"/>
        </w:rPr>
        <w:t xml:space="preserve"> (Énfasis fuera de texto).</w:t>
      </w:r>
      <w:r w:rsidRPr="00981BF5">
        <w:rPr>
          <w:rStyle w:val="normaltextrun"/>
          <w:rFonts w:ascii="Verdana" w:hAnsi="Verdana" w:cs="Arial"/>
          <w:color w:val="000000"/>
          <w:shd w:val="clear" w:color="auto" w:fill="FFFFFF"/>
        </w:rPr>
        <w:t xml:space="preserve"> </w:t>
      </w:r>
      <w:r w:rsidRPr="00981BF5">
        <w:rPr>
          <w:rStyle w:val="eop"/>
          <w:rFonts w:ascii="Verdana" w:hAnsi="Verdana" w:cs="Arial"/>
          <w:color w:val="000000"/>
          <w:shd w:val="clear" w:color="auto" w:fill="FFFFFF"/>
        </w:rPr>
        <w:t> </w:t>
      </w:r>
    </w:p>
    <w:p w14:paraId="18DB6721" w14:textId="77777777" w:rsidR="00506C1E" w:rsidRPr="00167C6E" w:rsidRDefault="00506C1E" w:rsidP="00506C1E">
      <w:pPr>
        <w:spacing w:after="120" w:line="276" w:lineRule="auto"/>
        <w:ind w:firstLine="708"/>
        <w:jc w:val="both"/>
        <w:rPr>
          <w:rFonts w:ascii="Verdana" w:eastAsia="Calibri" w:hAnsi="Verdana" w:cs="Arial"/>
          <w:color w:val="000000" w:themeColor="text1"/>
        </w:rPr>
      </w:pPr>
      <w:r w:rsidRPr="00981BF5">
        <w:rPr>
          <w:rStyle w:val="eop"/>
          <w:rFonts w:ascii="Verdana" w:hAnsi="Verdana" w:cs="Arial"/>
          <w:color w:val="000000"/>
          <w:shd w:val="clear" w:color="auto" w:fill="FFFFFF"/>
        </w:rPr>
        <w:t xml:space="preserve">En consecuencia, así los factores de evaluación se observen durante la publicación del proyecto de pliego o después de la expedición del acto de apertura, únicamente subsiste la posibilidad de los interesados en realizarlas y </w:t>
      </w:r>
      <w:r w:rsidRPr="00981BF5">
        <w:rPr>
          <w:rStyle w:val="eop"/>
          <w:rFonts w:ascii="Verdana" w:hAnsi="Verdana" w:cs="Arial"/>
          <w:color w:val="000000"/>
          <w:shd w:val="clear" w:color="auto" w:fill="FFFFFF"/>
        </w:rPr>
        <w:lastRenderedPageBreak/>
        <w:t xml:space="preserve">el deber a cargo de la entidad contratante de resolverlas. Sin embargo, </w:t>
      </w:r>
      <w:r>
        <w:rPr>
          <w:rStyle w:val="eop"/>
          <w:rFonts w:ascii="Verdana" w:hAnsi="Verdana" w:cs="Arial"/>
          <w:color w:val="000000"/>
          <w:shd w:val="clear" w:color="auto" w:fill="FFFFFF"/>
        </w:rPr>
        <w:t>é</w:t>
      </w:r>
      <w:r w:rsidRPr="00981BF5">
        <w:rPr>
          <w:rStyle w:val="eop"/>
          <w:rFonts w:ascii="Verdana" w:hAnsi="Verdana" w:cs="Arial"/>
          <w:color w:val="000000"/>
          <w:shd w:val="clear" w:color="auto" w:fill="FFFFFF"/>
        </w:rPr>
        <w:t>stas pueden rechazase de manera motivada, pues “[…] el ámbito de protección constitucional de la petición se circunscribe al derecho a la solicitud y a tener una contestación para la misma, en ningún caso implica otorgar la materia de la solicitud como tal”</w:t>
      </w:r>
      <w:r w:rsidRPr="00981BF5">
        <w:rPr>
          <w:rStyle w:val="Refdenotaalpie"/>
          <w:rFonts w:ascii="Verdana" w:hAnsi="Verdana" w:cs="Arial"/>
          <w:color w:val="000000"/>
          <w:shd w:val="clear" w:color="auto" w:fill="FFFFFF"/>
        </w:rPr>
        <w:footnoteReference w:id="16"/>
      </w:r>
      <w:r w:rsidRPr="00981BF5">
        <w:rPr>
          <w:rFonts w:ascii="Verdana" w:eastAsia="Arial" w:hAnsi="Verdana" w:cs="Arial"/>
          <w:color w:val="000000"/>
        </w:rPr>
        <w:t>.</w:t>
      </w:r>
      <w:r>
        <w:rPr>
          <w:rFonts w:ascii="Verdana" w:eastAsia="Arial" w:hAnsi="Verdana" w:cs="Arial"/>
          <w:color w:val="000000"/>
        </w:rPr>
        <w:t xml:space="preserve"> En esta medida, la posibilidad de formular observaciones no corresponde a un acto de coadministración, pues la entidad define el contenido de los documentos del proceso en el ámbito de la competencia atribuida por lo artículos 2, 11 y 12 del Estatuto General de Contratación de la Administración Pública.</w:t>
      </w:r>
    </w:p>
    <w:p w14:paraId="341014D0" w14:textId="77777777" w:rsidR="00506C1E" w:rsidRPr="003A380F" w:rsidRDefault="00506C1E" w:rsidP="00506C1E">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7FB2F66" w14:textId="77777777" w:rsidR="00506C1E" w:rsidRPr="00185EE9" w:rsidRDefault="00506C1E" w:rsidP="00506C1E">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A5652F8" w14:textId="77777777" w:rsidR="00506C1E" w:rsidRPr="00182C89" w:rsidRDefault="00506C1E" w:rsidP="00506C1E">
      <w:pPr>
        <w:tabs>
          <w:tab w:val="left" w:pos="709"/>
        </w:tabs>
        <w:spacing w:after="0" w:line="276" w:lineRule="auto"/>
        <w:jc w:val="both"/>
        <w:rPr>
          <w:rFonts w:ascii="Verdana" w:eastAsia="Calibri" w:hAnsi="Verdana" w:cs="Arial"/>
          <w:color w:val="000000" w:themeColor="text1"/>
        </w:rPr>
      </w:pPr>
    </w:p>
    <w:p w14:paraId="4CB9B1AF" w14:textId="77777777" w:rsidR="00506C1E" w:rsidRPr="00593A5F" w:rsidRDefault="00506C1E" w:rsidP="00506C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AE26C41" w14:textId="77777777" w:rsidR="00506C1E" w:rsidRPr="00593A5F" w:rsidRDefault="00506C1E" w:rsidP="00506C1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6C1E" w:rsidRPr="002407CE" w14:paraId="30252B01" w14:textId="77777777" w:rsidTr="00993118">
        <w:trPr>
          <w:trHeight w:val="870"/>
          <w:jc w:val="center"/>
        </w:trPr>
        <w:tc>
          <w:tcPr>
            <w:tcW w:w="8647" w:type="dxa"/>
          </w:tcPr>
          <w:p w14:paraId="2B5FBFBF" w14:textId="77777777" w:rsidR="00506C1E" w:rsidRDefault="00506C1E" w:rsidP="0099311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23.</w:t>
            </w:r>
          </w:p>
          <w:p w14:paraId="134BDCD4" w14:textId="77777777" w:rsidR="00506C1E" w:rsidRDefault="00506C1E" w:rsidP="0099311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 11, 12, 23, 24, 25, 30 y 66.</w:t>
            </w:r>
          </w:p>
          <w:p w14:paraId="60636DB5" w14:textId="77777777" w:rsidR="00506C1E" w:rsidRDefault="00506C1E" w:rsidP="0099311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lastRenderedPageBreak/>
              <w:t>Ley 1150 de 2007, artículos 4 y 8.</w:t>
            </w:r>
          </w:p>
          <w:p w14:paraId="61749789" w14:textId="77777777" w:rsidR="00506C1E" w:rsidRDefault="00506C1E" w:rsidP="0099311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1437 de 2011, artículo 13.</w:t>
            </w:r>
          </w:p>
          <w:p w14:paraId="50E65A5B" w14:textId="77777777" w:rsidR="00506C1E" w:rsidRPr="00DA543F" w:rsidRDefault="00506C1E" w:rsidP="00993118">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Decreto 1082 de 2015, artículos </w:t>
            </w:r>
            <w:r w:rsidRPr="0058605F">
              <w:rPr>
                <w:rFonts w:ascii="Verdana" w:hAnsi="Verdana" w:cs="Arial"/>
                <w:color w:val="000000" w:themeColor="text1"/>
                <w:lang w:val="es-ES_tradnl"/>
              </w:rPr>
              <w:t>2.2.1.1.1.7.1</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2.2.1.1.2.1.4</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2.2.1.2.1.1.2</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2.2.1.2.1.2.20</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2.2.1.2.1.3.2</w:t>
            </w:r>
            <w:r>
              <w:rPr>
                <w:rFonts w:ascii="Verdana" w:hAnsi="Verdana" w:cs="Arial"/>
                <w:color w:val="000000" w:themeColor="text1"/>
                <w:lang w:val="es-ES_tradnl"/>
              </w:rPr>
              <w:t xml:space="preserve"> y </w:t>
            </w:r>
            <w:r w:rsidRPr="00253A51">
              <w:rPr>
                <w:rFonts w:ascii="Verdana" w:hAnsi="Verdana" w:cs="Arial"/>
                <w:color w:val="000000" w:themeColor="text1"/>
                <w:lang w:val="es-ES_tradnl"/>
              </w:rPr>
              <w:t>2.2.1.2.1.5.2</w:t>
            </w:r>
            <w:r>
              <w:rPr>
                <w:rFonts w:ascii="Verdana" w:hAnsi="Verdana" w:cs="Arial"/>
                <w:color w:val="000000" w:themeColor="text1"/>
                <w:lang w:val="es-ES_tradnl"/>
              </w:rPr>
              <w:t>.</w:t>
            </w:r>
          </w:p>
        </w:tc>
      </w:tr>
    </w:tbl>
    <w:p w14:paraId="1CEF85F4" w14:textId="77777777" w:rsidR="00506C1E" w:rsidRPr="002407CE" w:rsidRDefault="00506C1E" w:rsidP="00506C1E">
      <w:pPr>
        <w:widowControl w:val="0"/>
        <w:autoSpaceDE w:val="0"/>
        <w:autoSpaceDN w:val="0"/>
        <w:spacing w:after="0" w:line="276" w:lineRule="auto"/>
        <w:jc w:val="both"/>
        <w:rPr>
          <w:rFonts w:ascii="Verdana" w:hAnsi="Verdana" w:cs="Arial"/>
        </w:rPr>
      </w:pPr>
    </w:p>
    <w:p w14:paraId="2BF2AB26" w14:textId="77777777" w:rsidR="00506C1E" w:rsidRPr="00593A5F" w:rsidRDefault="00506C1E" w:rsidP="00506C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79C8B8D" w14:textId="77777777" w:rsidR="00506C1E" w:rsidRPr="00593A5F" w:rsidRDefault="00506C1E" w:rsidP="00506C1E">
      <w:pPr>
        <w:widowControl w:val="0"/>
        <w:autoSpaceDE w:val="0"/>
        <w:autoSpaceDN w:val="0"/>
        <w:spacing w:after="0" w:line="276" w:lineRule="auto"/>
        <w:jc w:val="both"/>
        <w:rPr>
          <w:rFonts w:ascii="Verdana" w:hAnsi="Verdana" w:cs="Arial"/>
        </w:rPr>
      </w:pPr>
    </w:p>
    <w:p w14:paraId="6BA26348" w14:textId="77777777" w:rsidR="00506C1E" w:rsidRPr="00ED0098" w:rsidRDefault="00506C1E" w:rsidP="00506C1E">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w:t>
      </w:r>
      <w:r>
        <w:rPr>
          <w:rFonts w:ascii="Verdana" w:hAnsi="Verdana" w:cs="Arial"/>
          <w:shd w:val="clear" w:color="auto" w:fill="FFFFFF"/>
        </w:rPr>
        <w:t>el régimen de las observaciones</w:t>
      </w:r>
      <w:r w:rsidRPr="00BC7FC8">
        <w:rPr>
          <w:rFonts w:ascii="Verdana" w:hAnsi="Verdana" w:cs="Arial"/>
          <w:shd w:val="clear" w:color="auto" w:fill="FFFFFF"/>
        </w:rPr>
        <w:t xml:space="preserve"> en los </w:t>
      </w:r>
      <w:r w:rsidRPr="008E2049">
        <w:rPr>
          <w:rFonts w:ascii="Verdana" w:hAnsi="Verdana" w:cs="Arial"/>
          <w:shd w:val="clear" w:color="auto" w:fill="FFFFFF"/>
        </w:rPr>
        <w:t>en los conceptos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C-328 del 30 de junio de 2020, C-418 del 12 de agosto de 2021, C-512 del 22 de septiembre de 2021, C-310 del 16 de mayo de 2022</w:t>
      </w:r>
      <w:r>
        <w:rPr>
          <w:rFonts w:ascii="Verdana" w:hAnsi="Verdana" w:cs="Arial"/>
          <w:shd w:val="clear" w:color="auto" w:fill="FFFFFF"/>
        </w:rPr>
        <w:t xml:space="preserve"> y C-366 del 8 de septiembre de 2023</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FC7B0CC" w14:textId="77777777" w:rsidR="00506C1E" w:rsidRPr="00096788" w:rsidRDefault="00506C1E" w:rsidP="00506C1E">
      <w:pPr>
        <w:widowControl w:val="0"/>
        <w:autoSpaceDE w:val="0"/>
        <w:autoSpaceDN w:val="0"/>
        <w:spacing w:after="0" w:line="276" w:lineRule="auto"/>
        <w:jc w:val="both"/>
        <w:rPr>
          <w:rFonts w:ascii="Verdana" w:hAnsi="Verdana" w:cs="Arial"/>
          <w:color w:val="000000" w:themeColor="text1"/>
          <w:shd w:val="clear" w:color="auto" w:fill="FFFFFF"/>
        </w:rPr>
      </w:pPr>
    </w:p>
    <w:p w14:paraId="3AD674AD" w14:textId="77777777" w:rsidR="00506C1E" w:rsidRPr="00E440FD" w:rsidRDefault="00506C1E" w:rsidP="00506C1E">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046E045" w14:textId="77777777" w:rsidR="00506C1E" w:rsidRDefault="00506C1E" w:rsidP="00506C1E">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4A16A596" w14:textId="77777777" w:rsidR="00506C1E" w:rsidRPr="00116940" w:rsidRDefault="00506C1E" w:rsidP="00506C1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61DB4242" w14:textId="77777777" w:rsidR="00506C1E" w:rsidRPr="00116940" w:rsidRDefault="00506C1E" w:rsidP="00506C1E">
      <w:pPr>
        <w:spacing w:after="0"/>
        <w:jc w:val="both"/>
        <w:rPr>
          <w:rFonts w:ascii="Verdana" w:hAnsi="Verdana"/>
        </w:rPr>
      </w:pPr>
    </w:p>
    <w:p w14:paraId="3389C4DB" w14:textId="77777777" w:rsidR="00506C1E" w:rsidRPr="00116940" w:rsidRDefault="00506C1E" w:rsidP="00506C1E">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751C818" w14:textId="77777777" w:rsidR="00506C1E" w:rsidRPr="00116940" w:rsidRDefault="00506C1E" w:rsidP="00506C1E">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77625F3" w14:textId="77777777" w:rsidR="00506C1E" w:rsidRPr="00116940" w:rsidRDefault="00506C1E" w:rsidP="00506C1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7A9A9DF6" w14:textId="77777777" w:rsidR="00506C1E" w:rsidRPr="00116940" w:rsidRDefault="00506C1E" w:rsidP="00506C1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8AAD989" w14:textId="77777777" w:rsidR="00506C1E" w:rsidRPr="00116940" w:rsidRDefault="00506C1E" w:rsidP="00506C1E">
      <w:pPr>
        <w:spacing w:after="0" w:line="240" w:lineRule="auto"/>
        <w:ind w:left="720"/>
        <w:jc w:val="both"/>
        <w:rPr>
          <w:rFonts w:ascii="Verdana" w:hAnsi="Verdana"/>
        </w:rPr>
      </w:pPr>
    </w:p>
    <w:p w14:paraId="6D681749" w14:textId="77777777" w:rsidR="00506C1E" w:rsidRPr="00116940" w:rsidRDefault="00506C1E" w:rsidP="00506C1E">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D524667" w14:textId="77777777" w:rsidR="00506C1E" w:rsidRPr="00116940" w:rsidRDefault="00506C1E" w:rsidP="00506C1E">
      <w:pPr>
        <w:spacing w:after="0" w:line="240" w:lineRule="auto"/>
        <w:rPr>
          <w:rFonts w:ascii="Verdana" w:hAnsi="Verdana"/>
        </w:rPr>
      </w:pPr>
    </w:p>
    <w:p w14:paraId="6863B30F" w14:textId="77777777" w:rsidR="00506C1E" w:rsidRPr="00116940" w:rsidRDefault="00506C1E" w:rsidP="00506C1E">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3D937E4" w14:textId="77777777" w:rsidR="00506C1E" w:rsidRPr="00116940" w:rsidRDefault="00506C1E" w:rsidP="00506C1E">
      <w:pPr>
        <w:spacing w:after="0" w:line="240" w:lineRule="auto"/>
        <w:jc w:val="both"/>
        <w:rPr>
          <w:rFonts w:ascii="Verdana" w:hAnsi="Verdana"/>
        </w:rPr>
      </w:pPr>
    </w:p>
    <w:p w14:paraId="4F41FFD1" w14:textId="77777777" w:rsidR="00506C1E" w:rsidRPr="00116940" w:rsidRDefault="00506C1E" w:rsidP="00506C1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1FFD489" w14:textId="77777777" w:rsidR="00506C1E" w:rsidRPr="00116940" w:rsidRDefault="00506C1E" w:rsidP="00506C1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E895CEB" w14:textId="77777777" w:rsidR="00506C1E" w:rsidRPr="00116940" w:rsidRDefault="00506C1E" w:rsidP="00506C1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6BE7259" w14:textId="77777777" w:rsidR="00506C1E" w:rsidRPr="009C4035" w:rsidRDefault="00506C1E" w:rsidP="00506C1E">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335850B" w14:textId="77777777" w:rsidR="00506C1E" w:rsidRPr="00593A5F" w:rsidRDefault="00506C1E" w:rsidP="00506C1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3DC020" w14:textId="77777777" w:rsidR="00506C1E" w:rsidRPr="00593A5F" w:rsidRDefault="00506C1E" w:rsidP="00506C1E">
      <w:pPr>
        <w:widowControl w:val="0"/>
        <w:autoSpaceDE w:val="0"/>
        <w:autoSpaceDN w:val="0"/>
        <w:spacing w:after="0" w:line="276" w:lineRule="auto"/>
        <w:jc w:val="both"/>
        <w:rPr>
          <w:rFonts w:ascii="Verdana" w:hAnsi="Verdana" w:cs="Arial"/>
        </w:rPr>
      </w:pPr>
    </w:p>
    <w:p w14:paraId="17007042" w14:textId="77777777" w:rsidR="00506C1E" w:rsidRPr="00593A5F" w:rsidRDefault="00506C1E" w:rsidP="00506C1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6DF455C" w14:textId="6F8D2567" w:rsidR="00506C1E" w:rsidRPr="00593A5F" w:rsidRDefault="000A5BAD" w:rsidP="00506C1E">
      <w:pPr>
        <w:spacing w:line="276" w:lineRule="auto"/>
        <w:jc w:val="center"/>
        <w:rPr>
          <w:rFonts w:ascii="Verdana" w:hAnsi="Verdana" w:cs="Arial"/>
          <w:color w:val="000000"/>
          <w:lang w:val="es-ES_tradnl" w:eastAsia="es-CO"/>
        </w:rPr>
      </w:pPr>
      <w:r>
        <w:rPr>
          <w:noProof/>
        </w:rPr>
        <w:drawing>
          <wp:inline distT="0" distB="0" distL="0" distR="0" wp14:anchorId="14E0DFF3" wp14:editId="11FC269A">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6C1E" w:rsidRPr="00593A5F" w14:paraId="6145C211" w14:textId="77777777" w:rsidTr="00993118">
        <w:trPr>
          <w:trHeight w:val="315"/>
        </w:trPr>
        <w:tc>
          <w:tcPr>
            <w:tcW w:w="893" w:type="dxa"/>
            <w:vAlign w:val="center"/>
            <w:hideMark/>
          </w:tcPr>
          <w:p w14:paraId="3E74826F" w14:textId="77777777" w:rsidR="00506C1E" w:rsidRPr="003751C7" w:rsidRDefault="00506C1E"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6BCB604" w14:textId="77777777" w:rsidR="00506C1E" w:rsidRPr="00254A7A" w:rsidRDefault="00506C1E" w:rsidP="0099311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09F7B30" w14:textId="77777777" w:rsidR="00506C1E" w:rsidRPr="00254A7A" w:rsidRDefault="00506C1E" w:rsidP="0099311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06C1E" w:rsidRPr="00593A5F" w14:paraId="5DEB7209" w14:textId="77777777" w:rsidTr="00993118">
        <w:trPr>
          <w:trHeight w:val="330"/>
        </w:trPr>
        <w:tc>
          <w:tcPr>
            <w:tcW w:w="893" w:type="dxa"/>
            <w:vAlign w:val="center"/>
            <w:hideMark/>
          </w:tcPr>
          <w:p w14:paraId="4C32FA04" w14:textId="77777777" w:rsidR="00506C1E" w:rsidRPr="003751C7" w:rsidRDefault="00506C1E"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AE3E3F" w14:textId="77777777" w:rsidR="00506C1E" w:rsidRPr="00FE00BE" w:rsidRDefault="00506C1E" w:rsidP="00993118">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6996EC13" w14:textId="77777777" w:rsidR="00506C1E" w:rsidRPr="00FE00BE" w:rsidRDefault="00506C1E" w:rsidP="00993118">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506C1E" w:rsidRPr="00593A5F" w14:paraId="317D2E0D" w14:textId="77777777" w:rsidTr="00993118">
        <w:trPr>
          <w:trHeight w:val="300"/>
        </w:trPr>
        <w:tc>
          <w:tcPr>
            <w:tcW w:w="893" w:type="dxa"/>
            <w:vAlign w:val="center"/>
          </w:tcPr>
          <w:p w14:paraId="2C82BB02" w14:textId="77777777" w:rsidR="00506C1E" w:rsidRPr="003751C7" w:rsidRDefault="00506C1E"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E4CF93E" w14:textId="77777777" w:rsidR="00506C1E" w:rsidRPr="00FE00BE" w:rsidRDefault="00506C1E" w:rsidP="00993118">
            <w:pPr>
              <w:contextualSpacing/>
              <w:rPr>
                <w:rFonts w:ascii="Verdana" w:eastAsia="Calibri" w:hAnsi="Verdana" w:cs="Arial"/>
                <w:sz w:val="16"/>
                <w:szCs w:val="16"/>
                <w:lang w:val="es-ES" w:eastAsia="es-ES"/>
              </w:rPr>
            </w:pPr>
            <w:r w:rsidRPr="4AD6C21E">
              <w:rPr>
                <w:rFonts w:ascii="Verdana" w:eastAsia="Calibri" w:hAnsi="Verdana" w:cs="Arial"/>
                <w:sz w:val="16"/>
                <w:szCs w:val="16"/>
                <w:lang w:val="es-ES" w:eastAsia="es-ES"/>
              </w:rPr>
              <w:t xml:space="preserve">Carolina Quintero </w:t>
            </w:r>
            <w:proofErr w:type="spellStart"/>
            <w:r w:rsidRPr="4AD6C21E">
              <w:rPr>
                <w:rFonts w:ascii="Verdana" w:eastAsia="Calibri" w:hAnsi="Verdana" w:cs="Arial"/>
                <w:sz w:val="16"/>
                <w:szCs w:val="16"/>
                <w:lang w:val="es-ES" w:eastAsia="es-ES"/>
              </w:rPr>
              <w:t>Gacharná</w:t>
            </w:r>
            <w:proofErr w:type="spellEnd"/>
          </w:p>
          <w:p w14:paraId="5A029E3B" w14:textId="77777777" w:rsidR="00506C1E" w:rsidRPr="00FE00BE" w:rsidRDefault="00506C1E" w:rsidP="0099311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2A5C82CA" w14:textId="77777777" w:rsidR="00506C1E" w:rsidRPr="00543BFE" w:rsidRDefault="00506C1E" w:rsidP="00506C1E"/>
    <w:p w14:paraId="0F293BF4" w14:textId="6E318F7C" w:rsidR="00127233" w:rsidRPr="00D44F98" w:rsidRDefault="00127233" w:rsidP="00D44F98"/>
    <w:sectPr w:rsidR="00127233" w:rsidRPr="00D44F9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5EDE4" w14:textId="77777777" w:rsidR="007466DF" w:rsidRDefault="007466DF" w:rsidP="004A1847">
      <w:pPr>
        <w:spacing w:after="0" w:line="240" w:lineRule="auto"/>
      </w:pPr>
      <w:r>
        <w:separator/>
      </w:r>
    </w:p>
  </w:endnote>
  <w:endnote w:type="continuationSeparator" w:id="0">
    <w:p w14:paraId="5729A3B9" w14:textId="77777777" w:rsidR="007466DF" w:rsidRDefault="007466DF" w:rsidP="004A1847">
      <w:pPr>
        <w:spacing w:after="0" w:line="240" w:lineRule="auto"/>
      </w:pPr>
      <w:r>
        <w:continuationSeparator/>
      </w:r>
    </w:p>
  </w:endnote>
  <w:endnote w:type="continuationNotice" w:id="1">
    <w:p w14:paraId="4D014DDA" w14:textId="77777777" w:rsidR="007466DF" w:rsidRDefault="007466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48225" w14:textId="77777777" w:rsidR="007466DF" w:rsidRDefault="007466DF" w:rsidP="004A1847">
      <w:pPr>
        <w:spacing w:after="0" w:line="240" w:lineRule="auto"/>
      </w:pPr>
      <w:r>
        <w:separator/>
      </w:r>
    </w:p>
  </w:footnote>
  <w:footnote w:type="continuationSeparator" w:id="0">
    <w:p w14:paraId="5CFF6E59" w14:textId="77777777" w:rsidR="007466DF" w:rsidRDefault="007466DF" w:rsidP="004A1847">
      <w:pPr>
        <w:spacing w:after="0" w:line="240" w:lineRule="auto"/>
      </w:pPr>
      <w:r>
        <w:continuationSeparator/>
      </w:r>
    </w:p>
  </w:footnote>
  <w:footnote w:type="continuationNotice" w:id="1">
    <w:p w14:paraId="00C7FFAE" w14:textId="77777777" w:rsidR="007466DF" w:rsidRDefault="007466DF">
      <w:pPr>
        <w:spacing w:after="0" w:line="240" w:lineRule="auto"/>
      </w:pPr>
    </w:p>
  </w:footnote>
  <w:footnote w:id="2">
    <w:p w14:paraId="56913905" w14:textId="77777777" w:rsidR="00506C1E" w:rsidRPr="00981BF5" w:rsidRDefault="00506C1E" w:rsidP="00506C1E">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3º. De los fines de la contratación estatal. 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w:t>
      </w:r>
    </w:p>
    <w:p w14:paraId="1C455C5F" w14:textId="77777777" w:rsidR="00506C1E" w:rsidRPr="00981BF5" w:rsidRDefault="00506C1E" w:rsidP="00506C1E">
      <w:pPr>
        <w:pStyle w:val="Textonotapie"/>
        <w:ind w:firstLine="709"/>
        <w:jc w:val="both"/>
        <w:rPr>
          <w:rFonts w:ascii="Verdana" w:hAnsi="Verdana" w:cs="Arial"/>
          <w:sz w:val="16"/>
          <w:szCs w:val="16"/>
        </w:rPr>
      </w:pPr>
      <w:r w:rsidRPr="00981BF5">
        <w:rPr>
          <w:rFonts w:ascii="Verdana" w:hAnsi="Verdana" w:cs="Arial"/>
          <w:sz w:val="16"/>
          <w:szCs w:val="16"/>
        </w:rPr>
        <w:t>Los particulares, por su parte, tendrán en cuenta al celebrar y ejecutar contratos con las entidades estatales que, colaboran con ellas en el logro de sus fines y cumplen una función social que, como tal, implica obligaciones”.</w:t>
      </w:r>
    </w:p>
  </w:footnote>
  <w:footnote w:id="3">
    <w:p w14:paraId="2BF55D0A" w14:textId="77777777" w:rsidR="00506C1E" w:rsidRPr="00981BF5" w:rsidRDefault="00506C1E" w:rsidP="00506C1E">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4">
    <w:p w14:paraId="7EFF08C5" w14:textId="77777777" w:rsidR="00506C1E" w:rsidRPr="00981BF5" w:rsidRDefault="00506C1E" w:rsidP="00506C1E">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DÁVILA VINUEZA, Luis Guillermo. Régimen jurídico de la contratación estatal. Tercera edición. Editorial Legis, Bogotá, 2016, p. 304.</w:t>
      </w:r>
    </w:p>
  </w:footnote>
  <w:footnote w:id="5">
    <w:p w14:paraId="190059FE" w14:textId="77777777" w:rsidR="00506C1E" w:rsidRPr="00981BF5" w:rsidRDefault="00506C1E" w:rsidP="00506C1E">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Consejo de Estado. Sección Tercera. Sentencia del 3 de diciembre de 2007. Exp. 24.715. Consejera Ponente: Ruth Stella Correa Palacio.</w:t>
      </w:r>
    </w:p>
  </w:footnote>
  <w:footnote w:id="6">
    <w:p w14:paraId="3D891275" w14:textId="77777777" w:rsidR="00506C1E" w:rsidRPr="00981BF5" w:rsidRDefault="00506C1E" w:rsidP="00506C1E">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Concepto con radicado número 4201912000006639 del 29 de noviembre de 2019 “Tipo de asunto consultado: Sujetos que pueden hacer observaciones al informe de evaluación en un procedimiento contractual mediante la modalidad de licitación pública”.</w:t>
      </w:r>
    </w:p>
  </w:footnote>
  <w:footnote w:id="7">
    <w:p w14:paraId="4E95DA49" w14:textId="77777777" w:rsidR="00506C1E" w:rsidRPr="00981BF5" w:rsidRDefault="00506C1E" w:rsidP="00506C1E">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Al respecto, el artículo 3.1 de la Ley 1437 de 2011 dispone que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footnote>
  <w:footnote w:id="8">
    <w:p w14:paraId="65E3FCCE"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1150 de 2007: “Artículo 8. De la publicación de proyectos de pliegos de condiciones, y estudios previos.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76666651"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51701874"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Junto con los proyectos de pliegos de condiciones se publicarán los estudios y documentos previos que sirvieron de base para su elaboración.</w:t>
      </w:r>
    </w:p>
    <w:p w14:paraId="5466EAB0"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Las Entidades deberán publicar las razones por las cuales se acogen o rechazan las observaciones a los proyectos de pliegos”.</w:t>
      </w:r>
    </w:p>
  </w:footnote>
  <w:footnote w:id="9">
    <w:p w14:paraId="0B4645E5"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21F42182"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DB63E5C"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4º. Dentro de los tres (3) días hábiles siguientes al inicio del plazo para Ia presentación de propuestas y a solicitud de cualquiera de las personas interesadas en el proceso se celebrará una audiencia con el objeto de precisar el contenido y alcance de los pliegos de condiciones, de lo cual se levantará un acta suscrita por los intervinientes. En Ia misma audiencia se revisará Ia asignación de riesgos que trata el artículo 4 de Ia Ley 1150 de 2007 con el fin de establecer su tipificación, estimación y asignación definitiva”.</w:t>
      </w:r>
    </w:p>
  </w:footnote>
  <w:footnote w:id="10">
    <w:p w14:paraId="438329DC" w14:textId="77777777" w:rsidR="00506C1E" w:rsidRPr="00981BF5" w:rsidRDefault="00506C1E" w:rsidP="00506C1E">
      <w:pPr>
        <w:pStyle w:val="Textonotapie"/>
        <w:ind w:firstLine="709"/>
        <w:jc w:val="both"/>
        <w:rPr>
          <w:rFonts w:ascii="Verdana" w:hAnsi="Verdana" w:cs="Arial"/>
          <w:color w:val="000000" w:themeColor="text1"/>
          <w:sz w:val="16"/>
          <w:szCs w:val="16"/>
          <w:lang w:val="es-CO"/>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2.2.1.1.1.3.1.”</w:t>
      </w:r>
    </w:p>
  </w:footnote>
  <w:footnote w:id="11">
    <w:p w14:paraId="19E9BFFB"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3776B89B"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6094E387" w14:textId="77777777" w:rsidR="00506C1E" w:rsidRPr="00981BF5" w:rsidRDefault="00506C1E" w:rsidP="00506C1E">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6º. Las propuestas deben referirse y sujetarse a todos y cada uno de los puntos contenidos en el pliego de condiciones”.</w:t>
      </w:r>
    </w:p>
  </w:footnote>
  <w:footnote w:id="12">
    <w:p w14:paraId="4AE9AE59"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01D2734A"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019D8107"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“8º.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13">
    <w:p w14:paraId="126BA44B"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2.2.1.2.1.2.20. Procedimiento para la selección abreviada de menor cuantía. Además de las normas generales establecidas en el presente título, las siguientes reglas son aplicables a la selección abreviada de menor cuantía: </w:t>
      </w:r>
    </w:p>
    <w:p w14:paraId="468A84F1"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4B1AE500"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 La Entidad Estatal debe publicar el informe de evaluación de ofertas durante tres (3) días hábiles”.</w:t>
      </w:r>
    </w:p>
    <w:p w14:paraId="61D0200B"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p>
    <w:p w14:paraId="086A272F"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6B6DD9BD"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7047132E"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p>
    <w:p w14:paraId="71B7BEB9"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311CB884"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 w:id="14">
    <w:p w14:paraId="35DF7CCA"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2.2.1.2.1.1.2. Audiencias en la licitación.</w:t>
      </w:r>
    </w:p>
    <w:p w14:paraId="59C32D3E"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FAB97E3" w14:textId="77777777" w:rsidR="00506C1E" w:rsidRPr="00981BF5" w:rsidRDefault="00506C1E" w:rsidP="00506C1E">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 Entidad Estatal debe realizar la audiencia de adjudicación en la fecha y hora establecida en el Cronograma, la cual se realizará de acuerdo con las reglas establecidas para el efecto en los mismos y las siguientes consideraciones:</w:t>
      </w:r>
    </w:p>
    <w:p w14:paraId="64EEBCAC" w14:textId="77777777" w:rsidR="00506C1E" w:rsidRPr="00981BF5" w:rsidRDefault="00506C1E" w:rsidP="00506C1E">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footnote>
  <w:footnote w:id="15">
    <w:p w14:paraId="35C91130" w14:textId="77777777" w:rsidR="00506C1E" w:rsidRPr="00981BF5" w:rsidRDefault="00506C1E" w:rsidP="00506C1E">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CORTE CONSTITUCIONAL. Sentencia T-108 de 2014. M.P. Gabriel Eduardo Mendoza Martelo.</w:t>
      </w:r>
    </w:p>
  </w:footnote>
  <w:footnote w:id="16">
    <w:p w14:paraId="7DA53E31" w14:textId="77777777" w:rsidR="00506C1E" w:rsidRPr="00981BF5" w:rsidRDefault="00506C1E" w:rsidP="00506C1E">
      <w:pPr>
        <w:spacing w:after="0"/>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CORTE CONSTITUCIONAL. Sentencia C-007 de 2017. M.P. Gloria Stella Ortiz Delgado.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12.25pt;height:12.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5BAD"/>
    <w:rsid w:val="000A683E"/>
    <w:rsid w:val="000B19B9"/>
    <w:rsid w:val="000D0334"/>
    <w:rsid w:val="000D5DA7"/>
    <w:rsid w:val="000F6486"/>
    <w:rsid w:val="00116940"/>
    <w:rsid w:val="00125105"/>
    <w:rsid w:val="00127233"/>
    <w:rsid w:val="0015699B"/>
    <w:rsid w:val="00173A22"/>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0523"/>
    <w:rsid w:val="00374F5E"/>
    <w:rsid w:val="00377E3E"/>
    <w:rsid w:val="00395C46"/>
    <w:rsid w:val="003A7026"/>
    <w:rsid w:val="003A779E"/>
    <w:rsid w:val="003B1942"/>
    <w:rsid w:val="003B38A2"/>
    <w:rsid w:val="003D0F4D"/>
    <w:rsid w:val="003D5B0D"/>
    <w:rsid w:val="003E0499"/>
    <w:rsid w:val="003E4F80"/>
    <w:rsid w:val="003E6439"/>
    <w:rsid w:val="003F3941"/>
    <w:rsid w:val="00406575"/>
    <w:rsid w:val="00414C74"/>
    <w:rsid w:val="0042722E"/>
    <w:rsid w:val="0044528D"/>
    <w:rsid w:val="00456559"/>
    <w:rsid w:val="00466E39"/>
    <w:rsid w:val="004A1847"/>
    <w:rsid w:val="004A305D"/>
    <w:rsid w:val="004E0895"/>
    <w:rsid w:val="004F21C4"/>
    <w:rsid w:val="004F685F"/>
    <w:rsid w:val="00506C1E"/>
    <w:rsid w:val="005566E8"/>
    <w:rsid w:val="00574867"/>
    <w:rsid w:val="00591460"/>
    <w:rsid w:val="005A65E0"/>
    <w:rsid w:val="005B5DF1"/>
    <w:rsid w:val="005C3777"/>
    <w:rsid w:val="005C5CDC"/>
    <w:rsid w:val="005D476C"/>
    <w:rsid w:val="006200BF"/>
    <w:rsid w:val="006219F8"/>
    <w:rsid w:val="006302F7"/>
    <w:rsid w:val="00646B9F"/>
    <w:rsid w:val="00665D70"/>
    <w:rsid w:val="006900D9"/>
    <w:rsid w:val="006A3FB9"/>
    <w:rsid w:val="006F319C"/>
    <w:rsid w:val="00706C16"/>
    <w:rsid w:val="0071769E"/>
    <w:rsid w:val="00726A43"/>
    <w:rsid w:val="007340C3"/>
    <w:rsid w:val="007466DF"/>
    <w:rsid w:val="0075235A"/>
    <w:rsid w:val="00756841"/>
    <w:rsid w:val="007649AB"/>
    <w:rsid w:val="00771D0C"/>
    <w:rsid w:val="007833AC"/>
    <w:rsid w:val="007B268C"/>
    <w:rsid w:val="007B7171"/>
    <w:rsid w:val="007C0C0F"/>
    <w:rsid w:val="007C3DC2"/>
    <w:rsid w:val="007E5497"/>
    <w:rsid w:val="00806F5F"/>
    <w:rsid w:val="00820278"/>
    <w:rsid w:val="008258C9"/>
    <w:rsid w:val="00825D25"/>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61D2"/>
    <w:rsid w:val="00AB0ADB"/>
    <w:rsid w:val="00AE3F84"/>
    <w:rsid w:val="00AF300B"/>
    <w:rsid w:val="00B00C0E"/>
    <w:rsid w:val="00B01B1A"/>
    <w:rsid w:val="00B0381D"/>
    <w:rsid w:val="00B2090A"/>
    <w:rsid w:val="00B44A47"/>
    <w:rsid w:val="00B72CD3"/>
    <w:rsid w:val="00B72FFF"/>
    <w:rsid w:val="00BC3D36"/>
    <w:rsid w:val="00BC6F8B"/>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4F98"/>
    <w:rsid w:val="00D520D8"/>
    <w:rsid w:val="00D63AC2"/>
    <w:rsid w:val="00D66878"/>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41DD"/>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4AD6C21E"/>
    <w:rsid w:val="523563B2"/>
    <w:rsid w:val="69614A15"/>
    <w:rsid w:val="6DFDD81B"/>
    <w:rsid w:val="78F01B6D"/>
    <w:rsid w:val="7A7B5BC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06C1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6C1E"/>
    <w:rPr>
      <w:rFonts w:ascii="Geomanist Light" w:hAnsi="Geomanist Light"/>
      <w:lang w:val="es-ES"/>
    </w:rPr>
  </w:style>
  <w:style w:type="paragraph" w:styleId="Textoindependiente">
    <w:name w:val="Body Text"/>
    <w:basedOn w:val="Normal"/>
    <w:link w:val="TextoindependienteCar"/>
    <w:uiPriority w:val="99"/>
    <w:unhideWhenUsed/>
    <w:rsid w:val="00506C1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506C1E"/>
    <w:rPr>
      <w:rFonts w:eastAsiaTheme="minorEastAsia"/>
      <w:lang w:eastAsia="es-CO"/>
    </w:rPr>
  </w:style>
  <w:style w:type="character" w:customStyle="1" w:styleId="s15">
    <w:name w:val="s15"/>
    <w:basedOn w:val="Fuentedeprrafopredeter"/>
    <w:rsid w:val="00506C1E"/>
  </w:style>
  <w:style w:type="character" w:styleId="Textoennegrita">
    <w:name w:val="Strong"/>
    <w:basedOn w:val="Fuentedeprrafopredeter"/>
    <w:uiPriority w:val="22"/>
    <w:qFormat/>
    <w:rsid w:val="00506C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cjaimes07@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68B419F-638C-4A0F-BC2A-48D997FA7923}"/>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20</Pages>
  <Words>6112</Words>
  <Characters>33616</Characters>
  <Application>Microsoft Office Word</Application>
  <DocSecurity>0</DocSecurity>
  <Lines>280</Lines>
  <Paragraphs>79</Paragraphs>
  <ScaleCrop>false</ScaleCrop>
  <Company/>
  <LinksUpToDate>false</LinksUpToDate>
  <CharactersWithSpaces>39649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2025-11-06T14:59:00Z</dcterms:created>
  <dcterms:modified xsi:type="dcterms:W3CDTF">2025-11-07T00:22:00Z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