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87CFA" w14:textId="77777777" w:rsidR="002E7EDF" w:rsidRPr="00DE2AC7" w:rsidRDefault="002E7EDF" w:rsidP="002E7EDF">
      <w:pPr>
        <w:spacing w:after="0" w:line="240" w:lineRule="auto"/>
        <w:rPr>
          <w:rFonts w:ascii="Verdana" w:eastAsia="Calibri" w:hAnsi="Verdana" w:cs="Arial"/>
          <w:b/>
          <w:sz w:val="20"/>
          <w:szCs w:val="20"/>
          <w:lang w:val="es-ES_tradnl" w:eastAsia="es-ES_tradnl"/>
        </w:rPr>
      </w:pPr>
    </w:p>
    <w:p w14:paraId="031F425D" w14:textId="77777777" w:rsidR="002E7EDF" w:rsidRPr="00682C93" w:rsidRDefault="002E7EDF" w:rsidP="002E7ED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61419E75" w14:textId="77777777" w:rsidR="002E7EDF" w:rsidRDefault="002E7EDF" w:rsidP="002E7EDF">
      <w:pPr>
        <w:spacing w:after="0" w:line="240" w:lineRule="auto"/>
        <w:jc w:val="both"/>
        <w:rPr>
          <w:rFonts w:ascii="Verdana" w:hAnsi="Verdana" w:cs="Arial"/>
          <w:b/>
          <w:lang w:val="es-MX" w:eastAsia="es-ES_tradnl"/>
        </w:rPr>
      </w:pPr>
    </w:p>
    <w:p w14:paraId="2D68E2F2" w14:textId="77777777" w:rsidR="002E7EDF" w:rsidRDefault="002E7EDF" w:rsidP="002E7ED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BD732BC" w14:textId="77777777" w:rsidR="002E7EDF" w:rsidRPr="00FE39ED" w:rsidRDefault="002E7EDF" w:rsidP="002E7EDF">
      <w:pPr>
        <w:pStyle w:val="Default"/>
        <w:jc w:val="both"/>
        <w:rPr>
          <w:rFonts w:ascii="Verdana" w:hAnsi="Verdana"/>
          <w:color w:val="auto"/>
          <w:sz w:val="20"/>
          <w:szCs w:val="20"/>
          <w:lang w:val="es-MX"/>
        </w:rPr>
      </w:pPr>
    </w:p>
    <w:p w14:paraId="79C22172" w14:textId="77777777" w:rsidR="002E7EDF" w:rsidRPr="00FE39ED" w:rsidRDefault="002E7EDF" w:rsidP="002E7EDF">
      <w:pPr>
        <w:spacing w:after="0" w:line="240" w:lineRule="auto"/>
        <w:jc w:val="both"/>
        <w:rPr>
          <w:rFonts w:ascii="Verdana" w:eastAsia="Calibri" w:hAnsi="Verdana" w:cs="Arial"/>
          <w:b/>
        </w:rPr>
      </w:pPr>
      <w:r w:rsidRPr="00FE39ED">
        <w:rPr>
          <w:rFonts w:ascii="Verdana" w:eastAsia="Calibri" w:hAnsi="Verdana" w:cs="Arial"/>
          <w:b/>
        </w:rPr>
        <w:t xml:space="preserve">LEY DE GARANTÍAS ELECTORALES – Ley 996 de 2005 – Articulo 33 – Restricciones – Elecciones presidenciales </w:t>
      </w:r>
    </w:p>
    <w:p w14:paraId="278A19BD" w14:textId="77777777" w:rsidR="002E7EDF" w:rsidRPr="00FE39ED" w:rsidRDefault="002E7EDF" w:rsidP="002E7EDF">
      <w:pPr>
        <w:spacing w:after="0" w:line="240" w:lineRule="auto"/>
        <w:jc w:val="both"/>
        <w:rPr>
          <w:rFonts w:ascii="Verdana" w:eastAsia="Calibri" w:hAnsi="Verdana" w:cs="Arial"/>
          <w:b/>
          <w:sz w:val="20"/>
          <w:szCs w:val="20"/>
        </w:rPr>
      </w:pPr>
    </w:p>
    <w:p w14:paraId="780A1CC8" w14:textId="77777777" w:rsidR="002E7EDF" w:rsidRPr="00FE39ED" w:rsidRDefault="002E7EDF" w:rsidP="002E7EDF">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 xml:space="preserve">[…] la prohibición del artículo 33 de la Ley de Garantías Electorales se refiere a </w:t>
      </w:r>
      <w:r>
        <w:rPr>
          <w:rFonts w:ascii="Verdana" w:hAnsi="Verdana" w:cs="Arial"/>
          <w:sz w:val="20"/>
          <w:szCs w:val="20"/>
          <w:lang w:eastAsia="en-GB"/>
        </w:rPr>
        <w:t>“</w:t>
      </w:r>
      <w:r w:rsidRPr="00FE39ED">
        <w:rPr>
          <w:rFonts w:ascii="Verdana" w:hAnsi="Verdana" w:cs="Arial"/>
          <w:sz w:val="20"/>
          <w:szCs w:val="20"/>
          <w:lang w:eastAsia="x-none"/>
        </w:rPr>
        <w:t>cualquier sistema que no implique convocatoria pública y posibilidad de pluralidad de oferentes</w:t>
      </w:r>
      <w:r>
        <w:rPr>
          <w:rFonts w:ascii="Verdana" w:hAnsi="Verdana" w:cs="Arial"/>
          <w:sz w:val="20"/>
          <w:szCs w:val="20"/>
          <w:lang w:eastAsia="en-GB"/>
        </w:rPr>
        <w:t>”</w:t>
      </w:r>
      <w:r w:rsidRPr="00FE39ED">
        <w:rPr>
          <w:rFonts w:ascii="Verdana" w:hAnsi="Verdana" w:cs="Arial"/>
          <w:sz w:val="20"/>
          <w:szCs w:val="20"/>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36FF1C8B" w14:textId="77777777" w:rsidR="002E7EDF" w:rsidRDefault="002E7EDF" w:rsidP="002E7EDF">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73F6CBF2" w14:textId="77777777" w:rsidR="002E7EDF" w:rsidRPr="00FE39ED" w:rsidRDefault="002E7EDF" w:rsidP="002E7EDF">
      <w:pPr>
        <w:spacing w:after="0" w:line="240" w:lineRule="auto"/>
        <w:jc w:val="both"/>
        <w:rPr>
          <w:rFonts w:ascii="Verdana" w:eastAsia="Calibri" w:hAnsi="Verdana" w:cs="Arial"/>
          <w:b/>
          <w:sz w:val="20"/>
          <w:szCs w:val="20"/>
        </w:rPr>
      </w:pPr>
    </w:p>
    <w:p w14:paraId="5DFAFFBE" w14:textId="77777777" w:rsidR="002E7EDF" w:rsidRPr="00FE39ED" w:rsidRDefault="002E7EDF" w:rsidP="002E7EDF">
      <w:pPr>
        <w:pStyle w:val="Textoindependiente"/>
        <w:spacing w:after="0" w:line="240" w:lineRule="auto"/>
        <w:jc w:val="both"/>
        <w:rPr>
          <w:rFonts w:ascii="Verdana" w:hAnsi="Verdana"/>
          <w:bCs/>
          <w:sz w:val="20"/>
          <w:szCs w:val="20"/>
          <w:lang w:eastAsia="x-none"/>
        </w:rPr>
      </w:pPr>
      <w:r w:rsidRPr="00FE39ED">
        <w:rPr>
          <w:rFonts w:ascii="Verdana" w:hAnsi="Verdana"/>
          <w:bCs/>
          <w:sz w:val="20"/>
          <w:szCs w:val="20"/>
          <w:lang w:eastAsia="x-none"/>
        </w:rPr>
        <w:t xml:space="preserve">El artículo 33 de la Ley 996 de 2005 señala expresamente a los destinatarios de la prohibición, en el sentido de que son </w:t>
      </w:r>
      <w:r>
        <w:rPr>
          <w:rFonts w:ascii="Verdana" w:hAnsi="Verdana"/>
          <w:bCs/>
          <w:sz w:val="20"/>
          <w:szCs w:val="20"/>
          <w:lang w:eastAsia="x-none"/>
        </w:rPr>
        <w:t>“</w:t>
      </w:r>
      <w:r w:rsidRPr="00FE39ED">
        <w:rPr>
          <w:rFonts w:ascii="Verdana" w:hAnsi="Verdana"/>
          <w:bCs/>
          <w:sz w:val="20"/>
          <w:szCs w:val="20"/>
          <w:lang w:eastAsia="x-none"/>
        </w:rPr>
        <w:t>todos los entes del Estado</w:t>
      </w:r>
      <w:r>
        <w:rPr>
          <w:rFonts w:ascii="Verdana" w:hAnsi="Verdana"/>
          <w:bCs/>
          <w:sz w:val="20"/>
          <w:szCs w:val="20"/>
          <w:lang w:eastAsia="x-none"/>
        </w:rPr>
        <w:t>”</w:t>
      </w:r>
      <w:r w:rsidRPr="00FE39ED">
        <w:rPr>
          <w:rFonts w:ascii="Verdana" w:hAnsi="Verdana"/>
          <w:bCs/>
          <w:sz w:val="20"/>
          <w:szCs w:val="20"/>
          <w:lang w:eastAsia="x-none"/>
        </w:rPr>
        <w:t>, expresión que contempla a los diferentes organismos o entidades autorizadas por la ley para suscribir contratos.</w:t>
      </w:r>
      <w:r w:rsidRPr="00FE39ED">
        <w:rPr>
          <w:rFonts w:ascii="Verdana" w:hAnsi="Verdana"/>
          <w:sz w:val="20"/>
          <w:szCs w:val="20"/>
        </w:rPr>
        <w:t xml:space="preserve"> </w:t>
      </w:r>
      <w:r w:rsidRPr="00FE39ED">
        <w:rPr>
          <w:rFonts w:ascii="Verdana" w:hAnsi="Verdana"/>
          <w:bCs/>
          <w:sz w:val="20"/>
          <w:szCs w:val="20"/>
          <w:lang w:eastAsia="x-none"/>
        </w:rPr>
        <w:t xml:space="preserve">En efecto, tal como lo ha sostenido el Consejo de Estado, el vocablo </w:t>
      </w:r>
      <w:r>
        <w:rPr>
          <w:rFonts w:ascii="Verdana" w:hAnsi="Verdana"/>
          <w:bCs/>
          <w:sz w:val="20"/>
          <w:szCs w:val="20"/>
          <w:lang w:eastAsia="x-none"/>
        </w:rPr>
        <w:t>“</w:t>
      </w:r>
      <w:r w:rsidRPr="00FE39ED">
        <w:rPr>
          <w:rFonts w:ascii="Verdana" w:hAnsi="Verdana"/>
          <w:bCs/>
          <w:sz w:val="20"/>
          <w:szCs w:val="20"/>
          <w:lang w:eastAsia="x-none"/>
        </w:rPr>
        <w:t>todos</w:t>
      </w:r>
      <w:r>
        <w:rPr>
          <w:rFonts w:ascii="Verdana" w:hAnsi="Verdana"/>
          <w:bCs/>
          <w:sz w:val="20"/>
          <w:szCs w:val="20"/>
          <w:lang w:eastAsia="x-none"/>
        </w:rPr>
        <w:t>”</w:t>
      </w:r>
      <w:r w:rsidRPr="00FE39ED">
        <w:rPr>
          <w:rFonts w:ascii="Verdana" w:hAnsi="Verdana"/>
          <w:bCs/>
          <w:sz w:val="20"/>
          <w:szCs w:val="20"/>
          <w:lang w:eastAsia="x-none"/>
        </w:rPr>
        <w:t xml:space="preserve"> utilizado por el legislador comprende</w:t>
      </w:r>
      <w:r w:rsidRPr="00FE39ED">
        <w:rPr>
          <w:rFonts w:ascii="Verdana" w:hAnsi="Verdana"/>
          <w:sz w:val="20"/>
          <w:szCs w:val="20"/>
        </w:rPr>
        <w:t xml:space="preserve"> </w:t>
      </w:r>
      <w:r w:rsidRPr="00FE39ED">
        <w:rPr>
          <w:rFonts w:ascii="Verdana" w:hAnsi="Verdana"/>
          <w:bCs/>
          <w:sz w:val="20"/>
          <w:szCs w:val="20"/>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1320D65" w14:textId="77777777" w:rsidR="002E7EDF" w:rsidRPr="00FE39ED" w:rsidRDefault="002E7EDF" w:rsidP="002E7EDF">
      <w:pPr>
        <w:pStyle w:val="Textoindependiente"/>
        <w:spacing w:after="0" w:line="240" w:lineRule="auto"/>
        <w:jc w:val="both"/>
        <w:rPr>
          <w:rFonts w:ascii="Verdana" w:hAnsi="Verdana"/>
          <w:sz w:val="20"/>
          <w:szCs w:val="20"/>
        </w:rPr>
      </w:pPr>
    </w:p>
    <w:p w14:paraId="78388858" w14:textId="77777777" w:rsidR="002E7EDF" w:rsidRPr="00FE39ED" w:rsidRDefault="002E7EDF" w:rsidP="002E7EDF">
      <w:pPr>
        <w:pStyle w:val="Textoindependiente"/>
        <w:spacing w:after="0" w:line="240" w:lineRule="auto"/>
        <w:jc w:val="both"/>
        <w:rPr>
          <w:rFonts w:ascii="Verdana" w:eastAsia="Calibri" w:hAnsi="Verdana"/>
          <w:b/>
        </w:rPr>
      </w:pPr>
      <w:r w:rsidRPr="00FE39ED">
        <w:rPr>
          <w:rFonts w:ascii="Verdana" w:eastAsia="Calibri" w:hAnsi="Verdana"/>
          <w:b/>
        </w:rPr>
        <w:t xml:space="preserve">LEY DE GARANTÍAS ELECTORALES – Ley 996 de 2005 – Destinatarios </w:t>
      </w:r>
    </w:p>
    <w:p w14:paraId="2BD3A210"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70FD1C0C"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Por lo tanto,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3929E934"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17E43880" w14:textId="77777777" w:rsidR="002E7EDF" w:rsidRPr="00FE39ED" w:rsidRDefault="002E7EDF" w:rsidP="002E7EDF">
      <w:pPr>
        <w:pStyle w:val="Textoindependiente"/>
        <w:spacing w:after="0" w:line="240" w:lineRule="auto"/>
        <w:jc w:val="both"/>
        <w:rPr>
          <w:rFonts w:ascii="Verdana" w:eastAsia="Calibri" w:hAnsi="Verdana"/>
          <w:b/>
        </w:rPr>
      </w:pPr>
      <w:r w:rsidRPr="00FE39ED">
        <w:rPr>
          <w:rFonts w:ascii="Verdana" w:eastAsia="Calibri" w:hAnsi="Verdana"/>
          <w:b/>
        </w:rPr>
        <w:lastRenderedPageBreak/>
        <w:t xml:space="preserve">LEY DE GARANTÍAS ELECTORALES – Artículo 33 - Patrimonios autónomos </w:t>
      </w:r>
    </w:p>
    <w:p w14:paraId="29583A5A" w14:textId="77777777" w:rsidR="002E7EDF" w:rsidRPr="00FE39ED" w:rsidRDefault="002E7EDF" w:rsidP="002E7EDF">
      <w:pPr>
        <w:pStyle w:val="Textoindependiente"/>
        <w:spacing w:after="0" w:line="240" w:lineRule="auto"/>
        <w:jc w:val="both"/>
        <w:rPr>
          <w:rFonts w:ascii="Verdana" w:eastAsia="Calibri" w:hAnsi="Verdana"/>
          <w:b/>
          <w:sz w:val="20"/>
          <w:szCs w:val="20"/>
        </w:rPr>
      </w:pPr>
    </w:p>
    <w:p w14:paraId="38C35CD9"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 xml:space="preserve">De acuerdo 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se podría inaplicar la prohibición establecida en el artículo 33 de la Ley de Garantías Electorales, con la constitución de patrimonios autónomos. […] </w:t>
      </w:r>
    </w:p>
    <w:p w14:paraId="39CDB59E" w14:textId="77777777" w:rsidR="002E7EDF" w:rsidRPr="00FE39ED" w:rsidRDefault="002E7EDF" w:rsidP="002E7EDF">
      <w:pPr>
        <w:pStyle w:val="Textoindependiente"/>
        <w:spacing w:after="0" w:line="240" w:lineRule="auto"/>
        <w:jc w:val="both"/>
        <w:rPr>
          <w:rFonts w:ascii="Verdana" w:eastAsia="Calibri" w:hAnsi="Verdana"/>
          <w:bCs/>
          <w:sz w:val="20"/>
          <w:szCs w:val="20"/>
        </w:rPr>
      </w:pPr>
    </w:p>
    <w:p w14:paraId="23BD3E80" w14:textId="77777777" w:rsidR="002E7EDF" w:rsidRPr="00FE39ED" w:rsidRDefault="002E7EDF" w:rsidP="002E7EDF">
      <w:pPr>
        <w:pStyle w:val="Textoindependiente"/>
        <w:spacing w:after="0" w:line="240" w:lineRule="auto"/>
        <w:jc w:val="both"/>
        <w:rPr>
          <w:rFonts w:ascii="Verdana" w:eastAsia="Calibri" w:hAnsi="Verdana"/>
          <w:bCs/>
          <w:sz w:val="20"/>
          <w:szCs w:val="20"/>
        </w:rPr>
      </w:pPr>
      <w:r w:rsidRPr="00FE39ED">
        <w:rPr>
          <w:rFonts w:ascii="Verdana" w:eastAsia="Calibri" w:hAnsi="Verdana"/>
          <w:bCs/>
          <w:sz w:val="20"/>
          <w:szCs w:val="20"/>
        </w:rPr>
        <w:t xml:space="preserve">El artículo 33 de la Ley de Garantías se extiende a las sociedades fiduciarias en virtud del artículo 32.5, inciso quinto, de la Ley 80 de 1993. Con las diferencias en el alcance, de acuerdo con el inciso noveno </w:t>
      </w:r>
      <w:proofErr w:type="spellStart"/>
      <w:r w:rsidRPr="00FE39ED">
        <w:rPr>
          <w:rFonts w:ascii="Verdana" w:eastAsia="Calibri" w:hAnsi="Verdana"/>
          <w:bCs/>
          <w:sz w:val="20"/>
          <w:szCs w:val="20"/>
        </w:rPr>
        <w:t>ibídem</w:t>
      </w:r>
      <w:proofErr w:type="spellEnd"/>
      <w:r w:rsidRPr="00FE39ED">
        <w:rPr>
          <w:rFonts w:ascii="Verdana" w:eastAsia="Calibri" w:hAnsi="Verdana"/>
          <w:bCs/>
          <w:sz w:val="20"/>
          <w:szCs w:val="20"/>
        </w:rPr>
        <w:t>, la misma es congruente con el artículo 2.5.2.1.1 del Decreto 2555 de 2010, el cual rige también en los negocios fiduciarios de las entidades exceptuadas de la aplicación del EGCAP. Por tanto, con independencia del régimen jurídico de la entidad fideicomitente, la prohibición de contratación directa durante la vigencia de la Ley de Garantías también les aplica a las fiduciarias que administran los recursos públicos de los entes del Estado. En este contexto, se reitera que las sociedades fiduciarias no pueden celebrar los contratos en los que las entidades constituyentes tengan alguna restricción, por lo que no son un instrumento para eludir el artículo 33 de la Ley de Garantías.</w:t>
      </w:r>
      <w:r>
        <w:rPr>
          <w:rFonts w:ascii="Verdana" w:eastAsia="Calibri" w:hAnsi="Verdana"/>
          <w:bCs/>
          <w:sz w:val="20"/>
          <w:szCs w:val="20"/>
        </w:rPr>
        <w:t xml:space="preserve"> </w:t>
      </w:r>
      <w:r w:rsidRPr="00F56BBA">
        <w:rPr>
          <w:rFonts w:ascii="Verdana" w:eastAsia="Calibri" w:hAnsi="Verdana"/>
          <w:bCs/>
          <w:sz w:val="20"/>
          <w:szCs w:val="20"/>
        </w:rPr>
        <w:t>Esto último rige para el contrato de fiducia que debe suscribir el Ministerio de Comercio, Industria y Turismo con la Fiduciaria Colombiana de Comercio Exterior SA, en los términos del inciso primero del artículo 1.3.1.3 del Decreto 1072 de 2015</w:t>
      </w:r>
      <w:r>
        <w:rPr>
          <w:rFonts w:ascii="Verdana" w:eastAsia="Calibri" w:hAnsi="Verdana"/>
          <w:bCs/>
          <w:sz w:val="20"/>
          <w:szCs w:val="20"/>
        </w:rPr>
        <w:t>.</w:t>
      </w:r>
    </w:p>
    <w:p w14:paraId="2E136EA5" w14:textId="77777777" w:rsidR="002E7EDF" w:rsidRPr="002B5736" w:rsidRDefault="002E7EDF" w:rsidP="002E7EDF">
      <w:pPr>
        <w:tabs>
          <w:tab w:val="left" w:pos="709"/>
        </w:tabs>
        <w:spacing w:after="0" w:line="240" w:lineRule="auto"/>
        <w:jc w:val="both"/>
        <w:rPr>
          <w:rFonts w:ascii="Verdana" w:eastAsia="Calibri" w:hAnsi="Verdana" w:cs="Arial"/>
          <w:bCs/>
          <w:color w:val="000000" w:themeColor="text1"/>
          <w:sz w:val="20"/>
          <w:szCs w:val="20"/>
        </w:rPr>
      </w:pPr>
    </w:p>
    <w:p w14:paraId="3A8887FC" w14:textId="77777777" w:rsidR="002E7EDF" w:rsidRPr="00D83C22" w:rsidRDefault="002E7EDF" w:rsidP="002E7EDF">
      <w:pPr>
        <w:tabs>
          <w:tab w:val="left" w:pos="709"/>
        </w:tabs>
        <w:spacing w:after="0" w:line="240" w:lineRule="auto"/>
        <w:jc w:val="both"/>
        <w:rPr>
          <w:rFonts w:ascii="Verdana" w:eastAsia="Calibri" w:hAnsi="Verdana" w:cs="Arial"/>
          <w:color w:val="000000" w:themeColor="text1"/>
          <w:sz w:val="20"/>
          <w:szCs w:val="20"/>
          <w:lang w:val="es-ES_tradnl"/>
        </w:rPr>
      </w:pPr>
    </w:p>
    <w:p w14:paraId="22D5926F" w14:textId="77777777" w:rsidR="002E7EDF" w:rsidRPr="00DE2AC7" w:rsidRDefault="002E7EDF" w:rsidP="002E7EDF">
      <w:pPr>
        <w:spacing w:after="0" w:line="240" w:lineRule="auto"/>
        <w:rPr>
          <w:rFonts w:ascii="Verdana" w:eastAsia="Geomanist Light" w:hAnsi="Verdana" w:cs="Arial"/>
          <w:color w:val="000000" w:themeColor="text1"/>
        </w:rPr>
      </w:pPr>
    </w:p>
    <w:p w14:paraId="765F7587" w14:textId="77777777" w:rsidR="002E7EDF" w:rsidRDefault="002E7EDF" w:rsidP="002E7EDF">
      <w:pPr>
        <w:spacing w:after="0" w:line="240" w:lineRule="auto"/>
        <w:rPr>
          <w:rFonts w:ascii="Verdana" w:eastAsia="Geomanist Light" w:hAnsi="Verdana" w:cs="Arial"/>
          <w:color w:val="000000" w:themeColor="text1"/>
        </w:rPr>
      </w:pPr>
    </w:p>
    <w:p w14:paraId="472CA7A4" w14:textId="77777777" w:rsidR="002E7EDF" w:rsidRDefault="002E7EDF" w:rsidP="002E7EDF">
      <w:pPr>
        <w:spacing w:after="0" w:line="240" w:lineRule="auto"/>
        <w:rPr>
          <w:rFonts w:ascii="Verdana" w:eastAsia="Geomanist Light" w:hAnsi="Verdana" w:cs="Arial"/>
          <w:color w:val="000000" w:themeColor="text1"/>
          <w:lang w:val="es-MX"/>
        </w:rPr>
      </w:pPr>
    </w:p>
    <w:p w14:paraId="17281220" w14:textId="77777777" w:rsidR="002E7EDF" w:rsidRDefault="002E7EDF" w:rsidP="002E7EDF">
      <w:pPr>
        <w:spacing w:after="0" w:line="240" w:lineRule="auto"/>
        <w:rPr>
          <w:rFonts w:ascii="Verdana" w:eastAsia="Geomanist Light" w:hAnsi="Verdana" w:cs="Arial"/>
          <w:color w:val="000000" w:themeColor="text1"/>
          <w:lang w:val="es-MX"/>
        </w:rPr>
      </w:pPr>
    </w:p>
    <w:p w14:paraId="774C1D67" w14:textId="77777777" w:rsidR="002E7EDF" w:rsidRDefault="002E7EDF" w:rsidP="002E7EDF">
      <w:pPr>
        <w:spacing w:after="0" w:line="240" w:lineRule="auto"/>
        <w:rPr>
          <w:rFonts w:ascii="Verdana" w:eastAsia="Geomanist Light" w:hAnsi="Verdana" w:cs="Arial"/>
          <w:color w:val="000000" w:themeColor="text1"/>
          <w:lang w:val="es-MX"/>
        </w:rPr>
      </w:pPr>
    </w:p>
    <w:p w14:paraId="3E10F912" w14:textId="77777777" w:rsidR="002E7EDF" w:rsidRDefault="002E7EDF" w:rsidP="002E7EDF">
      <w:pPr>
        <w:spacing w:after="0" w:line="240" w:lineRule="auto"/>
        <w:rPr>
          <w:rFonts w:ascii="Verdana" w:eastAsia="Geomanist Light" w:hAnsi="Verdana" w:cs="Arial"/>
          <w:color w:val="000000" w:themeColor="text1"/>
          <w:lang w:val="es-MX"/>
        </w:rPr>
      </w:pPr>
    </w:p>
    <w:p w14:paraId="2C2FFCBC" w14:textId="77777777" w:rsidR="002E7EDF" w:rsidRDefault="002E7EDF" w:rsidP="002E7EDF">
      <w:pPr>
        <w:spacing w:after="0" w:line="240" w:lineRule="auto"/>
        <w:rPr>
          <w:rFonts w:ascii="Verdana" w:eastAsia="Geomanist Light" w:hAnsi="Verdana" w:cs="Arial"/>
          <w:color w:val="000000" w:themeColor="text1"/>
          <w:lang w:val="es-MX"/>
        </w:rPr>
      </w:pPr>
    </w:p>
    <w:p w14:paraId="47FF7FEE" w14:textId="77777777" w:rsidR="002E7EDF" w:rsidRDefault="002E7EDF" w:rsidP="002E7EDF">
      <w:pPr>
        <w:spacing w:after="0" w:line="240" w:lineRule="auto"/>
        <w:rPr>
          <w:rFonts w:ascii="Verdana" w:eastAsia="Geomanist Light" w:hAnsi="Verdana" w:cs="Arial"/>
          <w:color w:val="000000" w:themeColor="text1"/>
          <w:lang w:val="es-MX"/>
        </w:rPr>
      </w:pPr>
    </w:p>
    <w:p w14:paraId="2FDB99D0" w14:textId="77777777" w:rsidR="002E7EDF" w:rsidRDefault="002E7EDF" w:rsidP="002E7EDF">
      <w:pPr>
        <w:spacing w:after="0" w:line="240" w:lineRule="auto"/>
        <w:rPr>
          <w:rFonts w:ascii="Verdana" w:eastAsia="Geomanist Light" w:hAnsi="Verdana" w:cs="Arial"/>
          <w:color w:val="000000" w:themeColor="text1"/>
          <w:lang w:val="es-MX"/>
        </w:rPr>
      </w:pPr>
    </w:p>
    <w:p w14:paraId="16A89DED" w14:textId="77777777" w:rsidR="002E7EDF" w:rsidRDefault="002E7EDF" w:rsidP="002E7EDF">
      <w:pPr>
        <w:spacing w:after="0" w:line="240" w:lineRule="auto"/>
        <w:rPr>
          <w:rFonts w:ascii="Verdana" w:eastAsia="Geomanist Light" w:hAnsi="Verdana" w:cs="Arial"/>
          <w:color w:val="000000" w:themeColor="text1"/>
          <w:lang w:val="es-MX"/>
        </w:rPr>
      </w:pPr>
    </w:p>
    <w:p w14:paraId="5DBF4D03" w14:textId="77777777" w:rsidR="002E7EDF" w:rsidRDefault="002E7EDF" w:rsidP="002E7EDF">
      <w:pPr>
        <w:spacing w:after="0" w:line="240" w:lineRule="auto"/>
        <w:rPr>
          <w:rFonts w:ascii="Verdana" w:eastAsia="Geomanist Light" w:hAnsi="Verdana" w:cs="Arial"/>
          <w:color w:val="000000" w:themeColor="text1"/>
          <w:lang w:val="es-MX"/>
        </w:rPr>
      </w:pPr>
    </w:p>
    <w:p w14:paraId="0EFA439C" w14:textId="77777777" w:rsidR="002E7EDF" w:rsidRDefault="002E7EDF" w:rsidP="002E7EDF">
      <w:pPr>
        <w:spacing w:after="0" w:line="240" w:lineRule="auto"/>
        <w:rPr>
          <w:rFonts w:ascii="Verdana" w:eastAsia="Geomanist Light" w:hAnsi="Verdana" w:cs="Arial"/>
          <w:color w:val="000000" w:themeColor="text1"/>
          <w:lang w:val="es-MX"/>
        </w:rPr>
      </w:pPr>
    </w:p>
    <w:p w14:paraId="32007125" w14:textId="77777777" w:rsidR="002E7EDF" w:rsidRDefault="002E7EDF" w:rsidP="002E7EDF">
      <w:pPr>
        <w:spacing w:after="0" w:line="240" w:lineRule="auto"/>
        <w:rPr>
          <w:rFonts w:ascii="Verdana" w:eastAsia="Geomanist Light" w:hAnsi="Verdana" w:cs="Arial"/>
          <w:color w:val="000000" w:themeColor="text1"/>
          <w:lang w:val="es-MX"/>
        </w:rPr>
      </w:pPr>
    </w:p>
    <w:p w14:paraId="56015821" w14:textId="77777777" w:rsidR="002E7EDF" w:rsidRDefault="002E7EDF" w:rsidP="002E7EDF">
      <w:pPr>
        <w:spacing w:after="0" w:line="240" w:lineRule="auto"/>
        <w:rPr>
          <w:rFonts w:ascii="Verdana" w:eastAsia="Geomanist Light" w:hAnsi="Verdana" w:cs="Arial"/>
          <w:color w:val="000000" w:themeColor="text1"/>
          <w:lang w:val="es-MX"/>
        </w:rPr>
      </w:pPr>
    </w:p>
    <w:p w14:paraId="0C9ED2F7" w14:textId="77777777" w:rsidR="002E7EDF" w:rsidRDefault="002E7EDF" w:rsidP="002E7EDF">
      <w:pPr>
        <w:spacing w:after="0" w:line="240" w:lineRule="auto"/>
        <w:rPr>
          <w:rFonts w:ascii="Verdana" w:eastAsia="Geomanist Light" w:hAnsi="Verdana" w:cs="Arial"/>
          <w:color w:val="000000" w:themeColor="text1"/>
          <w:lang w:val="es-MX"/>
        </w:rPr>
      </w:pPr>
    </w:p>
    <w:p w14:paraId="44101390" w14:textId="77777777" w:rsidR="002E7EDF" w:rsidRDefault="002E7EDF" w:rsidP="002E7EDF">
      <w:pPr>
        <w:spacing w:after="0" w:line="240" w:lineRule="auto"/>
        <w:rPr>
          <w:rFonts w:ascii="Verdana" w:eastAsia="Geomanist Light" w:hAnsi="Verdana" w:cs="Arial"/>
          <w:color w:val="000000" w:themeColor="text1"/>
          <w:lang w:val="es-MX"/>
        </w:rPr>
      </w:pPr>
    </w:p>
    <w:p w14:paraId="37CB603E" w14:textId="77777777" w:rsidR="002E7EDF" w:rsidRDefault="002E7EDF" w:rsidP="002E7EDF">
      <w:pPr>
        <w:spacing w:after="0" w:line="240" w:lineRule="auto"/>
        <w:rPr>
          <w:rFonts w:ascii="Verdana" w:eastAsia="Geomanist Light" w:hAnsi="Verdana" w:cs="Arial"/>
          <w:color w:val="000000" w:themeColor="text1"/>
          <w:lang w:val="es-MX"/>
        </w:rPr>
      </w:pPr>
    </w:p>
    <w:p w14:paraId="577C2489" w14:textId="77777777" w:rsidR="002E7EDF" w:rsidRDefault="002E7EDF" w:rsidP="00DF5234">
      <w:pPr>
        <w:spacing w:after="0" w:line="240" w:lineRule="auto"/>
        <w:rPr>
          <w:rFonts w:ascii="Verdana" w:eastAsia="Geomanist Light" w:hAnsi="Verdana" w:cs="Arial"/>
          <w:color w:val="000000" w:themeColor="text1"/>
          <w:lang w:val="es-MX"/>
        </w:rPr>
      </w:pPr>
    </w:p>
    <w:p w14:paraId="3A36BDC7" w14:textId="058842ED" w:rsidR="00DF5234" w:rsidRPr="00593A5F" w:rsidRDefault="00DF5234" w:rsidP="00DF5234">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2154F">
        <w:rPr>
          <w:rFonts w:ascii="Verdana" w:eastAsia="Geomanist Light" w:hAnsi="Verdana" w:cs="Arial"/>
          <w:color w:val="000000" w:themeColor="text1"/>
          <w:lang w:val="es-MX"/>
        </w:rPr>
        <w:t>06 de Noviembre de 2025</w:t>
      </w:r>
    </w:p>
    <w:p w14:paraId="611B54E8" w14:textId="77777777" w:rsidR="00DF5234" w:rsidRDefault="00DF5234" w:rsidP="00DF5234">
      <w:pPr>
        <w:spacing w:after="0" w:line="240" w:lineRule="auto"/>
        <w:jc w:val="both"/>
        <w:rPr>
          <w:rFonts w:ascii="Verdana" w:eastAsia="Calibri" w:hAnsi="Verdana" w:cs="Arial"/>
          <w:color w:val="000000"/>
          <w:lang w:val="es-ES"/>
        </w:rPr>
      </w:pPr>
    </w:p>
    <w:p w14:paraId="02FB69EF" w14:textId="490B19FE" w:rsidR="00362499" w:rsidRDefault="00362499" w:rsidP="00362499">
      <w:pPr>
        <w:spacing w:after="0" w:line="240" w:lineRule="auto"/>
        <w:jc w:val="right"/>
        <w:rPr>
          <w:rFonts w:ascii="Verdana" w:eastAsia="Calibri" w:hAnsi="Verdana" w:cs="Arial"/>
          <w:color w:val="000000"/>
          <w:lang w:val="es-ES"/>
        </w:rPr>
      </w:pPr>
      <w:r w:rsidRPr="00362499">
        <w:rPr>
          <w:rFonts w:ascii="Verdana" w:eastAsia="Calibri" w:hAnsi="Verdana" w:cs="Arial"/>
          <w:noProof/>
          <w:color w:val="000000"/>
          <w:lang w:val="es-ES"/>
        </w:rPr>
        <w:drawing>
          <wp:inline distT="0" distB="0" distL="0" distR="0" wp14:anchorId="49F10FBF" wp14:editId="3FF5FEE2">
            <wp:extent cx="2400300" cy="622300"/>
            <wp:effectExtent l="0" t="0" r="0" b="0"/>
            <wp:docPr id="2327488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748896" name=""/>
                    <pic:cNvPicPr/>
                  </pic:nvPicPr>
                  <pic:blipFill>
                    <a:blip r:embed="rId10"/>
                    <a:stretch>
                      <a:fillRect/>
                    </a:stretch>
                  </pic:blipFill>
                  <pic:spPr>
                    <a:xfrm>
                      <a:off x="0" y="0"/>
                      <a:ext cx="2400300" cy="622300"/>
                    </a:xfrm>
                    <a:prstGeom prst="rect">
                      <a:avLst/>
                    </a:prstGeom>
                  </pic:spPr>
                </pic:pic>
              </a:graphicData>
            </a:graphic>
          </wp:inline>
        </w:drawing>
      </w:r>
    </w:p>
    <w:p w14:paraId="70952B69" w14:textId="77777777" w:rsidR="00DF5234" w:rsidRPr="00593A5F" w:rsidRDefault="00DF5234" w:rsidP="00DF5234">
      <w:pPr>
        <w:spacing w:after="0" w:line="240" w:lineRule="auto"/>
        <w:jc w:val="both"/>
        <w:rPr>
          <w:rFonts w:ascii="Verdana" w:eastAsia="Calibri" w:hAnsi="Verdana" w:cs="Arial"/>
          <w:color w:val="000000"/>
          <w:lang w:val="es-ES"/>
        </w:rPr>
      </w:pPr>
    </w:p>
    <w:p w14:paraId="25AF40E6" w14:textId="77777777" w:rsidR="00DF5234" w:rsidRPr="00B96799" w:rsidRDefault="00DF5234" w:rsidP="00DF5234">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4F5984A8" w14:textId="77777777" w:rsidR="00DF5234" w:rsidRPr="0085423D" w:rsidRDefault="00DF5234" w:rsidP="00DF5234">
      <w:pPr>
        <w:spacing w:after="0" w:line="240" w:lineRule="auto"/>
        <w:rPr>
          <w:rFonts w:ascii="Verdana" w:eastAsia="Calibri" w:hAnsi="Verdana" w:cs="Arial"/>
          <w:b/>
          <w:lang w:val="es-ES_tradnl" w:eastAsia="es-ES_tradnl"/>
        </w:rPr>
      </w:pPr>
      <w:r w:rsidRPr="003071A1">
        <w:rPr>
          <w:rFonts w:ascii="Verdana" w:eastAsia="Calibri" w:hAnsi="Verdana" w:cs="Arial"/>
          <w:b/>
          <w:lang w:val="es-ES_tradnl" w:eastAsia="es-ES_tradnl"/>
        </w:rPr>
        <w:t>Deisy Yessenia Villamizar Córdoba</w:t>
      </w:r>
      <w:r>
        <w:rPr>
          <w:rFonts w:ascii="Verdana" w:eastAsia="Calibri" w:hAnsi="Verdana" w:cs="Arial"/>
          <w:b/>
          <w:lang w:val="es-ES_tradnl" w:eastAsia="es-ES_tradnl"/>
        </w:rPr>
        <w:t xml:space="preserve"> </w:t>
      </w:r>
    </w:p>
    <w:p w14:paraId="3842F759" w14:textId="77777777" w:rsidR="00DF5234" w:rsidRPr="00392004" w:rsidRDefault="00DF5234" w:rsidP="00DF5234">
      <w:pPr>
        <w:spacing w:after="0" w:line="240" w:lineRule="auto"/>
        <w:rPr>
          <w:rFonts w:ascii="Verdana" w:eastAsia="Calibri" w:hAnsi="Verdana" w:cs="Arial"/>
          <w:lang w:val="es-ES" w:eastAsia="es-ES"/>
        </w:rPr>
      </w:pPr>
      <w:hyperlink r:id="rId11" w:history="1">
        <w:r w:rsidRPr="00A65C76">
          <w:rPr>
            <w:rStyle w:val="Hipervnculo"/>
            <w:rFonts w:ascii="Verdana" w:hAnsi="Verdana"/>
          </w:rPr>
          <w:t>deisy.villamizar@colombiaproductiva.com</w:t>
        </w:r>
      </w:hyperlink>
      <w:r>
        <w:rPr>
          <w:rFonts w:ascii="Verdana" w:hAnsi="Verdana"/>
        </w:rPr>
        <w:t xml:space="preserve"> </w:t>
      </w:r>
      <w:r w:rsidRPr="00392004">
        <w:rPr>
          <w:rFonts w:ascii="Verdana" w:hAnsi="Verdana"/>
        </w:rPr>
        <w:t xml:space="preserve">            </w:t>
      </w:r>
      <w:r w:rsidRPr="00392004">
        <w:rPr>
          <w:rFonts w:ascii="Verdana" w:eastAsia="Calibri" w:hAnsi="Verdana" w:cs="Arial"/>
          <w:lang w:val="es-ES" w:eastAsia="es-ES"/>
        </w:rPr>
        <w:t xml:space="preserve">    </w:t>
      </w:r>
    </w:p>
    <w:p w14:paraId="7C17F4C2" w14:textId="77777777" w:rsidR="00DF5234" w:rsidRDefault="00DF5234" w:rsidP="00DF5234">
      <w:pPr>
        <w:spacing w:after="0" w:line="240" w:lineRule="auto"/>
        <w:rPr>
          <w:rFonts w:ascii="Verdana" w:eastAsia="Calibri" w:hAnsi="Verdana" w:cs="Arial"/>
          <w:lang w:val="es-ES" w:eastAsia="es-ES"/>
        </w:rPr>
      </w:pPr>
      <w:r w:rsidRPr="00EA1582">
        <w:rPr>
          <w:rFonts w:ascii="Verdana" w:eastAsia="Calibri" w:hAnsi="Verdana" w:cs="Arial"/>
          <w:lang w:val="es-ES" w:eastAsia="es-ES"/>
        </w:rPr>
        <w:t>Bogotá D.C.</w:t>
      </w:r>
      <w:r>
        <w:rPr>
          <w:rFonts w:ascii="Verdana" w:eastAsia="Calibri" w:hAnsi="Verdana" w:cs="Arial"/>
          <w:lang w:val="es-ES" w:eastAsia="es-ES"/>
        </w:rPr>
        <w:t xml:space="preserve"> </w:t>
      </w:r>
    </w:p>
    <w:p w14:paraId="3E15B81A" w14:textId="77777777" w:rsidR="00DF5234" w:rsidRPr="00593A5F" w:rsidRDefault="00DF5234" w:rsidP="00DF5234">
      <w:pPr>
        <w:spacing w:after="0" w:line="240" w:lineRule="auto"/>
        <w:rPr>
          <w:rFonts w:ascii="Verdana" w:eastAsia="Calibri" w:hAnsi="Verdana" w:cs="Arial"/>
          <w:b/>
          <w:bCs/>
          <w:color w:val="000000"/>
          <w:lang w:val="es-ES_tradnl" w:eastAsia="es-ES_tradnl"/>
        </w:rPr>
      </w:pPr>
    </w:p>
    <w:p w14:paraId="6244A06C" w14:textId="77777777" w:rsidR="00DF5234" w:rsidRPr="00593A5F" w:rsidRDefault="00DF5234" w:rsidP="00DF523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5234" w:rsidRPr="00593A5F" w14:paraId="073E70D8" w14:textId="77777777" w:rsidTr="00993118">
        <w:trPr>
          <w:trHeight w:val="884"/>
        </w:trPr>
        <w:tc>
          <w:tcPr>
            <w:tcW w:w="2689" w:type="dxa"/>
          </w:tcPr>
          <w:p w14:paraId="7DCB4D69" w14:textId="77777777" w:rsidR="00DF5234" w:rsidRPr="00C00976" w:rsidRDefault="00DF5234" w:rsidP="00993118">
            <w:pPr>
              <w:jc w:val="both"/>
              <w:rPr>
                <w:rFonts w:ascii="Verdana" w:eastAsia="Calibri" w:hAnsi="Verdana" w:cs="Arial"/>
                <w:b/>
                <w:bCs/>
                <w:color w:val="7030A0"/>
                <w:lang w:val="es-ES_tradnl" w:eastAsia="es-ES_tradnl"/>
              </w:rPr>
            </w:pPr>
          </w:p>
        </w:tc>
        <w:tc>
          <w:tcPr>
            <w:tcW w:w="6100" w:type="dxa"/>
          </w:tcPr>
          <w:p w14:paraId="7B65B0D9" w14:textId="372E3A11" w:rsidR="00DF5234" w:rsidRPr="00C00976" w:rsidRDefault="00DF5234" w:rsidP="0099311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463DAD">
              <w:rPr>
                <w:rFonts w:ascii="Verdana" w:eastAsia="Calibri" w:hAnsi="Verdana" w:cs="Arial"/>
                <w:b/>
                <w:bCs/>
                <w:lang w:val="es-ES" w:eastAsia="es-ES"/>
              </w:rPr>
              <w:t>1596</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DF5234" w:rsidRPr="00593A5F" w14:paraId="3925B916" w14:textId="77777777" w:rsidTr="00993118">
        <w:trPr>
          <w:trHeight w:val="884"/>
        </w:trPr>
        <w:tc>
          <w:tcPr>
            <w:tcW w:w="2689" w:type="dxa"/>
          </w:tcPr>
          <w:p w14:paraId="017BB343" w14:textId="77777777" w:rsidR="00DF5234" w:rsidRPr="00593A5F" w:rsidRDefault="00DF5234" w:rsidP="009931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198CBF0" w14:textId="77777777" w:rsidR="00DF5234" w:rsidRPr="00A11406" w:rsidRDefault="00DF5234" w:rsidP="00993118">
            <w:pPr>
              <w:spacing w:line="276" w:lineRule="auto"/>
              <w:jc w:val="both"/>
              <w:rPr>
                <w:rFonts w:ascii="Verdana" w:eastAsia="Calibri" w:hAnsi="Verdana" w:cs="Arial"/>
                <w:lang w:val="es-ES" w:eastAsia="es-ES"/>
              </w:rPr>
            </w:pPr>
            <w:r w:rsidRPr="00585B8F">
              <w:rPr>
                <w:rFonts w:ascii="Verdana" w:eastAsia="Calibri" w:hAnsi="Verdana" w:cs="Arial"/>
                <w:lang w:val="es-ES" w:eastAsia="es-ES"/>
              </w:rPr>
              <w:t xml:space="preserve">LEY DE GARANTÍAS ELECTORALES ‒ Finalidad / </w:t>
            </w:r>
            <w:r w:rsidRPr="00FE39ED">
              <w:rPr>
                <w:rFonts w:ascii="Verdana" w:eastAsia="Calibri" w:hAnsi="Verdana" w:cs="Arial"/>
                <w:lang w:val="es-ES" w:eastAsia="es-ES"/>
              </w:rPr>
              <w:t>LEY DE GARANTÍAS ELECTORALES – Ley 996 de 2005 – Articulo 33 – Restricciones – Elecciones presidenciales</w:t>
            </w:r>
            <w:r>
              <w:rPr>
                <w:rFonts w:ascii="Verdana" w:eastAsia="Calibri" w:hAnsi="Verdana" w:cs="Arial"/>
                <w:lang w:val="es-ES" w:eastAsia="es-ES"/>
              </w:rPr>
              <w:t xml:space="preserve"> / </w:t>
            </w:r>
            <w:r w:rsidRPr="00FE39ED">
              <w:rPr>
                <w:rFonts w:ascii="Verdana" w:eastAsia="Calibri" w:hAnsi="Verdana" w:cs="Arial"/>
                <w:lang w:val="es-ES" w:eastAsia="es-ES"/>
              </w:rPr>
              <w:t>LEY DE GARANTÍAS ELECTORALES – Ley 996 de 2005 – Destinatarios</w:t>
            </w:r>
            <w:r>
              <w:rPr>
                <w:rFonts w:ascii="Verdana" w:eastAsia="Calibri" w:hAnsi="Verdana" w:cs="Arial"/>
                <w:lang w:val="es-ES" w:eastAsia="es-ES"/>
              </w:rPr>
              <w:t xml:space="preserve"> / </w:t>
            </w:r>
            <w:r w:rsidRPr="00FE39ED">
              <w:rPr>
                <w:rFonts w:ascii="Verdana" w:eastAsia="Calibri" w:hAnsi="Verdana" w:cs="Arial"/>
                <w:lang w:val="es-ES" w:eastAsia="es-ES"/>
              </w:rPr>
              <w:t xml:space="preserve">LEY DE GARANTÍAS ELECTORALES – Artículo 33 - Patrimonios autónomos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DD46B50" w14:textId="77777777" w:rsidR="00DF5234" w:rsidRPr="00593A5F" w:rsidRDefault="00DF5234" w:rsidP="0099311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F5234" w:rsidRPr="008E6AD9" w14:paraId="7048CA50" w14:textId="77777777" w:rsidTr="00993118">
        <w:tc>
          <w:tcPr>
            <w:tcW w:w="2689" w:type="dxa"/>
          </w:tcPr>
          <w:p w14:paraId="773A4420" w14:textId="77777777" w:rsidR="00DF5234" w:rsidRPr="008E6AD9" w:rsidRDefault="00DF5234" w:rsidP="0099311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154763D" w14:textId="77777777" w:rsidR="00DF5234" w:rsidRPr="00B92340" w:rsidRDefault="00DF5234" w:rsidP="0099311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EA1582">
              <w:rPr>
                <w:rFonts w:ascii="Verdana" w:eastAsia="Calibri" w:hAnsi="Verdana" w:cs="Arial"/>
                <w:lang w:val="es-ES_tradnl" w:eastAsia="es-ES_tradnl"/>
              </w:rPr>
              <w:t>1_2025_10_30_012225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3865C32" w14:textId="77777777" w:rsidR="00DF5234" w:rsidRPr="00593A5F" w:rsidRDefault="00DF5234" w:rsidP="00DF5234">
      <w:pPr>
        <w:spacing w:after="0" w:line="240" w:lineRule="auto"/>
        <w:jc w:val="both"/>
        <w:rPr>
          <w:rFonts w:ascii="Verdana" w:eastAsia="Calibri" w:hAnsi="Verdana" w:cs="Arial"/>
          <w:color w:val="000000"/>
          <w:lang w:val="es-ES_tradnl" w:eastAsia="es-ES_tradnl"/>
        </w:rPr>
      </w:pPr>
    </w:p>
    <w:p w14:paraId="448BAAAD" w14:textId="77777777" w:rsidR="00DF5234" w:rsidRPr="00593A5F" w:rsidRDefault="00DF5234" w:rsidP="00DF5234">
      <w:pPr>
        <w:spacing w:after="0" w:line="240" w:lineRule="auto"/>
        <w:jc w:val="both"/>
        <w:rPr>
          <w:rFonts w:ascii="Verdana" w:eastAsia="Calibri" w:hAnsi="Verdana" w:cs="Arial"/>
          <w:color w:val="000000"/>
          <w:lang w:val="es-ES_tradnl" w:eastAsia="es-ES_tradnl"/>
        </w:rPr>
      </w:pPr>
    </w:p>
    <w:p w14:paraId="3D1F97BF" w14:textId="77777777" w:rsidR="00DF5234" w:rsidRPr="008E6AD9" w:rsidRDefault="00DF5234" w:rsidP="00DF523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392004">
        <w:rPr>
          <w:rFonts w:ascii="Verdana" w:eastAsia="Calibri" w:hAnsi="Verdana" w:cs="Arial"/>
          <w:lang w:val="es-ES" w:eastAsia="es-ES"/>
        </w:rPr>
        <w:t>Villamizar Córdoba</w:t>
      </w:r>
      <w:r w:rsidRPr="008E6AD9">
        <w:rPr>
          <w:rFonts w:ascii="Verdana" w:eastAsia="Calibri" w:hAnsi="Verdana" w:cs="Arial"/>
          <w:lang w:val="es-ES" w:eastAsia="es-ES"/>
        </w:rPr>
        <w:t xml:space="preserve">: </w:t>
      </w:r>
    </w:p>
    <w:p w14:paraId="000D5F9E" w14:textId="77777777" w:rsidR="00DF5234" w:rsidRDefault="00DF5234" w:rsidP="00DF523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C19F316" w14:textId="77777777" w:rsidR="00DF5234" w:rsidRPr="00593A5F" w:rsidRDefault="00DF5234" w:rsidP="00DF523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29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pregunta lo siguiente</w:t>
      </w:r>
      <w:r w:rsidRPr="008E6AD9">
        <w:rPr>
          <w:rFonts w:ascii="Verdana" w:eastAsia="Calibri" w:hAnsi="Verdana" w:cs="Arial"/>
          <w:lang w:val="es-ES" w:eastAsia="es-ES"/>
        </w:rPr>
        <w:t xml:space="preserve">: </w:t>
      </w:r>
    </w:p>
    <w:p w14:paraId="2A8F5FCC" w14:textId="77777777" w:rsidR="00DF5234" w:rsidRPr="00272A7B" w:rsidRDefault="00DF5234" w:rsidP="00DF5234">
      <w:pPr>
        <w:pStyle w:val="Prrafodelista"/>
        <w:tabs>
          <w:tab w:val="left" w:pos="142"/>
          <w:tab w:val="left" w:pos="284"/>
        </w:tabs>
        <w:spacing w:after="0" w:line="276" w:lineRule="auto"/>
        <w:ind w:left="0"/>
        <w:jc w:val="both"/>
        <w:rPr>
          <w:rFonts w:ascii="Verdana" w:eastAsia="Century Gothic" w:hAnsi="Verdana" w:cs="Century Gothic"/>
          <w:b/>
          <w:bCs/>
        </w:rPr>
      </w:pPr>
    </w:p>
    <w:p w14:paraId="595ADD30" w14:textId="77777777" w:rsidR="00DF5234" w:rsidRPr="00392004" w:rsidRDefault="00DF5234" w:rsidP="00DF5234">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392004">
        <w:rPr>
          <w:rFonts w:ascii="Verdana" w:eastAsia="Century Gothic" w:hAnsi="Verdana" w:cs="Century Gothic"/>
          <w:sz w:val="20"/>
          <w:szCs w:val="20"/>
          <w:lang w:val="es-ES"/>
        </w:rPr>
        <w:t xml:space="preserve">1. ¿Se les aplica a los patrimonios Autónomos Colombia Productiva, </w:t>
      </w:r>
      <w:proofErr w:type="spellStart"/>
      <w:r w:rsidRPr="00392004">
        <w:rPr>
          <w:rFonts w:ascii="Verdana" w:eastAsia="Century Gothic" w:hAnsi="Verdana" w:cs="Century Gothic"/>
          <w:sz w:val="20"/>
          <w:szCs w:val="20"/>
          <w:lang w:val="es-ES"/>
        </w:rPr>
        <w:t>iNNpulsa</w:t>
      </w:r>
      <w:proofErr w:type="spellEnd"/>
      <w:r w:rsidRPr="00392004">
        <w:rPr>
          <w:rFonts w:ascii="Verdana" w:eastAsia="Century Gothic" w:hAnsi="Verdana" w:cs="Century Gothic"/>
          <w:sz w:val="20"/>
          <w:szCs w:val="20"/>
          <w:lang w:val="es-ES"/>
        </w:rPr>
        <w:t xml:space="preserve"> y la unificación de los dos cuyo nombre es </w:t>
      </w:r>
      <w:proofErr w:type="spellStart"/>
      <w:r w:rsidRPr="00392004">
        <w:rPr>
          <w:rFonts w:ascii="Verdana" w:eastAsia="Century Gothic" w:hAnsi="Verdana" w:cs="Century Gothic"/>
          <w:sz w:val="20"/>
          <w:szCs w:val="20"/>
          <w:lang w:val="es-ES"/>
        </w:rPr>
        <w:t>iNNpulsa</w:t>
      </w:r>
      <w:proofErr w:type="spellEnd"/>
      <w:r w:rsidRPr="00392004">
        <w:rPr>
          <w:rFonts w:ascii="Verdana" w:eastAsia="Century Gothic" w:hAnsi="Verdana" w:cs="Century Gothic"/>
          <w:sz w:val="20"/>
          <w:szCs w:val="20"/>
          <w:lang w:val="es-ES"/>
        </w:rPr>
        <w:t xml:space="preserve"> Colombia la Ley 996 de 2005 </w:t>
      </w:r>
      <w:r>
        <w:rPr>
          <w:rFonts w:ascii="Verdana" w:eastAsia="Century Gothic" w:hAnsi="Verdana" w:cs="Century Gothic"/>
          <w:sz w:val="20"/>
          <w:szCs w:val="20"/>
          <w:lang w:val="es-ES"/>
        </w:rPr>
        <w:t>‘</w:t>
      </w:r>
      <w:r w:rsidRPr="00392004">
        <w:rPr>
          <w:rFonts w:ascii="Verdana" w:eastAsia="Century Gothic" w:hAnsi="Verdana" w:cs="Century Gothic"/>
          <w:i/>
          <w:iCs/>
          <w:sz w:val="20"/>
          <w:szCs w:val="20"/>
          <w:lang w:val="es-ES"/>
        </w:rPr>
        <w:t>Ley de Garantías Electorales</w:t>
      </w:r>
      <w:r>
        <w:rPr>
          <w:rFonts w:ascii="Verdana" w:eastAsia="Century Gothic" w:hAnsi="Verdana" w:cs="Century Gothic"/>
          <w:sz w:val="20"/>
          <w:szCs w:val="20"/>
          <w:lang w:val="es-ES"/>
        </w:rPr>
        <w:t>’</w:t>
      </w:r>
      <w:r w:rsidRPr="00392004">
        <w:rPr>
          <w:rFonts w:ascii="Verdana" w:eastAsia="Century Gothic" w:hAnsi="Verdana" w:cs="Century Gothic"/>
          <w:sz w:val="20"/>
          <w:szCs w:val="20"/>
          <w:lang w:val="es-ES"/>
        </w:rPr>
        <w:t xml:space="preserve"> para el calendario electoral </w:t>
      </w:r>
      <w:r w:rsidRPr="00392004">
        <w:rPr>
          <w:rFonts w:ascii="Verdana" w:eastAsia="Century Gothic" w:hAnsi="Verdana" w:cs="Century Gothic"/>
          <w:sz w:val="20"/>
          <w:szCs w:val="20"/>
          <w:lang w:val="es-ES"/>
        </w:rPr>
        <w:lastRenderedPageBreak/>
        <w:t xml:space="preserve">y las elecciones de Congreso, </w:t>
      </w:r>
      <w:proofErr w:type="gramStart"/>
      <w:r w:rsidRPr="00392004">
        <w:rPr>
          <w:rFonts w:ascii="Verdana" w:eastAsia="Century Gothic" w:hAnsi="Verdana" w:cs="Century Gothic"/>
          <w:sz w:val="20"/>
          <w:szCs w:val="20"/>
          <w:lang w:val="es-ES"/>
        </w:rPr>
        <w:t>Presidente</w:t>
      </w:r>
      <w:proofErr w:type="gramEnd"/>
      <w:r w:rsidRPr="00392004">
        <w:rPr>
          <w:rFonts w:ascii="Verdana" w:eastAsia="Century Gothic" w:hAnsi="Verdana" w:cs="Century Gothic"/>
          <w:sz w:val="20"/>
          <w:szCs w:val="20"/>
          <w:lang w:val="es-ES"/>
        </w:rPr>
        <w:t xml:space="preserve">(a) y Vicepresidente(a) de la República que se realizarán en el año 2026.? </w:t>
      </w:r>
    </w:p>
    <w:p w14:paraId="0DE4709A" w14:textId="77777777" w:rsidR="00DF5234" w:rsidRPr="001904AF" w:rsidRDefault="00DF5234" w:rsidP="00DF5234">
      <w:pPr>
        <w:spacing w:after="0" w:line="240" w:lineRule="auto"/>
        <w:ind w:left="709" w:right="709"/>
        <w:jc w:val="both"/>
        <w:rPr>
          <w:rFonts w:ascii="Verdana" w:eastAsia="Century Gothic" w:hAnsi="Verdana" w:cs="Century Gothic"/>
          <w:sz w:val="20"/>
          <w:szCs w:val="20"/>
          <w:lang w:val="es-ES"/>
        </w:rPr>
      </w:pPr>
      <w:r w:rsidRPr="00392004">
        <w:rPr>
          <w:rFonts w:ascii="Verdana" w:eastAsia="Century Gothic" w:hAnsi="Verdana" w:cs="Century Gothic"/>
          <w:sz w:val="20"/>
          <w:szCs w:val="20"/>
          <w:lang w:val="es-ES"/>
        </w:rPr>
        <w:t>2. ¿Qué restricciones se les aplican a los patrimonios Autónomos Colombia Productiva,</w:t>
      </w:r>
      <w:r>
        <w:rPr>
          <w:rFonts w:ascii="Verdana" w:eastAsia="Century Gothic" w:hAnsi="Verdana" w:cs="Century Gothic"/>
          <w:sz w:val="20"/>
          <w:szCs w:val="20"/>
          <w:lang w:val="es-ES"/>
        </w:rPr>
        <w:t xml:space="preserve"> </w:t>
      </w:r>
      <w:proofErr w:type="spellStart"/>
      <w:r w:rsidRPr="00392004">
        <w:rPr>
          <w:rFonts w:ascii="Verdana" w:eastAsia="Century Gothic" w:hAnsi="Verdana" w:cs="Century Gothic"/>
          <w:sz w:val="20"/>
          <w:szCs w:val="20"/>
          <w:lang w:val="es-ES"/>
        </w:rPr>
        <w:t>iNNpulsa</w:t>
      </w:r>
      <w:proofErr w:type="spellEnd"/>
      <w:r w:rsidRPr="00392004">
        <w:rPr>
          <w:rFonts w:ascii="Verdana" w:eastAsia="Century Gothic" w:hAnsi="Verdana" w:cs="Century Gothic"/>
          <w:sz w:val="20"/>
          <w:szCs w:val="20"/>
          <w:lang w:val="es-ES"/>
        </w:rPr>
        <w:t xml:space="preserve"> y la unificación de los dos cuyo nombre es </w:t>
      </w:r>
      <w:proofErr w:type="spellStart"/>
      <w:r w:rsidRPr="00392004">
        <w:rPr>
          <w:rFonts w:ascii="Verdana" w:eastAsia="Century Gothic" w:hAnsi="Verdana" w:cs="Century Gothic"/>
          <w:sz w:val="20"/>
          <w:szCs w:val="20"/>
          <w:lang w:val="es-ES"/>
        </w:rPr>
        <w:t>iNNpulsa</w:t>
      </w:r>
      <w:proofErr w:type="spellEnd"/>
      <w:r w:rsidRPr="00392004">
        <w:rPr>
          <w:rFonts w:ascii="Verdana" w:eastAsia="Century Gothic" w:hAnsi="Verdana" w:cs="Century Gothic"/>
          <w:sz w:val="20"/>
          <w:szCs w:val="20"/>
          <w:lang w:val="es-ES"/>
        </w:rPr>
        <w:t xml:space="preserve"> Colombia por la Ley 996 de 2005 </w:t>
      </w:r>
      <w:r>
        <w:rPr>
          <w:rFonts w:ascii="Verdana" w:eastAsia="Century Gothic" w:hAnsi="Verdana" w:cs="Century Gothic"/>
          <w:sz w:val="20"/>
          <w:szCs w:val="20"/>
          <w:lang w:val="es-ES"/>
        </w:rPr>
        <w:t>‘</w:t>
      </w:r>
      <w:r w:rsidRPr="00392004">
        <w:rPr>
          <w:rFonts w:ascii="Verdana" w:eastAsia="Century Gothic" w:hAnsi="Verdana" w:cs="Century Gothic"/>
          <w:i/>
          <w:iCs/>
          <w:sz w:val="20"/>
          <w:szCs w:val="20"/>
          <w:lang w:val="es-ES"/>
        </w:rPr>
        <w:t>Ley de Garantías Electorales</w:t>
      </w:r>
      <w:r>
        <w:rPr>
          <w:rFonts w:ascii="Verdana" w:eastAsia="Century Gothic" w:hAnsi="Verdana" w:cs="Century Gothic"/>
          <w:sz w:val="20"/>
          <w:szCs w:val="20"/>
          <w:lang w:val="es-ES"/>
        </w:rPr>
        <w:t>’</w:t>
      </w:r>
      <w:r w:rsidRPr="00392004">
        <w:rPr>
          <w:rFonts w:ascii="Verdana" w:eastAsia="Century Gothic" w:hAnsi="Verdana" w:cs="Century Gothic"/>
          <w:sz w:val="20"/>
          <w:szCs w:val="20"/>
          <w:lang w:val="es-ES"/>
        </w:rPr>
        <w:t xml:space="preserve"> para el calendario electoral y las elecciones de Congreso, </w:t>
      </w:r>
      <w:proofErr w:type="gramStart"/>
      <w:r w:rsidRPr="00392004">
        <w:rPr>
          <w:rFonts w:ascii="Verdana" w:eastAsia="Century Gothic" w:hAnsi="Verdana" w:cs="Century Gothic"/>
          <w:sz w:val="20"/>
          <w:szCs w:val="20"/>
          <w:lang w:val="es-ES"/>
        </w:rPr>
        <w:t>Presidente</w:t>
      </w:r>
      <w:proofErr w:type="gramEnd"/>
      <w:r w:rsidRPr="00392004">
        <w:rPr>
          <w:rFonts w:ascii="Verdana" w:eastAsia="Century Gothic" w:hAnsi="Verdana" w:cs="Century Gothic"/>
          <w:sz w:val="20"/>
          <w:szCs w:val="20"/>
          <w:lang w:val="es-ES"/>
        </w:rPr>
        <w:t xml:space="preserve"> (a) y Vicepresidente (a) de la República que se realizarán en el año 2026?</w:t>
      </w:r>
      <w:r w:rsidRPr="001904AF">
        <w:rPr>
          <w:rFonts w:ascii="Verdana" w:eastAsia="Century Gothic" w:hAnsi="Verdana" w:cs="Century Gothic"/>
          <w:sz w:val="20"/>
          <w:szCs w:val="20"/>
          <w:lang w:val="es-ES"/>
        </w:rPr>
        <w:t>”.</w:t>
      </w:r>
    </w:p>
    <w:p w14:paraId="0FC08895" w14:textId="77777777" w:rsidR="00DF5234" w:rsidRPr="008E6AD9" w:rsidRDefault="00DF5234" w:rsidP="00DF5234">
      <w:pPr>
        <w:pStyle w:val="Prrafodelista"/>
        <w:tabs>
          <w:tab w:val="left" w:pos="142"/>
          <w:tab w:val="left" w:pos="284"/>
        </w:tabs>
        <w:spacing w:after="0" w:line="276" w:lineRule="auto"/>
        <w:ind w:left="0"/>
        <w:jc w:val="both"/>
        <w:rPr>
          <w:rFonts w:ascii="Verdana" w:eastAsia="Century Gothic" w:hAnsi="Verdana" w:cs="Century Gothic"/>
          <w:b/>
          <w:bCs/>
        </w:rPr>
      </w:pPr>
    </w:p>
    <w:p w14:paraId="68447E4A" w14:textId="77777777" w:rsidR="00DF5234" w:rsidRPr="00A652FF" w:rsidRDefault="00DF5234" w:rsidP="00DF523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6ADC5A2" w14:textId="77777777" w:rsidR="00DF5234" w:rsidRDefault="00DF5234" w:rsidP="00DF523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383AF24" w14:textId="77777777" w:rsidR="00DF5234" w:rsidRPr="00593A5F" w:rsidRDefault="00DF5234" w:rsidP="00DF5234">
      <w:pPr>
        <w:spacing w:after="0" w:line="276" w:lineRule="auto"/>
        <w:ind w:firstLine="709"/>
        <w:jc w:val="both"/>
        <w:rPr>
          <w:rFonts w:ascii="Verdana" w:eastAsia="Calibri" w:hAnsi="Verdana" w:cs="Arial"/>
          <w:color w:val="000000"/>
          <w:lang w:val="es-ES" w:eastAsia="es-ES"/>
        </w:rPr>
      </w:pPr>
    </w:p>
    <w:p w14:paraId="1DE2E95F" w14:textId="77777777" w:rsidR="00DF5234" w:rsidRPr="00593A5F" w:rsidRDefault="00DF5234" w:rsidP="00DF523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251FAD91" w14:textId="77777777" w:rsidR="00DF5234" w:rsidRPr="00593A5F" w:rsidRDefault="00DF5234" w:rsidP="00DF5234">
      <w:pPr>
        <w:tabs>
          <w:tab w:val="left" w:pos="426"/>
        </w:tabs>
        <w:spacing w:after="0" w:line="276" w:lineRule="auto"/>
        <w:jc w:val="both"/>
        <w:rPr>
          <w:rFonts w:ascii="Verdana" w:eastAsia="Century Gothic" w:hAnsi="Verdana" w:cs="Century Gothic"/>
          <w:lang w:val="es-ES"/>
        </w:rPr>
      </w:pPr>
    </w:p>
    <w:p w14:paraId="4B52552A" w14:textId="77777777" w:rsidR="00DF5234" w:rsidRPr="00593A5F" w:rsidRDefault="00DF5234" w:rsidP="00DF523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 xml:space="preserve">i) ¿cuál es el ámbito de aplicación del artículo 33 de la Ley de Garantías? y </w:t>
      </w:r>
      <w:proofErr w:type="spellStart"/>
      <w:r>
        <w:rPr>
          <w:rFonts w:ascii="Verdana" w:eastAsia="Century Gothic" w:hAnsi="Verdana" w:cs="Century Gothic"/>
        </w:rPr>
        <w:t>ii</w:t>
      </w:r>
      <w:proofErr w:type="spellEnd"/>
      <w:r>
        <w:rPr>
          <w:rFonts w:ascii="Verdana" w:eastAsia="Century Gothic" w:hAnsi="Verdana" w:cs="Century Gothic"/>
        </w:rPr>
        <w:t xml:space="preserve">) ¿dicha prohibición se extiende a los patrimonios autónomos constituidos por entidades estatales?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099FCA8" w14:textId="77777777" w:rsidR="00DF5234" w:rsidRPr="004B140F" w:rsidRDefault="00DF5234" w:rsidP="00DF5234">
      <w:pPr>
        <w:spacing w:after="0" w:line="276" w:lineRule="auto"/>
        <w:jc w:val="both"/>
        <w:rPr>
          <w:rFonts w:ascii="Verdana" w:eastAsia="Calibri" w:hAnsi="Verdana" w:cs="Arial"/>
          <w:color w:val="7030A0"/>
        </w:rPr>
      </w:pPr>
    </w:p>
    <w:p w14:paraId="1E7E8F0D" w14:textId="77777777" w:rsidR="00DF5234" w:rsidRPr="00593A5F" w:rsidRDefault="00DF5234" w:rsidP="00DF52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7842AD47" w14:textId="77777777" w:rsidR="00DF5234" w:rsidRPr="00593A5F" w:rsidRDefault="00DF5234" w:rsidP="00DF523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5234" w:rsidRPr="00593A5F" w14:paraId="12985D3A" w14:textId="77777777" w:rsidTr="00B765DB">
        <w:trPr>
          <w:jc w:val="center"/>
        </w:trPr>
        <w:tc>
          <w:tcPr>
            <w:tcW w:w="8828" w:type="dxa"/>
          </w:tcPr>
          <w:p w14:paraId="30FE688B" w14:textId="77777777" w:rsidR="00DF5234" w:rsidRPr="00F143C5" w:rsidRDefault="00DF5234" w:rsidP="00993118">
            <w:pPr>
              <w:spacing w:after="120" w:line="276" w:lineRule="auto"/>
              <w:ind w:right="51"/>
              <w:jc w:val="both"/>
              <w:rPr>
                <w:rFonts w:ascii="Verdana" w:eastAsia="Arial" w:hAnsi="Verdana" w:cs="Arial"/>
                <w:lang w:val="es-MX" w:eastAsia="es-ES" w:bidi="es-ES"/>
              </w:rPr>
            </w:pPr>
            <w:bookmarkStart w:id="1" w:name="_Hlk171694685"/>
            <w:r>
              <w:rPr>
                <w:rFonts w:ascii="Verdana" w:eastAsia="Calibri" w:hAnsi="Verdana" w:cs="Arial"/>
                <w:bCs/>
                <w:color w:val="000000" w:themeColor="text1"/>
              </w:rPr>
              <w:t>Conforme a la interpretación general de las normas del sistema de compras públicas</w:t>
            </w:r>
            <w:r w:rsidRPr="00E2397D">
              <w:rPr>
                <w:rFonts w:ascii="Verdana" w:eastAsia="Arial" w:hAnsi="Verdana" w:cs="Arial"/>
                <w:lang w:val="es-MX" w:eastAsia="es-ES" w:bidi="es-ES"/>
              </w:rPr>
              <w:t xml:space="preserve">, </w:t>
            </w:r>
            <w:r w:rsidRPr="00F143C5">
              <w:rPr>
                <w:rFonts w:ascii="Verdana" w:eastAsia="Arial" w:hAnsi="Verdana" w:cs="Arial"/>
                <w:lang w:val="es-MX" w:eastAsia="es-ES" w:bidi="es-ES"/>
              </w:rPr>
              <w:t xml:space="preserve">el artículo 33 de la Ley 996 de 2005 señala expresamente a los </w:t>
            </w:r>
            <w:r w:rsidRPr="00F143C5">
              <w:rPr>
                <w:rFonts w:ascii="Verdana" w:eastAsia="Arial" w:hAnsi="Verdana" w:cs="Arial"/>
                <w:lang w:val="es-MX" w:eastAsia="es-ES" w:bidi="es-ES"/>
              </w:rPr>
              <w:lastRenderedPageBreak/>
              <w:t xml:space="preserve">destinatarios de la prohibición, en el sentido de que son </w:t>
            </w:r>
            <w:r>
              <w:rPr>
                <w:rFonts w:ascii="Verdana" w:eastAsia="Arial" w:hAnsi="Verdana" w:cs="Arial"/>
                <w:lang w:val="es-MX" w:eastAsia="es-ES" w:bidi="es-ES"/>
              </w:rPr>
              <w:t>“</w:t>
            </w:r>
            <w:r w:rsidRPr="00F143C5">
              <w:rPr>
                <w:rFonts w:ascii="Verdana" w:eastAsia="Arial" w:hAnsi="Verdana" w:cs="Arial"/>
                <w:lang w:val="es-MX" w:eastAsia="es-ES" w:bidi="es-ES"/>
              </w:rPr>
              <w:t>todos los entes del Estado</w:t>
            </w:r>
            <w:r>
              <w:rPr>
                <w:rFonts w:ascii="Verdana" w:eastAsia="Arial" w:hAnsi="Verdana" w:cs="Arial"/>
                <w:lang w:val="es-MX" w:eastAsia="es-ES" w:bidi="es-ES"/>
              </w:rPr>
              <w:t>”</w:t>
            </w:r>
            <w:r w:rsidRPr="00F143C5">
              <w:rPr>
                <w:rFonts w:ascii="Verdana" w:eastAsia="Arial" w:hAnsi="Verdana" w:cs="Arial"/>
                <w:lang w:val="es-MX" w:eastAsia="es-ES" w:bidi="es-ES"/>
              </w:rPr>
              <w:t xml:space="preserve">, expresión que contempla a los diferentes organismos o entidades autorizadas por la ley para suscribir contratos. En efecto, tal como lo ha sostenido el Consejo de Estado, el vocablo </w:t>
            </w:r>
            <w:r>
              <w:rPr>
                <w:rFonts w:ascii="Verdana" w:eastAsia="Arial" w:hAnsi="Verdana" w:cs="Arial"/>
                <w:lang w:val="es-MX" w:eastAsia="es-ES" w:bidi="es-ES"/>
              </w:rPr>
              <w:t>“</w:t>
            </w:r>
            <w:r w:rsidRPr="00F143C5">
              <w:rPr>
                <w:rFonts w:ascii="Verdana" w:eastAsia="Arial" w:hAnsi="Verdana" w:cs="Arial"/>
                <w:lang w:val="es-MX" w:eastAsia="es-ES" w:bidi="es-ES"/>
              </w:rPr>
              <w:t>todos</w:t>
            </w:r>
            <w:r>
              <w:rPr>
                <w:rFonts w:ascii="Verdana" w:eastAsia="Arial" w:hAnsi="Verdana" w:cs="Arial"/>
                <w:lang w:val="es-MX" w:eastAsia="es-ES" w:bidi="es-ES"/>
              </w:rPr>
              <w:t>”</w:t>
            </w:r>
            <w:r w:rsidRPr="00F143C5">
              <w:rPr>
                <w:rFonts w:ascii="Verdana" w:eastAsia="Arial" w:hAnsi="Verdana" w:cs="Arial"/>
                <w:lang w:val="es-MX" w:eastAsia="es-ES" w:bidi="es-ES"/>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Incluso, dado que el legislador no distingue, la prohibición también aplica a las entidades descentralizadas indirectas, esto es, las que surgen por la voluntad asociativa de los entes públicos entre sí o con la intervención de particulares, como por ejemplo las ESALES derivadas de los artículos 95 y 96 de la Ley 489 de 1998.</w:t>
            </w:r>
          </w:p>
          <w:p w14:paraId="2AFD579E" w14:textId="77777777" w:rsidR="00DF5234" w:rsidRPr="00661939" w:rsidRDefault="00DF5234" w:rsidP="00993118">
            <w:pPr>
              <w:spacing w:after="120" w:line="276" w:lineRule="auto"/>
              <w:ind w:right="51" w:firstLine="734"/>
              <w:jc w:val="both"/>
              <w:rPr>
                <w:rFonts w:ascii="Verdana" w:eastAsia="Calibri" w:hAnsi="Verdana" w:cs="Arial"/>
                <w:bCs/>
                <w:color w:val="000000" w:themeColor="text1"/>
              </w:rPr>
            </w:pPr>
            <w:r w:rsidRPr="00F143C5">
              <w:rPr>
                <w:rFonts w:ascii="Verdana" w:eastAsia="Arial" w:hAnsi="Verdana" w:cs="Arial"/>
                <w:lang w:val="es-MX" w:eastAsia="es-ES" w:bidi="es-ES"/>
              </w:rPr>
              <w:t>En resumen, la restricción prevista en la Ley 996 de 2005, 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Incluso, de acuerdo 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se podría inaplicar la prohibición establecida en el artículo 33 de la Ley de Garantías Electorales, con la constitución de patrimonios autónomos.</w:t>
            </w:r>
            <w:r>
              <w:rPr>
                <w:rFonts w:ascii="Verdana" w:eastAsia="Arial" w:hAnsi="Verdana" w:cs="Arial"/>
                <w:lang w:val="es-MX" w:eastAsia="es-ES" w:bidi="es-ES"/>
              </w:rPr>
              <w:t xml:space="preserve"> </w:t>
            </w:r>
            <w:r w:rsidRPr="00F56BBA">
              <w:rPr>
                <w:rFonts w:ascii="Verdana" w:eastAsia="Arial" w:hAnsi="Verdana" w:cs="Arial"/>
                <w:lang w:val="es-MX" w:eastAsia="es-ES" w:bidi="es-ES"/>
              </w:rPr>
              <w:t>Esto último rige para el contrato de fiducia que debe suscribir el Ministerio de Comercio, Industria y Turismo con la Fiduciaria Colombiana de Comercio Exterior SA, en los términos del inciso primero del artículo 1.3.1.3 del Decreto 1072 de 2015</w:t>
            </w:r>
            <w:r>
              <w:rPr>
                <w:rFonts w:ascii="Verdana" w:eastAsia="Arial" w:hAnsi="Verdana" w:cs="Arial"/>
                <w:lang w:val="es-MX" w:eastAsia="es-ES" w:bidi="es-ES"/>
              </w:rPr>
              <w:t>.</w:t>
            </w:r>
          </w:p>
          <w:p w14:paraId="541707F0" w14:textId="77777777" w:rsidR="00DF5234" w:rsidRPr="001941FD" w:rsidRDefault="00DF5234" w:rsidP="00993118">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lastRenderedPageBreak/>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A3D4824" w14:textId="77777777" w:rsidR="00DF5234" w:rsidRPr="00593A5F" w:rsidRDefault="00DF5234" w:rsidP="00DF5234">
      <w:pPr>
        <w:tabs>
          <w:tab w:val="left" w:pos="142"/>
          <w:tab w:val="left" w:pos="284"/>
        </w:tabs>
        <w:spacing w:after="0" w:line="276" w:lineRule="auto"/>
        <w:jc w:val="both"/>
        <w:rPr>
          <w:rFonts w:ascii="Verdana" w:eastAsia="Century Gothic" w:hAnsi="Verdana" w:cs="Century Gothic"/>
          <w:b/>
          <w:bCs/>
          <w:lang w:val="es-ES"/>
        </w:rPr>
      </w:pPr>
    </w:p>
    <w:bookmarkEnd w:id="1"/>
    <w:p w14:paraId="1C0597A0" w14:textId="77777777" w:rsidR="00DF5234" w:rsidRPr="00593A5F" w:rsidRDefault="00DF5234" w:rsidP="00DF52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1D96830F" w14:textId="77777777" w:rsidR="00DF5234" w:rsidRPr="00593A5F" w:rsidRDefault="00DF5234" w:rsidP="00DF5234">
      <w:pPr>
        <w:spacing w:after="0" w:line="276" w:lineRule="auto"/>
        <w:jc w:val="both"/>
        <w:rPr>
          <w:rFonts w:ascii="Verdana" w:eastAsia="Calibri" w:hAnsi="Verdana" w:cs="Arial"/>
          <w:color w:val="7030A0"/>
          <w:lang w:val="es-ES"/>
        </w:rPr>
      </w:pPr>
    </w:p>
    <w:p w14:paraId="322E9730" w14:textId="77777777" w:rsidR="00DF5234" w:rsidRDefault="00DF5234" w:rsidP="00DF523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06AE3E1" w14:textId="77777777" w:rsidR="00DF5234" w:rsidRPr="00415608" w:rsidRDefault="00DF5234" w:rsidP="00DF5234">
      <w:pPr>
        <w:spacing w:after="0" w:line="276" w:lineRule="auto"/>
        <w:jc w:val="both"/>
        <w:rPr>
          <w:rFonts w:ascii="Verdana" w:eastAsia="Calibri" w:hAnsi="Verdana" w:cs="Arial"/>
          <w:lang w:val="es-ES"/>
        </w:rPr>
      </w:pPr>
    </w:p>
    <w:p w14:paraId="5FB5079A" w14:textId="77777777" w:rsidR="00DF5234" w:rsidRPr="009E105D" w:rsidRDefault="00DF5234" w:rsidP="00DF5234">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2"/>
      </w:r>
      <w:r w:rsidRPr="009E105D">
        <w:rPr>
          <w:rFonts w:ascii="Verdana" w:eastAsia="Calibri" w:hAnsi="Verdana" w:cs="Arial"/>
        </w:rPr>
        <w:t xml:space="preserve">. </w:t>
      </w:r>
    </w:p>
    <w:p w14:paraId="3EF1891E" w14:textId="77777777" w:rsidR="00DF5234" w:rsidRPr="009E105D" w:rsidRDefault="00DF5234" w:rsidP="00DF5234">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2"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3"/>
      </w:r>
      <w:r w:rsidRPr="009E105D">
        <w:rPr>
          <w:rFonts w:ascii="Verdana" w:eastAsia="Times New Roman" w:hAnsi="Verdana" w:cs="Arial"/>
          <w:lang w:val="es-MX" w:eastAsia="es-CO"/>
        </w:rPr>
        <w:t xml:space="preserve">. En esta medida, introduce limitaciones para realizar nombramientos, postulaciones, </w:t>
      </w:r>
      <w:r w:rsidRPr="009E105D">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2"/>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3262C7F" w14:textId="77777777" w:rsidR="00DF5234" w:rsidRPr="009E105D" w:rsidRDefault="00DF5234" w:rsidP="00DF5234">
      <w:pPr>
        <w:spacing w:after="0" w:line="276" w:lineRule="auto"/>
        <w:ind w:right="709"/>
        <w:contextualSpacing/>
        <w:jc w:val="both"/>
        <w:rPr>
          <w:rFonts w:ascii="Verdana" w:eastAsia="Times New Roman" w:hAnsi="Verdana" w:cs="Arial"/>
          <w:sz w:val="21"/>
          <w:szCs w:val="21"/>
          <w:lang w:val="es-ES" w:eastAsia="es-CO"/>
        </w:rPr>
      </w:pPr>
    </w:p>
    <w:p w14:paraId="7A85F3DA" w14:textId="77777777" w:rsidR="00DF5234" w:rsidRPr="00E066AC" w:rsidRDefault="00DF5234" w:rsidP="00DF5234">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FE8EBBA" w14:textId="77777777" w:rsidR="00DF5234" w:rsidRDefault="00DF5234" w:rsidP="00DF5234">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25A8303D" w14:textId="77777777" w:rsidR="00DF5234" w:rsidRPr="00E066AC" w:rsidRDefault="00DF5234" w:rsidP="00DF5234">
      <w:pPr>
        <w:spacing w:after="120" w:line="240" w:lineRule="auto"/>
        <w:ind w:left="709" w:right="709"/>
        <w:contextualSpacing/>
        <w:jc w:val="both"/>
        <w:rPr>
          <w:rFonts w:ascii="Verdana" w:eastAsia="Times New Roman" w:hAnsi="Verdana" w:cs="Arial"/>
          <w:sz w:val="12"/>
          <w:szCs w:val="12"/>
          <w:lang w:val="es-MX" w:eastAsia="es-CO"/>
        </w:rPr>
      </w:pPr>
    </w:p>
    <w:p w14:paraId="404F5CC4" w14:textId="77777777" w:rsidR="00DF5234" w:rsidRPr="00E066AC" w:rsidRDefault="00DF5234" w:rsidP="00DF5234">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4"/>
      </w:r>
      <w:r w:rsidRPr="00E066AC">
        <w:rPr>
          <w:rFonts w:ascii="Verdana" w:eastAsia="Times New Roman" w:hAnsi="Verdana" w:cs="Arial"/>
          <w:sz w:val="20"/>
          <w:szCs w:val="20"/>
          <w:lang w:val="es-MX" w:eastAsia="es-CO"/>
        </w:rPr>
        <w:t>.</w:t>
      </w:r>
    </w:p>
    <w:p w14:paraId="3FA6A56B" w14:textId="77777777" w:rsidR="00DF5234" w:rsidRPr="009E105D" w:rsidRDefault="00DF5234" w:rsidP="00DF5234">
      <w:pPr>
        <w:spacing w:after="0" w:line="276" w:lineRule="auto"/>
        <w:ind w:left="709" w:right="709"/>
        <w:contextualSpacing/>
        <w:jc w:val="both"/>
        <w:rPr>
          <w:rFonts w:ascii="Verdana" w:eastAsia="Times New Roman" w:hAnsi="Verdana" w:cs="Arial"/>
          <w:sz w:val="21"/>
          <w:szCs w:val="21"/>
          <w:lang w:val="es-MX" w:eastAsia="es-CO"/>
        </w:rPr>
      </w:pPr>
    </w:p>
    <w:p w14:paraId="7724C805" w14:textId="77777777" w:rsidR="00DF5234" w:rsidRPr="009E105D" w:rsidRDefault="00DF5234" w:rsidP="00DF5234">
      <w:pPr>
        <w:spacing w:after="0" w:line="276" w:lineRule="auto"/>
        <w:ind w:firstLine="709"/>
        <w:jc w:val="both"/>
        <w:rPr>
          <w:rFonts w:ascii="Verdana" w:eastAsia="Times New Roman" w:hAnsi="Verdana" w:cs="Arial"/>
          <w:lang w:val="es-MX" w:eastAsia="es-CO"/>
        </w:rPr>
      </w:pPr>
      <w:bookmarkStart w:id="3"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591A52F6" w14:textId="77777777" w:rsidR="00DF5234" w:rsidRPr="009E105D" w:rsidRDefault="00DF5234" w:rsidP="00DF5234">
      <w:pPr>
        <w:spacing w:after="0" w:line="276" w:lineRule="auto"/>
        <w:ind w:firstLine="709"/>
        <w:contextualSpacing/>
        <w:jc w:val="both"/>
        <w:rPr>
          <w:rFonts w:ascii="Verdana" w:eastAsia="Times New Roman" w:hAnsi="Verdana" w:cs="Arial"/>
          <w:lang w:val="es-MX" w:eastAsia="es-CO"/>
        </w:rPr>
      </w:pPr>
    </w:p>
    <w:p w14:paraId="61ED9DD4" w14:textId="77777777" w:rsidR="00DF5234" w:rsidRPr="00E066AC" w:rsidRDefault="00DF5234" w:rsidP="00DF5234">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3CCAE85" w14:textId="77777777" w:rsidR="00DF5234" w:rsidRPr="00E066AC" w:rsidRDefault="00DF5234" w:rsidP="00DF5234">
      <w:pPr>
        <w:spacing w:after="0" w:line="240" w:lineRule="auto"/>
        <w:ind w:right="709"/>
        <w:contextualSpacing/>
        <w:jc w:val="both"/>
        <w:rPr>
          <w:rFonts w:ascii="Verdana" w:eastAsia="Times New Roman" w:hAnsi="Verdana" w:cs="Arial"/>
          <w:sz w:val="12"/>
          <w:szCs w:val="12"/>
          <w:lang w:val="es-MX" w:eastAsia="es-CO"/>
        </w:rPr>
      </w:pPr>
    </w:p>
    <w:p w14:paraId="0E5022B9" w14:textId="77777777" w:rsidR="00DF5234" w:rsidRPr="00E066AC" w:rsidRDefault="00DF5234" w:rsidP="00DF5234">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lastRenderedPageBreak/>
        <w:t>La jurisprudencia de la Corte Constitucional</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7"/>
      </w:r>
      <w:r w:rsidRPr="00E066AC">
        <w:rPr>
          <w:rFonts w:ascii="Verdana" w:eastAsia="Times New Roman" w:hAnsi="Verdana" w:cs="Arial"/>
          <w:sz w:val="20"/>
          <w:szCs w:val="20"/>
          <w:lang w:val="es-MX" w:eastAsia="es-CO"/>
        </w:rPr>
        <w:t>.</w:t>
      </w:r>
    </w:p>
    <w:p w14:paraId="3350D72B" w14:textId="77777777" w:rsidR="00DF5234" w:rsidRPr="009E105D" w:rsidRDefault="00DF5234" w:rsidP="00DF5234">
      <w:pPr>
        <w:spacing w:after="0" w:line="276" w:lineRule="auto"/>
        <w:ind w:right="709"/>
        <w:contextualSpacing/>
        <w:jc w:val="both"/>
        <w:rPr>
          <w:rFonts w:ascii="Verdana" w:eastAsia="Times New Roman" w:hAnsi="Verdana" w:cs="Arial"/>
          <w:sz w:val="21"/>
          <w:szCs w:val="21"/>
          <w:lang w:val="es-MX" w:eastAsia="es-CO"/>
        </w:rPr>
      </w:pPr>
    </w:p>
    <w:p w14:paraId="3F5B5CCB" w14:textId="77777777" w:rsidR="00DF5234" w:rsidRPr="009E105D" w:rsidRDefault="00DF5234" w:rsidP="00DF5234">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4" w:name="_Hlk77236098"/>
      <w:bookmarkStart w:id="5"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2F03BF39" w14:textId="77777777" w:rsidR="00DF5234" w:rsidRPr="009E105D" w:rsidRDefault="00DF5234" w:rsidP="00DF5234">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9E105D">
        <w:rPr>
          <w:rFonts w:ascii="Verdana" w:eastAsia="Calibri" w:hAnsi="Verdana" w:cs="Arial"/>
        </w:rPr>
        <w:lastRenderedPageBreak/>
        <w:t>acciones terroristas, desastres naturales o casos de fuerza mayor, y los que deban realizar las entidades sanitarias y hospitalarias”</w:t>
      </w:r>
      <w:r w:rsidRPr="009E105D">
        <w:rPr>
          <w:rFonts w:ascii="Verdana" w:eastAsia="Calibri" w:hAnsi="Verdana" w:cs="Arial"/>
          <w:vertAlign w:val="superscript"/>
        </w:rPr>
        <w:footnoteReference w:id="8"/>
      </w:r>
      <w:r w:rsidRPr="009E105D">
        <w:rPr>
          <w:rFonts w:ascii="Verdana" w:eastAsia="Calibri" w:hAnsi="Verdana" w:cs="Arial"/>
        </w:rPr>
        <w:t>.</w:t>
      </w:r>
    </w:p>
    <w:p w14:paraId="3DCBC1A1" w14:textId="77777777" w:rsidR="00DF5234" w:rsidRPr="009E105D" w:rsidRDefault="00DF5234" w:rsidP="00DF523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5"/>
      <w:r w:rsidRPr="009E105D">
        <w:rPr>
          <w:rFonts w:ascii="Verdana" w:eastAsia="Calibri" w:hAnsi="Verdana" w:cs="Arial"/>
          <w:sz w:val="19"/>
          <w:szCs w:val="19"/>
          <w:vertAlign w:val="superscript"/>
        </w:rPr>
        <w:footnoteReference w:id="9"/>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4CD001BF" w14:textId="77777777" w:rsidR="00DF5234" w:rsidRPr="009E105D" w:rsidRDefault="00DF5234" w:rsidP="00DF5234">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2DFE86E" w14:textId="77777777" w:rsidR="00DF5234" w:rsidRPr="00E066AC" w:rsidRDefault="00DF5234" w:rsidP="00DF5234">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066AC">
        <w:rPr>
          <w:rFonts w:ascii="Verdana" w:eastAsia="Arial" w:hAnsi="Verdana" w:cs="Arial"/>
          <w:sz w:val="20"/>
          <w:szCs w:val="20"/>
          <w:lang w:val="es-ES" w:eastAsia="es-ES" w:bidi="es-ES"/>
        </w:rPr>
        <w:t>se integran parcialmente</w:t>
      </w:r>
      <w:bookmarkEnd w:id="8"/>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E066AC">
        <w:rPr>
          <w:rFonts w:ascii="Verdana" w:eastAsia="Arial" w:hAnsi="Verdana" w:cs="Arial"/>
          <w:sz w:val="20"/>
          <w:szCs w:val="20"/>
          <w:lang w:val="es-ES" w:eastAsia="es-ES" w:bidi="es-ES"/>
        </w:rPr>
        <w:lastRenderedPageBreak/>
        <w:t xml:space="preserve">del parágrafo del artículo 38. En cambio, para elecciones en general, excluyendo las correspondientes a </w:t>
      </w:r>
      <w:proofErr w:type="gramStart"/>
      <w:r w:rsidRPr="00E066AC">
        <w:rPr>
          <w:rFonts w:ascii="Verdana" w:eastAsia="Arial" w:hAnsi="Verdana" w:cs="Arial"/>
          <w:sz w:val="20"/>
          <w:szCs w:val="20"/>
          <w:lang w:val="es-ES" w:eastAsia="es-ES" w:bidi="es-ES"/>
        </w:rPr>
        <w:t>Presidente</w:t>
      </w:r>
      <w:proofErr w:type="gramEnd"/>
      <w:r w:rsidRPr="00E066AC">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10"/>
      </w:r>
      <w:r w:rsidRPr="00E066AC">
        <w:rPr>
          <w:rFonts w:ascii="Verdana" w:eastAsia="Arial" w:hAnsi="Verdana" w:cs="Arial"/>
          <w:sz w:val="20"/>
          <w:szCs w:val="20"/>
          <w:lang w:val="es-ES" w:eastAsia="es-ES" w:bidi="es-ES"/>
        </w:rPr>
        <w:t>.</w:t>
      </w:r>
    </w:p>
    <w:p w14:paraId="42E4C151" w14:textId="77777777" w:rsidR="00DF5234" w:rsidRPr="009E105D" w:rsidRDefault="00DF5234" w:rsidP="00DF5234">
      <w:pPr>
        <w:widowControl w:val="0"/>
        <w:autoSpaceDE w:val="0"/>
        <w:autoSpaceDN w:val="0"/>
        <w:spacing w:after="0" w:line="276" w:lineRule="auto"/>
        <w:contextualSpacing/>
        <w:rPr>
          <w:rFonts w:ascii="Verdana" w:eastAsia="Arial" w:hAnsi="Verdana" w:cs="Arial"/>
          <w:lang w:val="es-ES" w:eastAsia="es-ES" w:bidi="es-ES"/>
        </w:rPr>
      </w:pPr>
    </w:p>
    <w:p w14:paraId="5CD915D8" w14:textId="77777777" w:rsidR="00DF5234" w:rsidRPr="009E105D" w:rsidRDefault="00DF5234" w:rsidP="00DF5234">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0F27DC02" w14:textId="77777777" w:rsidR="00DF5234" w:rsidRPr="009E105D" w:rsidRDefault="00DF5234" w:rsidP="00DF5234">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072FF8B8" w14:textId="77777777" w:rsidR="00DF5234" w:rsidRDefault="00DF5234" w:rsidP="00DF5234">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meses antes de la elección en primera vuelta, de acuerdo con el artículo 9 de la Ley 996 de 2005. Sin embargo, el </w:t>
      </w:r>
      <w:r w:rsidRPr="009E105D">
        <w:rPr>
          <w:rFonts w:ascii="Verdana" w:eastAsia="Arial" w:hAnsi="Verdana" w:cs="Arial"/>
          <w:lang w:val="es-ES" w:eastAsia="es-ES" w:bidi="es-ES"/>
        </w:rPr>
        <w:lastRenderedPageBreak/>
        <w:t>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566562F7" w14:textId="77777777" w:rsidR="00DF5234" w:rsidRDefault="00DF5234" w:rsidP="00DF5234">
      <w:pPr>
        <w:spacing w:after="0" w:line="276" w:lineRule="auto"/>
        <w:jc w:val="both"/>
        <w:rPr>
          <w:rFonts w:ascii="Verdana" w:eastAsia="Arial" w:hAnsi="Verdana" w:cs="Arial"/>
          <w:lang w:val="es-ES" w:eastAsia="es-ES" w:bidi="es-ES"/>
        </w:rPr>
      </w:pPr>
    </w:p>
    <w:p w14:paraId="0A927972" w14:textId="77777777" w:rsidR="00DF5234" w:rsidRPr="00F8199A" w:rsidRDefault="00DF5234" w:rsidP="00DF5234">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3049CA7B" w14:textId="77777777" w:rsidR="00DF5234" w:rsidRPr="00F8199A" w:rsidRDefault="00DF5234" w:rsidP="00DF5234">
      <w:pPr>
        <w:spacing w:after="0" w:line="276" w:lineRule="auto"/>
        <w:ind w:left="708" w:right="709"/>
        <w:jc w:val="both"/>
        <w:rPr>
          <w:rFonts w:ascii="Verdana" w:hAnsi="Verdana" w:cs="Arial"/>
          <w:lang w:val="es-MX"/>
        </w:rPr>
      </w:pPr>
    </w:p>
    <w:p w14:paraId="19E98FC7" w14:textId="77777777" w:rsidR="00DF5234" w:rsidRPr="00F8199A" w:rsidRDefault="00DF5234" w:rsidP="00DF5234">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1"/>
      </w:r>
      <w:r w:rsidRPr="00F8199A">
        <w:rPr>
          <w:rFonts w:ascii="Verdana" w:hAnsi="Verdana" w:cs="Arial"/>
          <w:sz w:val="20"/>
          <w:szCs w:val="20"/>
          <w:lang w:val="es-MX"/>
        </w:rPr>
        <w:t>.</w:t>
      </w:r>
    </w:p>
    <w:p w14:paraId="303D7686" w14:textId="77777777" w:rsidR="00DF5234" w:rsidRPr="00F8199A" w:rsidRDefault="00DF5234" w:rsidP="00DF5234">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2"/>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3"/>
      </w:r>
      <w:r w:rsidRPr="00F8199A">
        <w:rPr>
          <w:rFonts w:ascii="Verdana" w:hAnsi="Verdana" w:cs="Arial"/>
          <w:sz w:val="20"/>
          <w:szCs w:val="20"/>
          <w:lang w:val="es-MX"/>
        </w:rPr>
        <w:t>.</w:t>
      </w:r>
    </w:p>
    <w:p w14:paraId="40F8B31E" w14:textId="77777777" w:rsidR="00DF5234" w:rsidRPr="00F8199A" w:rsidRDefault="00DF5234" w:rsidP="00DF5234">
      <w:pPr>
        <w:shd w:val="clear" w:color="auto" w:fill="FFFFFF"/>
        <w:spacing w:after="0" w:line="276" w:lineRule="auto"/>
        <w:ind w:firstLine="709"/>
        <w:jc w:val="both"/>
        <w:rPr>
          <w:rFonts w:ascii="Verdana" w:hAnsi="Verdana" w:cs="Arial"/>
          <w:lang w:eastAsia="x-none"/>
        </w:rPr>
      </w:pPr>
    </w:p>
    <w:p w14:paraId="1FFC67D5" w14:textId="77777777" w:rsidR="00DF5234" w:rsidRPr="00F8199A" w:rsidRDefault="00DF5234" w:rsidP="00DF5234">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 xml:space="preserve">cualquier sistema que no implique </w:t>
      </w:r>
      <w:r w:rsidRPr="00F8199A">
        <w:rPr>
          <w:rFonts w:ascii="Verdana" w:hAnsi="Verdana" w:cs="Arial"/>
          <w:lang w:eastAsia="x-none"/>
        </w:rPr>
        <w:lastRenderedPageBreak/>
        <w:t>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5"/>
      </w:r>
      <w:r w:rsidRPr="00F8199A">
        <w:rPr>
          <w:rFonts w:ascii="Verdana" w:hAnsi="Verdana" w:cs="Arial"/>
          <w:lang w:eastAsia="x-none"/>
        </w:rPr>
        <w:t xml:space="preserve">. </w:t>
      </w:r>
    </w:p>
    <w:p w14:paraId="3128195E" w14:textId="77777777" w:rsidR="00DF5234" w:rsidRPr="00F8199A" w:rsidRDefault="00DF5234" w:rsidP="00DF5234">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6"/>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6A61ED75" w14:textId="77777777" w:rsidR="00DF5234" w:rsidRPr="00F8199A" w:rsidRDefault="00DF5234" w:rsidP="00DF5234">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lang w:eastAsia="x-none"/>
        </w:rPr>
        <w:t xml:space="preserve">. </w:t>
      </w:r>
    </w:p>
    <w:p w14:paraId="49DF9831" w14:textId="77777777" w:rsidR="00DF5234" w:rsidRPr="00F8199A" w:rsidRDefault="00DF5234" w:rsidP="00DF5234">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w:t>
      </w:r>
      <w:r w:rsidRPr="00F8199A">
        <w:rPr>
          <w:rFonts w:ascii="Verdana" w:hAnsi="Verdana" w:cs="Arial"/>
          <w:bCs/>
          <w:lang w:val="es-MX" w:eastAsia="es-CO"/>
        </w:rPr>
        <w:lastRenderedPageBreak/>
        <w:t xml:space="preserve">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21DE5EDA" w14:textId="77777777" w:rsidR="00DF5234" w:rsidRPr="00F8199A" w:rsidRDefault="00DF5234" w:rsidP="00DF5234">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8"/>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6AE99CDF" w14:textId="77777777" w:rsidR="00DF5234" w:rsidRPr="00F8199A" w:rsidRDefault="00DF5234" w:rsidP="00DF5234">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1F340263" w14:textId="77777777" w:rsidR="00DF5234" w:rsidRPr="00F8199A" w:rsidRDefault="00DF5234" w:rsidP="00DF5234">
      <w:pPr>
        <w:spacing w:after="120" w:line="276" w:lineRule="auto"/>
        <w:ind w:firstLine="708"/>
        <w:jc w:val="both"/>
        <w:rPr>
          <w:rFonts w:ascii="Verdana" w:hAnsi="Verdana" w:cs="Arial"/>
          <w:bCs/>
          <w:lang w:val="es-MX" w:eastAsia="x-none"/>
        </w:rPr>
      </w:pPr>
      <w:bookmarkStart w:id="12"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2"/>
    </w:p>
    <w:p w14:paraId="294C4EAE" w14:textId="77777777" w:rsidR="00DF5234" w:rsidRPr="00F8199A" w:rsidRDefault="00DF5234" w:rsidP="00DF5234">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w:t>
      </w:r>
      <w:r w:rsidRPr="00F8199A">
        <w:rPr>
          <w:rFonts w:ascii="Verdana" w:hAnsi="Verdana" w:cs="Arial"/>
          <w:bCs/>
          <w:lang w:val="es-MX" w:eastAsia="x-none"/>
        </w:rPr>
        <w:lastRenderedPageBreak/>
        <w:t>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F734452" w14:textId="77777777" w:rsidR="00DF5234" w:rsidRDefault="00DF5234" w:rsidP="00DF5234">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F8199A">
        <w:rPr>
          <w:rFonts w:ascii="Verdana" w:hAnsi="Verdana" w:cs="Arial"/>
          <w:bCs/>
          <w:lang w:val="es-MX" w:eastAsia="x-none"/>
        </w:rPr>
        <w:t xml:space="preserve">que </w:t>
      </w:r>
      <w:r>
        <w:rPr>
          <w:rFonts w:ascii="Verdana" w:hAnsi="Verdana" w:cs="Arial"/>
          <w:bCs/>
          <w:lang w:val="es-MX" w:eastAsia="x-none"/>
        </w:rPr>
        <w:t>“</w:t>
      </w:r>
      <w:bookmarkEnd w:id="13"/>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9"/>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3410F932" w14:textId="77777777" w:rsidR="00DF5234" w:rsidRPr="00F8199A" w:rsidRDefault="00DF5234" w:rsidP="00DF5234">
      <w:pPr>
        <w:spacing w:after="0" w:line="276" w:lineRule="auto"/>
        <w:ind w:firstLine="708"/>
        <w:jc w:val="both"/>
        <w:rPr>
          <w:rFonts w:ascii="Verdana" w:hAnsi="Verdana" w:cs="Arial"/>
          <w:bCs/>
          <w:lang w:val="es-MX" w:eastAsia="x-none"/>
        </w:rPr>
      </w:pPr>
    </w:p>
    <w:p w14:paraId="0A34D34D" w14:textId="77777777" w:rsidR="00DF5234" w:rsidRPr="00A45D99" w:rsidRDefault="00DF5234" w:rsidP="00DF5234">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279AE62C" w14:textId="77777777" w:rsidR="00DF5234" w:rsidRPr="00A45D99" w:rsidRDefault="00DF5234" w:rsidP="00DF5234">
      <w:pPr>
        <w:spacing w:after="0" w:line="276" w:lineRule="auto"/>
        <w:ind w:firstLine="708"/>
        <w:jc w:val="both"/>
        <w:rPr>
          <w:rFonts w:ascii="Verdana" w:hAnsi="Verdana" w:cs="Arial"/>
          <w:bCs/>
          <w:lang w:val="es-MX" w:eastAsia="x-none"/>
        </w:rPr>
      </w:pPr>
    </w:p>
    <w:p w14:paraId="7C7CFE79" w14:textId="77777777" w:rsidR="00DF5234" w:rsidRPr="00A45D99" w:rsidRDefault="00DF5234" w:rsidP="00DF5234">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lastRenderedPageBreak/>
        <w:t xml:space="preserve">“El artículo 33 de la ley 996 de 2005, </w:t>
      </w:r>
      <w:bookmarkStart w:id="15"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20"/>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623B55A6" w14:textId="77777777" w:rsidR="00DF5234" w:rsidRPr="00A45D99" w:rsidRDefault="00DF5234" w:rsidP="00DF5234">
      <w:pPr>
        <w:spacing w:after="0" w:line="276" w:lineRule="auto"/>
        <w:ind w:firstLine="708"/>
        <w:jc w:val="both"/>
        <w:rPr>
          <w:rFonts w:ascii="Verdana" w:hAnsi="Verdana" w:cs="Arial"/>
          <w:bCs/>
          <w:lang w:val="es-MX" w:eastAsia="es-CO"/>
        </w:rPr>
      </w:pPr>
    </w:p>
    <w:p w14:paraId="1951BE83" w14:textId="77777777" w:rsidR="00DF5234" w:rsidRPr="00A45D99" w:rsidRDefault="00DF5234" w:rsidP="00DF5234">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6" w:name="_Hlk75758868"/>
      <w:bookmarkStart w:id="17" w:name="_Hlk75741220"/>
      <w:r w:rsidRPr="00A45D99">
        <w:rPr>
          <w:rFonts w:ascii="Verdana" w:hAnsi="Verdana" w:cs="Arial"/>
          <w:vertAlign w:val="superscript"/>
          <w:lang w:val="es-MX"/>
        </w:rPr>
        <w:footnoteReference w:id="21"/>
      </w:r>
      <w:bookmarkEnd w:id="16"/>
      <w:bookmarkEnd w:id="17"/>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70066F12" w14:textId="77777777" w:rsidR="00DF5234" w:rsidRPr="00A45D99" w:rsidRDefault="00DF5234" w:rsidP="00DF5234">
      <w:pPr>
        <w:spacing w:after="0" w:line="276" w:lineRule="auto"/>
        <w:jc w:val="both"/>
        <w:rPr>
          <w:rFonts w:ascii="Verdana" w:hAnsi="Verdana" w:cs="Arial"/>
          <w:lang w:val="es-MX"/>
        </w:rPr>
      </w:pPr>
    </w:p>
    <w:p w14:paraId="41DFEA51" w14:textId="77777777" w:rsidR="00DF5234" w:rsidRPr="00A45D99" w:rsidRDefault="00DF5234" w:rsidP="00DF5234">
      <w:pPr>
        <w:spacing w:after="0" w:line="240" w:lineRule="auto"/>
        <w:ind w:left="708" w:right="709"/>
        <w:jc w:val="both"/>
        <w:rPr>
          <w:rFonts w:ascii="Verdana" w:hAnsi="Verdana" w:cs="Arial"/>
          <w:sz w:val="20"/>
          <w:szCs w:val="20"/>
          <w:lang w:val="es-MX"/>
        </w:rPr>
      </w:pPr>
      <w:bookmarkStart w:id="19" w:name="_Hlk75811446"/>
      <w:r w:rsidRPr="00A45D99">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w:t>
      </w:r>
      <w:r w:rsidRPr="00A45D99">
        <w:rPr>
          <w:rFonts w:ascii="Verdana" w:hAnsi="Verdana" w:cs="Arial"/>
          <w:sz w:val="20"/>
          <w:szCs w:val="20"/>
          <w:lang w:val="es-MX"/>
        </w:rPr>
        <w:lastRenderedPageBreak/>
        <w:t>administración, que incluso podría desconocer los derechos fundamentales</w:t>
      </w:r>
      <w:bookmarkEnd w:id="19"/>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2"/>
      </w:r>
      <w:r w:rsidRPr="00A45D99">
        <w:rPr>
          <w:rFonts w:ascii="Verdana" w:hAnsi="Verdana" w:cs="Arial"/>
          <w:bCs/>
          <w:sz w:val="20"/>
          <w:szCs w:val="20"/>
          <w:lang w:val="es-MX" w:eastAsia="x-none"/>
        </w:rPr>
        <w:t>.</w:t>
      </w:r>
    </w:p>
    <w:p w14:paraId="462D0B1A" w14:textId="77777777" w:rsidR="00DF5234" w:rsidRPr="00A45D99" w:rsidRDefault="00DF5234" w:rsidP="00DF5234">
      <w:pPr>
        <w:spacing w:after="0" w:line="276" w:lineRule="auto"/>
        <w:jc w:val="both"/>
        <w:rPr>
          <w:rFonts w:ascii="Verdana" w:hAnsi="Verdana" w:cs="Arial"/>
          <w:lang w:val="es-MX"/>
        </w:rPr>
      </w:pPr>
    </w:p>
    <w:p w14:paraId="490FD0F1" w14:textId="77777777" w:rsidR="00DF5234" w:rsidRDefault="00DF5234" w:rsidP="00DF5234">
      <w:pPr>
        <w:spacing w:after="0" w:line="276" w:lineRule="auto"/>
        <w:ind w:firstLine="709"/>
        <w:jc w:val="both"/>
        <w:rPr>
          <w:rFonts w:ascii="Verdana" w:hAnsi="Verdana" w:cs="Arial"/>
          <w:lang w:val="es-MX"/>
        </w:rPr>
      </w:pPr>
      <w:r w:rsidRPr="00A45D99">
        <w:rPr>
          <w:rFonts w:ascii="Verdana" w:hAnsi="Verdana" w:cs="Arial"/>
          <w:lang w:val="es-MX"/>
        </w:rPr>
        <w:t>Aplicando este razonamiento,</w:t>
      </w:r>
      <w:bookmarkStart w:id="20"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3"/>
      </w:r>
      <w:r w:rsidRPr="00A45D99">
        <w:rPr>
          <w:rFonts w:ascii="Verdana" w:hAnsi="Verdana" w:cs="Arial"/>
          <w:lang w:val="es-MX"/>
        </w:rPr>
        <w:t>.</w:t>
      </w:r>
    </w:p>
    <w:p w14:paraId="7ECF87FC" w14:textId="77777777" w:rsidR="00DF5234" w:rsidRPr="00A45D99" w:rsidRDefault="00DF5234" w:rsidP="00DF5234">
      <w:pPr>
        <w:spacing w:after="0" w:line="276" w:lineRule="auto"/>
        <w:ind w:firstLine="709"/>
        <w:jc w:val="both"/>
        <w:rPr>
          <w:rFonts w:ascii="Verdana" w:hAnsi="Verdana" w:cs="Arial"/>
          <w:bCs/>
          <w:lang w:val="es-MX" w:eastAsia="x-none"/>
        </w:rPr>
      </w:pPr>
    </w:p>
    <w:bookmarkEnd w:id="15"/>
    <w:p w14:paraId="7AA0D7F6" w14:textId="77777777" w:rsidR="00DF5234" w:rsidRPr="00B05796" w:rsidRDefault="00DF5234" w:rsidP="00DF5234">
      <w:pPr>
        <w:spacing w:after="120" w:line="276" w:lineRule="auto"/>
        <w:jc w:val="both"/>
        <w:rPr>
          <w:rFonts w:ascii="Verdana" w:hAnsi="Verdana" w:cs="Arial"/>
        </w:rPr>
      </w:pPr>
      <w:r w:rsidRPr="00B05796">
        <w:rPr>
          <w:rFonts w:ascii="Verdana" w:hAnsi="Verdana" w:cs="Arial"/>
          <w:bCs/>
          <w:lang w:val="es-MX" w:eastAsia="x-none"/>
        </w:rPr>
        <w:t xml:space="preserve">iv. </w:t>
      </w:r>
      <w:r w:rsidRPr="00B05796">
        <w:rPr>
          <w:rFonts w:ascii="Verdana" w:hAnsi="Verdana" w:cs="Arial"/>
        </w:rPr>
        <w:t xml:space="preserve">Tratándose de los patrimonios autónomos constituidos por entidades estatales, es necesario tener en cuenta que la naturaleza jurídica del fideicomitente no se traslada </w:t>
      </w:r>
      <w:r w:rsidRPr="00B05796">
        <w:rPr>
          <w:rFonts w:ascii="Verdana" w:hAnsi="Verdana" w:cs="Arial"/>
          <w:i/>
          <w:iCs/>
        </w:rPr>
        <w:t>ipso iure</w:t>
      </w:r>
      <w:r w:rsidRPr="00B05796">
        <w:rPr>
          <w:rFonts w:ascii="Verdana" w:hAnsi="Verdana" w:cs="Arial"/>
        </w:rPr>
        <w:t xml:space="preserve"> a los bienes fideicomitidos que administra la sociedad fiduciaria. Por ello, el inciso primero del artículo 2.5.2.1.1 del Decreto 2555 de 2010 dispone que </w:t>
      </w:r>
      <w:r>
        <w:rPr>
          <w:rFonts w:ascii="Verdana" w:hAnsi="Verdana" w:cs="Arial"/>
        </w:rPr>
        <w:t>“</w:t>
      </w:r>
      <w:r w:rsidRPr="00B05796">
        <w:rPr>
          <w:rFonts w:ascii="Verdana" w:hAnsi="Verdana" w:cs="Arial"/>
        </w:rPr>
        <w:t>[…] aun cuando no son personas jurídicas, se constituyen en receptores de los derechos y obligaciones legales y convencionalmente derivados de los actos y contratos celebrados y ejecutados por el fiduciario en cumplimiento del contrato de fiducia</w:t>
      </w:r>
      <w:r>
        <w:rPr>
          <w:rFonts w:ascii="Verdana" w:hAnsi="Verdana" w:cs="Arial"/>
        </w:rPr>
        <w:t>”</w:t>
      </w:r>
      <w:r w:rsidRPr="00B05796">
        <w:rPr>
          <w:rFonts w:ascii="Verdana" w:hAnsi="Verdana" w:cs="Arial"/>
        </w:rPr>
        <w:t>.</w:t>
      </w:r>
    </w:p>
    <w:p w14:paraId="0789FD85" w14:textId="77777777" w:rsidR="00DF5234" w:rsidRPr="00B05796" w:rsidRDefault="00DF5234" w:rsidP="00DF5234">
      <w:pPr>
        <w:spacing w:after="0" w:line="276" w:lineRule="auto"/>
        <w:ind w:firstLine="709"/>
        <w:jc w:val="both"/>
        <w:rPr>
          <w:rFonts w:ascii="Verdana" w:hAnsi="Verdana" w:cs="Arial"/>
        </w:rPr>
      </w:pPr>
      <w:r w:rsidRPr="00B05796">
        <w:rPr>
          <w:rFonts w:ascii="Verdana" w:hAnsi="Verdana" w:cs="Arial"/>
        </w:rPr>
        <w:t>En esta medida, conforme a los artículos 1226 y 1233 del Código de Comercio, el patrimonio autónomo es un centro de imputación de derechos y obligaciones afecto a la finalidad contemplada en el acto constitutivo, de carácter temporal y totalmente diferente a la persona que lo origina –fiduciante, fideicomitente o constituyente–, quien lo administra –fiduciario– y quien habrá de recibirlo –fideicomisario o beneficiario–. Al respecto, la Superintendencia Financiera considera que:</w:t>
      </w:r>
    </w:p>
    <w:p w14:paraId="53CF8240" w14:textId="77777777" w:rsidR="00DF5234" w:rsidRPr="00B05796" w:rsidRDefault="00DF5234" w:rsidP="00DF5234">
      <w:pPr>
        <w:spacing w:after="0" w:line="276" w:lineRule="auto"/>
        <w:ind w:firstLine="709"/>
        <w:jc w:val="both"/>
        <w:rPr>
          <w:rFonts w:ascii="Verdana" w:hAnsi="Verdana" w:cs="Arial"/>
        </w:rPr>
      </w:pPr>
    </w:p>
    <w:p w14:paraId="5AC4AE29" w14:textId="77777777" w:rsidR="00DF5234" w:rsidRPr="00B05796" w:rsidRDefault="00DF5234" w:rsidP="00DF5234">
      <w:pPr>
        <w:spacing w:after="120" w:line="240" w:lineRule="auto"/>
        <w:ind w:left="709" w:right="709"/>
        <w:jc w:val="both"/>
        <w:rPr>
          <w:rFonts w:ascii="Verdana" w:hAnsi="Verdana" w:cs="Arial"/>
          <w:sz w:val="20"/>
          <w:szCs w:val="20"/>
        </w:rPr>
      </w:pPr>
      <w:r w:rsidRPr="00B05796">
        <w:rPr>
          <w:rFonts w:ascii="Verdana" w:hAnsi="Verdana" w:cs="Arial"/>
          <w:sz w:val="20"/>
          <w:szCs w:val="20"/>
        </w:rPr>
        <w:t xml:space="preserve">“[…] el negocio fiduciario […] supone una transferencia de bienes por parte de un constituyente para que con ellos se cumpla una finalidad. Ese conjunto de bienes transferidos a una fiduciaria es lo que conforma o se denomina patrimonio autónomo. Dichos bienes salen real y jurídicamente </w:t>
      </w:r>
      <w:r w:rsidRPr="00B05796">
        <w:rPr>
          <w:rFonts w:ascii="Verdana" w:hAnsi="Verdana" w:cs="Arial"/>
          <w:sz w:val="20"/>
          <w:szCs w:val="20"/>
        </w:rPr>
        <w:lastRenderedPageBreak/>
        <w:t xml:space="preserve">del patrimonio del fideicomitente (titular del dominio) y están afectos al cumplimiento de las finalidades señaladas en el acto constitutivo. (artículos 1226 a 1244 del C. Co). </w:t>
      </w:r>
    </w:p>
    <w:p w14:paraId="465A3DBA" w14:textId="77777777" w:rsidR="00DF5234" w:rsidRPr="00B05796" w:rsidRDefault="00DF5234" w:rsidP="00DF5234">
      <w:pPr>
        <w:spacing w:after="0" w:line="240" w:lineRule="auto"/>
        <w:ind w:left="709" w:right="709"/>
        <w:jc w:val="both"/>
        <w:rPr>
          <w:rFonts w:ascii="Verdana" w:hAnsi="Verdana" w:cs="Arial"/>
          <w:sz w:val="21"/>
          <w:szCs w:val="21"/>
        </w:rPr>
      </w:pPr>
      <w:r w:rsidRPr="00B05796">
        <w:rPr>
          <w:rFonts w:ascii="Verdana" w:hAnsi="Verdana" w:cs="Arial"/>
          <w:sz w:val="20"/>
          <w:szCs w:val="20"/>
        </w:rPr>
        <w:t>Los bienes recibidos en fideicomiso, es decir que conforman el patrimonio autónomo no pueden confundirse con los bienes del fiduciario, luego deben estar separados de los que integran los activos de la fiduciaria, son excluidos de la garantía general de los acreedores del fiduciario y fideicomitente y garantizan las obligaciones que contraiga el patrimonio autónomo en el logro de la finalidad de la fiducia</w:t>
      </w:r>
      <w:r>
        <w:rPr>
          <w:rFonts w:ascii="Verdana" w:hAnsi="Verdana" w:cs="Arial"/>
          <w:sz w:val="20"/>
          <w:szCs w:val="20"/>
        </w:rPr>
        <w:t>”</w:t>
      </w:r>
      <w:r w:rsidRPr="00B05796">
        <w:rPr>
          <w:rStyle w:val="Refdenotaalpie"/>
          <w:rFonts w:ascii="Verdana" w:hAnsi="Verdana" w:cs="Arial"/>
          <w:sz w:val="20"/>
          <w:szCs w:val="20"/>
        </w:rPr>
        <w:footnoteReference w:id="24"/>
      </w:r>
      <w:r w:rsidRPr="00B05796">
        <w:rPr>
          <w:rFonts w:ascii="Verdana" w:hAnsi="Verdana" w:cs="Arial"/>
          <w:sz w:val="20"/>
          <w:szCs w:val="20"/>
        </w:rPr>
        <w:t>.</w:t>
      </w:r>
      <w:r w:rsidRPr="00B05796">
        <w:rPr>
          <w:rFonts w:ascii="Verdana" w:hAnsi="Verdana" w:cs="Arial"/>
          <w:sz w:val="21"/>
          <w:szCs w:val="21"/>
        </w:rPr>
        <w:t xml:space="preserve"> </w:t>
      </w:r>
    </w:p>
    <w:p w14:paraId="0EFED274" w14:textId="77777777" w:rsidR="00DF5234" w:rsidRPr="00B05796" w:rsidRDefault="00DF5234" w:rsidP="00DF5234">
      <w:pPr>
        <w:spacing w:after="0" w:line="276" w:lineRule="auto"/>
        <w:ind w:left="709" w:right="709"/>
        <w:jc w:val="both"/>
        <w:rPr>
          <w:rFonts w:ascii="Verdana" w:hAnsi="Verdana" w:cs="Arial"/>
        </w:rPr>
      </w:pPr>
      <w:r w:rsidRPr="00B05796">
        <w:rPr>
          <w:rFonts w:ascii="Verdana" w:hAnsi="Verdana" w:cs="Arial"/>
        </w:rPr>
        <w:t xml:space="preserve">   </w:t>
      </w:r>
    </w:p>
    <w:p w14:paraId="60DC635C" w14:textId="77777777" w:rsidR="00DF5234" w:rsidRPr="00B05796" w:rsidRDefault="00DF5234" w:rsidP="00DF5234">
      <w:pPr>
        <w:spacing w:after="120" w:line="276" w:lineRule="auto"/>
        <w:ind w:firstLine="708"/>
        <w:jc w:val="both"/>
        <w:rPr>
          <w:rFonts w:ascii="Verdana" w:hAnsi="Verdana" w:cs="Arial"/>
        </w:rPr>
      </w:pPr>
      <w:r w:rsidRPr="00B05796">
        <w:rPr>
          <w:rFonts w:ascii="Verdana" w:hAnsi="Verdana" w:cs="Arial"/>
        </w:rPr>
        <w:t>De acuerdo con lo anterior, es importante separar los patrimonios del fiduciante y la fiduciaria del patrimonio autónomo constituido con ocasión del contrato de fiducia, puesto que cada uno de ellos deberá responder por sus propias obligaciones. Por tanto, el patrimonio autónomo solo será responsable por las obligaciones que se contraigan por el logro de la finalidad para la cual fue entregado en administración y nunca por las obligaciones derivadas del cumplimiento del objeto social de la entidad fiduciaria ni por las que haya adquirido el fiduciante. En esta medida, los patrimonios autónomos no pueden considerarse como entidades del Estado, pues derivan de negocios fiduciarios conformados por un conjunto de bienes para el cumplimiento de un objetivo específico que se expresa en el acto de constitución.</w:t>
      </w:r>
    </w:p>
    <w:p w14:paraId="01DCBB9C" w14:textId="77777777" w:rsidR="00DF5234" w:rsidRPr="00B05796" w:rsidRDefault="00DF5234" w:rsidP="00DF5234">
      <w:pPr>
        <w:spacing w:after="0" w:line="276" w:lineRule="auto"/>
        <w:ind w:firstLine="708"/>
        <w:jc w:val="both"/>
        <w:rPr>
          <w:rFonts w:ascii="Verdana" w:hAnsi="Verdana" w:cs="Arial"/>
        </w:rPr>
      </w:pPr>
      <w:r w:rsidRPr="00B05796">
        <w:rPr>
          <w:rFonts w:ascii="Verdana" w:hAnsi="Verdana" w:cs="Arial"/>
        </w:rPr>
        <w:t>A pesar que el patrimonio autónomo no es una entidad estatal, ello no justifica por sí solo inaplicar la prohibición del artículo 33 de la Ley de Garantías. Entender lo contrario implicaría que, con el objetivo de eludir la restricción, sería posible celebrar negocios fiduciarios para que el representante del patrimonio autónomo suscribiera los contratos que no pueda adelantar por sí misma la entidad fideicomitente. Esta consecuencia es inaceptable, pues es contraria la finalidad de la Ley de Garantías, razón por la cual la Agencia –en el Concepto 4201713000006681 de 2018– consideró que:</w:t>
      </w:r>
    </w:p>
    <w:p w14:paraId="0C15F477" w14:textId="77777777" w:rsidR="00DF5234" w:rsidRPr="00B05796" w:rsidRDefault="00DF5234" w:rsidP="00DF5234">
      <w:pPr>
        <w:spacing w:after="0" w:line="276" w:lineRule="auto"/>
        <w:ind w:firstLine="708"/>
        <w:jc w:val="both"/>
        <w:rPr>
          <w:rFonts w:ascii="Verdana" w:hAnsi="Verdana" w:cs="Arial"/>
        </w:rPr>
      </w:pPr>
    </w:p>
    <w:p w14:paraId="415033D4" w14:textId="77777777" w:rsidR="00DF5234" w:rsidRPr="00F143C5" w:rsidRDefault="00DF5234" w:rsidP="00DF5234">
      <w:pPr>
        <w:spacing w:after="0" w:line="240" w:lineRule="auto"/>
        <w:ind w:left="709" w:right="709"/>
        <w:jc w:val="both"/>
        <w:rPr>
          <w:rFonts w:ascii="Verdana" w:hAnsi="Verdana" w:cs="Arial"/>
          <w:sz w:val="20"/>
          <w:szCs w:val="20"/>
        </w:rPr>
      </w:pPr>
      <w:r w:rsidRPr="00F143C5">
        <w:rPr>
          <w:rFonts w:ascii="Verdana" w:hAnsi="Verdana" w:cs="Arial"/>
          <w:sz w:val="20"/>
          <w:szCs w:val="20"/>
        </w:rPr>
        <w:t xml:space="preserve">“La constitución de patrimonios autónomos en virtud de una fiducia mercantil no podrá transgredir preceptos legales ni podrán ser instrumentos con los cuales se omitan las restricciones para celebrar contratos a las que se encuentren sujetas las Entidades fideicomitentes, ya que con su constitución no se desnaturalizan los recursos con los cuales se conforma el patrimonio autónomo ni se desvincula el poder de direccionamiento y decisión que podría ejercer el Ente del Estado en la </w:t>
      </w:r>
      <w:r w:rsidRPr="00F143C5">
        <w:rPr>
          <w:rFonts w:ascii="Verdana" w:hAnsi="Verdana" w:cs="Arial"/>
          <w:sz w:val="20"/>
          <w:szCs w:val="20"/>
        </w:rPr>
        <w:lastRenderedPageBreak/>
        <w:t>contratación derivada de dicho patrimonio, capaz de influir en la voluntad del electorado […]”.</w:t>
      </w:r>
    </w:p>
    <w:p w14:paraId="3CE11822" w14:textId="77777777" w:rsidR="00DF5234" w:rsidRPr="00B05796" w:rsidRDefault="00DF5234" w:rsidP="00DF5234">
      <w:pPr>
        <w:spacing w:after="0" w:line="276" w:lineRule="auto"/>
        <w:jc w:val="both"/>
        <w:rPr>
          <w:rFonts w:ascii="Verdana" w:hAnsi="Verdana" w:cs="Arial"/>
        </w:rPr>
      </w:pPr>
    </w:p>
    <w:p w14:paraId="2267AFE3" w14:textId="77777777" w:rsidR="00DF5234" w:rsidRPr="00B05796" w:rsidRDefault="00DF5234" w:rsidP="00DF5234">
      <w:pPr>
        <w:spacing w:after="120" w:line="276" w:lineRule="auto"/>
        <w:ind w:firstLine="708"/>
        <w:jc w:val="both"/>
        <w:rPr>
          <w:rFonts w:ascii="Verdana" w:hAnsi="Verdana" w:cs="Arial"/>
        </w:rPr>
      </w:pPr>
      <w:r w:rsidRPr="00B05796">
        <w:rPr>
          <w:rFonts w:ascii="Verdana" w:hAnsi="Verdana" w:cs="Arial"/>
        </w:rPr>
        <w:t xml:space="preserve">Teniendo en cuenta las preguntas planteadas en la consulta, es necesario recoger esta postura con el fin de ampliar la fundamentación correspondiente. Así, considerando que las restricciones de la Ley de Garantías son de interpretación estricta, la aplicación a otro tipo de sujetos –como las entidades fiduciarias que administran recursos públicos de entidades estatales– debe fundamentarse en las disposiciones que conforman el bloque de legalidad. Esto en la medida que, conforme a las exigencias del debido proceso, no puede existir prohibición sin norma previa.  </w:t>
      </w:r>
    </w:p>
    <w:p w14:paraId="7ED361A4" w14:textId="77777777" w:rsidR="00DF5234" w:rsidRPr="00B05796" w:rsidRDefault="00DF5234" w:rsidP="00DF5234">
      <w:pPr>
        <w:spacing w:after="120" w:line="276" w:lineRule="auto"/>
        <w:ind w:firstLine="708"/>
        <w:jc w:val="both"/>
        <w:rPr>
          <w:rFonts w:ascii="Verdana" w:hAnsi="Verdana" w:cs="Arial"/>
        </w:rPr>
      </w:pPr>
      <w:r w:rsidRPr="00B05796">
        <w:rPr>
          <w:rFonts w:ascii="Verdana" w:hAnsi="Verdana" w:cs="Arial"/>
        </w:rPr>
        <w:t xml:space="preserve">Para estos efectos, tratándose de las entidades sometidas al Estatuto General de Contratación de la Administración Pública, el artículo 32.5, inciso octavo, de la Ley 80 de 1993 dispone lo siguiente: </w:t>
      </w:r>
      <w:r>
        <w:rPr>
          <w:rFonts w:ascii="Verdana" w:hAnsi="Verdana" w:cs="Arial"/>
        </w:rPr>
        <w:t>“</w:t>
      </w:r>
      <w:r w:rsidRPr="00B05796">
        <w:rPr>
          <w:rFonts w:ascii="Verdana" w:hAnsi="Verdana" w:cs="Arial"/>
        </w:rPr>
        <w:t>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w:t>
      </w:r>
      <w:r>
        <w:rPr>
          <w:rFonts w:ascii="Verdana" w:hAnsi="Verdana" w:cs="Arial"/>
        </w:rPr>
        <w:t>”</w:t>
      </w:r>
      <w:r w:rsidRPr="00B05796">
        <w:rPr>
          <w:rFonts w:ascii="Verdana" w:hAnsi="Verdana" w:cs="Arial"/>
        </w:rPr>
        <w:t xml:space="preserve">. Dado que los bienes fideicomitidos no salen del patrimonio de la entidad estatal, la ley exige que la fiduciaria los administre bajo el mismo régimen jurídico del constituyente. </w:t>
      </w:r>
    </w:p>
    <w:p w14:paraId="0E55CA0A" w14:textId="77777777" w:rsidR="00DF5234" w:rsidRPr="00B05796" w:rsidRDefault="00DF5234" w:rsidP="00DF5234">
      <w:pPr>
        <w:spacing w:after="120" w:line="276" w:lineRule="auto"/>
        <w:ind w:firstLine="708"/>
        <w:jc w:val="both"/>
        <w:rPr>
          <w:rFonts w:ascii="Verdana" w:hAnsi="Verdana" w:cs="Arial"/>
        </w:rPr>
      </w:pPr>
      <w:r w:rsidRPr="00B05796">
        <w:rPr>
          <w:rFonts w:ascii="Verdana" w:hAnsi="Verdana" w:cs="Arial"/>
        </w:rPr>
        <w:t xml:space="preserve">Por ello, el inciso quinto </w:t>
      </w:r>
      <w:r w:rsidRPr="00B05796">
        <w:rPr>
          <w:rFonts w:ascii="Verdana" w:hAnsi="Verdana" w:cs="Arial"/>
          <w:i/>
          <w:iCs/>
        </w:rPr>
        <w:t>ibidem</w:t>
      </w:r>
      <w:r w:rsidRPr="00B05796">
        <w:rPr>
          <w:rFonts w:ascii="Verdana" w:hAnsi="Verdana" w:cs="Arial"/>
        </w:rPr>
        <w:t xml:space="preserve"> también prescribe que </w:t>
      </w:r>
      <w:r>
        <w:rPr>
          <w:rFonts w:ascii="Verdana" w:hAnsi="Verdana" w:cs="Arial"/>
        </w:rPr>
        <w:t>“</w:t>
      </w:r>
      <w:r w:rsidRPr="00B05796">
        <w:rPr>
          <w:rFonts w:ascii="Verdana" w:hAnsi="Verdana" w:cs="Arial"/>
        </w:rPr>
        <w:t>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w:t>
      </w:r>
      <w:r>
        <w:rPr>
          <w:rFonts w:ascii="Verdana" w:hAnsi="Verdana" w:cs="Arial"/>
        </w:rPr>
        <w:t>”</w:t>
      </w:r>
      <w:r w:rsidRPr="00B05796">
        <w:rPr>
          <w:rFonts w:ascii="Verdana" w:hAnsi="Verdana" w:cs="Arial"/>
        </w:rPr>
        <w:t xml:space="preserve">. De esta manera, teniendo en cuenta que la prohibición establecida en el artículo 33 de la Ley de Garantías es una norma a la cual están sujetos los contratos que puede celebrar la entidad fideicomitente, la restricción también se extendería a la sociedad fiduciaria en virtud de la disposición indicada, que precisamente extiende distintas disposiciones jurídicas para que resulten aplicables a los actos y contratos que se realicen en desarrollo del contrato de fiducia pública o encargo fiduciario, sin que esta extensión del régimen jurídico se limite a las normas previstas en el EGCAP, sino a las demás señaladas en el inciso citado.  </w:t>
      </w:r>
    </w:p>
    <w:p w14:paraId="0C34A60C" w14:textId="77777777" w:rsidR="00DF5234" w:rsidRPr="00B05796" w:rsidRDefault="00DF5234" w:rsidP="00DF5234">
      <w:pPr>
        <w:spacing w:after="120" w:line="276" w:lineRule="auto"/>
        <w:ind w:firstLine="708"/>
        <w:jc w:val="both"/>
        <w:rPr>
          <w:rFonts w:ascii="Verdana" w:hAnsi="Verdana" w:cs="Arial"/>
        </w:rPr>
      </w:pPr>
      <w:r w:rsidRPr="00B05796">
        <w:rPr>
          <w:rFonts w:ascii="Verdana" w:hAnsi="Verdana" w:cs="Arial"/>
        </w:rPr>
        <w:lastRenderedPageBreak/>
        <w:t>Lo anterior no significa que los patrimonios autónomos constituidos a través de contratos de fiducia mercantil no se rijan por la misma prohibición. En estos casos, especialmente para las entidades exceptuadas de la aplicación del EGCAP que actúen en calidad de constituyentes, es necesario tener en cuenta que el parágrafo d</w:t>
      </w:r>
      <w:bookmarkStart w:id="21" w:name="_Hlk86322055"/>
      <w:r w:rsidRPr="00B05796">
        <w:rPr>
          <w:rFonts w:ascii="Verdana" w:hAnsi="Verdana" w:cs="Arial"/>
        </w:rPr>
        <w:t>el artículo 2.5.2.1.1 del Decreto 2555 de 2010</w:t>
      </w:r>
      <w:bookmarkEnd w:id="21"/>
      <w:r w:rsidRPr="00B05796">
        <w:rPr>
          <w:rFonts w:ascii="Verdana" w:hAnsi="Verdana" w:cs="Arial"/>
        </w:rPr>
        <w:t xml:space="preserve">, </w:t>
      </w:r>
      <w:r>
        <w:rPr>
          <w:rFonts w:ascii="Verdana" w:hAnsi="Verdana" w:cs="Arial"/>
        </w:rPr>
        <w:t>“</w:t>
      </w:r>
      <w:r w:rsidRPr="00B05796">
        <w:rPr>
          <w:rFonts w:ascii="Verdana" w:hAnsi="Verdana" w:cs="Arial"/>
        </w:rPr>
        <w:t>Por el cual se recogen y reexpiden las normas en materia del sector financiero, asegurador y del mercado de valores y se dictan otras disposiciones</w:t>
      </w:r>
      <w:r>
        <w:rPr>
          <w:rFonts w:ascii="Verdana" w:hAnsi="Verdana" w:cs="Arial"/>
        </w:rPr>
        <w:t>”</w:t>
      </w:r>
      <w:r w:rsidRPr="00B05796">
        <w:rPr>
          <w:rFonts w:ascii="Verdana" w:hAnsi="Verdana" w:cs="Arial"/>
        </w:rPr>
        <w:t xml:space="preserve">, establece que </w:t>
      </w:r>
      <w:r>
        <w:rPr>
          <w:rFonts w:ascii="Verdana" w:hAnsi="Verdana" w:cs="Arial"/>
        </w:rPr>
        <w:t>“</w:t>
      </w:r>
      <w:r w:rsidRPr="00B05796">
        <w:rPr>
          <w:rFonts w:ascii="Verdana" w:hAnsi="Verdana" w:cs="Arial"/>
        </w:rPr>
        <w:t>El negocio fiduciario no podrá servir de instrumento para realizar actos o contratos que no pueda celebrar directamente el fideicomitente de acuerdo con las disposiciones legales</w:t>
      </w:r>
      <w:r>
        <w:rPr>
          <w:rFonts w:ascii="Verdana" w:hAnsi="Verdana" w:cs="Arial"/>
        </w:rPr>
        <w:t>”</w:t>
      </w:r>
      <w:r w:rsidRPr="00B05796">
        <w:rPr>
          <w:rFonts w:ascii="Verdana" w:hAnsi="Verdana" w:cs="Arial"/>
        </w:rPr>
        <w:t>. Como se deduce del apartado normativo, esta disposición regula el régimen aplicable a las sociedades fiduciarias, especialmente, los derechos y obligaciones de los actos y contratos celebrados y ejecutados por el fiduciario, por lo que es transversal al ordenamiento jurídico, es decir, aplica en todos los contratos de fiducia con independencia de que el constituyente sea o no una entidad sometida a la Ley 80 de 1993.</w:t>
      </w:r>
    </w:p>
    <w:p w14:paraId="5AD2C79D" w14:textId="77777777" w:rsidR="00DF5234" w:rsidRPr="00B05796" w:rsidRDefault="00DF5234" w:rsidP="00DF5234">
      <w:pPr>
        <w:spacing w:after="120" w:line="276" w:lineRule="auto"/>
        <w:ind w:firstLine="708"/>
        <w:jc w:val="both"/>
        <w:rPr>
          <w:rFonts w:ascii="Verdana" w:hAnsi="Verdana" w:cs="Arial"/>
        </w:rPr>
      </w:pPr>
      <w:r w:rsidRPr="00B05796">
        <w:rPr>
          <w:rFonts w:ascii="Verdana" w:hAnsi="Verdana" w:cs="Arial"/>
        </w:rPr>
        <w:t xml:space="preserve">Esto último se confirma en el inciso noveno del artículo 32.5 de la Ley 80 de 1993, ya que </w:t>
      </w:r>
      <w:r>
        <w:rPr>
          <w:rFonts w:ascii="Verdana" w:hAnsi="Verdana" w:cs="Arial"/>
        </w:rPr>
        <w:t>“</w:t>
      </w:r>
      <w:r w:rsidRPr="00B05796">
        <w:rPr>
          <w:rFonts w:ascii="Verdana" w:hAnsi="Verdana" w:cs="Arial"/>
        </w:rPr>
        <w:t>A la fiducia pública le serán aplicables las normas del Código de Comercio sobre fiducia mercantil, en cuanto sean compatibles con lo dispuesto en esta ley</w:t>
      </w:r>
      <w:r>
        <w:rPr>
          <w:rFonts w:ascii="Verdana" w:hAnsi="Verdana" w:cs="Arial"/>
        </w:rPr>
        <w:t>”</w:t>
      </w:r>
      <w:r w:rsidRPr="00B05796">
        <w:rPr>
          <w:rFonts w:ascii="Verdana" w:hAnsi="Verdana" w:cs="Arial"/>
        </w:rPr>
        <w:t xml:space="preserve">. Por lo demás, aunque los encargos fiduciarios no den lugar a un patrimonio autónomo, el citado artículo 2.5.2.1.1 del Decreto 2555 de 2010 también regula esta clase de negocios, pues –conforme al artículo 146.1 del Estatuto Orgánico del Sistema Financiero– </w:t>
      </w:r>
      <w:r>
        <w:rPr>
          <w:rFonts w:ascii="Verdana" w:hAnsi="Verdana" w:cs="Arial"/>
        </w:rPr>
        <w:t>“</w:t>
      </w:r>
      <w:r w:rsidRPr="00B05796">
        <w:rPr>
          <w:rFonts w:ascii="Verdana" w:hAnsi="Verdana" w:cs="Arial"/>
        </w:rPr>
        <w:t>[…] En relación con los encargos fiduciarios  se aplicarán las disposiciones que regulan el contrato de fiducia mercantil, y subsidiariamente las disposiciones del Código de Comercio que regulan el contrato de mandato, en cuanto unas y otras sean compatibles con la naturaleza propia de estos negocios y no se opongan a las reglas especiales previstas en el presente Estatuto</w:t>
      </w:r>
      <w:r>
        <w:rPr>
          <w:rFonts w:ascii="Verdana" w:hAnsi="Verdana" w:cs="Arial"/>
        </w:rPr>
        <w:t>”</w:t>
      </w:r>
      <w:r w:rsidRPr="00B05796">
        <w:rPr>
          <w:rFonts w:ascii="Verdana" w:hAnsi="Verdana" w:cs="Arial"/>
        </w:rPr>
        <w:t xml:space="preserve">. </w:t>
      </w:r>
    </w:p>
    <w:p w14:paraId="6340C725" w14:textId="77777777" w:rsidR="00DF5234" w:rsidRPr="00B05796" w:rsidRDefault="00DF5234" w:rsidP="00DF5234">
      <w:pPr>
        <w:spacing w:after="0" w:line="276" w:lineRule="auto"/>
        <w:ind w:firstLine="708"/>
        <w:jc w:val="both"/>
        <w:rPr>
          <w:rFonts w:ascii="Verdana" w:hAnsi="Verdana" w:cs="Arial"/>
        </w:rPr>
      </w:pPr>
      <w:r w:rsidRPr="00B05796">
        <w:rPr>
          <w:rFonts w:ascii="Verdana" w:hAnsi="Verdana" w:cs="Arial"/>
        </w:rPr>
        <w:t xml:space="preserve">De esta manera, el artículo 33 de la Ley de Garantías se extiende a las sociedades fiduciarias en virtud del artículo 32.5, inciso quinto, de la Ley 80 de 1993. Con las diferencias en el alcance, de acuerdo con el inciso noveno </w:t>
      </w:r>
      <w:r w:rsidRPr="00B05796">
        <w:rPr>
          <w:rFonts w:ascii="Verdana" w:hAnsi="Verdana" w:cs="Arial"/>
          <w:i/>
          <w:iCs/>
        </w:rPr>
        <w:t>ibidem</w:t>
      </w:r>
      <w:r w:rsidRPr="00B05796">
        <w:rPr>
          <w:rFonts w:ascii="Verdana" w:hAnsi="Verdana" w:cs="Arial"/>
        </w:rPr>
        <w:t xml:space="preserve">, la misma es congruente con el artículo 2.5.2.1.1 del Decreto 2555 de 2010, el cual rige también en los negocios fiduciarios de las entidades exceptuadas de la aplicación del EGCAP. Por tanto, con independencia del régimen jurídico de la entidad fideicomitente, la prohibición de contratación directa durante la vigencia de la Ley de Garantías también les aplica a las fiduciarias que administran los </w:t>
      </w:r>
      <w:r w:rsidRPr="00B05796">
        <w:rPr>
          <w:rFonts w:ascii="Verdana" w:hAnsi="Verdana" w:cs="Arial"/>
        </w:rPr>
        <w:lastRenderedPageBreak/>
        <w:t>recursos públicos de los entes del Estado. En este contexto, se reitera que las sociedades fiduciarias no pueden celebrar los contratos en los que las entidades constituyentes tengan alguna restricción, por lo que no son un instrumento para eludir el artículo 33 de la Ley de Garantías. Como explica la doctrina, dado que están prohibidos los negocios fiduciarios realizados en fraude a la ley, la libertad para suscribirlos:</w:t>
      </w:r>
    </w:p>
    <w:p w14:paraId="4724D2F9" w14:textId="77777777" w:rsidR="00DF5234" w:rsidRPr="00B05796" w:rsidRDefault="00DF5234" w:rsidP="00DF5234">
      <w:pPr>
        <w:spacing w:after="0" w:line="276" w:lineRule="auto"/>
        <w:ind w:firstLine="708"/>
        <w:jc w:val="both"/>
        <w:rPr>
          <w:rFonts w:ascii="Verdana" w:hAnsi="Verdana" w:cs="Arial"/>
        </w:rPr>
      </w:pPr>
      <w:r w:rsidRPr="00B05796">
        <w:rPr>
          <w:rFonts w:ascii="Verdana" w:hAnsi="Verdana" w:cs="Arial"/>
        </w:rPr>
        <w:t xml:space="preserve"> </w:t>
      </w:r>
    </w:p>
    <w:p w14:paraId="6ABE6FF3" w14:textId="77777777" w:rsidR="00DF5234" w:rsidRPr="00F143C5" w:rsidRDefault="00DF5234" w:rsidP="00DF5234">
      <w:pPr>
        <w:spacing w:after="0" w:line="240" w:lineRule="auto"/>
        <w:ind w:left="709" w:right="709"/>
        <w:jc w:val="both"/>
        <w:rPr>
          <w:rFonts w:ascii="Verdana" w:hAnsi="Verdana" w:cs="Arial"/>
          <w:sz w:val="20"/>
          <w:szCs w:val="20"/>
        </w:rPr>
      </w:pPr>
      <w:r w:rsidRPr="00F143C5">
        <w:rPr>
          <w:rFonts w:ascii="Verdana" w:hAnsi="Verdana" w:cs="Arial"/>
          <w:sz w:val="20"/>
          <w:szCs w:val="20"/>
        </w:rPr>
        <w:t>“[…] debe entenderse limitada, de manera natural, por la imposibilidad de buscar a través de un mecanismo oblicuo, la obtención de una finalidad que no sería lícito obtener al fideicomitente, si actuara en forma directa. Y naturalmente, ello implica un análisis teleológico del contrato para saber qué es lo que realmente se busca con él, si la obtención de la finalidad económica que aparentemente se establece como objeto de contrato y carga para el fiduciario o la eliminación, por esa vía, de restricciones o requisitos que vinculados al cumplimiento de normas de tipo imperativo, en las cuales se encuentren ínsitas el orden público o las buenas costumbres, podrían conducir a la celebración de un contrato nulo por objeto ilícito”</w:t>
      </w:r>
      <w:r w:rsidRPr="00F143C5">
        <w:rPr>
          <w:rStyle w:val="Refdenotaalpie"/>
          <w:rFonts w:ascii="Verdana" w:hAnsi="Verdana" w:cs="Arial"/>
          <w:sz w:val="20"/>
          <w:szCs w:val="20"/>
        </w:rPr>
        <w:footnoteReference w:id="25"/>
      </w:r>
      <w:r w:rsidRPr="00F143C5">
        <w:rPr>
          <w:rFonts w:ascii="Verdana" w:hAnsi="Verdana" w:cs="Arial"/>
          <w:sz w:val="20"/>
          <w:szCs w:val="20"/>
        </w:rPr>
        <w:t xml:space="preserve">.  </w:t>
      </w:r>
    </w:p>
    <w:p w14:paraId="26D9A0C9" w14:textId="77777777" w:rsidR="00DF5234" w:rsidRPr="00B05796" w:rsidRDefault="00DF5234" w:rsidP="00DF5234">
      <w:pPr>
        <w:spacing w:after="0" w:line="276" w:lineRule="auto"/>
        <w:jc w:val="both"/>
        <w:rPr>
          <w:rFonts w:ascii="Verdana" w:hAnsi="Verdana" w:cs="Arial"/>
        </w:rPr>
      </w:pPr>
    </w:p>
    <w:p w14:paraId="05F9FAE4" w14:textId="77777777" w:rsidR="00DF5234" w:rsidRDefault="00DF5234" w:rsidP="00DF5234">
      <w:pPr>
        <w:spacing w:after="0" w:line="276" w:lineRule="auto"/>
        <w:ind w:firstLine="708"/>
        <w:jc w:val="both"/>
        <w:rPr>
          <w:rFonts w:ascii="Verdana" w:hAnsi="Verdana" w:cs="Arial"/>
        </w:rPr>
      </w:pPr>
      <w:bookmarkStart w:id="22" w:name="_Hlk77237229"/>
      <w:r w:rsidRPr="00B05796">
        <w:rPr>
          <w:rFonts w:ascii="Verdana" w:hAnsi="Verdana" w:cs="Arial"/>
        </w:rPr>
        <w:t>En resumen, la restricción prevista en la Ley 996 de 200</w:t>
      </w:r>
      <w:bookmarkStart w:id="23" w:name="_Hlk75741539"/>
      <w:r w:rsidRPr="00B05796">
        <w:rPr>
          <w:rFonts w:ascii="Verdana" w:hAnsi="Verdana" w:cs="Arial"/>
        </w:rPr>
        <w:t xml:space="preserve">5, </w:t>
      </w:r>
      <w:r w:rsidRPr="00B05796">
        <w:rPr>
          <w:rFonts w:ascii="Verdana" w:hAnsi="Verdana" w:cs="Arial"/>
          <w:bCs/>
          <w:lang w:eastAsia="x-none"/>
        </w:rPr>
        <w:t>teniendo en cuenta la finalidad de la ley de garantías electorales, cobija a cualquier ente del Estado que, a través de la contratación directa, pueda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bookmarkEnd w:id="22"/>
      <w:bookmarkEnd w:id="23"/>
      <w:r w:rsidRPr="00B05796">
        <w:rPr>
          <w:rFonts w:ascii="Verdana" w:hAnsi="Verdana" w:cs="Arial"/>
          <w:bCs/>
          <w:lang w:eastAsia="x-none"/>
        </w:rPr>
        <w:t xml:space="preserve"> Incluso, de acuerdo con </w:t>
      </w:r>
      <w:r w:rsidRPr="00B05796">
        <w:rPr>
          <w:rFonts w:ascii="Verdana" w:hAnsi="Verdana" w:cs="Arial"/>
        </w:rPr>
        <w:t xml:space="preserve">el artículo 32.5, inciso quinto, de la Ley 80 de 1993 y el artículo 2.5.2.1.1 del Decreto 2555 de 2010, la prohibición también se extiende a las sociedades fiduciarias, frente a los actos y contratos que realicen en desarrollo del negocio fiduciario, con independencia del régimen jurídico de la entidad fideicomitente, razón por la cual no  podría </w:t>
      </w:r>
      <w:proofErr w:type="spellStart"/>
      <w:r w:rsidRPr="00B05796">
        <w:rPr>
          <w:rFonts w:ascii="Verdana" w:hAnsi="Verdana" w:cs="Arial"/>
        </w:rPr>
        <w:t>inaplicarse</w:t>
      </w:r>
      <w:proofErr w:type="spellEnd"/>
      <w:r w:rsidRPr="00B05796">
        <w:rPr>
          <w:rFonts w:ascii="Verdana" w:hAnsi="Verdana" w:cs="Arial"/>
        </w:rPr>
        <w:t xml:space="preserve"> la prohibición establecida en el artículo 33 de la Ley de Garantías Electorales, con la constitución de patrimonios autónomos.</w:t>
      </w:r>
      <w:r>
        <w:rPr>
          <w:rFonts w:ascii="Verdana" w:hAnsi="Verdana" w:cs="Arial"/>
        </w:rPr>
        <w:t xml:space="preserve"> Esto último rige para el contrato de fiducia que debe suscribir el </w:t>
      </w:r>
      <w:r w:rsidRPr="00472BB2">
        <w:rPr>
          <w:rFonts w:ascii="Verdana" w:hAnsi="Verdana" w:cs="Arial"/>
        </w:rPr>
        <w:t>Ministerio de Comercio, Industria y Turismo</w:t>
      </w:r>
      <w:r>
        <w:rPr>
          <w:rFonts w:ascii="Verdana" w:hAnsi="Verdana" w:cs="Arial"/>
        </w:rPr>
        <w:t xml:space="preserve"> con la </w:t>
      </w:r>
      <w:r w:rsidRPr="00472BB2">
        <w:rPr>
          <w:rFonts w:ascii="Verdana" w:hAnsi="Verdana" w:cs="Arial"/>
        </w:rPr>
        <w:lastRenderedPageBreak/>
        <w:t>Fiduciaria Colombiana de Comercio Exterior SA</w:t>
      </w:r>
      <w:r>
        <w:rPr>
          <w:rFonts w:ascii="Verdana" w:hAnsi="Verdana" w:cs="Arial"/>
        </w:rPr>
        <w:t xml:space="preserve">, en los términos del inciso primero del artículo </w:t>
      </w:r>
      <w:r w:rsidRPr="00472BB2">
        <w:rPr>
          <w:rFonts w:ascii="Verdana" w:hAnsi="Verdana" w:cs="Arial"/>
        </w:rPr>
        <w:t>1.3.1.3</w:t>
      </w:r>
      <w:r>
        <w:rPr>
          <w:rFonts w:ascii="Verdana" w:hAnsi="Verdana" w:cs="Arial"/>
        </w:rPr>
        <w:t xml:space="preserve"> del Decreto 1072 de 2015</w:t>
      </w:r>
      <w:r>
        <w:rPr>
          <w:rStyle w:val="Refdenotaalpie"/>
          <w:rFonts w:ascii="Verdana" w:hAnsi="Verdana" w:cs="Arial"/>
        </w:rPr>
        <w:footnoteReference w:id="26"/>
      </w:r>
      <w:r>
        <w:rPr>
          <w:rFonts w:ascii="Verdana" w:hAnsi="Verdana" w:cs="Arial"/>
        </w:rPr>
        <w:t>.</w:t>
      </w:r>
    </w:p>
    <w:p w14:paraId="621AB553" w14:textId="77777777" w:rsidR="00DF5234" w:rsidRPr="00B05796" w:rsidRDefault="00DF5234" w:rsidP="00DF5234">
      <w:pPr>
        <w:spacing w:after="0" w:line="276" w:lineRule="auto"/>
        <w:ind w:firstLine="708"/>
        <w:jc w:val="both"/>
        <w:rPr>
          <w:rFonts w:ascii="Verdana" w:hAnsi="Verdana" w:cs="Arial"/>
          <w:bCs/>
          <w:lang w:val="es-MX" w:eastAsia="x-none"/>
        </w:rPr>
      </w:pPr>
    </w:p>
    <w:p w14:paraId="35AB0958" w14:textId="77777777" w:rsidR="00DF5234" w:rsidRPr="003A380F" w:rsidRDefault="00DF5234" w:rsidP="00DF5234">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D9246C9" w14:textId="77777777" w:rsidR="00DF5234" w:rsidRPr="00185EE9" w:rsidRDefault="00DF5234" w:rsidP="00DF5234">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6FB29AB5" w14:textId="77777777" w:rsidR="00DF5234" w:rsidRPr="00182C89" w:rsidRDefault="00DF5234" w:rsidP="00DF5234">
      <w:pPr>
        <w:tabs>
          <w:tab w:val="left" w:pos="709"/>
        </w:tabs>
        <w:spacing w:after="0" w:line="276" w:lineRule="auto"/>
        <w:jc w:val="both"/>
        <w:rPr>
          <w:rFonts w:ascii="Verdana" w:eastAsia="Calibri" w:hAnsi="Verdana" w:cs="Arial"/>
          <w:color w:val="000000" w:themeColor="text1"/>
        </w:rPr>
      </w:pPr>
    </w:p>
    <w:p w14:paraId="31E5FE2D" w14:textId="77777777" w:rsidR="00DF5234" w:rsidRPr="00593A5F" w:rsidRDefault="00DF5234" w:rsidP="00DF52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F54D7E4" w14:textId="77777777" w:rsidR="00DF5234" w:rsidRPr="00593A5F" w:rsidRDefault="00DF5234" w:rsidP="00DF523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5234" w:rsidRPr="002407CE" w14:paraId="3A6C3A2F" w14:textId="77777777" w:rsidTr="00993118">
        <w:trPr>
          <w:trHeight w:val="870"/>
          <w:jc w:val="center"/>
        </w:trPr>
        <w:tc>
          <w:tcPr>
            <w:tcW w:w="8647" w:type="dxa"/>
          </w:tcPr>
          <w:p w14:paraId="54EB33F9" w14:textId="77777777" w:rsidR="00DF5234"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127 y 197.</w:t>
            </w:r>
          </w:p>
          <w:p w14:paraId="5E35B1BE" w14:textId="77777777" w:rsidR="00DF5234"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32.</w:t>
            </w:r>
          </w:p>
          <w:p w14:paraId="4CF0C181" w14:textId="77777777" w:rsidR="00DF5234"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9, 33 y 38.</w:t>
            </w:r>
          </w:p>
          <w:p w14:paraId="4B3C58E4" w14:textId="77777777" w:rsidR="00DF5234" w:rsidRPr="007523E1"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652AF34D" w14:textId="77777777" w:rsidR="00DF5234" w:rsidRPr="00265693"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663 de 1993, artículo 146.</w:t>
            </w:r>
          </w:p>
          <w:p w14:paraId="3BC4ADF6" w14:textId="77777777" w:rsidR="00DF5234"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lastRenderedPageBreak/>
              <w:t xml:space="preserve">Decreto </w:t>
            </w:r>
            <w:r w:rsidRPr="00265693">
              <w:rPr>
                <w:rFonts w:ascii="Verdana" w:hAnsi="Verdana" w:cs="Arial"/>
                <w:color w:val="000000" w:themeColor="text1"/>
                <w:lang w:val="es-ES_tradnl"/>
              </w:rPr>
              <w:t>2555 de 2010</w:t>
            </w:r>
            <w:r>
              <w:rPr>
                <w:rFonts w:ascii="Verdana" w:hAnsi="Verdana" w:cs="Arial"/>
                <w:color w:val="000000" w:themeColor="text1"/>
                <w:lang w:val="es-ES_tradnl"/>
              </w:rPr>
              <w:t xml:space="preserve">, artículo </w:t>
            </w:r>
            <w:r w:rsidRPr="00265693">
              <w:rPr>
                <w:rFonts w:ascii="Verdana" w:hAnsi="Verdana" w:cs="Arial"/>
                <w:color w:val="000000" w:themeColor="text1"/>
                <w:lang w:val="es-ES_tradnl"/>
              </w:rPr>
              <w:t>2.5.2.1.1</w:t>
            </w:r>
            <w:r>
              <w:rPr>
                <w:rFonts w:ascii="Verdana" w:hAnsi="Verdana" w:cs="Arial"/>
                <w:color w:val="000000" w:themeColor="text1"/>
                <w:lang w:val="es-ES_tradnl"/>
              </w:rPr>
              <w:t>.</w:t>
            </w:r>
          </w:p>
          <w:p w14:paraId="035279CF" w14:textId="77777777" w:rsidR="00DF5234" w:rsidRDefault="00DF5234" w:rsidP="00DF523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472BB2">
              <w:rPr>
                <w:rFonts w:ascii="Verdana" w:hAnsi="Verdana" w:cs="Arial"/>
                <w:color w:val="000000" w:themeColor="text1"/>
                <w:lang w:val="es-ES_tradnl"/>
              </w:rPr>
              <w:t>Decreto 1072 de 2015</w:t>
            </w:r>
            <w:r>
              <w:rPr>
                <w:rFonts w:ascii="Verdana" w:hAnsi="Verdana" w:cs="Arial"/>
                <w:color w:val="000000" w:themeColor="text1"/>
                <w:lang w:val="es-ES_tradnl"/>
              </w:rPr>
              <w:t xml:space="preserve">, artículo </w:t>
            </w:r>
            <w:r w:rsidRPr="00472BB2">
              <w:rPr>
                <w:rFonts w:ascii="Verdana" w:hAnsi="Verdana" w:cs="Arial"/>
                <w:color w:val="000000" w:themeColor="text1"/>
                <w:lang w:val="es-ES_tradnl"/>
              </w:rPr>
              <w:t>1.3.1.3</w:t>
            </w:r>
            <w:r>
              <w:rPr>
                <w:rFonts w:ascii="Verdana" w:hAnsi="Verdana" w:cs="Arial"/>
                <w:color w:val="000000" w:themeColor="text1"/>
                <w:lang w:val="es-ES_tradnl"/>
              </w:rPr>
              <w:t>.</w:t>
            </w:r>
          </w:p>
          <w:p w14:paraId="0E179999" w14:textId="77777777" w:rsidR="00DF5234" w:rsidRPr="00DA543F" w:rsidRDefault="00DF5234" w:rsidP="00DF523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Código de Comercio, artículo 1226 y 1233.</w:t>
            </w:r>
          </w:p>
        </w:tc>
      </w:tr>
    </w:tbl>
    <w:p w14:paraId="6500DF02" w14:textId="77777777" w:rsidR="00DF5234" w:rsidRPr="002407CE" w:rsidRDefault="00DF5234" w:rsidP="00DF5234">
      <w:pPr>
        <w:widowControl w:val="0"/>
        <w:autoSpaceDE w:val="0"/>
        <w:autoSpaceDN w:val="0"/>
        <w:spacing w:after="0" w:line="276" w:lineRule="auto"/>
        <w:jc w:val="both"/>
        <w:rPr>
          <w:rFonts w:ascii="Verdana" w:hAnsi="Verdana" w:cs="Arial"/>
        </w:rPr>
      </w:pPr>
    </w:p>
    <w:p w14:paraId="6D7849EF" w14:textId="77777777" w:rsidR="00DF5234" w:rsidRPr="00593A5F" w:rsidRDefault="00DF5234" w:rsidP="00DF52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AB9397B" w14:textId="77777777" w:rsidR="00DF5234" w:rsidRPr="00593A5F" w:rsidRDefault="00DF5234" w:rsidP="00DF5234">
      <w:pPr>
        <w:widowControl w:val="0"/>
        <w:autoSpaceDE w:val="0"/>
        <w:autoSpaceDN w:val="0"/>
        <w:spacing w:after="0" w:line="276" w:lineRule="auto"/>
        <w:jc w:val="both"/>
        <w:rPr>
          <w:rFonts w:ascii="Verdana" w:hAnsi="Verdana" w:cs="Arial"/>
        </w:rPr>
      </w:pPr>
    </w:p>
    <w:p w14:paraId="6EDEED7C" w14:textId="77777777" w:rsidR="00DF5234" w:rsidRPr="00ED0098" w:rsidRDefault="00DF5234" w:rsidP="00DF5234">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949AB06" w14:textId="77777777" w:rsidR="00DF5234" w:rsidRPr="00096788" w:rsidRDefault="00DF5234" w:rsidP="00DF5234">
      <w:pPr>
        <w:widowControl w:val="0"/>
        <w:autoSpaceDE w:val="0"/>
        <w:autoSpaceDN w:val="0"/>
        <w:spacing w:after="0" w:line="276" w:lineRule="auto"/>
        <w:jc w:val="both"/>
        <w:rPr>
          <w:rFonts w:ascii="Verdana" w:hAnsi="Verdana" w:cs="Arial"/>
          <w:color w:val="000000" w:themeColor="text1"/>
          <w:shd w:val="clear" w:color="auto" w:fill="FFFFFF"/>
        </w:rPr>
      </w:pPr>
    </w:p>
    <w:p w14:paraId="1A33047C" w14:textId="77777777" w:rsidR="00DF5234" w:rsidRPr="00E440FD" w:rsidRDefault="00DF5234" w:rsidP="00DF5234">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23FD3E7" w14:textId="77777777" w:rsidR="00DF5234" w:rsidRDefault="00DF5234" w:rsidP="00DF5234">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55B10A00" w14:textId="77777777" w:rsidR="00DF5234" w:rsidRPr="00116940" w:rsidRDefault="00DF5234" w:rsidP="00DF523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w:t>
      </w:r>
      <w:r w:rsidRPr="00116940">
        <w:rPr>
          <w:rFonts w:ascii="Verdana" w:hAnsi="Verdana"/>
        </w:rPr>
        <w:lastRenderedPageBreak/>
        <w:t xml:space="preserve">peticiones o solicitudes, así como para brindar el apoyo que se requiera en el marco de nuestras funciones a través de nuestros diferentes canales de atención: </w:t>
      </w:r>
    </w:p>
    <w:p w14:paraId="03D98DFA" w14:textId="77777777" w:rsidR="00DF5234" w:rsidRPr="00116940" w:rsidRDefault="00DF5234" w:rsidP="00DF5234">
      <w:pPr>
        <w:spacing w:after="0"/>
        <w:jc w:val="both"/>
        <w:rPr>
          <w:rFonts w:ascii="Verdana" w:hAnsi="Verdana"/>
        </w:rPr>
      </w:pPr>
    </w:p>
    <w:p w14:paraId="4C28597B" w14:textId="77777777" w:rsidR="00DF5234" w:rsidRPr="00116940" w:rsidRDefault="00DF5234" w:rsidP="00DF5234">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2FD9D39" w14:textId="77777777" w:rsidR="00DF5234" w:rsidRPr="00116940" w:rsidRDefault="00DF5234" w:rsidP="00DF5234">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6856FDF" w14:textId="77777777" w:rsidR="00DF5234" w:rsidRPr="00116940" w:rsidRDefault="00DF5234" w:rsidP="00DF523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8218186" w14:textId="77777777" w:rsidR="00DF5234" w:rsidRPr="00116940" w:rsidRDefault="00DF5234" w:rsidP="00DF523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5872BE68" w14:textId="77777777" w:rsidR="00DF5234" w:rsidRPr="00116940" w:rsidRDefault="00DF5234" w:rsidP="00DF5234">
      <w:pPr>
        <w:spacing w:after="0" w:line="240" w:lineRule="auto"/>
        <w:ind w:left="720"/>
        <w:jc w:val="both"/>
        <w:rPr>
          <w:rFonts w:ascii="Verdana" w:hAnsi="Verdana"/>
        </w:rPr>
      </w:pPr>
    </w:p>
    <w:p w14:paraId="44FF759F" w14:textId="77777777" w:rsidR="00DF5234" w:rsidRPr="00116940" w:rsidRDefault="00DF5234" w:rsidP="00DF5234">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7502670" w14:textId="77777777" w:rsidR="00DF5234" w:rsidRPr="00116940" w:rsidRDefault="00DF5234" w:rsidP="00DF5234">
      <w:pPr>
        <w:spacing w:after="0" w:line="240" w:lineRule="auto"/>
        <w:rPr>
          <w:rFonts w:ascii="Verdana" w:hAnsi="Verdana"/>
        </w:rPr>
      </w:pPr>
    </w:p>
    <w:p w14:paraId="78DF49B6" w14:textId="77777777" w:rsidR="00DF5234" w:rsidRPr="00116940" w:rsidRDefault="00DF5234" w:rsidP="00DF5234">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91BBFB5" w14:textId="77777777" w:rsidR="00DF5234" w:rsidRPr="00116940" w:rsidRDefault="00DF5234" w:rsidP="00DF5234">
      <w:pPr>
        <w:spacing w:after="0" w:line="240" w:lineRule="auto"/>
        <w:jc w:val="both"/>
        <w:rPr>
          <w:rFonts w:ascii="Verdana" w:hAnsi="Verdana"/>
        </w:rPr>
      </w:pPr>
    </w:p>
    <w:p w14:paraId="28964E82" w14:textId="77777777" w:rsidR="00DF5234" w:rsidRPr="00116940" w:rsidRDefault="00DF5234" w:rsidP="00DF523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94E9D35" w14:textId="77777777" w:rsidR="00DF5234" w:rsidRPr="00116940" w:rsidRDefault="00DF5234" w:rsidP="00DF523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7F1B4C6" w14:textId="77777777" w:rsidR="00DF5234" w:rsidRPr="00116940" w:rsidRDefault="00DF5234" w:rsidP="00DF523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EB0E473" w14:textId="77777777" w:rsidR="00DF5234" w:rsidRPr="009C4035" w:rsidRDefault="00DF5234" w:rsidP="00DF5234">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338E56D" w14:textId="77777777" w:rsidR="00DF5234" w:rsidRPr="00593A5F" w:rsidRDefault="00DF5234" w:rsidP="00DF523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8C62B50" w14:textId="77777777" w:rsidR="00DF5234" w:rsidRPr="00593A5F" w:rsidRDefault="00DF5234" w:rsidP="00DF5234">
      <w:pPr>
        <w:widowControl w:val="0"/>
        <w:autoSpaceDE w:val="0"/>
        <w:autoSpaceDN w:val="0"/>
        <w:spacing w:after="0" w:line="276" w:lineRule="auto"/>
        <w:jc w:val="both"/>
        <w:rPr>
          <w:rFonts w:ascii="Verdana" w:hAnsi="Verdana" w:cs="Arial"/>
        </w:rPr>
      </w:pPr>
    </w:p>
    <w:p w14:paraId="2578760E" w14:textId="77777777" w:rsidR="00DF5234" w:rsidRPr="00593A5F" w:rsidRDefault="00DF5234" w:rsidP="00DF523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955C756" w14:textId="698AC622" w:rsidR="00DF5234" w:rsidRPr="00593A5F" w:rsidRDefault="00EC32EE" w:rsidP="00DF5234">
      <w:pPr>
        <w:spacing w:line="276" w:lineRule="auto"/>
        <w:jc w:val="center"/>
        <w:rPr>
          <w:rFonts w:ascii="Verdana" w:hAnsi="Verdana" w:cs="Arial"/>
          <w:color w:val="000000"/>
          <w:lang w:val="es-ES_tradnl" w:eastAsia="es-CO"/>
        </w:rPr>
      </w:pPr>
      <w:r>
        <w:rPr>
          <w:noProof/>
        </w:rPr>
        <w:drawing>
          <wp:inline distT="0" distB="0" distL="0" distR="0" wp14:anchorId="0BE008A8" wp14:editId="2CB8C3A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5234" w:rsidRPr="00593A5F" w14:paraId="52278BF4" w14:textId="77777777" w:rsidTr="00993118">
        <w:trPr>
          <w:trHeight w:val="315"/>
        </w:trPr>
        <w:tc>
          <w:tcPr>
            <w:tcW w:w="893" w:type="dxa"/>
            <w:vAlign w:val="center"/>
            <w:hideMark/>
          </w:tcPr>
          <w:p w14:paraId="0ACCF654" w14:textId="77777777" w:rsidR="00DF5234" w:rsidRPr="003751C7" w:rsidRDefault="00DF5234" w:rsidP="00993118">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4129DF3" w14:textId="77777777" w:rsidR="00DF5234" w:rsidRPr="00254A7A" w:rsidRDefault="00DF5234" w:rsidP="0099311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9425E47" w14:textId="77777777" w:rsidR="00DF5234" w:rsidRPr="00254A7A" w:rsidRDefault="00DF5234" w:rsidP="0099311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F5234" w:rsidRPr="00593A5F" w14:paraId="6C3D3B5A" w14:textId="77777777" w:rsidTr="00993118">
        <w:trPr>
          <w:trHeight w:val="330"/>
        </w:trPr>
        <w:tc>
          <w:tcPr>
            <w:tcW w:w="893" w:type="dxa"/>
            <w:vAlign w:val="center"/>
            <w:hideMark/>
          </w:tcPr>
          <w:p w14:paraId="5230F864" w14:textId="77777777" w:rsidR="00DF5234" w:rsidRPr="003751C7" w:rsidRDefault="00DF5234" w:rsidP="0099311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B5EB9F" w14:textId="77777777" w:rsidR="00DF5234" w:rsidRPr="00FE00BE" w:rsidRDefault="00DF5234" w:rsidP="00993118">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4D1CFDB1" w14:textId="77777777" w:rsidR="00DF5234" w:rsidRPr="00FE00BE" w:rsidRDefault="00DF5234" w:rsidP="00993118">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DF5234" w:rsidRPr="00593A5F" w14:paraId="79AFB531" w14:textId="77777777" w:rsidTr="00993118">
        <w:trPr>
          <w:trHeight w:val="300"/>
        </w:trPr>
        <w:tc>
          <w:tcPr>
            <w:tcW w:w="893" w:type="dxa"/>
            <w:vAlign w:val="center"/>
          </w:tcPr>
          <w:p w14:paraId="041AD38D" w14:textId="77777777" w:rsidR="00DF5234" w:rsidRPr="003751C7" w:rsidRDefault="00DF5234" w:rsidP="0099311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327243" w14:textId="77777777" w:rsidR="00DF5234" w:rsidRPr="00FE00BE" w:rsidRDefault="00DF5234" w:rsidP="00993118">
            <w:pPr>
              <w:contextualSpacing/>
              <w:rPr>
                <w:rFonts w:ascii="Verdana" w:eastAsia="Calibri" w:hAnsi="Verdana" w:cs="Arial"/>
                <w:sz w:val="16"/>
                <w:szCs w:val="16"/>
                <w:lang w:val="es-ES" w:eastAsia="es-ES"/>
              </w:rPr>
            </w:pPr>
            <w:r w:rsidRPr="1C6686D3">
              <w:rPr>
                <w:rFonts w:ascii="Verdana" w:eastAsia="Calibri" w:hAnsi="Verdana" w:cs="Arial"/>
                <w:sz w:val="16"/>
                <w:szCs w:val="16"/>
                <w:lang w:val="es-ES" w:eastAsia="es-ES"/>
              </w:rPr>
              <w:t xml:space="preserve">Carolina Quintero </w:t>
            </w:r>
            <w:proofErr w:type="spellStart"/>
            <w:r w:rsidRPr="1C6686D3">
              <w:rPr>
                <w:rFonts w:ascii="Verdana" w:eastAsia="Calibri" w:hAnsi="Verdana" w:cs="Arial"/>
                <w:sz w:val="16"/>
                <w:szCs w:val="16"/>
                <w:lang w:val="es-ES" w:eastAsia="es-ES"/>
              </w:rPr>
              <w:t>Gacharná</w:t>
            </w:r>
            <w:proofErr w:type="spellEnd"/>
          </w:p>
          <w:p w14:paraId="6E5623FE" w14:textId="77777777" w:rsidR="00DF5234" w:rsidRPr="00FE00BE" w:rsidRDefault="00DF5234" w:rsidP="00993118">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64C7049F" w14:textId="77777777" w:rsidR="00DF5234" w:rsidRPr="00543BFE" w:rsidRDefault="00DF5234" w:rsidP="00DF5234"/>
    <w:p w14:paraId="0F293BF4" w14:textId="0639E66E" w:rsidR="00127233" w:rsidRPr="00DF5234" w:rsidRDefault="00127233" w:rsidP="00DF5234"/>
    <w:sectPr w:rsidR="00127233" w:rsidRPr="00DF523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2B797" w14:textId="77777777" w:rsidR="00E57352" w:rsidRDefault="00E57352" w:rsidP="004A1847">
      <w:pPr>
        <w:spacing w:after="0" w:line="240" w:lineRule="auto"/>
      </w:pPr>
      <w:r>
        <w:separator/>
      </w:r>
    </w:p>
  </w:endnote>
  <w:endnote w:type="continuationSeparator" w:id="0">
    <w:p w14:paraId="6967E0A5" w14:textId="77777777" w:rsidR="00E57352" w:rsidRDefault="00E57352" w:rsidP="004A1847">
      <w:pPr>
        <w:spacing w:after="0" w:line="240" w:lineRule="auto"/>
      </w:pPr>
      <w:r>
        <w:continuationSeparator/>
      </w:r>
    </w:p>
  </w:endnote>
  <w:endnote w:type="continuationNotice" w:id="1">
    <w:p w14:paraId="236059FB" w14:textId="77777777" w:rsidR="00E57352" w:rsidRDefault="00E573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CD966" w14:textId="77777777" w:rsidR="00E57352" w:rsidRDefault="00E57352" w:rsidP="004A1847">
      <w:pPr>
        <w:spacing w:after="0" w:line="240" w:lineRule="auto"/>
      </w:pPr>
      <w:r>
        <w:separator/>
      </w:r>
    </w:p>
  </w:footnote>
  <w:footnote w:type="continuationSeparator" w:id="0">
    <w:p w14:paraId="75A233F5" w14:textId="77777777" w:rsidR="00E57352" w:rsidRDefault="00E57352" w:rsidP="004A1847">
      <w:pPr>
        <w:spacing w:after="0" w:line="240" w:lineRule="auto"/>
      </w:pPr>
      <w:r>
        <w:continuationSeparator/>
      </w:r>
    </w:p>
  </w:footnote>
  <w:footnote w:type="continuationNotice" w:id="1">
    <w:p w14:paraId="075D7CD9" w14:textId="77777777" w:rsidR="00E57352" w:rsidRDefault="00E57352">
      <w:pPr>
        <w:spacing w:after="0" w:line="240" w:lineRule="auto"/>
      </w:pPr>
    </w:p>
  </w:footnote>
  <w:footnote w:id="2">
    <w:p w14:paraId="6E9DB35B" w14:textId="77777777" w:rsidR="00DF5234" w:rsidRPr="00B05796" w:rsidRDefault="00DF5234" w:rsidP="00DF5234">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2F69B6D" w14:textId="77777777" w:rsidR="00DF5234" w:rsidRPr="00B05796" w:rsidRDefault="00DF5234" w:rsidP="00DF5234">
      <w:pPr>
        <w:pStyle w:val="Textonotapie"/>
        <w:ind w:firstLine="709"/>
        <w:contextualSpacing/>
        <w:jc w:val="both"/>
        <w:rPr>
          <w:rFonts w:ascii="Verdana" w:hAnsi="Verdana" w:cs="Arial"/>
          <w:sz w:val="16"/>
          <w:szCs w:val="16"/>
        </w:rPr>
      </w:pPr>
      <w:r w:rsidRPr="00B0579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9B577B2" w14:textId="77777777" w:rsidR="00DF5234" w:rsidRPr="00B05796" w:rsidRDefault="00DF5234" w:rsidP="00DF5234">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Gaceta del Congreso de la República No. 71 del 2005.</w:t>
      </w:r>
    </w:p>
  </w:footnote>
  <w:footnote w:id="4">
    <w:p w14:paraId="01BDAC01" w14:textId="77777777" w:rsidR="00DF5234" w:rsidRPr="00B05796" w:rsidRDefault="00DF5234" w:rsidP="00DF5234">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Corte Constitucional, Sentencia C- 1153 de 2005, M.P. Marco Gerardo Monroy Cabra.</w:t>
      </w:r>
    </w:p>
  </w:footnote>
  <w:footnote w:id="5">
    <w:p w14:paraId="647C48A6" w14:textId="77777777" w:rsidR="00DF5234" w:rsidRPr="00B05796" w:rsidRDefault="00DF5234" w:rsidP="00DF5234">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EFC018B" w14:textId="77777777" w:rsidR="00DF5234" w:rsidRPr="00B05796" w:rsidRDefault="00DF5234" w:rsidP="00DF5234">
      <w:pPr>
        <w:pStyle w:val="Textonotapie"/>
        <w:ind w:firstLine="709"/>
        <w:contextualSpacing/>
        <w:jc w:val="both"/>
        <w:rPr>
          <w:rFonts w:ascii="Verdana" w:hAnsi="Verdana" w:cs="Arial"/>
          <w:sz w:val="16"/>
          <w:szCs w:val="16"/>
          <w:lang w:val="es-CO"/>
        </w:rPr>
      </w:pPr>
      <w:r w:rsidRPr="00B05796">
        <w:rPr>
          <w:rStyle w:val="Refdenotaalpie"/>
          <w:rFonts w:ascii="Verdana" w:hAnsi="Verdana" w:cs="Arial"/>
          <w:sz w:val="16"/>
          <w:szCs w:val="16"/>
        </w:rPr>
        <w:footnoteRef/>
      </w:r>
      <w:r w:rsidRPr="00B05796">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4D3F7ED" w14:textId="77777777" w:rsidR="00DF5234" w:rsidRPr="00B05796" w:rsidRDefault="00DF5234" w:rsidP="00DF5234">
      <w:pPr>
        <w:pStyle w:val="Textonotapie"/>
        <w:ind w:firstLine="709"/>
        <w:contextualSpacing/>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de fecha 24 de julio de 2013, radicado 2166, Consejero Ponente: Álvaro Namén Vargas.  </w:t>
      </w:r>
    </w:p>
  </w:footnote>
  <w:footnote w:id="8">
    <w:p w14:paraId="02DB356A" w14:textId="77777777" w:rsidR="00DF5234" w:rsidRPr="00B05796" w:rsidRDefault="00DF5234" w:rsidP="00DF5234">
      <w:pPr>
        <w:spacing w:after="0" w:line="240" w:lineRule="auto"/>
        <w:ind w:firstLine="709"/>
        <w:contextualSpacing/>
        <w:jc w:val="both"/>
        <w:rPr>
          <w:rFonts w:ascii="Verdana" w:eastAsia="Times New Roman"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6" w:name="33"/>
      <w:r w:rsidRPr="00B05796">
        <w:rPr>
          <w:rFonts w:ascii="Verdana" w:eastAsia="Calibri" w:hAnsi="Verdana" w:cs="Arial"/>
          <w:color w:val="000000"/>
          <w:sz w:val="16"/>
          <w:szCs w:val="16"/>
        </w:rPr>
        <w:t>“</w:t>
      </w:r>
      <w:r w:rsidRPr="00B05796">
        <w:rPr>
          <w:rFonts w:ascii="Verdana" w:eastAsia="Times New Roman" w:hAnsi="Verdana" w:cs="Arial"/>
          <w:sz w:val="16"/>
          <w:szCs w:val="16"/>
        </w:rPr>
        <w:t>Artículo 33. Restricciones a la contratación pública.</w:t>
      </w:r>
      <w:bookmarkEnd w:id="6"/>
      <w:r w:rsidRPr="00B0579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E9CCFCB" w14:textId="77777777" w:rsidR="00DF5234" w:rsidRPr="00B05796" w:rsidRDefault="00DF5234" w:rsidP="00DF5234">
      <w:pPr>
        <w:spacing w:after="0" w:line="240" w:lineRule="auto"/>
        <w:ind w:firstLine="709"/>
        <w:contextualSpacing/>
        <w:jc w:val="both"/>
        <w:rPr>
          <w:rFonts w:ascii="Verdana" w:eastAsia="Times New Roman" w:hAnsi="Verdana" w:cs="Arial"/>
          <w:sz w:val="16"/>
          <w:szCs w:val="16"/>
        </w:rPr>
      </w:pPr>
      <w:r w:rsidRPr="00B0579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05796">
        <w:rPr>
          <w:rFonts w:ascii="Verdana" w:eastAsia="Calibri" w:hAnsi="Verdana" w:cs="Arial"/>
          <w:color w:val="000000"/>
          <w:sz w:val="16"/>
          <w:szCs w:val="16"/>
        </w:rPr>
        <w:t>”</w:t>
      </w:r>
      <w:r w:rsidRPr="00B05796">
        <w:rPr>
          <w:rFonts w:ascii="Verdana" w:eastAsia="Times New Roman" w:hAnsi="Verdana" w:cs="Arial"/>
          <w:sz w:val="16"/>
          <w:szCs w:val="16"/>
        </w:rPr>
        <w:t>.</w:t>
      </w:r>
    </w:p>
  </w:footnote>
  <w:footnote w:id="9">
    <w:p w14:paraId="50DC5FA3" w14:textId="77777777" w:rsidR="00DF5234" w:rsidRPr="00B05796" w:rsidRDefault="00DF5234" w:rsidP="00DF5234">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7" w:name="38"/>
      <w:r w:rsidRPr="00B05796">
        <w:rPr>
          <w:rFonts w:ascii="Verdana" w:eastAsia="Calibri" w:hAnsi="Verdana" w:cs="Arial"/>
          <w:color w:val="000000"/>
          <w:sz w:val="16"/>
          <w:szCs w:val="16"/>
        </w:rPr>
        <w:t>“</w:t>
      </w:r>
      <w:r w:rsidRPr="00B05796">
        <w:rPr>
          <w:rFonts w:ascii="Verdana" w:hAnsi="Verdana" w:cs="Arial"/>
          <w:sz w:val="16"/>
          <w:szCs w:val="16"/>
          <w:lang w:val="es-MX"/>
        </w:rPr>
        <w:t>Artículo 38. Prohibiciones para los servidores públicos. A los empleados del Estado les está prohibido:</w:t>
      </w:r>
      <w:bookmarkEnd w:id="7"/>
    </w:p>
    <w:p w14:paraId="314DC63C" w14:textId="77777777" w:rsidR="00DF5234" w:rsidRPr="00B05796" w:rsidRDefault="00DF5234" w:rsidP="00DF5234">
      <w:pPr>
        <w:pStyle w:val="NormalWeb"/>
        <w:spacing w:before="0" w:beforeAutospacing="0" w:after="0" w:afterAutospacing="0"/>
        <w:ind w:firstLine="709"/>
        <w:contextualSpacing/>
        <w:jc w:val="both"/>
        <w:rPr>
          <w:rFonts w:ascii="Verdana" w:hAnsi="Verdana" w:cs="Arial"/>
          <w:sz w:val="16"/>
          <w:szCs w:val="16"/>
          <w:lang w:val="es-MX"/>
        </w:rPr>
      </w:pPr>
      <w:r w:rsidRPr="00B05796">
        <w:rPr>
          <w:rFonts w:ascii="Verdana" w:hAnsi="Verdana" w:cs="Arial"/>
          <w:sz w:val="16"/>
          <w:szCs w:val="16"/>
          <w:lang w:val="es-MX"/>
        </w:rPr>
        <w:t>[…]</w:t>
      </w:r>
    </w:p>
    <w:p w14:paraId="0FBAB35B" w14:textId="77777777" w:rsidR="00DF5234" w:rsidRPr="00B05796" w:rsidRDefault="00DF5234" w:rsidP="00DF5234">
      <w:pPr>
        <w:pStyle w:val="NormalWeb"/>
        <w:spacing w:before="0" w:beforeAutospacing="0" w:after="0" w:afterAutospacing="0"/>
        <w:ind w:firstLine="709"/>
        <w:contextualSpacing/>
        <w:jc w:val="both"/>
        <w:rPr>
          <w:rFonts w:ascii="Verdana" w:hAnsi="Verdana" w:cs="Arial"/>
          <w:sz w:val="16"/>
          <w:szCs w:val="16"/>
          <w:lang w:val="es-MX"/>
        </w:rPr>
      </w:pPr>
      <w:r w:rsidRPr="00B05796">
        <w:rPr>
          <w:rStyle w:val="baj"/>
          <w:rFonts w:ascii="Verdana" w:eastAsiaTheme="minorEastAsia" w:hAnsi="Verdana" w:cs="Arial"/>
          <w:sz w:val="16"/>
          <w:szCs w:val="16"/>
          <w:lang w:val="es-MX"/>
        </w:rPr>
        <w:t>Parágrafo.</w:t>
      </w:r>
      <w:r w:rsidRPr="00B0579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05796">
        <w:rPr>
          <w:rFonts w:ascii="Verdana" w:eastAsia="Calibri" w:hAnsi="Verdana" w:cs="Arial"/>
          <w:color w:val="000000"/>
          <w:sz w:val="16"/>
          <w:szCs w:val="16"/>
        </w:rPr>
        <w:t>”</w:t>
      </w:r>
      <w:r w:rsidRPr="00B05796">
        <w:rPr>
          <w:rFonts w:ascii="Verdana" w:hAnsi="Verdana" w:cs="Arial"/>
          <w:sz w:val="16"/>
          <w:szCs w:val="16"/>
          <w:lang w:val="es-MX"/>
        </w:rPr>
        <w:t>.</w:t>
      </w:r>
    </w:p>
  </w:footnote>
  <w:footnote w:id="10">
    <w:p w14:paraId="087F6F72" w14:textId="77777777" w:rsidR="00DF5234" w:rsidRPr="00B05796" w:rsidRDefault="00DF5234" w:rsidP="00DF5234">
      <w:pPr>
        <w:spacing w:after="0" w:line="240" w:lineRule="auto"/>
        <w:ind w:left="100" w:right="244" w:firstLine="709"/>
        <w:contextualSpacing/>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1BE32389" w14:textId="77777777" w:rsidR="00DF5234" w:rsidRPr="00B05796" w:rsidRDefault="00DF5234" w:rsidP="00DF5234">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[25] </w:t>
      </w:r>
      <w:r w:rsidRPr="00B05796">
        <w:rPr>
          <w:rFonts w:ascii="Verdana" w:hAnsi="Verdana" w:cs="Arial"/>
          <w:sz w:val="16"/>
          <w:szCs w:val="16"/>
        </w:rPr>
        <w:t>Cfr. Consejo de Estado. Sección Tercera. Sentencia de 3 de diciembre de 2007. Radicados: 24.715, 25.206, 25.409, 24.524, 27.834, 25.410, 26.105, 28.244, 31.447 -acumulados-”.</w:t>
      </w:r>
    </w:p>
  </w:footnote>
  <w:footnote w:id="12">
    <w:p w14:paraId="73D6FE4E" w14:textId="77777777" w:rsidR="00DF5234" w:rsidRPr="00B05796" w:rsidRDefault="00DF5234" w:rsidP="00DF5234">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[26] </w:t>
      </w:r>
      <w:r w:rsidRPr="00B05796">
        <w:rPr>
          <w:rFonts w:ascii="Verdana" w:hAnsi="Verdana" w:cs="Arial"/>
          <w:sz w:val="16"/>
          <w:szCs w:val="16"/>
        </w:rPr>
        <w:t>Al respecto ver el concepto 1712 de 2 de febrero de 2006. Consejo de Estado Sala de Consulta y Servicio Civil”.</w:t>
      </w:r>
    </w:p>
  </w:footnote>
  <w:footnote w:id="13">
    <w:p w14:paraId="19E6F7BD" w14:textId="77777777" w:rsidR="00DF5234" w:rsidRPr="00B05796" w:rsidRDefault="00DF5234" w:rsidP="00DF5234">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4CBADBCF" w14:textId="77777777" w:rsidR="00DF5234" w:rsidRPr="00B05796" w:rsidRDefault="00DF5234" w:rsidP="00DF5234">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sz w:val="16"/>
          <w:szCs w:val="16"/>
          <w:lang w:val="es-ES"/>
        </w:rPr>
        <w:t xml:space="preserve">Artículo 2. </w:t>
      </w:r>
    </w:p>
  </w:footnote>
  <w:footnote w:id="15">
    <w:p w14:paraId="378F7F59" w14:textId="77777777" w:rsidR="00DF5234" w:rsidRPr="00B05796" w:rsidRDefault="00DF5234" w:rsidP="00DF5234">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Fonts w:ascii="Verdana" w:hAnsi="Verdana" w:cs="Arial"/>
          <w:sz w:val="16"/>
          <w:szCs w:val="16"/>
        </w:rPr>
        <w:t xml:space="preserve"> </w:t>
      </w:r>
      <w:r w:rsidRPr="00B05796">
        <w:rPr>
          <w:rFonts w:ascii="Verdana" w:hAnsi="Verdana" w:cs="Arial"/>
          <w:i/>
          <w:sz w:val="16"/>
          <w:szCs w:val="16"/>
          <w:lang w:val="es-ES"/>
        </w:rPr>
        <w:t>Ibidem</w:t>
      </w:r>
      <w:r w:rsidRPr="00B05796">
        <w:rPr>
          <w:rFonts w:ascii="Verdana" w:hAnsi="Verdana" w:cs="Arial"/>
          <w:sz w:val="16"/>
          <w:szCs w:val="16"/>
          <w:lang w:val="es-ES"/>
        </w:rPr>
        <w:t>.</w:t>
      </w:r>
    </w:p>
  </w:footnote>
  <w:footnote w:id="16">
    <w:p w14:paraId="1715496F" w14:textId="77777777" w:rsidR="00DF5234" w:rsidRPr="00B05796" w:rsidRDefault="00DF5234" w:rsidP="00DF5234">
      <w:pPr>
        <w:pStyle w:val="Textonotapie"/>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26AEE178" w14:textId="77777777" w:rsidR="00DF5234" w:rsidRPr="00B05796" w:rsidRDefault="00DF5234" w:rsidP="00DF5234">
      <w:pPr>
        <w:shd w:val="clear" w:color="auto" w:fill="FFFFFF"/>
        <w:spacing w:after="0"/>
        <w:ind w:firstLine="709"/>
        <w:jc w:val="both"/>
        <w:rPr>
          <w:rFonts w:ascii="Verdana" w:hAnsi="Verdana" w:cs="Arial"/>
          <w:sz w:val="16"/>
          <w:szCs w:val="16"/>
          <w:lang w:val="es-ES"/>
        </w:rPr>
      </w:pPr>
      <w:r w:rsidRPr="00B05796">
        <w:rPr>
          <w:rStyle w:val="Refdenotaalpie"/>
          <w:rFonts w:ascii="Verdana" w:hAnsi="Verdana" w:cs="Arial"/>
          <w:sz w:val="16"/>
          <w:szCs w:val="16"/>
        </w:rPr>
        <w:footnoteRef/>
      </w:r>
      <w:r w:rsidRPr="00B05796">
        <w:rPr>
          <w:rStyle w:val="Refdenotaalpie"/>
          <w:rFonts w:ascii="Verdana" w:hAnsi="Verdana" w:cs="Arial"/>
          <w:sz w:val="16"/>
          <w:szCs w:val="16"/>
        </w:rPr>
        <w:t xml:space="preserve"> </w:t>
      </w:r>
      <w:r w:rsidRPr="00B05796">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8">
    <w:p w14:paraId="1E0C90A3" w14:textId="77777777" w:rsidR="00DF5234" w:rsidRPr="00B05796" w:rsidRDefault="00DF5234" w:rsidP="00DF5234">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del 08 de mayo de 2018. Exp. 2.382. C.P. Álvaro Namén Vargas.</w:t>
      </w:r>
    </w:p>
  </w:footnote>
  <w:footnote w:id="19">
    <w:p w14:paraId="63158119" w14:textId="77777777" w:rsidR="00DF5234" w:rsidRPr="00B05796" w:rsidRDefault="00DF5234" w:rsidP="00DF5234">
      <w:pPr>
        <w:pStyle w:val="Textonotapie"/>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4B068BA6" w14:textId="77777777" w:rsidR="00DF5234" w:rsidRPr="00B05796" w:rsidRDefault="00DF5234" w:rsidP="00DF5234">
      <w:pPr>
        <w:spacing w:after="0"/>
        <w:ind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55284AE7" w14:textId="77777777" w:rsidR="00DF5234" w:rsidRPr="00B05796" w:rsidRDefault="00DF5234" w:rsidP="00DF5234">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w:t>
      </w:r>
      <w:bookmarkStart w:id="18" w:name="_Hlk75633115"/>
      <w:r w:rsidRPr="00B05796">
        <w:rPr>
          <w:rFonts w:ascii="Verdana" w:hAnsi="Verdana" w:cs="Arial"/>
          <w:sz w:val="16"/>
          <w:szCs w:val="16"/>
        </w:rPr>
        <w:t xml:space="preserve">Consejo de Estado. Sala de Consulta y Servicio Civil. Concepto </w:t>
      </w:r>
      <w:bookmarkEnd w:id="18"/>
      <w:r w:rsidRPr="00B05796">
        <w:rPr>
          <w:rFonts w:ascii="Verdana" w:hAnsi="Verdana" w:cs="Arial"/>
          <w:sz w:val="16"/>
          <w:szCs w:val="16"/>
        </w:rPr>
        <w:t>de 6 de abril de 2006. Radicación Número: 11001-03-06-000-2006-00038-00(1738). Consejero Ponente: Enrique José Arboleda Perdomo:</w:t>
      </w:r>
      <w:r w:rsidRPr="00B05796">
        <w:rPr>
          <w:rFonts w:ascii="Verdana" w:eastAsia="Times New Roman" w:hAnsi="Verdana" w:cs="Arial"/>
          <w:bCs/>
          <w:sz w:val="16"/>
          <w:szCs w:val="16"/>
          <w:lang w:eastAsia="x-none"/>
        </w:rPr>
        <w:t xml:space="preserve"> “</w:t>
      </w:r>
      <w:r w:rsidRPr="00B0579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B05796">
        <w:rPr>
          <w:rFonts w:ascii="Verdana" w:eastAsia="Times New Roman" w:hAnsi="Verdana" w:cs="Arial"/>
          <w:bCs/>
          <w:sz w:val="16"/>
          <w:szCs w:val="16"/>
          <w:lang w:eastAsia="x-none"/>
        </w:rPr>
        <w:t>”.</w:t>
      </w:r>
    </w:p>
  </w:footnote>
  <w:footnote w:id="22">
    <w:p w14:paraId="05CE5378" w14:textId="77777777" w:rsidR="00DF5234" w:rsidRPr="00B05796" w:rsidRDefault="00DF5234" w:rsidP="00DF5234">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3">
    <w:p w14:paraId="5764C403" w14:textId="77777777" w:rsidR="00DF5234" w:rsidRPr="00B05796" w:rsidRDefault="00DF5234" w:rsidP="00DF5234">
      <w:pPr>
        <w:pStyle w:val="Textonotapie"/>
        <w:ind w:right="51" w:firstLine="709"/>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Consejo de Estado. Sala de Consulta y Servicio Civil, </w:t>
      </w:r>
      <w:r w:rsidRPr="00B05796">
        <w:rPr>
          <w:rFonts w:ascii="Verdana" w:hAnsi="Verdana" w:cs="Arial"/>
          <w:i/>
          <w:iCs/>
          <w:sz w:val="16"/>
          <w:szCs w:val="16"/>
        </w:rPr>
        <w:t>ibidem</w:t>
      </w:r>
      <w:r w:rsidRPr="00B05796">
        <w:rPr>
          <w:rFonts w:ascii="Verdana" w:hAnsi="Verdana" w:cs="Arial"/>
          <w:sz w:val="16"/>
          <w:szCs w:val="16"/>
        </w:rPr>
        <w:t>.</w:t>
      </w:r>
    </w:p>
  </w:footnote>
  <w:footnote w:id="24">
    <w:p w14:paraId="4FC08161" w14:textId="77777777" w:rsidR="00DF5234" w:rsidRPr="00B05796" w:rsidRDefault="00DF5234" w:rsidP="00DF5234">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Concepto 2013010362-001 del 18 de marzo de 2013. </w:t>
      </w:r>
      <w:hyperlink r:id="rId1" w:history="1">
        <w:r w:rsidRPr="00B05796">
          <w:rPr>
            <w:rStyle w:val="Hipervnculo"/>
            <w:rFonts w:ascii="Verdana" w:hAnsi="Verdana" w:cs="Arial"/>
            <w:color w:val="44546A" w:themeColor="text2"/>
            <w:sz w:val="16"/>
            <w:szCs w:val="16"/>
          </w:rPr>
          <w:t>https://actualicese.com/concepto-2013010362-001-de-18-03-2013</w:t>
        </w:r>
        <w:r w:rsidRPr="00B05796">
          <w:rPr>
            <w:rStyle w:val="Hipervnculo"/>
            <w:rFonts w:ascii="Verdana" w:hAnsi="Verdana" w:cs="Arial"/>
            <w:sz w:val="16"/>
            <w:szCs w:val="16"/>
          </w:rPr>
          <w:t>/</w:t>
        </w:r>
      </w:hyperlink>
      <w:r w:rsidRPr="00B05796">
        <w:rPr>
          <w:rFonts w:ascii="Verdana" w:hAnsi="Verdana" w:cs="Arial"/>
          <w:sz w:val="16"/>
          <w:szCs w:val="16"/>
        </w:rPr>
        <w:t xml:space="preserve">. </w:t>
      </w:r>
    </w:p>
  </w:footnote>
  <w:footnote w:id="25">
    <w:p w14:paraId="27303B5C" w14:textId="77777777" w:rsidR="00DF5234" w:rsidRPr="00B05796" w:rsidRDefault="00DF5234" w:rsidP="00DF5234">
      <w:pPr>
        <w:pStyle w:val="Textonotapie"/>
        <w:ind w:firstLine="708"/>
        <w:jc w:val="both"/>
        <w:rPr>
          <w:rFonts w:ascii="Verdana" w:hAnsi="Verdana" w:cs="Arial"/>
          <w:sz w:val="16"/>
          <w:szCs w:val="16"/>
        </w:rPr>
      </w:pPr>
      <w:r w:rsidRPr="00B05796">
        <w:rPr>
          <w:rStyle w:val="Refdenotaalpie"/>
          <w:rFonts w:ascii="Verdana" w:hAnsi="Verdana" w:cs="Arial"/>
          <w:sz w:val="16"/>
          <w:szCs w:val="16"/>
        </w:rPr>
        <w:footnoteRef/>
      </w:r>
      <w:r w:rsidRPr="00B05796">
        <w:rPr>
          <w:rFonts w:ascii="Verdana" w:hAnsi="Verdana" w:cs="Arial"/>
          <w:sz w:val="16"/>
          <w:szCs w:val="16"/>
        </w:rPr>
        <w:t xml:space="preserve"> RODRÍGUEZ AZUERO, Sergio. Negocios fiduciarios: su significación en América Latina. Segunda edición. Bogotá: Legis, 2017. p. 227.</w:t>
      </w:r>
    </w:p>
  </w:footnote>
  <w:footnote w:id="26">
    <w:p w14:paraId="0061F917" w14:textId="77777777" w:rsidR="00DF5234" w:rsidRPr="00472BB2" w:rsidRDefault="00DF5234" w:rsidP="00DF5234">
      <w:pPr>
        <w:pStyle w:val="Textonotapie"/>
        <w:ind w:firstLine="708"/>
        <w:jc w:val="both"/>
        <w:rPr>
          <w:rFonts w:ascii="Verdana" w:hAnsi="Verdana"/>
          <w:sz w:val="16"/>
          <w:szCs w:val="16"/>
          <w:lang w:val="es-CO"/>
        </w:rPr>
      </w:pPr>
      <w:r w:rsidRPr="00472BB2">
        <w:rPr>
          <w:rStyle w:val="Refdenotaalpie"/>
          <w:rFonts w:ascii="Verdana" w:hAnsi="Verdana"/>
          <w:sz w:val="16"/>
          <w:szCs w:val="16"/>
        </w:rPr>
        <w:footnoteRef/>
      </w:r>
      <w:r w:rsidRPr="00472BB2">
        <w:rPr>
          <w:rFonts w:ascii="Verdana" w:hAnsi="Verdana"/>
          <w:sz w:val="16"/>
          <w:szCs w:val="16"/>
        </w:rPr>
        <w:t xml:space="preserve"> </w:t>
      </w:r>
      <w:r>
        <w:rPr>
          <w:rFonts w:ascii="Verdana" w:hAnsi="Verdana"/>
          <w:sz w:val="16"/>
          <w:szCs w:val="16"/>
        </w:rPr>
        <w:t>En lo pertinente, la norma dispone que “</w:t>
      </w:r>
      <w:r w:rsidRPr="00472BB2">
        <w:rPr>
          <w:rFonts w:ascii="Verdana" w:hAnsi="Verdana"/>
          <w:sz w:val="16"/>
          <w:szCs w:val="16"/>
        </w:rPr>
        <w:t>El Ministerio de Comercio, Industria y Turismo, celebrará contrato de fiducia mercantil con la Fiduciaria Colombiana de Comercio Exterior S. A. - Fiducoldex S. A., para la administración y operación del patrimonio autónomo iNNpulsa Colombia, así como las condiciones del mismo, con el fin de unificar los patrimonios autónomos iNNpulsa Colombia y Colombia Productiva</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9"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B11"/>
    <w:rsid w:val="00016F78"/>
    <w:rsid w:val="00046945"/>
    <w:rsid w:val="00061B2A"/>
    <w:rsid w:val="00082362"/>
    <w:rsid w:val="000A08C8"/>
    <w:rsid w:val="000A683E"/>
    <w:rsid w:val="000A7657"/>
    <w:rsid w:val="000B19B9"/>
    <w:rsid w:val="000D0334"/>
    <w:rsid w:val="000D5DA7"/>
    <w:rsid w:val="000F6486"/>
    <w:rsid w:val="00116940"/>
    <w:rsid w:val="00125105"/>
    <w:rsid w:val="00127233"/>
    <w:rsid w:val="0015699B"/>
    <w:rsid w:val="00196289"/>
    <w:rsid w:val="001970CC"/>
    <w:rsid w:val="001A1653"/>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E7EDF"/>
    <w:rsid w:val="0030657A"/>
    <w:rsid w:val="00322A85"/>
    <w:rsid w:val="00324168"/>
    <w:rsid w:val="00330834"/>
    <w:rsid w:val="003448F4"/>
    <w:rsid w:val="00362499"/>
    <w:rsid w:val="00373C6A"/>
    <w:rsid w:val="00374F5E"/>
    <w:rsid w:val="0037773D"/>
    <w:rsid w:val="00377E3E"/>
    <w:rsid w:val="003A779E"/>
    <w:rsid w:val="003D0F4D"/>
    <w:rsid w:val="003D5B0D"/>
    <w:rsid w:val="003E0499"/>
    <w:rsid w:val="003E4F80"/>
    <w:rsid w:val="003E6439"/>
    <w:rsid w:val="003F3941"/>
    <w:rsid w:val="00406575"/>
    <w:rsid w:val="00414C74"/>
    <w:rsid w:val="0042722E"/>
    <w:rsid w:val="0044528D"/>
    <w:rsid w:val="00456559"/>
    <w:rsid w:val="00463DAD"/>
    <w:rsid w:val="00466E39"/>
    <w:rsid w:val="00497C19"/>
    <w:rsid w:val="004A1847"/>
    <w:rsid w:val="004A305D"/>
    <w:rsid w:val="004D6793"/>
    <w:rsid w:val="004F21C4"/>
    <w:rsid w:val="004F685F"/>
    <w:rsid w:val="00545838"/>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2154F"/>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163B"/>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6DEA"/>
    <w:rsid w:val="00A122D3"/>
    <w:rsid w:val="00A14468"/>
    <w:rsid w:val="00A17F13"/>
    <w:rsid w:val="00A20739"/>
    <w:rsid w:val="00A23AF9"/>
    <w:rsid w:val="00A33C78"/>
    <w:rsid w:val="00A34FEF"/>
    <w:rsid w:val="00AA0496"/>
    <w:rsid w:val="00AB0ADB"/>
    <w:rsid w:val="00B00C0E"/>
    <w:rsid w:val="00B01B1A"/>
    <w:rsid w:val="00B0381D"/>
    <w:rsid w:val="00B2090A"/>
    <w:rsid w:val="00B44A47"/>
    <w:rsid w:val="00B72CD3"/>
    <w:rsid w:val="00B72FFF"/>
    <w:rsid w:val="00B765DB"/>
    <w:rsid w:val="00BC3D36"/>
    <w:rsid w:val="00BD54A6"/>
    <w:rsid w:val="00BD7F72"/>
    <w:rsid w:val="00BE424F"/>
    <w:rsid w:val="00BF7425"/>
    <w:rsid w:val="00C04FB3"/>
    <w:rsid w:val="00C11D8B"/>
    <w:rsid w:val="00C15139"/>
    <w:rsid w:val="00C330EB"/>
    <w:rsid w:val="00C43956"/>
    <w:rsid w:val="00C50D69"/>
    <w:rsid w:val="00C5365C"/>
    <w:rsid w:val="00C754BE"/>
    <w:rsid w:val="00C76B1C"/>
    <w:rsid w:val="00C925AC"/>
    <w:rsid w:val="00CB6357"/>
    <w:rsid w:val="00CC1B26"/>
    <w:rsid w:val="00D361FD"/>
    <w:rsid w:val="00D423A2"/>
    <w:rsid w:val="00D44E26"/>
    <w:rsid w:val="00D520D8"/>
    <w:rsid w:val="00D52C6F"/>
    <w:rsid w:val="00D63AC2"/>
    <w:rsid w:val="00D66878"/>
    <w:rsid w:val="00D7383B"/>
    <w:rsid w:val="00D7788A"/>
    <w:rsid w:val="00DA231B"/>
    <w:rsid w:val="00DC39FC"/>
    <w:rsid w:val="00DF5234"/>
    <w:rsid w:val="00DF5254"/>
    <w:rsid w:val="00E02524"/>
    <w:rsid w:val="00E16408"/>
    <w:rsid w:val="00E20894"/>
    <w:rsid w:val="00E245AB"/>
    <w:rsid w:val="00E2764C"/>
    <w:rsid w:val="00E27F2E"/>
    <w:rsid w:val="00E50AFE"/>
    <w:rsid w:val="00E57352"/>
    <w:rsid w:val="00E70904"/>
    <w:rsid w:val="00E75C92"/>
    <w:rsid w:val="00E771DC"/>
    <w:rsid w:val="00E8772A"/>
    <w:rsid w:val="00E90F6B"/>
    <w:rsid w:val="00E92C27"/>
    <w:rsid w:val="00E95716"/>
    <w:rsid w:val="00EA0E3D"/>
    <w:rsid w:val="00EC32EE"/>
    <w:rsid w:val="00EC38A7"/>
    <w:rsid w:val="00EC41DD"/>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1C6686D3"/>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523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5234"/>
    <w:rPr>
      <w:rFonts w:ascii="Geomanist Light" w:hAnsi="Geomanist Light"/>
      <w:lang w:val="es-ES"/>
    </w:rPr>
  </w:style>
  <w:style w:type="paragraph" w:styleId="Textoindependiente">
    <w:name w:val="Body Text"/>
    <w:basedOn w:val="Normal"/>
    <w:link w:val="TextoindependienteCar"/>
    <w:uiPriority w:val="99"/>
    <w:unhideWhenUsed/>
    <w:rsid w:val="00DF5234"/>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F5234"/>
    <w:rPr>
      <w:rFonts w:eastAsiaTheme="minorEastAsia"/>
      <w:lang w:eastAsia="es-CO"/>
    </w:rPr>
  </w:style>
  <w:style w:type="character" w:customStyle="1" w:styleId="s15">
    <w:name w:val="s15"/>
    <w:basedOn w:val="Fuentedeprrafopredeter"/>
    <w:rsid w:val="00DF5234"/>
  </w:style>
  <w:style w:type="character" w:customStyle="1" w:styleId="NormalWebCar">
    <w:name w:val="Normal (Web) Car"/>
    <w:link w:val="NormalWeb"/>
    <w:uiPriority w:val="99"/>
    <w:rsid w:val="00DF5234"/>
    <w:rPr>
      <w:rFonts w:ascii="Times New Roman" w:eastAsia="Times New Roman" w:hAnsi="Times New Roman" w:cs="Times New Roman"/>
      <w:sz w:val="24"/>
      <w:szCs w:val="24"/>
      <w:lang w:eastAsia="es-CO"/>
    </w:rPr>
  </w:style>
  <w:style w:type="character" w:customStyle="1" w:styleId="baj">
    <w:name w:val="b_aj"/>
    <w:basedOn w:val="Fuentedeprrafopredeter"/>
    <w:rsid w:val="00DF52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eisy.villamizar@colombiaproductiva.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actualicese.com/concepto-2013010362-001-de-18-03-201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3.xml><?xml version="1.0" encoding="utf-8"?>
<ds:datastoreItem xmlns:ds="http://schemas.openxmlformats.org/officeDocument/2006/customXml" ds:itemID="{B8033D1E-3F59-4C2E-B6E4-C33C6903F19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24</Pages>
  <Words>7881</Words>
  <Characters>43350</Characters>
  <Application>Microsoft Office Word</Application>
  <DocSecurity>0</DocSecurity>
  <Lines>361</Lines>
  <Paragraphs>102</Paragraphs>
  <ScaleCrop>false</ScaleCrop>
  <Company/>
  <LinksUpToDate>false</LinksUpToDate>
  <CharactersWithSpaces>51129</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5570608</vt:i4>
      </vt:variant>
      <vt:variant>
        <vt:i4>0</vt:i4>
      </vt:variant>
      <vt:variant>
        <vt:i4>0</vt:i4>
      </vt:variant>
      <vt:variant>
        <vt:i4>5</vt:i4>
      </vt:variant>
      <vt:variant>
        <vt:lpwstr>mailto:deisy.villamizar@colombiaproductiva.com</vt:lpwstr>
      </vt:variant>
      <vt:variant>
        <vt:lpwstr/>
      </vt:variant>
      <vt:variant>
        <vt:i4>6619199</vt:i4>
      </vt:variant>
      <vt:variant>
        <vt:i4>0</vt:i4>
      </vt:variant>
      <vt:variant>
        <vt:i4>0</vt:i4>
      </vt:variant>
      <vt:variant>
        <vt:i4>5</vt:i4>
      </vt:variant>
      <vt:variant>
        <vt:lpwstr>https://actualicese.com/concepto-2013010362-001-de-18-03-2013/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2025-11-06T14:57:00Z</dcterms:created>
  <dcterms:modified xsi:type="dcterms:W3CDTF">2025-11-07T00:21:00Z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