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91E02" w14:textId="70CDE259" w:rsidR="00056CD6" w:rsidRPr="00056CD6" w:rsidRDefault="00056CD6" w:rsidP="00056CD6">
      <w:pPr>
        <w:pStyle w:val="Textoindependiente"/>
        <w:contextualSpacing/>
        <w:jc w:val="both"/>
        <w:rPr>
          <w:b/>
        </w:rPr>
      </w:pPr>
      <w:bookmarkStart w:id="0" w:name="_Hlk143780582"/>
      <w:r w:rsidRPr="00056CD6">
        <w:rPr>
          <w:b/>
        </w:rPr>
        <w:t>SELECCIÓN OBJETIVA ― Noción y factores de escogencia</w:t>
      </w:r>
    </w:p>
    <w:p w14:paraId="6DF6F19A" w14:textId="77777777" w:rsidR="00056CD6" w:rsidRPr="00056CD6" w:rsidRDefault="00056CD6" w:rsidP="00056CD6">
      <w:pPr>
        <w:pStyle w:val="Textoindependiente"/>
        <w:contextualSpacing/>
        <w:jc w:val="both"/>
        <w:rPr>
          <w:b/>
        </w:rPr>
      </w:pPr>
    </w:p>
    <w:p w14:paraId="43AEE8D4" w14:textId="6378282E" w:rsidR="00056CD6" w:rsidRPr="00193326" w:rsidRDefault="00056CD6" w:rsidP="00056CD6">
      <w:pPr>
        <w:pStyle w:val="Textoindependiente"/>
        <w:contextualSpacing/>
        <w:jc w:val="both"/>
        <w:rPr>
          <w:rFonts w:cs="Arial"/>
          <w:color w:val="000000" w:themeColor="text1"/>
          <w:sz w:val="20"/>
          <w:szCs w:val="20"/>
          <w:lang w:val="es-ES_tradnl"/>
        </w:rPr>
      </w:pPr>
      <w:r w:rsidRPr="00193326">
        <w:rPr>
          <w:rFonts w:cs="Arial"/>
          <w:color w:val="000000" w:themeColor="text1"/>
          <w:sz w:val="20"/>
          <w:szCs w:val="20"/>
          <w:lang w:val="es-ES_tradnl"/>
        </w:rPr>
        <w:t>[…] se considera objetiva la selección en la cual la escogencia se haga al ofrecimiento más favorable a la Entidad y a los fines que ella busca, sin tener en consideración factores de afecto o de interés y, en general, cualquier clase de motivación subjetiva</w:t>
      </w:r>
      <w:r w:rsidRPr="00193326">
        <w:rPr>
          <w:rFonts w:cs="Arial"/>
          <w:i/>
          <w:iCs/>
          <w:color w:val="000000" w:themeColor="text1"/>
          <w:sz w:val="20"/>
          <w:szCs w:val="20"/>
          <w:lang w:val="es-ES_tradnl"/>
        </w:rPr>
        <w:t>.</w:t>
      </w:r>
      <w:r w:rsidRPr="00193326">
        <w:rPr>
          <w:rFonts w:cs="Arial"/>
          <w:color w:val="000000" w:themeColor="text1"/>
          <w:sz w:val="20"/>
          <w:szCs w:val="20"/>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w:t>
      </w:r>
    </w:p>
    <w:p w14:paraId="623BFE1C" w14:textId="77777777" w:rsidR="00193326" w:rsidRPr="00193326" w:rsidRDefault="00193326" w:rsidP="00056CD6">
      <w:pPr>
        <w:pStyle w:val="Textoindependiente"/>
        <w:contextualSpacing/>
        <w:jc w:val="both"/>
        <w:rPr>
          <w:rFonts w:cs="Arial"/>
          <w:color w:val="000000" w:themeColor="text1"/>
          <w:sz w:val="20"/>
          <w:szCs w:val="20"/>
          <w:lang w:val="es-ES_tradnl"/>
        </w:rPr>
      </w:pPr>
    </w:p>
    <w:p w14:paraId="6F1A0CBE" w14:textId="6013D18E" w:rsidR="00056CD6" w:rsidRPr="00193326" w:rsidRDefault="00056CD6" w:rsidP="00056CD6">
      <w:pPr>
        <w:pStyle w:val="Textoindependiente"/>
        <w:contextualSpacing/>
        <w:jc w:val="both"/>
        <w:rPr>
          <w:rFonts w:cs="Arial"/>
          <w:color w:val="000000" w:themeColor="text1"/>
          <w:sz w:val="20"/>
          <w:szCs w:val="20"/>
          <w:lang w:val="es-ES_tradnl"/>
        </w:rPr>
      </w:pPr>
      <w:r w:rsidRPr="00193326">
        <w:rPr>
          <w:rFonts w:cs="Arial"/>
          <w:color w:val="000000" w:themeColor="text1"/>
          <w:sz w:val="20"/>
          <w:szCs w:val="20"/>
          <w:lang w:val="es-ES_tradnl"/>
        </w:rPr>
        <w:t>[…]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07305796" w14:textId="77777777" w:rsidR="00056CD6" w:rsidRPr="00056CD6" w:rsidRDefault="00056CD6" w:rsidP="00056CD6">
      <w:pPr>
        <w:pStyle w:val="Textoindependiente"/>
        <w:contextualSpacing/>
        <w:jc w:val="both"/>
        <w:rPr>
          <w:b/>
        </w:rPr>
      </w:pPr>
    </w:p>
    <w:p w14:paraId="76A71A69" w14:textId="4B20EBE5" w:rsidR="00056CD6" w:rsidRPr="004B7931" w:rsidRDefault="00056CD6" w:rsidP="00056CD6">
      <w:pPr>
        <w:pStyle w:val="Textoindependiente"/>
        <w:contextualSpacing/>
        <w:jc w:val="both"/>
        <w:rPr>
          <w:b/>
          <w:bCs/>
        </w:rPr>
      </w:pPr>
      <w:r w:rsidRPr="00056CD6">
        <w:rPr>
          <w:b/>
        </w:rPr>
        <w:t>REQUISITOS HABILITANTES DE LA LEY 1150 DE 2007 ― Carácter enunciativo</w:t>
      </w:r>
      <w:r w:rsidR="004B7931" w:rsidRPr="004B7931">
        <w:rPr>
          <w:rFonts w:eastAsia="Calibri" w:cs="Arial"/>
          <w:lang w:eastAsia="es-ES_tradnl"/>
        </w:rPr>
        <w:t xml:space="preserve"> </w:t>
      </w:r>
      <w:r w:rsidR="004B7931">
        <w:rPr>
          <w:rFonts w:eastAsia="Calibri" w:cs="Arial"/>
          <w:lang w:eastAsia="es-ES_tradnl"/>
        </w:rPr>
        <w:t xml:space="preserve">- </w:t>
      </w:r>
      <w:r w:rsidR="004B7931" w:rsidRPr="004B7931">
        <w:rPr>
          <w:rFonts w:eastAsia="Calibri" w:cs="Arial"/>
          <w:b/>
          <w:bCs/>
          <w:lang w:eastAsia="es-ES_tradnl"/>
        </w:rPr>
        <w:t>Proporcionalidad y adecuación</w:t>
      </w:r>
    </w:p>
    <w:p w14:paraId="4969FD9D" w14:textId="77777777" w:rsidR="00933A01" w:rsidRDefault="00933A01" w:rsidP="001A677F">
      <w:pPr>
        <w:pStyle w:val="Textoindependiente"/>
        <w:contextualSpacing/>
        <w:jc w:val="both"/>
        <w:rPr>
          <w:rFonts w:eastAsia="Times New Roman" w:cs="Arial"/>
          <w:lang w:val="es-ES_tradnl" w:eastAsia="es-MX"/>
        </w:rPr>
      </w:pPr>
    </w:p>
    <w:p w14:paraId="1063F7E7" w14:textId="4DEE48C1" w:rsidR="001A677F" w:rsidRPr="00193326" w:rsidRDefault="00056CD6" w:rsidP="00933A01">
      <w:pPr>
        <w:pStyle w:val="Textoindependiente"/>
        <w:contextualSpacing/>
        <w:jc w:val="both"/>
        <w:rPr>
          <w:rFonts w:eastAsia="Times New Roman" w:cs="Arial"/>
          <w:sz w:val="20"/>
          <w:szCs w:val="20"/>
          <w:lang w:val="es-ES_tradnl" w:eastAsia="es-MX"/>
        </w:rPr>
      </w:pPr>
      <w:r w:rsidRPr="00193326">
        <w:rPr>
          <w:rFonts w:eastAsia="Times New Roman" w:cs="Arial"/>
          <w:sz w:val="20"/>
          <w:szCs w:val="20"/>
          <w:lang w:val="es-ES_tradnl" w:eastAsia="es-MX"/>
        </w:rPr>
        <w:t>La Agencia Nacional de Contratación Pública – Colombia Compra Eficiente ha defendido el carácter 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628BB421" w14:textId="77777777" w:rsidR="000741E8" w:rsidRPr="00193326" w:rsidRDefault="000741E8" w:rsidP="00933A01">
      <w:pPr>
        <w:pStyle w:val="Textoindependiente"/>
        <w:contextualSpacing/>
        <w:jc w:val="both"/>
        <w:rPr>
          <w:rFonts w:eastAsia="Times New Roman" w:cs="Arial"/>
          <w:sz w:val="20"/>
          <w:szCs w:val="20"/>
          <w:lang w:val="es-ES_tradnl" w:eastAsia="es-MX"/>
        </w:rPr>
      </w:pPr>
    </w:p>
    <w:p w14:paraId="66F2C72C" w14:textId="6E253A50" w:rsidR="00056CD6" w:rsidRPr="00193326" w:rsidRDefault="001A677F" w:rsidP="00056CD6">
      <w:pPr>
        <w:pStyle w:val="Textoindependiente"/>
        <w:contextualSpacing/>
        <w:jc w:val="both"/>
        <w:rPr>
          <w:rFonts w:eastAsia="Times New Roman" w:cs="Arial"/>
          <w:bCs/>
          <w:sz w:val="20"/>
          <w:szCs w:val="20"/>
          <w:lang w:val="es-ES_tradnl" w:eastAsia="es-MX" w:bidi="es-ES"/>
        </w:rPr>
      </w:pPr>
      <w:r w:rsidRPr="00193326">
        <w:rPr>
          <w:rFonts w:eastAsia="Times New Roman" w:cs="Arial"/>
          <w:sz w:val="20"/>
          <w:szCs w:val="20"/>
          <w:lang w:val="es-ES_tradnl" w:eastAsia="es-MX"/>
        </w:rPr>
        <w:t>[…]</w:t>
      </w:r>
      <w:r w:rsidR="000714DC" w:rsidRPr="00193326">
        <w:rPr>
          <w:rFonts w:eastAsia="Times New Roman" w:cs="Arial"/>
          <w:sz w:val="20"/>
          <w:szCs w:val="20"/>
          <w:lang w:val="es-ES_tradnl" w:eastAsia="es-MX"/>
        </w:rPr>
        <w:t xml:space="preserve"> </w:t>
      </w:r>
      <w:r w:rsidR="000714DC" w:rsidRPr="00193326">
        <w:rPr>
          <w:rFonts w:eastAsia="Times New Roman" w:cs="Arial"/>
          <w:bCs/>
          <w:sz w:val="20"/>
          <w:szCs w:val="20"/>
          <w:lang w:val="es-ES_tradnl" w:eastAsia="es-MX" w:bidi="es-ES"/>
        </w:rPr>
        <w:t xml:space="preserve">En especial, señala la Ley que los criterios habilitantes que determine la Entidad deberán ser </w:t>
      </w:r>
      <w:r w:rsidR="000714DC" w:rsidRPr="00193326">
        <w:rPr>
          <w:rFonts w:eastAsia="Times New Roman" w:cs="Arial"/>
          <w:bCs/>
          <w:i/>
          <w:iCs/>
          <w:sz w:val="20"/>
          <w:szCs w:val="20"/>
          <w:lang w:val="es-ES_tradnl" w:eastAsia="es-MX" w:bidi="es-ES"/>
        </w:rPr>
        <w:t>adecuados y proporcionales</w:t>
      </w:r>
      <w:r w:rsidR="000714DC" w:rsidRPr="00193326">
        <w:rPr>
          <w:rFonts w:eastAsia="Times New Roman" w:cs="Arial"/>
          <w:bCs/>
          <w:sz w:val="20"/>
          <w:szCs w:val="20"/>
          <w:lang w:val="es-ES_tradnl" w:eastAsia="es-MX"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r w:rsidRPr="00193326">
        <w:rPr>
          <w:rFonts w:eastAsia="Times New Roman" w:cs="Arial"/>
          <w:sz w:val="20"/>
          <w:szCs w:val="20"/>
          <w:lang w:val="es-ES_tradnl" w:eastAsia="es-MX"/>
        </w:rPr>
        <w:t xml:space="preserve"> </w:t>
      </w:r>
      <w:r w:rsidR="00933A01" w:rsidRPr="00193326">
        <w:rPr>
          <w:rFonts w:eastAsia="Times New Roman" w:cs="Arial"/>
          <w:sz w:val="20"/>
          <w:szCs w:val="20"/>
          <w:lang w:eastAsia="es-MX"/>
        </w:rPr>
        <w:t>[…]</w:t>
      </w:r>
    </w:p>
    <w:p w14:paraId="64BAD977" w14:textId="77777777" w:rsidR="00313CC3" w:rsidRDefault="00313CC3" w:rsidP="00313CC3">
      <w:pPr>
        <w:spacing w:after="0" w:line="240" w:lineRule="auto"/>
        <w:rPr>
          <w:rFonts w:ascii="Verdana" w:hAnsi="Verdana"/>
        </w:rPr>
      </w:pPr>
    </w:p>
    <w:p w14:paraId="787F1A01" w14:textId="494A1545" w:rsidR="00313CC3" w:rsidRPr="0076474D" w:rsidRDefault="0076474D" w:rsidP="00313CC3">
      <w:pPr>
        <w:spacing w:after="0" w:line="240" w:lineRule="auto"/>
        <w:rPr>
          <w:rFonts w:ascii="Verdana" w:hAnsi="Verdana"/>
          <w:b/>
        </w:rPr>
      </w:pPr>
      <w:r w:rsidRPr="0076474D">
        <w:rPr>
          <w:rFonts w:ascii="Verdana" w:eastAsia="Calibri" w:hAnsi="Verdana" w:cs="Arial"/>
          <w:b/>
          <w:lang w:val="es-ES" w:eastAsia="es-ES_tradnl"/>
        </w:rPr>
        <w:t>ESTABLECIMIENTO DE COMERCIO – Definición – Requisito habilitante</w:t>
      </w:r>
    </w:p>
    <w:p w14:paraId="04F8A215" w14:textId="77777777" w:rsidR="009A5105" w:rsidRDefault="009A5105" w:rsidP="009A5105">
      <w:pPr>
        <w:spacing w:after="0" w:line="240" w:lineRule="auto"/>
        <w:rPr>
          <w:rFonts w:ascii="Verdana" w:hAnsi="Verdana"/>
        </w:rPr>
      </w:pPr>
    </w:p>
    <w:p w14:paraId="68CA32D5" w14:textId="452D512C" w:rsidR="0076474D" w:rsidRPr="00193326" w:rsidRDefault="0076474D" w:rsidP="0076474D">
      <w:pPr>
        <w:spacing w:after="0" w:line="240" w:lineRule="auto"/>
        <w:jc w:val="both"/>
        <w:rPr>
          <w:rFonts w:ascii="Verdana" w:hAnsi="Verdana"/>
          <w:sz w:val="20"/>
          <w:szCs w:val="20"/>
        </w:rPr>
      </w:pPr>
      <w:r w:rsidRPr="00193326">
        <w:rPr>
          <w:rFonts w:ascii="Verdana" w:hAnsi="Verdana"/>
          <w:sz w:val="20"/>
          <w:szCs w:val="20"/>
        </w:rPr>
        <w:t>El establecimiento de comercio es el instrumento del que se vale el empresario para cumplir los fines de su empresa y por medio del cual se realiza la actividad organizada. La doctrina lo define como el conjunto de bienes materiales e inmateriales organizados para una finalidad económica en el que la organización adquiere un significado fundamental como factor aglutinante de los elementos que integran la hacienda, teniendo en cuenta la función económica a la que están destinados todos: la producción o distribución de bienes y servicios en el mercado</w:t>
      </w:r>
      <w:r w:rsidR="0028183F" w:rsidRPr="00193326">
        <w:rPr>
          <w:rFonts w:ascii="Verdana" w:hAnsi="Verdana"/>
          <w:sz w:val="20"/>
          <w:szCs w:val="20"/>
        </w:rPr>
        <w:t>.</w:t>
      </w:r>
    </w:p>
    <w:p w14:paraId="06D7682D" w14:textId="77777777" w:rsidR="0028183F" w:rsidRPr="00193326" w:rsidRDefault="0028183F" w:rsidP="0076474D">
      <w:pPr>
        <w:spacing w:after="0" w:line="240" w:lineRule="auto"/>
        <w:jc w:val="both"/>
        <w:rPr>
          <w:rFonts w:ascii="Verdana" w:hAnsi="Verdana"/>
          <w:sz w:val="20"/>
          <w:szCs w:val="20"/>
        </w:rPr>
      </w:pPr>
    </w:p>
    <w:p w14:paraId="0254AB49" w14:textId="77777777" w:rsidR="0028183F" w:rsidRPr="0028183F" w:rsidRDefault="0028183F" w:rsidP="0028183F">
      <w:pPr>
        <w:spacing w:after="0" w:line="240" w:lineRule="auto"/>
        <w:jc w:val="both"/>
        <w:rPr>
          <w:rFonts w:ascii="Verdana" w:hAnsi="Verdana"/>
          <w:sz w:val="20"/>
          <w:szCs w:val="20"/>
        </w:rPr>
      </w:pPr>
      <w:r w:rsidRPr="0028183F">
        <w:rPr>
          <w:rFonts w:ascii="Verdana" w:hAnsi="Verdana"/>
          <w:sz w:val="20"/>
          <w:szCs w:val="20"/>
        </w:rPr>
        <w:lastRenderedPageBreak/>
        <w:t>En este contexto, en principio no se advierte la viabilidad de exigir la existencia de un establecimiento de comercio o “local” propio como condición habilitante para la ejecución de un contrato de suministro. No obstante, debido a que la entidad cuenta con discrecionalidad para determinar los requisitos habilitantes, resulta indispensable analizar dicho requerimiento a la luz de las condiciones técnicas específicas del contrato y si constituye un requisito estrictamente indispensable para garantizar el adecuado desarrollo del objeto contractual y la correcta prestación del servicio.</w:t>
      </w:r>
    </w:p>
    <w:p w14:paraId="51D731BD" w14:textId="77777777" w:rsidR="0028183F" w:rsidRDefault="0028183F" w:rsidP="0076474D">
      <w:pPr>
        <w:spacing w:after="0" w:line="240" w:lineRule="auto"/>
        <w:jc w:val="both"/>
        <w:rPr>
          <w:rFonts w:ascii="Verdana" w:hAnsi="Verdana"/>
        </w:rPr>
      </w:pPr>
    </w:p>
    <w:p w14:paraId="00834C7F" w14:textId="77777777" w:rsidR="0076474D" w:rsidRDefault="0076474D" w:rsidP="009A5105">
      <w:pPr>
        <w:spacing w:after="0" w:line="240" w:lineRule="auto"/>
        <w:rPr>
          <w:rFonts w:ascii="Verdana" w:hAnsi="Verdana"/>
        </w:rPr>
      </w:pPr>
    </w:p>
    <w:p w14:paraId="69651C91" w14:textId="77777777" w:rsidR="001A66B4" w:rsidRDefault="001A66B4" w:rsidP="009A5105">
      <w:pPr>
        <w:spacing w:after="0" w:line="240" w:lineRule="auto"/>
        <w:rPr>
          <w:rFonts w:ascii="Verdana" w:hAnsi="Verdana"/>
        </w:rPr>
      </w:pPr>
    </w:p>
    <w:p w14:paraId="657A79CF" w14:textId="77777777" w:rsidR="001A66B4" w:rsidRDefault="001A66B4" w:rsidP="009A5105">
      <w:pPr>
        <w:spacing w:after="0" w:line="240" w:lineRule="auto"/>
        <w:rPr>
          <w:rFonts w:ascii="Verdana" w:hAnsi="Verdana"/>
        </w:rPr>
      </w:pPr>
    </w:p>
    <w:p w14:paraId="5FD2300F" w14:textId="77777777" w:rsidR="001A66B4" w:rsidRDefault="001A66B4" w:rsidP="009A5105">
      <w:pPr>
        <w:spacing w:after="0" w:line="240" w:lineRule="auto"/>
        <w:rPr>
          <w:rFonts w:ascii="Verdana" w:hAnsi="Verdana"/>
        </w:rPr>
      </w:pPr>
    </w:p>
    <w:p w14:paraId="670C6A31" w14:textId="77777777" w:rsidR="001A66B4" w:rsidRDefault="001A66B4" w:rsidP="009A5105">
      <w:pPr>
        <w:spacing w:after="0" w:line="240" w:lineRule="auto"/>
        <w:rPr>
          <w:rFonts w:ascii="Verdana" w:hAnsi="Verdana"/>
        </w:rPr>
      </w:pPr>
    </w:p>
    <w:p w14:paraId="1AE1DF52" w14:textId="77777777" w:rsidR="001A66B4" w:rsidRDefault="001A66B4" w:rsidP="009A5105">
      <w:pPr>
        <w:spacing w:after="0" w:line="240" w:lineRule="auto"/>
        <w:rPr>
          <w:rFonts w:ascii="Verdana" w:hAnsi="Verdana"/>
        </w:rPr>
      </w:pPr>
    </w:p>
    <w:p w14:paraId="681E3214" w14:textId="77777777" w:rsidR="001A66B4" w:rsidRDefault="001A66B4" w:rsidP="009A5105">
      <w:pPr>
        <w:spacing w:after="0" w:line="240" w:lineRule="auto"/>
        <w:rPr>
          <w:rFonts w:ascii="Verdana" w:hAnsi="Verdana"/>
        </w:rPr>
      </w:pPr>
    </w:p>
    <w:p w14:paraId="2542D67B" w14:textId="77777777" w:rsidR="001A66B4" w:rsidRDefault="001A66B4" w:rsidP="009A5105">
      <w:pPr>
        <w:spacing w:after="0" w:line="240" w:lineRule="auto"/>
        <w:rPr>
          <w:rFonts w:ascii="Verdana" w:hAnsi="Verdana"/>
        </w:rPr>
      </w:pPr>
    </w:p>
    <w:p w14:paraId="5848122B" w14:textId="77777777" w:rsidR="001A66B4" w:rsidRDefault="001A66B4" w:rsidP="009A5105">
      <w:pPr>
        <w:spacing w:after="0" w:line="240" w:lineRule="auto"/>
        <w:rPr>
          <w:rFonts w:ascii="Verdana" w:hAnsi="Verdana"/>
        </w:rPr>
      </w:pPr>
    </w:p>
    <w:p w14:paraId="44114B4C" w14:textId="77777777" w:rsidR="001A66B4" w:rsidRDefault="001A66B4" w:rsidP="009A5105">
      <w:pPr>
        <w:spacing w:after="0" w:line="240" w:lineRule="auto"/>
        <w:rPr>
          <w:rFonts w:ascii="Verdana" w:hAnsi="Verdana"/>
        </w:rPr>
      </w:pPr>
    </w:p>
    <w:p w14:paraId="341E79C8" w14:textId="77777777" w:rsidR="001A66B4" w:rsidRDefault="001A66B4" w:rsidP="009A5105">
      <w:pPr>
        <w:spacing w:after="0" w:line="240" w:lineRule="auto"/>
        <w:rPr>
          <w:rFonts w:ascii="Verdana" w:hAnsi="Verdana"/>
        </w:rPr>
      </w:pPr>
    </w:p>
    <w:p w14:paraId="06362F29" w14:textId="77777777" w:rsidR="001A66B4" w:rsidRDefault="001A66B4" w:rsidP="009A5105">
      <w:pPr>
        <w:spacing w:after="0" w:line="240" w:lineRule="auto"/>
        <w:rPr>
          <w:rFonts w:ascii="Verdana" w:hAnsi="Verdana"/>
        </w:rPr>
      </w:pPr>
    </w:p>
    <w:p w14:paraId="2CDA48DC" w14:textId="77777777" w:rsidR="001A66B4" w:rsidRDefault="001A66B4" w:rsidP="009A5105">
      <w:pPr>
        <w:spacing w:after="0" w:line="240" w:lineRule="auto"/>
        <w:rPr>
          <w:rFonts w:ascii="Verdana" w:hAnsi="Verdana"/>
        </w:rPr>
      </w:pPr>
    </w:p>
    <w:p w14:paraId="5E3D0110" w14:textId="77777777" w:rsidR="001A66B4" w:rsidRDefault="001A66B4" w:rsidP="009A5105">
      <w:pPr>
        <w:spacing w:after="0" w:line="240" w:lineRule="auto"/>
        <w:rPr>
          <w:rFonts w:ascii="Verdana" w:hAnsi="Verdana"/>
        </w:rPr>
      </w:pPr>
    </w:p>
    <w:p w14:paraId="7B44B1F9" w14:textId="77777777" w:rsidR="001A66B4" w:rsidRDefault="001A66B4" w:rsidP="009A5105">
      <w:pPr>
        <w:spacing w:after="0" w:line="240" w:lineRule="auto"/>
        <w:rPr>
          <w:rFonts w:ascii="Verdana" w:hAnsi="Verdana"/>
        </w:rPr>
      </w:pPr>
    </w:p>
    <w:p w14:paraId="01623FBC" w14:textId="77777777" w:rsidR="001A66B4" w:rsidRDefault="001A66B4" w:rsidP="009A5105">
      <w:pPr>
        <w:spacing w:after="0" w:line="240" w:lineRule="auto"/>
        <w:rPr>
          <w:rFonts w:ascii="Verdana" w:hAnsi="Verdana"/>
        </w:rPr>
      </w:pPr>
    </w:p>
    <w:p w14:paraId="287F2638" w14:textId="77777777" w:rsidR="001A66B4" w:rsidRDefault="001A66B4" w:rsidP="009A5105">
      <w:pPr>
        <w:spacing w:after="0" w:line="240" w:lineRule="auto"/>
        <w:rPr>
          <w:rFonts w:ascii="Verdana" w:hAnsi="Verdana"/>
        </w:rPr>
      </w:pPr>
    </w:p>
    <w:p w14:paraId="1A968EB5" w14:textId="77777777" w:rsidR="001A66B4" w:rsidRDefault="001A66B4" w:rsidP="009A5105">
      <w:pPr>
        <w:spacing w:after="0" w:line="240" w:lineRule="auto"/>
        <w:rPr>
          <w:rFonts w:ascii="Verdana" w:hAnsi="Verdana"/>
        </w:rPr>
      </w:pPr>
    </w:p>
    <w:p w14:paraId="5B033D01" w14:textId="77777777" w:rsidR="001A66B4" w:rsidRDefault="001A66B4" w:rsidP="009A5105">
      <w:pPr>
        <w:spacing w:after="0" w:line="240" w:lineRule="auto"/>
        <w:rPr>
          <w:rFonts w:ascii="Verdana" w:hAnsi="Verdana"/>
        </w:rPr>
      </w:pPr>
    </w:p>
    <w:p w14:paraId="3CB00B70" w14:textId="77777777" w:rsidR="001A66B4" w:rsidRDefault="001A66B4" w:rsidP="009A5105">
      <w:pPr>
        <w:spacing w:after="0" w:line="240" w:lineRule="auto"/>
        <w:rPr>
          <w:rFonts w:ascii="Verdana" w:hAnsi="Verdana"/>
        </w:rPr>
      </w:pPr>
    </w:p>
    <w:p w14:paraId="2FC9B863" w14:textId="77777777" w:rsidR="001A66B4" w:rsidRDefault="001A66B4" w:rsidP="009A5105">
      <w:pPr>
        <w:spacing w:after="0" w:line="240" w:lineRule="auto"/>
        <w:rPr>
          <w:rFonts w:ascii="Verdana" w:hAnsi="Verdana"/>
        </w:rPr>
      </w:pPr>
    </w:p>
    <w:p w14:paraId="4817D668" w14:textId="77777777" w:rsidR="001A66B4" w:rsidRDefault="001A66B4" w:rsidP="009A5105">
      <w:pPr>
        <w:spacing w:after="0" w:line="240" w:lineRule="auto"/>
        <w:rPr>
          <w:rFonts w:ascii="Verdana" w:hAnsi="Verdana"/>
        </w:rPr>
      </w:pPr>
    </w:p>
    <w:p w14:paraId="0C90A874" w14:textId="77777777" w:rsidR="001A66B4" w:rsidRDefault="001A66B4" w:rsidP="009A5105">
      <w:pPr>
        <w:spacing w:after="0" w:line="240" w:lineRule="auto"/>
        <w:rPr>
          <w:rFonts w:ascii="Verdana" w:hAnsi="Verdana"/>
        </w:rPr>
      </w:pPr>
    </w:p>
    <w:p w14:paraId="6C399A2C" w14:textId="77777777" w:rsidR="001A66B4" w:rsidRDefault="001A66B4" w:rsidP="009A5105">
      <w:pPr>
        <w:spacing w:after="0" w:line="240" w:lineRule="auto"/>
        <w:rPr>
          <w:rFonts w:ascii="Verdana" w:hAnsi="Verdana"/>
        </w:rPr>
      </w:pPr>
    </w:p>
    <w:p w14:paraId="3FD66360" w14:textId="77777777" w:rsidR="001A66B4" w:rsidRDefault="001A66B4" w:rsidP="009A5105">
      <w:pPr>
        <w:spacing w:after="0" w:line="240" w:lineRule="auto"/>
        <w:rPr>
          <w:rFonts w:ascii="Verdana" w:hAnsi="Verdana"/>
        </w:rPr>
      </w:pPr>
    </w:p>
    <w:p w14:paraId="40771B23" w14:textId="77777777" w:rsidR="001A66B4" w:rsidRDefault="001A66B4" w:rsidP="009A5105">
      <w:pPr>
        <w:spacing w:after="0" w:line="240" w:lineRule="auto"/>
        <w:rPr>
          <w:rFonts w:ascii="Verdana" w:hAnsi="Verdana"/>
        </w:rPr>
      </w:pPr>
    </w:p>
    <w:p w14:paraId="5327F3B4" w14:textId="77777777" w:rsidR="001A66B4" w:rsidRDefault="001A66B4" w:rsidP="009A5105">
      <w:pPr>
        <w:spacing w:after="0" w:line="240" w:lineRule="auto"/>
        <w:rPr>
          <w:rFonts w:ascii="Verdana" w:hAnsi="Verdana"/>
        </w:rPr>
      </w:pPr>
    </w:p>
    <w:p w14:paraId="7902CB53" w14:textId="77777777" w:rsidR="001A66B4" w:rsidRDefault="001A66B4" w:rsidP="009A5105">
      <w:pPr>
        <w:spacing w:after="0" w:line="240" w:lineRule="auto"/>
        <w:rPr>
          <w:rFonts w:ascii="Verdana" w:hAnsi="Verdana"/>
        </w:rPr>
      </w:pPr>
    </w:p>
    <w:p w14:paraId="415C0F91" w14:textId="77777777" w:rsidR="001A66B4" w:rsidRDefault="001A66B4" w:rsidP="009A5105">
      <w:pPr>
        <w:spacing w:after="0" w:line="240" w:lineRule="auto"/>
        <w:rPr>
          <w:rFonts w:ascii="Verdana" w:hAnsi="Verdana"/>
        </w:rPr>
      </w:pPr>
    </w:p>
    <w:p w14:paraId="0FCFBDFA" w14:textId="77777777" w:rsidR="001A66B4" w:rsidRDefault="001A66B4" w:rsidP="009A5105">
      <w:pPr>
        <w:spacing w:after="0" w:line="240" w:lineRule="auto"/>
        <w:rPr>
          <w:rFonts w:ascii="Verdana" w:hAnsi="Verdana"/>
        </w:rPr>
      </w:pPr>
    </w:p>
    <w:p w14:paraId="3A711970" w14:textId="77777777" w:rsidR="001A66B4" w:rsidRDefault="001A66B4" w:rsidP="009A5105">
      <w:pPr>
        <w:spacing w:after="0" w:line="240" w:lineRule="auto"/>
        <w:rPr>
          <w:rFonts w:ascii="Verdana" w:hAnsi="Verdana"/>
        </w:rPr>
      </w:pPr>
    </w:p>
    <w:p w14:paraId="620AA08B" w14:textId="77777777" w:rsidR="001A66B4" w:rsidRDefault="001A66B4" w:rsidP="009A5105">
      <w:pPr>
        <w:spacing w:after="0" w:line="240" w:lineRule="auto"/>
        <w:rPr>
          <w:rFonts w:ascii="Verdana" w:hAnsi="Verdana"/>
        </w:rPr>
      </w:pPr>
    </w:p>
    <w:p w14:paraId="2C28224F" w14:textId="77777777" w:rsidR="001A66B4" w:rsidRDefault="001A66B4" w:rsidP="009A5105">
      <w:pPr>
        <w:spacing w:after="0" w:line="240" w:lineRule="auto"/>
        <w:rPr>
          <w:rFonts w:ascii="Verdana" w:hAnsi="Verdana"/>
        </w:rPr>
      </w:pPr>
    </w:p>
    <w:p w14:paraId="4391D2F3" w14:textId="77777777" w:rsidR="001A66B4" w:rsidRDefault="001A66B4" w:rsidP="009A5105">
      <w:pPr>
        <w:spacing w:after="0" w:line="240" w:lineRule="auto"/>
        <w:rPr>
          <w:rFonts w:ascii="Verdana" w:hAnsi="Verdana"/>
        </w:rPr>
      </w:pPr>
    </w:p>
    <w:p w14:paraId="2E7D333F" w14:textId="77777777" w:rsidR="001A66B4" w:rsidRDefault="001A66B4" w:rsidP="009A5105">
      <w:pPr>
        <w:spacing w:after="0" w:line="240" w:lineRule="auto"/>
        <w:rPr>
          <w:rFonts w:ascii="Verdana" w:hAnsi="Verdana"/>
        </w:rPr>
      </w:pPr>
    </w:p>
    <w:p w14:paraId="1B3D0A19" w14:textId="140CAD6C" w:rsidR="009A5105" w:rsidRPr="00275B0F" w:rsidRDefault="009A5105" w:rsidP="009A5105">
      <w:pPr>
        <w:spacing w:after="0" w:line="240" w:lineRule="auto"/>
        <w:rPr>
          <w:rFonts w:ascii="Verdana" w:eastAsia="Geomanist Light" w:hAnsi="Verdana" w:cs="Arial"/>
          <w:color w:val="201F1E"/>
          <w:lang w:val="es-MX"/>
        </w:rPr>
      </w:pPr>
      <w:r w:rsidRPr="00275B0F">
        <w:rPr>
          <w:rFonts w:ascii="Verdana" w:hAnsi="Verdana"/>
        </w:rPr>
        <w:lastRenderedPageBreak/>
        <w:t xml:space="preserve">Bogotá D.C., </w:t>
      </w:r>
      <w:r w:rsidR="00056184">
        <w:rPr>
          <w:rFonts w:ascii="Verdana" w:eastAsia="Geomanist Light" w:hAnsi="Verdana" w:cs="Arial"/>
          <w:color w:val="201F1E"/>
          <w:lang w:val="es-MX"/>
        </w:rPr>
        <w:t>14 de noviembre de 2025</w:t>
      </w:r>
    </w:p>
    <w:p w14:paraId="0FB914B7" w14:textId="77777777" w:rsidR="009A5105" w:rsidRPr="00275B0F" w:rsidRDefault="009A5105" w:rsidP="009A5105">
      <w:pPr>
        <w:spacing w:after="0" w:line="240" w:lineRule="auto"/>
        <w:rPr>
          <w:rFonts w:ascii="Verdana" w:hAnsi="Verdana"/>
        </w:rPr>
      </w:pPr>
    </w:p>
    <w:p w14:paraId="4A5C5A5D" w14:textId="63CF4FDF" w:rsidR="009A5105" w:rsidRPr="00275B0F" w:rsidRDefault="00056184" w:rsidP="00056184">
      <w:pPr>
        <w:spacing w:after="0" w:line="240" w:lineRule="auto"/>
        <w:jc w:val="right"/>
        <w:rPr>
          <w:rFonts w:ascii="Verdana" w:eastAsia="Calibri" w:hAnsi="Verdana" w:cs="Arial"/>
          <w:noProof/>
          <w:color w:val="000000" w:themeColor="text1"/>
          <w:lang w:eastAsia="es-ES"/>
        </w:rPr>
      </w:pPr>
      <w:r w:rsidRPr="00056184">
        <w:rPr>
          <w:rFonts w:ascii="Verdana" w:eastAsia="Calibri" w:hAnsi="Verdana" w:cs="Arial"/>
          <w:noProof/>
          <w:color w:val="000000" w:themeColor="text1"/>
          <w:lang w:eastAsia="es-ES"/>
        </w:rPr>
        <w:drawing>
          <wp:inline distT="0" distB="0" distL="0" distR="0" wp14:anchorId="6B36AFA3" wp14:editId="682C537E">
            <wp:extent cx="2476500" cy="967740"/>
            <wp:effectExtent l="0" t="0" r="0" b="3810"/>
            <wp:docPr id="13597851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6500" cy="967740"/>
                    </a:xfrm>
                    <a:prstGeom prst="rect">
                      <a:avLst/>
                    </a:prstGeom>
                    <a:noFill/>
                    <a:ln>
                      <a:noFill/>
                    </a:ln>
                  </pic:spPr>
                </pic:pic>
              </a:graphicData>
            </a:graphic>
          </wp:inline>
        </w:drawing>
      </w:r>
    </w:p>
    <w:p w14:paraId="5403903B" w14:textId="77777777" w:rsidR="009A5105" w:rsidRPr="00275B0F" w:rsidRDefault="009A5105" w:rsidP="009A5105">
      <w:pPr>
        <w:spacing w:after="0" w:line="240" w:lineRule="auto"/>
        <w:jc w:val="both"/>
        <w:rPr>
          <w:rFonts w:ascii="Verdana" w:eastAsia="Calibri" w:hAnsi="Verdana" w:cs="Arial"/>
          <w:color w:val="000000" w:themeColor="text1"/>
          <w:lang w:val="es-ES" w:eastAsia="es-ES"/>
        </w:rPr>
      </w:pPr>
      <w:r w:rsidRPr="00275B0F">
        <w:rPr>
          <w:rFonts w:ascii="Verdana" w:eastAsia="Calibri" w:hAnsi="Verdana" w:cs="Arial"/>
          <w:color w:val="000000" w:themeColor="text1"/>
          <w:lang w:val="es-ES" w:eastAsia="es-ES"/>
        </w:rPr>
        <w:t>Señor</w:t>
      </w:r>
    </w:p>
    <w:p w14:paraId="27C0F73C" w14:textId="77777777" w:rsidR="009A5105" w:rsidRPr="00275B0F" w:rsidRDefault="009A5105" w:rsidP="009A5105">
      <w:pPr>
        <w:spacing w:after="0" w:line="240" w:lineRule="auto"/>
        <w:rPr>
          <w:rFonts w:ascii="Verdana" w:eastAsia="Calibri" w:hAnsi="Verdana" w:cs="Arial"/>
          <w:b/>
          <w:color w:val="000000" w:themeColor="text1"/>
          <w:lang w:eastAsia="es-ES_tradnl"/>
        </w:rPr>
      </w:pPr>
      <w:r w:rsidRPr="00275B0F">
        <w:rPr>
          <w:rFonts w:ascii="Verdana" w:eastAsia="Calibri" w:hAnsi="Verdana" w:cs="Arial"/>
          <w:b/>
          <w:color w:val="000000" w:themeColor="text1"/>
          <w:lang w:eastAsia="es-ES_tradnl"/>
        </w:rPr>
        <w:t>Jhon Jairo Cardona Idarraga</w:t>
      </w:r>
    </w:p>
    <w:p w14:paraId="30D97D6F" w14:textId="77777777" w:rsidR="009A5105" w:rsidRPr="00275B0F" w:rsidRDefault="009A5105" w:rsidP="009A5105">
      <w:pPr>
        <w:spacing w:after="0" w:line="240" w:lineRule="auto"/>
        <w:rPr>
          <w:rFonts w:ascii="Verdana" w:hAnsi="Verdana"/>
        </w:rPr>
      </w:pPr>
      <w:hyperlink r:id="rId12" w:history="1">
        <w:r w:rsidRPr="00275B0F">
          <w:rPr>
            <w:rFonts w:ascii="Verdana" w:hAnsi="Verdana"/>
            <w:color w:val="0000FF"/>
            <w:u w:val="single"/>
          </w:rPr>
          <w:t>contabilidad@multiprocesos.com.co</w:t>
        </w:r>
      </w:hyperlink>
      <w:r w:rsidRPr="00275B0F">
        <w:rPr>
          <w:rFonts w:ascii="Verdana" w:hAnsi="Verdana"/>
        </w:rPr>
        <w:t xml:space="preserve"> </w:t>
      </w:r>
    </w:p>
    <w:p w14:paraId="22ADCD7D" w14:textId="77777777" w:rsidR="009A5105" w:rsidRPr="00275B0F" w:rsidRDefault="009A5105" w:rsidP="009A5105">
      <w:pPr>
        <w:spacing w:after="0" w:line="240" w:lineRule="auto"/>
        <w:rPr>
          <w:rFonts w:ascii="Verdana" w:eastAsia="Calibri" w:hAnsi="Verdana" w:cs="Arial"/>
          <w:bCs/>
          <w:color w:val="000000" w:themeColor="text1"/>
          <w:lang w:eastAsia="es-ES_tradnl"/>
        </w:rPr>
      </w:pPr>
      <w:r w:rsidRPr="00275B0F">
        <w:rPr>
          <w:rFonts w:ascii="Verdana" w:eastAsia="Calibri" w:hAnsi="Verdana" w:cs="Arial"/>
          <w:bCs/>
          <w:color w:val="000000" w:themeColor="text1"/>
          <w:lang w:eastAsia="es-ES_tradnl"/>
        </w:rPr>
        <w:t>Medellín, Antioquía</w:t>
      </w:r>
    </w:p>
    <w:p w14:paraId="00B0F6CD" w14:textId="77777777" w:rsidR="009A5105" w:rsidRPr="00275B0F" w:rsidRDefault="009A5105" w:rsidP="009A5105">
      <w:pPr>
        <w:spacing w:after="0" w:line="240" w:lineRule="auto"/>
        <w:rPr>
          <w:rFonts w:ascii="Verdana" w:eastAsia="Calibri" w:hAnsi="Verdana" w:cs="Arial"/>
          <w:b/>
          <w:bCs/>
          <w:color w:val="000000" w:themeColor="text1"/>
          <w:lang w:val="es-ES_tradnl" w:eastAsia="es-ES_tradnl"/>
        </w:rPr>
      </w:pPr>
    </w:p>
    <w:p w14:paraId="1FF8C767" w14:textId="77777777" w:rsidR="009A5105" w:rsidRPr="00275B0F" w:rsidRDefault="009A5105" w:rsidP="009A5105">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A5105" w:rsidRPr="00275B0F" w14:paraId="116DD6B9" w14:textId="77777777" w:rsidTr="0056491E">
        <w:trPr>
          <w:trHeight w:val="148"/>
        </w:trPr>
        <w:tc>
          <w:tcPr>
            <w:tcW w:w="2689" w:type="dxa"/>
          </w:tcPr>
          <w:p w14:paraId="26068559" w14:textId="77777777" w:rsidR="009A5105" w:rsidRPr="00275B0F" w:rsidRDefault="009A5105" w:rsidP="0056491E">
            <w:pPr>
              <w:spacing w:after="160" w:line="259" w:lineRule="auto"/>
              <w:ind w:left="720"/>
              <w:contextualSpacing/>
              <w:jc w:val="both"/>
              <w:rPr>
                <w:rFonts w:ascii="Verdana" w:eastAsia="Calibri" w:hAnsi="Verdana" w:cs="Arial"/>
                <w:b/>
                <w:bCs/>
                <w:color w:val="000000" w:themeColor="text1"/>
                <w:lang w:val="es-ES_tradnl" w:eastAsia="es-ES_tradnl"/>
              </w:rPr>
            </w:pPr>
          </w:p>
        </w:tc>
        <w:tc>
          <w:tcPr>
            <w:tcW w:w="6100" w:type="dxa"/>
          </w:tcPr>
          <w:p w14:paraId="63367EE2" w14:textId="77777777" w:rsidR="009A5105" w:rsidRPr="00275B0F" w:rsidRDefault="009A5105" w:rsidP="0056491E">
            <w:pPr>
              <w:spacing w:after="160" w:line="259" w:lineRule="auto"/>
              <w:ind w:left="720"/>
              <w:contextualSpacing/>
              <w:jc w:val="both"/>
              <w:rPr>
                <w:rFonts w:ascii="Verdana" w:eastAsia="Calibri" w:hAnsi="Verdana" w:cs="Arial"/>
                <w:b/>
                <w:bCs/>
                <w:color w:val="000000" w:themeColor="text1"/>
                <w:lang w:val="es-ES" w:eastAsia="es-ES"/>
              </w:rPr>
            </w:pPr>
            <w:r w:rsidRPr="00275B0F">
              <w:rPr>
                <w:rFonts w:ascii="Verdana" w:eastAsia="Calibri" w:hAnsi="Verdana" w:cs="Arial"/>
                <w:b/>
                <w:bCs/>
                <w:color w:val="000000" w:themeColor="text1"/>
                <w:lang w:val="es-ES" w:eastAsia="es-ES"/>
              </w:rPr>
              <w:t>Concepto C- 1598 de 2025</w:t>
            </w:r>
          </w:p>
          <w:p w14:paraId="3CAE9A9A" w14:textId="77777777" w:rsidR="009A5105" w:rsidRPr="00275B0F" w:rsidRDefault="009A5105" w:rsidP="0056491E">
            <w:pPr>
              <w:spacing w:after="160" w:line="259" w:lineRule="auto"/>
              <w:ind w:left="720"/>
              <w:contextualSpacing/>
              <w:jc w:val="both"/>
              <w:rPr>
                <w:rFonts w:ascii="Verdana" w:eastAsia="Calibri" w:hAnsi="Verdana" w:cs="Arial"/>
                <w:b/>
                <w:bCs/>
                <w:color w:val="000000" w:themeColor="text1"/>
                <w:lang w:val="es-ES" w:eastAsia="es-ES"/>
              </w:rPr>
            </w:pPr>
          </w:p>
        </w:tc>
      </w:tr>
      <w:tr w:rsidR="009A5105" w:rsidRPr="00275B0F" w14:paraId="23AC1526" w14:textId="77777777" w:rsidTr="0056491E">
        <w:trPr>
          <w:trHeight w:val="884"/>
        </w:trPr>
        <w:tc>
          <w:tcPr>
            <w:tcW w:w="2689" w:type="dxa"/>
          </w:tcPr>
          <w:p w14:paraId="3DD32357" w14:textId="77777777" w:rsidR="009A5105" w:rsidRPr="00275B0F" w:rsidRDefault="009A5105" w:rsidP="0056491E">
            <w:pPr>
              <w:spacing w:after="160" w:line="259" w:lineRule="auto"/>
              <w:ind w:left="720"/>
              <w:contextualSpacing/>
              <w:jc w:val="both"/>
              <w:rPr>
                <w:rFonts w:ascii="Verdana" w:eastAsia="Calibri" w:hAnsi="Verdana" w:cs="Arial"/>
                <w:color w:val="000000" w:themeColor="text1"/>
                <w:lang w:val="es-ES_tradnl" w:eastAsia="es-ES_tradnl"/>
              </w:rPr>
            </w:pPr>
            <w:r w:rsidRPr="00275B0F">
              <w:rPr>
                <w:rFonts w:ascii="Verdana" w:eastAsia="Calibri" w:hAnsi="Verdana" w:cs="Arial"/>
                <w:b/>
                <w:color w:val="000000" w:themeColor="text1"/>
                <w:lang w:val="es-ES_tradnl" w:eastAsia="es-ES_tradnl"/>
              </w:rPr>
              <w:t>Temas:</w:t>
            </w:r>
            <w:r w:rsidRPr="00275B0F">
              <w:rPr>
                <w:rFonts w:ascii="Verdana" w:eastAsia="Calibri" w:hAnsi="Verdana" w:cs="Arial"/>
                <w:color w:val="000000" w:themeColor="text1"/>
                <w:lang w:val="es-ES_tradnl" w:eastAsia="es-ES_tradnl"/>
              </w:rPr>
              <w:t xml:space="preserve">                   </w:t>
            </w:r>
          </w:p>
        </w:tc>
        <w:tc>
          <w:tcPr>
            <w:tcW w:w="6100" w:type="dxa"/>
          </w:tcPr>
          <w:p w14:paraId="67FF99EB" w14:textId="77777777" w:rsidR="009A5105" w:rsidRPr="00275B0F" w:rsidRDefault="009A5105" w:rsidP="0056491E">
            <w:pPr>
              <w:spacing w:after="160" w:line="276" w:lineRule="auto"/>
              <w:ind w:left="720"/>
              <w:contextualSpacing/>
              <w:jc w:val="both"/>
              <w:rPr>
                <w:rFonts w:ascii="Verdana" w:eastAsia="Calibri" w:hAnsi="Verdana" w:cs="Arial"/>
                <w:b/>
                <w:lang w:val="es-ES" w:eastAsia="es-ES_tradnl"/>
              </w:rPr>
            </w:pPr>
            <w:r w:rsidRPr="00275B0F">
              <w:rPr>
                <w:rFonts w:ascii="Verdana" w:eastAsia="Calibri" w:hAnsi="Verdana" w:cs="Arial"/>
                <w:bCs/>
                <w:lang w:val="es-ES"/>
              </w:rPr>
              <w:t xml:space="preserve">SELECCIÓN OBJETIVA ― Noción y factores de escogencia / REQUISITOS HABILITANTES ― Carácter enunciativo </w:t>
            </w:r>
            <w:r w:rsidRPr="00275B0F">
              <w:rPr>
                <w:rFonts w:ascii="Verdana" w:eastAsia="Calibri" w:hAnsi="Verdana" w:cs="Arial"/>
                <w:lang w:val="es-ES" w:eastAsia="es-ES_tradnl"/>
              </w:rPr>
              <w:t xml:space="preserve">– Proporcionalidad y adecuación </w:t>
            </w:r>
            <w:r w:rsidRPr="00275B0F">
              <w:rPr>
                <w:rFonts w:ascii="Verdana" w:eastAsia="Calibri" w:hAnsi="Verdana" w:cs="Arial"/>
                <w:bCs/>
                <w:lang w:val="es-ES"/>
              </w:rPr>
              <w:t>/</w:t>
            </w:r>
            <w:r w:rsidRPr="00275B0F">
              <w:rPr>
                <w:rFonts w:ascii="Verdana" w:eastAsia="Calibri" w:hAnsi="Verdana" w:cs="Arial"/>
                <w:b/>
                <w:lang w:val="es-ES" w:eastAsia="es-ES_tradnl"/>
              </w:rPr>
              <w:t xml:space="preserve"> </w:t>
            </w:r>
            <w:r w:rsidRPr="00275B0F">
              <w:rPr>
                <w:rFonts w:ascii="Verdana" w:eastAsia="Calibri" w:hAnsi="Verdana" w:cs="Arial"/>
                <w:bCs/>
                <w:lang w:val="es-ES" w:eastAsia="es-ES_tradnl"/>
              </w:rPr>
              <w:t xml:space="preserve">ESTABLECIMIENTO DE COMERCIO </w:t>
            </w:r>
            <w:r w:rsidRPr="00275B0F">
              <w:rPr>
                <w:rFonts w:ascii="Verdana" w:eastAsia="Calibri" w:hAnsi="Verdana" w:cs="Arial"/>
                <w:lang w:val="es-ES" w:eastAsia="es-ES_tradnl"/>
              </w:rPr>
              <w:t xml:space="preserve">– Definición – Requisito habilitante </w:t>
            </w:r>
          </w:p>
          <w:p w14:paraId="53C0B9FE" w14:textId="77777777" w:rsidR="009A5105" w:rsidRPr="00275B0F" w:rsidRDefault="009A5105" w:rsidP="0056491E">
            <w:pPr>
              <w:spacing w:after="160" w:line="259" w:lineRule="auto"/>
              <w:ind w:left="720"/>
              <w:contextualSpacing/>
              <w:jc w:val="both"/>
              <w:rPr>
                <w:rFonts w:ascii="Verdana" w:eastAsia="Calibri" w:hAnsi="Verdana" w:cs="Arial"/>
                <w:color w:val="000000" w:themeColor="text1"/>
                <w:lang w:val="es-ES" w:eastAsia="es-ES"/>
              </w:rPr>
            </w:pPr>
          </w:p>
        </w:tc>
      </w:tr>
      <w:tr w:rsidR="009A5105" w:rsidRPr="00275B0F" w14:paraId="4B19D433" w14:textId="77777777" w:rsidTr="0056491E">
        <w:tc>
          <w:tcPr>
            <w:tcW w:w="2689" w:type="dxa"/>
          </w:tcPr>
          <w:p w14:paraId="1BB41E69" w14:textId="77777777" w:rsidR="009A5105" w:rsidRPr="00275B0F" w:rsidRDefault="009A5105" w:rsidP="0056491E">
            <w:pPr>
              <w:spacing w:after="160" w:line="259" w:lineRule="auto"/>
              <w:ind w:left="720"/>
              <w:contextualSpacing/>
              <w:jc w:val="both"/>
              <w:rPr>
                <w:rFonts w:ascii="Verdana" w:eastAsia="Calibri" w:hAnsi="Verdana" w:cs="Arial"/>
                <w:b/>
                <w:color w:val="000000" w:themeColor="text1"/>
                <w:lang w:val="es-ES_tradnl" w:eastAsia="es-ES_tradnl"/>
              </w:rPr>
            </w:pPr>
            <w:r w:rsidRPr="00275B0F">
              <w:rPr>
                <w:rFonts w:ascii="Verdana" w:eastAsia="Calibri" w:hAnsi="Verdana" w:cs="Arial"/>
                <w:b/>
                <w:color w:val="000000" w:themeColor="text1"/>
                <w:lang w:val="es-ES_tradnl" w:eastAsia="es-ES_tradnl"/>
              </w:rPr>
              <w:t>Radicación:</w:t>
            </w:r>
            <w:r w:rsidRPr="00275B0F">
              <w:rPr>
                <w:rFonts w:ascii="Verdana" w:eastAsia="Calibri" w:hAnsi="Verdana" w:cs="Arial"/>
                <w:color w:val="000000" w:themeColor="text1"/>
                <w:lang w:val="es-ES_tradnl" w:eastAsia="es-ES_tradnl"/>
              </w:rPr>
              <w:t xml:space="preserve">               </w:t>
            </w:r>
          </w:p>
        </w:tc>
        <w:tc>
          <w:tcPr>
            <w:tcW w:w="6100" w:type="dxa"/>
          </w:tcPr>
          <w:p w14:paraId="67FF602F" w14:textId="77777777" w:rsidR="009A5105" w:rsidRPr="00275B0F" w:rsidRDefault="009A5105" w:rsidP="0056491E">
            <w:pPr>
              <w:spacing w:after="160" w:line="259" w:lineRule="auto"/>
              <w:ind w:left="720"/>
              <w:contextualSpacing/>
              <w:jc w:val="both"/>
              <w:rPr>
                <w:rFonts w:ascii="Verdana" w:eastAsia="Calibri" w:hAnsi="Verdana" w:cs="Arial"/>
                <w:color w:val="000000" w:themeColor="text1"/>
                <w:lang w:val="es-ES_tradnl" w:eastAsia="es-ES_tradnl"/>
              </w:rPr>
            </w:pPr>
            <w:r w:rsidRPr="00275B0F">
              <w:rPr>
                <w:rFonts w:ascii="Verdana" w:eastAsia="Calibri" w:hAnsi="Verdana" w:cs="Arial"/>
                <w:color w:val="000000" w:themeColor="text1"/>
                <w:lang w:val="es-ES_tradnl" w:eastAsia="es-ES_tradnl"/>
              </w:rPr>
              <w:t>Respuesta a consulta con radicado No. 1_2025_10_29_012216</w:t>
            </w:r>
          </w:p>
        </w:tc>
      </w:tr>
    </w:tbl>
    <w:p w14:paraId="38EE7C4C" w14:textId="77777777" w:rsidR="009A5105" w:rsidRPr="00275B0F" w:rsidRDefault="009A5105" w:rsidP="009A5105">
      <w:pPr>
        <w:spacing w:after="0" w:line="240" w:lineRule="auto"/>
        <w:jc w:val="both"/>
        <w:rPr>
          <w:rFonts w:ascii="Verdana" w:eastAsia="Calibri" w:hAnsi="Verdana" w:cs="Arial"/>
          <w:color w:val="000000" w:themeColor="text1"/>
          <w:lang w:val="es-ES_tradnl" w:eastAsia="es-ES_tradnl"/>
        </w:rPr>
      </w:pPr>
    </w:p>
    <w:p w14:paraId="30234C4C" w14:textId="77777777" w:rsidR="009A5105" w:rsidRPr="00275B0F" w:rsidRDefault="009A5105" w:rsidP="009A5105">
      <w:pPr>
        <w:spacing w:after="0" w:line="240" w:lineRule="auto"/>
        <w:jc w:val="both"/>
        <w:rPr>
          <w:rFonts w:ascii="Verdana" w:eastAsia="Calibri" w:hAnsi="Verdana" w:cs="Arial"/>
          <w:color w:val="000000" w:themeColor="text1"/>
          <w:lang w:val="es-ES_tradnl" w:eastAsia="es-ES_tradnl"/>
        </w:rPr>
      </w:pPr>
    </w:p>
    <w:p w14:paraId="5532CD89" w14:textId="77777777" w:rsidR="009A5105" w:rsidRPr="00275B0F" w:rsidRDefault="009A5105" w:rsidP="009A5105">
      <w:pPr>
        <w:spacing w:after="0" w:line="276" w:lineRule="auto"/>
        <w:jc w:val="both"/>
        <w:rPr>
          <w:rFonts w:ascii="Verdana" w:eastAsia="Calibri" w:hAnsi="Verdana" w:cs="Arial"/>
          <w:color w:val="000000" w:themeColor="text1"/>
          <w:lang w:val="es-ES" w:eastAsia="es-ES"/>
        </w:rPr>
      </w:pPr>
      <w:r w:rsidRPr="00275B0F">
        <w:rPr>
          <w:rFonts w:ascii="Verdana" w:eastAsia="Calibri" w:hAnsi="Verdana" w:cs="Arial"/>
          <w:color w:val="000000" w:themeColor="text1"/>
          <w:lang w:val="es-ES" w:eastAsia="es-ES"/>
        </w:rPr>
        <w:t xml:space="preserve">Estimado señor Cardona: </w:t>
      </w:r>
    </w:p>
    <w:p w14:paraId="1903D704" w14:textId="77777777" w:rsidR="009A5105" w:rsidRPr="00275B0F" w:rsidRDefault="009A5105" w:rsidP="009A5105">
      <w:pPr>
        <w:tabs>
          <w:tab w:val="left" w:pos="3768"/>
        </w:tabs>
        <w:spacing w:after="0" w:line="276" w:lineRule="auto"/>
        <w:jc w:val="both"/>
        <w:rPr>
          <w:rFonts w:ascii="Verdana" w:eastAsia="Calibri" w:hAnsi="Verdana" w:cs="Arial"/>
          <w:color w:val="000000" w:themeColor="text1"/>
          <w:lang w:val="es-ES" w:eastAsia="es-ES"/>
        </w:rPr>
      </w:pPr>
      <w:r w:rsidRPr="00275B0F">
        <w:rPr>
          <w:rFonts w:ascii="Verdana" w:eastAsia="Calibri" w:hAnsi="Verdana" w:cs="Arial"/>
          <w:color w:val="000000" w:themeColor="text1"/>
          <w:lang w:val="es-ES" w:eastAsia="es-ES"/>
        </w:rPr>
        <w:tab/>
      </w:r>
    </w:p>
    <w:p w14:paraId="435C6A8D" w14:textId="77777777" w:rsidR="009A5105" w:rsidRPr="00275B0F" w:rsidRDefault="009A5105" w:rsidP="009A5105">
      <w:pPr>
        <w:spacing w:after="120" w:line="276" w:lineRule="auto"/>
        <w:jc w:val="both"/>
        <w:rPr>
          <w:rFonts w:ascii="Verdana" w:eastAsia="Calibri" w:hAnsi="Verdana" w:cs="Arial"/>
          <w:color w:val="000000" w:themeColor="text1"/>
          <w:lang w:val="es-ES" w:eastAsia="es-ES"/>
        </w:rPr>
      </w:pPr>
      <w:r w:rsidRPr="00275B0F">
        <w:rPr>
          <w:rFonts w:ascii="Verdana" w:eastAsia="Calibri" w:hAnsi="Verdana" w:cs="Arial"/>
          <w:color w:val="000000" w:themeColor="text1"/>
          <w:lang w:val="es-ES" w:eastAsia="es-ES"/>
        </w:rPr>
        <w:t>En ejercicio de la competencia otorgada por los artículos 3, numeral 5º, y 11, numeral 8º, del Decreto Ley 4170 de 2011,</w:t>
      </w:r>
      <w:r w:rsidRPr="00275B0F">
        <w:rPr>
          <w:rFonts w:ascii="Verdana" w:eastAsia="Arial MT" w:hAnsi="Verdana" w:cs="Arial MT"/>
          <w:color w:val="000000" w:themeColor="text1"/>
          <w:lang w:val="es-ES" w:eastAsia="es-ES"/>
        </w:rPr>
        <w:t xml:space="preserve"> </w:t>
      </w:r>
      <w:r w:rsidRPr="00275B0F">
        <w:rPr>
          <w:rFonts w:ascii="Verdana" w:hAnsi="Verdana" w:cs="Arial"/>
          <w:color w:val="000000" w:themeColor="text1"/>
        </w:rPr>
        <w:t>así como lo establecido</w:t>
      </w:r>
      <w:r w:rsidRPr="00275B0F">
        <w:rPr>
          <w:rFonts w:ascii="Verdana" w:hAnsi="Verdana" w:cs="Arial"/>
        </w:rPr>
        <w:t xml:space="preserve"> por la </w:t>
      </w:r>
      <w:r w:rsidRPr="00275B0F">
        <w:rPr>
          <w:rFonts w:ascii="Verdana" w:eastAsia="Calibri" w:hAnsi="Verdana" w:cs="Times New Roman"/>
          <w:bCs/>
        </w:rPr>
        <w:t xml:space="preserve">Resolución 469 de 2025 </w:t>
      </w:r>
      <w:r w:rsidRPr="00275B0F">
        <w:rPr>
          <w:rFonts w:ascii="Verdana" w:hAnsi="Verdana" w:cs="Arial"/>
          <w:color w:val="000000" w:themeColor="text1"/>
        </w:rPr>
        <w:t>expedida por esta Entidad, la Agencia Nacional de Contratación Pública – Colombia Compra Eficiente– responde su solicitud de concepto del 29 de octubre de 2025, en la cual manifiesta lo siguiente:</w:t>
      </w:r>
      <w:r w:rsidRPr="00275B0F">
        <w:rPr>
          <w:rFonts w:ascii="Verdana" w:eastAsia="Calibri" w:hAnsi="Verdana" w:cs="Arial"/>
          <w:color w:val="000000" w:themeColor="text1"/>
          <w:lang w:val="es-ES" w:eastAsia="es-ES"/>
        </w:rPr>
        <w:t xml:space="preserve"> </w:t>
      </w:r>
    </w:p>
    <w:p w14:paraId="4B70829B" w14:textId="77777777" w:rsidR="009A5105" w:rsidRPr="00275B0F" w:rsidRDefault="009A5105" w:rsidP="009A5105">
      <w:pPr>
        <w:spacing w:after="0" w:line="240" w:lineRule="auto"/>
        <w:jc w:val="both"/>
        <w:rPr>
          <w:rFonts w:ascii="Verdana" w:eastAsia="Calibri" w:hAnsi="Verdana" w:cs="Arial"/>
          <w:i/>
          <w:iCs/>
          <w:color w:val="000000" w:themeColor="text1"/>
          <w:lang w:val="es-ES" w:eastAsia="es-ES"/>
        </w:rPr>
      </w:pPr>
    </w:p>
    <w:p w14:paraId="364F56EA" w14:textId="77777777" w:rsidR="009A5105" w:rsidRPr="00275B0F" w:rsidRDefault="009A5105" w:rsidP="009A5105">
      <w:pPr>
        <w:spacing w:after="0" w:line="240" w:lineRule="auto"/>
        <w:ind w:left="709" w:right="618"/>
        <w:jc w:val="both"/>
        <w:rPr>
          <w:rFonts w:ascii="Verdana" w:eastAsia="Calibri" w:hAnsi="Verdana" w:cs="Arial"/>
          <w:color w:val="000000" w:themeColor="text1"/>
          <w:sz w:val="20"/>
          <w:szCs w:val="20"/>
          <w:lang w:eastAsia="es-ES"/>
        </w:rPr>
      </w:pPr>
      <w:r w:rsidRPr="00275B0F">
        <w:rPr>
          <w:rFonts w:ascii="Verdana" w:eastAsia="Calibri" w:hAnsi="Verdana" w:cs="Arial"/>
          <w:color w:val="000000" w:themeColor="text1"/>
          <w:sz w:val="20"/>
          <w:szCs w:val="20"/>
          <w:lang w:eastAsia="es-ES"/>
        </w:rPr>
        <w:t xml:space="preserve">¿Es jurídicamente viable que una entidad estatal exija, como requisito habilitante o de evaluación, que el proponente cuente con un establecimiento de comercio propio para ejecutar un contrato de suministro de implementos deportivos y uniformes? </w:t>
      </w:r>
    </w:p>
    <w:p w14:paraId="1CC62A59" w14:textId="77777777" w:rsidR="009A5105" w:rsidRPr="00275B0F" w:rsidRDefault="009A5105" w:rsidP="009A5105">
      <w:pPr>
        <w:spacing w:after="0" w:line="240" w:lineRule="auto"/>
        <w:ind w:left="709" w:right="618"/>
        <w:jc w:val="both"/>
        <w:rPr>
          <w:rFonts w:ascii="Verdana" w:eastAsia="Calibri" w:hAnsi="Verdana" w:cs="Arial"/>
          <w:color w:val="000000" w:themeColor="text1"/>
          <w:sz w:val="20"/>
          <w:szCs w:val="20"/>
          <w:lang w:eastAsia="es-ES"/>
        </w:rPr>
      </w:pPr>
    </w:p>
    <w:p w14:paraId="79535BEA" w14:textId="77777777" w:rsidR="009A5105" w:rsidRPr="00275B0F" w:rsidRDefault="009A5105" w:rsidP="009A5105">
      <w:pPr>
        <w:spacing w:after="0" w:line="240" w:lineRule="auto"/>
        <w:ind w:left="709" w:right="618"/>
        <w:jc w:val="both"/>
        <w:rPr>
          <w:rFonts w:ascii="Verdana" w:eastAsia="Calibri" w:hAnsi="Verdana" w:cs="Arial"/>
          <w:color w:val="000000" w:themeColor="text1"/>
          <w:sz w:val="20"/>
          <w:szCs w:val="20"/>
          <w:lang w:eastAsia="es-ES"/>
        </w:rPr>
      </w:pPr>
      <w:r w:rsidRPr="00275B0F">
        <w:rPr>
          <w:rFonts w:ascii="Verdana" w:eastAsia="Calibri" w:hAnsi="Verdana" w:cs="Arial"/>
          <w:color w:val="000000" w:themeColor="text1"/>
          <w:sz w:val="20"/>
          <w:szCs w:val="20"/>
          <w:lang w:eastAsia="es-ES"/>
        </w:rPr>
        <w:t xml:space="preserve">Teniendo en cuenta que los pliegos de condiciones exigen acreditar la existencia de un establecimiento de comercio, ¿puede la entidad calificar </w:t>
      </w:r>
      <w:r w:rsidRPr="00275B0F">
        <w:rPr>
          <w:rFonts w:ascii="Verdana" w:eastAsia="Calibri" w:hAnsi="Verdana" w:cs="Arial"/>
          <w:color w:val="000000" w:themeColor="text1"/>
          <w:sz w:val="20"/>
          <w:szCs w:val="20"/>
          <w:lang w:eastAsia="es-ES"/>
        </w:rPr>
        <w:lastRenderedPageBreak/>
        <w:t xml:space="preserve">como “no cumple” a un oferente que cuenta con un establecimiento arrendado y no propio, pese a que dicha modalidad de tenencia no afecta la capacidad logística, de almacenamiento o de cumplimiento del objeto contractual? </w:t>
      </w:r>
    </w:p>
    <w:p w14:paraId="0DFA1A12" w14:textId="77777777" w:rsidR="009A5105" w:rsidRPr="00275B0F" w:rsidRDefault="009A5105" w:rsidP="009A5105">
      <w:pPr>
        <w:spacing w:after="0" w:line="240" w:lineRule="auto"/>
        <w:ind w:left="709" w:right="618"/>
        <w:jc w:val="both"/>
        <w:rPr>
          <w:rFonts w:ascii="Verdana" w:eastAsia="Calibri" w:hAnsi="Verdana" w:cs="Arial"/>
          <w:color w:val="000000" w:themeColor="text1"/>
          <w:sz w:val="20"/>
          <w:szCs w:val="20"/>
          <w:lang w:eastAsia="es-ES"/>
        </w:rPr>
      </w:pPr>
    </w:p>
    <w:p w14:paraId="4EC6D3F8" w14:textId="77777777" w:rsidR="009A5105" w:rsidRPr="00275B0F" w:rsidRDefault="009A5105" w:rsidP="009A5105">
      <w:pPr>
        <w:spacing w:after="0" w:line="240" w:lineRule="auto"/>
        <w:ind w:left="709" w:right="618"/>
        <w:jc w:val="both"/>
        <w:rPr>
          <w:rFonts w:ascii="Verdana" w:eastAsia="Calibri" w:hAnsi="Verdana" w:cs="Arial"/>
          <w:color w:val="000000" w:themeColor="text1"/>
          <w:sz w:val="20"/>
          <w:szCs w:val="20"/>
          <w:lang w:eastAsia="es-ES"/>
        </w:rPr>
      </w:pPr>
      <w:r w:rsidRPr="00275B0F">
        <w:rPr>
          <w:rFonts w:ascii="Verdana" w:eastAsia="Calibri" w:hAnsi="Verdana" w:cs="Arial"/>
          <w:color w:val="000000" w:themeColor="text1"/>
          <w:sz w:val="20"/>
          <w:szCs w:val="20"/>
          <w:lang w:eastAsia="es-ES"/>
        </w:rPr>
        <w:t>En ese sentido, ¿existe fundamento normativo o técnico que justifique la exigencia de propiedad del local, cuando la finalidad del requisito (asegurar la capacidad operativa y logística del contratista) puede cumplirse igualmente mediante otras formas de tenencia, como el arrendamiento o la utilización de bodegas contratadas para la ejecución del contrato?:</w:t>
      </w:r>
    </w:p>
    <w:p w14:paraId="3CBEAA1C" w14:textId="77777777" w:rsidR="009A5105" w:rsidRPr="00275B0F" w:rsidRDefault="009A5105" w:rsidP="009A5105">
      <w:pPr>
        <w:spacing w:after="0" w:line="240" w:lineRule="auto"/>
        <w:ind w:left="709" w:right="618"/>
        <w:jc w:val="both"/>
        <w:rPr>
          <w:rFonts w:ascii="Verdana" w:eastAsia="Calibri" w:hAnsi="Verdana" w:cs="Arial"/>
          <w:color w:val="000000" w:themeColor="text1"/>
          <w:sz w:val="20"/>
          <w:szCs w:val="20"/>
          <w:lang w:val="es-ES" w:eastAsia="es-ES"/>
        </w:rPr>
      </w:pPr>
    </w:p>
    <w:p w14:paraId="7990C5EA" w14:textId="77777777" w:rsidR="009A5105" w:rsidRPr="00275B0F" w:rsidRDefault="009A5105" w:rsidP="009A5105">
      <w:pPr>
        <w:spacing w:after="120" w:line="276" w:lineRule="auto"/>
        <w:ind w:firstLine="709"/>
        <w:jc w:val="both"/>
        <w:rPr>
          <w:rFonts w:ascii="Verdana" w:eastAsia="Calibri" w:hAnsi="Verdana" w:cs="Arial"/>
          <w:color w:val="000000" w:themeColor="text1"/>
          <w:szCs w:val="24"/>
          <w:lang w:val="es-ES_tradnl" w:eastAsia="es-ES_tradnl"/>
        </w:rPr>
      </w:pPr>
      <w:r w:rsidRPr="00275B0F">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Así mismo, se resalta que la Agencia </w:t>
      </w:r>
      <w:r w:rsidRPr="00275B0F">
        <w:rPr>
          <w:rFonts w:ascii="Verdana" w:eastAsiaTheme="minorEastAsia" w:hAnsi="Verdana" w:cs="Arial"/>
          <w:lang w:eastAsia="es-CO"/>
        </w:rPr>
        <w:t>al no ser un órgano</w:t>
      </w:r>
      <w:r w:rsidRPr="00275B0F">
        <w:rPr>
          <w:rFonts w:ascii="Verdana" w:eastAsiaTheme="minorEastAsia" w:hAnsi="Verdana" w:cs="Arial"/>
          <w:spacing w:val="1"/>
          <w:lang w:eastAsia="es-CO"/>
        </w:rPr>
        <w:t xml:space="preserve"> </w:t>
      </w:r>
      <w:r w:rsidRPr="00275B0F">
        <w:rPr>
          <w:rFonts w:ascii="Verdana" w:eastAsiaTheme="minorEastAsia" w:hAnsi="Verdana" w:cs="Arial"/>
          <w:lang w:eastAsia="es-CO"/>
        </w:rPr>
        <w:t>judicial, ni una entidad de vigilancia, inspección o control en materia contractual, carece de la</w:t>
      </w:r>
      <w:r w:rsidRPr="00275B0F">
        <w:rPr>
          <w:rFonts w:ascii="Verdana" w:eastAsiaTheme="minorEastAsia" w:hAnsi="Verdana" w:cs="Arial"/>
          <w:spacing w:val="1"/>
          <w:lang w:eastAsia="es-CO"/>
        </w:rPr>
        <w:t xml:space="preserve"> </w:t>
      </w:r>
      <w:r w:rsidRPr="00275B0F">
        <w:rPr>
          <w:rFonts w:ascii="Verdana" w:eastAsiaTheme="minorEastAsia" w:hAnsi="Verdana" w:cs="Arial"/>
          <w:lang w:eastAsia="es-CO"/>
        </w:rPr>
        <w:t>facultad</w:t>
      </w:r>
      <w:r w:rsidRPr="00275B0F">
        <w:rPr>
          <w:rFonts w:ascii="Verdana" w:eastAsiaTheme="minorEastAsia" w:hAnsi="Verdana" w:cs="Arial"/>
          <w:spacing w:val="-2"/>
          <w:lang w:eastAsia="es-CO"/>
        </w:rPr>
        <w:t xml:space="preserve"> </w:t>
      </w:r>
      <w:r w:rsidRPr="00275B0F">
        <w:rPr>
          <w:rFonts w:ascii="Verdana" w:eastAsiaTheme="minorEastAsia" w:hAnsi="Verdana" w:cs="Arial"/>
          <w:lang w:eastAsia="es-CO"/>
        </w:rPr>
        <w:t>para</w:t>
      </w:r>
      <w:r w:rsidRPr="00275B0F">
        <w:rPr>
          <w:rFonts w:ascii="Verdana" w:eastAsiaTheme="minorEastAsia" w:hAnsi="Verdana" w:cs="Arial"/>
          <w:spacing w:val="-1"/>
          <w:lang w:eastAsia="es-CO"/>
        </w:rPr>
        <w:t xml:space="preserve"> </w:t>
      </w:r>
      <w:r w:rsidRPr="00275B0F">
        <w:rPr>
          <w:rFonts w:ascii="Verdana" w:eastAsiaTheme="minorEastAsia" w:hAnsi="Verdana" w:cs="Arial"/>
          <w:lang w:eastAsia="es-CO"/>
        </w:rPr>
        <w:t>desempeñar</w:t>
      </w:r>
      <w:r w:rsidRPr="00275B0F">
        <w:rPr>
          <w:rFonts w:ascii="Verdana" w:eastAsiaTheme="minorEastAsia" w:hAnsi="Verdana" w:cs="Arial"/>
          <w:spacing w:val="-2"/>
          <w:lang w:eastAsia="es-CO"/>
        </w:rPr>
        <w:t xml:space="preserve"> </w:t>
      </w:r>
      <w:r w:rsidRPr="00275B0F">
        <w:rPr>
          <w:rFonts w:ascii="Verdana" w:eastAsiaTheme="minorEastAsia" w:hAnsi="Verdana" w:cs="Arial"/>
          <w:lang w:eastAsia="es-CO"/>
        </w:rPr>
        <w:t>estas</w:t>
      </w:r>
      <w:r w:rsidRPr="00275B0F">
        <w:rPr>
          <w:rFonts w:ascii="Verdana" w:eastAsiaTheme="minorEastAsia" w:hAnsi="Verdana" w:cs="Arial"/>
          <w:spacing w:val="-1"/>
          <w:lang w:eastAsia="es-CO"/>
        </w:rPr>
        <w:t xml:space="preserve"> </w:t>
      </w:r>
      <w:r w:rsidRPr="00275B0F">
        <w:rPr>
          <w:rFonts w:ascii="Verdana" w:eastAsiaTheme="minorEastAsia" w:hAnsi="Verdana" w:cs="Arial"/>
          <w:lang w:eastAsia="es-CO"/>
        </w:rPr>
        <w:t>funciones.</w:t>
      </w:r>
      <w:r w:rsidRPr="00275B0F">
        <w:rPr>
          <w:rFonts w:ascii="Verdana" w:eastAsia="Calibri" w:hAnsi="Verdana" w:cs="Arial"/>
          <w:color w:val="000000" w:themeColor="text1"/>
          <w:lang w:val="es-ES" w:eastAsia="es-ES"/>
        </w:rPr>
        <w:t xml:space="preserve"> </w:t>
      </w:r>
      <w:r w:rsidRPr="00275B0F">
        <w:rPr>
          <w:rFonts w:ascii="Verdana" w:eastAsia="Calibri" w:hAnsi="Verdana" w:cs="Arial"/>
          <w:color w:val="000000" w:themeColor="text1"/>
          <w:szCs w:val="24"/>
          <w:lang w:val="es-ES_tradnl" w:eastAsia="es-ES_tradnl"/>
        </w:rPr>
        <w:tab/>
      </w:r>
    </w:p>
    <w:p w14:paraId="4205A8BB" w14:textId="77777777" w:rsidR="009A5105" w:rsidRPr="00275B0F" w:rsidRDefault="009A5105" w:rsidP="009A5105">
      <w:pPr>
        <w:spacing w:after="0" w:line="276" w:lineRule="auto"/>
        <w:ind w:firstLine="709"/>
        <w:jc w:val="both"/>
        <w:rPr>
          <w:rFonts w:ascii="Verdana" w:eastAsia="Calibri" w:hAnsi="Verdana" w:cs="Arial"/>
          <w:color w:val="000000" w:themeColor="text1"/>
          <w:lang w:val="es-ES" w:eastAsia="es-ES"/>
        </w:rPr>
      </w:pPr>
      <w:r w:rsidRPr="00275B0F">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6E26D82F" w14:textId="77777777" w:rsidR="009A5105" w:rsidRPr="00275B0F" w:rsidRDefault="009A5105" w:rsidP="009A5105">
      <w:pPr>
        <w:spacing w:after="0" w:line="276" w:lineRule="auto"/>
        <w:ind w:firstLine="709"/>
        <w:jc w:val="both"/>
        <w:rPr>
          <w:rFonts w:ascii="Verdana" w:eastAsia="Calibri" w:hAnsi="Verdana" w:cs="Arial"/>
          <w:color w:val="000000" w:themeColor="text1"/>
          <w:lang w:val="es-ES" w:eastAsia="es-ES"/>
        </w:rPr>
      </w:pPr>
    </w:p>
    <w:p w14:paraId="63408380" w14:textId="77777777" w:rsidR="009A5105" w:rsidRPr="00275B0F" w:rsidRDefault="009A5105" w:rsidP="009A5105">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275B0F">
        <w:rPr>
          <w:rFonts w:ascii="Verdana" w:eastAsia="Century Gothic" w:hAnsi="Verdana" w:cs="Century Gothic"/>
          <w:b/>
          <w:bCs/>
          <w:color w:val="000000" w:themeColor="text1"/>
          <w:lang w:val="es-ES"/>
        </w:rPr>
        <w:t>Problema planteado:</w:t>
      </w:r>
    </w:p>
    <w:p w14:paraId="3D01AC3A" w14:textId="77777777" w:rsidR="009A5105" w:rsidRPr="00275B0F" w:rsidRDefault="009A5105" w:rsidP="009A5105">
      <w:pPr>
        <w:tabs>
          <w:tab w:val="left" w:pos="426"/>
        </w:tabs>
        <w:spacing w:after="0" w:line="276" w:lineRule="auto"/>
        <w:jc w:val="both"/>
        <w:rPr>
          <w:rFonts w:ascii="Verdana" w:eastAsia="Century Gothic" w:hAnsi="Verdana" w:cs="Century Gothic"/>
          <w:color w:val="000000" w:themeColor="text1"/>
          <w:lang w:val="es-ES"/>
        </w:rPr>
      </w:pPr>
    </w:p>
    <w:p w14:paraId="0439080A" w14:textId="77777777" w:rsidR="009A5105" w:rsidRPr="00275B0F" w:rsidRDefault="009A5105" w:rsidP="009A5105">
      <w:pPr>
        <w:spacing w:after="0" w:line="276" w:lineRule="auto"/>
        <w:jc w:val="both"/>
        <w:rPr>
          <w:rFonts w:ascii="Verdana" w:eastAsia="Century Gothic" w:hAnsi="Verdana" w:cs="Century Gothic"/>
          <w:color w:val="000000" w:themeColor="text1"/>
        </w:rPr>
      </w:pPr>
      <w:r w:rsidRPr="00275B0F">
        <w:rPr>
          <w:rFonts w:ascii="Verdana" w:eastAsia="Century Gothic" w:hAnsi="Verdana" w:cs="Century Gothic"/>
          <w:color w:val="000000" w:themeColor="text1"/>
        </w:rPr>
        <w:t>De acuerdo con el contenido de su solicitud, esta Agencia resolverá el siguiente problema jurídico: ¿puede requerirse como requisito habilitante contar con un establecimiento de comercio o “local”</w:t>
      </w:r>
      <w:r w:rsidRPr="00275B0F">
        <w:rPr>
          <w:rFonts w:ascii="Verdana" w:hAnsi="Verdana"/>
        </w:rPr>
        <w:t xml:space="preserve"> propio, para la ejecución de un contrato de suministro de bienes</w:t>
      </w:r>
      <w:r w:rsidRPr="00275B0F">
        <w:rPr>
          <w:rFonts w:ascii="Verdana" w:eastAsia="Century Gothic" w:hAnsi="Verdana" w:cs="Century Gothic"/>
          <w:color w:val="000000" w:themeColor="text1"/>
        </w:rPr>
        <w:t xml:space="preserve">? </w:t>
      </w:r>
    </w:p>
    <w:p w14:paraId="1AF60861" w14:textId="77777777" w:rsidR="009A5105" w:rsidRPr="00275B0F" w:rsidRDefault="009A5105" w:rsidP="009A5105">
      <w:pPr>
        <w:spacing w:after="0" w:line="276" w:lineRule="auto"/>
        <w:jc w:val="both"/>
        <w:rPr>
          <w:rFonts w:ascii="Verdana" w:eastAsia="Calibri" w:hAnsi="Verdana" w:cs="Arial"/>
          <w:color w:val="000000" w:themeColor="text1"/>
          <w:lang w:val="es-ES"/>
        </w:rPr>
      </w:pPr>
    </w:p>
    <w:p w14:paraId="6BAC332C" w14:textId="77777777" w:rsidR="009A5105" w:rsidRPr="00275B0F" w:rsidRDefault="009A5105" w:rsidP="009A5105">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275B0F">
        <w:rPr>
          <w:rFonts w:ascii="Verdana" w:eastAsia="Century Gothic" w:hAnsi="Verdana" w:cs="Century Gothic"/>
          <w:b/>
          <w:bCs/>
          <w:color w:val="000000" w:themeColor="text1"/>
          <w:lang w:val="es-ES"/>
        </w:rPr>
        <w:t>Respuesta:</w:t>
      </w:r>
    </w:p>
    <w:p w14:paraId="48341931" w14:textId="77777777" w:rsidR="009A5105" w:rsidRPr="00275B0F" w:rsidRDefault="009A5105" w:rsidP="009A5105">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A5105" w:rsidRPr="00275B0F" w14:paraId="1521289A" w14:textId="77777777" w:rsidTr="0056491E">
        <w:tc>
          <w:tcPr>
            <w:tcW w:w="8828" w:type="dxa"/>
          </w:tcPr>
          <w:p w14:paraId="11B75089" w14:textId="77777777" w:rsidR="009A5105" w:rsidRPr="00275B0F" w:rsidRDefault="009A5105" w:rsidP="0056491E">
            <w:pPr>
              <w:spacing w:after="120" w:line="276" w:lineRule="auto"/>
              <w:jc w:val="both"/>
              <w:rPr>
                <w:rFonts w:ascii="Verdana" w:hAnsi="Verdana"/>
              </w:rPr>
            </w:pPr>
            <w:r w:rsidRPr="00275B0F">
              <w:rPr>
                <w:rFonts w:ascii="Verdana" w:hAnsi="Verdana"/>
              </w:rPr>
              <w:t>Los factores de escogencia y calificación que establezcan las Entidades en los pliegos de condiciones o sus documentos equivalentes deberán tener en cuenta el deber de selección objetiva. En especial, señala la Ley que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4099422E" w14:textId="77777777" w:rsidR="009A5105" w:rsidRPr="00275B0F" w:rsidRDefault="009A5105" w:rsidP="0056491E">
            <w:pPr>
              <w:spacing w:after="120" w:line="276" w:lineRule="auto"/>
              <w:ind w:firstLine="743"/>
              <w:jc w:val="both"/>
              <w:rPr>
                <w:rFonts w:ascii="Verdana" w:hAnsi="Verdana"/>
              </w:rPr>
            </w:pPr>
            <w:r w:rsidRPr="00275B0F">
              <w:rPr>
                <w:rFonts w:ascii="Verdana" w:hAnsi="Verdana"/>
              </w:rPr>
              <w:t xml:space="preserve">En este sentido, si bien las Entidades Estatales son autónomas para definir los requisitos habilitantes, tal facultad no puede ejercerse de forma arbitraria, caprichosa y, mucho menos, con el ánimo de direccionar el proceso de contratación o favorecer a alguno de los proponentes. Dicha autonomía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a contratar, procurando además ceñirse a la normativa que resulte aplicable. </w:t>
            </w:r>
          </w:p>
          <w:p w14:paraId="528CB135" w14:textId="77777777" w:rsidR="009A5105" w:rsidRPr="00275B0F" w:rsidRDefault="009A5105" w:rsidP="0056491E">
            <w:pPr>
              <w:spacing w:after="120" w:line="276" w:lineRule="auto"/>
              <w:ind w:firstLine="743"/>
              <w:jc w:val="both"/>
              <w:rPr>
                <w:rFonts w:ascii="Verdana" w:hAnsi="Verdana"/>
              </w:rPr>
            </w:pPr>
            <w:r w:rsidRPr="00275B0F">
              <w:rPr>
                <w:rFonts w:ascii="Verdana" w:hAnsi="Verdana"/>
                <w:lang w:val="es-ES"/>
              </w:rPr>
              <w:t>Frente</w:t>
            </w:r>
            <w:r w:rsidRPr="00275B0F">
              <w:rPr>
                <w:rFonts w:ascii="Verdana" w:hAnsi="Verdana"/>
              </w:rPr>
              <w:t xml:space="preserve"> a la exigencia de que el proponente cuente con establecimiento de comercio o local propio – tema que señala en su consulta -, es necesario tener en cuenta que, la actividad comercial se realiza a través de establecimientos de comercio sujetos al registro mercantil. En efecto, de conformidad con el artículo 25 del Código de Comercio, “Se entenderá por empresa toda actividad económica organizada para la producción, transformación, circulación, administración o custodia de bienes, o para la prestación de servicios. Dicha actividad se realizará a través de uno o más establecimientos de comercio” </w:t>
            </w:r>
            <w:r w:rsidRPr="00275B0F">
              <w:rPr>
                <w:rFonts w:ascii="Verdana" w:hAnsi="Verdana"/>
                <w:lang w:val="es-ES"/>
              </w:rPr>
              <w:t>(Énfasis fuera de texto)</w:t>
            </w:r>
            <w:r w:rsidRPr="00275B0F">
              <w:rPr>
                <w:rFonts w:ascii="Verdana" w:hAnsi="Verdana"/>
              </w:rPr>
              <w:t>.</w:t>
            </w:r>
          </w:p>
          <w:p w14:paraId="7A771791" w14:textId="77777777" w:rsidR="009A5105" w:rsidRPr="00275B0F" w:rsidRDefault="009A5105" w:rsidP="0056491E">
            <w:pPr>
              <w:spacing w:after="120" w:line="276" w:lineRule="auto"/>
              <w:ind w:firstLine="743"/>
              <w:contextualSpacing/>
              <w:jc w:val="both"/>
              <w:rPr>
                <w:rFonts w:ascii="Verdana" w:hAnsi="Verdana" w:cs="Arial"/>
                <w:lang w:val="es-ES"/>
              </w:rPr>
            </w:pPr>
            <w:r w:rsidRPr="00275B0F">
              <w:rPr>
                <w:rFonts w:ascii="Verdana" w:hAnsi="Verdana"/>
              </w:rPr>
              <w:t>Así las cosas, es posible señalar que los establecimientos de comercio son un conjunto de bienes tendientes a cumplir con</w:t>
            </w:r>
            <w:r w:rsidRPr="00275B0F">
              <w:rPr>
                <w:rFonts w:ascii="Verdana" w:eastAsia="Calibri" w:hAnsi="Verdana" w:cs="Arial"/>
                <w:bCs/>
                <w:lang w:val="es-ES_tradnl"/>
              </w:rPr>
              <w:t xml:space="preserve"> los fines de la empresa. Si bien la titularidad de estos radica en las personas naturales o jurídicas, ellos no están ligados con la capacidad jurídica de estas para contraer obligaciones</w:t>
            </w:r>
            <w:r w:rsidRPr="00275B0F">
              <w:rPr>
                <w:rFonts w:ascii="Verdana" w:eastAsia="Times New Roman" w:hAnsi="Verdana" w:cs="Arial"/>
                <w:lang w:val="es-ES" w:eastAsia="es-ES_tradnl"/>
              </w:rPr>
              <w:t>.</w:t>
            </w:r>
            <w:r w:rsidRPr="00275B0F">
              <w:rPr>
                <w:rFonts w:ascii="Verdana" w:hAnsi="Verdana" w:cs="Arial"/>
                <w:lang w:val="es-ES"/>
              </w:rPr>
              <w:t xml:space="preserve"> </w:t>
            </w:r>
            <w:r w:rsidRPr="00275B0F">
              <w:rPr>
                <w:rFonts w:ascii="Verdana" w:hAnsi="Verdana" w:cs="Arial"/>
                <w:lang w:val="es-ES"/>
              </w:rPr>
              <w:lastRenderedPageBreak/>
              <w:t xml:space="preserve">De esta manera, se concluye que el establecimiento de comercio no está relacionado con la capacidad jurídica del proponente, por lo que no resulta procedente su requerimiento como un requisito habilitante asociado a la capacidad jurídica. </w:t>
            </w:r>
          </w:p>
          <w:p w14:paraId="45D0034C" w14:textId="77777777" w:rsidR="009A5105" w:rsidRPr="00275B0F" w:rsidRDefault="009A5105" w:rsidP="0056491E">
            <w:pPr>
              <w:spacing w:after="120" w:line="276" w:lineRule="auto"/>
              <w:ind w:firstLine="743"/>
              <w:contextualSpacing/>
              <w:jc w:val="both"/>
              <w:rPr>
                <w:rFonts w:ascii="Verdana" w:hAnsi="Verdana" w:cs="Arial"/>
                <w:lang w:val="es-ES"/>
              </w:rPr>
            </w:pPr>
            <w:r w:rsidRPr="00275B0F">
              <w:rPr>
                <w:rFonts w:ascii="Verdana" w:hAnsi="Verdana" w:cs="Arial"/>
                <w:lang w:val="es-ES"/>
              </w:rPr>
              <w:t>En este contexto, en principio no se advierte la viabilidad de exigir la existencia de un establecimiento de comercio o “local” propio como condición habilitante para la ejecución de un contrato de suministro. No obstante, debido a que la entidad cuenta con discrecionalidad para determinar los requisitos habilitantes, resulta indispensable analizar dicho requerimiento a la luz de las condiciones técnicas específicas del contrato y si este constituye un requisito estrictamente indispensable para garantizar el adecuado desarrollo del objeto contractual y la correcta prestación del servicio.</w:t>
            </w:r>
          </w:p>
          <w:p w14:paraId="581B4A8F" w14:textId="77777777" w:rsidR="009A5105" w:rsidRPr="00275B0F" w:rsidRDefault="009A5105" w:rsidP="0056491E">
            <w:pPr>
              <w:spacing w:after="120" w:line="276" w:lineRule="auto"/>
              <w:ind w:firstLine="743"/>
              <w:contextualSpacing/>
              <w:jc w:val="both"/>
              <w:rPr>
                <w:rFonts w:ascii="Verdana" w:hAnsi="Verdana"/>
                <w:lang w:val="es-ES"/>
              </w:rPr>
            </w:pPr>
            <w:r w:rsidRPr="00275B0F">
              <w:rPr>
                <w:rFonts w:ascii="Verdana" w:hAnsi="Verdana"/>
                <w:lang w:val="es-ES"/>
              </w:rPr>
              <w:t>En consecuencia, aunque no lo es lo recomendable, si la entidad decide, en el ejercicio de su autonomía y discrecionalidad, exigirlo como un requisito habilitante de carácter técnico en los procesos de contratación, debe estar precedida de una justificación técnica y objetiva por parte de la entidad contratante. Esta exigencia no puede responder a criterios arbitrarios o caprichosos, sino que debe sustentarse en la necesidad concreta de garantizar la adecuada ejecución del objeto contractual, esto es, la prestación eficiente del servicio contratado. Así, resulta indispensable que se demuestre que la presencia de un establecimiento de comercio o “local” propio del contratista es determinante para el desarrollo del contrato de suministro.</w:t>
            </w:r>
          </w:p>
          <w:p w14:paraId="2A082286" w14:textId="77777777" w:rsidR="009A5105" w:rsidRPr="00275B0F" w:rsidRDefault="009A5105" w:rsidP="0056491E">
            <w:pPr>
              <w:spacing w:after="120" w:line="276" w:lineRule="auto"/>
              <w:ind w:firstLine="743"/>
              <w:contextualSpacing/>
              <w:jc w:val="both"/>
              <w:rPr>
                <w:rFonts w:ascii="Verdana" w:hAnsi="Verdana"/>
                <w:lang w:val="es-ES"/>
              </w:rPr>
            </w:pPr>
            <w:r w:rsidRPr="00275B0F">
              <w:rPr>
                <w:rFonts w:ascii="Verdana" w:hAnsi="Verdana"/>
                <w:lang w:val="es-ES"/>
              </w:rPr>
              <w:t>En este sentido, exigir la existencia de un “local” propio puede convertirse en una barrera de acceso que limita injustificadamente la participación de oferentes que, si bien no tienen presencia física propia, cuentan con las capacidades jurídicas, financieras, técnicas y de experiencia requeridas para ejecutar adecuadamente el contrato. Por ello, tales requisitos deben analizarse bajo el principio de proporcionalidad y de adecuación, conforme se explicó, salvo que exista una norma especial que imponga dicha condición para efectos de la prestación del servicio</w:t>
            </w:r>
          </w:p>
        </w:tc>
      </w:tr>
    </w:tbl>
    <w:p w14:paraId="341F5F15" w14:textId="77777777" w:rsidR="009A5105" w:rsidRPr="00275B0F" w:rsidRDefault="009A5105" w:rsidP="009A510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28F78E1" w14:textId="77777777" w:rsidR="009A5105" w:rsidRPr="00275B0F" w:rsidRDefault="009A5105" w:rsidP="009A5105">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275B0F">
        <w:rPr>
          <w:rFonts w:ascii="Verdana" w:eastAsia="Century Gothic" w:hAnsi="Verdana" w:cs="Century Gothic"/>
          <w:b/>
          <w:bCs/>
          <w:color w:val="000000" w:themeColor="text1"/>
          <w:lang w:val="es-ES"/>
        </w:rPr>
        <w:t>Razones de la respuesta:</w:t>
      </w:r>
    </w:p>
    <w:p w14:paraId="451D17D2" w14:textId="77777777" w:rsidR="009A5105" w:rsidRPr="00275B0F" w:rsidRDefault="009A5105" w:rsidP="009A5105">
      <w:pPr>
        <w:spacing w:after="0" w:line="276" w:lineRule="auto"/>
        <w:jc w:val="both"/>
        <w:rPr>
          <w:rFonts w:ascii="Verdana" w:eastAsia="Calibri" w:hAnsi="Verdana" w:cs="Arial"/>
          <w:color w:val="000000" w:themeColor="text1"/>
          <w:lang w:val="es-ES"/>
        </w:rPr>
      </w:pPr>
    </w:p>
    <w:p w14:paraId="0827A317" w14:textId="77777777" w:rsidR="009A5105" w:rsidRPr="00275B0F" w:rsidRDefault="009A5105" w:rsidP="009A5105">
      <w:pPr>
        <w:spacing w:after="0" w:line="276" w:lineRule="auto"/>
        <w:jc w:val="both"/>
        <w:rPr>
          <w:rFonts w:ascii="Verdana" w:eastAsia="Calibri" w:hAnsi="Verdana" w:cs="Arial"/>
          <w:color w:val="000000" w:themeColor="text1"/>
          <w:lang w:val="es-ES"/>
        </w:rPr>
      </w:pPr>
      <w:r w:rsidRPr="00275B0F">
        <w:rPr>
          <w:rFonts w:ascii="Verdana" w:eastAsia="Calibri" w:hAnsi="Verdana" w:cs="Arial"/>
          <w:color w:val="000000" w:themeColor="text1"/>
          <w:lang w:val="es-ES"/>
        </w:rPr>
        <w:t xml:space="preserve">Lo anterior se sustenta en las siguientes consideraciones: </w:t>
      </w:r>
    </w:p>
    <w:p w14:paraId="73A86DFD" w14:textId="77777777" w:rsidR="009A5105" w:rsidRPr="00275B0F" w:rsidRDefault="009A5105" w:rsidP="009A5105">
      <w:pPr>
        <w:spacing w:after="120" w:line="276" w:lineRule="auto"/>
        <w:jc w:val="both"/>
        <w:rPr>
          <w:rFonts w:ascii="Verdana" w:eastAsia="Calibri" w:hAnsi="Verdana" w:cs="Arial"/>
          <w:color w:val="000000" w:themeColor="text1"/>
          <w:lang w:val="es-ES"/>
        </w:rPr>
      </w:pPr>
    </w:p>
    <w:p w14:paraId="1F906B70" w14:textId="77777777" w:rsidR="009A5105" w:rsidRPr="00275B0F" w:rsidRDefault="009A5105" w:rsidP="009A5105">
      <w:pPr>
        <w:spacing w:after="120" w:line="276" w:lineRule="auto"/>
        <w:jc w:val="both"/>
        <w:rPr>
          <w:rFonts w:ascii="Verdana" w:hAnsi="Verdana" w:cs="Arial"/>
          <w:bCs/>
          <w:lang w:val="es-ES_tradnl" w:eastAsia="es-ES" w:bidi="es-ES"/>
        </w:rPr>
      </w:pPr>
      <w:r w:rsidRPr="00275B0F">
        <w:rPr>
          <w:rFonts w:ascii="Verdana" w:hAnsi="Verdana" w:cs="Arial"/>
          <w:bCs/>
          <w:lang w:val="es-ES_tradnl" w:eastAsia="es-ES" w:bidi="es-ES"/>
        </w:rPr>
        <w:t xml:space="preserve">Los </w:t>
      </w:r>
      <w:r w:rsidRPr="00275B0F">
        <w:rPr>
          <w:rFonts w:ascii="Verdana" w:hAnsi="Verdana" w:cs="Arial"/>
          <w:bCs/>
          <w:i/>
          <w:iCs/>
          <w:lang w:val="es-ES_tradnl" w:eastAsia="es-ES" w:bidi="es-ES"/>
        </w:rPr>
        <w:t>requisitos habilitantes</w:t>
      </w:r>
      <w:r w:rsidRPr="00275B0F">
        <w:rPr>
          <w:rFonts w:ascii="Verdana" w:hAnsi="Verdana" w:cs="Arial"/>
          <w:bCs/>
          <w:lang w:val="es-ES_tradnl" w:eastAsia="es-ES" w:bidi="es-ES"/>
        </w:rPr>
        <w:t xml:space="preserve"> se definen como exigencias de participación en los procedimientos de selección, establecidas en disposiciones normativas de </w:t>
      </w:r>
      <w:r w:rsidRPr="00275B0F">
        <w:rPr>
          <w:rFonts w:ascii="Verdana" w:hAnsi="Verdana" w:cs="Arial"/>
          <w:bCs/>
          <w:lang w:val="es-ES_tradnl" w:eastAsia="es-ES" w:bidi="es-ES"/>
        </w:rPr>
        <w:lastRenderedPageBreak/>
        <w:t xml:space="preserve">carácter legal o reglamentario, o contenidas en el acto administrativo que regula las reglas de la convocatoria, es decir, en el pliego de condiciones o el documento equivalente a este. Se diferencian de los </w:t>
      </w:r>
      <w:r w:rsidRPr="00275B0F">
        <w:rPr>
          <w:rFonts w:ascii="Verdana" w:hAnsi="Verdana" w:cs="Arial"/>
          <w:bCs/>
          <w:i/>
          <w:iCs/>
          <w:lang w:val="es-ES_tradnl" w:eastAsia="es-ES" w:bidi="es-ES"/>
        </w:rPr>
        <w:t>criterios de evaluación</w:t>
      </w:r>
      <w:r w:rsidRPr="00275B0F">
        <w:rPr>
          <w:rFonts w:ascii="Verdana" w:hAnsi="Verdana" w:cs="Arial"/>
          <w:bCs/>
          <w:lang w:val="es-ES_tradnl" w:eastAsia="es-ES" w:bidi="es-ES"/>
        </w:rPr>
        <w:t xml:space="preserve"> –también conocidos como </w:t>
      </w:r>
      <w:r w:rsidRPr="00275B0F">
        <w:rPr>
          <w:rFonts w:ascii="Verdana" w:hAnsi="Verdana" w:cs="Arial"/>
          <w:bCs/>
          <w:i/>
          <w:iCs/>
          <w:lang w:val="es-ES_tradnl" w:eastAsia="es-ES" w:bidi="es-ES"/>
        </w:rPr>
        <w:t>criterios de calificación</w:t>
      </w:r>
      <w:r w:rsidRPr="00275B0F">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2766A27" w14:textId="77777777" w:rsidR="009A5105" w:rsidRPr="00275B0F" w:rsidRDefault="009A5105" w:rsidP="009A5105">
      <w:pPr>
        <w:spacing w:after="120" w:line="276" w:lineRule="auto"/>
        <w:ind w:firstLine="708"/>
        <w:jc w:val="both"/>
        <w:rPr>
          <w:rFonts w:ascii="Verdana" w:eastAsia="Calibri" w:hAnsi="Verdana" w:cs="Arial"/>
          <w:lang w:val="es-ES" w:eastAsia="es-MX"/>
        </w:rPr>
      </w:pPr>
      <w:bookmarkStart w:id="1" w:name="_Hlk191626670"/>
      <w:r w:rsidRPr="00275B0F">
        <w:rPr>
          <w:rFonts w:ascii="Verdana" w:eastAsia="Calibri" w:hAnsi="Verdana" w:cs="Arial"/>
          <w:lang w:val="es-ES" w:eastAsia="es-MX"/>
        </w:rPr>
        <w:t xml:space="preserve">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w:t>
      </w:r>
      <w:bookmarkEnd w:id="1"/>
      <w:r w:rsidRPr="00275B0F">
        <w:rPr>
          <w:rFonts w:ascii="Verdana" w:eastAsia="Calibri" w:hAnsi="Verdana" w:cs="Arial"/>
          <w:lang w:val="es-ES" w:eastAsia="es-MX"/>
        </w:rPr>
        <w:t xml:space="preserve">Esto, sin perjuicio del derecho que tienen los oferentes de subsanar los defectos que se presenten en la prueba de tales requisitos, de conformidad con el </w:t>
      </w:r>
      <w:bookmarkStart w:id="2" w:name="_Hlk191626971"/>
      <w:r w:rsidRPr="00275B0F">
        <w:rPr>
          <w:rFonts w:ascii="Verdana" w:eastAsia="Calibri" w:hAnsi="Verdana" w:cs="Arial"/>
          <w:lang w:val="es-ES" w:eastAsia="es-MX"/>
        </w:rPr>
        <w:t>artículo 5, parágrafos 1º al 4º, de la Ley 1150 de 2007</w:t>
      </w:r>
      <w:bookmarkEnd w:id="2"/>
      <w:r w:rsidRPr="00275B0F">
        <w:rPr>
          <w:rFonts w:ascii="Verdana" w:eastAsia="Calibri" w:hAnsi="Verdana" w:cs="Arial"/>
          <w:lang w:val="es-ES" w:eastAsia="es-MX"/>
        </w:rPr>
        <w:t>.</w:t>
      </w:r>
    </w:p>
    <w:p w14:paraId="13D31211" w14:textId="77777777" w:rsidR="009A5105" w:rsidRPr="00275B0F" w:rsidRDefault="009A5105" w:rsidP="009A5105">
      <w:pPr>
        <w:spacing w:after="120" w:line="276" w:lineRule="auto"/>
        <w:ind w:firstLine="708"/>
        <w:jc w:val="both"/>
        <w:rPr>
          <w:rFonts w:ascii="Verdana" w:hAnsi="Verdana" w:cs="Arial"/>
          <w:color w:val="000000" w:themeColor="text1"/>
          <w:lang w:val="es-ES_tradnl"/>
        </w:rPr>
      </w:pPr>
      <w:r w:rsidRPr="00275B0F">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275B0F">
        <w:rPr>
          <w:rFonts w:ascii="Verdana" w:hAnsi="Verdana" w:cs="Arial"/>
          <w:i/>
          <w:iCs/>
          <w:color w:val="000000" w:themeColor="text1"/>
          <w:lang w:val="es-ES_tradnl"/>
        </w:rPr>
        <w:t>.</w:t>
      </w:r>
      <w:r w:rsidRPr="00275B0F">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2368DCFD" w14:textId="77777777" w:rsidR="009A5105" w:rsidRPr="00275B0F" w:rsidRDefault="009A5105" w:rsidP="009A5105">
      <w:pPr>
        <w:spacing w:after="0" w:line="276" w:lineRule="auto"/>
        <w:ind w:firstLine="708"/>
        <w:jc w:val="both"/>
        <w:rPr>
          <w:rFonts w:ascii="Verdana" w:hAnsi="Verdana" w:cs="Arial"/>
          <w:bCs/>
          <w:lang w:val="es-ES" w:eastAsia="es-ES" w:bidi="es-ES"/>
        </w:rPr>
      </w:pPr>
      <w:r w:rsidRPr="00275B0F">
        <w:rPr>
          <w:rFonts w:ascii="Verdana" w:hAnsi="Verdana" w:cs="Arial"/>
          <w:bCs/>
          <w:lang w:val="es-ES" w:eastAsia="es-ES" w:bidi="es-ES"/>
        </w:rPr>
        <w:t xml:space="preserve">Específicamente, el numeral 1º del artículo 5 de la Ley 1150 de 2007 establece que, en los procesos de selección de contratistas, serán objeto de verificación, como requisitos habilitantes, </w:t>
      </w:r>
      <w:r w:rsidRPr="00275B0F">
        <w:rPr>
          <w:rFonts w:ascii="Verdana" w:hAnsi="Verdana" w:cs="Arial"/>
          <w:bCs/>
          <w:i/>
          <w:iCs/>
          <w:lang w:val="es-ES" w:eastAsia="es-ES" w:bidi="es-ES"/>
        </w:rPr>
        <w:t>entre otros</w:t>
      </w:r>
      <w:r w:rsidRPr="00275B0F">
        <w:rPr>
          <w:rFonts w:ascii="Verdana" w:hAnsi="Verdana" w:cs="Arial"/>
          <w:bCs/>
          <w:lang w:val="es-ES" w:eastAsia="es-ES" w:bidi="es-ES"/>
        </w:rPr>
        <w:t>, los siguientes: (i) la capacidad jurídica; (ii) la experiencia; (iii) la capacidad financiera y (iv) la capacidad de organización. En efecto, la normativa citada prescribe:</w:t>
      </w:r>
    </w:p>
    <w:p w14:paraId="08F292FB" w14:textId="77777777" w:rsidR="009A5105" w:rsidRPr="00275B0F" w:rsidRDefault="009A5105" w:rsidP="009A5105">
      <w:pPr>
        <w:spacing w:after="0" w:line="276" w:lineRule="auto"/>
        <w:ind w:firstLine="708"/>
        <w:jc w:val="both"/>
        <w:rPr>
          <w:rFonts w:ascii="Verdana" w:hAnsi="Verdana" w:cs="Arial"/>
          <w:bCs/>
          <w:lang w:val="es-ES" w:eastAsia="es-ES" w:bidi="es-ES"/>
        </w:rPr>
      </w:pPr>
    </w:p>
    <w:p w14:paraId="5CFD5C15" w14:textId="77777777" w:rsidR="009A5105" w:rsidRPr="00275B0F" w:rsidRDefault="009A5105" w:rsidP="009A5105">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i/>
          <w:sz w:val="20"/>
          <w:szCs w:val="20"/>
          <w:lang w:val="es-ES_tradnl" w:eastAsia="es-ES" w:bidi="es-ES"/>
        </w:rPr>
        <w:t>“</w:t>
      </w:r>
      <w:r w:rsidRPr="00275B0F">
        <w:rPr>
          <w:rFonts w:ascii="Verdana" w:hAnsi="Verdana" w:cs="Arial"/>
          <w:sz w:val="20"/>
          <w:szCs w:val="20"/>
          <w:lang w:val="es-ES_tradnl" w:eastAsia="es-ES" w:bidi="es-ES"/>
        </w:rPr>
        <w:t xml:space="preserve">Artículo 5. De la Selección Objetiva. </w:t>
      </w:r>
    </w:p>
    <w:p w14:paraId="7EC2749B" w14:textId="77777777" w:rsidR="009A5105" w:rsidRPr="00275B0F" w:rsidRDefault="009A5105" w:rsidP="009A5105">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sz w:val="20"/>
          <w:szCs w:val="20"/>
          <w:lang w:val="es-ES_tradnl" w:eastAsia="es-ES" w:bidi="es-ES"/>
        </w:rPr>
        <w:t>[…]</w:t>
      </w:r>
    </w:p>
    <w:p w14:paraId="05005C7E" w14:textId="77777777" w:rsidR="009A5105" w:rsidRPr="00275B0F" w:rsidRDefault="009A5105" w:rsidP="009A5105">
      <w:pPr>
        <w:spacing w:after="0" w:line="240" w:lineRule="auto"/>
        <w:ind w:left="709" w:right="709"/>
        <w:jc w:val="both"/>
        <w:rPr>
          <w:rFonts w:ascii="Verdana" w:hAnsi="Verdana" w:cs="Arial"/>
          <w:sz w:val="20"/>
          <w:szCs w:val="20"/>
          <w:lang w:val="es-ES" w:eastAsia="es-ES" w:bidi="es-ES"/>
        </w:rPr>
      </w:pPr>
      <w:r w:rsidRPr="00275B0F">
        <w:rPr>
          <w:rFonts w:ascii="Verdana" w:hAnsi="Verdana" w:cs="Arial"/>
          <w:sz w:val="20"/>
          <w:szCs w:val="20"/>
          <w:lang w:val="es-ES" w:eastAsia="es-ES" w:bidi="es-ES"/>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w:t>
      </w:r>
      <w:r w:rsidRPr="00275B0F">
        <w:rPr>
          <w:rFonts w:ascii="Verdana" w:hAnsi="Verdana" w:cs="Arial"/>
          <w:sz w:val="20"/>
          <w:szCs w:val="20"/>
          <w:lang w:val="es-ES" w:eastAsia="es-ES" w:bidi="es-ES"/>
        </w:rPr>
        <w:lastRenderedPageBreak/>
        <w:t>condiciones antes señaladas será efectuada por las Cámaras de Comercio de conformidad con lo establecido en el artículo 6 de la presente ley, de acuerdo con lo cual se expedirá la respectiva certificación”.</w:t>
      </w:r>
    </w:p>
    <w:p w14:paraId="79E8FCC0" w14:textId="77777777" w:rsidR="009A5105" w:rsidRPr="00275B0F" w:rsidRDefault="009A5105" w:rsidP="009A5105">
      <w:pPr>
        <w:spacing w:after="0" w:line="276" w:lineRule="auto"/>
        <w:ind w:right="709"/>
        <w:jc w:val="both"/>
        <w:rPr>
          <w:rFonts w:ascii="Verdana" w:hAnsi="Verdana" w:cs="Arial"/>
          <w:lang w:val="es-ES" w:eastAsia="es-ES" w:bidi="es-ES"/>
        </w:rPr>
      </w:pPr>
    </w:p>
    <w:p w14:paraId="7A354DAE" w14:textId="77777777" w:rsidR="009A5105" w:rsidRPr="00275B0F" w:rsidRDefault="009A5105" w:rsidP="009A5105">
      <w:pPr>
        <w:spacing w:after="120" w:line="276" w:lineRule="auto"/>
        <w:ind w:firstLine="708"/>
        <w:jc w:val="both"/>
        <w:rPr>
          <w:rFonts w:ascii="Verdana" w:eastAsia="Times New Roman" w:hAnsi="Verdana" w:cs="Arial"/>
          <w:highlight w:val="cyan"/>
          <w:lang w:val="es-ES_tradnl" w:eastAsia="es-MX"/>
        </w:rPr>
      </w:pPr>
      <w:bookmarkStart w:id="3" w:name="_Hlk99547809"/>
      <w:bookmarkStart w:id="4" w:name="_Hlk99546625"/>
      <w:r w:rsidRPr="00275B0F">
        <w:rPr>
          <w:rFonts w:ascii="Verdana" w:eastAsia="Times New Roman" w:hAnsi="Verdana" w:cs="Arial"/>
          <w:lang w:val="es-ES_tradnl" w:eastAsia="es-MX"/>
        </w:rPr>
        <w:t xml:space="preserve">La Agencia Nacional de Contratación Pública – Colombia Compra Eficiente ha defendido el carácter </w:t>
      </w:r>
      <w:bookmarkStart w:id="5" w:name="_Hlk99547799"/>
      <w:r w:rsidRPr="00275B0F">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3"/>
      <w:bookmarkEnd w:id="5"/>
      <w:r w:rsidRPr="00275B0F">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4"/>
      <w:r w:rsidRPr="00275B0F">
        <w:rPr>
          <w:rFonts w:ascii="Verdana" w:eastAsia="Times New Roman" w:hAnsi="Verdana" w:cs="Arial"/>
          <w:vertAlign w:val="superscript"/>
          <w:lang w:val="es-ES_tradnl" w:eastAsia="es-MX"/>
        </w:rPr>
        <w:footnoteReference w:id="2"/>
      </w:r>
      <w:r w:rsidRPr="00275B0F">
        <w:rPr>
          <w:rFonts w:ascii="Verdana" w:eastAsia="Times New Roman" w:hAnsi="Verdana" w:cs="Arial"/>
          <w:lang w:val="es-ES_tradnl" w:eastAsia="es-MX"/>
        </w:rPr>
        <w:t xml:space="preserve">. </w:t>
      </w:r>
    </w:p>
    <w:p w14:paraId="69F1F6D5" w14:textId="77777777" w:rsidR="009A5105" w:rsidRPr="00275B0F" w:rsidRDefault="009A5105" w:rsidP="009A5105">
      <w:pPr>
        <w:spacing w:after="120" w:line="276" w:lineRule="auto"/>
        <w:ind w:firstLine="708"/>
        <w:jc w:val="both"/>
        <w:rPr>
          <w:rFonts w:ascii="Verdana" w:hAnsi="Verdana" w:cs="Arial"/>
          <w:bCs/>
          <w:lang w:val="es-ES" w:eastAsia="es-ES" w:bidi="es-ES"/>
        </w:rPr>
      </w:pPr>
      <w:r w:rsidRPr="00275B0F">
        <w:rPr>
          <w:rFonts w:ascii="Verdana" w:eastAsia="Times New Roman" w:hAnsi="Verdana" w:cs="Arial"/>
          <w:lang w:val="es-ES" w:eastAsia="es-MX"/>
        </w:rPr>
        <w:t xml:space="preserve">Por otro lado, </w:t>
      </w:r>
      <w:r w:rsidRPr="00275B0F">
        <w:rPr>
          <w:rFonts w:ascii="Verdana" w:hAnsi="Verdana" w:cs="Arial"/>
          <w:bCs/>
          <w:lang w:val="es-ES" w:eastAsia="es-ES" w:bidi="es-ES"/>
        </w:rPr>
        <w:t xml:space="preserve">el artículo 5 de la Ley 1150 de 2007 dispone que se considera </w:t>
      </w:r>
      <w:r w:rsidRPr="00275B0F">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275B0F">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el deber de selección objetiva, según los criterios establecidos en dicha disposición. </w:t>
      </w:r>
    </w:p>
    <w:p w14:paraId="02973581" w14:textId="77777777" w:rsidR="009A5105" w:rsidRPr="00275B0F" w:rsidRDefault="009A5105" w:rsidP="009A5105">
      <w:pPr>
        <w:spacing w:after="120" w:line="276" w:lineRule="auto"/>
        <w:ind w:firstLine="708"/>
        <w:jc w:val="both"/>
        <w:rPr>
          <w:rFonts w:ascii="Verdana" w:hAnsi="Verdana" w:cs="Arial"/>
          <w:bCs/>
          <w:lang w:val="es-ES" w:eastAsia="es-ES" w:bidi="es-ES"/>
        </w:rPr>
      </w:pPr>
      <w:bookmarkStart w:id="6" w:name="_Hlk214518420"/>
      <w:r w:rsidRPr="00275B0F">
        <w:rPr>
          <w:rFonts w:ascii="Verdana" w:hAnsi="Verdana" w:cs="Arial"/>
          <w:bCs/>
          <w:lang w:val="es-ES" w:eastAsia="es-ES" w:bidi="es-ES"/>
        </w:rPr>
        <w:t xml:space="preserve">En especial, señala la Ley que los criterios habilitantes que determine la Entidad deberán ser </w:t>
      </w:r>
      <w:r w:rsidRPr="00275B0F">
        <w:rPr>
          <w:rFonts w:ascii="Verdana" w:hAnsi="Verdana" w:cs="Arial"/>
          <w:bCs/>
          <w:i/>
          <w:iCs/>
          <w:sz w:val="21"/>
          <w:szCs w:val="21"/>
          <w:lang w:val="es-ES" w:eastAsia="es-ES" w:bidi="es-ES"/>
        </w:rPr>
        <w:t>adecuados y proporcionales</w:t>
      </w:r>
      <w:r w:rsidRPr="00275B0F">
        <w:rPr>
          <w:rFonts w:ascii="Verdana" w:hAnsi="Verdana" w:cs="Arial"/>
          <w:bCs/>
          <w:sz w:val="21"/>
          <w:szCs w:val="21"/>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bookmarkEnd w:id="6"/>
    <w:p w14:paraId="7DEC4D75" w14:textId="77777777" w:rsidR="009A5105" w:rsidRPr="00275B0F" w:rsidRDefault="009A5105" w:rsidP="009A5105">
      <w:pPr>
        <w:spacing w:after="120" w:line="276" w:lineRule="auto"/>
        <w:ind w:firstLine="708"/>
        <w:jc w:val="both"/>
        <w:rPr>
          <w:rFonts w:ascii="Verdana" w:eastAsia="Times New Roman" w:hAnsi="Verdana" w:cs="Arial"/>
          <w:lang w:val="es-ES" w:eastAsia="es-MX"/>
        </w:rPr>
      </w:pPr>
      <w:r w:rsidRPr="00275B0F">
        <w:rPr>
          <w:rFonts w:ascii="Verdana" w:eastAsia="Times New Roman" w:hAnsi="Verdana" w:cs="Arial"/>
          <w:lang w:val="es-ES" w:eastAsia="es-MX"/>
        </w:rPr>
        <w:lastRenderedPageBreak/>
        <w:t xml:space="preserve">En línea con lo anterior, el </w:t>
      </w:r>
      <w:bookmarkStart w:id="7" w:name="_Hlk191627190"/>
      <w:r w:rsidRPr="00275B0F">
        <w:rPr>
          <w:rFonts w:ascii="Verdana" w:eastAsia="Times New Roman" w:hAnsi="Verdana" w:cs="Arial"/>
          <w:lang w:val="es-ES" w:eastAsia="es-MX"/>
        </w:rPr>
        <w:t>“Manual para determinar y verificar los requisitos habilitantes en los Procesos de Contratación</w:t>
      </w:r>
      <w:bookmarkEnd w:id="7"/>
      <w:r w:rsidRPr="00275B0F">
        <w:rPr>
          <w:rFonts w:ascii="Verdana" w:eastAsia="Times New Roman" w:hAnsi="Verdana" w:cs="Arial"/>
          <w:lang w:val="es-ES" w:eastAsia="es-MX"/>
        </w:rPr>
        <w:t>”</w:t>
      </w:r>
      <w:r w:rsidRPr="00275B0F">
        <w:rPr>
          <w:rFonts w:ascii="Verdana" w:eastAsia="Times New Roman" w:hAnsi="Verdana" w:cs="Arial"/>
          <w:vertAlign w:val="superscript"/>
          <w:lang w:val="es-ES" w:eastAsia="es-MX"/>
        </w:rPr>
        <w:footnoteReference w:id="3"/>
      </w:r>
      <w:r w:rsidRPr="00275B0F">
        <w:rPr>
          <w:rFonts w:ascii="Verdana" w:eastAsia="Calibri" w:hAnsi="Verdana" w:cs="Arial"/>
          <w:lang w:val="es-ES" w:eastAsia="es-MX"/>
        </w:rPr>
        <w:t>,</w:t>
      </w:r>
      <w:r w:rsidRPr="00275B0F">
        <w:rPr>
          <w:rFonts w:ascii="Verdana" w:eastAsia="Times New Roman" w:hAnsi="Verdana" w:cs="Arial"/>
          <w:lang w:val="es-ES" w:eastAsia="es-MX"/>
        </w:rPr>
        <w:t xml:space="preserve"> expedido por la </w:t>
      </w:r>
      <w:r w:rsidRPr="00275B0F">
        <w:rPr>
          <w:rFonts w:ascii="Verdana" w:eastAsia="Calibri" w:hAnsi="Verdana" w:cs="Arial"/>
          <w:lang w:val="es-ES" w:eastAsia="es-MX"/>
        </w:rPr>
        <w:t>Agencia Nacional de Contratación Pública – Colombia Compra Eficiente,</w:t>
      </w:r>
      <w:r w:rsidRPr="00275B0F">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8" w:name="_Hlk191627260"/>
      <w:r w:rsidRPr="00275B0F">
        <w:rPr>
          <w:rFonts w:ascii="Verdana" w:eastAsia="Times New Roman" w:hAnsi="Verdana" w:cs="Arial"/>
          <w:lang w:val="es-ES" w:eastAsia="es-MX"/>
        </w:rPr>
        <w:t xml:space="preserve">la aptitud del proponente para participar en un Proceso de Contratación como oferente y eventualmente asumir la ejecución del contrato, por lo que están referidos a su capacidad jurídica, financiera, organizacional y experiencia”. </w:t>
      </w:r>
      <w:bookmarkEnd w:id="8"/>
      <w:r w:rsidRPr="00275B0F">
        <w:rPr>
          <w:rFonts w:ascii="Verdana" w:eastAsia="Times New Roman" w:hAnsi="Verdana" w:cs="Arial"/>
          <w:lang w:val="es-ES" w:eastAsia="es-MX"/>
        </w:rPr>
        <w:t xml:space="preserve">De acuerdo con el Manual, su propósito consiste en “establecer unas condiciones mínimas </w:t>
      </w:r>
      <w:r w:rsidRPr="00275B0F">
        <w:rPr>
          <w:rFonts w:ascii="Verdana" w:eastAsia="Times New Roman" w:hAnsi="Verdana" w:cs="Arial"/>
          <w:lang w:eastAsia="es-MX"/>
        </w:rPr>
        <w:t>para la participación en los procedimientos de selección, establecidas en disposiciones normativas</w:t>
      </w:r>
      <w:r w:rsidRPr="00275B0F">
        <w:rPr>
          <w:rFonts w:ascii="Verdana" w:eastAsia="Times New Roman" w:hAnsi="Verdana" w:cs="Arial"/>
          <w:lang w:val="es-ES" w:eastAsia="es-MX"/>
        </w:rPr>
        <w:t xml:space="preserve">”. </w:t>
      </w:r>
    </w:p>
    <w:p w14:paraId="6D64792A" w14:textId="77777777" w:rsidR="009A5105" w:rsidRPr="00275B0F" w:rsidRDefault="009A5105" w:rsidP="009A5105">
      <w:pPr>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t xml:space="preserve">Así las cosas, al tratarse de condiciones mínimas, significa que </w:t>
      </w:r>
      <w:bookmarkStart w:id="9" w:name="_Hlk191627287"/>
      <w:r w:rsidRPr="00275B0F">
        <w:rPr>
          <w:rFonts w:ascii="Verdana" w:eastAsia="Times New Roman" w:hAnsi="Verdana" w:cs="Arial"/>
          <w:lang w:val="es-ES" w:eastAsia="es-MX"/>
        </w:rPr>
        <w:t xml:space="preserve">las Entidades podrían establecer otras, según su autonomía de la voluntad, y teniendo en cuenta el objeto del contrato, los riesgos detectados en los estudios previos, el presupuesto oficial, entre otros factores. Sin embargo, esto no implica que las Entidades puedan establecer cualquier tipo de requisitos, pues su exigencia debe en todo caso ser </w:t>
      </w:r>
      <w:r w:rsidRPr="00275B0F">
        <w:rPr>
          <w:rFonts w:ascii="Verdana" w:eastAsia="Times New Roman" w:hAnsi="Verdana" w:cs="Arial"/>
          <w:i/>
          <w:lang w:val="es-ES" w:eastAsia="es-MX"/>
        </w:rPr>
        <w:t>proporcional y adecuada</w:t>
      </w:r>
      <w:r w:rsidRPr="00275B0F">
        <w:rPr>
          <w:rFonts w:ascii="Verdana" w:eastAsia="Times New Roman" w:hAnsi="Verdana" w:cs="Arial"/>
          <w:lang w:val="es-ES" w:eastAsia="es-MX"/>
        </w:rPr>
        <w:t xml:space="preserve"> frente a la naturaleza y el valor del contrato.</w:t>
      </w:r>
    </w:p>
    <w:p w14:paraId="4289342C" w14:textId="77777777" w:rsidR="009A5105" w:rsidRPr="00275B0F" w:rsidRDefault="009A5105" w:rsidP="009A5105">
      <w:pPr>
        <w:tabs>
          <w:tab w:val="left" w:pos="426"/>
        </w:tabs>
        <w:spacing w:after="120" w:line="276" w:lineRule="auto"/>
        <w:ind w:firstLine="709"/>
        <w:jc w:val="both"/>
        <w:rPr>
          <w:rFonts w:ascii="Verdana" w:eastAsia="Times New Roman" w:hAnsi="Verdana" w:cs="Arial"/>
          <w:lang w:val="es-ES_tradnl" w:eastAsia="es-MX"/>
        </w:rPr>
      </w:pPr>
      <w:bookmarkStart w:id="10" w:name="_Hlk99548027"/>
      <w:bookmarkEnd w:id="9"/>
      <w:r w:rsidRPr="00275B0F">
        <w:rPr>
          <w:rFonts w:ascii="Verdana" w:eastAsia="Times New Roman" w:hAnsi="Verdana" w:cs="Arial"/>
          <w:lang w:val="es-ES_tradnl" w:eastAsia="es-MX"/>
        </w:rPr>
        <w:t xml:space="preserve">En ese sentido, </w:t>
      </w:r>
      <w:bookmarkStart w:id="11" w:name="_Hlk191627322"/>
      <w:r w:rsidRPr="00275B0F">
        <w:rPr>
          <w:rFonts w:ascii="Verdana" w:eastAsia="Times New Roman" w:hAnsi="Verdana" w:cs="Arial"/>
          <w:lang w:val="es-ES_tradnl" w:eastAsia="es-MX"/>
        </w:rPr>
        <w:t xml:space="preserve">si bien </w:t>
      </w:r>
      <w:r w:rsidRPr="00275B0F">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275B0F">
        <w:rPr>
          <w:rFonts w:ascii="Verdana" w:eastAsia="Times New Roman" w:hAnsi="Verdana" w:cs="Arial"/>
          <w:lang w:val="es-ES_tradnl" w:eastAsia="es-MX"/>
        </w:rPr>
        <w:t xml:space="preserve">En consecuencia, corresponde a las Entidades Estatales, durante la etapa de planeación del contrato estatal, estudiar y </w:t>
      </w:r>
      <w:r w:rsidRPr="00275B0F">
        <w:rPr>
          <w:rFonts w:ascii="Verdana" w:eastAsia="Times New Roman" w:hAnsi="Verdana" w:cs="Arial"/>
          <w:bCs/>
          <w:iCs/>
          <w:lang w:val="es-ES_tradnl" w:eastAsia="es-MX"/>
        </w:rPr>
        <w:t>determinar</w:t>
      </w:r>
      <w:r w:rsidRPr="00275B0F">
        <w:rPr>
          <w:rFonts w:ascii="Verdana" w:eastAsia="Times New Roman" w:hAnsi="Verdana" w:cs="Arial"/>
          <w:lang w:val="es-ES_tradnl" w:eastAsia="es-MX"/>
        </w:rPr>
        <w:t xml:space="preserve"> los requisitos habilitantes que establecerán en los pliegos de condiciones o documentos equivalentes, </w:t>
      </w:r>
      <w:r w:rsidRPr="00275B0F">
        <w:rPr>
          <w:rFonts w:ascii="Verdana" w:eastAsia="Times New Roman" w:hAnsi="Verdana" w:cs="Arial"/>
          <w:i/>
          <w:iCs/>
          <w:lang w:val="es-ES_tradnl" w:eastAsia="es-MX"/>
        </w:rPr>
        <w:t>los cuales deben fijarse de forma adecuada y proporcional</w:t>
      </w:r>
      <w:r w:rsidRPr="00275B0F">
        <w:rPr>
          <w:rFonts w:ascii="Verdana" w:eastAsia="Times New Roman" w:hAnsi="Verdana" w:cs="Arial"/>
          <w:lang w:val="es-ES_tradnl" w:eastAsia="es-MX"/>
        </w:rPr>
        <w:t xml:space="preserve">. </w:t>
      </w:r>
      <w:bookmarkEnd w:id="10"/>
      <w:bookmarkEnd w:id="11"/>
      <w:r w:rsidRPr="00275B0F">
        <w:rPr>
          <w:rFonts w:ascii="Verdana" w:eastAsia="Times New Roman" w:hAnsi="Verdana" w:cs="Arial"/>
          <w:lang w:val="es-ES_tradnl" w:eastAsia="es-MX"/>
        </w:rPr>
        <w:t>Al respecto, en la Sentencia C-004 de 2017, la Corte Constitucional señaló que:</w:t>
      </w:r>
    </w:p>
    <w:p w14:paraId="24A355D3" w14:textId="77777777" w:rsidR="009A5105" w:rsidRPr="00275B0F" w:rsidRDefault="009A5105" w:rsidP="009A5105">
      <w:pPr>
        <w:tabs>
          <w:tab w:val="left" w:pos="426"/>
        </w:tabs>
        <w:spacing w:after="0" w:line="276" w:lineRule="auto"/>
        <w:ind w:firstLine="709"/>
        <w:jc w:val="both"/>
        <w:rPr>
          <w:rFonts w:ascii="Verdana" w:eastAsia="Times New Roman" w:hAnsi="Verdana" w:cs="Arial"/>
          <w:lang w:val="es-ES_tradnl" w:eastAsia="es-MX"/>
        </w:rPr>
      </w:pPr>
    </w:p>
    <w:p w14:paraId="29205153" w14:textId="77777777" w:rsidR="009A5105" w:rsidRPr="00275B0F" w:rsidRDefault="009A5105" w:rsidP="009A5105">
      <w:pPr>
        <w:spacing w:after="0" w:line="240" w:lineRule="auto"/>
        <w:ind w:left="709" w:right="709"/>
        <w:jc w:val="both"/>
        <w:rPr>
          <w:rFonts w:ascii="Verdana" w:hAnsi="Verdana" w:cs="Arial"/>
          <w:sz w:val="20"/>
          <w:szCs w:val="20"/>
          <w:lang w:val="es-ES_tradnl" w:eastAsia="es-ES" w:bidi="es-ES"/>
        </w:rPr>
      </w:pPr>
      <w:r w:rsidRPr="00275B0F">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57DCB68A" w14:textId="77777777" w:rsidR="009A5105" w:rsidRPr="00275B0F" w:rsidRDefault="009A5105" w:rsidP="009A5105">
      <w:pPr>
        <w:spacing w:after="0" w:line="276" w:lineRule="auto"/>
        <w:ind w:left="709" w:right="709"/>
        <w:jc w:val="both"/>
        <w:rPr>
          <w:rFonts w:ascii="Verdana" w:hAnsi="Verdana" w:cs="Arial"/>
          <w:bCs/>
          <w:lang w:val="es-ES_tradnl" w:eastAsia="es-ES" w:bidi="es-ES"/>
        </w:rPr>
      </w:pPr>
    </w:p>
    <w:p w14:paraId="4953C0B9" w14:textId="77777777" w:rsidR="009A5105" w:rsidRPr="00275B0F" w:rsidRDefault="009A5105" w:rsidP="009A5105">
      <w:pPr>
        <w:tabs>
          <w:tab w:val="left" w:pos="426"/>
        </w:tabs>
        <w:spacing w:after="120" w:line="276" w:lineRule="auto"/>
        <w:ind w:firstLine="709"/>
        <w:jc w:val="both"/>
        <w:rPr>
          <w:rFonts w:ascii="Verdana" w:eastAsia="Times New Roman" w:hAnsi="Verdana" w:cs="Arial"/>
          <w:lang w:val="es-ES_tradnl" w:eastAsia="es-MX"/>
        </w:rPr>
      </w:pPr>
      <w:r w:rsidRPr="00275B0F">
        <w:rPr>
          <w:rFonts w:ascii="Verdana" w:eastAsia="Times New Roman" w:hAnsi="Verdana" w:cs="Arial"/>
          <w:lang w:val="es-ES_tradnl" w:eastAsia="es-MX"/>
        </w:rPr>
        <w:lastRenderedPageBreak/>
        <w:t xml:space="preserve">El </w:t>
      </w:r>
      <w:bookmarkStart w:id="12" w:name="_Hlk191627359"/>
      <w:r w:rsidRPr="00275B0F">
        <w:rPr>
          <w:rFonts w:ascii="Verdana" w:eastAsia="Times New Roman" w:hAnsi="Verdana" w:cs="Arial"/>
          <w:lang w:val="es-ES_tradnl" w:eastAsia="es-MX"/>
        </w:rPr>
        <w:t xml:space="preserve">Decreto 1082 de 2015 en su artículo 2.2.1.1.1.6.2. </w:t>
      </w:r>
      <w:bookmarkEnd w:id="12"/>
      <w:r w:rsidRPr="00275B0F">
        <w:rPr>
          <w:rFonts w:ascii="Verdana" w:eastAsia="Times New Roman" w:hAnsi="Verdana" w:cs="Arial"/>
          <w:lang w:val="es-ES_tradnl" w:eastAsia="es-MX"/>
        </w:rPr>
        <w:t>reglamenta los requisitos habilitantes, estableciendo que estos deben ser señalados en los pliegos de condiciones o en la invitación</w:t>
      </w:r>
      <w:r w:rsidRPr="00275B0F">
        <w:rPr>
          <w:rFonts w:ascii="Verdana" w:eastAsia="Times New Roman" w:hAnsi="Verdana" w:cs="Arial"/>
          <w:vertAlign w:val="superscript"/>
          <w:lang w:val="es-ES_tradnl" w:eastAsia="es-MX"/>
        </w:rPr>
        <w:footnoteReference w:id="4"/>
      </w:r>
      <w:r w:rsidRPr="00275B0F">
        <w:rPr>
          <w:rFonts w:ascii="Verdana" w:eastAsia="Times New Roman" w:hAnsi="Verdana" w:cs="Arial"/>
          <w:lang w:val="es-ES_tradnl" w:eastAsia="es-MX"/>
        </w:rPr>
        <w:t xml:space="preserve">, lo cual es concordante con el </w:t>
      </w:r>
      <w:bookmarkStart w:id="13" w:name="_Hlk191627380"/>
      <w:r w:rsidRPr="00275B0F">
        <w:rPr>
          <w:rFonts w:ascii="Verdana" w:eastAsia="Times New Roman" w:hAnsi="Verdana" w:cs="Arial"/>
          <w:lang w:val="es-ES_tradnl" w:eastAsia="es-MX"/>
        </w:rPr>
        <w:t>numeral 5 del artículo 2.2.1.1.2.1.3</w:t>
      </w:r>
      <w:bookmarkEnd w:id="13"/>
      <w:r w:rsidRPr="00275B0F">
        <w:rPr>
          <w:rFonts w:ascii="Verdana" w:eastAsia="Times New Roman" w:hAnsi="Verdana" w:cs="Arial"/>
          <w:lang w:val="es-ES_tradnl" w:eastAsia="es-MX"/>
        </w:rPr>
        <w:t>, en el que se establece como uno de los componentes mínimos de los pliegos de condiciones</w:t>
      </w:r>
      <w:r w:rsidRPr="00275B0F">
        <w:rPr>
          <w:rFonts w:ascii="Verdana" w:hAnsi="Verdana" w:cs="Arial"/>
          <w:color w:val="000000"/>
        </w:rPr>
        <w:t xml:space="preserve"> a las reglas aplicables a la presentación y evaluación de las ofertas, entre las que se inscriben las relativas a la acreditación de las condiciones habilitantes. </w:t>
      </w:r>
      <w:r w:rsidRPr="00275B0F">
        <w:rPr>
          <w:rFonts w:ascii="Verdana" w:eastAsia="Times New Roman" w:hAnsi="Verdana" w:cs="Arial"/>
          <w:lang w:val="es-ES_tradnl" w:eastAsia="es-MX"/>
        </w:rPr>
        <w:t xml:space="preserve">Además, el artículo 2.2.1.1.1.6.2 establece que la determinación de los requisitos habilitantes debe ser realizada en función de criterios </w:t>
      </w:r>
      <w:r w:rsidRPr="00275B0F">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275B0F">
        <w:rPr>
          <w:rFonts w:ascii="Verdana" w:eastAsia="Times New Roman" w:hAnsi="Verdana" w:cs="Arial"/>
          <w:lang w:val="es-ES_tradnl" w:eastAsia="es-MX"/>
        </w:rPr>
        <w:t xml:space="preserve">. </w:t>
      </w:r>
    </w:p>
    <w:p w14:paraId="2D1544F6" w14:textId="77777777" w:rsidR="009A5105" w:rsidRPr="00275B0F" w:rsidRDefault="009A5105" w:rsidP="009A5105">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t>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los mismos resulten requisitos que permitan medir la aptitud de los oferentes para cumplir con el contrato, y que, además de ser proporcionales y adecuados a su objeto, no limiten la participación en el proceso de selección</w:t>
      </w:r>
      <w:r w:rsidRPr="00275B0F">
        <w:rPr>
          <w:rFonts w:ascii="Verdana" w:eastAsia="Times New Roman" w:hAnsi="Verdana" w:cs="Arial"/>
          <w:vertAlign w:val="superscript"/>
          <w:lang w:val="es-ES" w:eastAsia="es-MX"/>
        </w:rPr>
        <w:footnoteReference w:id="5"/>
      </w:r>
      <w:r w:rsidRPr="00275B0F">
        <w:rPr>
          <w:rFonts w:ascii="Verdana" w:eastAsia="Times New Roman" w:hAnsi="Verdana" w:cs="Arial"/>
          <w:lang w:val="es-ES" w:eastAsia="es-MX"/>
        </w:rPr>
        <w:t xml:space="preserve">. </w:t>
      </w:r>
    </w:p>
    <w:p w14:paraId="24035D59" w14:textId="77777777" w:rsidR="009A5105" w:rsidRPr="00275B0F" w:rsidRDefault="009A5105" w:rsidP="009A5105">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eastAsia="es-MX"/>
        </w:rPr>
        <w:lastRenderedPageBreak/>
        <w:t xml:space="preserve">Que deban ser </w:t>
      </w:r>
      <w:r w:rsidRPr="00275B0F">
        <w:rPr>
          <w:rFonts w:ascii="Verdana" w:eastAsia="Times New Roman" w:hAnsi="Verdana" w:cs="Arial"/>
          <w:i/>
          <w:iCs/>
          <w:lang w:eastAsia="es-MX"/>
        </w:rPr>
        <w:t>adecuados</w:t>
      </w:r>
      <w:r w:rsidRPr="00275B0F">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275B0F">
        <w:rPr>
          <w:rFonts w:ascii="Verdana" w:eastAsia="Times New Roman" w:hAnsi="Verdana" w:cs="Arial"/>
          <w:i/>
          <w:iCs/>
          <w:lang w:eastAsia="es-MX"/>
        </w:rPr>
        <w:t>proporcionales</w:t>
      </w:r>
      <w:r w:rsidRPr="00275B0F">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275B0F">
        <w:rPr>
          <w:rFonts w:ascii="Verdana" w:eastAsia="Times New Roman" w:hAnsi="Verdana" w:cs="Arial"/>
          <w:i/>
          <w:iCs/>
          <w:lang w:eastAsia="es-MX"/>
        </w:rPr>
        <w:t>no limiten la participación o la libre concurrencia</w:t>
      </w:r>
      <w:r w:rsidRPr="00275B0F">
        <w:rPr>
          <w:rFonts w:ascii="Verdana" w:eastAsia="Times New Roman" w:hAnsi="Verdana" w:cs="Arial"/>
          <w:lang w:eastAsia="es-MX"/>
        </w:rPr>
        <w:t xml:space="preserve"> en el proceso de selección significa que los requisitos establecidos no deben crear barreras injustificadas para el </w:t>
      </w:r>
      <w:r w:rsidRPr="00275B0F">
        <w:rPr>
          <w:rFonts w:ascii="Verdana" w:hAnsi="Verdana"/>
        </w:rPr>
        <w:t>acceso a la contratación pública de los oferentes</w:t>
      </w:r>
      <w:r w:rsidRPr="00275B0F">
        <w:rPr>
          <w:rFonts w:ascii="Verdana" w:eastAsia="Times New Roman" w:hAnsi="Verdana" w:cs="Arial"/>
          <w:lang w:val="es-ES" w:eastAsia="es-MX"/>
        </w:rPr>
        <w:t xml:space="preserve"> interesados, promoviendo una mayor competencia. </w:t>
      </w:r>
    </w:p>
    <w:p w14:paraId="3020D9DA" w14:textId="77777777" w:rsidR="009A5105" w:rsidRPr="00275B0F" w:rsidRDefault="009A5105" w:rsidP="009A5105">
      <w:pPr>
        <w:tabs>
          <w:tab w:val="left" w:pos="426"/>
        </w:tabs>
        <w:spacing w:after="120" w:line="276" w:lineRule="auto"/>
        <w:ind w:firstLine="709"/>
        <w:jc w:val="both"/>
        <w:rPr>
          <w:rFonts w:ascii="Verdana" w:eastAsia="Times New Roman" w:hAnsi="Verdana" w:cs="Arial"/>
          <w:lang w:val="es-ES" w:eastAsia="es-MX"/>
        </w:rPr>
      </w:pPr>
      <w:r w:rsidRPr="00275B0F">
        <w:rPr>
          <w:rFonts w:ascii="Verdana" w:eastAsia="Times New Roman" w:hAnsi="Verdana" w:cs="Arial"/>
          <w:lang w:val="es-ES" w:eastAsia="es-MX"/>
        </w:rPr>
        <w:t xml:space="preserve">En ese sentido, las Entidades Estatales tienen autonomía para estructurar los requisitos habilitantes en los procesos que adelantan, </w:t>
      </w:r>
      <w:r w:rsidRPr="00275B0F">
        <w:rPr>
          <w:rFonts w:ascii="Verdana" w:eastAsia="Times New Roman" w:hAnsi="Verdana" w:cs="Arial"/>
          <w:i/>
          <w:iCs/>
          <w:lang w:val="es-ES" w:eastAsia="es-MX"/>
        </w:rPr>
        <w:t>pero tal facultad no puede ejercerse de forma arbitraria, caprichosa y, mucho menos, con el ánimo de direccionar el proceso de contratación</w:t>
      </w:r>
      <w:r w:rsidRPr="00275B0F">
        <w:rPr>
          <w:rFonts w:ascii="Verdana" w:eastAsia="Times New Roman" w:hAnsi="Verdana" w:cs="Arial"/>
          <w:lang w:val="es-ES" w:eastAsia="es-MX"/>
        </w:rPr>
        <w:t xml:space="preserve"> o favorecer a alguno de los proponentes. Tampoco puede suceder que el ejercicio de dicha atribución se realice con desconocimiento de los límites impuestos por la normativa vigente, como, por ejemplo, el parágrafo 2 del artículo 5 de la Ley 1150 de 2007, que prohíbe exigir certificaciones de sistemas de gestión de calidad como requisito habilitante. </w:t>
      </w:r>
    </w:p>
    <w:p w14:paraId="775254B6" w14:textId="77777777" w:rsidR="009A5105" w:rsidRPr="00275B0F" w:rsidRDefault="009A5105" w:rsidP="009A5105">
      <w:pPr>
        <w:spacing w:after="120" w:line="276" w:lineRule="auto"/>
        <w:ind w:firstLine="709"/>
        <w:jc w:val="both"/>
        <w:rPr>
          <w:rFonts w:ascii="Verdana" w:hAnsi="Verdana"/>
        </w:rPr>
      </w:pPr>
      <w:r w:rsidRPr="00275B0F">
        <w:rPr>
          <w:rFonts w:ascii="Verdana" w:eastAsia="Calibri" w:hAnsi="Verdana"/>
          <w:color w:val="000000" w:themeColor="text1"/>
        </w:rPr>
        <w:t>Ahora bien,</w:t>
      </w:r>
      <w:r w:rsidRPr="00275B0F">
        <w:rPr>
          <w:rFonts w:ascii="Verdana" w:hAnsi="Verdana"/>
        </w:rPr>
        <w:t xml:space="preserve"> frente</w:t>
      </w:r>
      <w:r w:rsidRPr="00275B0F">
        <w:rPr>
          <w:rFonts w:ascii="Verdana" w:eastAsia="Times New Roman" w:hAnsi="Verdana" w:cs="Arial"/>
          <w:color w:val="000000" w:themeColor="text1"/>
          <w:lang w:val="es-ES" w:eastAsia="es-ES"/>
        </w:rPr>
        <w:t xml:space="preserve"> a la exigencia de que el proponente cuente con establecimiento de comercio o local propio – tema que señala en su consulta -</w:t>
      </w:r>
      <w:r w:rsidRPr="00275B0F">
        <w:rPr>
          <w:rFonts w:ascii="Verdana" w:eastAsia="Calibri" w:hAnsi="Verdana" w:cs="Arial"/>
          <w:bCs/>
          <w:lang w:val="es-ES_tradnl"/>
        </w:rPr>
        <w:t>, es necesario tener en cuenta que, la actividad comercial</w:t>
      </w:r>
      <w:r w:rsidRPr="00275B0F">
        <w:rPr>
          <w:rFonts w:ascii="Verdana" w:eastAsia="Calibri" w:hAnsi="Verdana" w:cs="Arial"/>
          <w:bCs/>
          <w:vertAlign w:val="superscript"/>
          <w:lang w:val="es-ES_tradnl"/>
        </w:rPr>
        <w:footnoteReference w:id="6"/>
      </w:r>
      <w:r w:rsidRPr="00275B0F">
        <w:rPr>
          <w:rFonts w:ascii="Verdana" w:eastAsia="Calibri" w:hAnsi="Verdana" w:cs="Arial"/>
          <w:bCs/>
          <w:lang w:val="es-ES_tradnl"/>
        </w:rPr>
        <w:t xml:space="preserve"> se realiza a través de establecimientos de comercio sujetos al registro mercantil. En efecto, de conformidad con el artículo 25 del Código de Comercio, “Se entenderá por empresa toda actividad económica organizada para la producción, transformación, circulación, administración o custodia de bienes, o para la </w:t>
      </w:r>
      <w:r w:rsidRPr="00275B0F">
        <w:rPr>
          <w:rFonts w:ascii="Verdana" w:eastAsia="Calibri" w:hAnsi="Verdana" w:cs="Arial"/>
          <w:bCs/>
          <w:lang w:val="es-ES_tradnl"/>
        </w:rPr>
        <w:lastRenderedPageBreak/>
        <w:t xml:space="preserve">prestación de servicios. </w:t>
      </w:r>
      <w:r w:rsidRPr="00275B0F">
        <w:rPr>
          <w:rFonts w:ascii="Verdana" w:eastAsia="Calibri" w:hAnsi="Verdana" w:cs="Arial"/>
          <w:bCs/>
          <w:i/>
          <w:iCs/>
          <w:lang w:val="es-ES_tradnl"/>
        </w:rPr>
        <w:t>Dicha actividad se realizará a través de uno o más establecimientos de comercio</w:t>
      </w:r>
      <w:r w:rsidRPr="00275B0F">
        <w:rPr>
          <w:rFonts w:ascii="Verdana" w:eastAsia="Calibri" w:hAnsi="Verdana" w:cs="Arial"/>
          <w:bCs/>
          <w:lang w:val="es-ES_tradnl"/>
        </w:rPr>
        <w:t xml:space="preserve">” </w:t>
      </w:r>
      <w:r w:rsidRPr="00275B0F">
        <w:rPr>
          <w:rFonts w:ascii="Verdana" w:hAnsi="Verdana" w:cs="Arial"/>
          <w:lang w:eastAsia="es-CO"/>
        </w:rPr>
        <w:t>(Énfasis fuera de texto)</w:t>
      </w:r>
      <w:r w:rsidRPr="00275B0F">
        <w:rPr>
          <w:rFonts w:ascii="Verdana" w:eastAsia="Calibri" w:hAnsi="Verdana" w:cs="Arial"/>
          <w:bCs/>
          <w:lang w:val="es-ES_tradnl"/>
        </w:rPr>
        <w:t xml:space="preserve">. </w:t>
      </w:r>
    </w:p>
    <w:p w14:paraId="2C88C620" w14:textId="77777777" w:rsidR="009A5105" w:rsidRPr="00275B0F" w:rsidRDefault="009A5105" w:rsidP="009A5105">
      <w:pPr>
        <w:spacing w:after="120" w:line="276" w:lineRule="auto"/>
        <w:ind w:firstLine="709"/>
        <w:jc w:val="both"/>
        <w:rPr>
          <w:rFonts w:ascii="Verdana" w:eastAsia="Calibri" w:hAnsi="Verdana" w:cs="Arial"/>
          <w:bCs/>
          <w:lang w:val="es-ES_tradnl"/>
        </w:rPr>
      </w:pPr>
      <w:r w:rsidRPr="00275B0F">
        <w:rPr>
          <w:rFonts w:ascii="Verdana" w:hAnsi="Verdana" w:cs="Arial"/>
        </w:rPr>
        <w:t>El establecimiento de comercio</w:t>
      </w:r>
      <w:r w:rsidRPr="00275B0F">
        <w:rPr>
          <w:rFonts w:ascii="Verdana" w:hAnsi="Verdana" w:cs="Arial"/>
          <w:vertAlign w:val="superscript"/>
        </w:rPr>
        <w:footnoteReference w:id="7"/>
      </w:r>
      <w:r w:rsidRPr="00275B0F">
        <w:rPr>
          <w:rFonts w:ascii="Verdana" w:hAnsi="Verdana" w:cs="Arial"/>
        </w:rPr>
        <w:t xml:space="preserve"> es el instrumento del que se vale el empresario para cumplir los fines de su empresa y por medio del cual se realiza la actividad organizada. La doctrina lo define como el conjunto de bienes materiales e inmateriales organizados para una finalidad económica en el que la organización adquiere un significado fundamental como factor aglutinante de los elementos que integran la hacienda, teniendo en cuenta la función económica a la que están destinados todos: la producción o distribución de bienes y servicios en el mercado</w:t>
      </w:r>
      <w:r w:rsidRPr="00275B0F">
        <w:rPr>
          <w:rFonts w:ascii="Verdana" w:eastAsia="Calibri" w:hAnsi="Verdana" w:cs="Arial"/>
          <w:bCs/>
          <w:vertAlign w:val="superscript"/>
          <w:lang w:val="es-ES_tradnl"/>
        </w:rPr>
        <w:footnoteReference w:id="8"/>
      </w:r>
      <w:r w:rsidRPr="00275B0F">
        <w:rPr>
          <w:rFonts w:ascii="Verdana" w:eastAsia="Calibri" w:hAnsi="Verdana" w:cs="Arial"/>
          <w:bCs/>
          <w:lang w:val="es-ES_tradnl"/>
        </w:rPr>
        <w:t xml:space="preserve">. </w:t>
      </w:r>
    </w:p>
    <w:p w14:paraId="162584C8" w14:textId="77777777" w:rsidR="009A5105" w:rsidRPr="00275B0F" w:rsidRDefault="009A5105" w:rsidP="009A5105">
      <w:pPr>
        <w:spacing w:after="120" w:line="276" w:lineRule="auto"/>
        <w:ind w:firstLine="708"/>
        <w:jc w:val="both"/>
        <w:rPr>
          <w:rFonts w:ascii="Verdana" w:hAnsi="Verdana" w:cs="Arial"/>
        </w:rPr>
      </w:pPr>
      <w:r w:rsidRPr="00275B0F">
        <w:rPr>
          <w:rFonts w:ascii="Verdana" w:eastAsia="Calibri" w:hAnsi="Verdana" w:cs="Arial"/>
          <w:bCs/>
          <w:lang w:val="es-ES_tradnl"/>
        </w:rPr>
        <w:t>Así las cosas, es posible señalar que los establecimientos de comercio son un conjunto de bienes tendientes a cumplir con los fines de la empresa. Si bien la titularidad de estos radica en las personas naturales o jurídicas, ellos no están ligados con la capacidad jurídica de estas para contraer obligaciones</w:t>
      </w:r>
      <w:r w:rsidRPr="00275B0F">
        <w:rPr>
          <w:rFonts w:ascii="Verdana" w:eastAsia="Times New Roman" w:hAnsi="Verdana" w:cs="Arial"/>
          <w:lang w:eastAsia="es-ES_tradnl"/>
        </w:rPr>
        <w:t>.</w:t>
      </w:r>
      <w:r w:rsidRPr="00275B0F">
        <w:rPr>
          <w:rFonts w:ascii="Verdana" w:hAnsi="Verdana" w:cs="Arial"/>
        </w:rPr>
        <w:t xml:space="preserve"> De esta manera, se concluye que el establecimiento de comercio no está relacionado con la capacidad jurídica del proponente, por lo que no resulta procedente su requerimiento como un requisito habilitante asociado a la capacidad jurídica. </w:t>
      </w:r>
    </w:p>
    <w:p w14:paraId="3863A740" w14:textId="77777777" w:rsidR="009A5105" w:rsidRPr="00275B0F" w:rsidRDefault="009A5105" w:rsidP="009A5105">
      <w:pPr>
        <w:spacing w:after="120" w:line="276" w:lineRule="auto"/>
        <w:ind w:firstLine="708"/>
        <w:jc w:val="both"/>
        <w:rPr>
          <w:rFonts w:ascii="Verdana" w:hAnsi="Verdana" w:cs="Arial"/>
        </w:rPr>
      </w:pPr>
      <w:r w:rsidRPr="00275B0F">
        <w:rPr>
          <w:rFonts w:ascii="Verdana" w:hAnsi="Verdana" w:cs="Arial"/>
        </w:rPr>
        <w:t>En este contexto, en principio no se advierte la viabilidad de exigir la existencia de un establecimiento de comercio o “local” propio como condición habilitante para la ejecución de un contrato de suministro. No obstante, debido a que la entidad cuenta con discrecionalidad para determinar los requisitos habilitantes, resulta indispensable analizar dicho requerimiento a la luz de las condiciones técnicas específicas del contrato y si constituye un requisito estrictamente indispensable para garantizar el adecuado desarrollo del objeto contractual y la correcta prestación del servicio.</w:t>
      </w:r>
    </w:p>
    <w:p w14:paraId="62141DBC" w14:textId="77777777" w:rsidR="009A5105" w:rsidRPr="00275B0F" w:rsidRDefault="009A5105" w:rsidP="009A5105">
      <w:pPr>
        <w:spacing w:after="120" w:line="276" w:lineRule="auto"/>
        <w:ind w:firstLine="708"/>
        <w:jc w:val="both"/>
        <w:rPr>
          <w:rFonts w:ascii="Verdana" w:hAnsi="Verdana"/>
        </w:rPr>
      </w:pPr>
      <w:r w:rsidRPr="00275B0F">
        <w:rPr>
          <w:rFonts w:ascii="Verdana" w:hAnsi="Verdana"/>
        </w:rPr>
        <w:t xml:space="preserve">En consecuencia, aunque no lo es lo recomendable, si la entidad decide, en el ejercicio de su autonomía y discrecionalidad, exigirlo como un requisito </w:t>
      </w:r>
      <w:r w:rsidRPr="00275B0F">
        <w:rPr>
          <w:rFonts w:ascii="Verdana" w:hAnsi="Verdana"/>
        </w:rPr>
        <w:lastRenderedPageBreak/>
        <w:t>habilitante de carácter técnico en los procesos de contratación, debe estar precedida de una justificación técnica y objetiva por parte de la entidad contratante. Esta exigencia no puede responder a criterios arbitrarios o caprichosos, sino que debe sustentarse en la necesidad concreta de garantizar la adecuada ejecución del objeto contractual, esto es, la prestación eficiente del servicio contratado. Así, resulta indispensable que se demuestre que la presencia de un establecimiento de comercio o “local” propio del contratista es determinante para el desarrollo del contrato de suministro.</w:t>
      </w:r>
    </w:p>
    <w:p w14:paraId="38C5AD2F" w14:textId="77777777" w:rsidR="009A5105" w:rsidRPr="00275B0F" w:rsidRDefault="009A5105" w:rsidP="009A5105">
      <w:pPr>
        <w:widowControl w:val="0"/>
        <w:autoSpaceDE w:val="0"/>
        <w:autoSpaceDN w:val="0"/>
        <w:spacing w:after="120" w:line="276" w:lineRule="auto"/>
        <w:ind w:right="102" w:firstLine="567"/>
        <w:jc w:val="both"/>
        <w:rPr>
          <w:rFonts w:ascii="Verdana" w:hAnsi="Verdana"/>
        </w:rPr>
      </w:pPr>
      <w:r w:rsidRPr="00275B0F">
        <w:rPr>
          <w:rFonts w:ascii="Verdana" w:hAnsi="Verdana"/>
        </w:rPr>
        <w:t>Este tipo de requisitos deben ser evaluados cuidadosamente, atendiendo a si su cumplimiento es verdaderamente necesario para garantizar la operatividad del contratista, o si existen otros medios igualmente eficaces para garantizar la adecuada ejecución del contrato. De lo contrario, la inclusión de este tipo de condiciones podría derivar en restricciones injustificadas que pueden vulnerar los principios de igualdad y libre concurrencia que rigen la contratación pública.</w:t>
      </w:r>
    </w:p>
    <w:p w14:paraId="1291AF88" w14:textId="77777777" w:rsidR="009A5105" w:rsidRPr="00275B0F" w:rsidRDefault="009A5105" w:rsidP="009A5105">
      <w:pPr>
        <w:widowControl w:val="0"/>
        <w:autoSpaceDE w:val="0"/>
        <w:autoSpaceDN w:val="0"/>
        <w:spacing w:after="120" w:line="276" w:lineRule="auto"/>
        <w:ind w:right="102" w:firstLine="567"/>
        <w:jc w:val="both"/>
      </w:pPr>
      <w:r w:rsidRPr="00275B0F">
        <w:rPr>
          <w:rFonts w:ascii="Verdana" w:hAnsi="Verdana"/>
        </w:rPr>
        <w:t>Al respecto, el Consejo de Estado enfatizó que “La Administración no puede establecer requisitos carentes de función legal y al pretender sustentarlos en la posibilidad física de hacerlo (v. gr. abrir una sucursal) no es más que otra evidencia de su mero capricho”. Asimismo, sobre la exigencia de contar con domicilio en el lugar de ejecución del contrato señaló que “resulta en una exigencia infundada, pues dicho atributo no se corresponde con las razones aducidas para su exigencia, no afecta la prestación del servicio por contratar, tampoco concierne a un elemento sin el cual no puede efectuarse la prestación del servicio de transporte escolar; por el contrario, lo que se advierte es que éste configura una regla ajena a la selección objetiva, en tanto que establece un supuesto que limita, sin justificación, la participación de multiplicidad de oferentes al proceso de contratación</w:t>
      </w:r>
      <w:r w:rsidRPr="00275B0F">
        <w:rPr>
          <w:vertAlign w:val="superscript"/>
        </w:rPr>
        <w:footnoteReference w:id="9"/>
      </w:r>
      <w:r w:rsidRPr="00275B0F">
        <w:t>”.</w:t>
      </w:r>
    </w:p>
    <w:p w14:paraId="7A07A482" w14:textId="77777777" w:rsidR="009A5105" w:rsidRPr="00275B0F" w:rsidRDefault="009A5105" w:rsidP="009A5105">
      <w:pPr>
        <w:widowControl w:val="0"/>
        <w:autoSpaceDE w:val="0"/>
        <w:autoSpaceDN w:val="0"/>
        <w:spacing w:after="120" w:line="276" w:lineRule="auto"/>
        <w:ind w:right="102" w:firstLine="567"/>
        <w:jc w:val="both"/>
        <w:rPr>
          <w:rFonts w:ascii="Verdana" w:hAnsi="Verdana"/>
        </w:rPr>
      </w:pPr>
      <w:r w:rsidRPr="00275B0F">
        <w:rPr>
          <w:rFonts w:ascii="Verdana" w:hAnsi="Verdana"/>
        </w:rPr>
        <w:t xml:space="preserve">En este sentido, exigir la existencia de un “local” propio puede convertirse en una barrera de acceso que limita injustificadamente la participación de oferentes que, si bien no tienen presencia física propia, cuentan con las capacidades jurídicas, financieras, técnicas y de experiencia requeridas para ejecutar adecuadamente el contrato. Por ello, tales requisitos deben analizarse bajo el principio de proporcionalidad y de adecuación, conforme se explicó, salvo que exista una norma especial que imponga dicha condición para efectos </w:t>
      </w:r>
      <w:r w:rsidRPr="00275B0F">
        <w:rPr>
          <w:rFonts w:ascii="Verdana" w:hAnsi="Verdana"/>
        </w:rPr>
        <w:lastRenderedPageBreak/>
        <w:t>de la prestación del servicio.</w:t>
      </w:r>
    </w:p>
    <w:p w14:paraId="123F0099" w14:textId="77777777" w:rsidR="009A5105" w:rsidRPr="00275B0F" w:rsidRDefault="009A5105" w:rsidP="009A5105">
      <w:pPr>
        <w:widowControl w:val="0"/>
        <w:autoSpaceDE w:val="0"/>
        <w:autoSpaceDN w:val="0"/>
        <w:spacing w:after="120" w:line="276" w:lineRule="auto"/>
        <w:ind w:right="102" w:firstLine="709"/>
        <w:jc w:val="both"/>
        <w:rPr>
          <w:rFonts w:ascii="Verdana" w:hAnsi="Verdana"/>
        </w:rPr>
      </w:pPr>
      <w:r w:rsidRPr="00275B0F">
        <w:rPr>
          <w:rFonts w:ascii="Verdana" w:hAnsi="Verdana"/>
        </w:rPr>
        <w:t xml:space="preserve">Sin perjuicio de lo anterior, se reitera que la estructuración de los requisitos habilitantes corresponde a cada entidad estatal ateniendo a las circunstancias particulares y teniendo en cuenta la naturaleza del objeto a contratar, por lo que en cada caso se deberá realizar un análisis detallado si los requisitos establecidos, particularmente solicitar una sucursal u oficina en una ubicación geográfica especifica, efectivamente configura una restricción a la libre concurrencia y si estos han sido determinados de forma desproporcional y arbitraria. </w:t>
      </w:r>
    </w:p>
    <w:p w14:paraId="16069A51" w14:textId="77777777" w:rsidR="009A5105" w:rsidRPr="00275B0F" w:rsidRDefault="009A5105" w:rsidP="009A5105">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275B0F">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65AD9C3" w14:textId="77777777" w:rsidR="009A5105" w:rsidRPr="00275B0F" w:rsidRDefault="009A5105" w:rsidP="009A5105">
      <w:pPr>
        <w:spacing w:after="120" w:line="276" w:lineRule="auto"/>
        <w:ind w:firstLine="709"/>
        <w:jc w:val="both"/>
        <w:rPr>
          <w:rFonts w:ascii="Verdana" w:hAnsi="Verdana" w:cs="Arial"/>
          <w:lang w:eastAsia="es-ES"/>
        </w:rPr>
      </w:pPr>
      <w:r w:rsidRPr="00275B0F">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660DA7E" w14:textId="77777777" w:rsidR="009A5105" w:rsidRPr="00275B0F" w:rsidRDefault="009A5105" w:rsidP="009A5105">
      <w:pPr>
        <w:widowControl w:val="0"/>
        <w:autoSpaceDE w:val="0"/>
        <w:autoSpaceDN w:val="0"/>
        <w:spacing w:after="0" w:line="276" w:lineRule="auto"/>
        <w:jc w:val="both"/>
        <w:rPr>
          <w:rFonts w:ascii="Verdana" w:eastAsia="Calibri" w:hAnsi="Verdana" w:cs="Arial"/>
          <w:color w:val="000000" w:themeColor="text1"/>
        </w:rPr>
      </w:pPr>
    </w:p>
    <w:p w14:paraId="3CAAE6A5" w14:textId="77777777" w:rsidR="009A5105" w:rsidRPr="00275B0F" w:rsidRDefault="009A5105" w:rsidP="009A5105">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275B0F">
        <w:rPr>
          <w:rFonts w:ascii="Verdana" w:eastAsia="Century Gothic" w:hAnsi="Verdana" w:cs="Century Gothic"/>
          <w:b/>
          <w:bCs/>
          <w:color w:val="000000" w:themeColor="text1"/>
          <w:lang w:val="es-ES"/>
        </w:rPr>
        <w:t>Referencias normativas, jurisprudenciales y otras fuentes:</w:t>
      </w:r>
    </w:p>
    <w:p w14:paraId="035F1DBD" w14:textId="77777777" w:rsidR="009A5105" w:rsidRPr="00275B0F" w:rsidRDefault="009A5105" w:rsidP="009A5105">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A5105" w:rsidRPr="00275B0F" w14:paraId="6CB58D07" w14:textId="77777777" w:rsidTr="0056491E">
        <w:trPr>
          <w:trHeight w:val="870"/>
        </w:trPr>
        <w:tc>
          <w:tcPr>
            <w:tcW w:w="8647" w:type="dxa"/>
          </w:tcPr>
          <w:p w14:paraId="73048E4F" w14:textId="77777777" w:rsidR="009A5105" w:rsidRPr="00275B0F" w:rsidRDefault="009A5105" w:rsidP="0056491E">
            <w:pPr>
              <w:numPr>
                <w:ilvl w:val="0"/>
                <w:numId w:val="17"/>
              </w:numPr>
              <w:spacing w:after="160" w:line="276" w:lineRule="auto"/>
              <w:ind w:left="357" w:hanging="357"/>
              <w:contextualSpacing/>
              <w:jc w:val="both"/>
              <w:rPr>
                <w:rFonts w:ascii="Verdana" w:eastAsia="Calibri" w:hAnsi="Verdana" w:cs="Arial"/>
                <w:lang w:val="es-ES" w:eastAsia="es-MX"/>
              </w:rPr>
            </w:pPr>
            <w:r w:rsidRPr="00275B0F">
              <w:rPr>
                <w:rFonts w:ascii="Verdana" w:eastAsia="Calibri" w:hAnsi="Verdana" w:cs="Arial"/>
                <w:lang w:val="es-ES" w:eastAsia="es-MX"/>
              </w:rPr>
              <w:t xml:space="preserve">Ley 1150 de 2007: Artículo 5 y artículo 6. </w:t>
            </w:r>
          </w:p>
          <w:p w14:paraId="10D464D0" w14:textId="77777777" w:rsidR="009A5105" w:rsidRPr="00275B0F" w:rsidRDefault="009A5105" w:rsidP="0056491E">
            <w:pPr>
              <w:numPr>
                <w:ilvl w:val="0"/>
                <w:numId w:val="17"/>
              </w:numPr>
              <w:spacing w:after="160" w:line="276" w:lineRule="auto"/>
              <w:ind w:left="357" w:hanging="357"/>
              <w:contextualSpacing/>
              <w:jc w:val="both"/>
              <w:rPr>
                <w:rFonts w:ascii="Verdana" w:eastAsia="Calibri" w:hAnsi="Verdana" w:cs="Arial"/>
                <w:lang w:val="es-ES" w:eastAsia="es-MX"/>
              </w:rPr>
            </w:pPr>
            <w:r w:rsidRPr="00275B0F">
              <w:rPr>
                <w:rFonts w:ascii="Verdana" w:eastAsia="Calibri" w:hAnsi="Verdana" w:cs="Arial"/>
                <w:lang w:val="es-ES" w:eastAsia="es-MX"/>
              </w:rPr>
              <w:t xml:space="preserve">Ley 1437 de 2011: Artículo 44. </w:t>
            </w:r>
          </w:p>
          <w:p w14:paraId="3F2C39A2" w14:textId="77777777" w:rsidR="009A5105" w:rsidRPr="00275B0F" w:rsidRDefault="009A5105" w:rsidP="0056491E">
            <w:pPr>
              <w:numPr>
                <w:ilvl w:val="0"/>
                <w:numId w:val="17"/>
              </w:numPr>
              <w:spacing w:after="160" w:line="276" w:lineRule="auto"/>
              <w:ind w:left="357" w:hanging="357"/>
              <w:contextualSpacing/>
              <w:jc w:val="both"/>
              <w:rPr>
                <w:rFonts w:ascii="Verdana" w:eastAsia="Calibri" w:hAnsi="Verdana" w:cs="Arial"/>
                <w:lang w:val="es-ES" w:eastAsia="es-MX"/>
              </w:rPr>
            </w:pPr>
            <w:r w:rsidRPr="00275B0F">
              <w:rPr>
                <w:rFonts w:ascii="Verdana" w:eastAsia="Calibri" w:hAnsi="Verdana" w:cs="Arial"/>
                <w:lang w:val="es-ES" w:eastAsia="es-MX"/>
              </w:rPr>
              <w:t>Código de Comercio: Artículo 25.</w:t>
            </w:r>
          </w:p>
          <w:p w14:paraId="1EABCCED" w14:textId="77777777" w:rsidR="009A5105" w:rsidRPr="00275B0F" w:rsidRDefault="009A5105" w:rsidP="0056491E">
            <w:pPr>
              <w:numPr>
                <w:ilvl w:val="0"/>
                <w:numId w:val="17"/>
              </w:numPr>
              <w:spacing w:after="160" w:line="276" w:lineRule="auto"/>
              <w:ind w:left="357" w:hanging="357"/>
              <w:contextualSpacing/>
              <w:jc w:val="both"/>
              <w:rPr>
                <w:rFonts w:ascii="Verdana" w:eastAsia="Calibri" w:hAnsi="Verdana" w:cs="Arial"/>
                <w:lang w:val="es-ES" w:eastAsia="es-MX"/>
              </w:rPr>
            </w:pPr>
            <w:r w:rsidRPr="00275B0F">
              <w:rPr>
                <w:rFonts w:ascii="Verdana" w:eastAsia="Calibri" w:hAnsi="Verdana" w:cs="Arial"/>
                <w:lang w:val="es-ES" w:eastAsia="es-MX"/>
              </w:rPr>
              <w:t xml:space="preserve">Decreto 1082 de 2015: Artículo 2.2.1.1.1.6.2. </w:t>
            </w:r>
          </w:p>
          <w:p w14:paraId="3FE1681B" w14:textId="77777777" w:rsidR="009A5105" w:rsidRPr="00275B0F" w:rsidRDefault="009A5105" w:rsidP="0056491E">
            <w:pPr>
              <w:numPr>
                <w:ilvl w:val="0"/>
                <w:numId w:val="17"/>
              </w:numPr>
              <w:spacing w:after="160" w:line="276" w:lineRule="auto"/>
              <w:ind w:left="357" w:hanging="357"/>
              <w:contextualSpacing/>
              <w:jc w:val="both"/>
              <w:rPr>
                <w:rFonts w:ascii="Verdana" w:eastAsia="Calibri" w:hAnsi="Verdana" w:cs="Arial"/>
                <w:lang w:val="es-ES" w:eastAsia="es-MX"/>
              </w:rPr>
            </w:pPr>
            <w:r w:rsidRPr="00275B0F">
              <w:rPr>
                <w:rFonts w:ascii="Verdana" w:hAnsi="Verdana"/>
                <w:lang w:val="es-ES"/>
              </w:rPr>
              <w:lastRenderedPageBreak/>
              <w:t>Consejo de Estado. Sección Tercera. Subsección A. Sentencia del 19 de mayo de 2025. Exp. 69503. C.P. José Roberto Sáchica Méndez.</w:t>
            </w:r>
          </w:p>
          <w:p w14:paraId="45639CA4" w14:textId="77777777" w:rsidR="009A5105" w:rsidRPr="00275B0F" w:rsidRDefault="009A5105" w:rsidP="0056491E">
            <w:pPr>
              <w:numPr>
                <w:ilvl w:val="0"/>
                <w:numId w:val="17"/>
              </w:numPr>
              <w:spacing w:after="160" w:line="276" w:lineRule="auto"/>
              <w:ind w:left="357" w:hanging="357"/>
              <w:contextualSpacing/>
              <w:jc w:val="both"/>
              <w:rPr>
                <w:rFonts w:ascii="Verdana" w:hAnsi="Verdana" w:cs="Arial"/>
                <w:color w:val="000000" w:themeColor="text1"/>
                <w:lang w:val="es-ES"/>
              </w:rPr>
            </w:pPr>
            <w:r w:rsidRPr="00275B0F">
              <w:rPr>
                <w:rFonts w:ascii="Verdana" w:eastAsia="Calibri" w:hAnsi="Verdana" w:cs="Arial"/>
                <w:lang w:val="es-ES" w:eastAsia="es-MX"/>
              </w:rPr>
              <w:t xml:space="preserve">Agencia Nacional de Contratación Pública – Colombia Compra Eficiente. Manual para determinar y verificar los requisitos habilitantes en los Procesos de Contratación. Disponible en: </w:t>
            </w:r>
            <w:hyperlink r:id="rId13" w:history="1">
              <w:r w:rsidRPr="00275B0F">
                <w:rPr>
                  <w:rFonts w:ascii="Geomanist Light" w:hAnsi="Geomanist Light"/>
                  <w:color w:val="0000FF"/>
                  <w:u w:val="single"/>
                  <w:lang w:val="es-ES"/>
                </w:rPr>
                <w:t>cce-eicp-ma-04._manual_requisitos_habilitantes_v3_29-09-2023.pdf</w:t>
              </w:r>
            </w:hyperlink>
            <w:r w:rsidRPr="00275B0F">
              <w:rPr>
                <w:rFonts w:ascii="Geomanist Light" w:hAnsi="Geomanist Light"/>
                <w:lang w:val="es-ES"/>
              </w:rPr>
              <w:t xml:space="preserve"> </w:t>
            </w:r>
          </w:p>
          <w:p w14:paraId="197D0856" w14:textId="77777777" w:rsidR="009A5105" w:rsidRPr="00275B0F" w:rsidRDefault="009A5105" w:rsidP="0056491E">
            <w:pPr>
              <w:spacing w:after="160" w:line="276" w:lineRule="auto"/>
              <w:ind w:left="720"/>
              <w:contextualSpacing/>
              <w:jc w:val="both"/>
              <w:rPr>
                <w:rFonts w:ascii="Verdana" w:hAnsi="Verdana" w:cs="Arial"/>
                <w:color w:val="000000" w:themeColor="text1"/>
                <w:lang w:val="es-ES"/>
              </w:rPr>
            </w:pPr>
          </w:p>
        </w:tc>
      </w:tr>
    </w:tbl>
    <w:p w14:paraId="0BF031D1" w14:textId="77777777" w:rsidR="009A5105" w:rsidRPr="00275B0F" w:rsidRDefault="009A5105" w:rsidP="009A5105">
      <w:pPr>
        <w:widowControl w:val="0"/>
        <w:autoSpaceDE w:val="0"/>
        <w:autoSpaceDN w:val="0"/>
        <w:spacing w:after="0" w:line="276" w:lineRule="auto"/>
        <w:jc w:val="both"/>
        <w:rPr>
          <w:rFonts w:ascii="Verdana" w:hAnsi="Verdana" w:cs="Arial"/>
          <w:color w:val="000000" w:themeColor="text1"/>
        </w:rPr>
      </w:pPr>
    </w:p>
    <w:p w14:paraId="18B3E489" w14:textId="77777777" w:rsidR="009A5105" w:rsidRPr="00275B0F" w:rsidRDefault="009A5105" w:rsidP="009A5105">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275B0F">
        <w:rPr>
          <w:rFonts w:ascii="Verdana" w:eastAsia="Century Gothic" w:hAnsi="Verdana" w:cs="Century Gothic"/>
          <w:b/>
          <w:bCs/>
          <w:color w:val="000000" w:themeColor="text1"/>
          <w:lang w:val="es-ES"/>
        </w:rPr>
        <w:t>Doctrina de la Agencia Nacional de Contratación Pública:</w:t>
      </w:r>
    </w:p>
    <w:p w14:paraId="48532BCB" w14:textId="77777777" w:rsidR="009A5105" w:rsidRPr="00275B0F" w:rsidRDefault="009A5105" w:rsidP="009A5105">
      <w:pPr>
        <w:widowControl w:val="0"/>
        <w:autoSpaceDE w:val="0"/>
        <w:autoSpaceDN w:val="0"/>
        <w:spacing w:after="0" w:line="276" w:lineRule="auto"/>
        <w:jc w:val="both"/>
        <w:rPr>
          <w:rFonts w:ascii="Verdana" w:hAnsi="Verdana" w:cs="Arial"/>
          <w:color w:val="000000" w:themeColor="text1"/>
        </w:rPr>
      </w:pPr>
    </w:p>
    <w:p w14:paraId="39C3E449" w14:textId="77777777" w:rsidR="009A5105" w:rsidRPr="00275B0F" w:rsidRDefault="009A5105" w:rsidP="009A5105">
      <w:pPr>
        <w:widowControl w:val="0"/>
        <w:autoSpaceDE w:val="0"/>
        <w:autoSpaceDN w:val="0"/>
        <w:spacing w:after="0" w:line="276" w:lineRule="auto"/>
        <w:jc w:val="both"/>
        <w:rPr>
          <w:rFonts w:ascii="Verdana" w:hAnsi="Verdana" w:cs="Arial"/>
          <w:color w:val="000000" w:themeColor="text1"/>
          <w:shd w:val="clear" w:color="auto" w:fill="FFFFFF"/>
          <w:lang w:val="es-ES"/>
        </w:rPr>
      </w:pPr>
      <w:r w:rsidRPr="00275B0F">
        <w:rPr>
          <w:rFonts w:ascii="Verdana" w:eastAsia="Calibri" w:hAnsi="Verdana" w:cs="Arial"/>
          <w:color w:val="000000" w:themeColor="text1"/>
          <w:lang w:eastAsia="es-ES_tradnl"/>
        </w:rPr>
        <w:t xml:space="preserve">La Agencia Nacional de Contratación Pública – Colombia Compra Eficiente </w:t>
      </w:r>
      <w:r w:rsidRPr="00275B0F">
        <w:rPr>
          <w:rFonts w:ascii="Verdana" w:eastAsia="Arial" w:hAnsi="Verdana" w:cs="Arial"/>
          <w:lang w:val="es-MX" w:eastAsia="es-ES_tradnl"/>
        </w:rPr>
        <w:t xml:space="preserve">se ha referido a la determinación de los requisitos habilitantes en los conceptos C-120 del 3 de marzo de 2020, C-204 del 31 de marzo de 2020, C-099 del 6 de abril  de 2020, C-195 del 13 de abril de 2020, C-013 del 17 de abril de 2020, C-330 del 27 de mayo de 2020 y C-396 de 16 de julio </w:t>
      </w:r>
      <w:r w:rsidRPr="00275B0F">
        <w:rPr>
          <w:rFonts w:ascii="Verdana" w:hAnsi="Verdana" w:cs="Arial"/>
          <w:shd w:val="clear" w:color="auto" w:fill="FFFFFF"/>
          <w:lang w:val="es-ES"/>
        </w:rPr>
        <w:t>de 2020, C-142 del 30 de marzo de 2022,  C-337 de 18de agosto de 2023,Concepto C-483 del 26 de septiembre de 2024, Concepto C- 662 de 2024 del 29 de enero de 2025, C –043 del 28 del febrero de 2025, C- 116 del 1 de marzo de 2025, C-1297 del 17 de octubre de 2025. Estos se encuentran disponibles para consulta en el Sistema de relatoría de la Agencia, al cual puede accederse a través del siguiente enlace:</w:t>
      </w:r>
      <w:r w:rsidRPr="00275B0F">
        <w:rPr>
          <w:rFonts w:ascii="Verdana" w:hAnsi="Verdana"/>
          <w:lang w:val="es-ES"/>
        </w:rPr>
        <w:t xml:space="preserve"> </w:t>
      </w:r>
      <w:hyperlink r:id="rId14" w:history="1">
        <w:r w:rsidRPr="00275B0F">
          <w:rPr>
            <w:rFonts w:ascii="Verdana" w:hAnsi="Verdana" w:cs="Arial"/>
            <w:color w:val="0000FF"/>
            <w:u w:val="single"/>
            <w:shd w:val="clear" w:color="auto" w:fill="FFFFFF"/>
          </w:rPr>
          <w:t>https://relatoria.colombiacompra.gov.co/busqueda/conceptos</w:t>
        </w:r>
      </w:hyperlink>
      <w:r w:rsidRPr="00275B0F">
        <w:rPr>
          <w:rFonts w:ascii="Verdana" w:hAnsi="Verdana"/>
          <w:color w:val="0000FF"/>
          <w:u w:val="single"/>
        </w:rPr>
        <w:t>.</w:t>
      </w:r>
      <w:r w:rsidRPr="00275B0F">
        <w:rPr>
          <w:rFonts w:ascii="Verdana" w:hAnsi="Verdana" w:cs="Arial"/>
          <w:color w:val="000000" w:themeColor="text1"/>
          <w:shd w:val="clear" w:color="auto" w:fill="FFFFFF"/>
        </w:rPr>
        <w:t xml:space="preserve"> </w:t>
      </w:r>
      <w:r w:rsidRPr="00275B0F">
        <w:rPr>
          <w:rFonts w:ascii="Verdana" w:hAnsi="Verdana" w:cs="Arial"/>
          <w:color w:val="000000" w:themeColor="text1"/>
          <w:shd w:val="clear" w:color="auto" w:fill="FFFFFF"/>
          <w:lang w:val="es-ES"/>
        </w:rPr>
        <w:t xml:space="preserve"> </w:t>
      </w:r>
    </w:p>
    <w:p w14:paraId="2B19A0AF" w14:textId="77777777" w:rsidR="009A5105" w:rsidRPr="00275B0F" w:rsidRDefault="009A5105" w:rsidP="009A5105">
      <w:pPr>
        <w:widowControl w:val="0"/>
        <w:autoSpaceDE w:val="0"/>
        <w:autoSpaceDN w:val="0"/>
        <w:spacing w:after="0" w:line="276" w:lineRule="auto"/>
        <w:jc w:val="both"/>
        <w:rPr>
          <w:rFonts w:ascii="Verdana" w:hAnsi="Verdana" w:cs="Arial"/>
          <w:color w:val="000000" w:themeColor="text1"/>
          <w:shd w:val="clear" w:color="auto" w:fill="FFFFFF"/>
        </w:rPr>
      </w:pPr>
    </w:p>
    <w:p w14:paraId="11361D16" w14:textId="77777777" w:rsidR="009A5105" w:rsidRPr="00275B0F" w:rsidRDefault="009A5105" w:rsidP="009A5105">
      <w:pPr>
        <w:shd w:val="clear" w:color="auto" w:fill="FFFFFF"/>
        <w:spacing w:after="0" w:line="276" w:lineRule="auto"/>
        <w:jc w:val="both"/>
        <w:rPr>
          <w:rFonts w:ascii="Verdana" w:hAnsi="Verdana"/>
          <w:color w:val="467886"/>
          <w:u w:val="single"/>
        </w:rPr>
      </w:pPr>
      <w:r w:rsidRPr="00275B0F">
        <w:rPr>
          <w:rFonts w:ascii="Verdana" w:hAnsi="Verdana"/>
          <w:color w:val="000000"/>
        </w:rPr>
        <w:t>Te informamos que ya se encuentra disponible la </w:t>
      </w:r>
      <w:r w:rsidRPr="00275B0F">
        <w:rPr>
          <w:rFonts w:ascii="Verdana" w:hAnsi="Verdana"/>
          <w:b/>
          <w:bCs/>
          <w:color w:val="000000"/>
        </w:rPr>
        <w:t>Guía de lineamientos de transparencia y selección objetiva para el departamento de La Guajira – Objetivo sexto constitucional de la Sentencia T-302 del 2017. </w:t>
      </w:r>
      <w:r w:rsidRPr="00275B0F">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275B0F">
          <w:rPr>
            <w:rFonts w:ascii="Verdana" w:hAnsi="Verdana"/>
            <w:color w:val="0000FF"/>
            <w:u w:val="single"/>
          </w:rPr>
          <w:t>Guía de lineamientos de transparencia y selección objetiva para el departamento de La Guajira – Objetivo sexto constitucional de la Sentencia T-302 del 2017</w:t>
        </w:r>
      </w:hyperlink>
      <w:r w:rsidRPr="00275B0F">
        <w:rPr>
          <w:rFonts w:ascii="Verdana" w:hAnsi="Verdana"/>
          <w:color w:val="000000"/>
          <w:u w:val="single"/>
        </w:rPr>
        <w:t>.</w:t>
      </w:r>
    </w:p>
    <w:p w14:paraId="6406A1B8" w14:textId="77777777" w:rsidR="009A5105" w:rsidRPr="00275B0F" w:rsidRDefault="009A5105" w:rsidP="009A5105">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275B0F">
        <w:rPr>
          <w:rFonts w:ascii="Verdana" w:hAnsi="Verdana" w:cs="Arial"/>
          <w:color w:val="000000" w:themeColor="text1"/>
          <w:shd w:val="clear" w:color="auto" w:fill="FFFFFF"/>
          <w:lang w:val="es-ES_tradnl"/>
        </w:rPr>
        <w:t xml:space="preserve"> </w:t>
      </w:r>
    </w:p>
    <w:p w14:paraId="6D76E9AE" w14:textId="77777777" w:rsidR="009A5105" w:rsidRPr="00275B0F" w:rsidRDefault="009A5105" w:rsidP="009A5105">
      <w:pPr>
        <w:spacing w:after="0"/>
        <w:jc w:val="both"/>
        <w:rPr>
          <w:rFonts w:ascii="Verdana" w:hAnsi="Verdana"/>
        </w:rPr>
      </w:pPr>
      <w:r w:rsidRPr="00275B0F">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275B0F">
        <w:rPr>
          <w:rFonts w:ascii="Verdana" w:hAnsi="Verdana"/>
        </w:rPr>
        <w:lastRenderedPageBreak/>
        <w:t xml:space="preserve">marco de nuestras funciones a través de nuestros diferentes canales de atención: </w:t>
      </w:r>
    </w:p>
    <w:p w14:paraId="05EFB040" w14:textId="77777777" w:rsidR="009A5105" w:rsidRPr="00275B0F" w:rsidRDefault="009A5105" w:rsidP="009A5105">
      <w:pPr>
        <w:spacing w:after="0"/>
        <w:jc w:val="both"/>
        <w:rPr>
          <w:rFonts w:ascii="Verdana" w:hAnsi="Verdana"/>
        </w:rPr>
      </w:pPr>
    </w:p>
    <w:p w14:paraId="57493A6D" w14:textId="77777777" w:rsidR="009A5105" w:rsidRPr="00275B0F" w:rsidRDefault="009A5105" w:rsidP="009A5105">
      <w:pPr>
        <w:numPr>
          <w:ilvl w:val="0"/>
          <w:numId w:val="15"/>
        </w:numPr>
        <w:spacing w:after="0" w:line="240" w:lineRule="auto"/>
        <w:contextualSpacing/>
        <w:jc w:val="both"/>
        <w:rPr>
          <w:rFonts w:ascii="Verdana" w:eastAsia="Verdana" w:hAnsi="Verdana" w:cs="Verdana"/>
          <w:color w:val="4472C4" w:themeColor="accent1"/>
          <w:u w:val="single"/>
          <w:lang w:val="es-MX"/>
        </w:rPr>
      </w:pPr>
      <w:r w:rsidRPr="00275B0F">
        <w:rPr>
          <w:rFonts w:ascii="Verdana" w:eastAsia="Verdana" w:hAnsi="Verdana" w:cs="Verdana"/>
          <w:lang w:val="es-MX"/>
        </w:rPr>
        <w:t xml:space="preserve">Línea nacional gratuita o servicio a la ciudadanía (Mesa de servicio): </w:t>
      </w:r>
      <w:r w:rsidRPr="00275B0F">
        <w:rPr>
          <w:rFonts w:ascii="Verdana" w:hAnsi="Verdana"/>
          <w:color w:val="0000FF"/>
          <w:u w:val="single"/>
          <w:lang w:val="es-ES"/>
        </w:rPr>
        <w:t>01800 0520808</w:t>
      </w:r>
    </w:p>
    <w:p w14:paraId="2F5343C3" w14:textId="77777777" w:rsidR="009A5105" w:rsidRPr="00275B0F" w:rsidRDefault="009A5105" w:rsidP="009A5105">
      <w:pPr>
        <w:numPr>
          <w:ilvl w:val="0"/>
          <w:numId w:val="15"/>
        </w:numPr>
        <w:spacing w:after="0" w:line="256" w:lineRule="auto"/>
        <w:contextualSpacing/>
        <w:rPr>
          <w:rFonts w:ascii="Verdana" w:eastAsia="Verdana" w:hAnsi="Verdana" w:cs="Verdana"/>
          <w:color w:val="4472C4" w:themeColor="accent1"/>
          <w:u w:val="single"/>
          <w:lang w:val="es-MX"/>
        </w:rPr>
      </w:pPr>
      <w:r w:rsidRPr="00275B0F">
        <w:rPr>
          <w:rFonts w:ascii="Verdana" w:eastAsia="Verdana" w:hAnsi="Verdana" w:cs="Verdana"/>
          <w:lang w:val="es-MX"/>
        </w:rPr>
        <w:t>Línea en Bogotá (Mesa de servicio):</w:t>
      </w:r>
      <w:r w:rsidRPr="00275B0F">
        <w:rPr>
          <w:rFonts w:ascii="Verdana" w:hAnsi="Verdana"/>
          <w:color w:val="0000FF"/>
          <w:u w:val="single"/>
          <w:lang w:val="es-ES"/>
        </w:rPr>
        <w:t>+57 601 7456788</w:t>
      </w:r>
    </w:p>
    <w:p w14:paraId="285B535A" w14:textId="77777777" w:rsidR="009A5105" w:rsidRPr="00275B0F" w:rsidRDefault="009A5105" w:rsidP="009A5105">
      <w:pPr>
        <w:numPr>
          <w:ilvl w:val="0"/>
          <w:numId w:val="15"/>
        </w:numPr>
        <w:spacing w:after="0" w:line="256" w:lineRule="auto"/>
        <w:contextualSpacing/>
        <w:rPr>
          <w:rFonts w:ascii="Verdana" w:eastAsia="Verdana" w:hAnsi="Verdana" w:cs="Verdana"/>
          <w:color w:val="0000FF"/>
          <w:u w:val="single"/>
          <w:lang w:val="es-MX"/>
        </w:rPr>
      </w:pPr>
      <w:r w:rsidRPr="00275B0F">
        <w:rPr>
          <w:rFonts w:ascii="Verdana" w:eastAsia="Verdana" w:hAnsi="Verdana" w:cs="Verdana"/>
          <w:lang w:val="es-MX"/>
        </w:rPr>
        <w:t xml:space="preserve">Correo de radicación de correspondencia: </w:t>
      </w:r>
      <w:hyperlink r:id="rId16" w:history="1">
        <w:r w:rsidRPr="00275B0F">
          <w:rPr>
            <w:rFonts w:ascii="Verdana" w:eastAsia="Verdana" w:hAnsi="Verdana" w:cs="Verdana"/>
            <w:color w:val="0000FF"/>
            <w:u w:val="single"/>
            <w:lang w:val="es-MX"/>
          </w:rPr>
          <w:t>ventanilladeradicacion@colombiacompra.gov.co</w:t>
        </w:r>
      </w:hyperlink>
    </w:p>
    <w:p w14:paraId="5299706C" w14:textId="77777777" w:rsidR="009A5105" w:rsidRPr="00275B0F" w:rsidRDefault="009A5105" w:rsidP="009A5105">
      <w:pPr>
        <w:numPr>
          <w:ilvl w:val="0"/>
          <w:numId w:val="15"/>
        </w:numPr>
        <w:spacing w:after="0" w:line="256" w:lineRule="auto"/>
        <w:contextualSpacing/>
        <w:rPr>
          <w:rFonts w:ascii="Verdana" w:eastAsia="Verdana" w:hAnsi="Verdana" w:cs="Verdana"/>
          <w:color w:val="0000FF"/>
          <w:u w:val="single"/>
          <w:lang w:val="es-MX"/>
        </w:rPr>
      </w:pPr>
      <w:r w:rsidRPr="00275B0F">
        <w:rPr>
          <w:rFonts w:ascii="Verdana" w:eastAsia="Verdana" w:hAnsi="Verdana" w:cs="Verdana"/>
          <w:lang w:val="es-ES"/>
        </w:rPr>
        <w:t xml:space="preserve">Formulario web para PQRSD: </w:t>
      </w:r>
      <w:hyperlink r:id="rId17" w:history="1">
        <w:r w:rsidRPr="00275B0F">
          <w:rPr>
            <w:rFonts w:ascii="Verdana" w:eastAsia="Verdana" w:hAnsi="Verdana" w:cs="Verdana"/>
            <w:color w:val="0000FF"/>
            <w:u w:val="single"/>
            <w:lang w:val="es-MX"/>
          </w:rPr>
          <w:t>https://www.colombiacompra.gov.co/pqrsd/informacion-importante-antes-de-formular-una-pqrsd</w:t>
        </w:r>
      </w:hyperlink>
    </w:p>
    <w:p w14:paraId="637AB912" w14:textId="77777777" w:rsidR="009A5105" w:rsidRPr="00275B0F" w:rsidRDefault="009A5105" w:rsidP="009A5105">
      <w:pPr>
        <w:spacing w:after="0" w:line="240" w:lineRule="auto"/>
        <w:ind w:left="720"/>
        <w:jc w:val="both"/>
        <w:rPr>
          <w:rFonts w:ascii="Verdana" w:hAnsi="Verdana"/>
        </w:rPr>
      </w:pPr>
    </w:p>
    <w:p w14:paraId="761ADF92" w14:textId="77777777" w:rsidR="009A5105" w:rsidRPr="00275B0F" w:rsidRDefault="009A5105" w:rsidP="009A5105">
      <w:pPr>
        <w:spacing w:after="0" w:line="240" w:lineRule="auto"/>
        <w:rPr>
          <w:rFonts w:ascii="Verdana" w:hAnsi="Verdana"/>
        </w:rPr>
      </w:pPr>
      <w:r w:rsidRPr="00275B0F">
        <w:rPr>
          <w:rFonts w:ascii="Verdana" w:hAnsi="Verdana"/>
        </w:rPr>
        <w:t>Evalúa el servicio que ofrece la Agencia por el canal de atención de PQRSD en el siguiente enlace :</w:t>
      </w:r>
      <w:hyperlink r:id="rId18" w:tgtFrame="_blank" w:tooltip="https://forms.office.com/r/pphywvs2sz" w:history="1">
        <w:r w:rsidRPr="00275B0F">
          <w:rPr>
            <w:rFonts w:ascii="Verdana" w:hAnsi="Verdana"/>
            <w:color w:val="0000FF"/>
            <w:u w:val="single"/>
          </w:rPr>
          <w:t>https://forms.office.com/r/pPHyWVs2SZ</w:t>
        </w:r>
      </w:hyperlink>
      <w:r w:rsidRPr="00275B0F">
        <w:rPr>
          <w:rFonts w:ascii="Verdana" w:hAnsi="Verdana"/>
        </w:rPr>
        <w:t xml:space="preserve"> .¡Ayúdanos a mejorar porque el compromiso es de todos!</w:t>
      </w:r>
    </w:p>
    <w:p w14:paraId="7FFFE3CA" w14:textId="77777777" w:rsidR="009A5105" w:rsidRPr="00275B0F" w:rsidRDefault="009A5105" w:rsidP="009A5105">
      <w:pPr>
        <w:spacing w:after="0" w:line="240" w:lineRule="auto"/>
        <w:rPr>
          <w:rFonts w:ascii="Verdana" w:hAnsi="Verdana"/>
        </w:rPr>
      </w:pPr>
    </w:p>
    <w:p w14:paraId="16D2B10D" w14:textId="77777777" w:rsidR="009A5105" w:rsidRPr="00275B0F" w:rsidRDefault="009A5105" w:rsidP="009A5105">
      <w:pPr>
        <w:spacing w:after="0" w:line="240" w:lineRule="auto"/>
        <w:jc w:val="both"/>
        <w:rPr>
          <w:rFonts w:ascii="Verdana" w:hAnsi="Verdana"/>
        </w:rPr>
      </w:pPr>
      <w:r w:rsidRPr="00275B0F">
        <w:rPr>
          <w:rFonts w:ascii="Verdana" w:hAnsi="Verdana"/>
        </w:rPr>
        <w:t xml:space="preserve">Por último, lo invitamos a seguirnos en las redes sociales en las cuales se difunde información institucional: </w:t>
      </w:r>
    </w:p>
    <w:p w14:paraId="2BDEEC28" w14:textId="77777777" w:rsidR="009A5105" w:rsidRPr="00275B0F" w:rsidRDefault="009A5105" w:rsidP="009A5105">
      <w:pPr>
        <w:spacing w:after="0" w:line="240" w:lineRule="auto"/>
        <w:jc w:val="both"/>
        <w:rPr>
          <w:rFonts w:ascii="Verdana" w:hAnsi="Verdana"/>
        </w:rPr>
      </w:pPr>
    </w:p>
    <w:p w14:paraId="2216895C" w14:textId="77777777" w:rsidR="009A5105" w:rsidRPr="00275B0F" w:rsidRDefault="009A5105" w:rsidP="009A5105">
      <w:pPr>
        <w:spacing w:after="0" w:line="240" w:lineRule="auto"/>
        <w:jc w:val="both"/>
        <w:rPr>
          <w:rFonts w:ascii="Verdana" w:hAnsi="Verdana"/>
        </w:rPr>
      </w:pPr>
      <w:r w:rsidRPr="00275B0F">
        <w:rPr>
          <w:rFonts w:ascii="Verdana" w:hAnsi="Verdana"/>
        </w:rPr>
        <w:t xml:space="preserve">Twitter: </w:t>
      </w:r>
      <w:r w:rsidRPr="00275B0F">
        <w:rPr>
          <w:rFonts w:ascii="Verdana" w:hAnsi="Verdana"/>
          <w:color w:val="0000FF"/>
          <w:u w:val="single"/>
        </w:rPr>
        <w:t>@colombiacompra</w:t>
      </w:r>
      <w:r w:rsidRPr="00275B0F">
        <w:rPr>
          <w:rFonts w:ascii="Verdana" w:hAnsi="Verdana"/>
        </w:rPr>
        <w:t xml:space="preserve"> </w:t>
      </w:r>
    </w:p>
    <w:p w14:paraId="55A04532" w14:textId="77777777" w:rsidR="009A5105" w:rsidRPr="00275B0F" w:rsidRDefault="009A5105" w:rsidP="009A5105">
      <w:pPr>
        <w:spacing w:after="0" w:line="240" w:lineRule="auto"/>
        <w:jc w:val="both"/>
        <w:rPr>
          <w:rFonts w:ascii="Verdana" w:hAnsi="Verdana"/>
        </w:rPr>
      </w:pPr>
      <w:r w:rsidRPr="00275B0F">
        <w:rPr>
          <w:rFonts w:ascii="Verdana" w:hAnsi="Verdana"/>
        </w:rPr>
        <w:t xml:space="preserve">Facebook: </w:t>
      </w:r>
      <w:r w:rsidRPr="00275B0F">
        <w:rPr>
          <w:rFonts w:ascii="Verdana" w:hAnsi="Verdana"/>
          <w:color w:val="0000FF"/>
          <w:u w:val="single"/>
        </w:rPr>
        <w:t>ColombiaCompraEficiente</w:t>
      </w:r>
    </w:p>
    <w:p w14:paraId="008B608A" w14:textId="77777777" w:rsidR="009A5105" w:rsidRPr="00275B0F" w:rsidRDefault="009A5105" w:rsidP="009A5105">
      <w:pPr>
        <w:spacing w:after="0" w:line="240" w:lineRule="auto"/>
        <w:jc w:val="both"/>
        <w:rPr>
          <w:rFonts w:ascii="Verdana" w:hAnsi="Verdana"/>
        </w:rPr>
      </w:pPr>
      <w:r w:rsidRPr="00275B0F">
        <w:rPr>
          <w:rFonts w:ascii="Verdana" w:hAnsi="Verdana"/>
        </w:rPr>
        <w:t xml:space="preserve">LinkedIn: </w:t>
      </w:r>
      <w:r w:rsidRPr="00275B0F">
        <w:rPr>
          <w:rFonts w:ascii="Verdana" w:hAnsi="Verdana"/>
          <w:color w:val="0000FF"/>
          <w:u w:val="single"/>
        </w:rPr>
        <w:t>Agencia Nacional de Contratación Pública - Colombia Compra Eficiente</w:t>
      </w:r>
      <w:r w:rsidRPr="00275B0F">
        <w:rPr>
          <w:rFonts w:ascii="Verdana" w:hAnsi="Verdana"/>
        </w:rPr>
        <w:t xml:space="preserve"> Instagram: </w:t>
      </w:r>
      <w:r w:rsidRPr="00275B0F">
        <w:rPr>
          <w:rFonts w:ascii="Verdana" w:hAnsi="Verdana"/>
          <w:color w:val="0000FF"/>
          <w:u w:val="single"/>
        </w:rPr>
        <w:t>@colombiacompraeficiente_cce</w:t>
      </w:r>
    </w:p>
    <w:p w14:paraId="7E034BA5" w14:textId="77777777" w:rsidR="009A5105" w:rsidRPr="00275B0F" w:rsidRDefault="009A5105" w:rsidP="009A5105">
      <w:pPr>
        <w:widowControl w:val="0"/>
        <w:autoSpaceDE w:val="0"/>
        <w:autoSpaceDN w:val="0"/>
        <w:spacing w:after="0" w:line="276" w:lineRule="auto"/>
        <w:jc w:val="both"/>
        <w:rPr>
          <w:rFonts w:ascii="Verdana" w:hAnsi="Verdana" w:cs="Arial"/>
          <w:color w:val="FF0000"/>
          <w:shd w:val="clear" w:color="auto" w:fill="FFFFFF"/>
          <w:lang w:val="es-ES_tradnl"/>
        </w:rPr>
      </w:pPr>
    </w:p>
    <w:p w14:paraId="5F79FE03" w14:textId="77777777" w:rsidR="009A5105" w:rsidRPr="00275B0F" w:rsidRDefault="009A5105" w:rsidP="009A5105">
      <w:pPr>
        <w:widowControl w:val="0"/>
        <w:autoSpaceDE w:val="0"/>
        <w:autoSpaceDN w:val="0"/>
        <w:spacing w:after="120" w:line="276" w:lineRule="auto"/>
        <w:jc w:val="both"/>
        <w:rPr>
          <w:rFonts w:ascii="Verdana" w:hAnsi="Verdana" w:cs="Arial"/>
          <w:color w:val="FF0000"/>
          <w:shd w:val="clear" w:color="auto" w:fill="FFFFFF"/>
          <w:lang w:val="es-ES_tradnl"/>
        </w:rPr>
      </w:pPr>
      <w:r w:rsidRPr="00275B0F">
        <w:rPr>
          <w:rFonts w:ascii="Verdana" w:hAnsi="Verdana" w:cs="Arial"/>
          <w:color w:val="000000" w:themeColor="text1"/>
        </w:rPr>
        <w:t xml:space="preserve">Este concepto tiene el alcance previsto en el artículo 28 del Código de Procedimiento Administrativo y de lo Contencioso Administrativo </w:t>
      </w:r>
      <w:r w:rsidRPr="00275B0F">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612B53E" w14:textId="77777777" w:rsidR="009A5105" w:rsidRPr="00275B0F" w:rsidRDefault="009A5105" w:rsidP="009A5105">
      <w:pPr>
        <w:widowControl w:val="0"/>
        <w:autoSpaceDE w:val="0"/>
        <w:autoSpaceDN w:val="0"/>
        <w:spacing w:after="0" w:line="276" w:lineRule="auto"/>
        <w:jc w:val="both"/>
        <w:rPr>
          <w:rFonts w:ascii="Verdana" w:hAnsi="Verdana" w:cs="Arial"/>
          <w:color w:val="000000" w:themeColor="text1"/>
        </w:rPr>
      </w:pPr>
    </w:p>
    <w:p w14:paraId="76C00AE6" w14:textId="77777777" w:rsidR="009A5105" w:rsidRPr="00275B0F" w:rsidRDefault="009A5105" w:rsidP="009A5105">
      <w:pPr>
        <w:spacing w:after="0" w:line="276" w:lineRule="auto"/>
        <w:rPr>
          <w:rFonts w:ascii="Verdana" w:hAnsi="Verdana" w:cs="Arial"/>
          <w:color w:val="000000" w:themeColor="text1"/>
          <w:lang w:eastAsia="es-CO"/>
        </w:rPr>
      </w:pPr>
      <w:r w:rsidRPr="00275B0F">
        <w:rPr>
          <w:rFonts w:ascii="Verdana" w:eastAsia="Times New Roman" w:hAnsi="Verdana" w:cs="Arial"/>
          <w:color w:val="000000" w:themeColor="text1"/>
          <w:lang w:eastAsia="es-CO"/>
        </w:rPr>
        <w:t>Atentamente,</w:t>
      </w:r>
      <w:r w:rsidRPr="00275B0F">
        <w:rPr>
          <w:rFonts w:ascii="Verdana" w:hAnsi="Verdana" w:cs="Arial"/>
          <w:color w:val="000000" w:themeColor="text1"/>
          <w:lang w:eastAsia="es-CO"/>
        </w:rPr>
        <w:t xml:space="preserve"> </w:t>
      </w:r>
    </w:p>
    <w:p w14:paraId="406F11AA" w14:textId="7DE61287" w:rsidR="009A5105" w:rsidRPr="007C0FE9" w:rsidRDefault="00B204E0" w:rsidP="009A5105">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7E61C0BF" wp14:editId="072C5B66">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318444"/>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9A5105" w:rsidRPr="007C0FE9" w14:paraId="6F16E64B" w14:textId="77777777" w:rsidTr="0056491E">
        <w:trPr>
          <w:trHeight w:val="315"/>
        </w:trPr>
        <w:tc>
          <w:tcPr>
            <w:tcW w:w="893" w:type="dxa"/>
            <w:vAlign w:val="center"/>
            <w:hideMark/>
          </w:tcPr>
          <w:p w14:paraId="00058732" w14:textId="77777777" w:rsidR="009A5105" w:rsidRPr="007C0FE9" w:rsidRDefault="009A5105" w:rsidP="0056491E">
            <w:pPr>
              <w:spacing w:line="256" w:lineRule="auto"/>
              <w:contextualSpacing/>
              <w:rPr>
                <w:rFonts w:ascii="Verdana" w:eastAsia="Calibri" w:hAnsi="Verdana" w:cs="Arial"/>
                <w:sz w:val="16"/>
                <w:szCs w:val="16"/>
                <w:lang w:val="es-ES" w:eastAsia="es-ES"/>
              </w:rPr>
            </w:pPr>
            <w:r w:rsidRPr="007C0FE9">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F2033DF" w14:textId="77777777" w:rsidR="009A5105" w:rsidRPr="007C0FE9" w:rsidRDefault="009A5105" w:rsidP="0056491E">
            <w:pPr>
              <w:spacing w:line="256" w:lineRule="auto"/>
              <w:contextualSpacing/>
              <w:rPr>
                <w:rFonts w:ascii="Verdana" w:eastAsia="Calibri" w:hAnsi="Verdana" w:cs="Times New Roman"/>
                <w:sz w:val="16"/>
                <w:szCs w:val="16"/>
              </w:rPr>
            </w:pPr>
            <w:r w:rsidRPr="007C0FE9">
              <w:rPr>
                <w:rFonts w:ascii="Verdana" w:eastAsia="Calibri" w:hAnsi="Verdana" w:cs="Times New Roman"/>
                <w:sz w:val="16"/>
                <w:szCs w:val="16"/>
              </w:rPr>
              <w:t>Tatiana Baquero Iguarán</w:t>
            </w:r>
          </w:p>
          <w:p w14:paraId="4172E062" w14:textId="77777777" w:rsidR="009A5105" w:rsidRPr="007C0FE9" w:rsidRDefault="009A5105" w:rsidP="0056491E">
            <w:pPr>
              <w:spacing w:line="256" w:lineRule="auto"/>
              <w:contextualSpacing/>
              <w:rPr>
                <w:rFonts w:ascii="Verdana" w:eastAsia="Arial" w:hAnsi="Verdana" w:cs="Arial"/>
                <w:sz w:val="16"/>
                <w:szCs w:val="16"/>
              </w:rPr>
            </w:pPr>
            <w:r w:rsidRPr="007C0FE9">
              <w:rPr>
                <w:rFonts w:ascii="Verdana" w:eastAsia="Calibri" w:hAnsi="Verdana" w:cs="Times New Roman"/>
                <w:sz w:val="16"/>
                <w:szCs w:val="16"/>
              </w:rPr>
              <w:t>Contratista de la Subdirección de Gestión Contractual</w:t>
            </w:r>
          </w:p>
        </w:tc>
      </w:tr>
      <w:tr w:rsidR="009A5105" w:rsidRPr="007C0FE9" w14:paraId="72320573" w14:textId="77777777" w:rsidTr="0056491E">
        <w:trPr>
          <w:trHeight w:val="330"/>
        </w:trPr>
        <w:tc>
          <w:tcPr>
            <w:tcW w:w="893" w:type="dxa"/>
            <w:vAlign w:val="center"/>
            <w:hideMark/>
          </w:tcPr>
          <w:p w14:paraId="5C8DAB27" w14:textId="77777777" w:rsidR="009A5105" w:rsidRPr="007C0FE9" w:rsidRDefault="009A5105" w:rsidP="0056491E">
            <w:pPr>
              <w:spacing w:line="256" w:lineRule="auto"/>
              <w:contextualSpacing/>
              <w:rPr>
                <w:rFonts w:ascii="Verdana" w:eastAsia="Calibri" w:hAnsi="Verdana" w:cs="Arial"/>
                <w:sz w:val="16"/>
                <w:szCs w:val="16"/>
                <w:lang w:val="es-ES" w:eastAsia="es-ES"/>
              </w:rPr>
            </w:pPr>
            <w:r w:rsidRPr="007C0FE9">
              <w:rPr>
                <w:rFonts w:ascii="Verdana" w:eastAsia="Calibri"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EBE430" w14:textId="77777777" w:rsidR="009A5105" w:rsidRPr="007C0FE9" w:rsidRDefault="009A5105" w:rsidP="0056491E">
            <w:pPr>
              <w:spacing w:before="100" w:beforeAutospacing="1" w:afterAutospacing="1" w:line="256" w:lineRule="auto"/>
              <w:contextualSpacing/>
              <w:textAlignment w:val="baseline"/>
              <w:rPr>
                <w:rFonts w:ascii="Verdana" w:eastAsia="Times New Roman" w:hAnsi="Verdana" w:cs="Arial"/>
                <w:sz w:val="16"/>
                <w:szCs w:val="16"/>
                <w:lang w:val="es-ES" w:eastAsia="es-ES_tradnl"/>
              </w:rPr>
            </w:pPr>
            <w:r w:rsidRPr="007C0FE9">
              <w:rPr>
                <w:rFonts w:ascii="Verdana" w:eastAsia="Times New Roman" w:hAnsi="Verdana" w:cs="Arial"/>
                <w:sz w:val="16"/>
                <w:szCs w:val="16"/>
                <w:lang w:val="es-ES" w:eastAsia="es-ES_tradnl"/>
              </w:rPr>
              <w:t>Alejandro Sarmiento Cantillo</w:t>
            </w:r>
          </w:p>
          <w:p w14:paraId="119DEA4B" w14:textId="77777777" w:rsidR="009A5105" w:rsidRPr="007C0FE9" w:rsidRDefault="009A5105" w:rsidP="0056491E">
            <w:pPr>
              <w:spacing w:line="256" w:lineRule="auto"/>
              <w:contextualSpacing/>
              <w:textAlignment w:val="baseline"/>
              <w:rPr>
                <w:rFonts w:ascii="Verdana" w:eastAsia="Times New Roman" w:hAnsi="Verdana" w:cs="Segoe UI"/>
                <w:sz w:val="16"/>
                <w:szCs w:val="16"/>
                <w:lang w:eastAsia="es-ES_tradnl"/>
              </w:rPr>
            </w:pPr>
            <w:r w:rsidRPr="007C0FE9">
              <w:rPr>
                <w:rFonts w:ascii="Verdana" w:eastAsia="Times New Roman" w:hAnsi="Verdana" w:cs="Arial"/>
                <w:sz w:val="16"/>
                <w:szCs w:val="16"/>
                <w:lang w:val="es-ES" w:eastAsia="es-ES_tradnl"/>
              </w:rPr>
              <w:t>Gestor T1 ‒ 15 de la Subdirección de Gestión Contractual</w:t>
            </w:r>
            <w:r w:rsidRPr="007C0FE9">
              <w:rPr>
                <w:rFonts w:ascii="Verdana" w:eastAsia="Times New Roman" w:hAnsi="Verdana" w:cs="Arial"/>
                <w:sz w:val="16"/>
                <w:szCs w:val="16"/>
                <w:lang w:eastAsia="es-ES_tradnl"/>
              </w:rPr>
              <w:t> </w:t>
            </w:r>
          </w:p>
        </w:tc>
      </w:tr>
      <w:tr w:rsidR="009A5105" w:rsidRPr="007C0FE9" w14:paraId="787638FB" w14:textId="77777777" w:rsidTr="0056491E">
        <w:trPr>
          <w:trHeight w:val="300"/>
        </w:trPr>
        <w:tc>
          <w:tcPr>
            <w:tcW w:w="893" w:type="dxa"/>
            <w:vAlign w:val="center"/>
          </w:tcPr>
          <w:p w14:paraId="0408148D" w14:textId="77777777" w:rsidR="009A5105" w:rsidRPr="007C0FE9" w:rsidRDefault="009A5105" w:rsidP="0056491E">
            <w:pPr>
              <w:spacing w:line="256" w:lineRule="auto"/>
              <w:contextualSpacing/>
              <w:rPr>
                <w:rFonts w:ascii="Verdana" w:eastAsia="Calibri" w:hAnsi="Verdana" w:cs="Arial"/>
                <w:sz w:val="16"/>
                <w:szCs w:val="16"/>
                <w:lang w:val="es-ES" w:eastAsia="es-ES"/>
              </w:rPr>
            </w:pPr>
            <w:r w:rsidRPr="007C0FE9">
              <w:rPr>
                <w:rFonts w:ascii="Verdana" w:eastAsia="Calibri"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091DCB" w14:textId="77777777" w:rsidR="009A5105" w:rsidRPr="007C0FE9" w:rsidRDefault="009A5105" w:rsidP="0056491E">
            <w:pPr>
              <w:spacing w:line="256" w:lineRule="auto"/>
              <w:contextualSpacing/>
              <w:rPr>
                <w:rFonts w:ascii="Verdana" w:eastAsia="Calibri" w:hAnsi="Verdana" w:cs="Arial"/>
                <w:sz w:val="16"/>
                <w:szCs w:val="16"/>
                <w:lang w:val="pt-BR" w:eastAsia="es-ES"/>
              </w:rPr>
            </w:pPr>
            <w:r w:rsidRPr="007C0FE9">
              <w:rPr>
                <w:rFonts w:ascii="Verdana" w:eastAsia="Calibri" w:hAnsi="Verdana" w:cs="Arial"/>
                <w:sz w:val="16"/>
                <w:szCs w:val="16"/>
                <w:lang w:val="pt-BR" w:eastAsia="es-ES"/>
              </w:rPr>
              <w:t>Carolina Quintero Gacharná</w:t>
            </w:r>
          </w:p>
          <w:p w14:paraId="09C8D3E9" w14:textId="77777777" w:rsidR="009A5105" w:rsidRPr="007C0FE9" w:rsidRDefault="009A5105" w:rsidP="0056491E">
            <w:pPr>
              <w:spacing w:line="256" w:lineRule="auto"/>
              <w:contextualSpacing/>
              <w:rPr>
                <w:rFonts w:ascii="Verdana" w:eastAsia="Calibri" w:hAnsi="Verdana" w:cs="Arial"/>
                <w:sz w:val="16"/>
                <w:szCs w:val="16"/>
                <w:lang w:val="pt-BR" w:eastAsia="es-ES"/>
              </w:rPr>
            </w:pPr>
            <w:r w:rsidRPr="007C0FE9">
              <w:rPr>
                <w:rFonts w:ascii="Verdana" w:eastAsia="Calibri" w:hAnsi="Verdana" w:cs="Arial"/>
                <w:sz w:val="16"/>
                <w:szCs w:val="16"/>
                <w:lang w:eastAsia="es-ES"/>
              </w:rPr>
              <w:t>Subdirectora</w:t>
            </w:r>
            <w:r w:rsidRPr="007C0FE9">
              <w:rPr>
                <w:rFonts w:ascii="Verdana" w:eastAsia="Calibri" w:hAnsi="Verdana" w:cs="Arial"/>
                <w:sz w:val="16"/>
                <w:szCs w:val="16"/>
                <w:lang w:val="pt-BR" w:eastAsia="es-ES"/>
              </w:rPr>
              <w:t xml:space="preserve"> de Gestión Contratual ANCP – CCE</w:t>
            </w:r>
          </w:p>
        </w:tc>
      </w:tr>
    </w:tbl>
    <w:p w14:paraId="6A74DCE2" w14:textId="77777777" w:rsidR="009A5105" w:rsidRPr="007C0FE9" w:rsidRDefault="009A5105" w:rsidP="009A5105">
      <w:pPr>
        <w:spacing w:line="256" w:lineRule="auto"/>
        <w:rPr>
          <w:rFonts w:ascii="Calibri" w:eastAsia="Calibri" w:hAnsi="Calibri" w:cs="Times New Roman"/>
        </w:rPr>
      </w:pPr>
    </w:p>
    <w:p w14:paraId="204AB2EE" w14:textId="77777777" w:rsidR="009A5105" w:rsidRPr="007C0FE9" w:rsidRDefault="009A5105" w:rsidP="009A5105">
      <w:pPr>
        <w:spacing w:line="256" w:lineRule="auto"/>
        <w:rPr>
          <w:rFonts w:ascii="Calibri" w:eastAsia="Calibri" w:hAnsi="Calibri" w:cs="Times New Roman"/>
        </w:rPr>
      </w:pPr>
    </w:p>
    <w:p w14:paraId="6CBF0C5B" w14:textId="77777777" w:rsidR="009A5105" w:rsidRPr="007C0FE9" w:rsidRDefault="009A5105" w:rsidP="009A5105">
      <w:pPr>
        <w:tabs>
          <w:tab w:val="left" w:pos="3024"/>
        </w:tabs>
        <w:spacing w:after="0" w:line="240" w:lineRule="auto"/>
        <w:rPr>
          <w:rFonts w:ascii="Verdana" w:eastAsia="Geomanist Light" w:hAnsi="Verdana" w:cs="Arial"/>
          <w:color w:val="000000" w:themeColor="text1"/>
          <w:lang w:val="es-MX"/>
        </w:rPr>
      </w:pPr>
      <w:r w:rsidRPr="007C0FE9">
        <w:rPr>
          <w:rFonts w:ascii="Verdana" w:eastAsia="Geomanist Light" w:hAnsi="Verdana" w:cs="Arial"/>
          <w:color w:val="000000" w:themeColor="text1"/>
          <w:lang w:val="es-MX"/>
        </w:rPr>
        <w:tab/>
      </w:r>
    </w:p>
    <w:p w14:paraId="7849EC3A" w14:textId="77777777" w:rsidR="009A5105" w:rsidRPr="007C0FE9" w:rsidRDefault="009A5105" w:rsidP="009A5105"/>
    <w:p w14:paraId="46F85FEF" w14:textId="77777777" w:rsidR="009A5105" w:rsidRPr="00275B0F" w:rsidRDefault="009A5105" w:rsidP="009A5105"/>
    <w:bookmarkEnd w:id="0"/>
    <w:p w14:paraId="36A2716E" w14:textId="77777777" w:rsidR="00313CC3" w:rsidRDefault="00313CC3" w:rsidP="00313CC3">
      <w:pPr>
        <w:spacing w:after="0" w:line="240" w:lineRule="auto"/>
        <w:rPr>
          <w:rFonts w:ascii="Verdana" w:hAnsi="Verdana"/>
        </w:rPr>
      </w:pPr>
    </w:p>
    <w:sectPr w:rsidR="00313CC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D12C85" w14:textId="77777777" w:rsidR="00DF52EC" w:rsidRDefault="00DF52EC" w:rsidP="004A1847">
      <w:pPr>
        <w:spacing w:after="0" w:line="240" w:lineRule="auto"/>
      </w:pPr>
      <w:r>
        <w:separator/>
      </w:r>
    </w:p>
  </w:endnote>
  <w:endnote w:type="continuationSeparator" w:id="0">
    <w:p w14:paraId="1FDB67C1" w14:textId="77777777" w:rsidR="00DF52EC" w:rsidRDefault="00DF52EC" w:rsidP="004A1847">
      <w:pPr>
        <w:spacing w:after="0" w:line="240" w:lineRule="auto"/>
      </w:pPr>
      <w:r>
        <w:continuationSeparator/>
      </w:r>
    </w:p>
  </w:endnote>
  <w:endnote w:type="continuationNotice" w:id="1">
    <w:p w14:paraId="00363CFF" w14:textId="77777777" w:rsidR="00DF52EC" w:rsidRDefault="00DF52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7A5852" w14:textId="77777777" w:rsidR="00DF52EC" w:rsidRDefault="00DF52EC" w:rsidP="004A1847">
      <w:pPr>
        <w:spacing w:after="0" w:line="240" w:lineRule="auto"/>
      </w:pPr>
      <w:r>
        <w:separator/>
      </w:r>
    </w:p>
  </w:footnote>
  <w:footnote w:type="continuationSeparator" w:id="0">
    <w:p w14:paraId="37D8039A" w14:textId="77777777" w:rsidR="00DF52EC" w:rsidRDefault="00DF52EC" w:rsidP="004A1847">
      <w:pPr>
        <w:spacing w:after="0" w:line="240" w:lineRule="auto"/>
      </w:pPr>
      <w:r>
        <w:continuationSeparator/>
      </w:r>
    </w:p>
  </w:footnote>
  <w:footnote w:type="continuationNotice" w:id="1">
    <w:p w14:paraId="5B62AE43" w14:textId="77777777" w:rsidR="00DF52EC" w:rsidRDefault="00DF52EC">
      <w:pPr>
        <w:spacing w:after="0" w:line="240" w:lineRule="auto"/>
      </w:pPr>
    </w:p>
  </w:footnote>
  <w:footnote w:id="2">
    <w:p w14:paraId="4A4EB3C4" w14:textId="77777777" w:rsidR="009A5105" w:rsidRPr="000418A8" w:rsidRDefault="009A5105" w:rsidP="009A5105">
      <w:pPr>
        <w:pStyle w:val="NormalWeb"/>
        <w:snapToGrid w:val="0"/>
        <w:spacing w:before="0" w:beforeAutospacing="0" w:after="0" w:afterAutospacing="0"/>
        <w:ind w:firstLine="709"/>
        <w:contextualSpacing/>
        <w:jc w:val="both"/>
        <w:rPr>
          <w:rFonts w:ascii="Verdana" w:hAnsi="Verdana" w:cs="Arial"/>
          <w:sz w:val="16"/>
          <w:szCs w:val="16"/>
        </w:rPr>
      </w:pPr>
      <w:r w:rsidRPr="000418A8">
        <w:rPr>
          <w:rStyle w:val="Refdenotaalpie"/>
          <w:rFonts w:ascii="Verdana" w:hAnsi="Verdana" w:cs="Arial"/>
          <w:sz w:val="16"/>
          <w:szCs w:val="16"/>
        </w:rPr>
        <w:footnoteRef/>
      </w:r>
      <w:r w:rsidRPr="000418A8">
        <w:rPr>
          <w:rFonts w:ascii="Verdana" w:hAnsi="Verdana" w:cs="Arial"/>
          <w:sz w:val="16"/>
          <w:szCs w:val="16"/>
        </w:rPr>
        <w:t xml:space="preserve"> </w:t>
      </w:r>
      <w:r w:rsidRPr="000418A8">
        <w:rPr>
          <w:rFonts w:ascii="Verdana" w:hAnsi="Verdana" w:cs="Arial"/>
          <w:sz w:val="16"/>
          <w:szCs w:val="16"/>
          <w:lang w:val="es-ES"/>
        </w:rPr>
        <w:t>“</w:t>
      </w:r>
      <w:r w:rsidRPr="000418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48533F5E" w14:textId="77777777" w:rsidR="009A5105" w:rsidRPr="000418A8" w:rsidRDefault="009A5105" w:rsidP="009A5105">
      <w:pPr>
        <w:snapToGrid w:val="0"/>
        <w:spacing w:after="0" w:line="240" w:lineRule="auto"/>
        <w:ind w:firstLine="708"/>
        <w:contextualSpacing/>
        <w:jc w:val="both"/>
        <w:rPr>
          <w:rFonts w:ascii="Verdana" w:hAnsi="Verdana" w:cs="Arial"/>
          <w:sz w:val="16"/>
          <w:szCs w:val="16"/>
        </w:rPr>
      </w:pPr>
      <w:r w:rsidRPr="000418A8">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3CB2D8D5" w14:textId="77777777" w:rsidR="009A5105" w:rsidRPr="000418A8" w:rsidRDefault="009A5105" w:rsidP="009A5105">
      <w:pPr>
        <w:pStyle w:val="Textonotapie"/>
        <w:ind w:firstLine="708"/>
        <w:contextualSpacing/>
        <w:jc w:val="both"/>
        <w:rPr>
          <w:rFonts w:ascii="Verdana" w:hAnsi="Verdana"/>
          <w:sz w:val="16"/>
          <w:szCs w:val="16"/>
        </w:rPr>
      </w:pPr>
      <w:r w:rsidRPr="000418A8">
        <w:rPr>
          <w:rStyle w:val="Refdenotaalpie"/>
          <w:rFonts w:ascii="Verdana" w:hAnsi="Verdana"/>
          <w:sz w:val="16"/>
          <w:szCs w:val="16"/>
        </w:rPr>
        <w:footnoteRef/>
      </w:r>
      <w:r w:rsidRPr="000418A8">
        <w:rPr>
          <w:rFonts w:ascii="Verdana" w:hAnsi="Verdana"/>
          <w:sz w:val="16"/>
          <w:szCs w:val="16"/>
        </w:rPr>
        <w:t xml:space="preserve"> El </w:t>
      </w:r>
      <w:r w:rsidRPr="000418A8">
        <w:rPr>
          <w:rFonts w:ascii="Verdana" w:eastAsia="Times New Roman" w:hAnsi="Verdana" w:cs="Arial"/>
          <w:sz w:val="16"/>
          <w:szCs w:val="16"/>
          <w:lang w:val="es-ES" w:eastAsia="es-MX"/>
        </w:rPr>
        <w:t>“Manual para determinar y verificar los requisitos habilitantes en los Procesos de Contratación”</w:t>
      </w:r>
      <w:r w:rsidRPr="000418A8">
        <w:rPr>
          <w:rFonts w:ascii="Verdana" w:eastAsia="Calibri" w:hAnsi="Verdana" w:cs="Arial"/>
          <w:sz w:val="16"/>
          <w:szCs w:val="16"/>
          <w:lang w:val="es-ES" w:eastAsia="es-MX"/>
        </w:rPr>
        <w:t>,</w:t>
      </w:r>
      <w:r w:rsidRPr="000418A8">
        <w:rPr>
          <w:rFonts w:ascii="Verdana" w:eastAsia="Times New Roman" w:hAnsi="Verdana" w:cs="Arial"/>
          <w:sz w:val="16"/>
          <w:szCs w:val="16"/>
          <w:lang w:val="es-ES" w:eastAsia="es-MX"/>
        </w:rPr>
        <w:t xml:space="preserve"> expedido por la </w:t>
      </w:r>
      <w:r w:rsidRPr="000418A8">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0418A8">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0418A8">
        <w:rPr>
          <w:rFonts w:ascii="Verdana" w:eastAsia="Calibri" w:hAnsi="Verdana" w:cs="Arial"/>
          <w:sz w:val="16"/>
          <w:szCs w:val="16"/>
          <w:lang w:val="es-ES" w:eastAsia="es-MX"/>
        </w:rPr>
        <w:t xml:space="preserve">  </w:t>
      </w:r>
    </w:p>
  </w:footnote>
  <w:footnote w:id="4">
    <w:p w14:paraId="34353B7F" w14:textId="77777777" w:rsidR="009A5105" w:rsidRPr="000418A8" w:rsidRDefault="009A5105" w:rsidP="009A5105">
      <w:pPr>
        <w:pStyle w:val="NormalWeb"/>
        <w:snapToGrid w:val="0"/>
        <w:spacing w:before="0" w:beforeAutospacing="0" w:after="0" w:afterAutospacing="0"/>
        <w:ind w:firstLine="709"/>
        <w:contextualSpacing/>
        <w:jc w:val="both"/>
        <w:rPr>
          <w:rFonts w:ascii="Verdana" w:hAnsi="Verdana" w:cs="Arial"/>
          <w:sz w:val="16"/>
          <w:szCs w:val="16"/>
          <w:lang w:val="es-ES"/>
        </w:rPr>
      </w:pPr>
      <w:r w:rsidRPr="000418A8">
        <w:rPr>
          <w:rStyle w:val="Refdenotaalpie"/>
          <w:rFonts w:ascii="Verdana" w:hAnsi="Verdana" w:cs="Arial"/>
          <w:sz w:val="16"/>
          <w:szCs w:val="16"/>
        </w:rPr>
        <w:footnoteRef/>
      </w:r>
      <w:r w:rsidRPr="000418A8">
        <w:rPr>
          <w:rStyle w:val="Refdenotaalpie"/>
          <w:rFonts w:ascii="Verdana" w:hAnsi="Verdana" w:cs="Arial"/>
          <w:sz w:val="16"/>
          <w:szCs w:val="16"/>
        </w:rPr>
        <w:t xml:space="preserve"> </w:t>
      </w:r>
      <w:r w:rsidRPr="000418A8">
        <w:rPr>
          <w:rFonts w:ascii="Verdana" w:hAnsi="Verdana" w:cs="Arial"/>
          <w:sz w:val="16"/>
          <w:szCs w:val="16"/>
        </w:rPr>
        <w:t>“</w:t>
      </w:r>
      <w:r w:rsidRPr="000418A8">
        <w:rPr>
          <w:rFonts w:ascii="Verdana" w:hAnsi="Verdana"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793841FD" w14:textId="77777777" w:rsidR="009A5105" w:rsidRPr="000418A8" w:rsidRDefault="009A5105" w:rsidP="009A5105">
      <w:pPr>
        <w:pStyle w:val="NormalWeb"/>
        <w:snapToGrid w:val="0"/>
        <w:spacing w:before="0" w:beforeAutospacing="0" w:after="0" w:afterAutospacing="0"/>
        <w:ind w:firstLine="709"/>
        <w:contextualSpacing/>
        <w:jc w:val="both"/>
        <w:rPr>
          <w:rFonts w:ascii="Verdana" w:hAnsi="Verdana" w:cs="Arial"/>
          <w:sz w:val="16"/>
          <w:szCs w:val="16"/>
          <w:lang w:val="es-ES"/>
        </w:rPr>
      </w:pPr>
      <w:r w:rsidRPr="000418A8">
        <w:rPr>
          <w:rFonts w:ascii="Verdana" w:hAnsi="Verdana" w:cs="Arial"/>
          <w:sz w:val="16"/>
          <w:szCs w:val="16"/>
          <w:lang w:val="es-ES"/>
        </w:rPr>
        <w:t>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7E48725B" w14:textId="77777777" w:rsidR="009A5105" w:rsidRPr="000418A8" w:rsidRDefault="009A5105" w:rsidP="009A5105">
      <w:pPr>
        <w:pStyle w:val="NormalWeb"/>
        <w:snapToGrid w:val="0"/>
        <w:spacing w:before="0" w:beforeAutospacing="0" w:after="0" w:afterAutospacing="0"/>
        <w:ind w:firstLine="708"/>
        <w:contextualSpacing/>
        <w:jc w:val="both"/>
        <w:rPr>
          <w:rFonts w:ascii="Verdana" w:hAnsi="Verdana" w:cs="Arial"/>
          <w:sz w:val="16"/>
          <w:szCs w:val="16"/>
          <w:lang w:val="es-ES"/>
        </w:rPr>
      </w:pPr>
      <w:r w:rsidRPr="000418A8">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0418A8">
        <w:rPr>
          <w:rFonts w:ascii="Verdana" w:hAnsi="Verdana" w:cs="Verdana"/>
          <w:sz w:val="16"/>
          <w:szCs w:val="16"/>
          <w:lang w:val="es-ES"/>
        </w:rPr>
        <w:t>”</w:t>
      </w:r>
      <w:r w:rsidRPr="000418A8">
        <w:rPr>
          <w:rFonts w:ascii="Verdana" w:hAnsi="Verdana" w:cs="Arial"/>
          <w:sz w:val="16"/>
          <w:szCs w:val="16"/>
          <w:lang w:val="es-ES"/>
        </w:rPr>
        <w:t>.</w:t>
      </w:r>
    </w:p>
    <w:p w14:paraId="3C57F92E" w14:textId="77777777" w:rsidR="009A5105" w:rsidRPr="000418A8" w:rsidRDefault="009A5105" w:rsidP="009A5105">
      <w:pPr>
        <w:pStyle w:val="NormalWeb"/>
        <w:snapToGrid w:val="0"/>
        <w:spacing w:before="0" w:beforeAutospacing="0" w:after="0" w:afterAutospacing="0"/>
        <w:ind w:firstLine="708"/>
        <w:contextualSpacing/>
        <w:jc w:val="both"/>
        <w:rPr>
          <w:rStyle w:val="Refdenotaalpie"/>
          <w:rFonts w:ascii="Verdana" w:hAnsi="Verdana"/>
          <w:sz w:val="16"/>
          <w:szCs w:val="16"/>
          <w:vertAlign w:val="baseline"/>
        </w:rPr>
      </w:pPr>
    </w:p>
  </w:footnote>
  <w:footnote w:id="5">
    <w:p w14:paraId="15FF37C0" w14:textId="77777777" w:rsidR="009A5105" w:rsidRPr="000418A8" w:rsidRDefault="009A5105" w:rsidP="009A5105">
      <w:pPr>
        <w:pStyle w:val="Textonotapie"/>
        <w:ind w:firstLine="708"/>
        <w:contextualSpacing/>
        <w:jc w:val="both"/>
        <w:rPr>
          <w:rFonts w:ascii="Verdana" w:hAnsi="Verdana"/>
          <w:sz w:val="16"/>
          <w:szCs w:val="16"/>
        </w:rPr>
      </w:pPr>
      <w:r w:rsidRPr="000418A8">
        <w:rPr>
          <w:rStyle w:val="Refdenotaalpie"/>
          <w:rFonts w:ascii="Verdana" w:hAnsi="Verdana"/>
          <w:sz w:val="16"/>
          <w:szCs w:val="16"/>
        </w:rPr>
        <w:footnoteRef/>
      </w:r>
      <w:r w:rsidRPr="000418A8">
        <w:rPr>
          <w:rFonts w:ascii="Verdana" w:hAnsi="Verdana"/>
          <w:sz w:val="16"/>
          <w:szCs w:val="16"/>
        </w:rPr>
        <w:t xml:space="preserve"> </w:t>
      </w:r>
      <w:bookmarkStart w:id="14" w:name="44"/>
      <w:r w:rsidRPr="000418A8">
        <w:rPr>
          <w:rFonts w:ascii="Verdana" w:hAnsi="Verdana"/>
          <w:sz w:val="16"/>
          <w:szCs w:val="16"/>
        </w:rPr>
        <w:t xml:space="preserve">Sobre el particular el </w:t>
      </w:r>
      <w:r w:rsidRPr="000418A8">
        <w:rPr>
          <w:rFonts w:ascii="Verdana" w:hAnsi="Verdana"/>
          <w:sz w:val="16"/>
          <w:szCs w:val="16"/>
          <w:lang w:val="es-CO"/>
        </w:rPr>
        <w:t>artículo 44 de la Ley 1437 de 2011, dispone: “Decisiones Discrecionales.</w:t>
      </w:r>
      <w:bookmarkEnd w:id="14"/>
      <w:r w:rsidRPr="000418A8">
        <w:rPr>
          <w:rFonts w:ascii="Verdana" w:hAnsi="Verdana"/>
          <w:sz w:val="16"/>
          <w:szCs w:val="16"/>
          <w:lang w:val="es-CO"/>
        </w:rPr>
        <w:t xml:space="preserve"> En la medida en que el contenido de una decisión de carácter general o particular sea discrecional, debe ser adecuada a los fines de la norma que la autoriza, y proporcional a los hechos que le sirven de causa”.</w:t>
      </w:r>
    </w:p>
  </w:footnote>
  <w:footnote w:id="6">
    <w:p w14:paraId="7B0A72A6" w14:textId="77777777" w:rsidR="009A5105" w:rsidRDefault="009A5105" w:rsidP="009A5105">
      <w:pPr>
        <w:spacing w:line="240" w:lineRule="auto"/>
        <w:ind w:firstLine="708"/>
        <w:contextualSpacing/>
        <w:jc w:val="both"/>
        <w:rPr>
          <w:rFonts w:ascii="Verdana" w:eastAsia="Calibri" w:hAnsi="Verdana" w:cs="Arial"/>
          <w:bCs/>
          <w:sz w:val="16"/>
          <w:szCs w:val="16"/>
          <w:lang w:val="es-ES_tradnl"/>
        </w:rPr>
      </w:pPr>
      <w:r>
        <w:rPr>
          <w:rStyle w:val="Refdenotaalpie"/>
          <w:rFonts w:ascii="Verdana" w:hAnsi="Verdana"/>
          <w:sz w:val="16"/>
          <w:szCs w:val="16"/>
        </w:rPr>
        <w:footnoteRef/>
      </w:r>
      <w:r>
        <w:rPr>
          <w:rFonts w:ascii="Verdana" w:hAnsi="Verdana"/>
          <w:sz w:val="16"/>
          <w:szCs w:val="16"/>
        </w:rPr>
        <w:t xml:space="preserve"> L</w:t>
      </w:r>
      <w:r>
        <w:rPr>
          <w:rFonts w:ascii="Verdana" w:eastAsia="Calibri" w:hAnsi="Verdana" w:cs="Arial"/>
          <w:bCs/>
          <w:sz w:val="16"/>
          <w:szCs w:val="16"/>
          <w:lang w:val="es-ES_tradnl"/>
        </w:rPr>
        <w:t xml:space="preserve">a ley colombiana no consagra una definición de actos de comercio, sino que incorpora un listado de actos y actividades considerados como mercantiles, que incluye una gama muy variada de operaciones usuales en la vida de los negocios. En ese sentido, el artículo 20 del Código de Comercio agrupa una gran variedad de actividades bajo la categoría de “acto de comercio”, sin que dicha enumeración sea taxativa en </w:t>
      </w:r>
      <w:r>
        <w:rPr>
          <w:rFonts w:ascii="Verdana" w:hAnsi="Verdana" w:cs="Arial"/>
          <w:sz w:val="16"/>
          <w:szCs w:val="16"/>
        </w:rPr>
        <w:t xml:space="preserve">nuestro sistema jurídico. Así las cosas, no se define estáticamente el acto de comercio, permitiendo mediante la analogía realizar la ampliación dinámica del derecho mercantil facilitando su adaptación a un cambiante mundo de negocios. Adicionalmente, la ley provee un criterio auxiliar que permite ampliar la cobertura del derecho comercial con la calificación de mercantiles de actos que en principio no lo son, pero que guardan relación estrecha con actividades de esta naturaleza. En el artículo 21 del Código de Comercio se incluyen actos no previstos en el artículo 20 que realiza el comerciante o empresario mercantil en desarrollo de su actividad mercantil y que facilitan su ejercicio y que en razón a ello adquieren comercialidad. </w:t>
      </w:r>
    </w:p>
  </w:footnote>
  <w:footnote w:id="7">
    <w:p w14:paraId="5ADD4975" w14:textId="77777777" w:rsidR="009A5105" w:rsidRDefault="009A5105" w:rsidP="009A5105">
      <w:pPr>
        <w:spacing w:line="240" w:lineRule="auto"/>
        <w:ind w:firstLine="708"/>
        <w:contextualSpacing/>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Código de Comercio. Artículo</w:t>
      </w:r>
      <w:r>
        <w:rPr>
          <w:rFonts w:ascii="Verdana" w:hAnsi="Verdana"/>
          <w:spacing w:val="1"/>
          <w:sz w:val="16"/>
          <w:szCs w:val="16"/>
        </w:rPr>
        <w:t xml:space="preserve"> </w:t>
      </w:r>
      <w:r>
        <w:rPr>
          <w:rFonts w:ascii="Verdana" w:hAnsi="Verdana"/>
          <w:sz w:val="16"/>
          <w:szCs w:val="16"/>
        </w:rPr>
        <w:t xml:space="preserve">515. </w:t>
      </w:r>
      <w:r>
        <w:rPr>
          <w:rFonts w:ascii="Verdana" w:hAnsi="Verdana"/>
          <w:spacing w:val="1"/>
          <w:sz w:val="16"/>
          <w:szCs w:val="16"/>
        </w:rPr>
        <w:t>“</w:t>
      </w:r>
      <w:r>
        <w:rPr>
          <w:rFonts w:ascii="Verdana" w:hAnsi="Verdana"/>
          <w:sz w:val="16"/>
          <w:szCs w:val="16"/>
        </w:rPr>
        <w:t>Se</w:t>
      </w:r>
      <w:r>
        <w:rPr>
          <w:rFonts w:ascii="Verdana" w:hAnsi="Verdana"/>
          <w:spacing w:val="1"/>
          <w:sz w:val="16"/>
          <w:szCs w:val="16"/>
        </w:rPr>
        <w:t xml:space="preserve"> </w:t>
      </w:r>
      <w:r>
        <w:rPr>
          <w:rFonts w:ascii="Verdana" w:hAnsi="Verdana"/>
          <w:sz w:val="16"/>
          <w:szCs w:val="16"/>
        </w:rPr>
        <w:t>entiende</w:t>
      </w:r>
      <w:r>
        <w:rPr>
          <w:rFonts w:ascii="Verdana" w:hAnsi="Verdana"/>
          <w:spacing w:val="1"/>
          <w:sz w:val="16"/>
          <w:szCs w:val="16"/>
        </w:rPr>
        <w:t xml:space="preserve"> </w:t>
      </w:r>
      <w:r>
        <w:rPr>
          <w:rFonts w:ascii="Verdana" w:hAnsi="Verdana"/>
          <w:sz w:val="16"/>
          <w:szCs w:val="16"/>
        </w:rPr>
        <w:t>por</w:t>
      </w:r>
      <w:r>
        <w:rPr>
          <w:rFonts w:ascii="Verdana" w:hAnsi="Verdana"/>
          <w:spacing w:val="1"/>
          <w:sz w:val="16"/>
          <w:szCs w:val="16"/>
        </w:rPr>
        <w:t xml:space="preserve"> </w:t>
      </w:r>
      <w:r>
        <w:rPr>
          <w:rFonts w:ascii="Verdana" w:hAnsi="Verdana"/>
          <w:sz w:val="16"/>
          <w:szCs w:val="16"/>
        </w:rPr>
        <w:t>establecimiento</w:t>
      </w:r>
      <w:r>
        <w:rPr>
          <w:rFonts w:ascii="Verdana" w:hAnsi="Verdana"/>
          <w:spacing w:val="1"/>
          <w:sz w:val="16"/>
          <w:szCs w:val="16"/>
        </w:rPr>
        <w:t xml:space="preserve"> </w:t>
      </w:r>
      <w:r>
        <w:rPr>
          <w:rFonts w:ascii="Verdana" w:hAnsi="Verdana"/>
          <w:sz w:val="16"/>
          <w:szCs w:val="16"/>
        </w:rPr>
        <w:t>de</w:t>
      </w:r>
      <w:r>
        <w:rPr>
          <w:rFonts w:ascii="Verdana" w:hAnsi="Verdana"/>
          <w:spacing w:val="1"/>
          <w:sz w:val="16"/>
          <w:szCs w:val="16"/>
        </w:rPr>
        <w:t xml:space="preserve"> </w:t>
      </w:r>
      <w:r>
        <w:rPr>
          <w:rFonts w:ascii="Verdana" w:hAnsi="Verdana"/>
          <w:sz w:val="16"/>
          <w:szCs w:val="16"/>
        </w:rPr>
        <w:t>comercio</w:t>
      </w:r>
      <w:r>
        <w:rPr>
          <w:rFonts w:ascii="Verdana" w:hAnsi="Verdana"/>
          <w:spacing w:val="1"/>
          <w:sz w:val="16"/>
          <w:szCs w:val="16"/>
        </w:rPr>
        <w:t xml:space="preserve"> </w:t>
      </w:r>
      <w:r>
        <w:rPr>
          <w:rFonts w:ascii="Verdana" w:hAnsi="Verdana"/>
          <w:sz w:val="16"/>
          <w:szCs w:val="16"/>
        </w:rPr>
        <w:t>un</w:t>
      </w:r>
      <w:r>
        <w:rPr>
          <w:rFonts w:ascii="Verdana" w:hAnsi="Verdana"/>
          <w:spacing w:val="1"/>
          <w:sz w:val="16"/>
          <w:szCs w:val="16"/>
        </w:rPr>
        <w:t xml:space="preserve"> </w:t>
      </w:r>
      <w:r>
        <w:rPr>
          <w:rFonts w:ascii="Verdana" w:hAnsi="Verdana"/>
          <w:sz w:val="16"/>
          <w:szCs w:val="16"/>
        </w:rPr>
        <w:t>conjunto de bienes organizados por el empresario para realizar los</w:t>
      </w:r>
      <w:r>
        <w:rPr>
          <w:rFonts w:ascii="Verdana" w:hAnsi="Verdana"/>
          <w:spacing w:val="1"/>
          <w:sz w:val="16"/>
          <w:szCs w:val="16"/>
        </w:rPr>
        <w:t xml:space="preserve"> </w:t>
      </w:r>
      <w:r>
        <w:rPr>
          <w:rFonts w:ascii="Verdana" w:hAnsi="Verdana"/>
          <w:sz w:val="16"/>
          <w:szCs w:val="16"/>
        </w:rPr>
        <w:t>fines</w:t>
      </w:r>
      <w:r>
        <w:rPr>
          <w:rFonts w:ascii="Verdana" w:hAnsi="Verdana"/>
          <w:spacing w:val="1"/>
          <w:sz w:val="16"/>
          <w:szCs w:val="16"/>
        </w:rPr>
        <w:t xml:space="preserve"> </w:t>
      </w:r>
      <w:r>
        <w:rPr>
          <w:rFonts w:ascii="Verdana" w:hAnsi="Verdana"/>
          <w:sz w:val="16"/>
          <w:szCs w:val="16"/>
        </w:rPr>
        <w:t>de</w:t>
      </w:r>
      <w:r>
        <w:rPr>
          <w:rFonts w:ascii="Verdana" w:hAnsi="Verdana"/>
          <w:spacing w:val="1"/>
          <w:sz w:val="16"/>
          <w:szCs w:val="16"/>
        </w:rPr>
        <w:t xml:space="preserve"> </w:t>
      </w:r>
      <w:r>
        <w:rPr>
          <w:rFonts w:ascii="Verdana" w:hAnsi="Verdana"/>
          <w:sz w:val="16"/>
          <w:szCs w:val="16"/>
        </w:rPr>
        <w:t>la</w:t>
      </w:r>
      <w:r>
        <w:rPr>
          <w:rFonts w:ascii="Verdana" w:hAnsi="Verdana"/>
          <w:spacing w:val="1"/>
          <w:sz w:val="16"/>
          <w:szCs w:val="16"/>
        </w:rPr>
        <w:t xml:space="preserve"> </w:t>
      </w:r>
      <w:r>
        <w:rPr>
          <w:rFonts w:ascii="Verdana" w:hAnsi="Verdana"/>
          <w:sz w:val="16"/>
          <w:szCs w:val="16"/>
        </w:rPr>
        <w:t>empresa.</w:t>
      </w:r>
      <w:r>
        <w:rPr>
          <w:rFonts w:ascii="Verdana" w:hAnsi="Verdana"/>
          <w:spacing w:val="1"/>
          <w:sz w:val="16"/>
          <w:szCs w:val="16"/>
        </w:rPr>
        <w:t xml:space="preserve"> </w:t>
      </w:r>
      <w:r>
        <w:rPr>
          <w:rFonts w:ascii="Verdana" w:hAnsi="Verdana"/>
          <w:sz w:val="16"/>
          <w:szCs w:val="16"/>
        </w:rPr>
        <w:t>Una</w:t>
      </w:r>
      <w:r>
        <w:rPr>
          <w:rFonts w:ascii="Verdana" w:hAnsi="Verdana"/>
          <w:spacing w:val="1"/>
          <w:sz w:val="16"/>
          <w:szCs w:val="16"/>
        </w:rPr>
        <w:t xml:space="preserve"> </w:t>
      </w:r>
      <w:r>
        <w:rPr>
          <w:rFonts w:ascii="Verdana" w:hAnsi="Verdana"/>
          <w:sz w:val="16"/>
          <w:szCs w:val="16"/>
        </w:rPr>
        <w:t>misma</w:t>
      </w:r>
      <w:r>
        <w:rPr>
          <w:rFonts w:ascii="Verdana" w:hAnsi="Verdana"/>
          <w:spacing w:val="1"/>
          <w:sz w:val="16"/>
          <w:szCs w:val="16"/>
        </w:rPr>
        <w:t xml:space="preserve"> </w:t>
      </w:r>
      <w:r>
        <w:rPr>
          <w:rFonts w:ascii="Verdana" w:hAnsi="Verdana"/>
          <w:sz w:val="16"/>
          <w:szCs w:val="16"/>
        </w:rPr>
        <w:t>persona</w:t>
      </w:r>
      <w:r>
        <w:rPr>
          <w:rFonts w:ascii="Verdana" w:hAnsi="Verdana"/>
          <w:spacing w:val="1"/>
          <w:sz w:val="16"/>
          <w:szCs w:val="16"/>
        </w:rPr>
        <w:t xml:space="preserve"> </w:t>
      </w:r>
      <w:r>
        <w:rPr>
          <w:rFonts w:ascii="Verdana" w:hAnsi="Verdana"/>
          <w:sz w:val="16"/>
          <w:szCs w:val="16"/>
        </w:rPr>
        <w:t>podrá</w:t>
      </w:r>
      <w:r>
        <w:rPr>
          <w:rFonts w:ascii="Verdana" w:hAnsi="Verdana"/>
          <w:spacing w:val="1"/>
          <w:sz w:val="16"/>
          <w:szCs w:val="16"/>
        </w:rPr>
        <w:t xml:space="preserve"> </w:t>
      </w:r>
      <w:r>
        <w:rPr>
          <w:rFonts w:ascii="Verdana" w:hAnsi="Verdana"/>
          <w:sz w:val="16"/>
          <w:szCs w:val="16"/>
        </w:rPr>
        <w:t>tener</w:t>
      </w:r>
      <w:r>
        <w:rPr>
          <w:rFonts w:ascii="Verdana" w:hAnsi="Verdana"/>
          <w:spacing w:val="1"/>
          <w:sz w:val="16"/>
          <w:szCs w:val="16"/>
        </w:rPr>
        <w:t xml:space="preserve"> </w:t>
      </w:r>
      <w:r>
        <w:rPr>
          <w:rFonts w:ascii="Verdana" w:hAnsi="Verdana"/>
          <w:sz w:val="16"/>
          <w:szCs w:val="16"/>
        </w:rPr>
        <w:t>varios</w:t>
      </w:r>
      <w:r>
        <w:rPr>
          <w:rFonts w:ascii="Verdana" w:hAnsi="Verdana"/>
          <w:spacing w:val="1"/>
          <w:sz w:val="16"/>
          <w:szCs w:val="16"/>
        </w:rPr>
        <w:t xml:space="preserve"> </w:t>
      </w:r>
      <w:r>
        <w:rPr>
          <w:rFonts w:ascii="Verdana" w:hAnsi="Verdana"/>
          <w:sz w:val="16"/>
          <w:szCs w:val="16"/>
        </w:rPr>
        <w:t>establecimientos de comercio, y, a su vez, un solo establecimiento de</w:t>
      </w:r>
      <w:r>
        <w:rPr>
          <w:rFonts w:ascii="Verdana" w:hAnsi="Verdana"/>
          <w:spacing w:val="-71"/>
          <w:sz w:val="16"/>
          <w:szCs w:val="16"/>
        </w:rPr>
        <w:t xml:space="preserve"> </w:t>
      </w:r>
      <w:r>
        <w:rPr>
          <w:rFonts w:ascii="Verdana" w:hAnsi="Verdana"/>
          <w:w w:val="95"/>
          <w:sz w:val="16"/>
          <w:szCs w:val="16"/>
        </w:rPr>
        <w:t>comercio podrá pertenecer a varias personas, y destinarse al desarrollo</w:t>
      </w:r>
      <w:r>
        <w:rPr>
          <w:rFonts w:ascii="Verdana" w:hAnsi="Verdana"/>
          <w:spacing w:val="1"/>
          <w:w w:val="95"/>
          <w:sz w:val="16"/>
          <w:szCs w:val="16"/>
        </w:rPr>
        <w:t xml:space="preserve"> </w:t>
      </w:r>
      <w:r>
        <w:rPr>
          <w:rFonts w:ascii="Verdana" w:hAnsi="Verdana"/>
          <w:sz w:val="16"/>
          <w:szCs w:val="16"/>
        </w:rPr>
        <w:t>de</w:t>
      </w:r>
      <w:r>
        <w:rPr>
          <w:rFonts w:ascii="Verdana" w:hAnsi="Verdana"/>
          <w:spacing w:val="-2"/>
          <w:sz w:val="16"/>
          <w:szCs w:val="16"/>
        </w:rPr>
        <w:t xml:space="preserve"> </w:t>
      </w:r>
      <w:r>
        <w:rPr>
          <w:rFonts w:ascii="Verdana" w:hAnsi="Verdana"/>
          <w:sz w:val="16"/>
          <w:szCs w:val="16"/>
        </w:rPr>
        <w:t>diversas</w:t>
      </w:r>
      <w:r>
        <w:rPr>
          <w:rFonts w:ascii="Verdana" w:hAnsi="Verdana"/>
          <w:spacing w:val="-2"/>
          <w:sz w:val="16"/>
          <w:szCs w:val="16"/>
        </w:rPr>
        <w:t xml:space="preserve"> </w:t>
      </w:r>
      <w:r>
        <w:rPr>
          <w:rFonts w:ascii="Verdana" w:hAnsi="Verdana"/>
          <w:sz w:val="16"/>
          <w:szCs w:val="16"/>
        </w:rPr>
        <w:t>actividades</w:t>
      </w:r>
      <w:r>
        <w:rPr>
          <w:rFonts w:ascii="Verdana" w:hAnsi="Verdana"/>
          <w:spacing w:val="-2"/>
          <w:sz w:val="16"/>
          <w:szCs w:val="16"/>
        </w:rPr>
        <w:t xml:space="preserve"> </w:t>
      </w:r>
      <w:r>
        <w:rPr>
          <w:rFonts w:ascii="Verdana" w:hAnsi="Verdana"/>
          <w:sz w:val="16"/>
          <w:szCs w:val="16"/>
        </w:rPr>
        <w:t>comerciales”.</w:t>
      </w:r>
    </w:p>
  </w:footnote>
  <w:footnote w:id="8">
    <w:p w14:paraId="7657F0C8" w14:textId="77777777" w:rsidR="009A5105" w:rsidRDefault="009A5105" w:rsidP="009A5105">
      <w:pPr>
        <w:pStyle w:val="Car1"/>
        <w:ind w:firstLine="709"/>
        <w:jc w:val="both"/>
        <w:rPr>
          <w:rFonts w:ascii="Verdana" w:hAnsi="Verdana" w:cs="Arial"/>
          <w:bCs/>
          <w:sz w:val="16"/>
          <w:szCs w:val="16"/>
          <w:lang w:val="es-ES_tradnl"/>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CO"/>
        </w:rPr>
        <w:t xml:space="preserve">Al respecto, la doctrina ha señalado que </w:t>
      </w:r>
      <w:r>
        <w:rPr>
          <w:rFonts w:ascii="Verdana" w:eastAsia="Calibri" w:hAnsi="Verdana" w:cs="Arial"/>
          <w:bCs/>
          <w:sz w:val="16"/>
          <w:szCs w:val="16"/>
          <w:lang w:val="es-ES_tradnl"/>
        </w:rPr>
        <w:t xml:space="preserve">“inseparable del elemento objetivo – actividad económica organizada- y del subjetivo – empresario mercantil - </w:t>
      </w:r>
      <w:r>
        <w:rPr>
          <w:rFonts w:ascii="Verdana" w:hAnsi="Verdana" w:cs="Arial"/>
          <w:sz w:val="16"/>
          <w:szCs w:val="16"/>
          <w:lang w:val="es-CO"/>
        </w:rPr>
        <w:t xml:space="preserve">la empresa comercial requiere un elemento funcional llamado establecimiento de comercio, que es un conjunto heterogéneo de bienes destinados específicamente por el empresario a desarrollar la actividad organizada. Así lo establece la definición prevista en el artículo 25 del Código de Comercio: “[…] Dicha </w:t>
      </w:r>
      <w:r>
        <w:rPr>
          <w:rFonts w:ascii="Verdana" w:hAnsi="Verdana" w:cs="Arial"/>
          <w:bCs/>
          <w:sz w:val="16"/>
          <w:szCs w:val="16"/>
          <w:lang w:val="es-ES_tradnl"/>
        </w:rPr>
        <w:t>actividad se realizará a través de uno o más establecimientos de comercio”</w:t>
      </w:r>
      <w:r>
        <w:rPr>
          <w:rFonts w:ascii="Verdana" w:eastAsia="Calibri" w:hAnsi="Verdana" w:cs="Arial"/>
          <w:bCs/>
          <w:sz w:val="16"/>
          <w:szCs w:val="16"/>
          <w:lang w:val="es-ES_tradnl"/>
        </w:rPr>
        <w:t>”</w:t>
      </w:r>
      <w:r>
        <w:rPr>
          <w:rFonts w:ascii="Verdana" w:hAnsi="Verdana" w:cs="Arial"/>
          <w:bCs/>
          <w:sz w:val="16"/>
          <w:szCs w:val="16"/>
          <w:lang w:val="es-ES_tradnl"/>
        </w:rPr>
        <w:t>. (CASTRO DE CIFUENTES, Marcela. Derecho Comercial. Actos de comercio, empresas comerciantes y empresarios. Universidad de los Andes. 2016. Pág. 109).</w:t>
      </w:r>
    </w:p>
    <w:p w14:paraId="26BD1C59" w14:textId="77777777" w:rsidR="009A5105" w:rsidRDefault="009A5105" w:rsidP="009A5105">
      <w:pPr>
        <w:pStyle w:val="Textonotapie"/>
        <w:jc w:val="both"/>
        <w:rPr>
          <w:rFonts w:ascii="Verdana" w:hAnsi="Verdana" w:cs="Arial"/>
          <w:sz w:val="16"/>
          <w:szCs w:val="16"/>
          <w:lang w:val="es-ES_tradnl"/>
        </w:rPr>
      </w:pPr>
    </w:p>
  </w:footnote>
  <w:footnote w:id="9">
    <w:p w14:paraId="3FF54731" w14:textId="77777777" w:rsidR="009A5105" w:rsidRPr="000418A8" w:rsidRDefault="009A5105" w:rsidP="009A5105">
      <w:pPr>
        <w:pStyle w:val="Textonotapie"/>
        <w:ind w:firstLine="709"/>
        <w:jc w:val="both"/>
        <w:rPr>
          <w:rFonts w:ascii="Verdana" w:hAnsi="Verdana"/>
          <w:sz w:val="16"/>
          <w:szCs w:val="16"/>
          <w:lang w:val="es-ES"/>
        </w:rPr>
      </w:pPr>
      <w:r w:rsidRPr="000418A8">
        <w:rPr>
          <w:rStyle w:val="Refdenotaalpie"/>
          <w:rFonts w:ascii="Verdana" w:hAnsi="Verdana"/>
          <w:sz w:val="16"/>
          <w:szCs w:val="16"/>
        </w:rPr>
        <w:footnoteRef/>
      </w:r>
      <w:r w:rsidRPr="000418A8">
        <w:rPr>
          <w:rFonts w:ascii="Verdana" w:hAnsi="Verdana"/>
          <w:sz w:val="16"/>
          <w:szCs w:val="16"/>
        </w:rPr>
        <w:t xml:space="preserve"> </w:t>
      </w:r>
      <w:r w:rsidRPr="000418A8">
        <w:rPr>
          <w:rFonts w:ascii="Verdana" w:hAnsi="Verdana"/>
          <w:sz w:val="16"/>
          <w:szCs w:val="16"/>
          <w:lang w:val="es-ES"/>
        </w:rPr>
        <w:t xml:space="preserve">Consejo de Estado. Sección Tercera. Subsección A. Sentencia del 19 de mayo de 2025. Exp. 69503. C.P. José Roberto Sáchica Méndez.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194183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239"/>
    <w:rsid w:val="00005D9C"/>
    <w:rsid w:val="00012844"/>
    <w:rsid w:val="00016356"/>
    <w:rsid w:val="000167E0"/>
    <w:rsid w:val="00016F78"/>
    <w:rsid w:val="000219D2"/>
    <w:rsid w:val="00024023"/>
    <w:rsid w:val="00025605"/>
    <w:rsid w:val="0003002D"/>
    <w:rsid w:val="00032FD1"/>
    <w:rsid w:val="000418A8"/>
    <w:rsid w:val="00041BB8"/>
    <w:rsid w:val="00046945"/>
    <w:rsid w:val="00047F14"/>
    <w:rsid w:val="00056184"/>
    <w:rsid w:val="00056CD6"/>
    <w:rsid w:val="00060857"/>
    <w:rsid w:val="00061B2A"/>
    <w:rsid w:val="000714DC"/>
    <w:rsid w:val="00071EDC"/>
    <w:rsid w:val="000741E8"/>
    <w:rsid w:val="00082362"/>
    <w:rsid w:val="00091BAF"/>
    <w:rsid w:val="000A3C04"/>
    <w:rsid w:val="000A4C93"/>
    <w:rsid w:val="000A6078"/>
    <w:rsid w:val="000A683E"/>
    <w:rsid w:val="000A6FA9"/>
    <w:rsid w:val="000B19B9"/>
    <w:rsid w:val="000C419E"/>
    <w:rsid w:val="000C5D94"/>
    <w:rsid w:val="000C67E3"/>
    <w:rsid w:val="000D0334"/>
    <w:rsid w:val="000E072F"/>
    <w:rsid w:val="000E419A"/>
    <w:rsid w:val="000E5036"/>
    <w:rsid w:val="000F5C94"/>
    <w:rsid w:val="000F6486"/>
    <w:rsid w:val="00101A26"/>
    <w:rsid w:val="00102D59"/>
    <w:rsid w:val="001123B3"/>
    <w:rsid w:val="0011371F"/>
    <w:rsid w:val="00113C2F"/>
    <w:rsid w:val="00116FC3"/>
    <w:rsid w:val="00125105"/>
    <w:rsid w:val="00125A2E"/>
    <w:rsid w:val="00127233"/>
    <w:rsid w:val="00145E18"/>
    <w:rsid w:val="001511A0"/>
    <w:rsid w:val="00151772"/>
    <w:rsid w:val="0015388E"/>
    <w:rsid w:val="00167D6C"/>
    <w:rsid w:val="00173644"/>
    <w:rsid w:val="00174E56"/>
    <w:rsid w:val="00176759"/>
    <w:rsid w:val="001804C9"/>
    <w:rsid w:val="00182853"/>
    <w:rsid w:val="00184C6E"/>
    <w:rsid w:val="00187BB5"/>
    <w:rsid w:val="00193326"/>
    <w:rsid w:val="00193509"/>
    <w:rsid w:val="001A66B4"/>
    <w:rsid w:val="001A677F"/>
    <w:rsid w:val="001B0E09"/>
    <w:rsid w:val="001B1D95"/>
    <w:rsid w:val="001B69D2"/>
    <w:rsid w:val="001C0476"/>
    <w:rsid w:val="001C5018"/>
    <w:rsid w:val="001D2A35"/>
    <w:rsid w:val="001E02EA"/>
    <w:rsid w:val="001E2EBA"/>
    <w:rsid w:val="001E4177"/>
    <w:rsid w:val="001F41AD"/>
    <w:rsid w:val="001F5C82"/>
    <w:rsid w:val="001F7DC6"/>
    <w:rsid w:val="00200788"/>
    <w:rsid w:val="00200DEE"/>
    <w:rsid w:val="00207CF6"/>
    <w:rsid w:val="002106CA"/>
    <w:rsid w:val="0021137E"/>
    <w:rsid w:val="00214112"/>
    <w:rsid w:val="00215704"/>
    <w:rsid w:val="002168E4"/>
    <w:rsid w:val="0022066A"/>
    <w:rsid w:val="0022718C"/>
    <w:rsid w:val="0024017D"/>
    <w:rsid w:val="002421BB"/>
    <w:rsid w:val="0025106C"/>
    <w:rsid w:val="0025796E"/>
    <w:rsid w:val="00265775"/>
    <w:rsid w:val="002707A2"/>
    <w:rsid w:val="0028183F"/>
    <w:rsid w:val="002830E2"/>
    <w:rsid w:val="00285E6B"/>
    <w:rsid w:val="002951A0"/>
    <w:rsid w:val="002962BC"/>
    <w:rsid w:val="002A093D"/>
    <w:rsid w:val="002A0DD0"/>
    <w:rsid w:val="002A19B3"/>
    <w:rsid w:val="002A19CB"/>
    <w:rsid w:val="002A49AC"/>
    <w:rsid w:val="002A64FD"/>
    <w:rsid w:val="002A6964"/>
    <w:rsid w:val="002B1136"/>
    <w:rsid w:val="002B6CE8"/>
    <w:rsid w:val="002C6B47"/>
    <w:rsid w:val="002C7A84"/>
    <w:rsid w:val="002D5AA4"/>
    <w:rsid w:val="002D7321"/>
    <w:rsid w:val="002E0478"/>
    <w:rsid w:val="002E4FD9"/>
    <w:rsid w:val="002E7EE6"/>
    <w:rsid w:val="002F5607"/>
    <w:rsid w:val="002F7B79"/>
    <w:rsid w:val="0030676B"/>
    <w:rsid w:val="00313CC3"/>
    <w:rsid w:val="0031745A"/>
    <w:rsid w:val="00322A85"/>
    <w:rsid w:val="00324168"/>
    <w:rsid w:val="00326C01"/>
    <w:rsid w:val="003339F8"/>
    <w:rsid w:val="00335A2E"/>
    <w:rsid w:val="00342010"/>
    <w:rsid w:val="0034482B"/>
    <w:rsid w:val="003448F4"/>
    <w:rsid w:val="00350909"/>
    <w:rsid w:val="00355591"/>
    <w:rsid w:val="00355974"/>
    <w:rsid w:val="00356850"/>
    <w:rsid w:val="00363D04"/>
    <w:rsid w:val="00374F5E"/>
    <w:rsid w:val="00377E3E"/>
    <w:rsid w:val="0038136D"/>
    <w:rsid w:val="003855C1"/>
    <w:rsid w:val="003857C5"/>
    <w:rsid w:val="003858B7"/>
    <w:rsid w:val="00390C6F"/>
    <w:rsid w:val="00392E7C"/>
    <w:rsid w:val="003A0B0A"/>
    <w:rsid w:val="003A2533"/>
    <w:rsid w:val="003A5D30"/>
    <w:rsid w:val="003A779E"/>
    <w:rsid w:val="003B77B5"/>
    <w:rsid w:val="003C7321"/>
    <w:rsid w:val="003D0F4D"/>
    <w:rsid w:val="003D15EB"/>
    <w:rsid w:val="003D1A3E"/>
    <w:rsid w:val="003D4668"/>
    <w:rsid w:val="003D5B0D"/>
    <w:rsid w:val="003E0499"/>
    <w:rsid w:val="003F3941"/>
    <w:rsid w:val="003F738C"/>
    <w:rsid w:val="003F7961"/>
    <w:rsid w:val="00406575"/>
    <w:rsid w:val="00407A6A"/>
    <w:rsid w:val="00407F3F"/>
    <w:rsid w:val="004125D1"/>
    <w:rsid w:val="00414C33"/>
    <w:rsid w:val="00414C74"/>
    <w:rsid w:val="004210DA"/>
    <w:rsid w:val="0042722E"/>
    <w:rsid w:val="00433CCF"/>
    <w:rsid w:val="0044528D"/>
    <w:rsid w:val="00445BFD"/>
    <w:rsid w:val="00466ECF"/>
    <w:rsid w:val="004700A8"/>
    <w:rsid w:val="004831B0"/>
    <w:rsid w:val="00484578"/>
    <w:rsid w:val="00484921"/>
    <w:rsid w:val="00487834"/>
    <w:rsid w:val="0048798D"/>
    <w:rsid w:val="00495C26"/>
    <w:rsid w:val="004A1847"/>
    <w:rsid w:val="004A305D"/>
    <w:rsid w:val="004A3150"/>
    <w:rsid w:val="004A75F1"/>
    <w:rsid w:val="004B0455"/>
    <w:rsid w:val="004B21D2"/>
    <w:rsid w:val="004B237D"/>
    <w:rsid w:val="004B418D"/>
    <w:rsid w:val="004B7931"/>
    <w:rsid w:val="004C3018"/>
    <w:rsid w:val="004D1533"/>
    <w:rsid w:val="004D340E"/>
    <w:rsid w:val="004E4D0B"/>
    <w:rsid w:val="004E518F"/>
    <w:rsid w:val="004E599B"/>
    <w:rsid w:val="004F21C4"/>
    <w:rsid w:val="004F2D47"/>
    <w:rsid w:val="004F685F"/>
    <w:rsid w:val="00507269"/>
    <w:rsid w:val="005079C1"/>
    <w:rsid w:val="00507DD1"/>
    <w:rsid w:val="005234AA"/>
    <w:rsid w:val="00527CC8"/>
    <w:rsid w:val="0053085D"/>
    <w:rsid w:val="0053786D"/>
    <w:rsid w:val="00541CFA"/>
    <w:rsid w:val="005420EC"/>
    <w:rsid w:val="0054270B"/>
    <w:rsid w:val="00547A0E"/>
    <w:rsid w:val="00552F48"/>
    <w:rsid w:val="005566E8"/>
    <w:rsid w:val="0055756B"/>
    <w:rsid w:val="00561CA7"/>
    <w:rsid w:val="00564B06"/>
    <w:rsid w:val="00570EEF"/>
    <w:rsid w:val="0057193B"/>
    <w:rsid w:val="00573707"/>
    <w:rsid w:val="00574183"/>
    <w:rsid w:val="00574867"/>
    <w:rsid w:val="00584FFF"/>
    <w:rsid w:val="00591460"/>
    <w:rsid w:val="00592A39"/>
    <w:rsid w:val="005930B3"/>
    <w:rsid w:val="00593A10"/>
    <w:rsid w:val="005968AB"/>
    <w:rsid w:val="005A1A34"/>
    <w:rsid w:val="005A53C8"/>
    <w:rsid w:val="005B3816"/>
    <w:rsid w:val="005C3777"/>
    <w:rsid w:val="005C5CDC"/>
    <w:rsid w:val="005D476C"/>
    <w:rsid w:val="005E1D3B"/>
    <w:rsid w:val="005E55E3"/>
    <w:rsid w:val="005E7844"/>
    <w:rsid w:val="005F4DCA"/>
    <w:rsid w:val="00602BD9"/>
    <w:rsid w:val="00604DE0"/>
    <w:rsid w:val="006219F8"/>
    <w:rsid w:val="00627F64"/>
    <w:rsid w:val="00636869"/>
    <w:rsid w:val="006372B5"/>
    <w:rsid w:val="0064083A"/>
    <w:rsid w:val="006503B2"/>
    <w:rsid w:val="0065067D"/>
    <w:rsid w:val="00657635"/>
    <w:rsid w:val="00660B6B"/>
    <w:rsid w:val="00660C2B"/>
    <w:rsid w:val="006643DA"/>
    <w:rsid w:val="00665D70"/>
    <w:rsid w:val="00665F97"/>
    <w:rsid w:val="00672367"/>
    <w:rsid w:val="006729AA"/>
    <w:rsid w:val="006900D9"/>
    <w:rsid w:val="00693173"/>
    <w:rsid w:val="006A009E"/>
    <w:rsid w:val="006A4A0F"/>
    <w:rsid w:val="006B6984"/>
    <w:rsid w:val="006C44EC"/>
    <w:rsid w:val="006C5912"/>
    <w:rsid w:val="006C63D5"/>
    <w:rsid w:val="006D40D2"/>
    <w:rsid w:val="006D48AB"/>
    <w:rsid w:val="006D54A8"/>
    <w:rsid w:val="006D6344"/>
    <w:rsid w:val="006D6377"/>
    <w:rsid w:val="006D6953"/>
    <w:rsid w:val="006D7EE0"/>
    <w:rsid w:val="006E3B1E"/>
    <w:rsid w:val="006E3BD9"/>
    <w:rsid w:val="006E5FC0"/>
    <w:rsid w:val="006E79DA"/>
    <w:rsid w:val="006F2045"/>
    <w:rsid w:val="007017BD"/>
    <w:rsid w:val="0070466F"/>
    <w:rsid w:val="00706C16"/>
    <w:rsid w:val="00711381"/>
    <w:rsid w:val="007168F1"/>
    <w:rsid w:val="00717F8E"/>
    <w:rsid w:val="00720FAF"/>
    <w:rsid w:val="0072131C"/>
    <w:rsid w:val="00726510"/>
    <w:rsid w:val="007329A8"/>
    <w:rsid w:val="007329D4"/>
    <w:rsid w:val="00737597"/>
    <w:rsid w:val="00737D94"/>
    <w:rsid w:val="00743680"/>
    <w:rsid w:val="00743778"/>
    <w:rsid w:val="00746055"/>
    <w:rsid w:val="00746473"/>
    <w:rsid w:val="00746D25"/>
    <w:rsid w:val="0075578B"/>
    <w:rsid w:val="007559F1"/>
    <w:rsid w:val="00756841"/>
    <w:rsid w:val="00761FC1"/>
    <w:rsid w:val="0076474D"/>
    <w:rsid w:val="007649AB"/>
    <w:rsid w:val="007718BB"/>
    <w:rsid w:val="00771D0C"/>
    <w:rsid w:val="00773684"/>
    <w:rsid w:val="00773726"/>
    <w:rsid w:val="0078052E"/>
    <w:rsid w:val="007820EE"/>
    <w:rsid w:val="0078289E"/>
    <w:rsid w:val="007833AC"/>
    <w:rsid w:val="007923F0"/>
    <w:rsid w:val="00797E3A"/>
    <w:rsid w:val="007A09DC"/>
    <w:rsid w:val="007B268C"/>
    <w:rsid w:val="007B7171"/>
    <w:rsid w:val="007C0C0F"/>
    <w:rsid w:val="007C3DC2"/>
    <w:rsid w:val="007C5DAA"/>
    <w:rsid w:val="007C7A47"/>
    <w:rsid w:val="007D06DB"/>
    <w:rsid w:val="007D2592"/>
    <w:rsid w:val="007D272C"/>
    <w:rsid w:val="007E5497"/>
    <w:rsid w:val="007F150E"/>
    <w:rsid w:val="007F4039"/>
    <w:rsid w:val="00806F5F"/>
    <w:rsid w:val="00810146"/>
    <w:rsid w:val="008160B3"/>
    <w:rsid w:val="00816BE0"/>
    <w:rsid w:val="00817823"/>
    <w:rsid w:val="00820278"/>
    <w:rsid w:val="00823C61"/>
    <w:rsid w:val="008269E0"/>
    <w:rsid w:val="00832D55"/>
    <w:rsid w:val="00840A2F"/>
    <w:rsid w:val="00841858"/>
    <w:rsid w:val="008466A7"/>
    <w:rsid w:val="00847DAF"/>
    <w:rsid w:val="00853ABF"/>
    <w:rsid w:val="00854A68"/>
    <w:rsid w:val="00855674"/>
    <w:rsid w:val="00857981"/>
    <w:rsid w:val="0086277B"/>
    <w:rsid w:val="008652F3"/>
    <w:rsid w:val="0086692F"/>
    <w:rsid w:val="00867EB4"/>
    <w:rsid w:val="00867F95"/>
    <w:rsid w:val="00880FC5"/>
    <w:rsid w:val="008843B6"/>
    <w:rsid w:val="00891928"/>
    <w:rsid w:val="008A446D"/>
    <w:rsid w:val="008A5C60"/>
    <w:rsid w:val="008B1EBC"/>
    <w:rsid w:val="008B5027"/>
    <w:rsid w:val="008B52E1"/>
    <w:rsid w:val="008D0529"/>
    <w:rsid w:val="008D180B"/>
    <w:rsid w:val="008D1C52"/>
    <w:rsid w:val="008D758C"/>
    <w:rsid w:val="008E55F0"/>
    <w:rsid w:val="008F0EA7"/>
    <w:rsid w:val="008F57D1"/>
    <w:rsid w:val="008F6BCD"/>
    <w:rsid w:val="00901DE3"/>
    <w:rsid w:val="00903E59"/>
    <w:rsid w:val="009057D2"/>
    <w:rsid w:val="00923EEF"/>
    <w:rsid w:val="00931121"/>
    <w:rsid w:val="00933A01"/>
    <w:rsid w:val="009419F9"/>
    <w:rsid w:val="00952B10"/>
    <w:rsid w:val="0095685E"/>
    <w:rsid w:val="00961B09"/>
    <w:rsid w:val="00965334"/>
    <w:rsid w:val="0097093E"/>
    <w:rsid w:val="009744FA"/>
    <w:rsid w:val="00985121"/>
    <w:rsid w:val="00986AC5"/>
    <w:rsid w:val="0099726E"/>
    <w:rsid w:val="009A0DFA"/>
    <w:rsid w:val="009A5105"/>
    <w:rsid w:val="009B2D26"/>
    <w:rsid w:val="009B3AAD"/>
    <w:rsid w:val="009C71FA"/>
    <w:rsid w:val="009C72E7"/>
    <w:rsid w:val="009D3058"/>
    <w:rsid w:val="009E6386"/>
    <w:rsid w:val="009E7A76"/>
    <w:rsid w:val="009F3A13"/>
    <w:rsid w:val="00A056F0"/>
    <w:rsid w:val="00A122D3"/>
    <w:rsid w:val="00A17F13"/>
    <w:rsid w:val="00A20739"/>
    <w:rsid w:val="00A24624"/>
    <w:rsid w:val="00A3311D"/>
    <w:rsid w:val="00A33C78"/>
    <w:rsid w:val="00A656A8"/>
    <w:rsid w:val="00A737B3"/>
    <w:rsid w:val="00A73A19"/>
    <w:rsid w:val="00A74E45"/>
    <w:rsid w:val="00A8121D"/>
    <w:rsid w:val="00A81D2B"/>
    <w:rsid w:val="00A85B8D"/>
    <w:rsid w:val="00A87F35"/>
    <w:rsid w:val="00A92639"/>
    <w:rsid w:val="00A93A59"/>
    <w:rsid w:val="00A95AE3"/>
    <w:rsid w:val="00AA0F31"/>
    <w:rsid w:val="00AA34AA"/>
    <w:rsid w:val="00AB0ADB"/>
    <w:rsid w:val="00AB1158"/>
    <w:rsid w:val="00AB6DCE"/>
    <w:rsid w:val="00AD238A"/>
    <w:rsid w:val="00AD5C9E"/>
    <w:rsid w:val="00AD6025"/>
    <w:rsid w:val="00AD6771"/>
    <w:rsid w:val="00B01049"/>
    <w:rsid w:val="00B01B1A"/>
    <w:rsid w:val="00B01BDE"/>
    <w:rsid w:val="00B03F1F"/>
    <w:rsid w:val="00B05B94"/>
    <w:rsid w:val="00B076AE"/>
    <w:rsid w:val="00B11AE0"/>
    <w:rsid w:val="00B135F5"/>
    <w:rsid w:val="00B13C50"/>
    <w:rsid w:val="00B204E0"/>
    <w:rsid w:val="00B24079"/>
    <w:rsid w:val="00B25385"/>
    <w:rsid w:val="00B26497"/>
    <w:rsid w:val="00B3254C"/>
    <w:rsid w:val="00B4184D"/>
    <w:rsid w:val="00B614A0"/>
    <w:rsid w:val="00B6496B"/>
    <w:rsid w:val="00B66319"/>
    <w:rsid w:val="00B708CE"/>
    <w:rsid w:val="00B72CD3"/>
    <w:rsid w:val="00B72FFF"/>
    <w:rsid w:val="00B82DF7"/>
    <w:rsid w:val="00B90126"/>
    <w:rsid w:val="00B94312"/>
    <w:rsid w:val="00BA61CF"/>
    <w:rsid w:val="00BA77FE"/>
    <w:rsid w:val="00BB3468"/>
    <w:rsid w:val="00BC3D36"/>
    <w:rsid w:val="00BC5B46"/>
    <w:rsid w:val="00BC679A"/>
    <w:rsid w:val="00BD0B02"/>
    <w:rsid w:val="00BD4E8E"/>
    <w:rsid w:val="00BD7F72"/>
    <w:rsid w:val="00BE1DFC"/>
    <w:rsid w:val="00BE795A"/>
    <w:rsid w:val="00BF18AA"/>
    <w:rsid w:val="00BF353C"/>
    <w:rsid w:val="00BF7993"/>
    <w:rsid w:val="00C0085E"/>
    <w:rsid w:val="00C04FB3"/>
    <w:rsid w:val="00C06968"/>
    <w:rsid w:val="00C1769F"/>
    <w:rsid w:val="00C20424"/>
    <w:rsid w:val="00C27423"/>
    <w:rsid w:val="00C330EB"/>
    <w:rsid w:val="00C348CA"/>
    <w:rsid w:val="00C35D2A"/>
    <w:rsid w:val="00C41061"/>
    <w:rsid w:val="00C41F3B"/>
    <w:rsid w:val="00C462DC"/>
    <w:rsid w:val="00C52C2E"/>
    <w:rsid w:val="00C5752E"/>
    <w:rsid w:val="00C666AE"/>
    <w:rsid w:val="00C754BE"/>
    <w:rsid w:val="00C76B1C"/>
    <w:rsid w:val="00C81E53"/>
    <w:rsid w:val="00C8681D"/>
    <w:rsid w:val="00C90411"/>
    <w:rsid w:val="00C90949"/>
    <w:rsid w:val="00C93C36"/>
    <w:rsid w:val="00C94107"/>
    <w:rsid w:val="00CA4D97"/>
    <w:rsid w:val="00CB03EC"/>
    <w:rsid w:val="00CB265B"/>
    <w:rsid w:val="00CB5E49"/>
    <w:rsid w:val="00CB6357"/>
    <w:rsid w:val="00CB66FD"/>
    <w:rsid w:val="00CC1B26"/>
    <w:rsid w:val="00CC7430"/>
    <w:rsid w:val="00CD03B2"/>
    <w:rsid w:val="00CE4DD9"/>
    <w:rsid w:val="00CE52A0"/>
    <w:rsid w:val="00CF1486"/>
    <w:rsid w:val="00CF24E4"/>
    <w:rsid w:val="00CF5C7C"/>
    <w:rsid w:val="00CF62BB"/>
    <w:rsid w:val="00D115C9"/>
    <w:rsid w:val="00D1283E"/>
    <w:rsid w:val="00D17A31"/>
    <w:rsid w:val="00D21C32"/>
    <w:rsid w:val="00D23FE5"/>
    <w:rsid w:val="00D25E37"/>
    <w:rsid w:val="00D3496C"/>
    <w:rsid w:val="00D34D20"/>
    <w:rsid w:val="00D35FBD"/>
    <w:rsid w:val="00D423A2"/>
    <w:rsid w:val="00D45F4C"/>
    <w:rsid w:val="00D51944"/>
    <w:rsid w:val="00D520D8"/>
    <w:rsid w:val="00D53A22"/>
    <w:rsid w:val="00D5525C"/>
    <w:rsid w:val="00D6036E"/>
    <w:rsid w:val="00D627B7"/>
    <w:rsid w:val="00D63AC2"/>
    <w:rsid w:val="00D712A5"/>
    <w:rsid w:val="00D7383B"/>
    <w:rsid w:val="00D74C25"/>
    <w:rsid w:val="00D81FD7"/>
    <w:rsid w:val="00DA231B"/>
    <w:rsid w:val="00DA4911"/>
    <w:rsid w:val="00DA5E48"/>
    <w:rsid w:val="00DC0698"/>
    <w:rsid w:val="00DC0E2B"/>
    <w:rsid w:val="00DC1482"/>
    <w:rsid w:val="00DC39FC"/>
    <w:rsid w:val="00DD084F"/>
    <w:rsid w:val="00DE28C8"/>
    <w:rsid w:val="00DE5E77"/>
    <w:rsid w:val="00DF5254"/>
    <w:rsid w:val="00DF52EC"/>
    <w:rsid w:val="00DF78F0"/>
    <w:rsid w:val="00E02B1F"/>
    <w:rsid w:val="00E031B3"/>
    <w:rsid w:val="00E038B3"/>
    <w:rsid w:val="00E05BE6"/>
    <w:rsid w:val="00E06EF9"/>
    <w:rsid w:val="00E11DB1"/>
    <w:rsid w:val="00E148A0"/>
    <w:rsid w:val="00E14C34"/>
    <w:rsid w:val="00E16408"/>
    <w:rsid w:val="00E17C50"/>
    <w:rsid w:val="00E20894"/>
    <w:rsid w:val="00E245AB"/>
    <w:rsid w:val="00E2764C"/>
    <w:rsid w:val="00E27F2E"/>
    <w:rsid w:val="00E3251E"/>
    <w:rsid w:val="00E37DEA"/>
    <w:rsid w:val="00E41138"/>
    <w:rsid w:val="00E50AFE"/>
    <w:rsid w:val="00E555C4"/>
    <w:rsid w:val="00E62051"/>
    <w:rsid w:val="00E65021"/>
    <w:rsid w:val="00E70802"/>
    <w:rsid w:val="00E75C92"/>
    <w:rsid w:val="00E771DC"/>
    <w:rsid w:val="00E77BE8"/>
    <w:rsid w:val="00E8269A"/>
    <w:rsid w:val="00E83EFA"/>
    <w:rsid w:val="00E843DE"/>
    <w:rsid w:val="00E871AC"/>
    <w:rsid w:val="00E8772A"/>
    <w:rsid w:val="00E9066C"/>
    <w:rsid w:val="00E90F6B"/>
    <w:rsid w:val="00E92C27"/>
    <w:rsid w:val="00E97198"/>
    <w:rsid w:val="00EA0107"/>
    <w:rsid w:val="00EA0E3D"/>
    <w:rsid w:val="00EA5C1D"/>
    <w:rsid w:val="00EA7211"/>
    <w:rsid w:val="00EB0F2A"/>
    <w:rsid w:val="00EC076B"/>
    <w:rsid w:val="00EC38A7"/>
    <w:rsid w:val="00ED38B6"/>
    <w:rsid w:val="00ED3B2C"/>
    <w:rsid w:val="00ED3C60"/>
    <w:rsid w:val="00ED7384"/>
    <w:rsid w:val="00EE103C"/>
    <w:rsid w:val="00EE1AA8"/>
    <w:rsid w:val="00EE35FA"/>
    <w:rsid w:val="00EF4234"/>
    <w:rsid w:val="00F020E1"/>
    <w:rsid w:val="00F025C4"/>
    <w:rsid w:val="00F14AA7"/>
    <w:rsid w:val="00F156FE"/>
    <w:rsid w:val="00F23067"/>
    <w:rsid w:val="00F25777"/>
    <w:rsid w:val="00F31776"/>
    <w:rsid w:val="00F31EDC"/>
    <w:rsid w:val="00F44D4F"/>
    <w:rsid w:val="00F462B3"/>
    <w:rsid w:val="00F516DE"/>
    <w:rsid w:val="00F5664F"/>
    <w:rsid w:val="00F6533E"/>
    <w:rsid w:val="00F666C4"/>
    <w:rsid w:val="00F7496D"/>
    <w:rsid w:val="00F76AFC"/>
    <w:rsid w:val="00F86632"/>
    <w:rsid w:val="00F87530"/>
    <w:rsid w:val="00F920CD"/>
    <w:rsid w:val="00F94004"/>
    <w:rsid w:val="00FA3260"/>
    <w:rsid w:val="00FA3AC4"/>
    <w:rsid w:val="00FA47C0"/>
    <w:rsid w:val="00FB11A6"/>
    <w:rsid w:val="00FB5DD1"/>
    <w:rsid w:val="00FC2B5D"/>
    <w:rsid w:val="00FC3922"/>
    <w:rsid w:val="00FC49B6"/>
    <w:rsid w:val="00FD5799"/>
    <w:rsid w:val="00FD5BAB"/>
    <w:rsid w:val="00FF1449"/>
    <w:rsid w:val="00FF5A0A"/>
    <w:rsid w:val="2DA72D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E638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E6386"/>
    <w:rPr>
      <w:rFonts w:ascii="Geomanist Light" w:hAnsi="Geomanist Light"/>
      <w:lang w:val="es-ES"/>
    </w:rPr>
  </w:style>
  <w:style w:type="character" w:customStyle="1" w:styleId="NormalWebCar">
    <w:name w:val="Normal (Web) Car"/>
    <w:link w:val="NormalWeb"/>
    <w:uiPriority w:val="99"/>
    <w:locked/>
    <w:rsid w:val="009E6386"/>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0A6078"/>
    <w:pPr>
      <w:spacing w:after="0" w:line="240" w:lineRule="auto"/>
    </w:pPr>
    <w:rPr>
      <w:sz w:val="20"/>
      <w:szCs w:val="20"/>
      <w:lang w:val="es-MX"/>
    </w:rPr>
  </w:style>
  <w:style w:type="paragraph" w:styleId="Textoindependiente">
    <w:name w:val="Body Text"/>
    <w:basedOn w:val="Normal"/>
    <w:link w:val="TextoindependienteCar"/>
    <w:uiPriority w:val="1"/>
    <w:qFormat/>
    <w:rsid w:val="00056C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56CD6"/>
    <w:rPr>
      <w:rFonts w:ascii="Verdana" w:eastAsia="Verdana" w:hAnsi="Verdana" w:cs="Verdana"/>
      <w:lang w:val="es-ES"/>
    </w:rPr>
  </w:style>
  <w:style w:type="table" w:customStyle="1" w:styleId="Tablaconcuadrcula1">
    <w:name w:val="Tabla con cuadrícula1"/>
    <w:basedOn w:val="Tablanormal"/>
    <w:next w:val="Tablaconcuadrcula"/>
    <w:uiPriority w:val="39"/>
    <w:qFormat/>
    <w:rsid w:val="009A5105"/>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peraciones.colombiacompra.gov.co/sites/cce_public/files/cce_documents/cce-eicp-ma-04._manual_requisitos_habilitantes_v3_29-09-2023.pdf"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contabilidad@multiprocesos.com.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CEB0E2-40B9-9F46-8507-DF12AE4D2983}">
  <ds:schemaRefs>
    <ds:schemaRef ds:uri="http://schemas.openxmlformats.org/officeDocument/2006/bibliography"/>
  </ds:schemaRefs>
</ds:datastoreItem>
</file>

<file path=customXml/itemProps2.xml><?xml version="1.0" encoding="utf-8"?>
<ds:datastoreItem xmlns:ds="http://schemas.openxmlformats.org/officeDocument/2006/customXml" ds:itemID="{D52C41DD-BED1-406B-81C5-29932E7AFA37}"/>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5318</Words>
  <Characters>29253</Characters>
  <Application>Microsoft Office Word</Application>
  <DocSecurity>0</DocSecurity>
  <Lines>243</Lines>
  <Paragraphs>69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 CCE </cp:lastModifiedBy>
  <cp:revision>5</cp:revision>
  <cp:lastPrinted>2023-01-10T21:18:00Z</cp:lastPrinted>
  <dcterms:created xsi:type="dcterms:W3CDTF">2025-11-20T13:10:00Z</dcterms:created>
  <dcterms:modified xsi:type="dcterms:W3CDTF">2025-11-20T13:14:00Z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