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56F0C" w14:textId="77777777" w:rsidR="00D61A6A" w:rsidRPr="00895699" w:rsidRDefault="00D61A6A" w:rsidP="00D61A6A">
      <w:pPr>
        <w:spacing w:after="12"/>
        <w:jc w:val="both"/>
        <w:rPr>
          <w:rFonts w:ascii="Verdana" w:hAnsi="Verdana"/>
          <w:b/>
          <w:bCs/>
        </w:rPr>
      </w:pPr>
      <w:bookmarkStart w:id="0" w:name="_Hlk143780582"/>
      <w:r w:rsidRPr="00895699">
        <w:rPr>
          <w:rFonts w:ascii="Verdana" w:hAnsi="Verdana"/>
          <w:b/>
          <w:bCs/>
        </w:rPr>
        <w:t xml:space="preserve">PODER ESPECIAL – Circular Externa Única – Presentación Personal </w:t>
      </w:r>
    </w:p>
    <w:p w14:paraId="55E1F6A6" w14:textId="77777777" w:rsidR="00D61A6A" w:rsidRPr="00895699" w:rsidRDefault="00D61A6A" w:rsidP="00D61A6A">
      <w:pPr>
        <w:spacing w:after="12"/>
        <w:jc w:val="both"/>
        <w:rPr>
          <w:rFonts w:ascii="Verdana" w:hAnsi="Verdana"/>
          <w:b/>
          <w:bCs/>
          <w:sz w:val="20"/>
          <w:szCs w:val="20"/>
        </w:rPr>
      </w:pPr>
    </w:p>
    <w:p w14:paraId="58C02F98" w14:textId="77777777" w:rsidR="00D61A6A" w:rsidRPr="00895699" w:rsidRDefault="00D61A6A" w:rsidP="00D61A6A">
      <w:pPr>
        <w:spacing w:after="12"/>
        <w:jc w:val="both"/>
        <w:rPr>
          <w:rFonts w:ascii="Verdana" w:hAnsi="Verdana"/>
          <w:sz w:val="20"/>
          <w:szCs w:val="20"/>
        </w:rPr>
      </w:pPr>
      <w:r w:rsidRPr="00895699">
        <w:rPr>
          <w:rFonts w:ascii="Verdana" w:hAnsi="Verdana"/>
          <w:sz w:val="20"/>
          <w:szCs w:val="20"/>
        </w:rPr>
        <w:t xml:space="preserve">Por su parte, la Circular Única Externa expedida por la Agencia Nacional de Contratación Pública – Colombia Compra Eficiente señala en el numeral 8.2 que “Los poderes especiales para actuar en los Procesos de Contratación deberán presentarse conforme lo establezca la normativa vigente, por lo que requieren nota de presentación personal, de conformidad con el artículo 5 del Decreto Ley 019 de 2012”. </w:t>
      </w:r>
    </w:p>
    <w:p w14:paraId="5FEECCA2" w14:textId="77777777" w:rsidR="00D61A6A" w:rsidRPr="00895699" w:rsidRDefault="00D61A6A" w:rsidP="00D61A6A">
      <w:pPr>
        <w:spacing w:after="12"/>
        <w:jc w:val="both"/>
        <w:rPr>
          <w:rFonts w:ascii="Verdana" w:hAnsi="Verdana"/>
          <w:sz w:val="21"/>
          <w:szCs w:val="21"/>
        </w:rPr>
      </w:pPr>
    </w:p>
    <w:p w14:paraId="672D4AB3" w14:textId="77777777" w:rsidR="00D61A6A" w:rsidRPr="00895699" w:rsidRDefault="00D61A6A" w:rsidP="00D61A6A">
      <w:pPr>
        <w:spacing w:after="12"/>
        <w:jc w:val="both"/>
        <w:rPr>
          <w:rFonts w:ascii="Verdana" w:hAnsi="Verdana"/>
          <w:b/>
          <w:bCs/>
        </w:rPr>
      </w:pPr>
      <w:r w:rsidRPr="00895699">
        <w:rPr>
          <w:rFonts w:ascii="Verdana" w:hAnsi="Verdana"/>
          <w:b/>
          <w:bCs/>
        </w:rPr>
        <w:t xml:space="preserve">PODER ESPECIAL – Normativa </w:t>
      </w:r>
    </w:p>
    <w:p w14:paraId="4F97ABCA" w14:textId="77777777" w:rsidR="00D61A6A" w:rsidRPr="00895699" w:rsidRDefault="00D61A6A" w:rsidP="00D61A6A">
      <w:pPr>
        <w:spacing w:after="12"/>
        <w:jc w:val="both"/>
        <w:rPr>
          <w:rFonts w:ascii="Verdana" w:hAnsi="Verdana"/>
          <w:b/>
          <w:bCs/>
        </w:rPr>
      </w:pPr>
    </w:p>
    <w:p w14:paraId="08A63A67" w14:textId="77777777" w:rsidR="00D61A6A" w:rsidRDefault="00D61A6A" w:rsidP="00D61A6A">
      <w:pPr>
        <w:spacing w:after="12"/>
        <w:jc w:val="both"/>
        <w:rPr>
          <w:rFonts w:ascii="Verdana" w:hAnsi="Verdana"/>
          <w:sz w:val="20"/>
          <w:szCs w:val="20"/>
        </w:rPr>
      </w:pPr>
      <w:r w:rsidRPr="00895699">
        <w:rPr>
          <w:rFonts w:ascii="Verdana" w:hAnsi="Verdana"/>
          <w:sz w:val="20"/>
          <w:szCs w:val="20"/>
        </w:rPr>
        <w:t>Se precisa que la normativa no prevé disposiciones sobre el otorgamiento de poder para actuar en un proceso de contratación, siendo aplicables las normas generales sobre el mandato comercial y el mandato civil, las cuales no establecen calidades especiales para el mandatario. Como no existen normas especiales que regulen el poder para presentar ofertas en un proceso de contratación a través de mandatario, se debe recurrir a las reglas establecidas en las normas mencionadas.</w:t>
      </w:r>
    </w:p>
    <w:p w14:paraId="6C1B48F9" w14:textId="77777777" w:rsidR="00D61A6A" w:rsidRDefault="00D61A6A" w:rsidP="00D61A6A">
      <w:pPr>
        <w:spacing w:after="12"/>
        <w:jc w:val="both"/>
        <w:rPr>
          <w:rFonts w:ascii="Verdana" w:hAnsi="Verdana"/>
          <w:sz w:val="20"/>
          <w:szCs w:val="20"/>
        </w:rPr>
      </w:pPr>
    </w:p>
    <w:p w14:paraId="6DCB6434" w14:textId="77777777" w:rsidR="00D61A6A" w:rsidRPr="00895699" w:rsidRDefault="00D61A6A" w:rsidP="00D61A6A">
      <w:pPr>
        <w:spacing w:after="12" w:line="240" w:lineRule="auto"/>
        <w:jc w:val="both"/>
        <w:rPr>
          <w:rFonts w:ascii="Verdana" w:hAnsi="Verdana"/>
          <w:b/>
          <w:bCs/>
        </w:rPr>
      </w:pPr>
      <w:r w:rsidRPr="00895699">
        <w:rPr>
          <w:rFonts w:ascii="Verdana" w:hAnsi="Verdana"/>
          <w:b/>
          <w:bCs/>
          <w:lang w:val="es-ES_tradnl"/>
        </w:rPr>
        <w:t>RADICACIÓN DE PROPUESTAS- Poder</w:t>
      </w:r>
      <w:r w:rsidRPr="00895699">
        <w:rPr>
          <w:rFonts w:ascii="Verdana" w:hAnsi="Verdana"/>
          <w:b/>
          <w:bCs/>
          <w:lang w:val="es-ES"/>
        </w:rPr>
        <w:t xml:space="preserve">  </w:t>
      </w:r>
    </w:p>
    <w:p w14:paraId="2ED00086" w14:textId="77777777" w:rsidR="00D61A6A" w:rsidRDefault="00D61A6A" w:rsidP="00D61A6A">
      <w:pPr>
        <w:spacing w:after="12"/>
        <w:jc w:val="both"/>
        <w:rPr>
          <w:rFonts w:ascii="Verdana" w:hAnsi="Verdana"/>
          <w:sz w:val="20"/>
          <w:szCs w:val="20"/>
        </w:rPr>
      </w:pPr>
    </w:p>
    <w:p w14:paraId="7CB0E23A" w14:textId="77777777" w:rsidR="00D61A6A" w:rsidRPr="00895699" w:rsidRDefault="00D61A6A" w:rsidP="00D61A6A">
      <w:pPr>
        <w:snapToGrid w:val="0"/>
        <w:spacing w:after="120" w:line="276" w:lineRule="auto"/>
        <w:jc w:val="both"/>
        <w:rPr>
          <w:rFonts w:ascii="Verdana" w:hAnsi="Verdana"/>
          <w:sz w:val="20"/>
          <w:szCs w:val="20"/>
        </w:rPr>
      </w:pPr>
      <w:r w:rsidRPr="00895699">
        <w:rPr>
          <w:rFonts w:ascii="Verdana" w:hAnsi="Verdana"/>
          <w:sz w:val="20"/>
          <w:szCs w:val="20"/>
        </w:rPr>
        <w:t>En conclusión, en los procesos selección no se debe exigir que la entrega física de la propuesta se realice por intermedio de apoderado, pues es una actividad física que no implica la manifestación de voluntad del proponente, como sí lo es la suscripción de la propuesta.</w:t>
      </w:r>
    </w:p>
    <w:p w14:paraId="28E3CB33" w14:textId="77777777" w:rsidR="00D61A6A" w:rsidRPr="00895699" w:rsidRDefault="00D61A6A" w:rsidP="00D61A6A">
      <w:pPr>
        <w:snapToGrid w:val="0"/>
        <w:spacing w:after="120" w:line="276" w:lineRule="auto"/>
        <w:jc w:val="both"/>
        <w:rPr>
          <w:rFonts w:ascii="Verdana" w:hAnsi="Verdana"/>
          <w:sz w:val="20"/>
          <w:szCs w:val="20"/>
        </w:rPr>
      </w:pPr>
      <w:r w:rsidRPr="00895699">
        <w:rPr>
          <w:rFonts w:ascii="Verdana" w:hAnsi="Verdana"/>
          <w:sz w:val="20"/>
          <w:szCs w:val="20"/>
        </w:rPr>
        <w:t>En otros términos, la presentación de la propuesta, donde se manifiesta la voluntad de adquirir obligaciones, es diferente a la entrega de la propuesta, pues la primera si debe ser estar firmada y suscrita por el proponente o por su apoderado; mientras que la entrega es la simple actividad que no implica un acto de poder o mandato para su ejecución.</w:t>
      </w:r>
    </w:p>
    <w:p w14:paraId="45F72E61" w14:textId="77777777" w:rsidR="00D61A6A" w:rsidRDefault="00D61A6A" w:rsidP="00D61A6A">
      <w:pPr>
        <w:spacing w:after="12"/>
        <w:jc w:val="both"/>
        <w:rPr>
          <w:rFonts w:ascii="Verdana" w:hAnsi="Verdana"/>
          <w:sz w:val="20"/>
          <w:szCs w:val="20"/>
        </w:rPr>
      </w:pPr>
    </w:p>
    <w:p w14:paraId="3C554ED2" w14:textId="77777777" w:rsidR="00D61A6A" w:rsidRDefault="00D61A6A" w:rsidP="00AA07E9">
      <w:pPr>
        <w:spacing w:line="276" w:lineRule="auto"/>
        <w:jc w:val="both"/>
        <w:rPr>
          <w:rFonts w:ascii="Verdana" w:hAnsi="Verdana"/>
        </w:rPr>
      </w:pPr>
    </w:p>
    <w:p w14:paraId="18555DC5" w14:textId="77777777" w:rsidR="00D61A6A" w:rsidRDefault="00D61A6A" w:rsidP="00AA07E9">
      <w:pPr>
        <w:spacing w:line="276" w:lineRule="auto"/>
        <w:jc w:val="both"/>
        <w:rPr>
          <w:rFonts w:ascii="Verdana" w:hAnsi="Verdana"/>
        </w:rPr>
      </w:pPr>
    </w:p>
    <w:p w14:paraId="41B26FDC" w14:textId="77777777" w:rsidR="00D61A6A" w:rsidRDefault="00D61A6A" w:rsidP="00AA07E9">
      <w:pPr>
        <w:spacing w:line="276" w:lineRule="auto"/>
        <w:jc w:val="both"/>
        <w:rPr>
          <w:rFonts w:ascii="Verdana" w:hAnsi="Verdana"/>
        </w:rPr>
      </w:pPr>
    </w:p>
    <w:p w14:paraId="66EA40A7" w14:textId="77777777" w:rsidR="00D61A6A" w:rsidRDefault="00D61A6A" w:rsidP="00AA07E9">
      <w:pPr>
        <w:spacing w:line="276" w:lineRule="auto"/>
        <w:jc w:val="both"/>
        <w:rPr>
          <w:rFonts w:ascii="Verdana" w:hAnsi="Verdana"/>
        </w:rPr>
      </w:pPr>
    </w:p>
    <w:p w14:paraId="1854559F" w14:textId="77777777" w:rsidR="00D61A6A" w:rsidRDefault="00D61A6A" w:rsidP="00AA07E9">
      <w:pPr>
        <w:spacing w:line="276" w:lineRule="auto"/>
        <w:jc w:val="both"/>
        <w:rPr>
          <w:rFonts w:ascii="Verdana" w:hAnsi="Verdana"/>
        </w:rPr>
      </w:pPr>
    </w:p>
    <w:p w14:paraId="0F4925D3" w14:textId="43BF2DFF" w:rsidR="00507E1D" w:rsidRDefault="00C15139" w:rsidP="00AA07E9">
      <w:pPr>
        <w:spacing w:line="276" w:lineRule="auto"/>
        <w:jc w:val="both"/>
        <w:rPr>
          <w:rFonts w:ascii="Verdana" w:eastAsia="Calibri" w:hAnsi="Verdana" w:cs="Arial"/>
          <w:lang w:eastAsia="es-ES"/>
        </w:rPr>
      </w:pPr>
      <w:r w:rsidRPr="0024624F">
        <w:rPr>
          <w:rFonts w:ascii="Verdana" w:hAnsi="Verdana"/>
        </w:rPr>
        <w:lastRenderedPageBreak/>
        <w:t xml:space="preserve">Bogotá D.C., </w:t>
      </w:r>
      <w:r w:rsidR="000168EC">
        <w:rPr>
          <w:rFonts w:ascii="Verdana" w:hAnsi="Verdana"/>
        </w:rPr>
        <w:t>18 de noviembre de 2025</w:t>
      </w:r>
      <w:r w:rsidRPr="000E2B93">
        <w:rPr>
          <w:rFonts w:ascii="Verdana" w:hAnsi="Verdana"/>
        </w:rPr>
        <w:tab/>
      </w:r>
      <w:r w:rsidRPr="000E2B93">
        <w:rPr>
          <w:rFonts w:ascii="Verdana" w:hAnsi="Verdana"/>
        </w:rPr>
        <w:br/>
      </w:r>
      <w:bookmarkStart w:id="1" w:name="_Hlk180638295"/>
      <w:bookmarkStart w:id="2" w:name="_Hlk181166167"/>
    </w:p>
    <w:p w14:paraId="2AA37453" w14:textId="0E1139BD" w:rsidR="00507E1D" w:rsidRDefault="00507E1D" w:rsidP="00B2793E">
      <w:pPr>
        <w:spacing w:after="0" w:line="240" w:lineRule="auto"/>
        <w:jc w:val="both"/>
        <w:rPr>
          <w:rFonts w:ascii="Verdana" w:eastAsia="Calibri" w:hAnsi="Verdana" w:cs="Arial"/>
          <w:lang w:eastAsia="es-ES"/>
        </w:rPr>
      </w:pPr>
    </w:p>
    <w:p w14:paraId="726B3077" w14:textId="2E157F15" w:rsidR="00B2793E" w:rsidRPr="00B50202" w:rsidRDefault="000168EC" w:rsidP="00B2793E">
      <w:pPr>
        <w:spacing w:after="0" w:line="240" w:lineRule="auto"/>
        <w:jc w:val="both"/>
        <w:rPr>
          <w:rFonts w:ascii="Verdana" w:eastAsia="Calibri" w:hAnsi="Verdana" w:cs="Arial"/>
          <w:lang w:eastAsia="es-ES"/>
        </w:rPr>
      </w:pPr>
      <w:r w:rsidRPr="000168EC">
        <w:rPr>
          <w:noProof/>
        </w:rPr>
        <w:drawing>
          <wp:anchor distT="0" distB="0" distL="114300" distR="114300" simplePos="0" relativeHeight="251658240" behindDoc="1" locked="0" layoutInCell="1" allowOverlap="1" wp14:anchorId="3B171F61" wp14:editId="5E1DF8CC">
            <wp:simplePos x="0" y="0"/>
            <wp:positionH relativeFrom="column">
              <wp:posOffset>2496820</wp:posOffset>
            </wp:positionH>
            <wp:positionV relativeFrom="paragraph">
              <wp:posOffset>8255</wp:posOffset>
            </wp:positionV>
            <wp:extent cx="3190875" cy="933450"/>
            <wp:effectExtent l="0" t="0" r="9525" b="0"/>
            <wp:wrapNone/>
            <wp:docPr id="16031984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9844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90875" cy="933450"/>
                    </a:xfrm>
                    <a:prstGeom prst="rect">
                      <a:avLst/>
                    </a:prstGeom>
                  </pic:spPr>
                </pic:pic>
              </a:graphicData>
            </a:graphic>
          </wp:anchor>
        </w:drawing>
      </w:r>
      <w:r w:rsidR="00B2793E" w:rsidRPr="00B50202">
        <w:rPr>
          <w:rFonts w:ascii="Verdana" w:eastAsia="Calibri" w:hAnsi="Verdana" w:cs="Arial"/>
          <w:lang w:eastAsia="es-ES"/>
        </w:rPr>
        <w:t>Señor</w:t>
      </w:r>
      <w:r w:rsidR="00B2793E" w:rsidRPr="00B50202">
        <w:rPr>
          <w:rFonts w:ascii="Verdana" w:eastAsia="Calibri" w:hAnsi="Verdana" w:cs="Arial"/>
          <w:lang w:eastAsia="es-ES"/>
        </w:rPr>
        <w:tab/>
      </w:r>
    </w:p>
    <w:p w14:paraId="152F43B6" w14:textId="0A0B817E" w:rsidR="00B2793E" w:rsidRPr="00B50202" w:rsidRDefault="00B2793E" w:rsidP="00B2793E">
      <w:pPr>
        <w:spacing w:after="0" w:line="240" w:lineRule="auto"/>
        <w:rPr>
          <w:rFonts w:ascii="Verdana" w:eastAsia="Calibri" w:hAnsi="Verdana" w:cs="Arial"/>
          <w:b/>
          <w:bCs/>
          <w:color w:val="000000"/>
          <w:lang w:eastAsia="es-ES_tradnl"/>
        </w:rPr>
      </w:pPr>
      <w:r w:rsidRPr="00B50202">
        <w:rPr>
          <w:rFonts w:ascii="Verdana" w:eastAsia="Calibri" w:hAnsi="Verdana" w:cs="Arial"/>
          <w:b/>
          <w:bCs/>
          <w:color w:val="000000"/>
          <w:lang w:eastAsia="es-ES_tradnl"/>
        </w:rPr>
        <w:t xml:space="preserve">Juan David Patiño </w:t>
      </w:r>
      <w:proofErr w:type="spellStart"/>
      <w:r w:rsidRPr="00B50202">
        <w:rPr>
          <w:rFonts w:ascii="Verdana" w:eastAsia="Calibri" w:hAnsi="Verdana" w:cs="Arial"/>
          <w:b/>
          <w:bCs/>
          <w:color w:val="000000"/>
          <w:lang w:eastAsia="es-ES_tradnl"/>
        </w:rPr>
        <w:t>Trasladino</w:t>
      </w:r>
      <w:proofErr w:type="spellEnd"/>
    </w:p>
    <w:p w14:paraId="514567F8" w14:textId="3C80A3B7" w:rsidR="00B2793E" w:rsidRPr="00B50202" w:rsidRDefault="00B2793E" w:rsidP="00B2793E">
      <w:pPr>
        <w:spacing w:after="0" w:line="240" w:lineRule="auto"/>
        <w:rPr>
          <w:rFonts w:ascii="Verdana" w:hAnsi="Verdana"/>
        </w:rPr>
      </w:pPr>
      <w:hyperlink r:id="rId11" w:history="1">
        <w:r w:rsidRPr="00895699">
          <w:rPr>
            <w:rStyle w:val="Hipervnculo"/>
            <w:rFonts w:ascii="Verdana" w:hAnsi="Verdana"/>
          </w:rPr>
          <w:t>davidsanti090815@gmail.com</w:t>
        </w:r>
      </w:hyperlink>
    </w:p>
    <w:p w14:paraId="6EB2808A" w14:textId="77777777" w:rsidR="00B2793E" w:rsidRDefault="00B2793E" w:rsidP="00B2793E">
      <w:pPr>
        <w:spacing w:after="0" w:line="240" w:lineRule="auto"/>
        <w:rPr>
          <w:rFonts w:ascii="Verdana" w:eastAsia="Calibri" w:hAnsi="Verdana" w:cs="Arial"/>
          <w:b/>
          <w:bCs/>
          <w:color w:val="000000"/>
          <w:lang w:val="es-ES_tradnl" w:eastAsia="es-ES_tradnl"/>
        </w:rPr>
      </w:pPr>
      <w:r w:rsidRPr="00B50202">
        <w:rPr>
          <w:rFonts w:ascii="Verdana" w:hAnsi="Verdana"/>
        </w:rPr>
        <w:t>El Dorado, Meta</w:t>
      </w:r>
    </w:p>
    <w:p w14:paraId="50FA1A1B" w14:textId="77777777" w:rsidR="00B2793E" w:rsidRDefault="00B2793E" w:rsidP="00B2793E">
      <w:pPr>
        <w:spacing w:after="0" w:line="240" w:lineRule="auto"/>
        <w:rPr>
          <w:rFonts w:ascii="Verdana" w:eastAsia="Calibri" w:hAnsi="Verdana" w:cs="Arial"/>
          <w:b/>
          <w:bCs/>
          <w:color w:val="000000"/>
          <w:lang w:val="es-ES_tradnl" w:eastAsia="es-ES_tradnl"/>
        </w:rPr>
      </w:pPr>
    </w:p>
    <w:p w14:paraId="25C84DE9" w14:textId="77777777" w:rsidR="00B2793E" w:rsidRDefault="00B2793E" w:rsidP="00B2793E">
      <w:pPr>
        <w:spacing w:after="0" w:line="240" w:lineRule="auto"/>
        <w:rPr>
          <w:rFonts w:ascii="Verdana" w:eastAsia="Calibri" w:hAnsi="Verdana" w:cs="Arial"/>
          <w:b/>
          <w:bCs/>
          <w:color w:val="000000"/>
          <w:lang w:val="es-ES_tradnl" w:eastAsia="es-ES_tradnl"/>
        </w:rPr>
      </w:pPr>
    </w:p>
    <w:p w14:paraId="10619DCB" w14:textId="77777777" w:rsidR="00B2793E" w:rsidRDefault="00B2793E" w:rsidP="00B2793E">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95"/>
        <w:gridCol w:w="5983"/>
        <w:gridCol w:w="336"/>
      </w:tblGrid>
      <w:tr w:rsidR="00B2793E" w:rsidRPr="00593A5F" w14:paraId="0E3A4941" w14:textId="77777777" w:rsidTr="51B7263C">
        <w:trPr>
          <w:trHeight w:val="884"/>
        </w:trPr>
        <w:tc>
          <w:tcPr>
            <w:tcW w:w="2895" w:type="dxa"/>
          </w:tcPr>
          <w:p w14:paraId="0BEF266D" w14:textId="77777777" w:rsidR="00B2793E" w:rsidRPr="00E5644F" w:rsidRDefault="00B2793E">
            <w:pPr>
              <w:jc w:val="both"/>
              <w:rPr>
                <w:rFonts w:ascii="Verdana" w:eastAsia="Calibri" w:hAnsi="Verdana" w:cs="Arial"/>
                <w:b/>
                <w:bCs/>
                <w:color w:val="7030A0"/>
                <w:lang w:val="es-ES_tradnl" w:eastAsia="es-ES_tradnl"/>
              </w:rPr>
            </w:pPr>
          </w:p>
        </w:tc>
        <w:tc>
          <w:tcPr>
            <w:tcW w:w="6319" w:type="dxa"/>
            <w:gridSpan w:val="2"/>
          </w:tcPr>
          <w:p w14:paraId="70A1E77B" w14:textId="77777777" w:rsidR="00B2793E" w:rsidRPr="00E5644F" w:rsidRDefault="00B2793E">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1607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B2793E" w:rsidRPr="00593A5F" w14:paraId="71D39261" w14:textId="77777777" w:rsidTr="51B7263C">
        <w:trPr>
          <w:trHeight w:val="884"/>
        </w:trPr>
        <w:tc>
          <w:tcPr>
            <w:tcW w:w="2895" w:type="dxa"/>
          </w:tcPr>
          <w:p w14:paraId="6D1907EB" w14:textId="77777777" w:rsidR="00B2793E" w:rsidRPr="00593A5F" w:rsidRDefault="00B2793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319" w:type="dxa"/>
            <w:gridSpan w:val="2"/>
          </w:tcPr>
          <w:p w14:paraId="7451C33F" w14:textId="28AB0C8A" w:rsidR="00B2793E" w:rsidRPr="00B50202" w:rsidRDefault="00B2793E">
            <w:pPr>
              <w:spacing w:after="12"/>
              <w:jc w:val="both"/>
              <w:rPr>
                <w:rFonts w:ascii="Verdana" w:hAnsi="Verdana"/>
              </w:rPr>
            </w:pPr>
            <w:r w:rsidRPr="00895699">
              <w:rPr>
                <w:rFonts w:ascii="Verdana" w:hAnsi="Verdana"/>
              </w:rPr>
              <w:t xml:space="preserve">PODER ESPECIAL – Circular Externa Única – Presentación Personal / PODER ESPECIAL – Normativa / </w:t>
            </w:r>
            <w:r w:rsidR="26ACF7C6" w:rsidRPr="7B0ADAD5">
              <w:rPr>
                <w:rFonts w:ascii="Verdana" w:hAnsi="Verdana"/>
              </w:rPr>
              <w:t>RADICACIÓN DE PROPUESTAS</w:t>
            </w:r>
            <w:r w:rsidRPr="7B0ADAD5">
              <w:rPr>
                <w:rFonts w:ascii="Verdana" w:hAnsi="Verdana"/>
              </w:rPr>
              <w:t xml:space="preserve">- Poder </w:t>
            </w:r>
            <w:r w:rsidR="26ACF7C6" w:rsidRPr="7B0ADAD5">
              <w:rPr>
                <w:rFonts w:ascii="Verdana" w:hAnsi="Verdana"/>
              </w:rPr>
              <w:t xml:space="preserve">para radicar propuesta en físico  </w:t>
            </w:r>
            <w:r w:rsidRPr="00B50202">
              <w:rPr>
                <w:rFonts w:ascii="Verdana" w:hAnsi="Verdana"/>
                <w:lang w:val="es-ES"/>
              </w:rPr>
              <w:t xml:space="preserve"> </w:t>
            </w:r>
          </w:p>
          <w:p w14:paraId="7FBC31E8" w14:textId="77777777" w:rsidR="00B2793E" w:rsidRPr="00606078" w:rsidRDefault="00B2793E">
            <w:pPr>
              <w:jc w:val="both"/>
              <w:rPr>
                <w:rFonts w:ascii="Verdana" w:eastAsia="Calibri" w:hAnsi="Verdana" w:cs="Arial"/>
                <w:b/>
                <w:highlight w:val="yellow"/>
                <w:lang w:val="es-ES" w:eastAsia="es-ES"/>
              </w:rPr>
            </w:pPr>
          </w:p>
        </w:tc>
      </w:tr>
      <w:tr w:rsidR="00B2793E" w:rsidRPr="00593A5F" w14:paraId="2808FF38" w14:textId="77777777" w:rsidTr="51B7263C">
        <w:tc>
          <w:tcPr>
            <w:tcW w:w="2895" w:type="dxa"/>
          </w:tcPr>
          <w:p w14:paraId="5CA3923E" w14:textId="77777777" w:rsidR="00B2793E" w:rsidRPr="006730E9" w:rsidRDefault="00B2793E">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319" w:type="dxa"/>
            <w:gridSpan w:val="2"/>
          </w:tcPr>
          <w:p w14:paraId="0A2E29DF" w14:textId="2B55C9BC" w:rsidR="00B2793E" w:rsidRPr="006730E9" w:rsidRDefault="00B2793E">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17912">
              <w:rPr>
                <w:rFonts w:ascii="Verdana" w:eastAsia="Calibri" w:hAnsi="Verdana" w:cs="Arial"/>
                <w:lang w:val="es-ES_tradnl" w:eastAsia="es-ES_tradnl"/>
              </w:rPr>
              <w:t>1_2025_10_30_012269</w:t>
            </w:r>
          </w:p>
        </w:tc>
      </w:tr>
      <w:tr w:rsidR="00B2793E" w:rsidRPr="00DB23D2" w14:paraId="6A10FF40" w14:textId="77777777" w:rsidTr="51B7263C">
        <w:trPr>
          <w:gridAfter w:val="1"/>
          <w:wAfter w:w="336" w:type="dxa"/>
          <w:trHeight w:val="233"/>
        </w:trPr>
        <w:tc>
          <w:tcPr>
            <w:tcW w:w="8878" w:type="dxa"/>
            <w:gridSpan w:val="2"/>
          </w:tcPr>
          <w:p w14:paraId="7C33CB73" w14:textId="77777777" w:rsidR="00B2793E" w:rsidRPr="00DB23D2" w:rsidRDefault="00B2793E">
            <w:pPr>
              <w:spacing w:after="120" w:line="276" w:lineRule="auto"/>
              <w:jc w:val="both"/>
              <w:rPr>
                <w:rFonts w:ascii="Verdana" w:eastAsia="Calibri" w:hAnsi="Verdana" w:cs="Arial"/>
                <w:lang w:val="es-ES_tradnl" w:eastAsia="es-ES"/>
              </w:rPr>
            </w:pPr>
          </w:p>
        </w:tc>
      </w:tr>
    </w:tbl>
    <w:p w14:paraId="291D197C" w14:textId="77777777" w:rsidR="00B2793E" w:rsidRPr="006730E9" w:rsidRDefault="00B2793E" w:rsidP="00B2793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Patiño;</w:t>
      </w:r>
    </w:p>
    <w:p w14:paraId="5C677EB7" w14:textId="77777777" w:rsidR="00B2793E" w:rsidRDefault="00B2793E" w:rsidP="00B2793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9751610" w14:textId="77777777" w:rsidR="00B2793E" w:rsidRPr="006730E9" w:rsidRDefault="00B2793E" w:rsidP="00B2793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864DFD">
        <w:rPr>
          <w:rFonts w:ascii="Verdana" w:eastAsia="Arial MT" w:hAnsi="Verdana" w:cs="Arial MT"/>
          <w:lang w:val="es-ES" w:eastAsia="es-ES"/>
        </w:rPr>
        <w:t xml:space="preserve">y de conformidad con las modalidades del derecho de petición contempladas en la Ley 1755 de 2015, así como lo establecido en la resolución </w:t>
      </w:r>
      <w:proofErr w:type="spellStart"/>
      <w:r w:rsidRPr="00864DFD">
        <w:rPr>
          <w:rFonts w:ascii="Verdana" w:eastAsia="Arial MT" w:hAnsi="Verdana" w:cs="Arial MT"/>
          <w:lang w:val="es-ES" w:eastAsia="es-ES"/>
        </w:rPr>
        <w:t>N°</w:t>
      </w:r>
      <w:proofErr w:type="spellEnd"/>
      <w:r w:rsidRPr="00864DFD">
        <w:rPr>
          <w:rFonts w:ascii="Verdana" w:eastAsia="Arial MT" w:hAnsi="Verdana" w:cs="Arial MT"/>
          <w:lang w:val="es-ES" w:eastAsia="es-ES"/>
        </w:rPr>
        <w:t xml:space="preserve"> 469 del 2025 expedida por esta Agencia, damos respuesta a su</w:t>
      </w:r>
      <w:r>
        <w:rPr>
          <w:rFonts w:ascii="Verdana" w:eastAsia="Arial MT" w:hAnsi="Verdana" w:cs="Arial MT"/>
          <w:lang w:val="es-ES" w:eastAsia="es-ES"/>
        </w:rPr>
        <w:t xml:space="preserve"> </w:t>
      </w:r>
      <w:r w:rsidRPr="006730E9">
        <w:rPr>
          <w:rFonts w:ascii="Verdana" w:eastAsia="Calibri" w:hAnsi="Verdana" w:cs="Arial"/>
          <w:lang w:val="es-ES" w:eastAsia="es-ES"/>
        </w:rPr>
        <w:t xml:space="preserve">solicitud </w:t>
      </w:r>
      <w:r>
        <w:rPr>
          <w:rFonts w:ascii="Verdana" w:eastAsia="Calibri" w:hAnsi="Verdana" w:cs="Arial"/>
          <w:lang w:val="es-ES" w:eastAsia="es-ES"/>
        </w:rPr>
        <w:t xml:space="preserve">de consulta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30 de octubre de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BDC26A5" w14:textId="77777777" w:rsidR="00B2793E" w:rsidRPr="00326382" w:rsidRDefault="00B2793E" w:rsidP="00B2793E">
      <w:pPr>
        <w:spacing w:after="0" w:line="240" w:lineRule="auto"/>
        <w:ind w:left="709" w:right="474"/>
        <w:jc w:val="both"/>
        <w:rPr>
          <w:rFonts w:ascii="Verdana" w:hAnsi="Verdana" w:cs="Arial"/>
          <w:sz w:val="20"/>
          <w:szCs w:val="20"/>
          <w:shd w:val="clear" w:color="auto" w:fill="FFFFFF"/>
        </w:rPr>
      </w:pPr>
      <w:bookmarkStart w:id="3" w:name="_Hlk95313578"/>
    </w:p>
    <w:bookmarkEnd w:id="3"/>
    <w:p w14:paraId="77C3890A" w14:textId="77777777" w:rsidR="00B2793E" w:rsidRPr="009D04B0" w:rsidRDefault="00B2793E" w:rsidP="00B2793E">
      <w:pPr>
        <w:pStyle w:val="Prrafodelista"/>
        <w:tabs>
          <w:tab w:val="left" w:pos="142"/>
          <w:tab w:val="left" w:pos="284"/>
        </w:tabs>
        <w:spacing w:line="240" w:lineRule="auto"/>
        <w:ind w:left="284" w:right="709"/>
        <w:jc w:val="both"/>
        <w:rPr>
          <w:rFonts w:ascii="Verdana" w:eastAsia="Century Gothic" w:hAnsi="Verdana" w:cs="Century Gothic"/>
          <w:i/>
          <w:iCs/>
        </w:rPr>
      </w:pPr>
      <w:r>
        <w:rPr>
          <w:rFonts w:ascii="Verdana" w:eastAsia="Century Gothic" w:hAnsi="Verdana" w:cs="Century Gothic"/>
          <w:i/>
          <w:iCs/>
          <w:lang w:val="es-CO"/>
        </w:rPr>
        <w:t xml:space="preserve">   </w:t>
      </w:r>
      <w:r w:rsidRPr="009D04B0">
        <w:rPr>
          <w:rFonts w:ascii="Verdana" w:eastAsia="Century Gothic" w:hAnsi="Verdana" w:cs="Century Gothic"/>
          <w:i/>
          <w:iCs/>
          <w:lang w:val="es-CO"/>
        </w:rPr>
        <w:t xml:space="preserve">“(…) </w:t>
      </w:r>
    </w:p>
    <w:p w14:paraId="236D43A3" w14:textId="77777777" w:rsidR="00B2793E" w:rsidRDefault="00B2793E" w:rsidP="00B2793E">
      <w:pPr>
        <w:pStyle w:val="Prrafodelista"/>
        <w:tabs>
          <w:tab w:val="left" w:pos="142"/>
          <w:tab w:val="left" w:pos="284"/>
        </w:tabs>
        <w:spacing w:line="240" w:lineRule="auto"/>
        <w:ind w:left="709" w:right="709"/>
        <w:jc w:val="both"/>
        <w:rPr>
          <w:rFonts w:ascii="Verdana" w:eastAsia="Century Gothic" w:hAnsi="Verdana" w:cs="Century Gothic"/>
          <w:i/>
          <w:iCs/>
          <w:lang w:val="es-CO"/>
        </w:rPr>
      </w:pPr>
    </w:p>
    <w:p w14:paraId="31C8998F" w14:textId="77777777" w:rsidR="00B2793E" w:rsidRPr="00DB1673" w:rsidRDefault="00B2793E" w:rsidP="00B2793E">
      <w:pPr>
        <w:pStyle w:val="Prrafodelista"/>
        <w:tabs>
          <w:tab w:val="left" w:pos="142"/>
          <w:tab w:val="left" w:pos="284"/>
        </w:tabs>
        <w:spacing w:line="240" w:lineRule="auto"/>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De manera atenta, me permito solicitar a esa Agencia Nacional un concepto orientador respecto a la legalidad y razonabilidad de una exigencia contenida en el pliego de condiciones de un proceso de selección adelantado por una entidad.</w:t>
      </w:r>
    </w:p>
    <w:p w14:paraId="77B7D884"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62FA2A6D"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En el mencionado proceso, el pliego establece que</w:t>
      </w:r>
    </w:p>
    <w:p w14:paraId="323A75C9"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07C55FDD"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lastRenderedPageBreak/>
        <w:t>En caso de que la propuesta no sea radicada directamente por el representante legal, sea persona natural o jurídica, deberá presentar un poder debidamente autenticado ante notaría,</w:t>
      </w:r>
    </w:p>
    <w:p w14:paraId="39FB4B78"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788B1E8C"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En ese sentido, se solicita su orientación sobre los siguientes puntos.</w:t>
      </w:r>
    </w:p>
    <w:p w14:paraId="0C1FC68A"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3A106257"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1. Si conforme a la Ley 80 de 1993, la Ley 1150 de 2007 y el Decreto 1082 de 2015, el acto de radicar o entregar una propuesta constituye un acto de representación jurídica que justifique exigir un poder autenticado notarialmente.</w:t>
      </w:r>
    </w:p>
    <w:p w14:paraId="21998504"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1990A307"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2. Si dicha exigencia puede considerarse una condición restrictiva o no razonable, en atención a los principios de transparencia, libre concurrencia y selección objetiva.</w:t>
      </w:r>
    </w:p>
    <w:p w14:paraId="5CCAFC56" w14:textId="77777777" w:rsidR="00B2793E" w:rsidRPr="00DB1673"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723F634E" w14:textId="77777777" w:rsidR="00B2793E" w:rsidRDefault="00B2793E" w:rsidP="00B2793E">
      <w:pPr>
        <w:pStyle w:val="Prrafodelista"/>
        <w:tabs>
          <w:tab w:val="left" w:pos="142"/>
          <w:tab w:val="left" w:pos="284"/>
        </w:tabs>
        <w:ind w:left="709" w:right="709"/>
        <w:jc w:val="both"/>
        <w:rPr>
          <w:rFonts w:ascii="Verdana" w:eastAsia="Century Gothic" w:hAnsi="Verdana" w:cs="Century Gothic"/>
          <w:i/>
          <w:iCs/>
          <w:lang w:val="es-CO"/>
        </w:rPr>
      </w:pPr>
      <w:r w:rsidRPr="00DB1673">
        <w:rPr>
          <w:rFonts w:ascii="Verdana" w:eastAsia="Century Gothic" w:hAnsi="Verdana" w:cs="Century Gothic"/>
          <w:i/>
          <w:iCs/>
          <w:lang w:val="es-CO"/>
        </w:rPr>
        <w:t>3. Si Colombia Compra Eficiente ha emitido conceptos o guías previas sobre la posibilidad de que una persona distinta del representante legal entregue la propuesta sin necesidad de poder autenticado</w:t>
      </w:r>
      <w:r w:rsidRPr="004A2CCB">
        <w:rPr>
          <w:rFonts w:ascii="Verdana" w:eastAsia="Century Gothic" w:hAnsi="Verdana" w:cs="Century Gothic"/>
          <w:i/>
          <w:iCs/>
          <w:lang w:val="es-CO"/>
        </w:rPr>
        <w:t>.</w:t>
      </w:r>
    </w:p>
    <w:p w14:paraId="04D18F0A" w14:textId="77777777" w:rsidR="00B2793E" w:rsidRPr="004A2CCB" w:rsidRDefault="00B2793E" w:rsidP="00B2793E">
      <w:pPr>
        <w:pStyle w:val="Prrafodelista"/>
        <w:tabs>
          <w:tab w:val="left" w:pos="142"/>
          <w:tab w:val="left" w:pos="284"/>
        </w:tabs>
        <w:ind w:left="709" w:right="709"/>
        <w:jc w:val="both"/>
        <w:rPr>
          <w:rFonts w:ascii="Verdana" w:eastAsia="Century Gothic" w:hAnsi="Verdana" w:cs="Century Gothic"/>
          <w:i/>
          <w:iCs/>
          <w:lang w:val="es-CO"/>
        </w:rPr>
      </w:pPr>
    </w:p>
    <w:p w14:paraId="76693517" w14:textId="77777777" w:rsidR="00B2793E" w:rsidRPr="00022742" w:rsidRDefault="00B2793E" w:rsidP="00B2793E">
      <w:pPr>
        <w:tabs>
          <w:tab w:val="left" w:pos="142"/>
          <w:tab w:val="left" w:pos="284"/>
        </w:tabs>
        <w:ind w:right="709"/>
        <w:jc w:val="both"/>
        <w:rPr>
          <w:rFonts w:ascii="Verdana" w:eastAsia="Century Gothic" w:hAnsi="Verdana" w:cs="Century Gothic"/>
          <w:i/>
          <w:iCs/>
        </w:rPr>
      </w:pPr>
      <w:r>
        <w:rPr>
          <w:rFonts w:ascii="Verdana" w:eastAsia="Century Gothic" w:hAnsi="Verdana" w:cs="Century Gothic"/>
          <w:i/>
          <w:iCs/>
        </w:rPr>
        <w:t xml:space="preserve">          </w:t>
      </w:r>
      <w:r w:rsidRPr="00022742">
        <w:rPr>
          <w:rFonts w:ascii="Verdana" w:eastAsia="Century Gothic" w:hAnsi="Verdana" w:cs="Century Gothic"/>
          <w:i/>
          <w:iCs/>
        </w:rPr>
        <w:t xml:space="preserve">(…)” </w:t>
      </w:r>
    </w:p>
    <w:p w14:paraId="3D26B7FB" w14:textId="77777777" w:rsidR="00B2793E" w:rsidRPr="00AA3B9F" w:rsidRDefault="00B2793E" w:rsidP="00B2793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16CDF25" w14:textId="77777777" w:rsidR="00B2793E" w:rsidRPr="00AA3B9F" w:rsidRDefault="00B2793E" w:rsidP="00B2793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w:t>
      </w:r>
      <w:r w:rsidRPr="00AA3B9F">
        <w:rPr>
          <w:rFonts w:ascii="Verdana" w:eastAsia="Calibri" w:hAnsi="Verdana" w:cs="Arial"/>
          <w:lang w:val="es-ES" w:eastAsia="es-ES"/>
        </w:rPr>
        <w:lastRenderedPageBreak/>
        <w:t>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18B94272" w14:textId="77777777" w:rsidR="00B2793E" w:rsidRDefault="00B2793E" w:rsidP="00B2793E">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636C524" w14:textId="77777777" w:rsidR="00B2793E" w:rsidRDefault="00B2793E" w:rsidP="00B2793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E35B29F" w14:textId="77777777" w:rsidR="00B2793E" w:rsidRDefault="00B2793E" w:rsidP="00B2793E">
      <w:pPr>
        <w:pStyle w:val="Prrafodelista"/>
        <w:tabs>
          <w:tab w:val="left" w:pos="142"/>
          <w:tab w:val="left" w:pos="284"/>
        </w:tabs>
        <w:spacing w:after="0" w:line="276" w:lineRule="auto"/>
        <w:ind w:left="0"/>
        <w:jc w:val="both"/>
        <w:rPr>
          <w:rFonts w:ascii="Verdana" w:eastAsia="Century Gothic" w:hAnsi="Verdana" w:cs="Century Gothic"/>
          <w:b/>
          <w:bCs/>
        </w:rPr>
      </w:pPr>
    </w:p>
    <w:p w14:paraId="7D124E9B" w14:textId="77777777" w:rsidR="00B2793E" w:rsidRPr="00AD627D" w:rsidRDefault="00B2793E" w:rsidP="00B2793E">
      <w:pPr>
        <w:pStyle w:val="Prrafodelista"/>
        <w:tabs>
          <w:tab w:val="left" w:pos="142"/>
          <w:tab w:val="left" w:pos="284"/>
        </w:tabs>
        <w:spacing w:after="0" w:line="276" w:lineRule="auto"/>
        <w:ind w:left="0"/>
        <w:jc w:val="both"/>
        <w:rPr>
          <w:rFonts w:ascii="Verdana" w:eastAsia="Century Gothic" w:hAnsi="Verdana" w:cs="Century Gothic"/>
          <w:b/>
          <w:bCs/>
        </w:rPr>
      </w:pPr>
      <w:r>
        <w:rPr>
          <w:rFonts w:ascii="Verdana" w:eastAsia="Calibri" w:hAnsi="Verdana" w:cs="Arial"/>
          <w:lang w:eastAsia="es-ES"/>
        </w:rPr>
        <w:tab/>
      </w:r>
      <w:r>
        <w:rPr>
          <w:rFonts w:ascii="Verdana" w:eastAsia="Calibri" w:hAnsi="Verdana" w:cs="Arial"/>
          <w:lang w:eastAsia="es-ES"/>
        </w:rPr>
        <w:tab/>
        <w:t xml:space="preserve">      </w:t>
      </w:r>
      <w:r w:rsidRPr="00E21BD1">
        <w:rPr>
          <w:rFonts w:ascii="Verdana" w:eastAsia="Calibri" w:hAnsi="Verdana" w:cs="Arial"/>
          <w:lang w:eastAsia="es-ES"/>
        </w:rPr>
        <w:t xml:space="preserve">De acuerdo con el contenido de su solicitud, esta Agencia resolverá el siguiente problema jurídico: </w:t>
      </w:r>
      <w:r w:rsidRPr="00AD627D">
        <w:rPr>
          <w:rFonts w:ascii="Verdana" w:eastAsia="Calibri" w:hAnsi="Verdana" w:cs="Arial"/>
          <w:lang w:eastAsia="es-ES"/>
        </w:rPr>
        <w:t>¿</w:t>
      </w:r>
      <w:r>
        <w:rPr>
          <w:rFonts w:ascii="Verdana" w:hAnsi="Verdana"/>
        </w:rPr>
        <w:t>E</w:t>
      </w:r>
      <w:r w:rsidRPr="00895699">
        <w:rPr>
          <w:rFonts w:ascii="Verdana" w:hAnsi="Verdana"/>
        </w:rPr>
        <w:t>s obligatorio que la entrega física de la propuesta se realice por intermedio de apoderado</w:t>
      </w:r>
      <w:r w:rsidRPr="00AD627D">
        <w:rPr>
          <w:rFonts w:ascii="Verdana" w:eastAsia="Calibri" w:hAnsi="Verdana" w:cs="Arial"/>
          <w:lang w:eastAsia="es-ES"/>
        </w:rPr>
        <w:t xml:space="preserve">?  </w:t>
      </w:r>
    </w:p>
    <w:p w14:paraId="425E9023" w14:textId="77777777" w:rsidR="00B2793E" w:rsidRDefault="00B2793E" w:rsidP="00B2793E">
      <w:pPr>
        <w:pStyle w:val="Prrafodelista"/>
        <w:ind w:left="0" w:right="49"/>
        <w:jc w:val="both"/>
        <w:rPr>
          <w:rFonts w:ascii="Verdana" w:hAnsi="Verdana"/>
        </w:rPr>
      </w:pPr>
    </w:p>
    <w:p w14:paraId="40CC640F" w14:textId="77777777" w:rsidR="00B2793E" w:rsidRPr="00593A5F" w:rsidRDefault="00B2793E" w:rsidP="3E81C1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3E81C184">
        <w:rPr>
          <w:rFonts w:ascii="Verdana" w:eastAsia="Century Gothic" w:hAnsi="Verdana" w:cs="Century Gothic"/>
          <w:b/>
          <w:bCs/>
        </w:rPr>
        <w:t>Respuesta:</w:t>
      </w:r>
    </w:p>
    <w:p w14:paraId="7C276904" w14:textId="77777777" w:rsidR="00B2793E" w:rsidRPr="00593A5F" w:rsidRDefault="00B2793E" w:rsidP="00B2793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B2793E" w:rsidRPr="00593A5F" w14:paraId="290FC7A3" w14:textId="77777777" w:rsidTr="7333202E">
        <w:tc>
          <w:tcPr>
            <w:tcW w:w="8779" w:type="dxa"/>
          </w:tcPr>
          <w:p w14:paraId="0EF4A8EE" w14:textId="1CA192C9" w:rsidR="00B2793E" w:rsidRPr="0068592F" w:rsidRDefault="00B2793E" w:rsidP="51B7263C">
            <w:pPr>
              <w:snapToGrid w:val="0"/>
              <w:spacing w:after="120" w:line="276" w:lineRule="auto"/>
              <w:ind w:firstLine="709"/>
              <w:jc w:val="both"/>
              <w:rPr>
                <w:rFonts w:ascii="Verdana" w:eastAsia="Calibri" w:hAnsi="Verdana" w:cs="Arial"/>
                <w:lang w:val="es-ES"/>
              </w:rPr>
            </w:pPr>
            <w:r w:rsidRPr="7333202E">
              <w:rPr>
                <w:rFonts w:ascii="Verdana" w:eastAsia="Calibri" w:hAnsi="Verdana" w:cs="Arial"/>
                <w:color w:val="000000" w:themeColor="text1"/>
              </w:rPr>
              <w:t xml:space="preserve">Para referirnos a las </w:t>
            </w:r>
            <w:r w:rsidRPr="7333202E">
              <w:rPr>
                <w:rFonts w:ascii="Verdana" w:eastAsia="Calibri" w:hAnsi="Verdana" w:cs="Arial"/>
                <w:i/>
                <w:iCs/>
                <w:color w:val="000000" w:themeColor="text1"/>
              </w:rPr>
              <w:t xml:space="preserve">reglas de la presentación y manejo de las ofertas, </w:t>
            </w:r>
            <w:r w:rsidRPr="7333202E">
              <w:rPr>
                <w:rFonts w:ascii="Verdana" w:eastAsia="Calibri" w:hAnsi="Verdana" w:cs="Arial"/>
                <w:color w:val="000000" w:themeColor="text1"/>
              </w:rPr>
              <w:t xml:space="preserve">se debe diferenciar la formalidad de presentación de la propuesta del acto material de entrega. Así las cosas, cuando los pliegos de condiciones señalen que el proponente podrá presentar su oferta a través de apoderado, hace referencia a la posibilidad de que, en virtud de un mandato, el apoderado presente la oferta en nombre del proponente. </w:t>
            </w:r>
          </w:p>
          <w:p w14:paraId="5B016A48" w14:textId="77777777" w:rsidR="00B2793E" w:rsidRPr="0068592F" w:rsidRDefault="00B2793E">
            <w:pPr>
              <w:snapToGrid w:val="0"/>
              <w:spacing w:after="120" w:line="276" w:lineRule="auto"/>
              <w:ind w:firstLine="709"/>
              <w:jc w:val="both"/>
              <w:rPr>
                <w:rFonts w:ascii="Verdana" w:eastAsia="Calibri" w:hAnsi="Verdana" w:cs="Arial"/>
                <w:bCs/>
                <w:color w:val="000000"/>
              </w:rPr>
            </w:pPr>
            <w:r>
              <w:rPr>
                <w:rFonts w:ascii="Verdana" w:eastAsia="Calibri" w:hAnsi="Verdana" w:cs="Arial"/>
                <w:bCs/>
                <w:color w:val="000000"/>
              </w:rPr>
              <w:t>L</w:t>
            </w:r>
            <w:r w:rsidRPr="0068592F">
              <w:rPr>
                <w:rFonts w:ascii="Verdana" w:eastAsia="Calibri" w:hAnsi="Verdana" w:cs="Arial"/>
                <w:bCs/>
                <w:color w:val="000000"/>
              </w:rPr>
              <w:t>a</w:t>
            </w:r>
            <w:r w:rsidRPr="0068592F">
              <w:rPr>
                <w:rFonts w:ascii="Verdana" w:eastAsia="Calibri" w:hAnsi="Verdana" w:cs="Arial"/>
                <w:bCs/>
                <w:i/>
                <w:iCs/>
                <w:color w:val="000000"/>
              </w:rPr>
              <w:t xml:space="preserve"> </w:t>
            </w:r>
            <w:r w:rsidRPr="0068592F">
              <w:rPr>
                <w:rFonts w:ascii="Verdana" w:eastAsia="Calibri" w:hAnsi="Verdana" w:cs="Arial"/>
                <w:bCs/>
                <w:color w:val="000000"/>
              </w:rPr>
              <w:t>Circular Única Externa expedida por la Agencia Nacional de Contratación Pública – Colombia Compra Eficiente señala en el numeral 8.2 que “Los poderes especiales para actuar en los Procesos de Contratación deberán presentarse conforme lo establezca la normativa vigente, por lo que requieren nota de presentación personal, de conformidad con el artículo 5 del Decreto Ley 019 de 2012”.</w:t>
            </w:r>
          </w:p>
          <w:p w14:paraId="6057325B" w14:textId="77777777" w:rsidR="00B2793E" w:rsidRPr="0068592F" w:rsidRDefault="00B2793E">
            <w:pPr>
              <w:snapToGrid w:val="0"/>
              <w:spacing w:after="120" w:line="276" w:lineRule="auto"/>
              <w:ind w:firstLine="709"/>
              <w:jc w:val="both"/>
              <w:rPr>
                <w:rFonts w:ascii="Verdana" w:eastAsia="Calibri" w:hAnsi="Verdana" w:cs="Arial"/>
                <w:bCs/>
                <w:color w:val="000000"/>
              </w:rPr>
            </w:pPr>
            <w:r w:rsidRPr="0068592F">
              <w:rPr>
                <w:rFonts w:ascii="Verdana" w:eastAsia="Calibri" w:hAnsi="Verdana" w:cs="Arial"/>
                <w:bCs/>
                <w:color w:val="000000"/>
              </w:rPr>
              <w:t>Frente a lo anterior, se precisa que la normativa no prevé disposiciones sobre el otorgamiento de poder para actuar en un proceso de contratación, siendo aplicables las normas generales sobre el mandato comercial y el mandato civil, las cuales no establecen calidades especiales para el mandatario.</w:t>
            </w:r>
          </w:p>
          <w:p w14:paraId="0C33C3F9" w14:textId="77777777" w:rsidR="00B2793E" w:rsidRPr="00C103D3" w:rsidRDefault="00B2793E">
            <w:pPr>
              <w:pStyle w:val="Textoindependiente"/>
              <w:spacing w:after="120" w:line="276" w:lineRule="auto"/>
              <w:ind w:right="107" w:firstLine="709"/>
              <w:jc w:val="both"/>
              <w:rPr>
                <w:rFonts w:ascii="Verdana" w:hAnsi="Verdana"/>
              </w:rPr>
            </w:pPr>
            <w:r w:rsidRPr="00C103D3">
              <w:rPr>
                <w:rFonts w:ascii="Verdana" w:hAnsi="Verdana"/>
              </w:rPr>
              <w:t xml:space="preserve">De igual manera, acorde con el artículo 77 de la Ley 80 de 1993, siempre </w:t>
            </w:r>
            <w:r w:rsidRPr="00C103D3">
              <w:rPr>
                <w:rFonts w:ascii="Verdana" w:hAnsi="Verdana"/>
                <w:spacing w:val="2"/>
              </w:rPr>
              <w:t xml:space="preserve">que </w:t>
            </w:r>
            <w:r w:rsidRPr="00C103D3">
              <w:rPr>
                <w:rFonts w:ascii="Verdana" w:hAnsi="Verdana"/>
              </w:rPr>
              <w:t xml:space="preserve">sean compatibles, es posible recurrir a la aplicación de las normas que regulan las actuaciones y procedimientos administrativos, y a falta de estas, a las normas del Código de Procedimiento Civil, hoy Código General del Proceso. Luego, comoquiera que no existen normas especiales </w:t>
            </w:r>
            <w:r w:rsidRPr="00C103D3">
              <w:rPr>
                <w:rFonts w:ascii="Verdana" w:hAnsi="Verdana"/>
              </w:rPr>
              <w:lastRenderedPageBreak/>
              <w:t xml:space="preserve">que regulen el poder a efectos de la presentación de ofertas en un proceso de contratación a través de mandatario, se debe recurrir a las reglas establecidas en las normas mencionadas. </w:t>
            </w:r>
          </w:p>
          <w:p w14:paraId="38F1E50D" w14:textId="21B8EDF3" w:rsidR="00B2793E" w:rsidRDefault="00B2793E" w:rsidP="7333202E">
            <w:pPr>
              <w:snapToGrid w:val="0"/>
              <w:spacing w:after="120" w:line="276" w:lineRule="auto"/>
              <w:ind w:firstLine="709"/>
              <w:jc w:val="both"/>
              <w:rPr>
                <w:rFonts w:ascii="Verdana" w:eastAsia="Calibri" w:hAnsi="Verdana" w:cs="Arial"/>
                <w:lang w:val="es-ES"/>
              </w:rPr>
            </w:pPr>
            <w:r w:rsidRPr="7333202E">
              <w:rPr>
                <w:rFonts w:ascii="Verdana" w:hAnsi="Verdana"/>
              </w:rPr>
              <w:t>Ahora bien, como ya se dijo, debe distinguirse</w:t>
            </w:r>
            <w:r w:rsidR="7936310D" w:rsidRPr="7333202E">
              <w:rPr>
                <w:rFonts w:ascii="Verdana" w:hAnsi="Verdana"/>
              </w:rPr>
              <w:t xml:space="preserve"> entre</w:t>
            </w:r>
            <w:r w:rsidRPr="7333202E">
              <w:rPr>
                <w:rFonts w:ascii="Verdana" w:hAnsi="Verdana"/>
              </w:rPr>
              <w:t xml:space="preserve"> la “presentación de la propuesta” a la “entrega física”, la primera es un acto jurídico en el que una persona (apoderado) formula y suscribe una oferta a nombre de otra (poderdante), y la segunda, es una mera actividad de entrega de un documento en físico que no requiere de ningún acto de poder o mandato para su ejecución, </w:t>
            </w:r>
            <w:r w:rsidRPr="7333202E">
              <w:rPr>
                <w:rFonts w:ascii="Verdana" w:eastAsia="Calibri" w:hAnsi="Verdana" w:cs="Arial"/>
                <w:color w:val="000000" w:themeColor="text1"/>
              </w:rPr>
              <w:t xml:space="preserve">por consiguiente, si el pliego está haciendo referencia a un poder para la entrega física de la propuesta, esta disposición del pliego puede ser observada, </w:t>
            </w:r>
            <w:r w:rsidRPr="7333202E">
              <w:rPr>
                <w:rFonts w:ascii="Verdana" w:eastAsia="Calibri" w:hAnsi="Verdana" w:cs="Arial"/>
                <w:lang w:val="es-ES"/>
              </w:rPr>
              <w:t>para ello, el numeral 2 del artículo 24 de la Ley 80 de 1993 dispone la facultad de los interesados para realizar y/o presentar observaciones, como un mecanismo para controvertir algunas de las decisiones adoptadas por las Entidades Estatales.</w:t>
            </w:r>
          </w:p>
          <w:p w14:paraId="32ECE30A" w14:textId="40CBBA57" w:rsidR="00B2793E" w:rsidRPr="00895699" w:rsidRDefault="00B2793E">
            <w:pPr>
              <w:snapToGrid w:val="0"/>
              <w:spacing w:after="120" w:line="276" w:lineRule="auto"/>
              <w:ind w:firstLine="709"/>
              <w:jc w:val="both"/>
              <w:rPr>
                <w:rFonts w:ascii="Verdana" w:hAnsi="Verdana"/>
              </w:rPr>
            </w:pPr>
            <w:r w:rsidRPr="7333202E">
              <w:rPr>
                <w:rFonts w:ascii="Verdana" w:hAnsi="Verdana"/>
              </w:rPr>
              <w:t xml:space="preserve">En otros términos, la presentación de la propuesta, donde se manifiesta la voluntad de adquirir obligaciones, es diferente a la entrega de la propuesta, pues la primera si debe ser estar firmada y suscrita por el proponente o por su apoderado; mientras que la entrega </w:t>
            </w:r>
            <w:r w:rsidR="2F004578" w:rsidRPr="7333202E">
              <w:rPr>
                <w:rFonts w:ascii="Verdana" w:hAnsi="Verdana"/>
              </w:rPr>
              <w:t xml:space="preserve">física </w:t>
            </w:r>
            <w:r w:rsidRPr="7333202E">
              <w:rPr>
                <w:rFonts w:ascii="Verdana" w:hAnsi="Verdana"/>
              </w:rPr>
              <w:t>es la simple actividad que no implica un acto de poder o mandato para su ejecución.</w:t>
            </w:r>
          </w:p>
          <w:p w14:paraId="44CEBCC4" w14:textId="77777777" w:rsidR="00B2793E" w:rsidRPr="00895699" w:rsidRDefault="00B2793E">
            <w:pPr>
              <w:snapToGrid w:val="0"/>
              <w:spacing w:after="120" w:line="276" w:lineRule="auto"/>
              <w:ind w:firstLine="709"/>
              <w:jc w:val="both"/>
              <w:rPr>
                <w:rFonts w:ascii="Verdana" w:hAnsi="Verdana"/>
              </w:rPr>
            </w:pPr>
            <w:r w:rsidRPr="00895699">
              <w:rPr>
                <w:rFonts w:ascii="Verdana" w:hAnsi="Verdana"/>
              </w:rPr>
              <w:t>En conclusión, en los procesos selección no se debe exigir que la entrega física de la propuesta se realice por intermedio de apoderado, pues</w:t>
            </w:r>
            <w:r>
              <w:rPr>
                <w:rFonts w:ascii="Verdana" w:hAnsi="Verdana"/>
              </w:rPr>
              <w:t xml:space="preserve"> </w:t>
            </w:r>
            <w:r w:rsidRPr="00895699">
              <w:rPr>
                <w:rFonts w:ascii="Verdana" w:hAnsi="Verdana"/>
              </w:rPr>
              <w:t>es una actividad física que no implica la manifestación de voluntad del proponente, como sí lo es la suscripción de la propuesta.</w:t>
            </w:r>
          </w:p>
          <w:p w14:paraId="4A2C85A4" w14:textId="77777777" w:rsidR="00B2793E" w:rsidRPr="000C1982" w:rsidRDefault="00B2793E">
            <w:pPr>
              <w:spacing w:before="120" w:line="276" w:lineRule="auto"/>
              <w:ind w:firstLine="709"/>
              <w:jc w:val="both"/>
              <w:rPr>
                <w:rFonts w:ascii="Verdana" w:eastAsia="Calibri" w:hAnsi="Verdana" w:cs="Arial"/>
              </w:rPr>
            </w:pPr>
          </w:p>
        </w:tc>
      </w:tr>
    </w:tbl>
    <w:p w14:paraId="5D6A70A2" w14:textId="77777777" w:rsidR="00B2793E" w:rsidRDefault="00B2793E" w:rsidP="00B2793E">
      <w:pPr>
        <w:tabs>
          <w:tab w:val="left" w:pos="142"/>
          <w:tab w:val="left" w:pos="284"/>
        </w:tabs>
        <w:spacing w:after="0" w:line="276" w:lineRule="auto"/>
        <w:jc w:val="both"/>
        <w:rPr>
          <w:rFonts w:ascii="Verdana" w:eastAsia="Century Gothic" w:hAnsi="Verdana" w:cs="Century Gothic"/>
          <w:b/>
          <w:bCs/>
          <w:lang w:val="es-ES"/>
        </w:rPr>
      </w:pPr>
    </w:p>
    <w:p w14:paraId="576FEE70" w14:textId="77777777" w:rsidR="00B2793E" w:rsidRPr="00593A5F" w:rsidRDefault="00B2793E" w:rsidP="00B279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C1B14A0" w14:textId="77777777" w:rsidR="00B2793E" w:rsidRPr="00593A5F" w:rsidRDefault="00B2793E" w:rsidP="00B2793E">
      <w:pPr>
        <w:spacing w:after="0" w:line="276" w:lineRule="auto"/>
        <w:jc w:val="both"/>
        <w:rPr>
          <w:rFonts w:ascii="Verdana" w:eastAsia="Calibri" w:hAnsi="Verdana" w:cs="Arial"/>
          <w:color w:val="7030A0"/>
          <w:lang w:val="es-ES"/>
        </w:rPr>
      </w:pPr>
    </w:p>
    <w:p w14:paraId="35F34B71" w14:textId="77777777" w:rsidR="00B2793E" w:rsidRDefault="00B2793E" w:rsidP="00B2793E">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51A1F7B4" w14:textId="77777777" w:rsidR="00B2793E" w:rsidRDefault="00B2793E" w:rsidP="00B2793E">
      <w:pPr>
        <w:spacing w:after="0" w:line="276" w:lineRule="auto"/>
        <w:jc w:val="both"/>
        <w:rPr>
          <w:rFonts w:ascii="Verdana" w:eastAsia="Calibri" w:hAnsi="Verdana" w:cs="Arial"/>
          <w:lang w:val="es-ES"/>
        </w:rPr>
      </w:pPr>
    </w:p>
    <w:p w14:paraId="4DA8A36F" w14:textId="77777777" w:rsidR="00B2793E" w:rsidRPr="003F20E6" w:rsidRDefault="00B2793E" w:rsidP="00B2793E">
      <w:pPr>
        <w:spacing w:after="120" w:line="276" w:lineRule="auto"/>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3F20E6">
        <w:rPr>
          <w:rFonts w:ascii="Verdana" w:eastAsia="Times New Roman" w:hAnsi="Verdana" w:cs="Arial"/>
          <w:i/>
          <w:iCs/>
          <w:lang w:val="es-ES" w:eastAsia="es-ES"/>
          <w14:ligatures w14:val="standardContextual"/>
        </w:rPr>
        <w:t>publicidad</w:t>
      </w:r>
      <w:r w:rsidRPr="003F20E6">
        <w:rPr>
          <w:rFonts w:ascii="Verdana" w:eastAsia="Times New Roman" w:hAnsi="Verdana" w:cs="Arial"/>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w:t>
      </w:r>
      <w:r w:rsidRPr="003F20E6">
        <w:rPr>
          <w:rFonts w:ascii="Verdana" w:eastAsia="Times New Roman" w:hAnsi="Verdana" w:cs="Arial"/>
          <w:lang w:val="es-ES" w:eastAsia="es-ES"/>
          <w14:ligatures w14:val="standardContextual"/>
        </w:rPr>
        <w:lastRenderedPageBreak/>
        <w:t>de la opinión pública”</w:t>
      </w:r>
      <w:r w:rsidRPr="003F20E6">
        <w:rPr>
          <w:rFonts w:ascii="Verdana" w:eastAsia="Times New Roman" w:hAnsi="Verdana" w:cs="Arial"/>
          <w:vertAlign w:val="superscript"/>
          <w:lang w:val="es-ES" w:eastAsia="es-ES"/>
          <w14:ligatures w14:val="standardContextual"/>
        </w:rPr>
        <w:footnoteReference w:id="1"/>
      </w:r>
      <w:r w:rsidRPr="003F20E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5992BA81" w14:textId="77777777" w:rsidR="00B2793E" w:rsidRPr="003F20E6" w:rsidRDefault="00B2793E" w:rsidP="00B2793E">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3F20E6">
        <w:rPr>
          <w:rFonts w:ascii="Verdana" w:hAnsi="Verdana" w:cs="Arial"/>
          <w:shd w:val="clear" w:color="auto" w:fill="FFFFFF"/>
          <w:vertAlign w:val="superscript"/>
        </w:rPr>
        <w:footnoteReference w:id="2"/>
      </w:r>
      <w:r w:rsidRPr="003F20E6">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r>
        <w:rPr>
          <w:rFonts w:ascii="Verdana" w:hAnsi="Verdana" w:cs="Arial"/>
          <w:shd w:val="clear" w:color="auto" w:fill="FFFFFF"/>
        </w:rPr>
        <w:t xml:space="preserve"> E</w:t>
      </w:r>
      <w:r w:rsidRPr="003F20E6">
        <w:rPr>
          <w:rFonts w:ascii="Verdana" w:hAnsi="Verdana" w:cs="Arial"/>
          <w:shd w:val="clear" w:color="auto" w:fill="FFFFFF"/>
        </w:rPr>
        <w:t xml:space="preserv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w:t>
      </w:r>
    </w:p>
    <w:p w14:paraId="6D09D741" w14:textId="77777777" w:rsidR="00B2793E" w:rsidRDefault="00B2793E" w:rsidP="00B2793E">
      <w:pPr>
        <w:spacing w:line="276" w:lineRule="auto"/>
        <w:ind w:firstLine="567"/>
        <w:jc w:val="both"/>
        <w:rPr>
          <w:rFonts w:ascii="Verdana" w:eastAsia="Calibri" w:hAnsi="Verdana" w:cs="Arial"/>
          <w:lang w:val="es-ES"/>
        </w:rPr>
      </w:pPr>
      <w:r w:rsidRPr="00D92626">
        <w:rPr>
          <w:rFonts w:ascii="Verdana" w:eastAsia="Calibri" w:hAnsi="Verdana" w:cs="Arial"/>
          <w:lang w:val="es-ES"/>
        </w:rPr>
        <w:t xml:space="preserve">En este sentido, </w:t>
      </w:r>
      <w:r>
        <w:rPr>
          <w:rFonts w:ascii="Verdana" w:eastAsia="Calibri" w:hAnsi="Verdana" w:cs="Arial"/>
          <w:lang w:val="es-ES"/>
        </w:rPr>
        <w:t xml:space="preserve">y </w:t>
      </w:r>
      <w:proofErr w:type="gramStart"/>
      <w:r>
        <w:rPr>
          <w:rFonts w:ascii="Verdana" w:eastAsia="Calibri" w:hAnsi="Verdana" w:cs="Arial"/>
          <w:lang w:val="es-ES"/>
        </w:rPr>
        <w:t>de acuerdo a</w:t>
      </w:r>
      <w:proofErr w:type="gramEnd"/>
      <w:r>
        <w:rPr>
          <w:rFonts w:ascii="Verdana" w:eastAsia="Calibri" w:hAnsi="Verdana" w:cs="Arial"/>
          <w:lang w:val="es-ES"/>
        </w:rPr>
        <w:t xml:space="preserve"> lo señalado en las Circulares</w:t>
      </w:r>
      <w:r w:rsidRPr="005D66B6">
        <w:rPr>
          <w:rFonts w:ascii="Verdana" w:eastAsia="Calibri" w:hAnsi="Verdana" w:cs="Arial"/>
          <w:lang w:val="es-ES"/>
        </w:rPr>
        <w:t xml:space="preserve"> Externa</w:t>
      </w:r>
      <w:r>
        <w:rPr>
          <w:rFonts w:ascii="Verdana" w:eastAsia="Calibri" w:hAnsi="Verdana" w:cs="Arial"/>
          <w:lang w:val="es-ES"/>
        </w:rPr>
        <w:t>s No. 005 de 2023</w:t>
      </w:r>
      <w:r>
        <w:rPr>
          <w:rStyle w:val="Refdenotaalpie"/>
          <w:rFonts w:ascii="Verdana" w:eastAsia="Calibri" w:hAnsi="Verdana" w:cs="Arial"/>
          <w:lang w:val="es-ES"/>
        </w:rPr>
        <w:footnoteReference w:id="3"/>
      </w:r>
      <w:r>
        <w:rPr>
          <w:rFonts w:ascii="Verdana" w:eastAsia="Calibri" w:hAnsi="Verdana" w:cs="Arial"/>
          <w:lang w:val="es-ES"/>
        </w:rPr>
        <w:t xml:space="preserve"> y </w:t>
      </w:r>
      <w:r w:rsidRPr="005D66B6">
        <w:rPr>
          <w:rFonts w:ascii="Verdana" w:eastAsia="Calibri" w:hAnsi="Verdana" w:cs="Arial"/>
          <w:lang w:val="es-ES"/>
        </w:rPr>
        <w:t>003</w:t>
      </w:r>
      <w:r>
        <w:rPr>
          <w:rFonts w:ascii="Verdana" w:eastAsia="Calibri" w:hAnsi="Verdana" w:cs="Arial"/>
          <w:lang w:val="es-ES"/>
        </w:rPr>
        <w:t xml:space="preserve"> de 2024</w:t>
      </w:r>
      <w:r>
        <w:rPr>
          <w:rStyle w:val="Refdenotaalpie"/>
          <w:rFonts w:ascii="Verdana" w:eastAsia="Calibri" w:hAnsi="Verdana" w:cs="Arial"/>
          <w:lang w:val="es-ES"/>
        </w:rPr>
        <w:footnoteReference w:id="4"/>
      </w:r>
      <w:r>
        <w:rPr>
          <w:rFonts w:ascii="Verdana" w:eastAsia="Calibri" w:hAnsi="Verdana" w:cs="Arial"/>
          <w:lang w:val="es-ES"/>
        </w:rPr>
        <w:t xml:space="preserve"> expedidas por esta Agencia, persisten entidades que no han realizado la transición hacia los sistemas transaccionales y que no encuentran obligadas a implementar el </w:t>
      </w:r>
      <w:proofErr w:type="spellStart"/>
      <w:r>
        <w:rPr>
          <w:rFonts w:ascii="Verdana" w:eastAsia="Calibri" w:hAnsi="Verdana" w:cs="Arial"/>
          <w:lang w:val="es-ES"/>
        </w:rPr>
        <w:t>Secop</w:t>
      </w:r>
      <w:proofErr w:type="spellEnd"/>
      <w:r>
        <w:rPr>
          <w:rFonts w:ascii="Verdana" w:eastAsia="Calibri" w:hAnsi="Verdana" w:cs="Arial"/>
          <w:lang w:val="es-ES"/>
        </w:rPr>
        <w:t xml:space="preserve"> </w:t>
      </w:r>
      <w:proofErr w:type="spellStart"/>
      <w:r>
        <w:rPr>
          <w:rFonts w:ascii="Verdana" w:eastAsia="Calibri" w:hAnsi="Verdana" w:cs="Arial"/>
          <w:lang w:val="es-ES"/>
        </w:rPr>
        <w:t>ii</w:t>
      </w:r>
      <w:proofErr w:type="spellEnd"/>
      <w:r>
        <w:rPr>
          <w:rFonts w:ascii="Verdana" w:eastAsia="Calibri" w:hAnsi="Verdana" w:cs="Arial"/>
          <w:lang w:val="es-ES"/>
        </w:rPr>
        <w:t xml:space="preserve"> hasta el momento. </w:t>
      </w:r>
      <w:r w:rsidRPr="00246C68">
        <w:rPr>
          <w:rFonts w:ascii="Verdana" w:eastAsia="Calibri" w:hAnsi="Verdana" w:cs="Arial"/>
          <w:lang w:val="es-ES"/>
        </w:rPr>
        <w:t xml:space="preserve">En la consulta </w:t>
      </w:r>
      <w:r w:rsidRPr="00246C68">
        <w:rPr>
          <w:rFonts w:ascii="Verdana" w:eastAsia="Calibri" w:hAnsi="Verdana" w:cs="Arial"/>
          <w:lang w:val="es-ES"/>
        </w:rPr>
        <w:lastRenderedPageBreak/>
        <w:t>objeto de análisis se hace referencia a la entrega física de la propuesta, lo cual permite inferir que el procedimiento contractual se desarrolla a través de SECOP I, en el cual el trámite es predominantemente físico, aunque con obligación de publicidad electrónica.</w:t>
      </w:r>
    </w:p>
    <w:p w14:paraId="2D93C423" w14:textId="77777777" w:rsidR="00B2793E" w:rsidRPr="00A277EA" w:rsidRDefault="00B2793E" w:rsidP="00B2793E">
      <w:pPr>
        <w:spacing w:after="120" w:line="276" w:lineRule="auto"/>
        <w:ind w:firstLine="709"/>
        <w:jc w:val="both"/>
        <w:rPr>
          <w:rFonts w:ascii="Verdana" w:eastAsia="Calibri" w:hAnsi="Verdana" w:cs="Arial"/>
          <w:lang w:val="es-ES"/>
        </w:rPr>
      </w:pPr>
      <w:r w:rsidRPr="003F20E6">
        <w:rPr>
          <w:rFonts w:ascii="Verdana" w:eastAsia="Times New Roman" w:hAnsi="Verdana" w:cs="Arial"/>
          <w:lang w:val="es-ES_tradnl" w:eastAsia="es-ES_tradnl"/>
          <w14:ligatures w14:val="standardContextual"/>
        </w:rPr>
        <w:t xml:space="preserve">De otra parte, </w:t>
      </w:r>
      <w:r>
        <w:rPr>
          <w:rFonts w:ascii="Verdana" w:eastAsia="Times New Roman" w:hAnsi="Verdana" w:cs="Arial"/>
          <w:lang w:val="es-ES_tradnl" w:eastAsia="es-ES_tradnl"/>
          <w14:ligatures w14:val="standardContextual"/>
        </w:rPr>
        <w:t xml:space="preserve">el </w:t>
      </w:r>
      <w:r w:rsidRPr="00A277EA">
        <w:rPr>
          <w:rFonts w:ascii="Verdana" w:eastAsia="Calibri" w:hAnsi="Verdana" w:cs="Arial"/>
          <w:color w:val="000000"/>
          <w:lang w:val="es-ES" w:eastAsia="es-ES_tradnl"/>
        </w:rPr>
        <w:t>pliego de condiciones es la hoja de ruta o plan</w:t>
      </w:r>
      <w:r w:rsidRPr="00A277EA">
        <w:rPr>
          <w:rFonts w:ascii="Verdana" w:eastAsia="Calibri" w:hAnsi="Verdana" w:cs="Arial"/>
          <w:color w:val="000000"/>
          <w:vertAlign w:val="superscript"/>
          <w:lang w:val="es-ES" w:eastAsia="es-ES_tradnl"/>
        </w:rPr>
        <w:footnoteReference w:id="5"/>
      </w:r>
      <w:r w:rsidRPr="00A277EA">
        <w:rPr>
          <w:rFonts w:ascii="Verdana" w:eastAsia="Calibri" w:hAnsi="Verdana" w:cs="Arial"/>
          <w:color w:val="000000"/>
          <w:lang w:val="es-ES" w:eastAsia="es-ES_tradnl"/>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A277EA">
        <w:rPr>
          <w:rFonts w:ascii="Verdana" w:eastAsia="Calibri" w:hAnsi="Verdana" w:cs="Arial"/>
          <w:color w:val="000000"/>
          <w:vertAlign w:val="superscript"/>
          <w:lang w:val="es-ES" w:eastAsia="es-ES_tradnl"/>
        </w:rPr>
        <w:footnoteReference w:id="6"/>
      </w:r>
      <w:r w:rsidRPr="00A277EA">
        <w:rPr>
          <w:rFonts w:ascii="Verdana" w:eastAsia="Calibri" w:hAnsi="Verdana" w:cs="Arial"/>
          <w:color w:val="000000"/>
          <w:lang w:val="es-ES" w:eastAsia="es-ES_tradnl"/>
        </w:rPr>
        <w:t>.</w:t>
      </w:r>
      <w:r w:rsidRPr="00A277EA">
        <w:rPr>
          <w:rFonts w:ascii="Verdana" w:eastAsia="Calibri" w:hAnsi="Verdana" w:cs="Arial"/>
          <w:color w:val="000000"/>
          <w:lang w:val="es-ES_tradnl" w:eastAsia="es-ES_tradnl"/>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Pr="00A277EA">
        <w:rPr>
          <w:rFonts w:ascii="Verdana" w:eastAsia="Calibri" w:hAnsi="Verdana" w:cs="Arial"/>
          <w:color w:val="000000"/>
          <w:lang w:eastAsia="es-ES_tradnl"/>
        </w:rPr>
        <w:t>.</w:t>
      </w:r>
    </w:p>
    <w:p w14:paraId="18D83F5F" w14:textId="77777777" w:rsidR="00B2793E" w:rsidRPr="00A277EA" w:rsidRDefault="00B2793E" w:rsidP="00B2793E">
      <w:pPr>
        <w:spacing w:after="120" w:line="276" w:lineRule="auto"/>
        <w:ind w:firstLine="709"/>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 xml:space="preserve">De este modo, el pliego de condiciones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A277EA">
        <w:rPr>
          <w:rFonts w:ascii="Verdana" w:eastAsia="Calibri" w:hAnsi="Verdana" w:cs="Arial"/>
          <w:i/>
          <w:iCs/>
          <w:color w:val="000000"/>
          <w:lang w:val="es-ES" w:eastAsia="es-ES_tradnl"/>
        </w:rPr>
        <w:t>iter</w:t>
      </w:r>
      <w:proofErr w:type="spellEnd"/>
      <w:r w:rsidRPr="00A277EA">
        <w:rPr>
          <w:rFonts w:ascii="Verdana" w:eastAsia="Calibri" w:hAnsi="Verdana" w:cs="Arial"/>
          <w:color w:val="000000"/>
          <w:lang w:val="es-ES" w:eastAsia="es-ES_tradnl"/>
        </w:rPr>
        <w:t xml:space="preserve"> contractual. Su contenido</w:t>
      </w:r>
      <w:r w:rsidRPr="00A277EA">
        <w:rPr>
          <w:rFonts w:ascii="Verdana" w:eastAsia="Calibri" w:hAnsi="Verdana" w:cs="Arial"/>
          <w:color w:val="000000"/>
          <w:vertAlign w:val="superscript"/>
          <w:lang w:val="es-ES" w:eastAsia="es-ES_tradnl"/>
        </w:rPr>
        <w:footnoteReference w:id="7"/>
      </w:r>
      <w:r w:rsidRPr="00A277EA">
        <w:rPr>
          <w:rFonts w:ascii="Verdana" w:eastAsia="Calibri" w:hAnsi="Verdana" w:cs="Arial"/>
          <w:color w:val="000000"/>
          <w:lang w:val="es-ES" w:eastAsia="es-ES_tradnl"/>
        </w:rPr>
        <w:t xml:space="preserve"> está previsto en el numeral 5 del artículo 24 de la Ley 80 de 1993, que establece algunas directrices que deben tenerse en cuenta en su elaboración:</w:t>
      </w:r>
    </w:p>
    <w:p w14:paraId="3B03CC05" w14:textId="77777777" w:rsidR="00B2793E" w:rsidRPr="00A277EA" w:rsidRDefault="00B2793E" w:rsidP="00B2793E">
      <w:pPr>
        <w:spacing w:after="0" w:line="276" w:lineRule="auto"/>
        <w:jc w:val="both"/>
        <w:rPr>
          <w:rFonts w:ascii="Verdana" w:eastAsia="Calibri" w:hAnsi="Verdana" w:cs="Arial"/>
          <w:color w:val="000000"/>
          <w:lang w:val="es-ES" w:eastAsia="es-ES_tradnl"/>
        </w:rPr>
      </w:pPr>
    </w:p>
    <w:p w14:paraId="1BB6B19D" w14:textId="77777777" w:rsidR="00B2793E" w:rsidRPr="00A277EA" w:rsidRDefault="00B2793E" w:rsidP="00B2793E">
      <w:pPr>
        <w:spacing w:after="0" w:line="276" w:lineRule="auto"/>
        <w:ind w:left="709" w:right="709"/>
        <w:jc w:val="both"/>
        <w:rPr>
          <w:rFonts w:ascii="Verdana" w:eastAsia="Calibri" w:hAnsi="Verdana" w:cs="Arial"/>
          <w:color w:val="000000"/>
          <w:sz w:val="20"/>
          <w:szCs w:val="20"/>
          <w:lang w:val="es-ES" w:eastAsia="es-ES_tradnl"/>
        </w:rPr>
      </w:pPr>
      <w:r w:rsidRPr="00A277EA">
        <w:rPr>
          <w:rFonts w:ascii="Verdana" w:eastAsia="Calibri" w:hAnsi="Verdana" w:cs="Arial"/>
          <w:color w:val="000000"/>
          <w:sz w:val="20"/>
          <w:szCs w:val="20"/>
          <w:lang w:val="es-ES" w:eastAsia="es-ES_tradnl"/>
        </w:rPr>
        <w:t>“[…] 5o. En los pliegos de condiciones:</w:t>
      </w:r>
    </w:p>
    <w:p w14:paraId="4AC886B0" w14:textId="77777777" w:rsidR="00B2793E" w:rsidRPr="00A277EA" w:rsidRDefault="00B2793E" w:rsidP="00B2793E">
      <w:pPr>
        <w:spacing w:after="0" w:line="276" w:lineRule="auto"/>
        <w:ind w:left="709" w:right="709"/>
        <w:jc w:val="both"/>
        <w:rPr>
          <w:rFonts w:ascii="Verdana" w:eastAsia="Calibri" w:hAnsi="Verdana" w:cs="Arial"/>
          <w:color w:val="000000"/>
          <w:sz w:val="20"/>
          <w:szCs w:val="20"/>
          <w:lang w:val="es-ES" w:eastAsia="es-ES_tradnl"/>
        </w:rPr>
      </w:pPr>
    </w:p>
    <w:p w14:paraId="09E3DFB0"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lastRenderedPageBreak/>
        <w:t>Se indicarán los requisitos objetivos necesarios para participar en el correspondiente proceso de selección.</w:t>
      </w:r>
    </w:p>
    <w:p w14:paraId="06091CF0"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reglas objetivas, justas, claras y completas que permitan la confección de ofrecimientos de la misma índole, aseguren una escogencia objetiva y eviten las declaratorias de desierta de la licitación.</w:t>
      </w:r>
    </w:p>
    <w:p w14:paraId="26A7C6EE"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con precisión las condiciones de costo y calidad de los bienes, obras o servicios necesarios para la ejecución del objeto del contrato.</w:t>
      </w:r>
    </w:p>
    <w:p w14:paraId="0D876497"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No se incluirán condiciones y exigencias de imposible cumplimiento, ni exenciones de la responsabilidad derivada de los datos, informes y documentos que se suministren.</w:t>
      </w:r>
    </w:p>
    <w:p w14:paraId="1E2ABD50"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definirán reglas que no induzcan a error a los proponentes y contratistas y que impidan la Formulación de ofrecimientos de extensión ilimitada o que dependan de la voluntad exclusiva de la entidad.</w:t>
      </w:r>
    </w:p>
    <w:p w14:paraId="68AD7256"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 definirá el plazo para la liquidación del contrato, cuando a ello hubiere lugar, teniendo en cuenta su objeto, naturaleza y cuantía.</w:t>
      </w:r>
    </w:p>
    <w:p w14:paraId="610849FF" w14:textId="77777777" w:rsidR="00B2793E" w:rsidRPr="00A277EA" w:rsidRDefault="00B2793E" w:rsidP="00B2793E">
      <w:pPr>
        <w:numPr>
          <w:ilvl w:val="2"/>
          <w:numId w:val="21"/>
        </w:numPr>
        <w:spacing w:after="0" w:line="240" w:lineRule="auto"/>
        <w:ind w:left="1034" w:right="709"/>
        <w:jc w:val="both"/>
        <w:rPr>
          <w:rFonts w:ascii="Verdana" w:eastAsia="Calibri" w:hAnsi="Verdana" w:cs="Arial"/>
          <w:color w:val="000000"/>
          <w:sz w:val="20"/>
          <w:szCs w:val="20"/>
          <w:lang w:val="es-MX" w:eastAsia="es-ES_tradnl"/>
        </w:rPr>
      </w:pPr>
      <w:r w:rsidRPr="00A277EA">
        <w:rPr>
          <w:rFonts w:ascii="Verdana" w:eastAsia="Calibri" w:hAnsi="Verdana" w:cs="Arial"/>
          <w:color w:val="000000"/>
          <w:sz w:val="20"/>
          <w:szCs w:val="20"/>
          <w:lang w:val="es-MX" w:eastAsia="es-ES_tradnl"/>
        </w:rPr>
        <w:t>Serán ineficaces de pleno derecho las estipulaciones de los pliegos y de los contratos que contravengan lo dispuesto en este numeral, o dispongan renuncias a reclamaciones por la ocurrencia de los hechos aquí enunciados”.</w:t>
      </w:r>
    </w:p>
    <w:p w14:paraId="160BA60A" w14:textId="77777777" w:rsidR="00B2793E" w:rsidRPr="00A277EA" w:rsidRDefault="00B2793E" w:rsidP="00B2793E">
      <w:pPr>
        <w:spacing w:after="0" w:line="276" w:lineRule="auto"/>
        <w:ind w:firstLine="709"/>
        <w:jc w:val="both"/>
        <w:rPr>
          <w:rFonts w:ascii="Verdana" w:eastAsia="Calibri" w:hAnsi="Verdana" w:cs="Arial"/>
          <w:color w:val="000000"/>
          <w:lang w:val="es-MX" w:eastAsia="es-ES_tradnl"/>
        </w:rPr>
      </w:pPr>
    </w:p>
    <w:p w14:paraId="57ED7E69" w14:textId="77777777" w:rsidR="00B2793E" w:rsidRPr="00A277EA" w:rsidRDefault="00B2793E" w:rsidP="00B2793E">
      <w:pPr>
        <w:spacing w:after="12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A277EA">
        <w:rPr>
          <w:rFonts w:ascii="Verdana" w:eastAsia="Calibri" w:hAnsi="Verdana" w:cs="Arial"/>
          <w:color w:val="000000"/>
          <w:lang w:val="es-ES" w:eastAsia="es-ES_tradnl" w:bidi="es-ES"/>
        </w:rPr>
        <w:t>establecidos por el ordenamiento jurídico</w:t>
      </w:r>
      <w:r w:rsidRPr="00A277EA">
        <w:rPr>
          <w:rFonts w:ascii="Verdana" w:eastAsia="Calibri" w:hAnsi="Verdana" w:cs="Arial"/>
          <w:color w:val="000000"/>
          <w:vertAlign w:val="superscript"/>
          <w:lang w:val="es-ES" w:eastAsia="es-ES_tradnl" w:bidi="es-ES"/>
        </w:rPr>
        <w:footnoteReference w:id="8"/>
      </w:r>
      <w:r w:rsidRPr="00A277EA">
        <w:rPr>
          <w:rFonts w:ascii="Verdana" w:eastAsia="Calibri" w:hAnsi="Verdana" w:cs="Arial"/>
          <w:color w:val="000000"/>
          <w:lang w:val="es-ES" w:eastAsia="es-ES_tradnl"/>
        </w:rPr>
        <w:t>, con fundamento en los estudios realizados en la fase de planeación</w:t>
      </w:r>
      <w:r w:rsidRPr="00A277EA">
        <w:rPr>
          <w:rFonts w:ascii="Verdana" w:eastAsia="Calibri" w:hAnsi="Verdana" w:cs="Arial"/>
          <w:color w:val="000000"/>
          <w:vertAlign w:val="superscript"/>
          <w:lang w:val="es-ES" w:eastAsia="es-ES_tradnl"/>
        </w:rPr>
        <w:footnoteReference w:id="9"/>
      </w:r>
      <w:r w:rsidRPr="00A277EA">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4D176580" w14:textId="77777777" w:rsidR="00B2793E" w:rsidRPr="00FA01B3" w:rsidRDefault="00B2793E" w:rsidP="00B2793E">
      <w:pPr>
        <w:snapToGrid w:val="0"/>
        <w:spacing w:after="120" w:line="276" w:lineRule="auto"/>
        <w:ind w:firstLine="709"/>
        <w:jc w:val="both"/>
        <w:rPr>
          <w:rFonts w:ascii="Verdana" w:eastAsia="Calibri" w:hAnsi="Verdana" w:cs="Arial"/>
          <w:bCs/>
          <w:color w:val="000000"/>
        </w:rPr>
      </w:pPr>
      <w:r w:rsidRPr="00FA01B3">
        <w:rPr>
          <w:rFonts w:ascii="Verdana" w:eastAsia="Calibri" w:hAnsi="Verdana" w:cs="Arial"/>
          <w:bCs/>
          <w:color w:val="000000"/>
        </w:rPr>
        <w:t xml:space="preserve">También, el Consejo de Estado ha determinado que el pliego de condiciones es ley para las partes, y en él se debe establecer la regulación del procedimiento de contratación, conforme a la ley, garantizando la selección </w:t>
      </w:r>
      <w:r w:rsidRPr="00FA01B3">
        <w:rPr>
          <w:rFonts w:ascii="Verdana" w:eastAsia="Calibri" w:hAnsi="Verdana" w:cs="Arial"/>
          <w:bCs/>
          <w:color w:val="000000"/>
        </w:rPr>
        <w:lastRenderedPageBreak/>
        <w:t>objetiva del contratista</w:t>
      </w:r>
      <w:r w:rsidRPr="00895699">
        <w:rPr>
          <w:rFonts w:ascii="Verdana" w:eastAsia="Calibri" w:hAnsi="Verdana" w:cs="Arial"/>
          <w:bCs/>
          <w:color w:val="000000"/>
          <w:vertAlign w:val="superscript"/>
        </w:rPr>
        <w:footnoteReference w:id="10"/>
      </w:r>
      <w:r w:rsidRPr="00FA01B3">
        <w:rPr>
          <w:rFonts w:ascii="Verdana" w:eastAsia="Calibri" w:hAnsi="Verdana" w:cs="Arial"/>
          <w:bCs/>
          <w:color w:val="000000"/>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FA01B3">
        <w:rPr>
          <w:rFonts w:ascii="Verdana" w:eastAsia="Calibri" w:hAnsi="Verdana" w:cs="Arial"/>
          <w:bCs/>
          <w:color w:val="000000"/>
        </w:rPr>
        <w:t>ii</w:t>
      </w:r>
      <w:proofErr w:type="spellEnd"/>
      <w:r w:rsidRPr="00FA01B3">
        <w:rPr>
          <w:rFonts w:ascii="Verdana" w:eastAsia="Calibri" w:hAnsi="Verdana" w:cs="Arial"/>
          <w:bCs/>
          <w:color w:val="000000"/>
        </w:rPr>
        <w:t xml:space="preserve">) modalidad y criterios de selección, </w:t>
      </w:r>
      <w:proofErr w:type="spellStart"/>
      <w:r w:rsidRPr="00FA01B3">
        <w:rPr>
          <w:rFonts w:ascii="Verdana" w:eastAsia="Calibri" w:hAnsi="Verdana" w:cs="Arial"/>
          <w:bCs/>
          <w:color w:val="000000"/>
        </w:rPr>
        <w:t>iii</w:t>
      </w:r>
      <w:proofErr w:type="spellEnd"/>
      <w:r w:rsidRPr="00FA01B3">
        <w:rPr>
          <w:rFonts w:ascii="Verdana" w:eastAsia="Calibri" w:hAnsi="Verdana" w:cs="Arial"/>
          <w:bCs/>
          <w:color w:val="000000"/>
        </w:rPr>
        <w:t xml:space="preserve">) valoración económica del bien, obra o servicio, </w:t>
      </w:r>
      <w:proofErr w:type="spellStart"/>
      <w:r w:rsidRPr="00FA01B3">
        <w:rPr>
          <w:rFonts w:ascii="Verdana" w:eastAsia="Calibri" w:hAnsi="Verdana" w:cs="Arial"/>
          <w:bCs/>
          <w:color w:val="000000"/>
        </w:rPr>
        <w:t>iv</w:t>
      </w:r>
      <w:proofErr w:type="spellEnd"/>
      <w:r w:rsidRPr="00FA01B3">
        <w:rPr>
          <w:rFonts w:ascii="Verdana" w:eastAsia="Calibri" w:hAnsi="Verdana" w:cs="Arial"/>
          <w:bCs/>
          <w:color w:val="000000"/>
        </w:rPr>
        <w:t xml:space="preserve">) </w:t>
      </w:r>
      <w:r w:rsidRPr="00895699">
        <w:rPr>
          <w:rFonts w:ascii="Verdana" w:eastAsia="Calibri" w:hAnsi="Verdana" w:cs="Arial"/>
          <w:bCs/>
          <w:i/>
          <w:iCs/>
          <w:color w:val="000000"/>
        </w:rPr>
        <w:t>reglas de la presentación y manejo de las ofertas</w:t>
      </w:r>
      <w:r w:rsidRPr="00FA01B3">
        <w:rPr>
          <w:rFonts w:ascii="Verdana" w:eastAsia="Calibri" w:hAnsi="Verdana" w:cs="Arial"/>
          <w:bCs/>
          <w:color w:val="000000"/>
        </w:rPr>
        <w:t>, v) riesgos y garantías, entre otros aspectos del contrato</w:t>
      </w:r>
      <w:r w:rsidRPr="00895699">
        <w:rPr>
          <w:rFonts w:ascii="Verdana" w:eastAsia="Calibri" w:hAnsi="Verdana" w:cs="Arial"/>
          <w:bCs/>
          <w:color w:val="000000"/>
          <w:vertAlign w:val="superscript"/>
        </w:rPr>
        <w:footnoteReference w:id="11"/>
      </w:r>
      <w:r w:rsidRPr="00FA01B3">
        <w:rPr>
          <w:rFonts w:ascii="Verdana" w:eastAsia="Calibri" w:hAnsi="Verdana" w:cs="Arial"/>
          <w:bCs/>
          <w:color w:val="000000"/>
        </w:rPr>
        <w:t>.</w:t>
      </w:r>
    </w:p>
    <w:p w14:paraId="159DB3CC" w14:textId="77777777" w:rsidR="00B2793E" w:rsidRPr="0068592F" w:rsidRDefault="00B2793E" w:rsidP="00B2793E">
      <w:pPr>
        <w:snapToGrid w:val="0"/>
        <w:spacing w:after="120" w:line="276" w:lineRule="auto"/>
        <w:ind w:firstLine="709"/>
        <w:jc w:val="both"/>
        <w:rPr>
          <w:rFonts w:ascii="Verdana" w:eastAsia="Calibri" w:hAnsi="Verdana" w:cs="Arial"/>
          <w:lang w:val="es-ES_tradnl"/>
        </w:rPr>
      </w:pPr>
      <w:r w:rsidRPr="0068592F">
        <w:rPr>
          <w:rFonts w:ascii="Verdana" w:eastAsia="Calibri" w:hAnsi="Verdana" w:cs="Arial"/>
          <w:bCs/>
          <w:color w:val="000000"/>
        </w:rPr>
        <w:t xml:space="preserve">Para referirnos a las </w:t>
      </w:r>
      <w:r w:rsidRPr="0068592F">
        <w:rPr>
          <w:rFonts w:ascii="Verdana" w:eastAsia="Calibri" w:hAnsi="Verdana" w:cs="Arial"/>
          <w:bCs/>
          <w:i/>
          <w:iCs/>
          <w:color w:val="000000"/>
        </w:rPr>
        <w:t xml:space="preserve">reglas de la presentación y manejo de las ofertas, </w:t>
      </w:r>
      <w:r w:rsidRPr="0068592F">
        <w:rPr>
          <w:rFonts w:ascii="Verdana" w:eastAsia="Calibri" w:hAnsi="Verdana" w:cs="Arial"/>
          <w:bCs/>
          <w:color w:val="000000"/>
        </w:rPr>
        <w:t xml:space="preserve">se debe diferenciar la formalidad de presentación de la propuesta del acto material de entrega. Así las cosas, cuando </w:t>
      </w:r>
      <w:r>
        <w:rPr>
          <w:rFonts w:ascii="Verdana" w:eastAsia="Calibri" w:hAnsi="Verdana" w:cs="Arial"/>
          <w:bCs/>
          <w:color w:val="000000"/>
        </w:rPr>
        <w:t xml:space="preserve">los </w:t>
      </w:r>
      <w:r w:rsidRPr="0068592F">
        <w:rPr>
          <w:rFonts w:ascii="Verdana" w:eastAsia="Calibri" w:hAnsi="Verdana" w:cs="Arial"/>
          <w:bCs/>
          <w:color w:val="000000"/>
        </w:rPr>
        <w:t xml:space="preserve">pliegos de condiciones señalen que el proponente podrá presentar su oferta a través de apoderado, hace referencia a la posibilidad de que, en virtud de un mandato, el apoderado presente la oferta en nombre del proponente. </w:t>
      </w:r>
      <w:r>
        <w:rPr>
          <w:rFonts w:ascii="Verdana" w:eastAsia="Calibri" w:hAnsi="Verdana" w:cs="Arial"/>
          <w:bCs/>
          <w:color w:val="000000"/>
        </w:rPr>
        <w:t xml:space="preserve">Así mismo dicho apoderado podrá </w:t>
      </w:r>
      <w:r w:rsidRPr="0055645F">
        <w:rPr>
          <w:rFonts w:ascii="Verdana" w:eastAsia="Calibri" w:hAnsi="Verdana" w:cs="Arial"/>
          <w:bCs/>
          <w:color w:val="000000"/>
        </w:rPr>
        <w:t>celebrar contratos con las Entidades Estatales.</w:t>
      </w:r>
    </w:p>
    <w:p w14:paraId="5E0759D9" w14:textId="77777777" w:rsidR="00B2793E" w:rsidRPr="0068592F" w:rsidRDefault="00B2793E" w:rsidP="00B2793E">
      <w:pPr>
        <w:snapToGrid w:val="0"/>
        <w:spacing w:after="120" w:line="276" w:lineRule="auto"/>
        <w:ind w:firstLine="709"/>
        <w:jc w:val="both"/>
        <w:rPr>
          <w:rFonts w:ascii="Verdana" w:eastAsia="Calibri" w:hAnsi="Verdana" w:cs="Arial"/>
          <w:bCs/>
          <w:color w:val="000000"/>
        </w:rPr>
      </w:pPr>
      <w:r w:rsidRPr="0068592F">
        <w:rPr>
          <w:rFonts w:ascii="Verdana" w:eastAsia="Calibri" w:hAnsi="Verdana" w:cs="Arial"/>
          <w:bCs/>
          <w:color w:val="000000"/>
        </w:rPr>
        <w:t>Por su parte, la</w:t>
      </w:r>
      <w:r w:rsidRPr="0068592F">
        <w:rPr>
          <w:rFonts w:ascii="Verdana" w:eastAsia="Calibri" w:hAnsi="Verdana" w:cs="Arial"/>
          <w:bCs/>
          <w:i/>
          <w:iCs/>
          <w:color w:val="000000"/>
        </w:rPr>
        <w:t xml:space="preserve"> </w:t>
      </w:r>
      <w:r w:rsidRPr="0068592F">
        <w:rPr>
          <w:rFonts w:ascii="Verdana" w:eastAsia="Calibri" w:hAnsi="Verdana" w:cs="Arial"/>
          <w:bCs/>
          <w:color w:val="000000"/>
        </w:rPr>
        <w:t xml:space="preserve">Circular Única Externa expedida por la Agencia Nacional de Contratación Pública – Colombia Compra Eficiente señala en el numeral 8.2 </w:t>
      </w:r>
      <w:r w:rsidRPr="0068592F">
        <w:rPr>
          <w:rFonts w:ascii="Verdana" w:eastAsia="Calibri" w:hAnsi="Verdana" w:cs="Arial"/>
          <w:bCs/>
          <w:color w:val="000000"/>
        </w:rPr>
        <w:lastRenderedPageBreak/>
        <w:t>que “Los poderes especiales para actuar en los Procesos de Contratación deberán presentarse conforme lo establezca la normativa vigente, por lo que requieren nota de presentación personal, de conformidad con el artículo 5 del Decreto Ley 019 de 2012”.</w:t>
      </w:r>
    </w:p>
    <w:p w14:paraId="5B0EB146" w14:textId="77777777" w:rsidR="00B2793E" w:rsidRPr="0068592F" w:rsidRDefault="00B2793E" w:rsidP="00B2793E">
      <w:pPr>
        <w:snapToGrid w:val="0"/>
        <w:spacing w:after="120" w:line="276" w:lineRule="auto"/>
        <w:ind w:firstLine="709"/>
        <w:jc w:val="both"/>
        <w:rPr>
          <w:rFonts w:ascii="Verdana" w:eastAsia="Calibri" w:hAnsi="Verdana" w:cs="Arial"/>
          <w:bCs/>
          <w:color w:val="000000"/>
        </w:rPr>
      </w:pPr>
      <w:r w:rsidRPr="0068592F">
        <w:rPr>
          <w:rFonts w:ascii="Verdana" w:eastAsia="Calibri" w:hAnsi="Verdana" w:cs="Arial"/>
          <w:bCs/>
          <w:color w:val="000000"/>
        </w:rPr>
        <w:t>Frente a lo anterior, se precisa que la normativa no prevé disposiciones sobre el otorgamiento de poder para actuar en un proceso de contratación, siendo aplicables las normas generales sobre el mandato comercial y el mandato civil, las cuales no establecen calidades especiales para el mandatario</w:t>
      </w:r>
      <w:r w:rsidRPr="0068592F">
        <w:rPr>
          <w:rFonts w:ascii="Verdana" w:eastAsia="Calibri" w:hAnsi="Verdana" w:cs="Arial"/>
          <w:bCs/>
          <w:color w:val="000000"/>
          <w:vertAlign w:val="superscript"/>
        </w:rPr>
        <w:footnoteReference w:id="12"/>
      </w:r>
      <w:r w:rsidRPr="0068592F">
        <w:rPr>
          <w:rFonts w:ascii="Verdana" w:eastAsia="Calibri" w:hAnsi="Verdana" w:cs="Arial"/>
          <w:bCs/>
          <w:color w:val="000000"/>
        </w:rPr>
        <w:t>.</w:t>
      </w:r>
    </w:p>
    <w:p w14:paraId="5DB3A34B" w14:textId="77777777" w:rsidR="00B2793E" w:rsidRPr="003D17ED" w:rsidRDefault="00B2793E" w:rsidP="00B2793E">
      <w:pPr>
        <w:pStyle w:val="Textoindependiente"/>
        <w:spacing w:after="120" w:line="276" w:lineRule="auto"/>
        <w:ind w:right="107" w:firstLine="709"/>
        <w:jc w:val="both"/>
        <w:rPr>
          <w:sz w:val="19"/>
        </w:rPr>
      </w:pPr>
      <w:r w:rsidRPr="00895699">
        <w:rPr>
          <w:rFonts w:ascii="Verdana" w:hAnsi="Verdana"/>
        </w:rPr>
        <w:t xml:space="preserve">De igual manera, acorde con el artículo 77 de la Ley 80 de 1993, siempre </w:t>
      </w:r>
      <w:r w:rsidRPr="00895699">
        <w:rPr>
          <w:rFonts w:ascii="Verdana" w:hAnsi="Verdana"/>
          <w:spacing w:val="2"/>
        </w:rPr>
        <w:t xml:space="preserve">que </w:t>
      </w:r>
      <w:r w:rsidRPr="00895699">
        <w:rPr>
          <w:rFonts w:ascii="Verdana" w:hAnsi="Verdana"/>
        </w:rPr>
        <w:t>sean compatibles, es posible recurrir a la aplicación de las normas que regulan las actuaciones y procedimientos administrativos, y a falta de estas, a las normas del Código de Procedimiento Civil, hoy Código General del Proceso. Luego, comoquiera que no existen normas especiales que regulen el poder a efectos de la presentación de ofertas en un proceso de contratación a través de mandatario, se debe recurrir a las reglas establecidas en las normas mencionadas. Así, se debe tener en cuenta el contenido del artículo 74 del Código General del proceso, respecto de los poderes generales y especiales, el cual</w:t>
      </w:r>
      <w:r w:rsidRPr="00895699">
        <w:rPr>
          <w:rFonts w:ascii="Verdana" w:hAnsi="Verdana"/>
          <w:spacing w:val="-2"/>
        </w:rPr>
        <w:t xml:space="preserve"> </w:t>
      </w:r>
      <w:r w:rsidRPr="00895699">
        <w:rPr>
          <w:rFonts w:ascii="Verdana" w:hAnsi="Verdana"/>
        </w:rPr>
        <w:t>señala:</w:t>
      </w:r>
    </w:p>
    <w:p w14:paraId="4F8C5E6B" w14:textId="77777777" w:rsidR="00B2793E" w:rsidRPr="00895699" w:rsidRDefault="00B2793E" w:rsidP="00B2793E">
      <w:pPr>
        <w:pStyle w:val="Textoindependiente"/>
        <w:ind w:left="709" w:right="709"/>
        <w:jc w:val="both"/>
        <w:rPr>
          <w:rFonts w:ascii="Verdana" w:hAnsi="Verdana"/>
          <w:sz w:val="20"/>
          <w:szCs w:val="20"/>
        </w:rPr>
      </w:pPr>
      <w:r w:rsidRPr="00895699">
        <w:rPr>
          <w:rFonts w:ascii="Verdana" w:hAnsi="Verdana"/>
          <w:b/>
          <w:sz w:val="20"/>
          <w:szCs w:val="20"/>
        </w:rPr>
        <w:t>Artículo 74. Poderes</w:t>
      </w:r>
      <w:r w:rsidRPr="00895699">
        <w:rPr>
          <w:rFonts w:ascii="Verdana" w:hAnsi="Verdana"/>
          <w:sz w:val="20"/>
          <w:szCs w:val="20"/>
        </w:rPr>
        <w:t>. Los poderes generales para toda clase de procesos solo podrán conferirse por escritura pública. El poder especial para uno o varios procesos podrá conferirse por documento privado. En los poderes especiales los asuntos deberán estar determinados y claramente</w:t>
      </w:r>
      <w:r w:rsidRPr="00895699">
        <w:rPr>
          <w:rFonts w:ascii="Verdana" w:hAnsi="Verdana"/>
          <w:spacing w:val="-5"/>
          <w:sz w:val="20"/>
          <w:szCs w:val="20"/>
        </w:rPr>
        <w:t xml:space="preserve"> </w:t>
      </w:r>
      <w:r w:rsidRPr="00895699">
        <w:rPr>
          <w:rFonts w:ascii="Verdana" w:hAnsi="Verdana"/>
          <w:sz w:val="20"/>
          <w:szCs w:val="20"/>
        </w:rPr>
        <w:t>identificados.</w:t>
      </w:r>
    </w:p>
    <w:p w14:paraId="570F1778" w14:textId="77777777" w:rsidR="00B2793E" w:rsidRPr="00895699" w:rsidRDefault="00B2793E" w:rsidP="00B2793E">
      <w:pPr>
        <w:pStyle w:val="Textoindependiente"/>
        <w:spacing w:before="3"/>
        <w:ind w:left="709" w:right="709"/>
        <w:jc w:val="both"/>
        <w:rPr>
          <w:rFonts w:ascii="Verdana" w:hAnsi="Verdana"/>
          <w:sz w:val="20"/>
          <w:szCs w:val="20"/>
        </w:rPr>
      </w:pPr>
    </w:p>
    <w:p w14:paraId="7904464F" w14:textId="77777777" w:rsidR="00B2793E" w:rsidRPr="00895699" w:rsidRDefault="00B2793E" w:rsidP="00B2793E">
      <w:pPr>
        <w:pStyle w:val="Textoindependiente"/>
        <w:ind w:left="709" w:right="709"/>
        <w:jc w:val="both"/>
        <w:rPr>
          <w:rFonts w:ascii="Verdana" w:hAnsi="Verdana"/>
          <w:sz w:val="20"/>
          <w:szCs w:val="20"/>
        </w:rPr>
      </w:pPr>
      <w:r w:rsidRPr="00895699">
        <w:rPr>
          <w:rFonts w:ascii="Verdana" w:hAnsi="Verdana"/>
          <w:sz w:val="20"/>
          <w:szCs w:val="20"/>
        </w:rPr>
        <w:t>El poder especial puede conferirse verbalmente en audiencia o diligencia o por memorial dirigido al juez del conocimiento. El poder especial para efectos judiciales deberá ser presentado personalmente por el poderdante ante juez, oficina judicial de apoyo o notario. Las sustituciones de poder se presumen</w:t>
      </w:r>
      <w:r w:rsidRPr="00895699">
        <w:rPr>
          <w:rFonts w:ascii="Verdana" w:hAnsi="Verdana"/>
          <w:spacing w:val="-14"/>
          <w:sz w:val="20"/>
          <w:szCs w:val="20"/>
        </w:rPr>
        <w:t xml:space="preserve"> </w:t>
      </w:r>
      <w:r w:rsidRPr="00895699">
        <w:rPr>
          <w:rFonts w:ascii="Verdana" w:hAnsi="Verdana"/>
          <w:sz w:val="20"/>
          <w:szCs w:val="20"/>
        </w:rPr>
        <w:t>auténticas.</w:t>
      </w:r>
    </w:p>
    <w:p w14:paraId="340A3E3C" w14:textId="77777777" w:rsidR="00B2793E" w:rsidRPr="00895699" w:rsidRDefault="00B2793E" w:rsidP="00B2793E">
      <w:pPr>
        <w:pStyle w:val="Textoindependiente"/>
        <w:spacing w:before="1"/>
        <w:ind w:left="709" w:right="709"/>
        <w:jc w:val="both"/>
        <w:rPr>
          <w:rFonts w:ascii="Verdana" w:hAnsi="Verdana"/>
          <w:sz w:val="20"/>
          <w:szCs w:val="20"/>
        </w:rPr>
      </w:pPr>
    </w:p>
    <w:p w14:paraId="08024F41" w14:textId="77777777" w:rsidR="00B2793E" w:rsidRPr="00895699" w:rsidRDefault="00B2793E" w:rsidP="00B2793E">
      <w:pPr>
        <w:pStyle w:val="Textoindependiente"/>
        <w:ind w:left="709" w:right="709"/>
        <w:jc w:val="both"/>
        <w:rPr>
          <w:rFonts w:ascii="Verdana" w:hAnsi="Verdana"/>
          <w:sz w:val="20"/>
          <w:szCs w:val="20"/>
        </w:rPr>
      </w:pPr>
      <w:r w:rsidRPr="00895699">
        <w:rPr>
          <w:rFonts w:ascii="Verdana" w:hAnsi="Verdana"/>
          <w:sz w:val="20"/>
          <w:szCs w:val="20"/>
        </w:rPr>
        <w:t xml:space="preserve">Los poderes podrán extenderse en el exterior, ante cónsul colombiano o el funcionario que la ley local autorice para ello; en ese último caso, su </w:t>
      </w:r>
      <w:r w:rsidRPr="00895699">
        <w:rPr>
          <w:rFonts w:ascii="Verdana" w:hAnsi="Verdana"/>
          <w:sz w:val="20"/>
          <w:szCs w:val="20"/>
        </w:rPr>
        <w:lastRenderedPageBreak/>
        <w:t>autenticación se hará en la forma establecida en el artículo</w:t>
      </w:r>
      <w:r w:rsidRPr="00895699">
        <w:rPr>
          <w:rFonts w:ascii="Verdana" w:hAnsi="Verdana"/>
          <w:spacing w:val="-13"/>
          <w:sz w:val="20"/>
          <w:szCs w:val="20"/>
        </w:rPr>
        <w:t xml:space="preserve"> </w:t>
      </w:r>
      <w:r w:rsidRPr="00895699">
        <w:rPr>
          <w:rFonts w:ascii="Verdana" w:hAnsi="Verdana"/>
          <w:sz w:val="20"/>
          <w:szCs w:val="20"/>
        </w:rPr>
        <w:t>251.</w:t>
      </w:r>
    </w:p>
    <w:p w14:paraId="5BA720B7" w14:textId="77777777" w:rsidR="00B2793E" w:rsidRPr="00895699" w:rsidRDefault="00B2793E" w:rsidP="00B2793E">
      <w:pPr>
        <w:pStyle w:val="Textoindependiente"/>
        <w:ind w:left="709" w:right="709"/>
        <w:jc w:val="both"/>
        <w:rPr>
          <w:rFonts w:ascii="Verdana" w:hAnsi="Verdana"/>
          <w:sz w:val="20"/>
          <w:szCs w:val="20"/>
        </w:rPr>
      </w:pPr>
    </w:p>
    <w:p w14:paraId="359EFDD9" w14:textId="77777777" w:rsidR="00B2793E" w:rsidRPr="00895699" w:rsidRDefault="00B2793E" w:rsidP="00B2793E">
      <w:pPr>
        <w:pStyle w:val="Textoindependiente"/>
        <w:ind w:left="709" w:right="709"/>
        <w:jc w:val="both"/>
        <w:rPr>
          <w:rFonts w:ascii="Verdana" w:hAnsi="Verdana"/>
          <w:sz w:val="20"/>
          <w:szCs w:val="20"/>
        </w:rPr>
      </w:pPr>
      <w:r w:rsidRPr="00895699">
        <w:rPr>
          <w:rFonts w:ascii="Verdana" w:hAnsi="Verdana"/>
          <w:sz w:val="20"/>
          <w:szCs w:val="20"/>
        </w:rPr>
        <w:t>Cuando quien otorga el poder fuere una sociedad, si el cónsul que lo autentica o ante quien se otorga hace constar que tuvo a la vista las pruebas de la existencia de aquella y que quien lo confiere es su representante, se tendrán por establecidas estas circunstancias. De la misma manera se procederá cuando quien confiera el poder sea apoderado de una persona.</w:t>
      </w:r>
    </w:p>
    <w:p w14:paraId="2F7D40DB" w14:textId="77777777" w:rsidR="00B2793E" w:rsidRPr="00895699" w:rsidRDefault="00B2793E" w:rsidP="00B2793E">
      <w:pPr>
        <w:pStyle w:val="Textoindependiente"/>
        <w:ind w:left="709" w:right="709"/>
        <w:jc w:val="both"/>
        <w:rPr>
          <w:rFonts w:ascii="Verdana" w:hAnsi="Verdana"/>
          <w:sz w:val="20"/>
          <w:szCs w:val="20"/>
        </w:rPr>
      </w:pPr>
    </w:p>
    <w:p w14:paraId="732DCEEC" w14:textId="77777777" w:rsidR="00B2793E" w:rsidRPr="00895699" w:rsidRDefault="00B2793E" w:rsidP="00B2793E">
      <w:pPr>
        <w:pStyle w:val="Sinespaciado"/>
        <w:ind w:left="709" w:right="709"/>
        <w:rPr>
          <w:rFonts w:ascii="Verdana" w:eastAsia="Arial" w:hAnsi="Verdana" w:cs="Arial"/>
          <w:sz w:val="20"/>
          <w:szCs w:val="20"/>
          <w:lang w:val="es-ES"/>
        </w:rPr>
      </w:pPr>
      <w:r w:rsidRPr="00895699">
        <w:rPr>
          <w:rFonts w:ascii="Verdana" w:eastAsia="Arial" w:hAnsi="Verdana" w:cs="Arial"/>
          <w:sz w:val="20"/>
          <w:szCs w:val="20"/>
          <w:lang w:val="es-ES"/>
        </w:rPr>
        <w:t>Se podrá conferir poder especial por mensaje de datos con firma digital. Los poderes podrán ser aceptados expresamente o por su ejercicio.</w:t>
      </w:r>
    </w:p>
    <w:p w14:paraId="3F682ADF" w14:textId="77777777" w:rsidR="00B2793E" w:rsidRPr="00F0012A" w:rsidRDefault="00B2793E" w:rsidP="00B2793E">
      <w:pPr>
        <w:pStyle w:val="Sinespaciado"/>
        <w:ind w:left="993" w:right="709"/>
      </w:pPr>
    </w:p>
    <w:p w14:paraId="1A417FA9" w14:textId="77777777" w:rsidR="00B2793E" w:rsidRPr="00895699" w:rsidRDefault="00B2793E" w:rsidP="00B2793E">
      <w:pPr>
        <w:pStyle w:val="Textoindependiente"/>
        <w:ind w:right="108"/>
        <w:jc w:val="both"/>
        <w:rPr>
          <w:rFonts w:ascii="Verdana" w:hAnsi="Verdana"/>
        </w:rPr>
      </w:pPr>
      <w:r w:rsidRPr="00895699">
        <w:rPr>
          <w:rFonts w:ascii="Verdana" w:hAnsi="Verdana"/>
        </w:rPr>
        <w:t>La norma anterior debe ser armonizada con el contenido del artículo 5 del Decreto Ley 019 de 2012, que señala:</w:t>
      </w:r>
    </w:p>
    <w:p w14:paraId="5DCB3748" w14:textId="77777777" w:rsidR="00B2793E" w:rsidRPr="00895699" w:rsidRDefault="00B2793E" w:rsidP="00B2793E">
      <w:pPr>
        <w:pStyle w:val="Textoindependiente"/>
        <w:spacing w:before="9"/>
        <w:jc w:val="both"/>
        <w:rPr>
          <w:rFonts w:ascii="Verdana" w:hAnsi="Verdana"/>
          <w:sz w:val="20"/>
          <w:szCs w:val="20"/>
        </w:rPr>
      </w:pPr>
    </w:p>
    <w:p w14:paraId="5814AA88" w14:textId="77777777" w:rsidR="00B2793E" w:rsidRPr="00895699" w:rsidRDefault="00B2793E" w:rsidP="00B2793E">
      <w:pPr>
        <w:pStyle w:val="Textoindependiente"/>
        <w:ind w:left="709" w:right="814"/>
        <w:jc w:val="both"/>
        <w:rPr>
          <w:rFonts w:ascii="Verdana" w:hAnsi="Verdana"/>
          <w:sz w:val="20"/>
          <w:szCs w:val="20"/>
        </w:rPr>
      </w:pPr>
      <w:r w:rsidRPr="00895699">
        <w:rPr>
          <w:rFonts w:ascii="Verdana" w:hAnsi="Verdana"/>
          <w:b/>
          <w:sz w:val="20"/>
          <w:szCs w:val="20"/>
        </w:rPr>
        <w:t xml:space="preserve">Artículo 5. </w:t>
      </w:r>
      <w:r w:rsidRPr="00895699">
        <w:rPr>
          <w:rFonts w:ascii="Verdana" w:hAnsi="Verdana"/>
          <w:sz w:val="20"/>
          <w:szCs w:val="20"/>
        </w:rPr>
        <w:t xml:space="preserve">Economía en las actuaciones administrativas.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w:t>
      </w:r>
      <w:r w:rsidRPr="00895699">
        <w:rPr>
          <w:rFonts w:ascii="Verdana" w:hAnsi="Verdana"/>
          <w:b/>
          <w:sz w:val="20"/>
          <w:szCs w:val="20"/>
        </w:rPr>
        <w:t>ni autenticaciones ni notas de presentación personal sino cuando la ley lo ordene en forma expresa, o tratándose de poderes especiales</w:t>
      </w:r>
      <w:r w:rsidRPr="00895699">
        <w:rPr>
          <w:rFonts w:ascii="Verdana" w:hAnsi="Verdana"/>
          <w:sz w:val="20"/>
          <w:szCs w:val="20"/>
        </w:rPr>
        <w:t xml:space="preserve">. En tal virtud, las autoridades deberán proceder con austeridad y eficiencia, optimizar el uso del tiempo y de los demás recursos, procurando el más alto nivel de calidad </w:t>
      </w:r>
      <w:r w:rsidRPr="00895699">
        <w:rPr>
          <w:rFonts w:ascii="Verdana" w:hAnsi="Verdana"/>
          <w:spacing w:val="3"/>
          <w:sz w:val="20"/>
          <w:szCs w:val="20"/>
        </w:rPr>
        <w:t xml:space="preserve">en </w:t>
      </w:r>
      <w:r w:rsidRPr="00895699">
        <w:rPr>
          <w:rFonts w:ascii="Verdana" w:hAnsi="Verdana"/>
          <w:sz w:val="20"/>
          <w:szCs w:val="20"/>
        </w:rPr>
        <w:t>sus actuaciones y la protección de los derechos de las</w:t>
      </w:r>
      <w:r w:rsidRPr="00895699">
        <w:rPr>
          <w:rFonts w:ascii="Verdana" w:hAnsi="Verdana"/>
          <w:spacing w:val="-1"/>
          <w:sz w:val="20"/>
          <w:szCs w:val="20"/>
        </w:rPr>
        <w:t xml:space="preserve"> </w:t>
      </w:r>
      <w:r w:rsidRPr="00895699">
        <w:rPr>
          <w:rFonts w:ascii="Verdana" w:hAnsi="Verdana"/>
          <w:sz w:val="20"/>
          <w:szCs w:val="20"/>
        </w:rPr>
        <w:t>personas.</w:t>
      </w:r>
    </w:p>
    <w:p w14:paraId="2BDF1A65" w14:textId="77777777" w:rsidR="00B2793E" w:rsidRPr="00895699" w:rsidRDefault="00B2793E" w:rsidP="00B2793E">
      <w:pPr>
        <w:pStyle w:val="Textoindependiente"/>
        <w:ind w:right="115"/>
        <w:jc w:val="both"/>
        <w:rPr>
          <w:rFonts w:ascii="Verdana" w:hAnsi="Verdana"/>
        </w:rPr>
      </w:pPr>
    </w:p>
    <w:p w14:paraId="29045941" w14:textId="77777777" w:rsidR="00B2793E" w:rsidRPr="00895699" w:rsidRDefault="00B2793E" w:rsidP="00B2793E">
      <w:pPr>
        <w:pStyle w:val="Textoindependiente"/>
        <w:spacing w:after="120" w:line="276" w:lineRule="auto"/>
        <w:ind w:right="115" w:firstLine="709"/>
        <w:jc w:val="both"/>
        <w:rPr>
          <w:rFonts w:ascii="Verdana" w:hAnsi="Verdana"/>
        </w:rPr>
      </w:pPr>
      <w:r w:rsidRPr="00895699">
        <w:rPr>
          <w:rFonts w:ascii="Verdana" w:hAnsi="Verdana"/>
        </w:rPr>
        <w:t>Es posible concluir que cuando la propuesta se presente a través de apoderado, dicho poder deberá ser otorgado con las formalidades establecidas por las normas enunciadas, lo cual incluye, para el evento que se trate de poderes especiales, la nota de presentación personal.</w:t>
      </w:r>
    </w:p>
    <w:p w14:paraId="26E0CDCF" w14:textId="3D635351" w:rsidR="00B2793E" w:rsidRDefault="00B2793E" w:rsidP="00B2793E">
      <w:pPr>
        <w:snapToGrid w:val="0"/>
        <w:spacing w:after="120" w:line="276" w:lineRule="auto"/>
        <w:ind w:firstLine="709"/>
        <w:jc w:val="both"/>
        <w:rPr>
          <w:rFonts w:ascii="Verdana" w:eastAsia="Calibri" w:hAnsi="Verdana" w:cs="Arial"/>
          <w:lang w:val="es-ES_tradnl"/>
        </w:rPr>
      </w:pPr>
      <w:r>
        <w:rPr>
          <w:rFonts w:ascii="Verdana" w:hAnsi="Verdana"/>
        </w:rPr>
        <w:t xml:space="preserve">Ahora bien, como ya se dijo, debe distinguirse </w:t>
      </w:r>
      <w:r w:rsidR="00FA3FC5">
        <w:rPr>
          <w:rFonts w:ascii="Verdana" w:hAnsi="Verdana"/>
        </w:rPr>
        <w:t xml:space="preserve">entre </w:t>
      </w:r>
      <w:r>
        <w:rPr>
          <w:rFonts w:ascii="Verdana" w:hAnsi="Verdana"/>
        </w:rPr>
        <w:t>l</w:t>
      </w:r>
      <w:r w:rsidRPr="00C103D3">
        <w:rPr>
          <w:rFonts w:ascii="Verdana" w:hAnsi="Verdana"/>
        </w:rPr>
        <w:t xml:space="preserve">a “presentación de la propuesta” a la “entrega física”, la primera es un acto jurídico en el que una persona (apoderado) formula y suscribe una oferta a nombre de otra (poderdante), y la segunda, es una mera actividad de entrega de un documento en físico que no requiere de ningún acto de poder o mandato para su ejecución, </w:t>
      </w:r>
      <w:r w:rsidRPr="0068592F">
        <w:rPr>
          <w:rFonts w:ascii="Verdana" w:eastAsia="Calibri" w:hAnsi="Verdana" w:cs="Arial"/>
          <w:bCs/>
          <w:color w:val="000000"/>
        </w:rPr>
        <w:t>por consiguiente, si el pliego está haciendo referencia a un poder para la entrega física de la propuesta, esta disposición del pliego puede ser observada</w:t>
      </w:r>
      <w:r>
        <w:rPr>
          <w:rFonts w:ascii="Verdana" w:eastAsia="Calibri" w:hAnsi="Verdana" w:cs="Arial"/>
          <w:bCs/>
          <w:color w:val="000000"/>
        </w:rPr>
        <w:t xml:space="preserve">, </w:t>
      </w:r>
      <w:r>
        <w:rPr>
          <w:rFonts w:ascii="Verdana" w:eastAsia="Calibri" w:hAnsi="Verdana" w:cs="Arial"/>
          <w:lang w:val="es-ES_tradnl"/>
        </w:rPr>
        <w:t>para</w:t>
      </w:r>
      <w:r w:rsidRPr="0068592F">
        <w:rPr>
          <w:rFonts w:ascii="Verdana" w:eastAsia="Calibri" w:hAnsi="Verdana" w:cs="Arial"/>
          <w:lang w:val="es-ES_tradnl"/>
        </w:rPr>
        <w:t xml:space="preserve"> ello, el numeral 2 </w:t>
      </w:r>
      <w:r>
        <w:rPr>
          <w:rFonts w:ascii="Verdana" w:eastAsia="Calibri" w:hAnsi="Verdana" w:cs="Arial"/>
          <w:lang w:val="es-ES_tradnl"/>
        </w:rPr>
        <w:t xml:space="preserve">del artículo 24 de la Ley 80 de 1993 </w:t>
      </w:r>
      <w:r w:rsidRPr="0068592F">
        <w:rPr>
          <w:rFonts w:ascii="Verdana" w:eastAsia="Calibri" w:hAnsi="Verdana" w:cs="Arial"/>
          <w:lang w:val="es-ES_tradnl"/>
        </w:rPr>
        <w:t xml:space="preserve">dispone la facultad de los </w:t>
      </w:r>
      <w:r w:rsidRPr="0068592F">
        <w:rPr>
          <w:rFonts w:ascii="Verdana" w:eastAsia="Calibri" w:hAnsi="Verdana" w:cs="Arial"/>
          <w:lang w:val="es-ES_tradnl"/>
        </w:rPr>
        <w:lastRenderedPageBreak/>
        <w:t>interesados para realizar y/o presentar observaciones, como un mecanismo para controvertir algunas de las decisiones adoptadas por las Entidades Estatales.</w:t>
      </w:r>
    </w:p>
    <w:p w14:paraId="194444B6" w14:textId="7CFEDBEE" w:rsidR="00B2793E" w:rsidRPr="00895699" w:rsidRDefault="00B2793E" w:rsidP="00B2793E">
      <w:pPr>
        <w:snapToGrid w:val="0"/>
        <w:spacing w:after="120" w:line="276" w:lineRule="auto"/>
        <w:ind w:firstLine="709"/>
        <w:jc w:val="both"/>
        <w:rPr>
          <w:rFonts w:ascii="Verdana" w:hAnsi="Verdana"/>
        </w:rPr>
      </w:pPr>
      <w:r w:rsidRPr="00895699">
        <w:rPr>
          <w:rFonts w:ascii="Verdana" w:hAnsi="Verdana"/>
        </w:rPr>
        <w:t xml:space="preserve">En otros términos, la presentación de la propuesta, donde se manifiesta la voluntad de adquirir obligaciones, es diferente a la entrega de la propuesta, pues la primera si debe ser estar firmada y suscrita por el proponente o por su apoderado; mientras que la entrega </w:t>
      </w:r>
      <w:r w:rsidR="003560C5">
        <w:rPr>
          <w:rFonts w:ascii="Verdana" w:hAnsi="Verdana"/>
        </w:rPr>
        <w:t xml:space="preserve">física </w:t>
      </w:r>
      <w:r w:rsidRPr="00895699">
        <w:rPr>
          <w:rFonts w:ascii="Verdana" w:hAnsi="Verdana"/>
        </w:rPr>
        <w:t>es la simple actividad que no implica un acto de poder o mandato para su ejecución.</w:t>
      </w:r>
    </w:p>
    <w:p w14:paraId="6B0CAAAB" w14:textId="77777777" w:rsidR="00B2793E" w:rsidRPr="00895699" w:rsidRDefault="00B2793E" w:rsidP="00B2793E">
      <w:pPr>
        <w:snapToGrid w:val="0"/>
        <w:spacing w:after="120" w:line="276" w:lineRule="auto"/>
        <w:ind w:firstLine="709"/>
        <w:jc w:val="both"/>
        <w:rPr>
          <w:rFonts w:ascii="Verdana" w:hAnsi="Verdana"/>
        </w:rPr>
      </w:pPr>
      <w:r w:rsidRPr="00895699">
        <w:rPr>
          <w:rFonts w:ascii="Verdana" w:hAnsi="Verdana"/>
        </w:rPr>
        <w:t>En conclusión, en los procesos selección no se debe exigir que la entrega física de la propuesta se realice por intermedio de apoderado, pues</w:t>
      </w:r>
      <w:r>
        <w:rPr>
          <w:rFonts w:ascii="Verdana" w:hAnsi="Verdana"/>
        </w:rPr>
        <w:t xml:space="preserve"> </w:t>
      </w:r>
      <w:r w:rsidRPr="00895699">
        <w:rPr>
          <w:rFonts w:ascii="Verdana" w:hAnsi="Verdana"/>
        </w:rPr>
        <w:t>es una actividad física que no implica la manifestación de voluntad del proponente, como sí lo es la suscripción de la propuesta.</w:t>
      </w:r>
    </w:p>
    <w:p w14:paraId="5FFC56EF" w14:textId="77777777" w:rsidR="00B2793E" w:rsidRPr="00593A5F" w:rsidRDefault="00B2793E" w:rsidP="00B2793E">
      <w:pPr>
        <w:spacing w:after="120" w:line="276" w:lineRule="auto"/>
        <w:jc w:val="both"/>
        <w:rPr>
          <w:rFonts w:ascii="Verdana" w:eastAsia="Century Gothic" w:hAnsi="Verdana" w:cs="Century Gothic"/>
          <w:b/>
          <w:bCs/>
        </w:rPr>
      </w:pPr>
      <w:r>
        <w:rPr>
          <w:rFonts w:ascii="Verdana" w:eastAsia="Century Gothic" w:hAnsi="Verdana" w:cs="Century Gothic"/>
          <w:b/>
          <w:bCs/>
        </w:rPr>
        <w:t xml:space="preserve">4. </w:t>
      </w:r>
      <w:r w:rsidRPr="00593A5F">
        <w:rPr>
          <w:rFonts w:ascii="Verdana" w:eastAsia="Century Gothic" w:hAnsi="Verdana" w:cs="Century Gothic"/>
          <w:b/>
          <w:bCs/>
        </w:rPr>
        <w:t>Referencias normativas, jurisprudenciales y otras fuentes:</w:t>
      </w:r>
    </w:p>
    <w:p w14:paraId="6E9FEF8E" w14:textId="77777777" w:rsidR="00B2793E" w:rsidRPr="00593A5F" w:rsidRDefault="00B2793E" w:rsidP="00B2793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2793E" w:rsidRPr="00593A5F" w14:paraId="6017E137" w14:textId="77777777">
        <w:trPr>
          <w:trHeight w:val="870"/>
        </w:trPr>
        <w:tc>
          <w:tcPr>
            <w:tcW w:w="8647" w:type="dxa"/>
          </w:tcPr>
          <w:p w14:paraId="08B60789" w14:textId="77777777" w:rsidR="00B2793E" w:rsidRPr="000C1982" w:rsidRDefault="00B2793E" w:rsidP="00B2793E">
            <w:pPr>
              <w:pStyle w:val="Textoindependiente"/>
              <w:numPr>
                <w:ilvl w:val="0"/>
                <w:numId w:val="22"/>
              </w:numPr>
              <w:rPr>
                <w:rFonts w:ascii="Verdana" w:hAnsi="Verdana"/>
              </w:rPr>
            </w:pPr>
            <w:r w:rsidRPr="000C1982">
              <w:rPr>
                <w:rFonts w:ascii="Verdana" w:hAnsi="Verdana"/>
              </w:rPr>
              <w:t xml:space="preserve">Ley 80 de 1993. Artículo 24 y 77 </w:t>
            </w:r>
          </w:p>
          <w:p w14:paraId="4A4BCA71" w14:textId="77777777" w:rsidR="00B2793E" w:rsidRPr="000C1982" w:rsidRDefault="00B2793E" w:rsidP="00B2793E">
            <w:pPr>
              <w:pStyle w:val="Textoindependiente"/>
              <w:numPr>
                <w:ilvl w:val="0"/>
                <w:numId w:val="22"/>
              </w:numPr>
              <w:rPr>
                <w:rFonts w:ascii="Verdana" w:hAnsi="Verdana"/>
              </w:rPr>
            </w:pPr>
            <w:r w:rsidRPr="000C1982">
              <w:rPr>
                <w:rFonts w:ascii="Verdana" w:hAnsi="Verdana"/>
              </w:rPr>
              <w:t>Código General del Proceso. Artículo 74</w:t>
            </w:r>
          </w:p>
          <w:p w14:paraId="58A22951" w14:textId="77777777" w:rsidR="00B2793E" w:rsidRPr="000D446F" w:rsidRDefault="00B2793E" w:rsidP="00B2793E">
            <w:pPr>
              <w:pStyle w:val="Textoindependiente"/>
              <w:numPr>
                <w:ilvl w:val="0"/>
                <w:numId w:val="22"/>
              </w:numPr>
              <w:spacing w:before="9"/>
              <w:jc w:val="both"/>
              <w:rPr>
                <w:rFonts w:ascii="Verdana" w:hAnsi="Verdana"/>
              </w:rPr>
            </w:pPr>
            <w:r w:rsidRPr="00D64FCF">
              <w:rPr>
                <w:rFonts w:ascii="Verdana" w:hAnsi="Verdana"/>
              </w:rPr>
              <w:t xml:space="preserve">Decreto Ley 019 de 2012. </w:t>
            </w:r>
            <w:r w:rsidRPr="007C5F4F">
              <w:rPr>
                <w:rFonts w:ascii="Verdana" w:hAnsi="Verdana"/>
                <w:bCs/>
              </w:rPr>
              <w:t>Artículo</w:t>
            </w:r>
            <w:r w:rsidRPr="000C1982">
              <w:rPr>
                <w:rFonts w:ascii="Verdana" w:hAnsi="Verdana"/>
                <w:bCs/>
              </w:rPr>
              <w:t xml:space="preserve"> 5.</w:t>
            </w:r>
          </w:p>
        </w:tc>
      </w:tr>
    </w:tbl>
    <w:p w14:paraId="0F27DE30" w14:textId="77777777" w:rsidR="00B2793E" w:rsidRPr="00593A5F" w:rsidRDefault="00B2793E" w:rsidP="00B2793E">
      <w:pPr>
        <w:widowControl w:val="0"/>
        <w:autoSpaceDE w:val="0"/>
        <w:autoSpaceDN w:val="0"/>
        <w:spacing w:after="0" w:line="276" w:lineRule="auto"/>
        <w:jc w:val="both"/>
        <w:rPr>
          <w:rFonts w:ascii="Verdana" w:hAnsi="Verdana" w:cs="Arial"/>
        </w:rPr>
      </w:pPr>
    </w:p>
    <w:p w14:paraId="07839DCD" w14:textId="77777777" w:rsidR="00B2793E" w:rsidRPr="0018417F" w:rsidRDefault="00B2793E" w:rsidP="00B2793E">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8417F">
        <w:rPr>
          <w:rFonts w:ascii="Verdana" w:eastAsia="Century Gothic" w:hAnsi="Verdana" w:cs="Century Gothic"/>
          <w:b/>
          <w:bCs/>
        </w:rPr>
        <w:t>Doctrina de la Agencia Nacional de Contratación Pública:</w:t>
      </w:r>
    </w:p>
    <w:p w14:paraId="5F496417" w14:textId="77777777" w:rsidR="00B2793E" w:rsidRPr="00220AAB" w:rsidRDefault="00B2793E" w:rsidP="00B2793E">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1D919D0D" w14:textId="77777777" w:rsidR="00B2793E" w:rsidRPr="00220AAB" w:rsidRDefault="00B2793E" w:rsidP="00B2793E">
      <w:pPr>
        <w:widowControl w:val="0"/>
        <w:autoSpaceDE w:val="0"/>
        <w:autoSpaceDN w:val="0"/>
        <w:spacing w:after="0" w:line="276" w:lineRule="auto"/>
        <w:jc w:val="both"/>
        <w:rPr>
          <w:rFonts w:ascii="Verdana" w:eastAsia="Calibri" w:hAnsi="Verdana" w:cs="Times New Roman"/>
        </w:rPr>
      </w:pPr>
      <w:r w:rsidRPr="00220AAB">
        <w:rPr>
          <w:rFonts w:ascii="Verdana" w:hAnsi="Verdana" w:cs="Arial"/>
          <w:shd w:val="clear" w:color="auto" w:fill="FFFFFF"/>
          <w:lang w:val="es-ES"/>
        </w:rPr>
        <w:t xml:space="preserve">Sobre los poderes </w:t>
      </w:r>
      <w:r>
        <w:rPr>
          <w:rFonts w:ascii="Verdana" w:hAnsi="Verdana" w:cs="Arial"/>
          <w:shd w:val="clear" w:color="auto" w:fill="FFFFFF"/>
          <w:lang w:val="es-ES"/>
        </w:rPr>
        <w:t xml:space="preserve">y apoderados </w:t>
      </w:r>
      <w:r w:rsidRPr="00220AAB">
        <w:rPr>
          <w:rFonts w:ascii="Verdana" w:hAnsi="Verdana" w:cs="Arial"/>
          <w:shd w:val="clear" w:color="auto" w:fill="FFFFFF"/>
          <w:lang w:val="es-ES"/>
        </w:rPr>
        <w:t xml:space="preserve">en procesos de contratación, esta Subdirección se ha referido en los Conceptos </w:t>
      </w:r>
      <w:r w:rsidRPr="00895699">
        <w:rPr>
          <w:rFonts w:ascii="Verdana" w:hAnsi="Verdana"/>
        </w:rPr>
        <w:t xml:space="preserve">2201913000006051 del 21 de agosto de 2019,  2201913000006775 del 12 de septiembre de 2019, 2201913000009046 del 6 de diciembre de 2019, 2201913000009735 del 30 de diciembre de 2019,  </w:t>
      </w:r>
      <w:r w:rsidRPr="00220AAB">
        <w:rPr>
          <w:rFonts w:ascii="Verdana" w:eastAsia="Calibri" w:hAnsi="Verdana" w:cs="Arial"/>
          <w:lang w:val="es-ES" w:eastAsia="es-ES_tradnl"/>
        </w:rPr>
        <w:t>entre otros;</w:t>
      </w:r>
      <w:r w:rsidRPr="00220AAB">
        <w:rPr>
          <w:rFonts w:ascii="Verdana" w:eastAsia="Calibri" w:hAnsi="Verdana" w:cs="Times New Roman"/>
        </w:rPr>
        <w:t xml:space="preserve"> 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642B544" w14:textId="77777777" w:rsidR="00B2793E" w:rsidRPr="0065720B" w:rsidRDefault="00B2793E" w:rsidP="00B2793E">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830DEB8" w14:textId="77777777" w:rsidR="00B2793E" w:rsidRDefault="00B2793E" w:rsidP="00B2793E">
      <w:pPr>
        <w:widowControl w:val="0"/>
        <w:autoSpaceDE w:val="0"/>
        <w:autoSpaceDN w:val="0"/>
        <w:spacing w:after="0" w:line="276" w:lineRule="auto"/>
        <w:jc w:val="both"/>
        <w:rPr>
          <w:rStyle w:val="normaltextrun"/>
          <w:rFonts w:ascii="Verdana" w:hAnsi="Verdana" w:cs="Arial"/>
          <w:shd w:val="clear" w:color="auto" w:fill="FFFFFF"/>
          <w:lang w:val="es-ES"/>
        </w:rPr>
      </w:pPr>
    </w:p>
    <w:p w14:paraId="05DD4424" w14:textId="77777777" w:rsidR="00B2793E" w:rsidRPr="00505CD6" w:rsidRDefault="00B2793E" w:rsidP="00B2793E">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L</w:t>
      </w:r>
      <w:r w:rsidRPr="00574BB0">
        <w:rPr>
          <w:rFonts w:ascii="Verdana" w:hAnsi="Verdana" w:cs="Arial"/>
          <w:color w:val="000000" w:themeColor="text1"/>
          <w:shd w:val="clear" w:color="auto" w:fill="FFFFFF"/>
        </w:rPr>
        <w:t>e contamos que ya se encuentra disponible la </w:t>
      </w:r>
      <w:r w:rsidRPr="00574BB0">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74BB0">
        <w:rPr>
          <w:rFonts w:ascii="Verdana" w:hAnsi="Verdana" w:cs="Arial"/>
          <w:color w:val="000000" w:themeColor="text1"/>
          <w:shd w:val="clear" w:color="auto" w:fill="FFFFFF"/>
        </w:rPr>
        <w:t xml:space="preserve">Esta Guía se expedide en el marco del cumplimiento de la orden proferida por la Honorable </w:t>
      </w:r>
      <w:r w:rsidRPr="00574BB0">
        <w:rPr>
          <w:rFonts w:ascii="Verdana" w:hAnsi="Verdana" w:cs="Arial"/>
          <w:color w:val="000000" w:themeColor="text1"/>
          <w:shd w:val="clear" w:color="auto" w:fill="FFFFFF"/>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74BB0">
        <w:rPr>
          <w:rFonts w:ascii="Verdana" w:hAnsi="Verdana" w:cs="Arial"/>
          <w:color w:val="000000" w:themeColor="text1"/>
          <w:shd w:val="clear" w:color="auto" w:fill="FFFFFF"/>
        </w:rPr>
        <w:t>Wayúu</w:t>
      </w:r>
      <w:proofErr w:type="spellEnd"/>
      <w:r w:rsidRPr="00574BB0">
        <w:rPr>
          <w:rFonts w:ascii="Verdana"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574BB0">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74BB0">
        <w:rPr>
          <w:rFonts w:ascii="Verdana" w:hAnsi="Verdana" w:cs="Arial"/>
          <w:color w:val="000000" w:themeColor="text1"/>
          <w:u w:val="single"/>
          <w:shd w:val="clear" w:color="auto" w:fill="FFFFFF"/>
        </w:rPr>
        <w:t>"</w:t>
      </w:r>
    </w:p>
    <w:p w14:paraId="148BBFF8" w14:textId="77777777" w:rsidR="00B2793E" w:rsidRDefault="00B2793E" w:rsidP="00B2793E">
      <w:pPr>
        <w:widowControl w:val="0"/>
        <w:autoSpaceDE w:val="0"/>
        <w:autoSpaceDN w:val="0"/>
        <w:spacing w:after="0" w:line="276" w:lineRule="auto"/>
        <w:jc w:val="both"/>
        <w:rPr>
          <w:rFonts w:ascii="Verdana" w:eastAsia="Calibri" w:hAnsi="Verdana" w:cs="Arial"/>
          <w:color w:val="000000" w:themeColor="text1"/>
        </w:rPr>
      </w:pPr>
    </w:p>
    <w:p w14:paraId="50504AFC"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35980BC"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0BAC8850" w14:textId="77777777" w:rsidR="00B2793E" w:rsidRPr="00572E1B" w:rsidRDefault="00B2793E" w:rsidP="00B2793E">
      <w:pPr>
        <w:widowControl w:val="0"/>
        <w:numPr>
          <w:ilvl w:val="0"/>
          <w:numId w:val="17"/>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Línea nacional gratuita o servicio a la ciudadanía (Mesa de servicio): </w:t>
      </w:r>
      <w:r w:rsidRPr="00572E1B">
        <w:rPr>
          <w:rFonts w:ascii="Verdana" w:eastAsia="Calibri" w:hAnsi="Verdana" w:cs="Arial"/>
          <w:color w:val="000000" w:themeColor="text1"/>
          <w:u w:val="single"/>
          <w:lang w:val="es-ES"/>
        </w:rPr>
        <w:t>01800 0520808</w:t>
      </w:r>
      <w:r w:rsidRPr="00572E1B">
        <w:rPr>
          <w:rFonts w:ascii="Verdana" w:eastAsia="Calibri" w:hAnsi="Verdana" w:cs="Arial"/>
          <w:color w:val="000000" w:themeColor="text1"/>
        </w:rPr>
        <w:t> </w:t>
      </w:r>
    </w:p>
    <w:p w14:paraId="74F61AA2" w14:textId="77777777" w:rsidR="00B2793E" w:rsidRPr="00572E1B" w:rsidRDefault="00B2793E" w:rsidP="00B2793E">
      <w:pPr>
        <w:widowControl w:val="0"/>
        <w:numPr>
          <w:ilvl w:val="0"/>
          <w:numId w:val="18"/>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Línea en Bogotá (Mesa de servicio</w:t>
      </w:r>
      <w:proofErr w:type="gramStart"/>
      <w:r w:rsidRPr="00572E1B">
        <w:rPr>
          <w:rFonts w:ascii="Verdana" w:eastAsia="Calibri" w:hAnsi="Verdana" w:cs="Arial"/>
          <w:color w:val="000000" w:themeColor="text1"/>
          <w:lang w:val="es-MX"/>
        </w:rPr>
        <w:t>):</w:t>
      </w:r>
      <w:r w:rsidRPr="00572E1B">
        <w:rPr>
          <w:rFonts w:ascii="Verdana" w:eastAsia="Calibri" w:hAnsi="Verdana" w:cs="Arial"/>
          <w:color w:val="000000" w:themeColor="text1"/>
          <w:u w:val="single"/>
          <w:lang w:val="es-ES"/>
        </w:rPr>
        <w:t>+</w:t>
      </w:r>
      <w:proofErr w:type="gramEnd"/>
      <w:r w:rsidRPr="00572E1B">
        <w:rPr>
          <w:rFonts w:ascii="Verdana" w:eastAsia="Calibri" w:hAnsi="Verdana" w:cs="Arial"/>
          <w:color w:val="000000" w:themeColor="text1"/>
          <w:u w:val="single"/>
          <w:lang w:val="es-ES"/>
        </w:rPr>
        <w:t>57 601 7456788</w:t>
      </w:r>
      <w:r w:rsidRPr="00572E1B">
        <w:rPr>
          <w:rFonts w:ascii="Verdana" w:eastAsia="Calibri" w:hAnsi="Verdana" w:cs="Arial"/>
          <w:color w:val="000000" w:themeColor="text1"/>
        </w:rPr>
        <w:t> </w:t>
      </w:r>
    </w:p>
    <w:p w14:paraId="2068B430" w14:textId="77777777" w:rsidR="00B2793E" w:rsidRPr="00572E1B" w:rsidRDefault="00B2793E" w:rsidP="00B2793E">
      <w:pPr>
        <w:widowControl w:val="0"/>
        <w:numPr>
          <w:ilvl w:val="0"/>
          <w:numId w:val="19"/>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Correo de radicación de correspondencia: </w:t>
      </w:r>
      <w:hyperlink r:id="rId14" w:tgtFrame="_blank" w:history="1">
        <w:r w:rsidRPr="00572E1B">
          <w:rPr>
            <w:rStyle w:val="Hipervnculo"/>
            <w:rFonts w:ascii="Verdana" w:eastAsia="Calibri" w:hAnsi="Verdana" w:cs="Arial"/>
            <w:lang w:val="es-MX"/>
          </w:rPr>
          <w:t>ventanilladeradicacion@colombiacompra.gov.co</w:t>
        </w:r>
      </w:hyperlink>
      <w:r w:rsidRPr="00572E1B">
        <w:rPr>
          <w:rFonts w:ascii="Verdana" w:eastAsia="Calibri" w:hAnsi="Verdana" w:cs="Arial"/>
          <w:color w:val="000000" w:themeColor="text1"/>
        </w:rPr>
        <w:t> </w:t>
      </w:r>
    </w:p>
    <w:p w14:paraId="6BD54850" w14:textId="77777777" w:rsidR="00B2793E" w:rsidRPr="00572E1B" w:rsidRDefault="00B2793E" w:rsidP="00B2793E">
      <w:pPr>
        <w:widowControl w:val="0"/>
        <w:numPr>
          <w:ilvl w:val="0"/>
          <w:numId w:val="20"/>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ES"/>
        </w:rPr>
        <w:t xml:space="preserve">Formulario web para PQRSD: </w:t>
      </w:r>
      <w:hyperlink r:id="rId15" w:tgtFrame="_blank" w:history="1">
        <w:r w:rsidRPr="00572E1B">
          <w:rPr>
            <w:rStyle w:val="Hipervnculo"/>
            <w:rFonts w:ascii="Verdana" w:eastAsia="Calibri" w:hAnsi="Verdana" w:cs="Arial"/>
            <w:lang w:val="es-MX"/>
          </w:rPr>
          <w:t>https://www.colombiacompra.gov.co/pqrsd/informacion-importante-antes-de-formular-una-pqrsd</w:t>
        </w:r>
      </w:hyperlink>
      <w:r w:rsidRPr="00572E1B">
        <w:rPr>
          <w:rFonts w:ascii="Verdana" w:eastAsia="Calibri" w:hAnsi="Verdana" w:cs="Arial"/>
          <w:color w:val="000000" w:themeColor="text1"/>
        </w:rPr>
        <w:t> </w:t>
      </w:r>
    </w:p>
    <w:p w14:paraId="70440BB6"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7D823F9F"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Evalúa el servicio que ofrece la Agencia por el canal de atención de PQRSD en el siguiente </w:t>
      </w:r>
      <w:proofErr w:type="gramStart"/>
      <w:r w:rsidRPr="00572E1B">
        <w:rPr>
          <w:rFonts w:ascii="Verdana" w:eastAsia="Calibri" w:hAnsi="Verdana" w:cs="Arial"/>
          <w:color w:val="000000" w:themeColor="text1"/>
        </w:rPr>
        <w:t>enlace :</w:t>
      </w:r>
      <w:proofErr w:type="gramEnd"/>
      <w:r>
        <w:fldChar w:fldCharType="begin"/>
      </w:r>
      <w:r>
        <w:instrText>HYPERLINK "https://forms.office.com/r/pPHyWVs2SZ" \t "_blank"</w:instrText>
      </w:r>
      <w:r>
        <w:fldChar w:fldCharType="separate"/>
      </w:r>
      <w:r w:rsidRPr="00572E1B">
        <w:rPr>
          <w:rStyle w:val="Hipervnculo"/>
          <w:rFonts w:ascii="Verdana" w:eastAsia="Calibri" w:hAnsi="Verdana" w:cs="Arial"/>
        </w:rPr>
        <w:t>https://forms.office.com/r/pPHyWVs2SZ</w:t>
      </w:r>
      <w:r>
        <w:fldChar w:fldCharType="end"/>
      </w:r>
      <w:proofErr w:type="gramStart"/>
      <w:r w:rsidRPr="00572E1B">
        <w:rPr>
          <w:rFonts w:ascii="Verdana" w:eastAsia="Calibri" w:hAnsi="Verdana" w:cs="Arial"/>
          <w:color w:val="000000" w:themeColor="text1"/>
        </w:rPr>
        <w:t>.¡</w:t>
      </w:r>
      <w:proofErr w:type="gramEnd"/>
      <w:r w:rsidRPr="00572E1B">
        <w:rPr>
          <w:rFonts w:ascii="Verdana" w:eastAsia="Calibri" w:hAnsi="Verdana" w:cs="Arial"/>
          <w:color w:val="000000" w:themeColor="text1"/>
        </w:rPr>
        <w:t>Ayúdanos a mejorar porque el compromiso es de todos! </w:t>
      </w:r>
    </w:p>
    <w:p w14:paraId="08CFB65E"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2393F484"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lo invitamos a seguirnos en las redes sociales en las cuales se difunde información institucional:  </w:t>
      </w:r>
    </w:p>
    <w:p w14:paraId="7E18208D"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7EA5AEB0"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Twitter: </w:t>
      </w:r>
      <w:r w:rsidRPr="00572E1B">
        <w:rPr>
          <w:rFonts w:ascii="Verdana" w:eastAsia="Calibri" w:hAnsi="Verdana" w:cs="Arial"/>
          <w:color w:val="000000" w:themeColor="text1"/>
          <w:u w:val="single"/>
        </w:rPr>
        <w:t>@colombiacompra</w:t>
      </w:r>
      <w:r w:rsidRPr="00572E1B">
        <w:rPr>
          <w:rFonts w:ascii="Verdana" w:eastAsia="Calibri" w:hAnsi="Verdana" w:cs="Arial"/>
          <w:color w:val="000000" w:themeColor="text1"/>
        </w:rPr>
        <w:t>  </w:t>
      </w:r>
    </w:p>
    <w:p w14:paraId="352BA4AD"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Facebook: </w:t>
      </w:r>
      <w:proofErr w:type="spellStart"/>
      <w:r w:rsidRPr="00572E1B">
        <w:rPr>
          <w:rFonts w:ascii="Verdana" w:eastAsia="Calibri" w:hAnsi="Verdana" w:cs="Arial"/>
          <w:color w:val="000000" w:themeColor="text1"/>
          <w:u w:val="single"/>
        </w:rPr>
        <w:t>ColombiaCompraEficiente</w:t>
      </w:r>
      <w:proofErr w:type="spellEnd"/>
      <w:r w:rsidRPr="00572E1B">
        <w:rPr>
          <w:rFonts w:ascii="Verdana" w:eastAsia="Calibri" w:hAnsi="Verdana" w:cs="Arial"/>
          <w:color w:val="000000" w:themeColor="text1"/>
        </w:rPr>
        <w:t> </w:t>
      </w:r>
    </w:p>
    <w:p w14:paraId="66595BBC"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LinkedIn: </w:t>
      </w:r>
      <w:r w:rsidRPr="00572E1B">
        <w:rPr>
          <w:rFonts w:ascii="Verdana" w:eastAsia="Calibri" w:hAnsi="Verdana" w:cs="Arial"/>
          <w:color w:val="000000" w:themeColor="text1"/>
          <w:u w:val="single"/>
        </w:rPr>
        <w:t>Agencia Nacional de Contratación Pública - Colombia Compra Eficiente</w:t>
      </w:r>
      <w:r w:rsidRPr="00572E1B">
        <w:rPr>
          <w:rFonts w:ascii="Verdana" w:eastAsia="Calibri" w:hAnsi="Verdana" w:cs="Arial"/>
          <w:color w:val="000000" w:themeColor="text1"/>
        </w:rPr>
        <w:t xml:space="preserve"> Instagram: </w:t>
      </w:r>
      <w:r w:rsidRPr="00572E1B">
        <w:rPr>
          <w:rFonts w:ascii="Verdana" w:eastAsia="Calibri" w:hAnsi="Verdana" w:cs="Arial"/>
          <w:color w:val="000000" w:themeColor="text1"/>
          <w:u w:val="single"/>
        </w:rPr>
        <w:t>@colombiacompraeficiente_cce</w:t>
      </w:r>
      <w:r w:rsidRPr="00572E1B">
        <w:rPr>
          <w:rFonts w:ascii="Verdana" w:eastAsia="Calibri" w:hAnsi="Verdana" w:cs="Arial"/>
          <w:color w:val="000000" w:themeColor="text1"/>
        </w:rPr>
        <w:t> </w:t>
      </w:r>
    </w:p>
    <w:p w14:paraId="0D2121CD" w14:textId="77777777" w:rsidR="00B2793E" w:rsidRPr="00572E1B" w:rsidRDefault="00B2793E" w:rsidP="00B2793E">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4B1A7B88" w14:textId="77777777" w:rsidR="00B2793E" w:rsidRPr="00505CD6" w:rsidRDefault="00B2793E" w:rsidP="00B2793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w:t>
      </w:r>
      <w:r w:rsidRPr="00505CD6">
        <w:rPr>
          <w:rFonts w:ascii="Verdana" w:hAnsi="Verdana" w:cs="Arial"/>
        </w:rPr>
        <w:lastRenderedPageBreak/>
        <w:t xml:space="preserve">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201E3E0" w14:textId="77777777" w:rsidR="00B2793E" w:rsidRPr="00505CD6" w:rsidRDefault="00B2793E" w:rsidP="00B2793E">
      <w:pPr>
        <w:widowControl w:val="0"/>
        <w:autoSpaceDE w:val="0"/>
        <w:autoSpaceDN w:val="0"/>
        <w:spacing w:after="0" w:line="276" w:lineRule="auto"/>
        <w:jc w:val="both"/>
        <w:rPr>
          <w:rFonts w:ascii="Verdana" w:hAnsi="Verdana" w:cs="Arial"/>
        </w:rPr>
      </w:pPr>
    </w:p>
    <w:bookmarkEnd w:id="1"/>
    <w:bookmarkEnd w:id="2"/>
    <w:p w14:paraId="2D8FEF8D" w14:textId="77777777" w:rsidR="00B2793E" w:rsidRPr="00505CD6" w:rsidRDefault="00B2793E" w:rsidP="00B2793E">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5E5D2A3" w14:textId="625AC726" w:rsidR="00B2793E" w:rsidRPr="00EF055B" w:rsidRDefault="00F21E72" w:rsidP="00B2793E">
      <w:pPr>
        <w:spacing w:line="276" w:lineRule="auto"/>
        <w:jc w:val="center"/>
        <w:rPr>
          <w:noProof/>
          <w:color w:val="000000"/>
        </w:rPr>
      </w:pPr>
      <w:r>
        <w:rPr>
          <w:noProof/>
          <w:color w:val="000000"/>
        </w:rPr>
        <w:drawing>
          <wp:inline distT="0" distB="0" distL="0" distR="0" wp14:anchorId="4F96EE9F" wp14:editId="08FEEEDB">
            <wp:extent cx="3505689" cy="1448002"/>
            <wp:effectExtent l="0" t="0" r="0" b="0"/>
            <wp:docPr id="1294780579"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80579" name="Imagen 2" descr="Texto, Carta&#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3505689" cy="144800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2793E" w:rsidRPr="00593A5F" w14:paraId="452D4B58" w14:textId="77777777">
        <w:trPr>
          <w:trHeight w:val="315"/>
        </w:trPr>
        <w:tc>
          <w:tcPr>
            <w:tcW w:w="893" w:type="dxa"/>
            <w:vAlign w:val="center"/>
            <w:hideMark/>
          </w:tcPr>
          <w:p w14:paraId="5CCE6598" w14:textId="77777777" w:rsidR="00B2793E" w:rsidRPr="003751C7" w:rsidRDefault="00B2793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1C62C4" w14:textId="5E16A381" w:rsidR="00B2793E" w:rsidRPr="00C42FC5" w:rsidRDefault="00B2793E">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 xml:space="preserve">María </w:t>
            </w:r>
            <w:proofErr w:type="spellStart"/>
            <w:r w:rsidRPr="00C42FC5">
              <w:rPr>
                <w:rStyle w:val="normaltextrun"/>
                <w:rFonts w:ascii="Verdana" w:hAnsi="Verdana" w:cstheme="minorHAnsi"/>
                <w:sz w:val="16"/>
                <w:szCs w:val="16"/>
              </w:rPr>
              <w:t>Joshira</w:t>
            </w:r>
            <w:proofErr w:type="spellEnd"/>
            <w:r w:rsidRPr="00C42FC5">
              <w:rPr>
                <w:rStyle w:val="normaltextrun"/>
                <w:rFonts w:ascii="Verdana" w:hAnsi="Verdana" w:cstheme="minorHAnsi"/>
                <w:sz w:val="16"/>
                <w:szCs w:val="16"/>
              </w:rPr>
              <w:t xml:space="preserve"> Nieto Manzano</w:t>
            </w:r>
          </w:p>
          <w:p w14:paraId="5D05DE48" w14:textId="77777777" w:rsidR="00B2793E" w:rsidRPr="00C42FC5" w:rsidRDefault="00B2793E">
            <w:pPr>
              <w:contextualSpacing/>
              <w:rPr>
                <w:rStyle w:val="normaltextrun"/>
                <w:rFonts w:eastAsia="Times New Roman" w:cstheme="minorHAnsi"/>
                <w:lang w:eastAsia="es-CO"/>
              </w:rPr>
            </w:pPr>
            <w:r w:rsidRPr="00C42FC5">
              <w:rPr>
                <w:rStyle w:val="normaltextrun"/>
                <w:rFonts w:ascii="Verdana" w:eastAsia="Times New Roman" w:hAnsi="Verdana" w:cstheme="minorHAnsi"/>
                <w:sz w:val="16"/>
                <w:szCs w:val="16"/>
                <w:lang w:eastAsia="es-CO"/>
              </w:rPr>
              <w:t>Contratista</w:t>
            </w:r>
            <w:r w:rsidRPr="00C42FC5">
              <w:rPr>
                <w:rStyle w:val="normaltextrun"/>
                <w:rFonts w:eastAsia="Times New Roman" w:cstheme="minorHAnsi"/>
                <w:lang w:eastAsia="es-CO"/>
              </w:rPr>
              <w:t xml:space="preserve"> de la Subdirección de Gestión Contractual</w:t>
            </w:r>
          </w:p>
        </w:tc>
      </w:tr>
      <w:tr w:rsidR="00B2793E" w:rsidRPr="00593A5F" w14:paraId="71C55564" w14:textId="77777777">
        <w:trPr>
          <w:trHeight w:val="330"/>
        </w:trPr>
        <w:tc>
          <w:tcPr>
            <w:tcW w:w="893" w:type="dxa"/>
            <w:vAlign w:val="center"/>
            <w:hideMark/>
          </w:tcPr>
          <w:p w14:paraId="75B04AFA" w14:textId="77777777" w:rsidR="00B2793E" w:rsidRPr="003751C7" w:rsidRDefault="00B2793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395B20" w14:textId="1528ECF1" w:rsidR="00B2793E" w:rsidRDefault="00B2793E">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14:paraId="3E69894E" w14:textId="77777777" w:rsidR="00B2793E" w:rsidRPr="00C42FC5" w:rsidRDefault="00B2793E">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B2793E" w:rsidRPr="00593A5F" w14:paraId="2DD14AF4" w14:textId="77777777">
        <w:trPr>
          <w:trHeight w:val="300"/>
        </w:trPr>
        <w:tc>
          <w:tcPr>
            <w:tcW w:w="893" w:type="dxa"/>
            <w:vAlign w:val="center"/>
          </w:tcPr>
          <w:p w14:paraId="3A69D849" w14:textId="77777777" w:rsidR="00B2793E" w:rsidRPr="003751C7" w:rsidRDefault="00B2793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9B4536" w14:textId="1425FA97" w:rsidR="00B2793E" w:rsidRPr="000015E6" w:rsidRDefault="007A0196">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Ana </w:t>
            </w:r>
            <w:proofErr w:type="spellStart"/>
            <w:r w:rsidR="00B37075">
              <w:rPr>
                <w:rFonts w:ascii="Verdana" w:eastAsia="Calibri" w:hAnsi="Verdana" w:cs="Arial"/>
                <w:sz w:val="16"/>
                <w:szCs w:val="16"/>
                <w:lang w:val="pt-BR" w:eastAsia="es-ES"/>
              </w:rPr>
              <w:t>Mar</w:t>
            </w:r>
            <w:r w:rsidR="00F21E72">
              <w:rPr>
                <w:rFonts w:ascii="Verdana" w:eastAsia="Calibri" w:hAnsi="Verdana" w:cs="Arial"/>
                <w:sz w:val="16"/>
                <w:szCs w:val="16"/>
                <w:lang w:val="pt-BR" w:eastAsia="es-ES"/>
              </w:rPr>
              <w:t>í</w:t>
            </w:r>
            <w:r w:rsidR="00B37075">
              <w:rPr>
                <w:rFonts w:ascii="Verdana" w:eastAsia="Calibri" w:hAnsi="Verdana" w:cs="Arial"/>
                <w:sz w:val="16"/>
                <w:szCs w:val="16"/>
                <w:lang w:val="pt-BR" w:eastAsia="es-ES"/>
              </w:rPr>
              <w:t>a</w:t>
            </w:r>
            <w:proofErr w:type="spellEnd"/>
            <w:r>
              <w:rPr>
                <w:rFonts w:ascii="Verdana" w:eastAsia="Calibri" w:hAnsi="Verdana" w:cs="Arial"/>
                <w:sz w:val="16"/>
                <w:szCs w:val="16"/>
                <w:lang w:val="pt-BR" w:eastAsia="es-ES"/>
              </w:rPr>
              <w:t xml:space="preserve"> Tolosa Rico</w:t>
            </w:r>
          </w:p>
          <w:p w14:paraId="24BAD02E" w14:textId="5D7BB4BD" w:rsidR="00B2793E" w:rsidRPr="000015E6" w:rsidRDefault="00B2793E">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r w:rsidR="007A0196">
              <w:rPr>
                <w:rFonts w:ascii="Verdana" w:eastAsia="Calibri" w:hAnsi="Verdana" w:cs="Arial"/>
                <w:sz w:val="16"/>
                <w:szCs w:val="16"/>
                <w:lang w:val="pt-BR" w:eastAsia="es-ES"/>
              </w:rPr>
              <w:t xml:space="preserve"> (E)</w:t>
            </w:r>
          </w:p>
        </w:tc>
      </w:tr>
    </w:tbl>
    <w:p w14:paraId="51354F1A" w14:textId="77777777" w:rsidR="00B2793E" w:rsidRPr="0044528D" w:rsidRDefault="00B2793E" w:rsidP="00B2793E">
      <w:pPr>
        <w:spacing w:after="0"/>
        <w:rPr>
          <w:rFonts w:ascii="Verdana" w:hAnsi="Verdana"/>
        </w:rPr>
      </w:pPr>
    </w:p>
    <w:p w14:paraId="052877D5" w14:textId="77777777" w:rsidR="00B2793E" w:rsidRPr="00596868" w:rsidRDefault="00B2793E" w:rsidP="00B2793E"/>
    <w:bookmarkEnd w:id="0"/>
    <w:p w14:paraId="5A36409F" w14:textId="77777777" w:rsidR="00B2793E" w:rsidRPr="0024624F" w:rsidRDefault="00B2793E" w:rsidP="00C15139">
      <w:pPr>
        <w:spacing w:after="0"/>
        <w:rPr>
          <w:rFonts w:ascii="Verdana" w:hAnsi="Verdana"/>
        </w:rPr>
      </w:pPr>
    </w:p>
    <w:sectPr w:rsidR="00B2793E" w:rsidRPr="0024624F" w:rsidSect="008B36D9">
      <w:headerReference w:type="default" r:id="rId17"/>
      <w:footerReference w:type="default" r:id="rId18"/>
      <w:pgSz w:w="12240" w:h="15840" w:code="1"/>
      <w:pgMar w:top="1417" w:right="1701" w:bottom="1417" w:left="1701" w:header="709" w:footer="8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C76EB" w14:textId="77777777" w:rsidR="00840EAD" w:rsidRDefault="00840EAD" w:rsidP="004A1847">
      <w:pPr>
        <w:spacing w:after="0" w:line="240" w:lineRule="auto"/>
      </w:pPr>
      <w:r>
        <w:separator/>
      </w:r>
    </w:p>
  </w:endnote>
  <w:endnote w:type="continuationSeparator" w:id="0">
    <w:p w14:paraId="4CAA0F3A" w14:textId="77777777" w:rsidR="00840EAD" w:rsidRDefault="00840EA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24513" w14:textId="77777777" w:rsidR="00840EAD" w:rsidRDefault="00840EAD" w:rsidP="004A1847">
      <w:pPr>
        <w:spacing w:after="0" w:line="240" w:lineRule="auto"/>
      </w:pPr>
      <w:r>
        <w:separator/>
      </w:r>
    </w:p>
  </w:footnote>
  <w:footnote w:type="continuationSeparator" w:id="0">
    <w:p w14:paraId="676B396F" w14:textId="77777777" w:rsidR="00840EAD" w:rsidRDefault="00840EAD" w:rsidP="004A1847">
      <w:pPr>
        <w:spacing w:after="0" w:line="240" w:lineRule="auto"/>
      </w:pPr>
      <w:r>
        <w:continuationSeparator/>
      </w:r>
    </w:p>
  </w:footnote>
  <w:footnote w:id="1">
    <w:p w14:paraId="1B7AAE1C" w14:textId="77777777" w:rsidR="00B2793E" w:rsidRPr="00EB4645" w:rsidRDefault="00B2793E" w:rsidP="00B2793E">
      <w:pPr>
        <w:pStyle w:val="Textonotapie"/>
        <w:ind w:firstLine="709"/>
        <w:jc w:val="both"/>
        <w:rPr>
          <w:rFonts w:ascii="Verdana" w:hAnsi="Verdana" w:cs="Arial"/>
          <w:sz w:val="16"/>
          <w:szCs w:val="16"/>
          <w:lang w:val="es-ES"/>
        </w:rPr>
      </w:pPr>
      <w:r w:rsidRPr="00EB4645">
        <w:rPr>
          <w:rStyle w:val="Refdenotaalpie"/>
          <w:rFonts w:ascii="Verdana" w:hAnsi="Verdana" w:cs="Arial"/>
          <w:sz w:val="16"/>
          <w:szCs w:val="16"/>
        </w:rPr>
        <w:footnoteRef/>
      </w:r>
      <w:r w:rsidRPr="00EB4645">
        <w:rPr>
          <w:rFonts w:ascii="Verdana" w:hAnsi="Verdana" w:cs="Arial"/>
          <w:sz w:val="16"/>
          <w:szCs w:val="16"/>
        </w:rPr>
        <w:t xml:space="preserve"> </w:t>
      </w:r>
      <w:r w:rsidRPr="00EB4645">
        <w:rPr>
          <w:rFonts w:ascii="Verdana" w:hAnsi="Verdana" w:cs="Arial"/>
          <w:sz w:val="16"/>
          <w:szCs w:val="16"/>
          <w:lang w:val="es-ES"/>
        </w:rPr>
        <w:t>BOBBIO, Norberto. Democracia y secreto. México: Fondo de Cultura Económica, 2013. p. 27.</w:t>
      </w:r>
    </w:p>
  </w:footnote>
  <w:footnote w:id="2">
    <w:p w14:paraId="4C761C79" w14:textId="77777777" w:rsidR="00B2793E" w:rsidRPr="000C1982" w:rsidRDefault="00B2793E" w:rsidP="00B2793E">
      <w:pPr>
        <w:pStyle w:val="Textonotapie"/>
        <w:spacing w:after="120"/>
        <w:ind w:firstLine="709"/>
        <w:jc w:val="both"/>
        <w:rPr>
          <w:rFonts w:ascii="Verdana" w:hAnsi="Verdana" w:cs="Arial"/>
          <w:color w:val="000000"/>
          <w:sz w:val="18"/>
          <w:szCs w:val="18"/>
        </w:rPr>
      </w:pPr>
      <w:r w:rsidRPr="000C1982">
        <w:rPr>
          <w:rStyle w:val="Refdenotaalpie"/>
          <w:rFonts w:ascii="Verdana" w:hAnsi="Verdana" w:cs="Arial"/>
          <w:color w:val="000000"/>
          <w:sz w:val="18"/>
          <w:szCs w:val="18"/>
        </w:rPr>
        <w:footnoteRef/>
      </w:r>
      <w:r w:rsidRPr="000C1982">
        <w:rPr>
          <w:rFonts w:ascii="Verdana" w:hAnsi="Verdana" w:cs="Arial"/>
          <w:color w:val="000000"/>
          <w:sz w:val="18"/>
          <w:szCs w:val="18"/>
        </w:rPr>
        <w:t xml:space="preserve"> Decreto 4170 de 2011: “Artículo 3. Funciones: La Agencia Nacional de Contratación Pública –Colombia Compra Eficiente– ejercerá las siguientes funciones: [...]</w:t>
      </w:r>
    </w:p>
    <w:p w14:paraId="6A2F1F8D" w14:textId="77777777" w:rsidR="00B2793E" w:rsidRPr="000C1982" w:rsidRDefault="00B2793E" w:rsidP="00B2793E">
      <w:pPr>
        <w:pStyle w:val="Textonotapie"/>
        <w:spacing w:after="120"/>
        <w:ind w:left="709" w:right="709"/>
        <w:jc w:val="both"/>
        <w:rPr>
          <w:rFonts w:ascii="Verdana" w:hAnsi="Verdana" w:cs="Arial"/>
          <w:color w:val="000000"/>
          <w:sz w:val="18"/>
          <w:szCs w:val="18"/>
        </w:rPr>
      </w:pPr>
      <w:r w:rsidRPr="000C1982">
        <w:rPr>
          <w:rFonts w:ascii="Verdana" w:hAnsi="Verdana" w:cs="Arial"/>
          <w:color w:val="000000"/>
          <w:sz w:val="18"/>
          <w:szCs w:val="18"/>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3">
    <w:p w14:paraId="2CDA5D02" w14:textId="77777777" w:rsidR="00B2793E" w:rsidRPr="000C1982" w:rsidRDefault="00B2793E" w:rsidP="00B2793E">
      <w:pPr>
        <w:pStyle w:val="Textonotapie"/>
        <w:spacing w:after="120"/>
        <w:ind w:firstLine="709"/>
        <w:jc w:val="both"/>
        <w:rPr>
          <w:rFonts w:ascii="Verdana" w:hAnsi="Verdana"/>
          <w:sz w:val="18"/>
          <w:szCs w:val="18"/>
        </w:rPr>
      </w:pPr>
      <w:r w:rsidRPr="000C1982">
        <w:rPr>
          <w:rStyle w:val="Refdenotaalpie"/>
          <w:rFonts w:ascii="Verdana" w:hAnsi="Verdana"/>
          <w:sz w:val="18"/>
          <w:szCs w:val="18"/>
        </w:rPr>
        <w:footnoteRef/>
      </w:r>
      <w:r w:rsidRPr="000C1982">
        <w:rPr>
          <w:rFonts w:ascii="Verdana" w:hAnsi="Verdana"/>
          <w:sz w:val="18"/>
          <w:szCs w:val="18"/>
        </w:rPr>
        <w:t xml:space="preserve"> Obligatoriedad del SECOP II para la vigencia fiscal 2023 </w:t>
      </w:r>
      <w:r w:rsidRPr="000C1982">
        <w:rPr>
          <w:rFonts w:ascii="Verdana" w:hAnsi="Verdana"/>
          <w:sz w:val="18"/>
          <w:szCs w:val="18"/>
          <w:lang w:val="es-CO"/>
        </w:rPr>
        <w:t>la cual puede ser consultada en</w:t>
      </w:r>
      <w:r w:rsidRPr="000C1982">
        <w:rPr>
          <w:rFonts w:ascii="Verdana" w:hAnsi="Verdana"/>
          <w:sz w:val="18"/>
          <w:szCs w:val="18"/>
        </w:rPr>
        <w:t xml:space="preserve">  </w:t>
      </w:r>
      <w:hyperlink r:id="rId1" w:history="1">
        <w:r w:rsidRPr="000C1982">
          <w:rPr>
            <w:rStyle w:val="Hipervnculo"/>
            <w:rFonts w:ascii="Verdana" w:hAnsi="Verdana"/>
            <w:sz w:val="18"/>
            <w:szCs w:val="18"/>
          </w:rPr>
          <w:t>https://www.colombiacompra.gov.co/wp-content/uploads/2024/08/proyecto_circular_externa_obligatoriedad_secopii_2023_rev._dg_f.pdf</w:t>
        </w:r>
      </w:hyperlink>
    </w:p>
  </w:footnote>
  <w:footnote w:id="4">
    <w:p w14:paraId="502EE812" w14:textId="77777777" w:rsidR="00B2793E" w:rsidRPr="000C1982" w:rsidRDefault="00B2793E" w:rsidP="00B2793E">
      <w:pPr>
        <w:pStyle w:val="Textonotapie"/>
        <w:spacing w:after="120"/>
        <w:ind w:firstLine="709"/>
        <w:jc w:val="both"/>
        <w:rPr>
          <w:rFonts w:ascii="Verdana" w:hAnsi="Verdana"/>
          <w:sz w:val="18"/>
          <w:szCs w:val="18"/>
          <w:lang w:val="es-CO"/>
        </w:rPr>
      </w:pPr>
      <w:r w:rsidRPr="000C1982">
        <w:rPr>
          <w:rStyle w:val="Refdenotaalpie"/>
          <w:rFonts w:ascii="Verdana" w:hAnsi="Verdana"/>
          <w:sz w:val="18"/>
          <w:szCs w:val="18"/>
        </w:rPr>
        <w:footnoteRef/>
      </w:r>
      <w:r w:rsidRPr="000C1982">
        <w:rPr>
          <w:rFonts w:ascii="Verdana" w:hAnsi="Verdana"/>
          <w:sz w:val="18"/>
          <w:szCs w:val="18"/>
        </w:rPr>
        <w:t xml:space="preserve"> </w:t>
      </w:r>
      <w:r w:rsidRPr="000C1982">
        <w:rPr>
          <w:rFonts w:ascii="Verdana" w:hAnsi="Verdana"/>
          <w:sz w:val="18"/>
          <w:szCs w:val="18"/>
          <w:lang w:val="es-CO"/>
        </w:rPr>
        <w:t>Obligatoriedad del SECOP II para la vigencia 2024 y primer semestre del 2025, la cual puede ser consultada en</w:t>
      </w:r>
      <w:r w:rsidRPr="000C1982">
        <w:rPr>
          <w:rFonts w:ascii="Verdana" w:hAnsi="Verdana"/>
          <w:sz w:val="18"/>
          <w:szCs w:val="18"/>
        </w:rPr>
        <w:t xml:space="preserve">   </w:t>
      </w:r>
      <w:hyperlink r:id="rId2" w:history="1">
        <w:r w:rsidRPr="000C1982">
          <w:rPr>
            <w:rStyle w:val="Hipervnculo"/>
            <w:rFonts w:ascii="Verdana" w:hAnsi="Verdana"/>
            <w:sz w:val="18"/>
            <w:szCs w:val="18"/>
          </w:rPr>
          <w:t>https://www.colombiacompra.gov.co/wp-content/uploads/2025/03/circular-externa_no._003_-_obligatoriedad_secop_ii_2024-2025.pdf</w:t>
        </w:r>
      </w:hyperlink>
    </w:p>
  </w:footnote>
  <w:footnote w:id="5">
    <w:p w14:paraId="3289EC48" w14:textId="77777777" w:rsidR="00B2793E" w:rsidRPr="000C1982" w:rsidRDefault="00B2793E" w:rsidP="00B2793E">
      <w:pPr>
        <w:pStyle w:val="Textonotapie"/>
        <w:spacing w:after="120"/>
        <w:ind w:firstLine="709"/>
        <w:jc w:val="both"/>
        <w:rPr>
          <w:rFonts w:ascii="Verdana" w:hAnsi="Verdana" w:cs="Arial"/>
          <w:sz w:val="18"/>
          <w:szCs w:val="18"/>
        </w:rPr>
      </w:pPr>
      <w:r w:rsidRPr="000C1982">
        <w:rPr>
          <w:rStyle w:val="Refdenotaalpie"/>
          <w:rFonts w:ascii="Verdana" w:hAnsi="Verdana" w:cs="Arial"/>
          <w:sz w:val="18"/>
          <w:szCs w:val="18"/>
        </w:rPr>
        <w:footnoteRef/>
      </w:r>
      <w:r w:rsidRPr="000C1982">
        <w:rPr>
          <w:rFonts w:ascii="Verdana" w:hAnsi="Verdana" w:cs="Arial"/>
          <w:sz w:val="18"/>
          <w:szCs w:val="18"/>
        </w:rPr>
        <w:t xml:space="preserve"> OSPINA MENA, Jesús Marino. Régimen de la Contratación Estatal. Un salto a la contratación líquida. Bogotá: Ed. 1ª. </w:t>
      </w:r>
      <w:proofErr w:type="spellStart"/>
      <w:r w:rsidRPr="000C1982">
        <w:rPr>
          <w:rFonts w:ascii="Verdana" w:hAnsi="Verdana" w:cs="Arial"/>
          <w:sz w:val="18"/>
          <w:szCs w:val="18"/>
        </w:rPr>
        <w:t>Diké</w:t>
      </w:r>
      <w:proofErr w:type="spellEnd"/>
      <w:r w:rsidRPr="000C1982">
        <w:rPr>
          <w:rFonts w:ascii="Verdana" w:hAnsi="Verdana" w:cs="Arial"/>
          <w:sz w:val="18"/>
          <w:szCs w:val="18"/>
        </w:rPr>
        <w:t>, 2020. p. 383.</w:t>
      </w:r>
    </w:p>
  </w:footnote>
  <w:footnote w:id="6">
    <w:p w14:paraId="703A55A7" w14:textId="77777777" w:rsidR="00B2793E" w:rsidRPr="000C1982" w:rsidRDefault="00B2793E" w:rsidP="00B2793E">
      <w:pPr>
        <w:pStyle w:val="Textonotapie"/>
        <w:spacing w:after="120"/>
        <w:ind w:firstLine="709"/>
        <w:jc w:val="both"/>
        <w:rPr>
          <w:rFonts w:ascii="Verdana" w:hAnsi="Verdana" w:cs="Arial"/>
          <w:sz w:val="18"/>
          <w:szCs w:val="18"/>
        </w:rPr>
      </w:pPr>
      <w:r w:rsidRPr="000C1982">
        <w:rPr>
          <w:rStyle w:val="Refdenotaalpie"/>
          <w:rFonts w:ascii="Verdana" w:hAnsi="Verdana" w:cs="Arial"/>
          <w:sz w:val="18"/>
          <w:szCs w:val="18"/>
        </w:rPr>
        <w:footnoteRef/>
      </w:r>
      <w:r w:rsidRPr="000C1982">
        <w:rPr>
          <w:rFonts w:ascii="Verdana" w:hAnsi="Verdana" w:cs="Arial"/>
          <w:sz w:val="18"/>
          <w:szCs w:val="18"/>
        </w:rPr>
        <w:t xml:space="preserve"> CONSEJO DE ESTADO. Sección Tercera. Sentencia de 30 de noviembre de 2006. Exp. 18.059. M.P. Alier Hernández Enríquez.</w:t>
      </w:r>
    </w:p>
  </w:footnote>
  <w:footnote w:id="7">
    <w:p w14:paraId="08F4DD29" w14:textId="77777777" w:rsidR="00B2793E" w:rsidRPr="000C1982" w:rsidRDefault="00B2793E" w:rsidP="00B2793E">
      <w:pPr>
        <w:pStyle w:val="Textonotapie"/>
        <w:spacing w:after="120"/>
        <w:ind w:firstLine="709"/>
        <w:jc w:val="both"/>
        <w:rPr>
          <w:rFonts w:ascii="Verdana" w:hAnsi="Verdana" w:cs="Arial"/>
          <w:sz w:val="18"/>
          <w:szCs w:val="18"/>
        </w:rPr>
      </w:pPr>
      <w:r w:rsidRPr="000C1982">
        <w:rPr>
          <w:rStyle w:val="Refdenotaalpie"/>
          <w:rFonts w:ascii="Verdana" w:hAnsi="Verdana" w:cs="Arial"/>
          <w:sz w:val="18"/>
          <w:szCs w:val="18"/>
        </w:rPr>
        <w:footnoteRef/>
      </w:r>
      <w:r w:rsidRPr="000C1982">
        <w:rPr>
          <w:rFonts w:ascii="Verdana" w:hAnsi="Verdana" w:cs="Arial"/>
          <w:sz w:val="18"/>
          <w:szCs w:val="18"/>
        </w:rPr>
        <w:t xml:space="preserve"> Sin perjuicio de los dispuesto en el artículo 2.2.1.1.2.1.3. del Decreto 1082 de 2015 sobre el contenido del pliego de condiciones, donde se desarrolla de forma más exhaustiva cada uno de sus componentes mínimos.</w:t>
      </w:r>
    </w:p>
    <w:p w14:paraId="34D51A2E" w14:textId="77777777" w:rsidR="00B2793E" w:rsidRPr="001A52E3" w:rsidRDefault="00B2793E" w:rsidP="00B2793E">
      <w:pPr>
        <w:pStyle w:val="Textonotapie"/>
        <w:ind w:firstLine="708"/>
        <w:jc w:val="both"/>
        <w:rPr>
          <w:rFonts w:ascii="Verdana" w:hAnsi="Verdana" w:cs="Arial"/>
          <w:sz w:val="15"/>
          <w:szCs w:val="15"/>
        </w:rPr>
      </w:pPr>
    </w:p>
  </w:footnote>
  <w:footnote w:id="8">
    <w:p w14:paraId="6E5A1799" w14:textId="77777777" w:rsidR="00B2793E" w:rsidRPr="00582263" w:rsidRDefault="00B2793E" w:rsidP="00B2793E">
      <w:pPr>
        <w:pStyle w:val="Textonotapie"/>
        <w:ind w:firstLine="708"/>
        <w:jc w:val="both"/>
        <w:rPr>
          <w:rFonts w:ascii="Verdana" w:hAnsi="Verdana" w:cs="Arial"/>
          <w:color w:val="000000" w:themeColor="text1"/>
          <w:sz w:val="18"/>
          <w:szCs w:val="18"/>
        </w:rPr>
      </w:pPr>
      <w:r w:rsidRPr="00582263">
        <w:rPr>
          <w:rStyle w:val="Refdenotaalpie"/>
          <w:rFonts w:ascii="Verdana" w:hAnsi="Verdana" w:cs="Arial"/>
          <w:color w:val="000000" w:themeColor="text1"/>
          <w:sz w:val="18"/>
          <w:szCs w:val="18"/>
        </w:rPr>
        <w:footnoteRef/>
      </w:r>
      <w:r w:rsidRPr="00582263">
        <w:rPr>
          <w:rFonts w:ascii="Verdana" w:hAnsi="Verdana" w:cs="Arial"/>
          <w:color w:val="000000" w:themeColor="text1"/>
          <w:sz w:val="18"/>
          <w:szCs w:val="18"/>
        </w:rPr>
        <w:t xml:space="preserve"> Lo anterior, sin perjuicio de los casos en que resulten aplicables los documentos tipo –o pliegos tipo– de que trata el parágrafo 7 del artículo 2 de la Ley 1150 de 2007, modificado por el artículo 1 de la Ley 2022 de 2020.</w:t>
      </w:r>
    </w:p>
  </w:footnote>
  <w:footnote w:id="9">
    <w:p w14:paraId="11482DF7" w14:textId="77777777" w:rsidR="00B2793E" w:rsidRPr="00F02367" w:rsidRDefault="00B2793E" w:rsidP="00B2793E">
      <w:pPr>
        <w:pStyle w:val="Textonotapie"/>
        <w:spacing w:after="120"/>
        <w:ind w:firstLine="709"/>
        <w:jc w:val="both"/>
        <w:rPr>
          <w:rFonts w:ascii="Verdana" w:hAnsi="Verdana" w:cs="Arial"/>
          <w:sz w:val="18"/>
          <w:szCs w:val="18"/>
        </w:rPr>
      </w:pPr>
      <w:r w:rsidRPr="00F02367">
        <w:rPr>
          <w:rStyle w:val="Refdenotaalpie"/>
          <w:rFonts w:ascii="Verdana" w:hAnsi="Verdana" w:cs="Arial"/>
          <w:sz w:val="18"/>
          <w:szCs w:val="18"/>
        </w:rPr>
        <w:footnoteRef/>
      </w:r>
      <w:r w:rsidRPr="00F02367">
        <w:rPr>
          <w:rFonts w:ascii="Verdana" w:hAnsi="Verdana" w:cs="Arial"/>
          <w:sz w:val="18"/>
          <w:szCs w:val="18"/>
        </w:rPr>
        <w:t xml:space="preserve"> Sin perjuicio de lo que ocurre en los procedimientos de selección regidos por los documentos tipo, donde se reduce, en buena medida, dicha discrecionalidad.</w:t>
      </w:r>
    </w:p>
  </w:footnote>
  <w:footnote w:id="10">
    <w:p w14:paraId="19180711" w14:textId="77777777" w:rsidR="00B2793E" w:rsidRDefault="00B2793E" w:rsidP="00B2793E">
      <w:pPr>
        <w:pStyle w:val="Textonotapie"/>
        <w:spacing w:after="120"/>
        <w:ind w:firstLine="709"/>
        <w:contextualSpacing/>
        <w:jc w:val="both"/>
        <w:rPr>
          <w:rFonts w:ascii="Verdana" w:hAnsi="Verdana" w:cs="Arial"/>
          <w:color w:val="000000" w:themeColor="text1"/>
          <w:sz w:val="18"/>
          <w:szCs w:val="18"/>
        </w:rPr>
      </w:pPr>
      <w:r w:rsidRPr="000C1982">
        <w:rPr>
          <w:rStyle w:val="Refdenotaalpie"/>
          <w:rFonts w:ascii="Verdana" w:hAnsi="Verdana" w:cs="Arial"/>
          <w:color w:val="000000" w:themeColor="text1"/>
          <w:sz w:val="18"/>
          <w:szCs w:val="18"/>
        </w:rPr>
        <w:footnoteRef/>
      </w:r>
      <w:r w:rsidRPr="000C1982">
        <w:rPr>
          <w:rFonts w:ascii="Verdana" w:hAnsi="Verdana" w:cs="Arial"/>
          <w:color w:val="000000" w:themeColor="text1"/>
          <w:sz w:val="18"/>
          <w:szCs w:val="18"/>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p w14:paraId="49D3E2B4" w14:textId="77777777" w:rsidR="00B2793E" w:rsidRPr="000C1982" w:rsidRDefault="00B2793E" w:rsidP="00B2793E">
      <w:pPr>
        <w:pStyle w:val="Textonotapie"/>
        <w:spacing w:after="120"/>
        <w:ind w:firstLine="709"/>
        <w:contextualSpacing/>
        <w:jc w:val="both"/>
        <w:rPr>
          <w:rFonts w:ascii="Verdana" w:hAnsi="Verdana" w:cs="Arial"/>
          <w:color w:val="000000" w:themeColor="text1"/>
          <w:sz w:val="18"/>
          <w:szCs w:val="18"/>
        </w:rPr>
      </w:pPr>
    </w:p>
  </w:footnote>
  <w:footnote w:id="11">
    <w:p w14:paraId="60ACF0D3" w14:textId="77777777" w:rsidR="00B2793E" w:rsidRPr="000C1982" w:rsidRDefault="00B2793E" w:rsidP="00B2793E">
      <w:pPr>
        <w:pStyle w:val="Textonotapie"/>
        <w:spacing w:after="120"/>
        <w:ind w:firstLine="709"/>
        <w:contextualSpacing/>
        <w:jc w:val="both"/>
        <w:rPr>
          <w:rFonts w:ascii="Verdana" w:hAnsi="Verdana" w:cs="Arial"/>
          <w:color w:val="000000" w:themeColor="text1"/>
          <w:sz w:val="18"/>
          <w:szCs w:val="18"/>
        </w:rPr>
      </w:pPr>
      <w:r w:rsidRPr="000C1982">
        <w:rPr>
          <w:rStyle w:val="Refdenotaalpie"/>
          <w:rFonts w:ascii="Verdana" w:hAnsi="Verdana" w:cs="Arial"/>
          <w:color w:val="000000" w:themeColor="text1"/>
          <w:sz w:val="18"/>
          <w:szCs w:val="18"/>
        </w:rPr>
        <w:footnoteRef/>
      </w:r>
      <w:r w:rsidRPr="000C1982">
        <w:rPr>
          <w:rFonts w:ascii="Verdana" w:hAnsi="Verdana" w:cs="Arial"/>
          <w:color w:val="000000" w:themeColor="text1"/>
          <w:sz w:val="18"/>
          <w:szCs w:val="18"/>
        </w:rPr>
        <w:t xml:space="preserve"> DECRETO 1082 DE 2015: “Artículo 2.2.1.1.2.1.3. Pliegos de condiciones. Los pliegos de condiciones deben contener por lo menos la siguiente información:</w:t>
      </w:r>
    </w:p>
    <w:p w14:paraId="659FBBE5"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 xml:space="preserve">1. La descripción técnica, detallada y completa del bien o servicio objeto del contrato, identificado con el cuarto nivel del Clasificador de Bienes y Servicios, de ser posible o de lo contrario con el tercer nivel </w:t>
      </w:r>
      <w:proofErr w:type="gramStart"/>
      <w:r w:rsidRPr="00582263">
        <w:rPr>
          <w:rFonts w:ascii="Verdana" w:hAnsi="Verdana" w:cs="Arial"/>
          <w:color w:val="000000" w:themeColor="text1"/>
          <w:sz w:val="12"/>
          <w:szCs w:val="12"/>
        </w:rPr>
        <w:t>del mismo</w:t>
      </w:r>
      <w:proofErr w:type="gramEnd"/>
      <w:r w:rsidRPr="00582263">
        <w:rPr>
          <w:rFonts w:ascii="Verdana" w:hAnsi="Verdana" w:cs="Arial"/>
          <w:color w:val="000000" w:themeColor="text1"/>
          <w:sz w:val="12"/>
          <w:szCs w:val="12"/>
        </w:rPr>
        <w:t>.</w:t>
      </w:r>
    </w:p>
    <w:p w14:paraId="3BF839F3"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2. La modalidad del proceso de selección y su justificación.</w:t>
      </w:r>
    </w:p>
    <w:p w14:paraId="3CD3FF7C"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3. Los criterios de selección, incluyendo los factores de desempate y los incentivos cuando a ello haya lugar.</w:t>
      </w:r>
    </w:p>
    <w:p w14:paraId="2BFD1A94"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4. Las condiciones de costo y/o calidad que la Entidad Estatal debe tener en cuenta para la selección objetiva, de acuerdo con la modalidad de selección del contratista.</w:t>
      </w:r>
    </w:p>
    <w:p w14:paraId="27F17423"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5. Las reglas aplicables a la presentación de las ofertas, su evaluación y a la adjudicación del contrato.</w:t>
      </w:r>
    </w:p>
    <w:p w14:paraId="75012A6B"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6. Las causas que dan lugar a rechazar una oferta.</w:t>
      </w:r>
    </w:p>
    <w:p w14:paraId="48C5448E" w14:textId="77777777" w:rsidR="00B2793E" w:rsidRPr="00582263" w:rsidRDefault="00B2793E" w:rsidP="00B2793E">
      <w:pPr>
        <w:pStyle w:val="Textonotapie"/>
        <w:spacing w:after="120"/>
        <w:ind w:firstLine="709"/>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7. El valor del contrato, el plazo, el cronograma de pagos y la determinación de si debe haber lugar a la entrega de anticipo, y si hubiere, indicar su valor, el cual debe tener en cuenta los rendimientos que este pueda generar.</w:t>
      </w:r>
    </w:p>
    <w:p w14:paraId="52E3D4D3"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8. Los Riesgos asociados al contrato, la forma de mitigarlos y la asignación del Riesgo entre las partes contratantes.</w:t>
      </w:r>
    </w:p>
    <w:p w14:paraId="0968894F"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9. Las garantías exigidas en el Proceso de Contratación y sus condiciones.</w:t>
      </w:r>
    </w:p>
    <w:p w14:paraId="0A684956"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10. La mención de si la Entidad Estatal y el contrato objeto de los pliegos de condiciones están cubiertos por un Acuerdo Comercial.</w:t>
      </w:r>
    </w:p>
    <w:p w14:paraId="5DD20D1B"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11. Los términos, condiciones y minuta del contrato.</w:t>
      </w:r>
    </w:p>
    <w:p w14:paraId="5E4DACBC"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12. Los términos de la supervisión y/o de la interventoría del contrato.</w:t>
      </w:r>
    </w:p>
    <w:p w14:paraId="64E87FA9" w14:textId="77777777" w:rsidR="00B2793E" w:rsidRPr="00582263"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13. El plazo dentro del cual la Entidad Estatal puede expedir Adendas.</w:t>
      </w:r>
    </w:p>
    <w:p w14:paraId="46766EA8" w14:textId="77777777" w:rsidR="00B2793E" w:rsidRDefault="00B2793E" w:rsidP="00B2793E">
      <w:pPr>
        <w:pStyle w:val="Textonotapie"/>
        <w:ind w:firstLine="708"/>
        <w:contextualSpacing/>
        <w:jc w:val="both"/>
        <w:rPr>
          <w:rFonts w:ascii="Verdana" w:hAnsi="Verdana" w:cs="Arial"/>
          <w:color w:val="000000" w:themeColor="text1"/>
          <w:sz w:val="12"/>
          <w:szCs w:val="12"/>
        </w:rPr>
      </w:pPr>
      <w:r w:rsidRPr="00582263">
        <w:rPr>
          <w:rFonts w:ascii="Verdana" w:hAnsi="Verdana" w:cs="Arial"/>
          <w:color w:val="000000" w:themeColor="text1"/>
          <w:sz w:val="12"/>
          <w:szCs w:val="12"/>
        </w:rPr>
        <w:t>14. El Cronograma”.</w:t>
      </w:r>
    </w:p>
    <w:p w14:paraId="487FEAF6" w14:textId="77777777" w:rsidR="00B2793E" w:rsidRPr="00582263" w:rsidRDefault="00B2793E" w:rsidP="00B2793E">
      <w:pPr>
        <w:pStyle w:val="Textonotapie"/>
        <w:ind w:firstLine="708"/>
        <w:contextualSpacing/>
        <w:jc w:val="both"/>
        <w:rPr>
          <w:rFonts w:ascii="Verdana" w:hAnsi="Verdana" w:cs="Arial"/>
          <w:color w:val="000000" w:themeColor="text1"/>
          <w:sz w:val="18"/>
          <w:szCs w:val="18"/>
        </w:rPr>
      </w:pPr>
    </w:p>
  </w:footnote>
  <w:footnote w:id="12">
    <w:p w14:paraId="6E65C797" w14:textId="77777777" w:rsidR="00B2793E" w:rsidRPr="00582263" w:rsidRDefault="00B2793E" w:rsidP="00B2793E">
      <w:pPr>
        <w:pStyle w:val="Textonotapie"/>
        <w:ind w:firstLine="720"/>
        <w:jc w:val="both"/>
        <w:rPr>
          <w:rFonts w:ascii="Verdana" w:hAnsi="Verdana"/>
          <w:sz w:val="18"/>
          <w:szCs w:val="18"/>
          <w:lang w:val="es-CO"/>
        </w:rPr>
      </w:pPr>
      <w:r w:rsidRPr="00582263">
        <w:rPr>
          <w:rStyle w:val="Refdenotaalpie"/>
          <w:rFonts w:ascii="Verdana" w:hAnsi="Verdana"/>
          <w:sz w:val="18"/>
          <w:szCs w:val="18"/>
        </w:rPr>
        <w:footnoteRef/>
      </w:r>
      <w:r w:rsidRPr="00582263">
        <w:rPr>
          <w:rFonts w:ascii="Verdana" w:hAnsi="Verdana"/>
          <w:sz w:val="18"/>
          <w:szCs w:val="18"/>
        </w:rPr>
        <w:t xml:space="preserve"> </w:t>
      </w:r>
      <w:r w:rsidRPr="00582263">
        <w:rPr>
          <w:rFonts w:ascii="Verdana" w:hAnsi="Verdana"/>
          <w:sz w:val="18"/>
          <w:szCs w:val="18"/>
        </w:rPr>
        <w:t>De acuerdo con el artículo 2142 del Código Civil, el mandato es “un contrato en que una persona confía la gestión de uno o más negocios a otra, que se hace cargo de ellos por cuenta y riesgo de la primera”. Asimismo, el artículo 2177 ibidem, establece que “El mandatario puede, en el ejercicio de su cargo, contestar &lt;sic&gt; a su propio nombre o al del mandante; si contrata a su propio nombre no obliga respecto de terceros al mandante”.</w:t>
      </w:r>
    </w:p>
    <w:p w14:paraId="51A6DF18" w14:textId="77777777" w:rsidR="00B2793E" w:rsidRPr="005C6BAB" w:rsidRDefault="00B2793E" w:rsidP="00B2793E">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46540322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86487329" name="Imagen 386487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B606DB"/>
    <w:multiLevelType w:val="multilevel"/>
    <w:tmpl w:val="4E6E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9015C9"/>
    <w:multiLevelType w:val="multilevel"/>
    <w:tmpl w:val="F38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3EE7D34"/>
    <w:multiLevelType w:val="multilevel"/>
    <w:tmpl w:val="2450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4642334"/>
    <w:multiLevelType w:val="hybridMultilevel"/>
    <w:tmpl w:val="3FECA0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203983"/>
    <w:multiLevelType w:val="multilevel"/>
    <w:tmpl w:val="32EC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1"/>
  </w:num>
  <w:num w:numId="13" w16cid:durableId="1512908409">
    <w:abstractNumId w:val="5"/>
  </w:num>
  <w:num w:numId="14" w16cid:durableId="895897244">
    <w:abstractNumId w:val="18"/>
  </w:num>
  <w:num w:numId="15" w16cid:durableId="390349800">
    <w:abstractNumId w:val="13"/>
  </w:num>
  <w:num w:numId="16" w16cid:durableId="1380713882">
    <w:abstractNumId w:val="0"/>
  </w:num>
  <w:num w:numId="17" w16cid:durableId="1276667598">
    <w:abstractNumId w:val="19"/>
  </w:num>
  <w:num w:numId="18" w16cid:durableId="788888712">
    <w:abstractNumId w:val="4"/>
  </w:num>
  <w:num w:numId="19" w16cid:durableId="1943099715">
    <w:abstractNumId w:val="3"/>
  </w:num>
  <w:num w:numId="20" w16cid:durableId="154418199">
    <w:abstractNumId w:val="9"/>
  </w:num>
  <w:num w:numId="21" w16cid:durableId="2113670362">
    <w:abstractNumId w:val="12"/>
  </w:num>
  <w:num w:numId="22" w16cid:durableId="2945457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8EC"/>
    <w:rsid w:val="00016F78"/>
    <w:rsid w:val="00034BD4"/>
    <w:rsid w:val="00046945"/>
    <w:rsid w:val="00046FD3"/>
    <w:rsid w:val="000542A6"/>
    <w:rsid w:val="00061B2A"/>
    <w:rsid w:val="00082362"/>
    <w:rsid w:val="000A683E"/>
    <w:rsid w:val="000B19B9"/>
    <w:rsid w:val="000D0334"/>
    <w:rsid w:val="000D5DA7"/>
    <w:rsid w:val="000F6486"/>
    <w:rsid w:val="00116940"/>
    <w:rsid w:val="00125105"/>
    <w:rsid w:val="00127233"/>
    <w:rsid w:val="00156229"/>
    <w:rsid w:val="0015699B"/>
    <w:rsid w:val="001A33BF"/>
    <w:rsid w:val="001D0302"/>
    <w:rsid w:val="001E4177"/>
    <w:rsid w:val="001E4E9F"/>
    <w:rsid w:val="001F0B24"/>
    <w:rsid w:val="001F7DC6"/>
    <w:rsid w:val="0022400B"/>
    <w:rsid w:val="002421BB"/>
    <w:rsid w:val="00251DF0"/>
    <w:rsid w:val="0025796E"/>
    <w:rsid w:val="002707A2"/>
    <w:rsid w:val="00281916"/>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60C5"/>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7E1D"/>
    <w:rsid w:val="005566E8"/>
    <w:rsid w:val="00574867"/>
    <w:rsid w:val="00591460"/>
    <w:rsid w:val="005A65E0"/>
    <w:rsid w:val="005C3777"/>
    <w:rsid w:val="005C5CDC"/>
    <w:rsid w:val="005D476C"/>
    <w:rsid w:val="006200BF"/>
    <w:rsid w:val="006219F8"/>
    <w:rsid w:val="006302F7"/>
    <w:rsid w:val="00646B9F"/>
    <w:rsid w:val="00656F39"/>
    <w:rsid w:val="00665D70"/>
    <w:rsid w:val="00683C30"/>
    <w:rsid w:val="006900D9"/>
    <w:rsid w:val="00706C16"/>
    <w:rsid w:val="0071050F"/>
    <w:rsid w:val="007340C3"/>
    <w:rsid w:val="0075235A"/>
    <w:rsid w:val="00756841"/>
    <w:rsid w:val="007649AB"/>
    <w:rsid w:val="00771D0C"/>
    <w:rsid w:val="007833AC"/>
    <w:rsid w:val="007A0196"/>
    <w:rsid w:val="007B268C"/>
    <w:rsid w:val="007B7171"/>
    <w:rsid w:val="007C0C0F"/>
    <w:rsid w:val="007C3DC2"/>
    <w:rsid w:val="007E40A1"/>
    <w:rsid w:val="007E5497"/>
    <w:rsid w:val="00806F5F"/>
    <w:rsid w:val="00820278"/>
    <w:rsid w:val="008258C9"/>
    <w:rsid w:val="00840EAD"/>
    <w:rsid w:val="00844AE9"/>
    <w:rsid w:val="00867F95"/>
    <w:rsid w:val="00870211"/>
    <w:rsid w:val="008843B6"/>
    <w:rsid w:val="00891928"/>
    <w:rsid w:val="008A446D"/>
    <w:rsid w:val="008B25F1"/>
    <w:rsid w:val="008B36D9"/>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4478"/>
    <w:rsid w:val="00AA07E9"/>
    <w:rsid w:val="00AA7C9C"/>
    <w:rsid w:val="00AB0ADB"/>
    <w:rsid w:val="00B00C0E"/>
    <w:rsid w:val="00B01B1A"/>
    <w:rsid w:val="00B0381D"/>
    <w:rsid w:val="00B2793E"/>
    <w:rsid w:val="00B37075"/>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6135"/>
    <w:rsid w:val="00D520D8"/>
    <w:rsid w:val="00D61A6A"/>
    <w:rsid w:val="00D63AC2"/>
    <w:rsid w:val="00D7095A"/>
    <w:rsid w:val="00D7383B"/>
    <w:rsid w:val="00D7788A"/>
    <w:rsid w:val="00DA231B"/>
    <w:rsid w:val="00DC39FC"/>
    <w:rsid w:val="00DD59EF"/>
    <w:rsid w:val="00DF5254"/>
    <w:rsid w:val="00E02524"/>
    <w:rsid w:val="00E16408"/>
    <w:rsid w:val="00E20894"/>
    <w:rsid w:val="00E245AB"/>
    <w:rsid w:val="00E2764C"/>
    <w:rsid w:val="00E27F2E"/>
    <w:rsid w:val="00E50AFE"/>
    <w:rsid w:val="00E75C92"/>
    <w:rsid w:val="00E771DC"/>
    <w:rsid w:val="00E8772A"/>
    <w:rsid w:val="00E90F6B"/>
    <w:rsid w:val="00E92C27"/>
    <w:rsid w:val="00E930B2"/>
    <w:rsid w:val="00EA0E3D"/>
    <w:rsid w:val="00EA7EC7"/>
    <w:rsid w:val="00EC38A7"/>
    <w:rsid w:val="00EE1AA8"/>
    <w:rsid w:val="00F21E72"/>
    <w:rsid w:val="00F23FEA"/>
    <w:rsid w:val="00F31EDC"/>
    <w:rsid w:val="00F462B3"/>
    <w:rsid w:val="00F5664F"/>
    <w:rsid w:val="00F666C4"/>
    <w:rsid w:val="00F76AFC"/>
    <w:rsid w:val="00FA3FC5"/>
    <w:rsid w:val="00FA47C0"/>
    <w:rsid w:val="00FB5DD1"/>
    <w:rsid w:val="00FC2B5D"/>
    <w:rsid w:val="00FF1449"/>
    <w:rsid w:val="00FF7963"/>
    <w:rsid w:val="09908A09"/>
    <w:rsid w:val="0AE49058"/>
    <w:rsid w:val="13CFC91B"/>
    <w:rsid w:val="19A2EC2C"/>
    <w:rsid w:val="26ACF7C6"/>
    <w:rsid w:val="2859CA1B"/>
    <w:rsid w:val="2F004578"/>
    <w:rsid w:val="32A4F9CF"/>
    <w:rsid w:val="356CEDFD"/>
    <w:rsid w:val="3937ED4F"/>
    <w:rsid w:val="3A8CA9A3"/>
    <w:rsid w:val="3E81C184"/>
    <w:rsid w:val="42F05570"/>
    <w:rsid w:val="51B7263C"/>
    <w:rsid w:val="61608738"/>
    <w:rsid w:val="68FFB85F"/>
    <w:rsid w:val="69614A15"/>
    <w:rsid w:val="7198A75B"/>
    <w:rsid w:val="7333202E"/>
    <w:rsid w:val="7936310D"/>
    <w:rsid w:val="7B0ADAD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CCC00F88-814C-44DD-8360-35618D191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2793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2793E"/>
    <w:rPr>
      <w:rFonts w:ascii="Geomanist Light" w:hAnsi="Geomanist Light"/>
      <w:lang w:val="es-ES"/>
    </w:rPr>
  </w:style>
  <w:style w:type="paragraph" w:styleId="Textoindependiente">
    <w:name w:val="Body Text"/>
    <w:basedOn w:val="Normal"/>
    <w:link w:val="TextoindependienteCar"/>
    <w:uiPriority w:val="1"/>
    <w:qFormat/>
    <w:rsid w:val="00B2793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2793E"/>
    <w:rPr>
      <w:rFonts w:ascii="Arial" w:eastAsia="Arial" w:hAnsi="Arial" w:cs="Arial"/>
      <w:lang w:val="es-ES"/>
    </w:rPr>
  </w:style>
  <w:style w:type="character" w:customStyle="1" w:styleId="SinespaciadoCar">
    <w:name w:val="Sin espaciado Car"/>
    <w:aliases w:val="No Indent Car"/>
    <w:link w:val="Sinespaciado"/>
    <w:uiPriority w:val="3"/>
    <w:locked/>
    <w:rsid w:val="00B2793E"/>
  </w:style>
  <w:style w:type="paragraph" w:styleId="Sinespaciado">
    <w:name w:val="No Spacing"/>
    <w:aliases w:val="No Indent"/>
    <w:link w:val="SinespaciadoCar"/>
    <w:uiPriority w:val="3"/>
    <w:qFormat/>
    <w:rsid w:val="00B2793E"/>
    <w:pPr>
      <w:spacing w:after="0" w:line="240" w:lineRule="auto"/>
    </w:p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5/03/circular-externa_no._003_-_obligatoriedad_secop_ii_2024-2025.pdf" TargetMode="External"/><Relationship Id="rId1" Type="http://schemas.openxmlformats.org/officeDocument/2006/relationships/hyperlink" Target="https://www.colombiacompra.gov.co/wp-content/uploads/2024/08/proyecto_circular_externa_obligatoriedad_secopii_2023_rev._dg_f.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4CB47B4-55ED-46BF-A40D-618273A71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purl.org/dc/terms/"/>
    <ds:schemaRef ds:uri="9d85dbaf-23eb-4e57-a637-93dcacc8b1a1"/>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3956</Words>
  <Characters>21288</Characters>
  <Application>Microsoft Office Word</Application>
  <DocSecurity>0</DocSecurity>
  <Lines>462</Lines>
  <Paragraphs>126</Paragraphs>
  <ScaleCrop>false</ScaleCrop>
  <Company/>
  <LinksUpToDate>false</LinksUpToDate>
  <CharactersWithSpaces>25118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2023-01-11T00:18:00Z</cp:lastPrinted>
  <dcterms:created xsi:type="dcterms:W3CDTF">2025-11-28T00:02:00Z</dcterms:created>
  <dcterms:modified xsi:type="dcterms:W3CDTF">2025-11-28T00:02:00Z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