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523BC0" w14:textId="77777777" w:rsidR="00AE0ACD" w:rsidRPr="009B46EA" w:rsidRDefault="00AE0ACD" w:rsidP="00AE0ACD">
      <w:pPr>
        <w:pStyle w:val="Textoindependiente"/>
        <w:spacing w:after="0" w:line="240" w:lineRule="auto"/>
        <w:ind w:right="102"/>
        <w:jc w:val="both"/>
        <w:rPr>
          <w:rFonts w:ascii="Verdana" w:hAnsi="Verdana" w:cs="Arial"/>
          <w:b/>
          <w:color w:val="000000" w:themeColor="text1"/>
          <w:sz w:val="20"/>
          <w:szCs w:val="20"/>
          <w:lang w:val="es-ES_tradnl"/>
        </w:rPr>
      </w:pPr>
    </w:p>
    <w:p w14:paraId="32CADEDD" w14:textId="77777777" w:rsidR="00AE0ACD" w:rsidRPr="009B46EA" w:rsidRDefault="00AE0ACD" w:rsidP="00AE0ACD">
      <w:pPr>
        <w:pStyle w:val="Textoindependiente"/>
        <w:spacing w:after="0" w:line="240" w:lineRule="auto"/>
        <w:ind w:right="102"/>
        <w:jc w:val="both"/>
        <w:rPr>
          <w:rFonts w:ascii="Verdana" w:hAnsi="Verdana" w:cs="Arial"/>
          <w:b/>
          <w:color w:val="000000" w:themeColor="text1"/>
          <w:lang w:val="es-ES_tradnl"/>
        </w:rPr>
      </w:pPr>
      <w:r w:rsidRPr="009B46EA">
        <w:rPr>
          <w:rFonts w:ascii="Verdana" w:hAnsi="Verdana" w:cs="Arial"/>
          <w:b/>
          <w:color w:val="000000" w:themeColor="text1"/>
          <w:lang w:val="es-ES_tradnl"/>
        </w:rPr>
        <w:t xml:space="preserve">DECRETO 092 DE 2017 – Finalidad – Clases de contratos </w:t>
      </w:r>
    </w:p>
    <w:p w14:paraId="2BD48949" w14:textId="77777777" w:rsidR="00AE0ACD" w:rsidRPr="009B46EA" w:rsidRDefault="00AE0ACD" w:rsidP="00AE0ACD">
      <w:pPr>
        <w:pStyle w:val="Textoindependiente"/>
        <w:spacing w:after="0" w:line="240" w:lineRule="auto"/>
        <w:ind w:right="102"/>
        <w:jc w:val="both"/>
        <w:rPr>
          <w:rFonts w:ascii="Verdana" w:hAnsi="Verdana" w:cs="Arial"/>
          <w:color w:val="000000" w:themeColor="text1"/>
          <w:sz w:val="20"/>
          <w:szCs w:val="20"/>
          <w:lang w:val="es-ES_tradnl"/>
        </w:rPr>
      </w:pPr>
    </w:p>
    <w:p w14:paraId="13A38B47" w14:textId="77777777" w:rsidR="00AE0ACD" w:rsidRPr="009B46EA" w:rsidRDefault="00AE0ACD" w:rsidP="00AE0ACD">
      <w:pPr>
        <w:spacing w:after="0" w:line="240" w:lineRule="auto"/>
        <w:jc w:val="both"/>
        <w:rPr>
          <w:rFonts w:ascii="Verdana" w:eastAsia="Arial" w:hAnsi="Verdana" w:cs="Arial"/>
          <w:color w:val="000000" w:themeColor="text1"/>
          <w:sz w:val="20"/>
          <w:szCs w:val="20"/>
          <w:lang w:val="es-ES_tradnl"/>
        </w:rPr>
      </w:pPr>
      <w:r w:rsidRPr="009B46EA">
        <w:rPr>
          <w:rFonts w:ascii="Verdana" w:eastAsia="Arial" w:hAnsi="Verdana" w:cs="Arial"/>
          <w:color w:val="000000" w:themeColor="text1"/>
          <w:sz w:val="20"/>
          <w:szCs w:val="20"/>
          <w:lang w:val="es-ES_tradnl"/>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9B46EA">
        <w:rPr>
          <w:rFonts w:ascii="Verdana" w:eastAsia="Arial" w:hAnsi="Verdana" w:cs="Arial"/>
          <w:color w:val="000000" w:themeColor="text1"/>
          <w:sz w:val="20"/>
          <w:szCs w:val="20"/>
          <w:lang w:val="es-ES_tradnl"/>
        </w:rPr>
        <w:t>ii</w:t>
      </w:r>
      <w:proofErr w:type="spellEnd"/>
      <w:r w:rsidRPr="009B46EA">
        <w:rPr>
          <w:rFonts w:ascii="Verdana" w:eastAsia="Arial" w:hAnsi="Verdana" w:cs="Arial"/>
          <w:color w:val="000000" w:themeColor="text1"/>
          <w:sz w:val="20"/>
          <w:szCs w:val="20"/>
          <w:lang w:val="es-ES_tradnl"/>
        </w:rPr>
        <w:t>) los convenios de asociación, para el desarrollo conjunto de actividades relacionadas con las funciones de las entidades estatales, en desarrollo del artículo 96 de la Ley 489 de 1998.</w:t>
      </w:r>
    </w:p>
    <w:p w14:paraId="0422E525" w14:textId="77777777" w:rsidR="00AE0ACD" w:rsidRPr="009B46EA" w:rsidRDefault="00AE0ACD" w:rsidP="00AE0ACD">
      <w:pPr>
        <w:spacing w:after="0" w:line="240" w:lineRule="auto"/>
        <w:jc w:val="both"/>
        <w:rPr>
          <w:rFonts w:ascii="Verdana" w:eastAsia="Calibri" w:hAnsi="Verdana" w:cs="Arial"/>
          <w:b/>
          <w:color w:val="000000" w:themeColor="text1"/>
          <w:lang w:val="es-ES_tradnl"/>
        </w:rPr>
      </w:pPr>
    </w:p>
    <w:p w14:paraId="49BD7D11" w14:textId="77777777" w:rsidR="00AE0ACD" w:rsidRPr="009B46EA" w:rsidRDefault="00AE0ACD" w:rsidP="00AE0ACD">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CONTRATACIÓN CON ESAL – Contrato de colaboración – Objeto – Alcance </w:t>
      </w:r>
    </w:p>
    <w:p w14:paraId="0573D55A" w14:textId="77777777" w:rsidR="00AE0ACD" w:rsidRPr="009B46EA" w:rsidRDefault="00AE0ACD" w:rsidP="00AE0ACD">
      <w:pPr>
        <w:spacing w:after="0" w:line="240" w:lineRule="auto"/>
        <w:jc w:val="both"/>
        <w:rPr>
          <w:rFonts w:ascii="Verdana" w:eastAsia="Calibri" w:hAnsi="Verdana" w:cs="Arial"/>
          <w:bCs/>
          <w:color w:val="000000" w:themeColor="text1"/>
          <w:sz w:val="20"/>
          <w:szCs w:val="20"/>
          <w:lang w:val="es-ES_tradnl"/>
        </w:rPr>
      </w:pPr>
    </w:p>
    <w:p w14:paraId="47CC833C" w14:textId="77777777" w:rsidR="00AE0ACD" w:rsidRPr="009B46EA" w:rsidRDefault="00AE0ACD" w:rsidP="00AE0ACD">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0BD36EB7" w14:textId="77777777" w:rsidR="00AE0ACD" w:rsidRPr="009B46EA" w:rsidRDefault="00AE0ACD" w:rsidP="00AE0ACD">
      <w:pPr>
        <w:spacing w:after="0" w:line="240" w:lineRule="auto"/>
        <w:jc w:val="both"/>
        <w:rPr>
          <w:rFonts w:ascii="Verdana" w:hAnsi="Verdana" w:cs="Arial"/>
          <w:color w:val="000000" w:themeColor="text1"/>
          <w:sz w:val="21"/>
          <w:szCs w:val="21"/>
          <w:lang w:val="es-ES_tradnl"/>
        </w:rPr>
      </w:pPr>
    </w:p>
    <w:p w14:paraId="494B14C2" w14:textId="77777777" w:rsidR="00AE0ACD" w:rsidRPr="009B46EA" w:rsidRDefault="00AE0ACD" w:rsidP="00AE0ACD">
      <w:pPr>
        <w:spacing w:after="0" w:line="240" w:lineRule="auto"/>
        <w:jc w:val="both"/>
        <w:rPr>
          <w:rFonts w:ascii="Verdana" w:eastAsia="Calibri" w:hAnsi="Verdana" w:cs="Arial"/>
          <w:b/>
          <w:color w:val="000000" w:themeColor="text1"/>
          <w:lang w:val="es-ES_tradnl"/>
        </w:rPr>
      </w:pPr>
      <w:bookmarkStart w:id="0" w:name="_Hlk109118876"/>
      <w:r w:rsidRPr="009B46EA">
        <w:rPr>
          <w:rFonts w:ascii="Verdana" w:eastAsia="Calibri" w:hAnsi="Verdana" w:cs="Arial"/>
          <w:b/>
          <w:color w:val="000000" w:themeColor="text1"/>
          <w:lang w:val="es-ES_tradnl"/>
        </w:rPr>
        <w:t>CONTRATACIÓN CON ESAL –</w:t>
      </w:r>
      <w:bookmarkEnd w:id="0"/>
      <w:r w:rsidRPr="009B46EA">
        <w:rPr>
          <w:rFonts w:ascii="Verdana" w:eastAsia="Calibri" w:hAnsi="Verdana" w:cs="Arial"/>
          <w:b/>
          <w:color w:val="000000" w:themeColor="text1"/>
          <w:lang w:val="es-ES_tradnl"/>
        </w:rPr>
        <w:t xml:space="preserve"> Contrato de asociación – Objeto – Alcance </w:t>
      </w:r>
    </w:p>
    <w:p w14:paraId="60682BBE" w14:textId="77777777" w:rsidR="00AE0ACD" w:rsidRPr="009B46EA" w:rsidRDefault="00AE0ACD" w:rsidP="00AE0ACD">
      <w:pPr>
        <w:spacing w:after="0" w:line="240" w:lineRule="auto"/>
        <w:jc w:val="both"/>
        <w:rPr>
          <w:rFonts w:ascii="Verdana" w:eastAsia="Calibri" w:hAnsi="Verdana" w:cs="Arial"/>
          <w:b/>
          <w:color w:val="000000" w:themeColor="text1"/>
          <w:lang w:val="es-ES_tradnl"/>
        </w:rPr>
      </w:pPr>
    </w:p>
    <w:p w14:paraId="17630CFD" w14:textId="77777777" w:rsidR="00AE0ACD" w:rsidRPr="009B46EA" w:rsidRDefault="00AE0ACD" w:rsidP="00AE0ACD">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De otro lado, los convenios de asociación «[t]</w:t>
      </w:r>
      <w:proofErr w:type="spellStart"/>
      <w:r w:rsidRPr="009B46EA">
        <w:rPr>
          <w:rFonts w:ascii="Verdana" w:hAnsi="Verdana" w:cs="Arial"/>
          <w:color w:val="000000" w:themeColor="text1"/>
          <w:sz w:val="20"/>
          <w:szCs w:val="20"/>
          <w:lang w:val="es-ES_tradnl"/>
        </w:rPr>
        <w:t>ienen</w:t>
      </w:r>
      <w:proofErr w:type="spellEnd"/>
      <w:r w:rsidRPr="009B46EA">
        <w:rPr>
          <w:rFonts w:ascii="Verdana" w:hAnsi="Verdana" w:cs="Arial"/>
          <w:color w:val="000000" w:themeColor="text1"/>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p>
    <w:p w14:paraId="4DF60E24" w14:textId="77777777" w:rsidR="00AE0ACD" w:rsidRPr="009B46EA" w:rsidRDefault="00AE0ACD" w:rsidP="00AE0ACD">
      <w:pPr>
        <w:spacing w:after="0" w:line="240" w:lineRule="auto"/>
        <w:jc w:val="both"/>
        <w:rPr>
          <w:rFonts w:ascii="Verdana" w:hAnsi="Verdana" w:cs="Arial"/>
          <w:color w:val="000000" w:themeColor="text1"/>
          <w:sz w:val="20"/>
          <w:szCs w:val="20"/>
          <w:lang w:val="es-ES_tradnl"/>
        </w:rPr>
      </w:pPr>
    </w:p>
    <w:p w14:paraId="738958D0" w14:textId="77777777" w:rsidR="00AE0ACD" w:rsidRPr="009B46EA" w:rsidRDefault="00AE0ACD" w:rsidP="00AE0ACD">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CONVENIOS DE ASOCIACIÓN – Multiplicidad de sujetos – Límites legales</w:t>
      </w:r>
    </w:p>
    <w:p w14:paraId="77210651" w14:textId="77777777" w:rsidR="00AE0ACD" w:rsidRPr="009B46EA" w:rsidRDefault="00AE0ACD" w:rsidP="00AE0ACD">
      <w:pPr>
        <w:spacing w:after="0" w:line="240" w:lineRule="auto"/>
        <w:jc w:val="both"/>
        <w:rPr>
          <w:rFonts w:ascii="Verdana" w:hAnsi="Verdana" w:cs="Arial"/>
          <w:color w:val="000000" w:themeColor="text1"/>
          <w:sz w:val="20"/>
          <w:szCs w:val="20"/>
          <w:lang w:val="es-ES_tradnl"/>
        </w:rPr>
      </w:pPr>
    </w:p>
    <w:p w14:paraId="48FC3AB3" w14:textId="77777777" w:rsidR="00AE0ACD" w:rsidRPr="009B46EA" w:rsidRDefault="00AE0ACD" w:rsidP="00AE0ACD">
      <w:pPr>
        <w:pStyle w:val="Sinespaciad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xml:space="preserve">La normativa vigente no impide que varias entidades suscriban conjuntamente el convenio de asociación y tampoco que dos o más ESAL pueden hacerlo, a través de las figuras asociativas autorizadas por la ley, por ejemplo, como unión temporal o como consorcio. Sin embargo, como el artículo 96 de la Ley 489 de 1998 determina que el convenio busca el desarrollo conjunto de actividades en relación con los cometidos y funciones que la ley les asigna a las entidades estatales, lo cierto es que las funciones </w:t>
      </w:r>
      <w:r w:rsidRPr="009B46EA">
        <w:rPr>
          <w:rFonts w:ascii="Verdana" w:hAnsi="Verdana" w:cs="Arial"/>
          <w:color w:val="000000" w:themeColor="text1"/>
          <w:sz w:val="20"/>
          <w:szCs w:val="20"/>
          <w:lang w:val="es-ES_tradnl"/>
        </w:rPr>
        <w:lastRenderedPageBreak/>
        <w:t>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 o las entidades deben asegurarse de que su contratista, es decir, una o varias ESAL, aporten al menos el treinta por ciento del valor del convenio para celebrarlo directamente.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0F64C6D0" w14:textId="77777777" w:rsidR="00AE0ACD" w:rsidRPr="009B46EA" w:rsidRDefault="00AE0ACD" w:rsidP="00AE0ACD">
      <w:pPr>
        <w:pStyle w:val="Sinespaciado"/>
        <w:jc w:val="both"/>
        <w:rPr>
          <w:rFonts w:ascii="Verdana" w:hAnsi="Verdana" w:cs="Arial"/>
          <w:color w:val="000000" w:themeColor="text1"/>
          <w:sz w:val="20"/>
          <w:szCs w:val="20"/>
          <w:lang w:val="es-ES_tradnl"/>
        </w:rPr>
      </w:pPr>
    </w:p>
    <w:p w14:paraId="282BCE9D" w14:textId="77777777" w:rsidR="00AE0ACD" w:rsidRPr="009B46EA" w:rsidRDefault="00AE0ACD" w:rsidP="00AE0ACD">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DECRETO 092 DE 2017 – Criterios – Aplicación </w:t>
      </w:r>
    </w:p>
    <w:p w14:paraId="33A22797" w14:textId="77777777" w:rsidR="00AE0ACD" w:rsidRPr="009B46EA" w:rsidRDefault="00AE0ACD" w:rsidP="00AE0ACD">
      <w:pPr>
        <w:spacing w:after="0" w:line="240" w:lineRule="auto"/>
        <w:jc w:val="both"/>
        <w:rPr>
          <w:rFonts w:ascii="Verdana" w:hAnsi="Verdana" w:cs="Arial"/>
          <w:color w:val="000000" w:themeColor="text1"/>
          <w:sz w:val="21"/>
          <w:szCs w:val="21"/>
          <w:lang w:val="es-ES_tradnl"/>
        </w:rPr>
      </w:pPr>
    </w:p>
    <w:p w14:paraId="6ED59B6D" w14:textId="77777777" w:rsidR="00AE0ACD" w:rsidRDefault="00AE0ACD" w:rsidP="00AE0ACD">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p>
    <w:p w14:paraId="13B8A10E" w14:textId="77777777" w:rsidR="00AE0ACD" w:rsidRPr="009B46EA" w:rsidRDefault="00AE0ACD" w:rsidP="00AE0ACD">
      <w:pPr>
        <w:spacing w:after="0" w:line="240" w:lineRule="auto"/>
        <w:jc w:val="both"/>
        <w:rPr>
          <w:rFonts w:ascii="Verdana" w:hAnsi="Verdana" w:cs="Arial"/>
          <w:color w:val="000000" w:themeColor="text1"/>
          <w:sz w:val="20"/>
          <w:szCs w:val="20"/>
          <w:lang w:val="es-ES_tradnl"/>
        </w:rPr>
      </w:pPr>
    </w:p>
    <w:p w14:paraId="2D0764B0" w14:textId="77777777" w:rsidR="00AE0ACD" w:rsidRPr="009B46EA" w:rsidRDefault="00AE0ACD" w:rsidP="00AE0ACD">
      <w:pPr>
        <w:spacing w:after="0" w:line="240" w:lineRule="auto"/>
        <w:jc w:val="both"/>
        <w:rPr>
          <w:rFonts w:ascii="Verdana" w:eastAsia="Arial" w:hAnsi="Verdana" w:cs="Arial"/>
          <w:b/>
          <w:bCs/>
          <w:color w:val="000000" w:themeColor="text1"/>
          <w:lang w:val="es-ES_tradnl"/>
        </w:rPr>
      </w:pPr>
      <w:r w:rsidRPr="009B46EA">
        <w:rPr>
          <w:rFonts w:ascii="Verdana" w:eastAsia="Arial" w:hAnsi="Verdana" w:cs="Arial"/>
          <w:b/>
          <w:bCs/>
          <w:color w:val="000000" w:themeColor="text1"/>
          <w:lang w:val="es-ES_tradnl"/>
        </w:rPr>
        <w:t xml:space="preserve">DECRETO 092 DE 2017 – Normativa vigente </w:t>
      </w:r>
    </w:p>
    <w:p w14:paraId="0FAE7C2C" w14:textId="77777777" w:rsidR="00AE0ACD" w:rsidRPr="009B46EA" w:rsidRDefault="00AE0ACD" w:rsidP="00AE0ACD">
      <w:pPr>
        <w:spacing w:after="0" w:line="240" w:lineRule="auto"/>
        <w:jc w:val="both"/>
        <w:rPr>
          <w:rFonts w:ascii="Verdana" w:eastAsia="Arial" w:hAnsi="Verdana" w:cs="Arial"/>
          <w:b/>
          <w:bCs/>
          <w:color w:val="000000" w:themeColor="text1"/>
          <w:lang w:val="es-ES_tradnl"/>
        </w:rPr>
      </w:pPr>
    </w:p>
    <w:p w14:paraId="33DE5B5C" w14:textId="77777777" w:rsidR="00AE0ACD" w:rsidRDefault="00AE0ACD" w:rsidP="00AE0ACD">
      <w:pPr>
        <w:spacing w:after="0" w:line="240" w:lineRule="auto"/>
        <w:jc w:val="both"/>
        <w:rPr>
          <w:rFonts w:ascii="Verdana" w:hAnsi="Verdana" w:cs="Arial"/>
          <w:color w:val="000000" w:themeColor="text1"/>
          <w:sz w:val="20"/>
          <w:szCs w:val="20"/>
          <w:lang w:val="es-ES_tradnl"/>
        </w:rPr>
      </w:pPr>
      <w:r w:rsidRPr="008251D0">
        <w:rPr>
          <w:rFonts w:ascii="Verdana" w:hAnsi="Verdana" w:cs="Arial"/>
          <w:color w:val="000000" w:themeColor="text1"/>
          <w:sz w:val="20"/>
          <w:szCs w:val="20"/>
          <w:lang w:val="es-ES_tradnl"/>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8251D0">
        <w:rPr>
          <w:rFonts w:ascii="Verdana" w:hAnsi="Verdana" w:cs="Arial"/>
          <w:color w:val="000000" w:themeColor="text1"/>
          <w:sz w:val="20"/>
          <w:szCs w:val="20"/>
          <w:lang w:val="es-ES_tradnl"/>
        </w:rPr>
        <w:t>ii</w:t>
      </w:r>
      <w:proofErr w:type="spellEnd"/>
      <w:r w:rsidRPr="008251D0">
        <w:rPr>
          <w:rFonts w:ascii="Verdana" w:hAnsi="Verdana" w:cs="Arial"/>
          <w:color w:val="000000" w:themeColor="text1"/>
          <w:sz w:val="20"/>
          <w:szCs w:val="20"/>
          <w:lang w:val="es-ES_tradnl"/>
        </w:rPr>
        <w:t xml:space="preserve">) tampoco debe condicionarse a que la contratación con las ESAL garantice la optimización de los recursos públicos en términos de eficiencia, eficacia, economía y manejo del riesgo;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xml:space="preserve">) el objeto del contrato debe estar acorde con el plan nacional o seccional de desarrollo; </w:t>
      </w:r>
      <w:proofErr w:type="spellStart"/>
      <w:r w:rsidRPr="008251D0">
        <w:rPr>
          <w:rFonts w:ascii="Verdana" w:hAnsi="Verdana" w:cs="Arial"/>
          <w:color w:val="000000" w:themeColor="text1"/>
          <w:sz w:val="20"/>
          <w:szCs w:val="20"/>
          <w:lang w:val="es-ES_tradnl"/>
        </w:rPr>
        <w:t>iv</w:t>
      </w:r>
      <w:proofErr w:type="spellEnd"/>
      <w:r w:rsidRPr="008251D0">
        <w:rPr>
          <w:rFonts w:ascii="Verdana" w:hAnsi="Verdana" w:cs="Arial"/>
          <w:color w:val="000000" w:themeColor="text1"/>
          <w:sz w:val="20"/>
          <w:szCs w:val="20"/>
          <w:lang w:val="es-ES_tradnl"/>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y v) el contrato no debe establecer una relación conmutativa en el cual haya una contraprestación directa a favor de la entidad, ni instrucciones precisas dadas por esta al contratista para cumplir con el objeto del contrato</w:t>
      </w:r>
      <w:r w:rsidRPr="009B46EA">
        <w:rPr>
          <w:rFonts w:ascii="Verdana" w:hAnsi="Verdana" w:cs="Arial"/>
          <w:color w:val="000000" w:themeColor="text1"/>
          <w:sz w:val="20"/>
          <w:szCs w:val="20"/>
          <w:lang w:val="es-ES_tradnl"/>
        </w:rPr>
        <w:t>.</w:t>
      </w:r>
    </w:p>
    <w:p w14:paraId="746394D0" w14:textId="77777777" w:rsidR="00AE0ACD" w:rsidRPr="009B46EA" w:rsidRDefault="00AE0ACD" w:rsidP="00AE0ACD">
      <w:pPr>
        <w:spacing w:after="0" w:line="240" w:lineRule="auto"/>
        <w:jc w:val="both"/>
        <w:rPr>
          <w:rFonts w:ascii="Verdana" w:hAnsi="Verdana" w:cs="Arial"/>
          <w:color w:val="000000" w:themeColor="text1"/>
          <w:sz w:val="20"/>
          <w:szCs w:val="20"/>
          <w:lang w:val="es-ES_tradnl"/>
        </w:rPr>
      </w:pPr>
    </w:p>
    <w:p w14:paraId="2B50D8D7" w14:textId="77777777" w:rsidR="00AE0ACD" w:rsidRPr="009B46EA" w:rsidRDefault="00AE0ACD" w:rsidP="00AE0ACD">
      <w:pPr>
        <w:spacing w:after="0" w:line="240" w:lineRule="auto"/>
        <w:jc w:val="both"/>
        <w:rPr>
          <w:rFonts w:ascii="Verdana" w:eastAsia="Arial" w:hAnsi="Verdana" w:cs="Arial"/>
          <w:b/>
          <w:bCs/>
          <w:color w:val="000000" w:themeColor="text1"/>
          <w:lang w:val="es-ES_tradnl"/>
        </w:rPr>
      </w:pPr>
      <w:r>
        <w:rPr>
          <w:rFonts w:ascii="Verdana" w:eastAsia="Arial" w:hAnsi="Verdana" w:cs="Arial"/>
          <w:b/>
          <w:bCs/>
          <w:color w:val="000000" w:themeColor="text1"/>
          <w:lang w:val="es-ES_tradnl"/>
        </w:rPr>
        <w:lastRenderedPageBreak/>
        <w:t>INTEGRACIÓN NORMATIVA – Reglas</w:t>
      </w:r>
      <w:r w:rsidRPr="008251D0">
        <w:rPr>
          <w:rFonts w:ascii="Verdana" w:eastAsia="Arial" w:hAnsi="Verdana" w:cs="Arial"/>
          <w:b/>
          <w:bCs/>
          <w:color w:val="000000" w:themeColor="text1"/>
          <w:lang w:val="es-ES_tradnl"/>
        </w:rPr>
        <w:t xml:space="preserve"> generales del sistema de contratación pública</w:t>
      </w:r>
      <w:r>
        <w:rPr>
          <w:rFonts w:ascii="Verdana" w:eastAsia="Arial" w:hAnsi="Verdana" w:cs="Arial"/>
          <w:b/>
          <w:bCs/>
          <w:color w:val="000000" w:themeColor="text1"/>
          <w:lang w:val="es-ES_tradnl"/>
        </w:rPr>
        <w:t xml:space="preserve"> </w:t>
      </w:r>
    </w:p>
    <w:p w14:paraId="579B6B86" w14:textId="77777777" w:rsidR="00AE0ACD" w:rsidRPr="009B46EA" w:rsidRDefault="00AE0ACD" w:rsidP="00AE0ACD">
      <w:pPr>
        <w:spacing w:after="0" w:line="240" w:lineRule="auto"/>
        <w:jc w:val="both"/>
        <w:rPr>
          <w:rFonts w:ascii="Verdana" w:eastAsia="Arial" w:hAnsi="Verdana" w:cs="Arial"/>
          <w:b/>
          <w:bCs/>
          <w:color w:val="000000" w:themeColor="text1"/>
          <w:lang w:val="es-ES_tradnl"/>
        </w:rPr>
      </w:pPr>
    </w:p>
    <w:p w14:paraId="0078CF19" w14:textId="77777777" w:rsidR="00AE0ACD" w:rsidRDefault="00AE0ACD" w:rsidP="00AE0ACD">
      <w:pPr>
        <w:spacing w:after="0" w:line="240" w:lineRule="auto"/>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E</w:t>
      </w:r>
      <w:r w:rsidRPr="008251D0">
        <w:rPr>
          <w:rFonts w:ascii="Verdana" w:hAnsi="Verdana" w:cs="Arial"/>
          <w:color w:val="000000" w:themeColor="text1"/>
          <w:sz w:val="20"/>
          <w:szCs w:val="20"/>
          <w:lang w:val="es-ES_tradnl"/>
        </w:rPr>
        <w:t xml:space="preserve">l artículo 8 del Decreto 092 de 2017 </w:t>
      </w:r>
      <w:r w:rsidRPr="008251D0">
        <w:rPr>
          <w:rFonts w:ascii="Verdana" w:hAnsi="Verdana" w:cs="Arial"/>
          <w:i/>
          <w:iCs/>
          <w:color w:val="000000" w:themeColor="text1"/>
          <w:sz w:val="20"/>
          <w:szCs w:val="20"/>
          <w:lang w:val="es-ES_tradnl"/>
        </w:rPr>
        <w:t>remite integralmente</w:t>
      </w:r>
      <w:r w:rsidRPr="008251D0">
        <w:rPr>
          <w:rFonts w:ascii="Verdana" w:hAnsi="Verdana" w:cs="Arial"/>
          <w:color w:val="000000" w:themeColor="text1"/>
          <w:sz w:val="20"/>
          <w:szCs w:val="20"/>
          <w:lang w:val="es-ES_tradnl"/>
        </w:rPr>
        <w:t xml:space="preserv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En esta medida, los </w:t>
      </w:r>
      <w:r w:rsidRPr="008251D0">
        <w:rPr>
          <w:rFonts w:ascii="Verdana" w:hAnsi="Verdana" w:cs="Arial"/>
          <w:i/>
          <w:iCs/>
          <w:color w:val="000000" w:themeColor="text1"/>
          <w:sz w:val="20"/>
          <w:szCs w:val="20"/>
          <w:lang w:val="es-ES_tradnl"/>
        </w:rPr>
        <w:t xml:space="preserve">contratos del artículo 355 de la Constitución </w:t>
      </w:r>
      <w:r w:rsidRPr="008251D0">
        <w:rPr>
          <w:rFonts w:ascii="Verdana" w:hAnsi="Verdana" w:cs="Arial"/>
          <w:color w:val="000000" w:themeColor="text1"/>
          <w:sz w:val="20"/>
          <w:szCs w:val="20"/>
          <w:lang w:val="es-ES_tradnl"/>
        </w:rPr>
        <w:t xml:space="preserve">y los </w:t>
      </w:r>
      <w:r w:rsidRPr="008251D0">
        <w:rPr>
          <w:rFonts w:ascii="Verdana" w:hAnsi="Verdana" w:cs="Arial"/>
          <w:i/>
          <w:iCs/>
          <w:color w:val="000000" w:themeColor="text1"/>
          <w:sz w:val="20"/>
          <w:szCs w:val="20"/>
          <w:lang w:val="es-ES_tradnl"/>
        </w:rPr>
        <w:t>convenios de asociación</w:t>
      </w:r>
      <w:r w:rsidRPr="008251D0">
        <w:rPr>
          <w:rFonts w:ascii="Verdana" w:hAnsi="Verdana" w:cs="Arial"/>
          <w:color w:val="000000" w:themeColor="text1"/>
          <w:sz w:val="20"/>
          <w:szCs w:val="20"/>
          <w:lang w:val="es-ES_tradnl"/>
        </w:rPr>
        <w:t xml:space="preserve"> se rigen por el decreto y las normas del Estatuto General que sean compatibles con él.</w:t>
      </w:r>
    </w:p>
    <w:p w14:paraId="35AD9646" w14:textId="77777777" w:rsidR="00AE0ACD" w:rsidRDefault="00AE0ACD" w:rsidP="00AE0ACD">
      <w:pPr>
        <w:spacing w:after="0" w:line="240" w:lineRule="auto"/>
        <w:jc w:val="both"/>
        <w:rPr>
          <w:rFonts w:ascii="Verdana" w:hAnsi="Verdana" w:cs="Arial"/>
          <w:color w:val="000000" w:themeColor="text1"/>
          <w:sz w:val="20"/>
          <w:szCs w:val="20"/>
          <w:lang w:val="es-ES_tradnl"/>
        </w:rPr>
      </w:pPr>
    </w:p>
    <w:p w14:paraId="5F6ACB01" w14:textId="77777777" w:rsidR="00AE0ACD" w:rsidRPr="00FD1291" w:rsidRDefault="00AE0ACD" w:rsidP="00AE0ACD">
      <w:pPr>
        <w:spacing w:after="0" w:line="240" w:lineRule="auto"/>
        <w:jc w:val="both"/>
        <w:rPr>
          <w:rFonts w:ascii="Verdana" w:hAnsi="Verdana" w:cs="Arial"/>
          <w:b/>
          <w:bCs/>
          <w:color w:val="000000" w:themeColor="text1"/>
          <w:lang w:val="es-ES_tradnl"/>
        </w:rPr>
      </w:pPr>
      <w:r w:rsidRPr="00FD1291">
        <w:rPr>
          <w:rFonts w:ascii="Verdana" w:hAnsi="Verdana" w:cs="Arial"/>
          <w:b/>
          <w:bCs/>
          <w:color w:val="000000" w:themeColor="text1"/>
          <w:lang w:val="es-ES_tradnl"/>
        </w:rPr>
        <w:t xml:space="preserve">DECRETO 092 DE 2017 – </w:t>
      </w:r>
      <w:r>
        <w:rPr>
          <w:rFonts w:ascii="Verdana" w:hAnsi="Verdana" w:cs="Arial"/>
          <w:b/>
          <w:bCs/>
          <w:color w:val="000000" w:themeColor="text1"/>
          <w:lang w:val="es-ES_tradnl"/>
        </w:rPr>
        <w:t>Acuerdo comerciales</w:t>
      </w:r>
      <w:r w:rsidRPr="00FD1291">
        <w:rPr>
          <w:rFonts w:ascii="Verdana" w:hAnsi="Verdana" w:cs="Arial"/>
          <w:b/>
          <w:bCs/>
          <w:color w:val="000000" w:themeColor="text1"/>
          <w:lang w:val="es-ES_tradnl"/>
        </w:rPr>
        <w:t xml:space="preserve"> – </w:t>
      </w:r>
      <w:r>
        <w:rPr>
          <w:rFonts w:ascii="Verdana" w:hAnsi="Verdana" w:cs="Arial"/>
          <w:b/>
          <w:bCs/>
          <w:color w:val="000000" w:themeColor="text1"/>
          <w:lang w:val="es-ES_tradnl"/>
        </w:rPr>
        <w:t>Garantías</w:t>
      </w:r>
      <w:r w:rsidRPr="00FD1291">
        <w:rPr>
          <w:rFonts w:ascii="Verdana" w:hAnsi="Verdana" w:cs="Arial"/>
          <w:b/>
          <w:bCs/>
          <w:color w:val="000000" w:themeColor="text1"/>
          <w:lang w:val="es-ES_tradnl"/>
        </w:rPr>
        <w:t xml:space="preserve"> </w:t>
      </w:r>
    </w:p>
    <w:p w14:paraId="1EFAC6EC" w14:textId="77777777" w:rsidR="00AE0ACD" w:rsidRPr="008251D0" w:rsidRDefault="00AE0ACD" w:rsidP="00AE0ACD">
      <w:pPr>
        <w:spacing w:after="0" w:line="240" w:lineRule="auto"/>
        <w:jc w:val="both"/>
        <w:rPr>
          <w:rFonts w:ascii="Verdana" w:hAnsi="Verdana" w:cs="Arial"/>
          <w:color w:val="000000" w:themeColor="text1"/>
          <w:sz w:val="20"/>
          <w:szCs w:val="20"/>
          <w:lang w:val="es-ES_tradnl"/>
        </w:rPr>
      </w:pPr>
    </w:p>
    <w:p w14:paraId="15AE123F" w14:textId="77777777" w:rsidR="00AE0ACD" w:rsidRDefault="00AE0ACD" w:rsidP="00AE0ACD">
      <w:pPr>
        <w:tabs>
          <w:tab w:val="left" w:pos="426"/>
        </w:tabs>
        <w:spacing w:after="0" w:line="240" w:lineRule="auto"/>
        <w:contextualSpacing/>
        <w:jc w:val="both"/>
        <w:rPr>
          <w:rFonts w:ascii="Verdana" w:hAnsi="Verdana" w:cs="Arial"/>
          <w:bCs/>
          <w:color w:val="000000" w:themeColor="text1"/>
          <w:sz w:val="20"/>
          <w:szCs w:val="20"/>
          <w:lang w:val="es-ES"/>
        </w:rPr>
      </w:pPr>
      <w:r>
        <w:rPr>
          <w:rFonts w:ascii="Verdana" w:hAnsi="Verdana" w:cs="Arial"/>
          <w:bCs/>
          <w:color w:val="000000" w:themeColor="text1"/>
          <w:sz w:val="20"/>
          <w:szCs w:val="20"/>
          <w:lang w:val="es-ES"/>
        </w:rPr>
        <w:t>L</w:t>
      </w:r>
      <w:r w:rsidRPr="00134BB9">
        <w:rPr>
          <w:rFonts w:ascii="Verdana" w:hAnsi="Verdana" w:cs="Arial"/>
          <w:bCs/>
          <w:color w:val="000000" w:themeColor="text1"/>
          <w:sz w:val="20"/>
          <w:szCs w:val="20"/>
          <w:lang w:val="es-ES"/>
        </w:rPr>
        <w:t>os contratos derivados de aplicar acuerdos comerciales tienen carácter oneroso y conmutativo. Por un lado, el artículo 1497 del Código Civil dispone que “El contrato es […] oneroso, cuando tiene por objeto la utilidad de ambos contratantes, gravándose cada uno a beneficio del otro”. Por su parte, el artículo 1499 ibidem precisa lo siguiente: “El contrato oneroso es conmutativo, cuando cada una de las partes se obliga a dar o hacer una cosa que se mira como equivalente a lo que la otra parte debe dar o hacer a su vez […]”. Es decir, dichos negocios carecen de fines asociativos en los términos del artículo 355 superior o 96 de la Ley 489 de 1998, pues los tratados de libre comercio fomentan el lucro para las empresas extrajeras que se benefician con su suscripción. En este contexto, la Guía para la contratación con ESAL de reconocida idoneidad adoptada por la ANCP – CCE precisa que “[…] los Acuerdos Comerciales no son aplicables a los contratos de colaboración ni a los convenios de asociación, pues estos sólo resultan aplicables a los Procesos de Contratación en virtud de los cuales una Entidad Estatal adquiere o se abastece de un bien, obra o servicio a través de un contrato conmutativo”.</w:t>
      </w:r>
    </w:p>
    <w:p w14:paraId="51FEAB71" w14:textId="77777777" w:rsidR="00AE0ACD" w:rsidRPr="00134BB9" w:rsidRDefault="00AE0ACD" w:rsidP="00AE0ACD">
      <w:pPr>
        <w:tabs>
          <w:tab w:val="left" w:pos="426"/>
        </w:tabs>
        <w:spacing w:after="0" w:line="240" w:lineRule="auto"/>
        <w:contextualSpacing/>
        <w:jc w:val="both"/>
        <w:rPr>
          <w:rFonts w:ascii="Verdana" w:hAnsi="Verdana" w:cs="Arial"/>
          <w:bCs/>
          <w:color w:val="000000" w:themeColor="text1"/>
          <w:sz w:val="20"/>
          <w:szCs w:val="20"/>
          <w:lang w:val="es-ES"/>
        </w:rPr>
      </w:pPr>
      <w:r w:rsidRPr="00134BB9">
        <w:rPr>
          <w:rFonts w:ascii="Verdana" w:hAnsi="Verdana" w:cs="Arial"/>
          <w:bCs/>
          <w:color w:val="000000" w:themeColor="text1"/>
          <w:sz w:val="20"/>
          <w:szCs w:val="20"/>
          <w:lang w:val="es-ES"/>
        </w:rPr>
        <w:t xml:space="preserve"> </w:t>
      </w:r>
    </w:p>
    <w:p w14:paraId="3203DC80" w14:textId="77777777" w:rsidR="00AE0ACD" w:rsidRPr="00782519" w:rsidRDefault="00AE0ACD" w:rsidP="00AE0ACD">
      <w:pPr>
        <w:tabs>
          <w:tab w:val="left" w:pos="426"/>
        </w:tabs>
        <w:spacing w:after="0" w:line="240" w:lineRule="auto"/>
        <w:contextualSpacing/>
        <w:jc w:val="both"/>
        <w:rPr>
          <w:rFonts w:ascii="Verdana" w:eastAsia="Calibri" w:hAnsi="Verdana" w:cs="Arial"/>
          <w:noProof/>
          <w:sz w:val="20"/>
          <w:szCs w:val="20"/>
          <w:lang w:val="es-ES_tradnl"/>
        </w:rPr>
      </w:pPr>
      <w:r w:rsidRPr="00134BB9">
        <w:rPr>
          <w:rFonts w:ascii="Verdana" w:hAnsi="Verdana" w:cs="Arial"/>
          <w:bCs/>
          <w:color w:val="000000" w:themeColor="text1"/>
          <w:sz w:val="20"/>
          <w:szCs w:val="20"/>
          <w:lang w:val="es-ES"/>
        </w:rPr>
        <w:t>Por otra parte, como el Decreto 092 de 2017 no reguló el régimen de garantías para los convenios con entidades sin ánimo de lucro, por aplicación del artículo 8 ibidem, deben aplicarse las normas contenidas en el Estatuto General de Contratación de la Administración Pública, particularmente lo dispuesto en el artículo 7 de la Ley 1150 de 2007. El inciso final de esta disposición establece los eventos en que deberá prestarse póliza de garantía y aquellas circunstancias exceptuadas de esta obligación. En aquellos eventos no mencionados por dicha norma, como el caso de los negocios regulados en el Decreto 092 de 2017, las entidades estatales exigirán que las ESAL constituyan garantías para amparar las obligaciones estipuladas en el contrato con sujeción a lo previsto en el Decreto 1082 de 2015. En cada caso, conforme a la justificación del equipo estructurador, los amparos requeridos dependen del análisis de riesgos realizado por la entidad en la fase de planeación.</w:t>
      </w:r>
      <w:r w:rsidRPr="00FD1291">
        <w:rPr>
          <w:rFonts w:ascii="Verdana" w:hAnsi="Verdana" w:cs="Arial"/>
          <w:color w:val="000000" w:themeColor="text1"/>
          <w:sz w:val="20"/>
          <w:szCs w:val="20"/>
          <w:lang w:val="es-ES"/>
        </w:rPr>
        <w:t xml:space="preserve">  </w:t>
      </w:r>
      <w:r w:rsidRPr="00CC1214">
        <w:rPr>
          <w:rFonts w:ascii="Verdana" w:eastAsia="Calibri" w:hAnsi="Verdana" w:cs="Arial"/>
          <w:noProof/>
          <w:sz w:val="20"/>
          <w:szCs w:val="20"/>
          <w:lang w:val="es-ES_tradnl"/>
        </w:rPr>
        <w:t xml:space="preserve"> </w:t>
      </w:r>
      <w:r w:rsidRPr="009673B4">
        <w:rPr>
          <w:rFonts w:ascii="Verdana" w:eastAsia="Calibri" w:hAnsi="Verdana" w:cs="Arial"/>
          <w:noProof/>
          <w:sz w:val="20"/>
          <w:szCs w:val="20"/>
          <w:lang w:val="es-ES_tradnl"/>
        </w:rPr>
        <w:t xml:space="preserve">  </w:t>
      </w:r>
      <w:r w:rsidRPr="00782519">
        <w:rPr>
          <w:rFonts w:ascii="Verdana" w:eastAsia="Calibri" w:hAnsi="Verdana" w:cs="Arial"/>
          <w:noProof/>
          <w:sz w:val="20"/>
          <w:szCs w:val="20"/>
          <w:lang w:val="es-ES_tradnl"/>
        </w:rPr>
        <w:t xml:space="preserve"> </w:t>
      </w:r>
    </w:p>
    <w:p w14:paraId="592EFB28" w14:textId="77777777" w:rsidR="00AE0ACD" w:rsidRPr="005145C2" w:rsidRDefault="00AE0ACD" w:rsidP="00AE0ACD">
      <w:pPr>
        <w:spacing w:after="0" w:line="240" w:lineRule="auto"/>
        <w:rPr>
          <w:rFonts w:ascii="Verdana" w:eastAsia="Geomanist Light" w:hAnsi="Verdana" w:cs="Arial"/>
          <w:color w:val="000000" w:themeColor="text1"/>
          <w:lang w:val="es-ES_tradnl"/>
        </w:rPr>
      </w:pPr>
    </w:p>
    <w:p w14:paraId="7A661381" w14:textId="77777777" w:rsidR="00AE0ACD" w:rsidRDefault="00AE0ACD" w:rsidP="00AE0ACD">
      <w:pPr>
        <w:spacing w:after="0" w:line="240" w:lineRule="auto"/>
        <w:rPr>
          <w:rFonts w:ascii="Verdana" w:eastAsia="Geomanist Light" w:hAnsi="Verdana" w:cs="Arial"/>
          <w:color w:val="000000" w:themeColor="text1"/>
          <w:lang w:val="es-MX"/>
        </w:rPr>
      </w:pPr>
    </w:p>
    <w:p w14:paraId="3907443C" w14:textId="77777777" w:rsidR="00AE0ACD" w:rsidRDefault="00AE0ACD" w:rsidP="00AE0ACD">
      <w:pPr>
        <w:spacing w:after="0" w:line="240" w:lineRule="auto"/>
        <w:rPr>
          <w:rFonts w:ascii="Verdana" w:eastAsia="Geomanist Light" w:hAnsi="Verdana" w:cs="Arial"/>
          <w:color w:val="000000" w:themeColor="text1"/>
          <w:lang w:val="es-MX"/>
        </w:rPr>
      </w:pPr>
    </w:p>
    <w:p w14:paraId="0065DCA6" w14:textId="77777777" w:rsidR="00AE0ACD" w:rsidRDefault="00AE0ACD" w:rsidP="00BB3D75">
      <w:pPr>
        <w:spacing w:after="0" w:line="240" w:lineRule="auto"/>
        <w:rPr>
          <w:rFonts w:ascii="Verdana" w:eastAsia="Geomanist Light" w:hAnsi="Verdana" w:cs="Arial"/>
          <w:color w:val="000000" w:themeColor="text1"/>
          <w:lang w:val="es-MX"/>
        </w:rPr>
      </w:pPr>
    </w:p>
    <w:p w14:paraId="246D7150" w14:textId="506CFE55" w:rsidR="00BB3D75" w:rsidRPr="00593A5F" w:rsidRDefault="00BB3D75" w:rsidP="00BB3D75">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356A04">
        <w:rPr>
          <w:rFonts w:ascii="Verdana" w:eastAsia="Geomanist Light" w:hAnsi="Verdana" w:cs="Arial"/>
          <w:color w:val="000000" w:themeColor="text1"/>
          <w:lang w:val="es-MX"/>
        </w:rPr>
        <w:t>13 de Noviembre de 2025</w:t>
      </w:r>
    </w:p>
    <w:p w14:paraId="15A0CB6C" w14:textId="77777777" w:rsidR="00BB3D75" w:rsidRDefault="00BB3D75" w:rsidP="00BB3D75">
      <w:pPr>
        <w:spacing w:after="0" w:line="240" w:lineRule="auto"/>
        <w:jc w:val="both"/>
        <w:rPr>
          <w:rFonts w:ascii="Verdana" w:eastAsia="Calibri" w:hAnsi="Verdana" w:cs="Arial"/>
          <w:color w:val="000000"/>
          <w:lang w:val="es-ES"/>
        </w:rPr>
      </w:pPr>
    </w:p>
    <w:p w14:paraId="260ACE35" w14:textId="477A4F8A" w:rsidR="00102EFC" w:rsidRDefault="00102EFC" w:rsidP="00102EFC">
      <w:pPr>
        <w:spacing w:after="0" w:line="240" w:lineRule="auto"/>
        <w:jc w:val="right"/>
        <w:rPr>
          <w:rFonts w:ascii="Verdana" w:eastAsia="Calibri" w:hAnsi="Verdana" w:cs="Arial"/>
          <w:color w:val="000000"/>
          <w:lang w:val="es-ES"/>
        </w:rPr>
      </w:pPr>
      <w:r w:rsidRPr="00102EFC">
        <w:rPr>
          <w:rFonts w:ascii="Verdana" w:eastAsia="Calibri" w:hAnsi="Verdana" w:cs="Arial"/>
          <w:noProof/>
          <w:color w:val="000000"/>
          <w:lang w:val="es-ES"/>
        </w:rPr>
        <w:drawing>
          <wp:inline distT="0" distB="0" distL="0" distR="0" wp14:anchorId="3A4A294A" wp14:editId="4A1ED2A6">
            <wp:extent cx="2400300" cy="622300"/>
            <wp:effectExtent l="0" t="0" r="0" b="0"/>
            <wp:docPr id="5718799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879949" name=""/>
                    <pic:cNvPicPr/>
                  </pic:nvPicPr>
                  <pic:blipFill>
                    <a:blip r:embed="rId10"/>
                    <a:stretch>
                      <a:fillRect/>
                    </a:stretch>
                  </pic:blipFill>
                  <pic:spPr>
                    <a:xfrm>
                      <a:off x="0" y="0"/>
                      <a:ext cx="2400300" cy="622300"/>
                    </a:xfrm>
                    <a:prstGeom prst="rect">
                      <a:avLst/>
                    </a:prstGeom>
                  </pic:spPr>
                </pic:pic>
              </a:graphicData>
            </a:graphic>
          </wp:inline>
        </w:drawing>
      </w:r>
    </w:p>
    <w:p w14:paraId="54A8A8DD" w14:textId="77777777" w:rsidR="00BB3D75" w:rsidRPr="00593A5F" w:rsidRDefault="00BB3D75" w:rsidP="00BB3D75">
      <w:pPr>
        <w:spacing w:after="0" w:line="240" w:lineRule="auto"/>
        <w:jc w:val="both"/>
        <w:rPr>
          <w:rFonts w:ascii="Verdana" w:eastAsia="Calibri" w:hAnsi="Verdana" w:cs="Arial"/>
          <w:color w:val="000000"/>
          <w:lang w:val="es-ES"/>
        </w:rPr>
      </w:pPr>
    </w:p>
    <w:p w14:paraId="65631870" w14:textId="77777777" w:rsidR="00BB3D75" w:rsidRPr="00B96799" w:rsidRDefault="00BB3D75" w:rsidP="00BB3D75">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5AD635F" w14:textId="77777777" w:rsidR="00BB3D75" w:rsidRPr="0085423D" w:rsidRDefault="00BB3D75" w:rsidP="00BB3D75">
      <w:pPr>
        <w:spacing w:after="0" w:line="240" w:lineRule="auto"/>
        <w:rPr>
          <w:rFonts w:ascii="Verdana" w:eastAsia="Calibri" w:hAnsi="Verdana" w:cs="Arial"/>
          <w:b/>
          <w:lang w:val="es-ES_tradnl" w:eastAsia="es-ES_tradnl"/>
        </w:rPr>
      </w:pPr>
      <w:r w:rsidRPr="006623D1">
        <w:rPr>
          <w:rFonts w:ascii="Verdana" w:eastAsia="Calibri" w:hAnsi="Verdana" w:cs="Arial"/>
          <w:b/>
          <w:lang w:val="es-ES_tradnl" w:eastAsia="es-ES_tradnl"/>
        </w:rPr>
        <w:t>Juan Sebastián</w:t>
      </w:r>
      <w:r>
        <w:rPr>
          <w:rFonts w:ascii="Verdana" w:eastAsia="Calibri" w:hAnsi="Verdana" w:cs="Arial"/>
          <w:b/>
          <w:lang w:val="es-ES_tradnl" w:eastAsia="es-ES_tradnl"/>
        </w:rPr>
        <w:t xml:space="preserve"> </w:t>
      </w:r>
      <w:r w:rsidRPr="006623D1">
        <w:rPr>
          <w:rFonts w:ascii="Verdana" w:eastAsia="Calibri" w:hAnsi="Verdana" w:cs="Arial"/>
          <w:b/>
          <w:lang w:val="es-ES_tradnl" w:eastAsia="es-ES_tradnl"/>
        </w:rPr>
        <w:t>Olaya Perdomo</w:t>
      </w:r>
      <w:r w:rsidRPr="007F2F02">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p w14:paraId="07C9EF75" w14:textId="77777777" w:rsidR="00BB3D75" w:rsidRPr="006623D1" w:rsidRDefault="00BB3D75" w:rsidP="00BB3D75">
      <w:pPr>
        <w:spacing w:after="0" w:line="240" w:lineRule="auto"/>
        <w:rPr>
          <w:rFonts w:ascii="Verdana" w:eastAsia="Calibri" w:hAnsi="Verdana" w:cs="Arial"/>
          <w:lang w:val="es-ES" w:eastAsia="es-ES"/>
        </w:rPr>
      </w:pPr>
      <w:hyperlink r:id="rId11" w:history="1">
        <w:r w:rsidRPr="00F645A4">
          <w:rPr>
            <w:rStyle w:val="Hipervnculo"/>
            <w:rFonts w:ascii="Verdana" w:hAnsi="Verdana"/>
          </w:rPr>
          <w:t>juanseolaya@gmail.com</w:t>
        </w:r>
      </w:hyperlink>
      <w:r>
        <w:rPr>
          <w:rFonts w:ascii="Verdana" w:hAnsi="Verdana"/>
        </w:rPr>
        <w:t xml:space="preserve"> </w:t>
      </w:r>
      <w:r w:rsidRPr="006623D1">
        <w:rPr>
          <w:rFonts w:ascii="Verdana" w:hAnsi="Verdana"/>
        </w:rPr>
        <w:t xml:space="preserve">           </w:t>
      </w:r>
      <w:r w:rsidRPr="006623D1">
        <w:rPr>
          <w:rFonts w:ascii="Verdana" w:eastAsia="Calibri" w:hAnsi="Verdana" w:cs="Arial"/>
          <w:lang w:val="es-ES" w:eastAsia="es-ES"/>
        </w:rPr>
        <w:t xml:space="preserve">    </w:t>
      </w:r>
    </w:p>
    <w:p w14:paraId="68F41AF7" w14:textId="77777777" w:rsidR="00BB3D75" w:rsidRDefault="00BB3D75" w:rsidP="00BB3D75">
      <w:pPr>
        <w:spacing w:after="0" w:line="240" w:lineRule="auto"/>
        <w:rPr>
          <w:rFonts w:ascii="Verdana" w:eastAsia="Calibri" w:hAnsi="Verdana" w:cs="Arial"/>
          <w:lang w:val="es-ES" w:eastAsia="es-ES"/>
        </w:rPr>
      </w:pPr>
      <w:r>
        <w:rPr>
          <w:rFonts w:ascii="Verdana" w:eastAsia="Geomanist Light" w:hAnsi="Verdana" w:cs="Arial"/>
          <w:color w:val="000000" w:themeColor="text1"/>
          <w:lang w:val="es-MX"/>
        </w:rPr>
        <w:t>Santiago de Cali, Valle del Cauca</w:t>
      </w:r>
      <w:r>
        <w:rPr>
          <w:rFonts w:ascii="Verdana" w:eastAsia="Calibri" w:hAnsi="Verdana" w:cs="Arial"/>
          <w:lang w:val="es-ES" w:eastAsia="es-ES"/>
        </w:rPr>
        <w:t xml:space="preserve"> </w:t>
      </w:r>
    </w:p>
    <w:p w14:paraId="77BB7029" w14:textId="77777777" w:rsidR="00BB3D75" w:rsidRPr="00593A5F" w:rsidRDefault="00BB3D75" w:rsidP="00BB3D75">
      <w:pPr>
        <w:spacing w:after="0" w:line="240" w:lineRule="auto"/>
        <w:rPr>
          <w:rFonts w:ascii="Verdana" w:eastAsia="Calibri" w:hAnsi="Verdana" w:cs="Arial"/>
          <w:b/>
          <w:bCs/>
          <w:color w:val="000000"/>
          <w:lang w:val="es-ES_tradnl" w:eastAsia="es-ES_tradnl"/>
        </w:rPr>
      </w:pPr>
    </w:p>
    <w:p w14:paraId="6CCACD74" w14:textId="77777777" w:rsidR="00BB3D75" w:rsidRPr="00593A5F" w:rsidRDefault="00BB3D75" w:rsidP="00BB3D7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B3D75" w:rsidRPr="00593A5F" w14:paraId="5A1B422B" w14:textId="77777777" w:rsidTr="002D7B0F">
        <w:trPr>
          <w:trHeight w:val="884"/>
        </w:trPr>
        <w:tc>
          <w:tcPr>
            <w:tcW w:w="2689" w:type="dxa"/>
          </w:tcPr>
          <w:p w14:paraId="3B38BF05" w14:textId="77777777" w:rsidR="00BB3D75" w:rsidRPr="00C00976" w:rsidRDefault="00BB3D75" w:rsidP="002D7B0F">
            <w:pPr>
              <w:jc w:val="both"/>
              <w:rPr>
                <w:rFonts w:ascii="Verdana" w:eastAsia="Calibri" w:hAnsi="Verdana" w:cs="Arial"/>
                <w:b/>
                <w:bCs/>
                <w:color w:val="7030A0"/>
                <w:lang w:val="es-ES_tradnl" w:eastAsia="es-ES_tradnl"/>
              </w:rPr>
            </w:pPr>
          </w:p>
        </w:tc>
        <w:tc>
          <w:tcPr>
            <w:tcW w:w="6100" w:type="dxa"/>
          </w:tcPr>
          <w:p w14:paraId="0B05019B" w14:textId="44978222" w:rsidR="00BB3D75" w:rsidRPr="00C00976" w:rsidRDefault="00BB3D75" w:rsidP="002D7B0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AF3FC3">
              <w:rPr>
                <w:rFonts w:ascii="Verdana" w:eastAsia="Calibri" w:hAnsi="Verdana" w:cs="Arial"/>
                <w:b/>
                <w:bCs/>
                <w:lang w:val="es-ES" w:eastAsia="es-ES"/>
              </w:rPr>
              <w:t>1618</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BB3D75" w:rsidRPr="00593A5F" w14:paraId="47127C70" w14:textId="77777777" w:rsidTr="002D7B0F">
        <w:trPr>
          <w:trHeight w:val="884"/>
        </w:trPr>
        <w:tc>
          <w:tcPr>
            <w:tcW w:w="2689" w:type="dxa"/>
          </w:tcPr>
          <w:p w14:paraId="62C64190" w14:textId="77777777" w:rsidR="00BB3D75" w:rsidRPr="00593A5F" w:rsidRDefault="00BB3D75" w:rsidP="002D7B0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ACE1843" w14:textId="77777777" w:rsidR="00BB3D75" w:rsidRPr="00A11406" w:rsidRDefault="00BB3D75" w:rsidP="002D7B0F">
            <w:pPr>
              <w:spacing w:line="276" w:lineRule="auto"/>
              <w:jc w:val="both"/>
              <w:rPr>
                <w:rFonts w:ascii="Verdana" w:eastAsia="Calibri" w:hAnsi="Verdana" w:cs="Arial"/>
                <w:lang w:val="es-ES" w:eastAsia="es-ES"/>
              </w:rPr>
            </w:pPr>
            <w:r w:rsidRPr="008247C9">
              <w:rPr>
                <w:rFonts w:ascii="Verdana" w:eastAsia="Calibri" w:hAnsi="Verdana" w:cs="Arial"/>
                <w:lang w:val="es-ES" w:eastAsia="es-ES"/>
              </w:rPr>
              <w:t xml:space="preserve">DECRETO 092 DE 2017 – Finalidad – Clases de contratos / CONTRATACIÓN CON ESAL – Contrato de colaboración – Objeto – Alcance / CONTRATACIÓN CON ESAL – Contrato de asociación – Objeto – Alcance / CONVENIOS DE ASOCIACIÓN – Multiplicidad de sujetos – Límites legales / DECRETO 092 DE 2017 – Criterios – Aplicación / DECRETO 092 DE 2017 – Normativa vigente / </w:t>
            </w:r>
            <w:r w:rsidRPr="00FD1291">
              <w:rPr>
                <w:rFonts w:ascii="Verdana" w:eastAsia="Calibri" w:hAnsi="Verdana" w:cs="Arial"/>
                <w:lang w:val="es-ES" w:eastAsia="es-ES"/>
              </w:rPr>
              <w:t>INTEGRACIÓN NORMATIVA – Reglas generales del sistema de contratación pública</w:t>
            </w:r>
            <w:r>
              <w:rPr>
                <w:rFonts w:ascii="Verdana" w:eastAsia="Calibri" w:hAnsi="Verdana" w:cs="Arial"/>
                <w:lang w:val="es-ES" w:eastAsia="es-ES"/>
              </w:rPr>
              <w:t xml:space="preserve"> / </w:t>
            </w:r>
            <w:r w:rsidRPr="00D9782E">
              <w:rPr>
                <w:rFonts w:ascii="Verdana" w:eastAsia="Calibri" w:hAnsi="Verdana" w:cs="Arial"/>
                <w:lang w:val="es-ES" w:eastAsia="es-ES"/>
              </w:rPr>
              <w:t xml:space="preserve">DECRETO 092 DE 2017 – Acuerdo comerciales – Garantías </w:t>
            </w: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F85B234" w14:textId="77777777" w:rsidR="00BB3D75" w:rsidRPr="00593A5F" w:rsidRDefault="00BB3D75" w:rsidP="002D7B0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BB3D75" w:rsidRPr="008E6AD9" w14:paraId="794962D4" w14:textId="77777777" w:rsidTr="0049110D">
        <w:trPr>
          <w:trHeight w:val="845"/>
        </w:trPr>
        <w:tc>
          <w:tcPr>
            <w:tcW w:w="2689" w:type="dxa"/>
          </w:tcPr>
          <w:p w14:paraId="2B3C9ECB" w14:textId="77777777" w:rsidR="00BB3D75" w:rsidRPr="008E6AD9" w:rsidRDefault="00BB3D75" w:rsidP="002D7B0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FA49DDF" w14:textId="77777777" w:rsidR="00BB3D75" w:rsidRPr="008E6AD9" w:rsidRDefault="00BB3D75" w:rsidP="002D7B0F">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6623D1">
              <w:rPr>
                <w:rFonts w:ascii="Verdana" w:eastAsia="Calibri" w:hAnsi="Verdana" w:cs="Arial"/>
                <w:lang w:val="es-ES_tradnl" w:eastAsia="es-ES_tradnl"/>
              </w:rPr>
              <w:t xml:space="preserve">1_2025_11_03_012344 </w:t>
            </w:r>
            <w:r>
              <w:rPr>
                <w:rFonts w:ascii="Verdana" w:eastAsia="Calibri" w:hAnsi="Verdana" w:cs="Arial"/>
                <w:lang w:val="es-ES_tradnl" w:eastAsia="es-ES_tradnl"/>
              </w:rPr>
              <w:t>y</w:t>
            </w:r>
            <w:r w:rsidRPr="006623D1">
              <w:rPr>
                <w:rFonts w:ascii="Verdana" w:eastAsia="Calibri" w:hAnsi="Verdana" w:cs="Arial"/>
                <w:lang w:val="es-ES_tradnl" w:eastAsia="es-ES_tradnl"/>
              </w:rPr>
              <w:t xml:space="preserve"> 1_2025_11_03_012345</w:t>
            </w:r>
            <w:r>
              <w:rPr>
                <w:rFonts w:ascii="Verdana" w:eastAsia="Calibri" w:hAnsi="Verdana" w:cs="Arial"/>
                <w:lang w:val="es-ES_tradnl" w:eastAsia="es-ES_tradnl"/>
              </w:rPr>
              <w:t xml:space="preserve"> –Acumuladas–</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0F6151A9" w14:textId="77777777" w:rsidR="00BB3D75" w:rsidRPr="00593A5F" w:rsidRDefault="00BB3D75" w:rsidP="00BB3D75">
      <w:pPr>
        <w:spacing w:after="0" w:line="240" w:lineRule="auto"/>
        <w:jc w:val="both"/>
        <w:rPr>
          <w:rFonts w:ascii="Verdana" w:eastAsia="Calibri" w:hAnsi="Verdana" w:cs="Arial"/>
          <w:color w:val="000000"/>
          <w:lang w:val="es-ES_tradnl" w:eastAsia="es-ES_tradnl"/>
        </w:rPr>
      </w:pPr>
    </w:p>
    <w:p w14:paraId="2386706D" w14:textId="77777777" w:rsidR="00BB3D75" w:rsidRPr="00593A5F" w:rsidRDefault="00BB3D75" w:rsidP="00BB3D75">
      <w:pPr>
        <w:spacing w:after="0" w:line="240" w:lineRule="auto"/>
        <w:jc w:val="both"/>
        <w:rPr>
          <w:rFonts w:ascii="Verdana" w:eastAsia="Calibri" w:hAnsi="Verdana" w:cs="Arial"/>
          <w:color w:val="000000"/>
          <w:lang w:val="es-ES_tradnl" w:eastAsia="es-ES_tradnl"/>
        </w:rPr>
      </w:pPr>
    </w:p>
    <w:p w14:paraId="7793C9A1" w14:textId="77777777" w:rsidR="00BB3D75" w:rsidRPr="008E6AD9" w:rsidRDefault="00BB3D75" w:rsidP="00BB3D7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6623D1">
        <w:rPr>
          <w:rFonts w:ascii="Verdana" w:eastAsia="Calibri" w:hAnsi="Verdana" w:cs="Arial"/>
          <w:lang w:val="es-ES" w:eastAsia="es-ES"/>
        </w:rPr>
        <w:t>Olaya Perdomo</w:t>
      </w:r>
      <w:r w:rsidRPr="008E6AD9">
        <w:rPr>
          <w:rFonts w:ascii="Verdana" w:eastAsia="Calibri" w:hAnsi="Verdana" w:cs="Arial"/>
          <w:lang w:val="es-ES" w:eastAsia="es-ES"/>
        </w:rPr>
        <w:t xml:space="preserve">: </w:t>
      </w:r>
    </w:p>
    <w:p w14:paraId="7BAB22FD" w14:textId="77777777" w:rsidR="00BB3D75" w:rsidRDefault="00BB3D75" w:rsidP="00BB3D7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F6A4DB3" w14:textId="77777777" w:rsidR="00BB3D75" w:rsidRPr="00593A5F" w:rsidRDefault="00BB3D75" w:rsidP="00BB3D7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w:t>
      </w:r>
      <w:r w:rsidRPr="00593A5F">
        <w:rPr>
          <w:rFonts w:ascii="Verdana" w:eastAsia="Calibri" w:hAnsi="Verdana" w:cs="Arial"/>
          <w:color w:val="000000" w:themeColor="text1"/>
          <w:lang w:val="es-ES" w:eastAsia="es-ES"/>
        </w:rPr>
        <w:lastRenderedPageBreak/>
        <w:t>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3 de noviembre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las cuales plantea las siguientes preguntas:</w:t>
      </w:r>
      <w:r w:rsidRPr="008E6AD9">
        <w:rPr>
          <w:rFonts w:ascii="Verdana" w:eastAsia="Calibri" w:hAnsi="Verdana" w:cs="Arial"/>
          <w:lang w:val="es-ES" w:eastAsia="es-ES"/>
        </w:rPr>
        <w:t xml:space="preserve"> </w:t>
      </w:r>
    </w:p>
    <w:p w14:paraId="5C33CDBA" w14:textId="77777777" w:rsidR="00BB3D75" w:rsidRPr="00272A7B" w:rsidRDefault="00BB3D75" w:rsidP="00BB3D75">
      <w:pPr>
        <w:pStyle w:val="Prrafodelista"/>
        <w:tabs>
          <w:tab w:val="left" w:pos="142"/>
          <w:tab w:val="left" w:pos="284"/>
        </w:tabs>
        <w:spacing w:after="0" w:line="276" w:lineRule="auto"/>
        <w:ind w:left="0"/>
        <w:jc w:val="both"/>
        <w:rPr>
          <w:rFonts w:ascii="Verdana" w:eastAsia="Century Gothic" w:hAnsi="Verdana" w:cs="Century Gothic"/>
          <w:b/>
          <w:bCs/>
        </w:rPr>
      </w:pPr>
    </w:p>
    <w:p w14:paraId="4A684298" w14:textId="77777777" w:rsidR="00BB3D75" w:rsidRPr="006623D1" w:rsidRDefault="00BB3D75" w:rsidP="00BB3D75">
      <w:pPr>
        <w:spacing w:after="120" w:line="240" w:lineRule="auto"/>
        <w:ind w:left="709" w:right="709"/>
        <w:jc w:val="both"/>
        <w:rPr>
          <w:rFonts w:ascii="Verdana" w:eastAsia="Century Gothic" w:hAnsi="Verdana" w:cs="Century Gothic"/>
          <w:sz w:val="20"/>
          <w:szCs w:val="20"/>
          <w:lang w:val="es-ES"/>
        </w:rPr>
      </w:pPr>
      <w:bookmarkStart w:id="1" w:name="_Hlk95313578"/>
      <w:r w:rsidRPr="006623D1">
        <w:rPr>
          <w:rFonts w:ascii="Verdana" w:eastAsia="Century Gothic" w:hAnsi="Verdana" w:cs="Century Gothic"/>
          <w:sz w:val="20"/>
          <w:szCs w:val="20"/>
          <w:lang w:val="es-ES"/>
        </w:rPr>
        <w:t>“</w:t>
      </w:r>
      <w:bookmarkEnd w:id="1"/>
      <w:r w:rsidRPr="006623D1">
        <w:rPr>
          <w:rFonts w:ascii="Verdana" w:eastAsia="Century Gothic" w:hAnsi="Verdana" w:cs="Century Gothic"/>
          <w:sz w:val="20"/>
          <w:szCs w:val="20"/>
          <w:lang w:val="es-ES"/>
        </w:rPr>
        <w:t>1. ¿La excepción general establecida en el Artículo 8° del Decreto 092 de 2017 implica que los Acuerdos Comerciales son inaplicables a los Procesos Competitivos adelantados bajo este Decreto, al considerarse un régimen especial?</w:t>
      </w:r>
    </w:p>
    <w:p w14:paraId="1CCF9BE2" w14:textId="77777777" w:rsidR="00BB3D75" w:rsidRPr="006623D1" w:rsidRDefault="00BB3D75" w:rsidP="00BB3D75">
      <w:pPr>
        <w:spacing w:after="120" w:line="240" w:lineRule="auto"/>
        <w:ind w:left="709" w:right="709"/>
        <w:jc w:val="both"/>
        <w:rPr>
          <w:rFonts w:ascii="Verdana" w:eastAsia="Century Gothic" w:hAnsi="Verdana" w:cs="Century Gothic"/>
          <w:sz w:val="20"/>
          <w:szCs w:val="20"/>
          <w:lang w:val="es-ES"/>
        </w:rPr>
      </w:pPr>
      <w:r w:rsidRPr="006623D1">
        <w:rPr>
          <w:rFonts w:ascii="Verdana" w:eastAsia="Century Gothic" w:hAnsi="Verdana" w:cs="Century Gothic"/>
          <w:sz w:val="20"/>
          <w:szCs w:val="20"/>
          <w:lang w:val="es-ES"/>
        </w:rPr>
        <w:t>2. En caso de que los Acuerdos Comerciales sean aplicables, ¿el Proceso Competitivo con ESAL se considera una modalidad de selección distinta de las reguladas en la Ley 1150 de 2007 (Licitación Pública, Selección Abreviada, etc.) que podría estar expresamente exceptuada en los anexos de cobertura de algunos Acuerdos Comerciales?</w:t>
      </w:r>
    </w:p>
    <w:p w14:paraId="639BFEB2" w14:textId="77777777" w:rsidR="00BB3D75" w:rsidRDefault="00BB3D75" w:rsidP="00BB3D75">
      <w:pPr>
        <w:spacing w:after="0" w:line="240" w:lineRule="auto"/>
        <w:ind w:left="709" w:right="709"/>
        <w:jc w:val="both"/>
        <w:rPr>
          <w:rFonts w:ascii="Verdana" w:eastAsia="Century Gothic" w:hAnsi="Verdana" w:cs="Century Gothic"/>
          <w:sz w:val="20"/>
          <w:szCs w:val="20"/>
          <w:lang w:val="es-ES"/>
        </w:rPr>
      </w:pPr>
      <w:r w:rsidRPr="006623D1">
        <w:rPr>
          <w:rFonts w:ascii="Verdana" w:eastAsia="Century Gothic" w:hAnsi="Verdana" w:cs="Century Gothic"/>
          <w:sz w:val="20"/>
          <w:szCs w:val="20"/>
          <w:lang w:val="es-ES"/>
        </w:rPr>
        <w:t>3. Si una Entidad Estatal cubierta por un Acuerdo Comercial debe realizar un Proceso Competitivo con ESAL cuyo valor supere el umbral del tratado, ¿debe aplicar el Trato Nacional y permitir la participación de Entidades Sin Ánimo de Lucro extranjeras de los países signatarios, siempre que estas cumplan con los requisitos de reconocida idoneidad exigidos por la norma colombiana?</w:t>
      </w:r>
    </w:p>
    <w:p w14:paraId="7286EB72" w14:textId="77777777" w:rsidR="00BB3D75" w:rsidRDefault="00BB3D75" w:rsidP="00BB3D75">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p>
    <w:p w14:paraId="3D036D20" w14:textId="77777777" w:rsidR="00BB3D75" w:rsidRPr="006623D1" w:rsidRDefault="00BB3D75" w:rsidP="00BB3D75">
      <w:pPr>
        <w:spacing w:after="120" w:line="240" w:lineRule="auto"/>
        <w:ind w:left="709" w:right="709"/>
        <w:jc w:val="both"/>
        <w:rPr>
          <w:rFonts w:ascii="Verdana" w:eastAsia="Century Gothic" w:hAnsi="Verdana" w:cs="Century Gothic"/>
          <w:sz w:val="20"/>
          <w:szCs w:val="20"/>
          <w:lang w:val="es-ES"/>
        </w:rPr>
      </w:pPr>
      <w:r w:rsidRPr="006623D1">
        <w:rPr>
          <w:rFonts w:ascii="Verdana" w:eastAsia="Century Gothic" w:hAnsi="Verdana" w:cs="Century Gothic"/>
          <w:sz w:val="20"/>
          <w:szCs w:val="20"/>
          <w:lang w:val="es-ES"/>
        </w:rPr>
        <w:t>1.</w:t>
      </w:r>
      <w:r>
        <w:rPr>
          <w:rFonts w:ascii="Verdana" w:eastAsia="Century Gothic" w:hAnsi="Verdana" w:cs="Century Gothic"/>
          <w:sz w:val="20"/>
          <w:szCs w:val="20"/>
          <w:lang w:val="es-ES"/>
        </w:rPr>
        <w:t xml:space="preserve"> </w:t>
      </w:r>
      <w:r w:rsidRPr="006623D1">
        <w:rPr>
          <w:rFonts w:ascii="Verdana" w:eastAsia="Century Gothic" w:hAnsi="Verdana" w:cs="Century Gothic"/>
          <w:sz w:val="20"/>
          <w:szCs w:val="20"/>
          <w:lang w:val="es-ES"/>
        </w:rPr>
        <w:t>¿Es obligatorio para las Entidades Estatales sujetas al Decreto 092 de 2017 determinar y exigir las garantías contractuales de acuerdo con el régimen, los amparos, y los montos mínimos establecidos en el Decreto 1082 de 2015?</w:t>
      </w:r>
    </w:p>
    <w:p w14:paraId="477E3014" w14:textId="77777777" w:rsidR="00BB3D75" w:rsidRPr="006623D1" w:rsidRDefault="00BB3D75" w:rsidP="00BB3D75">
      <w:pPr>
        <w:spacing w:after="120" w:line="240" w:lineRule="auto"/>
        <w:ind w:left="709" w:right="709"/>
        <w:jc w:val="both"/>
        <w:rPr>
          <w:rFonts w:ascii="Verdana" w:eastAsia="Century Gothic" w:hAnsi="Verdana" w:cs="Century Gothic"/>
          <w:sz w:val="20"/>
          <w:szCs w:val="20"/>
          <w:lang w:val="es-ES"/>
        </w:rPr>
      </w:pPr>
      <w:r w:rsidRPr="006623D1">
        <w:rPr>
          <w:rFonts w:ascii="Verdana" w:eastAsia="Century Gothic" w:hAnsi="Verdana" w:cs="Century Gothic"/>
          <w:sz w:val="20"/>
          <w:szCs w:val="20"/>
          <w:lang w:val="es-ES"/>
        </w:rPr>
        <w:t>2.</w:t>
      </w:r>
      <w:r>
        <w:rPr>
          <w:rFonts w:ascii="Verdana" w:eastAsia="Century Gothic" w:hAnsi="Verdana" w:cs="Century Gothic"/>
          <w:sz w:val="20"/>
          <w:szCs w:val="20"/>
          <w:lang w:val="es-ES"/>
        </w:rPr>
        <w:t xml:space="preserve"> </w:t>
      </w:r>
      <w:r w:rsidRPr="006623D1">
        <w:rPr>
          <w:rFonts w:ascii="Verdana" w:eastAsia="Century Gothic" w:hAnsi="Verdana" w:cs="Century Gothic"/>
          <w:sz w:val="20"/>
          <w:szCs w:val="20"/>
          <w:lang w:val="es-ES"/>
        </w:rPr>
        <w:t>Considerando que la contratación del Art. 355 de la Constitución Política no es conmutativa, ¿puede la Entidad Estatal, mediante justificación técnica y jurídica en los Documentos del Proceso (Estudios Previos), prescindir totalmente de la exigencia de garantías (o de alguno de sus amparos), o está obligada, por lo menos, a evaluar y determinar aquellos riesgos que sí son asegurables conforme al D1082/2015?</w:t>
      </w:r>
    </w:p>
    <w:p w14:paraId="4F0745BB" w14:textId="77777777" w:rsidR="00BB3D75" w:rsidRPr="005B7798" w:rsidRDefault="00BB3D75" w:rsidP="00BB3D75">
      <w:pPr>
        <w:spacing w:after="0" w:line="240" w:lineRule="auto"/>
        <w:ind w:left="709" w:right="709"/>
        <w:jc w:val="both"/>
        <w:rPr>
          <w:rFonts w:ascii="Verdana" w:eastAsia="Century Gothic" w:hAnsi="Verdana" w:cs="Century Gothic"/>
          <w:sz w:val="21"/>
          <w:szCs w:val="21"/>
          <w:lang w:val="es-ES"/>
        </w:rPr>
      </w:pPr>
      <w:r w:rsidRPr="006623D1">
        <w:rPr>
          <w:rFonts w:ascii="Verdana" w:eastAsia="Century Gothic" w:hAnsi="Verdana" w:cs="Century Gothic"/>
          <w:sz w:val="20"/>
          <w:szCs w:val="20"/>
          <w:lang w:val="es-ES"/>
        </w:rPr>
        <w:t>3.</w:t>
      </w:r>
      <w:r>
        <w:rPr>
          <w:rFonts w:ascii="Verdana" w:eastAsia="Century Gothic" w:hAnsi="Verdana" w:cs="Century Gothic"/>
          <w:sz w:val="20"/>
          <w:szCs w:val="20"/>
          <w:lang w:val="es-ES"/>
        </w:rPr>
        <w:t xml:space="preserve"> </w:t>
      </w:r>
      <w:r w:rsidRPr="006623D1">
        <w:rPr>
          <w:rFonts w:ascii="Verdana" w:eastAsia="Century Gothic" w:hAnsi="Verdana" w:cs="Century Gothic"/>
          <w:sz w:val="20"/>
          <w:szCs w:val="20"/>
          <w:lang w:val="es-ES"/>
        </w:rPr>
        <w:t>Si se concluye la obligatoriedad del régimen de garantías del D1082/2015, ¿debe la Entidad Estatal justificar el cumplimiento de todos los amparos aplicables (cumplimiento, calidad, responsabilidad civil, etc.), o existen amparos específicos que se consideran inherentemente incompatibles con la naturaleza especial y de fomento de los contratos del Art. 355 C.P. y convenios de asociación?”.</w:t>
      </w:r>
      <w:r>
        <w:rPr>
          <w:rFonts w:ascii="Verdana" w:eastAsia="Century Gothic" w:hAnsi="Verdana" w:cs="Century Gothic"/>
          <w:sz w:val="20"/>
          <w:szCs w:val="20"/>
          <w:lang w:val="es-ES"/>
        </w:rPr>
        <w:t xml:space="preserve"> </w:t>
      </w:r>
    </w:p>
    <w:p w14:paraId="650B084C" w14:textId="77777777" w:rsidR="00BB3D75" w:rsidRPr="008E6AD9" w:rsidRDefault="00BB3D75" w:rsidP="00BB3D75">
      <w:pPr>
        <w:pStyle w:val="Prrafodelista"/>
        <w:tabs>
          <w:tab w:val="left" w:pos="142"/>
          <w:tab w:val="left" w:pos="284"/>
        </w:tabs>
        <w:spacing w:after="0" w:line="276" w:lineRule="auto"/>
        <w:ind w:left="0"/>
        <w:jc w:val="both"/>
        <w:rPr>
          <w:rFonts w:ascii="Verdana" w:eastAsia="Century Gothic" w:hAnsi="Verdana" w:cs="Century Gothic"/>
          <w:b/>
          <w:bCs/>
        </w:rPr>
      </w:pPr>
    </w:p>
    <w:p w14:paraId="734A44FE" w14:textId="77777777" w:rsidR="00BB3D75" w:rsidRPr="00A652FF" w:rsidRDefault="00BB3D75" w:rsidP="00BB3D75">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3A5F">
        <w:rPr>
          <w:rFonts w:ascii="Verdana" w:eastAsia="Calibri" w:hAnsi="Verdana" w:cs="Arial"/>
          <w:color w:val="000000"/>
          <w:lang w:val="es-ES" w:eastAsia="es-ES"/>
        </w:rPr>
        <w:lastRenderedPageBreak/>
        <w:t xml:space="preserve">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345A802" w14:textId="77777777" w:rsidR="00BB3D75" w:rsidRDefault="00BB3D75" w:rsidP="00BB3D75">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24AFF37" w14:textId="77777777" w:rsidR="00BB3D75" w:rsidRPr="00593A5F" w:rsidRDefault="00BB3D75" w:rsidP="00BB3D75">
      <w:pPr>
        <w:spacing w:after="0" w:line="276" w:lineRule="auto"/>
        <w:ind w:firstLine="709"/>
        <w:jc w:val="both"/>
        <w:rPr>
          <w:rFonts w:ascii="Verdana" w:eastAsia="Calibri" w:hAnsi="Verdana" w:cs="Arial"/>
          <w:color w:val="000000"/>
          <w:lang w:val="es-ES" w:eastAsia="es-ES"/>
        </w:rPr>
      </w:pPr>
    </w:p>
    <w:p w14:paraId="322D9416" w14:textId="77777777" w:rsidR="00BB3D75" w:rsidRPr="00593A5F" w:rsidRDefault="00BB3D75" w:rsidP="00BB3D7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996D5D4" w14:textId="77777777" w:rsidR="00BB3D75" w:rsidRPr="00593A5F" w:rsidRDefault="00BB3D75" w:rsidP="00BB3D75">
      <w:pPr>
        <w:tabs>
          <w:tab w:val="left" w:pos="426"/>
        </w:tabs>
        <w:spacing w:after="0" w:line="276" w:lineRule="auto"/>
        <w:jc w:val="both"/>
        <w:rPr>
          <w:rFonts w:ascii="Verdana" w:eastAsia="Century Gothic" w:hAnsi="Verdana" w:cs="Century Gothic"/>
          <w:lang w:val="es-ES"/>
        </w:rPr>
      </w:pPr>
    </w:p>
    <w:p w14:paraId="4A95E495" w14:textId="047563B5" w:rsidR="00BB3D75" w:rsidRPr="00593A5F" w:rsidRDefault="00BB3D75" w:rsidP="00BB3D75">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 problema jurídico: </w:t>
      </w:r>
      <w:r w:rsidRPr="000A0633">
        <w:rPr>
          <w:rFonts w:ascii="Verdana" w:eastAsia="Century Gothic" w:hAnsi="Verdana" w:cs="Century Gothic"/>
        </w:rPr>
        <w:t xml:space="preserve">¿cuál es el marco normativo de los contratos del artículo 355 de la Constitución Política y de los convenios de asociación del artículo 96 de la Ley 489 de 1998 </w:t>
      </w:r>
      <w:r>
        <w:rPr>
          <w:rFonts w:ascii="Verdana" w:eastAsia="Century Gothic" w:hAnsi="Verdana" w:cs="Century Gothic"/>
        </w:rPr>
        <w:t>respecto a la</w:t>
      </w:r>
      <w:r w:rsidRPr="000A0633">
        <w:rPr>
          <w:rFonts w:ascii="Verdana" w:eastAsia="Century Gothic" w:hAnsi="Verdana" w:cs="Century Gothic"/>
        </w:rPr>
        <w:t xml:space="preserve"> </w:t>
      </w:r>
      <w:r>
        <w:rPr>
          <w:rFonts w:ascii="Verdana" w:eastAsia="Century Gothic" w:hAnsi="Verdana" w:cs="Century Gothic"/>
        </w:rPr>
        <w:t>aplicación de los acuerdos comerciales y la exigencia de garantías</w:t>
      </w:r>
      <w:r w:rsidRPr="000A0633">
        <w:rPr>
          <w:rFonts w:ascii="Verdana" w:eastAsia="Century Gothic" w:hAnsi="Verdana" w:cs="Century Gothic"/>
        </w:rPr>
        <w:t>?</w:t>
      </w:r>
    </w:p>
    <w:p w14:paraId="736EF54D" w14:textId="77777777" w:rsidR="00BB3D75" w:rsidRPr="004B140F" w:rsidRDefault="00BB3D75" w:rsidP="00BB3D75">
      <w:pPr>
        <w:spacing w:after="0" w:line="276" w:lineRule="auto"/>
        <w:jc w:val="both"/>
        <w:rPr>
          <w:rFonts w:ascii="Verdana" w:eastAsia="Calibri" w:hAnsi="Verdana" w:cs="Arial"/>
          <w:color w:val="7030A0"/>
        </w:rPr>
      </w:pPr>
    </w:p>
    <w:p w14:paraId="02C58EA0" w14:textId="77777777" w:rsidR="00BB3D75" w:rsidRPr="00593A5F" w:rsidRDefault="00BB3D75" w:rsidP="00BB3D7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FFD4925" w14:textId="77777777" w:rsidR="00BB3D75" w:rsidRPr="00593A5F" w:rsidRDefault="00BB3D75" w:rsidP="00BB3D7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B3D75" w:rsidRPr="00593A5F" w14:paraId="39BEBCA1" w14:textId="77777777">
        <w:trPr>
          <w:jc w:val="center"/>
        </w:trPr>
        <w:tc>
          <w:tcPr>
            <w:tcW w:w="8828" w:type="dxa"/>
          </w:tcPr>
          <w:p w14:paraId="0C24720D" w14:textId="77777777" w:rsidR="002C6FC0" w:rsidRDefault="002C6FC0">
            <w:pPr>
              <w:spacing w:after="120" w:line="276" w:lineRule="auto"/>
              <w:jc w:val="both"/>
              <w:rPr>
                <w:rFonts w:ascii="Verdana" w:eastAsia="Calibri" w:hAnsi="Verdana" w:cs="Times New Roman"/>
                <w:iCs/>
                <w:lang w:val="es-ES"/>
              </w:rPr>
            </w:pPr>
            <w:bookmarkStart w:id="2" w:name="_Hlk171694685"/>
          </w:p>
          <w:p w14:paraId="62EBF30C" w14:textId="6D380149" w:rsidR="00BB3D75" w:rsidRPr="00134BB9" w:rsidRDefault="00BB3D75" w:rsidP="002D7B0F">
            <w:pPr>
              <w:spacing w:after="120" w:line="276" w:lineRule="auto"/>
              <w:jc w:val="both"/>
              <w:rPr>
                <w:rFonts w:ascii="Verdana" w:eastAsia="Calibri" w:hAnsi="Verdana" w:cs="Arial"/>
                <w:lang w:val="es-ES_tradnl"/>
              </w:rPr>
            </w:pPr>
            <w:r>
              <w:rPr>
                <w:rFonts w:ascii="Verdana" w:eastAsia="Calibri" w:hAnsi="Verdana" w:cs="Times New Roman"/>
                <w:iCs/>
                <w:lang w:val="es-ES"/>
              </w:rPr>
              <w:t xml:space="preserve">Conforme a la interpretación general de las normas del sistema de compras públicas, </w:t>
            </w:r>
            <w:r w:rsidRPr="000A33B7">
              <w:rPr>
                <w:rFonts w:ascii="Verdana" w:eastAsia="Calibri" w:hAnsi="Verdana" w:cs="Arial"/>
                <w:lang w:val="es-ES_tradnl"/>
              </w:rPr>
              <w:t xml:space="preserve">los artículos 6, 7 y 8 del Decreto 092 de 2017 </w:t>
            </w:r>
            <w:r>
              <w:rPr>
                <w:rFonts w:ascii="Verdana" w:eastAsia="Calibri" w:hAnsi="Verdana" w:cs="Arial"/>
                <w:lang w:val="es-ES_tradnl"/>
              </w:rPr>
              <w:t>se remiten al EGCAP</w:t>
            </w:r>
            <w:r w:rsidRPr="000A33B7">
              <w:rPr>
                <w:rFonts w:ascii="Verdana" w:eastAsia="Calibri" w:hAnsi="Verdana" w:cs="Arial"/>
                <w:lang w:val="es-ES_tradnl"/>
              </w:rPr>
              <w:t xml:space="preserve"> a todo supuesto que no esté expresamente regulado en el </w:t>
            </w:r>
            <w:r>
              <w:rPr>
                <w:rFonts w:ascii="Verdana" w:eastAsia="Calibri" w:hAnsi="Verdana" w:cs="Arial"/>
                <w:lang w:val="es-ES_tradnl"/>
              </w:rPr>
              <w:t>reglamento autónomo.</w:t>
            </w:r>
            <w:r w:rsidRPr="000A33B7">
              <w:rPr>
                <w:rFonts w:ascii="Verdana" w:eastAsia="Calibri" w:hAnsi="Verdana" w:cs="Arial"/>
                <w:lang w:val="es-ES_tradnl"/>
              </w:rPr>
              <w:t xml:space="preserve"> En esta medida, los </w:t>
            </w:r>
            <w:r w:rsidRPr="000A33B7">
              <w:rPr>
                <w:rFonts w:ascii="Verdana" w:eastAsia="Calibri" w:hAnsi="Verdana" w:cs="Arial"/>
                <w:i/>
                <w:iCs/>
                <w:lang w:val="es-ES_tradnl"/>
              </w:rPr>
              <w:t xml:space="preserve">contratos del artículo 355 de la Constitución </w:t>
            </w:r>
            <w:r w:rsidRPr="000A33B7">
              <w:rPr>
                <w:rFonts w:ascii="Verdana" w:eastAsia="Calibri" w:hAnsi="Verdana" w:cs="Arial"/>
                <w:lang w:val="es-ES_tradnl"/>
              </w:rPr>
              <w:t xml:space="preserve">y los </w:t>
            </w:r>
            <w:r w:rsidRPr="000A33B7">
              <w:rPr>
                <w:rFonts w:ascii="Verdana" w:eastAsia="Calibri" w:hAnsi="Verdana" w:cs="Arial"/>
                <w:i/>
                <w:iCs/>
                <w:lang w:val="es-ES_tradnl"/>
              </w:rPr>
              <w:t>convenios de asociación</w:t>
            </w:r>
            <w:r w:rsidRPr="000A33B7">
              <w:rPr>
                <w:rFonts w:ascii="Verdana" w:eastAsia="Calibri" w:hAnsi="Verdana" w:cs="Arial"/>
                <w:lang w:val="es-ES_tradnl"/>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y la prohibición de adicionarlo en más del cincuenta por ciento –art. </w:t>
            </w:r>
            <w:r w:rsidRPr="000A33B7">
              <w:rPr>
                <w:rFonts w:ascii="Verdana" w:eastAsia="Calibri" w:hAnsi="Verdana" w:cs="Arial"/>
                <w:lang w:val="es-ES_tradnl"/>
              </w:rPr>
              <w:lastRenderedPageBreak/>
              <w:t>40–, el régimen de perfeccionamiento –art. 41–, las causales de nulidad –art. 44 y ss.–, el régimen de responsabilidad contractual –art. 50 y ss.– y de liquidación de los contratos –art. 60–.</w:t>
            </w:r>
          </w:p>
          <w:p w14:paraId="715E702B" w14:textId="77777777" w:rsidR="002F7E5F" w:rsidRPr="00134BB9" w:rsidRDefault="002F7E5F">
            <w:pPr>
              <w:spacing w:after="120" w:line="276" w:lineRule="auto"/>
              <w:jc w:val="both"/>
              <w:rPr>
                <w:rFonts w:ascii="Verdana" w:eastAsia="Calibri" w:hAnsi="Verdana" w:cs="Arial"/>
                <w:lang w:val="es-ES_tradnl"/>
              </w:rPr>
            </w:pPr>
          </w:p>
          <w:p w14:paraId="10D805A1" w14:textId="63F05EFC" w:rsidR="00BB3D75" w:rsidRDefault="00BB3D75" w:rsidP="002D7B0F">
            <w:pPr>
              <w:tabs>
                <w:tab w:val="left" w:pos="0"/>
              </w:tabs>
              <w:spacing w:before="120" w:after="120" w:line="276" w:lineRule="auto"/>
              <w:ind w:firstLine="709"/>
              <w:jc w:val="both"/>
              <w:rPr>
                <w:rFonts w:ascii="Verdana" w:eastAsia="Calibri" w:hAnsi="Verdana" w:cs="Arial"/>
                <w:bCs/>
                <w:color w:val="000000" w:themeColor="text1"/>
                <w:lang w:val="es-ES_tradnl"/>
              </w:rPr>
            </w:pPr>
            <w:r w:rsidRPr="00134BB9">
              <w:rPr>
                <w:rFonts w:ascii="Verdana" w:eastAsia="Calibri" w:hAnsi="Verdana" w:cs="Arial"/>
                <w:shd w:val="clear" w:color="auto" w:fill="FFFFFF"/>
                <w:lang w:val="es-ES"/>
              </w:rPr>
              <w:t>Ahora bien</w:t>
            </w:r>
            <w:r>
              <w:rPr>
                <w:rFonts w:ascii="Verdana" w:eastAsia="Calibri" w:hAnsi="Verdana" w:cs="Arial"/>
                <w:shd w:val="clear" w:color="auto" w:fill="FFFFFF"/>
                <w:lang w:val="es-ES"/>
              </w:rPr>
              <w:t xml:space="preserve">, </w:t>
            </w:r>
            <w:r w:rsidRPr="00C3531F">
              <w:rPr>
                <w:rFonts w:ascii="Verdana" w:eastAsia="Calibri" w:hAnsi="Verdana" w:cs="Arial"/>
                <w:bCs/>
                <w:color w:val="000000" w:themeColor="text1"/>
                <w:lang w:val="es-ES_tradnl"/>
              </w:rPr>
              <w:t xml:space="preserve">para que pueda aplicarse el trato nacional en virtud del pacto contenido en un tratado o acuerdo comercial, la contratación debe versar sobre los bienes, servicios o proveedores </w:t>
            </w:r>
            <w:r w:rsidRPr="00C3531F">
              <w:rPr>
                <w:rFonts w:ascii="Verdana" w:eastAsia="Calibri" w:hAnsi="Verdana" w:cs="Arial"/>
                <w:bCs/>
                <w:i/>
                <w:iCs/>
                <w:color w:val="000000" w:themeColor="text1"/>
                <w:lang w:val="es-ES_tradnl"/>
              </w:rPr>
              <w:t>cubiertos</w:t>
            </w:r>
            <w:r w:rsidRPr="00C3531F">
              <w:rPr>
                <w:rFonts w:ascii="Verdana" w:eastAsia="Calibri" w:hAnsi="Verdana" w:cs="Arial"/>
                <w:bCs/>
                <w:color w:val="000000" w:themeColor="text1"/>
                <w:lang w:val="es-ES_tradnl"/>
              </w:rPr>
              <w:t xml:space="preserve"> por dicho tratado, pues la autonomía de la voluntad de los Estados, que es expresión de su soberanía, les permite negociar en el acuerdo comercial un alcance o cobertura </w:t>
            </w:r>
            <w:proofErr w:type="gramStart"/>
            <w:r w:rsidRPr="00C3531F">
              <w:rPr>
                <w:rFonts w:ascii="Verdana" w:eastAsia="Calibri" w:hAnsi="Verdana" w:cs="Arial"/>
                <w:bCs/>
                <w:color w:val="000000" w:themeColor="text1"/>
                <w:lang w:val="es-ES_tradnl"/>
              </w:rPr>
              <w:t>del mismo</w:t>
            </w:r>
            <w:proofErr w:type="gramEnd"/>
            <w:r w:rsidRPr="00C3531F">
              <w:rPr>
                <w:rFonts w:ascii="Verdana" w:eastAsia="Calibri" w:hAnsi="Verdana" w:cs="Arial"/>
                <w:bCs/>
                <w:color w:val="000000" w:themeColor="text1"/>
                <w:lang w:val="es-ES_tradnl"/>
              </w:rPr>
              <w:t xml:space="preserve">, según razones de oportunidad o conveniencia. Es por esto </w:t>
            </w:r>
            <w:proofErr w:type="gramStart"/>
            <w:r w:rsidRPr="00C3531F">
              <w:rPr>
                <w:rFonts w:ascii="Verdana" w:eastAsia="Calibri" w:hAnsi="Verdana" w:cs="Arial"/>
                <w:bCs/>
                <w:color w:val="000000" w:themeColor="text1"/>
                <w:lang w:val="es-ES_tradnl"/>
              </w:rPr>
              <w:t>que</w:t>
            </w:r>
            <w:proofErr w:type="gramEnd"/>
            <w:r w:rsidRPr="00C3531F">
              <w:rPr>
                <w:rFonts w:ascii="Verdana" w:eastAsia="Calibri" w:hAnsi="Verdana" w:cs="Arial"/>
                <w:bCs/>
                <w:color w:val="000000" w:themeColor="text1"/>
                <w:lang w:val="es-ES_tradnl"/>
              </w:rPr>
              <w:t xml:space="preserve"> los tratados establecen las entidades cubiertas, así como los umbrales, es decir, los valores o montos que, al igualarse o superarse en un procedimiento de contratación, hacen que este quede amparado por el tratado. De igual manera, este también puede contener exclusiones explícitas a su cobertura.</w:t>
            </w:r>
          </w:p>
          <w:p w14:paraId="142DC21D" w14:textId="77777777" w:rsidR="00941F8C" w:rsidRDefault="00941F8C">
            <w:pPr>
              <w:tabs>
                <w:tab w:val="left" w:pos="0"/>
              </w:tabs>
              <w:spacing w:before="120" w:after="120" w:line="276" w:lineRule="auto"/>
              <w:ind w:firstLine="709"/>
              <w:jc w:val="both"/>
              <w:rPr>
                <w:rFonts w:ascii="Verdana" w:eastAsia="Calibri" w:hAnsi="Verdana" w:cs="Arial"/>
                <w:bCs/>
                <w:color w:val="000000" w:themeColor="text1"/>
                <w:lang w:val="es-ES_tradnl"/>
              </w:rPr>
            </w:pPr>
          </w:p>
          <w:p w14:paraId="3B1A1073" w14:textId="5075BA32" w:rsidR="00AC23B8" w:rsidRDefault="00BB3D75" w:rsidP="008A1B2D">
            <w:pPr>
              <w:spacing w:after="12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Sin embargo, los contratos derivados de aplicar acuerdos comerciales tienen carácter oneroso y conmutativo. Por un lado, el artículo 1497 del Código Civil dispone que “</w:t>
            </w:r>
            <w:r w:rsidRPr="00AA6AB5">
              <w:rPr>
                <w:rFonts w:ascii="Verdana" w:eastAsia="Calibri" w:hAnsi="Verdana" w:cs="Arial"/>
                <w:bCs/>
                <w:color w:val="000000" w:themeColor="text1"/>
                <w:lang w:val="es-ES_tradnl"/>
              </w:rPr>
              <w:t xml:space="preserve">El contrato es </w:t>
            </w:r>
            <w:r>
              <w:rPr>
                <w:rFonts w:ascii="Verdana" w:eastAsia="Calibri" w:hAnsi="Verdana" w:cs="Arial"/>
                <w:bCs/>
                <w:color w:val="000000" w:themeColor="text1"/>
                <w:lang w:val="es-ES_tradnl"/>
              </w:rPr>
              <w:t>[…]</w:t>
            </w:r>
            <w:r w:rsidRPr="00AA6AB5">
              <w:rPr>
                <w:rFonts w:ascii="Verdana" w:eastAsia="Calibri" w:hAnsi="Verdana" w:cs="Arial"/>
                <w:bCs/>
                <w:color w:val="000000" w:themeColor="text1"/>
                <w:lang w:val="es-ES_tradnl"/>
              </w:rPr>
              <w:t xml:space="preserve"> oneroso, cuando tiene por objeto la utilidad de ambos contratantes, gravándose cada uno a beneficio del otro</w:t>
            </w:r>
            <w:r>
              <w:rPr>
                <w:rFonts w:ascii="Verdana" w:eastAsia="Calibri" w:hAnsi="Verdana" w:cs="Arial"/>
                <w:bCs/>
                <w:color w:val="000000" w:themeColor="text1"/>
                <w:lang w:val="es-ES_tradnl"/>
              </w:rPr>
              <w:t>”</w:t>
            </w:r>
            <w:r w:rsidRPr="00AA6AB5">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Por su parte, el artículo 1499 </w:t>
            </w:r>
            <w:r w:rsidRPr="00692076">
              <w:rPr>
                <w:rFonts w:ascii="Verdana" w:eastAsia="Calibri" w:hAnsi="Verdana" w:cs="Arial"/>
                <w:bCs/>
                <w:i/>
                <w:iCs/>
                <w:color w:val="000000" w:themeColor="text1"/>
                <w:lang w:val="es-ES_tradnl"/>
              </w:rPr>
              <w:t>ibidem</w:t>
            </w:r>
            <w:r>
              <w:rPr>
                <w:rFonts w:ascii="Verdana" w:eastAsia="Calibri" w:hAnsi="Verdana" w:cs="Arial"/>
                <w:bCs/>
                <w:color w:val="000000" w:themeColor="text1"/>
                <w:lang w:val="es-ES_tradnl"/>
              </w:rPr>
              <w:t xml:space="preserve"> precisa lo siguiente: “</w:t>
            </w:r>
            <w:r w:rsidRPr="00692076">
              <w:rPr>
                <w:rFonts w:ascii="Verdana" w:eastAsia="Calibri" w:hAnsi="Verdana" w:cs="Arial"/>
                <w:bCs/>
                <w:color w:val="000000" w:themeColor="text1"/>
                <w:lang w:val="es-ES_tradnl"/>
              </w:rPr>
              <w:t>El contrato oneroso es conmutativo, cuando cada una de las partes se obliga a dar o hacer una cosa que se mira como equivalente a lo que la otra parte debe dar o hacer a su vez</w:t>
            </w:r>
            <w:r>
              <w:rPr>
                <w:rFonts w:ascii="Verdana" w:eastAsia="Calibri" w:hAnsi="Verdana" w:cs="Arial"/>
                <w:bCs/>
                <w:color w:val="000000" w:themeColor="text1"/>
                <w:lang w:val="es-ES_tradnl"/>
              </w:rPr>
              <w:t xml:space="preserve"> […]”. Es decir, dichos negocios carecen de fines asociativos en los términos del artículo 355 superior o 96 de la Ley 489 de 1998, pues los tratados de libre comercio fomentan el lucro para las empresas extrajeras que se benefician con su suscripción. En este contexto, la </w:t>
            </w:r>
            <w:r w:rsidRPr="00013F99">
              <w:rPr>
                <w:rFonts w:ascii="Verdana" w:eastAsia="Calibri" w:hAnsi="Verdana" w:cs="Arial"/>
                <w:bCs/>
                <w:color w:val="000000" w:themeColor="text1"/>
                <w:lang w:val="es-ES_tradnl"/>
              </w:rPr>
              <w:t>Guía para la contratación con</w:t>
            </w:r>
            <w:r>
              <w:rPr>
                <w:rFonts w:ascii="Verdana" w:eastAsia="Calibri" w:hAnsi="Verdana" w:cs="Arial"/>
                <w:bCs/>
                <w:color w:val="000000" w:themeColor="text1"/>
                <w:lang w:val="es-ES_tradnl"/>
              </w:rPr>
              <w:t xml:space="preserve"> ESAL</w:t>
            </w:r>
            <w:r w:rsidRPr="00013F99">
              <w:rPr>
                <w:rFonts w:ascii="Verdana" w:eastAsia="Calibri" w:hAnsi="Verdana" w:cs="Arial"/>
                <w:bCs/>
                <w:color w:val="000000" w:themeColor="text1"/>
                <w:lang w:val="es-ES_tradnl"/>
              </w:rPr>
              <w:t xml:space="preserve"> de reconocida idoneidad</w:t>
            </w:r>
            <w:r>
              <w:rPr>
                <w:rFonts w:ascii="Verdana" w:eastAsia="Calibri" w:hAnsi="Verdana" w:cs="Arial"/>
                <w:bCs/>
                <w:color w:val="000000" w:themeColor="text1"/>
                <w:lang w:val="es-ES_tradnl"/>
              </w:rPr>
              <w:t xml:space="preserve"> adoptada por la ANCP – CCE precisa que “[…] </w:t>
            </w:r>
            <w:r w:rsidRPr="00791637">
              <w:rPr>
                <w:rFonts w:ascii="Verdana" w:eastAsia="Calibri" w:hAnsi="Verdana" w:cs="Arial"/>
                <w:bCs/>
                <w:color w:val="000000" w:themeColor="text1"/>
                <w:lang w:val="es-ES_tradnl"/>
              </w:rPr>
              <w:t>los Acuerdos Comerciales no son aplicables a los contratos de colaboración ni a los convenios</w:t>
            </w:r>
            <w:r>
              <w:rPr>
                <w:rFonts w:ascii="Verdana" w:eastAsia="Calibri" w:hAnsi="Verdana" w:cs="Arial"/>
                <w:bCs/>
                <w:color w:val="000000" w:themeColor="text1"/>
                <w:lang w:val="es-ES_tradnl"/>
              </w:rPr>
              <w:t xml:space="preserve"> </w:t>
            </w:r>
            <w:r w:rsidRPr="00791637">
              <w:rPr>
                <w:rFonts w:ascii="Verdana" w:eastAsia="Calibri" w:hAnsi="Verdana" w:cs="Arial"/>
                <w:bCs/>
                <w:color w:val="000000" w:themeColor="text1"/>
                <w:lang w:val="es-ES_tradnl"/>
              </w:rPr>
              <w:t>de asociación, pues estos sólo resultan aplicables a los Procesos de Contratación en virtud de los cuales</w:t>
            </w:r>
            <w:r>
              <w:rPr>
                <w:rFonts w:ascii="Verdana" w:eastAsia="Calibri" w:hAnsi="Verdana" w:cs="Arial"/>
                <w:bCs/>
                <w:color w:val="000000" w:themeColor="text1"/>
                <w:lang w:val="es-ES_tradnl"/>
              </w:rPr>
              <w:t xml:space="preserve"> </w:t>
            </w:r>
            <w:r w:rsidRPr="00791637">
              <w:rPr>
                <w:rFonts w:ascii="Verdana" w:eastAsia="Calibri" w:hAnsi="Verdana" w:cs="Arial"/>
                <w:bCs/>
                <w:color w:val="000000" w:themeColor="text1"/>
                <w:lang w:val="es-ES_tradnl"/>
              </w:rPr>
              <w:t>una Entidad Estatal adquiere o se abastece de un bien, obra o servicio a través de un contrato conmutativo</w:t>
            </w:r>
            <w:r>
              <w:rPr>
                <w:rFonts w:ascii="Verdana" w:eastAsia="Calibri" w:hAnsi="Verdana" w:cs="Arial"/>
                <w:bCs/>
                <w:color w:val="000000" w:themeColor="text1"/>
                <w:lang w:val="es-ES_tradnl"/>
              </w:rPr>
              <w:t>”.</w:t>
            </w:r>
          </w:p>
          <w:p w14:paraId="515F0FC3" w14:textId="77777777" w:rsidR="008A1B2D" w:rsidRDefault="008A1B2D" w:rsidP="008A1B2D">
            <w:pPr>
              <w:spacing w:after="120" w:line="276" w:lineRule="auto"/>
              <w:jc w:val="both"/>
              <w:rPr>
                <w:rFonts w:ascii="Verdana" w:eastAsia="Calibri" w:hAnsi="Verdana" w:cs="Arial"/>
                <w:shd w:val="clear" w:color="auto" w:fill="FFFFFF"/>
                <w:lang w:val="es-ES"/>
              </w:rPr>
            </w:pPr>
          </w:p>
          <w:p w14:paraId="5F344945" w14:textId="77777777" w:rsidR="00BB3D75" w:rsidRPr="00134BB9" w:rsidRDefault="00BB3D75" w:rsidP="002D7B0F">
            <w:pPr>
              <w:tabs>
                <w:tab w:val="left" w:pos="595"/>
              </w:tabs>
              <w:spacing w:before="120" w:line="276" w:lineRule="auto"/>
              <w:ind w:firstLine="737"/>
              <w:jc w:val="both"/>
              <w:rPr>
                <w:rFonts w:ascii="Verdana" w:hAnsi="Verdana" w:cs="Arial"/>
                <w:bCs/>
                <w:color w:val="000000" w:themeColor="text1"/>
              </w:rPr>
            </w:pPr>
            <w:r>
              <w:rPr>
                <w:rFonts w:ascii="Verdana" w:eastAsia="Calibri" w:hAnsi="Verdana" w:cs="Arial"/>
                <w:shd w:val="clear" w:color="auto" w:fill="FFFFFF"/>
                <w:lang w:val="es-ES"/>
              </w:rPr>
              <w:lastRenderedPageBreak/>
              <w:t xml:space="preserve">Por otra parte, </w:t>
            </w:r>
            <w:r>
              <w:rPr>
                <w:rFonts w:ascii="Verdana" w:hAnsi="Verdana" w:cs="Arial"/>
                <w:bCs/>
                <w:color w:val="000000" w:themeColor="text1"/>
              </w:rPr>
              <w:t>como</w:t>
            </w:r>
            <w:r w:rsidRPr="00C67898">
              <w:rPr>
                <w:rFonts w:ascii="Verdana" w:hAnsi="Verdana" w:cs="Arial"/>
                <w:bCs/>
                <w:color w:val="000000" w:themeColor="text1"/>
              </w:rPr>
              <w:t xml:space="preserve"> el Decreto 092 de 2017 no reguló el régimen de garantías para los convenios con entidades sin ánimo de lucro, por aplicación del artículo 8 </w:t>
            </w:r>
            <w:r w:rsidRPr="00C67898">
              <w:rPr>
                <w:rFonts w:ascii="Verdana" w:hAnsi="Verdana" w:cs="Arial"/>
                <w:bCs/>
                <w:i/>
                <w:iCs/>
                <w:color w:val="000000" w:themeColor="text1"/>
              </w:rPr>
              <w:t>ibidem</w:t>
            </w:r>
            <w:r w:rsidRPr="00C67898">
              <w:rPr>
                <w:rFonts w:ascii="Verdana" w:hAnsi="Verdana" w:cs="Arial"/>
                <w:bCs/>
                <w:color w:val="000000" w:themeColor="text1"/>
              </w:rPr>
              <w:t xml:space="preserve">, deben aplicarse las normas contenidas en el Estatuto General de Contratación de la Administración Pública, particularmente lo dispuesto en el artículo 7 de la Ley 1150 de 2007. </w:t>
            </w:r>
            <w:r>
              <w:rPr>
                <w:rFonts w:ascii="Verdana" w:hAnsi="Verdana" w:cs="Arial"/>
                <w:bCs/>
                <w:color w:val="000000" w:themeColor="text1"/>
              </w:rPr>
              <w:t>El inciso final de esta disposición</w:t>
            </w:r>
            <w:r w:rsidRPr="00C67898">
              <w:rPr>
                <w:rFonts w:ascii="Verdana" w:hAnsi="Verdana" w:cs="Arial"/>
                <w:bCs/>
                <w:color w:val="000000" w:themeColor="text1"/>
              </w:rPr>
              <w:t xml:space="preserve"> establece los eventos en que deberá prestarse póliza de garantía y aquellas circunstancias exceptuadas de esta obligación. En aquellos eventos no mencionados por dicha norma</w:t>
            </w:r>
            <w:r>
              <w:rPr>
                <w:rFonts w:ascii="Verdana" w:hAnsi="Verdana" w:cs="Arial"/>
                <w:bCs/>
                <w:color w:val="000000" w:themeColor="text1"/>
              </w:rPr>
              <w:t xml:space="preserve">, </w:t>
            </w:r>
            <w:r w:rsidRPr="00C67898">
              <w:rPr>
                <w:rFonts w:ascii="Verdana" w:hAnsi="Verdana" w:cs="Arial"/>
                <w:bCs/>
                <w:color w:val="000000" w:themeColor="text1"/>
              </w:rPr>
              <w:t xml:space="preserve">como el caso </w:t>
            </w:r>
            <w:r>
              <w:rPr>
                <w:rFonts w:ascii="Verdana" w:hAnsi="Verdana" w:cs="Arial"/>
                <w:bCs/>
                <w:color w:val="000000" w:themeColor="text1"/>
              </w:rPr>
              <w:t>de los negocios</w:t>
            </w:r>
            <w:r w:rsidRPr="00C67898">
              <w:rPr>
                <w:rFonts w:ascii="Verdana" w:hAnsi="Verdana" w:cs="Arial"/>
                <w:bCs/>
                <w:color w:val="000000" w:themeColor="text1"/>
              </w:rPr>
              <w:t xml:space="preserve"> regulados en el Decreto 092 de 2017, las entidades estatales</w:t>
            </w:r>
            <w:r>
              <w:rPr>
                <w:rFonts w:ascii="Verdana" w:hAnsi="Verdana" w:cs="Arial"/>
                <w:bCs/>
                <w:color w:val="000000" w:themeColor="text1"/>
              </w:rPr>
              <w:t xml:space="preserve"> exigirán</w:t>
            </w:r>
            <w:r w:rsidRPr="00C67898">
              <w:rPr>
                <w:rFonts w:ascii="Verdana" w:hAnsi="Verdana" w:cs="Arial"/>
                <w:bCs/>
                <w:color w:val="000000" w:themeColor="text1"/>
              </w:rPr>
              <w:t xml:space="preserve"> que la</w:t>
            </w:r>
            <w:r>
              <w:rPr>
                <w:rFonts w:ascii="Verdana" w:hAnsi="Verdana" w:cs="Arial"/>
                <w:bCs/>
                <w:color w:val="000000" w:themeColor="text1"/>
              </w:rPr>
              <w:t>s</w:t>
            </w:r>
            <w:r w:rsidRPr="00C67898">
              <w:rPr>
                <w:rFonts w:ascii="Verdana" w:hAnsi="Verdana" w:cs="Arial"/>
                <w:bCs/>
                <w:color w:val="000000" w:themeColor="text1"/>
              </w:rPr>
              <w:t xml:space="preserve"> ESAL constituya</w:t>
            </w:r>
            <w:r>
              <w:rPr>
                <w:rFonts w:ascii="Verdana" w:hAnsi="Verdana" w:cs="Arial"/>
                <w:bCs/>
                <w:color w:val="000000" w:themeColor="text1"/>
              </w:rPr>
              <w:t>n</w:t>
            </w:r>
            <w:r w:rsidRPr="00C67898">
              <w:rPr>
                <w:rFonts w:ascii="Verdana" w:hAnsi="Verdana" w:cs="Arial"/>
                <w:bCs/>
                <w:color w:val="000000" w:themeColor="text1"/>
              </w:rPr>
              <w:t xml:space="preserve"> garantías para amparar las obligaciones estipuladas en el contrato</w:t>
            </w:r>
            <w:r>
              <w:rPr>
                <w:rFonts w:ascii="Verdana" w:hAnsi="Verdana" w:cs="Arial"/>
                <w:bCs/>
                <w:color w:val="000000" w:themeColor="text1"/>
              </w:rPr>
              <w:t xml:space="preserve"> con sujeción a lo previsto en el Decreto 1082 de 2015</w:t>
            </w:r>
            <w:r w:rsidRPr="00C67898">
              <w:rPr>
                <w:rFonts w:ascii="Verdana" w:hAnsi="Verdana" w:cs="Arial"/>
                <w:bCs/>
                <w:color w:val="000000" w:themeColor="text1"/>
              </w:rPr>
              <w:t>.</w:t>
            </w:r>
            <w:r>
              <w:rPr>
                <w:rFonts w:ascii="Verdana" w:hAnsi="Verdana" w:cs="Arial"/>
                <w:bCs/>
                <w:color w:val="000000" w:themeColor="text1"/>
              </w:rPr>
              <w:t xml:space="preserve"> En cada caso, conforme a la justificación del equipo estructurador, los amparos requeridos dependen del análisis de riesgos realizado por la entidad en la fase de planeación.</w:t>
            </w:r>
          </w:p>
          <w:p w14:paraId="7B04F38D" w14:textId="77777777" w:rsidR="008A1B2D" w:rsidRPr="00134BB9" w:rsidRDefault="008A1B2D" w:rsidP="008A1B2D">
            <w:pPr>
              <w:tabs>
                <w:tab w:val="left" w:pos="595"/>
              </w:tabs>
              <w:spacing w:before="120" w:line="276" w:lineRule="auto"/>
              <w:jc w:val="both"/>
              <w:rPr>
                <w:rFonts w:ascii="Verdana" w:hAnsi="Verdana" w:cs="Arial"/>
                <w:bCs/>
                <w:color w:val="000000" w:themeColor="text1"/>
              </w:rPr>
            </w:pPr>
          </w:p>
          <w:p w14:paraId="73EBD7B2" w14:textId="77777777" w:rsidR="00BB3D75" w:rsidRPr="001A09C8" w:rsidRDefault="00BB3D75" w:rsidP="002D7B0F">
            <w:pPr>
              <w:spacing w:before="120" w:line="276" w:lineRule="auto"/>
              <w:ind w:firstLine="737"/>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55734CB" w14:textId="77777777" w:rsidR="00BB3D75" w:rsidRPr="00593A5F" w:rsidRDefault="00BB3D75" w:rsidP="00BB3D75">
      <w:pPr>
        <w:tabs>
          <w:tab w:val="left" w:pos="142"/>
          <w:tab w:val="left" w:pos="284"/>
        </w:tabs>
        <w:spacing w:after="0" w:line="276" w:lineRule="auto"/>
        <w:jc w:val="both"/>
        <w:rPr>
          <w:rFonts w:ascii="Verdana" w:eastAsia="Century Gothic" w:hAnsi="Verdana" w:cs="Century Gothic"/>
          <w:b/>
          <w:bCs/>
          <w:lang w:val="es-ES"/>
        </w:rPr>
      </w:pPr>
    </w:p>
    <w:bookmarkEnd w:id="2"/>
    <w:p w14:paraId="5D913473" w14:textId="77777777" w:rsidR="00BB3D75" w:rsidRPr="00593A5F" w:rsidRDefault="00BB3D75" w:rsidP="00BB3D7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695FE6A" w14:textId="77777777" w:rsidR="00BB3D75" w:rsidRPr="00593A5F" w:rsidRDefault="00BB3D75" w:rsidP="00BB3D75">
      <w:pPr>
        <w:spacing w:after="0" w:line="276" w:lineRule="auto"/>
        <w:jc w:val="both"/>
        <w:rPr>
          <w:rFonts w:ascii="Verdana" w:eastAsia="Calibri" w:hAnsi="Verdana" w:cs="Arial"/>
          <w:color w:val="7030A0"/>
          <w:lang w:val="es-ES"/>
        </w:rPr>
      </w:pPr>
    </w:p>
    <w:p w14:paraId="634DEBCB" w14:textId="77777777" w:rsidR="00BB3D75" w:rsidRDefault="00BB3D75" w:rsidP="00BB3D7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F5BA8EE" w14:textId="77777777" w:rsidR="00BB3D75" w:rsidRPr="00415608" w:rsidRDefault="00BB3D75" w:rsidP="00BB3D75">
      <w:pPr>
        <w:spacing w:after="0" w:line="276" w:lineRule="auto"/>
        <w:jc w:val="both"/>
        <w:rPr>
          <w:rFonts w:ascii="Verdana" w:eastAsia="Calibri" w:hAnsi="Verdana" w:cs="Arial"/>
          <w:lang w:val="es-ES"/>
        </w:rPr>
      </w:pPr>
    </w:p>
    <w:p w14:paraId="3A6C98AA" w14:textId="77777777" w:rsidR="00BB3D75" w:rsidRPr="0063743B" w:rsidRDefault="00BB3D75" w:rsidP="00BB3D75">
      <w:pPr>
        <w:spacing w:line="276" w:lineRule="auto"/>
        <w:jc w:val="both"/>
        <w:rPr>
          <w:rFonts w:ascii="Verdana" w:eastAsia="Calibri" w:hAnsi="Verdana" w:cs="Arial"/>
          <w:bCs/>
          <w:lang w:val="es-ES_tradnl"/>
        </w:rPr>
      </w:pPr>
      <w:r w:rsidRPr="0063743B">
        <w:rPr>
          <w:rFonts w:ascii="Verdana" w:eastAsia="Calibri" w:hAnsi="Verdana" w:cs="Arial"/>
          <w:lang w:val="es-ES"/>
        </w:rPr>
        <w:t xml:space="preserve">i. </w:t>
      </w:r>
      <w:r w:rsidRPr="0063743B">
        <w:rPr>
          <w:rFonts w:ascii="Verdana" w:eastAsia="Calibri" w:hAnsi="Verdana" w:cs="Arial"/>
          <w:bCs/>
          <w:lang w:val="es-ES_tradnl"/>
        </w:rPr>
        <w:t xml:space="preserve">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w:t>
      </w:r>
      <w:r w:rsidRPr="0063743B">
        <w:rPr>
          <w:rFonts w:ascii="Verdana" w:eastAsia="Calibri" w:hAnsi="Verdana" w:cs="Arial"/>
          <w:bCs/>
          <w:lang w:val="es-ES_tradnl"/>
        </w:rPr>
        <w:lastRenderedPageBreak/>
        <w:t>acordes con el plan nacional y los planes seccionales de desarrollo</w:t>
      </w:r>
      <w:r w:rsidRPr="0063743B">
        <w:rPr>
          <w:rStyle w:val="Refdenotaalpie"/>
          <w:rFonts w:ascii="Verdana" w:hAnsi="Verdana" w:cs="Arial"/>
        </w:rPr>
        <w:footnoteReference w:id="2"/>
      </w:r>
      <w:r w:rsidRPr="0063743B">
        <w:rPr>
          <w:rFonts w:ascii="Verdana" w:eastAsia="Calibri" w:hAnsi="Verdana" w:cs="Arial"/>
          <w:bCs/>
          <w:lang w:val="es-ES_tradnl"/>
        </w:rPr>
        <w:t>.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r w:rsidRPr="0063743B">
        <w:rPr>
          <w:rStyle w:val="Refdenotaalpie"/>
          <w:rFonts w:ascii="Verdana" w:eastAsia="Calibri" w:hAnsi="Verdana" w:cs="Arial"/>
          <w:bCs/>
          <w:lang w:val="es-ES_tradnl"/>
        </w:rPr>
        <w:footnoteReference w:id="3"/>
      </w:r>
      <w:r w:rsidRPr="0063743B">
        <w:rPr>
          <w:rFonts w:ascii="Verdana" w:eastAsia="Calibri" w:hAnsi="Verdana" w:cs="Arial"/>
          <w:bCs/>
          <w:lang w:val="es-ES_tradnl"/>
        </w:rPr>
        <w:t>.</w:t>
      </w:r>
    </w:p>
    <w:p w14:paraId="7329824E" w14:textId="77777777" w:rsidR="00BB3D75" w:rsidRPr="0063743B" w:rsidRDefault="00BB3D75" w:rsidP="00BB3D75">
      <w:pPr>
        <w:spacing w:before="120" w:after="120" w:line="276" w:lineRule="auto"/>
        <w:ind w:firstLine="709"/>
        <w:jc w:val="both"/>
        <w:rPr>
          <w:rFonts w:ascii="Verdana" w:eastAsia="Calibri" w:hAnsi="Verdana" w:cs="Arial"/>
          <w:lang w:val="es-ES"/>
        </w:rPr>
      </w:pPr>
      <w:bookmarkStart w:id="4" w:name="_Hlk38819155"/>
      <w:r w:rsidRPr="0063743B">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4"/>
    </w:p>
    <w:p w14:paraId="1A78CE4B" w14:textId="77777777" w:rsidR="00BB3D75" w:rsidRPr="0063743B" w:rsidRDefault="00BB3D75" w:rsidP="00BB3D75">
      <w:pPr>
        <w:spacing w:before="120" w:after="120" w:line="276" w:lineRule="auto"/>
        <w:ind w:firstLine="709"/>
        <w:jc w:val="both"/>
        <w:rPr>
          <w:rFonts w:ascii="Verdana" w:eastAsia="Calibri" w:hAnsi="Verdana" w:cs="Arial"/>
          <w:lang w:val="es-ES"/>
        </w:rPr>
      </w:pPr>
      <w:bookmarkStart w:id="5" w:name="_Hlk95756032"/>
      <w:r w:rsidRPr="0063743B">
        <w:rPr>
          <w:rFonts w:ascii="Verdana" w:eastAsia="Calibri" w:hAnsi="Verdana" w:cs="Arial"/>
          <w:lang w:val="es-ES"/>
        </w:rPr>
        <w:t xml:space="preserve">Los </w:t>
      </w:r>
      <w:r w:rsidRPr="0063743B">
        <w:rPr>
          <w:rFonts w:ascii="Verdana" w:eastAsia="Calibri" w:hAnsi="Verdana" w:cs="Arial"/>
          <w:i/>
          <w:iCs/>
          <w:lang w:val="es-ES"/>
        </w:rPr>
        <w:t>contratos del artículo 355 de la Constitución Política</w:t>
      </w:r>
      <w:r w:rsidRPr="0063743B">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xml:space="preserve">) que no haya una contraprestación directa a favor de la entidad estatal, es decir, que el programa o actividad a desarrollar este dirigida al beneficio de la población en general, ya </w:t>
      </w:r>
      <w:r w:rsidRPr="0063743B">
        <w:rPr>
          <w:rFonts w:ascii="Verdana" w:eastAsia="Calibri" w:hAnsi="Verdana" w:cs="Arial"/>
          <w:lang w:val="es-ES"/>
        </w:rPr>
        <w:lastRenderedPageBreak/>
        <w:t>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bookmarkEnd w:id="5"/>
    <w:p w14:paraId="278ED290" w14:textId="77777777" w:rsidR="00BB3D75" w:rsidRPr="0063743B" w:rsidRDefault="00BB3D75" w:rsidP="00BB3D75">
      <w:pPr>
        <w:spacing w:before="120" w:after="120" w:line="276" w:lineRule="auto"/>
        <w:ind w:firstLine="709"/>
        <w:jc w:val="both"/>
        <w:rPr>
          <w:rFonts w:ascii="Verdana" w:eastAsia="Calibri" w:hAnsi="Verdana" w:cs="Arial"/>
          <w:bCs/>
          <w:lang w:val="es-ES_tradnl"/>
        </w:rPr>
      </w:pPr>
      <w:r w:rsidRPr="0063743B">
        <w:rPr>
          <w:rFonts w:ascii="Verdana" w:eastAsia="Calibri" w:hAnsi="Verdana" w:cs="Arial"/>
          <w:bCs/>
          <w:lang w:val="es-ES_tradnl"/>
        </w:rPr>
        <w:t xml:space="preserve">De otro lado, los </w:t>
      </w:r>
      <w:r w:rsidRPr="0063743B">
        <w:rPr>
          <w:rFonts w:ascii="Verdana" w:eastAsia="Calibri" w:hAnsi="Verdana" w:cs="Arial"/>
          <w:bCs/>
          <w:i/>
          <w:lang w:val="es-ES_tradnl"/>
        </w:rPr>
        <w:t>convenios de asociación</w:t>
      </w:r>
      <w:r w:rsidRPr="0063743B">
        <w:rPr>
          <w:rFonts w:ascii="Verdana" w:eastAsia="Calibri" w:hAnsi="Verdana" w:cs="Arial"/>
          <w:bCs/>
          <w:lang w:val="es-ES_tradnl"/>
        </w:rPr>
        <w:t xml:space="preserve"> “[t]</w:t>
      </w:r>
      <w:proofErr w:type="spellStart"/>
      <w:r w:rsidRPr="0063743B">
        <w:rPr>
          <w:rFonts w:ascii="Verdana" w:eastAsia="Calibri" w:hAnsi="Verdana" w:cs="Arial"/>
          <w:bCs/>
          <w:lang w:val="es-ES_tradnl"/>
        </w:rPr>
        <w:t>ienen</w:t>
      </w:r>
      <w:proofErr w:type="spellEnd"/>
      <w:r w:rsidRPr="0063743B">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63743B">
        <w:rPr>
          <w:rStyle w:val="Refdenotaalpie"/>
          <w:rFonts w:ascii="Verdana" w:hAnsi="Verdana" w:cs="Arial"/>
        </w:rPr>
        <w:footnoteReference w:id="4"/>
      </w:r>
      <w:r w:rsidRPr="0063743B">
        <w:rPr>
          <w:rFonts w:ascii="Verdana" w:eastAsia="Calibri" w:hAnsi="Verdana" w:cs="Arial"/>
          <w:bCs/>
          <w:lang w:val="es-ES_tradnl"/>
        </w:rPr>
        <w:t>.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r w:rsidRPr="0063743B">
        <w:rPr>
          <w:rStyle w:val="Refdenotaalpie"/>
          <w:rFonts w:ascii="Verdana" w:hAnsi="Verdana" w:cs="Arial"/>
        </w:rPr>
        <w:footnoteReference w:id="5"/>
      </w:r>
      <w:r w:rsidRPr="0063743B">
        <w:rPr>
          <w:rFonts w:ascii="Verdana" w:eastAsia="Calibri" w:hAnsi="Verdana" w:cs="Arial"/>
          <w:bCs/>
          <w:lang w:val="es-ES_tradnl"/>
        </w:rPr>
        <w:t>.</w:t>
      </w:r>
    </w:p>
    <w:p w14:paraId="2D30A472" w14:textId="77777777" w:rsidR="00BB3D75" w:rsidRPr="0063743B" w:rsidRDefault="00BB3D75" w:rsidP="00BB3D75">
      <w:pPr>
        <w:spacing w:before="120" w:after="120" w:line="276" w:lineRule="auto"/>
        <w:ind w:firstLine="709"/>
        <w:jc w:val="both"/>
        <w:rPr>
          <w:rFonts w:ascii="Verdana" w:eastAsia="Calibri" w:hAnsi="Verdana" w:cs="Arial"/>
          <w:bCs/>
        </w:rPr>
      </w:pPr>
      <w:r w:rsidRPr="0063743B">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63743B">
        <w:rPr>
          <w:rFonts w:ascii="Verdana" w:eastAsia="Calibri" w:hAnsi="Verdana" w:cs="Arial"/>
          <w:bCs/>
        </w:rPr>
        <w:t xml:space="preserve">.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w:t>
      </w:r>
      <w:r w:rsidRPr="0063743B">
        <w:rPr>
          <w:rFonts w:ascii="Verdana" w:eastAsia="Calibri" w:hAnsi="Verdana" w:cs="Arial"/>
          <w:bCs/>
        </w:rPr>
        <w:lastRenderedPageBreak/>
        <w:t>valor total del convenio. En caso de que la entidad encuentre que más de una ESAL le ofrece al menos el 30% de recursos en dinero para el convenio de asociación, debe seleccionar objetivamente con cual asociarse.</w:t>
      </w:r>
    </w:p>
    <w:p w14:paraId="3E2183DA" w14:textId="77777777" w:rsidR="00BB3D75" w:rsidRPr="0063743B" w:rsidRDefault="00BB3D75" w:rsidP="00BB3D75">
      <w:pPr>
        <w:spacing w:before="120" w:after="120" w:line="276" w:lineRule="auto"/>
        <w:ind w:firstLine="709"/>
        <w:jc w:val="both"/>
        <w:rPr>
          <w:rFonts w:ascii="Verdana" w:hAnsi="Verdana"/>
        </w:rPr>
      </w:pPr>
      <w:r w:rsidRPr="0063743B">
        <w:rPr>
          <w:rFonts w:ascii="Verdana" w:hAnsi="Verdana" w:cs="Arial"/>
          <w:color w:val="000000" w:themeColor="text1"/>
        </w:rPr>
        <w:t xml:space="preserve">La noción “seleccionar de forma objetiva”, contenida en la disposición </w:t>
      </w:r>
      <w:r w:rsidRPr="0063743B">
        <w:rPr>
          <w:rFonts w:ascii="Verdana" w:hAnsi="Verdana" w:cs="Arial"/>
          <w:i/>
          <w:iCs/>
          <w:color w:val="000000" w:themeColor="text1"/>
        </w:rPr>
        <w:t xml:space="preserve">sub examine </w:t>
      </w:r>
      <w:r w:rsidRPr="0063743B">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26CC2541" w14:textId="77777777" w:rsidR="00BB3D75" w:rsidRPr="0063743B" w:rsidRDefault="00BB3D75" w:rsidP="00BB3D75">
      <w:pPr>
        <w:pStyle w:val="Sinespaciado"/>
        <w:spacing w:line="276" w:lineRule="auto"/>
        <w:ind w:firstLine="708"/>
        <w:jc w:val="both"/>
        <w:rPr>
          <w:rFonts w:ascii="Verdana" w:hAnsi="Verdana" w:cs="Arial"/>
          <w:color w:val="000000" w:themeColor="text1"/>
          <w:sz w:val="22"/>
        </w:rPr>
      </w:pPr>
      <w:r w:rsidRPr="0063743B">
        <w:rPr>
          <w:rFonts w:ascii="Verdana" w:hAnsi="Verdana" w:cs="Arial"/>
          <w:color w:val="000000" w:themeColor="text1"/>
          <w:sz w:val="22"/>
        </w:rPr>
        <w:t>Es importante aclarar que los negocios jurídicos que regula el Decreto 092 de 2017 “[…] son esencialmente distintos a los contratos para la adquisición y aprovisionamiento de bienes, obras o servicios regulados por el estatuto de contratación y[,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63743B">
        <w:rPr>
          <w:rStyle w:val="Refdenotaalpie"/>
          <w:rFonts w:ascii="Verdana" w:hAnsi="Verdana" w:cs="Arial"/>
          <w:color w:val="000000" w:themeColor="text1"/>
          <w:sz w:val="22"/>
        </w:rPr>
        <w:footnoteReference w:id="6"/>
      </w:r>
      <w:r w:rsidRPr="0063743B">
        <w:rPr>
          <w:rFonts w:ascii="Verdana" w:hAnsi="Verdana" w:cs="Arial"/>
          <w:color w:val="000000" w:themeColor="text1"/>
          <w:sz w:val="22"/>
        </w:rPr>
        <w:t>. Así lo consideró la Sala de Consulta y Servicio Civil del Consejo de Estado:</w:t>
      </w:r>
    </w:p>
    <w:p w14:paraId="00BDE70A" w14:textId="77777777" w:rsidR="00BB3D75" w:rsidRPr="0063743B" w:rsidRDefault="00BB3D75" w:rsidP="00BB3D75">
      <w:pPr>
        <w:pStyle w:val="Sinespaciado"/>
        <w:spacing w:line="276" w:lineRule="auto"/>
        <w:jc w:val="both"/>
        <w:rPr>
          <w:rFonts w:ascii="Verdana" w:hAnsi="Verdana" w:cs="Arial"/>
          <w:color w:val="000000" w:themeColor="text1"/>
          <w:sz w:val="22"/>
        </w:rPr>
      </w:pPr>
    </w:p>
    <w:p w14:paraId="1055157F" w14:textId="77777777" w:rsidR="00BB3D75" w:rsidRPr="0043696B" w:rsidRDefault="00BB3D75" w:rsidP="00BB3D75">
      <w:pPr>
        <w:spacing w:line="240" w:lineRule="auto"/>
        <w:ind w:left="709" w:right="709"/>
        <w:jc w:val="both"/>
        <w:rPr>
          <w:rFonts w:ascii="Verdana" w:eastAsia="Calibri" w:hAnsi="Verdana" w:cs="Arial"/>
          <w:color w:val="000000" w:themeColor="text1"/>
          <w:sz w:val="20"/>
          <w:szCs w:val="20"/>
        </w:rPr>
      </w:pPr>
      <w:r w:rsidRPr="0043696B">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2B2658B8" w14:textId="77777777" w:rsidR="00BB3D75" w:rsidRPr="0043696B" w:rsidRDefault="00BB3D75" w:rsidP="00BB3D75">
      <w:pPr>
        <w:spacing w:after="0" w:line="240" w:lineRule="auto"/>
        <w:ind w:left="708" w:right="709"/>
        <w:jc w:val="both"/>
        <w:rPr>
          <w:rFonts w:ascii="Verdana" w:eastAsia="Calibri" w:hAnsi="Verdana" w:cs="Arial"/>
          <w:color w:val="000000" w:themeColor="text1"/>
          <w:sz w:val="20"/>
          <w:szCs w:val="20"/>
        </w:rPr>
      </w:pPr>
      <w:r w:rsidRPr="0043696B">
        <w:rPr>
          <w:rFonts w:ascii="Verdana" w:eastAsia="Calibri" w:hAnsi="Verdana" w:cs="Arial"/>
          <w:color w:val="000000" w:themeColor="text1"/>
          <w:sz w:val="20"/>
          <w:szCs w:val="20"/>
        </w:rPr>
        <w:t xml:space="preserve">Cuando el artículo 355 autoriza a las entidades estatales a celebrar contratos para </w:t>
      </w:r>
      <w:r>
        <w:rPr>
          <w:rFonts w:ascii="Verdana" w:eastAsia="Calibri" w:hAnsi="Verdana" w:cs="Arial"/>
          <w:color w:val="000000" w:themeColor="text1"/>
          <w:sz w:val="20"/>
          <w:szCs w:val="20"/>
        </w:rPr>
        <w:t>‘</w:t>
      </w:r>
      <w:r w:rsidRPr="0043696B">
        <w:rPr>
          <w:rFonts w:ascii="Verdana" w:eastAsia="Calibri" w:hAnsi="Verdana" w:cs="Arial"/>
          <w:color w:val="000000" w:themeColor="text1"/>
          <w:sz w:val="20"/>
          <w:szCs w:val="20"/>
        </w:rPr>
        <w:t>impulsar</w:t>
      </w:r>
      <w:r>
        <w:rPr>
          <w:rFonts w:ascii="Verdana" w:eastAsia="Calibri" w:hAnsi="Verdana" w:cs="Arial"/>
          <w:color w:val="000000" w:themeColor="text1"/>
          <w:sz w:val="20"/>
          <w:szCs w:val="20"/>
        </w:rPr>
        <w:t>’</w:t>
      </w:r>
      <w:r w:rsidRPr="0043696B">
        <w:rPr>
          <w:rFonts w:ascii="Verdana" w:eastAsia="Calibri" w:hAnsi="Verdana" w:cs="Arial"/>
          <w:color w:val="000000" w:themeColor="text1"/>
          <w:sz w:val="20"/>
          <w:szCs w:val="20"/>
        </w:rPr>
        <w:t xml:space="preserve"> programas y actividades de interés público, se refiere a los del ente privado y no a los del Estado, pues respecto de éste </w:t>
      </w:r>
      <w:r w:rsidRPr="0043696B">
        <w:rPr>
          <w:rFonts w:ascii="Verdana" w:eastAsia="Calibri" w:hAnsi="Verdana" w:cs="Arial"/>
          <w:color w:val="000000" w:themeColor="text1"/>
          <w:sz w:val="20"/>
          <w:szCs w:val="20"/>
        </w:rPr>
        <w:lastRenderedPageBreak/>
        <w:t>el deber constitucional es no sólo impulsarlos sino cumplirlos, conforme las disposiciones contractuales vigentes, como sería por ejemplo, contratos de prestación de servicios o de obra pública”</w:t>
      </w:r>
      <w:r w:rsidRPr="0043696B">
        <w:rPr>
          <w:rStyle w:val="Refdenotaalpie"/>
          <w:rFonts w:ascii="Verdana" w:hAnsi="Verdana" w:cs="Arial"/>
          <w:color w:val="000000" w:themeColor="text1"/>
          <w:sz w:val="20"/>
          <w:szCs w:val="20"/>
        </w:rPr>
        <w:t xml:space="preserve"> </w:t>
      </w:r>
      <w:r w:rsidRPr="0043696B">
        <w:rPr>
          <w:rStyle w:val="Refdenotaalpie"/>
          <w:rFonts w:ascii="Verdana" w:hAnsi="Verdana" w:cs="Arial"/>
          <w:color w:val="000000" w:themeColor="text1"/>
          <w:sz w:val="20"/>
          <w:szCs w:val="20"/>
        </w:rPr>
        <w:footnoteReference w:id="7"/>
      </w:r>
      <w:r w:rsidRPr="0043696B">
        <w:rPr>
          <w:rFonts w:ascii="Verdana" w:eastAsia="Calibri" w:hAnsi="Verdana" w:cs="Arial"/>
          <w:color w:val="000000" w:themeColor="text1"/>
          <w:sz w:val="20"/>
          <w:szCs w:val="20"/>
        </w:rPr>
        <w:t>.</w:t>
      </w:r>
    </w:p>
    <w:p w14:paraId="792656EE" w14:textId="77777777" w:rsidR="00BB3D75" w:rsidRPr="0063743B" w:rsidRDefault="00BB3D75" w:rsidP="00BB3D75">
      <w:pPr>
        <w:spacing w:after="0" w:line="276" w:lineRule="auto"/>
        <w:ind w:firstLine="708"/>
        <w:jc w:val="both"/>
        <w:rPr>
          <w:rFonts w:ascii="Verdana" w:eastAsia="Calibri" w:hAnsi="Verdana" w:cs="Arial"/>
          <w:color w:val="000000" w:themeColor="text1"/>
        </w:rPr>
      </w:pPr>
      <w:bookmarkStart w:id="6" w:name="_Hlk95756200"/>
    </w:p>
    <w:p w14:paraId="4EE1E6FA" w14:textId="77777777" w:rsidR="00BB3D75" w:rsidRPr="0063743B" w:rsidRDefault="00BB3D75" w:rsidP="00BB3D75">
      <w:pPr>
        <w:spacing w:after="0" w:line="276" w:lineRule="auto"/>
        <w:ind w:firstLine="708"/>
        <w:jc w:val="both"/>
        <w:rPr>
          <w:rFonts w:ascii="Verdana" w:eastAsia="Calibri" w:hAnsi="Verdana" w:cs="Arial"/>
          <w:color w:val="000000" w:themeColor="text1"/>
        </w:rPr>
      </w:pPr>
      <w:r w:rsidRPr="0063743B">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6"/>
      <w:r w:rsidRPr="0063743B">
        <w:rPr>
          <w:rFonts w:ascii="Verdana" w:eastAsia="Calibri" w:hAnsi="Verdana" w:cs="Arial"/>
          <w:color w:val="000000" w:themeColor="text1"/>
        </w:rPr>
        <w:t>Así lo reconoció la Corte Constitucional en la sentencia C-287 del 18 de abril de 2012, en la que sostuvo lo siguiente:</w:t>
      </w:r>
    </w:p>
    <w:p w14:paraId="4B66E64D" w14:textId="77777777" w:rsidR="00BB3D75" w:rsidRPr="0063743B" w:rsidRDefault="00BB3D75" w:rsidP="00BB3D75">
      <w:pPr>
        <w:spacing w:after="0" w:line="276" w:lineRule="auto"/>
        <w:ind w:firstLine="708"/>
        <w:jc w:val="both"/>
        <w:rPr>
          <w:rFonts w:ascii="Verdana" w:eastAsia="Calibri" w:hAnsi="Verdana" w:cs="Arial"/>
          <w:color w:val="000000" w:themeColor="text1"/>
        </w:rPr>
      </w:pPr>
    </w:p>
    <w:p w14:paraId="459DFDE0" w14:textId="77777777" w:rsidR="00BB3D75" w:rsidRPr="0043696B" w:rsidRDefault="00BB3D75" w:rsidP="00BB3D75">
      <w:pPr>
        <w:spacing w:line="240" w:lineRule="auto"/>
        <w:ind w:left="709" w:right="709"/>
        <w:jc w:val="both"/>
        <w:rPr>
          <w:rFonts w:ascii="Verdana" w:eastAsia="Calibri" w:hAnsi="Verdana" w:cs="Arial"/>
          <w:color w:val="000000" w:themeColor="text1"/>
          <w:sz w:val="20"/>
          <w:szCs w:val="20"/>
        </w:rPr>
      </w:pPr>
      <w:r w:rsidRPr="0043696B">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59215569" w14:textId="77777777" w:rsidR="00BB3D75" w:rsidRPr="0063743B" w:rsidRDefault="00BB3D75" w:rsidP="00BB3D75">
      <w:pPr>
        <w:spacing w:after="0" w:line="240" w:lineRule="auto"/>
        <w:ind w:left="709" w:right="709"/>
        <w:jc w:val="both"/>
        <w:rPr>
          <w:rFonts w:ascii="Verdana" w:eastAsia="Calibri" w:hAnsi="Verdana" w:cs="Arial"/>
          <w:color w:val="000000" w:themeColor="text1"/>
          <w:sz w:val="21"/>
          <w:szCs w:val="21"/>
        </w:rPr>
      </w:pPr>
      <w:r w:rsidRPr="0043696B">
        <w:rPr>
          <w:rFonts w:ascii="Verdana" w:eastAsia="Calibri" w:hAnsi="Verdana" w:cs="Arial"/>
          <w:i/>
          <w:iCs/>
          <w:color w:val="000000" w:themeColor="text1"/>
          <w:sz w:val="20"/>
          <w:szCs w:val="20"/>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43696B">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6ED69195" w14:textId="77777777" w:rsidR="00BB3D75" w:rsidRPr="0063743B" w:rsidRDefault="00BB3D75" w:rsidP="00BB3D75">
      <w:pPr>
        <w:spacing w:after="0" w:line="276" w:lineRule="auto"/>
        <w:ind w:firstLine="709"/>
        <w:jc w:val="both"/>
        <w:rPr>
          <w:rFonts w:ascii="Verdana" w:eastAsia="Calibri" w:hAnsi="Verdana" w:cs="Arial"/>
          <w:color w:val="000000" w:themeColor="text1"/>
        </w:rPr>
      </w:pPr>
    </w:p>
    <w:p w14:paraId="389BE54F" w14:textId="77777777" w:rsidR="00BB3D75" w:rsidRPr="0063743B" w:rsidRDefault="00BB3D75" w:rsidP="00BB3D75">
      <w:pPr>
        <w:spacing w:after="120" w:line="276" w:lineRule="auto"/>
        <w:ind w:firstLine="709"/>
        <w:jc w:val="both"/>
        <w:rPr>
          <w:rFonts w:ascii="Verdana" w:eastAsia="Calibri" w:hAnsi="Verdana" w:cs="Arial"/>
          <w:color w:val="000000" w:themeColor="text1"/>
        </w:rPr>
      </w:pPr>
      <w:r w:rsidRPr="0063743B">
        <w:rPr>
          <w:rFonts w:ascii="Verdana" w:eastAsia="Calibri" w:hAnsi="Verdana" w:cs="Arial"/>
          <w:color w:val="000000" w:themeColor="text1"/>
        </w:rPr>
        <w:t xml:space="preserve">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w:t>
      </w:r>
      <w:r w:rsidRPr="0063743B">
        <w:rPr>
          <w:rFonts w:ascii="Verdana" w:eastAsia="Calibri" w:hAnsi="Verdana" w:cs="Arial"/>
          <w:color w:val="000000" w:themeColor="text1"/>
        </w:rPr>
        <w:lastRenderedPageBreak/>
        <w:t>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4FB8DBFE" w14:textId="77777777" w:rsidR="00BB3D75" w:rsidRPr="000A33B7" w:rsidRDefault="00BB3D75" w:rsidP="00BB3D75">
      <w:pPr>
        <w:spacing w:line="276" w:lineRule="auto"/>
        <w:ind w:firstLine="709"/>
        <w:jc w:val="both"/>
        <w:rPr>
          <w:rFonts w:ascii="Verdana" w:eastAsia="Calibri" w:hAnsi="Verdana" w:cs="Arial"/>
          <w:color w:val="000000" w:themeColor="text1"/>
        </w:rPr>
      </w:pPr>
      <w:r>
        <w:rPr>
          <w:rFonts w:ascii="Verdana" w:hAnsi="Verdana" w:cs="Arial"/>
          <w:color w:val="000000" w:themeColor="text1"/>
        </w:rPr>
        <w:t>Es importante tener en cuenta que la</w:t>
      </w:r>
      <w:r w:rsidRPr="000A33B7">
        <w:rPr>
          <w:rFonts w:ascii="Verdana" w:hAnsi="Verdana" w:cs="Arial"/>
          <w:color w:val="000000" w:themeColor="text1"/>
        </w:rPr>
        <w:t xml:space="preserve"> contratación con entidades sin ánimo de lucro se</w:t>
      </w:r>
      <w:r>
        <w:rPr>
          <w:rFonts w:ascii="Verdana" w:hAnsi="Verdana" w:cs="Arial"/>
          <w:color w:val="000000" w:themeColor="text1"/>
        </w:rPr>
        <w:t xml:space="preserve"> rige</w:t>
      </w:r>
      <w:r w:rsidRPr="000A33B7">
        <w:rPr>
          <w:rFonts w:ascii="Verdana" w:hAnsi="Verdana" w:cs="Arial"/>
          <w:color w:val="000000" w:themeColor="text1"/>
        </w:rPr>
        <w:t xml:space="preserve"> por el Decreto 092 de 2017, salvo lo que ha sido objeto de suspensión provisional por parte del Consejo de Estado. Por lo tanto, las entidades públicas que desean celebrar </w:t>
      </w:r>
      <w:r w:rsidRPr="002965A0">
        <w:rPr>
          <w:rFonts w:ascii="Verdana" w:hAnsi="Verdana" w:cs="Arial"/>
          <w:i/>
          <w:iCs/>
          <w:color w:val="000000" w:themeColor="text1"/>
        </w:rPr>
        <w:t>contratos del artículo 355 de la Constitución Política</w:t>
      </w:r>
      <w:r w:rsidRPr="000A33B7">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0A33B7">
        <w:rPr>
          <w:rFonts w:ascii="Verdana" w:hAnsi="Verdana" w:cs="Arial"/>
          <w:color w:val="000000" w:themeColor="text1"/>
        </w:rPr>
        <w:t>ii</w:t>
      </w:r>
      <w:proofErr w:type="spellEnd"/>
      <w:r w:rsidRPr="000A33B7">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xml:space="preserve">) el objeto del contrato debe estar acorde con el plan nacional o seccional de desarrollo; </w:t>
      </w:r>
      <w:proofErr w:type="spellStart"/>
      <w:r w:rsidRPr="000A33B7">
        <w:rPr>
          <w:rFonts w:ascii="Verdana" w:hAnsi="Verdana" w:cs="Arial"/>
          <w:color w:val="000000" w:themeColor="text1"/>
        </w:rPr>
        <w:t>iv</w:t>
      </w:r>
      <w:proofErr w:type="spellEnd"/>
      <w:r w:rsidRPr="000A33B7">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01DC8661" w14:textId="77777777" w:rsidR="00BB3D75" w:rsidRDefault="00BB3D75" w:rsidP="00BB3D75">
      <w:pPr>
        <w:spacing w:after="0" w:line="276" w:lineRule="auto"/>
        <w:ind w:firstLine="709"/>
        <w:jc w:val="both"/>
        <w:rPr>
          <w:rFonts w:ascii="Verdana" w:eastAsia="Calibri" w:hAnsi="Verdana" w:cs="Arial"/>
          <w:color w:val="000000" w:themeColor="text1"/>
        </w:rPr>
      </w:pPr>
      <w:r w:rsidRPr="000A33B7">
        <w:rPr>
          <w:rFonts w:ascii="Verdana" w:eastAsia="Calibri" w:hAnsi="Verdana" w:cs="Arial"/>
          <w:color w:val="000000" w:themeColor="text1"/>
        </w:rPr>
        <w:t xml:space="preserve">Ahora, si se pretende realizar un </w:t>
      </w:r>
      <w:r w:rsidRPr="000A33B7">
        <w:rPr>
          <w:rFonts w:ascii="Verdana" w:eastAsia="Calibri" w:hAnsi="Verdana" w:cs="Arial"/>
          <w:i/>
          <w:iCs/>
          <w:color w:val="000000" w:themeColor="text1"/>
        </w:rPr>
        <w:t>convenio de asociación</w:t>
      </w:r>
      <w:r w:rsidRPr="000A33B7">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De esta manera, deben estar sujetos a competencia, salvo en aquellos casos en que una entidad sin ánimo de lucro comprometa recursos en dinero por un valor igual o superior al 30% del valor total del convenio</w:t>
      </w:r>
      <w:r w:rsidRPr="000A33B7">
        <w:rPr>
          <w:rStyle w:val="Refdenotaalpie"/>
          <w:rFonts w:ascii="Verdana" w:hAnsi="Verdana" w:cs="Arial"/>
          <w:color w:val="000000" w:themeColor="text1"/>
        </w:rPr>
        <w:footnoteReference w:id="8"/>
      </w:r>
      <w:r w:rsidRPr="000A33B7">
        <w:rPr>
          <w:rFonts w:ascii="Verdana" w:eastAsia="Calibri" w:hAnsi="Verdana" w:cs="Arial"/>
          <w:color w:val="000000" w:themeColor="text1"/>
        </w:rPr>
        <w:t xml:space="preserve">, y siempre que la entidad estatal verifique previamente que no existe ninguna otra </w:t>
      </w:r>
      <w:r w:rsidRPr="000A33B7">
        <w:rPr>
          <w:rFonts w:ascii="Verdana" w:eastAsia="Calibri" w:hAnsi="Verdana" w:cs="Arial"/>
          <w:color w:val="000000" w:themeColor="text1"/>
        </w:rPr>
        <w:lastRenderedPageBreak/>
        <w:t xml:space="preserve">entidad sin ánimo de lucro que ofrezca aportes iguales o superiores al 30%. </w:t>
      </w:r>
      <w:r w:rsidRPr="000A33B7">
        <w:rPr>
          <w:rFonts w:ascii="Verdana" w:eastAsia="Calibri" w:hAnsi="Verdana" w:cs="Arial"/>
          <w:color w:val="000000"/>
        </w:rPr>
        <w:t>Lo anterior sin perjuicio de las restricciones previstas en el artículo 33 de la Ley de Garantías durante el periodo preelectoral de las elecciones presidenciales para los procesos no competitivos</w:t>
      </w:r>
      <w:r w:rsidRPr="000A33B7">
        <w:rPr>
          <w:rFonts w:ascii="Verdana" w:eastAsia="Calibri" w:hAnsi="Verdana" w:cs="Arial"/>
          <w:color w:val="000000" w:themeColor="text1"/>
        </w:rPr>
        <w:t>.</w:t>
      </w:r>
    </w:p>
    <w:p w14:paraId="041BE852" w14:textId="77777777" w:rsidR="00BB3D75" w:rsidRPr="000A33B7" w:rsidRDefault="00BB3D75" w:rsidP="00BB3D75">
      <w:pPr>
        <w:spacing w:after="0" w:line="276" w:lineRule="auto"/>
        <w:ind w:firstLine="709"/>
        <w:jc w:val="both"/>
        <w:rPr>
          <w:rFonts w:ascii="Verdana" w:eastAsia="Calibri" w:hAnsi="Verdana" w:cs="Arial"/>
          <w:color w:val="000000" w:themeColor="text1"/>
        </w:rPr>
      </w:pPr>
    </w:p>
    <w:p w14:paraId="3DAC444B" w14:textId="77777777" w:rsidR="00BB3D75" w:rsidRPr="000A33B7" w:rsidRDefault="00BB3D75" w:rsidP="00BB3D75">
      <w:pPr>
        <w:spacing w:after="0" w:line="276" w:lineRule="auto"/>
        <w:jc w:val="both"/>
        <w:rPr>
          <w:rFonts w:ascii="Verdana" w:eastAsia="Calibri" w:hAnsi="Verdana" w:cs="Arial"/>
          <w:lang w:val="es-ES_tradnl"/>
        </w:rPr>
      </w:pPr>
      <w:proofErr w:type="spellStart"/>
      <w:r w:rsidRPr="000A33B7">
        <w:rPr>
          <w:rFonts w:ascii="Verdana" w:eastAsia="Calibri" w:hAnsi="Verdana" w:cs="Arial"/>
          <w:color w:val="000000" w:themeColor="text1"/>
        </w:rPr>
        <w:t>ii</w:t>
      </w:r>
      <w:proofErr w:type="spellEnd"/>
      <w:r w:rsidRPr="000A33B7">
        <w:rPr>
          <w:rFonts w:ascii="Verdana" w:eastAsia="Calibri" w:hAnsi="Verdana" w:cs="Arial"/>
          <w:color w:val="000000" w:themeColor="text1"/>
        </w:rPr>
        <w:t xml:space="preserve">. </w:t>
      </w:r>
      <w:r w:rsidRPr="000A33B7">
        <w:rPr>
          <w:rFonts w:ascii="Verdana" w:eastAsia="Calibri" w:hAnsi="Verdana" w:cs="Arial"/>
          <w:lang w:val="es-ES_tradnl"/>
        </w:rPr>
        <w:t>L</w:t>
      </w:r>
      <w:r>
        <w:rPr>
          <w:rFonts w:ascii="Verdana" w:eastAsia="Calibri" w:hAnsi="Verdana" w:cs="Arial"/>
          <w:lang w:val="es-ES_tradnl"/>
        </w:rPr>
        <w:t>as normas aplicables a la gestión de las entidades sometidas y exceptuadas del EGCAP</w:t>
      </w:r>
      <w:r w:rsidRPr="000A33B7">
        <w:rPr>
          <w:rFonts w:ascii="Verdana" w:eastAsia="Calibri" w:hAnsi="Verdana" w:cs="Arial"/>
          <w:lang w:val="es-ES_tradnl"/>
        </w:rPr>
        <w:t xml:space="preserve"> se caracterizan por la exhaustiva regulación de la actividad contractual. Los contratos sometidos al Estatuto General, aunque se rigen por el derecho público, permiten la aplicación del derecho civil y comercial en los casos previstos en los artículos 13, 32 y 40 de la Ley 80 de 1993. As</w:t>
      </w:r>
      <w:r>
        <w:rPr>
          <w:rFonts w:ascii="Verdana" w:eastAsia="Calibri" w:hAnsi="Verdana" w:cs="Arial"/>
          <w:lang w:val="es-ES_tradnl"/>
        </w:rPr>
        <w:t>i</w:t>
      </w:r>
      <w:r w:rsidRPr="000A33B7">
        <w:rPr>
          <w:rFonts w:ascii="Verdana" w:eastAsia="Calibri" w:hAnsi="Verdana" w:cs="Arial"/>
          <w:lang w:val="es-ES_tradnl"/>
        </w:rPr>
        <w:t xml:space="preserve">mismo, pese a la aplicación de las normas comunes sobre obligaciones y contratos en las entidades del régimen exceptuado, deben respetar los principios de la función administrativa, de la gestión fiscal y el régimen de inhabilidades e incompatibilidades –Ley 1150 de 2007, art. 13–, los cuales se concretan en los respectivos manuales de contratación. Sin embargo, frente a la regulación sumaria de los </w:t>
      </w:r>
      <w:r w:rsidRPr="000A33B7">
        <w:rPr>
          <w:rFonts w:ascii="Verdana" w:eastAsia="Calibri" w:hAnsi="Verdana" w:cs="Arial"/>
          <w:i/>
          <w:iCs/>
          <w:lang w:val="es-ES_tradnl"/>
        </w:rPr>
        <w:t>contratos del art. 355 de la Constitución</w:t>
      </w:r>
      <w:r w:rsidRPr="000A33B7">
        <w:rPr>
          <w:rFonts w:ascii="Verdana" w:eastAsia="Calibri" w:hAnsi="Verdana" w:cs="Arial"/>
          <w:lang w:val="es-ES_tradnl"/>
        </w:rPr>
        <w:t xml:space="preserve"> y los </w:t>
      </w:r>
      <w:r w:rsidRPr="000A33B7">
        <w:rPr>
          <w:rFonts w:ascii="Verdana" w:eastAsia="Calibri" w:hAnsi="Verdana" w:cs="Arial"/>
          <w:i/>
          <w:iCs/>
          <w:lang w:val="es-ES_tradnl"/>
        </w:rPr>
        <w:t>convenios de asociación</w:t>
      </w:r>
      <w:r w:rsidRPr="000A33B7">
        <w:rPr>
          <w:rFonts w:ascii="Verdana" w:eastAsia="Calibri" w:hAnsi="Verdana" w:cs="Arial"/>
          <w:lang w:val="es-ES_tradnl"/>
        </w:rPr>
        <w:t xml:space="preserve">, los artículos 6, 7 y 8 del </w:t>
      </w:r>
      <w:bookmarkStart w:id="7" w:name="_Hlk38214426"/>
      <w:r w:rsidRPr="000A33B7">
        <w:rPr>
          <w:rFonts w:ascii="Verdana" w:eastAsia="Calibri" w:hAnsi="Verdana" w:cs="Arial"/>
          <w:lang w:val="es-ES_tradnl"/>
        </w:rPr>
        <w:t>Decreto 092 de 2017</w:t>
      </w:r>
      <w:bookmarkEnd w:id="7"/>
      <w:r w:rsidRPr="000A33B7">
        <w:rPr>
          <w:rFonts w:ascii="Verdana" w:eastAsia="Calibri" w:hAnsi="Verdana" w:cs="Arial"/>
          <w:lang w:val="es-ES_tradnl"/>
        </w:rPr>
        <w:t xml:space="preserve"> disponen lo siguiente:</w:t>
      </w:r>
    </w:p>
    <w:p w14:paraId="14C4CC0F" w14:textId="77777777" w:rsidR="00BB3D75" w:rsidRPr="000A33B7" w:rsidRDefault="00BB3D75" w:rsidP="00BB3D75">
      <w:pPr>
        <w:spacing w:after="0" w:line="276" w:lineRule="auto"/>
        <w:jc w:val="both"/>
        <w:rPr>
          <w:rFonts w:ascii="Verdana" w:eastAsia="Calibri" w:hAnsi="Verdana" w:cs="Arial"/>
          <w:lang w:val="es-ES_tradnl"/>
        </w:rPr>
      </w:pPr>
    </w:p>
    <w:p w14:paraId="5CD50CFA" w14:textId="77777777" w:rsidR="00BB3D75" w:rsidRPr="0043696B" w:rsidRDefault="00BB3D75" w:rsidP="00BB3D75">
      <w:pPr>
        <w:spacing w:after="120"/>
        <w:ind w:left="709" w:right="709"/>
        <w:jc w:val="both"/>
        <w:rPr>
          <w:rFonts w:ascii="Verdana" w:eastAsia="Calibri" w:hAnsi="Verdana" w:cs="Arial"/>
          <w:sz w:val="20"/>
          <w:szCs w:val="20"/>
          <w:lang w:val="es-ES_tradnl"/>
        </w:rPr>
      </w:pPr>
      <w:r w:rsidRPr="0043696B">
        <w:rPr>
          <w:rFonts w:ascii="Verdana" w:eastAsia="Calibri" w:hAnsi="Verdana" w:cs="Arial"/>
          <w:sz w:val="20"/>
          <w:szCs w:val="20"/>
          <w:lang w:val="es-ES_tradnl"/>
        </w:rPr>
        <w:t>“Artículo 6°. Prohibiciones, inhabilidades e incompatibilidades.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p w14:paraId="745FAF21" w14:textId="77777777" w:rsidR="00BB3D75" w:rsidRPr="0043696B" w:rsidRDefault="00BB3D75" w:rsidP="00BB3D75">
      <w:pPr>
        <w:spacing w:after="120"/>
        <w:ind w:left="709" w:right="709"/>
        <w:jc w:val="both"/>
        <w:rPr>
          <w:rFonts w:ascii="Verdana" w:eastAsia="Calibri" w:hAnsi="Verdana" w:cs="Arial"/>
          <w:sz w:val="20"/>
          <w:szCs w:val="20"/>
          <w:lang w:val="es-ES_tradnl"/>
        </w:rPr>
      </w:pPr>
      <w:r w:rsidRPr="0043696B">
        <w:rPr>
          <w:rFonts w:ascii="Verdana" w:eastAsia="Calibri" w:hAnsi="Verdana" w:cs="Arial"/>
          <w:sz w:val="20"/>
          <w:szCs w:val="20"/>
          <w:lang w:val="es-ES_tradnl"/>
        </w:rPr>
        <w:t>Artículo 7°. Aplicación de los principios de la contratación estatal. La contratación a la que hace referencia el presente decreto está sujeta a los principios de la contratación estatal y a las normas presupuestales aplicables […]</w:t>
      </w:r>
    </w:p>
    <w:p w14:paraId="15CE7CCD" w14:textId="77777777" w:rsidR="00BB3D75" w:rsidRPr="000A33B7" w:rsidRDefault="00BB3D75" w:rsidP="00BB3D75">
      <w:pPr>
        <w:spacing w:after="0"/>
        <w:ind w:left="709" w:right="709"/>
        <w:jc w:val="both"/>
        <w:rPr>
          <w:rFonts w:ascii="Verdana" w:eastAsia="Calibri" w:hAnsi="Verdana" w:cs="Arial"/>
          <w:sz w:val="21"/>
          <w:szCs w:val="21"/>
          <w:lang w:val="es-ES_tradnl"/>
        </w:rPr>
      </w:pPr>
      <w:r w:rsidRPr="0043696B">
        <w:rPr>
          <w:rFonts w:ascii="Verdana" w:eastAsia="Calibri" w:hAnsi="Verdana" w:cs="Arial"/>
          <w:sz w:val="20"/>
          <w:szCs w:val="20"/>
          <w:lang w:val="es-ES_tradnl"/>
        </w:rPr>
        <w:t xml:space="preserve">Artículo 8°. Aplicación de normas generales del sistema de contratación pública. La contratación a la que hace referencia el presente decreto está sujeta </w:t>
      </w:r>
      <w:bookmarkStart w:id="8" w:name="_Hlk38206940"/>
      <w:r w:rsidRPr="0043696B">
        <w:rPr>
          <w:rFonts w:ascii="Verdana" w:eastAsia="Calibri" w:hAnsi="Verdana" w:cs="Arial"/>
          <w:sz w:val="20"/>
          <w:szCs w:val="20"/>
          <w:lang w:val="es-ES_tradnl"/>
        </w:rPr>
        <w:t xml:space="preserve">a las </w:t>
      </w:r>
      <w:bookmarkStart w:id="9" w:name="_Hlk38633960"/>
      <w:r w:rsidRPr="0043696B">
        <w:rPr>
          <w:rFonts w:ascii="Verdana" w:eastAsia="Calibri" w:hAnsi="Verdana" w:cs="Arial"/>
          <w:sz w:val="20"/>
          <w:szCs w:val="20"/>
          <w:lang w:val="es-ES_tradnl"/>
        </w:rPr>
        <w:t xml:space="preserve">normas generales </w:t>
      </w:r>
      <w:bookmarkStart w:id="10" w:name="_Hlk38275055"/>
      <w:r w:rsidRPr="0043696B">
        <w:rPr>
          <w:rFonts w:ascii="Verdana" w:eastAsia="Calibri" w:hAnsi="Verdana" w:cs="Arial"/>
          <w:sz w:val="20"/>
          <w:szCs w:val="20"/>
          <w:lang w:val="es-ES_tradnl"/>
        </w:rPr>
        <w:t>aplicables a la contratación pública</w:t>
      </w:r>
      <w:bookmarkEnd w:id="8"/>
      <w:bookmarkEnd w:id="9"/>
      <w:r w:rsidRPr="0043696B">
        <w:rPr>
          <w:rFonts w:ascii="Verdana" w:eastAsia="Calibri" w:hAnsi="Verdana" w:cs="Arial"/>
          <w:sz w:val="20"/>
          <w:szCs w:val="20"/>
          <w:lang w:val="es-ES_tradnl"/>
        </w:rPr>
        <w:t xml:space="preserve"> </w:t>
      </w:r>
      <w:bookmarkEnd w:id="10"/>
      <w:r w:rsidRPr="0043696B">
        <w:rPr>
          <w:rFonts w:ascii="Verdana" w:eastAsia="Calibri" w:hAnsi="Verdana" w:cs="Arial"/>
          <w:sz w:val="20"/>
          <w:szCs w:val="20"/>
          <w:lang w:val="es-ES_tradnl"/>
        </w:rPr>
        <w:t>excepto en lo reglamentado en el presente decreto”.</w:t>
      </w:r>
      <w:r w:rsidRPr="000A33B7">
        <w:rPr>
          <w:rFonts w:ascii="Verdana" w:eastAsia="Calibri" w:hAnsi="Verdana" w:cs="Arial"/>
          <w:sz w:val="21"/>
          <w:szCs w:val="21"/>
          <w:lang w:val="es-ES_tradnl"/>
        </w:rPr>
        <w:t xml:space="preserve"> </w:t>
      </w:r>
    </w:p>
    <w:p w14:paraId="2D968909" w14:textId="77777777" w:rsidR="00BB3D75" w:rsidRPr="000A33B7" w:rsidRDefault="00BB3D75" w:rsidP="00BB3D75">
      <w:pPr>
        <w:spacing w:after="0"/>
        <w:ind w:left="709" w:right="709"/>
        <w:jc w:val="both"/>
        <w:rPr>
          <w:rFonts w:ascii="Verdana" w:eastAsia="Calibri" w:hAnsi="Verdana" w:cs="Arial"/>
          <w:lang w:val="es-ES_tradnl"/>
        </w:rPr>
      </w:pPr>
    </w:p>
    <w:p w14:paraId="0313D978" w14:textId="77777777" w:rsidR="00BB3D75" w:rsidRPr="000A33B7" w:rsidRDefault="00BB3D75" w:rsidP="00BB3D75">
      <w:pPr>
        <w:spacing w:after="120" w:line="276" w:lineRule="auto"/>
        <w:jc w:val="both"/>
        <w:rPr>
          <w:rFonts w:ascii="Verdana" w:eastAsia="Calibri" w:hAnsi="Verdana" w:cs="Arial"/>
          <w:lang w:val="es-ES"/>
        </w:rPr>
      </w:pPr>
      <w:r w:rsidRPr="000A33B7">
        <w:rPr>
          <w:rFonts w:ascii="Verdana" w:eastAsia="Calibri" w:hAnsi="Verdana" w:cs="Arial"/>
          <w:lang w:val="es-ES_tradnl"/>
        </w:rPr>
        <w:tab/>
      </w:r>
      <w:r w:rsidRPr="6832F227">
        <w:rPr>
          <w:rFonts w:ascii="Verdana" w:eastAsia="Calibri" w:hAnsi="Verdana" w:cs="Arial"/>
          <w:lang w:val="es-ES"/>
        </w:rPr>
        <w:t xml:space="preserve">Estas normas integran las lagunas o vacíos normativos del reglamento autónomo, y se aplican a todo lo que no esté expresamente regulado en él. Por ello no es posible aplicar ninguna de las disposiciones anteriormente citadas en temas como la competencia para celebrar los </w:t>
      </w:r>
      <w:r w:rsidRPr="6832F227">
        <w:rPr>
          <w:rFonts w:ascii="Verdana" w:eastAsia="Calibri" w:hAnsi="Verdana" w:cs="Arial"/>
          <w:i/>
          <w:lang w:val="es-ES"/>
        </w:rPr>
        <w:t xml:space="preserve">contratos del artículo 355 de la Constitución </w:t>
      </w:r>
      <w:r w:rsidRPr="6832F227">
        <w:rPr>
          <w:rFonts w:ascii="Verdana" w:eastAsia="Calibri" w:hAnsi="Verdana" w:cs="Arial"/>
          <w:lang w:val="es-ES"/>
        </w:rPr>
        <w:t xml:space="preserve">y la </w:t>
      </w:r>
      <w:proofErr w:type="spellStart"/>
      <w:r w:rsidRPr="6832F227">
        <w:rPr>
          <w:rFonts w:ascii="Verdana" w:eastAsia="Calibri" w:hAnsi="Verdana" w:cs="Arial"/>
          <w:lang w:val="es-ES"/>
        </w:rPr>
        <w:t>indelegabilidad</w:t>
      </w:r>
      <w:proofErr w:type="spellEnd"/>
      <w:r w:rsidRPr="6832F227">
        <w:rPr>
          <w:rFonts w:ascii="Verdana" w:eastAsia="Calibri" w:hAnsi="Verdana" w:cs="Arial"/>
          <w:lang w:val="es-ES"/>
        </w:rPr>
        <w:t xml:space="preserve"> de la autorización –art. 2–, la idoneidad de las </w:t>
      </w:r>
      <w:r w:rsidRPr="6832F227">
        <w:rPr>
          <w:rFonts w:ascii="Verdana" w:eastAsia="Calibri" w:hAnsi="Verdana" w:cs="Arial"/>
          <w:lang w:val="es-ES"/>
        </w:rPr>
        <w:lastRenderedPageBreak/>
        <w:t xml:space="preserve">ESAL –art. 3–, su registro en el SECOP –art. 9– y la inaplicación del registro único de proponentes –art. 10–. </w:t>
      </w:r>
    </w:p>
    <w:p w14:paraId="2B8A70BD" w14:textId="77777777" w:rsidR="00BB3D75" w:rsidRPr="000A33B7" w:rsidRDefault="00BB3D75" w:rsidP="00BB3D75">
      <w:pPr>
        <w:spacing w:after="0" w:line="276" w:lineRule="auto"/>
        <w:ind w:firstLine="708"/>
        <w:jc w:val="both"/>
        <w:rPr>
          <w:rFonts w:ascii="Verdana" w:eastAsia="Calibri" w:hAnsi="Verdana" w:cs="Arial"/>
          <w:lang w:val="es-ES_tradnl"/>
        </w:rPr>
      </w:pPr>
      <w:r w:rsidRPr="000A33B7">
        <w:rPr>
          <w:rFonts w:ascii="Verdana" w:eastAsia="Calibri" w:hAnsi="Verdana" w:cs="Arial"/>
          <w:lang w:val="es-ES_tradnl"/>
        </w:rPr>
        <w:t>En contraste, en los vacíos es necesario resolver si las tres (3) normas expresan la misma idea o, por el contrario, son autónomas en su interpretación.</w:t>
      </w:r>
      <w:r>
        <w:rPr>
          <w:rFonts w:ascii="Verdana" w:eastAsia="Calibri" w:hAnsi="Verdana" w:cs="Arial"/>
          <w:lang w:val="es-ES_tradnl"/>
        </w:rPr>
        <w:t xml:space="preserve"> </w:t>
      </w:r>
      <w:r w:rsidRPr="000A33B7">
        <w:rPr>
          <w:rFonts w:ascii="Verdana" w:eastAsia="Calibri" w:hAnsi="Verdana" w:cs="Arial"/>
          <w:lang w:val="es-ES_tradnl"/>
        </w:rPr>
        <w:t xml:space="preserve">Para resolver este interrogante, </w:t>
      </w:r>
      <w:bookmarkStart w:id="11" w:name="_Hlk38282598"/>
      <w:r w:rsidRPr="000A33B7">
        <w:rPr>
          <w:rFonts w:ascii="Verdana" w:eastAsia="Calibri" w:hAnsi="Verdana" w:cs="Arial"/>
          <w:lang w:val="es-ES_tradnl"/>
        </w:rPr>
        <w:t xml:space="preserve">en principio, podría considerarse que dichas disposiciones son independientes, pues si los supuestos están regulados en normas separadas, cada una produciría consecuencias distintas. Esta posición no se comparte, ya que están relacionadas entre sí. En efecto, el artículo 6 del Decreto 092 de 2017 se refiere a las inhabilidades e incompatibilidades previstas en el ordenamiento jurídico, incluyendo las previstas en el artículo 8 de la Ley 80 de 1993; además, los artículos 23, 24, 25, 26 y otros del Estatuto General regulan los principios de la contratación estatal, relacionándose parcialmente con el artículo 7 </w:t>
      </w:r>
      <w:r w:rsidRPr="000A33B7">
        <w:rPr>
          <w:rFonts w:ascii="Verdana" w:eastAsia="Calibri" w:hAnsi="Verdana" w:cs="Arial"/>
          <w:i/>
          <w:iCs/>
          <w:lang w:val="es-ES_tradnl"/>
        </w:rPr>
        <w:t>ibidem</w:t>
      </w:r>
      <w:bookmarkEnd w:id="11"/>
      <w:r w:rsidRPr="000A33B7">
        <w:rPr>
          <w:rFonts w:ascii="Verdana" w:eastAsia="Calibri" w:hAnsi="Verdana" w:cs="Arial"/>
          <w:lang w:val="es-ES_tradnl"/>
        </w:rPr>
        <w:t xml:space="preserve"> al disponer lo siguiente: </w:t>
      </w:r>
    </w:p>
    <w:p w14:paraId="7913D993" w14:textId="77777777" w:rsidR="00BB3D75" w:rsidRPr="000A33B7" w:rsidRDefault="00BB3D75" w:rsidP="00BB3D75">
      <w:pPr>
        <w:spacing w:after="0" w:line="276" w:lineRule="auto"/>
        <w:ind w:firstLine="708"/>
        <w:jc w:val="both"/>
        <w:rPr>
          <w:rFonts w:ascii="Verdana" w:eastAsia="Calibri" w:hAnsi="Verdana" w:cs="Arial"/>
          <w:lang w:val="es-ES_tradnl"/>
        </w:rPr>
      </w:pPr>
    </w:p>
    <w:p w14:paraId="098EE839" w14:textId="77777777" w:rsidR="00BB3D75" w:rsidRPr="0043696B" w:rsidRDefault="00BB3D75" w:rsidP="00BB3D75">
      <w:pPr>
        <w:spacing w:after="0"/>
        <w:ind w:left="709" w:right="709"/>
        <w:jc w:val="both"/>
        <w:rPr>
          <w:rFonts w:ascii="Verdana" w:eastAsia="Calibri" w:hAnsi="Verdana" w:cs="Arial"/>
          <w:sz w:val="20"/>
          <w:szCs w:val="20"/>
          <w:lang w:val="es-ES_tradnl"/>
        </w:rPr>
      </w:pPr>
      <w:r w:rsidRPr="0043696B">
        <w:rPr>
          <w:rFonts w:ascii="Verdana" w:eastAsia="Calibri" w:hAnsi="Verdana" w:cs="Arial"/>
          <w:sz w:val="20"/>
          <w:szCs w:val="20"/>
          <w:lang w:val="es-ES_tradnl"/>
        </w:rPr>
        <w:t>“Artículo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p w14:paraId="4A6F83EF" w14:textId="77777777" w:rsidR="00BB3D75" w:rsidRPr="008251D0" w:rsidRDefault="00BB3D75" w:rsidP="00BB3D75">
      <w:pPr>
        <w:spacing w:after="0" w:line="276" w:lineRule="auto"/>
        <w:ind w:left="709" w:right="709"/>
        <w:jc w:val="both"/>
        <w:rPr>
          <w:rFonts w:ascii="Verdana" w:eastAsia="Calibri" w:hAnsi="Verdana" w:cs="Arial"/>
          <w:lang w:val="es-ES_tradnl"/>
        </w:rPr>
      </w:pPr>
    </w:p>
    <w:p w14:paraId="33254EA0" w14:textId="77777777" w:rsidR="00BB3D75" w:rsidRPr="000A33B7" w:rsidRDefault="00BB3D75" w:rsidP="00BB3D75">
      <w:pPr>
        <w:spacing w:after="120" w:line="276" w:lineRule="auto"/>
        <w:ind w:firstLine="708"/>
        <w:jc w:val="both"/>
        <w:rPr>
          <w:rFonts w:ascii="Verdana" w:eastAsia="Calibri" w:hAnsi="Verdana" w:cs="Arial"/>
          <w:lang w:val="es-ES"/>
        </w:rPr>
      </w:pPr>
      <w:bookmarkStart w:id="12" w:name="_Hlk38282653"/>
      <w:r w:rsidRPr="614D3068">
        <w:rPr>
          <w:rFonts w:ascii="Verdana" w:eastAsia="Calibri" w:hAnsi="Verdana" w:cs="Arial"/>
          <w:lang w:val="es-ES"/>
        </w:rPr>
        <w:t>A su vez, tanto el “régimen de inhabilidades e incompatibilidades” como los “principios” hacen parte de las normas generales aplicables a la contratación pública. Naturalmente, podría preguntarse si el artículo 8 del Decreto 092 de 2017 se relaciona con estos dos (2) aspectos por ser comunes a los procesos de selección o, incluso, si se extiende a la totalidad del Estatuto General. De concluirse lo primero, el ámbito de los artículos 6, 7 y 8 del reglamento es similar, refiriéndose –entre otros aspectos– a las “inhabilidades e incompatibilidades” y a los “principios”, pues están contenidos en la Ley 80 de 1993 y son aplicables en todos los regímenes de contratación que se analizaron al inicio de este aparte –</w:t>
      </w:r>
      <w:r w:rsidRPr="614D3068">
        <w:rPr>
          <w:rFonts w:ascii="Verdana" w:eastAsia="Calibri" w:hAnsi="Verdana" w:cs="Arial"/>
          <w:i/>
          <w:lang w:val="es-ES"/>
        </w:rPr>
        <w:t>remisión parcial</w:t>
      </w:r>
      <w:r w:rsidRPr="614D3068">
        <w:rPr>
          <w:rFonts w:ascii="Verdana" w:eastAsia="Calibri" w:hAnsi="Verdana" w:cs="Arial"/>
          <w:lang w:val="es-ES"/>
        </w:rPr>
        <w:t xml:space="preserve">–. Por el contrario, de concluirse lo segundo, la remisión del artículo 8 del Decreto 092 de 2017 es más amplia que la de los artículos 6 y 7 </w:t>
      </w:r>
      <w:proofErr w:type="spellStart"/>
      <w:r w:rsidRPr="614D3068">
        <w:rPr>
          <w:rFonts w:ascii="Verdana" w:eastAsia="Calibri" w:hAnsi="Verdana" w:cs="Arial"/>
          <w:i/>
          <w:lang w:val="es-ES"/>
        </w:rPr>
        <w:t>ibídem</w:t>
      </w:r>
      <w:proofErr w:type="spellEnd"/>
      <w:r w:rsidRPr="614D3068">
        <w:rPr>
          <w:rFonts w:ascii="Verdana" w:eastAsia="Calibri" w:hAnsi="Verdana" w:cs="Arial"/>
          <w:lang w:val="es-ES"/>
        </w:rPr>
        <w:t xml:space="preserve">. En otras palabras, no se restringiría a las “inhabilidades e incompatibilidades”, a los “principios” y a las demás normas generales de la Ley 80, sino a todo lo previsto en el Estatuto General. Desde </w:t>
      </w:r>
      <w:r w:rsidRPr="614D3068">
        <w:rPr>
          <w:rFonts w:ascii="Verdana" w:eastAsia="Calibri" w:hAnsi="Verdana" w:cs="Arial"/>
          <w:lang w:val="es-ES"/>
        </w:rPr>
        <w:lastRenderedPageBreak/>
        <w:t>esta perspectiva, las “[…] normas generales aplicables a la contratación pública […]” comprenderían los artículos 6 y 7 del decreto autónomo, ampliándose a las demás normas de la Ley 80 de 1993 –</w:t>
      </w:r>
      <w:r w:rsidRPr="614D3068">
        <w:rPr>
          <w:rFonts w:ascii="Verdana" w:eastAsia="Calibri" w:hAnsi="Verdana" w:cs="Arial"/>
          <w:i/>
          <w:lang w:val="es-ES"/>
        </w:rPr>
        <w:t>remisión total</w:t>
      </w:r>
      <w:r w:rsidRPr="614D3068">
        <w:rPr>
          <w:rFonts w:ascii="Verdana" w:eastAsia="Calibri" w:hAnsi="Verdana" w:cs="Arial"/>
          <w:lang w:val="es-ES"/>
        </w:rPr>
        <w:t xml:space="preserve">–. </w:t>
      </w:r>
    </w:p>
    <w:p w14:paraId="3946320F" w14:textId="77777777" w:rsidR="00BB3D75" w:rsidRPr="000A33B7" w:rsidRDefault="00BB3D75" w:rsidP="00BB3D75">
      <w:pPr>
        <w:spacing w:after="120" w:line="276" w:lineRule="auto"/>
        <w:ind w:firstLine="708"/>
        <w:jc w:val="both"/>
        <w:rPr>
          <w:rFonts w:ascii="Verdana" w:eastAsia="Calibri" w:hAnsi="Verdana" w:cs="Arial"/>
          <w:lang w:val="es-ES"/>
        </w:rPr>
      </w:pPr>
      <w:r w:rsidRPr="6832F227">
        <w:rPr>
          <w:rFonts w:ascii="Verdana" w:eastAsia="Calibri" w:hAnsi="Verdana" w:cs="Arial"/>
          <w:lang w:val="es-ES"/>
        </w:rPr>
        <w:t xml:space="preserve">La postura sobre el tema es relevante, pues quien opte por la </w:t>
      </w:r>
      <w:r w:rsidRPr="6832F227">
        <w:rPr>
          <w:rFonts w:ascii="Verdana" w:eastAsia="Calibri" w:hAnsi="Verdana" w:cs="Arial"/>
          <w:i/>
          <w:lang w:val="es-ES"/>
        </w:rPr>
        <w:t xml:space="preserve">remisión parcial </w:t>
      </w:r>
      <w:r w:rsidRPr="6832F227">
        <w:rPr>
          <w:rFonts w:ascii="Verdana" w:eastAsia="Calibri" w:hAnsi="Verdana" w:cs="Arial"/>
          <w:lang w:val="es-ES"/>
        </w:rPr>
        <w:t>o bien debe entender que el artículo 8 del Decreto 092 se refiere únicamente a las “inhabilidades e incompatibilidades” y a los “principios” –</w:t>
      </w:r>
      <w:r w:rsidRPr="6832F227">
        <w:rPr>
          <w:rFonts w:ascii="Verdana" w:eastAsia="Calibri" w:hAnsi="Verdana" w:cs="Arial"/>
          <w:i/>
          <w:lang w:val="es-ES"/>
        </w:rPr>
        <w:t>remisión parcial stricto sensu</w:t>
      </w:r>
      <w:r w:rsidRPr="6832F227">
        <w:rPr>
          <w:rFonts w:ascii="Verdana" w:eastAsia="Calibri" w:hAnsi="Verdana" w:cs="Arial"/>
          <w:lang w:val="es-ES"/>
        </w:rPr>
        <w:t>– o debe explicar qué normas son transversales a la actividad contractual del Estado, justificando la razón por las que se excluyen aquellas privativas de determinados procesos de selección, tipologías contractuales, etc. –</w:t>
      </w:r>
      <w:r w:rsidRPr="6832F227">
        <w:rPr>
          <w:rFonts w:ascii="Verdana" w:eastAsia="Calibri" w:hAnsi="Verdana" w:cs="Arial"/>
          <w:i/>
          <w:lang w:val="es-ES"/>
        </w:rPr>
        <w:t xml:space="preserve">remisión parcial </w:t>
      </w:r>
      <w:proofErr w:type="spellStart"/>
      <w:r w:rsidRPr="6832F227">
        <w:rPr>
          <w:rFonts w:ascii="Verdana" w:eastAsia="Calibri" w:hAnsi="Verdana" w:cs="Arial"/>
          <w:i/>
          <w:lang w:val="es-ES"/>
        </w:rPr>
        <w:t>latu</w:t>
      </w:r>
      <w:proofErr w:type="spellEnd"/>
      <w:r w:rsidRPr="6832F227">
        <w:rPr>
          <w:rFonts w:ascii="Verdana" w:eastAsia="Calibri" w:hAnsi="Verdana" w:cs="Arial"/>
          <w:i/>
          <w:lang w:val="es-ES"/>
        </w:rPr>
        <w:t xml:space="preserve"> sensu</w:t>
      </w:r>
      <w:r w:rsidRPr="6832F227">
        <w:rPr>
          <w:rFonts w:ascii="Verdana" w:eastAsia="Calibri" w:hAnsi="Verdana" w:cs="Arial"/>
          <w:lang w:val="es-ES"/>
        </w:rPr>
        <w:t xml:space="preserve">–. </w:t>
      </w:r>
    </w:p>
    <w:p w14:paraId="54FB2C6F" w14:textId="77777777" w:rsidR="00BB3D75" w:rsidRPr="000A33B7" w:rsidRDefault="00BB3D75" w:rsidP="00BB3D75">
      <w:pPr>
        <w:spacing w:after="12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Para quienes adopten la primera postura, el ámbito de los artículos 6, 7 y 8 del Decreto 092 de 2017 sería exactamente el mismo, pues el último –referido a las normas generales– contiene a los otros dos –es decir, tanto las </w:t>
      </w:r>
      <w:r>
        <w:rPr>
          <w:rFonts w:ascii="Verdana" w:eastAsia="Calibri" w:hAnsi="Verdana" w:cs="Arial"/>
          <w:lang w:val="es-ES_tradnl"/>
        </w:rPr>
        <w:t>“</w:t>
      </w:r>
      <w:r w:rsidRPr="000A33B7">
        <w:rPr>
          <w:rFonts w:ascii="Verdana" w:eastAsia="Calibri" w:hAnsi="Verdana" w:cs="Arial"/>
          <w:lang w:val="es-ES_tradnl"/>
        </w:rPr>
        <w:t>inhabilidades e incompatibilidades</w:t>
      </w:r>
      <w:r>
        <w:rPr>
          <w:rFonts w:ascii="Verdana" w:eastAsia="Calibri" w:hAnsi="Verdana" w:cs="Arial"/>
          <w:lang w:val="es-ES_tradnl"/>
        </w:rPr>
        <w:t>”</w:t>
      </w:r>
      <w:r w:rsidRPr="000A33B7">
        <w:rPr>
          <w:rFonts w:ascii="Verdana" w:eastAsia="Calibri" w:hAnsi="Verdana" w:cs="Arial"/>
          <w:lang w:val="es-ES_tradnl"/>
        </w:rPr>
        <w:t xml:space="preserve"> como a los </w:t>
      </w:r>
      <w:r>
        <w:rPr>
          <w:rFonts w:ascii="Verdana" w:eastAsia="Calibri" w:hAnsi="Verdana" w:cs="Arial"/>
          <w:lang w:val="es-ES_tradnl"/>
        </w:rPr>
        <w:t>“</w:t>
      </w:r>
      <w:r w:rsidRPr="000A33B7">
        <w:rPr>
          <w:rFonts w:ascii="Verdana" w:eastAsia="Calibri" w:hAnsi="Verdana" w:cs="Arial"/>
          <w:lang w:val="es-ES_tradnl"/>
        </w:rPr>
        <w:t>principios</w:t>
      </w:r>
      <w:r>
        <w:rPr>
          <w:rFonts w:ascii="Verdana" w:eastAsia="Calibri" w:hAnsi="Verdana" w:cs="Arial"/>
          <w:lang w:val="es-ES_tradnl"/>
        </w:rPr>
        <w:t>”</w:t>
      </w:r>
      <w:r w:rsidRPr="000A33B7">
        <w:rPr>
          <w:rFonts w:ascii="Verdana" w:eastAsia="Calibri" w:hAnsi="Verdana" w:cs="Arial"/>
          <w:lang w:val="es-ES_tradnl"/>
        </w:rPr>
        <w:t xml:space="preserve">–. En contraste, la segunda idea implica que –además de estos– las normas generales se refieren disposiciones comunes de los contratos estatales. Ambas interpretaciones se apoyarían en el artículo 8 del reglamento autónomo que regula la contratación del artículo 355 constitucional y del artículo 96 de la Ley 489 de 1998, ya que cuando prescribe que se regirán por las </w:t>
      </w:r>
      <w:r>
        <w:rPr>
          <w:rFonts w:ascii="Verdana" w:eastAsia="Calibri" w:hAnsi="Verdana" w:cs="Arial"/>
          <w:lang w:val="es-ES_tradnl"/>
        </w:rPr>
        <w:t>“</w:t>
      </w:r>
      <w:r w:rsidRPr="000A33B7">
        <w:rPr>
          <w:rFonts w:ascii="Verdana" w:eastAsia="Calibri" w:hAnsi="Verdana" w:cs="Arial"/>
          <w:lang w:val="es-ES_tradnl"/>
        </w:rPr>
        <w:t>[…] normas generales aplicables a la contratación pública […]</w:t>
      </w:r>
      <w:r>
        <w:rPr>
          <w:rFonts w:ascii="Verdana" w:eastAsia="Calibri" w:hAnsi="Verdana" w:cs="Arial"/>
          <w:lang w:val="es-ES_tradnl"/>
        </w:rPr>
        <w:t>”</w:t>
      </w:r>
      <w:r w:rsidRPr="000A33B7">
        <w:rPr>
          <w:rFonts w:ascii="Verdana" w:eastAsia="Calibri" w:hAnsi="Verdana" w:cs="Arial"/>
          <w:lang w:val="es-ES_tradnl"/>
        </w:rPr>
        <w:t>, significaría que no es posible una remisión integra al Estatuto General, ya que habría que descartar normas especiales de determinados contratos o procesos de selección y verificar la ausencia de regulación en el Decreto 092 de 2017 para aplicar aquellas transversales a la gestión contractual.</w:t>
      </w:r>
    </w:p>
    <w:p w14:paraId="42E48700" w14:textId="77777777" w:rsidR="00BB3D75" w:rsidRPr="000A33B7" w:rsidRDefault="00BB3D75" w:rsidP="00BB3D75">
      <w:pPr>
        <w:spacing w:after="120" w:line="276" w:lineRule="auto"/>
        <w:ind w:firstLine="708"/>
        <w:jc w:val="both"/>
        <w:rPr>
          <w:rFonts w:ascii="Verdana" w:eastAsia="Calibri" w:hAnsi="Verdana" w:cs="Arial"/>
          <w:lang w:val="es-ES_tradnl"/>
        </w:rPr>
      </w:pPr>
      <w:r w:rsidRPr="000A33B7">
        <w:rPr>
          <w:rFonts w:ascii="Verdana" w:eastAsia="Calibri" w:hAnsi="Verdana" w:cs="Arial"/>
          <w:lang w:val="es-ES_tradnl"/>
        </w:rPr>
        <w:t>Por lo pronto, se descarta razonablemente de que los artículos 6, 7 y 8 del Decreto 092 de 2017 tengan en mismo ámbito de aplicación –</w:t>
      </w:r>
      <w:r w:rsidRPr="000A33B7">
        <w:rPr>
          <w:rFonts w:ascii="Verdana" w:eastAsia="Calibri" w:hAnsi="Verdana" w:cs="Arial"/>
          <w:i/>
          <w:iCs/>
          <w:lang w:val="es-ES_tradnl"/>
        </w:rPr>
        <w:t>remisión parcial stricto sensu</w:t>
      </w:r>
      <w:r w:rsidRPr="000A33B7">
        <w:rPr>
          <w:rFonts w:ascii="Verdana" w:eastAsia="Calibri" w:hAnsi="Verdana" w:cs="Arial"/>
          <w:lang w:val="es-ES_tradnl"/>
        </w:rPr>
        <w:t xml:space="preserve">–, ya que esta última disposición no produciría ningún efecto útil, es decir, habría bastado la remisión a las </w:t>
      </w:r>
      <w:r>
        <w:rPr>
          <w:rFonts w:ascii="Verdana" w:eastAsia="Calibri" w:hAnsi="Verdana" w:cs="Arial"/>
          <w:lang w:val="es-ES_tradnl"/>
        </w:rPr>
        <w:t>“</w:t>
      </w:r>
      <w:r w:rsidRPr="000A33B7">
        <w:rPr>
          <w:rFonts w:ascii="Verdana" w:eastAsia="Calibri" w:hAnsi="Verdana" w:cs="Arial"/>
          <w:lang w:val="es-ES_tradnl"/>
        </w:rPr>
        <w:t>inhabilidades e incompatibilidades</w:t>
      </w:r>
      <w:r>
        <w:rPr>
          <w:rFonts w:ascii="Verdana" w:eastAsia="Calibri" w:hAnsi="Verdana" w:cs="Arial"/>
          <w:lang w:val="es-ES_tradnl"/>
        </w:rPr>
        <w:t>”</w:t>
      </w:r>
      <w:r w:rsidRPr="000A33B7">
        <w:rPr>
          <w:rFonts w:ascii="Verdana" w:eastAsia="Calibri" w:hAnsi="Verdana" w:cs="Arial"/>
          <w:lang w:val="es-ES_tradnl"/>
        </w:rPr>
        <w:t xml:space="preserve"> y a los </w:t>
      </w:r>
      <w:r>
        <w:rPr>
          <w:rFonts w:ascii="Verdana" w:eastAsia="Calibri" w:hAnsi="Verdana" w:cs="Arial"/>
          <w:lang w:val="es-ES_tradnl"/>
        </w:rPr>
        <w:t>“</w:t>
      </w:r>
      <w:r w:rsidRPr="000A33B7">
        <w:rPr>
          <w:rFonts w:ascii="Verdana" w:eastAsia="Calibri" w:hAnsi="Verdana" w:cs="Arial"/>
          <w:lang w:val="es-ES_tradnl"/>
        </w:rPr>
        <w:t>principios</w:t>
      </w:r>
      <w:r>
        <w:rPr>
          <w:rFonts w:ascii="Verdana" w:eastAsia="Calibri" w:hAnsi="Verdana" w:cs="Arial"/>
          <w:lang w:val="es-ES_tradnl"/>
        </w:rPr>
        <w:t>”</w:t>
      </w:r>
      <w:r w:rsidRPr="000A33B7">
        <w:rPr>
          <w:rFonts w:ascii="Verdana" w:eastAsia="Calibri" w:hAnsi="Verdana" w:cs="Arial"/>
          <w:lang w:val="es-ES_tradnl"/>
        </w:rPr>
        <w:t xml:space="preserve"> sin necesidad de remisiones adicionales a otras normas de contratación. Lo anterior se fundamenta en la directriz hermenéutica según la cual</w:t>
      </w:r>
      <w:r w:rsidRPr="000A33B7">
        <w:rPr>
          <w:rFonts w:ascii="Verdana" w:hAnsi="Verdana"/>
        </w:rPr>
        <w:t xml:space="preserve"> </w:t>
      </w:r>
      <w:r w:rsidRPr="000A33B7">
        <w:rPr>
          <w:rFonts w:ascii="Verdana" w:eastAsia="Calibri" w:hAnsi="Verdana" w:cs="Arial"/>
          <w:lang w:val="es-ES_tradnl"/>
        </w:rPr>
        <w:t xml:space="preserve">el sentido en el que una disposición produce efectos se prefiere sobre aquel en que no produzca efecto.       </w:t>
      </w:r>
    </w:p>
    <w:p w14:paraId="541BDB52" w14:textId="77777777" w:rsidR="00BB3D75" w:rsidRPr="000A33B7" w:rsidRDefault="00BB3D75" w:rsidP="00BB3D75">
      <w:pPr>
        <w:spacing w:after="120" w:line="276" w:lineRule="auto"/>
        <w:ind w:firstLine="708"/>
        <w:jc w:val="both"/>
        <w:rPr>
          <w:rFonts w:ascii="Verdana" w:eastAsia="Calibri" w:hAnsi="Verdana" w:cs="Arial"/>
          <w:lang w:val="es-ES"/>
        </w:rPr>
      </w:pPr>
      <w:r w:rsidRPr="6832F227">
        <w:rPr>
          <w:rFonts w:ascii="Verdana" w:eastAsia="Calibri" w:hAnsi="Verdana" w:cs="Arial"/>
          <w:lang w:val="es-ES"/>
        </w:rPr>
        <w:t>Ahora bien, cuando el artículo 8 del decreto menciona a las “[…] normas generales aplicables a la contratación pública […]”, bien podrían referirse a las disposiciones comunes del Estatuto General –</w:t>
      </w:r>
      <w:r w:rsidRPr="6832F227">
        <w:rPr>
          <w:rFonts w:ascii="Verdana" w:eastAsia="Calibri" w:hAnsi="Verdana" w:cs="Arial"/>
          <w:i/>
          <w:lang w:val="es-ES"/>
        </w:rPr>
        <w:t xml:space="preserve">remisión parcial </w:t>
      </w:r>
      <w:proofErr w:type="spellStart"/>
      <w:r w:rsidRPr="6832F227">
        <w:rPr>
          <w:rFonts w:ascii="Verdana" w:eastAsia="Calibri" w:hAnsi="Verdana" w:cs="Arial"/>
          <w:i/>
          <w:lang w:val="es-ES"/>
        </w:rPr>
        <w:t>latu</w:t>
      </w:r>
      <w:proofErr w:type="spellEnd"/>
      <w:r w:rsidRPr="6832F227">
        <w:rPr>
          <w:rFonts w:ascii="Verdana" w:eastAsia="Calibri" w:hAnsi="Verdana" w:cs="Arial"/>
          <w:i/>
          <w:lang w:val="es-ES"/>
        </w:rPr>
        <w:t xml:space="preserve"> sensu</w:t>
      </w:r>
      <w:r w:rsidRPr="6832F227">
        <w:rPr>
          <w:rFonts w:ascii="Verdana" w:eastAsia="Calibri" w:hAnsi="Verdana" w:cs="Arial"/>
          <w:lang w:val="es-ES"/>
        </w:rPr>
        <w:t xml:space="preserve">– o a la </w:t>
      </w:r>
      <w:r w:rsidRPr="6832F227">
        <w:rPr>
          <w:rFonts w:ascii="Verdana" w:eastAsia="Calibri" w:hAnsi="Verdana" w:cs="Arial"/>
          <w:lang w:val="es-ES"/>
        </w:rPr>
        <w:lastRenderedPageBreak/>
        <w:t>totalidad de la Ley 80 de 1993 –</w:t>
      </w:r>
      <w:r w:rsidRPr="6832F227">
        <w:rPr>
          <w:rFonts w:ascii="Verdana" w:eastAsia="Calibri" w:hAnsi="Verdana" w:cs="Arial"/>
          <w:i/>
          <w:lang w:val="es-ES"/>
        </w:rPr>
        <w:t>remisión integral</w:t>
      </w:r>
      <w:r w:rsidRPr="6832F227">
        <w:rPr>
          <w:rFonts w:ascii="Verdana" w:eastAsia="Calibri" w:hAnsi="Verdana" w:cs="Arial"/>
          <w:lang w:val="es-ES"/>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artículo 150 de la Constitución Política se desprende que todas estas disposiciones regulan con el mismo grado de generalidad la actividad contractual del Estado.     </w:t>
      </w:r>
    </w:p>
    <w:p w14:paraId="4BB9CE34" w14:textId="77777777" w:rsidR="00BB3D75" w:rsidRPr="000A33B7" w:rsidRDefault="00BB3D75" w:rsidP="00BB3D75">
      <w:pPr>
        <w:spacing w:after="12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Por ello, considerando que la Ley 80 de 1993 tiene el mismo grado de generalidad, esta Subdirección concluye que el artículo 8 del Decreto 092 de 2017 </w:t>
      </w:r>
      <w:r w:rsidRPr="000A33B7">
        <w:rPr>
          <w:rFonts w:ascii="Verdana" w:eastAsia="Calibri" w:hAnsi="Verdana" w:cs="Arial"/>
          <w:i/>
          <w:iCs/>
          <w:lang w:val="es-ES_tradnl"/>
        </w:rPr>
        <w:t>remite integralmente</w:t>
      </w:r>
      <w:r w:rsidRPr="000A33B7">
        <w:rPr>
          <w:rFonts w:ascii="Verdana" w:eastAsia="Calibri" w:hAnsi="Verdana" w:cs="Arial"/>
          <w:lang w:val="es-ES_tradnl"/>
        </w:rPr>
        <w:t xml:space="preserv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bookmarkEnd w:id="12"/>
    <w:p w14:paraId="32286C92" w14:textId="77777777" w:rsidR="00BB3D75" w:rsidRPr="000A33B7" w:rsidRDefault="00BB3D75" w:rsidP="00BB3D75">
      <w:pPr>
        <w:spacing w:after="12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En esta medida, los </w:t>
      </w:r>
      <w:bookmarkStart w:id="13" w:name="_Hlk38213744"/>
      <w:r w:rsidRPr="000A33B7">
        <w:rPr>
          <w:rFonts w:ascii="Verdana" w:eastAsia="Calibri" w:hAnsi="Verdana" w:cs="Arial"/>
          <w:i/>
          <w:iCs/>
          <w:lang w:val="es-ES_tradnl"/>
        </w:rPr>
        <w:t xml:space="preserve">contratos del artículo 355 de la Constitución </w:t>
      </w:r>
      <w:r w:rsidRPr="000A33B7">
        <w:rPr>
          <w:rFonts w:ascii="Verdana" w:eastAsia="Calibri" w:hAnsi="Verdana" w:cs="Arial"/>
          <w:lang w:val="es-ES_tradnl"/>
        </w:rPr>
        <w:t xml:space="preserve">y los </w:t>
      </w:r>
      <w:r w:rsidRPr="000A33B7">
        <w:rPr>
          <w:rFonts w:ascii="Verdana" w:eastAsia="Calibri" w:hAnsi="Verdana" w:cs="Arial"/>
          <w:i/>
          <w:iCs/>
          <w:lang w:val="es-ES_tradnl"/>
        </w:rPr>
        <w:t>convenios de asociación</w:t>
      </w:r>
      <w:bookmarkEnd w:id="13"/>
      <w:r w:rsidRPr="000A33B7">
        <w:rPr>
          <w:rFonts w:ascii="Verdana" w:eastAsia="Calibri" w:hAnsi="Verdana" w:cs="Arial"/>
          <w:lang w:val="es-ES_tradnl"/>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y la prohibición de adicionarlo en más del cincuenta por ciento –art. 40–, el régimen de perfeccionamiento –art. 41–, las causales de nulidad –art. 44 y ss.–, el régimen de responsabilidad contractual –art. 50 y ss.– y de liquidación de los contratos –art. 60–. </w:t>
      </w:r>
    </w:p>
    <w:p w14:paraId="53D9E20C" w14:textId="77777777" w:rsidR="00BB3D75" w:rsidRDefault="00BB3D75" w:rsidP="00BB3D75">
      <w:pPr>
        <w:spacing w:after="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Incluso, en ambos es posible el ejercicio de poderes exorbitantes, siempre que estén relacionados con alguna de las tipologías previstas en el artículo 14, numeral 2, de la Ley 80 de 1993. Esta precisión es importante, porque –en los términos del artículo 1495 del Código Civil– los </w:t>
      </w:r>
      <w:r w:rsidRPr="000A33B7">
        <w:rPr>
          <w:rFonts w:ascii="Verdana" w:eastAsia="Calibri" w:hAnsi="Verdana" w:cs="Arial"/>
          <w:i/>
          <w:iCs/>
          <w:lang w:val="es-ES_tradnl"/>
        </w:rPr>
        <w:t xml:space="preserve">contratos del artículo 355 de la Constitución </w:t>
      </w:r>
      <w:r w:rsidRPr="000A33B7">
        <w:rPr>
          <w:rFonts w:ascii="Verdana" w:eastAsia="Calibri" w:hAnsi="Verdana" w:cs="Arial"/>
          <w:lang w:val="es-ES_tradnl"/>
        </w:rPr>
        <w:t xml:space="preserve">o los </w:t>
      </w:r>
      <w:r w:rsidRPr="000A33B7">
        <w:rPr>
          <w:rFonts w:ascii="Verdana" w:eastAsia="Calibri" w:hAnsi="Verdana" w:cs="Arial"/>
          <w:i/>
          <w:iCs/>
          <w:lang w:val="es-ES_tradnl"/>
        </w:rPr>
        <w:t>convenios de asociación</w:t>
      </w:r>
      <w:r w:rsidRPr="000A33B7">
        <w:rPr>
          <w:rFonts w:ascii="Verdana" w:eastAsia="Calibri" w:hAnsi="Verdana" w:cs="Arial"/>
          <w:lang w:val="es-ES_tradnl"/>
        </w:rPr>
        <w:t xml:space="preserve"> no son tipologías contractuales, sino acuerdos de voluntades para producir obligaciones. Si bien el Decreto 092 de 2017 define los sujetos y la causa del contrato, la tipología contractual se </w:t>
      </w:r>
      <w:r w:rsidRPr="000A33B7">
        <w:rPr>
          <w:rFonts w:ascii="Verdana" w:eastAsia="Calibri" w:hAnsi="Verdana" w:cs="Arial"/>
          <w:lang w:val="es-ES_tradnl"/>
        </w:rPr>
        <w:lastRenderedPageBreak/>
        <w:t>establece en función del objeto como uno de los elementos de la esencia del negocio jurídico, pues sin él no existe o degenera en otro</w:t>
      </w:r>
      <w:r w:rsidRPr="000A33B7">
        <w:rPr>
          <w:rStyle w:val="Refdenotaalpie"/>
          <w:rFonts w:ascii="Verdana" w:eastAsia="Calibri" w:hAnsi="Verdana" w:cs="Arial"/>
          <w:lang w:val="es-ES_tradnl"/>
        </w:rPr>
        <w:footnoteReference w:id="9"/>
      </w:r>
      <w:r w:rsidRPr="000A33B7">
        <w:rPr>
          <w:rFonts w:ascii="Verdana" w:eastAsia="Calibri" w:hAnsi="Verdana" w:cs="Arial"/>
          <w:lang w:val="es-ES_tradnl"/>
        </w:rPr>
        <w:t>.</w:t>
      </w:r>
    </w:p>
    <w:p w14:paraId="68C1CB5C" w14:textId="77777777" w:rsidR="00BB3D75" w:rsidRDefault="00BB3D75" w:rsidP="00BB3D75">
      <w:pPr>
        <w:spacing w:after="0" w:line="276" w:lineRule="auto"/>
        <w:ind w:firstLine="708"/>
        <w:jc w:val="both"/>
        <w:rPr>
          <w:rFonts w:ascii="Verdana" w:eastAsia="Calibri" w:hAnsi="Verdana" w:cs="Arial"/>
          <w:lang w:val="es-ES_tradnl"/>
        </w:rPr>
      </w:pPr>
    </w:p>
    <w:p w14:paraId="6DA382ED" w14:textId="77777777" w:rsidR="00BB3D75" w:rsidRPr="00C3531F" w:rsidRDefault="00BB3D75" w:rsidP="00BB3D75">
      <w:pPr>
        <w:spacing w:after="0" w:line="276" w:lineRule="auto"/>
        <w:jc w:val="both"/>
        <w:rPr>
          <w:rFonts w:ascii="Verdana" w:eastAsia="Calibri" w:hAnsi="Verdana" w:cs="Arial"/>
          <w:color w:val="000000" w:themeColor="text1"/>
        </w:rPr>
      </w:pPr>
      <w:proofErr w:type="spellStart"/>
      <w:r w:rsidRPr="00C3531F">
        <w:rPr>
          <w:rFonts w:ascii="Verdana" w:eastAsia="Calibri" w:hAnsi="Verdana" w:cs="Arial"/>
          <w:lang w:val="es-ES_tradnl"/>
        </w:rPr>
        <w:t>iii</w:t>
      </w:r>
      <w:proofErr w:type="spellEnd"/>
      <w:r w:rsidRPr="00C3531F">
        <w:rPr>
          <w:rFonts w:ascii="Verdana" w:eastAsia="Calibri" w:hAnsi="Verdana" w:cs="Arial"/>
          <w:lang w:val="es-ES_tradnl"/>
        </w:rPr>
        <w:t xml:space="preserve">. </w:t>
      </w:r>
      <w:r>
        <w:rPr>
          <w:rFonts w:ascii="Verdana" w:eastAsia="Calibri" w:hAnsi="Verdana" w:cs="Arial"/>
          <w:color w:val="000000" w:themeColor="text1"/>
        </w:rPr>
        <w:t>Por regla general</w:t>
      </w:r>
      <w:r w:rsidRPr="00C3531F">
        <w:rPr>
          <w:rFonts w:ascii="Verdana" w:eastAsia="Calibri" w:hAnsi="Verdana" w:cs="Arial"/>
          <w:color w:val="000000" w:themeColor="text1"/>
        </w:rPr>
        <w:t>, los principios de igualdad y concurrencia rigen en los procedimientos de selección competitivos de las entidades sometidas al Estatuto General de Contratación. Esto significa que debe garantizarse la pluralidad de oferentes como condición necesaria para escoger la oferta más favorable a los intereses de la entidad. Esta prohibición de trato discriminatorio respecto a la posibilidad que tienen los proponentes de presentarse a las licitaciones o concursos es acorde al principio de selección objetiva, el cual define el artículo 5 de la Ley 1150 de 2007 como la escogencia realizada sin tener en consideración factores de afecto o de interés y, en general, cualquier clase de motivación subjetiva. En el mismo sentido, la doctrina considera que:</w:t>
      </w:r>
    </w:p>
    <w:p w14:paraId="34E2BDA0" w14:textId="77777777" w:rsidR="00BB3D75" w:rsidRPr="00C3531F" w:rsidRDefault="00BB3D75" w:rsidP="00BB3D75">
      <w:pPr>
        <w:spacing w:after="0" w:line="276" w:lineRule="auto"/>
        <w:jc w:val="both"/>
        <w:rPr>
          <w:rFonts w:ascii="Verdana" w:eastAsia="Calibri" w:hAnsi="Verdana" w:cs="Arial"/>
          <w:color w:val="000000" w:themeColor="text1"/>
        </w:rPr>
      </w:pPr>
    </w:p>
    <w:p w14:paraId="799182CE" w14:textId="77777777" w:rsidR="00BB3D75" w:rsidRPr="00C3531F" w:rsidRDefault="00BB3D75" w:rsidP="00BB3D75">
      <w:pPr>
        <w:spacing w:after="0" w:line="240" w:lineRule="auto"/>
        <w:ind w:left="709" w:right="709"/>
        <w:jc w:val="both"/>
        <w:rPr>
          <w:rFonts w:ascii="Verdana" w:eastAsia="Calibri" w:hAnsi="Verdana" w:cs="Arial"/>
          <w:color w:val="000000" w:themeColor="text1"/>
          <w:sz w:val="20"/>
          <w:szCs w:val="20"/>
        </w:rPr>
      </w:pPr>
      <w:r w:rsidRPr="00C3531F">
        <w:rPr>
          <w:rFonts w:ascii="Verdana" w:eastAsia="Calibri" w:hAnsi="Verdana" w:cs="Arial"/>
          <w:color w:val="000000" w:themeColor="text1"/>
          <w:sz w:val="20"/>
          <w:szCs w:val="20"/>
        </w:rPr>
        <w:t>“La concurrencia tiene por objeto lograr que al procedimiento licitatorio se presente la mayor cantidad posible de oferentes; porque si lo que la Administración pretende para satisfacer en la mejor forma sus intereses públicos, es contratar con el particular que ofrezca las mejores garantías para el cumplimiento del objeto contractual, es necesario que a la compulsa hayan podido acudir todos los interesados en participar que estén capacitados para brindar la prestación requerida.</w:t>
      </w:r>
    </w:p>
    <w:p w14:paraId="5E541750" w14:textId="77777777" w:rsidR="00BB3D75" w:rsidRPr="00C3531F" w:rsidRDefault="00BB3D75" w:rsidP="00BB3D75">
      <w:pPr>
        <w:spacing w:after="120" w:line="240" w:lineRule="auto"/>
        <w:ind w:left="709" w:right="709"/>
        <w:jc w:val="both"/>
        <w:rPr>
          <w:rFonts w:ascii="Verdana" w:eastAsia="Calibri" w:hAnsi="Verdana" w:cs="Arial"/>
          <w:color w:val="000000" w:themeColor="text1"/>
          <w:sz w:val="20"/>
          <w:szCs w:val="20"/>
        </w:rPr>
      </w:pPr>
      <w:r w:rsidRPr="00C3531F">
        <w:rPr>
          <w:rFonts w:ascii="Verdana" w:eastAsia="Calibri" w:hAnsi="Verdana" w:cs="Arial"/>
          <w:color w:val="000000" w:themeColor="text1"/>
          <w:sz w:val="20"/>
          <w:szCs w:val="20"/>
        </w:rPr>
        <w:t>[…]</w:t>
      </w:r>
    </w:p>
    <w:p w14:paraId="5B0F4947" w14:textId="77777777" w:rsidR="00BB3D75" w:rsidRPr="00C3531F" w:rsidRDefault="00BB3D75" w:rsidP="00BB3D75">
      <w:pPr>
        <w:spacing w:after="120" w:line="240" w:lineRule="auto"/>
        <w:ind w:left="709" w:right="709"/>
        <w:jc w:val="both"/>
        <w:rPr>
          <w:rFonts w:ascii="Verdana" w:eastAsia="Calibri" w:hAnsi="Verdana" w:cs="Arial"/>
          <w:color w:val="000000" w:themeColor="text1"/>
          <w:sz w:val="20"/>
          <w:szCs w:val="20"/>
        </w:rPr>
      </w:pPr>
      <w:r w:rsidRPr="00C3531F">
        <w:rPr>
          <w:rFonts w:ascii="Verdana" w:eastAsia="Calibri" w:hAnsi="Verdana" w:cs="Arial"/>
          <w:color w:val="000000" w:themeColor="text1"/>
          <w:sz w:val="20"/>
          <w:szCs w:val="20"/>
        </w:rPr>
        <w:t>La concurrencia no significa enfrentamiento en el sentido de disputa entre los interesados, ella no supone el litigio en el sentido técnico procesal; es decir, que no hay litis, porque los participantes no acuden ante la autoridad administrativa para que ésta resuelva, como juez, un conflicto jurídico; los participantes son, en realidad, proponentes cuya actividad se limita, en principio, a presentar sus antecedentes y propuestas, en orden al emprendimiento licitado.</w:t>
      </w:r>
    </w:p>
    <w:p w14:paraId="747B143D" w14:textId="77777777" w:rsidR="00BB3D75" w:rsidRPr="00C3531F" w:rsidRDefault="00BB3D75" w:rsidP="00BB3D75">
      <w:pPr>
        <w:spacing w:after="0" w:line="240" w:lineRule="auto"/>
        <w:ind w:left="709" w:right="709"/>
        <w:jc w:val="both"/>
        <w:rPr>
          <w:rFonts w:ascii="Verdana" w:eastAsia="Calibri" w:hAnsi="Verdana" w:cs="Arial"/>
          <w:color w:val="000000" w:themeColor="text1"/>
        </w:rPr>
      </w:pPr>
      <w:r w:rsidRPr="00C3531F">
        <w:rPr>
          <w:rFonts w:ascii="Verdana" w:eastAsia="Calibri" w:hAnsi="Verdana" w:cs="Arial"/>
          <w:color w:val="000000" w:themeColor="text1"/>
          <w:sz w:val="20"/>
          <w:szCs w:val="20"/>
        </w:rPr>
        <w:t xml:space="preserve">Existe, sí, oposición, la que consiste en un procedimiento selectivo que da lugar a que se comparen y evalúen las distintas ofertas, para escoger de entre ellas la más conveniente; pero no se da entre los postulantes una situación de contienda, sino, en todo caso, de competencia industrial, comercial, profesional, técnica o de todas ellas combinadas, entre quienes </w:t>
      </w:r>
      <w:r w:rsidRPr="00C3531F">
        <w:rPr>
          <w:rFonts w:ascii="Verdana" w:eastAsia="Calibri" w:hAnsi="Verdana" w:cs="Arial"/>
          <w:color w:val="000000" w:themeColor="text1"/>
          <w:sz w:val="20"/>
          <w:szCs w:val="20"/>
        </w:rPr>
        <w:lastRenderedPageBreak/>
        <w:t>aspiran a ser admitidos en igualdad de condiciones en ese procedimiento y tratados con equidad”</w:t>
      </w:r>
      <w:r w:rsidRPr="00C3531F">
        <w:rPr>
          <w:rStyle w:val="Refdenotaalpie"/>
          <w:rFonts w:ascii="Verdana" w:eastAsia="Calibri" w:hAnsi="Verdana" w:cs="Arial"/>
          <w:color w:val="000000" w:themeColor="text1"/>
          <w:sz w:val="20"/>
          <w:szCs w:val="20"/>
        </w:rPr>
        <w:footnoteReference w:id="10"/>
      </w:r>
      <w:r w:rsidRPr="00C3531F">
        <w:rPr>
          <w:rFonts w:ascii="Verdana" w:eastAsia="Calibri" w:hAnsi="Verdana" w:cs="Arial"/>
          <w:color w:val="000000" w:themeColor="text1"/>
          <w:sz w:val="20"/>
          <w:szCs w:val="20"/>
        </w:rPr>
        <w:t>.</w:t>
      </w:r>
    </w:p>
    <w:p w14:paraId="30C45422" w14:textId="77777777" w:rsidR="00BB3D75" w:rsidRPr="00C3531F" w:rsidRDefault="00BB3D75" w:rsidP="00BB3D75">
      <w:pPr>
        <w:spacing w:after="0" w:line="276" w:lineRule="auto"/>
        <w:jc w:val="both"/>
        <w:rPr>
          <w:rFonts w:ascii="Verdana" w:eastAsia="Calibri" w:hAnsi="Verdana" w:cs="Arial"/>
          <w:color w:val="000000" w:themeColor="text1"/>
        </w:rPr>
      </w:pPr>
    </w:p>
    <w:p w14:paraId="76DC6C72" w14:textId="77777777" w:rsidR="00BB3D75" w:rsidRPr="00C3531F" w:rsidRDefault="00BB3D75" w:rsidP="00BB3D75">
      <w:pPr>
        <w:spacing w:after="120" w:line="276" w:lineRule="auto"/>
        <w:ind w:firstLine="708"/>
        <w:jc w:val="both"/>
        <w:rPr>
          <w:rFonts w:ascii="Verdana" w:eastAsia="Calibri" w:hAnsi="Verdana" w:cs="Arial"/>
          <w:color w:val="000000" w:themeColor="text1"/>
        </w:rPr>
      </w:pPr>
      <w:r w:rsidRPr="00C3531F">
        <w:rPr>
          <w:rFonts w:ascii="Verdana" w:eastAsia="Calibri" w:hAnsi="Verdana" w:cs="Arial"/>
          <w:color w:val="000000" w:themeColor="text1"/>
        </w:rPr>
        <w:t>El principio jurídico de la libre concurrencia garantiza la oposición entre los oferentes, y –como contrapartida– establece una prohibición para el Estado de restringir su participación</w:t>
      </w:r>
      <w:r w:rsidRPr="00C3531F">
        <w:rPr>
          <w:rStyle w:val="Refdenotaalpie"/>
          <w:rFonts w:ascii="Verdana" w:eastAsia="Calibri" w:hAnsi="Verdana" w:cs="Arial"/>
          <w:color w:val="000000" w:themeColor="text1"/>
        </w:rPr>
        <w:footnoteReference w:id="11"/>
      </w:r>
      <w:r w:rsidRPr="00C3531F">
        <w:rPr>
          <w:rFonts w:ascii="Verdana" w:eastAsia="Calibri" w:hAnsi="Verdana" w:cs="Arial"/>
          <w:color w:val="000000" w:themeColor="text1"/>
        </w:rPr>
        <w:t>. En esta perspectiva, es una derivación del principio de igualdad, pues supone la intervención del mayor número de candidatos en un régimen de libre competencia. Ambos se concretan en la prohibición de limitar la presentación de ofertas, pues son importantes para evitar discriminaciones por razón de la nacionalidad pretendiendo favorecer a los nacionales frente a extranjeros, y también se oponen a la exigencia de criterios de territorialidad que vulneren la libertad de empresa en una economía de mercado</w:t>
      </w:r>
      <w:r w:rsidRPr="00C3531F">
        <w:rPr>
          <w:rStyle w:val="Refdenotaalpie"/>
          <w:rFonts w:ascii="Verdana" w:eastAsia="Calibri" w:hAnsi="Verdana" w:cs="Arial"/>
          <w:color w:val="000000" w:themeColor="text1"/>
        </w:rPr>
        <w:footnoteReference w:id="12"/>
      </w:r>
      <w:r w:rsidRPr="00C3531F">
        <w:rPr>
          <w:rFonts w:ascii="Verdana" w:eastAsia="Calibri" w:hAnsi="Verdana" w:cs="Arial"/>
          <w:color w:val="000000" w:themeColor="text1"/>
        </w:rPr>
        <w:t>. Por ello, en el Concepto</w:t>
      </w:r>
      <w:r w:rsidRPr="00C3531F">
        <w:rPr>
          <w:rFonts w:ascii="Verdana" w:eastAsia="Calibri" w:hAnsi="Verdana" w:cs="Arial"/>
          <w:color w:val="000000" w:themeColor="text1"/>
          <w:lang w:val="es-ES"/>
        </w:rPr>
        <w:t xml:space="preserve"> 2201913000006511 del 3 de septiembre de 2019, la Agencia sostuvo que, por regla general, las entidades no pueden exigir como requisito habilitante que el proponente tenga residencia en el lugar donde se ejecutará el contrato, pues afecta la libre competencia de los procesos </w:t>
      </w:r>
      <w:r w:rsidRPr="00C3531F">
        <w:rPr>
          <w:rFonts w:ascii="Verdana" w:eastAsia="Calibri" w:hAnsi="Verdana" w:cs="Arial"/>
          <w:color w:val="000000" w:themeColor="text1"/>
          <w:lang w:val="es-ES"/>
        </w:rPr>
        <w:lastRenderedPageBreak/>
        <w:t>de contratación y es una cláusula discriminatoria, sin dejar de lado que no garantiza la aptitud del proponente para ejecutar el objeto del contrato</w:t>
      </w:r>
      <w:r w:rsidRPr="00C3531F">
        <w:rPr>
          <w:rStyle w:val="Refdenotaalpie"/>
          <w:rFonts w:ascii="Verdana" w:eastAsia="Calibri" w:hAnsi="Verdana" w:cs="Arial"/>
          <w:color w:val="000000" w:themeColor="text1"/>
          <w:lang w:val="es-ES"/>
        </w:rPr>
        <w:footnoteReference w:id="13"/>
      </w:r>
      <w:r w:rsidRPr="00C3531F">
        <w:rPr>
          <w:rFonts w:ascii="Verdana" w:eastAsia="Calibri" w:hAnsi="Verdana" w:cs="Arial"/>
          <w:color w:val="000000" w:themeColor="text1"/>
          <w:lang w:val="es-ES"/>
        </w:rPr>
        <w:t xml:space="preserve"> </w:t>
      </w:r>
      <w:r w:rsidRPr="00C3531F">
        <w:rPr>
          <w:rStyle w:val="Refdenotaalpie"/>
          <w:rFonts w:ascii="Verdana" w:eastAsia="Calibri" w:hAnsi="Verdana" w:cs="Arial"/>
          <w:color w:val="000000" w:themeColor="text1"/>
          <w:lang w:val="es-ES"/>
        </w:rPr>
        <w:footnoteReference w:id="14"/>
      </w:r>
      <w:r w:rsidRPr="00C3531F">
        <w:rPr>
          <w:rFonts w:ascii="Verdana" w:eastAsia="Calibri" w:hAnsi="Verdana" w:cs="Arial"/>
          <w:color w:val="000000" w:themeColor="text1"/>
          <w:lang w:val="es-ES"/>
        </w:rPr>
        <w:t>.</w:t>
      </w:r>
      <w:r w:rsidRPr="00C3531F">
        <w:rPr>
          <w:rFonts w:ascii="Verdana" w:eastAsia="Calibri" w:hAnsi="Verdana" w:cs="Arial"/>
          <w:color w:val="000000" w:themeColor="text1"/>
        </w:rPr>
        <w:t xml:space="preserve">    </w:t>
      </w:r>
    </w:p>
    <w:p w14:paraId="0139584A" w14:textId="77777777" w:rsidR="00BB3D75" w:rsidRPr="00C3531F" w:rsidRDefault="00BB3D75" w:rsidP="00BB3D75">
      <w:pPr>
        <w:spacing w:before="120" w:after="120" w:line="276" w:lineRule="auto"/>
        <w:ind w:firstLine="708"/>
        <w:jc w:val="both"/>
        <w:rPr>
          <w:rFonts w:ascii="Verdana" w:eastAsia="Calibri" w:hAnsi="Verdana" w:cs="Arial"/>
          <w:color w:val="000000"/>
          <w:lang w:val="es-ES"/>
        </w:rPr>
      </w:pPr>
      <w:r w:rsidRPr="6832F227">
        <w:rPr>
          <w:rFonts w:ascii="Verdana" w:eastAsia="Calibri" w:hAnsi="Verdana" w:cs="Arial"/>
          <w:color w:val="000000" w:themeColor="text1"/>
          <w:lang w:val="es-ES"/>
        </w:rPr>
        <w:t>Lo anterior es congruente con el inciso primero del artículo 13 superior, el cual dispone que “Todas las personas nacen libres e iguales ante la ley, recibirán la misma protección y trato de las autoridades y gozarán de los mismos derechos, libertades y oportunidades sin ninguna discriminación por razones […] origen nacional […]”. Asimismo, conforme al artículo 100 constitucional, “</w:t>
      </w:r>
      <w:r w:rsidRPr="6832F227">
        <w:rPr>
          <w:rFonts w:ascii="Verdana" w:eastAsia="Calibri" w:hAnsi="Verdana" w:cs="Arial"/>
          <w:i/>
          <w:color w:val="000000" w:themeColor="text1"/>
          <w:lang w:val="es-ES"/>
        </w:rPr>
        <w:t>Los extranjeros disfrutarán en Colombia de los mismos derechos civiles que se conceden a los colombianos</w:t>
      </w:r>
      <w:r w:rsidRPr="6832F227">
        <w:rPr>
          <w:rFonts w:ascii="Verdana" w:eastAsia="Calibri" w:hAnsi="Verdana" w:cs="Arial"/>
          <w:color w:val="000000" w:themeColor="text1"/>
          <w:lang w:val="es-ES"/>
        </w:rPr>
        <w:t>. No obstante, la ley podrá, por razones de orden público, subordinar a condiciones especiales o negar el ejercicio de determinados derechos civiles a los extranjeros” (Énfasis fuera de texto). De esta manera, como explica la Corte Constitucional en la Sentencia T-147 de 1996, con ponencia de Eduardo Cifuentes Muñoz, “[…] Es evidente que si la Carta excluye la diferenciación de trato sustentado en el origen nacional, está igualmente descartada, inclusive de una manera más perentoria, la discriminación entre nacionales […]”.</w:t>
      </w:r>
    </w:p>
    <w:p w14:paraId="0FFCC090" w14:textId="77777777" w:rsidR="00BB3D75" w:rsidRPr="00C3531F" w:rsidRDefault="00BB3D75" w:rsidP="00BB3D75">
      <w:pPr>
        <w:spacing w:before="120" w:after="120" w:line="276" w:lineRule="auto"/>
        <w:ind w:firstLine="708"/>
        <w:jc w:val="both"/>
        <w:rPr>
          <w:rFonts w:ascii="Verdana" w:eastAsia="Calibri" w:hAnsi="Verdana" w:cs="Arial"/>
          <w:color w:val="000000"/>
          <w:lang w:val="es-ES_tradnl"/>
        </w:rPr>
      </w:pPr>
      <w:r w:rsidRPr="00C3531F">
        <w:rPr>
          <w:rFonts w:ascii="Verdana" w:eastAsia="Calibri" w:hAnsi="Verdana" w:cs="Arial"/>
          <w:color w:val="000000"/>
          <w:lang w:val="es-ES_tradnl"/>
        </w:rPr>
        <w:lastRenderedPageBreak/>
        <w:t xml:space="preserve">Por lo demás, </w:t>
      </w:r>
      <w:r w:rsidRPr="00C3531F">
        <w:rPr>
          <w:rFonts w:ascii="Verdana" w:hAnsi="Verdana" w:cs="Arial"/>
          <w:color w:val="000000" w:themeColor="text1"/>
        </w:rPr>
        <w:t>en concordancia con el numeral 1 del artículo 1502 del Código Civil</w:t>
      </w:r>
      <w:r w:rsidRPr="00C3531F">
        <w:rPr>
          <w:rStyle w:val="Refdenotaalpie"/>
          <w:rFonts w:ascii="Verdana" w:hAnsi="Verdana" w:cs="Arial"/>
          <w:color w:val="000000" w:themeColor="text1"/>
        </w:rPr>
        <w:footnoteReference w:id="15"/>
      </w:r>
      <w:r w:rsidRPr="00C3531F">
        <w:rPr>
          <w:rFonts w:ascii="Verdana" w:hAnsi="Verdana" w:cs="Arial"/>
          <w:color w:val="000000" w:themeColor="text1"/>
        </w:rPr>
        <w:t xml:space="preserve">, el inciso primero del artículo 6 de la Ley 80 de 1993 –modificado por el artículo 1 de la Ley 2160 de 2021– dispone que “Pueden celebrar contratos con las entidades estatales las personas consideradas legalmente capaces en las disposiciones vigentes […]”. Esta norma es acorde al reconocimiento de la personalidad jurídica del artículo 16 constitucional, de donde </w:t>
      </w:r>
      <w:r w:rsidRPr="00C3531F">
        <w:rPr>
          <w:rFonts w:ascii="Verdana" w:eastAsia="Calibri" w:hAnsi="Verdana" w:cs="Arial"/>
          <w:color w:val="000000"/>
          <w:lang w:val="es-ES_tradnl"/>
        </w:rPr>
        <w:t>se infiere que las personas extranjeras –al igual que las nacionales– pueden concurrir en la celebración de contratos estatales, siempre que no se encuentren en alguna causal de inhabilidad o incompatibilidad que la afecte</w:t>
      </w:r>
      <w:r w:rsidRPr="00C3531F">
        <w:rPr>
          <w:rStyle w:val="Refdenotaalpie"/>
          <w:rFonts w:ascii="Verdana" w:eastAsia="Calibri" w:hAnsi="Verdana" w:cs="Arial"/>
          <w:color w:val="000000"/>
          <w:lang w:val="es-ES_tradnl"/>
        </w:rPr>
        <w:footnoteReference w:id="16"/>
      </w:r>
      <w:r w:rsidRPr="00C3531F">
        <w:rPr>
          <w:rFonts w:ascii="Verdana" w:eastAsia="Calibri" w:hAnsi="Verdana" w:cs="Arial"/>
          <w:color w:val="000000"/>
          <w:lang w:val="es-ES_tradnl"/>
        </w:rPr>
        <w:t xml:space="preserve">.  </w:t>
      </w:r>
    </w:p>
    <w:p w14:paraId="6E741832" w14:textId="77777777" w:rsidR="00BB3D75" w:rsidRDefault="00BB3D75" w:rsidP="00BB3D75">
      <w:pPr>
        <w:tabs>
          <w:tab w:val="left" w:pos="0"/>
        </w:tabs>
        <w:spacing w:after="0" w:line="276" w:lineRule="auto"/>
        <w:jc w:val="both"/>
        <w:rPr>
          <w:rFonts w:ascii="Verdana" w:eastAsia="Calibri" w:hAnsi="Verdana" w:cs="Arial"/>
          <w:bCs/>
          <w:color w:val="000000" w:themeColor="text1"/>
          <w:lang w:val="es-ES_tradnl"/>
        </w:rPr>
      </w:pPr>
      <w:r w:rsidRPr="00C3531F">
        <w:rPr>
          <w:rFonts w:ascii="Verdana" w:eastAsia="Calibri" w:hAnsi="Verdana" w:cs="Arial"/>
          <w:color w:val="000000"/>
          <w:lang w:val="es-ES_tradnl"/>
        </w:rPr>
        <w:tab/>
        <w:t>Esta posibilidad de que los extranjeros concurran a los procedimientos de selección adelantados en Colombia también se fundamenta en el artículo 20 de la Ley 80 de 1993</w:t>
      </w:r>
      <w:r w:rsidRPr="00C3531F">
        <w:rPr>
          <w:rStyle w:val="Refdenotaalpie"/>
          <w:rFonts w:ascii="Verdana" w:eastAsia="Calibri" w:hAnsi="Verdana" w:cs="Arial"/>
          <w:bCs/>
          <w:color w:val="000000" w:themeColor="text1"/>
          <w:lang w:val="es-ES_tradnl"/>
        </w:rPr>
        <w:footnoteReference w:id="17"/>
      </w:r>
      <w:r w:rsidRPr="00C3531F">
        <w:rPr>
          <w:rFonts w:ascii="Verdana" w:eastAsia="Calibri" w:hAnsi="Verdana" w:cs="Arial"/>
          <w:color w:val="000000"/>
          <w:lang w:val="es-ES_tradnl"/>
        </w:rPr>
        <w:t xml:space="preserve">. Dicha norma </w:t>
      </w:r>
      <w:r w:rsidRPr="00C3531F">
        <w:rPr>
          <w:rFonts w:ascii="Verdana" w:eastAsia="Calibri" w:hAnsi="Verdana" w:cs="Arial"/>
          <w:bCs/>
          <w:color w:val="000000" w:themeColor="text1"/>
          <w:lang w:val="es-ES_tradnl"/>
        </w:rPr>
        <w:t xml:space="preserve">consagra el </w:t>
      </w:r>
      <w:r w:rsidRPr="00C3531F">
        <w:rPr>
          <w:rFonts w:ascii="Verdana" w:eastAsia="Calibri" w:hAnsi="Verdana" w:cs="Arial"/>
          <w:bCs/>
          <w:i/>
          <w:iCs/>
          <w:color w:val="000000" w:themeColor="text1"/>
          <w:lang w:val="es-ES_tradnl"/>
        </w:rPr>
        <w:t>principio de reciprocidad</w:t>
      </w:r>
      <w:r w:rsidRPr="00C3531F">
        <w:rPr>
          <w:rFonts w:ascii="Verdana" w:eastAsia="Calibri" w:hAnsi="Verdana" w:cs="Arial"/>
          <w:bCs/>
          <w:color w:val="000000" w:themeColor="text1"/>
          <w:lang w:val="es-ES_tradnl"/>
        </w:rPr>
        <w:t xml:space="preserve"> en la contratación estatal, entendido como el compromiso asumido por el Estado de brindar a los oferentes de bienes y servicios de origen extranjero un trato </w:t>
      </w:r>
      <w:r w:rsidRPr="00C3531F">
        <w:rPr>
          <w:rFonts w:ascii="Verdana" w:eastAsia="Calibri" w:hAnsi="Verdana" w:cs="Arial"/>
          <w:bCs/>
          <w:color w:val="000000" w:themeColor="text1"/>
          <w:lang w:val="es-ES_tradnl"/>
        </w:rPr>
        <w:lastRenderedPageBreak/>
        <w:t>semejante al que les conceden a los colombianos en otros Estados con los cuales se ha celebrado acuerdo o tratado comercial, cuando, en ausencia de tratado, se certifica dicha reciprocidad, o en virtud de procesos de integración regional</w:t>
      </w:r>
      <w:r w:rsidRPr="00C3531F">
        <w:rPr>
          <w:rStyle w:val="Refdenotaalpie"/>
          <w:rFonts w:ascii="Verdana" w:eastAsia="Calibri" w:hAnsi="Verdana" w:cs="Arial"/>
          <w:bCs/>
          <w:color w:val="000000" w:themeColor="text1"/>
          <w:lang w:val="es-ES_tradnl"/>
        </w:rPr>
        <w:footnoteReference w:id="18"/>
      </w:r>
      <w:r w:rsidRPr="00C3531F">
        <w:rPr>
          <w:rFonts w:ascii="Verdana" w:eastAsia="Calibri" w:hAnsi="Verdana" w:cs="Arial"/>
          <w:bCs/>
          <w:color w:val="000000" w:themeColor="text1"/>
          <w:lang w:val="es-ES_tradnl"/>
        </w:rPr>
        <w:t>.</w:t>
      </w:r>
    </w:p>
    <w:p w14:paraId="76D1313B" w14:textId="77777777" w:rsidR="00BB3D75" w:rsidRPr="00C3531F" w:rsidRDefault="00BB3D75" w:rsidP="00BB3D75">
      <w:pPr>
        <w:tabs>
          <w:tab w:val="left" w:pos="0"/>
        </w:tabs>
        <w:spacing w:after="0" w:line="276" w:lineRule="auto"/>
        <w:jc w:val="both"/>
        <w:rPr>
          <w:rFonts w:ascii="Verdana" w:eastAsia="Calibri" w:hAnsi="Verdana" w:cs="Arial"/>
          <w:bCs/>
          <w:color w:val="000000" w:themeColor="text1"/>
          <w:lang w:val="es-ES_tradnl"/>
        </w:rPr>
      </w:pPr>
    </w:p>
    <w:p w14:paraId="525A9EA4" w14:textId="77777777" w:rsidR="00BB3D75" w:rsidRPr="00C3531F" w:rsidRDefault="00BB3D75" w:rsidP="6832F227">
      <w:pPr>
        <w:spacing w:line="276" w:lineRule="auto"/>
        <w:jc w:val="both"/>
        <w:rPr>
          <w:rFonts w:ascii="Verdana" w:eastAsia="Calibri" w:hAnsi="Verdana" w:cs="Arial"/>
          <w:color w:val="000000" w:themeColor="text1"/>
          <w:lang w:val="es-ES"/>
        </w:rPr>
      </w:pPr>
      <w:proofErr w:type="spellStart"/>
      <w:r w:rsidRPr="6832F227">
        <w:rPr>
          <w:rFonts w:ascii="Verdana" w:eastAsia="Calibri" w:hAnsi="Verdana" w:cs="Arial"/>
          <w:color w:val="000000" w:themeColor="text1"/>
          <w:lang w:val="es-ES"/>
        </w:rPr>
        <w:t>iv</w:t>
      </w:r>
      <w:proofErr w:type="spellEnd"/>
      <w:r w:rsidRPr="6832F227">
        <w:rPr>
          <w:rFonts w:ascii="Verdana" w:eastAsia="Calibri" w:hAnsi="Verdana" w:cs="Arial"/>
          <w:color w:val="000000" w:themeColor="text1"/>
          <w:lang w:val="es-ES"/>
        </w:rPr>
        <w:t xml:space="preserve">. Para efectos del objeto de la consulta, el trato nacional puede estar estipulado en un </w:t>
      </w:r>
      <w:r w:rsidRPr="6832F227">
        <w:rPr>
          <w:rFonts w:ascii="Verdana" w:eastAsia="Calibri" w:hAnsi="Verdana" w:cs="Arial"/>
          <w:i/>
          <w:color w:val="000000" w:themeColor="text1"/>
          <w:lang w:val="es-ES"/>
        </w:rPr>
        <w:t>tratado o acuerdo comercial</w:t>
      </w:r>
      <w:r w:rsidRPr="6832F227">
        <w:rPr>
          <w:rFonts w:ascii="Verdana" w:eastAsia="Calibri" w:hAnsi="Verdana" w:cs="Arial"/>
          <w:color w:val="000000" w:themeColor="text1"/>
          <w:lang w:val="es-ES"/>
        </w:rPr>
        <w:t xml:space="preserve"> suscrito entre Colombia y uno o varios Estados, adoptando como cláusula que a los oferentes, bienes o servicios extranjeros de dichos Estados se les considerará en nuestro país como nacionales, bajo las condiciones establecidas en la respectiva negociación</w:t>
      </w:r>
      <w:r w:rsidRPr="6832F227">
        <w:rPr>
          <w:rStyle w:val="Refdenotaalpie"/>
          <w:rFonts w:ascii="Verdana" w:eastAsia="Calibri" w:hAnsi="Verdana" w:cs="Arial"/>
          <w:color w:val="000000" w:themeColor="text1"/>
          <w:lang w:val="es-ES"/>
        </w:rPr>
        <w:footnoteReference w:id="19"/>
      </w:r>
      <w:r w:rsidRPr="6832F227">
        <w:rPr>
          <w:rFonts w:ascii="Verdana" w:eastAsia="Calibri" w:hAnsi="Verdana" w:cs="Arial"/>
          <w:color w:val="000000" w:themeColor="text1"/>
          <w:lang w:val="es-ES"/>
        </w:rPr>
        <w:t>. Así, el tratado correspondiente puede contener un acápite en el que se establezca que determinados bienes o servicios cubiertos se beneficiarán por el trato nacional; lo que a veces también puede suceder con los proveedores. A título de ejemplo, la cláusula 11.2 del tratado de libre comercio suscrito entre Colombia y los países del Triángulo Norte de Centroamérica –El Salvador, Guatemala y Honduras–</w:t>
      </w:r>
      <w:r w:rsidRPr="6832F227">
        <w:rPr>
          <w:rStyle w:val="Refdenotaalpie"/>
          <w:rFonts w:ascii="Verdana" w:eastAsia="Calibri" w:hAnsi="Verdana" w:cs="Arial"/>
          <w:color w:val="000000" w:themeColor="text1"/>
          <w:lang w:val="es-ES"/>
        </w:rPr>
        <w:footnoteReference w:id="20"/>
      </w:r>
      <w:r w:rsidRPr="6832F227">
        <w:rPr>
          <w:rFonts w:ascii="Verdana" w:eastAsia="Calibri" w:hAnsi="Verdana" w:cs="Arial"/>
          <w:color w:val="000000" w:themeColor="text1"/>
          <w:lang w:val="es-ES"/>
        </w:rPr>
        <w:t xml:space="preserve"> establece que, con respecto a la cobertura negociada en dicho </w:t>
      </w:r>
      <w:r w:rsidRPr="6832F227">
        <w:rPr>
          <w:rFonts w:ascii="Verdana" w:eastAsia="Calibri" w:hAnsi="Verdana" w:cs="Arial"/>
          <w:color w:val="000000" w:themeColor="text1"/>
          <w:lang w:val="es-ES"/>
        </w:rPr>
        <w:lastRenderedPageBreak/>
        <w:t>acuerdo, “cada Parte concederá a las mercancías, servicios, incluidos los servicios de construcción, y proveedores de la otra Parte, un trato no menos favorable que el que conceda a sus propias mercancías, servicios y proveedores”. Asimismo, el artículo 9.2 del tratado de libre comercio celebrado entre Colombia y los Estados Unidos de Norteamérica</w:t>
      </w:r>
      <w:r w:rsidRPr="6832F227">
        <w:rPr>
          <w:rStyle w:val="Refdenotaalpie"/>
          <w:rFonts w:ascii="Verdana" w:eastAsia="Calibri" w:hAnsi="Verdana" w:cs="Arial"/>
          <w:color w:val="000000" w:themeColor="text1"/>
          <w:lang w:val="es-ES"/>
        </w:rPr>
        <w:footnoteReference w:id="21"/>
      </w:r>
      <w:r w:rsidRPr="6832F227">
        <w:rPr>
          <w:rFonts w:ascii="Verdana" w:eastAsia="Calibri" w:hAnsi="Verdana" w:cs="Arial"/>
          <w:color w:val="000000" w:themeColor="text1"/>
          <w:lang w:val="es-ES"/>
        </w:rPr>
        <w:t>, prevé que “Con respecto a cualquier medida cubierta por este Capítulo, cada Parte otorgará incondicionalmente a las mercancías y servicios de la otra Parte y a los proveedores de tales mercancías y servicios, un trato no menos favorable que el trato más favorable otorgado por dicha Parte a sus propias mercancías, servicios y proveedores”.</w:t>
      </w:r>
    </w:p>
    <w:p w14:paraId="7984DD4E" w14:textId="77777777" w:rsidR="00BB3D75" w:rsidRDefault="00BB3D75" w:rsidP="6832F227">
      <w:pPr>
        <w:spacing w:before="120" w:line="276" w:lineRule="auto"/>
        <w:ind w:firstLine="709"/>
        <w:jc w:val="both"/>
        <w:rPr>
          <w:rFonts w:ascii="Verdana" w:eastAsia="Calibri" w:hAnsi="Verdana" w:cs="Arial"/>
          <w:color w:val="000000" w:themeColor="text1"/>
          <w:lang w:val="es-ES"/>
        </w:rPr>
      </w:pPr>
      <w:r w:rsidRPr="6832F227">
        <w:rPr>
          <w:rFonts w:ascii="Verdana" w:eastAsia="Calibri" w:hAnsi="Verdana" w:cs="Arial"/>
          <w:color w:val="000000" w:themeColor="text1"/>
          <w:lang w:val="es-ES"/>
        </w:rPr>
        <w:t xml:space="preserve">En consecuencia, para que pueda aplicarse el trato nacional en virtud del pacto contenido en un tratado o acuerdo comercial, la contratación debe versar sobre los bienes, servicios o proveedores </w:t>
      </w:r>
      <w:r w:rsidRPr="6832F227">
        <w:rPr>
          <w:rFonts w:ascii="Verdana" w:eastAsia="Calibri" w:hAnsi="Verdana" w:cs="Arial"/>
          <w:i/>
          <w:color w:val="000000" w:themeColor="text1"/>
          <w:lang w:val="es-ES"/>
        </w:rPr>
        <w:t>cubiertos</w:t>
      </w:r>
      <w:r w:rsidRPr="6832F227">
        <w:rPr>
          <w:rFonts w:ascii="Verdana" w:eastAsia="Calibri" w:hAnsi="Verdana" w:cs="Arial"/>
          <w:color w:val="000000" w:themeColor="text1"/>
          <w:lang w:val="es-ES"/>
        </w:rPr>
        <w:t xml:space="preserve"> por dicho tratado, pues la autonomía de la voluntad de los Estados, que es expresión de su soberanía, les permite negociar en el acuerdo comercial un alcance o cobertura </w:t>
      </w:r>
      <w:proofErr w:type="gramStart"/>
      <w:r w:rsidRPr="6832F227">
        <w:rPr>
          <w:rFonts w:ascii="Verdana" w:eastAsia="Calibri" w:hAnsi="Verdana" w:cs="Arial"/>
          <w:color w:val="000000" w:themeColor="text1"/>
          <w:lang w:val="es-ES"/>
        </w:rPr>
        <w:t>del mismo</w:t>
      </w:r>
      <w:proofErr w:type="gramEnd"/>
      <w:r w:rsidRPr="6832F227">
        <w:rPr>
          <w:rFonts w:ascii="Verdana" w:eastAsia="Calibri" w:hAnsi="Verdana" w:cs="Arial"/>
          <w:color w:val="000000" w:themeColor="text1"/>
          <w:lang w:val="es-ES"/>
        </w:rPr>
        <w:t xml:space="preserve">, según razones de oportunidad o conveniencia. Es por esto </w:t>
      </w:r>
      <w:proofErr w:type="gramStart"/>
      <w:r w:rsidRPr="6832F227">
        <w:rPr>
          <w:rFonts w:ascii="Verdana" w:eastAsia="Calibri" w:hAnsi="Verdana" w:cs="Arial"/>
          <w:color w:val="000000" w:themeColor="text1"/>
          <w:lang w:val="es-ES"/>
        </w:rPr>
        <w:t>que</w:t>
      </w:r>
      <w:proofErr w:type="gramEnd"/>
      <w:r w:rsidRPr="6832F227">
        <w:rPr>
          <w:rFonts w:ascii="Verdana" w:eastAsia="Calibri" w:hAnsi="Verdana" w:cs="Arial"/>
          <w:color w:val="000000" w:themeColor="text1"/>
          <w:lang w:val="es-ES"/>
        </w:rPr>
        <w:t xml:space="preserve"> los tratados establecen las entidades cubiertas, así como los umbrales, es decir, los valores o montos que, al igualarse o superarse en un procedimiento de contratación, hacen que este quede amparado por el tratado. De igual manera, este también puede contener exclusiones explícitas a su cobertura</w:t>
      </w:r>
      <w:r w:rsidRPr="6832F227">
        <w:rPr>
          <w:rStyle w:val="Refdenotaalpie"/>
          <w:rFonts w:ascii="Verdana" w:eastAsia="Calibri" w:hAnsi="Verdana" w:cs="Arial"/>
          <w:color w:val="000000" w:themeColor="text1"/>
          <w:lang w:val="es-ES"/>
        </w:rPr>
        <w:footnoteReference w:id="22"/>
      </w:r>
      <w:r w:rsidRPr="6832F227">
        <w:rPr>
          <w:rFonts w:ascii="Verdana" w:eastAsia="Calibri" w:hAnsi="Verdana" w:cs="Arial"/>
          <w:color w:val="000000" w:themeColor="text1"/>
          <w:lang w:val="es-ES"/>
        </w:rPr>
        <w:t>.</w:t>
      </w:r>
    </w:p>
    <w:p w14:paraId="792AF078" w14:textId="77777777" w:rsidR="00BB3D75" w:rsidRDefault="00BB3D75" w:rsidP="00BB3D75">
      <w:pPr>
        <w:tabs>
          <w:tab w:val="left" w:pos="0"/>
        </w:tabs>
        <w:spacing w:before="120" w:after="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Sin embargo, los contratos derivados de aplicar acuerdos comerciales tienen carácter oneroso y conmutativo. Por un lado, el artículo 1497 del Código Civil dispone que “</w:t>
      </w:r>
      <w:r w:rsidRPr="00AA6AB5">
        <w:rPr>
          <w:rFonts w:ascii="Verdana" w:eastAsia="Calibri" w:hAnsi="Verdana" w:cs="Arial"/>
          <w:bCs/>
          <w:color w:val="000000" w:themeColor="text1"/>
          <w:lang w:val="es-ES_tradnl"/>
        </w:rPr>
        <w:t xml:space="preserve">El contrato es </w:t>
      </w:r>
      <w:r>
        <w:rPr>
          <w:rFonts w:ascii="Verdana" w:eastAsia="Calibri" w:hAnsi="Verdana" w:cs="Arial"/>
          <w:bCs/>
          <w:color w:val="000000" w:themeColor="text1"/>
          <w:lang w:val="es-ES_tradnl"/>
        </w:rPr>
        <w:t>[…]</w:t>
      </w:r>
      <w:r w:rsidRPr="00AA6AB5">
        <w:rPr>
          <w:rFonts w:ascii="Verdana" w:eastAsia="Calibri" w:hAnsi="Verdana" w:cs="Arial"/>
          <w:bCs/>
          <w:color w:val="000000" w:themeColor="text1"/>
          <w:lang w:val="es-ES_tradnl"/>
        </w:rPr>
        <w:t xml:space="preserve"> oneroso, cuando tiene por objeto la utilidad de ambos contratantes, gravándose cada uno a beneficio del otro</w:t>
      </w:r>
      <w:r>
        <w:rPr>
          <w:rFonts w:ascii="Verdana" w:eastAsia="Calibri" w:hAnsi="Verdana" w:cs="Arial"/>
          <w:bCs/>
          <w:color w:val="000000" w:themeColor="text1"/>
          <w:lang w:val="es-ES_tradnl"/>
        </w:rPr>
        <w:t>”</w:t>
      </w:r>
      <w:r w:rsidRPr="00AA6AB5">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Por su parte, el artículo 1499 </w:t>
      </w:r>
      <w:r w:rsidRPr="00692076">
        <w:rPr>
          <w:rFonts w:ascii="Verdana" w:eastAsia="Calibri" w:hAnsi="Verdana" w:cs="Arial"/>
          <w:bCs/>
          <w:i/>
          <w:iCs/>
          <w:color w:val="000000" w:themeColor="text1"/>
          <w:lang w:val="es-ES_tradnl"/>
        </w:rPr>
        <w:t>ibidem</w:t>
      </w:r>
      <w:r>
        <w:rPr>
          <w:rFonts w:ascii="Verdana" w:eastAsia="Calibri" w:hAnsi="Verdana" w:cs="Arial"/>
          <w:bCs/>
          <w:color w:val="000000" w:themeColor="text1"/>
          <w:lang w:val="es-ES_tradnl"/>
        </w:rPr>
        <w:t xml:space="preserve"> precisa lo siguiente: “</w:t>
      </w:r>
      <w:r w:rsidRPr="00692076">
        <w:rPr>
          <w:rFonts w:ascii="Verdana" w:eastAsia="Calibri" w:hAnsi="Verdana" w:cs="Arial"/>
          <w:bCs/>
          <w:color w:val="000000" w:themeColor="text1"/>
          <w:lang w:val="es-ES_tradnl"/>
        </w:rPr>
        <w:t>El contrato oneroso es conmutativo, cuando cada una de las partes se obliga a dar o hacer una cosa que se mira como equivalente a lo que la otra parte debe dar o hacer a su vez</w:t>
      </w:r>
      <w:r>
        <w:rPr>
          <w:rFonts w:ascii="Verdana" w:eastAsia="Calibri" w:hAnsi="Verdana" w:cs="Arial"/>
          <w:bCs/>
          <w:color w:val="000000" w:themeColor="text1"/>
          <w:lang w:val="es-ES_tradnl"/>
        </w:rPr>
        <w:t xml:space="preserve"> […]”. Es decir, dichos negocios carecen de fines asociativos en los términos del artículo 355 superior o 96 de la Ley 489 de 1998, pues los tratados de libre comercio </w:t>
      </w:r>
      <w:r>
        <w:rPr>
          <w:rFonts w:ascii="Verdana" w:eastAsia="Calibri" w:hAnsi="Verdana" w:cs="Arial"/>
          <w:bCs/>
          <w:color w:val="000000" w:themeColor="text1"/>
          <w:lang w:val="es-ES_tradnl"/>
        </w:rPr>
        <w:lastRenderedPageBreak/>
        <w:t xml:space="preserve">fomentan el lucro para las empresas extrajeras que se benefician con su suscripción. En este contexto, la </w:t>
      </w:r>
      <w:r w:rsidRPr="00013F99">
        <w:rPr>
          <w:rFonts w:ascii="Verdana" w:eastAsia="Calibri" w:hAnsi="Verdana" w:cs="Arial"/>
          <w:bCs/>
          <w:color w:val="000000" w:themeColor="text1"/>
          <w:lang w:val="es-ES_tradnl"/>
        </w:rPr>
        <w:t>Guía para la contratación con</w:t>
      </w:r>
      <w:r>
        <w:rPr>
          <w:rFonts w:ascii="Verdana" w:eastAsia="Calibri" w:hAnsi="Verdana" w:cs="Arial"/>
          <w:bCs/>
          <w:color w:val="000000" w:themeColor="text1"/>
          <w:lang w:val="es-ES_tradnl"/>
        </w:rPr>
        <w:t xml:space="preserve"> ESAL</w:t>
      </w:r>
      <w:r w:rsidRPr="00013F99">
        <w:rPr>
          <w:rFonts w:ascii="Verdana" w:eastAsia="Calibri" w:hAnsi="Verdana" w:cs="Arial"/>
          <w:bCs/>
          <w:color w:val="000000" w:themeColor="text1"/>
          <w:lang w:val="es-ES_tradnl"/>
        </w:rPr>
        <w:t xml:space="preserve"> de reconocida idoneidad</w:t>
      </w:r>
      <w:r>
        <w:rPr>
          <w:rFonts w:ascii="Verdana" w:eastAsia="Calibri" w:hAnsi="Verdana" w:cs="Arial"/>
          <w:bCs/>
          <w:color w:val="000000" w:themeColor="text1"/>
          <w:lang w:val="es-ES_tradnl"/>
        </w:rPr>
        <w:t xml:space="preserve"> adoptada por la ANCP – CCE precisa que “[…] </w:t>
      </w:r>
      <w:r w:rsidRPr="00791637">
        <w:rPr>
          <w:rFonts w:ascii="Verdana" w:eastAsia="Calibri" w:hAnsi="Verdana" w:cs="Arial"/>
          <w:bCs/>
          <w:color w:val="000000" w:themeColor="text1"/>
          <w:lang w:val="es-ES_tradnl"/>
        </w:rPr>
        <w:t>los Acuerdos Comerciales no son aplicables a los contratos de colaboración ni a los convenios</w:t>
      </w:r>
      <w:r>
        <w:rPr>
          <w:rFonts w:ascii="Verdana" w:eastAsia="Calibri" w:hAnsi="Verdana" w:cs="Arial"/>
          <w:bCs/>
          <w:color w:val="000000" w:themeColor="text1"/>
          <w:lang w:val="es-ES_tradnl"/>
        </w:rPr>
        <w:t xml:space="preserve"> </w:t>
      </w:r>
      <w:r w:rsidRPr="00791637">
        <w:rPr>
          <w:rFonts w:ascii="Verdana" w:eastAsia="Calibri" w:hAnsi="Verdana" w:cs="Arial"/>
          <w:bCs/>
          <w:color w:val="000000" w:themeColor="text1"/>
          <w:lang w:val="es-ES_tradnl"/>
        </w:rPr>
        <w:t>de asociación, pues estos sólo resultan aplicables a los Procesos de Contratación en virtud de los cuales</w:t>
      </w:r>
      <w:r>
        <w:rPr>
          <w:rFonts w:ascii="Verdana" w:eastAsia="Calibri" w:hAnsi="Verdana" w:cs="Arial"/>
          <w:bCs/>
          <w:color w:val="000000" w:themeColor="text1"/>
          <w:lang w:val="es-ES_tradnl"/>
        </w:rPr>
        <w:t xml:space="preserve"> </w:t>
      </w:r>
      <w:r w:rsidRPr="00791637">
        <w:rPr>
          <w:rFonts w:ascii="Verdana" w:eastAsia="Calibri" w:hAnsi="Verdana" w:cs="Arial"/>
          <w:bCs/>
          <w:color w:val="000000" w:themeColor="text1"/>
          <w:lang w:val="es-ES_tradnl"/>
        </w:rPr>
        <w:t>una Entidad Estatal adquiere o se abastece de un bien, obra o servicio a través de un contrato conmutativo</w:t>
      </w:r>
      <w:r>
        <w:rPr>
          <w:rFonts w:ascii="Verdana" w:eastAsia="Calibri" w:hAnsi="Verdana" w:cs="Arial"/>
          <w:bCs/>
          <w:color w:val="000000" w:themeColor="text1"/>
          <w:lang w:val="es-ES_tradnl"/>
        </w:rPr>
        <w:t>”.</w:t>
      </w:r>
    </w:p>
    <w:p w14:paraId="7F582473" w14:textId="77777777" w:rsidR="00BB3D75" w:rsidRDefault="00BB3D75" w:rsidP="00BB3D75">
      <w:pPr>
        <w:tabs>
          <w:tab w:val="left" w:pos="0"/>
        </w:tabs>
        <w:spacing w:after="0" w:line="276" w:lineRule="auto"/>
        <w:jc w:val="both"/>
        <w:rPr>
          <w:rFonts w:ascii="Verdana" w:eastAsia="Calibri" w:hAnsi="Verdana" w:cs="Arial"/>
          <w:bCs/>
          <w:color w:val="000000" w:themeColor="text1"/>
          <w:lang w:val="es-ES_tradnl"/>
        </w:rPr>
      </w:pPr>
    </w:p>
    <w:p w14:paraId="737B4F87" w14:textId="77777777" w:rsidR="00BB3D75" w:rsidRPr="004E30F3" w:rsidRDefault="00BB3D75" w:rsidP="00BB3D75">
      <w:pPr>
        <w:spacing w:after="0" w:line="276" w:lineRule="auto"/>
        <w:jc w:val="both"/>
        <w:rPr>
          <w:rFonts w:ascii="Verdana" w:eastAsia="Calibri" w:hAnsi="Verdana" w:cs="Arial"/>
          <w:color w:val="000000" w:themeColor="text1"/>
          <w:lang w:val="es-ES_tradnl"/>
        </w:rPr>
      </w:pPr>
      <w:proofErr w:type="spellStart"/>
      <w:r>
        <w:rPr>
          <w:rFonts w:ascii="Verdana" w:eastAsia="Calibri" w:hAnsi="Verdana" w:cs="Arial"/>
          <w:bCs/>
          <w:color w:val="000000" w:themeColor="text1"/>
          <w:lang w:val="es-ES_tradnl"/>
        </w:rPr>
        <w:t>iv</w:t>
      </w:r>
      <w:proofErr w:type="spellEnd"/>
      <w:r>
        <w:rPr>
          <w:rFonts w:ascii="Verdana" w:eastAsia="Calibri" w:hAnsi="Verdana" w:cs="Arial"/>
          <w:bCs/>
          <w:color w:val="000000" w:themeColor="text1"/>
          <w:lang w:val="es-ES_tradnl"/>
        </w:rPr>
        <w:t xml:space="preserve">. </w:t>
      </w:r>
      <w:r w:rsidRPr="004E30F3">
        <w:rPr>
          <w:rFonts w:ascii="Verdana" w:eastAsia="Calibri" w:hAnsi="Verdana" w:cs="Arial"/>
          <w:bCs/>
          <w:lang w:val="es-MX" w:eastAsia="es-ES_tradnl"/>
        </w:rPr>
        <w:t>D</w:t>
      </w:r>
      <w:proofErr w:type="spellStart"/>
      <w:r w:rsidRPr="004E30F3">
        <w:rPr>
          <w:rFonts w:ascii="Verdana" w:eastAsia="Calibri" w:hAnsi="Verdana" w:cs="Arial"/>
          <w:color w:val="000000"/>
          <w:lang w:val="es-ES_tradnl"/>
        </w:rPr>
        <w:t>e</w:t>
      </w:r>
      <w:proofErr w:type="spellEnd"/>
      <w:r w:rsidRPr="004E30F3">
        <w:rPr>
          <w:rFonts w:ascii="Verdana" w:eastAsia="Calibri" w:hAnsi="Verdana" w:cs="Arial"/>
          <w:color w:val="000000"/>
          <w:lang w:val="es-ES_tradnl"/>
        </w:rPr>
        <w:t xml:space="preserve"> acuerdo con el Estatuto General de Contratación</w:t>
      </w:r>
      <w:r>
        <w:rPr>
          <w:rFonts w:ascii="Verdana" w:eastAsia="Calibri" w:hAnsi="Verdana" w:cs="Arial"/>
          <w:color w:val="000000"/>
          <w:lang w:val="es-ES_tradnl"/>
        </w:rPr>
        <w:t>,</w:t>
      </w:r>
      <w:r w:rsidRPr="004E30F3">
        <w:rPr>
          <w:rFonts w:ascii="Verdana" w:eastAsia="Calibri" w:hAnsi="Verdana" w:cs="Arial"/>
          <w:color w:val="000000" w:themeColor="text1"/>
          <w:lang w:val="es-ES_tradnl"/>
        </w:rPr>
        <w:t xml:space="preserve"> </w:t>
      </w:r>
      <w:r w:rsidRPr="004E30F3">
        <w:rPr>
          <w:rFonts w:ascii="Verdana" w:eastAsia="Calibri" w:hAnsi="Verdana" w:cs="Arial"/>
          <w:color w:val="000000" w:themeColor="text1"/>
          <w:lang w:val="es-ES"/>
        </w:rPr>
        <w:t>para seleccionar los contratistas y para ejecutar los contratos se requiere la constitución de garantías</w:t>
      </w:r>
      <w:r>
        <w:rPr>
          <w:rFonts w:ascii="Verdana" w:eastAsia="Calibri" w:hAnsi="Verdana" w:cs="Arial"/>
          <w:color w:val="000000" w:themeColor="text1"/>
          <w:lang w:val="es-ES"/>
        </w:rPr>
        <w:t xml:space="preserve"> como regla general</w:t>
      </w:r>
      <w:r w:rsidRPr="004E30F3">
        <w:rPr>
          <w:rFonts w:ascii="Verdana" w:eastAsia="Calibri" w:hAnsi="Verdana" w:cs="Arial"/>
          <w:color w:val="000000" w:themeColor="text1"/>
          <w:lang w:val="es-ES_tradnl"/>
        </w:rPr>
        <w:t>.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Esta norma dispone lo siguiente:</w:t>
      </w:r>
    </w:p>
    <w:p w14:paraId="5CA6E2B4" w14:textId="77777777" w:rsidR="00BB3D75" w:rsidRPr="004E30F3" w:rsidRDefault="00BB3D75" w:rsidP="00BB3D75">
      <w:pPr>
        <w:spacing w:after="0" w:line="276" w:lineRule="auto"/>
        <w:ind w:firstLine="708"/>
        <w:jc w:val="both"/>
        <w:rPr>
          <w:rFonts w:ascii="Verdana" w:hAnsi="Verdana" w:cs="Arial"/>
          <w:color w:val="000000" w:themeColor="text1"/>
          <w:lang w:eastAsia="es-CO"/>
        </w:rPr>
      </w:pPr>
    </w:p>
    <w:p w14:paraId="09540C8E" w14:textId="77777777" w:rsidR="00BB3D75" w:rsidRPr="009537CF" w:rsidRDefault="00BB3D75" w:rsidP="00BB3D75">
      <w:pPr>
        <w:spacing w:after="120" w:line="240" w:lineRule="auto"/>
        <w:ind w:left="709" w:right="709"/>
        <w:jc w:val="both"/>
        <w:rPr>
          <w:rFonts w:ascii="Verdana" w:hAnsi="Verdana" w:cs="Arial"/>
          <w:color w:val="000000" w:themeColor="text1"/>
          <w:sz w:val="20"/>
          <w:szCs w:val="20"/>
          <w:lang w:eastAsia="es-CO"/>
        </w:rPr>
      </w:pPr>
      <w:r w:rsidRPr="009537CF">
        <w:rPr>
          <w:rFonts w:ascii="Verdana" w:hAnsi="Verdana" w:cs="Arial"/>
          <w:color w:val="000000" w:themeColor="text1"/>
          <w:sz w:val="20"/>
          <w:szCs w:val="20"/>
          <w:lang w:eastAsia="es-CO"/>
        </w:rPr>
        <w:t>“Artículo 7. Los contratistas prestarán garantía única para el cumplimiento de las obligaciones surgidas del contrato. Los proponentes prestarán garantía de seriedad de los ofrecimientos hechos. </w:t>
      </w:r>
    </w:p>
    <w:p w14:paraId="78724C0B" w14:textId="77777777" w:rsidR="00BB3D75" w:rsidRPr="009537CF" w:rsidRDefault="00BB3D75" w:rsidP="00BB3D75">
      <w:pPr>
        <w:spacing w:after="120" w:line="240" w:lineRule="auto"/>
        <w:ind w:left="709" w:right="709"/>
        <w:jc w:val="both"/>
        <w:rPr>
          <w:rFonts w:ascii="Verdana" w:hAnsi="Verdana" w:cs="Arial"/>
          <w:color w:val="000000" w:themeColor="text1"/>
          <w:sz w:val="20"/>
          <w:szCs w:val="20"/>
          <w:lang w:eastAsia="es-CO"/>
        </w:rPr>
      </w:pPr>
      <w:r w:rsidRPr="009537CF">
        <w:rPr>
          <w:rFonts w:ascii="Verdana" w:hAnsi="Verdana" w:cs="Arial"/>
          <w:color w:val="000000" w:themeColor="text1"/>
          <w:sz w:val="20"/>
          <w:szCs w:val="20"/>
          <w:lang w:eastAsia="es-CO"/>
        </w:rPr>
        <w:t>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w:t>
      </w:r>
    </w:p>
    <w:p w14:paraId="53DC457F" w14:textId="77777777" w:rsidR="00BB3D75" w:rsidRPr="009537CF" w:rsidRDefault="00BB3D75" w:rsidP="00BB3D75">
      <w:pPr>
        <w:spacing w:after="120" w:line="240" w:lineRule="auto"/>
        <w:ind w:left="709" w:right="709"/>
        <w:jc w:val="both"/>
        <w:rPr>
          <w:rFonts w:ascii="Verdana" w:hAnsi="Verdana" w:cs="Arial"/>
          <w:color w:val="000000" w:themeColor="text1"/>
          <w:sz w:val="20"/>
          <w:szCs w:val="20"/>
          <w:lang w:eastAsia="es-CO"/>
        </w:rPr>
      </w:pPr>
      <w:r w:rsidRPr="009537CF">
        <w:rPr>
          <w:rFonts w:ascii="Verdana" w:hAnsi="Verdana" w:cs="Arial"/>
          <w:color w:val="000000" w:themeColor="text1"/>
          <w:sz w:val="20"/>
          <w:szCs w:val="20"/>
          <w:lang w:eastAsia="es-CO"/>
        </w:rPr>
        <w:t>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4462EA95" w14:textId="77777777" w:rsidR="00BB3D75" w:rsidRPr="009537CF" w:rsidRDefault="00BB3D75" w:rsidP="00BB3D75">
      <w:pPr>
        <w:spacing w:after="120" w:line="240" w:lineRule="auto"/>
        <w:ind w:left="709" w:right="709"/>
        <w:jc w:val="both"/>
        <w:rPr>
          <w:rFonts w:ascii="Verdana" w:hAnsi="Verdana" w:cs="Arial"/>
          <w:color w:val="000000" w:themeColor="text1"/>
          <w:sz w:val="20"/>
          <w:szCs w:val="20"/>
          <w:lang w:eastAsia="es-CO"/>
        </w:rPr>
      </w:pPr>
      <w:r w:rsidRPr="009537CF">
        <w:rPr>
          <w:rFonts w:ascii="Verdana" w:hAnsi="Verdana" w:cs="Arial"/>
          <w:color w:val="000000" w:themeColor="text1"/>
          <w:sz w:val="20"/>
          <w:szCs w:val="20"/>
          <w:lang w:eastAsia="es-CO"/>
        </w:rPr>
        <w:t>El acaecimiento del siniestro que amparan las garantías será comunicado por la entidad pública al respectivo asegurador mediante la notificación del acto administrativo que así lo declare. </w:t>
      </w:r>
    </w:p>
    <w:p w14:paraId="21CE40FB" w14:textId="77777777" w:rsidR="00BB3D75" w:rsidRPr="004E30F3" w:rsidRDefault="00BB3D75" w:rsidP="00BB3D75">
      <w:pPr>
        <w:spacing w:after="0" w:line="240" w:lineRule="auto"/>
        <w:ind w:left="709" w:right="709"/>
        <w:jc w:val="both"/>
        <w:rPr>
          <w:rFonts w:ascii="Verdana" w:hAnsi="Verdana" w:cs="Arial"/>
          <w:color w:val="000000" w:themeColor="text1"/>
          <w:sz w:val="21"/>
          <w:szCs w:val="21"/>
          <w:lang w:eastAsia="es-CO"/>
        </w:rPr>
      </w:pPr>
      <w:r w:rsidRPr="009537CF">
        <w:rPr>
          <w:rFonts w:ascii="Verdana" w:hAnsi="Verdana" w:cs="Arial"/>
          <w:color w:val="000000" w:themeColor="text1"/>
          <w:sz w:val="20"/>
          <w:szCs w:val="20"/>
          <w:lang w:eastAsia="es-CO"/>
        </w:rPr>
        <w:t xml:space="preserve">Las garantías no serán obligatorias en los contratos de empréstito, en los interadministrativos, en los de seguro y en los contratos cuyo valor sea </w:t>
      </w:r>
      <w:r w:rsidRPr="009537CF">
        <w:rPr>
          <w:rFonts w:ascii="Verdana" w:hAnsi="Verdana" w:cs="Arial"/>
          <w:color w:val="000000" w:themeColor="text1"/>
          <w:sz w:val="20"/>
          <w:szCs w:val="20"/>
          <w:lang w:eastAsia="es-CO"/>
        </w:rPr>
        <w:lastRenderedPageBreak/>
        <w:t>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009F916A" w14:textId="77777777" w:rsidR="00BB3D75" w:rsidRPr="004E30F3" w:rsidRDefault="00BB3D75" w:rsidP="00BB3D75">
      <w:pPr>
        <w:spacing w:after="0" w:line="276" w:lineRule="auto"/>
        <w:ind w:left="709" w:right="709"/>
        <w:jc w:val="both"/>
        <w:rPr>
          <w:rFonts w:ascii="Verdana" w:hAnsi="Verdana" w:cs="Arial"/>
          <w:color w:val="000000" w:themeColor="text1"/>
          <w:lang w:eastAsia="es-CO"/>
        </w:rPr>
      </w:pPr>
    </w:p>
    <w:p w14:paraId="049A33C7" w14:textId="77777777" w:rsidR="00BB3D75" w:rsidRPr="00CA6FDA" w:rsidRDefault="00BB3D75" w:rsidP="00BB3D75">
      <w:pPr>
        <w:spacing w:after="0" w:line="276" w:lineRule="auto"/>
        <w:ind w:firstLine="708"/>
        <w:jc w:val="both"/>
        <w:rPr>
          <w:rFonts w:ascii="Verdana" w:eastAsia="Calibri" w:hAnsi="Verdana" w:cs="Arial"/>
          <w:color w:val="000000" w:themeColor="text1"/>
          <w:lang w:val="es-ES"/>
        </w:rPr>
      </w:pPr>
      <w:bookmarkStart w:id="14" w:name="_Hlk47893233"/>
      <w:r w:rsidRPr="00CA6FDA">
        <w:rPr>
          <w:rFonts w:ascii="Verdana" w:hAnsi="Verdana" w:cs="Arial"/>
          <w:color w:val="000000"/>
          <w:shd w:val="clear" w:color="auto" w:fill="FFFFFF"/>
        </w:rPr>
        <w:t>Por un lado, l</w:t>
      </w:r>
      <w:r w:rsidRPr="00CA6FDA">
        <w:rPr>
          <w:rFonts w:ascii="Verdana" w:eastAsia="Calibri" w:hAnsi="Verdana" w:cs="Arial"/>
          <w:color w:val="000000" w:themeColor="text1"/>
          <w:lang w:val="es-ES"/>
        </w:rPr>
        <w:t xml:space="preserve">a </w:t>
      </w:r>
      <w:r w:rsidRPr="00CA6FDA">
        <w:rPr>
          <w:rFonts w:ascii="Verdana" w:eastAsia="Calibri" w:hAnsi="Verdana" w:cs="Arial"/>
          <w:i/>
          <w:iCs/>
          <w:color w:val="000000" w:themeColor="text1"/>
          <w:lang w:val="es-ES"/>
        </w:rPr>
        <w:t>garantía de seriedad</w:t>
      </w:r>
      <w:r w:rsidRPr="00CA6FDA">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w:t>
      </w:r>
      <w:r>
        <w:rPr>
          <w:rFonts w:ascii="Verdana" w:eastAsia="Calibri" w:hAnsi="Verdana" w:cs="Arial"/>
          <w:color w:val="000000" w:themeColor="text1"/>
          <w:lang w:val="es-ES"/>
        </w:rPr>
        <w:t xml:space="preserve">ello </w:t>
      </w:r>
      <w:r w:rsidRPr="00CA6FDA">
        <w:rPr>
          <w:rFonts w:ascii="Verdana" w:eastAsia="Calibri" w:hAnsi="Verdana" w:cs="Arial"/>
          <w:color w:val="000000" w:themeColor="text1"/>
          <w:lang w:val="es-ES"/>
        </w:rPr>
        <w:t>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14"/>
      <w:r w:rsidRPr="00CA6FDA">
        <w:rPr>
          <w:rStyle w:val="Refdenotaalpie"/>
          <w:rFonts w:ascii="Verdana" w:eastAsia="Calibri" w:hAnsi="Verdana" w:cs="Arial"/>
          <w:color w:val="000000" w:themeColor="text1"/>
        </w:rPr>
        <w:footnoteReference w:id="23"/>
      </w:r>
      <w:r w:rsidRPr="00CA6FDA">
        <w:rPr>
          <w:rFonts w:ascii="Verdana" w:eastAsia="Calibri" w:hAnsi="Verdana" w:cs="Arial"/>
          <w:color w:val="000000" w:themeColor="text1"/>
          <w:lang w:val="es-ES"/>
        </w:rPr>
        <w:t>. Sobre este aspecto, la doctrina explica que:</w:t>
      </w:r>
    </w:p>
    <w:p w14:paraId="2AC1097A" w14:textId="77777777" w:rsidR="00BB3D75" w:rsidRPr="00CA6FDA" w:rsidRDefault="00BB3D75" w:rsidP="00BB3D75">
      <w:pPr>
        <w:spacing w:after="0" w:line="276" w:lineRule="auto"/>
        <w:jc w:val="both"/>
        <w:rPr>
          <w:rFonts w:ascii="Verdana" w:eastAsia="Calibri" w:hAnsi="Verdana" w:cs="Arial"/>
          <w:color w:val="000000" w:themeColor="text1"/>
          <w:lang w:val="es-ES"/>
        </w:rPr>
      </w:pPr>
    </w:p>
    <w:p w14:paraId="4A95446E" w14:textId="77777777" w:rsidR="00BB3D75" w:rsidRPr="008971E8" w:rsidRDefault="00BB3D75" w:rsidP="00BB3D75">
      <w:pPr>
        <w:spacing w:after="0" w:line="240" w:lineRule="auto"/>
        <w:ind w:left="709" w:right="709"/>
        <w:jc w:val="both"/>
        <w:rPr>
          <w:rFonts w:ascii="Verdana" w:eastAsia="Calibri" w:hAnsi="Verdana" w:cs="Arial"/>
          <w:color w:val="000000" w:themeColor="text1"/>
          <w:sz w:val="20"/>
          <w:szCs w:val="20"/>
          <w:lang w:val="es-ES"/>
        </w:rPr>
      </w:pPr>
      <w:r w:rsidRPr="008971E8">
        <w:rPr>
          <w:rFonts w:ascii="Verdana" w:eastAsia="Calibri" w:hAnsi="Verdana" w:cs="Arial"/>
          <w:color w:val="000000" w:themeColor="text1"/>
          <w:sz w:val="20"/>
          <w:szCs w:val="20"/>
          <w:lang w:val="es-ES"/>
        </w:rPr>
        <w:t xml:space="preserve">“Las </w:t>
      </w:r>
      <w:r w:rsidRPr="008971E8">
        <w:rPr>
          <w:rFonts w:ascii="Verdana" w:eastAsia="Calibri" w:hAnsi="Verdana" w:cs="Arial"/>
          <w:i/>
          <w:iCs/>
          <w:color w:val="000000" w:themeColor="text1"/>
          <w:sz w:val="20"/>
          <w:szCs w:val="20"/>
          <w:lang w:val="es-ES"/>
        </w:rPr>
        <w:t>garantías provisionales</w:t>
      </w:r>
      <w:r w:rsidRPr="008971E8">
        <w:rPr>
          <w:rFonts w:ascii="Verdana" w:eastAsia="Calibri" w:hAnsi="Verdana" w:cs="Arial"/>
          <w:color w:val="000000" w:themeColor="text1"/>
          <w:sz w:val="20"/>
          <w:szCs w:val="20"/>
          <w:lang w:val="es-ES"/>
        </w:rPr>
        <w:t xml:space="preserve"> ‘avalan la solemnidad de la oferta por parte del contratista’; constituyen una seña pre-contractual destinada a </w:t>
      </w:r>
      <w:r w:rsidRPr="008971E8">
        <w:rPr>
          <w:rFonts w:ascii="Verdana" w:eastAsia="Calibri" w:hAnsi="Verdana" w:cs="Arial"/>
          <w:i/>
          <w:iCs/>
          <w:color w:val="000000" w:themeColor="text1"/>
          <w:sz w:val="20"/>
          <w:szCs w:val="20"/>
          <w:lang w:val="es-ES"/>
        </w:rPr>
        <w:t>asegurar la celebración del contrato</w:t>
      </w:r>
      <w:r w:rsidRPr="008971E8">
        <w:rPr>
          <w:rFonts w:ascii="Verdana" w:eastAsia="Calibri" w:hAnsi="Verdana" w:cs="Arial"/>
          <w:color w:val="000000" w:themeColor="text1"/>
          <w:sz w:val="20"/>
          <w:szCs w:val="20"/>
          <w:lang w:val="es-ES"/>
        </w:rPr>
        <w:t xml:space="preserve">, no su cumplimiento. La administración procede a devolver a los oferentes no adjudicatarios, y a transformar en definitiva respecto al adjudicatario, las garantías provisionales, deduciéndose entonces que las </w:t>
      </w:r>
      <w:r w:rsidRPr="008971E8">
        <w:rPr>
          <w:rFonts w:ascii="Verdana" w:eastAsia="Calibri" w:hAnsi="Verdana" w:cs="Arial"/>
          <w:i/>
          <w:iCs/>
          <w:color w:val="000000" w:themeColor="text1"/>
          <w:sz w:val="20"/>
          <w:szCs w:val="20"/>
          <w:lang w:val="es-ES"/>
        </w:rPr>
        <w:t>arras</w:t>
      </w:r>
      <w:r w:rsidRPr="008971E8">
        <w:rPr>
          <w:rFonts w:ascii="Verdana" w:eastAsia="Calibri" w:hAnsi="Verdana" w:cs="Arial"/>
          <w:color w:val="000000" w:themeColor="text1"/>
          <w:sz w:val="20"/>
          <w:szCs w:val="20"/>
          <w:lang w:val="es-ES"/>
        </w:rPr>
        <w:t xml:space="preserve"> no forman parte del precio, ni son por tanto arras confirmatorias […], sino puramente penitenciales […] como garantías y compensación del </w:t>
      </w:r>
      <w:r w:rsidRPr="008971E8">
        <w:rPr>
          <w:rFonts w:ascii="Verdana" w:eastAsia="Calibri" w:hAnsi="Verdana" w:cs="Arial"/>
          <w:i/>
          <w:iCs/>
          <w:color w:val="000000" w:themeColor="text1"/>
          <w:sz w:val="20"/>
          <w:szCs w:val="20"/>
          <w:lang w:val="es-ES"/>
        </w:rPr>
        <w:t xml:space="preserve">ius </w:t>
      </w:r>
      <w:proofErr w:type="spellStart"/>
      <w:r w:rsidRPr="008971E8">
        <w:rPr>
          <w:rFonts w:ascii="Verdana" w:eastAsia="Calibri" w:hAnsi="Verdana" w:cs="Arial"/>
          <w:i/>
          <w:iCs/>
          <w:color w:val="000000" w:themeColor="text1"/>
          <w:sz w:val="20"/>
          <w:szCs w:val="20"/>
          <w:lang w:val="es-ES"/>
        </w:rPr>
        <w:t>poenitendi</w:t>
      </w:r>
      <w:proofErr w:type="spellEnd"/>
      <w:r w:rsidRPr="008971E8">
        <w:rPr>
          <w:rFonts w:ascii="Verdana" w:eastAsia="Calibri" w:hAnsi="Verdana" w:cs="Arial"/>
          <w:color w:val="000000" w:themeColor="text1"/>
          <w:sz w:val="20"/>
          <w:szCs w:val="20"/>
          <w:lang w:val="es-ES"/>
        </w:rPr>
        <w:t xml:space="preserve"> del licitante. Son, en consecuencia, ‘la medida de la responsabilidad pre-contractual del oferente’; o, más bien, la garantía de oferta representa en definitiva la medida de la responsabilidad”</w:t>
      </w:r>
      <w:r w:rsidRPr="008971E8">
        <w:rPr>
          <w:rStyle w:val="Refdenotaalpie"/>
          <w:rFonts w:ascii="Verdana" w:eastAsia="Calibri" w:hAnsi="Verdana" w:cs="Arial"/>
          <w:color w:val="000000" w:themeColor="text1"/>
          <w:sz w:val="20"/>
          <w:szCs w:val="20"/>
        </w:rPr>
        <w:footnoteReference w:id="24"/>
      </w:r>
      <w:r w:rsidRPr="008971E8">
        <w:rPr>
          <w:rFonts w:ascii="Verdana" w:eastAsia="Calibri" w:hAnsi="Verdana" w:cs="Arial"/>
          <w:color w:val="000000" w:themeColor="text1"/>
          <w:sz w:val="20"/>
          <w:szCs w:val="20"/>
          <w:lang w:val="es-ES"/>
        </w:rPr>
        <w:t xml:space="preserve">. (Cursivas dentro del texto)   </w:t>
      </w:r>
    </w:p>
    <w:p w14:paraId="5B6F0D82" w14:textId="77777777" w:rsidR="00BB3D75" w:rsidRPr="00CA6FDA" w:rsidRDefault="00BB3D75" w:rsidP="00BB3D75">
      <w:pPr>
        <w:spacing w:after="0" w:line="276" w:lineRule="auto"/>
        <w:jc w:val="both"/>
        <w:rPr>
          <w:rFonts w:ascii="Verdana" w:eastAsia="Calibri" w:hAnsi="Verdana" w:cs="Arial"/>
          <w:color w:val="000000" w:themeColor="text1"/>
          <w:lang w:val="es-ES"/>
        </w:rPr>
      </w:pPr>
    </w:p>
    <w:p w14:paraId="4E6618C8" w14:textId="77777777" w:rsidR="00BB3D75" w:rsidRPr="00CA6FDA" w:rsidRDefault="00BB3D75" w:rsidP="00BB3D75">
      <w:pPr>
        <w:spacing w:after="120" w:line="276" w:lineRule="auto"/>
        <w:ind w:firstLine="709"/>
        <w:jc w:val="both"/>
        <w:rPr>
          <w:rFonts w:ascii="Verdana" w:eastAsia="Calibri" w:hAnsi="Verdana" w:cs="Arial"/>
          <w:color w:val="000000" w:themeColor="text1"/>
          <w:lang w:val="es-ES"/>
        </w:rPr>
      </w:pPr>
      <w:r w:rsidRPr="00CA6FDA">
        <w:rPr>
          <w:rFonts w:ascii="Verdana" w:eastAsia="Calibri" w:hAnsi="Verdana" w:cs="Arial"/>
          <w:color w:val="000000" w:themeColor="text1"/>
          <w:lang w:val="es-ES"/>
        </w:rPr>
        <w:t xml:space="preserve">En contraste, mediante la </w:t>
      </w:r>
      <w:r w:rsidRPr="00CA6FDA">
        <w:rPr>
          <w:rFonts w:ascii="Verdana" w:eastAsia="Calibri" w:hAnsi="Verdana" w:cs="Arial"/>
          <w:i/>
          <w:iCs/>
          <w:color w:val="000000" w:themeColor="text1"/>
          <w:lang w:val="es-ES"/>
        </w:rPr>
        <w:t>garantía de única de cumplimiento</w:t>
      </w:r>
      <w:r w:rsidRPr="00CA6FDA">
        <w:rPr>
          <w:rFonts w:ascii="Verdana" w:eastAsia="Calibri" w:hAnsi="Verdana" w:cs="Arial"/>
          <w:color w:val="000000" w:themeColor="text1"/>
          <w:lang w:val="es-ES"/>
        </w:rPr>
        <w:t>, el contratista ampara los perjuicios que le pueda generar a la entidad el incumplimiento de las obligaciones derivadas del contrato</w:t>
      </w:r>
      <w:r w:rsidRPr="00CA6FDA">
        <w:rPr>
          <w:rStyle w:val="Refdenotaalpie"/>
          <w:rFonts w:ascii="Verdana" w:eastAsia="Calibri" w:hAnsi="Verdana" w:cs="Arial"/>
          <w:color w:val="000000" w:themeColor="text1"/>
        </w:rPr>
        <w:footnoteReference w:id="25"/>
      </w:r>
      <w:r w:rsidRPr="00CA6FDA">
        <w:rPr>
          <w:rFonts w:ascii="Verdana" w:eastAsia="Calibri" w:hAnsi="Verdana" w:cs="Arial"/>
          <w:color w:val="000000" w:themeColor="text1"/>
          <w:lang w:val="es-ES"/>
        </w:rPr>
        <w:t xml:space="preserve">. En esta medida, </w:t>
      </w:r>
      <w:r w:rsidRPr="00CA6FDA">
        <w:rPr>
          <w:rFonts w:ascii="Verdana" w:eastAsia="Calibri" w:hAnsi="Verdana" w:cs="Arial"/>
          <w:color w:val="000000" w:themeColor="text1"/>
          <w:lang w:val="es-ES"/>
        </w:rPr>
        <w:lastRenderedPageBreak/>
        <w:t xml:space="preserve">tienen como objetivo reparar los perjuicios causados por conductas atribuibles al contratista, por lo que estos últimos son un presupuesto necesario para el pago que cubre la garantía. </w:t>
      </w:r>
      <w:r w:rsidRPr="00CA6FDA">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A6FDA">
        <w:rPr>
          <w:rStyle w:val="Refdenotaalpie"/>
          <w:rFonts w:ascii="Verdana" w:hAnsi="Verdana" w:cs="Arial"/>
          <w:color w:val="000000" w:themeColor="text1"/>
          <w:lang w:val="es-ES_tradnl"/>
        </w:rPr>
        <w:footnoteReference w:id="26"/>
      </w:r>
      <w:r w:rsidRPr="00CA6FDA">
        <w:rPr>
          <w:rFonts w:ascii="Verdana" w:hAnsi="Verdana" w:cs="Arial"/>
          <w:color w:val="000000" w:themeColor="text1"/>
          <w:lang w:val="es-ES_tradnl"/>
        </w:rPr>
        <w:t xml:space="preserve">.    </w:t>
      </w:r>
    </w:p>
    <w:p w14:paraId="3DD1815B" w14:textId="77777777" w:rsidR="00BB3D75" w:rsidRPr="00CA6FDA" w:rsidRDefault="00BB3D75" w:rsidP="00BB3D75">
      <w:pPr>
        <w:spacing w:after="120" w:line="276" w:lineRule="auto"/>
        <w:ind w:firstLine="708"/>
        <w:jc w:val="both"/>
        <w:rPr>
          <w:rFonts w:ascii="Verdana" w:hAnsi="Verdana" w:cs="Arial"/>
          <w:color w:val="000000" w:themeColor="text1"/>
          <w:lang w:val="es-ES"/>
        </w:rPr>
      </w:pPr>
      <w:r w:rsidRPr="6832F227">
        <w:rPr>
          <w:rFonts w:ascii="Verdana" w:hAnsi="Verdana" w:cs="Arial"/>
          <w:color w:val="000000" w:themeColor="text1"/>
          <w:lang w:val="es-ES"/>
        </w:rPr>
        <w:t xml:space="preserve">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6832F227">
        <w:rPr>
          <w:rFonts w:ascii="Verdana" w:hAnsi="Verdana" w:cs="Arial"/>
          <w:color w:val="000000" w:themeColor="text1"/>
          <w:lang w:val="es-ES"/>
        </w:rPr>
        <w:t>ii</w:t>
      </w:r>
      <w:proofErr w:type="spellEnd"/>
      <w:r w:rsidRPr="6832F227">
        <w:rPr>
          <w:rFonts w:ascii="Verdana" w:hAnsi="Verdana" w:cs="Arial"/>
          <w:color w:val="000000" w:themeColor="text1"/>
          <w:lang w:val="es-ES"/>
        </w:rPr>
        <w:t xml:space="preserve">) garantías bancarias o </w:t>
      </w:r>
      <w:proofErr w:type="spellStart"/>
      <w:r w:rsidRPr="6832F227">
        <w:rPr>
          <w:rFonts w:ascii="Verdana" w:hAnsi="Verdana" w:cs="Arial"/>
          <w:color w:val="000000" w:themeColor="text1"/>
          <w:lang w:val="es-ES"/>
        </w:rPr>
        <w:t>iii</w:t>
      </w:r>
      <w:proofErr w:type="spellEnd"/>
      <w:r w:rsidRPr="6832F227">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6832F227">
        <w:rPr>
          <w:rStyle w:val="Refdenotaalpie"/>
          <w:rFonts w:ascii="Verdana" w:hAnsi="Verdana" w:cs="Arial"/>
          <w:color w:val="000000" w:themeColor="text1"/>
          <w:lang w:val="es-ES"/>
        </w:rPr>
        <w:footnoteReference w:id="27"/>
      </w:r>
      <w:r w:rsidRPr="6832F227">
        <w:rPr>
          <w:rFonts w:ascii="Verdana" w:hAnsi="Verdana" w:cs="Arial"/>
          <w:color w:val="000000" w:themeColor="text1"/>
          <w:lang w:val="es-ES"/>
        </w:rPr>
        <w:t>. De esta manera, las garantías previstas en la ley tienen como objetivo asegurar la solvencia del garante</w:t>
      </w:r>
      <w:r w:rsidRPr="6832F227">
        <w:rPr>
          <w:rStyle w:val="Refdenotaalpie"/>
          <w:rFonts w:ascii="Verdana" w:hAnsi="Verdana" w:cs="Arial"/>
          <w:color w:val="000000" w:themeColor="text1"/>
          <w:lang w:val="es-ES"/>
        </w:rPr>
        <w:footnoteReference w:id="28"/>
      </w:r>
      <w:r w:rsidRPr="6832F227">
        <w:rPr>
          <w:rFonts w:ascii="Verdana" w:hAnsi="Verdana" w:cs="Arial"/>
          <w:color w:val="000000" w:themeColor="text1"/>
          <w:lang w:val="es-ES"/>
        </w:rPr>
        <w:t>.</w:t>
      </w:r>
    </w:p>
    <w:p w14:paraId="295C4B97" w14:textId="77777777" w:rsidR="00BB3D75" w:rsidRPr="00CA6FDA" w:rsidRDefault="00BB3D75" w:rsidP="00BB3D75">
      <w:pPr>
        <w:spacing w:after="120" w:line="276" w:lineRule="auto"/>
        <w:ind w:firstLine="708"/>
        <w:jc w:val="both"/>
        <w:rPr>
          <w:rFonts w:ascii="Verdana" w:hAnsi="Verdana" w:cs="Arial"/>
          <w:color w:val="000000" w:themeColor="text1"/>
        </w:rPr>
      </w:pPr>
      <w:r w:rsidRPr="00CA6FDA">
        <w:rPr>
          <w:rFonts w:ascii="Verdana" w:hAnsi="Verdana" w:cs="Arial"/>
          <w:color w:val="000000" w:themeColor="text1"/>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w:t>
      </w:r>
      <w:r w:rsidRPr="00CA6FDA">
        <w:rPr>
          <w:rFonts w:ascii="Verdana" w:hAnsi="Verdana" w:cs="Arial"/>
          <w:color w:val="000000" w:themeColor="text1"/>
        </w:rPr>
        <w:lastRenderedPageBreak/>
        <w:t xml:space="preserve">mismas, los diferentes riesgos que deben ser objeto de garantía, la vigencia y valores mínimos que deben cubrir los amparos, entre otros aspectos. </w:t>
      </w:r>
    </w:p>
    <w:p w14:paraId="54CC96ED" w14:textId="77777777" w:rsidR="00BB3D75" w:rsidRDefault="00BB3D75" w:rsidP="00BB3D75">
      <w:pPr>
        <w:spacing w:before="120" w:after="0" w:line="276" w:lineRule="auto"/>
        <w:ind w:firstLine="708"/>
        <w:jc w:val="both"/>
        <w:rPr>
          <w:rFonts w:ascii="Verdana" w:eastAsia="Times New Roman" w:hAnsi="Verdana" w:cs="Arial"/>
          <w:color w:val="000000" w:themeColor="text1"/>
          <w:lang w:eastAsia="es-CO"/>
        </w:rPr>
      </w:pPr>
      <w:r w:rsidRPr="00CA6FDA">
        <w:rPr>
          <w:rFonts w:ascii="Verdana" w:hAnsi="Verdana" w:cs="Arial"/>
          <w:color w:val="000000" w:themeColor="text1"/>
        </w:rPr>
        <w:t>El artículo 2.2.1.2.3.1.3, por ejemplo, establece que la “garantía de cobertura del Riesgo es indivisible”, además de la obligación de los contratantes de establecer en los pliegos de condiciones las garantías exigidas para cada periodo contractual</w:t>
      </w:r>
      <w:r w:rsidRPr="00CA6FDA">
        <w:rPr>
          <w:rStyle w:val="Refdenotaalpie"/>
          <w:rFonts w:ascii="Verdana" w:hAnsi="Verdana" w:cs="Arial"/>
          <w:color w:val="000000" w:themeColor="text1"/>
        </w:rPr>
        <w:footnoteReference w:id="29"/>
      </w:r>
      <w:r w:rsidRPr="00CA6FDA">
        <w:rPr>
          <w:rFonts w:ascii="Verdana" w:hAnsi="Verdana" w:cs="Arial"/>
          <w:color w:val="000000" w:themeColor="text1"/>
        </w:rPr>
        <w:t xml:space="preserve">. Por su parte, el artículo 2.2.1.3.1.7 prescribe que la garantía de cumplimiento debe cubrir: i) el buen manejo y correcta inversión del anticipo; </w:t>
      </w:r>
      <w:proofErr w:type="spellStart"/>
      <w:r w:rsidRPr="00CA6FDA">
        <w:rPr>
          <w:rFonts w:ascii="Verdana" w:hAnsi="Verdana" w:cs="Arial"/>
          <w:color w:val="000000" w:themeColor="text1"/>
        </w:rPr>
        <w:t>ii</w:t>
      </w:r>
      <w:proofErr w:type="spellEnd"/>
      <w:r w:rsidRPr="00CA6FDA">
        <w:rPr>
          <w:rFonts w:ascii="Verdana" w:hAnsi="Verdana" w:cs="Arial"/>
          <w:color w:val="000000" w:themeColor="text1"/>
        </w:rPr>
        <w:t xml:space="preserve">) la devolución del pago anticipado; </w:t>
      </w:r>
      <w:proofErr w:type="spellStart"/>
      <w:r w:rsidRPr="00CA6FDA">
        <w:rPr>
          <w:rFonts w:ascii="Verdana" w:hAnsi="Verdana" w:cs="Arial"/>
          <w:color w:val="000000" w:themeColor="text1"/>
        </w:rPr>
        <w:t>iii</w:t>
      </w:r>
      <w:proofErr w:type="spellEnd"/>
      <w:r w:rsidRPr="00CA6FDA">
        <w:rPr>
          <w:rFonts w:ascii="Verdana" w:hAnsi="Verdana" w:cs="Arial"/>
          <w:color w:val="000000" w:themeColor="text1"/>
        </w:rPr>
        <w:t xml:space="preserve">) el cumplimiento del contrato; </w:t>
      </w:r>
      <w:proofErr w:type="spellStart"/>
      <w:r w:rsidRPr="00CA6FDA">
        <w:rPr>
          <w:rFonts w:ascii="Verdana" w:hAnsi="Verdana" w:cs="Arial"/>
          <w:color w:val="000000" w:themeColor="text1"/>
        </w:rPr>
        <w:t>iv</w:t>
      </w:r>
      <w:proofErr w:type="spellEnd"/>
      <w:r w:rsidRPr="00CA6FDA">
        <w:rPr>
          <w:rFonts w:ascii="Verdana" w:hAnsi="Verdana" w:cs="Arial"/>
          <w:color w:val="000000" w:themeColor="text1"/>
        </w:rPr>
        <w:t xml:space="preserve">) el pago de salarios, prestaciones sociales legales e indemnizaciones laborales; v)  la estabilidad y calidad de la obra; vi) la </w:t>
      </w:r>
      <w:r w:rsidRPr="00CA6FDA">
        <w:rPr>
          <w:rFonts w:ascii="Verdana" w:eastAsia="Times New Roman" w:hAnsi="Verdana" w:cs="Arial"/>
          <w:color w:val="000000" w:themeColor="text1"/>
          <w:lang w:eastAsia="es-CO"/>
        </w:rPr>
        <w:t xml:space="preserve">calidad del servicio; </w:t>
      </w:r>
      <w:proofErr w:type="spellStart"/>
      <w:r w:rsidRPr="00CA6FDA">
        <w:rPr>
          <w:rFonts w:ascii="Verdana" w:eastAsia="Times New Roman" w:hAnsi="Verdana" w:cs="Arial"/>
          <w:color w:val="000000" w:themeColor="text1"/>
          <w:lang w:eastAsia="es-CO"/>
        </w:rPr>
        <w:t>vii</w:t>
      </w:r>
      <w:proofErr w:type="spellEnd"/>
      <w:r w:rsidRPr="00CA6FDA">
        <w:rPr>
          <w:rFonts w:ascii="Verdana" w:eastAsia="Times New Roman" w:hAnsi="Verdana" w:cs="Arial"/>
          <w:color w:val="000000" w:themeColor="text1"/>
          <w:lang w:eastAsia="es-CO"/>
        </w:rPr>
        <w:t xml:space="preserve">) la calidad y correcto funcionamiento de los bienes; y </w:t>
      </w:r>
      <w:proofErr w:type="spellStart"/>
      <w:r w:rsidRPr="00CA6FDA">
        <w:rPr>
          <w:rFonts w:ascii="Verdana" w:eastAsia="Times New Roman" w:hAnsi="Verdana" w:cs="Arial"/>
          <w:color w:val="000000" w:themeColor="text1"/>
          <w:lang w:eastAsia="es-CO"/>
        </w:rPr>
        <w:t>viii</w:t>
      </w:r>
      <w:proofErr w:type="spellEnd"/>
      <w:r w:rsidRPr="00CA6FDA">
        <w:rPr>
          <w:rFonts w:ascii="Verdana" w:eastAsia="Times New Roman" w:hAnsi="Verdana" w:cs="Arial"/>
          <w:color w:val="000000" w:themeColor="text1"/>
          <w:lang w:eastAsia="es-CO"/>
        </w:rPr>
        <w:t>) los demás incumplimientos de las obligaciones que la entidad estatal considere deben ser amparados</w:t>
      </w:r>
      <w:r w:rsidRPr="00CA6FDA">
        <w:rPr>
          <w:rStyle w:val="Refdenotaalpie"/>
          <w:rFonts w:ascii="Verdana" w:eastAsia="Times New Roman" w:hAnsi="Verdana" w:cs="Arial"/>
          <w:color w:val="000000" w:themeColor="text1"/>
          <w:lang w:eastAsia="es-CO"/>
        </w:rPr>
        <w:footnoteReference w:id="30"/>
      </w:r>
      <w:r w:rsidRPr="00CA6FDA">
        <w:rPr>
          <w:rFonts w:ascii="Verdana" w:eastAsia="Times New Roman" w:hAnsi="Verdana" w:cs="Arial"/>
          <w:color w:val="000000" w:themeColor="text1"/>
          <w:lang w:eastAsia="es-CO"/>
        </w:rPr>
        <w:t>.</w:t>
      </w:r>
    </w:p>
    <w:p w14:paraId="47C6EF58" w14:textId="77777777" w:rsidR="00BB3D75" w:rsidRDefault="00BB3D75" w:rsidP="00BB3D75">
      <w:pPr>
        <w:spacing w:before="120" w:after="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lastRenderedPageBreak/>
        <w:t xml:space="preserve">Conforme al artículo </w:t>
      </w:r>
      <w:r w:rsidRPr="00DA2A6A">
        <w:rPr>
          <w:rFonts w:ascii="Verdana" w:eastAsia="Times New Roman" w:hAnsi="Verdana" w:cs="Arial"/>
          <w:color w:val="000000" w:themeColor="text1"/>
          <w:lang w:eastAsia="es-CO"/>
        </w:rPr>
        <w:t>2.2.1.2.1.4.5</w:t>
      </w:r>
      <w:r>
        <w:rPr>
          <w:rFonts w:ascii="Verdana" w:eastAsia="Times New Roman" w:hAnsi="Verdana" w:cs="Arial"/>
          <w:color w:val="000000" w:themeColor="text1"/>
          <w:lang w:eastAsia="es-CO"/>
        </w:rPr>
        <w:t xml:space="preserve"> del Decreto 1082 de 2015, “</w:t>
      </w:r>
      <w:r w:rsidRPr="00DA2A6A">
        <w:rPr>
          <w:rFonts w:ascii="Verdana" w:eastAsia="Times New Roman" w:hAnsi="Verdana" w:cs="Arial"/>
          <w:color w:val="000000" w:themeColor="text1"/>
          <w:lang w:eastAsia="es-CO"/>
        </w:rPr>
        <w:t>En la contratación directa la exigencia de garantías establecidas en la Sección 3, que comprende los artículos 2.2.1.2.3.1.1 al 2.2.1.2.3.5.1.</w:t>
      </w:r>
      <w:r>
        <w:rPr>
          <w:rFonts w:ascii="Verdana" w:eastAsia="Times New Roman" w:hAnsi="Verdana" w:cs="Arial"/>
          <w:color w:val="000000" w:themeColor="text1"/>
          <w:lang w:eastAsia="es-CO"/>
        </w:rPr>
        <w:t xml:space="preserve"> </w:t>
      </w:r>
      <w:r w:rsidRPr="00DA2A6A">
        <w:rPr>
          <w:rFonts w:ascii="Verdana" w:eastAsia="Times New Roman" w:hAnsi="Verdana" w:cs="Arial"/>
          <w:color w:val="000000" w:themeColor="text1"/>
          <w:lang w:eastAsia="es-CO"/>
        </w:rPr>
        <w:t>del presente decreto no es obligatoria y la justificación para exigirlas o no debe estar en los estudios y documentos previos</w:t>
      </w:r>
      <w:r>
        <w:rPr>
          <w:rFonts w:ascii="Verdana" w:eastAsia="Times New Roman" w:hAnsi="Verdana" w:cs="Arial"/>
          <w:color w:val="000000" w:themeColor="text1"/>
          <w:lang w:eastAsia="es-CO"/>
        </w:rPr>
        <w:t>”</w:t>
      </w:r>
      <w:r w:rsidRPr="00DA2A6A">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Tratándose de la causal prevista en el inciso primero del literal c) del artículo 2.4 de la Ley 1150 de 2007 para la celebración de contratos interadministrativos, podrán incluirse los amparos contemplados en el Decreto Único Reglamentario </w:t>
      </w:r>
      <w:r w:rsidRPr="00DA2A6A">
        <w:rPr>
          <w:rFonts w:ascii="Verdana" w:eastAsia="Times New Roman" w:hAnsi="Verdana" w:cs="Arial"/>
          <w:color w:val="000000" w:themeColor="text1"/>
          <w:lang w:eastAsia="es-CO"/>
        </w:rPr>
        <w:t>del sector Administrativo de Planeación Naciona</w:t>
      </w:r>
      <w:r>
        <w:rPr>
          <w:rFonts w:ascii="Verdana" w:eastAsia="Times New Roman" w:hAnsi="Verdana" w:cs="Arial"/>
          <w:color w:val="000000" w:themeColor="text1"/>
          <w:lang w:eastAsia="es-CO"/>
        </w:rPr>
        <w:t xml:space="preserve">l. Ello en función de los riesgos identificados por la entidad tanto en el análisis del sector –art. </w:t>
      </w:r>
      <w:r w:rsidRPr="006C43EA">
        <w:rPr>
          <w:rFonts w:ascii="Verdana" w:eastAsia="Times New Roman" w:hAnsi="Verdana" w:cs="Arial"/>
          <w:color w:val="000000" w:themeColor="text1"/>
          <w:lang w:eastAsia="es-CO"/>
        </w:rPr>
        <w:t>2.2.1.1.1.6.1</w:t>
      </w:r>
      <w:r>
        <w:rPr>
          <w:rFonts w:ascii="Verdana" w:eastAsia="Times New Roman" w:hAnsi="Verdana" w:cs="Arial"/>
          <w:color w:val="000000" w:themeColor="text1"/>
          <w:lang w:eastAsia="es-CO"/>
        </w:rPr>
        <w:t xml:space="preserve"> del Decreto 1082 de 2015–  como los estudios y documentos previos –</w:t>
      </w:r>
      <w:proofErr w:type="spellStart"/>
      <w:r>
        <w:rPr>
          <w:rFonts w:ascii="Verdana" w:eastAsia="Times New Roman" w:hAnsi="Verdana" w:cs="Arial"/>
          <w:color w:val="000000" w:themeColor="text1"/>
          <w:lang w:eastAsia="es-CO"/>
        </w:rPr>
        <w:t>num</w:t>
      </w:r>
      <w:proofErr w:type="spellEnd"/>
      <w:r>
        <w:rPr>
          <w:rFonts w:ascii="Verdana" w:eastAsia="Times New Roman" w:hAnsi="Verdana" w:cs="Arial"/>
          <w:color w:val="000000" w:themeColor="text1"/>
          <w:lang w:eastAsia="es-CO"/>
        </w:rPr>
        <w:t xml:space="preserve">. 6 del art. </w:t>
      </w:r>
      <w:r w:rsidRPr="006C43EA">
        <w:rPr>
          <w:rFonts w:ascii="Verdana" w:eastAsia="Times New Roman" w:hAnsi="Verdana" w:cs="Arial"/>
          <w:color w:val="000000" w:themeColor="text1"/>
          <w:lang w:eastAsia="es-CO"/>
        </w:rPr>
        <w:t>2.2.1.1.2.1.1</w:t>
      </w:r>
      <w:r>
        <w:rPr>
          <w:rFonts w:ascii="Verdana" w:eastAsia="Times New Roman" w:hAnsi="Verdana" w:cs="Arial"/>
          <w:color w:val="000000" w:themeColor="text1"/>
          <w:lang w:eastAsia="es-CO"/>
        </w:rPr>
        <w:t xml:space="preserve"> </w:t>
      </w:r>
      <w:r w:rsidRPr="006C43EA">
        <w:rPr>
          <w:rFonts w:ascii="Verdana" w:eastAsia="Times New Roman" w:hAnsi="Verdana" w:cs="Arial"/>
          <w:i/>
          <w:iCs/>
          <w:color w:val="000000" w:themeColor="text1"/>
          <w:lang w:eastAsia="es-CO"/>
        </w:rPr>
        <w:t>ibidem</w:t>
      </w:r>
      <w:r>
        <w:rPr>
          <w:rFonts w:ascii="Verdana" w:eastAsia="Times New Roman" w:hAnsi="Verdana" w:cs="Arial"/>
          <w:color w:val="000000" w:themeColor="text1"/>
          <w:lang w:eastAsia="es-CO"/>
        </w:rPr>
        <w:t xml:space="preserve">–. </w:t>
      </w:r>
    </w:p>
    <w:p w14:paraId="35D8D65D" w14:textId="77777777" w:rsidR="00BB3D75" w:rsidRPr="000A0633" w:rsidRDefault="00BB3D75" w:rsidP="00BB3D75">
      <w:pPr>
        <w:tabs>
          <w:tab w:val="left" w:pos="426"/>
        </w:tabs>
        <w:spacing w:before="120" w:after="0" w:line="276" w:lineRule="auto"/>
        <w:ind w:firstLine="425"/>
        <w:jc w:val="both"/>
        <w:rPr>
          <w:rFonts w:ascii="Verdana" w:hAnsi="Verdana" w:cs="Arial"/>
          <w:bCs/>
          <w:color w:val="000000" w:themeColor="text1"/>
        </w:rPr>
      </w:pPr>
      <w:r>
        <w:rPr>
          <w:rFonts w:ascii="Verdana" w:eastAsia="Times New Roman" w:hAnsi="Verdana" w:cs="Arial"/>
          <w:color w:val="000000" w:themeColor="text1"/>
          <w:lang w:eastAsia="es-CO"/>
        </w:rPr>
        <w:tab/>
      </w:r>
      <w:r>
        <w:rPr>
          <w:rFonts w:ascii="Verdana" w:eastAsia="Times New Roman" w:hAnsi="Verdana" w:cs="Arial"/>
          <w:color w:val="000000" w:themeColor="text1"/>
          <w:lang w:eastAsia="es-CO"/>
        </w:rPr>
        <w:tab/>
      </w:r>
      <w:r w:rsidRPr="00C67898">
        <w:rPr>
          <w:rFonts w:ascii="Verdana" w:eastAsia="Times New Roman" w:hAnsi="Verdana" w:cs="Arial"/>
          <w:color w:val="000000" w:themeColor="text1"/>
          <w:lang w:eastAsia="es-CO"/>
        </w:rPr>
        <w:t xml:space="preserve">Ahora bien, </w:t>
      </w:r>
      <w:r>
        <w:rPr>
          <w:rFonts w:ascii="Verdana" w:hAnsi="Verdana" w:cs="Arial"/>
          <w:bCs/>
          <w:color w:val="000000" w:themeColor="text1"/>
        </w:rPr>
        <w:t>como</w:t>
      </w:r>
      <w:r w:rsidRPr="00C67898">
        <w:rPr>
          <w:rFonts w:ascii="Verdana" w:hAnsi="Verdana" w:cs="Arial"/>
          <w:bCs/>
          <w:color w:val="000000" w:themeColor="text1"/>
        </w:rPr>
        <w:t xml:space="preserve"> el Decreto 092 de 2017 no reguló el régimen de garantías para los convenios con entidades sin ánimo de lucro, por aplicación del artículo 8 </w:t>
      </w:r>
      <w:r w:rsidRPr="00C67898">
        <w:rPr>
          <w:rFonts w:ascii="Verdana" w:hAnsi="Verdana" w:cs="Arial"/>
          <w:bCs/>
          <w:i/>
          <w:iCs/>
          <w:color w:val="000000" w:themeColor="text1"/>
        </w:rPr>
        <w:t>ibidem</w:t>
      </w:r>
      <w:r w:rsidRPr="00C67898">
        <w:rPr>
          <w:rFonts w:ascii="Verdana" w:hAnsi="Verdana" w:cs="Arial"/>
          <w:bCs/>
          <w:color w:val="000000" w:themeColor="text1"/>
        </w:rPr>
        <w:t xml:space="preserve">, deben aplicarse las normas contenidas en el Estatuto General de Contratación de la Administración Pública, particularmente lo dispuesto en el artículo 7 de la Ley 1150 de 2007. </w:t>
      </w:r>
      <w:r>
        <w:rPr>
          <w:rFonts w:ascii="Verdana" w:hAnsi="Verdana" w:cs="Arial"/>
          <w:bCs/>
          <w:color w:val="000000" w:themeColor="text1"/>
        </w:rPr>
        <w:t>El inciso final de esta disposición</w:t>
      </w:r>
      <w:r w:rsidRPr="00C67898">
        <w:rPr>
          <w:rFonts w:ascii="Verdana" w:hAnsi="Verdana" w:cs="Arial"/>
          <w:bCs/>
          <w:color w:val="000000" w:themeColor="text1"/>
        </w:rPr>
        <w:t xml:space="preserve"> establece los eventos en que deberá prestarse póliza de garantía y aquellas circunstancias exceptuadas de esta obligación. En aquellos eventos no mencionados por dicha norma</w:t>
      </w:r>
      <w:r>
        <w:rPr>
          <w:rFonts w:ascii="Verdana" w:hAnsi="Verdana" w:cs="Arial"/>
          <w:bCs/>
          <w:color w:val="000000" w:themeColor="text1"/>
        </w:rPr>
        <w:t xml:space="preserve">, </w:t>
      </w:r>
      <w:r w:rsidRPr="00C67898">
        <w:rPr>
          <w:rFonts w:ascii="Verdana" w:hAnsi="Verdana" w:cs="Arial"/>
          <w:bCs/>
          <w:color w:val="000000" w:themeColor="text1"/>
        </w:rPr>
        <w:t xml:space="preserve">como el caso </w:t>
      </w:r>
      <w:r>
        <w:rPr>
          <w:rFonts w:ascii="Verdana" w:hAnsi="Verdana" w:cs="Arial"/>
          <w:bCs/>
          <w:color w:val="000000" w:themeColor="text1"/>
        </w:rPr>
        <w:t>de los negocios</w:t>
      </w:r>
      <w:r w:rsidRPr="00C67898">
        <w:rPr>
          <w:rFonts w:ascii="Verdana" w:hAnsi="Verdana" w:cs="Arial"/>
          <w:bCs/>
          <w:color w:val="000000" w:themeColor="text1"/>
        </w:rPr>
        <w:t xml:space="preserve"> regulados en el Decreto 092 de 2017, las entidades estatales</w:t>
      </w:r>
      <w:r>
        <w:rPr>
          <w:rFonts w:ascii="Verdana" w:hAnsi="Verdana" w:cs="Arial"/>
          <w:bCs/>
          <w:color w:val="000000" w:themeColor="text1"/>
        </w:rPr>
        <w:t xml:space="preserve"> exigirán</w:t>
      </w:r>
      <w:r w:rsidRPr="00C67898">
        <w:rPr>
          <w:rFonts w:ascii="Verdana" w:hAnsi="Verdana" w:cs="Arial"/>
          <w:bCs/>
          <w:color w:val="000000" w:themeColor="text1"/>
        </w:rPr>
        <w:t xml:space="preserve"> que la</w:t>
      </w:r>
      <w:r>
        <w:rPr>
          <w:rFonts w:ascii="Verdana" w:hAnsi="Verdana" w:cs="Arial"/>
          <w:bCs/>
          <w:color w:val="000000" w:themeColor="text1"/>
        </w:rPr>
        <w:t>s</w:t>
      </w:r>
      <w:r w:rsidRPr="00C67898">
        <w:rPr>
          <w:rFonts w:ascii="Verdana" w:hAnsi="Verdana" w:cs="Arial"/>
          <w:bCs/>
          <w:color w:val="000000" w:themeColor="text1"/>
        </w:rPr>
        <w:t xml:space="preserve"> ESAL constituya</w:t>
      </w:r>
      <w:r>
        <w:rPr>
          <w:rFonts w:ascii="Verdana" w:hAnsi="Verdana" w:cs="Arial"/>
          <w:bCs/>
          <w:color w:val="000000" w:themeColor="text1"/>
        </w:rPr>
        <w:t>n</w:t>
      </w:r>
      <w:r w:rsidRPr="00C67898">
        <w:rPr>
          <w:rFonts w:ascii="Verdana" w:hAnsi="Verdana" w:cs="Arial"/>
          <w:bCs/>
          <w:color w:val="000000" w:themeColor="text1"/>
        </w:rPr>
        <w:t xml:space="preserve"> garantías para amparar las obligaciones estipuladas en el contrato</w:t>
      </w:r>
      <w:r>
        <w:rPr>
          <w:rFonts w:ascii="Verdana" w:hAnsi="Verdana" w:cs="Arial"/>
          <w:bCs/>
          <w:color w:val="000000" w:themeColor="text1"/>
        </w:rPr>
        <w:t xml:space="preserve"> con sujeción a lo previsto en el Decreto 1082 de 2015</w:t>
      </w:r>
      <w:r w:rsidRPr="00C67898">
        <w:rPr>
          <w:rFonts w:ascii="Verdana" w:hAnsi="Verdana" w:cs="Arial"/>
          <w:bCs/>
          <w:color w:val="000000" w:themeColor="text1"/>
        </w:rPr>
        <w:t>.</w:t>
      </w:r>
      <w:r>
        <w:rPr>
          <w:rFonts w:ascii="Verdana" w:hAnsi="Verdana" w:cs="Arial"/>
          <w:bCs/>
          <w:color w:val="000000" w:themeColor="text1"/>
        </w:rPr>
        <w:t xml:space="preserve"> En cada caso, conforme a la justificación del equipo </w:t>
      </w:r>
      <w:r>
        <w:rPr>
          <w:rFonts w:ascii="Verdana" w:hAnsi="Verdana" w:cs="Arial"/>
          <w:bCs/>
          <w:color w:val="000000" w:themeColor="text1"/>
        </w:rPr>
        <w:lastRenderedPageBreak/>
        <w:t>estructurador, los amparos requeridos dependen del análisis de riesgos realizado por la entidad en la fase de planeación.</w:t>
      </w:r>
    </w:p>
    <w:p w14:paraId="5AA48DFE" w14:textId="77777777" w:rsidR="00BB3D75" w:rsidRPr="00E853DE" w:rsidRDefault="00BB3D75" w:rsidP="00BB3D75">
      <w:pPr>
        <w:spacing w:after="0" w:line="276" w:lineRule="auto"/>
        <w:jc w:val="both"/>
        <w:rPr>
          <w:rFonts w:ascii="Verdana" w:eastAsia="Calibri" w:hAnsi="Verdana" w:cs="Arial"/>
          <w:bCs/>
          <w:color w:val="000000" w:themeColor="text1"/>
        </w:rPr>
      </w:pPr>
    </w:p>
    <w:p w14:paraId="75E82BCD" w14:textId="77777777" w:rsidR="00BB3D75" w:rsidRDefault="00BB3D75" w:rsidP="00BB3D75">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w:t>
      </w: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6E55234" w14:textId="77777777" w:rsidR="00BB3D75" w:rsidRPr="00185EE9" w:rsidRDefault="00BB3D75" w:rsidP="00BB3D75">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068F82F7" w14:textId="77777777" w:rsidR="00BB3D75" w:rsidRPr="00182C89" w:rsidRDefault="00BB3D75" w:rsidP="00BB3D75">
      <w:pPr>
        <w:tabs>
          <w:tab w:val="left" w:pos="709"/>
        </w:tabs>
        <w:spacing w:after="0" w:line="276" w:lineRule="auto"/>
        <w:jc w:val="both"/>
        <w:rPr>
          <w:rFonts w:ascii="Verdana" w:eastAsia="Calibri" w:hAnsi="Verdana" w:cs="Arial"/>
          <w:color w:val="000000" w:themeColor="text1"/>
        </w:rPr>
      </w:pPr>
    </w:p>
    <w:p w14:paraId="4A9FEAB0" w14:textId="77777777" w:rsidR="00BB3D75" w:rsidRPr="00593A5F" w:rsidRDefault="00BB3D75" w:rsidP="00BB3D7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D411D">
        <w:rPr>
          <w:rFonts w:ascii="Verdana" w:eastAsia="Century Gothic" w:hAnsi="Verdana" w:cs="Century Gothic"/>
          <w:b/>
          <w:bCs/>
        </w:rPr>
        <w:t>Referencias normativas</w:t>
      </w:r>
      <w:r w:rsidRPr="00593A5F">
        <w:rPr>
          <w:rFonts w:ascii="Verdana" w:eastAsia="Century Gothic" w:hAnsi="Verdana" w:cs="Century Gothic"/>
          <w:b/>
          <w:bCs/>
        </w:rPr>
        <w:t>:</w:t>
      </w:r>
    </w:p>
    <w:p w14:paraId="73FB3B2D" w14:textId="77777777" w:rsidR="00BB3D75" w:rsidRPr="00593A5F" w:rsidRDefault="00BB3D75" w:rsidP="00BB3D7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B3D75" w:rsidRPr="002407CE" w14:paraId="77C31631" w14:textId="77777777" w:rsidTr="002D7B0F">
        <w:trPr>
          <w:trHeight w:val="870"/>
          <w:jc w:val="center"/>
        </w:trPr>
        <w:tc>
          <w:tcPr>
            <w:tcW w:w="8647" w:type="dxa"/>
          </w:tcPr>
          <w:p w14:paraId="081A1401" w14:textId="77777777" w:rsidR="00BB3D75" w:rsidRPr="00B954AE" w:rsidRDefault="00BB3D75" w:rsidP="002D7B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13, 16, 100, 150 y 355.</w:t>
            </w:r>
          </w:p>
          <w:p w14:paraId="6B7E17FE" w14:textId="77777777" w:rsidR="00BB3D75" w:rsidRPr="00B954AE" w:rsidRDefault="00BB3D75" w:rsidP="002D7B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80 de 1993, artículos 3, 4, 5, 6, 7, 8, 13, 14, 20, </w:t>
            </w:r>
            <w:r w:rsidRPr="00B954AE">
              <w:rPr>
                <w:rFonts w:ascii="Verdana" w:hAnsi="Verdana" w:cs="Arial"/>
              </w:rPr>
              <w:t>23, 24, 26</w:t>
            </w:r>
            <w:r>
              <w:rPr>
                <w:rFonts w:ascii="Verdana" w:hAnsi="Verdana" w:cs="Arial"/>
              </w:rPr>
              <w:t>, 32, 40, 44, 50 y 60.</w:t>
            </w:r>
          </w:p>
          <w:p w14:paraId="5F6B5CDD" w14:textId="77777777" w:rsidR="00BB3D75" w:rsidRPr="00B954AE" w:rsidRDefault="00BB3D75" w:rsidP="002D7B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96.</w:t>
            </w:r>
          </w:p>
          <w:p w14:paraId="34D67236" w14:textId="77777777" w:rsidR="00BB3D75" w:rsidRPr="005447E6" w:rsidRDefault="00BB3D75" w:rsidP="002D7B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5, 7 y 13.</w:t>
            </w:r>
          </w:p>
          <w:p w14:paraId="21E858FC" w14:textId="77777777" w:rsidR="00BB3D75" w:rsidRDefault="00BB3D75" w:rsidP="002D7B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092 de 2017, artículos 2, 3, 5, 6, 7, 8, 9 y 10. </w:t>
            </w:r>
          </w:p>
          <w:p w14:paraId="69AA8D71" w14:textId="77777777" w:rsidR="00BB3D75" w:rsidRPr="00B954AE" w:rsidRDefault="00BB3D75" w:rsidP="002D7B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artículos </w:t>
            </w:r>
            <w:r w:rsidRPr="00362505">
              <w:rPr>
                <w:rFonts w:ascii="Verdana" w:hAnsi="Verdana" w:cs="Arial"/>
              </w:rPr>
              <w:t>2.2.1.1.1.6.1</w:t>
            </w:r>
            <w:r>
              <w:rPr>
                <w:rFonts w:ascii="Verdana" w:hAnsi="Verdana" w:cs="Arial"/>
              </w:rPr>
              <w:t xml:space="preserve">, </w:t>
            </w:r>
            <w:r w:rsidRPr="00362505">
              <w:rPr>
                <w:rFonts w:ascii="Verdana" w:hAnsi="Verdana" w:cs="Arial"/>
              </w:rPr>
              <w:t>2.2.1.1.2.1.1</w:t>
            </w:r>
            <w:r>
              <w:rPr>
                <w:rFonts w:ascii="Verdana" w:hAnsi="Verdana" w:cs="Arial"/>
              </w:rPr>
              <w:t xml:space="preserve">, </w:t>
            </w:r>
            <w:r w:rsidRPr="00362505">
              <w:rPr>
                <w:rFonts w:ascii="Verdana" w:hAnsi="Verdana" w:cs="Arial"/>
              </w:rPr>
              <w:t>2.2.1.2.3.1.1 a 2.2.1.2.3.1.19</w:t>
            </w:r>
            <w:r>
              <w:rPr>
                <w:rFonts w:ascii="Verdana" w:hAnsi="Verdana" w:cs="Arial"/>
              </w:rPr>
              <w:t xml:space="preserve"> y </w:t>
            </w:r>
            <w:r w:rsidRPr="00434AEE">
              <w:rPr>
                <w:rFonts w:ascii="Verdana" w:hAnsi="Verdana" w:cs="Arial"/>
              </w:rPr>
              <w:t>2.2.1.2.4.1.3</w:t>
            </w:r>
            <w:r>
              <w:rPr>
                <w:rFonts w:ascii="Verdana" w:hAnsi="Verdana" w:cs="Arial"/>
              </w:rPr>
              <w:t>.</w:t>
            </w:r>
          </w:p>
          <w:p w14:paraId="4F011658" w14:textId="77777777" w:rsidR="00BB3D75" w:rsidRPr="00DA543F" w:rsidRDefault="00BB3D75" w:rsidP="002D7B0F">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lastRenderedPageBreak/>
              <w:t>Código Civil, artículos 1495, 1497, 1499, 1501 y 1502.</w:t>
            </w:r>
            <w:r w:rsidRPr="002407CE">
              <w:rPr>
                <w:rFonts w:ascii="Verdana" w:hAnsi="Verdana" w:cs="Arial"/>
              </w:rPr>
              <w:t xml:space="preserve">  </w:t>
            </w:r>
          </w:p>
        </w:tc>
      </w:tr>
    </w:tbl>
    <w:p w14:paraId="1237490B" w14:textId="77777777" w:rsidR="00BB3D75" w:rsidRPr="002407CE" w:rsidRDefault="00BB3D75" w:rsidP="00BB3D75">
      <w:pPr>
        <w:widowControl w:val="0"/>
        <w:autoSpaceDE w:val="0"/>
        <w:autoSpaceDN w:val="0"/>
        <w:spacing w:after="0" w:line="276" w:lineRule="auto"/>
        <w:jc w:val="both"/>
        <w:rPr>
          <w:rFonts w:ascii="Verdana" w:hAnsi="Verdana" w:cs="Arial"/>
        </w:rPr>
      </w:pPr>
    </w:p>
    <w:p w14:paraId="6DF9EC68" w14:textId="77777777" w:rsidR="00BB3D75" w:rsidRPr="00593A5F" w:rsidRDefault="00BB3D75" w:rsidP="00BB3D7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7EF4193" w14:textId="77777777" w:rsidR="00BB3D75" w:rsidRPr="00593A5F" w:rsidRDefault="00BB3D75" w:rsidP="00BB3D75">
      <w:pPr>
        <w:widowControl w:val="0"/>
        <w:autoSpaceDE w:val="0"/>
        <w:autoSpaceDN w:val="0"/>
        <w:spacing w:after="0" w:line="276" w:lineRule="auto"/>
        <w:jc w:val="both"/>
        <w:rPr>
          <w:rFonts w:ascii="Verdana" w:hAnsi="Verdana" w:cs="Arial"/>
        </w:rPr>
      </w:pPr>
    </w:p>
    <w:p w14:paraId="20B37E8B" w14:textId="77777777" w:rsidR="00BB3D75" w:rsidRPr="00ED0098" w:rsidRDefault="00BB3D75" w:rsidP="00BB3D75">
      <w:pPr>
        <w:widowControl w:val="0"/>
        <w:autoSpaceDE w:val="0"/>
        <w:autoSpaceDN w:val="0"/>
        <w:spacing w:after="0" w:line="276" w:lineRule="auto"/>
        <w:jc w:val="both"/>
        <w:rPr>
          <w:rStyle w:val="normaltextrun"/>
          <w:rFonts w:ascii="Verdana" w:hAnsi="Verdana" w:cs="Arial"/>
          <w:shd w:val="clear" w:color="auto" w:fill="FFFFFF"/>
        </w:rPr>
      </w:pPr>
      <w:r w:rsidRPr="003775F4">
        <w:rPr>
          <w:rFonts w:ascii="Verdana" w:eastAsia="Calibri" w:hAnsi="Verdana" w:cs="Arial"/>
          <w:shd w:val="clear" w:color="auto" w:fill="FFFFFF"/>
        </w:rPr>
        <w:t>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C-937 del 9 de diciembre de 2024</w:t>
      </w:r>
      <w:r>
        <w:rPr>
          <w:rFonts w:ascii="Verdana" w:eastAsia="Calibri" w:hAnsi="Verdana" w:cs="Arial"/>
          <w:shd w:val="clear" w:color="auto" w:fill="FFFFFF"/>
        </w:rPr>
        <w:t>,</w:t>
      </w:r>
      <w:r w:rsidRPr="003775F4">
        <w:rPr>
          <w:rFonts w:ascii="Verdana" w:eastAsia="Calibri" w:hAnsi="Verdana" w:cs="Arial"/>
          <w:shd w:val="clear" w:color="auto" w:fill="FFFFFF"/>
        </w:rPr>
        <w:t xml:space="preserve"> C-957 del 17 de diciembre de 2024</w:t>
      </w:r>
      <w:r>
        <w:rPr>
          <w:rFonts w:ascii="Verdana" w:eastAsia="Calibri" w:hAnsi="Verdana" w:cs="Arial"/>
          <w:shd w:val="clear" w:color="auto" w:fill="FFFFFF"/>
        </w:rPr>
        <w:t>, C-967 del 1˚ de agosto de 2025 y C-1273 del 25 de septiembre de 2025</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10A61AE" w14:textId="77777777" w:rsidR="00BB3D75" w:rsidRPr="00096788" w:rsidRDefault="00BB3D75" w:rsidP="00BB3D75">
      <w:pPr>
        <w:widowControl w:val="0"/>
        <w:autoSpaceDE w:val="0"/>
        <w:autoSpaceDN w:val="0"/>
        <w:spacing w:after="0" w:line="276" w:lineRule="auto"/>
        <w:jc w:val="both"/>
        <w:rPr>
          <w:rFonts w:ascii="Verdana" w:hAnsi="Verdana" w:cs="Arial"/>
          <w:color w:val="000000" w:themeColor="text1"/>
          <w:shd w:val="clear" w:color="auto" w:fill="FFFFFF"/>
        </w:rPr>
      </w:pPr>
    </w:p>
    <w:p w14:paraId="2652191E" w14:textId="77777777" w:rsidR="00BB3D75" w:rsidRPr="00E440FD" w:rsidRDefault="00BB3D75" w:rsidP="00BB3D75">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w:t>
      </w:r>
      <w:r w:rsidRPr="00032009">
        <w:rPr>
          <w:rFonts w:ascii="Verdana" w:hAnsi="Verdana"/>
          <w:color w:val="000000"/>
        </w:rPr>
        <w:lastRenderedPageBreak/>
        <w:t xml:space="preserve">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369A639F" w14:textId="77777777" w:rsidR="00BB3D75" w:rsidRPr="009C4035" w:rsidRDefault="00BB3D75" w:rsidP="00BB3D75">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5BECAECA" w14:textId="77777777" w:rsidR="00BB3D75" w:rsidRPr="00593A5F" w:rsidRDefault="00BB3D75" w:rsidP="00BB3D7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1FA6808" w14:textId="77777777" w:rsidR="00BB3D75" w:rsidRPr="00593A5F" w:rsidRDefault="00BB3D75" w:rsidP="00BB3D75">
      <w:pPr>
        <w:widowControl w:val="0"/>
        <w:autoSpaceDE w:val="0"/>
        <w:autoSpaceDN w:val="0"/>
        <w:spacing w:after="0" w:line="276" w:lineRule="auto"/>
        <w:jc w:val="both"/>
        <w:rPr>
          <w:rFonts w:ascii="Verdana" w:hAnsi="Verdana" w:cs="Arial"/>
        </w:rPr>
      </w:pPr>
    </w:p>
    <w:p w14:paraId="1E75BCEC" w14:textId="77777777" w:rsidR="00BB3D75" w:rsidRPr="00593A5F" w:rsidRDefault="00BB3D75" w:rsidP="00BB3D7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5DD5E30" w14:textId="18F26972" w:rsidR="00BB3D75" w:rsidRPr="00593A5F" w:rsidRDefault="00611CAD" w:rsidP="00BB3D75">
      <w:pPr>
        <w:spacing w:line="276" w:lineRule="auto"/>
        <w:jc w:val="center"/>
        <w:rPr>
          <w:rFonts w:ascii="Verdana" w:hAnsi="Verdana" w:cs="Arial"/>
          <w:color w:val="000000"/>
          <w:lang w:val="es-ES_tradnl" w:eastAsia="es-CO"/>
        </w:rPr>
      </w:pPr>
      <w:r>
        <w:rPr>
          <w:noProof/>
        </w:rPr>
        <w:drawing>
          <wp:inline distT="0" distB="0" distL="0" distR="0" wp14:anchorId="26C40A97" wp14:editId="49D703F8">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B3D75" w:rsidRPr="00593A5F" w14:paraId="42791195" w14:textId="77777777" w:rsidTr="002D7B0F">
        <w:trPr>
          <w:trHeight w:val="315"/>
        </w:trPr>
        <w:tc>
          <w:tcPr>
            <w:tcW w:w="893" w:type="dxa"/>
            <w:vAlign w:val="center"/>
            <w:hideMark/>
          </w:tcPr>
          <w:p w14:paraId="3873109C" w14:textId="77777777" w:rsidR="00BB3D75" w:rsidRPr="003751C7" w:rsidRDefault="00BB3D75" w:rsidP="002D7B0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150FADA" w14:textId="77777777" w:rsidR="00BB3D75" w:rsidRPr="00254A7A" w:rsidRDefault="00BB3D75" w:rsidP="002D7B0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AB4504B" w14:textId="77777777" w:rsidR="00BB3D75" w:rsidRPr="00254A7A" w:rsidRDefault="00BB3D75" w:rsidP="002D7B0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BB3D75" w:rsidRPr="00593A5F" w14:paraId="33659ED5" w14:textId="77777777" w:rsidTr="002D7B0F">
        <w:trPr>
          <w:trHeight w:val="330"/>
        </w:trPr>
        <w:tc>
          <w:tcPr>
            <w:tcW w:w="893" w:type="dxa"/>
            <w:vAlign w:val="center"/>
            <w:hideMark/>
          </w:tcPr>
          <w:p w14:paraId="39A44DC8" w14:textId="77777777" w:rsidR="00BB3D75" w:rsidRPr="003751C7" w:rsidRDefault="00BB3D75" w:rsidP="002D7B0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48C486" w14:textId="77777777" w:rsidR="00BB3D75" w:rsidRPr="0033383A" w:rsidRDefault="00BB3D75" w:rsidP="002D7B0F">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14:paraId="55A844D6" w14:textId="77777777" w:rsidR="00BB3D75" w:rsidRPr="00254A7A" w:rsidRDefault="00BB3D75" w:rsidP="002D7B0F">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00BB3D75" w:rsidRPr="00593A5F" w14:paraId="6C5820A6" w14:textId="77777777" w:rsidTr="002D7B0F">
        <w:trPr>
          <w:trHeight w:val="300"/>
        </w:trPr>
        <w:tc>
          <w:tcPr>
            <w:tcW w:w="893" w:type="dxa"/>
            <w:vAlign w:val="center"/>
          </w:tcPr>
          <w:p w14:paraId="5C8B2A18" w14:textId="77777777" w:rsidR="00BB3D75" w:rsidRPr="003751C7" w:rsidRDefault="00BB3D75" w:rsidP="002D7B0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DAB6F4" w14:textId="77777777" w:rsidR="00BB3D75" w:rsidRPr="00731523" w:rsidRDefault="00BB3D75" w:rsidP="002D7B0F">
            <w:pPr>
              <w:contextualSpacing/>
              <w:rPr>
                <w:rFonts w:ascii="Verdana" w:eastAsia="Calibri" w:hAnsi="Verdana" w:cs="Arial"/>
                <w:sz w:val="16"/>
                <w:szCs w:val="16"/>
                <w:lang w:val="es-ES" w:eastAsia="es-ES"/>
              </w:rPr>
            </w:pPr>
            <w:r w:rsidRPr="02AAFC02">
              <w:rPr>
                <w:rFonts w:ascii="Verdana" w:eastAsia="Calibri" w:hAnsi="Verdana" w:cs="Arial"/>
                <w:sz w:val="16"/>
                <w:szCs w:val="16"/>
                <w:lang w:val="es-ES" w:eastAsia="es-ES"/>
              </w:rPr>
              <w:t xml:space="preserve">Carolina Quintero </w:t>
            </w:r>
            <w:proofErr w:type="spellStart"/>
            <w:r w:rsidRPr="02AAFC02">
              <w:rPr>
                <w:rFonts w:ascii="Verdana" w:eastAsia="Calibri" w:hAnsi="Verdana" w:cs="Arial"/>
                <w:sz w:val="16"/>
                <w:szCs w:val="16"/>
                <w:lang w:val="es-ES" w:eastAsia="es-ES"/>
              </w:rPr>
              <w:t>Gacharná</w:t>
            </w:r>
            <w:proofErr w:type="spellEnd"/>
          </w:p>
          <w:p w14:paraId="1EA99F7C" w14:textId="77777777" w:rsidR="00BB3D75" w:rsidRPr="003751C7" w:rsidRDefault="00BB3D75" w:rsidP="002D7B0F">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0BE980E3" w14:textId="77777777" w:rsidR="00BB3D75" w:rsidRPr="00543BFE" w:rsidRDefault="00BB3D75" w:rsidP="00BB3D75"/>
    <w:p w14:paraId="0F293BF4" w14:textId="1E96D896" w:rsidR="00127233" w:rsidRPr="003A38E0" w:rsidRDefault="00127233" w:rsidP="003A38E0"/>
    <w:sectPr w:rsidR="00127233" w:rsidRPr="003A38E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61967" w14:textId="77777777" w:rsidR="000E6E99" w:rsidRDefault="000E6E99" w:rsidP="004A1847">
      <w:pPr>
        <w:spacing w:after="0" w:line="240" w:lineRule="auto"/>
      </w:pPr>
      <w:r>
        <w:separator/>
      </w:r>
    </w:p>
  </w:endnote>
  <w:endnote w:type="continuationSeparator" w:id="0">
    <w:p w14:paraId="168F679B" w14:textId="77777777" w:rsidR="000E6E99" w:rsidRDefault="000E6E99" w:rsidP="004A1847">
      <w:pPr>
        <w:spacing w:after="0" w:line="240" w:lineRule="auto"/>
      </w:pPr>
      <w:r>
        <w:continuationSeparator/>
      </w:r>
    </w:p>
  </w:endnote>
  <w:endnote w:type="continuationNotice" w:id="1">
    <w:p w14:paraId="3CFD1230" w14:textId="77777777" w:rsidR="000E6E99" w:rsidRDefault="000E6E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49110D"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49110D">
      <w:rPr>
        <w:rFonts w:ascii="Century Gothic" w:eastAsia="Geo" w:hAnsi="Century Gothic" w:cs="Geo"/>
        <w:b/>
        <w:color w:val="000000" w:themeColor="text1"/>
        <w:sz w:val="16"/>
        <w:szCs w:val="16"/>
        <w:lang w:val="pt-BR" w:eastAsia="es-CO"/>
      </w:rPr>
      <w:t xml:space="preserve">Código: </w:t>
    </w:r>
    <w:r w:rsidRPr="0049110D">
      <w:rPr>
        <w:rFonts w:ascii="Century Gothic" w:eastAsia="Geo" w:hAnsi="Century Gothic" w:cs="Geo"/>
        <w:color w:val="000000" w:themeColor="text1"/>
        <w:sz w:val="16"/>
        <w:szCs w:val="16"/>
        <w:lang w:val="pt-BR" w:eastAsia="es-CO"/>
      </w:rPr>
      <w:t xml:space="preserve">CCE-REC-FM-17 </w:t>
    </w:r>
    <w:r w:rsidRPr="0049110D">
      <w:rPr>
        <w:rFonts w:ascii="Century Gothic" w:eastAsia="Geo" w:hAnsi="Century Gothic" w:cs="Geo"/>
        <w:b/>
        <w:color w:val="000000" w:themeColor="text1"/>
        <w:sz w:val="16"/>
        <w:szCs w:val="16"/>
        <w:lang w:val="pt-BR" w:eastAsia="es-CO"/>
      </w:rPr>
      <w:t>V</w:t>
    </w:r>
    <w:r w:rsidRPr="0049110D">
      <w:rPr>
        <w:rFonts w:ascii="Century Gothic" w:eastAsia="Arial Nova" w:hAnsi="Century Gothic" w:cs="Arial Nova"/>
        <w:b/>
        <w:color w:val="000000" w:themeColor="text1"/>
        <w:sz w:val="16"/>
        <w:szCs w:val="16"/>
        <w:lang w:val="pt-BR" w:eastAsia="es-CO"/>
      </w:rPr>
      <w:t xml:space="preserve">: </w:t>
    </w:r>
    <w:r w:rsidRPr="0049110D">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8373C" w14:textId="77777777" w:rsidR="000E6E99" w:rsidRDefault="000E6E99" w:rsidP="004A1847">
      <w:pPr>
        <w:spacing w:after="0" w:line="240" w:lineRule="auto"/>
      </w:pPr>
      <w:r>
        <w:separator/>
      </w:r>
    </w:p>
  </w:footnote>
  <w:footnote w:type="continuationSeparator" w:id="0">
    <w:p w14:paraId="1B377730" w14:textId="77777777" w:rsidR="000E6E99" w:rsidRDefault="000E6E99" w:rsidP="004A1847">
      <w:pPr>
        <w:spacing w:after="0" w:line="240" w:lineRule="auto"/>
      </w:pPr>
      <w:r>
        <w:continuationSeparator/>
      </w:r>
    </w:p>
  </w:footnote>
  <w:footnote w:type="continuationNotice" w:id="1">
    <w:p w14:paraId="02388833" w14:textId="77777777" w:rsidR="000E6E99" w:rsidRDefault="000E6E99">
      <w:pPr>
        <w:spacing w:after="0" w:line="240" w:lineRule="auto"/>
      </w:pPr>
    </w:p>
  </w:footnote>
  <w:footnote w:id="2">
    <w:p w14:paraId="11C5DF28"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cs="Arial"/>
          <w:sz w:val="16"/>
          <w:szCs w:val="16"/>
        </w:rPr>
        <w:footnoteRef/>
      </w:r>
      <w:r w:rsidRPr="00C3531F">
        <w:rPr>
          <w:rFonts w:ascii="Verdana" w:hAnsi="Verdana" w:cs="Arial"/>
          <w:sz w:val="16"/>
          <w:szCs w:val="16"/>
        </w:rPr>
        <w:t xml:space="preserve"> Sobre esta norma, consultar los conceptos del 8 de octubre de 2019, con radicado No. 2201913000007532, y del 20 de diciembre de 2019, con radicado No. 4201913000008240.</w:t>
      </w:r>
    </w:p>
  </w:footnote>
  <w:footnote w:id="3">
    <w:p w14:paraId="6F0EBBAC"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sz w:val="16"/>
          <w:szCs w:val="16"/>
        </w:rPr>
        <w:footnoteRef/>
      </w:r>
      <w:r w:rsidRPr="00C3531F">
        <w:rPr>
          <w:rFonts w:ascii="Verdana" w:hAnsi="Verdana"/>
          <w:sz w:val="16"/>
          <w:szCs w:val="16"/>
        </w:rPr>
        <w:t xml:space="preserve"> </w:t>
      </w:r>
      <w:r w:rsidRPr="00C3531F">
        <w:rPr>
          <w:rFonts w:ascii="Verdana" w:hAnsi="Verdana" w:cs="Arial"/>
          <w:sz w:val="16"/>
          <w:szCs w:val="16"/>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2342B3E4" w14:textId="77777777" w:rsidR="00BB3D75" w:rsidRPr="00C3531F" w:rsidRDefault="00BB3D75" w:rsidP="00BB3D75">
      <w:pPr>
        <w:pStyle w:val="Textonotapie"/>
        <w:ind w:firstLine="708"/>
        <w:jc w:val="both"/>
        <w:rPr>
          <w:rFonts w:ascii="Verdana" w:hAnsi="Verdana" w:cs="Arial"/>
          <w:sz w:val="16"/>
          <w:szCs w:val="16"/>
        </w:rPr>
      </w:pPr>
      <w:r w:rsidRPr="00C3531F">
        <w:rPr>
          <w:rFonts w:ascii="Verdana" w:hAnsi="Verdana" w:cs="Arial"/>
          <w:sz w:val="16"/>
          <w:szCs w:val="16"/>
        </w:rPr>
        <w:t xml:space="preserve">Los convenios de asociación a que se refiere el presente artículo </w:t>
      </w:r>
      <w:bookmarkStart w:id="3" w:name="_Hlk36023315"/>
      <w:r w:rsidRPr="00C3531F">
        <w:rPr>
          <w:rFonts w:ascii="Verdana" w:hAnsi="Verdana" w:cs="Arial"/>
          <w:sz w:val="16"/>
          <w:szCs w:val="16"/>
        </w:rPr>
        <w:t>se celebrarán de conformidad con lo dispuesto en el artículo 355 de la Constitución Política</w:t>
      </w:r>
      <w:bookmarkEnd w:id="3"/>
      <w:r w:rsidRPr="00C3531F">
        <w:rPr>
          <w:rFonts w:ascii="Verdana" w:hAnsi="Verdana" w:cs="Arial"/>
          <w:sz w:val="16"/>
          <w:szCs w:val="16"/>
        </w:rPr>
        <w:t>, en ellos se determinará con precisión su objeto, término, obligaciones de las partes, aportes, coordinación y todos aquellos aspectos que se consideren pertinentes”.</w:t>
      </w:r>
    </w:p>
  </w:footnote>
  <w:footnote w:id="4">
    <w:p w14:paraId="50FBF5CA"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cs="Arial"/>
          <w:sz w:val="16"/>
          <w:szCs w:val="16"/>
        </w:rPr>
        <w:footnoteRef/>
      </w:r>
      <w:r w:rsidRPr="00C3531F">
        <w:rPr>
          <w:rFonts w:ascii="Verdana" w:hAnsi="Verdana" w:cs="Arial"/>
          <w:sz w:val="16"/>
          <w:szCs w:val="16"/>
        </w:rPr>
        <w:t xml:space="preserve"> Concepto del 3 de septiembre de 2019, con radicado No. 2201913000006512.</w:t>
      </w:r>
    </w:p>
  </w:footnote>
  <w:footnote w:id="5">
    <w:p w14:paraId="6D11168E"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cs="Arial"/>
          <w:sz w:val="16"/>
          <w:szCs w:val="16"/>
        </w:rPr>
        <w:footnoteRef/>
      </w:r>
      <w:r w:rsidRPr="00C3531F">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6">
    <w:p w14:paraId="439B2D10" w14:textId="77777777" w:rsidR="00BB3D75" w:rsidRPr="00C3531F" w:rsidRDefault="00BB3D75" w:rsidP="00BB3D75">
      <w:pPr>
        <w:pStyle w:val="Textonotapie"/>
        <w:ind w:firstLine="708"/>
        <w:jc w:val="both"/>
        <w:rPr>
          <w:rFonts w:ascii="Verdana" w:hAnsi="Verdana" w:cs="Arial"/>
          <w:color w:val="000000" w:themeColor="text1"/>
          <w:sz w:val="16"/>
          <w:szCs w:val="16"/>
        </w:rPr>
      </w:pPr>
      <w:r w:rsidRPr="00C3531F">
        <w:rPr>
          <w:rStyle w:val="Refdenotaalpie"/>
          <w:rFonts w:ascii="Verdana" w:hAnsi="Verdana" w:cs="Arial"/>
          <w:color w:val="000000" w:themeColor="text1"/>
          <w:sz w:val="16"/>
          <w:szCs w:val="16"/>
        </w:rPr>
        <w:footnoteRef/>
      </w:r>
      <w:r w:rsidRPr="00C3531F">
        <w:rPr>
          <w:rFonts w:ascii="Verdana" w:hAnsi="Verdana" w:cs="Arial"/>
          <w:color w:val="000000" w:themeColor="text1"/>
          <w:sz w:val="16"/>
          <w:szCs w:val="16"/>
        </w:rPr>
        <w:t xml:space="preserve"> Cfr. Concepto del 21 de agosto de 2019, dictado dentro del radicado No. 2201913000006047.</w:t>
      </w:r>
    </w:p>
  </w:footnote>
  <w:footnote w:id="7">
    <w:p w14:paraId="331C92CF" w14:textId="77777777" w:rsidR="00BB3D75" w:rsidRPr="00C3531F" w:rsidRDefault="00BB3D75" w:rsidP="00BB3D75">
      <w:pPr>
        <w:pStyle w:val="Textonotapie"/>
        <w:ind w:firstLine="708"/>
        <w:jc w:val="both"/>
        <w:rPr>
          <w:rFonts w:ascii="Verdana" w:hAnsi="Verdana" w:cs="Arial"/>
          <w:color w:val="000000" w:themeColor="text1"/>
          <w:sz w:val="16"/>
          <w:szCs w:val="16"/>
          <w:lang w:val="es-ES"/>
        </w:rPr>
      </w:pPr>
      <w:r w:rsidRPr="00C3531F">
        <w:rPr>
          <w:rStyle w:val="Refdenotaalpie"/>
          <w:rFonts w:ascii="Verdana" w:hAnsi="Verdana" w:cs="Arial"/>
          <w:color w:val="000000" w:themeColor="text1"/>
          <w:sz w:val="16"/>
          <w:szCs w:val="16"/>
        </w:rPr>
        <w:footnoteRef/>
      </w:r>
      <w:r w:rsidRPr="00C3531F">
        <w:rPr>
          <w:rFonts w:ascii="Verdana" w:hAnsi="Verdana" w:cs="Arial"/>
          <w:color w:val="000000" w:themeColor="text1"/>
          <w:sz w:val="16"/>
          <w:szCs w:val="16"/>
        </w:rPr>
        <w:t xml:space="preserve"> Concepto del 24 de febrero de 2005, con radicado No. 1626, C.P. Dra. Gloria Duque Hernández</w:t>
      </w:r>
    </w:p>
  </w:footnote>
  <w:footnote w:id="8">
    <w:p w14:paraId="6A38DA6D" w14:textId="77777777" w:rsidR="00BB3D75" w:rsidRPr="00C3531F" w:rsidRDefault="00BB3D75" w:rsidP="00BB3D75">
      <w:pPr>
        <w:pStyle w:val="Textonotapie"/>
        <w:ind w:firstLine="708"/>
        <w:jc w:val="both"/>
        <w:rPr>
          <w:rFonts w:ascii="Verdana" w:hAnsi="Verdana" w:cs="Arial"/>
          <w:color w:val="000000" w:themeColor="text1"/>
          <w:sz w:val="16"/>
          <w:szCs w:val="16"/>
        </w:rPr>
      </w:pPr>
      <w:r w:rsidRPr="00C3531F">
        <w:rPr>
          <w:rStyle w:val="Refdenotaalpie"/>
          <w:rFonts w:ascii="Verdana" w:hAnsi="Verdana" w:cs="Arial"/>
          <w:color w:val="000000" w:themeColor="text1"/>
          <w:sz w:val="16"/>
          <w:szCs w:val="16"/>
        </w:rPr>
        <w:footnoteRef/>
      </w:r>
      <w:r w:rsidRPr="00C3531F">
        <w:rPr>
          <w:rFonts w:ascii="Verdana" w:hAnsi="Verdana" w:cs="Arial"/>
          <w:color w:val="000000" w:themeColor="text1"/>
          <w:sz w:val="16"/>
          <w:szCs w:val="16"/>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9">
    <w:p w14:paraId="22206F86"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sz w:val="16"/>
          <w:szCs w:val="16"/>
        </w:rPr>
        <w:footnoteRef/>
      </w:r>
      <w:r w:rsidRPr="00C3531F">
        <w:rPr>
          <w:rFonts w:ascii="Verdana" w:hAnsi="Verdana"/>
          <w:sz w:val="16"/>
          <w:szCs w:val="16"/>
        </w:rPr>
        <w:t xml:space="preserve"> </w:t>
      </w:r>
      <w:r w:rsidRPr="00C3531F">
        <w:rPr>
          <w:rFonts w:ascii="Verdana" w:hAnsi="Verdana" w:cs="Arial"/>
          <w:sz w:val="16"/>
          <w:szCs w:val="16"/>
        </w:rPr>
        <w:t>Al respecto, el artículo 1501 del Código Civil prescribe lo siguiente: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footnote>
  <w:footnote w:id="10">
    <w:p w14:paraId="51633F0C"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cs="Arial"/>
          <w:sz w:val="16"/>
          <w:szCs w:val="16"/>
        </w:rPr>
        <w:footnoteRef/>
      </w:r>
      <w:r w:rsidRPr="00C3531F">
        <w:rPr>
          <w:rFonts w:ascii="Verdana" w:hAnsi="Verdana" w:cs="Arial"/>
          <w:sz w:val="16"/>
          <w:szCs w:val="16"/>
        </w:rPr>
        <w:t xml:space="preserve"> COMADIRA, Julio Rodolfo. La licitación pública como procedimiento administrativo especial: protección jurídica al oferente. En: El procedimiento administrativo y el control judicial de la administración pública. Madrid: Instituto Nacional de Administración Pública, 2001. pp. 305-307.</w:t>
      </w:r>
    </w:p>
  </w:footnote>
  <w:footnote w:id="11">
    <w:p w14:paraId="67768141"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cs="Arial"/>
          <w:sz w:val="16"/>
          <w:szCs w:val="16"/>
        </w:rPr>
        <w:footnoteRef/>
      </w:r>
      <w:r w:rsidRPr="00C3531F">
        <w:rPr>
          <w:rFonts w:ascii="Verdana" w:hAnsi="Verdana" w:cs="Arial"/>
          <w:sz w:val="16"/>
          <w:szCs w:val="16"/>
        </w:rPr>
        <w:t xml:space="preserve"> Cfr. DROMI, Roberto. La licitación pública. Buenos Aires: Ciudad Argentina, 1980. p. 134. Para ESCOBAR GIL, “La finalidad del principio es doble: en primer término, asegura a los asociados la igualdad de oportunidades promoviendo la participación del mayor número de oferentes, y en segundo lugar, facilitar la selección de quien presente la propuesta más favorable en beneficio del interés público […].</w:t>
      </w:r>
    </w:p>
    <w:p w14:paraId="484988E8" w14:textId="77777777" w:rsidR="00BB3D75" w:rsidRPr="00C3531F" w:rsidRDefault="00BB3D75" w:rsidP="00BB3D75">
      <w:pPr>
        <w:pStyle w:val="Textonotapie"/>
        <w:ind w:firstLine="708"/>
        <w:jc w:val="both"/>
        <w:rPr>
          <w:rFonts w:ascii="Verdana" w:hAnsi="Verdana" w:cs="Arial"/>
          <w:sz w:val="16"/>
          <w:szCs w:val="16"/>
        </w:rPr>
      </w:pPr>
      <w:r w:rsidRPr="00C3531F">
        <w:rPr>
          <w:rFonts w:ascii="Verdana" w:hAnsi="Verdana" w:cs="Arial"/>
          <w:sz w:val="16"/>
          <w:szCs w:val="16"/>
        </w:rPr>
        <w:t>[…]</w:t>
      </w:r>
    </w:p>
    <w:p w14:paraId="48161482" w14:textId="77777777" w:rsidR="00BB3D75" w:rsidRPr="00C3531F" w:rsidRDefault="00BB3D75" w:rsidP="00BB3D75">
      <w:pPr>
        <w:pStyle w:val="Textonotapie"/>
        <w:ind w:firstLine="708"/>
        <w:jc w:val="both"/>
        <w:rPr>
          <w:rFonts w:ascii="Verdana" w:hAnsi="Verdana" w:cs="Arial"/>
          <w:sz w:val="16"/>
          <w:szCs w:val="16"/>
        </w:rPr>
      </w:pPr>
      <w:r w:rsidRPr="00C3531F">
        <w:rPr>
          <w:rFonts w:ascii="Verdana" w:hAnsi="Verdana" w:cs="Arial"/>
          <w:sz w:val="16"/>
          <w:szCs w:val="16"/>
        </w:rPr>
        <w:t xml:space="preserve">Así mismo, repugna al principio de libertad de concurrencia, la fijación por parte de la Administración Pública de obstáculos y trabas a la participación de los proponentes […]” (Cfr. ESCOBAR GIL, Rodrigo. Teoría general de los contratos de la Administración Pública. Bogotá: Legis, 2000. pp. 154-155).   </w:t>
      </w:r>
    </w:p>
  </w:footnote>
  <w:footnote w:id="12">
    <w:p w14:paraId="121D8C1B"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cs="Arial"/>
          <w:sz w:val="16"/>
          <w:szCs w:val="16"/>
        </w:rPr>
        <w:footnoteRef/>
      </w:r>
      <w:r w:rsidRPr="00C3531F">
        <w:rPr>
          <w:rFonts w:ascii="Verdana" w:hAnsi="Verdana" w:cs="Arial"/>
          <w:sz w:val="16"/>
          <w:szCs w:val="16"/>
        </w:rPr>
        <w:t xml:space="preserve"> Cfr. RAZQUIN LIZARRAGA, Martín María. Los principios generales de la contratación pública. En: Tratado de los contratos del sector público. Tomo I. Valencia: Tirant lo Blanch, 2018. p. 194 y 210.</w:t>
      </w:r>
    </w:p>
  </w:footnote>
  <w:footnote w:id="13">
    <w:p w14:paraId="1294A939"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cs="Arial"/>
          <w:sz w:val="16"/>
          <w:szCs w:val="16"/>
        </w:rPr>
        <w:footnoteRef/>
      </w:r>
      <w:r w:rsidRPr="00C3531F">
        <w:rPr>
          <w:rFonts w:ascii="Verdana" w:hAnsi="Verdana" w:cs="Arial"/>
          <w:sz w:val="16"/>
          <w:szCs w:val="16"/>
        </w:rPr>
        <w:t xml:space="preserve"> Respecto a los factores de evaluación, PALACIO HINCAPIÉ considera que “No puede incluirse como factor de escogencia el hecho de que el proponente resida en el domicilio de la entidad contratante, pues ello viola la igualdad de los oferentes; […] tampoco ser nacional o pertenecer a la industria nacional, pues no hay esa protección […]” (PALACIO HINCAPIÉ, Juan Ángel. La contratación de las entidades estatales. Octava edición. Medellín: Librería Jurídica Sánchez R. SAS, 2020. pp. 251-252). Por su parte, GONZÁLEZ LÓPEZ estima que “[…] sería violatorio del principio de igualdad el establecer criterios de ponderación superiores respecto de su origen local y departamental” (GONZÁLEZ LÓPEZ, Edgar. El pliego de condiciones en la contratación estatal: la reforma consagrada en la Ley 1150 de 2007 y sus decretos reglamentarios. Bogotá: Universidad Externado de Colombia, 2012. p. 120).</w:t>
      </w:r>
    </w:p>
    <w:p w14:paraId="6C2CB922" w14:textId="77777777" w:rsidR="00BB3D75" w:rsidRPr="00C3531F" w:rsidRDefault="00BB3D75" w:rsidP="00BB3D75">
      <w:pPr>
        <w:pStyle w:val="Textonotapie"/>
        <w:ind w:firstLine="708"/>
        <w:jc w:val="both"/>
        <w:rPr>
          <w:rFonts w:ascii="Verdana" w:hAnsi="Verdana" w:cs="Arial"/>
          <w:sz w:val="16"/>
          <w:szCs w:val="16"/>
        </w:rPr>
      </w:pPr>
      <w:r w:rsidRPr="00C3531F">
        <w:rPr>
          <w:rFonts w:ascii="Verdana" w:hAnsi="Verdana" w:cs="Arial"/>
          <w:sz w:val="16"/>
          <w:szCs w:val="16"/>
        </w:rPr>
        <w:t>Por ello, el Concepto 2201913000006511 del 3 de septiembre de 2019 menciona los siguiente: “[…] si la jurisprudencia proscribió fijar este criterio como factor de evaluación, con más razón se debe prohibir como requisito habilitante, porque ellos verifican la aptitud del proponente para presentarse a un proceso de contratación y esta exigencia no determina la aptitud del proponente para ejecutar el contrato. En este sentido, las entidades estatales no deben establecer como requisito habilitante la exigencia que el proponente resida en el lugar donde se ejecutará el contrato”.</w:t>
      </w:r>
    </w:p>
  </w:footnote>
  <w:footnote w:id="14">
    <w:p w14:paraId="0AC74DDB"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cs="Arial"/>
          <w:sz w:val="16"/>
          <w:szCs w:val="16"/>
        </w:rPr>
        <w:footnoteRef/>
      </w:r>
      <w:r w:rsidRPr="00C3531F">
        <w:rPr>
          <w:rFonts w:ascii="Verdana" w:hAnsi="Verdana" w:cs="Arial"/>
          <w:sz w:val="16"/>
          <w:szCs w:val="16"/>
        </w:rPr>
        <w:t xml:space="preserve"> Excepcionalmente, algunas normas acotan ámbitos territoriales para la ejecución negocio jurídico. Por ejemplo, el inciso primero del artículo 95 de la Ley 2166 del 2021 dispone que “Se autoriza a los entes territoriales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 Esta norma debe concordarse con el artículo 9 </w:t>
      </w:r>
      <w:r w:rsidRPr="00C3531F">
        <w:rPr>
          <w:rFonts w:ascii="Verdana" w:hAnsi="Verdana" w:cs="Arial"/>
          <w:i/>
          <w:iCs/>
          <w:sz w:val="16"/>
          <w:szCs w:val="16"/>
        </w:rPr>
        <w:t>ibidem</w:t>
      </w:r>
      <w:r w:rsidRPr="00C3531F">
        <w:rPr>
          <w:rFonts w:ascii="Verdana" w:hAnsi="Verdana" w:cs="Arial"/>
          <w:sz w:val="16"/>
          <w:szCs w:val="16"/>
        </w:rPr>
        <w:t>, el cual dispone lo siguiente: “</w:t>
      </w:r>
      <w:r w:rsidRPr="00C3531F">
        <w:rPr>
          <w:rFonts w:ascii="Verdana" w:hAnsi="Verdana" w:cs="Arial"/>
          <w:i/>
          <w:iCs/>
          <w:sz w:val="16"/>
          <w:szCs w:val="16"/>
        </w:rPr>
        <w:t>Cada organismo de acción comunal desarrollará sus actividades dentro de un territorio delimitado</w:t>
      </w:r>
      <w:r w:rsidRPr="00C3531F">
        <w:rPr>
          <w:rFonts w:ascii="Verdana" w:hAnsi="Verdana" w:cs="Arial"/>
          <w:sz w:val="16"/>
          <w:szCs w:val="16"/>
        </w:rPr>
        <w:t xml:space="preserve"> […]” (Énfasis fuera de texto).</w:t>
      </w:r>
    </w:p>
    <w:p w14:paraId="1B0291D1" w14:textId="77777777" w:rsidR="00BB3D75" w:rsidRPr="00C3531F" w:rsidRDefault="00BB3D75" w:rsidP="00BB3D75">
      <w:pPr>
        <w:pStyle w:val="Textonotapie"/>
        <w:ind w:firstLine="708"/>
        <w:jc w:val="both"/>
        <w:rPr>
          <w:rFonts w:ascii="Verdana" w:hAnsi="Verdana" w:cs="Arial"/>
          <w:sz w:val="16"/>
          <w:szCs w:val="16"/>
        </w:rPr>
      </w:pPr>
      <w:r w:rsidRPr="00C3531F">
        <w:rPr>
          <w:rFonts w:ascii="Verdana" w:hAnsi="Verdana" w:cs="Arial"/>
          <w:sz w:val="16"/>
          <w:szCs w:val="16"/>
        </w:rPr>
        <w:t xml:space="preserve">Asimismo, de acuerdo con el artículo 101.1 de la Ley 2294 de 2023, a través de las Asociaciones de Iniciativa Público Popular “[…] se podrá desarrollar el diseño, construcción, renovación, reparación, mejoramiento, equipamiento, gestión, operación y mantenimiento de proyectos de infraestructura y demás actividades técnicas necesarias </w:t>
      </w:r>
      <w:r w:rsidRPr="00C3531F">
        <w:rPr>
          <w:rFonts w:ascii="Verdana" w:hAnsi="Verdana" w:cs="Arial"/>
          <w:i/>
          <w:iCs/>
          <w:sz w:val="16"/>
          <w:szCs w:val="16"/>
        </w:rPr>
        <w:t>para el cumplimiento del contrato en el respectivo territorio de la respectiva comunidad</w:t>
      </w:r>
      <w:r w:rsidRPr="00C3531F">
        <w:rPr>
          <w:rFonts w:ascii="Verdana" w:hAnsi="Verdana" w:cs="Arial"/>
          <w:sz w:val="16"/>
          <w:szCs w:val="16"/>
        </w:rPr>
        <w:t>” (Énfasis fuera de texto).</w:t>
      </w:r>
    </w:p>
  </w:footnote>
  <w:footnote w:id="15">
    <w:p w14:paraId="4CA0CECD" w14:textId="77777777" w:rsidR="00BB3D75" w:rsidRPr="00C3531F" w:rsidRDefault="00BB3D75" w:rsidP="00BB3D75">
      <w:pPr>
        <w:pStyle w:val="Textonotapie"/>
        <w:ind w:firstLine="708"/>
        <w:jc w:val="both"/>
        <w:rPr>
          <w:rFonts w:ascii="Verdana" w:hAnsi="Verdana" w:cs="Arial"/>
          <w:color w:val="000000" w:themeColor="text1"/>
          <w:sz w:val="16"/>
          <w:szCs w:val="16"/>
        </w:rPr>
      </w:pPr>
      <w:r w:rsidRPr="00C3531F">
        <w:rPr>
          <w:rStyle w:val="Refdenotaalpie"/>
          <w:rFonts w:ascii="Verdana" w:hAnsi="Verdana" w:cs="Arial"/>
          <w:color w:val="000000" w:themeColor="text1"/>
          <w:sz w:val="16"/>
          <w:szCs w:val="16"/>
        </w:rPr>
        <w:footnoteRef/>
      </w:r>
      <w:r w:rsidRPr="00C3531F">
        <w:rPr>
          <w:rFonts w:ascii="Verdana" w:hAnsi="Verdana" w:cs="Arial"/>
          <w:color w:val="000000" w:themeColor="text1"/>
          <w:sz w:val="16"/>
          <w:szCs w:val="16"/>
        </w:rPr>
        <w:t xml:space="preserve"> Esta norma prescribe que “Para que una persona se obligue a otra por un acto o declaración de voluntad, es necesario:</w:t>
      </w:r>
    </w:p>
    <w:p w14:paraId="502A5A13" w14:textId="77777777" w:rsidR="00BB3D75" w:rsidRPr="00C3531F" w:rsidRDefault="00BB3D75" w:rsidP="00BB3D75">
      <w:pPr>
        <w:pStyle w:val="Textonotapie"/>
        <w:ind w:firstLine="708"/>
        <w:jc w:val="both"/>
        <w:rPr>
          <w:rFonts w:ascii="Verdana" w:hAnsi="Verdana" w:cs="Arial"/>
          <w:color w:val="000000" w:themeColor="text1"/>
          <w:sz w:val="16"/>
          <w:szCs w:val="16"/>
        </w:rPr>
      </w:pPr>
      <w:r w:rsidRPr="00C3531F">
        <w:rPr>
          <w:rFonts w:ascii="Verdana" w:hAnsi="Verdana" w:cs="Arial"/>
          <w:color w:val="000000" w:themeColor="text1"/>
          <w:sz w:val="16"/>
          <w:szCs w:val="16"/>
        </w:rPr>
        <w:t>1o.) que sea legalmente capaz;</w:t>
      </w:r>
    </w:p>
    <w:p w14:paraId="03CE6F4F" w14:textId="77777777" w:rsidR="00BB3D75" w:rsidRPr="00C3531F" w:rsidRDefault="00BB3D75" w:rsidP="00BB3D75">
      <w:pPr>
        <w:pStyle w:val="Textonotapie"/>
        <w:ind w:firstLine="708"/>
        <w:jc w:val="both"/>
        <w:rPr>
          <w:rFonts w:ascii="Verdana" w:hAnsi="Verdana" w:cs="Arial"/>
          <w:color w:val="000000" w:themeColor="text1"/>
          <w:sz w:val="16"/>
          <w:szCs w:val="16"/>
        </w:rPr>
      </w:pPr>
      <w:r w:rsidRPr="00C3531F">
        <w:rPr>
          <w:rFonts w:ascii="Verdana" w:hAnsi="Verdana" w:cs="Arial"/>
          <w:color w:val="000000" w:themeColor="text1"/>
          <w:sz w:val="16"/>
          <w:szCs w:val="16"/>
        </w:rPr>
        <w:t>2o.) que consienta en dicho acto o declaración y su consentimiento no adolezca de vicio;</w:t>
      </w:r>
    </w:p>
    <w:p w14:paraId="2190EC76" w14:textId="77777777" w:rsidR="00BB3D75" w:rsidRPr="00C3531F" w:rsidRDefault="00BB3D75" w:rsidP="00BB3D75">
      <w:pPr>
        <w:pStyle w:val="Textonotapie"/>
        <w:ind w:firstLine="708"/>
        <w:jc w:val="both"/>
        <w:rPr>
          <w:rFonts w:ascii="Verdana" w:hAnsi="Verdana" w:cs="Arial"/>
          <w:color w:val="000000" w:themeColor="text1"/>
          <w:sz w:val="16"/>
          <w:szCs w:val="16"/>
        </w:rPr>
      </w:pPr>
      <w:r w:rsidRPr="00C3531F">
        <w:rPr>
          <w:rFonts w:ascii="Verdana" w:hAnsi="Verdana" w:cs="Arial"/>
          <w:color w:val="000000" w:themeColor="text1"/>
          <w:sz w:val="16"/>
          <w:szCs w:val="16"/>
        </w:rPr>
        <w:t>3o.) que recaiga sobre un objeto lícito;</w:t>
      </w:r>
    </w:p>
    <w:p w14:paraId="4FCC3EA3" w14:textId="77777777" w:rsidR="00BB3D75" w:rsidRPr="00C3531F" w:rsidRDefault="00BB3D75" w:rsidP="00BB3D75">
      <w:pPr>
        <w:pStyle w:val="Textonotapie"/>
        <w:ind w:firstLine="708"/>
        <w:jc w:val="both"/>
        <w:rPr>
          <w:rFonts w:ascii="Verdana" w:hAnsi="Verdana" w:cs="Arial"/>
          <w:color w:val="000000" w:themeColor="text1"/>
          <w:sz w:val="16"/>
          <w:szCs w:val="16"/>
        </w:rPr>
      </w:pPr>
      <w:r w:rsidRPr="00C3531F">
        <w:rPr>
          <w:rFonts w:ascii="Verdana" w:hAnsi="Verdana" w:cs="Arial"/>
          <w:color w:val="000000" w:themeColor="text1"/>
          <w:sz w:val="16"/>
          <w:szCs w:val="16"/>
        </w:rPr>
        <w:t>4o.) que tenga una causa lícita.</w:t>
      </w:r>
    </w:p>
    <w:p w14:paraId="698BCFE6" w14:textId="77777777" w:rsidR="00BB3D75" w:rsidRPr="00C3531F" w:rsidRDefault="00BB3D75" w:rsidP="00BB3D75">
      <w:pPr>
        <w:pStyle w:val="Textonotapie"/>
        <w:ind w:firstLine="708"/>
        <w:jc w:val="both"/>
        <w:rPr>
          <w:rFonts w:ascii="Verdana" w:hAnsi="Verdana" w:cs="Arial"/>
          <w:color w:val="000000" w:themeColor="text1"/>
          <w:sz w:val="16"/>
          <w:szCs w:val="16"/>
        </w:rPr>
      </w:pPr>
      <w:r w:rsidRPr="00C3531F">
        <w:rPr>
          <w:rFonts w:ascii="Verdana" w:hAnsi="Verdana" w:cs="Arial"/>
          <w:color w:val="000000" w:themeColor="text1"/>
          <w:sz w:val="16"/>
          <w:szCs w:val="16"/>
        </w:rPr>
        <w:t>La capacidad legal de una persona consiste en poderse obligar por sí misma, y sin el ministerio o la autorización de otra”.</w:t>
      </w:r>
    </w:p>
  </w:footnote>
  <w:footnote w:id="16">
    <w:p w14:paraId="33B39ED8" w14:textId="77777777" w:rsidR="00BB3D75" w:rsidRPr="00C3531F" w:rsidRDefault="00BB3D75" w:rsidP="00BB3D75">
      <w:pPr>
        <w:pStyle w:val="Textonotapie"/>
        <w:ind w:firstLine="708"/>
        <w:jc w:val="both"/>
        <w:rPr>
          <w:rFonts w:ascii="Verdana" w:hAnsi="Verdana" w:cs="Arial"/>
          <w:sz w:val="16"/>
          <w:szCs w:val="16"/>
        </w:rPr>
      </w:pPr>
      <w:r w:rsidRPr="00C3531F">
        <w:rPr>
          <w:rStyle w:val="Refdenotaalpie"/>
          <w:rFonts w:ascii="Verdana" w:hAnsi="Verdana" w:cs="Arial"/>
          <w:sz w:val="16"/>
          <w:szCs w:val="16"/>
        </w:rPr>
        <w:footnoteRef/>
      </w:r>
      <w:r w:rsidRPr="00C3531F">
        <w:rPr>
          <w:rFonts w:ascii="Verdana" w:hAnsi="Verdana" w:cs="Arial"/>
          <w:sz w:val="16"/>
          <w:szCs w:val="16"/>
        </w:rPr>
        <w:t xml:space="preserve"> Para el Consejo de Estado “[…] la capacidad jurídica en la contratación estatal se integra no solamente por la capacidad de goce y la capacidad de ejercicio del proponente sino también por la ausencia de inhabilidades o incompatibilidades de su parte. En otros términos, en la actividad negocial de la administración tiene capacidad jurídica el proponente que existe, que tiene plena capacidad de ejercicio o de obrar y que no tiene inhabilidad o impedimento alguno para intervenir en el iter contractual” (CONSEJO DE ESTADO. Sección Tercera. Sentencia del 26 de enero de 2011. Rad. 36.408. C.P. Jaime Orlando Santofimio Gamboa).</w:t>
      </w:r>
    </w:p>
  </w:footnote>
  <w:footnote w:id="17">
    <w:p w14:paraId="0CE19AB7" w14:textId="77777777" w:rsidR="00BB3D75" w:rsidRPr="00C3531F" w:rsidRDefault="00BB3D75" w:rsidP="00BB3D75">
      <w:pPr>
        <w:pStyle w:val="Textonotapie"/>
        <w:ind w:firstLine="709"/>
        <w:jc w:val="both"/>
        <w:rPr>
          <w:rFonts w:ascii="Verdana" w:hAnsi="Verdana" w:cs="Arial"/>
          <w:color w:val="000000" w:themeColor="text1"/>
          <w:sz w:val="16"/>
          <w:szCs w:val="16"/>
          <w:lang w:val="es-ES"/>
        </w:rPr>
      </w:pPr>
      <w:r w:rsidRPr="00C3531F">
        <w:rPr>
          <w:rStyle w:val="Refdenotaalpie"/>
          <w:rFonts w:ascii="Verdana" w:hAnsi="Verdana" w:cs="Arial"/>
          <w:color w:val="000000" w:themeColor="text1"/>
          <w:sz w:val="16"/>
          <w:szCs w:val="16"/>
        </w:rPr>
        <w:footnoteRef/>
      </w:r>
      <w:r w:rsidRPr="00C3531F">
        <w:rPr>
          <w:rFonts w:ascii="Verdana" w:hAnsi="Verdana" w:cs="Arial"/>
          <w:color w:val="000000" w:themeColor="text1"/>
          <w:sz w:val="16"/>
          <w:szCs w:val="16"/>
        </w:rPr>
        <w:t xml:space="preserve"> </w:t>
      </w:r>
      <w:r w:rsidRPr="00C3531F">
        <w:rPr>
          <w:rFonts w:ascii="Verdana" w:hAnsi="Verdana" w:cs="Arial"/>
          <w:color w:val="000000" w:themeColor="text1"/>
          <w:sz w:val="16"/>
          <w:szCs w:val="16"/>
          <w:lang w:val="es-ES"/>
        </w:rPr>
        <w:t>El tenor del artículo 20 es el siguiente: “En los procesos de contratación estatal se concederá al proponente de bienes y servicios de origen extranjero, el mismo tratamiento y en las mismas condiciones, requisitos, procedimientos y criterios de adjudicación que el tratamiento concedido al nacional, exclusivamente bajo el principio de reciprocidad.</w:t>
      </w:r>
    </w:p>
    <w:p w14:paraId="45F91494" w14:textId="77777777" w:rsidR="00BB3D75" w:rsidRPr="00C3531F" w:rsidRDefault="00BB3D75" w:rsidP="00BB3D75">
      <w:pPr>
        <w:pStyle w:val="Textonotapie"/>
        <w:ind w:firstLine="709"/>
        <w:jc w:val="both"/>
        <w:rPr>
          <w:rFonts w:ascii="Verdana" w:hAnsi="Verdana" w:cs="Arial"/>
          <w:color w:val="000000" w:themeColor="text1"/>
          <w:sz w:val="16"/>
          <w:szCs w:val="16"/>
          <w:lang w:val="es-ES"/>
        </w:rPr>
      </w:pPr>
      <w:r w:rsidRPr="00C3531F">
        <w:rPr>
          <w:rFonts w:ascii="Verdana" w:hAnsi="Verdana" w:cs="Arial"/>
          <w:color w:val="000000" w:themeColor="text1"/>
          <w:sz w:val="16"/>
          <w:szCs w:val="16"/>
          <w:lang w:val="es-ES"/>
        </w:rPr>
        <w:t>Se entiende por principio de reciprocidad, el compromiso adquirido por otro país, mediante acuerdo, tratado o convenio celebrado con Colombia, en el sentido de que a las ofertas de bienes y servicios colombianos se les concederá en ese país el mismo tratamiento otorgado a sus nacionales en cuanto a las condiciones, requisitos, procedimientos y criterios para la adjudicación de los contratos celebrados con el sector público.</w:t>
      </w:r>
    </w:p>
    <w:p w14:paraId="7F975125" w14:textId="77777777" w:rsidR="00BB3D75" w:rsidRPr="00C3531F" w:rsidRDefault="00BB3D75" w:rsidP="00BB3D75">
      <w:pPr>
        <w:pStyle w:val="Textonotapie"/>
        <w:ind w:firstLine="709"/>
        <w:jc w:val="both"/>
        <w:rPr>
          <w:rFonts w:ascii="Verdana" w:hAnsi="Verdana" w:cs="Arial"/>
          <w:color w:val="000000" w:themeColor="text1"/>
          <w:sz w:val="16"/>
          <w:szCs w:val="16"/>
          <w:lang w:val="es-ES"/>
        </w:rPr>
      </w:pPr>
      <w:r w:rsidRPr="00C3531F">
        <w:rPr>
          <w:rFonts w:ascii="Verdana" w:hAnsi="Verdana" w:cs="Arial"/>
          <w:color w:val="000000" w:themeColor="text1"/>
          <w:sz w:val="16"/>
          <w:szCs w:val="16"/>
          <w:lang w:val="es-ES"/>
        </w:rPr>
        <w:t>PARÁGRAFO 1o. El Gobierno Nacional, en los acuerdos, tratados o convenios que celebre para estos efectos, deberá establecer todos los mecanismos necesarios para hacer cumplir el tratamiento igualitario entre el nacional y el extranjero tanto en Colombia como en el territorio del país con quien se celebre el mencionado acuerdo, convenio o tratado.</w:t>
      </w:r>
    </w:p>
    <w:p w14:paraId="6B110168" w14:textId="77777777" w:rsidR="00BB3D75" w:rsidRPr="00C3531F" w:rsidRDefault="00BB3D75" w:rsidP="00BB3D75">
      <w:pPr>
        <w:pStyle w:val="Textonotapie"/>
        <w:ind w:firstLine="709"/>
        <w:jc w:val="both"/>
        <w:rPr>
          <w:rFonts w:ascii="Verdana" w:hAnsi="Verdana" w:cs="Arial"/>
          <w:color w:val="000000" w:themeColor="text1"/>
          <w:sz w:val="16"/>
          <w:szCs w:val="16"/>
          <w:lang w:val="es-ES"/>
        </w:rPr>
      </w:pPr>
      <w:r w:rsidRPr="00C3531F">
        <w:rPr>
          <w:rFonts w:ascii="Verdana" w:hAnsi="Verdana" w:cs="Arial"/>
          <w:color w:val="000000" w:themeColor="text1"/>
          <w:sz w:val="16"/>
          <w:szCs w:val="16"/>
          <w:lang w:val="es-ES"/>
        </w:rPr>
        <w:t>PARÁGRAFO 2o. Cuando para los efectos previstos en este artículo no se hubiere celebrado acuerdo, tratado o convenio, los proponentes de bienes y servicios de origen extranjero podrán participar en los procesos de contratación en las mismas condiciones y con los mismos requisitos exigidos a los nacionales colombianos, siempre y cuando en sus respectivos países los proponentes de bienes y servicios de origen colombiano gocen de iguales oportunidades. El Gobierno Nacional establecerá los mecanismos para asegurar el cumplimiento de la reciprocidad prevista en este parágrafo”.</w:t>
      </w:r>
    </w:p>
  </w:footnote>
  <w:footnote w:id="18">
    <w:p w14:paraId="066FF47C" w14:textId="77777777" w:rsidR="00BB3D75" w:rsidRPr="00C3531F" w:rsidRDefault="00BB3D75" w:rsidP="00BB3D75">
      <w:pPr>
        <w:pStyle w:val="Textonotapie"/>
        <w:ind w:firstLine="709"/>
        <w:jc w:val="both"/>
        <w:rPr>
          <w:rFonts w:ascii="Verdana" w:hAnsi="Verdana" w:cs="Arial"/>
          <w:color w:val="000000" w:themeColor="text1"/>
          <w:sz w:val="16"/>
          <w:szCs w:val="16"/>
          <w:lang w:val="es-ES"/>
        </w:rPr>
      </w:pPr>
      <w:r w:rsidRPr="00C3531F">
        <w:rPr>
          <w:rStyle w:val="Refdenotaalpie"/>
          <w:rFonts w:ascii="Verdana" w:hAnsi="Verdana" w:cs="Arial"/>
          <w:color w:val="000000" w:themeColor="text1"/>
          <w:sz w:val="16"/>
          <w:szCs w:val="16"/>
        </w:rPr>
        <w:footnoteRef/>
      </w:r>
      <w:r w:rsidRPr="00C3531F">
        <w:rPr>
          <w:rFonts w:ascii="Verdana" w:hAnsi="Verdana" w:cs="Arial"/>
          <w:color w:val="000000" w:themeColor="text1"/>
          <w:sz w:val="16"/>
          <w:szCs w:val="16"/>
        </w:rPr>
        <w:t xml:space="preserve"> </w:t>
      </w:r>
      <w:r w:rsidRPr="00C3531F">
        <w:rPr>
          <w:rFonts w:ascii="Verdana" w:hAnsi="Verdana" w:cs="Arial"/>
          <w:color w:val="000000" w:themeColor="text1"/>
          <w:sz w:val="16"/>
          <w:szCs w:val="16"/>
          <w:lang w:val="es-ES"/>
        </w:rPr>
        <w:t>“Artículo 2.2.1.2.4.1.3. Existencia de trato nacional.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(c) a los servicios prestados por oferentes miembros de la Comunidad Andina de Naciones teniendo en cuenta la regulación andina aplicable a la materia.</w:t>
      </w:r>
    </w:p>
    <w:p w14:paraId="1002FCB6" w14:textId="77777777" w:rsidR="00BB3D75" w:rsidRPr="00C3531F" w:rsidRDefault="00BB3D75" w:rsidP="00BB3D75">
      <w:pPr>
        <w:pStyle w:val="Textonotapie"/>
        <w:ind w:firstLine="709"/>
        <w:jc w:val="both"/>
        <w:rPr>
          <w:rFonts w:ascii="Verdana" w:hAnsi="Verdana" w:cs="Arial"/>
          <w:color w:val="000000" w:themeColor="text1"/>
          <w:sz w:val="16"/>
          <w:szCs w:val="16"/>
          <w:lang w:val="es-ES"/>
        </w:rPr>
      </w:pPr>
      <w:r w:rsidRPr="00C3531F">
        <w:rPr>
          <w:rFonts w:ascii="Verdana" w:hAnsi="Verdana" w:cs="Arial"/>
          <w:color w:val="000000" w:themeColor="text1"/>
          <w:sz w:val="16"/>
          <w:szCs w:val="16"/>
          <w:lang w:val="es-ES"/>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5DA5866A" w14:textId="77777777" w:rsidR="00BB3D75" w:rsidRPr="00C3531F" w:rsidRDefault="00BB3D75" w:rsidP="00BB3D75">
      <w:pPr>
        <w:pStyle w:val="Textonotapie"/>
        <w:ind w:firstLine="709"/>
        <w:jc w:val="both"/>
        <w:rPr>
          <w:rFonts w:ascii="Verdana" w:hAnsi="Verdana" w:cs="Arial"/>
          <w:color w:val="000000" w:themeColor="text1"/>
          <w:sz w:val="16"/>
          <w:szCs w:val="16"/>
          <w:lang w:val="es-ES"/>
        </w:rPr>
      </w:pPr>
      <w:r w:rsidRPr="00C3531F">
        <w:rPr>
          <w:rFonts w:ascii="Verdana" w:hAnsi="Verdana" w:cs="Arial"/>
          <w:color w:val="000000" w:themeColor="text1"/>
          <w:sz w:val="16"/>
          <w:szCs w:val="16"/>
          <w:lang w:val="es-ES"/>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p>
  </w:footnote>
  <w:footnote w:id="19">
    <w:p w14:paraId="32228878" w14:textId="77777777" w:rsidR="00BB3D75" w:rsidRPr="00C3531F" w:rsidRDefault="00BB3D75" w:rsidP="00BB3D75">
      <w:pPr>
        <w:tabs>
          <w:tab w:val="left" w:pos="0"/>
        </w:tabs>
        <w:spacing w:after="0"/>
        <w:ind w:firstLine="709"/>
        <w:jc w:val="both"/>
        <w:rPr>
          <w:rFonts w:ascii="Verdana" w:eastAsia="Calibri" w:hAnsi="Verdana" w:cs="Arial"/>
          <w:bCs/>
          <w:color w:val="000000" w:themeColor="text1"/>
          <w:sz w:val="16"/>
          <w:szCs w:val="16"/>
          <w:lang w:val="es-ES_tradnl"/>
        </w:rPr>
      </w:pPr>
      <w:r w:rsidRPr="00C3531F">
        <w:rPr>
          <w:rStyle w:val="Refdenotaalpie"/>
          <w:rFonts w:ascii="Verdana" w:hAnsi="Verdana" w:cs="Arial"/>
          <w:color w:val="000000" w:themeColor="text1"/>
          <w:sz w:val="16"/>
          <w:szCs w:val="16"/>
        </w:rPr>
        <w:footnoteRef/>
      </w:r>
      <w:r w:rsidRPr="00C3531F">
        <w:rPr>
          <w:rFonts w:ascii="Verdana" w:hAnsi="Verdana" w:cs="Arial"/>
          <w:color w:val="000000" w:themeColor="text1"/>
          <w:sz w:val="16"/>
          <w:szCs w:val="16"/>
        </w:rPr>
        <w:t xml:space="preserve"> </w:t>
      </w:r>
      <w:r w:rsidRPr="00C3531F">
        <w:rPr>
          <w:rFonts w:ascii="Verdana" w:eastAsia="Calibri" w:hAnsi="Verdana" w:cs="Arial"/>
          <w:bCs/>
          <w:color w:val="000000" w:themeColor="text1"/>
          <w:sz w:val="16"/>
          <w:szCs w:val="16"/>
          <w:lang w:val="es-ES_tradnl"/>
        </w:rPr>
        <w:t>Como lo ha indicado la Corte Constitucional, “La cláusula del trato nacional es una clásica manifestación del principio de igualdad en las relaciones internacionales. Su objetivo apunta a que las mercancías que ingresan a un Estado Parte no sean sometidas a un trato discriminatorio en relación con los productos del país receptor. En otras palabras, se busca asegurar la existencia de unas reglas de competencia leal y transparente entre el producto importado y el nacional. La existencia de tales cláusulas-tipo en los tratados internacionales de integración o de inversión extranjera siempre ha sido considerada conforme con la Constitución por la Corte” (Sentencia C-608/10, M.P. Humberto Antonio Sierra Porto).</w:t>
      </w:r>
    </w:p>
  </w:footnote>
  <w:footnote w:id="20">
    <w:p w14:paraId="71DA3603" w14:textId="77777777" w:rsidR="00BB3D75" w:rsidRPr="00C3531F" w:rsidRDefault="00BB3D75" w:rsidP="00BB3D75">
      <w:pPr>
        <w:pStyle w:val="Textonotapie"/>
        <w:ind w:firstLine="709"/>
        <w:jc w:val="both"/>
        <w:rPr>
          <w:rFonts w:ascii="Verdana" w:hAnsi="Verdana" w:cs="Arial"/>
          <w:color w:val="000000" w:themeColor="text1"/>
          <w:sz w:val="16"/>
          <w:szCs w:val="16"/>
          <w:lang w:val="es-ES"/>
        </w:rPr>
      </w:pPr>
      <w:r w:rsidRPr="00C3531F">
        <w:rPr>
          <w:rStyle w:val="Refdenotaalpie"/>
          <w:rFonts w:ascii="Verdana" w:hAnsi="Verdana" w:cs="Arial"/>
          <w:color w:val="000000" w:themeColor="text1"/>
          <w:sz w:val="16"/>
          <w:szCs w:val="16"/>
        </w:rPr>
        <w:footnoteRef/>
      </w:r>
      <w:r w:rsidRPr="00C3531F">
        <w:rPr>
          <w:rFonts w:ascii="Verdana" w:hAnsi="Verdana" w:cs="Arial"/>
          <w:color w:val="000000" w:themeColor="text1"/>
          <w:sz w:val="16"/>
          <w:szCs w:val="16"/>
        </w:rPr>
        <w:t xml:space="preserve"> </w:t>
      </w:r>
      <w:r w:rsidRPr="00C3531F">
        <w:rPr>
          <w:rFonts w:ascii="Verdana" w:hAnsi="Verdana" w:cs="Arial"/>
          <w:color w:val="000000" w:themeColor="text1"/>
          <w:sz w:val="16"/>
          <w:szCs w:val="16"/>
          <w:lang w:val="es-ES"/>
        </w:rPr>
        <w:t>Aprobado mediante Ley 1241 de 2008.</w:t>
      </w:r>
    </w:p>
  </w:footnote>
  <w:footnote w:id="21">
    <w:p w14:paraId="5B5709CC" w14:textId="77777777" w:rsidR="00BB3D75" w:rsidRPr="00C3531F" w:rsidRDefault="00BB3D75" w:rsidP="00BB3D75">
      <w:pPr>
        <w:pStyle w:val="Textonotapie"/>
        <w:ind w:firstLine="709"/>
        <w:jc w:val="both"/>
        <w:rPr>
          <w:rFonts w:ascii="Verdana" w:hAnsi="Verdana" w:cs="Arial"/>
          <w:color w:val="000000" w:themeColor="text1"/>
          <w:sz w:val="16"/>
          <w:szCs w:val="16"/>
        </w:rPr>
      </w:pPr>
      <w:r w:rsidRPr="00C3531F">
        <w:rPr>
          <w:rStyle w:val="Refdenotaalpie"/>
          <w:rFonts w:ascii="Verdana" w:hAnsi="Verdana" w:cs="Arial"/>
          <w:color w:val="000000" w:themeColor="text1"/>
          <w:sz w:val="16"/>
          <w:szCs w:val="16"/>
        </w:rPr>
        <w:footnoteRef/>
      </w:r>
      <w:r w:rsidRPr="00C3531F">
        <w:rPr>
          <w:rFonts w:ascii="Verdana" w:hAnsi="Verdana" w:cs="Arial"/>
          <w:color w:val="000000" w:themeColor="text1"/>
          <w:sz w:val="16"/>
          <w:szCs w:val="16"/>
        </w:rPr>
        <w:t xml:space="preserve"> Aprobado por la Ley 1143 de 2007.</w:t>
      </w:r>
    </w:p>
  </w:footnote>
  <w:footnote w:id="22">
    <w:p w14:paraId="351FC8ED" w14:textId="77777777" w:rsidR="00BB3D75" w:rsidRPr="00C3531F" w:rsidRDefault="00BB3D75" w:rsidP="00BB3D75">
      <w:pPr>
        <w:pStyle w:val="Textonotapie"/>
        <w:ind w:firstLine="709"/>
        <w:jc w:val="both"/>
        <w:rPr>
          <w:rFonts w:ascii="Verdana" w:hAnsi="Verdana" w:cs="Arial"/>
          <w:color w:val="000000" w:themeColor="text1"/>
          <w:sz w:val="16"/>
          <w:szCs w:val="16"/>
          <w:lang w:val="es-ES"/>
        </w:rPr>
      </w:pPr>
      <w:r w:rsidRPr="00C3531F">
        <w:rPr>
          <w:rStyle w:val="Refdenotaalpie"/>
          <w:rFonts w:ascii="Verdana" w:hAnsi="Verdana" w:cs="Arial"/>
          <w:color w:val="000000" w:themeColor="text1"/>
          <w:sz w:val="16"/>
          <w:szCs w:val="16"/>
        </w:rPr>
        <w:footnoteRef/>
      </w:r>
      <w:r w:rsidRPr="00C3531F">
        <w:rPr>
          <w:rFonts w:ascii="Verdana" w:hAnsi="Verdana" w:cs="Arial"/>
          <w:color w:val="000000" w:themeColor="text1"/>
          <w:sz w:val="16"/>
          <w:szCs w:val="16"/>
        </w:rPr>
        <w:t xml:space="preserve"> </w:t>
      </w:r>
      <w:r w:rsidRPr="00C3531F">
        <w:rPr>
          <w:rFonts w:ascii="Verdana" w:hAnsi="Verdana" w:cs="Arial"/>
          <w:color w:val="000000" w:themeColor="text1"/>
          <w:sz w:val="16"/>
          <w:szCs w:val="16"/>
          <w:lang w:val="es-ES"/>
        </w:rPr>
        <w:t>Por ejemplo, la nota 2 del Anexo 9.1 del tratado de libre comercio entre Colombia y los Estados Unidos de Norteamérica dispone que, si bien el Ministerio de Defensa Nacional es una entidad cubierta, “No estarán cubiertas por este Capítulo las contrataciones de bienes contenidas en la Sección 2 (Alimentos, Bebidas y Tabaco; Textil y Confección y Productos de Cuero) del Clasificador Central de Productos (CPC versión 1.0) de las Naciones Unidas, para el Comando General de las Fuerzas Militares, el Ejército Nacional, la Armada Nacional, la Fuerza Aérea Colombiana, y la Policía Nacional”.</w:t>
      </w:r>
    </w:p>
    <w:p w14:paraId="1F6C0291" w14:textId="77777777" w:rsidR="00BB3D75" w:rsidRPr="00C3531F" w:rsidRDefault="00BB3D75" w:rsidP="00BB3D75">
      <w:pPr>
        <w:pStyle w:val="Textonotapie"/>
        <w:ind w:firstLine="709"/>
        <w:jc w:val="both"/>
        <w:rPr>
          <w:rFonts w:ascii="Verdana" w:hAnsi="Verdana" w:cs="Arial"/>
          <w:color w:val="000000" w:themeColor="text1"/>
          <w:sz w:val="16"/>
          <w:szCs w:val="16"/>
          <w:lang w:val="es-ES"/>
        </w:rPr>
      </w:pPr>
    </w:p>
  </w:footnote>
  <w:footnote w:id="23">
    <w:p w14:paraId="0DAB3FAF" w14:textId="77777777" w:rsidR="00BB3D75" w:rsidRPr="005C303C" w:rsidRDefault="00BB3D75" w:rsidP="00BB3D75">
      <w:pPr>
        <w:pStyle w:val="Textonotapie"/>
        <w:ind w:firstLine="708"/>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49110D">
        <w:rPr>
          <w:rFonts w:ascii="Verdana" w:hAnsi="Verdana" w:cs="Arial"/>
          <w:color w:val="000000" w:themeColor="text1"/>
          <w:sz w:val="16"/>
          <w:szCs w:val="16"/>
          <w:lang w:val="pt-BR"/>
        </w:rPr>
        <w:t xml:space="preserve"> CORTE CONSTITUCIONAL. Sentencia C-452 de 1999. </w:t>
      </w:r>
      <w:r w:rsidRPr="005C303C">
        <w:rPr>
          <w:rFonts w:ascii="Verdana" w:hAnsi="Verdana" w:cs="Arial"/>
          <w:color w:val="000000" w:themeColor="text1"/>
          <w:sz w:val="16"/>
          <w:szCs w:val="16"/>
        </w:rPr>
        <w:t xml:space="preserve">M.P. Eduardo Cifuentes Muñoz. </w:t>
      </w:r>
    </w:p>
  </w:footnote>
  <w:footnote w:id="24">
    <w:p w14:paraId="7DB6C93A" w14:textId="77777777" w:rsidR="00BB3D75" w:rsidRPr="005C303C" w:rsidRDefault="00BB3D75" w:rsidP="00BB3D75">
      <w:pPr>
        <w:pStyle w:val="Textonotapie"/>
        <w:ind w:firstLine="708"/>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DROMI, José Roberto. La licitación pública. Buenos Aires: Ciudad Argentina, 1980. pp. 288-289.</w:t>
      </w:r>
    </w:p>
  </w:footnote>
  <w:footnote w:id="25">
    <w:p w14:paraId="6852C029" w14:textId="77777777" w:rsidR="00BB3D75" w:rsidRPr="005C303C" w:rsidRDefault="00BB3D75" w:rsidP="00BB3D75">
      <w:pPr>
        <w:pStyle w:val="Textonotapie"/>
        <w:ind w:firstLine="708"/>
        <w:jc w:val="both"/>
        <w:rPr>
          <w:rFonts w:ascii="Verdana" w:hAnsi="Verdana" w:cs="Arial"/>
          <w:sz w:val="16"/>
          <w:szCs w:val="16"/>
        </w:rPr>
      </w:pPr>
      <w:r w:rsidRPr="005C303C">
        <w:rPr>
          <w:rStyle w:val="Refdenotaalpie"/>
          <w:rFonts w:ascii="Verdana" w:hAnsi="Verdana" w:cs="Arial"/>
          <w:sz w:val="16"/>
          <w:szCs w:val="16"/>
        </w:rPr>
        <w:footnoteRef/>
      </w:r>
      <w:r w:rsidRPr="005C303C">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26">
    <w:p w14:paraId="49A2DC1B" w14:textId="77777777" w:rsidR="00BB3D75" w:rsidRPr="005C303C" w:rsidRDefault="00BB3D75" w:rsidP="00BB3D75">
      <w:pPr>
        <w:pStyle w:val="Textonotapie"/>
        <w:ind w:firstLine="709"/>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27">
    <w:p w14:paraId="07E2D147" w14:textId="77777777" w:rsidR="00BB3D75" w:rsidRPr="005C303C" w:rsidRDefault="00BB3D75" w:rsidP="00BB3D75">
      <w:pPr>
        <w:pStyle w:val="Textonotapie"/>
        <w:ind w:firstLine="709"/>
        <w:jc w:val="both"/>
        <w:rPr>
          <w:rFonts w:ascii="Verdana" w:hAnsi="Verdana" w:cs="Arial"/>
          <w:color w:val="000000" w:themeColor="text1"/>
          <w:sz w:val="16"/>
          <w:szCs w:val="16"/>
          <w:lang w:val="es-ES"/>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5C303C">
        <w:rPr>
          <w:rFonts w:ascii="Verdana" w:hAnsi="Verdana" w:cs="Arial"/>
          <w:color w:val="000000" w:themeColor="text1"/>
          <w:sz w:val="16"/>
          <w:szCs w:val="16"/>
          <w:lang w:val="es-ES"/>
        </w:rPr>
        <w:t xml:space="preserve">Igualmente, el inciso primero del artículo 1071 </w:t>
      </w:r>
      <w:r w:rsidRPr="005C303C">
        <w:rPr>
          <w:rFonts w:ascii="Verdana" w:hAnsi="Verdana" w:cs="Arial"/>
          <w:i/>
          <w:iCs/>
          <w:color w:val="000000" w:themeColor="text1"/>
          <w:sz w:val="16"/>
          <w:szCs w:val="16"/>
          <w:lang w:val="es-ES"/>
        </w:rPr>
        <w:t>ibidem</w:t>
      </w:r>
      <w:r w:rsidRPr="005C303C">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28">
    <w:p w14:paraId="23833FA0" w14:textId="77777777" w:rsidR="00BB3D75" w:rsidRPr="005C303C" w:rsidRDefault="00BB3D75" w:rsidP="00BB3D75">
      <w:pPr>
        <w:pStyle w:val="Textonotapie"/>
        <w:ind w:firstLine="709"/>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29">
    <w:p w14:paraId="7D2CA4C1"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w:t>
      </w:r>
      <w:r w:rsidRPr="005C303C">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34B972D4"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49770C73"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77258505"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756D0A92"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733B89AF"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30">
    <w:p w14:paraId="4E1DE826"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w:t>
      </w:r>
      <w:r w:rsidRPr="005C303C">
        <w:rPr>
          <w:rFonts w:ascii="Verdana" w:hAnsi="Verdana" w:cs="Arial"/>
          <w:color w:val="000000" w:themeColor="text1"/>
          <w:sz w:val="16"/>
          <w:szCs w:val="16"/>
          <w:lang w:val="es-CO"/>
        </w:rPr>
        <w:t xml:space="preserve">“Artículo </w:t>
      </w:r>
      <w:bookmarkStart w:id="15" w:name="_Hlk67919994"/>
      <w:r w:rsidRPr="005C303C">
        <w:rPr>
          <w:rFonts w:ascii="Verdana" w:hAnsi="Verdana" w:cs="Arial"/>
          <w:color w:val="000000" w:themeColor="text1"/>
          <w:sz w:val="16"/>
          <w:szCs w:val="16"/>
          <w:lang w:val="es-CO"/>
        </w:rPr>
        <w:t>2.2.1.2.3.1.7</w:t>
      </w:r>
      <w:bookmarkEnd w:id="15"/>
      <w:r w:rsidRPr="005C303C">
        <w:rPr>
          <w:rFonts w:ascii="Verdana" w:hAnsi="Verdana" w:cs="Arial"/>
          <w:color w:val="000000" w:themeColor="text1"/>
          <w:sz w:val="16"/>
          <w:szCs w:val="16"/>
          <w:lang w:val="es-CO"/>
        </w:rPr>
        <w:t xml:space="preserve">. Garantía de cumplimiento. La garantía de cumplimiento del contrato debe cubrir: </w:t>
      </w:r>
    </w:p>
    <w:p w14:paraId="6C5FD118" w14:textId="77777777" w:rsidR="00BB3D75" w:rsidRPr="005C303C" w:rsidRDefault="00BB3D75" w:rsidP="00BB3D75">
      <w:pPr>
        <w:pStyle w:val="Textonotapie"/>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  </w:t>
      </w:r>
      <w:r w:rsidRPr="005C303C">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32E57703"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28137A25"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 Cumplimiento del contrato. Este amparo cubre a la Entidad Estatal de los perjuicios derivados de: </w:t>
      </w:r>
    </w:p>
    <w:p w14:paraId="0E419EEF" w14:textId="77777777" w:rsidR="00BB3D75" w:rsidRPr="005C303C" w:rsidRDefault="00BB3D75" w:rsidP="00BB3D75">
      <w:pPr>
        <w:pStyle w:val="Textonotapie"/>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  </w:t>
      </w:r>
      <w:r w:rsidRPr="005C303C">
        <w:rPr>
          <w:rFonts w:ascii="Verdana" w:hAnsi="Verdana" w:cs="Arial"/>
          <w:color w:val="000000" w:themeColor="text1"/>
          <w:sz w:val="16"/>
          <w:szCs w:val="16"/>
          <w:lang w:val="es-CO"/>
        </w:rPr>
        <w:tab/>
        <w:t xml:space="preserve">3.1. </w:t>
      </w:r>
      <w:bookmarkStart w:id="16" w:name="_Hlk67920056"/>
      <w:r w:rsidRPr="005C303C">
        <w:rPr>
          <w:rFonts w:ascii="Verdana" w:hAnsi="Verdana" w:cs="Arial"/>
          <w:color w:val="000000" w:themeColor="text1"/>
          <w:sz w:val="16"/>
          <w:szCs w:val="16"/>
          <w:lang w:val="es-CO"/>
        </w:rPr>
        <w:t xml:space="preserve">El incumplimiento total o parcial del contrato, cuando el incumplimiento es imputable al contratista; </w:t>
      </w:r>
    </w:p>
    <w:p w14:paraId="067AE0DD" w14:textId="77777777" w:rsidR="00BB3D75" w:rsidRPr="005C303C" w:rsidRDefault="00BB3D75" w:rsidP="00BB3D75">
      <w:pPr>
        <w:pStyle w:val="Textonotapie"/>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  </w:t>
      </w:r>
      <w:r w:rsidRPr="005C303C">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33112DF1"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16"/>
    <w:p w14:paraId="351C3E1C"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3.4. El pago del valor de las multas y de la cláusula penal pecuniaria. </w:t>
      </w:r>
    </w:p>
    <w:p w14:paraId="17877D8F"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43E89211"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4C387C14"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2DFCE64E"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5A1C0C69"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0114FC54"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8. </w:t>
      </w:r>
      <w:bookmarkStart w:id="17" w:name="_Hlk143267015"/>
      <w:r w:rsidRPr="005C303C">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17"/>
      <w:r w:rsidRPr="005C303C">
        <w:rPr>
          <w:rFonts w:ascii="Verdana" w:hAnsi="Verdana" w:cs="Arial"/>
          <w:color w:val="000000" w:themeColor="text1"/>
          <w:sz w:val="16"/>
          <w:szCs w:val="16"/>
          <w:lang w:val="es-CO"/>
        </w:rPr>
        <w:t>”.</w:t>
      </w:r>
    </w:p>
    <w:p w14:paraId="1D20D060" w14:textId="77777777" w:rsidR="00BB3D75" w:rsidRPr="005C303C" w:rsidRDefault="00BB3D75" w:rsidP="00BB3D75">
      <w:pPr>
        <w:pStyle w:val="Textonotapie"/>
        <w:ind w:firstLine="708"/>
        <w:jc w:val="both"/>
        <w:rPr>
          <w:rFonts w:ascii="Verdana" w:hAnsi="Verdana" w:cs="Arial"/>
          <w:color w:val="000000" w:themeColor="text1"/>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9"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11BD"/>
    <w:rsid w:val="000A683E"/>
    <w:rsid w:val="000B19B9"/>
    <w:rsid w:val="000D0334"/>
    <w:rsid w:val="000D5DA7"/>
    <w:rsid w:val="000E6E99"/>
    <w:rsid w:val="000F6486"/>
    <w:rsid w:val="000F7803"/>
    <w:rsid w:val="00102EFC"/>
    <w:rsid w:val="00116940"/>
    <w:rsid w:val="00125105"/>
    <w:rsid w:val="00127233"/>
    <w:rsid w:val="00137A20"/>
    <w:rsid w:val="0015699B"/>
    <w:rsid w:val="001A0ED8"/>
    <w:rsid w:val="001A33BF"/>
    <w:rsid w:val="001E4177"/>
    <w:rsid w:val="001F0B24"/>
    <w:rsid w:val="001F7DC6"/>
    <w:rsid w:val="00202732"/>
    <w:rsid w:val="00203940"/>
    <w:rsid w:val="0022400B"/>
    <w:rsid w:val="002421BB"/>
    <w:rsid w:val="00251574"/>
    <w:rsid w:val="0025796E"/>
    <w:rsid w:val="002707A2"/>
    <w:rsid w:val="002951A0"/>
    <w:rsid w:val="002962BC"/>
    <w:rsid w:val="002A093D"/>
    <w:rsid w:val="002A0DD0"/>
    <w:rsid w:val="002A3CE8"/>
    <w:rsid w:val="002A49AC"/>
    <w:rsid w:val="002A4BBE"/>
    <w:rsid w:val="002A64FD"/>
    <w:rsid w:val="002A6B1D"/>
    <w:rsid w:val="002B150D"/>
    <w:rsid w:val="002C6FC0"/>
    <w:rsid w:val="002C7A84"/>
    <w:rsid w:val="002E2BF8"/>
    <w:rsid w:val="002E4FD9"/>
    <w:rsid w:val="002F7E5F"/>
    <w:rsid w:val="0030657A"/>
    <w:rsid w:val="00322A85"/>
    <w:rsid w:val="00324168"/>
    <w:rsid w:val="00330834"/>
    <w:rsid w:val="003448F4"/>
    <w:rsid w:val="00356A04"/>
    <w:rsid w:val="00373EC4"/>
    <w:rsid w:val="00374F5E"/>
    <w:rsid w:val="00377E3E"/>
    <w:rsid w:val="00384C16"/>
    <w:rsid w:val="003A38E0"/>
    <w:rsid w:val="003A779E"/>
    <w:rsid w:val="003D0F4D"/>
    <w:rsid w:val="003D5B0D"/>
    <w:rsid w:val="003E0499"/>
    <w:rsid w:val="003E4F80"/>
    <w:rsid w:val="003E6439"/>
    <w:rsid w:val="003F3941"/>
    <w:rsid w:val="00406575"/>
    <w:rsid w:val="00414C74"/>
    <w:rsid w:val="0042722E"/>
    <w:rsid w:val="0044528D"/>
    <w:rsid w:val="00466E39"/>
    <w:rsid w:val="0049110D"/>
    <w:rsid w:val="004A1847"/>
    <w:rsid w:val="004A28A4"/>
    <w:rsid w:val="004A305D"/>
    <w:rsid w:val="004B4FC0"/>
    <w:rsid w:val="004E344E"/>
    <w:rsid w:val="004F21C4"/>
    <w:rsid w:val="004F685F"/>
    <w:rsid w:val="00541FEF"/>
    <w:rsid w:val="005566E8"/>
    <w:rsid w:val="00574867"/>
    <w:rsid w:val="005873C7"/>
    <w:rsid w:val="00591460"/>
    <w:rsid w:val="005A65E0"/>
    <w:rsid w:val="005C3777"/>
    <w:rsid w:val="005C5CDC"/>
    <w:rsid w:val="005D476C"/>
    <w:rsid w:val="005E50ED"/>
    <w:rsid w:val="00611CAD"/>
    <w:rsid w:val="006200BF"/>
    <w:rsid w:val="006219F8"/>
    <w:rsid w:val="006302F7"/>
    <w:rsid w:val="00646B9F"/>
    <w:rsid w:val="00650A90"/>
    <w:rsid w:val="00665D70"/>
    <w:rsid w:val="006900D9"/>
    <w:rsid w:val="00706C16"/>
    <w:rsid w:val="007340C3"/>
    <w:rsid w:val="0075235A"/>
    <w:rsid w:val="00756841"/>
    <w:rsid w:val="007600C3"/>
    <w:rsid w:val="007649AB"/>
    <w:rsid w:val="00771D0C"/>
    <w:rsid w:val="007833AC"/>
    <w:rsid w:val="007B268C"/>
    <w:rsid w:val="007B7171"/>
    <w:rsid w:val="007C0C0F"/>
    <w:rsid w:val="007C3DC2"/>
    <w:rsid w:val="007E5497"/>
    <w:rsid w:val="00806F5F"/>
    <w:rsid w:val="00820278"/>
    <w:rsid w:val="008258C9"/>
    <w:rsid w:val="00844AE9"/>
    <w:rsid w:val="00857445"/>
    <w:rsid w:val="00867F95"/>
    <w:rsid w:val="008843B6"/>
    <w:rsid w:val="00891928"/>
    <w:rsid w:val="008A1B2D"/>
    <w:rsid w:val="008A446D"/>
    <w:rsid w:val="008B25F1"/>
    <w:rsid w:val="008D180B"/>
    <w:rsid w:val="008F0EA7"/>
    <w:rsid w:val="0091117E"/>
    <w:rsid w:val="00923EEF"/>
    <w:rsid w:val="009366D0"/>
    <w:rsid w:val="009419F9"/>
    <w:rsid w:val="00941F8C"/>
    <w:rsid w:val="0095685E"/>
    <w:rsid w:val="00961B09"/>
    <w:rsid w:val="00965334"/>
    <w:rsid w:val="0097093E"/>
    <w:rsid w:val="009A0DFA"/>
    <w:rsid w:val="009A1C6F"/>
    <w:rsid w:val="009B2D26"/>
    <w:rsid w:val="009C71FA"/>
    <w:rsid w:val="009C72E7"/>
    <w:rsid w:val="009C7F7E"/>
    <w:rsid w:val="009D3058"/>
    <w:rsid w:val="009E0166"/>
    <w:rsid w:val="009F3A13"/>
    <w:rsid w:val="00A04770"/>
    <w:rsid w:val="00A122D3"/>
    <w:rsid w:val="00A14468"/>
    <w:rsid w:val="00A17F13"/>
    <w:rsid w:val="00A20739"/>
    <w:rsid w:val="00A23AF9"/>
    <w:rsid w:val="00A33C78"/>
    <w:rsid w:val="00A962A9"/>
    <w:rsid w:val="00AB0ADB"/>
    <w:rsid w:val="00AB25A1"/>
    <w:rsid w:val="00AC23B8"/>
    <w:rsid w:val="00AE0ACD"/>
    <w:rsid w:val="00AE1576"/>
    <w:rsid w:val="00AE2C37"/>
    <w:rsid w:val="00AE5E95"/>
    <w:rsid w:val="00AF3FC3"/>
    <w:rsid w:val="00AF6B29"/>
    <w:rsid w:val="00AF74F1"/>
    <w:rsid w:val="00B00C0E"/>
    <w:rsid w:val="00B01B1A"/>
    <w:rsid w:val="00B0381D"/>
    <w:rsid w:val="00B05BE9"/>
    <w:rsid w:val="00B44A47"/>
    <w:rsid w:val="00B72CD3"/>
    <w:rsid w:val="00B72FFF"/>
    <w:rsid w:val="00BA48DB"/>
    <w:rsid w:val="00BB3D75"/>
    <w:rsid w:val="00BB6DF1"/>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634A"/>
    <w:rsid w:val="00D361FD"/>
    <w:rsid w:val="00D423A2"/>
    <w:rsid w:val="00D44E26"/>
    <w:rsid w:val="00D520D8"/>
    <w:rsid w:val="00D63AC2"/>
    <w:rsid w:val="00D7383B"/>
    <w:rsid w:val="00D7788A"/>
    <w:rsid w:val="00DA231B"/>
    <w:rsid w:val="00DC1B75"/>
    <w:rsid w:val="00DC39FC"/>
    <w:rsid w:val="00DD6BCC"/>
    <w:rsid w:val="00DF5254"/>
    <w:rsid w:val="00E02524"/>
    <w:rsid w:val="00E16408"/>
    <w:rsid w:val="00E20894"/>
    <w:rsid w:val="00E245AB"/>
    <w:rsid w:val="00E2764C"/>
    <w:rsid w:val="00E27F2E"/>
    <w:rsid w:val="00E50AFE"/>
    <w:rsid w:val="00E63152"/>
    <w:rsid w:val="00E75C92"/>
    <w:rsid w:val="00E771DC"/>
    <w:rsid w:val="00E8772A"/>
    <w:rsid w:val="00E90F6B"/>
    <w:rsid w:val="00E92C27"/>
    <w:rsid w:val="00EA0E3D"/>
    <w:rsid w:val="00EC38A7"/>
    <w:rsid w:val="00EE1AA8"/>
    <w:rsid w:val="00F23FEA"/>
    <w:rsid w:val="00F25CC4"/>
    <w:rsid w:val="00F31EDC"/>
    <w:rsid w:val="00F37E20"/>
    <w:rsid w:val="00F462B3"/>
    <w:rsid w:val="00F5664F"/>
    <w:rsid w:val="00F666C4"/>
    <w:rsid w:val="00F7512F"/>
    <w:rsid w:val="00F76AFC"/>
    <w:rsid w:val="00F861F8"/>
    <w:rsid w:val="00FA47C0"/>
    <w:rsid w:val="00FB5DD1"/>
    <w:rsid w:val="00FC2B5D"/>
    <w:rsid w:val="00FF1449"/>
    <w:rsid w:val="00FF6B06"/>
    <w:rsid w:val="00FF7963"/>
    <w:rsid w:val="02AAFC02"/>
    <w:rsid w:val="09908A09"/>
    <w:rsid w:val="13CFC91B"/>
    <w:rsid w:val="19A2EC2C"/>
    <w:rsid w:val="2859CA1B"/>
    <w:rsid w:val="32A4F9CF"/>
    <w:rsid w:val="356CEDFD"/>
    <w:rsid w:val="614D3068"/>
    <w:rsid w:val="6832F227"/>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B3D7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B3D75"/>
    <w:rPr>
      <w:rFonts w:ascii="Geomanist Light" w:hAnsi="Geomanist Light"/>
      <w:lang w:val="es-ES"/>
    </w:rPr>
  </w:style>
  <w:style w:type="paragraph" w:styleId="Textoindependiente">
    <w:name w:val="Body Text"/>
    <w:basedOn w:val="Normal"/>
    <w:link w:val="TextoindependienteCar"/>
    <w:uiPriority w:val="99"/>
    <w:unhideWhenUsed/>
    <w:rsid w:val="00BB3D75"/>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BB3D75"/>
    <w:rPr>
      <w:rFonts w:eastAsiaTheme="minorEastAsia"/>
      <w:lang w:eastAsia="es-CO"/>
    </w:rPr>
  </w:style>
  <w:style w:type="character" w:customStyle="1" w:styleId="s15">
    <w:name w:val="s15"/>
    <w:basedOn w:val="Fuentedeprrafopredeter"/>
    <w:rsid w:val="00BB3D75"/>
  </w:style>
  <w:style w:type="character" w:customStyle="1" w:styleId="apple-converted-space">
    <w:name w:val="apple-converted-space"/>
    <w:basedOn w:val="Fuentedeprrafopredeter"/>
    <w:rsid w:val="00BB3D75"/>
  </w:style>
  <w:style w:type="paragraph" w:styleId="Sinespaciado">
    <w:name w:val="No Spacing"/>
    <w:aliases w:val="No Indent"/>
    <w:uiPriority w:val="3"/>
    <w:qFormat/>
    <w:rsid w:val="00BB3D75"/>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seolaya@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B172A21-7D18-47C2-8BA1-611671EEE43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31</Pages>
  <Words>10030</Words>
  <Characters>55169</Characters>
  <Application>Microsoft Office Word</Application>
  <DocSecurity>0</DocSecurity>
  <Lines>459</Lines>
  <Paragraphs>130</Paragraphs>
  <ScaleCrop>false</ScaleCrop>
  <Company/>
  <LinksUpToDate>false</LinksUpToDate>
  <CharactersWithSpaces>65069</CharactersWithSpaces>
  <SharedDoc>false</SharedDoc>
  <HLinks>
    <vt:vector size="18" baseType="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1114148</vt:i4>
      </vt:variant>
      <vt:variant>
        <vt:i4>0</vt:i4>
      </vt:variant>
      <vt:variant>
        <vt:i4>0</vt:i4>
      </vt:variant>
      <vt:variant>
        <vt:i4>5</vt:i4>
      </vt:variant>
      <vt:variant>
        <vt:lpwstr>mailto:juanseolaya@gmail.com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2025-11-13T03:31:00Z</dcterms:created>
  <dcterms:modified xsi:type="dcterms:W3CDTF">2025-11-14T14:47:00Z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