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D0F223" w14:textId="77777777" w:rsidR="00950D97" w:rsidRPr="00AF1555" w:rsidRDefault="00950D97" w:rsidP="00950D97">
      <w:pPr>
        <w:tabs>
          <w:tab w:val="left" w:pos="709"/>
        </w:tabs>
        <w:spacing w:after="0" w:line="240" w:lineRule="auto"/>
        <w:jc w:val="both"/>
        <w:rPr>
          <w:rFonts w:ascii="Verdana" w:eastAsia="Calibri" w:hAnsi="Verdana" w:cs="Arial"/>
          <w:bCs/>
          <w:sz w:val="20"/>
          <w:szCs w:val="20"/>
          <w:lang w:val="es-ES_tradnl" w:eastAsia="es-ES_tradnl"/>
        </w:rPr>
      </w:pPr>
    </w:p>
    <w:p w14:paraId="59E5F36B" w14:textId="77777777" w:rsidR="00950D97" w:rsidRPr="00AF1555" w:rsidRDefault="00950D97" w:rsidP="00950D97">
      <w:pPr>
        <w:spacing w:after="0" w:line="240" w:lineRule="auto"/>
        <w:jc w:val="both"/>
        <w:rPr>
          <w:rFonts w:ascii="Verdana" w:eastAsia="Calibri" w:hAnsi="Verdana" w:cs="Arial"/>
          <w:b/>
          <w:color w:val="000000" w:themeColor="text1"/>
          <w:lang w:val="es-ES"/>
        </w:rPr>
      </w:pPr>
      <w:r>
        <w:rPr>
          <w:rFonts w:ascii="Verdana" w:eastAsia="Calibri" w:hAnsi="Verdana" w:cs="Arial"/>
          <w:b/>
          <w:color w:val="000000" w:themeColor="text1"/>
          <w:lang w:val="es-ES"/>
        </w:rPr>
        <w:t>EGCAP</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Ámbito de aplicación</w:t>
      </w:r>
      <w:r w:rsidRPr="00E95799">
        <w:rPr>
          <w:rFonts w:ascii="Verdana" w:eastAsia="Calibri" w:hAnsi="Verdana" w:cs="Arial"/>
          <w:b/>
          <w:color w:val="000000" w:themeColor="text1"/>
          <w:lang w:val="es-ES"/>
        </w:rPr>
        <w:t xml:space="preserve"> – </w:t>
      </w:r>
      <w:r>
        <w:rPr>
          <w:rFonts w:ascii="Verdana" w:eastAsia="Calibri" w:hAnsi="Verdana" w:cs="Arial"/>
          <w:b/>
          <w:color w:val="000000" w:themeColor="text1"/>
          <w:lang w:val="es-ES"/>
        </w:rPr>
        <w:t>Entidades estatales</w:t>
      </w:r>
      <w:r w:rsidRPr="00AF1555">
        <w:rPr>
          <w:rFonts w:ascii="Verdana" w:eastAsia="Calibri" w:hAnsi="Verdana" w:cs="Arial"/>
          <w:b/>
          <w:color w:val="000000" w:themeColor="text1"/>
          <w:lang w:val="es-ES"/>
        </w:rPr>
        <w:t xml:space="preserve"> </w:t>
      </w:r>
    </w:p>
    <w:p w14:paraId="65B82D61" w14:textId="77777777" w:rsidR="00950D97" w:rsidRPr="00AF1555" w:rsidRDefault="00950D97" w:rsidP="00950D97">
      <w:pPr>
        <w:spacing w:after="0" w:line="240" w:lineRule="auto"/>
        <w:jc w:val="both"/>
        <w:rPr>
          <w:rFonts w:ascii="Verdana" w:eastAsia="Calibri" w:hAnsi="Verdana" w:cs="Arial"/>
          <w:bCs/>
          <w:color w:val="000000" w:themeColor="text1"/>
          <w:sz w:val="20"/>
          <w:szCs w:val="20"/>
          <w:lang w:val="es-ES"/>
        </w:rPr>
      </w:pPr>
    </w:p>
    <w:p w14:paraId="65B1D673" w14:textId="77777777" w:rsidR="00950D97" w:rsidRDefault="00950D97" w:rsidP="00950D97">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06328C">
        <w:rPr>
          <w:rFonts w:ascii="Verdana" w:eastAsia="Calibri" w:hAnsi="Verdana" w:cs="Arial"/>
          <w:bCs/>
          <w:i/>
          <w:iCs/>
          <w:color w:val="000000" w:themeColor="text1"/>
          <w:sz w:val="20"/>
          <w:szCs w:val="20"/>
          <w:lang w:val="es-ES" w:eastAsia="es-ES_tradnl"/>
        </w:rPr>
        <w:t>entidades estatales</w:t>
      </w:r>
      <w:r w:rsidRPr="0006328C">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06328C">
        <w:rPr>
          <w:rFonts w:ascii="Verdana" w:eastAsia="Calibri" w:hAnsi="Verdana" w:cs="Arial"/>
          <w:bCs/>
          <w:i/>
          <w:iCs/>
          <w:color w:val="000000" w:themeColor="text1"/>
          <w:sz w:val="20"/>
          <w:szCs w:val="20"/>
          <w:lang w:val="es-ES" w:eastAsia="es-ES_tradnl"/>
        </w:rPr>
        <w:t>ibidem</w:t>
      </w:r>
      <w:r w:rsidRPr="0006328C">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727CEF69" w14:textId="77777777" w:rsidR="00950D97" w:rsidRPr="0006328C" w:rsidRDefault="00950D97" w:rsidP="00950D97">
      <w:pPr>
        <w:spacing w:after="0" w:line="240" w:lineRule="auto"/>
        <w:jc w:val="both"/>
        <w:rPr>
          <w:rFonts w:ascii="Verdana" w:eastAsia="Calibri" w:hAnsi="Verdana" w:cs="Arial"/>
          <w:bCs/>
          <w:color w:val="000000" w:themeColor="text1"/>
          <w:sz w:val="20"/>
          <w:szCs w:val="20"/>
          <w:lang w:val="es-ES" w:eastAsia="es-ES_tradnl"/>
        </w:rPr>
      </w:pPr>
    </w:p>
    <w:p w14:paraId="3DF99617" w14:textId="77777777" w:rsidR="00950D97" w:rsidRDefault="00950D97" w:rsidP="00950D97">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2AFFCF71" w14:textId="77777777" w:rsidR="00950D97" w:rsidRPr="0006328C" w:rsidRDefault="00950D97" w:rsidP="00950D97">
      <w:pPr>
        <w:spacing w:after="0" w:line="240" w:lineRule="auto"/>
        <w:jc w:val="both"/>
        <w:rPr>
          <w:rFonts w:ascii="Verdana" w:eastAsia="Calibri" w:hAnsi="Verdana" w:cs="Arial"/>
          <w:bCs/>
          <w:color w:val="000000" w:themeColor="text1"/>
          <w:sz w:val="20"/>
          <w:szCs w:val="20"/>
          <w:lang w:val="es-ES" w:eastAsia="es-ES_tradnl"/>
        </w:rPr>
      </w:pPr>
      <w:r w:rsidRPr="0006328C">
        <w:rPr>
          <w:rFonts w:ascii="Verdana" w:eastAsia="Calibri" w:hAnsi="Verdana" w:cs="Arial"/>
          <w:bCs/>
          <w:color w:val="000000" w:themeColor="text1"/>
          <w:sz w:val="20"/>
          <w:szCs w:val="20"/>
          <w:lang w:val="es-ES" w:eastAsia="es-ES_tradnl"/>
        </w:rPr>
        <w:t xml:space="preserve"> </w:t>
      </w:r>
    </w:p>
    <w:p w14:paraId="32C5E8C9" w14:textId="77777777" w:rsidR="00950D97" w:rsidRPr="00EB0B5F" w:rsidRDefault="00950D97" w:rsidP="00950D97">
      <w:pPr>
        <w:spacing w:after="0" w:line="240" w:lineRule="auto"/>
        <w:jc w:val="both"/>
        <w:rPr>
          <w:rFonts w:ascii="Verdana" w:eastAsia="Calibri" w:hAnsi="Verdana" w:cs="Arial"/>
          <w:iCs/>
          <w:color w:val="000000" w:themeColor="text1"/>
          <w:sz w:val="20"/>
          <w:szCs w:val="20"/>
          <w:lang w:eastAsia="es-ES_tradnl"/>
        </w:rPr>
      </w:pPr>
      <w:r w:rsidRPr="0006328C">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AF1555">
        <w:rPr>
          <w:rFonts w:ascii="Verdana" w:eastAsia="Calibri" w:hAnsi="Verdana" w:cs="Arial"/>
          <w:color w:val="000000" w:themeColor="text1"/>
          <w:sz w:val="20"/>
          <w:szCs w:val="20"/>
          <w:lang w:val="es-ES_tradnl"/>
        </w:rPr>
        <w:t>.</w:t>
      </w:r>
    </w:p>
    <w:p w14:paraId="6D802C7A" w14:textId="77777777" w:rsidR="00950D97" w:rsidRPr="00AF1555" w:rsidRDefault="00950D97" w:rsidP="00950D97">
      <w:pPr>
        <w:spacing w:after="0" w:line="240" w:lineRule="auto"/>
        <w:jc w:val="both"/>
        <w:rPr>
          <w:rFonts w:ascii="Verdana" w:eastAsia="Geomanist Light" w:hAnsi="Verdana" w:cs="Arial"/>
          <w:color w:val="000000" w:themeColor="text1"/>
          <w:sz w:val="20"/>
          <w:szCs w:val="20"/>
          <w:lang w:val="es-ES_tradnl"/>
        </w:rPr>
      </w:pPr>
    </w:p>
    <w:p w14:paraId="69372CC5" w14:textId="77777777" w:rsidR="00950D97" w:rsidRPr="00AF1555" w:rsidRDefault="00950D97" w:rsidP="00950D97">
      <w:pPr>
        <w:spacing w:after="0" w:line="240" w:lineRule="auto"/>
        <w:jc w:val="both"/>
        <w:rPr>
          <w:rFonts w:ascii="Verdana" w:eastAsia="Calibri" w:hAnsi="Verdana" w:cs="Arial"/>
          <w:b/>
          <w:lang w:val="es-ES"/>
        </w:rPr>
      </w:pPr>
      <w:r>
        <w:rPr>
          <w:rFonts w:ascii="Verdana" w:eastAsia="Calibri" w:hAnsi="Verdana" w:cs="Arial"/>
          <w:b/>
          <w:lang w:val="es-ES"/>
        </w:rPr>
        <w:t>ENTIDADES EXCEPTUADAS</w:t>
      </w:r>
      <w:r w:rsidRPr="00E95799">
        <w:rPr>
          <w:rFonts w:ascii="Verdana" w:eastAsia="Calibri" w:hAnsi="Verdana" w:cs="Arial"/>
          <w:b/>
          <w:lang w:val="es-ES"/>
        </w:rPr>
        <w:t xml:space="preserve"> – </w:t>
      </w:r>
      <w:r>
        <w:rPr>
          <w:rFonts w:ascii="Verdana" w:eastAsia="Calibri" w:hAnsi="Verdana" w:cs="Arial"/>
          <w:b/>
          <w:lang w:val="es-ES"/>
        </w:rPr>
        <w:t>Aplicación de normas de derecho público</w:t>
      </w:r>
    </w:p>
    <w:p w14:paraId="04BD635A" w14:textId="77777777" w:rsidR="00950D97" w:rsidRPr="00AF1555" w:rsidRDefault="00950D97" w:rsidP="00950D97">
      <w:pPr>
        <w:spacing w:after="0" w:line="240" w:lineRule="auto"/>
        <w:jc w:val="both"/>
        <w:rPr>
          <w:rFonts w:ascii="Verdana" w:eastAsia="Calibri" w:hAnsi="Verdana" w:cs="Arial"/>
          <w:b/>
          <w:sz w:val="20"/>
          <w:szCs w:val="20"/>
          <w:lang w:val="es-ES"/>
        </w:rPr>
      </w:pPr>
    </w:p>
    <w:p w14:paraId="709928BE" w14:textId="77777777" w:rsidR="00950D97" w:rsidRPr="00EB0B5F" w:rsidRDefault="00950D97" w:rsidP="00950D97">
      <w:pPr>
        <w:spacing w:after="0" w:line="240" w:lineRule="auto"/>
        <w:jc w:val="both"/>
        <w:rPr>
          <w:rFonts w:ascii="Verdana" w:eastAsia="Calibri" w:hAnsi="Verdana" w:cs="Arial"/>
          <w:bCs/>
          <w:sz w:val="20"/>
          <w:szCs w:val="20"/>
        </w:rPr>
      </w:pPr>
      <w:r>
        <w:rPr>
          <w:rFonts w:ascii="Verdana" w:eastAsia="Calibri" w:hAnsi="Verdana" w:cs="Arial"/>
          <w:bCs/>
          <w:sz w:val="20"/>
          <w:szCs w:val="20"/>
        </w:rPr>
        <w:t xml:space="preserve">[…] </w:t>
      </w:r>
      <w:r w:rsidRPr="00FB2E1F">
        <w:rPr>
          <w:rFonts w:ascii="Verdana" w:eastAsia="Calibri" w:hAnsi="Verdana" w:cs="Arial"/>
          <w:bCs/>
          <w:sz w:val="20"/>
          <w:szCs w:val="20"/>
        </w:rPr>
        <w:t xml:space="preserve">aunque tenga una influencia limitada, las </w:t>
      </w:r>
      <w:r w:rsidRPr="00FB2E1F">
        <w:rPr>
          <w:rFonts w:ascii="Verdana" w:eastAsia="Calibri" w:hAnsi="Verdana" w:cs="Arial"/>
          <w:bCs/>
          <w:i/>
          <w:iCs/>
          <w:sz w:val="20"/>
          <w:szCs w:val="20"/>
        </w:rPr>
        <w:t>entidades del régimen exceptuado</w:t>
      </w:r>
      <w:r w:rsidRPr="00FB2E1F">
        <w:rPr>
          <w:rFonts w:ascii="Verdana" w:eastAsia="Calibri" w:hAnsi="Verdana" w:cs="Arial"/>
          <w:bCs/>
          <w:sz w:val="20"/>
          <w:szCs w:val="20"/>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r w:rsidRPr="00AF1555">
        <w:rPr>
          <w:rFonts w:ascii="Verdana" w:eastAsia="Calibri" w:hAnsi="Verdana" w:cs="Arial"/>
          <w:color w:val="000000"/>
          <w:sz w:val="20"/>
          <w:szCs w:val="20"/>
          <w:lang w:val="es-ES_tradnl"/>
        </w:rPr>
        <w:t>.</w:t>
      </w:r>
    </w:p>
    <w:p w14:paraId="3EBCF1F1" w14:textId="77777777" w:rsidR="00950D97" w:rsidRPr="00F70F88" w:rsidRDefault="00950D97" w:rsidP="00950D97">
      <w:pPr>
        <w:spacing w:after="0" w:line="240" w:lineRule="auto"/>
        <w:jc w:val="both"/>
        <w:rPr>
          <w:rFonts w:ascii="Verdana" w:hAnsi="Verdana" w:cs="Arial"/>
          <w:color w:val="000000" w:themeColor="text1"/>
          <w:sz w:val="21"/>
          <w:szCs w:val="21"/>
        </w:rPr>
      </w:pPr>
    </w:p>
    <w:p w14:paraId="719A7A32" w14:textId="77777777" w:rsidR="00950D97" w:rsidRPr="009B46EA" w:rsidRDefault="00950D97" w:rsidP="00950D97">
      <w:pPr>
        <w:spacing w:after="0" w:line="240" w:lineRule="auto"/>
        <w:jc w:val="both"/>
        <w:rPr>
          <w:rFonts w:ascii="Verdana" w:eastAsia="Calibri" w:hAnsi="Verdana" w:cs="Arial"/>
          <w:b/>
          <w:color w:val="000000" w:themeColor="text1"/>
          <w:lang w:val="es-ES_tradnl"/>
        </w:rPr>
      </w:pPr>
      <w:bookmarkStart w:id="0" w:name="_Hlk109118876"/>
      <w:r>
        <w:rPr>
          <w:rFonts w:ascii="Verdana" w:eastAsia="Calibri" w:hAnsi="Verdana" w:cs="Arial"/>
          <w:b/>
          <w:color w:val="000000" w:themeColor="text1"/>
          <w:lang w:val="es-ES_tradnl"/>
        </w:rPr>
        <w:lastRenderedPageBreak/>
        <w:t>CONTRATOS ESTATALES</w:t>
      </w:r>
      <w:r w:rsidRPr="009B46EA">
        <w:rPr>
          <w:rFonts w:ascii="Verdana" w:eastAsia="Calibri" w:hAnsi="Verdana" w:cs="Arial"/>
          <w:b/>
          <w:color w:val="000000" w:themeColor="text1"/>
          <w:lang w:val="es-ES_tradnl"/>
        </w:rPr>
        <w:t xml:space="preserve"> –</w:t>
      </w:r>
      <w:bookmarkEnd w:id="0"/>
      <w:r w:rsidRPr="009B46EA">
        <w:rPr>
          <w:rFonts w:ascii="Verdana" w:eastAsia="Calibri" w:hAnsi="Verdana" w:cs="Arial"/>
          <w:b/>
          <w:color w:val="000000" w:themeColor="text1"/>
          <w:lang w:val="es-ES_tradnl"/>
        </w:rPr>
        <w:t xml:space="preserve"> </w:t>
      </w:r>
      <w:r>
        <w:rPr>
          <w:rFonts w:ascii="Verdana" w:eastAsia="Calibri" w:hAnsi="Verdana" w:cs="Arial"/>
          <w:b/>
          <w:color w:val="000000" w:themeColor="text1"/>
          <w:lang w:val="es-ES_tradnl"/>
        </w:rPr>
        <w:t>Régimen especial</w:t>
      </w:r>
      <w:r w:rsidRPr="009B46EA">
        <w:rPr>
          <w:rFonts w:ascii="Verdana" w:eastAsia="Calibri" w:hAnsi="Verdana" w:cs="Arial"/>
          <w:b/>
          <w:color w:val="000000" w:themeColor="text1"/>
          <w:lang w:val="es-ES_tradnl"/>
        </w:rPr>
        <w:t xml:space="preserve"> – </w:t>
      </w:r>
      <w:r>
        <w:rPr>
          <w:rFonts w:ascii="Verdana" w:eastAsia="Calibri" w:hAnsi="Verdana" w:cs="Arial"/>
          <w:b/>
          <w:color w:val="000000" w:themeColor="text1"/>
          <w:lang w:val="es-ES_tradnl"/>
        </w:rPr>
        <w:t>Obligaciones transversales – Manual de contratación – Límites</w:t>
      </w:r>
      <w:r w:rsidRPr="009B46EA">
        <w:rPr>
          <w:rFonts w:ascii="Verdana" w:eastAsia="Calibri" w:hAnsi="Verdana" w:cs="Arial"/>
          <w:b/>
          <w:color w:val="000000" w:themeColor="text1"/>
          <w:lang w:val="es-ES_tradnl"/>
        </w:rPr>
        <w:t xml:space="preserve"> </w:t>
      </w:r>
    </w:p>
    <w:p w14:paraId="4E4ED396" w14:textId="77777777" w:rsidR="00950D97" w:rsidRPr="009B46EA" w:rsidRDefault="00950D97" w:rsidP="00950D97">
      <w:pPr>
        <w:spacing w:after="0" w:line="240" w:lineRule="auto"/>
        <w:jc w:val="both"/>
        <w:rPr>
          <w:rFonts w:ascii="Verdana" w:eastAsia="Calibri" w:hAnsi="Verdana" w:cs="Arial"/>
          <w:b/>
          <w:color w:val="000000" w:themeColor="text1"/>
          <w:lang w:val="es-ES_tradnl"/>
        </w:rPr>
      </w:pPr>
    </w:p>
    <w:p w14:paraId="41181242" w14:textId="77777777" w:rsidR="00950D97" w:rsidRDefault="00950D97" w:rsidP="00950D97">
      <w:pPr>
        <w:spacing w:after="0" w:line="240" w:lineRule="auto"/>
        <w:jc w:val="both"/>
        <w:rPr>
          <w:rFonts w:ascii="Verdana" w:hAnsi="Verdana" w:cs="Arial"/>
          <w:color w:val="000000" w:themeColor="text1"/>
          <w:sz w:val="20"/>
          <w:szCs w:val="20"/>
          <w:lang w:val="es-ES"/>
        </w:rPr>
      </w:pPr>
      <w:r>
        <w:rPr>
          <w:rFonts w:ascii="Verdana" w:hAnsi="Verdana" w:cs="Arial"/>
          <w:color w:val="000000" w:themeColor="text1"/>
          <w:sz w:val="20"/>
          <w:szCs w:val="20"/>
          <w:lang w:val="es-ES"/>
        </w:rPr>
        <w:t>E</w:t>
      </w:r>
      <w:r w:rsidRPr="00F70F88">
        <w:rPr>
          <w:rFonts w:ascii="Verdana" w:hAnsi="Verdana" w:cs="Arial"/>
          <w:color w:val="000000" w:themeColor="text1"/>
          <w:sz w:val="20"/>
          <w:szCs w:val="20"/>
          <w:lang w:val="es-ES"/>
        </w:rPr>
        <w:t>l hecho de que algunas entidades estatales se rijan por el derecho privado en materia contractual no puede entenderse como una negación de lo que establece el artículo 13 de la Ley 1150 de 2007. Este enunciado normativo significó un “retorno del derecho administrativo” para las entidades excluidas, al reiterar que deben cumplir los principios constitucionales de la función administrativa y de la gestión fiscal, así como el régimen de inhabilidades e incompatibilidades previsto legalmente para la contratación estatal; y ahora también publicar su actividad contractual en el SECOP II, de conformidad con el artículo 53 de la Ley 2195 de 2022.</w:t>
      </w:r>
    </w:p>
    <w:p w14:paraId="538155FA" w14:textId="77777777" w:rsidR="00950D97" w:rsidRPr="00F70F88" w:rsidRDefault="00950D97" w:rsidP="00950D97">
      <w:pPr>
        <w:spacing w:after="0" w:line="240" w:lineRule="auto"/>
        <w:jc w:val="both"/>
        <w:rPr>
          <w:rFonts w:ascii="Verdana" w:hAnsi="Verdana" w:cs="Arial"/>
          <w:color w:val="000000" w:themeColor="text1"/>
          <w:sz w:val="20"/>
          <w:szCs w:val="20"/>
        </w:rPr>
      </w:pPr>
    </w:p>
    <w:p w14:paraId="23CC3628" w14:textId="77777777" w:rsidR="00950D97" w:rsidRPr="00F70F88" w:rsidRDefault="00950D97" w:rsidP="00950D97">
      <w:pPr>
        <w:spacing w:after="0" w:line="240" w:lineRule="auto"/>
        <w:jc w:val="both"/>
        <w:rPr>
          <w:rFonts w:ascii="Verdana" w:hAnsi="Verdana" w:cs="Arial"/>
          <w:color w:val="000000" w:themeColor="text1"/>
          <w:sz w:val="20"/>
          <w:szCs w:val="20"/>
          <w:lang w:val="es-ES_tradnl"/>
        </w:rPr>
      </w:pPr>
      <w:r w:rsidRPr="00F70F88">
        <w:rPr>
          <w:rFonts w:ascii="Verdana" w:hAnsi="Verdana" w:cs="Arial"/>
          <w:color w:val="000000" w:themeColor="text1"/>
          <w:sz w:val="20"/>
          <w:szCs w:val="20"/>
          <w:lang w:val="es-ES_tradnl"/>
        </w:rPr>
        <w:t xml:space="preserve">Adicionalmente, las entidades estatales que, por disposición legal, cuentan con un régimen especial, exceptuado del Estatuto General de Contratación de la Administración Pública –Leyes 80 de 1993, 1150 de 2007 y normas complementarias– pueden expedir un reglamento interno de contratación –comúnmente denominado </w:t>
      </w:r>
      <w:r w:rsidRPr="00F70F88">
        <w:rPr>
          <w:rFonts w:ascii="Verdana" w:hAnsi="Verdana" w:cs="Arial"/>
          <w:i/>
          <w:color w:val="000000" w:themeColor="text1"/>
          <w:sz w:val="20"/>
          <w:szCs w:val="20"/>
          <w:lang w:val="es-ES_tradnl"/>
        </w:rPr>
        <w:t>manual de contratación</w:t>
      </w:r>
      <w:r w:rsidRPr="00F70F88">
        <w:rPr>
          <w:rFonts w:ascii="Verdana" w:hAnsi="Verdana" w:cs="Arial"/>
          <w:color w:val="000000" w:themeColor="text1"/>
          <w:sz w:val="20"/>
          <w:szCs w:val="20"/>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6C466A4E" w14:textId="77777777" w:rsidR="00950D97" w:rsidRDefault="00950D97" w:rsidP="00950D97">
      <w:pPr>
        <w:spacing w:after="0" w:line="240" w:lineRule="auto"/>
        <w:jc w:val="both"/>
        <w:rPr>
          <w:rFonts w:ascii="Verdana" w:hAnsi="Verdana" w:cs="Arial"/>
          <w:color w:val="000000" w:themeColor="text1"/>
          <w:sz w:val="20"/>
          <w:szCs w:val="20"/>
          <w:lang w:val="es-ES_tradnl"/>
        </w:rPr>
      </w:pPr>
    </w:p>
    <w:p w14:paraId="64692101" w14:textId="77777777" w:rsidR="00950D97" w:rsidRPr="009B46EA" w:rsidRDefault="00950D97" w:rsidP="00950D97">
      <w:pPr>
        <w:spacing w:after="0" w:line="240" w:lineRule="auto"/>
        <w:jc w:val="both"/>
        <w:rPr>
          <w:rFonts w:ascii="Verdana" w:hAnsi="Verdana" w:cs="Arial"/>
          <w:color w:val="000000" w:themeColor="text1"/>
          <w:sz w:val="20"/>
          <w:szCs w:val="20"/>
          <w:lang w:val="es-ES_tradnl"/>
        </w:rPr>
      </w:pPr>
      <w:r w:rsidRPr="00F70F88">
        <w:rPr>
          <w:rFonts w:ascii="Verdana" w:hAnsi="Verdana" w:cs="Arial"/>
          <w:color w:val="000000" w:themeColor="text1"/>
          <w:sz w:val="20"/>
          <w:szCs w:val="20"/>
          <w:lang w:val="es-ES_tradnl"/>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F70F88">
        <w:rPr>
          <w:rFonts w:ascii="Verdana" w:hAnsi="Verdana" w:cs="Arial"/>
          <w:color w:val="000000" w:themeColor="text1"/>
          <w:sz w:val="20"/>
          <w:szCs w:val="20"/>
          <w:lang w:val="es-ES_tradnl"/>
        </w:rPr>
        <w:t>ii</w:t>
      </w:r>
      <w:proofErr w:type="spellEnd"/>
      <w:r w:rsidRPr="00F70F88">
        <w:rPr>
          <w:rFonts w:ascii="Verdana" w:hAnsi="Verdana" w:cs="Arial"/>
          <w:color w:val="000000" w:themeColor="text1"/>
          <w:sz w:val="20"/>
          <w:szCs w:val="20"/>
          <w:lang w:val="es-ES_tradnl"/>
        </w:rPr>
        <w:t xml:space="preserve">) sanciones, sin perjuicio de las que pueden pactar de acuerdo con las normas civiles y comerciales, </w:t>
      </w:r>
      <w:proofErr w:type="spellStart"/>
      <w:r w:rsidRPr="00F70F88">
        <w:rPr>
          <w:rFonts w:ascii="Verdana" w:hAnsi="Verdana" w:cs="Arial"/>
          <w:color w:val="000000" w:themeColor="text1"/>
          <w:sz w:val="20"/>
          <w:szCs w:val="20"/>
          <w:lang w:val="es-ES_tradnl"/>
        </w:rPr>
        <w:t>iii</w:t>
      </w:r>
      <w:proofErr w:type="spellEnd"/>
      <w:r w:rsidRPr="00F70F88">
        <w:rPr>
          <w:rFonts w:ascii="Verdana" w:hAnsi="Verdana" w:cs="Arial"/>
          <w:color w:val="000000" w:themeColor="text1"/>
          <w:sz w:val="20"/>
          <w:szCs w:val="20"/>
          <w:lang w:val="es-ES_tradnl"/>
        </w:rPr>
        <w:t xml:space="preserve">) procedimientos para su imposición, </w:t>
      </w:r>
      <w:proofErr w:type="spellStart"/>
      <w:r w:rsidRPr="00F70F88">
        <w:rPr>
          <w:rFonts w:ascii="Verdana" w:hAnsi="Verdana" w:cs="Arial"/>
          <w:color w:val="000000" w:themeColor="text1"/>
          <w:sz w:val="20"/>
          <w:szCs w:val="20"/>
          <w:lang w:val="es-ES_tradnl"/>
        </w:rPr>
        <w:t>iv</w:t>
      </w:r>
      <w:proofErr w:type="spellEnd"/>
      <w:r w:rsidRPr="00F70F88">
        <w:rPr>
          <w:rFonts w:ascii="Verdana" w:hAnsi="Verdana" w:cs="Arial"/>
          <w:color w:val="000000" w:themeColor="text1"/>
          <w:sz w:val="20"/>
          <w:szCs w:val="20"/>
          <w:lang w:val="es-ES_tradnl"/>
        </w:rPr>
        <w:t>) causales de inhabilidad e incompatibilidad, v) el principio de anualidad del gasto, y vi) restricciones al acceso a la administración de justicia para discutir las controversias contractuales, son, entre otros, temas cuya regulación está reservada al legislador y que, por tanto, las entidades exceptuadas no pueden reglamentar en su manual de contratación</w:t>
      </w:r>
      <w:r>
        <w:rPr>
          <w:rFonts w:ascii="Verdana" w:hAnsi="Verdana" w:cs="Arial"/>
          <w:color w:val="000000" w:themeColor="text1"/>
          <w:sz w:val="20"/>
          <w:szCs w:val="20"/>
          <w:lang w:val="es-ES_tradnl"/>
        </w:rPr>
        <w:t>.</w:t>
      </w:r>
    </w:p>
    <w:p w14:paraId="30240825" w14:textId="77777777" w:rsidR="00950D97" w:rsidRPr="00107753" w:rsidRDefault="00950D97" w:rsidP="00950D97">
      <w:pPr>
        <w:spacing w:after="0" w:line="240" w:lineRule="auto"/>
        <w:jc w:val="both"/>
        <w:rPr>
          <w:rFonts w:ascii="Verdana" w:eastAsia="Calibri" w:hAnsi="Verdana" w:cs="Arial"/>
          <w:color w:val="000000" w:themeColor="text1"/>
          <w:sz w:val="20"/>
          <w:szCs w:val="20"/>
          <w:lang w:val="es-ES_tradnl"/>
        </w:rPr>
      </w:pPr>
    </w:p>
    <w:p w14:paraId="715932AE" w14:textId="77777777" w:rsidR="00950D97" w:rsidRPr="00107753" w:rsidRDefault="00950D97" w:rsidP="00950D97">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PUBLICIDAD – SECOP – Fundamento Normativo – Ley 1712 de 2014 –</w:t>
      </w:r>
      <w:r w:rsidRPr="00107753">
        <w:rPr>
          <w:rFonts w:ascii="Verdana" w:eastAsia="Calibri" w:hAnsi="Verdana" w:cs="Arial"/>
          <w:b/>
          <w:lang w:val="es-ES_tradnl"/>
        </w:rPr>
        <w:t xml:space="preserve"> Decreto 1081 de 2015</w:t>
      </w:r>
      <w:r w:rsidRPr="00107753">
        <w:rPr>
          <w:rFonts w:ascii="Verdana" w:eastAsia="Calibri" w:hAnsi="Verdana" w:cs="Arial"/>
          <w:b/>
          <w:lang w:val="es-ES_tradnl" w:eastAsia="es-ES_tradnl"/>
        </w:rPr>
        <w:t xml:space="preserve"> </w:t>
      </w:r>
    </w:p>
    <w:p w14:paraId="05FA22BE" w14:textId="77777777" w:rsidR="00950D97" w:rsidRPr="00107753" w:rsidRDefault="00950D97" w:rsidP="00950D97">
      <w:pPr>
        <w:spacing w:after="0" w:line="240" w:lineRule="auto"/>
        <w:jc w:val="both"/>
        <w:rPr>
          <w:rFonts w:ascii="Verdana" w:eastAsia="Calibri" w:hAnsi="Verdana" w:cs="Arial"/>
          <w:b/>
          <w:sz w:val="20"/>
          <w:szCs w:val="20"/>
          <w:lang w:val="es-ES_tradnl"/>
        </w:rPr>
      </w:pPr>
    </w:p>
    <w:p w14:paraId="68138B4B" w14:textId="77777777" w:rsidR="00950D97" w:rsidRDefault="00950D97" w:rsidP="00950D97">
      <w:pPr>
        <w:spacing w:after="0" w:line="240" w:lineRule="auto"/>
        <w:jc w:val="both"/>
        <w:rPr>
          <w:rFonts w:ascii="Verdana" w:eastAsia="Calibri" w:hAnsi="Verdana" w:cs="Arial"/>
          <w:bCs/>
          <w:sz w:val="20"/>
          <w:szCs w:val="20"/>
          <w:lang w:val="es-ES_tradnl"/>
        </w:rPr>
      </w:pPr>
      <w:r w:rsidRPr="00107753">
        <w:rPr>
          <w:rFonts w:ascii="Verdana" w:eastAsia="Calibri" w:hAnsi="Verdana" w:cs="Arial"/>
          <w:bCs/>
          <w:sz w:val="20"/>
          <w:szCs w:val="20"/>
          <w:lang w:val="es-ES_tradnl"/>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w:t>
      </w:r>
      <w:r w:rsidRPr="00107753">
        <w:rPr>
          <w:rFonts w:ascii="Verdana" w:eastAsia="Calibri" w:hAnsi="Verdana" w:cs="Arial"/>
          <w:bCs/>
          <w:sz w:val="20"/>
          <w:szCs w:val="20"/>
          <w:lang w:val="es-ES_tradnl"/>
        </w:rPr>
        <w:lastRenderedPageBreak/>
        <w:t>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La ley citada establece, en el literal e) del artículo 9, que los sujetos obligados, que son todas las entidades públicas, deben publicar la información relativa a su contratación. Esta obligación fue en principio desarrollada por el Decreto 103 de 2015, hoy compilado en el Decreto Único Reglamentario 1081 de 2015, el cual dispuso que la publicación de la información contractual de los sujetos obligados, que contratan con cargo a recursos públicos, debe hacerse en el Sistema Electrónico de Contratación Pública –SECOP– .Asimismo,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p>
    <w:p w14:paraId="50D3A5E5" w14:textId="77777777" w:rsidR="00950D97" w:rsidRPr="00107753" w:rsidRDefault="00950D97" w:rsidP="00950D97">
      <w:pPr>
        <w:spacing w:after="0" w:line="240" w:lineRule="auto"/>
        <w:jc w:val="both"/>
        <w:rPr>
          <w:rFonts w:ascii="Verdana" w:eastAsia="Calibri" w:hAnsi="Verdana" w:cs="Arial"/>
          <w:bCs/>
          <w:sz w:val="20"/>
          <w:szCs w:val="20"/>
          <w:lang w:val="es-ES_tradnl"/>
        </w:rPr>
      </w:pPr>
    </w:p>
    <w:p w14:paraId="62902060" w14:textId="77777777" w:rsidR="00950D97" w:rsidRPr="00107753" w:rsidRDefault="00950D97" w:rsidP="00950D97">
      <w:pPr>
        <w:spacing w:after="0" w:line="240" w:lineRule="auto"/>
        <w:jc w:val="both"/>
        <w:rPr>
          <w:rFonts w:ascii="Verdana" w:eastAsia="Calibri" w:hAnsi="Verdana" w:cs="Arial"/>
          <w:b/>
          <w:lang w:val="es-ES_tradnl" w:eastAsia="es-ES_tradnl"/>
        </w:rPr>
      </w:pPr>
      <w:r w:rsidRPr="00107753">
        <w:rPr>
          <w:rFonts w:ascii="Verdana" w:eastAsia="Calibri" w:hAnsi="Verdana" w:cs="Arial"/>
          <w:b/>
          <w:lang w:val="es-ES_tradnl" w:eastAsia="es-ES_tradnl"/>
        </w:rPr>
        <w:t xml:space="preserve">PUBLICIDAD – SECOP – Fundamento Normativo – </w:t>
      </w:r>
      <w:r w:rsidRPr="00107753">
        <w:rPr>
          <w:rFonts w:ascii="Verdana" w:eastAsia="Calibri" w:hAnsi="Verdana" w:cs="Arial"/>
          <w:b/>
          <w:lang w:val="es-ES_tradnl"/>
        </w:rPr>
        <w:t xml:space="preserve">Ley 1150 de 2007 </w:t>
      </w:r>
      <w:r>
        <w:rPr>
          <w:rFonts w:ascii="Verdana" w:eastAsia="Calibri" w:hAnsi="Verdana" w:cs="Arial"/>
          <w:b/>
          <w:lang w:val="es-ES_tradnl"/>
        </w:rPr>
        <w:t>–</w:t>
      </w:r>
      <w:r w:rsidRPr="00107753">
        <w:rPr>
          <w:rFonts w:ascii="Verdana" w:eastAsia="Calibri" w:hAnsi="Verdana" w:cs="Arial"/>
          <w:b/>
          <w:lang w:val="es-ES_tradnl"/>
        </w:rPr>
        <w:t xml:space="preserve"> </w:t>
      </w:r>
      <w:r w:rsidRPr="00107753">
        <w:rPr>
          <w:rFonts w:ascii="Verdana" w:eastAsia="Calibri" w:hAnsi="Verdana" w:cs="Arial"/>
          <w:b/>
          <w:lang w:val="es-ES_tradnl" w:eastAsia="es-ES_tradnl"/>
        </w:rPr>
        <w:t xml:space="preserve">Ley 2195 de 2022 </w:t>
      </w:r>
    </w:p>
    <w:p w14:paraId="4E36E914" w14:textId="77777777" w:rsidR="00950D97" w:rsidRPr="00107753" w:rsidRDefault="00950D97" w:rsidP="00950D97">
      <w:pPr>
        <w:spacing w:after="0" w:line="240" w:lineRule="auto"/>
        <w:jc w:val="both"/>
        <w:rPr>
          <w:rFonts w:ascii="Verdana" w:eastAsia="Calibri" w:hAnsi="Verdana" w:cs="Arial"/>
          <w:b/>
          <w:sz w:val="20"/>
          <w:szCs w:val="20"/>
          <w:lang w:val="es-ES_tradnl"/>
        </w:rPr>
      </w:pPr>
    </w:p>
    <w:p w14:paraId="2B9874D1" w14:textId="77777777" w:rsidR="00950D97" w:rsidRPr="00107753" w:rsidRDefault="00950D97" w:rsidP="00950D97">
      <w:pPr>
        <w:spacing w:after="0" w:line="240" w:lineRule="auto"/>
        <w:contextualSpacing/>
        <w:jc w:val="both"/>
        <w:rPr>
          <w:rFonts w:ascii="Verdana" w:eastAsia="Calibri" w:hAnsi="Verdana" w:cs="Arial"/>
          <w:sz w:val="20"/>
          <w:szCs w:val="20"/>
          <w:lang w:val="es-ES_tradnl" w:eastAsia="es-ES_tradnl"/>
        </w:rPr>
      </w:pPr>
      <w:r w:rsidRPr="00107753">
        <w:rPr>
          <w:rFonts w:ascii="Verdana" w:hAnsi="Verdana" w:cs="Arial"/>
          <w:sz w:val="20"/>
          <w:szCs w:val="20"/>
          <w:lang w:val="es-ES"/>
        </w:rPr>
        <w:t>Tratándose de los contratos de régimen exceptuado, el deber de publicidad y transparencia fue complementado</w:t>
      </w:r>
      <w:r w:rsidRPr="00107753">
        <w:rPr>
          <w:rFonts w:ascii="Verdana" w:hAnsi="Verdana" w:cs="Arial"/>
          <w:sz w:val="20"/>
          <w:szCs w:val="20"/>
        </w:rPr>
        <w:t xml:space="preserve"> con la Ley 2195 de 2022. </w:t>
      </w:r>
      <w:r w:rsidRPr="00107753">
        <w:rPr>
          <w:rFonts w:ascii="Verdana" w:eastAsia="Calibri" w:hAnsi="Verdana" w:cs="Arial"/>
          <w:sz w:val="20"/>
          <w:szCs w:val="20"/>
          <w:lang w:val="es-ES_tradnl" w:eastAsia="es-ES_tradnl"/>
        </w:rPr>
        <w:t>Según el artículo 1, esta Ley “</w:t>
      </w:r>
      <w:r w:rsidRPr="00107753">
        <w:rPr>
          <w:rFonts w:ascii="Verdana" w:eastAsia="Times New Roman" w:hAnsi="Verdana" w:cs="Arial"/>
          <w:sz w:val="20"/>
          <w:szCs w:val="20"/>
          <w:lang w:val="es-ES_tradnl" w:eastAsia="es-ES_tradnl"/>
        </w:rPr>
        <w:t xml:space="preserve">[…] </w:t>
      </w:r>
      <w:r w:rsidRPr="00107753">
        <w:rPr>
          <w:rFonts w:ascii="Verdana" w:eastAsia="Calibri" w:hAnsi="Verdana" w:cs="Arial"/>
          <w:sz w:val="20"/>
          <w:szCs w:val="20"/>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12C63385" w14:textId="77777777" w:rsidR="00950D97" w:rsidRPr="00107753" w:rsidRDefault="00950D97" w:rsidP="00950D97">
      <w:pPr>
        <w:spacing w:after="0" w:line="240" w:lineRule="auto"/>
        <w:ind w:firstLine="709"/>
        <w:contextualSpacing/>
        <w:jc w:val="both"/>
        <w:rPr>
          <w:rFonts w:ascii="Verdana" w:eastAsia="Calibri" w:hAnsi="Verdana" w:cs="Arial"/>
          <w:sz w:val="20"/>
          <w:szCs w:val="20"/>
          <w:lang w:val="es-ES_tradnl" w:eastAsia="es-ES_tradnl"/>
        </w:rPr>
      </w:pPr>
    </w:p>
    <w:p w14:paraId="58B334A1" w14:textId="77777777" w:rsidR="00950D97" w:rsidRPr="009B46EA" w:rsidRDefault="00950D97" w:rsidP="00950D97">
      <w:pPr>
        <w:spacing w:after="0" w:line="240" w:lineRule="auto"/>
        <w:jc w:val="both"/>
        <w:rPr>
          <w:rFonts w:ascii="Verdana" w:hAnsi="Verdana" w:cs="Arial"/>
          <w:color w:val="000000" w:themeColor="text1"/>
          <w:sz w:val="20"/>
          <w:szCs w:val="20"/>
          <w:lang w:val="es-ES_tradnl"/>
        </w:rPr>
      </w:pPr>
      <w:r w:rsidRPr="00107753">
        <w:rPr>
          <w:rFonts w:ascii="Verdana" w:eastAsia="Calibri" w:hAnsi="Verdana" w:cs="Arial"/>
          <w:sz w:val="20"/>
          <w:szCs w:val="20"/>
          <w:lang w:val="es-ES_tradnl" w:eastAsia="es-ES_tradnl"/>
        </w:rPr>
        <w:t xml:space="preserve">Dentro del capítulo VIII, por el cual se expiden “Disposiciones en materia contractual para la moralización y la transparencia”, se ubica </w:t>
      </w:r>
      <w:r w:rsidRPr="00107753">
        <w:rPr>
          <w:rFonts w:ascii="Verdana" w:hAnsi="Verdana" w:cs="Arial"/>
          <w:sz w:val="20"/>
          <w:szCs w:val="20"/>
        </w:rPr>
        <w:t xml:space="preserve">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 Cabe destacar que cuando la norma trascrita hace referencia a que el mencionado deber de publicidad debe cumplirse en el SECOP II o “la plataforma transaccional que haga sus veces”, esta expresión debe interpretarse bajo el entendido de que si bien el SECOP II es la plataforma oficial que actualmente se utiliza como mecanismo transaccional, en caso de que dicha plataforma sea remplazada por otra que tenga una denominación distinta, las entidades que tienen un régimen exceptuado deben continuar publicando la documentación de su actividad contractual en la nueva plataforma. En ese sentido, la locución “la plataforma que haga sus veces” no puede interpretarse como una autorización para que las entidades </w:t>
      </w:r>
      <w:r w:rsidRPr="00107753">
        <w:rPr>
          <w:rFonts w:ascii="Verdana" w:hAnsi="Verdana" w:cs="Arial"/>
          <w:sz w:val="20"/>
          <w:szCs w:val="20"/>
        </w:rPr>
        <w:lastRenderedPageBreak/>
        <w:t>obligadas en virtud del artículo 53 de la Ley 2195 de 2022 puedan emplear sus páginas web o sus propios portales electrónicos para cumplir con el deber de publicidad que les asiste. Con esto se logra que la ciudadanía pueda encontrar en un mismo sistema la gestión de la actividad contractual del Estado, garantizándose en mayor grado la transparencia y el acceso a la información y documentación pública.</w:t>
      </w:r>
    </w:p>
    <w:p w14:paraId="6DF6F0FB" w14:textId="77777777" w:rsidR="00950D97" w:rsidRPr="00107753" w:rsidRDefault="00950D97" w:rsidP="00950D97">
      <w:pPr>
        <w:spacing w:after="0" w:line="240" w:lineRule="auto"/>
        <w:jc w:val="both"/>
        <w:rPr>
          <w:rFonts w:ascii="Verdana" w:eastAsia="Calibri" w:hAnsi="Verdana" w:cs="Arial"/>
          <w:bCs/>
          <w:sz w:val="20"/>
          <w:szCs w:val="20"/>
          <w:lang w:val="es-ES_tradnl"/>
        </w:rPr>
      </w:pPr>
      <w:r w:rsidRPr="00FD1291">
        <w:rPr>
          <w:rFonts w:ascii="Verdana" w:hAnsi="Verdana" w:cs="Arial"/>
          <w:color w:val="000000" w:themeColor="text1"/>
          <w:sz w:val="20"/>
          <w:szCs w:val="20"/>
          <w:lang w:val="es-ES"/>
        </w:rPr>
        <w:t xml:space="preserve">  </w:t>
      </w:r>
      <w:r w:rsidRPr="00CC1214">
        <w:rPr>
          <w:rFonts w:ascii="Verdana" w:eastAsia="Calibri" w:hAnsi="Verdana" w:cs="Arial"/>
          <w:noProof/>
          <w:sz w:val="20"/>
          <w:szCs w:val="20"/>
          <w:lang w:val="es-ES_tradnl"/>
        </w:rPr>
        <w:t xml:space="preserve"> </w:t>
      </w:r>
      <w:r w:rsidRPr="009673B4">
        <w:rPr>
          <w:rFonts w:ascii="Verdana" w:eastAsia="Calibri" w:hAnsi="Verdana" w:cs="Arial"/>
          <w:noProof/>
          <w:sz w:val="20"/>
          <w:szCs w:val="20"/>
          <w:lang w:val="es-ES_tradnl"/>
        </w:rPr>
        <w:t xml:space="preserve">  </w:t>
      </w:r>
      <w:r w:rsidRPr="00782519">
        <w:rPr>
          <w:rFonts w:ascii="Verdana" w:eastAsia="Calibri" w:hAnsi="Verdana" w:cs="Arial"/>
          <w:noProof/>
          <w:sz w:val="20"/>
          <w:szCs w:val="20"/>
          <w:lang w:val="es-ES_tradnl"/>
        </w:rPr>
        <w:t xml:space="preserve"> </w:t>
      </w:r>
    </w:p>
    <w:p w14:paraId="3587CDFC" w14:textId="77777777" w:rsidR="00950D97" w:rsidRPr="00107753" w:rsidRDefault="00950D97" w:rsidP="00950D97">
      <w:pPr>
        <w:spacing w:after="0" w:line="240" w:lineRule="auto"/>
        <w:jc w:val="both"/>
        <w:rPr>
          <w:rFonts w:ascii="Verdana" w:eastAsia="Calibri" w:hAnsi="Verdana" w:cs="Arial"/>
          <w:b/>
          <w:lang w:val="es-ES_tradnl" w:eastAsia="es-ES_tradnl"/>
        </w:rPr>
      </w:pPr>
      <w:r>
        <w:rPr>
          <w:rFonts w:ascii="Verdana" w:eastAsia="Calibri" w:hAnsi="Verdana" w:cs="Arial"/>
          <w:b/>
          <w:lang w:val="es-ES_tradnl" w:eastAsia="es-ES_tradnl"/>
        </w:rPr>
        <w:t>CONTRATOS DE RÉGIMEN ESPECIAL</w:t>
      </w:r>
      <w:r w:rsidRPr="00107753">
        <w:rPr>
          <w:rFonts w:ascii="Verdana" w:eastAsia="Calibri" w:hAnsi="Verdana" w:cs="Arial"/>
          <w:b/>
          <w:lang w:val="es-ES_tradnl" w:eastAsia="es-ES_tradnl"/>
        </w:rPr>
        <w:t xml:space="preserve"> – </w:t>
      </w:r>
      <w:r>
        <w:rPr>
          <w:rFonts w:ascii="Verdana" w:eastAsia="Calibri" w:hAnsi="Verdana" w:cs="Arial"/>
          <w:b/>
          <w:lang w:val="es-ES_tradnl" w:eastAsia="es-ES_tradnl"/>
        </w:rPr>
        <w:t>Perfeccionamiento</w:t>
      </w:r>
      <w:r w:rsidRPr="00107753">
        <w:rPr>
          <w:rFonts w:ascii="Verdana" w:eastAsia="Calibri" w:hAnsi="Verdana" w:cs="Arial"/>
          <w:b/>
          <w:lang w:val="es-ES_tradnl" w:eastAsia="es-ES_tradnl"/>
        </w:rPr>
        <w:t xml:space="preserve"> – </w:t>
      </w:r>
      <w:r>
        <w:rPr>
          <w:rFonts w:ascii="Verdana" w:eastAsia="Calibri" w:hAnsi="Verdana" w:cs="Arial"/>
          <w:b/>
          <w:lang w:val="es-ES_tradnl"/>
        </w:rPr>
        <w:t>Consentimiento</w:t>
      </w:r>
      <w:r w:rsidRPr="00107753">
        <w:rPr>
          <w:rFonts w:ascii="Verdana" w:eastAsia="Calibri" w:hAnsi="Verdana" w:cs="Arial"/>
          <w:b/>
          <w:lang w:val="es-ES_tradnl"/>
        </w:rPr>
        <w:t xml:space="preserve"> </w:t>
      </w:r>
      <w:r>
        <w:rPr>
          <w:rFonts w:ascii="Verdana" w:eastAsia="Calibri" w:hAnsi="Verdana" w:cs="Arial"/>
          <w:b/>
          <w:lang w:val="es-ES_tradnl"/>
        </w:rPr>
        <w:t>–</w:t>
      </w:r>
      <w:r w:rsidRPr="00107753">
        <w:rPr>
          <w:rFonts w:ascii="Verdana" w:eastAsia="Calibri" w:hAnsi="Verdana" w:cs="Arial"/>
          <w:b/>
          <w:lang w:val="es-ES_tradnl"/>
        </w:rPr>
        <w:t xml:space="preserve"> </w:t>
      </w:r>
      <w:r>
        <w:rPr>
          <w:rFonts w:ascii="Verdana" w:eastAsia="Calibri" w:hAnsi="Verdana" w:cs="Arial"/>
          <w:b/>
          <w:lang w:val="es-ES_tradnl" w:eastAsia="es-ES_tradnl"/>
        </w:rPr>
        <w:t>Regla general – Solemnidad probatoria</w:t>
      </w:r>
      <w:r w:rsidRPr="00107753">
        <w:rPr>
          <w:rFonts w:ascii="Verdana" w:eastAsia="Calibri" w:hAnsi="Verdana" w:cs="Arial"/>
          <w:b/>
          <w:lang w:val="es-ES_tradnl" w:eastAsia="es-ES_tradnl"/>
        </w:rPr>
        <w:t xml:space="preserve"> </w:t>
      </w:r>
    </w:p>
    <w:p w14:paraId="35F61FAE" w14:textId="77777777" w:rsidR="00950D97" w:rsidRPr="00107753" w:rsidRDefault="00950D97" w:rsidP="00950D97">
      <w:pPr>
        <w:spacing w:after="0" w:line="240" w:lineRule="auto"/>
        <w:jc w:val="both"/>
        <w:rPr>
          <w:rFonts w:ascii="Verdana" w:eastAsia="Calibri" w:hAnsi="Verdana" w:cs="Arial"/>
          <w:b/>
          <w:sz w:val="20"/>
          <w:szCs w:val="20"/>
          <w:lang w:val="es-ES_tradnl"/>
        </w:rPr>
      </w:pPr>
    </w:p>
    <w:p w14:paraId="3E2A159A" w14:textId="77777777" w:rsidR="00950D97" w:rsidRDefault="00950D97" w:rsidP="00950D97">
      <w:pPr>
        <w:spacing w:after="0" w:line="240" w:lineRule="auto"/>
        <w:contextualSpacing/>
        <w:jc w:val="both"/>
        <w:rPr>
          <w:rFonts w:ascii="Verdana" w:hAnsi="Verdana" w:cs="Arial"/>
          <w:bCs/>
          <w:sz w:val="20"/>
          <w:szCs w:val="20"/>
          <w:lang w:val="es-ES_tradnl"/>
        </w:rPr>
      </w:pPr>
      <w:r w:rsidRPr="00DF6ECB">
        <w:rPr>
          <w:rFonts w:ascii="Verdana" w:hAnsi="Verdana" w:cs="Arial"/>
          <w:bCs/>
          <w:sz w:val="20"/>
          <w:szCs w:val="20"/>
          <w:lang w:val="es-ES_tradnl"/>
        </w:rPr>
        <w:t xml:space="preserve">En los regímenes especiales, por regla general, los contratos se perfeccionan con la aceptación de la oferta –artículos 845, 853 y 854 del Código de Comercio–. Asimismo, el artículo 860 </w:t>
      </w:r>
      <w:r w:rsidRPr="00DF6ECB">
        <w:rPr>
          <w:rFonts w:ascii="Verdana" w:hAnsi="Verdana" w:cs="Arial"/>
          <w:bCs/>
          <w:i/>
          <w:iCs/>
          <w:sz w:val="20"/>
          <w:szCs w:val="20"/>
          <w:lang w:val="es-ES_tradnl"/>
        </w:rPr>
        <w:t xml:space="preserve">ibidem </w:t>
      </w:r>
      <w:r w:rsidRPr="00DF6ECB">
        <w:rPr>
          <w:rFonts w:ascii="Verdana" w:hAnsi="Verdana" w:cs="Arial"/>
          <w:bCs/>
          <w:sz w:val="20"/>
          <w:szCs w:val="20"/>
          <w:lang w:val="es-ES_tradnl"/>
        </w:rPr>
        <w:t>dispone que “En todo género de licitaciones, públicas o privadas, el pliego de cargos constituye una oferta de contrato y cada postura implica la celebración de un contrato condicionado a que no haya postura mejor. Hecha la adjudicación al mejor postor, se desecharán las demás”. Luego, salvo que el contrato sea real o solemne, el solo consenso obliga a las partes en los términos del artículo 1500 del Código Civil. Sin embargo, las partes pueden acordar la suscripción de minutas contractuales después de la aceptación de la propuesta. Aunque el contrato se encuentre perfeccionado, dicha formalidad solo tiene carácter probatorio.</w:t>
      </w:r>
    </w:p>
    <w:p w14:paraId="6F8B820B" w14:textId="77777777" w:rsidR="00950D97" w:rsidRPr="00DF6ECB" w:rsidRDefault="00950D97" w:rsidP="00950D97">
      <w:pPr>
        <w:spacing w:after="0" w:line="240" w:lineRule="auto"/>
        <w:contextualSpacing/>
        <w:jc w:val="both"/>
        <w:rPr>
          <w:rFonts w:ascii="Verdana" w:hAnsi="Verdana" w:cs="Arial"/>
          <w:bCs/>
          <w:sz w:val="20"/>
          <w:szCs w:val="20"/>
          <w:lang w:val="es-ES_tradnl"/>
        </w:rPr>
      </w:pPr>
    </w:p>
    <w:p w14:paraId="65CB7C22" w14:textId="5608DCAD" w:rsidR="00950D97" w:rsidRDefault="00950D97" w:rsidP="00950D97">
      <w:pPr>
        <w:spacing w:after="0" w:line="240" w:lineRule="auto"/>
        <w:jc w:val="both"/>
        <w:rPr>
          <w:rFonts w:ascii="Verdana" w:eastAsia="Geomanist Light" w:hAnsi="Verdana" w:cs="Arial"/>
          <w:color w:val="000000" w:themeColor="text1"/>
          <w:lang w:val="es-MX"/>
        </w:rPr>
      </w:pPr>
      <w:r w:rsidRPr="00DF6ECB">
        <w:rPr>
          <w:rFonts w:ascii="Verdana" w:hAnsi="Verdana" w:cs="Arial"/>
          <w:bCs/>
          <w:sz w:val="20"/>
          <w:szCs w:val="20"/>
          <w:lang w:val="es-ES_tradnl"/>
        </w:rPr>
        <w:t xml:space="preserve">Si no se cumple con la suscripción de la minuta en el </w:t>
      </w:r>
      <w:r w:rsidRPr="00DF6ECB">
        <w:rPr>
          <w:rFonts w:ascii="Verdana" w:hAnsi="Verdana" w:cs="Arial"/>
          <w:bCs/>
          <w:i/>
          <w:iCs/>
          <w:sz w:val="20"/>
          <w:szCs w:val="20"/>
          <w:lang w:val="es-ES_tradnl"/>
        </w:rPr>
        <w:t>módulo de publicidad</w:t>
      </w:r>
      <w:r w:rsidRPr="00DF6ECB">
        <w:rPr>
          <w:rFonts w:ascii="Verdana" w:hAnsi="Verdana" w:cs="Arial"/>
          <w:bCs/>
          <w:sz w:val="20"/>
          <w:szCs w:val="20"/>
          <w:lang w:val="es-ES_tradnl"/>
        </w:rPr>
        <w:t xml:space="preserve">, es necesario dejar constancia de ello en el expediente contractual, teniendo en cuenta que si se emplea en el </w:t>
      </w:r>
      <w:r w:rsidRPr="00DF6ECB">
        <w:rPr>
          <w:rFonts w:ascii="Verdana" w:hAnsi="Verdana" w:cs="Arial"/>
          <w:bCs/>
          <w:i/>
          <w:iCs/>
          <w:sz w:val="20"/>
          <w:szCs w:val="20"/>
          <w:lang w:val="es-ES_tradnl"/>
        </w:rPr>
        <w:t>módulo transaccional</w:t>
      </w:r>
      <w:r w:rsidRPr="00DF6ECB">
        <w:rPr>
          <w:rFonts w:ascii="Verdana" w:hAnsi="Verdana" w:cs="Arial"/>
          <w:bCs/>
          <w:sz w:val="20"/>
          <w:szCs w:val="20"/>
          <w:lang w:val="es-ES_tradnl"/>
        </w:rPr>
        <w:t>, es necesaria la suscripción para que la plataforma entre en la fase de ejecución. En caso de que el proceso no finalice con la aceptación de la propuesta, basta con la publicación del acto que revoca la invitación o del que lo declara desierto, pues en estos casos no puede surgir ningún negocio jurídico. Finalmente, las minutas debe suscribirlas el representante legal a través de la cuenta del proveedor del SECOP II, en los plazos que disponga el cronograma del proceso de selección. Lo anterior, en la medida solo éste puede obligar a la persona jurídica, ya que “Lo que una persona ejecuta a nombre de otra, estando facultada por ella o por la ley para representarla, produce respecto del representado iguales efectos que si hubiese contratado él mismo” –artículo 1505 del Código Civil–.</w:t>
      </w:r>
    </w:p>
    <w:p w14:paraId="49C66214" w14:textId="77777777" w:rsidR="00950D97" w:rsidRDefault="00950D97" w:rsidP="006B036C">
      <w:pPr>
        <w:spacing w:after="0" w:line="240" w:lineRule="auto"/>
        <w:rPr>
          <w:rFonts w:ascii="Verdana" w:eastAsia="Geomanist Light" w:hAnsi="Verdana" w:cs="Arial"/>
          <w:color w:val="000000" w:themeColor="text1"/>
          <w:lang w:val="es-MX"/>
        </w:rPr>
      </w:pPr>
    </w:p>
    <w:p w14:paraId="4CC671BA" w14:textId="77777777" w:rsidR="00950D97" w:rsidRDefault="00950D97" w:rsidP="006B036C">
      <w:pPr>
        <w:spacing w:after="0" w:line="240" w:lineRule="auto"/>
        <w:rPr>
          <w:rFonts w:ascii="Verdana" w:eastAsia="Geomanist Light" w:hAnsi="Verdana" w:cs="Arial"/>
          <w:color w:val="000000" w:themeColor="text1"/>
          <w:lang w:val="es-MX"/>
        </w:rPr>
      </w:pPr>
    </w:p>
    <w:p w14:paraId="6223D420" w14:textId="77777777" w:rsidR="00950D97" w:rsidRDefault="00950D97" w:rsidP="006B036C">
      <w:pPr>
        <w:spacing w:after="0" w:line="240" w:lineRule="auto"/>
        <w:rPr>
          <w:rFonts w:ascii="Verdana" w:eastAsia="Geomanist Light" w:hAnsi="Verdana" w:cs="Arial"/>
          <w:color w:val="000000" w:themeColor="text1"/>
          <w:lang w:val="es-MX"/>
        </w:rPr>
      </w:pPr>
    </w:p>
    <w:p w14:paraId="3EDE728E" w14:textId="77777777" w:rsidR="00950D97" w:rsidRDefault="00950D97" w:rsidP="006B036C">
      <w:pPr>
        <w:spacing w:after="0" w:line="240" w:lineRule="auto"/>
        <w:rPr>
          <w:rFonts w:ascii="Verdana" w:eastAsia="Geomanist Light" w:hAnsi="Verdana" w:cs="Arial"/>
          <w:color w:val="000000" w:themeColor="text1"/>
          <w:lang w:val="es-MX"/>
        </w:rPr>
      </w:pPr>
    </w:p>
    <w:p w14:paraId="2BD8EAAB" w14:textId="77777777" w:rsidR="00950D97" w:rsidRDefault="00950D97" w:rsidP="006B036C">
      <w:pPr>
        <w:spacing w:after="0" w:line="240" w:lineRule="auto"/>
        <w:rPr>
          <w:rFonts w:ascii="Verdana" w:eastAsia="Geomanist Light" w:hAnsi="Verdana" w:cs="Arial"/>
          <w:color w:val="000000" w:themeColor="text1"/>
          <w:lang w:val="es-MX"/>
        </w:rPr>
      </w:pPr>
    </w:p>
    <w:p w14:paraId="542275D6" w14:textId="77777777" w:rsidR="00950D97" w:rsidRDefault="00950D97" w:rsidP="006B036C">
      <w:pPr>
        <w:spacing w:after="0" w:line="240" w:lineRule="auto"/>
        <w:rPr>
          <w:rFonts w:ascii="Verdana" w:eastAsia="Geomanist Light" w:hAnsi="Verdana" w:cs="Arial"/>
          <w:color w:val="000000" w:themeColor="text1"/>
          <w:lang w:val="es-MX"/>
        </w:rPr>
      </w:pPr>
    </w:p>
    <w:p w14:paraId="6E5B3218" w14:textId="77777777" w:rsidR="00950D97" w:rsidRDefault="00950D97" w:rsidP="006B036C">
      <w:pPr>
        <w:spacing w:after="0" w:line="240" w:lineRule="auto"/>
        <w:rPr>
          <w:rFonts w:ascii="Verdana" w:eastAsia="Geomanist Light" w:hAnsi="Verdana" w:cs="Arial"/>
          <w:color w:val="000000" w:themeColor="text1"/>
          <w:lang w:val="es-MX"/>
        </w:rPr>
      </w:pPr>
    </w:p>
    <w:p w14:paraId="2B8E490A" w14:textId="77777777" w:rsidR="00950D97" w:rsidRDefault="00950D97" w:rsidP="006B036C">
      <w:pPr>
        <w:spacing w:after="0" w:line="240" w:lineRule="auto"/>
        <w:rPr>
          <w:rFonts w:ascii="Verdana" w:eastAsia="Geomanist Light" w:hAnsi="Verdana" w:cs="Arial"/>
          <w:color w:val="000000" w:themeColor="text1"/>
          <w:lang w:val="es-MX"/>
        </w:rPr>
      </w:pPr>
    </w:p>
    <w:p w14:paraId="429862A0" w14:textId="77777777" w:rsidR="00950D97" w:rsidRDefault="00950D97" w:rsidP="006B036C">
      <w:pPr>
        <w:spacing w:after="0" w:line="240" w:lineRule="auto"/>
        <w:rPr>
          <w:rFonts w:ascii="Verdana" w:eastAsia="Geomanist Light" w:hAnsi="Verdana" w:cs="Arial"/>
          <w:color w:val="000000" w:themeColor="text1"/>
          <w:lang w:val="es-MX"/>
        </w:rPr>
      </w:pPr>
    </w:p>
    <w:p w14:paraId="571FCBAF" w14:textId="77777777" w:rsidR="00950D97" w:rsidRDefault="00950D97" w:rsidP="006B036C">
      <w:pPr>
        <w:spacing w:after="0" w:line="240" w:lineRule="auto"/>
        <w:rPr>
          <w:rFonts w:ascii="Verdana" w:eastAsia="Geomanist Light" w:hAnsi="Verdana" w:cs="Arial"/>
          <w:color w:val="000000" w:themeColor="text1"/>
          <w:lang w:val="es-MX"/>
        </w:rPr>
      </w:pPr>
    </w:p>
    <w:p w14:paraId="1F2ECD8E" w14:textId="77777777" w:rsidR="00950D97" w:rsidRDefault="00950D97" w:rsidP="006B036C">
      <w:pPr>
        <w:spacing w:after="0" w:line="240" w:lineRule="auto"/>
        <w:rPr>
          <w:rFonts w:ascii="Verdana" w:eastAsia="Geomanist Light" w:hAnsi="Verdana" w:cs="Arial"/>
          <w:color w:val="000000" w:themeColor="text1"/>
          <w:lang w:val="es-MX"/>
        </w:rPr>
      </w:pPr>
    </w:p>
    <w:p w14:paraId="0130F3EA" w14:textId="77777777" w:rsidR="00950D97" w:rsidRDefault="00950D97" w:rsidP="006B036C">
      <w:pPr>
        <w:spacing w:after="0" w:line="240" w:lineRule="auto"/>
        <w:rPr>
          <w:rFonts w:ascii="Verdana" w:eastAsia="Geomanist Light" w:hAnsi="Verdana" w:cs="Arial"/>
          <w:color w:val="000000" w:themeColor="text1"/>
          <w:lang w:val="es-MX"/>
        </w:rPr>
      </w:pPr>
    </w:p>
    <w:p w14:paraId="414B917B" w14:textId="61908AFD" w:rsidR="006B036C" w:rsidRPr="00593A5F" w:rsidRDefault="006B036C" w:rsidP="006B036C">
      <w:pPr>
        <w:spacing w:after="0" w:line="240" w:lineRule="auto"/>
        <w:rPr>
          <w:rFonts w:ascii="Verdana" w:eastAsia="Geomanist Light" w:hAnsi="Verdana" w:cs="Arial"/>
          <w:color w:val="201F1E"/>
          <w:lang w:val="es-MX"/>
        </w:rPr>
      </w:pPr>
      <w:r w:rsidRPr="00593A5F">
        <w:rPr>
          <w:rFonts w:ascii="Verdana" w:eastAsia="Geomanist Light" w:hAnsi="Verdana" w:cs="Arial"/>
          <w:color w:val="000000" w:themeColor="text1"/>
          <w:lang w:val="es-MX"/>
        </w:rPr>
        <w:lastRenderedPageBreak/>
        <w:t>Bogotá D.C., </w:t>
      </w:r>
      <w:r w:rsidR="00633030">
        <w:rPr>
          <w:rFonts w:ascii="Verdana" w:eastAsia="Geomanist Light" w:hAnsi="Verdana" w:cs="Arial"/>
          <w:color w:val="000000" w:themeColor="text1"/>
          <w:lang w:val="es-MX"/>
        </w:rPr>
        <w:t>13 de Noviembre de 2025</w:t>
      </w:r>
    </w:p>
    <w:p w14:paraId="0B18FE4B" w14:textId="77777777" w:rsidR="006B036C" w:rsidRDefault="006B036C" w:rsidP="006B036C">
      <w:pPr>
        <w:spacing w:after="0" w:line="240" w:lineRule="auto"/>
        <w:jc w:val="both"/>
        <w:rPr>
          <w:rFonts w:ascii="Verdana" w:eastAsia="Calibri" w:hAnsi="Verdana" w:cs="Arial"/>
          <w:color w:val="000000"/>
          <w:lang w:val="es-ES"/>
        </w:rPr>
      </w:pPr>
    </w:p>
    <w:p w14:paraId="4109B092" w14:textId="66DEF2E7" w:rsidR="00D447F4" w:rsidRDefault="00D447F4" w:rsidP="00D447F4">
      <w:pPr>
        <w:spacing w:after="0" w:line="240" w:lineRule="auto"/>
        <w:jc w:val="right"/>
        <w:rPr>
          <w:rFonts w:ascii="Verdana" w:eastAsia="Calibri" w:hAnsi="Verdana" w:cs="Arial"/>
          <w:color w:val="000000"/>
          <w:lang w:val="es-ES"/>
        </w:rPr>
      </w:pPr>
      <w:r w:rsidRPr="00D447F4">
        <w:rPr>
          <w:rFonts w:ascii="Verdana" w:eastAsia="Calibri" w:hAnsi="Verdana" w:cs="Arial"/>
          <w:noProof/>
          <w:color w:val="000000"/>
          <w:lang w:val="es-ES"/>
        </w:rPr>
        <w:drawing>
          <wp:inline distT="0" distB="0" distL="0" distR="0" wp14:anchorId="1219697A" wp14:editId="73F033D3">
            <wp:extent cx="2400300" cy="622300"/>
            <wp:effectExtent l="0" t="0" r="0" b="0"/>
            <wp:docPr id="12591342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34269" name=""/>
                    <pic:cNvPicPr/>
                  </pic:nvPicPr>
                  <pic:blipFill>
                    <a:blip r:embed="rId10"/>
                    <a:stretch>
                      <a:fillRect/>
                    </a:stretch>
                  </pic:blipFill>
                  <pic:spPr>
                    <a:xfrm>
                      <a:off x="0" y="0"/>
                      <a:ext cx="2400300" cy="622300"/>
                    </a:xfrm>
                    <a:prstGeom prst="rect">
                      <a:avLst/>
                    </a:prstGeom>
                  </pic:spPr>
                </pic:pic>
              </a:graphicData>
            </a:graphic>
          </wp:inline>
        </w:drawing>
      </w:r>
    </w:p>
    <w:p w14:paraId="58E03838" w14:textId="77777777" w:rsidR="006B036C" w:rsidRPr="00593A5F" w:rsidRDefault="006B036C" w:rsidP="006B036C">
      <w:pPr>
        <w:spacing w:after="0" w:line="240" w:lineRule="auto"/>
        <w:jc w:val="both"/>
        <w:rPr>
          <w:rFonts w:ascii="Verdana" w:eastAsia="Calibri" w:hAnsi="Verdana" w:cs="Arial"/>
          <w:color w:val="000000"/>
          <w:lang w:val="es-ES"/>
        </w:rPr>
      </w:pPr>
    </w:p>
    <w:p w14:paraId="2CD9A64B" w14:textId="77777777" w:rsidR="006B036C" w:rsidRPr="00B96799" w:rsidRDefault="006B036C" w:rsidP="006B036C">
      <w:pPr>
        <w:spacing w:after="0" w:line="240" w:lineRule="auto"/>
        <w:jc w:val="both"/>
        <w:rPr>
          <w:rFonts w:ascii="Verdana" w:eastAsia="Calibri" w:hAnsi="Verdana" w:cs="Arial"/>
          <w:lang w:val="es-ES" w:eastAsia="es-ES"/>
        </w:rPr>
      </w:pPr>
      <w:r>
        <w:rPr>
          <w:rFonts w:ascii="Verdana" w:eastAsia="Calibri" w:hAnsi="Verdana" w:cs="Arial"/>
          <w:lang w:val="es-ES" w:eastAsia="es-ES"/>
        </w:rPr>
        <w:t>Señor</w:t>
      </w:r>
    </w:p>
    <w:p w14:paraId="34CD5EF1" w14:textId="77777777" w:rsidR="006B036C" w:rsidRPr="0085423D" w:rsidRDefault="006B036C" w:rsidP="006B036C">
      <w:pPr>
        <w:spacing w:after="0" w:line="240" w:lineRule="auto"/>
        <w:rPr>
          <w:rFonts w:ascii="Verdana" w:eastAsia="Calibri" w:hAnsi="Verdana" w:cs="Arial"/>
          <w:b/>
          <w:lang w:val="es-ES" w:eastAsia="es-ES"/>
        </w:rPr>
      </w:pPr>
      <w:r w:rsidRPr="50365B4C">
        <w:rPr>
          <w:rFonts w:ascii="Verdana" w:eastAsia="Calibri" w:hAnsi="Verdana" w:cs="Arial"/>
          <w:b/>
          <w:lang w:val="es-ES" w:eastAsia="es-ES"/>
        </w:rPr>
        <w:t xml:space="preserve">Diego Fernando Beltrán </w:t>
      </w:r>
      <w:proofErr w:type="spellStart"/>
      <w:r w:rsidRPr="50365B4C">
        <w:rPr>
          <w:rFonts w:ascii="Verdana" w:eastAsia="Calibri" w:hAnsi="Verdana" w:cs="Arial"/>
          <w:b/>
          <w:lang w:val="es-ES" w:eastAsia="es-ES"/>
        </w:rPr>
        <w:t>Laiton</w:t>
      </w:r>
      <w:proofErr w:type="spellEnd"/>
      <w:r w:rsidRPr="50365B4C">
        <w:rPr>
          <w:rFonts w:ascii="Verdana" w:eastAsia="Calibri" w:hAnsi="Verdana" w:cs="Arial"/>
          <w:b/>
          <w:lang w:val="es-ES" w:eastAsia="es-ES"/>
        </w:rPr>
        <w:t xml:space="preserve">  </w:t>
      </w:r>
    </w:p>
    <w:p w14:paraId="45C01945" w14:textId="77777777" w:rsidR="006B036C" w:rsidRPr="00655A5F" w:rsidRDefault="006B036C" w:rsidP="006B036C">
      <w:pPr>
        <w:spacing w:after="0" w:line="240" w:lineRule="auto"/>
        <w:rPr>
          <w:rFonts w:ascii="Verdana" w:eastAsia="Calibri" w:hAnsi="Verdana" w:cs="Arial"/>
          <w:lang w:val="es-ES" w:eastAsia="es-ES"/>
        </w:rPr>
      </w:pPr>
      <w:hyperlink r:id="rId11" w:history="1">
        <w:r w:rsidRPr="0098440C">
          <w:rPr>
            <w:rStyle w:val="Hipervnculo"/>
            <w:rFonts w:ascii="Verdana" w:hAnsi="Verdana"/>
          </w:rPr>
          <w:t>laitonbeltran98@gmail.com</w:t>
        </w:r>
      </w:hyperlink>
      <w:r>
        <w:rPr>
          <w:rFonts w:ascii="Verdana" w:hAnsi="Verdana"/>
        </w:rPr>
        <w:t xml:space="preserve"> </w:t>
      </w:r>
      <w:r w:rsidRPr="00655A5F">
        <w:rPr>
          <w:rFonts w:ascii="Verdana" w:hAnsi="Verdana"/>
        </w:rPr>
        <w:t xml:space="preserve">             </w:t>
      </w:r>
      <w:r w:rsidRPr="00655A5F">
        <w:rPr>
          <w:rFonts w:ascii="Verdana" w:eastAsia="Calibri" w:hAnsi="Verdana" w:cs="Arial"/>
          <w:lang w:val="es-ES" w:eastAsia="es-ES"/>
        </w:rPr>
        <w:t xml:space="preserve">    </w:t>
      </w:r>
    </w:p>
    <w:p w14:paraId="75963E1C" w14:textId="77777777" w:rsidR="006B036C" w:rsidRDefault="006B036C" w:rsidP="006B036C">
      <w:pPr>
        <w:spacing w:after="0" w:line="240" w:lineRule="auto"/>
        <w:rPr>
          <w:rFonts w:ascii="Verdana" w:eastAsia="Calibri" w:hAnsi="Verdana" w:cs="Arial"/>
          <w:lang w:val="es-ES" w:eastAsia="es-ES"/>
        </w:rPr>
      </w:pPr>
      <w:r>
        <w:rPr>
          <w:rFonts w:ascii="Verdana" w:eastAsia="Geomanist Light" w:hAnsi="Verdana" w:cs="Arial"/>
          <w:color w:val="000000" w:themeColor="text1"/>
          <w:lang w:val="es-MX"/>
        </w:rPr>
        <w:t>Moniquirá, Boyacá</w:t>
      </w:r>
      <w:r>
        <w:rPr>
          <w:rFonts w:ascii="Verdana" w:eastAsia="Calibri" w:hAnsi="Verdana" w:cs="Arial"/>
          <w:lang w:val="es-ES" w:eastAsia="es-ES"/>
        </w:rPr>
        <w:t xml:space="preserve"> </w:t>
      </w:r>
    </w:p>
    <w:p w14:paraId="1FD9B468" w14:textId="77777777" w:rsidR="006B036C" w:rsidRPr="00593A5F" w:rsidRDefault="006B036C" w:rsidP="006B036C">
      <w:pPr>
        <w:spacing w:after="0" w:line="240" w:lineRule="auto"/>
        <w:rPr>
          <w:rFonts w:ascii="Verdana" w:eastAsia="Calibri" w:hAnsi="Verdana" w:cs="Arial"/>
          <w:b/>
          <w:bCs/>
          <w:color w:val="000000"/>
          <w:lang w:val="es-ES_tradnl" w:eastAsia="es-ES_tradnl"/>
        </w:rPr>
      </w:pPr>
    </w:p>
    <w:p w14:paraId="7DEAB366" w14:textId="77777777" w:rsidR="006B036C" w:rsidRPr="00593A5F" w:rsidRDefault="006B036C" w:rsidP="006B036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B036C" w:rsidRPr="00593A5F" w14:paraId="16F5DE85" w14:textId="77777777" w:rsidTr="003129F5">
        <w:trPr>
          <w:trHeight w:val="884"/>
        </w:trPr>
        <w:tc>
          <w:tcPr>
            <w:tcW w:w="2689" w:type="dxa"/>
          </w:tcPr>
          <w:p w14:paraId="2FF1440C" w14:textId="77777777" w:rsidR="006B036C" w:rsidRPr="00C00976" w:rsidRDefault="006B036C" w:rsidP="003129F5">
            <w:pPr>
              <w:jc w:val="both"/>
              <w:rPr>
                <w:rFonts w:ascii="Verdana" w:eastAsia="Calibri" w:hAnsi="Verdana" w:cs="Arial"/>
                <w:b/>
                <w:bCs/>
                <w:color w:val="7030A0"/>
                <w:lang w:val="es-ES_tradnl" w:eastAsia="es-ES_tradnl"/>
              </w:rPr>
            </w:pPr>
          </w:p>
        </w:tc>
        <w:tc>
          <w:tcPr>
            <w:tcW w:w="6100" w:type="dxa"/>
          </w:tcPr>
          <w:p w14:paraId="55CC3ABA" w14:textId="787472F6" w:rsidR="006B036C" w:rsidRPr="00C00976" w:rsidRDefault="006B036C" w:rsidP="003129F5">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sidR="00977609">
              <w:rPr>
                <w:rFonts w:ascii="Verdana" w:eastAsia="Calibri" w:hAnsi="Verdana" w:cs="Arial"/>
                <w:b/>
                <w:bCs/>
                <w:lang w:val="es-ES" w:eastAsia="es-ES"/>
              </w:rPr>
              <w:t>1633</w:t>
            </w:r>
            <w:r>
              <w:rPr>
                <w:rFonts w:ascii="Verdana" w:eastAsia="Calibri" w:hAnsi="Verdana" w:cs="Arial"/>
                <w:b/>
                <w:bCs/>
                <w:lang w:val="es-ES" w:eastAsia="es-ES"/>
              </w:rPr>
              <w:t xml:space="preserve"> </w:t>
            </w:r>
            <w:r w:rsidRPr="008E6AD9">
              <w:rPr>
                <w:rFonts w:ascii="Verdana" w:eastAsia="Calibri" w:hAnsi="Verdana" w:cs="Arial"/>
                <w:b/>
                <w:bCs/>
                <w:lang w:val="es-ES" w:eastAsia="es-ES"/>
              </w:rPr>
              <w:t>de 202</w:t>
            </w:r>
            <w:r>
              <w:rPr>
                <w:rFonts w:ascii="Verdana" w:eastAsia="Calibri" w:hAnsi="Verdana" w:cs="Arial"/>
                <w:b/>
                <w:bCs/>
                <w:lang w:val="es-ES" w:eastAsia="es-ES"/>
              </w:rPr>
              <w:t>5</w:t>
            </w:r>
          </w:p>
        </w:tc>
      </w:tr>
      <w:tr w:rsidR="006B036C" w:rsidRPr="00593A5F" w14:paraId="57AD2597" w14:textId="77777777" w:rsidTr="003129F5">
        <w:trPr>
          <w:trHeight w:val="884"/>
        </w:trPr>
        <w:tc>
          <w:tcPr>
            <w:tcW w:w="2689" w:type="dxa"/>
          </w:tcPr>
          <w:p w14:paraId="71664BD6" w14:textId="77777777" w:rsidR="006B036C" w:rsidRPr="00593A5F" w:rsidRDefault="006B036C" w:rsidP="003129F5">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C78416E" w14:textId="77777777" w:rsidR="006B036C" w:rsidRPr="00A11406" w:rsidRDefault="006B036C" w:rsidP="003129F5">
            <w:pPr>
              <w:spacing w:line="276" w:lineRule="auto"/>
              <w:jc w:val="both"/>
              <w:rPr>
                <w:rFonts w:ascii="Verdana" w:eastAsia="Calibri" w:hAnsi="Verdana" w:cs="Arial"/>
                <w:lang w:val="es-ES" w:eastAsia="es-ES"/>
              </w:rPr>
            </w:pPr>
            <w:r w:rsidRPr="00C353D9">
              <w:rPr>
                <w:rFonts w:ascii="Verdana" w:eastAsia="Calibri" w:hAnsi="Verdana" w:cs="Arial"/>
                <w:lang w:val="es-ES" w:eastAsia="es-ES"/>
              </w:rPr>
              <w:t>EGCAP – Ámbito de aplicación – Entidades estatales / ENTIDADES EXCEPTUADAS – Aplicación de normas de derecho público / CONTRATOS ESTATALES – Régimen especial – Obligaciones transversales – Manual de contratación – Límites /</w:t>
            </w:r>
            <w:r>
              <w:rPr>
                <w:rFonts w:ascii="Verdana" w:eastAsia="Calibri" w:hAnsi="Verdana" w:cs="Arial"/>
                <w:lang w:val="es-ES" w:eastAsia="es-ES"/>
              </w:rPr>
              <w:t xml:space="preserve"> </w:t>
            </w:r>
            <w:r w:rsidRPr="00FA383F">
              <w:rPr>
                <w:rFonts w:ascii="Verdana" w:eastAsia="Calibri" w:hAnsi="Verdana" w:cs="Arial"/>
                <w:lang w:val="es-ES" w:eastAsia="es-ES"/>
              </w:rPr>
              <w:t xml:space="preserve">PUBLICIDAD – SECOP – Fundamento Normativo – Ley 1712 de 2014 – Decreto 1081 de 2015 / PUBLICIDAD – SECOP – Fundamento Normativo – Ley 1150 de 2007 </w:t>
            </w:r>
            <w:r>
              <w:rPr>
                <w:rFonts w:ascii="Verdana" w:eastAsia="Calibri" w:hAnsi="Verdana" w:cs="Arial"/>
                <w:lang w:val="es-ES" w:eastAsia="es-ES"/>
              </w:rPr>
              <w:t>–</w:t>
            </w:r>
            <w:r w:rsidRPr="00FA383F">
              <w:rPr>
                <w:rFonts w:ascii="Verdana" w:eastAsia="Calibri" w:hAnsi="Verdana" w:cs="Arial"/>
                <w:lang w:val="es-ES" w:eastAsia="es-ES"/>
              </w:rPr>
              <w:t xml:space="preserve"> Ley 2195 de 2022</w:t>
            </w:r>
            <w:r>
              <w:rPr>
                <w:rFonts w:ascii="Verdana" w:eastAsia="Calibri" w:hAnsi="Verdana" w:cs="Arial"/>
                <w:lang w:val="es-ES" w:eastAsia="es-ES"/>
              </w:rPr>
              <w:t xml:space="preserve"> / </w:t>
            </w:r>
            <w:r w:rsidRPr="00DF6ECB">
              <w:rPr>
                <w:rFonts w:ascii="Verdana" w:eastAsia="Calibri" w:hAnsi="Verdana" w:cs="Arial"/>
                <w:lang w:val="es-ES" w:eastAsia="es-ES"/>
              </w:rPr>
              <w:t>CONTRATOS DE RÉGIMEN ESPECIAL</w:t>
            </w:r>
            <w:r>
              <w:rPr>
                <w:rFonts w:ascii="Verdana" w:eastAsia="Calibri" w:hAnsi="Verdana" w:cs="Arial"/>
                <w:lang w:val="es-ES" w:eastAsia="es-ES"/>
              </w:rPr>
              <w:t xml:space="preserve"> </w:t>
            </w:r>
            <w:r w:rsidRPr="00DF6ECB">
              <w:rPr>
                <w:rFonts w:ascii="Verdana" w:eastAsia="Calibri" w:hAnsi="Verdana" w:cs="Arial"/>
                <w:lang w:val="es-ES" w:eastAsia="es-ES"/>
              </w:rPr>
              <w:t>– Perfeccionamiento – Consentimiento – Regla general – Solemnidad probatoria</w:t>
            </w:r>
            <w:r w:rsidRPr="00D9782E">
              <w:rPr>
                <w:rFonts w:ascii="Verdana" w:eastAsia="Calibri" w:hAnsi="Verdana" w:cs="Arial"/>
                <w:lang w:val="es-ES" w:eastAsia="es-ES"/>
              </w:rPr>
              <w:t xml:space="preserve"> </w:t>
            </w:r>
            <w:r w:rsidRPr="00FD1291">
              <w:rPr>
                <w:rFonts w:ascii="Verdana" w:eastAsia="Calibri" w:hAnsi="Verdana" w:cs="Arial"/>
                <w:lang w:val="es-ES" w:eastAsia="es-ES"/>
              </w:rPr>
              <w:t xml:space="preserve"> </w:t>
            </w:r>
            <w:r w:rsidRPr="006A662D">
              <w:rPr>
                <w:rFonts w:ascii="Verdana" w:eastAsia="Calibri" w:hAnsi="Verdana" w:cs="Arial"/>
                <w:lang w:val="es-ES" w:eastAsia="es-ES"/>
              </w:rPr>
              <w:t xml:space="preserve"> </w:t>
            </w:r>
            <w:r w:rsidRPr="009673B4">
              <w:rPr>
                <w:rFonts w:ascii="Verdana" w:eastAsia="Calibri" w:hAnsi="Verdana" w:cs="Arial"/>
                <w:lang w:val="es-ES" w:eastAsia="es-ES"/>
              </w:rPr>
              <w:t xml:space="preserve">  </w:t>
            </w:r>
            <w:r w:rsidRPr="00B24DBE">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r w:rsidRPr="00BE364D">
              <w:rPr>
                <w:rFonts w:ascii="Verdana" w:eastAsia="Calibri" w:hAnsi="Verdana" w:cs="Arial"/>
                <w:lang w:val="es-ES" w:eastAsia="es-ES"/>
              </w:rPr>
              <w:t xml:space="preserve">  </w:t>
            </w:r>
            <w:r w:rsidRPr="00E23D97">
              <w:rPr>
                <w:rFonts w:ascii="Verdana" w:eastAsia="Calibri" w:hAnsi="Verdana" w:cs="Arial"/>
                <w:lang w:val="es-ES" w:eastAsia="es-ES"/>
              </w:rPr>
              <w:t xml:space="preserve"> </w:t>
            </w:r>
            <w:r w:rsidRPr="009E03E6">
              <w:rPr>
                <w:rFonts w:ascii="Verdana" w:eastAsia="Calibri" w:hAnsi="Verdana" w:cs="Arial"/>
                <w:lang w:val="es-ES" w:eastAsia="es-ES"/>
              </w:rPr>
              <w:t xml:space="preserve">  </w:t>
            </w:r>
            <w:r w:rsidRPr="006E6F30">
              <w:rPr>
                <w:rFonts w:ascii="Verdana" w:eastAsia="Calibri" w:hAnsi="Verdana" w:cs="Arial"/>
                <w:lang w:val="es-ES" w:eastAsia="es-ES"/>
              </w:rPr>
              <w:t xml:space="preserve"> </w:t>
            </w:r>
            <w:r w:rsidRPr="00FA3A97">
              <w:rPr>
                <w:rFonts w:ascii="Verdana" w:eastAsia="Calibri" w:hAnsi="Verdana" w:cs="Arial"/>
                <w:lang w:val="es-ES" w:eastAsia="es-ES"/>
              </w:rPr>
              <w:t xml:space="preserve">  </w:t>
            </w:r>
          </w:p>
          <w:p w14:paraId="2C73205C" w14:textId="77777777" w:rsidR="006B036C" w:rsidRPr="00593A5F" w:rsidRDefault="006B036C" w:rsidP="003129F5">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6B036C" w:rsidRPr="008E6AD9" w14:paraId="6348D39D" w14:textId="77777777" w:rsidTr="003129F5">
        <w:tc>
          <w:tcPr>
            <w:tcW w:w="2689" w:type="dxa"/>
          </w:tcPr>
          <w:p w14:paraId="2887E63A" w14:textId="77777777" w:rsidR="006B036C" w:rsidRPr="008E6AD9" w:rsidRDefault="006B036C" w:rsidP="003129F5">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009806C8" w14:textId="77777777" w:rsidR="006B036C" w:rsidRPr="008E6AD9" w:rsidRDefault="006B036C" w:rsidP="003129F5">
            <w:pPr>
              <w:spacing w:line="276" w:lineRule="auto"/>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 No.</w:t>
            </w:r>
            <w:r>
              <w:rPr>
                <w:rFonts w:ascii="Verdana" w:eastAsia="Calibri" w:hAnsi="Verdana" w:cs="Arial"/>
                <w:lang w:val="es-ES_tradnl" w:eastAsia="es-ES_tradnl"/>
              </w:rPr>
              <w:t xml:space="preserve"> </w:t>
            </w:r>
            <w:r w:rsidRPr="00B26EBE">
              <w:rPr>
                <w:rFonts w:ascii="Verdana" w:eastAsia="Calibri" w:hAnsi="Verdana" w:cs="Arial"/>
                <w:lang w:val="es-ES_tradnl" w:eastAsia="es-ES_tradnl"/>
              </w:rPr>
              <w:t>1_2025_11_05_012472</w:t>
            </w:r>
            <w:r w:rsidRPr="0085423D">
              <w:rPr>
                <w:rFonts w:ascii="Verdana" w:eastAsia="Calibri" w:hAnsi="Verdana" w:cs="Arial"/>
                <w:lang w:val="es-ES_tradnl" w:eastAsia="es-ES_tradnl"/>
              </w:rPr>
              <w:t xml:space="preserve"> </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BEB0746" w14:textId="77777777" w:rsidR="006B036C" w:rsidRPr="00593A5F" w:rsidRDefault="006B036C" w:rsidP="006B036C">
      <w:pPr>
        <w:spacing w:after="0" w:line="240" w:lineRule="auto"/>
        <w:jc w:val="both"/>
        <w:rPr>
          <w:rFonts w:ascii="Verdana" w:eastAsia="Calibri" w:hAnsi="Verdana" w:cs="Arial"/>
          <w:color w:val="000000"/>
          <w:lang w:val="es-ES_tradnl" w:eastAsia="es-ES_tradnl"/>
        </w:rPr>
      </w:pPr>
    </w:p>
    <w:p w14:paraId="0282FA8D" w14:textId="77777777" w:rsidR="006B036C" w:rsidRPr="00593A5F" w:rsidRDefault="006B036C" w:rsidP="006B036C">
      <w:pPr>
        <w:spacing w:after="0" w:line="240" w:lineRule="auto"/>
        <w:jc w:val="both"/>
        <w:rPr>
          <w:rFonts w:ascii="Verdana" w:eastAsia="Calibri" w:hAnsi="Verdana" w:cs="Arial"/>
          <w:color w:val="000000"/>
          <w:lang w:val="es-ES_tradnl" w:eastAsia="es-ES_tradnl"/>
        </w:rPr>
      </w:pPr>
    </w:p>
    <w:p w14:paraId="75D298E9" w14:textId="77777777" w:rsidR="006B036C" w:rsidRPr="008E6AD9" w:rsidRDefault="006B036C" w:rsidP="006B036C">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 </w:t>
      </w:r>
      <w:r w:rsidRPr="002133D6">
        <w:rPr>
          <w:rFonts w:ascii="Verdana" w:eastAsia="Calibri" w:hAnsi="Verdana" w:cs="Arial"/>
          <w:lang w:val="es-ES" w:eastAsia="es-ES"/>
        </w:rPr>
        <w:t xml:space="preserve">Beltrán </w:t>
      </w:r>
      <w:proofErr w:type="spellStart"/>
      <w:r w:rsidRPr="002133D6">
        <w:rPr>
          <w:rFonts w:ascii="Verdana" w:eastAsia="Calibri" w:hAnsi="Verdana" w:cs="Arial"/>
          <w:lang w:val="es-ES" w:eastAsia="es-ES"/>
        </w:rPr>
        <w:t>Laiton</w:t>
      </w:r>
      <w:proofErr w:type="spellEnd"/>
      <w:r w:rsidRPr="008E6AD9">
        <w:rPr>
          <w:rFonts w:ascii="Verdana" w:eastAsia="Calibri" w:hAnsi="Verdana" w:cs="Arial"/>
          <w:lang w:val="es-ES" w:eastAsia="es-ES"/>
        </w:rPr>
        <w:t xml:space="preserve">: </w:t>
      </w:r>
    </w:p>
    <w:p w14:paraId="2B410A80" w14:textId="77777777" w:rsidR="006B036C" w:rsidRDefault="006B036C" w:rsidP="006B036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93C9176" w14:textId="77777777" w:rsidR="006B036C" w:rsidRPr="00593A5F" w:rsidRDefault="006B036C" w:rsidP="006B036C">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responde </w:t>
      </w:r>
      <w:r>
        <w:rPr>
          <w:rFonts w:ascii="Verdana" w:eastAsia="Calibri" w:hAnsi="Verdana" w:cs="Arial"/>
          <w:color w:val="000000" w:themeColor="text1"/>
          <w:lang w:val="es-ES" w:eastAsia="es-ES"/>
        </w:rPr>
        <w:t>la</w:t>
      </w:r>
      <w:r w:rsidRPr="00593A5F">
        <w:rPr>
          <w:rFonts w:ascii="Verdana" w:eastAsia="Calibri" w:hAnsi="Verdana" w:cs="Arial"/>
          <w:color w:val="000000" w:themeColor="text1"/>
          <w:lang w:val="es-ES" w:eastAsia="es-ES"/>
        </w:rPr>
        <w:t xml:space="preserve">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21 de octubre de 2025 frente a la Contraloría General de la </w:t>
      </w:r>
      <w:r>
        <w:rPr>
          <w:rFonts w:ascii="Verdana" w:eastAsia="Calibri" w:hAnsi="Verdana" w:cs="Arial"/>
          <w:lang w:val="es-ES" w:eastAsia="es-ES"/>
        </w:rPr>
        <w:lastRenderedPageBreak/>
        <w:t>República</w:t>
      </w:r>
      <w:r w:rsidRPr="008E6AD9">
        <w:rPr>
          <w:rFonts w:ascii="Verdana" w:eastAsia="Calibri" w:hAnsi="Verdana" w:cs="Arial"/>
          <w:lang w:val="es-ES" w:eastAsia="es-ES"/>
        </w:rPr>
        <w:t>,</w:t>
      </w:r>
      <w:r>
        <w:rPr>
          <w:rFonts w:ascii="Verdana" w:eastAsia="Calibri" w:hAnsi="Verdana" w:cs="Arial"/>
          <w:lang w:val="es-ES" w:eastAsia="es-ES"/>
        </w:rPr>
        <w:t xml:space="preserve"> remitida por competencia a esta entidad –conforme al artículo 21 de la Ley 1437 de 2011– mediante correo electrónico del 5 de noviembre de la presente anualidad, </w:t>
      </w:r>
      <w:r w:rsidRPr="008E6AD9">
        <w:rPr>
          <w:rFonts w:ascii="Verdana" w:eastAsia="Calibri" w:hAnsi="Verdana" w:cs="Arial"/>
          <w:lang w:val="es-ES" w:eastAsia="es-ES"/>
        </w:rPr>
        <w:t xml:space="preserve">en </w:t>
      </w:r>
      <w:r>
        <w:rPr>
          <w:rFonts w:ascii="Verdana" w:eastAsia="Calibri" w:hAnsi="Verdana" w:cs="Arial"/>
          <w:lang w:val="es-ES" w:eastAsia="es-ES"/>
        </w:rPr>
        <w:t>la cual plantea que:</w:t>
      </w:r>
      <w:r w:rsidRPr="008E6AD9">
        <w:rPr>
          <w:rFonts w:ascii="Verdana" w:eastAsia="Calibri" w:hAnsi="Verdana" w:cs="Arial"/>
          <w:lang w:val="es-ES" w:eastAsia="es-ES"/>
        </w:rPr>
        <w:t xml:space="preserve"> </w:t>
      </w:r>
    </w:p>
    <w:p w14:paraId="23A54837" w14:textId="77777777" w:rsidR="006B036C" w:rsidRPr="00272A7B" w:rsidRDefault="006B036C" w:rsidP="006B036C">
      <w:pPr>
        <w:pStyle w:val="Prrafodelista"/>
        <w:tabs>
          <w:tab w:val="left" w:pos="142"/>
          <w:tab w:val="left" w:pos="284"/>
        </w:tabs>
        <w:spacing w:after="0" w:line="276" w:lineRule="auto"/>
        <w:ind w:left="0"/>
        <w:jc w:val="both"/>
        <w:rPr>
          <w:rFonts w:ascii="Verdana" w:eastAsia="Century Gothic" w:hAnsi="Verdana" w:cs="Century Gothic"/>
          <w:b/>
          <w:bCs/>
        </w:rPr>
      </w:pPr>
    </w:p>
    <w:p w14:paraId="16D0327C" w14:textId="77777777" w:rsidR="006B036C" w:rsidRPr="001D5897" w:rsidRDefault="006B036C" w:rsidP="006B036C">
      <w:pPr>
        <w:spacing w:after="120" w:line="240" w:lineRule="auto"/>
        <w:ind w:left="709" w:right="709"/>
        <w:jc w:val="both"/>
        <w:rPr>
          <w:rFonts w:ascii="Verdana" w:eastAsia="Century Gothic" w:hAnsi="Verdana" w:cs="Century Gothic"/>
          <w:sz w:val="20"/>
          <w:szCs w:val="20"/>
          <w:lang w:val="es-ES"/>
        </w:rPr>
      </w:pPr>
      <w:bookmarkStart w:id="1" w:name="_Hlk95313578"/>
      <w:r w:rsidRPr="006623D1">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con el fin de prevenir posibles observaciones o hallazgos administrativos o fiscales,</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se formulan las siguientes consultas, solicitando de manera expresa que las respuestas no se emitan</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con fundamento en la Ley 80 de 1993, sino con base en la normativa aplicable a las E.S.E. como</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entidades de régimen especial:</w:t>
      </w:r>
    </w:p>
    <w:p w14:paraId="4C2D83FB" w14:textId="77777777" w:rsidR="006B036C" w:rsidRPr="001D5897" w:rsidRDefault="006B036C" w:rsidP="006B036C">
      <w:pPr>
        <w:spacing w:after="120" w:line="240" w:lineRule="auto"/>
        <w:ind w:left="709" w:right="709"/>
        <w:jc w:val="both"/>
        <w:rPr>
          <w:rFonts w:ascii="Verdana" w:eastAsia="Century Gothic" w:hAnsi="Verdana" w:cs="Century Gothic"/>
          <w:sz w:val="20"/>
          <w:szCs w:val="20"/>
          <w:lang w:val="es-ES"/>
        </w:rPr>
      </w:pPr>
      <w:r w:rsidRPr="001D5897">
        <w:rPr>
          <w:rFonts w:ascii="Verdana" w:eastAsia="Century Gothic" w:hAnsi="Verdana" w:cs="Century Gothic"/>
          <w:sz w:val="20"/>
          <w:szCs w:val="20"/>
          <w:lang w:val="es-ES"/>
        </w:rPr>
        <w:t>1. Indicar si, desde el punto de vista del control fiscal, el hecho de que los contratos sean</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suscritos en un orden distinto al consecutivo interno asignado puede considerarse una</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irregularidad o una práctica reprochable.</w:t>
      </w:r>
    </w:p>
    <w:p w14:paraId="092D1239" w14:textId="77777777" w:rsidR="006B036C" w:rsidRPr="001D5897" w:rsidRDefault="006B036C" w:rsidP="006B036C">
      <w:pPr>
        <w:spacing w:after="120" w:line="240" w:lineRule="auto"/>
        <w:ind w:left="709" w:right="709"/>
        <w:jc w:val="both"/>
        <w:rPr>
          <w:rFonts w:ascii="Verdana" w:eastAsia="Century Gothic" w:hAnsi="Verdana" w:cs="Century Gothic"/>
          <w:sz w:val="20"/>
          <w:szCs w:val="20"/>
          <w:lang w:val="es-ES"/>
        </w:rPr>
      </w:pPr>
      <w:r w:rsidRPr="001D5897">
        <w:rPr>
          <w:rFonts w:ascii="Verdana" w:eastAsia="Century Gothic" w:hAnsi="Verdana" w:cs="Century Gothic"/>
          <w:sz w:val="20"/>
          <w:szCs w:val="20"/>
          <w:lang w:val="es-ES"/>
        </w:rPr>
        <w:t>2. Precisar si la asignación de un número consecutivo a un contrato que finalmente no se</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suscribe —por desistimiento o demora del contratista— puede generar observaciones</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fiscales o si basta con dejar constancia en el expediente contractual.</w:t>
      </w:r>
    </w:p>
    <w:p w14:paraId="2120C69D" w14:textId="77777777" w:rsidR="006B036C" w:rsidRDefault="006B036C" w:rsidP="006B036C">
      <w:pPr>
        <w:spacing w:after="120" w:line="240" w:lineRule="auto"/>
        <w:ind w:left="709" w:right="709"/>
        <w:jc w:val="both"/>
        <w:rPr>
          <w:rFonts w:ascii="Verdana" w:eastAsia="Century Gothic" w:hAnsi="Verdana" w:cs="Century Gothic"/>
          <w:sz w:val="20"/>
          <w:szCs w:val="20"/>
          <w:lang w:val="es-ES"/>
        </w:rPr>
      </w:pPr>
      <w:r w:rsidRPr="001D5897">
        <w:rPr>
          <w:rFonts w:ascii="Verdana" w:eastAsia="Century Gothic" w:hAnsi="Verdana" w:cs="Century Gothic"/>
          <w:sz w:val="20"/>
          <w:szCs w:val="20"/>
          <w:lang w:val="es-ES"/>
        </w:rPr>
        <w:t>3. Señalar si es jurídicamente procedente expedir actos administrativos (resoluciones) para</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anular procesos precontractuales no suscritos o si existen mecanismos más eficientes que</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no generen riesgos en materia de control fiscal</w:t>
      </w:r>
    </w:p>
    <w:p w14:paraId="01702777" w14:textId="77777777" w:rsidR="006B036C" w:rsidRPr="001D5897" w:rsidRDefault="006B036C" w:rsidP="006B036C">
      <w:pPr>
        <w:spacing w:after="120" w:line="240" w:lineRule="auto"/>
        <w:ind w:left="709" w:right="709"/>
        <w:jc w:val="both"/>
        <w:rPr>
          <w:rFonts w:ascii="Verdana" w:eastAsia="Century Gothic" w:hAnsi="Verdana" w:cs="Century Gothic"/>
          <w:sz w:val="20"/>
          <w:szCs w:val="20"/>
          <w:lang w:val="es-ES"/>
        </w:rPr>
      </w:pPr>
      <w:r w:rsidRPr="001D5897">
        <w:rPr>
          <w:rFonts w:ascii="Verdana" w:eastAsia="Century Gothic" w:hAnsi="Verdana" w:cs="Century Gothic"/>
          <w:sz w:val="20"/>
          <w:szCs w:val="20"/>
          <w:lang w:val="es-ES"/>
        </w:rPr>
        <w:t>4. Indicar si, en contratos celebrados con personas jurídicas, el contrato debe ser firmado</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desde el usuario del representante legal o si puede ser suscrito desde el usuario general de</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la empresa, y si ello tiene relevancia en materia de responsabilidad o validez contractual.</w:t>
      </w:r>
    </w:p>
    <w:p w14:paraId="46A6BD12" w14:textId="77777777" w:rsidR="006B036C" w:rsidRPr="001D5897" w:rsidRDefault="006B036C" w:rsidP="006B036C">
      <w:pPr>
        <w:spacing w:after="120" w:line="240" w:lineRule="auto"/>
        <w:ind w:left="709" w:right="709"/>
        <w:jc w:val="both"/>
        <w:rPr>
          <w:rFonts w:ascii="Verdana" w:eastAsia="Century Gothic" w:hAnsi="Verdana" w:cs="Century Gothic"/>
          <w:sz w:val="20"/>
          <w:szCs w:val="20"/>
          <w:lang w:val="es-ES"/>
        </w:rPr>
      </w:pPr>
      <w:r w:rsidRPr="001D5897">
        <w:rPr>
          <w:rFonts w:ascii="Verdana" w:eastAsia="Century Gothic" w:hAnsi="Verdana" w:cs="Century Gothic"/>
          <w:sz w:val="20"/>
          <w:szCs w:val="20"/>
          <w:lang w:val="es-ES"/>
        </w:rPr>
        <w:t>5. Determinar si existe un término prudencial o razonable para la firma de los contratos en el</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SECOP II, sin que la demora constituya una conducta reprochable o un hallazgo de gestión.</w:t>
      </w:r>
    </w:p>
    <w:p w14:paraId="05B04844" w14:textId="77777777" w:rsidR="006B036C" w:rsidRPr="001D5897" w:rsidRDefault="006B036C" w:rsidP="006B036C">
      <w:pPr>
        <w:spacing w:after="0" w:line="240" w:lineRule="auto"/>
        <w:ind w:left="709" w:right="709"/>
        <w:jc w:val="both"/>
        <w:rPr>
          <w:rFonts w:ascii="Verdana" w:eastAsia="Century Gothic" w:hAnsi="Verdana" w:cs="Century Gothic"/>
          <w:sz w:val="20"/>
          <w:szCs w:val="20"/>
          <w:lang w:val="es-ES"/>
        </w:rPr>
      </w:pPr>
      <w:r w:rsidRPr="001D5897">
        <w:rPr>
          <w:rFonts w:ascii="Verdana" w:eastAsia="Century Gothic" w:hAnsi="Verdana" w:cs="Century Gothic"/>
          <w:sz w:val="20"/>
          <w:szCs w:val="20"/>
          <w:lang w:val="es-ES"/>
        </w:rPr>
        <w:t>6. Solicitar que la respuesta se fundamente expresamente en conceptos, pronunciamientos y</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normatividad vigente aplicable a las entidades con régimen especial de contratación, y no</w:t>
      </w:r>
      <w:r>
        <w:rPr>
          <w:rFonts w:ascii="Verdana" w:eastAsia="Century Gothic" w:hAnsi="Verdana" w:cs="Century Gothic"/>
          <w:sz w:val="20"/>
          <w:szCs w:val="20"/>
          <w:lang w:val="es-ES"/>
        </w:rPr>
        <w:t xml:space="preserve"> </w:t>
      </w:r>
      <w:r w:rsidRPr="001D5897">
        <w:rPr>
          <w:rFonts w:ascii="Verdana" w:eastAsia="Century Gothic" w:hAnsi="Verdana" w:cs="Century Gothic"/>
          <w:sz w:val="20"/>
          <w:szCs w:val="20"/>
          <w:lang w:val="es-ES"/>
        </w:rPr>
        <w:t>en el marco de la Ley 80 de 1993</w:t>
      </w:r>
      <w:r w:rsidRPr="006623D1">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 </w:t>
      </w:r>
    </w:p>
    <w:p w14:paraId="56D106C8" w14:textId="77777777" w:rsidR="006B036C" w:rsidRPr="008E6AD9" w:rsidRDefault="006B036C" w:rsidP="006B036C">
      <w:pPr>
        <w:pStyle w:val="Prrafodelista"/>
        <w:tabs>
          <w:tab w:val="left" w:pos="142"/>
          <w:tab w:val="left" w:pos="284"/>
        </w:tabs>
        <w:spacing w:after="0" w:line="276" w:lineRule="auto"/>
        <w:ind w:left="0"/>
        <w:jc w:val="both"/>
        <w:rPr>
          <w:rFonts w:ascii="Verdana" w:eastAsia="Century Gothic" w:hAnsi="Verdana" w:cs="Century Gothic"/>
          <w:b/>
          <w:bCs/>
        </w:rPr>
      </w:pPr>
    </w:p>
    <w:p w14:paraId="2BFE1BB2" w14:textId="77777777" w:rsidR="006B036C" w:rsidRPr="00A652FF" w:rsidRDefault="006B036C" w:rsidP="006B036C">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w:t>
      </w:r>
      <w:r w:rsidRPr="00593A5F">
        <w:rPr>
          <w:rFonts w:ascii="Verdana" w:eastAsia="Calibri" w:hAnsi="Verdana" w:cs="Arial"/>
          <w:color w:val="000000"/>
          <w:lang w:val="es-ES" w:eastAsia="es-ES"/>
        </w:rPr>
        <w:lastRenderedPageBreak/>
        <w:t xml:space="preserve">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4E794ADD" w14:textId="77777777" w:rsidR="006B036C" w:rsidRDefault="006B036C" w:rsidP="006B036C">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1E39D9E7" w14:textId="77777777" w:rsidR="006B036C" w:rsidRPr="00593A5F" w:rsidRDefault="006B036C" w:rsidP="006B036C">
      <w:pPr>
        <w:spacing w:after="0" w:line="276" w:lineRule="auto"/>
        <w:ind w:firstLine="709"/>
        <w:jc w:val="both"/>
        <w:rPr>
          <w:rFonts w:ascii="Verdana" w:eastAsia="Calibri" w:hAnsi="Verdana" w:cs="Arial"/>
          <w:color w:val="000000"/>
          <w:lang w:val="es-ES" w:eastAsia="es-ES"/>
        </w:rPr>
      </w:pPr>
    </w:p>
    <w:p w14:paraId="2C692FB0" w14:textId="77777777" w:rsidR="006B036C" w:rsidRPr="00593A5F" w:rsidRDefault="006B036C" w:rsidP="006B036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A573253" w14:textId="77777777" w:rsidR="006B036C" w:rsidRPr="00593A5F" w:rsidRDefault="006B036C" w:rsidP="006B036C">
      <w:pPr>
        <w:tabs>
          <w:tab w:val="left" w:pos="426"/>
        </w:tabs>
        <w:spacing w:after="0" w:line="276" w:lineRule="auto"/>
        <w:jc w:val="both"/>
        <w:rPr>
          <w:rFonts w:ascii="Verdana" w:eastAsia="Century Gothic" w:hAnsi="Verdana" w:cs="Century Gothic"/>
          <w:lang w:val="es-ES"/>
        </w:rPr>
      </w:pPr>
    </w:p>
    <w:p w14:paraId="5E328D9E" w14:textId="3053C62C" w:rsidR="006B036C" w:rsidRPr="00593A5F" w:rsidRDefault="006B036C" w:rsidP="006B036C">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w:t>
      </w:r>
      <w:r w:rsidRPr="00906BE9">
        <w:rPr>
          <w:rFonts w:ascii="Verdana" w:eastAsia="Century Gothic" w:hAnsi="Verdana" w:cs="Century Gothic"/>
        </w:rPr>
        <w:t xml:space="preserve"> siguiente problema jurídico:</w:t>
      </w:r>
      <w:r>
        <w:rPr>
          <w:rFonts w:ascii="Verdana" w:eastAsia="Century Gothic" w:hAnsi="Verdana" w:cs="Century Gothic"/>
        </w:rPr>
        <w:t xml:space="preserve"> ¿cómo se realiza la gestión contractual en el SECOP para las entidades exceptuadas del Estatuto General de Contratación de la Administración Pública?</w:t>
      </w:r>
    </w:p>
    <w:p w14:paraId="546FBCB7" w14:textId="49B7958B" w:rsidR="006B036C" w:rsidRPr="004B140F" w:rsidRDefault="001A5B38" w:rsidP="006B036C">
      <w:pPr>
        <w:spacing w:after="0" w:line="276" w:lineRule="auto"/>
        <w:jc w:val="both"/>
        <w:rPr>
          <w:rFonts w:ascii="Verdana" w:eastAsia="Calibri" w:hAnsi="Verdana" w:cs="Arial"/>
          <w:color w:val="7030A0"/>
        </w:rPr>
      </w:pPr>
      <w:r>
        <w:rPr>
          <w:rFonts w:ascii="Verdana" w:eastAsia="Calibri" w:hAnsi="Verdana" w:cs="Arial"/>
          <w:color w:val="7030A0"/>
        </w:rPr>
        <w:t xml:space="preserve"> </w:t>
      </w:r>
    </w:p>
    <w:p w14:paraId="5DA79BE9" w14:textId="77777777" w:rsidR="006B036C" w:rsidRPr="00593A5F" w:rsidRDefault="006B036C" w:rsidP="006B036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21514E9" w14:textId="77777777" w:rsidR="006B036C" w:rsidRPr="00593A5F" w:rsidRDefault="006B036C" w:rsidP="006B036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B036C" w:rsidRPr="00593A5F" w14:paraId="1F194F08" w14:textId="77777777" w:rsidTr="50365B4C">
        <w:trPr>
          <w:jc w:val="center"/>
        </w:trPr>
        <w:tc>
          <w:tcPr>
            <w:tcW w:w="8828" w:type="dxa"/>
          </w:tcPr>
          <w:p w14:paraId="7DCFEB42" w14:textId="77777777" w:rsidR="006B036C" w:rsidRDefault="006B036C" w:rsidP="003129F5">
            <w:pPr>
              <w:spacing w:after="120" w:line="276" w:lineRule="auto"/>
              <w:jc w:val="both"/>
              <w:rPr>
                <w:rFonts w:ascii="Verdana" w:eastAsia="Calibri" w:hAnsi="Verdana" w:cs="Arial"/>
                <w:bCs/>
                <w:color w:val="000000" w:themeColor="text1"/>
                <w:lang w:val="es-ES_tradnl"/>
              </w:rPr>
            </w:pPr>
            <w:bookmarkStart w:id="2" w:name="_Hlk171694685"/>
            <w:r>
              <w:rPr>
                <w:rFonts w:ascii="Verdana" w:eastAsia="Calibri" w:hAnsi="Verdana" w:cs="Times New Roman"/>
                <w:iCs/>
                <w:lang w:val="es-ES"/>
              </w:rPr>
              <w:t xml:space="preserve">Conforme a la interpretación general de las normas del sistema de compras públicas, </w:t>
            </w:r>
            <w:r>
              <w:rPr>
                <w:rFonts w:ascii="Verdana" w:eastAsia="Calibri" w:hAnsi="Verdana" w:cs="Arial"/>
                <w:bCs/>
                <w:color w:val="000000" w:themeColor="text1"/>
                <w:lang w:val="es-ES_tradnl"/>
              </w:rPr>
              <w:t xml:space="preserve">más allá de la gestión y publicidad de los contratos estatales en el SECOP II, el consecutivo interno de los negocios suscritos es un tema del resorte exclusivo de las entidades contratantes. Al respecto, es necesario tener en cuenta que el consecutivo de los procesos de selección rara vez coincide con el de los contratos, pues aquellos terminan por causas como la revocatoria directa de la invitación, la declaratoria de desierta, etc., situaciones en la cuales no se suscribe negocio alguno. El manejo dicho aspecto hace parte de la gestión documental; razón por la cual, son un insumo para rendir informes a los órganos de control. </w:t>
            </w:r>
          </w:p>
          <w:p w14:paraId="2C814129" w14:textId="77777777" w:rsidR="006B036C" w:rsidRDefault="006B036C" w:rsidP="003129F5">
            <w:pPr>
              <w:spacing w:after="120" w:line="276" w:lineRule="auto"/>
              <w:ind w:firstLine="737"/>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La asignación de los consecutivos no depende de la fecha de perfeccionamiento, sino de la asignación alfanumérica que adopte la entidad, pues lo normal es que la contratación directa sea más ágil y expedita que los demás procesos con pluralidad de oferentes previstos en el manual. En estos casos, a diferencia del orden que se adopta para la expedición de resoluciones </w:t>
            </w:r>
            <w:r>
              <w:rPr>
                <w:rFonts w:ascii="Verdana" w:eastAsia="Calibri" w:hAnsi="Verdana" w:cs="Arial"/>
                <w:bCs/>
                <w:color w:val="000000" w:themeColor="text1"/>
                <w:lang w:val="es-ES_tradnl"/>
              </w:rPr>
              <w:lastRenderedPageBreak/>
              <w:t>u otros actos administrativos, el orden los consecutivos de los contratos no necesariamente coincide con el orden de las fechas de perfeccionamiento.</w:t>
            </w:r>
          </w:p>
          <w:p w14:paraId="75AD87CD" w14:textId="77777777" w:rsidR="006B036C" w:rsidRDefault="006B036C" w:rsidP="003129F5">
            <w:pPr>
              <w:spacing w:after="120" w:line="276" w:lineRule="auto"/>
              <w:ind w:firstLine="737"/>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 xml:space="preserve">En los regímenes especiales, por regla general, los contratos se perfeccionan con la aceptación de la oferta –artículos 845, 853 y 854 del Código de Comercio–. Asimismo, el artículo 860 </w:t>
            </w:r>
            <w:r w:rsidRPr="00760E10">
              <w:rPr>
                <w:rFonts w:ascii="Verdana" w:eastAsia="Calibri" w:hAnsi="Verdana" w:cs="Arial"/>
                <w:bCs/>
                <w:i/>
                <w:iCs/>
                <w:color w:val="000000" w:themeColor="text1"/>
                <w:lang w:val="es-ES_tradnl"/>
              </w:rPr>
              <w:t>ibidem</w:t>
            </w:r>
            <w:r>
              <w:rPr>
                <w:rFonts w:ascii="Verdana" w:eastAsia="Calibri" w:hAnsi="Verdana" w:cs="Arial"/>
                <w:bCs/>
                <w:i/>
                <w:iCs/>
                <w:color w:val="000000" w:themeColor="text1"/>
                <w:lang w:val="es-ES_tradnl"/>
              </w:rPr>
              <w:t xml:space="preserve"> </w:t>
            </w:r>
            <w:r>
              <w:rPr>
                <w:rFonts w:ascii="Verdana" w:eastAsia="Calibri" w:hAnsi="Verdana" w:cs="Arial"/>
                <w:bCs/>
                <w:color w:val="000000" w:themeColor="text1"/>
                <w:lang w:val="es-ES_tradnl"/>
              </w:rPr>
              <w:t>dispone que “</w:t>
            </w:r>
            <w:r w:rsidRPr="00760E10">
              <w:rPr>
                <w:rFonts w:ascii="Verdana" w:eastAsia="Calibri" w:hAnsi="Verdana" w:cs="Arial"/>
                <w:bCs/>
                <w:color w:val="000000" w:themeColor="text1"/>
                <w:lang w:val="es-ES_tradnl"/>
              </w:rPr>
              <w:t>En todo género de licitaciones, públicas o privadas, el pliego de cargos constituye una oferta de contrato y cada postura implica la celebración de un contrato condicionado a que no haya postura mejor. Hecha la adjudicación al mejor postor, se desecharán las demás</w:t>
            </w:r>
            <w:r>
              <w:rPr>
                <w:rFonts w:ascii="Verdana" w:eastAsia="Calibri" w:hAnsi="Verdana" w:cs="Arial"/>
                <w:bCs/>
                <w:color w:val="000000" w:themeColor="text1"/>
                <w:lang w:val="es-ES_tradnl"/>
              </w:rPr>
              <w:t>”</w:t>
            </w:r>
            <w:r w:rsidRPr="00760E10">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Luego, salvo que el contrato sea real o solemne, el solo consenso obliga a las partes en los términos del artículo 1500 del Código Civil. Sin embargo, las partes pueden acordar la suscripción de minutas contractuales después de la aceptación de la propuesta. Aunque el contrato se encuentre perfeccionado, dicha formalidad solo tiene carácter probatorio.</w:t>
            </w:r>
          </w:p>
          <w:p w14:paraId="1D3FAF5F" w14:textId="2BB689A3" w:rsidR="006B036C" w:rsidRDefault="006B036C" w:rsidP="003129F5">
            <w:pPr>
              <w:spacing w:after="120" w:line="276" w:lineRule="auto"/>
              <w:ind w:firstLine="709"/>
              <w:jc w:val="both"/>
              <w:rPr>
                <w:rFonts w:ascii="Verdana" w:eastAsia="Calibri" w:hAnsi="Verdana" w:cs="Arial"/>
                <w:color w:val="000000" w:themeColor="text1"/>
                <w:lang w:val="es-ES"/>
              </w:rPr>
            </w:pPr>
            <w:r w:rsidRPr="50365B4C">
              <w:rPr>
                <w:rFonts w:ascii="Verdana" w:eastAsia="Calibri" w:hAnsi="Verdana" w:cs="Arial"/>
                <w:color w:val="000000" w:themeColor="text1"/>
                <w:lang w:val="es-ES"/>
              </w:rPr>
              <w:t xml:space="preserve">Si no se cumple con la suscripción de la minuta en el </w:t>
            </w:r>
            <w:r w:rsidRPr="50365B4C">
              <w:rPr>
                <w:rFonts w:ascii="Verdana" w:eastAsia="Calibri" w:hAnsi="Verdana" w:cs="Arial"/>
                <w:i/>
                <w:color w:val="000000" w:themeColor="text1"/>
                <w:lang w:val="es-ES"/>
              </w:rPr>
              <w:t>módulo de publicidad</w:t>
            </w:r>
            <w:r w:rsidRPr="50365B4C">
              <w:rPr>
                <w:rFonts w:ascii="Verdana" w:eastAsia="Calibri" w:hAnsi="Verdana" w:cs="Arial"/>
                <w:color w:val="000000" w:themeColor="text1"/>
                <w:lang w:val="es-ES"/>
              </w:rPr>
              <w:t xml:space="preserve">, </w:t>
            </w:r>
            <w:r w:rsidR="00FD58F2" w:rsidRPr="50365B4C">
              <w:rPr>
                <w:rFonts w:ascii="Verdana" w:eastAsia="Calibri" w:hAnsi="Verdana" w:cs="Arial"/>
                <w:color w:val="000000" w:themeColor="text1"/>
                <w:lang w:val="es-ES"/>
              </w:rPr>
              <w:t>debe</w:t>
            </w:r>
            <w:r w:rsidRPr="50365B4C">
              <w:rPr>
                <w:rFonts w:ascii="Verdana" w:eastAsia="Calibri" w:hAnsi="Verdana" w:cs="Arial"/>
                <w:color w:val="000000" w:themeColor="text1"/>
                <w:lang w:val="es-ES"/>
              </w:rPr>
              <w:t xml:space="preserve"> dejar</w:t>
            </w:r>
            <w:r w:rsidR="00FD58F2" w:rsidRPr="50365B4C">
              <w:rPr>
                <w:rFonts w:ascii="Verdana" w:eastAsia="Calibri" w:hAnsi="Verdana" w:cs="Arial"/>
                <w:color w:val="000000" w:themeColor="text1"/>
                <w:lang w:val="es-ES"/>
              </w:rPr>
              <w:t>se</w:t>
            </w:r>
            <w:r w:rsidRPr="50365B4C">
              <w:rPr>
                <w:rFonts w:ascii="Verdana" w:eastAsia="Calibri" w:hAnsi="Verdana" w:cs="Arial"/>
                <w:color w:val="000000" w:themeColor="text1"/>
                <w:lang w:val="es-ES"/>
              </w:rPr>
              <w:t xml:space="preserve"> constancia de ello en el expediente contractual, teniendo en cuenta que</w:t>
            </w:r>
            <w:r w:rsidR="00AE24D0" w:rsidRPr="50365B4C">
              <w:rPr>
                <w:rFonts w:ascii="Verdana" w:eastAsia="Calibri" w:hAnsi="Verdana" w:cs="Arial"/>
                <w:color w:val="000000" w:themeColor="text1"/>
                <w:lang w:val="es-ES"/>
              </w:rPr>
              <w:t>,</w:t>
            </w:r>
            <w:r w:rsidRPr="50365B4C">
              <w:rPr>
                <w:rFonts w:ascii="Verdana" w:eastAsia="Calibri" w:hAnsi="Verdana" w:cs="Arial"/>
                <w:color w:val="000000" w:themeColor="text1"/>
                <w:lang w:val="es-ES"/>
              </w:rPr>
              <w:t xml:space="preserve"> si se emplea en el </w:t>
            </w:r>
            <w:r w:rsidRPr="50365B4C">
              <w:rPr>
                <w:rFonts w:ascii="Verdana" w:eastAsia="Calibri" w:hAnsi="Verdana" w:cs="Arial"/>
                <w:i/>
                <w:color w:val="000000" w:themeColor="text1"/>
                <w:lang w:val="es-ES"/>
              </w:rPr>
              <w:t>módulo transaccional</w:t>
            </w:r>
            <w:r w:rsidRPr="50365B4C">
              <w:rPr>
                <w:rFonts w:ascii="Verdana" w:eastAsia="Calibri" w:hAnsi="Verdana" w:cs="Arial"/>
                <w:color w:val="000000" w:themeColor="text1"/>
                <w:lang w:val="es-ES"/>
              </w:rPr>
              <w:t xml:space="preserve">, es necesaria la suscripción para que la plataforma entre en la fase de ejecución. En caso de que el proceso no finalice con la aceptación de la propuesta, basta con la publicación del acto que revoca la invitación o del que lo declara desierto, pues en estos casos no puede surgir ningún negocio jurídico. Finalmente, las minutas debe suscribirlas el representante legal a través de la cuenta del proveedor del SECOP II, en los plazos que disponga el cronograma del proceso de selección. Lo anterior, en la medida solo éste puede obligar a la persona jurídica, ya que “Lo que una persona ejecuta a nombre de otra, estando facultada por ella o por la ley para representarla, produce respecto del representado iguales efectos que si hubiese contratado él mismo” –artículo 1505 del Código Civil–. </w:t>
            </w:r>
          </w:p>
          <w:p w14:paraId="2F379891" w14:textId="77777777" w:rsidR="006B036C" w:rsidRPr="00DF6ECB" w:rsidRDefault="006B036C" w:rsidP="003129F5">
            <w:pPr>
              <w:spacing w:line="276" w:lineRule="auto"/>
              <w:ind w:firstLine="737"/>
              <w:jc w:val="both"/>
              <w:rPr>
                <w:rFonts w:ascii="Verdana" w:eastAsia="Calibri" w:hAnsi="Verdana" w:cs="Arial"/>
                <w:color w:val="000000" w:themeColor="text1"/>
              </w:rPr>
            </w:pPr>
            <w:r>
              <w:rPr>
                <w:rFonts w:ascii="Verdana" w:eastAsia="Calibri" w:hAnsi="Verdana" w:cs="Arial"/>
                <w:color w:val="000000" w:themeColor="text1"/>
              </w:rPr>
              <w:t>L</w:t>
            </w:r>
            <w:r w:rsidRPr="00651574">
              <w:rPr>
                <w:rFonts w:ascii="Verdana" w:eastAsia="Calibri" w:hAnsi="Verdana" w:cs="Arial"/>
                <w:color w:val="000000" w:themeColor="text1"/>
              </w:rPr>
              <w:t xml:space="preserve">a Agencia Nacional de Contratación Pública – Colombia Compra Eficiente fue creada por el Decreto Ley 4170 de 2011, como una Unidad Administrativa Especial, descentralizada de la Rama Ejecutiva del orden nacional, adscrita al Departamento Nacional de Planeación. El legislador determinó que su objetivo sería servir como ente rector de la política de compras y contratación, al ser consciente de la necesidad de contar en la estructura del Estado con un órgano técnico especializado que asumiera la </w:t>
            </w:r>
            <w:r w:rsidRPr="00651574">
              <w:rPr>
                <w:rFonts w:ascii="Verdana" w:eastAsia="Calibri" w:hAnsi="Verdana" w:cs="Arial"/>
                <w:color w:val="000000" w:themeColor="text1"/>
              </w:rPr>
              <w:lastRenderedPageBreak/>
              <w:t xml:space="preserve">tarea de </w:t>
            </w:r>
            <w:r>
              <w:rPr>
                <w:rFonts w:ascii="Verdana" w:eastAsia="Calibri" w:hAnsi="Verdana" w:cs="Arial"/>
                <w:color w:val="000000" w:themeColor="text1"/>
              </w:rPr>
              <w:t>asesorar a las entidades públicas en la formulación de</w:t>
            </w:r>
            <w:r w:rsidRPr="00651574">
              <w:rPr>
                <w:rFonts w:ascii="Verdana" w:eastAsia="Calibri" w:hAnsi="Verdana" w:cs="Arial"/>
                <w:color w:val="000000" w:themeColor="text1"/>
              </w:rPr>
              <w:t xml:space="preserve"> políticas </w:t>
            </w:r>
            <w:r>
              <w:rPr>
                <w:rFonts w:ascii="Verdana" w:eastAsia="Calibri" w:hAnsi="Verdana" w:cs="Arial"/>
                <w:color w:val="000000" w:themeColor="text1"/>
              </w:rPr>
              <w:t>y</w:t>
            </w:r>
            <w:r w:rsidRPr="00651574">
              <w:rPr>
                <w:rFonts w:ascii="Verdana" w:eastAsia="Calibri" w:hAnsi="Verdana" w:cs="Arial"/>
                <w:color w:val="000000" w:themeColor="text1"/>
              </w:rPr>
              <w:t xml:space="preserve"> normas </w:t>
            </w:r>
            <w:r>
              <w:rPr>
                <w:rFonts w:ascii="Verdana" w:eastAsia="Calibri" w:hAnsi="Verdana" w:cs="Arial"/>
                <w:color w:val="000000" w:themeColor="text1"/>
              </w:rPr>
              <w:t>para</w:t>
            </w:r>
            <w:r w:rsidRPr="00651574">
              <w:rPr>
                <w:rFonts w:ascii="Verdana" w:eastAsia="Calibri" w:hAnsi="Verdana" w:cs="Arial"/>
                <w:color w:val="000000" w:themeColor="text1"/>
              </w:rPr>
              <w:t xml:space="preserve"> unificar los procesos de contratación estatal</w:t>
            </w:r>
            <w:r>
              <w:rPr>
                <w:rFonts w:ascii="Verdana" w:eastAsia="Calibri" w:hAnsi="Verdana" w:cs="Arial"/>
                <w:color w:val="000000" w:themeColor="text1"/>
              </w:rPr>
              <w:t>. De acuerdo con esta naturaleza jurídica</w:t>
            </w:r>
            <w:r w:rsidRPr="00651574">
              <w:rPr>
                <w:rFonts w:ascii="Verdana" w:eastAsia="Calibri" w:hAnsi="Verdana" w:cs="Arial"/>
                <w:color w:val="000000" w:themeColor="text1"/>
              </w:rPr>
              <w:t xml:space="preserve">, se aclara que la Agencia </w:t>
            </w:r>
            <w:r>
              <w:rPr>
                <w:rFonts w:ascii="Verdana" w:eastAsia="Calibri" w:hAnsi="Verdana" w:cs="Arial"/>
                <w:color w:val="000000" w:themeColor="text1"/>
              </w:rPr>
              <w:t>no es titular del control fiscal, por lo cual corresponde a la Contraloría General de la República determinar qué conductas son constitutivas de irregularidad, responsabilidad o hallazgo de gestión.</w:t>
            </w:r>
            <w:r>
              <w:rPr>
                <w:rFonts w:ascii="Verdana" w:eastAsia="Calibri" w:hAnsi="Verdana" w:cs="Arial"/>
                <w:bCs/>
                <w:color w:val="000000" w:themeColor="text1"/>
                <w:lang w:val="es-ES_tradnl"/>
              </w:rPr>
              <w:t xml:space="preserve"> </w:t>
            </w:r>
          </w:p>
          <w:p w14:paraId="02E4D057" w14:textId="77777777" w:rsidR="006B036C" w:rsidRPr="001A09C8" w:rsidRDefault="006B036C" w:rsidP="003129F5">
            <w:pPr>
              <w:spacing w:before="120" w:line="276" w:lineRule="auto"/>
              <w:ind w:firstLine="737"/>
              <w:jc w:val="both"/>
              <w:rPr>
                <w:rFonts w:ascii="Verdana" w:eastAsia="Calibri" w:hAnsi="Verdana" w:cs="Arial"/>
                <w:bCs/>
                <w:color w:val="000000" w:themeColor="text1"/>
              </w:rPr>
            </w:pP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1941FD">
              <w:rPr>
                <w:rStyle w:val="apple-converted-space"/>
                <w:rFonts w:ascii="Verdana" w:hAnsi="Verdana"/>
                <w:color w:val="000000"/>
              </w:rPr>
              <w:t> </w:t>
            </w:r>
            <w:r w:rsidRPr="001941FD">
              <w:rPr>
                <w:rStyle w:val="s15"/>
                <w:rFonts w:ascii="Verdana" w:hAnsi="Verdana"/>
                <w:color w:val="000000"/>
              </w:rPr>
              <w:t>Por lo anterior, previo</w:t>
            </w:r>
            <w:r w:rsidRPr="001941FD">
              <w:rPr>
                <w:rStyle w:val="apple-converted-space"/>
                <w:rFonts w:ascii="Verdana" w:hAnsi="Verdana"/>
                <w:color w:val="000000"/>
              </w:rPr>
              <w:t> </w:t>
            </w:r>
            <w:r w:rsidRPr="001941FD">
              <w:rPr>
                <w:rStyle w:val="s15"/>
                <w:rFonts w:ascii="Verdana" w:hAnsi="Verdana"/>
                <w:color w:val="000000"/>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r>
              <w:rPr>
                <w:rStyle w:val="s15"/>
                <w:rFonts w:ascii="Verdana" w:hAnsi="Verdana"/>
                <w:color w:val="000000"/>
              </w:rPr>
              <w:t xml:space="preserve"> </w:t>
            </w:r>
            <w:r>
              <w:rPr>
                <w:rFonts w:ascii="Verdana" w:eastAsia="Calibri" w:hAnsi="Verdana" w:cs="Arial"/>
                <w:bCs/>
                <w:color w:val="000000" w:themeColor="text1"/>
              </w:rPr>
              <w:t xml:space="preserve">Cualquier consulta adicional sobre el manejo operativo del SECOP debe dirigirse a la </w:t>
            </w:r>
            <w:r w:rsidRPr="000F6273">
              <w:rPr>
                <w:rFonts w:ascii="Verdana" w:eastAsia="Calibri" w:hAnsi="Verdana" w:cs="Arial"/>
                <w:bCs/>
                <w:color w:val="000000" w:themeColor="text1"/>
              </w:rPr>
              <w:t>Subdirección de Información y Desarrollo Tecnológico</w:t>
            </w:r>
            <w:r>
              <w:rPr>
                <w:rFonts w:ascii="Verdana" w:eastAsia="Calibri" w:hAnsi="Verdana" w:cs="Arial"/>
                <w:bCs/>
                <w:color w:val="000000" w:themeColor="text1"/>
              </w:rPr>
              <w:t xml:space="preserve"> de la ANCP – CCE conforme al artículo 13.4 del Decreto Ley 4170 de 2011.</w:t>
            </w:r>
          </w:p>
        </w:tc>
      </w:tr>
    </w:tbl>
    <w:p w14:paraId="28F9ACF1" w14:textId="77777777" w:rsidR="006B036C" w:rsidRPr="00593A5F" w:rsidRDefault="006B036C" w:rsidP="006B036C">
      <w:pPr>
        <w:tabs>
          <w:tab w:val="left" w:pos="142"/>
          <w:tab w:val="left" w:pos="284"/>
        </w:tabs>
        <w:spacing w:after="0" w:line="276" w:lineRule="auto"/>
        <w:jc w:val="both"/>
        <w:rPr>
          <w:rFonts w:ascii="Verdana" w:eastAsia="Century Gothic" w:hAnsi="Verdana" w:cs="Century Gothic"/>
          <w:b/>
          <w:bCs/>
          <w:lang w:val="es-ES"/>
        </w:rPr>
      </w:pPr>
    </w:p>
    <w:bookmarkEnd w:id="2"/>
    <w:p w14:paraId="0D6C6B87" w14:textId="77777777" w:rsidR="006B036C" w:rsidRPr="00593A5F" w:rsidRDefault="006B036C" w:rsidP="006B036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1365C295" w14:textId="77777777" w:rsidR="006B036C" w:rsidRPr="00593A5F" w:rsidRDefault="006B036C" w:rsidP="006B036C">
      <w:pPr>
        <w:spacing w:after="0" w:line="276" w:lineRule="auto"/>
        <w:jc w:val="both"/>
        <w:rPr>
          <w:rFonts w:ascii="Verdana" w:eastAsia="Calibri" w:hAnsi="Verdana" w:cs="Arial"/>
          <w:color w:val="7030A0"/>
          <w:lang w:val="es-ES"/>
        </w:rPr>
      </w:pPr>
    </w:p>
    <w:p w14:paraId="41E68BDF" w14:textId="77777777" w:rsidR="006B036C" w:rsidRDefault="006B036C" w:rsidP="006B036C">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4490B743" w14:textId="77777777" w:rsidR="006B036C" w:rsidRPr="00415608" w:rsidRDefault="006B036C" w:rsidP="006B036C">
      <w:pPr>
        <w:spacing w:after="0" w:line="276" w:lineRule="auto"/>
        <w:jc w:val="both"/>
        <w:rPr>
          <w:rFonts w:ascii="Verdana" w:eastAsia="Calibri" w:hAnsi="Verdana" w:cs="Arial"/>
          <w:lang w:val="es-ES"/>
        </w:rPr>
      </w:pPr>
    </w:p>
    <w:p w14:paraId="7ED36997" w14:textId="77777777" w:rsidR="006B036C" w:rsidRPr="0035328D" w:rsidRDefault="006B036C" w:rsidP="006B036C">
      <w:pPr>
        <w:spacing w:after="120" w:line="276" w:lineRule="auto"/>
        <w:jc w:val="both"/>
        <w:rPr>
          <w:rFonts w:ascii="Verdana" w:hAnsi="Verdana" w:cs="Arial"/>
          <w:lang w:val="es-ES"/>
        </w:rPr>
      </w:pPr>
      <w:r>
        <w:rPr>
          <w:rFonts w:ascii="Verdana" w:hAnsi="Verdana" w:cs="Arial"/>
          <w:lang w:val="es-ES"/>
        </w:rPr>
        <w:t>i. D</w:t>
      </w:r>
      <w:r w:rsidRPr="0035328D">
        <w:rPr>
          <w:rFonts w:ascii="Verdana" w:hAnsi="Verdana" w:cs="Arial"/>
          <w:lang w:val="es-ES"/>
        </w:rPr>
        <w:t xml:space="preserve">e acuerdo con el inciso final del artículo 150 superior, corresponde al Congreso de la República expedir el </w:t>
      </w:r>
      <w:r>
        <w:rPr>
          <w:rFonts w:ascii="Verdana" w:hAnsi="Verdana" w:cs="Arial"/>
          <w:lang w:val="es-ES"/>
        </w:rPr>
        <w:t>E</w:t>
      </w:r>
      <w:r w:rsidRPr="0035328D">
        <w:rPr>
          <w:rFonts w:ascii="Verdana" w:hAnsi="Verdana" w:cs="Arial"/>
          <w:lang w:val="es-ES"/>
        </w:rPr>
        <w:t xml:space="preserve">statuto </w:t>
      </w:r>
      <w:r>
        <w:rPr>
          <w:rFonts w:ascii="Verdana" w:hAnsi="Verdana" w:cs="Arial"/>
          <w:lang w:val="es-ES"/>
        </w:rPr>
        <w:t>G</w:t>
      </w:r>
      <w:r w:rsidRPr="0035328D">
        <w:rPr>
          <w:rFonts w:ascii="Verdana" w:hAnsi="Verdana" w:cs="Arial"/>
          <w:lang w:val="es-ES"/>
        </w:rPr>
        <w:t xml:space="preserve">eneral de </w:t>
      </w:r>
      <w:r>
        <w:rPr>
          <w:rFonts w:ascii="Verdana" w:hAnsi="Verdana" w:cs="Arial"/>
          <w:lang w:val="es-ES"/>
        </w:rPr>
        <w:t>C</w:t>
      </w:r>
      <w:r w:rsidRPr="0035328D">
        <w:rPr>
          <w:rFonts w:ascii="Verdana" w:hAnsi="Verdana" w:cs="Arial"/>
          <w:lang w:val="es-ES"/>
        </w:rPr>
        <w:t xml:space="preserve">ontratación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P</w:t>
      </w:r>
      <w:r w:rsidRPr="0035328D">
        <w:rPr>
          <w:rFonts w:ascii="Verdana" w:hAnsi="Verdana" w:cs="Arial"/>
          <w:lang w:val="es-ES"/>
        </w:rPr>
        <w:t xml:space="preserve">ública y, en especial, de la </w:t>
      </w:r>
      <w:r>
        <w:rPr>
          <w:rFonts w:ascii="Verdana" w:hAnsi="Verdana" w:cs="Arial"/>
          <w:lang w:val="es-ES"/>
        </w:rPr>
        <w:t>A</w:t>
      </w:r>
      <w:r w:rsidRPr="0035328D">
        <w:rPr>
          <w:rFonts w:ascii="Verdana" w:hAnsi="Verdana" w:cs="Arial"/>
          <w:lang w:val="es-ES"/>
        </w:rPr>
        <w:t xml:space="preserve">dministración </w:t>
      </w:r>
      <w:r>
        <w:rPr>
          <w:rFonts w:ascii="Verdana" w:hAnsi="Verdana" w:cs="Arial"/>
          <w:lang w:val="es-ES"/>
        </w:rPr>
        <w:t>N</w:t>
      </w:r>
      <w:r w:rsidRPr="0035328D">
        <w:rPr>
          <w:rFonts w:ascii="Verdana" w:hAnsi="Verdana" w:cs="Arial"/>
          <w:lang w:val="es-ES"/>
        </w:rPr>
        <w:t xml:space="preserve">acional. Esta competencia fue ejercida con la expedición de la Ley 80 de 1993, la cual rige para las </w:t>
      </w:r>
      <w:r w:rsidRPr="00F34258">
        <w:rPr>
          <w:rFonts w:ascii="Verdana" w:hAnsi="Verdana" w:cs="Arial"/>
          <w:i/>
          <w:iCs/>
          <w:lang w:val="es-ES"/>
        </w:rPr>
        <w:t>entidades estatales</w:t>
      </w:r>
      <w:r w:rsidRPr="0035328D">
        <w:rPr>
          <w:rFonts w:ascii="Verdana" w:hAnsi="Verdana" w:cs="Arial"/>
          <w:lang w:val="es-ES"/>
        </w:rPr>
        <w:t xml:space="preserve">, esto es, aquellas previstas en los literales a) y b) del numeral 1 del artículo 2 </w:t>
      </w:r>
      <w:r w:rsidRPr="0035328D">
        <w:rPr>
          <w:rFonts w:ascii="Verdana" w:hAnsi="Verdana" w:cs="Arial"/>
          <w:i/>
          <w:iCs/>
          <w:lang w:val="es-ES"/>
        </w:rPr>
        <w:t>ibidem</w:t>
      </w:r>
      <w:r w:rsidRPr="0035328D">
        <w:rPr>
          <w:rFonts w:ascii="Verdana" w:hAnsi="Verdana" w:cs="Arial"/>
          <w:lang w:val="es-ES"/>
        </w:rPr>
        <w:t xml:space="preserve">. La norma citada define la competencia contractual en los siguientes términos: </w:t>
      </w:r>
    </w:p>
    <w:p w14:paraId="0F86C769" w14:textId="77777777" w:rsidR="006B036C" w:rsidRPr="0035328D" w:rsidRDefault="006B036C" w:rsidP="006B036C">
      <w:pPr>
        <w:spacing w:after="120" w:line="276" w:lineRule="auto"/>
        <w:ind w:firstLine="708"/>
        <w:jc w:val="both"/>
        <w:rPr>
          <w:rFonts w:ascii="Verdana" w:hAnsi="Verdana" w:cs="Arial"/>
          <w:lang w:val="es-ES"/>
        </w:rPr>
      </w:pPr>
      <w:r w:rsidRPr="0035328D">
        <w:rPr>
          <w:rFonts w:ascii="Verdana" w:hAnsi="Verdana" w:cs="Arial"/>
          <w:lang w:val="es-ES"/>
        </w:rPr>
        <w:t>El literal a) aplica a las entidades con personería jurídica</w:t>
      </w:r>
      <w:r>
        <w:rPr>
          <w:rFonts w:ascii="Verdana" w:hAnsi="Verdana" w:cs="Arial"/>
          <w:lang w:val="es-ES"/>
        </w:rPr>
        <w:t>.</w:t>
      </w:r>
      <w:r w:rsidRPr="0035328D">
        <w:rPr>
          <w:rFonts w:ascii="Verdana" w:hAnsi="Verdana" w:cs="Arial"/>
          <w:lang w:val="es-ES"/>
        </w:rPr>
        <w:t xml:space="preserve"> </w:t>
      </w:r>
      <w:r>
        <w:rPr>
          <w:rFonts w:ascii="Verdana" w:hAnsi="Verdana" w:cs="Arial"/>
          <w:lang w:val="es-ES"/>
        </w:rPr>
        <w:t>A</w:t>
      </w:r>
      <w:r w:rsidRPr="0035328D">
        <w:rPr>
          <w:rFonts w:ascii="Verdana" w:hAnsi="Verdana" w:cs="Arial"/>
          <w:lang w:val="es-ES"/>
        </w:rPr>
        <w:t xml:space="preserve">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w:t>
      </w:r>
      <w:r w:rsidRPr="0035328D">
        <w:rPr>
          <w:rFonts w:ascii="Verdana" w:hAnsi="Verdana" w:cs="Arial"/>
          <w:lang w:val="es-ES"/>
        </w:rPr>
        <w:lastRenderedPageBreak/>
        <w:t xml:space="preserve">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409CBCDE" w14:textId="77777777" w:rsidR="006B036C" w:rsidRDefault="006B036C" w:rsidP="006B036C">
      <w:pPr>
        <w:spacing w:after="120" w:line="276" w:lineRule="auto"/>
        <w:ind w:firstLine="708"/>
        <w:jc w:val="both"/>
        <w:rPr>
          <w:rFonts w:ascii="Verdana" w:hAnsi="Verdana" w:cs="Arial"/>
          <w:lang w:val="es-ES"/>
        </w:rPr>
      </w:pPr>
      <w:r w:rsidRPr="0035328D">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35328D">
        <w:rPr>
          <w:rStyle w:val="Refdenotaalpie"/>
          <w:rFonts w:ascii="Verdana" w:hAnsi="Verdana" w:cs="Arial"/>
          <w:lang w:val="es-ES"/>
        </w:rPr>
        <w:footnoteReference w:id="2"/>
      </w:r>
      <w:r w:rsidRPr="0035328D">
        <w:rPr>
          <w:rFonts w:ascii="Verdana" w:hAnsi="Verdana" w:cs="Arial"/>
          <w:lang w:val="es-ES"/>
        </w:rPr>
        <w:t xml:space="preserve">. </w:t>
      </w:r>
    </w:p>
    <w:p w14:paraId="5806738D" w14:textId="77777777" w:rsidR="006B036C" w:rsidRDefault="006B036C" w:rsidP="006B036C">
      <w:pPr>
        <w:spacing w:after="0" w:line="276" w:lineRule="auto"/>
        <w:ind w:firstLine="709"/>
        <w:jc w:val="both"/>
        <w:rPr>
          <w:rFonts w:ascii="Verdana" w:hAnsi="Verdana" w:cs="Arial"/>
          <w:bCs/>
          <w:lang w:val="es-MX"/>
        </w:rPr>
      </w:pPr>
      <w:r w:rsidRPr="00F34258">
        <w:rPr>
          <w:rFonts w:ascii="Verdana" w:hAnsi="Verdana" w:cs="Arial"/>
          <w:lang w:val="es-ES"/>
        </w:rPr>
        <w:t xml:space="preserve">Para las entidades de los párrafos anteriores, </w:t>
      </w:r>
      <w:r>
        <w:rPr>
          <w:rFonts w:ascii="Verdana" w:hAnsi="Verdana" w:cs="Arial"/>
          <w:lang w:val="es-ES"/>
        </w:rPr>
        <w:t xml:space="preserve">sin perjuicio de las excepciones puntales a la aplicación del EGCAP, </w:t>
      </w:r>
      <w:r w:rsidRPr="00F34258">
        <w:rPr>
          <w:rFonts w:ascii="Verdana" w:hAnsi="Verdana" w:cs="Arial"/>
          <w:lang w:val="es-ES"/>
        </w:rPr>
        <w:t xml:space="preserve">los procesos de selección se rigen por el artículo 2 de la Ley 1150 de 2007. El </w:t>
      </w:r>
      <w:r w:rsidRPr="00F34258">
        <w:rPr>
          <w:rFonts w:ascii="Verdana" w:hAnsi="Verdana" w:cs="Arial"/>
          <w:bCs/>
          <w:lang w:val="es-MX"/>
        </w:rPr>
        <w:t xml:space="preserve">numeral uno, inciso primero, dispone que “La escogencia del contratista se efectuará por </w:t>
      </w:r>
      <w:r w:rsidRPr="00F34258">
        <w:rPr>
          <w:rFonts w:ascii="Verdana" w:hAnsi="Verdana" w:cs="Arial"/>
          <w:bCs/>
          <w:i/>
          <w:iCs/>
          <w:lang w:val="es-MX"/>
        </w:rPr>
        <w:t>regla general</w:t>
      </w:r>
      <w:r w:rsidRPr="00F34258">
        <w:rPr>
          <w:rFonts w:ascii="Verdana" w:hAnsi="Verdana" w:cs="Arial"/>
          <w:bCs/>
          <w:lang w:val="es-MX"/>
        </w:rPr>
        <w:t xml:space="preserve"> a través de licitación pública, con las </w:t>
      </w:r>
      <w:r w:rsidRPr="00F34258">
        <w:rPr>
          <w:rFonts w:ascii="Verdana" w:hAnsi="Verdana" w:cs="Arial"/>
          <w:bCs/>
          <w:i/>
          <w:iCs/>
          <w:lang w:val="es-MX"/>
        </w:rPr>
        <w:t>excepciones</w:t>
      </w:r>
      <w:r w:rsidRPr="00F34258">
        <w:rPr>
          <w:rFonts w:ascii="Verdana" w:hAnsi="Verdana" w:cs="Arial"/>
          <w:bCs/>
          <w:lang w:val="es-MX"/>
        </w:rPr>
        <w:t xml:space="preserve"> que se señalan en los numerales 2, 3 y 4 del presente artículo”</w:t>
      </w:r>
      <w:r>
        <w:rPr>
          <w:rFonts w:ascii="Verdana" w:hAnsi="Verdana" w:cs="Arial"/>
          <w:bCs/>
          <w:lang w:val="es-MX"/>
        </w:rPr>
        <w:t xml:space="preserve"> (Énfasis fuera de texto)</w:t>
      </w:r>
      <w:r w:rsidRPr="00F34258">
        <w:rPr>
          <w:rFonts w:ascii="Verdana" w:hAnsi="Verdana" w:cs="Arial"/>
          <w:bCs/>
          <w:lang w:val="es-MX"/>
        </w:rPr>
        <w:t>, norma que sustituye el derogado numeral 1 del artículo 24 de la Ley 80 de 1993 sobre el principio de transparencia</w:t>
      </w:r>
      <w:r w:rsidRPr="00F34258">
        <w:rPr>
          <w:rFonts w:ascii="Verdana" w:hAnsi="Verdana" w:cs="Arial"/>
          <w:bCs/>
          <w:vertAlign w:val="superscript"/>
          <w:lang w:val="es-MX"/>
        </w:rPr>
        <w:footnoteReference w:id="3"/>
      </w:r>
      <w:r w:rsidRPr="00F34258">
        <w:rPr>
          <w:rFonts w:ascii="Verdana" w:hAnsi="Verdana" w:cs="Arial"/>
          <w:bCs/>
          <w:lang w:val="es-MX"/>
        </w:rPr>
        <w:t xml:space="preserve">. En este contexto, salvo norma especial que ordene la celebración </w:t>
      </w:r>
      <w:r w:rsidRPr="00F34258">
        <w:rPr>
          <w:rFonts w:ascii="Verdana" w:hAnsi="Verdana" w:cs="Arial"/>
          <w:bCs/>
          <w:lang w:val="es-MX"/>
        </w:rPr>
        <w:lastRenderedPageBreak/>
        <w:t xml:space="preserve">del negocio jurídico por </w:t>
      </w:r>
      <w:r>
        <w:rPr>
          <w:rFonts w:ascii="Verdana" w:hAnsi="Verdana" w:cs="Arial"/>
          <w:bCs/>
          <w:lang w:val="es-MX"/>
        </w:rPr>
        <w:t>selección abreviada, concurso de méritos, mínima cuantía o contratación directa</w:t>
      </w:r>
      <w:r w:rsidRPr="00F34258">
        <w:rPr>
          <w:rFonts w:ascii="Verdana" w:hAnsi="Verdana" w:cs="Arial"/>
          <w:bCs/>
          <w:lang w:val="es-MX"/>
        </w:rPr>
        <w:t>, debe aplicarse la regla general de licitación pública</w:t>
      </w:r>
      <w:r w:rsidRPr="00F34258">
        <w:rPr>
          <w:rFonts w:ascii="Verdana" w:hAnsi="Verdana" w:cs="Arial"/>
          <w:bCs/>
          <w:vertAlign w:val="superscript"/>
          <w:lang w:val="es-MX"/>
        </w:rPr>
        <w:footnoteReference w:id="4"/>
      </w:r>
      <w:r w:rsidRPr="00F34258">
        <w:rPr>
          <w:rFonts w:ascii="Verdana" w:hAnsi="Verdana" w:cs="Arial"/>
          <w:bCs/>
          <w:lang w:val="es-MX"/>
        </w:rPr>
        <w:t>.</w:t>
      </w:r>
    </w:p>
    <w:p w14:paraId="0A8BDF70" w14:textId="77777777" w:rsidR="006B036C" w:rsidRDefault="006B036C" w:rsidP="006B036C">
      <w:pPr>
        <w:spacing w:after="0" w:line="276" w:lineRule="auto"/>
        <w:ind w:firstLine="709"/>
        <w:jc w:val="both"/>
        <w:rPr>
          <w:rFonts w:ascii="Verdana" w:hAnsi="Verdana" w:cs="Arial"/>
          <w:bCs/>
          <w:lang w:val="es-MX"/>
        </w:rPr>
      </w:pPr>
    </w:p>
    <w:p w14:paraId="33077ECA" w14:textId="77777777" w:rsidR="006B036C" w:rsidRPr="00AD2699" w:rsidRDefault="006B036C" w:rsidP="006B036C">
      <w:pPr>
        <w:spacing w:after="120" w:line="276" w:lineRule="auto"/>
        <w:jc w:val="both"/>
        <w:rPr>
          <w:rFonts w:ascii="Verdana" w:hAnsi="Verdana" w:cs="Arial"/>
          <w:bCs/>
          <w:lang w:val="es-MX"/>
        </w:rPr>
      </w:pPr>
      <w:proofErr w:type="spellStart"/>
      <w:r>
        <w:rPr>
          <w:rFonts w:ascii="Verdana" w:hAnsi="Verdana" w:cs="Arial"/>
          <w:bCs/>
        </w:rPr>
        <w:t>ii</w:t>
      </w:r>
      <w:proofErr w:type="spellEnd"/>
      <w:r>
        <w:rPr>
          <w:rFonts w:ascii="Verdana" w:hAnsi="Verdana" w:cs="Arial"/>
          <w:bCs/>
        </w:rPr>
        <w:t>. Pese a lo anterior, no resulta extraño que el sistema de compras públicas</w:t>
      </w:r>
      <w:r w:rsidRPr="00FB2E1F">
        <w:rPr>
          <w:rFonts w:ascii="Verdana" w:hAnsi="Verdana" w:cs="Arial"/>
          <w:bCs/>
        </w:rPr>
        <w:t xml:space="preserve"> se apoy</w:t>
      </w:r>
      <w:r>
        <w:rPr>
          <w:rFonts w:ascii="Verdana" w:hAnsi="Verdana" w:cs="Arial"/>
          <w:bCs/>
        </w:rPr>
        <w:t>e</w:t>
      </w:r>
      <w:r w:rsidRPr="00FB2E1F">
        <w:rPr>
          <w:rFonts w:ascii="Verdana" w:hAnsi="Verdana" w:cs="Arial"/>
          <w:bCs/>
        </w:rPr>
        <w:t xml:space="preserve"> en normas de derecho civil y comercial, ya que la figura del contrato es transversal a todo el ordenamiento jurídico. Respecto a las </w:t>
      </w:r>
      <w:r w:rsidRPr="00FB2E1F">
        <w:rPr>
          <w:rFonts w:ascii="Verdana" w:hAnsi="Verdana" w:cs="Arial"/>
          <w:bCs/>
          <w:i/>
          <w:iCs/>
        </w:rPr>
        <w:t>entidades sometidas a la Ley 80 de 1993</w:t>
      </w:r>
      <w:r w:rsidRPr="00FB2E1F">
        <w:rPr>
          <w:rFonts w:ascii="Verdana" w:hAnsi="Verdana" w:cs="Arial"/>
          <w:bCs/>
        </w:rPr>
        <w:t>, 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4197E094" w14:textId="77777777" w:rsidR="006B036C" w:rsidRPr="00FB2E1F" w:rsidRDefault="006B036C" w:rsidP="006B036C">
      <w:pPr>
        <w:spacing w:after="120" w:line="276" w:lineRule="auto"/>
        <w:ind w:firstLine="708"/>
        <w:jc w:val="both"/>
        <w:rPr>
          <w:rFonts w:ascii="Verdana" w:hAnsi="Verdana" w:cs="Arial"/>
          <w:bCs/>
        </w:rPr>
      </w:pPr>
      <w:r w:rsidRPr="00FB2E1F">
        <w:rPr>
          <w:rFonts w:ascii="Verdana" w:hAnsi="Verdana" w:cs="Arial"/>
          <w:bCs/>
        </w:rPr>
        <w:t xml:space="preserve">No obstante, aunque tenga una influencia limitada, las </w:t>
      </w:r>
      <w:r w:rsidRPr="00FB2E1F">
        <w:rPr>
          <w:rFonts w:ascii="Verdana" w:hAnsi="Verdana" w:cs="Arial"/>
          <w:bCs/>
          <w:i/>
          <w:iCs/>
        </w:rPr>
        <w:t>entidades del régimen exceptuado</w:t>
      </w:r>
      <w:r w:rsidRPr="00FB2E1F">
        <w:rPr>
          <w:rFonts w:ascii="Verdana" w:hAnsi="Verdana" w:cs="Arial"/>
          <w:bCs/>
        </w:rPr>
        <w:t xml:space="preserve"> no se deslingan por completo de las normas de derecho público. Esto en la medida que el inciso primero del artículo 13 de la Ley 1150 de 2007 prescribe lo siguiente: “Las entidades estatales que por disposición legal cuenten con un régimen contractual excepcional al del Estatuto General de Contratación de la Administración Pública, aplicarán en desarrollo de su actividad </w:t>
      </w:r>
      <w:r w:rsidRPr="00FB2E1F">
        <w:rPr>
          <w:rFonts w:ascii="Verdana" w:hAnsi="Verdana" w:cs="Arial"/>
          <w:bCs/>
        </w:rPr>
        <w:lastRenderedPageBreak/>
        <w:t>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7A8F5565" w14:textId="77777777" w:rsidR="006B036C" w:rsidRDefault="006B036C" w:rsidP="006B036C">
      <w:pPr>
        <w:spacing w:after="0" w:line="276" w:lineRule="auto"/>
        <w:ind w:firstLine="709"/>
        <w:jc w:val="both"/>
        <w:rPr>
          <w:rFonts w:ascii="Verdana" w:hAnsi="Verdana" w:cs="Arial"/>
          <w:bCs/>
        </w:rPr>
      </w:pPr>
      <w:r w:rsidRPr="00FB2E1F">
        <w:rPr>
          <w:rFonts w:ascii="Verdana" w:hAnsi="Verdana" w:cs="Arial"/>
          <w:bCs/>
        </w:rPr>
        <w:t xml:space="preserve">La existencia de entidades exceptuadas del EGCAP se ha justificado por alguna de las siguientes tres (3) circunstancias: i) facilitar la competencia económica –como ocurre actualmente respecto al régimen de los servicios públicos domiciliarios–, </w:t>
      </w:r>
      <w:proofErr w:type="spellStart"/>
      <w:r w:rsidRPr="00FB2E1F">
        <w:rPr>
          <w:rFonts w:ascii="Verdana" w:hAnsi="Verdana" w:cs="Arial"/>
          <w:bCs/>
        </w:rPr>
        <w:t>ii</w:t>
      </w:r>
      <w:proofErr w:type="spellEnd"/>
      <w:r w:rsidRPr="00FB2E1F">
        <w:rPr>
          <w:rFonts w:ascii="Verdana" w:hAnsi="Verdana" w:cs="Arial"/>
          <w:bCs/>
        </w:rPr>
        <w:t xml:space="preserve">) flexibilizar el ejercicio de la función administrativa –como en los contratos del Banco de la República o los de ciencia y tecnología– o </w:t>
      </w:r>
      <w:proofErr w:type="spellStart"/>
      <w:r w:rsidRPr="00FB2E1F">
        <w:rPr>
          <w:rFonts w:ascii="Verdana" w:hAnsi="Verdana" w:cs="Arial"/>
          <w:bCs/>
        </w:rPr>
        <w:t>iii</w:t>
      </w:r>
      <w:proofErr w:type="spellEnd"/>
      <w:r w:rsidRPr="00FB2E1F">
        <w:rPr>
          <w:rFonts w:ascii="Verdana" w:hAnsi="Verdana" w:cs="Arial"/>
          <w:bCs/>
        </w:rPr>
        <w:t>) establecer un régimen especial sin excluir por completo la aplicación de la Ley 80 de 1993 –como ocurre en la operaciones del crédito público–</w:t>
      </w:r>
      <w:r w:rsidRPr="00FB2E1F">
        <w:rPr>
          <w:rFonts w:ascii="Verdana" w:hAnsi="Verdana" w:cs="Arial"/>
          <w:bCs/>
          <w:vertAlign w:val="superscript"/>
        </w:rPr>
        <w:footnoteReference w:id="5"/>
      </w:r>
      <w:r w:rsidRPr="00FB2E1F">
        <w:rPr>
          <w:rFonts w:ascii="Verdana" w:hAnsi="Verdana" w:cs="Arial"/>
          <w:bCs/>
        </w:rPr>
        <w:t xml:space="preserve">.  Para estos efectos, la doctrina ha identificado 171 entidades y contratos que manejan un régimen excepcional, los cuales se clasifican de acuerdo i) al sector económico, </w:t>
      </w:r>
      <w:proofErr w:type="spellStart"/>
      <w:r w:rsidRPr="00FB2E1F">
        <w:rPr>
          <w:rFonts w:ascii="Verdana" w:hAnsi="Verdana" w:cs="Arial"/>
          <w:bCs/>
        </w:rPr>
        <w:t>ii</w:t>
      </w:r>
      <w:proofErr w:type="spellEnd"/>
      <w:r w:rsidRPr="00FB2E1F">
        <w:rPr>
          <w:rFonts w:ascii="Verdana" w:hAnsi="Verdana" w:cs="Arial"/>
          <w:bCs/>
        </w:rPr>
        <w:t xml:space="preserve">) la asignación de un esquema legal especial, </w:t>
      </w:r>
      <w:proofErr w:type="spellStart"/>
      <w:r w:rsidRPr="00FB2E1F">
        <w:rPr>
          <w:rFonts w:ascii="Verdana" w:hAnsi="Verdana" w:cs="Arial"/>
          <w:bCs/>
        </w:rPr>
        <w:t>iii</w:t>
      </w:r>
      <w:proofErr w:type="spellEnd"/>
      <w:r w:rsidRPr="00FB2E1F">
        <w:rPr>
          <w:rFonts w:ascii="Verdana" w:hAnsi="Verdana" w:cs="Arial"/>
          <w:bCs/>
        </w:rPr>
        <w:t xml:space="preserve">) el objeto del contrato celebrado y </w:t>
      </w:r>
      <w:proofErr w:type="spellStart"/>
      <w:r w:rsidRPr="00FB2E1F">
        <w:rPr>
          <w:rFonts w:ascii="Verdana" w:hAnsi="Verdana" w:cs="Arial"/>
          <w:bCs/>
        </w:rPr>
        <w:t>iv</w:t>
      </w:r>
      <w:proofErr w:type="spellEnd"/>
      <w:r w:rsidRPr="00FB2E1F">
        <w:rPr>
          <w:rFonts w:ascii="Verdana" w:hAnsi="Verdana" w:cs="Arial"/>
          <w:bCs/>
        </w:rPr>
        <w:t>) la existencia de fondos que administran recursos públicos</w:t>
      </w:r>
      <w:r w:rsidRPr="00FB2E1F">
        <w:rPr>
          <w:rFonts w:ascii="Verdana" w:hAnsi="Verdana" w:cs="Arial"/>
          <w:bCs/>
          <w:vertAlign w:val="superscript"/>
        </w:rPr>
        <w:footnoteReference w:id="6"/>
      </w:r>
      <w:r w:rsidRPr="00FB2E1F">
        <w:rPr>
          <w:rFonts w:ascii="Verdana" w:hAnsi="Verdana" w:cs="Arial"/>
          <w:bCs/>
        </w:rPr>
        <w:t>.</w:t>
      </w:r>
    </w:p>
    <w:p w14:paraId="67CBF668" w14:textId="77777777" w:rsidR="006B036C" w:rsidRDefault="006B036C" w:rsidP="006B036C">
      <w:pPr>
        <w:spacing w:after="0" w:line="276" w:lineRule="auto"/>
        <w:ind w:firstLine="709"/>
        <w:jc w:val="both"/>
        <w:rPr>
          <w:rFonts w:ascii="Verdana" w:hAnsi="Verdana" w:cs="Arial"/>
          <w:bCs/>
        </w:rPr>
      </w:pPr>
    </w:p>
    <w:p w14:paraId="16B8D138" w14:textId="77777777" w:rsidR="006B036C" w:rsidRPr="00E33D48" w:rsidRDefault="006B036C" w:rsidP="006B036C">
      <w:pPr>
        <w:tabs>
          <w:tab w:val="left" w:pos="426"/>
        </w:tabs>
        <w:spacing w:line="276" w:lineRule="auto"/>
        <w:jc w:val="both"/>
        <w:rPr>
          <w:rFonts w:ascii="Verdana" w:eastAsia="Calibri" w:hAnsi="Verdana" w:cs="Arial"/>
          <w:b/>
          <w:bCs/>
          <w:color w:val="000000" w:themeColor="text1"/>
          <w:lang w:val="es-ES"/>
        </w:rPr>
      </w:pPr>
      <w:proofErr w:type="spellStart"/>
      <w:r w:rsidRPr="00E33D48">
        <w:rPr>
          <w:rFonts w:ascii="Verdana" w:hAnsi="Verdana" w:cs="Arial"/>
          <w:bCs/>
        </w:rPr>
        <w:t>iii</w:t>
      </w:r>
      <w:proofErr w:type="spellEnd"/>
      <w:r w:rsidRPr="00E33D48">
        <w:rPr>
          <w:rFonts w:ascii="Verdana" w:hAnsi="Verdana" w:cs="Arial"/>
          <w:bCs/>
        </w:rPr>
        <w:t xml:space="preserve">. </w:t>
      </w:r>
      <w:r w:rsidRPr="00E33D48">
        <w:rPr>
          <w:rFonts w:ascii="Verdana" w:eastAsia="Calibri" w:hAnsi="Verdana" w:cs="Arial"/>
          <w:color w:val="000000" w:themeColor="text1"/>
          <w:lang w:val="es-ES"/>
        </w:rPr>
        <w:t>Las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propia para su desarrollo, esto es, el derecho privado, lo cual está determinado en las normas de creación de las entidades de régimen especial y en sus manuales de contratación.</w:t>
      </w:r>
    </w:p>
    <w:p w14:paraId="4B3F183A" w14:textId="77777777" w:rsidR="006B036C" w:rsidRPr="00E33D48" w:rsidRDefault="006B036C" w:rsidP="006B036C">
      <w:pPr>
        <w:spacing w:before="120" w:after="12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tab/>
      </w:r>
      <w:r w:rsidRPr="00E33D48">
        <w:rPr>
          <w:rFonts w:ascii="Verdana" w:eastAsia="Calibri" w:hAnsi="Verdana" w:cs="Arial"/>
          <w:color w:val="000000" w:themeColor="text1"/>
          <w:lang w:val="es-ES"/>
        </w:rPr>
        <w:t xml:space="preserve">Teniendo en cuenta que las entidades de régimen especial están facultadas legalmente para aplicar reglas distintas a las establecidas en la Ley 80 de 1993 y sus normas complementarias, su régimen contractual estará definido en la noma que crea el régimen especial y será desarrollado en el manual de contratación de la respectiva entidad, con el fin de que se puedan identificar las reglas que aplican en la contratación. La Agencia Nacional de Contratación Pública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Colombia Compra Eficiente expidió la Guía para las </w:t>
      </w:r>
      <w:r w:rsidRPr="00E33D48">
        <w:rPr>
          <w:rFonts w:ascii="Verdana" w:eastAsia="Calibri" w:hAnsi="Verdana" w:cs="Arial"/>
          <w:color w:val="000000" w:themeColor="text1"/>
          <w:lang w:val="es-ES"/>
        </w:rPr>
        <w:lastRenderedPageBreak/>
        <w:t>entidades estatales con régimen especial de contratación, que las define como aquellas que contratan con un régimen distinto a las Leyes 80 de 1993 y 1150 de 2007</w:t>
      </w:r>
      <w:r w:rsidRPr="00E33D48">
        <w:rPr>
          <w:rStyle w:val="Refdenotaalpie"/>
          <w:rFonts w:ascii="Verdana" w:eastAsia="Calibri" w:hAnsi="Verdana" w:cs="Arial"/>
          <w:color w:val="000000" w:themeColor="text1"/>
          <w:lang w:val="es-ES"/>
        </w:rPr>
        <w:footnoteReference w:id="7"/>
      </w:r>
      <w:r w:rsidRPr="00E33D48">
        <w:rPr>
          <w:rFonts w:ascii="Verdana" w:eastAsia="Calibri" w:hAnsi="Verdana" w:cs="Arial"/>
          <w:color w:val="000000" w:themeColor="text1"/>
          <w:lang w:val="es-ES"/>
        </w:rPr>
        <w:t>.</w:t>
      </w:r>
    </w:p>
    <w:p w14:paraId="4E913C77" w14:textId="77777777" w:rsidR="006B036C" w:rsidRDefault="006B036C" w:rsidP="006B036C">
      <w:pPr>
        <w:spacing w:after="0" w:line="276" w:lineRule="auto"/>
        <w:jc w:val="both"/>
        <w:rPr>
          <w:rFonts w:ascii="Verdana" w:eastAsia="Calibri" w:hAnsi="Verdana" w:cs="Arial"/>
          <w:color w:val="000000" w:themeColor="text1"/>
          <w:lang w:val="es-ES"/>
        </w:rPr>
      </w:pPr>
      <w:r w:rsidRPr="00E33D48">
        <w:rPr>
          <w:rFonts w:ascii="Verdana" w:eastAsia="Calibri" w:hAnsi="Verdana" w:cs="Arial"/>
          <w:color w:val="000000" w:themeColor="text1"/>
          <w:lang w:val="es-ES_tradnl"/>
        </w:rPr>
        <w:tab/>
      </w:r>
      <w:r w:rsidRPr="00E33D48">
        <w:rPr>
          <w:rFonts w:ascii="Verdana" w:eastAsia="Calibri" w:hAnsi="Verdana" w:cs="Arial"/>
          <w:color w:val="000000" w:themeColor="text1"/>
          <w:lang w:val="es-ES"/>
        </w:rPr>
        <w:t>No obstante, las entidades de régimen especial cumplen una finalidad pública y utilizan recursos públicos para lograrlo, por lo que no son ajenas a los principios de la función administrativa y de la gestión fiscal, entre otras reglas dispuestas en la normativa de contratación pública que son transversales a todas las entidades, sin importar su régimen contractual. Lo anterior es reafirmado por el Consejo de Estado, que destaca las reglas que sigue la contratación de las entidades de régimen especial:</w:t>
      </w:r>
    </w:p>
    <w:p w14:paraId="34C98170" w14:textId="77777777" w:rsidR="006B036C" w:rsidRPr="00E33D48" w:rsidRDefault="006B036C" w:rsidP="006B036C">
      <w:pPr>
        <w:spacing w:after="0" w:line="276" w:lineRule="auto"/>
        <w:jc w:val="both"/>
        <w:rPr>
          <w:rFonts w:ascii="Verdana" w:eastAsia="Calibri" w:hAnsi="Verdana" w:cs="Arial"/>
          <w:color w:val="000000" w:themeColor="text1"/>
          <w:lang w:val="es-ES"/>
        </w:rPr>
      </w:pPr>
    </w:p>
    <w:p w14:paraId="31778838" w14:textId="77777777" w:rsidR="006B036C" w:rsidRPr="002B11B2" w:rsidRDefault="006B036C" w:rsidP="006B036C">
      <w:pPr>
        <w:spacing w:line="240" w:lineRule="auto"/>
        <w:ind w:left="709" w:right="709"/>
        <w:jc w:val="both"/>
        <w:rPr>
          <w:rFonts w:ascii="Verdana" w:eastAsia="Calibri" w:hAnsi="Verdana" w:cs="Arial"/>
          <w:color w:val="000000" w:themeColor="text1"/>
          <w:sz w:val="20"/>
          <w:szCs w:val="20"/>
          <w:lang w:val="es-ES_tradnl"/>
        </w:rPr>
      </w:pPr>
      <w:r w:rsidRPr="002B11B2">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51B1A0B6" w14:textId="77777777" w:rsidR="006B036C" w:rsidRPr="002B11B2" w:rsidRDefault="006B036C" w:rsidP="006B036C">
      <w:pPr>
        <w:spacing w:line="240" w:lineRule="auto"/>
        <w:ind w:left="709" w:right="709"/>
        <w:jc w:val="both"/>
        <w:rPr>
          <w:rFonts w:ascii="Verdana" w:eastAsia="Calibri" w:hAnsi="Verdana" w:cs="Arial"/>
          <w:color w:val="000000" w:themeColor="text1"/>
          <w:sz w:val="20"/>
          <w:szCs w:val="20"/>
          <w:lang w:val="es-ES"/>
        </w:rPr>
      </w:pPr>
      <w:r w:rsidRPr="002B11B2">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ayuda a interpretar pero también transforma parte de esas instituciones, porque se suma a ellas, lo que no siempre se logra conservando intacta la institución privada sino introduciéndole modificaciones. </w:t>
      </w:r>
    </w:p>
    <w:p w14:paraId="266F5430" w14:textId="77777777" w:rsidR="006B036C" w:rsidRPr="002B11B2" w:rsidRDefault="006B036C" w:rsidP="006B036C">
      <w:pPr>
        <w:spacing w:after="0" w:line="240" w:lineRule="auto"/>
        <w:ind w:left="709" w:right="709"/>
        <w:jc w:val="both"/>
        <w:rPr>
          <w:rFonts w:ascii="Verdana" w:eastAsia="Calibri" w:hAnsi="Verdana" w:cs="Arial"/>
          <w:color w:val="000000" w:themeColor="text1"/>
          <w:sz w:val="20"/>
          <w:szCs w:val="20"/>
          <w:lang w:val="es-ES_tradnl"/>
        </w:rPr>
      </w:pPr>
      <w:r w:rsidRPr="002B11B2">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Pr="002B11B2">
        <w:rPr>
          <w:rStyle w:val="Refdenotaalpie"/>
          <w:rFonts w:ascii="Verdana" w:eastAsia="Calibri" w:hAnsi="Verdana" w:cs="Arial"/>
          <w:color w:val="000000" w:themeColor="text1"/>
          <w:sz w:val="20"/>
          <w:szCs w:val="20"/>
          <w:lang w:val="es-ES_tradnl"/>
        </w:rPr>
        <w:footnoteReference w:id="8"/>
      </w:r>
      <w:r w:rsidRPr="002B11B2">
        <w:rPr>
          <w:rFonts w:ascii="Verdana" w:eastAsia="Calibri" w:hAnsi="Verdana" w:cs="Arial"/>
          <w:color w:val="000000" w:themeColor="text1"/>
          <w:sz w:val="20"/>
          <w:szCs w:val="20"/>
          <w:lang w:val="es-ES_tradnl"/>
        </w:rPr>
        <w:t>.</w:t>
      </w:r>
    </w:p>
    <w:p w14:paraId="17FD88C3" w14:textId="77777777" w:rsidR="006B036C" w:rsidRPr="00E33D48" w:rsidRDefault="006B036C" w:rsidP="006B036C">
      <w:pPr>
        <w:spacing w:after="0" w:line="276" w:lineRule="auto"/>
        <w:ind w:left="709" w:right="709"/>
        <w:jc w:val="both"/>
        <w:rPr>
          <w:rFonts w:ascii="Verdana" w:eastAsia="Calibri" w:hAnsi="Verdana" w:cs="Arial"/>
          <w:color w:val="000000" w:themeColor="text1"/>
          <w:lang w:val="es-ES_tradnl"/>
        </w:rPr>
      </w:pPr>
    </w:p>
    <w:p w14:paraId="747453B7" w14:textId="77777777" w:rsidR="006B036C" w:rsidRPr="00E33D48" w:rsidRDefault="006B036C" w:rsidP="006B036C">
      <w:pPr>
        <w:spacing w:line="276" w:lineRule="auto"/>
        <w:ind w:firstLine="708"/>
        <w:jc w:val="both"/>
        <w:rPr>
          <w:rFonts w:ascii="Verdana" w:eastAsia="Calibri" w:hAnsi="Verdana" w:cs="Arial"/>
          <w:color w:val="000000" w:themeColor="text1"/>
          <w:lang w:val="es-ES_tradnl"/>
        </w:rPr>
      </w:pPr>
      <w:r w:rsidRPr="00E33D48">
        <w:rPr>
          <w:rFonts w:ascii="Verdana" w:eastAsia="Calibri" w:hAnsi="Verdana" w:cs="Arial"/>
          <w:color w:val="000000" w:themeColor="text1"/>
          <w:lang w:val="es-ES_tradnl"/>
        </w:rPr>
        <w:lastRenderedPageBreak/>
        <w:t>Considerando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deben indicar el contenido de las propuestas y los procedimientos de selección, llevar una descripción precisa del procedimiento, los plazos de las etapas y los criterios de evaluación y desempate, y todos los criterios necesarios para garantizar la selección objetiva y la protección del interés general. Lo anterior, sin perjuicio de que algunas de estas reglas se establezcan, complementen o detallen en los documentos que se expiden en desarrollo de sus procedimientos contractuales.</w:t>
      </w:r>
    </w:p>
    <w:p w14:paraId="2DBC7A22" w14:textId="77777777" w:rsidR="006B036C" w:rsidRPr="00E33D48" w:rsidRDefault="006B036C" w:rsidP="006B036C">
      <w:pPr>
        <w:spacing w:before="120" w:after="120" w:line="276" w:lineRule="auto"/>
        <w:ind w:firstLine="708"/>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As</w:t>
      </w:r>
      <w:r>
        <w:rPr>
          <w:rFonts w:ascii="Verdana" w:eastAsia="Calibri" w:hAnsi="Verdana" w:cs="Arial"/>
          <w:color w:val="000000" w:themeColor="text1"/>
          <w:lang w:val="es-ES"/>
        </w:rPr>
        <w:t>i</w:t>
      </w:r>
      <w:r w:rsidRPr="00E33D48">
        <w:rPr>
          <w:rFonts w:ascii="Verdana" w:eastAsia="Calibri" w:hAnsi="Verdana" w:cs="Arial"/>
          <w:color w:val="000000" w:themeColor="text1"/>
          <w:lang w:val="es-ES"/>
        </w:rPr>
        <w:t xml:space="preserve">mismo, estas entidades deben cumplir unas obligaciones transversales a la contratación pública, entre ellas la elaboración del Plan Anual de Adquisiciones, la publicación de sus procedimientos de selección a través de la herramienta SECOP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en la sección Régimen Especial</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hacer uso del clasificador de bienes y servicios de las Naciones Unidas, reportar inhabilidades e incompatibilidades de los proveedores de la entidad y analizar el sector económico de los oferentes, entre otras.</w:t>
      </w:r>
    </w:p>
    <w:p w14:paraId="32A63E59" w14:textId="77777777" w:rsidR="006B036C" w:rsidRPr="00E33D48" w:rsidRDefault="006B036C" w:rsidP="006B036C">
      <w:pPr>
        <w:spacing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Además, debe tener</w:t>
      </w:r>
      <w:r>
        <w:rPr>
          <w:rFonts w:ascii="Verdana" w:eastAsia="Calibri" w:hAnsi="Verdana" w:cs="Arial"/>
          <w:color w:val="000000" w:themeColor="text1"/>
          <w:lang w:val="es-ES"/>
        </w:rPr>
        <w:t>se</w:t>
      </w:r>
      <w:r w:rsidRPr="00E33D48">
        <w:rPr>
          <w:rFonts w:ascii="Verdana" w:eastAsia="Calibri" w:hAnsi="Verdana" w:cs="Arial"/>
          <w:color w:val="000000" w:themeColor="text1"/>
          <w:lang w:val="es-ES"/>
        </w:rPr>
        <w:t xml:space="preserve"> en cuenta que las cláusulas excepcionales no están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establece, como sucede con las empresas sociales del Estado. De modo que si una Entidad sujeta al régimen especial requiere sancionar o dar por terminado el contrato, por regla general, debe acudir al juez competente.</w:t>
      </w:r>
    </w:p>
    <w:p w14:paraId="2EB2A790" w14:textId="77777777" w:rsidR="006B036C" w:rsidRPr="00E33D48" w:rsidRDefault="006B036C" w:rsidP="006B036C">
      <w:pPr>
        <w:spacing w:before="120"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 xml:space="preserve">Como se explicó, el hecho de que algunas entidades estatales se rijan por el derecho privado en materia contractual no puede entenderse como una negación de lo que establece el artículo 13 de la Ley 1150 de 2007. Este enunciado normativo significó un </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retorno del derecho administrativo</w:t>
      </w:r>
      <w:r>
        <w:rPr>
          <w:rFonts w:ascii="Verdana" w:eastAsia="Calibri" w:hAnsi="Verdana" w:cs="Arial"/>
          <w:color w:val="000000" w:themeColor="text1"/>
          <w:lang w:val="es-ES"/>
        </w:rPr>
        <w:t>”</w:t>
      </w:r>
      <w:r w:rsidRPr="00E33D48">
        <w:rPr>
          <w:rFonts w:ascii="Verdana" w:eastAsia="Calibri" w:hAnsi="Verdana" w:cs="Arial"/>
          <w:color w:val="000000" w:themeColor="text1"/>
          <w:lang w:val="es-ES"/>
        </w:rPr>
        <w:t xml:space="preserve"> para las entidades excluidas, al reiterar que deben cumplir los principios constitucionales de la función administrativa y de la gestión fiscal, así como el régimen de inhabilidades e incompatibilidades previsto legalmente para la contratación </w:t>
      </w:r>
      <w:r w:rsidRPr="00E33D48">
        <w:rPr>
          <w:rFonts w:ascii="Verdana" w:eastAsia="Calibri" w:hAnsi="Verdana" w:cs="Arial"/>
          <w:color w:val="000000" w:themeColor="text1"/>
          <w:lang w:val="es-ES"/>
        </w:rPr>
        <w:lastRenderedPageBreak/>
        <w:t>estatal; y ahora también publicar su actividad contractual en el SECOP II, de conformidad con el artículo 53 de la Ley 2195 de 2022</w:t>
      </w:r>
      <w:r w:rsidRPr="00E33D48">
        <w:rPr>
          <w:rStyle w:val="Refdenotaalpie"/>
          <w:rFonts w:ascii="Verdana" w:eastAsia="Calibri" w:hAnsi="Verdana" w:cs="Arial"/>
          <w:color w:val="000000" w:themeColor="text1"/>
          <w:lang w:val="es-ES"/>
        </w:rPr>
        <w:footnoteReference w:id="9"/>
      </w:r>
      <w:r w:rsidRPr="00E33D48">
        <w:rPr>
          <w:rFonts w:ascii="Verdana" w:eastAsia="Calibri" w:hAnsi="Verdana" w:cs="Arial"/>
          <w:color w:val="000000" w:themeColor="text1"/>
          <w:lang w:val="es-ES"/>
        </w:rPr>
        <w:t xml:space="preserve">. </w:t>
      </w:r>
    </w:p>
    <w:p w14:paraId="16D300E1" w14:textId="77777777" w:rsidR="006B036C" w:rsidRDefault="006B036C" w:rsidP="006B036C">
      <w:pPr>
        <w:spacing w:before="120" w:line="276" w:lineRule="auto"/>
        <w:ind w:firstLine="709"/>
        <w:jc w:val="both"/>
        <w:rPr>
          <w:rFonts w:ascii="Verdana" w:eastAsia="Calibri" w:hAnsi="Verdana" w:cs="Arial"/>
          <w:color w:val="000000" w:themeColor="text1"/>
          <w:lang w:val="es-ES_tradnl"/>
        </w:rPr>
      </w:pPr>
      <w:r w:rsidRPr="00E33D48">
        <w:rPr>
          <w:rFonts w:ascii="Verdana" w:eastAsia="Calibri" w:hAnsi="Verdana" w:cs="Arial"/>
          <w:color w:val="000000" w:themeColor="text1"/>
          <w:lang w:val="es-ES_tradnl"/>
        </w:rPr>
        <w:t>Adicionalmente, las entidades estatales que, por disposición legal, cuentan con un régimen especial</w:t>
      </w:r>
      <w:r w:rsidRPr="00E33D48">
        <w:rPr>
          <w:rStyle w:val="Refdenotaalpie"/>
          <w:rFonts w:ascii="Verdana" w:eastAsia="Calibri" w:hAnsi="Verdana" w:cs="Arial"/>
          <w:color w:val="000000" w:themeColor="text1"/>
          <w:lang w:val="es-ES_tradnl"/>
        </w:rPr>
        <w:footnoteReference w:id="10"/>
      </w:r>
      <w:r w:rsidRPr="00E33D48">
        <w:rPr>
          <w:rFonts w:ascii="Verdana" w:eastAsia="Calibri" w:hAnsi="Verdana" w:cs="Arial"/>
          <w:color w:val="000000" w:themeColor="text1"/>
          <w:lang w:val="es-ES_tradnl"/>
        </w:rPr>
        <w:t>, exceptuado del Estatuto General de Contratación de la Administración Pública –Leyes 80 de 1993, 1150 de 2007 y normas complementarias</w:t>
      </w:r>
      <w:r w:rsidRPr="00E33D48">
        <w:rPr>
          <w:rStyle w:val="Refdenotaalpie"/>
          <w:rFonts w:ascii="Verdana" w:eastAsia="Calibri" w:hAnsi="Verdana" w:cs="Arial"/>
          <w:color w:val="000000" w:themeColor="text1"/>
          <w:lang w:val="es-ES_tradnl"/>
        </w:rPr>
        <w:footnoteReference w:id="11"/>
      </w:r>
      <w:r w:rsidRPr="00E33D48">
        <w:rPr>
          <w:rFonts w:ascii="Verdana" w:eastAsia="Calibri" w:hAnsi="Verdana" w:cs="Arial"/>
          <w:color w:val="000000" w:themeColor="text1"/>
          <w:lang w:val="es-ES_tradnl"/>
        </w:rPr>
        <w:t xml:space="preserve">– pueden expedir un reglamento interno de contratación –comúnmente denominado </w:t>
      </w:r>
      <w:r w:rsidRPr="00E33D48">
        <w:rPr>
          <w:rFonts w:ascii="Verdana" w:eastAsia="Calibri" w:hAnsi="Verdana" w:cs="Arial"/>
          <w:i/>
          <w:color w:val="000000" w:themeColor="text1"/>
          <w:lang w:val="es-ES_tradnl"/>
        </w:rPr>
        <w:t>manual de contratación</w:t>
      </w:r>
      <w:r w:rsidRPr="00E33D48">
        <w:rPr>
          <w:rFonts w:ascii="Verdana" w:eastAsia="Calibri" w:hAnsi="Verdana" w:cs="Arial"/>
          <w:color w:val="000000" w:themeColor="text1"/>
          <w:lang w:val="es-ES_tradnl"/>
        </w:rPr>
        <w:t>–, que regule aspectos asociados a la actividad contractual, como los procedimientos de selección, los requisitos de participación, las condiciones de ejecución del contrato, etc. En otras palabras, el manual de contratación de las entidades exceptuadas es un acto administrativo y, de manera más concreta, un reglamento, pues, además de consistir en una manifestación unilateral de voluntad efectuada por la entidad estatal, en ejercicio de función administrativa, dirigida a producir efectos jurídicos, tiene vocación de permanencia en el tiempo. Esto significa que el manual de contratación despliega sus efectos de manera indefinida en el futuro, no agotándose con una sola aplicación.</w:t>
      </w:r>
    </w:p>
    <w:p w14:paraId="37D568BE" w14:textId="77777777" w:rsidR="006B036C" w:rsidRDefault="006B036C" w:rsidP="006B036C">
      <w:pPr>
        <w:spacing w:after="0" w:line="276" w:lineRule="auto"/>
        <w:ind w:firstLine="709"/>
        <w:jc w:val="both"/>
        <w:rPr>
          <w:rFonts w:ascii="Verdana" w:eastAsia="Calibri" w:hAnsi="Verdana" w:cs="Arial"/>
          <w:color w:val="000000" w:themeColor="text1"/>
          <w:lang w:val="es-ES"/>
        </w:rPr>
      </w:pPr>
      <w:r w:rsidRPr="00E33D48">
        <w:rPr>
          <w:rFonts w:ascii="Verdana" w:eastAsia="Calibri" w:hAnsi="Verdana" w:cs="Arial"/>
          <w:color w:val="000000" w:themeColor="text1"/>
          <w:lang w:val="es-ES"/>
        </w:rPr>
        <w:t xml:space="preserve">Sin embargo, la libertad de configuración reglamentaria de las entidades estatales, expresada en el manual de contratación, no es absoluta, ya que, a pesar de que están facultadas para regular ciertos temas relacionados con la actividad contractual, deben hacerlo respetando la reserva legal de la que gozan ciertas materias. En tal sentido, asuntos como: i) los requisitos de existencia y validez del contrato, </w:t>
      </w:r>
      <w:proofErr w:type="spellStart"/>
      <w:r w:rsidRPr="00E33D48">
        <w:rPr>
          <w:rFonts w:ascii="Verdana" w:eastAsia="Calibri" w:hAnsi="Verdana" w:cs="Arial"/>
          <w:color w:val="000000" w:themeColor="text1"/>
          <w:lang w:val="es-ES"/>
        </w:rPr>
        <w:t>ii</w:t>
      </w:r>
      <w:proofErr w:type="spellEnd"/>
      <w:r w:rsidRPr="00E33D48">
        <w:rPr>
          <w:rFonts w:ascii="Verdana" w:eastAsia="Calibri" w:hAnsi="Verdana" w:cs="Arial"/>
          <w:color w:val="000000" w:themeColor="text1"/>
          <w:lang w:val="es-ES"/>
        </w:rPr>
        <w:t xml:space="preserve">) sanciones, sin perjuicio de las que pueden pactar de acuerdo con las normas civiles y comerciales, </w:t>
      </w:r>
      <w:proofErr w:type="spellStart"/>
      <w:r w:rsidRPr="00E33D48">
        <w:rPr>
          <w:rFonts w:ascii="Verdana" w:eastAsia="Calibri" w:hAnsi="Verdana" w:cs="Arial"/>
          <w:color w:val="000000" w:themeColor="text1"/>
          <w:lang w:val="es-ES"/>
        </w:rPr>
        <w:t>iii</w:t>
      </w:r>
      <w:proofErr w:type="spellEnd"/>
      <w:r w:rsidRPr="00E33D48">
        <w:rPr>
          <w:rFonts w:ascii="Verdana" w:eastAsia="Calibri" w:hAnsi="Verdana" w:cs="Arial"/>
          <w:color w:val="000000" w:themeColor="text1"/>
          <w:lang w:val="es-ES"/>
        </w:rPr>
        <w:t xml:space="preserve">) procedimientos para su imposición, </w:t>
      </w:r>
      <w:proofErr w:type="spellStart"/>
      <w:r w:rsidRPr="00E33D48">
        <w:rPr>
          <w:rFonts w:ascii="Verdana" w:eastAsia="Calibri" w:hAnsi="Verdana" w:cs="Arial"/>
          <w:color w:val="000000" w:themeColor="text1"/>
          <w:lang w:val="es-ES"/>
        </w:rPr>
        <w:t>iv</w:t>
      </w:r>
      <w:proofErr w:type="spellEnd"/>
      <w:r w:rsidRPr="00E33D48">
        <w:rPr>
          <w:rFonts w:ascii="Verdana" w:eastAsia="Calibri" w:hAnsi="Verdana" w:cs="Arial"/>
          <w:color w:val="000000" w:themeColor="text1"/>
          <w:lang w:val="es-ES"/>
        </w:rPr>
        <w:t xml:space="preserve">) causales de inhabilidad e incompatibilidad, v) el principio de anualidad del gasto, y vi) restricciones al acceso a la administración de justicia para discutir las controversias contractuales, son, entre otros, temas cuya </w:t>
      </w:r>
      <w:r w:rsidRPr="00E33D48">
        <w:rPr>
          <w:rFonts w:ascii="Verdana" w:eastAsia="Calibri" w:hAnsi="Verdana" w:cs="Arial"/>
          <w:color w:val="000000" w:themeColor="text1"/>
          <w:lang w:val="es-ES"/>
        </w:rPr>
        <w:lastRenderedPageBreak/>
        <w:t>regulación está reservada al legislador y que, por tanto, las entidades exceptuadas no pueden reglamentar en su manual de contratación</w:t>
      </w:r>
      <w:r w:rsidRPr="00E33D48">
        <w:rPr>
          <w:rStyle w:val="Refdenotaalpie"/>
          <w:rFonts w:ascii="Verdana" w:eastAsia="Calibri" w:hAnsi="Verdana" w:cs="Arial"/>
          <w:color w:val="000000" w:themeColor="text1"/>
          <w:lang w:val="es-ES"/>
        </w:rPr>
        <w:footnoteReference w:id="12"/>
      </w:r>
      <w:r w:rsidRPr="00E33D48">
        <w:rPr>
          <w:rFonts w:ascii="Verdana" w:eastAsia="Calibri" w:hAnsi="Verdana" w:cs="Arial"/>
          <w:color w:val="000000" w:themeColor="text1"/>
          <w:lang w:val="es-ES"/>
        </w:rPr>
        <w:t>.</w:t>
      </w:r>
    </w:p>
    <w:p w14:paraId="112012EC" w14:textId="77777777" w:rsidR="006B036C" w:rsidRDefault="006B036C" w:rsidP="006B036C">
      <w:pPr>
        <w:spacing w:after="0" w:line="276" w:lineRule="auto"/>
        <w:jc w:val="both"/>
        <w:rPr>
          <w:rFonts w:ascii="Verdana" w:eastAsia="Calibri" w:hAnsi="Verdana" w:cs="Arial"/>
          <w:color w:val="000000" w:themeColor="text1"/>
          <w:lang w:val="es-ES"/>
        </w:rPr>
      </w:pPr>
    </w:p>
    <w:p w14:paraId="1682AFAB" w14:textId="77777777" w:rsidR="006B036C" w:rsidRPr="008304D7" w:rsidRDefault="006B036C" w:rsidP="006B036C">
      <w:pPr>
        <w:spacing w:line="276" w:lineRule="auto"/>
        <w:jc w:val="both"/>
        <w:rPr>
          <w:rFonts w:ascii="Verdana" w:hAnsi="Verdana" w:cs="Arial"/>
        </w:rPr>
      </w:pPr>
      <w:proofErr w:type="spellStart"/>
      <w:r>
        <w:rPr>
          <w:rFonts w:ascii="Verdana" w:eastAsia="Calibri" w:hAnsi="Verdana" w:cs="Arial"/>
          <w:color w:val="000000" w:themeColor="text1"/>
          <w:lang w:val="es-ES"/>
        </w:rPr>
        <w:t>iv</w:t>
      </w:r>
      <w:proofErr w:type="spellEnd"/>
      <w:r>
        <w:rPr>
          <w:rFonts w:ascii="Verdana" w:eastAsia="Calibri" w:hAnsi="Verdana" w:cs="Arial"/>
          <w:color w:val="000000" w:themeColor="text1"/>
          <w:lang w:val="es-ES"/>
        </w:rPr>
        <w:t xml:space="preserve">. </w:t>
      </w:r>
      <w:r>
        <w:rPr>
          <w:rFonts w:ascii="Verdana" w:hAnsi="Verdana" w:cs="Arial"/>
        </w:rPr>
        <w:t>E</w:t>
      </w:r>
      <w:r w:rsidRPr="008304D7">
        <w:rPr>
          <w:rFonts w:ascii="Verdana" w:hAnsi="Verdana" w:cs="Arial"/>
        </w:rPr>
        <w:t xml:space="preserve">n armonía con el artículo 209 constitucional, el numeral 8 del artículo 3 de la Ley 1437 de 2011 dispone que “En virtud del principio de transparencia, la actividad administrativa es del dominio público, por consiguiente, toda persona puede conocer las actuaciones de la administración, salvo reserva legal”. Además, el numeral 9 </w:t>
      </w:r>
      <w:r w:rsidRPr="008304D7">
        <w:rPr>
          <w:rFonts w:ascii="Verdana" w:hAnsi="Verdana" w:cs="Arial"/>
          <w:i/>
          <w:iCs/>
        </w:rPr>
        <w:t>ibidem</w:t>
      </w:r>
      <w:r w:rsidRPr="008304D7">
        <w:rPr>
          <w:rFonts w:ascii="Verdana" w:hAnsi="Verdana" w:cs="Arial"/>
        </w:rPr>
        <w:t xml:space="preserve"> precisa lo siguiente: “En virtud del principio de publicidad, las autoridades darán a conocer al público y a los interesados, en forma sistemática y permanente, sin que medie petición alguna, sus actos, contratos y resoluciones, mediante las comunicaciones, notificaciones y publicaciones que ordene la ley, incluyendo el empleo de tecnologías que permitan difundir de manera masiva tal información de conformidad con lo dispuesto en este Código […]”.  </w:t>
      </w:r>
    </w:p>
    <w:p w14:paraId="2E99F4FC" w14:textId="77777777" w:rsidR="006B036C" w:rsidRDefault="006B036C" w:rsidP="006B036C">
      <w:pPr>
        <w:widowControl w:val="0"/>
        <w:tabs>
          <w:tab w:val="left" w:pos="728"/>
        </w:tabs>
        <w:autoSpaceDE w:val="0"/>
        <w:autoSpaceDN w:val="0"/>
        <w:spacing w:after="0" w:line="276" w:lineRule="auto"/>
        <w:jc w:val="both"/>
        <w:rPr>
          <w:rFonts w:ascii="Verdana" w:eastAsia="Arial" w:hAnsi="Verdana" w:cs="Arial"/>
          <w:lang w:val="es-ES"/>
        </w:rPr>
      </w:pPr>
      <w:r w:rsidRPr="008304D7">
        <w:rPr>
          <w:rFonts w:ascii="Verdana" w:hAnsi="Verdana" w:cs="Arial"/>
        </w:rPr>
        <w:tab/>
      </w:r>
      <w:r w:rsidRPr="008304D7">
        <w:rPr>
          <w:rFonts w:ascii="Verdana" w:eastAsia="Arial" w:hAnsi="Verdana" w:cs="Arial"/>
          <w:lang w:val="es-ES"/>
        </w:rPr>
        <w:t xml:space="preserve">Para la Corte Constitucional el principio de publicidad es la garantía de las personas de conocer las actuaciones judiciales y administrativas y, con base en ese conocimiento, tener la posibilidad de exigir que se realicen conforme a la </w:t>
      </w:r>
      <w:r w:rsidRPr="008304D7">
        <w:rPr>
          <w:rFonts w:ascii="Verdana" w:eastAsia="Arial" w:hAnsi="Verdana" w:cs="Arial"/>
          <w:lang w:val="es-ES"/>
        </w:rPr>
        <w:lastRenderedPageBreak/>
        <w:t>ley</w:t>
      </w:r>
      <w:r w:rsidRPr="008304D7">
        <w:rPr>
          <w:rFonts w:ascii="Verdana" w:eastAsia="Arial" w:hAnsi="Verdana" w:cs="Arial"/>
          <w:sz w:val="21"/>
          <w:szCs w:val="21"/>
          <w:vertAlign w:val="superscript"/>
          <w:lang w:val="es-ES"/>
        </w:rPr>
        <w:footnoteReference w:id="13"/>
      </w:r>
      <w:r w:rsidRPr="008304D7">
        <w:rPr>
          <w:rFonts w:ascii="Verdana" w:eastAsia="Arial" w:hAnsi="Verdana" w:cs="Arial"/>
          <w:sz w:val="21"/>
          <w:szCs w:val="21"/>
          <w:lang w:val="es-ES"/>
        </w:rPr>
        <w:t>.</w:t>
      </w:r>
      <w:r w:rsidRPr="008304D7">
        <w:rPr>
          <w:rFonts w:ascii="Verdana" w:eastAsia="Arial" w:hAnsi="Verdana" w:cs="Arial"/>
          <w:b/>
          <w:lang w:val="es-ES"/>
        </w:rPr>
        <w:t xml:space="preserve"> </w:t>
      </w:r>
      <w:r w:rsidRPr="008304D7">
        <w:rPr>
          <w:rFonts w:ascii="Verdana" w:eastAsia="Arial" w:hAnsi="Verdana" w:cs="Arial"/>
          <w:bCs/>
          <w:lang w:val="es-ES"/>
        </w:rPr>
        <w:t xml:space="preserve">Este </w:t>
      </w:r>
      <w:r w:rsidRPr="008304D7">
        <w:rPr>
          <w:rFonts w:ascii="Verdana" w:eastAsia="Arial" w:hAnsi="Verdana" w:cs="Arial"/>
          <w:lang w:val="es-ES"/>
        </w:rPr>
        <w:t>impone a las autoridades administrativas el deber de dar a conocer sus actos, contratos y decisiones, para que se divulguen y eventualmente se controlen las actuaciones. El literal c) del artículo 3 de la Ley 1150 de 2007 establece que el Sistema Electrónico para la Contratación Pública –SECOP– “contará con la información oficial de la contratación realizada con dineros públicos, para lo cual establecerá los patrones a que haya lugar y se encargará de su difusión a través de canales electrónicos”</w:t>
      </w:r>
      <w:r w:rsidRPr="008304D7">
        <w:rPr>
          <w:rFonts w:ascii="Verdana" w:eastAsia="Arial" w:hAnsi="Verdana" w:cs="Arial"/>
          <w:vertAlign w:val="superscript"/>
          <w:lang w:val="es-ES"/>
        </w:rPr>
        <w:footnoteReference w:id="14"/>
      </w:r>
      <w:r w:rsidRPr="008304D7">
        <w:rPr>
          <w:rFonts w:ascii="Verdana" w:eastAsia="Arial" w:hAnsi="Verdana" w:cs="Arial"/>
          <w:lang w:val="es-ES"/>
        </w:rPr>
        <w:t xml:space="preserve">. </w:t>
      </w:r>
    </w:p>
    <w:p w14:paraId="6358346C" w14:textId="77777777" w:rsidR="006B036C" w:rsidRDefault="006B036C" w:rsidP="006B036C">
      <w:pPr>
        <w:widowControl w:val="0"/>
        <w:tabs>
          <w:tab w:val="left" w:pos="728"/>
        </w:tabs>
        <w:autoSpaceDE w:val="0"/>
        <w:autoSpaceDN w:val="0"/>
        <w:spacing w:after="0" w:line="276" w:lineRule="auto"/>
        <w:jc w:val="both"/>
        <w:rPr>
          <w:rFonts w:ascii="Verdana" w:eastAsia="Arial" w:hAnsi="Verdana" w:cs="Arial"/>
          <w:lang w:val="es-ES"/>
        </w:rPr>
      </w:pPr>
    </w:p>
    <w:p w14:paraId="49DFFB03" w14:textId="77777777" w:rsidR="006B036C" w:rsidRPr="008304D7" w:rsidRDefault="006B036C" w:rsidP="006B036C">
      <w:pPr>
        <w:widowControl w:val="0"/>
        <w:tabs>
          <w:tab w:val="left" w:pos="728"/>
        </w:tabs>
        <w:autoSpaceDE w:val="0"/>
        <w:autoSpaceDN w:val="0"/>
        <w:spacing w:after="120" w:line="276" w:lineRule="auto"/>
        <w:jc w:val="both"/>
        <w:rPr>
          <w:rFonts w:ascii="Verdana" w:eastAsia="Arial" w:hAnsi="Verdana" w:cs="Arial"/>
          <w:lang w:val="es-ES"/>
        </w:rPr>
      </w:pPr>
      <w:r>
        <w:rPr>
          <w:rFonts w:ascii="Verdana" w:eastAsia="Arial" w:hAnsi="Verdana" w:cs="Arial"/>
          <w:lang w:val="es-ES"/>
        </w:rPr>
        <w:t xml:space="preserve">v. </w:t>
      </w:r>
      <w:r w:rsidRPr="008304D7">
        <w:rPr>
          <w:rFonts w:ascii="Verdana" w:eastAsia="Arial" w:hAnsi="Verdana" w:cs="Arial"/>
          <w:lang w:val="es-ES"/>
        </w:rPr>
        <w:t xml:space="preserve">De otra parte, la Ley 1712 de 2014, por medio de la cual se regula la transparencia el derecho de acceso a la información pública nacional y se dictan otras disposiciones, identifica como principios que orientan el derecho de acceso a la información pública el de máxima publicidad y el de transparencia en la información. De acuerdo con el primero, toda información en posesión, bajo control o custodia de un sujeto obligado es pública y no podrá ser reservada o limitada sino por disposición constitucional o legal. Por su parte, el segundo alude al deber de los sujetos de proporcionar y facilitar el acceso a la misma en los términos más amplios posibles, y a través de los medios y procedimientos que establezca la ley. </w:t>
      </w:r>
    </w:p>
    <w:p w14:paraId="30AD6B85" w14:textId="77777777" w:rsidR="006B036C" w:rsidRPr="008304D7" w:rsidRDefault="006B036C" w:rsidP="006B036C">
      <w:pPr>
        <w:widowControl w:val="0"/>
        <w:tabs>
          <w:tab w:val="left" w:pos="728"/>
        </w:tabs>
        <w:autoSpaceDE w:val="0"/>
        <w:autoSpaceDN w:val="0"/>
        <w:spacing w:after="120" w:line="276" w:lineRule="auto"/>
        <w:jc w:val="both"/>
        <w:rPr>
          <w:rFonts w:ascii="Verdana" w:eastAsia="Arial" w:hAnsi="Verdana" w:cs="Arial"/>
          <w:lang w:val="es-ES"/>
        </w:rPr>
      </w:pPr>
      <w:r w:rsidRPr="008304D7">
        <w:rPr>
          <w:rFonts w:ascii="Verdana" w:eastAsia="Arial" w:hAnsi="Verdana" w:cs="Arial"/>
          <w:lang w:val="es-ES"/>
        </w:rPr>
        <w:tab/>
        <w:t xml:space="preserve">La ley citada establece, en el literal </w:t>
      </w:r>
      <w:r>
        <w:rPr>
          <w:rFonts w:ascii="Verdana" w:eastAsia="Arial" w:hAnsi="Verdana" w:cs="Arial"/>
          <w:lang w:val="es-ES"/>
        </w:rPr>
        <w:t>a</w:t>
      </w:r>
      <w:r w:rsidRPr="008304D7">
        <w:rPr>
          <w:rFonts w:ascii="Verdana" w:eastAsia="Arial" w:hAnsi="Verdana" w:cs="Arial"/>
          <w:lang w:val="es-ES"/>
        </w:rPr>
        <w:t xml:space="preserve">) del artículo </w:t>
      </w:r>
      <w:r>
        <w:rPr>
          <w:rFonts w:ascii="Verdana" w:eastAsia="Arial" w:hAnsi="Verdana" w:cs="Arial"/>
          <w:lang w:val="es-ES"/>
        </w:rPr>
        <w:t>5</w:t>
      </w:r>
      <w:r w:rsidRPr="008304D7">
        <w:rPr>
          <w:rFonts w:ascii="Verdana" w:eastAsia="Arial" w:hAnsi="Verdana" w:cs="Arial"/>
          <w:lang w:val="es-ES"/>
        </w:rPr>
        <w:t>, que los sujetos obligados, que son todas las entidades públicas, deben publicar la información relativa a su contratación</w:t>
      </w:r>
      <w:r w:rsidRPr="008304D7">
        <w:rPr>
          <w:rFonts w:ascii="Verdana" w:eastAsia="Arial" w:hAnsi="Verdana" w:cs="Arial"/>
          <w:vertAlign w:val="superscript"/>
          <w:lang w:val="es-ES"/>
        </w:rPr>
        <w:footnoteReference w:id="15"/>
      </w:r>
      <w:r w:rsidRPr="008304D7">
        <w:rPr>
          <w:rFonts w:ascii="Verdana" w:eastAsia="Arial" w:hAnsi="Verdana" w:cs="Arial"/>
          <w:lang w:val="es-ES"/>
        </w:rPr>
        <w:t xml:space="preserve">. Esta obligación fue en principio desarrollada por el Decreto 103 de 2015, hoy compilado en el Decreto Único Reglamentario 1081 </w:t>
      </w:r>
      <w:r w:rsidRPr="008304D7">
        <w:rPr>
          <w:rFonts w:ascii="Verdana" w:eastAsia="Arial" w:hAnsi="Verdana" w:cs="Arial"/>
          <w:lang w:val="es-ES"/>
        </w:rPr>
        <w:lastRenderedPageBreak/>
        <w:t>de 2015, el cual dispuso que la publicación de la información contractual de los sujetos obligados, que contratan con cargo a recursos públicos, debe hacerse en el Sistema Electrónico de Contratación Pública –SECOP–</w:t>
      </w:r>
      <w:r w:rsidRPr="008304D7">
        <w:rPr>
          <w:rFonts w:ascii="Verdana" w:eastAsia="Arial" w:hAnsi="Verdana" w:cs="Arial"/>
          <w:vertAlign w:val="superscript"/>
          <w:lang w:val="es-ES"/>
        </w:rPr>
        <w:footnoteReference w:id="16"/>
      </w:r>
      <w:r w:rsidRPr="008304D7">
        <w:rPr>
          <w:rFonts w:ascii="Verdana" w:eastAsia="Arial" w:hAnsi="Verdana" w:cs="Arial"/>
          <w:lang w:val="es-ES"/>
        </w:rPr>
        <w:t>.</w:t>
      </w:r>
    </w:p>
    <w:p w14:paraId="0802A775" w14:textId="77777777" w:rsidR="006B036C" w:rsidRDefault="006B036C" w:rsidP="006B036C">
      <w:pPr>
        <w:widowControl w:val="0"/>
        <w:tabs>
          <w:tab w:val="left" w:pos="728"/>
        </w:tabs>
        <w:autoSpaceDE w:val="0"/>
        <w:autoSpaceDN w:val="0"/>
        <w:spacing w:after="0" w:line="276" w:lineRule="auto"/>
        <w:jc w:val="both"/>
        <w:rPr>
          <w:rFonts w:ascii="Verdana" w:eastAsia="Arial" w:hAnsi="Verdana" w:cs="Arial"/>
          <w:lang w:val="es-ES"/>
        </w:rPr>
      </w:pPr>
      <w:r w:rsidRPr="008304D7">
        <w:rPr>
          <w:rFonts w:ascii="Verdana" w:eastAsia="Arial" w:hAnsi="Verdana" w:cs="Arial"/>
          <w:lang w:val="es-ES"/>
        </w:rPr>
        <w:tab/>
        <w:t>Asimismo, de acuerdo con el literal g) del artículo 11 de la misma Ley, los destinatarios de la ley de transparencia deben garantizar la publicidad de “sus procedimientos, lineamientos, políticas en materia de adquisiciones y compras, así como todos los datos de adjudicación y ejecución de contratos, incluidos concursos y licitaciones”, y esta información también debe estar en el SECOP conforme a lo explicado en el párrafo precedente. El derecho de acceso a la información pública o de interés público permite a toda persona, sin necesidad de acreditar calidad, interés o condición particular, conocer la existencia de información pública, acceder a la misma y difundirla o publicarla, según su interés</w:t>
      </w:r>
      <w:r w:rsidRPr="008304D7">
        <w:rPr>
          <w:rFonts w:ascii="Verdana" w:eastAsia="Arial" w:hAnsi="Verdana" w:cs="Arial"/>
          <w:vertAlign w:val="superscript"/>
          <w:lang w:val="es-ES"/>
        </w:rPr>
        <w:footnoteReference w:id="17"/>
      </w:r>
      <w:r w:rsidRPr="008304D7">
        <w:rPr>
          <w:rFonts w:ascii="Verdana" w:eastAsia="Arial" w:hAnsi="Verdana" w:cs="Arial"/>
          <w:lang w:val="es-ES"/>
        </w:rPr>
        <w:t>.</w:t>
      </w:r>
    </w:p>
    <w:p w14:paraId="68DEFAAF" w14:textId="77777777" w:rsidR="006B036C" w:rsidRPr="008304D7" w:rsidRDefault="006B036C" w:rsidP="006B036C">
      <w:pPr>
        <w:widowControl w:val="0"/>
        <w:tabs>
          <w:tab w:val="left" w:pos="728"/>
        </w:tabs>
        <w:autoSpaceDE w:val="0"/>
        <w:autoSpaceDN w:val="0"/>
        <w:spacing w:after="0" w:line="276" w:lineRule="auto"/>
        <w:jc w:val="both"/>
        <w:rPr>
          <w:rFonts w:ascii="Verdana" w:eastAsia="Arial" w:hAnsi="Verdana" w:cs="Arial"/>
          <w:lang w:val="es-ES"/>
        </w:rPr>
      </w:pPr>
    </w:p>
    <w:p w14:paraId="4D43FAD8" w14:textId="77777777" w:rsidR="006B036C" w:rsidRPr="008304D7" w:rsidRDefault="006B036C" w:rsidP="006B036C">
      <w:pPr>
        <w:spacing w:line="276" w:lineRule="auto"/>
        <w:contextualSpacing/>
        <w:jc w:val="both"/>
        <w:rPr>
          <w:rFonts w:ascii="Verdana" w:eastAsia="Calibri" w:hAnsi="Verdana" w:cs="Arial"/>
          <w:lang w:val="es-ES_tradnl" w:eastAsia="es-ES_tradnl"/>
        </w:rPr>
      </w:pPr>
      <w:r>
        <w:rPr>
          <w:rFonts w:ascii="Verdana" w:hAnsi="Verdana" w:cs="Arial"/>
          <w:lang w:val="es-ES"/>
        </w:rPr>
        <w:t xml:space="preserve">vi. </w:t>
      </w:r>
      <w:r w:rsidRPr="008304D7">
        <w:rPr>
          <w:rFonts w:ascii="Verdana" w:hAnsi="Verdana" w:cs="Arial"/>
          <w:lang w:val="es-ES"/>
        </w:rPr>
        <w:t xml:space="preserve">Tratándose de los contratos de régimen exceptuado, el deber de publicidad y transparencia </w:t>
      </w:r>
      <w:bookmarkStart w:id="4" w:name="_Hlk114572097"/>
      <w:bookmarkStart w:id="5" w:name="_Hlk112856043"/>
      <w:bookmarkStart w:id="6" w:name="_Hlk112245356"/>
      <w:r w:rsidRPr="008304D7">
        <w:rPr>
          <w:rFonts w:ascii="Verdana" w:hAnsi="Verdana" w:cs="Arial"/>
          <w:lang w:val="es-ES"/>
        </w:rPr>
        <w:t>fue complementado</w:t>
      </w:r>
      <w:r w:rsidRPr="008304D7">
        <w:rPr>
          <w:rFonts w:ascii="Verdana" w:hAnsi="Verdana" w:cs="Arial"/>
        </w:rPr>
        <w:t xml:space="preserve"> con la Ley 2195 de 2022. </w:t>
      </w:r>
      <w:r w:rsidRPr="008304D7">
        <w:rPr>
          <w:rFonts w:ascii="Verdana" w:eastAsia="Calibri" w:hAnsi="Verdana" w:cs="Arial"/>
          <w:lang w:val="es-ES_tradnl" w:eastAsia="es-ES_tradnl"/>
        </w:rPr>
        <w:t>Según el artículo 1, esta Ley “</w:t>
      </w:r>
      <w:r w:rsidRPr="008304D7">
        <w:rPr>
          <w:rFonts w:ascii="Verdana" w:eastAsia="Times New Roman" w:hAnsi="Verdana" w:cs="Arial"/>
          <w:lang w:val="es-ES_tradnl" w:eastAsia="es-ES_tradnl"/>
        </w:rPr>
        <w:t xml:space="preserve">[…] </w:t>
      </w:r>
      <w:r w:rsidRPr="008304D7">
        <w:rPr>
          <w:rFonts w:ascii="Verdana" w:eastAsia="Calibri" w:hAnsi="Verdana" w:cs="Arial"/>
          <w:lang w:val="es-ES_tradnl" w:eastAsia="es-ES_tradnl"/>
        </w:rPr>
        <w:t xml:space="preserve">tiene por objeto adoptar disposiciones tendientes a prevenir los actos de corrupción, a reforzar la articulación y coordinación de las entidades del Estado y a recuperar los daños ocasionados por dichos actos con el fin de asegurar promover la cultura de la legalidad e integridad y recuperar la confianza ciudadana y el respeto por lo público”. </w:t>
      </w:r>
    </w:p>
    <w:p w14:paraId="43FB0031" w14:textId="77777777" w:rsidR="006B036C" w:rsidRPr="008304D7" w:rsidRDefault="006B036C" w:rsidP="006B036C">
      <w:pPr>
        <w:spacing w:line="276" w:lineRule="auto"/>
        <w:ind w:firstLine="709"/>
        <w:contextualSpacing/>
        <w:jc w:val="both"/>
        <w:rPr>
          <w:rFonts w:ascii="Verdana" w:eastAsia="Calibri" w:hAnsi="Verdana" w:cs="Arial"/>
          <w:sz w:val="12"/>
          <w:szCs w:val="12"/>
          <w:lang w:val="es-ES_tradnl" w:eastAsia="es-ES_tradnl"/>
        </w:rPr>
      </w:pPr>
    </w:p>
    <w:p w14:paraId="0F433BD5" w14:textId="77777777" w:rsidR="006B036C" w:rsidRPr="008304D7" w:rsidRDefault="006B036C" w:rsidP="006B036C">
      <w:pPr>
        <w:spacing w:line="276" w:lineRule="auto"/>
        <w:ind w:firstLine="709"/>
        <w:contextualSpacing/>
        <w:jc w:val="both"/>
        <w:rPr>
          <w:rFonts w:ascii="Verdana" w:hAnsi="Verdana" w:cs="Arial"/>
        </w:rPr>
      </w:pPr>
      <w:r w:rsidRPr="008304D7">
        <w:rPr>
          <w:rFonts w:ascii="Verdana" w:eastAsia="Calibri" w:hAnsi="Verdana" w:cs="Arial"/>
          <w:lang w:val="es-ES_tradnl" w:eastAsia="es-ES_tradnl"/>
        </w:rPr>
        <w:t xml:space="preserve">Dentro del capítulo VIII, por el cual se expiden “Disposiciones en materia contractual para la moralización y la transparencia”, se ubica </w:t>
      </w:r>
      <w:r w:rsidRPr="008304D7">
        <w:rPr>
          <w:rFonts w:ascii="Verdana" w:hAnsi="Verdana" w:cs="Arial"/>
        </w:rPr>
        <w:t>el artículo 53. Este adiciona el artículo 13 de la Ley 1150 de 2007, y obliga a las entidades estatales que por disposición legal cuenten con un régimen contractual excepcional al del Estatuto General de Contratación de la Administración Pública a publicar los documentos relacionados con su actividad contractual en el Sistema Electrónico para la Contratación Pública –SECOP II– o la plataforma transaccional que haga sus veces.</w:t>
      </w:r>
      <w:bookmarkEnd w:id="4"/>
      <w:r w:rsidRPr="008304D7">
        <w:rPr>
          <w:rFonts w:ascii="Verdana" w:hAnsi="Verdana" w:cs="Arial"/>
        </w:rPr>
        <w:t xml:space="preserve"> </w:t>
      </w:r>
      <w:bookmarkEnd w:id="5"/>
      <w:bookmarkEnd w:id="6"/>
      <w:r w:rsidRPr="008304D7">
        <w:rPr>
          <w:rFonts w:ascii="Verdana" w:hAnsi="Verdana" w:cs="Arial"/>
        </w:rPr>
        <w:t>Al respecto, la norma citada dispone lo siguiente:</w:t>
      </w:r>
    </w:p>
    <w:p w14:paraId="215B20AA" w14:textId="77777777" w:rsidR="006B036C" w:rsidRPr="008304D7" w:rsidRDefault="006B036C" w:rsidP="006B036C">
      <w:pPr>
        <w:spacing w:line="276" w:lineRule="auto"/>
        <w:ind w:firstLine="301"/>
        <w:contextualSpacing/>
        <w:rPr>
          <w:rFonts w:ascii="Verdana" w:hAnsi="Verdana" w:cs="Arial"/>
        </w:rPr>
      </w:pPr>
    </w:p>
    <w:p w14:paraId="4000DBC5" w14:textId="77777777" w:rsidR="006B036C" w:rsidRPr="00FA383F" w:rsidRDefault="006B036C" w:rsidP="006B036C">
      <w:pPr>
        <w:spacing w:line="240" w:lineRule="auto"/>
        <w:ind w:left="709" w:right="709"/>
        <w:contextualSpacing/>
        <w:jc w:val="both"/>
        <w:rPr>
          <w:rFonts w:ascii="Verdana" w:eastAsia="Calibri" w:hAnsi="Verdana" w:cs="Arial"/>
          <w:sz w:val="20"/>
          <w:szCs w:val="20"/>
        </w:rPr>
      </w:pPr>
      <w:r w:rsidRPr="008304D7">
        <w:rPr>
          <w:rFonts w:ascii="Verdana" w:eastAsia="Calibri" w:hAnsi="Verdana" w:cs="Arial"/>
          <w:sz w:val="21"/>
          <w:szCs w:val="21"/>
        </w:rPr>
        <w:t>“</w:t>
      </w:r>
      <w:r w:rsidRPr="00FA383F">
        <w:rPr>
          <w:rFonts w:ascii="Verdana" w:eastAsia="Calibri" w:hAnsi="Verdana" w:cs="Arial"/>
          <w:sz w:val="20"/>
          <w:szCs w:val="20"/>
        </w:rPr>
        <w:t>Adiciónese los siguientes incisos al artículo 13 de la Ley 1150 de 2007, el cual quedará así:</w:t>
      </w:r>
    </w:p>
    <w:p w14:paraId="7BFBEF60" w14:textId="77777777" w:rsidR="006B036C" w:rsidRPr="008304D7" w:rsidRDefault="006B036C" w:rsidP="006B036C">
      <w:pPr>
        <w:spacing w:line="240" w:lineRule="auto"/>
        <w:ind w:left="709" w:right="709"/>
        <w:contextualSpacing/>
        <w:jc w:val="both"/>
        <w:rPr>
          <w:rFonts w:ascii="Verdana" w:eastAsia="Calibri" w:hAnsi="Verdana" w:cs="Arial"/>
          <w:sz w:val="12"/>
          <w:szCs w:val="12"/>
        </w:rPr>
      </w:pPr>
    </w:p>
    <w:p w14:paraId="0B1B3BC7" w14:textId="77777777" w:rsidR="006B036C" w:rsidRPr="00FA383F" w:rsidRDefault="006B036C" w:rsidP="006B036C">
      <w:pPr>
        <w:spacing w:line="240" w:lineRule="auto"/>
        <w:ind w:left="709" w:right="709"/>
        <w:contextualSpacing/>
        <w:jc w:val="both"/>
        <w:rPr>
          <w:rFonts w:ascii="Verdana" w:eastAsia="Calibri" w:hAnsi="Verdana" w:cs="Arial"/>
          <w:sz w:val="20"/>
          <w:szCs w:val="20"/>
        </w:rPr>
      </w:pPr>
      <w:r w:rsidRPr="00FA383F">
        <w:rPr>
          <w:rFonts w:ascii="Verdana" w:eastAsia="Calibri" w:hAnsi="Verdana" w:cs="Arial"/>
          <w:sz w:val="20"/>
          <w:szCs w:val="20"/>
        </w:rPr>
        <w:t xml:space="preserve">Artículo 13. PRINCIPIOS GENERALES DE LA ACTIVIDAD CONTRACTUAL PARA ENTIDADES NO SOMETIDAS AL ESTATUTO GENERAL DE CONTRATACIÓN DE LA ADMINISTRACIÓN PÚBLICA. </w:t>
      </w:r>
      <w:bookmarkStart w:id="7" w:name="_Hlk153374976"/>
      <w:r w:rsidRPr="00FA383F">
        <w:rPr>
          <w:rFonts w:ascii="Verdana" w:eastAsia="Calibri" w:hAnsi="Verdana" w:cs="Arial"/>
          <w:sz w:val="20"/>
          <w:szCs w:val="20"/>
        </w:rPr>
        <w:t>Las entidades estatales que por disposición legal cuenten con un régimen contractual excepcional al del Estatuto General de Contratación de la Administración Pública</w:t>
      </w:r>
      <w:bookmarkEnd w:id="7"/>
      <w:r w:rsidRPr="00FA383F">
        <w:rPr>
          <w:rFonts w:ascii="Verdana" w:eastAsia="Calibri" w:hAnsi="Verdana" w:cs="Arial"/>
          <w:sz w:val="20"/>
          <w:szCs w:val="20"/>
        </w:rPr>
        <w:t>, aplicarán en desarrollo de su actividad contractual, acorde con su régimen legal especial, los principios de la función administrativa y de la gestión fiscal de que tratan los artículos 209 y 267 de la Constitución Política, respectivamente según sea el caso y estarán sometidas al régimen de inhabilidades e incompatibilidades previsto legalmente para la contratación estatal.</w:t>
      </w:r>
    </w:p>
    <w:p w14:paraId="2ED0E52F" w14:textId="77777777" w:rsidR="006B036C" w:rsidRPr="008304D7" w:rsidRDefault="006B036C" w:rsidP="006B036C">
      <w:pPr>
        <w:spacing w:line="240" w:lineRule="auto"/>
        <w:ind w:left="709" w:right="709"/>
        <w:contextualSpacing/>
        <w:jc w:val="both"/>
        <w:rPr>
          <w:rFonts w:ascii="Verdana" w:eastAsia="Calibri" w:hAnsi="Verdana" w:cs="Arial"/>
          <w:sz w:val="12"/>
          <w:szCs w:val="12"/>
        </w:rPr>
      </w:pPr>
    </w:p>
    <w:p w14:paraId="1EF51624" w14:textId="77777777" w:rsidR="006B036C" w:rsidRPr="00FA383F" w:rsidRDefault="006B036C" w:rsidP="006B036C">
      <w:pPr>
        <w:spacing w:line="240" w:lineRule="auto"/>
        <w:ind w:left="709" w:right="709"/>
        <w:contextualSpacing/>
        <w:jc w:val="both"/>
        <w:rPr>
          <w:rFonts w:ascii="Verdana" w:eastAsia="Calibri" w:hAnsi="Verdana" w:cs="Arial"/>
          <w:sz w:val="20"/>
          <w:szCs w:val="20"/>
        </w:rPr>
      </w:pPr>
      <w:r w:rsidRPr="00FA383F">
        <w:rPr>
          <w:rFonts w:ascii="Verdana" w:eastAsia="Calibri" w:hAnsi="Verdana" w:cs="Arial"/>
          <w:sz w:val="20"/>
          <w:szCs w:val="20"/>
        </w:rPr>
        <w:t xml:space="preserve">En desarrollo de los anteriores principios, </w:t>
      </w:r>
      <w:bookmarkStart w:id="8" w:name="_Hlk153375008"/>
      <w:r w:rsidRPr="00FA383F">
        <w:rPr>
          <w:rFonts w:ascii="Verdana" w:eastAsia="Calibri" w:hAnsi="Verdana" w:cs="Arial"/>
          <w:sz w:val="20"/>
          <w:szCs w:val="20"/>
        </w:rPr>
        <w:t>deberán publicar los documentos relacionados con su actividad contractual en el Sistema Electrónico para la Contratación Pública –SECOP II– o la plataforma transaccional que haga sus veces</w:t>
      </w:r>
      <w:bookmarkEnd w:id="8"/>
      <w:r w:rsidRPr="00FA383F">
        <w:rPr>
          <w:rFonts w:ascii="Verdana" w:eastAsia="Calibri" w:hAnsi="Verdana" w:cs="Arial"/>
          <w:sz w:val="20"/>
          <w:szCs w:val="20"/>
        </w:rPr>
        <w:t xml:space="preserve">. Para los efectos de este artículo, se entiende por actividad contractual </w:t>
      </w:r>
      <w:bookmarkStart w:id="9" w:name="_Hlk153375262"/>
      <w:r w:rsidRPr="00FA383F">
        <w:rPr>
          <w:rFonts w:ascii="Verdana" w:eastAsia="Calibri" w:hAnsi="Verdana" w:cs="Arial"/>
          <w:sz w:val="20"/>
          <w:szCs w:val="20"/>
        </w:rPr>
        <w:t xml:space="preserve">los documentos, contratos, actos e información generada por oferentes, contratista, contratante, supervisor o interventor, tanto en la etapa precontractual, como en la contractual y la </w:t>
      </w:r>
      <w:proofErr w:type="spellStart"/>
      <w:r w:rsidRPr="00FA383F">
        <w:rPr>
          <w:rFonts w:ascii="Verdana" w:eastAsia="Calibri" w:hAnsi="Verdana" w:cs="Arial"/>
          <w:sz w:val="20"/>
          <w:szCs w:val="20"/>
        </w:rPr>
        <w:t>postcontractual</w:t>
      </w:r>
      <w:bookmarkEnd w:id="9"/>
      <w:proofErr w:type="spellEnd"/>
      <w:r w:rsidRPr="00FA383F">
        <w:rPr>
          <w:rFonts w:ascii="Verdana" w:eastAsia="Calibri" w:hAnsi="Verdana" w:cs="Arial"/>
          <w:sz w:val="20"/>
          <w:szCs w:val="20"/>
        </w:rPr>
        <w:t>.</w:t>
      </w:r>
    </w:p>
    <w:p w14:paraId="3B5F234B" w14:textId="77777777" w:rsidR="006B036C" w:rsidRPr="008304D7" w:rsidRDefault="006B036C" w:rsidP="006B036C">
      <w:pPr>
        <w:spacing w:line="240" w:lineRule="auto"/>
        <w:ind w:left="709" w:right="709"/>
        <w:contextualSpacing/>
        <w:jc w:val="both"/>
        <w:rPr>
          <w:rFonts w:ascii="Verdana" w:eastAsia="Calibri" w:hAnsi="Verdana" w:cs="Arial"/>
          <w:i/>
          <w:iCs/>
          <w:sz w:val="12"/>
          <w:szCs w:val="12"/>
        </w:rPr>
      </w:pPr>
    </w:p>
    <w:p w14:paraId="4BD9C146" w14:textId="77777777" w:rsidR="006B036C" w:rsidRPr="00FA383F" w:rsidRDefault="006B036C" w:rsidP="006B036C">
      <w:pPr>
        <w:spacing w:line="240" w:lineRule="auto"/>
        <w:ind w:left="709" w:right="709"/>
        <w:contextualSpacing/>
        <w:jc w:val="both"/>
        <w:rPr>
          <w:rFonts w:ascii="Verdana" w:eastAsia="Calibri" w:hAnsi="Verdana" w:cs="Arial"/>
          <w:sz w:val="20"/>
          <w:szCs w:val="20"/>
        </w:rPr>
      </w:pPr>
      <w:r w:rsidRPr="00FA383F">
        <w:rPr>
          <w:rFonts w:ascii="Verdana" w:eastAsia="Calibri" w:hAnsi="Verdana" w:cs="Arial"/>
          <w:sz w:val="20"/>
          <w:szCs w:val="20"/>
        </w:rPr>
        <w:t>A partir de la entrada en vigencia de la presente Ley, se establecerá un periodo de transición de seis (6) meses, para que las entidades den cumplimiento efectivo a lo aquí establecido”.</w:t>
      </w:r>
    </w:p>
    <w:p w14:paraId="7BD869C7" w14:textId="77777777" w:rsidR="006B036C" w:rsidRPr="008304D7" w:rsidRDefault="006B036C" w:rsidP="006B036C">
      <w:pPr>
        <w:spacing w:line="276" w:lineRule="auto"/>
        <w:ind w:firstLine="709"/>
        <w:contextualSpacing/>
        <w:jc w:val="both"/>
        <w:rPr>
          <w:rFonts w:ascii="Verdana" w:eastAsia="Calibri" w:hAnsi="Verdana" w:cs="Arial"/>
          <w:lang w:val="es-ES_tradnl"/>
        </w:rPr>
      </w:pPr>
    </w:p>
    <w:p w14:paraId="385EDED8" w14:textId="77777777" w:rsidR="006B036C" w:rsidRPr="00904EDB" w:rsidRDefault="006B036C" w:rsidP="006B036C">
      <w:pPr>
        <w:spacing w:after="120" w:line="276" w:lineRule="auto"/>
        <w:ind w:firstLine="709"/>
        <w:jc w:val="both"/>
        <w:rPr>
          <w:rFonts w:ascii="Verdana" w:eastAsia="Calibri" w:hAnsi="Verdana" w:cs="Arial"/>
          <w:lang w:val="es-ES_tradnl"/>
        </w:rPr>
      </w:pPr>
      <w:bookmarkStart w:id="10" w:name="_Hlk114556636"/>
      <w:r w:rsidRPr="00904EDB">
        <w:rPr>
          <w:rFonts w:ascii="Verdana" w:hAnsi="Verdana" w:cs="Arial"/>
        </w:rPr>
        <w:t xml:space="preserve">Conforme a lo anterior, a partir del 18 de julio de 2022, las entidades exceptuadas se encuentran obligadas a publicar todos los documentos de su actividad contractual en el SECOP II, sin perjuicio de estar sometidas a regímenes de derecho privado. Siendo este el efecto de la disposición bajo estudio se destaca que </w:t>
      </w:r>
      <w:r w:rsidRPr="00904EDB">
        <w:rPr>
          <w:rFonts w:ascii="Verdana" w:eastAsia="Calibri" w:hAnsi="Verdana" w:cs="Arial"/>
          <w:lang w:val="es-ES_tradnl"/>
        </w:rPr>
        <w:t xml:space="preserve">la modificación introducida por el artículo 53 de la Ley 2195 de 2022 de ninguna manera puede ser interpretada como una modificación del régimen jurídico de las entidades exceptuadas, ni como una norma que regule la forma en la que se perfeccionan los contratos de régimen especial. </w:t>
      </w:r>
    </w:p>
    <w:bookmarkEnd w:id="10"/>
    <w:p w14:paraId="2A97DF5C" w14:textId="77777777" w:rsidR="006B036C" w:rsidRDefault="006B036C" w:rsidP="006B036C">
      <w:pPr>
        <w:spacing w:after="0" w:line="276" w:lineRule="auto"/>
        <w:ind w:firstLine="708"/>
        <w:jc w:val="both"/>
        <w:rPr>
          <w:rFonts w:ascii="Verdana" w:eastAsia="Calibri" w:hAnsi="Verdana" w:cs="Arial"/>
          <w:color w:val="000000" w:themeColor="text1"/>
          <w:lang w:val="es-ES"/>
        </w:rPr>
      </w:pPr>
      <w:r w:rsidRPr="00904EDB">
        <w:rPr>
          <w:rFonts w:ascii="Verdana" w:eastAsia="Calibri" w:hAnsi="Verdana" w:cs="Arial"/>
          <w:lang w:val="es-ES_tradnl"/>
        </w:rPr>
        <w:t xml:space="preserve">El efecto de la norma tampoco es el de imponer formalidades propias del régimen de contratación público en detrimento de las regulaciones establecidas en los manuales de contratación de las entidades exceptuadas. Esto dado que la referida disposición se limita a señalar el SECOP II –o la plataforma transaccional que haga sus veces– como el medio a través del cual les corresponderá a las entidades realizar la publicidad de los documentos que expidan en el curso de </w:t>
      </w:r>
      <w:r w:rsidRPr="00904EDB">
        <w:rPr>
          <w:rFonts w:ascii="Verdana" w:eastAsia="Calibri" w:hAnsi="Verdana" w:cs="Arial"/>
          <w:lang w:val="es-ES_tradnl"/>
        </w:rPr>
        <w:lastRenderedPageBreak/>
        <w:t>su actividad contractual desarrollada al margen del Estatuto General de Contratación de la Administración Pública.</w:t>
      </w:r>
    </w:p>
    <w:p w14:paraId="1F608C90" w14:textId="77777777" w:rsidR="006B036C" w:rsidRDefault="006B036C" w:rsidP="006B036C">
      <w:pPr>
        <w:spacing w:after="0" w:line="276" w:lineRule="auto"/>
        <w:jc w:val="both"/>
        <w:rPr>
          <w:rFonts w:ascii="Verdana" w:eastAsia="Calibri" w:hAnsi="Verdana" w:cs="Arial"/>
          <w:bCs/>
          <w:color w:val="000000" w:themeColor="text1"/>
          <w:lang w:val="es-ES"/>
        </w:rPr>
      </w:pPr>
    </w:p>
    <w:p w14:paraId="55FD365F" w14:textId="77777777" w:rsidR="006B036C" w:rsidRPr="00F95B1D" w:rsidRDefault="006B036C" w:rsidP="006B036C">
      <w:pP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
        </w:rPr>
        <w:t xml:space="preserve">vi. </w:t>
      </w:r>
      <w:r>
        <w:rPr>
          <w:rFonts w:ascii="Verdana" w:eastAsia="Calibri" w:hAnsi="Verdana" w:cs="Arial"/>
          <w:lang w:val="es-ES_tradnl"/>
        </w:rPr>
        <w:t>El módulo de “régimen especial” existe en tanto en SECOP I</w:t>
      </w:r>
      <w:r>
        <w:rPr>
          <w:rStyle w:val="Refdenotaalpie"/>
          <w:rFonts w:ascii="Verdana" w:eastAsia="Calibri" w:hAnsi="Verdana" w:cs="Arial"/>
          <w:lang w:val="es-ES_tradnl"/>
        </w:rPr>
        <w:footnoteReference w:id="18"/>
      </w:r>
      <w:r>
        <w:rPr>
          <w:rFonts w:ascii="Verdana" w:eastAsia="Calibri" w:hAnsi="Verdana" w:cs="Arial"/>
          <w:lang w:val="es-ES_tradnl"/>
        </w:rPr>
        <w:t xml:space="preserve"> como en SECOP II, incluso, en esta última plataforma, distingue entre “régimen especial con ofertas”</w:t>
      </w:r>
      <w:r>
        <w:rPr>
          <w:rStyle w:val="Refdenotaalpie"/>
          <w:rFonts w:ascii="Verdana" w:eastAsia="Calibri" w:hAnsi="Verdana" w:cs="Arial"/>
          <w:lang w:val="es-ES_tradnl"/>
        </w:rPr>
        <w:footnoteReference w:id="19"/>
      </w:r>
      <w:r>
        <w:rPr>
          <w:rFonts w:ascii="Verdana" w:eastAsia="Calibri" w:hAnsi="Verdana" w:cs="Arial"/>
          <w:lang w:val="es-ES_tradnl"/>
        </w:rPr>
        <w:t xml:space="preserve"> y “régimen especial sin ofertas”</w:t>
      </w:r>
      <w:r>
        <w:rPr>
          <w:rStyle w:val="Refdenotaalpie"/>
          <w:rFonts w:ascii="Verdana" w:eastAsia="Calibri" w:hAnsi="Verdana" w:cs="Arial"/>
          <w:lang w:val="es-ES_tradnl"/>
        </w:rPr>
        <w:footnoteReference w:id="20"/>
      </w:r>
      <w:r>
        <w:rPr>
          <w:rFonts w:ascii="Verdana" w:eastAsia="Calibri" w:hAnsi="Verdana" w:cs="Arial"/>
          <w:lang w:val="es-ES_tradnl"/>
        </w:rPr>
        <w:t xml:space="preserve">. La diferencia es jurídicamente relevante, porque </w:t>
      </w:r>
      <w:r w:rsidRPr="00F95B1D">
        <w:rPr>
          <w:rFonts w:ascii="Verdana" w:eastAsia="Calibri" w:hAnsi="Verdana" w:cs="Arial"/>
          <w:bCs/>
          <w:color w:val="000000" w:themeColor="text1"/>
          <w:lang w:val="es-ES_tradnl"/>
        </w:rPr>
        <w:t>el SECOP I solo funciona como medio de publicidad, es decir, no tiene carácter transaccional. Esto significa que el procedimiento contractual se adelanta fuera de la plataforma a través de un expediente físico. No obstante, las actuaciones y los documentos se convierten en electrónicos para cargarse posteriormente a la plataforma</w:t>
      </w:r>
      <w:r>
        <w:rPr>
          <w:rFonts w:ascii="Verdana" w:eastAsia="Calibri" w:hAnsi="Verdana" w:cs="Arial"/>
          <w:bCs/>
          <w:color w:val="000000" w:themeColor="text1"/>
          <w:lang w:val="es-ES_tradnl"/>
        </w:rPr>
        <w:t>.</w:t>
      </w:r>
    </w:p>
    <w:p w14:paraId="6E1BADFB" w14:textId="77777777" w:rsidR="006B036C" w:rsidRDefault="006B036C" w:rsidP="006B036C">
      <w:pPr>
        <w:spacing w:after="120" w:line="276" w:lineRule="auto"/>
        <w:ind w:firstLine="709"/>
        <w:jc w:val="both"/>
        <w:rPr>
          <w:rFonts w:ascii="Verdana" w:eastAsia="Calibri" w:hAnsi="Verdana" w:cs="Arial"/>
          <w:bCs/>
          <w:color w:val="000000" w:themeColor="text1"/>
          <w:lang w:val="es-ES_tradnl"/>
        </w:rPr>
      </w:pPr>
      <w:r w:rsidRPr="00F95B1D">
        <w:rPr>
          <w:rFonts w:ascii="Verdana" w:eastAsia="Calibri" w:hAnsi="Verdana" w:cs="Arial"/>
          <w:bCs/>
          <w:color w:val="000000" w:themeColor="text1"/>
          <w:lang w:val="es-ES_tradnl"/>
        </w:rPr>
        <w:t>En contraste, el SECOP II permite generar contratos en línea y realizar la firma electrónica de los mismos. Tiene funciones que permiten al proveedor presentar garantías y facturas; y a la entidad, realizar la revisión y aprobación de ambos tipos de documentos en línea. Además, el módulo permite hacer modificaciones contractuales, tanto unilaterales como bilaterales –estas últimas son enviadas para aprobación del proveedor antes de la publicación por parte de la entidad estatal–. Para registrar el seguimiento al avance de la ejecución, el módulo de gestión contractual habilita el registro de planes de ejecución por porcentaje de avance y el cargue de documentos tanto a proveedor como a la entidad estatal, la cual puede crear usuarios para que los supervisores de los contratos carguen la información pertinente. Finalmente, la liquidación y el cierre de los expedientes contractuales también puede realizarse a través del SECOP II. Es de destacar que la plataforma tiene un módulo de búsqueda pública que permite a los ciudadanos y entes de control revisar el avance en tiempo real de cualquier contrato realizado a través del SECOP II, sin necesidad de tener usuarios creados en la plataforma.</w:t>
      </w:r>
    </w:p>
    <w:p w14:paraId="36EE5D5C" w14:textId="77777777" w:rsidR="006B036C" w:rsidRDefault="006B036C" w:rsidP="006B036C">
      <w:pPr>
        <w:spacing w:after="0" w:line="276" w:lineRule="auto"/>
        <w:ind w:firstLine="709"/>
        <w:jc w:val="both"/>
        <w:rPr>
          <w:rFonts w:ascii="Verdana" w:eastAsia="Calibri" w:hAnsi="Verdana" w:cs="Arial"/>
          <w:color w:val="000000" w:themeColor="text1"/>
        </w:rPr>
      </w:pPr>
      <w:r w:rsidRPr="50365B4C">
        <w:rPr>
          <w:rFonts w:ascii="Verdana" w:eastAsia="Calibri" w:hAnsi="Verdana" w:cs="Arial"/>
          <w:color w:val="000000" w:themeColor="text1"/>
        </w:rPr>
        <w:t xml:space="preserve">Lo anterior no obsta para que el SECOP II pueda utilizarse como un medio de publicidad de la actividad contractual de las entidades excluidas del EGCAP.  En este caso, el numeral 1.4 de la Circular Externa Única de la ANCP – CCE explica que se “[…] debe crear el proceso de contratación en el SECOP II </w:t>
      </w:r>
      <w:r w:rsidRPr="50365B4C">
        <w:rPr>
          <w:rFonts w:ascii="Verdana" w:eastAsia="Calibri" w:hAnsi="Verdana" w:cs="Arial"/>
          <w:color w:val="000000" w:themeColor="text1"/>
        </w:rPr>
        <w:lastRenderedPageBreak/>
        <w:t>mediante el módulo ‘Contratación Régimen Especial (sin ofertas)’, cargar todos los documentos del proceso en la sección predispuesta para ello y publicar el proceso. La publicación de los documentos de la gestión contractual, incluido el contrato firmado manuscritamente, se debe realizar mediante modificaciones al proceso a través de la opción ‘Modificaciones/Adendas’”</w:t>
      </w:r>
      <w:r w:rsidRPr="50365B4C">
        <w:rPr>
          <w:rStyle w:val="Refdenotaalpie"/>
          <w:rFonts w:ascii="Verdana" w:eastAsia="Calibri" w:hAnsi="Verdana" w:cs="Arial"/>
          <w:color w:val="000000" w:themeColor="text1"/>
        </w:rPr>
        <w:footnoteReference w:id="21"/>
      </w:r>
      <w:r w:rsidRPr="50365B4C">
        <w:rPr>
          <w:rFonts w:ascii="Verdana" w:eastAsia="Calibri" w:hAnsi="Verdana" w:cs="Arial"/>
          <w:color w:val="000000" w:themeColor="text1"/>
        </w:rPr>
        <w:t xml:space="preserve">. </w:t>
      </w:r>
    </w:p>
    <w:p w14:paraId="718070E7" w14:textId="77777777" w:rsidR="006B036C" w:rsidRDefault="006B036C" w:rsidP="006B036C">
      <w:pPr>
        <w:spacing w:after="0" w:line="276" w:lineRule="auto"/>
        <w:ind w:firstLine="709"/>
        <w:jc w:val="both"/>
        <w:rPr>
          <w:rFonts w:ascii="Verdana" w:eastAsia="Calibri" w:hAnsi="Verdana" w:cs="Arial"/>
          <w:bCs/>
          <w:color w:val="000000" w:themeColor="text1"/>
          <w:lang w:val="es-ES_tradnl"/>
        </w:rPr>
      </w:pPr>
    </w:p>
    <w:p w14:paraId="67784FFE" w14:textId="77777777" w:rsidR="006B036C" w:rsidRDefault="006B036C" w:rsidP="006B036C">
      <w:pPr>
        <w:spacing w:after="120" w:line="276" w:lineRule="auto"/>
        <w:jc w:val="both"/>
        <w:rPr>
          <w:rFonts w:ascii="Verdana" w:eastAsia="Calibri" w:hAnsi="Verdana" w:cs="Arial"/>
          <w:color w:val="000000" w:themeColor="text1"/>
          <w:lang w:val="es-ES"/>
        </w:rPr>
      </w:pPr>
      <w:proofErr w:type="spellStart"/>
      <w:r w:rsidRPr="50365B4C">
        <w:rPr>
          <w:rFonts w:ascii="Verdana" w:eastAsia="Calibri" w:hAnsi="Verdana" w:cs="Arial"/>
          <w:color w:val="000000" w:themeColor="text1"/>
          <w:lang w:val="es-ES"/>
        </w:rPr>
        <w:t>vii</w:t>
      </w:r>
      <w:proofErr w:type="spellEnd"/>
      <w:r w:rsidRPr="50365B4C">
        <w:rPr>
          <w:rFonts w:ascii="Verdana" w:eastAsia="Calibri" w:hAnsi="Verdana" w:cs="Arial"/>
          <w:color w:val="000000" w:themeColor="text1"/>
          <w:lang w:val="es-ES"/>
        </w:rPr>
        <w:t xml:space="preserve">. Lo mencionado anteriormente es importante, porque –más allá de la gestión y publicidad de los contratos estatales en el SECOP II– el consecutivo interno de los negocios suscritos es un tema del resorte exclusivo de las entidades contratantes. Al respecto, es necesario tener en cuenta que el consecutivo de los procesos de selección rara vez coincide con el de los contratos, pues aquellos terminan por causas como la revocatoria directa de la invitación, la declaratoria de desierta, etc., situaciones en la cuales no se suscribe negocio alguno. El manejo dicho aspecto hace parte de la gestión documental; razón por la cual, son un insumo para rendir informes a los órganos de control. </w:t>
      </w:r>
    </w:p>
    <w:p w14:paraId="0DA1A9B4" w14:textId="77777777" w:rsidR="006B036C" w:rsidRDefault="006B036C" w:rsidP="006B036C">
      <w:pPr>
        <w:spacing w:after="120" w:line="276" w:lineRule="auto"/>
        <w:ind w:firstLine="708"/>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La asignación de los consecutivos no depende de la fecha de perfeccionamiento, sino de la asignación alfanumérica que adopte la entidad, pues lo normal es que la contratación directa sea más ágil y expedita que los demás procesos con pluralidad de oferentes previstos en el manual. En estos casos, a diferencia del orden que se adopta para la expedición de resoluciones u otros actos administrativos, el orden los consecutivos de los contratos no necesariamente coincide con el orden de las fechas de perfeccionamiento.</w:t>
      </w:r>
    </w:p>
    <w:p w14:paraId="0DF81D7C" w14:textId="77777777" w:rsidR="006B036C" w:rsidRDefault="006B036C" w:rsidP="006B036C">
      <w:pPr>
        <w:spacing w:after="120" w:line="276" w:lineRule="auto"/>
        <w:jc w:val="both"/>
        <w:rPr>
          <w:rFonts w:ascii="Verdana" w:eastAsia="Calibri" w:hAnsi="Verdana" w:cs="Arial"/>
          <w:bCs/>
          <w:color w:val="000000" w:themeColor="text1"/>
          <w:lang w:val="es-ES_tradnl"/>
        </w:rPr>
      </w:pPr>
      <w:r>
        <w:rPr>
          <w:rFonts w:ascii="Verdana" w:eastAsia="Calibri" w:hAnsi="Verdana" w:cs="Arial"/>
          <w:bCs/>
          <w:color w:val="000000" w:themeColor="text1"/>
          <w:lang w:val="es-ES_tradnl"/>
        </w:rPr>
        <w:tab/>
        <w:t xml:space="preserve">En los regímenes especiales, por regla general, los contratos se perfeccionan con la aceptación de la oferta –artículos 845, 853 y 854 del Código de Comercio–. Asimismo, el artículo 860 </w:t>
      </w:r>
      <w:r w:rsidRPr="00760E10">
        <w:rPr>
          <w:rFonts w:ascii="Verdana" w:eastAsia="Calibri" w:hAnsi="Verdana" w:cs="Arial"/>
          <w:bCs/>
          <w:i/>
          <w:iCs/>
          <w:color w:val="000000" w:themeColor="text1"/>
          <w:lang w:val="es-ES_tradnl"/>
        </w:rPr>
        <w:t>ibidem</w:t>
      </w:r>
      <w:r>
        <w:rPr>
          <w:rFonts w:ascii="Verdana" w:eastAsia="Calibri" w:hAnsi="Verdana" w:cs="Arial"/>
          <w:bCs/>
          <w:i/>
          <w:iCs/>
          <w:color w:val="000000" w:themeColor="text1"/>
          <w:lang w:val="es-ES_tradnl"/>
        </w:rPr>
        <w:t xml:space="preserve"> </w:t>
      </w:r>
      <w:r>
        <w:rPr>
          <w:rFonts w:ascii="Verdana" w:eastAsia="Calibri" w:hAnsi="Verdana" w:cs="Arial"/>
          <w:bCs/>
          <w:color w:val="000000" w:themeColor="text1"/>
          <w:lang w:val="es-ES_tradnl"/>
        </w:rPr>
        <w:t>dispone que “</w:t>
      </w:r>
      <w:r w:rsidRPr="00760E10">
        <w:rPr>
          <w:rFonts w:ascii="Verdana" w:eastAsia="Calibri" w:hAnsi="Verdana" w:cs="Arial"/>
          <w:bCs/>
          <w:color w:val="000000" w:themeColor="text1"/>
          <w:lang w:val="es-ES_tradnl"/>
        </w:rPr>
        <w:t>En todo género de licitaciones, públicas o privadas, el pliego de cargos constituye una oferta de contrato y cada postura implica la celebración de un contrato condicionado a que no haya postura mejor. Hecha la adjudicación al mejor postor, se desecharán las demás</w:t>
      </w:r>
      <w:r>
        <w:rPr>
          <w:rFonts w:ascii="Verdana" w:eastAsia="Calibri" w:hAnsi="Verdana" w:cs="Arial"/>
          <w:bCs/>
          <w:color w:val="000000" w:themeColor="text1"/>
          <w:lang w:val="es-ES_tradnl"/>
        </w:rPr>
        <w:t>”</w:t>
      </w:r>
      <w:r w:rsidRPr="00760E10">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Como explica la doctrina, “[…] </w:t>
      </w:r>
      <w:r w:rsidRPr="00E347D3">
        <w:rPr>
          <w:rFonts w:ascii="Verdana" w:eastAsia="Calibri" w:hAnsi="Verdana" w:cs="Arial"/>
          <w:bCs/>
          <w:color w:val="000000" w:themeColor="text1"/>
          <w:lang w:val="es-ES_tradnl"/>
        </w:rPr>
        <w:t>Es</w:t>
      </w:r>
      <w:r>
        <w:rPr>
          <w:rFonts w:ascii="Verdana" w:eastAsia="Calibri" w:hAnsi="Verdana" w:cs="Arial"/>
          <w:bCs/>
          <w:color w:val="000000" w:themeColor="text1"/>
          <w:lang w:val="es-ES_tradnl"/>
        </w:rPr>
        <w:t xml:space="preserve"> </w:t>
      </w:r>
      <w:r w:rsidRPr="00E347D3">
        <w:rPr>
          <w:rFonts w:ascii="Verdana" w:eastAsia="Calibri" w:hAnsi="Verdana" w:cs="Arial"/>
          <w:bCs/>
          <w:color w:val="000000" w:themeColor="text1"/>
          <w:lang w:val="es-ES_tradnl"/>
        </w:rPr>
        <w:t>necesario que uno de los interesados le proponga a otro u otros la celebración</w:t>
      </w:r>
      <w:r>
        <w:rPr>
          <w:rFonts w:ascii="Verdana" w:eastAsia="Calibri" w:hAnsi="Verdana" w:cs="Arial"/>
          <w:bCs/>
          <w:color w:val="000000" w:themeColor="text1"/>
          <w:lang w:val="es-ES_tradnl"/>
        </w:rPr>
        <w:t xml:space="preserve"> </w:t>
      </w:r>
      <w:r w:rsidRPr="00E347D3">
        <w:rPr>
          <w:rFonts w:ascii="Verdana" w:eastAsia="Calibri" w:hAnsi="Verdana" w:cs="Arial"/>
          <w:bCs/>
          <w:color w:val="000000" w:themeColor="text1"/>
          <w:lang w:val="es-ES_tradnl"/>
        </w:rPr>
        <w:t>de la convención y que este o estos, a su turno, manifiesten que están de acuerdo</w:t>
      </w:r>
      <w:r>
        <w:rPr>
          <w:rFonts w:ascii="Verdana" w:eastAsia="Calibri" w:hAnsi="Verdana" w:cs="Arial"/>
          <w:bCs/>
          <w:color w:val="000000" w:themeColor="text1"/>
          <w:lang w:val="es-ES_tradnl"/>
        </w:rPr>
        <w:t xml:space="preserve"> </w:t>
      </w:r>
      <w:r w:rsidRPr="00E347D3">
        <w:rPr>
          <w:rFonts w:ascii="Verdana" w:eastAsia="Calibri" w:hAnsi="Verdana" w:cs="Arial"/>
          <w:bCs/>
          <w:color w:val="000000" w:themeColor="text1"/>
          <w:lang w:val="es-ES_tradnl"/>
        </w:rPr>
        <w:t>con tal propuesta y que adhieren a ella. Así, el encuentro y la unificación de la</w:t>
      </w:r>
      <w:r>
        <w:rPr>
          <w:rFonts w:ascii="Verdana" w:eastAsia="Calibri" w:hAnsi="Verdana" w:cs="Arial"/>
          <w:bCs/>
          <w:color w:val="000000" w:themeColor="text1"/>
          <w:lang w:val="es-ES_tradnl"/>
        </w:rPr>
        <w:t xml:space="preserve"> </w:t>
      </w:r>
      <w:r w:rsidRPr="00E347D3">
        <w:rPr>
          <w:rFonts w:ascii="Verdana" w:eastAsia="Calibri" w:hAnsi="Verdana" w:cs="Arial"/>
          <w:bCs/>
          <w:color w:val="000000" w:themeColor="text1"/>
          <w:lang w:val="es-ES_tradnl"/>
        </w:rPr>
        <w:t xml:space="preserve">propuesta y su aceptación </w:t>
      </w:r>
      <w:r w:rsidRPr="00E347D3">
        <w:rPr>
          <w:rFonts w:ascii="Verdana" w:eastAsia="Calibri" w:hAnsi="Verdana" w:cs="Arial"/>
          <w:bCs/>
          <w:color w:val="000000" w:themeColor="text1"/>
          <w:lang w:val="es-ES_tradnl"/>
        </w:rPr>
        <w:lastRenderedPageBreak/>
        <w:t>es lo que genera el consentimiento</w:t>
      </w:r>
      <w:r>
        <w:rPr>
          <w:rFonts w:ascii="Verdana" w:eastAsia="Calibri" w:hAnsi="Verdana" w:cs="Arial"/>
          <w:bCs/>
          <w:color w:val="000000" w:themeColor="text1"/>
          <w:lang w:val="es-ES_tradnl"/>
        </w:rPr>
        <w:t>”</w:t>
      </w:r>
      <w:r>
        <w:rPr>
          <w:rStyle w:val="Refdenotaalpie"/>
          <w:rFonts w:ascii="Verdana" w:eastAsia="Calibri" w:hAnsi="Verdana" w:cs="Arial"/>
          <w:bCs/>
          <w:color w:val="000000" w:themeColor="text1"/>
          <w:lang w:val="es-ES_tradnl"/>
        </w:rPr>
        <w:footnoteReference w:id="22"/>
      </w:r>
      <w:r w:rsidRPr="00E347D3">
        <w:rPr>
          <w:rFonts w:ascii="Verdana" w:eastAsia="Calibri" w:hAnsi="Verdana" w:cs="Arial"/>
          <w:bCs/>
          <w:color w:val="000000" w:themeColor="text1"/>
          <w:lang w:val="es-ES_tradnl"/>
        </w:rPr>
        <w:t>.</w:t>
      </w:r>
      <w:r>
        <w:rPr>
          <w:rFonts w:ascii="Verdana" w:eastAsia="Calibri" w:hAnsi="Verdana" w:cs="Arial"/>
          <w:bCs/>
          <w:color w:val="000000" w:themeColor="text1"/>
          <w:lang w:val="es-ES_tradnl"/>
        </w:rPr>
        <w:t xml:space="preserve"> Luego, salvo que el contrato sea real o solemne, el solo consenso obliga a las partes en los términos del artículo 1500 del Código Civil</w:t>
      </w:r>
      <w:r>
        <w:rPr>
          <w:rStyle w:val="Refdenotaalpie"/>
          <w:rFonts w:ascii="Verdana" w:eastAsia="Calibri" w:hAnsi="Verdana" w:cs="Arial"/>
          <w:bCs/>
          <w:color w:val="000000" w:themeColor="text1"/>
          <w:lang w:val="es-ES_tradnl"/>
        </w:rPr>
        <w:footnoteReference w:id="23"/>
      </w:r>
      <w:r>
        <w:rPr>
          <w:rFonts w:ascii="Verdana" w:eastAsia="Calibri" w:hAnsi="Verdana" w:cs="Arial"/>
          <w:bCs/>
          <w:color w:val="000000" w:themeColor="text1"/>
          <w:lang w:val="es-ES_tradnl"/>
        </w:rPr>
        <w:t>.</w:t>
      </w:r>
      <w:r w:rsidRPr="00760E10">
        <w:rPr>
          <w:rFonts w:ascii="Verdana" w:eastAsia="Calibri" w:hAnsi="Verdana" w:cs="Arial"/>
          <w:bCs/>
          <w:color w:val="000000" w:themeColor="text1"/>
          <w:lang w:val="es-ES_tradnl"/>
        </w:rPr>
        <w:t xml:space="preserve"> </w:t>
      </w:r>
    </w:p>
    <w:p w14:paraId="028FCF47" w14:textId="77777777" w:rsidR="006B036C" w:rsidRDefault="006B036C" w:rsidP="006B036C">
      <w:pPr>
        <w:spacing w:after="120" w:line="276" w:lineRule="auto"/>
        <w:ind w:firstLine="708"/>
        <w:jc w:val="both"/>
        <w:rPr>
          <w:rFonts w:ascii="Verdana" w:eastAsia="Calibri" w:hAnsi="Verdana" w:cs="Arial"/>
          <w:color w:val="000000" w:themeColor="text1"/>
        </w:rPr>
      </w:pPr>
      <w:r w:rsidRPr="50365B4C">
        <w:rPr>
          <w:rFonts w:ascii="Verdana" w:eastAsia="Calibri" w:hAnsi="Verdana" w:cs="Arial"/>
          <w:color w:val="000000" w:themeColor="text1"/>
        </w:rPr>
        <w:t>Sin embargo, las partes pueden acordar la suscripción de minutas contractuales después de la aceptación de la propuesta. Aunque el contrato se encuentre perfeccionado, dicha formalidad solo tiene carácter probatorio. En efecto, “[…] el formalismo ad probationem difiere fundamentalmente del formalismo ad solemnitatem, en cuanto aquel no incide o repercute en la formación y perfeccionamiento de los respectivos actos, sino únicamente en la prueba de ellos, vale decir, en la manera de acreditarlos judicialmente. El acto formal ad probationem nace perfecto y válido, independientemente de la forma legal prescrita; solo que la inobservancia de esta forma dificulta y hasta puede impedir totalmente la demostración judicial de aquel […]”</w:t>
      </w:r>
      <w:r w:rsidRPr="50365B4C">
        <w:rPr>
          <w:rStyle w:val="Refdenotaalpie"/>
          <w:rFonts w:ascii="Verdana" w:eastAsia="Calibri" w:hAnsi="Verdana" w:cs="Arial"/>
          <w:color w:val="000000" w:themeColor="text1"/>
        </w:rPr>
        <w:footnoteReference w:id="24"/>
      </w:r>
      <w:r w:rsidRPr="50365B4C">
        <w:rPr>
          <w:rFonts w:ascii="Verdana" w:eastAsia="Calibri" w:hAnsi="Verdana" w:cs="Arial"/>
          <w:color w:val="000000" w:themeColor="text1"/>
        </w:rPr>
        <w:t xml:space="preserve">. </w:t>
      </w:r>
    </w:p>
    <w:p w14:paraId="620F973B" w14:textId="401E298D" w:rsidR="006B036C" w:rsidRDefault="005C0560" w:rsidP="006B036C">
      <w:pPr>
        <w:spacing w:after="0" w:line="276" w:lineRule="auto"/>
        <w:ind w:firstLine="708"/>
        <w:jc w:val="both"/>
        <w:rPr>
          <w:rFonts w:ascii="Verdana" w:eastAsia="Calibri" w:hAnsi="Verdana" w:cs="Arial"/>
          <w:color w:val="000000" w:themeColor="text1"/>
          <w:lang w:val="es-ES"/>
        </w:rPr>
      </w:pPr>
      <w:r w:rsidRPr="50365B4C">
        <w:rPr>
          <w:rFonts w:ascii="Verdana" w:eastAsia="Calibri" w:hAnsi="Verdana" w:cs="Arial"/>
          <w:color w:val="000000" w:themeColor="text1"/>
          <w:lang w:val="es-ES"/>
        </w:rPr>
        <w:t xml:space="preserve">Si no se cumple con la suscripción de la minuta en el </w:t>
      </w:r>
      <w:r w:rsidRPr="50365B4C">
        <w:rPr>
          <w:rFonts w:ascii="Verdana" w:eastAsia="Calibri" w:hAnsi="Verdana" w:cs="Arial"/>
          <w:i/>
          <w:color w:val="000000" w:themeColor="text1"/>
          <w:lang w:val="es-ES"/>
        </w:rPr>
        <w:t>módulo de publicidad</w:t>
      </w:r>
      <w:r w:rsidRPr="50365B4C">
        <w:rPr>
          <w:rFonts w:ascii="Verdana" w:eastAsia="Calibri" w:hAnsi="Verdana" w:cs="Arial"/>
          <w:color w:val="000000" w:themeColor="text1"/>
          <w:lang w:val="es-ES"/>
        </w:rPr>
        <w:t xml:space="preserve">, debe dejarse constancia de ello en el expediente contractual, teniendo en cuenta que si se emplea en el </w:t>
      </w:r>
      <w:r w:rsidRPr="50365B4C">
        <w:rPr>
          <w:rFonts w:ascii="Verdana" w:eastAsia="Calibri" w:hAnsi="Verdana" w:cs="Arial"/>
          <w:i/>
          <w:color w:val="000000" w:themeColor="text1"/>
          <w:lang w:val="es-ES"/>
        </w:rPr>
        <w:t>módulo transaccional</w:t>
      </w:r>
      <w:r w:rsidRPr="50365B4C">
        <w:rPr>
          <w:rFonts w:ascii="Verdana" w:eastAsia="Calibri" w:hAnsi="Verdana" w:cs="Arial"/>
          <w:color w:val="000000" w:themeColor="text1"/>
          <w:lang w:val="es-ES"/>
        </w:rPr>
        <w:t>, es necesaria la suscripción para que la plataforma entre en la fase de ejecución. En caso de que el proceso no finalice con la aceptación de la propuesta, basta con la publicación del acto que revoca la invitación o del que lo declara desierto, pues en estos casos no puede surgir ningún negocio jurídico. Finalmente, las minutas debe suscribirlas el representante legal a través de la cuenta del proveedor del SECOP II, en los plazos que disponga el cronograma del proceso de selección. Lo anterior, en la medida solo éste puede obligar a la persona jurídica, ya que “Lo que una persona ejecuta a nombre de otra, estando facultada por ella o por la ley para representarla, produce respecto del representado iguales efectos que si hubiese contratado él mismo” –artículo 1505 del Código Civil–.</w:t>
      </w:r>
      <w:r w:rsidR="006B036C" w:rsidRPr="50365B4C">
        <w:rPr>
          <w:rFonts w:ascii="Verdana" w:eastAsia="Calibri" w:hAnsi="Verdana" w:cs="Arial"/>
          <w:color w:val="000000" w:themeColor="text1"/>
          <w:lang w:val="es-ES"/>
        </w:rPr>
        <w:t xml:space="preserve"> </w:t>
      </w:r>
    </w:p>
    <w:p w14:paraId="0B29945F" w14:textId="77777777" w:rsidR="006B036C" w:rsidRDefault="006B036C" w:rsidP="006B036C">
      <w:pPr>
        <w:spacing w:after="0" w:line="276" w:lineRule="auto"/>
        <w:jc w:val="both"/>
        <w:rPr>
          <w:rFonts w:ascii="Verdana" w:eastAsia="Calibri" w:hAnsi="Verdana" w:cs="Arial"/>
          <w:bCs/>
          <w:color w:val="000000" w:themeColor="text1"/>
          <w:lang w:val="es-ES"/>
        </w:rPr>
      </w:pPr>
    </w:p>
    <w:p w14:paraId="552DB423" w14:textId="77777777" w:rsidR="006B036C" w:rsidRPr="00290568" w:rsidRDefault="006B036C" w:rsidP="006B036C">
      <w:pPr>
        <w:spacing w:after="0" w:line="276" w:lineRule="auto"/>
        <w:jc w:val="both"/>
        <w:rPr>
          <w:rFonts w:ascii="Verdana" w:eastAsia="Calibri" w:hAnsi="Verdana" w:cs="Arial"/>
          <w:color w:val="000000" w:themeColor="text1"/>
        </w:rPr>
      </w:pPr>
      <w:proofErr w:type="spellStart"/>
      <w:r>
        <w:rPr>
          <w:rFonts w:ascii="Verdana" w:eastAsia="Calibri" w:hAnsi="Verdana" w:cs="Arial"/>
          <w:bCs/>
          <w:color w:val="000000" w:themeColor="text1"/>
        </w:rPr>
        <w:t>viii</w:t>
      </w:r>
      <w:proofErr w:type="spellEnd"/>
      <w:r>
        <w:rPr>
          <w:rFonts w:ascii="Verdana" w:eastAsia="Calibri" w:hAnsi="Verdana" w:cs="Arial"/>
          <w:bCs/>
          <w:color w:val="000000" w:themeColor="text1"/>
        </w:rPr>
        <w:t xml:space="preserve">. </w:t>
      </w:r>
      <w:r>
        <w:rPr>
          <w:rFonts w:ascii="Verdana" w:eastAsia="Calibri" w:hAnsi="Verdana" w:cs="Arial"/>
          <w:color w:val="000000" w:themeColor="text1"/>
        </w:rPr>
        <w:t>L</w:t>
      </w:r>
      <w:r w:rsidRPr="00651574">
        <w:rPr>
          <w:rFonts w:ascii="Verdana" w:eastAsia="Calibri" w:hAnsi="Verdana" w:cs="Arial"/>
          <w:color w:val="000000" w:themeColor="text1"/>
        </w:rPr>
        <w:t xml:space="preserve">a Agencia Nacional de Contratación Pública – Colombia Compra Eficiente fue creada por el Decreto Ley 4170 de 2011, como una Unidad Administrativa Especial, descentralizada de la Rama Ejecutiva del orden nacional, adscrita al </w:t>
      </w:r>
      <w:r w:rsidRPr="00651574">
        <w:rPr>
          <w:rFonts w:ascii="Verdana" w:eastAsia="Calibri" w:hAnsi="Verdana" w:cs="Arial"/>
          <w:color w:val="000000" w:themeColor="text1"/>
        </w:rPr>
        <w:lastRenderedPageBreak/>
        <w:t xml:space="preserve">Departamento Nacional de Planeación. El legislador determinó que su objetivo sería servir como ente rector de la política de compras y contratación, al ser consciente de la necesidad de contar en la estructura del Estado con un órgano técnico especializado que asumiera la tarea de </w:t>
      </w:r>
      <w:r>
        <w:rPr>
          <w:rFonts w:ascii="Verdana" w:eastAsia="Calibri" w:hAnsi="Verdana" w:cs="Arial"/>
          <w:color w:val="000000" w:themeColor="text1"/>
        </w:rPr>
        <w:t>asesorar a las entidades públicas en la formulación de</w:t>
      </w:r>
      <w:r w:rsidRPr="00651574">
        <w:rPr>
          <w:rFonts w:ascii="Verdana" w:eastAsia="Calibri" w:hAnsi="Verdana" w:cs="Arial"/>
          <w:color w:val="000000" w:themeColor="text1"/>
        </w:rPr>
        <w:t xml:space="preserve"> políticas </w:t>
      </w:r>
      <w:r>
        <w:rPr>
          <w:rFonts w:ascii="Verdana" w:eastAsia="Calibri" w:hAnsi="Verdana" w:cs="Arial"/>
          <w:color w:val="000000" w:themeColor="text1"/>
        </w:rPr>
        <w:t>y</w:t>
      </w:r>
      <w:r w:rsidRPr="00651574">
        <w:rPr>
          <w:rFonts w:ascii="Verdana" w:eastAsia="Calibri" w:hAnsi="Verdana" w:cs="Arial"/>
          <w:color w:val="000000" w:themeColor="text1"/>
        </w:rPr>
        <w:t xml:space="preserve"> normas </w:t>
      </w:r>
      <w:r>
        <w:rPr>
          <w:rFonts w:ascii="Verdana" w:eastAsia="Calibri" w:hAnsi="Verdana" w:cs="Arial"/>
          <w:color w:val="000000" w:themeColor="text1"/>
        </w:rPr>
        <w:t>para</w:t>
      </w:r>
      <w:r w:rsidRPr="00651574">
        <w:rPr>
          <w:rFonts w:ascii="Verdana" w:eastAsia="Calibri" w:hAnsi="Verdana" w:cs="Arial"/>
          <w:color w:val="000000" w:themeColor="text1"/>
        </w:rPr>
        <w:t xml:space="preserve"> unificar los procesos de contratación estatal</w:t>
      </w:r>
      <w:r>
        <w:rPr>
          <w:rFonts w:ascii="Verdana" w:eastAsia="Calibri" w:hAnsi="Verdana" w:cs="Arial"/>
          <w:color w:val="000000" w:themeColor="text1"/>
        </w:rPr>
        <w:t>. De acuerdo con esta naturaleza jurídica</w:t>
      </w:r>
      <w:r w:rsidRPr="00651574">
        <w:rPr>
          <w:rFonts w:ascii="Verdana" w:eastAsia="Calibri" w:hAnsi="Verdana" w:cs="Arial"/>
          <w:color w:val="000000" w:themeColor="text1"/>
        </w:rPr>
        <w:t xml:space="preserve">, se aclara que la Agencia </w:t>
      </w:r>
      <w:r>
        <w:rPr>
          <w:rFonts w:ascii="Verdana" w:eastAsia="Calibri" w:hAnsi="Verdana" w:cs="Arial"/>
          <w:color w:val="000000" w:themeColor="text1"/>
        </w:rPr>
        <w:t>no es titular del control fiscal, por lo cual corresponde a la Contraloría General de la República determinar qué conductas son constitutivas de irregularidad, responsabilidad o hallazgo de gestión.</w:t>
      </w:r>
    </w:p>
    <w:p w14:paraId="55648253" w14:textId="77777777" w:rsidR="006B036C" w:rsidRDefault="006B036C" w:rsidP="006B036C">
      <w:pPr>
        <w:spacing w:after="0" w:line="276" w:lineRule="auto"/>
        <w:jc w:val="both"/>
        <w:rPr>
          <w:rFonts w:ascii="Verdana" w:eastAsia="Calibri" w:hAnsi="Verdana" w:cs="Arial"/>
          <w:bCs/>
          <w:color w:val="000000" w:themeColor="text1"/>
        </w:rPr>
      </w:pPr>
    </w:p>
    <w:p w14:paraId="0BE87B4E" w14:textId="77777777" w:rsidR="006B036C" w:rsidRDefault="006B036C" w:rsidP="006B036C">
      <w:pPr>
        <w:spacing w:after="120" w:line="276" w:lineRule="auto"/>
        <w:jc w:val="both"/>
        <w:rPr>
          <w:rFonts w:ascii="Verdana" w:eastAsia="Calibri" w:hAnsi="Verdana" w:cs="Arial"/>
          <w:bCs/>
          <w:color w:val="000000" w:themeColor="text1"/>
        </w:rPr>
      </w:pPr>
      <w:proofErr w:type="spellStart"/>
      <w:r>
        <w:rPr>
          <w:rFonts w:ascii="Verdana" w:eastAsia="Calibri" w:hAnsi="Verdana" w:cs="Arial"/>
          <w:bCs/>
          <w:color w:val="000000" w:themeColor="text1"/>
        </w:rPr>
        <w:t>ix</w:t>
      </w:r>
      <w:proofErr w:type="spellEnd"/>
      <w:r>
        <w:rPr>
          <w:rFonts w:ascii="Verdana" w:eastAsia="Calibri" w:hAnsi="Verdana" w:cs="Arial"/>
          <w:bCs/>
          <w:color w:val="000000" w:themeColor="text1"/>
        </w:rPr>
        <w:t xml:space="preserve">. </w:t>
      </w:r>
      <w:r w:rsidRPr="00E853DE">
        <w:rPr>
          <w:rFonts w:ascii="Verdana" w:eastAsia="Calibri" w:hAnsi="Verdana" w:cs="Arial"/>
          <w:bCs/>
          <w:color w:val="000000" w:themeColor="text1"/>
        </w:rPr>
        <w:t xml:space="preserve">Al margen de la explicación precedente debe advertirse que </w:t>
      </w:r>
      <w:r w:rsidRPr="001941FD">
        <w:rPr>
          <w:rStyle w:val="s15"/>
          <w:rFonts w:ascii="Verdana" w:hAnsi="Verdana"/>
          <w:color w:val="000000"/>
        </w:rPr>
        <w:t xml:space="preserve">el análisis requerido para resolver problemas específicos en torno </w:t>
      </w:r>
      <w:r>
        <w:rPr>
          <w:rStyle w:val="s15"/>
          <w:rFonts w:ascii="Verdana" w:hAnsi="Verdana"/>
          <w:color w:val="000000"/>
        </w:rPr>
        <w:t>a la gestión contractual</w:t>
      </w:r>
      <w:r w:rsidRPr="001941FD">
        <w:rPr>
          <w:rStyle w:val="s15"/>
          <w:rFonts w:ascii="Verdana" w:hAnsi="Verdana"/>
          <w:color w:val="000000"/>
        </w:rPr>
        <w:t xml:space="preserve"> debe ser realizado por quienes tengan interés en ello, de acuerdo con lo explicado la aclaración preliminar del presente oficio</w:t>
      </w:r>
      <w:r w:rsidRPr="00E853DE">
        <w:rPr>
          <w:rFonts w:ascii="Verdana" w:eastAsia="Calibri" w:hAnsi="Verdana" w:cs="Arial"/>
          <w:bCs/>
          <w:color w:val="000000" w:themeColor="text1"/>
        </w:rPr>
        <w:t>.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0CF07F2" w14:textId="77777777" w:rsidR="006B036C" w:rsidRPr="00185EE9" w:rsidRDefault="006B036C" w:rsidP="006B036C">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r>
        <w:rPr>
          <w:rFonts w:ascii="Verdana" w:eastAsia="Calibri" w:hAnsi="Verdana" w:cs="Arial"/>
          <w:bCs/>
          <w:color w:val="000000" w:themeColor="text1"/>
        </w:rPr>
        <w:t xml:space="preserve">Cualquier consulta adicional sobre el manejo operativo del SECOP debe dirigirse a la </w:t>
      </w:r>
      <w:r w:rsidRPr="000F6273">
        <w:rPr>
          <w:rFonts w:ascii="Verdana" w:eastAsia="Calibri" w:hAnsi="Verdana" w:cs="Arial"/>
          <w:bCs/>
          <w:color w:val="000000" w:themeColor="text1"/>
        </w:rPr>
        <w:t>Subdirección de Información y Desarrollo Tecnológico</w:t>
      </w:r>
      <w:r>
        <w:rPr>
          <w:rFonts w:ascii="Verdana" w:eastAsia="Calibri" w:hAnsi="Verdana" w:cs="Arial"/>
          <w:bCs/>
          <w:color w:val="000000" w:themeColor="text1"/>
        </w:rPr>
        <w:t xml:space="preserve"> de la ANCP – CCE conforme al artículo 13.4 del Decreto Ley 4170 de 2011. </w:t>
      </w:r>
    </w:p>
    <w:p w14:paraId="5170B9FC" w14:textId="77777777" w:rsidR="006B036C" w:rsidRPr="00182C89" w:rsidRDefault="006B036C" w:rsidP="006B036C">
      <w:pPr>
        <w:tabs>
          <w:tab w:val="left" w:pos="709"/>
        </w:tabs>
        <w:spacing w:after="0" w:line="276" w:lineRule="auto"/>
        <w:jc w:val="both"/>
        <w:rPr>
          <w:rFonts w:ascii="Verdana" w:eastAsia="Calibri" w:hAnsi="Verdana" w:cs="Arial"/>
          <w:color w:val="000000" w:themeColor="text1"/>
        </w:rPr>
      </w:pPr>
    </w:p>
    <w:p w14:paraId="6C9BE81D" w14:textId="77777777" w:rsidR="006B036C" w:rsidRPr="00593A5F" w:rsidRDefault="006B036C" w:rsidP="006B036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D411D">
        <w:rPr>
          <w:rFonts w:ascii="Verdana" w:eastAsia="Century Gothic" w:hAnsi="Verdana" w:cs="Century Gothic"/>
          <w:b/>
          <w:bCs/>
        </w:rPr>
        <w:t>Referencias normativas</w:t>
      </w:r>
      <w:r w:rsidRPr="00593A5F">
        <w:rPr>
          <w:rFonts w:ascii="Verdana" w:eastAsia="Century Gothic" w:hAnsi="Verdana" w:cs="Century Gothic"/>
          <w:b/>
          <w:bCs/>
        </w:rPr>
        <w:t>:</w:t>
      </w:r>
    </w:p>
    <w:p w14:paraId="34248C22" w14:textId="77777777" w:rsidR="006B036C" w:rsidRPr="00593A5F" w:rsidRDefault="006B036C" w:rsidP="006B036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B036C" w:rsidRPr="002407CE" w14:paraId="56760C18" w14:textId="77777777" w:rsidTr="003129F5">
        <w:trPr>
          <w:trHeight w:val="870"/>
          <w:jc w:val="center"/>
        </w:trPr>
        <w:tc>
          <w:tcPr>
            <w:tcW w:w="8647" w:type="dxa"/>
          </w:tcPr>
          <w:p w14:paraId="7920C7E5" w14:textId="77777777" w:rsidR="006B036C" w:rsidRPr="00B954AE"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lastRenderedPageBreak/>
              <w:t>Constitución Política de 1991, artículos 150, 209 y 267.</w:t>
            </w:r>
          </w:p>
          <w:p w14:paraId="79A18A55" w14:textId="77777777" w:rsidR="006B036C" w:rsidRPr="00666BC2"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13, 32 y 40.</w:t>
            </w:r>
          </w:p>
          <w:p w14:paraId="4544DF88" w14:textId="77777777" w:rsidR="006B036C"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artículos 2, 3 y 13.</w:t>
            </w:r>
          </w:p>
          <w:p w14:paraId="7E403999" w14:textId="77777777" w:rsidR="006B036C"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1437 de 2011, artículo 3.</w:t>
            </w:r>
          </w:p>
          <w:p w14:paraId="00EE9095" w14:textId="77777777" w:rsidR="006B036C"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1712 de 2014, artículos 5 y 11.</w:t>
            </w:r>
          </w:p>
          <w:p w14:paraId="5B2D4A1E" w14:textId="77777777" w:rsidR="006B036C" w:rsidRPr="00666BC2"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2195 de 2022, artículo 53.</w:t>
            </w:r>
          </w:p>
          <w:p w14:paraId="73813E42" w14:textId="77777777" w:rsidR="006B036C" w:rsidRPr="0037493D"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Decreto Ley 111 de 1996, artículo 110.</w:t>
            </w:r>
          </w:p>
          <w:p w14:paraId="403E5BB8" w14:textId="77777777" w:rsidR="006B036C" w:rsidRPr="0037493D" w:rsidRDefault="006B036C" w:rsidP="003129F5">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color w:val="000000" w:themeColor="text1"/>
                <w:lang w:val="es-ES_tradnl"/>
              </w:rPr>
            </w:pPr>
            <w:r>
              <w:rPr>
                <w:rFonts w:ascii="Verdana" w:hAnsi="Verdana" w:cs="Arial"/>
              </w:rPr>
              <w:t>Código Civil, artículos 1500 y 1505.</w:t>
            </w:r>
          </w:p>
          <w:p w14:paraId="33517158" w14:textId="77777777" w:rsidR="006B036C" w:rsidRPr="0037493D" w:rsidRDefault="006B036C" w:rsidP="003129F5">
            <w:pPr>
              <w:pStyle w:val="Prrafodelista"/>
              <w:widowControl w:val="0"/>
              <w:numPr>
                <w:ilvl w:val="0"/>
                <w:numId w:val="17"/>
              </w:numPr>
              <w:autoSpaceDE w:val="0"/>
              <w:autoSpaceDN w:val="0"/>
              <w:spacing w:line="276" w:lineRule="auto"/>
              <w:ind w:left="714" w:hanging="357"/>
              <w:contextualSpacing w:val="0"/>
              <w:jc w:val="both"/>
              <w:rPr>
                <w:rFonts w:ascii="Verdana" w:hAnsi="Verdana" w:cs="Arial"/>
                <w:color w:val="000000" w:themeColor="text1"/>
                <w:lang w:val="es-ES_tradnl"/>
              </w:rPr>
            </w:pPr>
            <w:r>
              <w:rPr>
                <w:rFonts w:ascii="Verdana" w:hAnsi="Verdana" w:cs="Arial"/>
              </w:rPr>
              <w:t xml:space="preserve">Código de Comercio, </w:t>
            </w:r>
            <w:r w:rsidRPr="0037493D">
              <w:rPr>
                <w:rFonts w:ascii="Verdana" w:hAnsi="Verdana" w:cs="Arial"/>
              </w:rPr>
              <w:t>artículos 845, 853</w:t>
            </w:r>
            <w:r>
              <w:rPr>
                <w:rFonts w:ascii="Verdana" w:hAnsi="Verdana" w:cs="Arial"/>
              </w:rPr>
              <w:t>,</w:t>
            </w:r>
            <w:r w:rsidRPr="0037493D">
              <w:rPr>
                <w:rFonts w:ascii="Verdana" w:hAnsi="Verdana" w:cs="Arial"/>
              </w:rPr>
              <w:t xml:space="preserve"> 85</w:t>
            </w:r>
            <w:r>
              <w:rPr>
                <w:rFonts w:ascii="Verdana" w:hAnsi="Verdana" w:cs="Arial"/>
              </w:rPr>
              <w:t>4 y 860.</w:t>
            </w:r>
          </w:p>
        </w:tc>
      </w:tr>
    </w:tbl>
    <w:p w14:paraId="09BAC75E" w14:textId="77777777" w:rsidR="006B036C" w:rsidRPr="002407CE" w:rsidRDefault="006B036C" w:rsidP="006B036C">
      <w:pPr>
        <w:widowControl w:val="0"/>
        <w:autoSpaceDE w:val="0"/>
        <w:autoSpaceDN w:val="0"/>
        <w:spacing w:after="0" w:line="276" w:lineRule="auto"/>
        <w:jc w:val="both"/>
        <w:rPr>
          <w:rFonts w:ascii="Verdana" w:hAnsi="Verdana" w:cs="Arial"/>
        </w:rPr>
      </w:pPr>
    </w:p>
    <w:p w14:paraId="5D7F2209" w14:textId="77777777" w:rsidR="006B036C" w:rsidRPr="00593A5F" w:rsidRDefault="006B036C" w:rsidP="006B036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14998A5" w14:textId="77777777" w:rsidR="006B036C" w:rsidRPr="00593A5F" w:rsidRDefault="006B036C" w:rsidP="006B036C">
      <w:pPr>
        <w:widowControl w:val="0"/>
        <w:autoSpaceDE w:val="0"/>
        <w:autoSpaceDN w:val="0"/>
        <w:spacing w:after="0" w:line="276" w:lineRule="auto"/>
        <w:jc w:val="both"/>
        <w:rPr>
          <w:rFonts w:ascii="Verdana" w:hAnsi="Verdana" w:cs="Arial"/>
        </w:rPr>
      </w:pPr>
    </w:p>
    <w:p w14:paraId="2F71E8EE" w14:textId="77777777" w:rsidR="006B036C" w:rsidRPr="00ED0098" w:rsidRDefault="006B036C" w:rsidP="006B036C">
      <w:pPr>
        <w:widowControl w:val="0"/>
        <w:autoSpaceDE w:val="0"/>
        <w:autoSpaceDN w:val="0"/>
        <w:spacing w:after="0" w:line="276" w:lineRule="auto"/>
        <w:jc w:val="both"/>
        <w:rPr>
          <w:rStyle w:val="normaltextrun"/>
          <w:rFonts w:ascii="Verdana" w:hAnsi="Verdana" w:cs="Arial"/>
          <w:shd w:val="clear" w:color="auto" w:fill="FFFFFF"/>
        </w:rPr>
      </w:pPr>
      <w:r w:rsidRPr="00DD0AFF">
        <w:rPr>
          <w:rFonts w:ascii="Verdana" w:hAnsi="Verdana" w:cs="Arial"/>
          <w:shd w:val="clear" w:color="auto" w:fill="FFFFFF"/>
        </w:rPr>
        <w:t>Est</w:t>
      </w:r>
      <w:r>
        <w:rPr>
          <w:rFonts w:ascii="Verdana" w:hAnsi="Verdana" w:cs="Arial"/>
          <w:shd w:val="clear" w:color="auto" w:fill="FFFFFF"/>
        </w:rPr>
        <w:t>e</w:t>
      </w:r>
      <w:r w:rsidRPr="00DD0AFF">
        <w:rPr>
          <w:rFonts w:ascii="Verdana" w:hAnsi="Verdana" w:cs="Arial"/>
          <w:shd w:val="clear" w:color="auto" w:fill="FFFFFF"/>
        </w:rPr>
        <w:t xml:space="preserve"> y otros</w:t>
      </w:r>
      <w:r>
        <w:rPr>
          <w:rFonts w:ascii="Verdana" w:hAnsi="Verdana" w:cs="Arial"/>
          <w:shd w:val="clear" w:color="auto" w:fill="FFFFFF"/>
        </w:rPr>
        <w:t xml:space="preserve"> conceptos de la Subdirección de Gestión Contractual</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2"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4001B705" w14:textId="77777777" w:rsidR="006B036C" w:rsidRPr="00096788" w:rsidRDefault="006B036C" w:rsidP="006B036C">
      <w:pPr>
        <w:widowControl w:val="0"/>
        <w:autoSpaceDE w:val="0"/>
        <w:autoSpaceDN w:val="0"/>
        <w:spacing w:after="0" w:line="276" w:lineRule="auto"/>
        <w:jc w:val="both"/>
        <w:rPr>
          <w:rFonts w:ascii="Verdana" w:hAnsi="Verdana" w:cs="Arial"/>
          <w:color w:val="000000" w:themeColor="text1"/>
          <w:shd w:val="clear" w:color="auto" w:fill="FFFFFF"/>
        </w:rPr>
      </w:pPr>
    </w:p>
    <w:p w14:paraId="1CD71C60" w14:textId="77777777" w:rsidR="006B036C" w:rsidRPr="00E440FD" w:rsidRDefault="006B036C" w:rsidP="006B036C">
      <w:pPr>
        <w:shd w:val="clear" w:color="auto" w:fill="FFFFFF"/>
        <w:spacing w:after="0" w:line="276" w:lineRule="auto"/>
        <w:jc w:val="both"/>
        <w:rPr>
          <w:rFonts w:ascii="Verdana" w:hAnsi="Verdana"/>
          <w:color w:val="467886"/>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032009">
        <w:rPr>
          <w:rFonts w:ascii="Verdana" w:hAnsi="Verdana"/>
          <w:color w:val="000000"/>
        </w:rPr>
        <w:t>Wayúu</w:t>
      </w:r>
      <w:proofErr w:type="spellEnd"/>
      <w:r w:rsidRPr="00032009">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Pr>
          <w:rFonts w:ascii="Verdana" w:hAnsi="Verdana"/>
          <w:color w:val="000000"/>
          <w:u w:val="single"/>
        </w:rPr>
        <w:t>.</w:t>
      </w:r>
    </w:p>
    <w:p w14:paraId="03685563" w14:textId="77777777" w:rsidR="006B036C" w:rsidRPr="009C4035" w:rsidRDefault="006B036C" w:rsidP="006B036C">
      <w:pPr>
        <w:widowControl w:val="0"/>
        <w:autoSpaceDE w:val="0"/>
        <w:autoSpaceDN w:val="0"/>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4A06784" w14:textId="77777777" w:rsidR="006B036C" w:rsidRPr="00593A5F" w:rsidRDefault="006B036C" w:rsidP="006B036C">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28B027C5" w14:textId="77777777" w:rsidR="006B036C" w:rsidRPr="00593A5F" w:rsidRDefault="006B036C" w:rsidP="006B036C">
      <w:pPr>
        <w:widowControl w:val="0"/>
        <w:autoSpaceDE w:val="0"/>
        <w:autoSpaceDN w:val="0"/>
        <w:spacing w:after="0" w:line="276" w:lineRule="auto"/>
        <w:jc w:val="both"/>
        <w:rPr>
          <w:rFonts w:ascii="Verdana" w:hAnsi="Verdana" w:cs="Arial"/>
        </w:rPr>
      </w:pPr>
    </w:p>
    <w:p w14:paraId="08F26ADD" w14:textId="77777777" w:rsidR="006B036C" w:rsidRPr="00593A5F" w:rsidRDefault="006B036C" w:rsidP="006B036C">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56FA5FE6" w14:textId="6047CB70" w:rsidR="006B036C" w:rsidRPr="00593A5F" w:rsidRDefault="00A461B5" w:rsidP="006B036C">
      <w:pPr>
        <w:spacing w:line="276" w:lineRule="auto"/>
        <w:jc w:val="center"/>
        <w:rPr>
          <w:rFonts w:ascii="Verdana" w:hAnsi="Verdana" w:cs="Arial"/>
          <w:color w:val="000000"/>
          <w:lang w:val="es-ES_tradnl" w:eastAsia="es-CO"/>
        </w:rPr>
      </w:pPr>
      <w:r>
        <w:rPr>
          <w:noProof/>
        </w:rPr>
        <w:drawing>
          <wp:inline distT="0" distB="0" distL="0" distR="0" wp14:anchorId="3D5473EC" wp14:editId="6BEFFA00">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B036C" w:rsidRPr="00593A5F" w14:paraId="2E0E6FAD" w14:textId="77777777" w:rsidTr="003129F5">
        <w:trPr>
          <w:trHeight w:val="315"/>
        </w:trPr>
        <w:tc>
          <w:tcPr>
            <w:tcW w:w="893" w:type="dxa"/>
            <w:vAlign w:val="center"/>
            <w:hideMark/>
          </w:tcPr>
          <w:p w14:paraId="5E3DDC8F" w14:textId="77777777" w:rsidR="006B036C" w:rsidRPr="003751C7" w:rsidRDefault="006B036C" w:rsidP="003129F5">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6434A45" w14:textId="77777777" w:rsidR="006B036C" w:rsidRPr="00254A7A" w:rsidRDefault="006B036C" w:rsidP="003129F5">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5E84F741" w14:textId="77777777" w:rsidR="006B036C" w:rsidRPr="00254A7A" w:rsidRDefault="006B036C" w:rsidP="003129F5">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6B036C" w:rsidRPr="00593A5F" w14:paraId="7EBD452D" w14:textId="77777777" w:rsidTr="003129F5">
        <w:trPr>
          <w:trHeight w:val="330"/>
        </w:trPr>
        <w:tc>
          <w:tcPr>
            <w:tcW w:w="893" w:type="dxa"/>
            <w:vAlign w:val="center"/>
            <w:hideMark/>
          </w:tcPr>
          <w:p w14:paraId="7ADF0B5F" w14:textId="77777777" w:rsidR="006B036C" w:rsidRPr="003751C7" w:rsidRDefault="006B036C" w:rsidP="003129F5">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C43F4F" w14:textId="77777777" w:rsidR="006B036C" w:rsidRPr="0033383A" w:rsidRDefault="006B036C" w:rsidP="003129F5">
            <w:pPr>
              <w:pStyle w:val="paragraph"/>
              <w:spacing w:after="0"/>
              <w:contextualSpacing/>
              <w:textAlignment w:val="baseline"/>
              <w:rPr>
                <w:rStyle w:val="normaltextrun"/>
                <w:rFonts w:ascii="Verdana" w:hAnsi="Verdana" w:cs="Arial"/>
                <w:sz w:val="16"/>
                <w:szCs w:val="16"/>
                <w:lang w:val="es-ES_tradnl"/>
              </w:rPr>
            </w:pPr>
            <w:r w:rsidRPr="0033383A">
              <w:rPr>
                <w:rStyle w:val="normaltextrun"/>
                <w:rFonts w:ascii="Verdana" w:hAnsi="Verdana" w:cs="Arial"/>
                <w:sz w:val="16"/>
                <w:szCs w:val="16"/>
                <w:lang w:val="es-ES_tradnl"/>
              </w:rPr>
              <w:t>Alejandro Sarmiento Cantillo</w:t>
            </w:r>
          </w:p>
          <w:p w14:paraId="58BDA705" w14:textId="77777777" w:rsidR="006B036C" w:rsidRPr="00254A7A" w:rsidRDefault="006B036C" w:rsidP="003129F5">
            <w:pPr>
              <w:pStyle w:val="paragraph"/>
              <w:spacing w:before="0" w:beforeAutospacing="0" w:after="0" w:afterAutospacing="0"/>
              <w:contextualSpacing/>
              <w:textAlignment w:val="baseline"/>
              <w:rPr>
                <w:rFonts w:ascii="Verdana" w:hAnsi="Verdana" w:cs="Segoe UI"/>
                <w:sz w:val="16"/>
                <w:szCs w:val="16"/>
              </w:rPr>
            </w:pPr>
            <w:r w:rsidRPr="0033383A">
              <w:rPr>
                <w:rStyle w:val="normaltextrun"/>
                <w:rFonts w:ascii="Verdana" w:hAnsi="Verdana" w:cs="Arial"/>
                <w:sz w:val="16"/>
                <w:szCs w:val="16"/>
                <w:lang w:val="es-ES_tradnl"/>
              </w:rPr>
              <w:t>Gestor T1 ‒ 15 de la Subdirección de Gestión Contractual</w:t>
            </w:r>
          </w:p>
        </w:tc>
      </w:tr>
      <w:tr w:rsidR="006B036C" w:rsidRPr="00593A5F" w14:paraId="05254155" w14:textId="77777777" w:rsidTr="003129F5">
        <w:trPr>
          <w:trHeight w:val="300"/>
        </w:trPr>
        <w:tc>
          <w:tcPr>
            <w:tcW w:w="893" w:type="dxa"/>
            <w:vAlign w:val="center"/>
          </w:tcPr>
          <w:p w14:paraId="3E13D1CC" w14:textId="77777777" w:rsidR="006B036C" w:rsidRPr="003751C7" w:rsidRDefault="006B036C" w:rsidP="003129F5">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9646218" w14:textId="77777777" w:rsidR="006B036C" w:rsidRPr="00731523" w:rsidRDefault="006B036C" w:rsidP="003129F5">
            <w:pPr>
              <w:contextualSpacing/>
              <w:rPr>
                <w:rFonts w:ascii="Verdana" w:eastAsia="Calibri" w:hAnsi="Verdana" w:cs="Arial"/>
                <w:sz w:val="16"/>
                <w:szCs w:val="16"/>
                <w:lang w:val="es-ES" w:eastAsia="es-ES"/>
              </w:rPr>
            </w:pPr>
            <w:r w:rsidRPr="50365B4C">
              <w:rPr>
                <w:rFonts w:ascii="Verdana" w:eastAsia="Calibri" w:hAnsi="Verdana" w:cs="Arial"/>
                <w:sz w:val="16"/>
                <w:szCs w:val="16"/>
                <w:lang w:val="es-ES" w:eastAsia="es-ES"/>
              </w:rPr>
              <w:t xml:space="preserve">Carolina Quintero </w:t>
            </w:r>
            <w:proofErr w:type="spellStart"/>
            <w:r w:rsidRPr="50365B4C">
              <w:rPr>
                <w:rFonts w:ascii="Verdana" w:eastAsia="Calibri" w:hAnsi="Verdana" w:cs="Arial"/>
                <w:sz w:val="16"/>
                <w:szCs w:val="16"/>
                <w:lang w:val="es-ES" w:eastAsia="es-ES"/>
              </w:rPr>
              <w:t>Gacharná</w:t>
            </w:r>
            <w:proofErr w:type="spellEnd"/>
          </w:p>
          <w:p w14:paraId="3B13E42C" w14:textId="77777777" w:rsidR="006B036C" w:rsidRPr="003751C7" w:rsidRDefault="006B036C" w:rsidP="003129F5">
            <w:pPr>
              <w:contextualSpacing/>
              <w:rPr>
                <w:rFonts w:ascii="Verdana" w:eastAsia="Calibri" w:hAnsi="Verdana" w:cs="Arial"/>
                <w:sz w:val="16"/>
                <w:szCs w:val="16"/>
                <w:lang w:val="pt-BR" w:eastAsia="es-ES"/>
              </w:rPr>
            </w:pPr>
            <w:r w:rsidRPr="00731523">
              <w:rPr>
                <w:rFonts w:ascii="Verdana" w:eastAsia="Calibri" w:hAnsi="Verdana" w:cs="Arial"/>
                <w:sz w:val="16"/>
                <w:szCs w:val="16"/>
                <w:lang w:val="es-ES_tradnl" w:eastAsia="es-ES"/>
              </w:rPr>
              <w:t>Subdirectora de Gestión Contractual ANCP – CCE</w:t>
            </w:r>
          </w:p>
        </w:tc>
      </w:tr>
    </w:tbl>
    <w:p w14:paraId="01480916" w14:textId="77777777" w:rsidR="006B036C" w:rsidRPr="00543BFE" w:rsidRDefault="006B036C" w:rsidP="006B036C"/>
    <w:p w14:paraId="0F293BF4" w14:textId="6992FF7C" w:rsidR="00127233" w:rsidRPr="00505D72" w:rsidRDefault="00127233" w:rsidP="00505D72"/>
    <w:sectPr w:rsidR="00127233" w:rsidRPr="00505D72"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9D0825" w14:textId="77777777" w:rsidR="00805260" w:rsidRDefault="00805260" w:rsidP="004A1847">
      <w:pPr>
        <w:spacing w:after="0" w:line="240" w:lineRule="auto"/>
      </w:pPr>
      <w:r>
        <w:separator/>
      </w:r>
    </w:p>
  </w:endnote>
  <w:endnote w:type="continuationSeparator" w:id="0">
    <w:p w14:paraId="37F7C057" w14:textId="77777777" w:rsidR="00805260" w:rsidRDefault="00805260" w:rsidP="004A1847">
      <w:pPr>
        <w:spacing w:after="0" w:line="240" w:lineRule="auto"/>
      </w:pPr>
      <w:r>
        <w:continuationSeparator/>
      </w:r>
    </w:p>
  </w:endnote>
  <w:endnote w:type="continuationNotice" w:id="1">
    <w:p w14:paraId="62E51BF5" w14:textId="77777777" w:rsidR="00805260" w:rsidRDefault="0080526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E70AB0"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E70AB0">
      <w:rPr>
        <w:rFonts w:ascii="Century Gothic" w:eastAsia="Geo" w:hAnsi="Century Gothic" w:cs="Geo"/>
        <w:b/>
        <w:color w:val="000000" w:themeColor="text1"/>
        <w:sz w:val="16"/>
        <w:szCs w:val="16"/>
        <w:lang w:val="pt-BR" w:eastAsia="es-CO"/>
      </w:rPr>
      <w:t xml:space="preserve">Código: </w:t>
    </w:r>
    <w:r w:rsidRPr="00E70AB0">
      <w:rPr>
        <w:rFonts w:ascii="Century Gothic" w:eastAsia="Geo" w:hAnsi="Century Gothic" w:cs="Geo"/>
        <w:color w:val="000000" w:themeColor="text1"/>
        <w:sz w:val="16"/>
        <w:szCs w:val="16"/>
        <w:lang w:val="pt-BR" w:eastAsia="es-CO"/>
      </w:rPr>
      <w:t xml:space="preserve">CCE-REC-FM-17 </w:t>
    </w:r>
    <w:r w:rsidRPr="00E70AB0">
      <w:rPr>
        <w:rFonts w:ascii="Century Gothic" w:eastAsia="Geo" w:hAnsi="Century Gothic" w:cs="Geo"/>
        <w:b/>
        <w:color w:val="000000" w:themeColor="text1"/>
        <w:sz w:val="16"/>
        <w:szCs w:val="16"/>
        <w:lang w:val="pt-BR" w:eastAsia="es-CO"/>
      </w:rPr>
      <w:t>V</w:t>
    </w:r>
    <w:r w:rsidRPr="00E70AB0">
      <w:rPr>
        <w:rFonts w:ascii="Century Gothic" w:eastAsia="Arial Nova" w:hAnsi="Century Gothic" w:cs="Arial Nova"/>
        <w:b/>
        <w:color w:val="000000" w:themeColor="text1"/>
        <w:sz w:val="16"/>
        <w:szCs w:val="16"/>
        <w:lang w:val="pt-BR" w:eastAsia="es-CO"/>
      </w:rPr>
      <w:t xml:space="preserve">: </w:t>
    </w:r>
    <w:r w:rsidRPr="00E70AB0">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493AE8" w14:textId="77777777" w:rsidR="00805260" w:rsidRDefault="00805260" w:rsidP="004A1847">
      <w:pPr>
        <w:spacing w:after="0" w:line="240" w:lineRule="auto"/>
      </w:pPr>
      <w:r>
        <w:separator/>
      </w:r>
    </w:p>
  </w:footnote>
  <w:footnote w:type="continuationSeparator" w:id="0">
    <w:p w14:paraId="221F300C" w14:textId="77777777" w:rsidR="00805260" w:rsidRDefault="00805260" w:rsidP="004A1847">
      <w:pPr>
        <w:spacing w:after="0" w:line="240" w:lineRule="auto"/>
      </w:pPr>
      <w:r>
        <w:continuationSeparator/>
      </w:r>
    </w:p>
  </w:footnote>
  <w:footnote w:type="continuationNotice" w:id="1">
    <w:p w14:paraId="37125819" w14:textId="77777777" w:rsidR="00805260" w:rsidRDefault="00805260">
      <w:pPr>
        <w:spacing w:after="0" w:line="240" w:lineRule="auto"/>
      </w:pPr>
    </w:p>
  </w:footnote>
  <w:footnote w:id="2">
    <w:p w14:paraId="3107C649" w14:textId="77777777" w:rsidR="006B036C" w:rsidRPr="001244F3" w:rsidRDefault="006B036C" w:rsidP="006B036C">
      <w:pPr>
        <w:pStyle w:val="Textonotapie"/>
        <w:ind w:firstLine="708"/>
        <w:jc w:val="both"/>
        <w:rPr>
          <w:rFonts w:ascii="Verdana" w:hAnsi="Verdana"/>
          <w:sz w:val="16"/>
          <w:szCs w:val="16"/>
        </w:rPr>
      </w:pPr>
      <w:r w:rsidRPr="001244F3">
        <w:rPr>
          <w:rStyle w:val="Refdenotaalpie"/>
          <w:rFonts w:ascii="Verdana" w:hAnsi="Verdana"/>
          <w:sz w:val="16"/>
          <w:szCs w:val="16"/>
        </w:rPr>
        <w:footnoteRef/>
      </w:r>
      <w:r w:rsidRPr="001244F3">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124EAB2D" w14:textId="77777777" w:rsidR="006B036C" w:rsidRPr="001244F3" w:rsidRDefault="006B036C" w:rsidP="006B036C">
      <w:pPr>
        <w:pStyle w:val="Textonotapie"/>
        <w:ind w:firstLine="708"/>
        <w:jc w:val="both"/>
        <w:rPr>
          <w:rFonts w:ascii="Verdana" w:hAnsi="Verdana"/>
          <w:sz w:val="16"/>
          <w:szCs w:val="16"/>
        </w:rPr>
      </w:pPr>
      <w:r w:rsidRPr="001244F3">
        <w:rPr>
          <w:rFonts w:ascii="Verdana" w:hAnsi="Verdana"/>
          <w:sz w:val="16"/>
          <w:szCs w:val="16"/>
        </w:rPr>
        <w:t>[…]</w:t>
      </w:r>
    </w:p>
    <w:p w14:paraId="6F0989DA" w14:textId="77777777" w:rsidR="006B036C" w:rsidRPr="001244F3" w:rsidRDefault="006B036C" w:rsidP="006B036C">
      <w:pPr>
        <w:pStyle w:val="Textonotapie"/>
        <w:ind w:firstLine="708"/>
        <w:jc w:val="both"/>
        <w:rPr>
          <w:rFonts w:ascii="Verdana" w:hAnsi="Verdana"/>
          <w:sz w:val="16"/>
          <w:szCs w:val="16"/>
        </w:rPr>
      </w:pPr>
      <w:r w:rsidRPr="001244F3">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5BFA6C5A" w14:textId="77777777" w:rsidR="006B036C" w:rsidRPr="001244F3" w:rsidRDefault="006B036C" w:rsidP="006B036C">
      <w:pPr>
        <w:pStyle w:val="Textonotapie"/>
        <w:ind w:firstLine="708"/>
        <w:jc w:val="both"/>
        <w:rPr>
          <w:rFonts w:ascii="Verdana" w:hAnsi="Verdana"/>
          <w:sz w:val="16"/>
          <w:szCs w:val="16"/>
        </w:rPr>
      </w:pPr>
      <w:r w:rsidRPr="001244F3">
        <w:rPr>
          <w:rFonts w:ascii="Verdana" w:hAnsi="Verdana"/>
          <w:sz w:val="16"/>
          <w:szCs w:val="16"/>
        </w:rPr>
        <w:t>En todo caso, el Presidente de la República podrá celebrar contratos a nombre de la Nación”.</w:t>
      </w:r>
    </w:p>
  </w:footnote>
  <w:footnote w:id="3">
    <w:p w14:paraId="311B91C9" w14:textId="77777777" w:rsidR="006B036C" w:rsidRPr="001244F3" w:rsidRDefault="006B036C" w:rsidP="006B036C">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El inciso primero de norma disponía que, conforme al principio de transparencia, “</w:t>
      </w:r>
      <w:r w:rsidRPr="001244F3">
        <w:rPr>
          <w:rFonts w:ascii="Verdana" w:hAnsi="Verdana" w:cs="Arial"/>
          <w:i/>
          <w:iCs/>
          <w:sz w:val="16"/>
          <w:szCs w:val="16"/>
        </w:rPr>
        <w:t>La escogencia del contratista se efectuará siempre a través de licitación o concurso públicos</w:t>
      </w:r>
      <w:r w:rsidRPr="001244F3">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4">
    <w:p w14:paraId="09B4A4BD" w14:textId="77777777" w:rsidR="006B036C" w:rsidRPr="001244F3" w:rsidRDefault="006B036C" w:rsidP="006B036C">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1244F3">
        <w:rPr>
          <w:rFonts w:ascii="Verdana" w:hAnsi="Verdana" w:cs="Arial"/>
          <w:i/>
          <w:iCs/>
          <w:sz w:val="16"/>
          <w:szCs w:val="16"/>
        </w:rPr>
        <w:t>Presentación de la oferta de manera dinámica</w:t>
      </w:r>
      <w:r w:rsidRPr="001244F3">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5">
    <w:p w14:paraId="72209C88" w14:textId="77777777" w:rsidR="006B036C" w:rsidRPr="001244F3" w:rsidRDefault="006B036C" w:rsidP="006B036C">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JOJOA BOLAÑOS, Alexander. Los regímenes exceptuados en los contratos estatales. Bogotá: Grupo Editorial Ibáñez, 2012. p. 89.</w:t>
      </w:r>
    </w:p>
  </w:footnote>
  <w:footnote w:id="6">
    <w:p w14:paraId="6821FE3F" w14:textId="77777777" w:rsidR="006B036C" w:rsidRPr="001244F3" w:rsidRDefault="006B036C" w:rsidP="006B036C">
      <w:pPr>
        <w:pStyle w:val="Textonotapie"/>
        <w:ind w:firstLine="708"/>
        <w:jc w:val="both"/>
        <w:rPr>
          <w:rFonts w:ascii="Verdana" w:hAnsi="Verdana" w:cs="Arial"/>
          <w:sz w:val="16"/>
          <w:szCs w:val="16"/>
        </w:rPr>
      </w:pPr>
      <w:r w:rsidRPr="001244F3">
        <w:rPr>
          <w:rStyle w:val="Refdenotaalpie"/>
          <w:rFonts w:ascii="Verdana" w:hAnsi="Verdana" w:cs="Arial"/>
          <w:sz w:val="16"/>
          <w:szCs w:val="16"/>
        </w:rPr>
        <w:footnoteRef/>
      </w:r>
      <w:r w:rsidRPr="001244F3">
        <w:rPr>
          <w:rFonts w:ascii="Verdana" w:hAnsi="Verdana" w:cs="Arial"/>
          <w:sz w:val="16"/>
          <w:szCs w:val="16"/>
        </w:rPr>
        <w:t xml:space="preserve"> BARRETO MORENO, Antonio Alejandro. El derecho de la compra pública: estudio jurídico de un mercado imperfecto. Bogotá: Legis, 2019. pp. 281 y ss.</w:t>
      </w:r>
    </w:p>
  </w:footnote>
  <w:footnote w:id="7">
    <w:p w14:paraId="7B23A5DA"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Agencia Nacional de Contratación Pública - Colombia Compra Eficiente. Guía para las Entidades Estatales con régimen especial de contratación: </w:t>
      </w:r>
      <w:r>
        <w:rPr>
          <w:rFonts w:ascii="Verdana" w:hAnsi="Verdana" w:cs="Arial"/>
          <w:color w:val="000000" w:themeColor="text1"/>
          <w:sz w:val="16"/>
          <w:szCs w:val="16"/>
        </w:rPr>
        <w:t>“</w:t>
      </w:r>
      <w:r w:rsidRPr="001244F3">
        <w:rPr>
          <w:rFonts w:ascii="Verdana" w:hAnsi="Verdana" w:cs="Arial"/>
          <w:color w:val="000000" w:themeColor="text1"/>
          <w:sz w:val="16"/>
          <w:szCs w:val="16"/>
        </w:rPr>
        <w:t>Entidad Estatal de régimen especial: Entidad Estatal que realiza sus Procesos de Contratación con un régimen distinto al previsto en las Leyes 80 de 1993 y 1150 de 2007</w:t>
      </w:r>
      <w:r>
        <w:rPr>
          <w:rFonts w:ascii="Verdana" w:hAnsi="Verdana" w:cs="Arial"/>
          <w:color w:val="000000" w:themeColor="text1"/>
          <w:sz w:val="16"/>
          <w:szCs w:val="16"/>
        </w:rPr>
        <w:t>”</w:t>
      </w:r>
      <w:r w:rsidRPr="001244F3">
        <w:rPr>
          <w:rFonts w:ascii="Verdana" w:hAnsi="Verdana" w:cs="Arial"/>
          <w:color w:val="000000" w:themeColor="text1"/>
          <w:sz w:val="16"/>
          <w:szCs w:val="16"/>
        </w:rPr>
        <w:t>.</w:t>
      </w:r>
    </w:p>
  </w:footnote>
  <w:footnote w:id="8">
    <w:p w14:paraId="219E9CC6"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CONSEJO DE ESTADO. Sección Tercera. Radicado No. 45.607 del 24 de octubre de 2016. Consejera Ponente: María Nubia Velásquez Rico.</w:t>
      </w:r>
    </w:p>
  </w:footnote>
  <w:footnote w:id="9">
    <w:p w14:paraId="5CF12614"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Este fenómeno también se ha presentado, en los últimos años, en España. Al respecto, ver: SÁNCHEZ MORÓN, Miguel. El retorno del derecho administrativo. En: Revista de Administración Pública. Nº 216 (2018). Disponible en: </w:t>
      </w:r>
      <w:hyperlink r:id="rId1" w:history="1">
        <w:r w:rsidRPr="000C3FF3">
          <w:rPr>
            <w:rStyle w:val="Hipervnculo"/>
            <w:rFonts w:ascii="Verdana" w:hAnsi="Verdana" w:cs="Arial"/>
            <w:sz w:val="16"/>
            <w:szCs w:val="16"/>
          </w:rPr>
          <w:t>https://recyt.fecyt.es/index.php/RAP/article/view/67033</w:t>
        </w:r>
      </w:hyperlink>
      <w:r w:rsidRPr="001244F3">
        <w:rPr>
          <w:rFonts w:ascii="Verdana" w:hAnsi="Verdana" w:cs="Arial"/>
          <w:color w:val="000000" w:themeColor="text1"/>
          <w:sz w:val="16"/>
          <w:szCs w:val="16"/>
        </w:rPr>
        <w:t>.</w:t>
      </w:r>
    </w:p>
  </w:footnote>
  <w:footnote w:id="10">
    <w:p w14:paraId="2A4EB86A" w14:textId="77777777" w:rsidR="006B036C" w:rsidRPr="001244F3" w:rsidRDefault="006B036C" w:rsidP="006B036C">
      <w:pPr>
        <w:pStyle w:val="Textonotapie"/>
        <w:ind w:firstLine="708"/>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Es el caso de: i) las empresas sociales del Estado (art. 195, num. 6, Ley 100/1993), ii) las empresas prestadoras de servicios públicos domiciliarios (arts. 31 y 32, Ley 142/94); iii) las empresas industriales y comerciales del Estado, sociedades públicas y sociedades de economía mixta con capital público mayoritario, siempre que las tres entidades mencionadas anteriormente se encuentren en competencia con el sector público o privado, a nivel nacional o internacional, o ejerzan su actividad en un mercado regulado (art. 14, Ley 1150/07); iv) las universidades públicas (art. 93, Ley 30/92); entre otras.</w:t>
      </w:r>
    </w:p>
  </w:footnote>
  <w:footnote w:id="11">
    <w:p w14:paraId="29058A9C" w14:textId="77777777" w:rsidR="006B036C" w:rsidRPr="001244F3" w:rsidRDefault="006B036C" w:rsidP="006B036C">
      <w:pPr>
        <w:pStyle w:val="Textonotapie"/>
        <w:ind w:firstLine="709"/>
        <w:jc w:val="both"/>
        <w:rPr>
          <w:rFonts w:ascii="Verdana" w:hAnsi="Verdana" w:cs="Arial"/>
          <w:color w:val="000000" w:themeColor="text1"/>
          <w:sz w:val="16"/>
          <w:szCs w:val="16"/>
          <w:lang w:val="es-ES"/>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w:t>
      </w:r>
      <w:r w:rsidRPr="001244F3">
        <w:rPr>
          <w:rFonts w:ascii="Verdana" w:hAnsi="Verdana" w:cs="Arial"/>
          <w:color w:val="000000" w:themeColor="text1"/>
          <w:sz w:val="16"/>
          <w:szCs w:val="16"/>
          <w:lang w:val="es-ES"/>
        </w:rPr>
        <w:t>Leyes que, a su vez, han sido modificadas por otras posteriores, como las Leyes 1474 de 2011 y 1882 de 2018, entre otras. Así mismo, se recuerda que el Estatuto General de Contratación de la Administración Pública se encuentra reglamentado actualmente por el Decreto 1082 de 2015.</w:t>
      </w:r>
    </w:p>
  </w:footnote>
  <w:footnote w:id="12">
    <w:p w14:paraId="54A33CD1"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Style w:val="Refdenotaalpie"/>
          <w:rFonts w:ascii="Verdana" w:hAnsi="Verdana" w:cs="Arial"/>
          <w:color w:val="000000" w:themeColor="text1"/>
          <w:sz w:val="16"/>
          <w:szCs w:val="16"/>
        </w:rPr>
        <w:footnoteRef/>
      </w:r>
      <w:r w:rsidRPr="001244F3">
        <w:rPr>
          <w:rFonts w:ascii="Verdana" w:hAnsi="Verdana" w:cs="Arial"/>
          <w:color w:val="000000" w:themeColor="text1"/>
          <w:sz w:val="16"/>
          <w:szCs w:val="16"/>
        </w:rPr>
        <w:t xml:space="preserve"> Así lo sostuvo el Consejo de Estado: </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Esta Sala, en sentido contrario al del tribunal, recuerda que las normas que establecen la manera como se perfecciona un contrato son de orden público, por tanto indisponibles por las partes, así que para las entidades excluidas de la Ley 80, un contrato existe si cumple las exigencias del ordenamiento privado; ni siquiera las del manual de contratación que expide cada hospital, ni las que prevean las partes en un contrato específico, porque los últimos no pueden reducirlas o adicionarlas, puesto que semejante acuerdo adolecerá de nulidad, al transgredir el derecho público de la nación. </w:t>
      </w:r>
    </w:p>
    <w:p w14:paraId="1560F5F8"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Lo anterior explica por qué en el derecho privado las partes no pueden condicionar la existencia de un contrato, que por ley sea consensual, al hecho de que conste por escrito; ni uno que requiere escritura pública al hecho de que el acuerdo verbal sea suficiente. Esto significa que si la ley impuso formalidades especiales para que exista un contrato, las partes no sólo no pueden obviarlas, sino que tampoco las pueden incrementar o adicionar; y a la inversa, si la ley no estableció formalidades especiales para que exista determinado negocio, las partes no las pueden crear con ese propósito –aunque sí podrían hacerlo para otros efectos, pero no para que exista el acuerdo de voluntades-. Lo expresado hasta ahora debe entenderse en los siguientes sentidos:</w:t>
      </w:r>
    </w:p>
    <w:p w14:paraId="43C8EEFB"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a. Si la norma aplicable al contrato es la Ley 80, los requisitos de perfeccionamiento son los que ella establezca; de manera que las partes, en ejercicio de la autonomía de la voluntad –que autorizan los arts. 13, 32 y 40- no pueden atenuar ni hacer más exigentes los que contempla.</w:t>
      </w:r>
    </w:p>
    <w:p w14:paraId="0E84DC64"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b. Si la norma aplicable al contrato estatal es el derecho privado más los principios de la función administrativa, los requisitos de perfeccionamiento también son los que aquél establezca; por tanto, las partes, en ejercicio de la autonomía de la voluntad, tampoco pueden atenuar ni hacer más exigentes los que contempla.</w:t>
      </w:r>
    </w:p>
    <w:p w14:paraId="1A07AD91" w14:textId="77777777" w:rsidR="006B036C" w:rsidRPr="001244F3" w:rsidRDefault="006B036C" w:rsidP="006B036C">
      <w:pPr>
        <w:pStyle w:val="Textonotapie"/>
        <w:ind w:firstLine="709"/>
        <w:jc w:val="both"/>
        <w:rPr>
          <w:rFonts w:ascii="Verdana" w:hAnsi="Verdana" w:cs="Arial"/>
          <w:color w:val="000000" w:themeColor="text1"/>
          <w:sz w:val="16"/>
          <w:szCs w:val="16"/>
        </w:rPr>
      </w:pPr>
      <w:r w:rsidRPr="001244F3">
        <w:rPr>
          <w:rFonts w:ascii="Verdana" w:hAnsi="Verdana" w:cs="Arial"/>
          <w:color w:val="000000" w:themeColor="text1"/>
          <w:sz w:val="16"/>
          <w:szCs w:val="16"/>
        </w:rPr>
        <w:t>c. Si la entidad excluida de Ley 80 profirió un reglamento o manual de contratación, para señalar con certidumbre la manera como contratará los bienes, obras y servicios de su interés, los requisitos de perfeccionamiento de sus contratos tampoco son disponibles por ese estatuto, porque esta materia está reservada a la ley. Por tanto, cuándo existe un contrato es un aspecto que define el derecho privado, y la entidad no lo puede alterar, ni para atenuar ni para hacer más exigentes los requisitos</w:t>
      </w:r>
      <w:r>
        <w:rPr>
          <w:rFonts w:ascii="Verdana" w:hAnsi="Verdana" w:cs="Arial"/>
          <w:color w:val="000000" w:themeColor="text1"/>
          <w:sz w:val="16"/>
          <w:szCs w:val="16"/>
        </w:rPr>
        <w:t>”</w:t>
      </w:r>
      <w:r w:rsidRPr="001244F3">
        <w:rPr>
          <w:rFonts w:ascii="Verdana" w:hAnsi="Verdana" w:cs="Arial"/>
          <w:color w:val="000000" w:themeColor="text1"/>
          <w:sz w:val="16"/>
          <w:szCs w:val="16"/>
        </w:rPr>
        <w:t xml:space="preserve"> (Consejo de Estado. Sección Tercera. Subsección C. Sentencia del 8 de abril de 2014. Exp. 25.801 C.P. Enrique Gil Botero). </w:t>
      </w:r>
    </w:p>
  </w:footnote>
  <w:footnote w:id="13">
    <w:p w14:paraId="339A40DC"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Corte Constitucional. Sentencia C- 341 del 4 de junio de 2014. M. P. Mauricio González Cuervo.</w:t>
      </w:r>
    </w:p>
  </w:footnote>
  <w:footnote w:id="14">
    <w:p w14:paraId="3FB6FFB4"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Ley 1150 de 2007: “Artículo 3. De conformidad con lo dispuesto en la Ley 527 de 1999, la sustanciación de las actuaciones, la expedición de los actos administrativos, los documentos, contratos y en general los actos derivados de la actividad precontractual y contractual, podrán tener lugar por medios electrónicos. Para el trámite, notificación y publicación de tales actos, podrán utilizarse soportes, medios y aplicaciones electrónicas. Los mecanismos e instrumentos por medio de los cuales las entidades cumplirán con las obligaciones de publicidad del proceso contractual serán señalados por el Gobierno Nacional.</w:t>
      </w:r>
    </w:p>
    <w:p w14:paraId="6A7C76AD"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Lo anterior, sin perjuicio de las publicaciones previstas en el numeral 3 del artículo 30 de la Ley 80 de 1993.</w:t>
      </w:r>
    </w:p>
    <w:p w14:paraId="43E1C654"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 xml:space="preserve">Con el fin de materializar los objetivos a que se refiere el inciso anterior, el Gobierno Nacional desarrollará el Sistema Electrónico para la Contratación Pública, Secop, el cual: </w:t>
      </w:r>
    </w:p>
    <w:p w14:paraId="47826B8B"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w:t>
      </w:r>
    </w:p>
    <w:p w14:paraId="716483F7"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 xml:space="preserve">c) Contará con la información oficial de la contratación realizada con dineros públicos, para lo cual establecerá los patrones a que haya lugar y se encargará de su difusión a través de canales electrónico”. </w:t>
      </w:r>
    </w:p>
  </w:footnote>
  <w:footnote w:id="15">
    <w:p w14:paraId="38279E15"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Ley 1712 de 2014: “Artículo 5. Ámbito de aplicación. Las disposiciones de esta ley serán aplicables a las siguientes personas en calidad de sujetos obligados: </w:t>
      </w:r>
    </w:p>
    <w:p w14:paraId="62E84F23"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rPr>
        <w:t>a) Toda entidad pública, incluyendo las pertenecientes a todas las Ramas del Poder Público, en todos los niveles de la estructura estatal, central o descentralizada por servicios o territorialmente, en los órdenes nacional, departamental, municipal y distrital”. Obsérvese que este artículo no efectúa distinción alguna sobre el régimen jurídico aplicable a los sujetos obligados.</w:t>
      </w:r>
    </w:p>
  </w:footnote>
  <w:footnote w:id="16">
    <w:p w14:paraId="0530E4CF"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Fonts w:ascii="Verdana" w:hAnsi="Verdana" w:cs="Arial"/>
          <w:color w:val="000000" w:themeColor="text1"/>
          <w:sz w:val="16"/>
          <w:szCs w:val="16"/>
          <w:vertAlign w:val="superscript"/>
          <w:lang w:val="es-ES" w:eastAsia="es-ES"/>
        </w:rPr>
        <w:footnoteRef/>
      </w:r>
      <w:r w:rsidRPr="008112FA">
        <w:rPr>
          <w:rFonts w:ascii="Verdana" w:hAnsi="Verdana" w:cs="Arial"/>
          <w:color w:val="000000" w:themeColor="text1"/>
          <w:sz w:val="16"/>
          <w:szCs w:val="16"/>
          <w:vertAlign w:val="superscript"/>
          <w:lang w:val="es-ES" w:eastAsia="es-ES"/>
        </w:rPr>
        <w:t xml:space="preserve"> </w:t>
      </w:r>
      <w:r w:rsidRPr="008112FA">
        <w:rPr>
          <w:rFonts w:ascii="Verdana" w:hAnsi="Verdana" w:cs="Arial"/>
          <w:color w:val="000000" w:themeColor="text1"/>
          <w:sz w:val="16"/>
          <w:szCs w:val="16"/>
          <w:lang w:val="es-ES" w:eastAsia="es-ES"/>
        </w:rPr>
        <w:t>“</w:t>
      </w:r>
      <w:r w:rsidRPr="008112FA">
        <w:rPr>
          <w:rFonts w:ascii="Verdana" w:hAnsi="Verdana" w:cs="Arial"/>
          <w:color w:val="000000" w:themeColor="text1"/>
          <w:sz w:val="16"/>
          <w:szCs w:val="16"/>
        </w:rPr>
        <w:t xml:space="preserve">Artículo </w:t>
      </w:r>
      <w:bookmarkStart w:id="3" w:name="_Hlk153373407"/>
      <w:r w:rsidRPr="008112FA">
        <w:rPr>
          <w:rFonts w:ascii="Verdana" w:hAnsi="Verdana" w:cs="Arial"/>
          <w:color w:val="000000" w:themeColor="text1"/>
          <w:sz w:val="16"/>
          <w:szCs w:val="16"/>
        </w:rPr>
        <w:t>2.1.1.2.1.7</w:t>
      </w:r>
      <w:bookmarkEnd w:id="3"/>
      <w:r w:rsidRPr="008112FA">
        <w:rPr>
          <w:rFonts w:ascii="Verdana" w:hAnsi="Verdana" w:cs="Arial"/>
          <w:color w:val="000000" w:themeColor="text1"/>
          <w:sz w:val="16"/>
          <w:szCs w:val="16"/>
        </w:rPr>
        <w:t xml:space="preserve">. Publicación de la información contractual. De conformidad con el literal (c) del artículo 3° de la Ley 1150 de 2007, el sistema de información del Estado en el cual los sujetos obligados que contratan con cargo a recursos públicos deben cumplir la obligación de publicar la información de su gestión contractual es el Sistema Electrónico para la Contratación Pública [SECOP] </w:t>
      </w:r>
    </w:p>
    <w:p w14:paraId="3FC68CAD" w14:textId="77777777" w:rsidR="006B036C" w:rsidRPr="008112FA" w:rsidRDefault="006B036C" w:rsidP="006B036C">
      <w:pPr>
        <w:pStyle w:val="Textonotapie"/>
        <w:ind w:right="49" w:firstLine="709"/>
        <w:jc w:val="both"/>
        <w:rPr>
          <w:rFonts w:ascii="Verdana" w:hAnsi="Verdana" w:cs="Arial"/>
          <w:color w:val="000000" w:themeColor="text1"/>
          <w:sz w:val="16"/>
          <w:szCs w:val="16"/>
          <w:lang w:val="es-ES" w:eastAsia="es-ES"/>
        </w:rPr>
      </w:pPr>
      <w:r w:rsidRPr="008112FA">
        <w:rPr>
          <w:rFonts w:ascii="Verdana" w:hAnsi="Verdana" w:cs="Arial"/>
          <w:color w:val="000000" w:themeColor="text1"/>
          <w:sz w:val="16"/>
          <w:szCs w:val="16"/>
        </w:rPr>
        <w:t>[…].</w:t>
      </w:r>
    </w:p>
    <w:p w14:paraId="3F0F9A85" w14:textId="77777777" w:rsidR="006B036C" w:rsidRPr="008112FA" w:rsidRDefault="006B036C" w:rsidP="006B036C">
      <w:pPr>
        <w:pStyle w:val="Textonotapie"/>
        <w:ind w:right="49" w:firstLine="709"/>
        <w:jc w:val="both"/>
        <w:rPr>
          <w:rFonts w:ascii="Verdana" w:hAnsi="Verdana" w:cs="Arial"/>
          <w:color w:val="000000" w:themeColor="text1"/>
          <w:sz w:val="16"/>
          <w:szCs w:val="16"/>
          <w:lang w:val="es-ES" w:eastAsia="es-ES"/>
        </w:rPr>
      </w:pPr>
      <w:r w:rsidRPr="008112FA">
        <w:rPr>
          <w:rFonts w:ascii="Verdana" w:hAnsi="Verdana" w:cs="Arial"/>
          <w:color w:val="000000" w:themeColor="text1"/>
          <w:sz w:val="16"/>
          <w:szCs w:val="16"/>
          <w:lang w:val="es-ES" w:eastAsia="es-ES"/>
        </w:rPr>
        <w:t>Los sujetos obligados que contratan con recursos públicos y recursos privados, deben publicar la información de su gestión contractual con cargo a recursos públicos en el Sistema Electrónico para la Contratación Pública [SECOP]”.</w:t>
      </w:r>
    </w:p>
  </w:footnote>
  <w:footnote w:id="17">
    <w:p w14:paraId="54A7B9B4" w14:textId="77777777" w:rsidR="006B036C" w:rsidRPr="008112FA" w:rsidRDefault="006B036C" w:rsidP="006B036C">
      <w:pPr>
        <w:pStyle w:val="Textonotapie"/>
        <w:ind w:right="49" w:firstLine="709"/>
        <w:jc w:val="both"/>
        <w:rPr>
          <w:rFonts w:ascii="Verdana" w:hAnsi="Verdana" w:cs="Arial"/>
          <w:color w:val="000000" w:themeColor="text1"/>
          <w:sz w:val="16"/>
          <w:szCs w:val="16"/>
        </w:rPr>
      </w:pPr>
      <w:r w:rsidRPr="008112FA">
        <w:rPr>
          <w:rStyle w:val="Refdenotaalpie"/>
          <w:rFonts w:ascii="Verdana" w:hAnsi="Verdana" w:cs="Arial"/>
          <w:color w:val="000000" w:themeColor="text1"/>
          <w:sz w:val="16"/>
          <w:szCs w:val="16"/>
        </w:rPr>
        <w:footnoteRef/>
      </w:r>
      <w:r w:rsidRPr="008112FA">
        <w:rPr>
          <w:rFonts w:ascii="Verdana" w:hAnsi="Verdana" w:cs="Arial"/>
          <w:color w:val="000000" w:themeColor="text1"/>
          <w:sz w:val="16"/>
          <w:szCs w:val="16"/>
        </w:rPr>
        <w:t xml:space="preserve"> C</w:t>
      </w:r>
      <w:r w:rsidRPr="008112FA">
        <w:rPr>
          <w:rFonts w:ascii="Verdana" w:hAnsi="Verdana" w:cs="Arial"/>
          <w:color w:val="000000" w:themeColor="text1"/>
          <w:sz w:val="16"/>
          <w:szCs w:val="16"/>
          <w:lang w:val="es-ES" w:eastAsia="es-ES"/>
        </w:rPr>
        <w:t xml:space="preserve">orte Constitucional. Sentencia C-274 de 9 de mayo de 2013. M.P. María Victoria Calle Correa. </w:t>
      </w:r>
    </w:p>
  </w:footnote>
  <w:footnote w:id="18">
    <w:p w14:paraId="418C22FB" w14:textId="77777777" w:rsidR="006B036C" w:rsidRPr="008112FA" w:rsidRDefault="006B036C" w:rsidP="006B036C">
      <w:pPr>
        <w:pStyle w:val="Textonotapie"/>
        <w:ind w:firstLine="708"/>
        <w:jc w:val="both"/>
        <w:rPr>
          <w:rFonts w:ascii="Verdana" w:hAnsi="Verdana"/>
          <w:sz w:val="16"/>
          <w:szCs w:val="16"/>
          <w:lang w:val="es-CO"/>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r:id="rId2" w:history="1">
        <w:r w:rsidRPr="008112FA">
          <w:rPr>
            <w:rStyle w:val="Hipervnculo"/>
            <w:rFonts w:ascii="Verdana" w:hAnsi="Verdana"/>
            <w:sz w:val="16"/>
            <w:szCs w:val="16"/>
          </w:rPr>
          <w:t>https://www.colombiacompra.gov.co/archivos/manual/publicacion-regimen-especial</w:t>
        </w:r>
      </w:hyperlink>
      <w:r w:rsidRPr="008112FA">
        <w:rPr>
          <w:rFonts w:ascii="Verdana" w:hAnsi="Verdana"/>
          <w:sz w:val="16"/>
          <w:szCs w:val="16"/>
        </w:rPr>
        <w:t xml:space="preserve">.  </w:t>
      </w:r>
    </w:p>
  </w:footnote>
  <w:footnote w:id="19">
    <w:p w14:paraId="3826C2F0" w14:textId="77777777" w:rsidR="006B036C" w:rsidRPr="008112FA" w:rsidRDefault="006B036C" w:rsidP="006B036C">
      <w:pPr>
        <w:pStyle w:val="Textonotapie"/>
        <w:ind w:firstLine="708"/>
        <w:jc w:val="both"/>
        <w:rPr>
          <w:rFonts w:ascii="Verdana" w:hAnsi="Verdana"/>
          <w:sz w:val="16"/>
          <w:szCs w:val="16"/>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r:id="rId3" w:history="1">
        <w:r w:rsidRPr="008112FA">
          <w:rPr>
            <w:rStyle w:val="Hipervnculo"/>
            <w:rFonts w:ascii="Verdana" w:hAnsi="Verdana"/>
            <w:sz w:val="16"/>
            <w:szCs w:val="16"/>
          </w:rPr>
          <w:t>https://www.colombiacompra.gov.co/base-conocimiento/regimen-especial-con-oferta</w:t>
        </w:r>
      </w:hyperlink>
      <w:r w:rsidRPr="008112FA">
        <w:rPr>
          <w:rFonts w:ascii="Verdana" w:hAnsi="Verdana"/>
          <w:sz w:val="16"/>
          <w:szCs w:val="16"/>
        </w:rPr>
        <w:t xml:space="preserve">. </w:t>
      </w:r>
    </w:p>
  </w:footnote>
  <w:footnote w:id="20">
    <w:p w14:paraId="42113D2A" w14:textId="77777777" w:rsidR="006B036C" w:rsidRPr="008112FA" w:rsidRDefault="006B036C" w:rsidP="006B036C">
      <w:pPr>
        <w:pStyle w:val="Textonotapie"/>
        <w:ind w:firstLine="708"/>
        <w:jc w:val="both"/>
        <w:rPr>
          <w:rFonts w:ascii="Verdana" w:hAnsi="Verdana"/>
          <w:sz w:val="16"/>
          <w:szCs w:val="16"/>
          <w:lang w:val="es-CO"/>
        </w:rPr>
      </w:pPr>
      <w:r w:rsidRPr="008112FA">
        <w:rPr>
          <w:rStyle w:val="Refdenotaalpie"/>
          <w:rFonts w:ascii="Verdana" w:hAnsi="Verdana"/>
          <w:sz w:val="16"/>
          <w:szCs w:val="16"/>
        </w:rPr>
        <w:footnoteRef/>
      </w:r>
      <w:r w:rsidRPr="008112FA">
        <w:rPr>
          <w:rFonts w:ascii="Verdana" w:hAnsi="Verdana"/>
          <w:sz w:val="16"/>
          <w:szCs w:val="16"/>
        </w:rPr>
        <w:t xml:space="preserve"> La guía puede consultarse en el siguiente enlace </w:t>
      </w:r>
      <w:hyperlink r:id="rId4" w:history="1">
        <w:r w:rsidRPr="008112FA">
          <w:rPr>
            <w:rStyle w:val="Hipervnculo"/>
            <w:rFonts w:ascii="Verdana" w:hAnsi="Verdana"/>
            <w:sz w:val="16"/>
            <w:szCs w:val="16"/>
          </w:rPr>
          <w:t>https://www.colombiacompra.gov.co/base-conocimiento/regimen-especial-sin-oferta-secop-ii</w:t>
        </w:r>
      </w:hyperlink>
      <w:r w:rsidRPr="008112FA">
        <w:rPr>
          <w:rFonts w:ascii="Verdana" w:hAnsi="Verdana"/>
          <w:sz w:val="16"/>
          <w:szCs w:val="16"/>
        </w:rPr>
        <w:t xml:space="preserve">. </w:t>
      </w:r>
    </w:p>
  </w:footnote>
  <w:footnote w:id="21">
    <w:p w14:paraId="2A645524" w14:textId="77777777" w:rsidR="006B036C" w:rsidRPr="00AA4669" w:rsidRDefault="006B036C" w:rsidP="006B036C">
      <w:pPr>
        <w:pStyle w:val="Textonotapie"/>
        <w:ind w:firstLine="708"/>
        <w:jc w:val="both"/>
        <w:rPr>
          <w:rFonts w:ascii="Verdana" w:hAnsi="Verdana"/>
          <w:sz w:val="16"/>
          <w:szCs w:val="16"/>
          <w:lang w:val="es-CO"/>
        </w:rPr>
      </w:pPr>
      <w:r w:rsidRPr="00AA4669">
        <w:rPr>
          <w:rStyle w:val="Refdenotaalpie"/>
          <w:rFonts w:ascii="Verdana" w:hAnsi="Verdana"/>
          <w:sz w:val="16"/>
          <w:szCs w:val="16"/>
        </w:rPr>
        <w:footnoteRef/>
      </w:r>
      <w:r w:rsidRPr="00AA4669">
        <w:rPr>
          <w:rFonts w:ascii="Verdana" w:hAnsi="Verdana"/>
          <w:sz w:val="16"/>
          <w:szCs w:val="16"/>
        </w:rPr>
        <w:t xml:space="preserve"> </w:t>
      </w:r>
      <w:r>
        <w:rPr>
          <w:rFonts w:ascii="Verdana" w:hAnsi="Verdana"/>
          <w:sz w:val="16"/>
          <w:szCs w:val="16"/>
        </w:rPr>
        <w:t xml:space="preserve">La Circular se encuentra publicada en el siguiente enlace: </w:t>
      </w:r>
      <w:hyperlink r:id="rId5" w:history="1">
        <w:r w:rsidRPr="0098440C">
          <w:rPr>
            <w:rStyle w:val="Hipervnculo"/>
            <w:rFonts w:ascii="Verdana" w:hAnsi="Verdana"/>
            <w:sz w:val="16"/>
            <w:szCs w:val="16"/>
          </w:rPr>
          <w:t>https://www.colombiacompra.gov.co/wp-content/uploads/2024/08/circular_externa_unica_version_3_vf49.pdf</w:t>
        </w:r>
      </w:hyperlink>
      <w:r>
        <w:rPr>
          <w:rFonts w:ascii="Verdana" w:hAnsi="Verdana"/>
          <w:sz w:val="16"/>
          <w:szCs w:val="16"/>
        </w:rPr>
        <w:t xml:space="preserve">. </w:t>
      </w:r>
    </w:p>
  </w:footnote>
  <w:footnote w:id="22">
    <w:p w14:paraId="66231A98" w14:textId="77777777" w:rsidR="006B036C" w:rsidRPr="00EF3211" w:rsidRDefault="006B036C" w:rsidP="006B036C">
      <w:pPr>
        <w:pStyle w:val="Textonotapie"/>
        <w:ind w:firstLine="708"/>
        <w:jc w:val="both"/>
        <w:rPr>
          <w:rFonts w:ascii="Verdana" w:hAnsi="Verdana"/>
          <w:sz w:val="16"/>
          <w:szCs w:val="16"/>
          <w:lang w:val="es-CO"/>
        </w:rPr>
      </w:pPr>
      <w:r w:rsidRPr="00E347D3">
        <w:rPr>
          <w:rStyle w:val="Refdenotaalpie"/>
          <w:rFonts w:ascii="Verdana" w:hAnsi="Verdana"/>
          <w:sz w:val="16"/>
          <w:szCs w:val="16"/>
        </w:rPr>
        <w:footnoteRef/>
      </w:r>
      <w:r w:rsidRPr="00E347D3">
        <w:rPr>
          <w:rFonts w:ascii="Verdana" w:hAnsi="Verdana"/>
          <w:sz w:val="16"/>
          <w:szCs w:val="16"/>
        </w:rPr>
        <w:t xml:space="preserve"> </w:t>
      </w:r>
      <w:r w:rsidRPr="007F1DCB">
        <w:rPr>
          <w:rFonts w:ascii="Verdana" w:hAnsi="Verdana"/>
          <w:sz w:val="16"/>
          <w:szCs w:val="16"/>
        </w:rPr>
        <w:t>OSPINA FERNÁNDEZ, Guillermo y OSPINA ACOSTA, Eduardo. Teoría general del contrato y del negocio jurídico. Séptima edición. Bogotá: Temis, 2021.</w:t>
      </w:r>
      <w:r>
        <w:rPr>
          <w:rFonts w:ascii="Verdana" w:hAnsi="Verdana"/>
          <w:sz w:val="16"/>
          <w:szCs w:val="16"/>
        </w:rPr>
        <w:t xml:space="preserve"> p. 145.</w:t>
      </w:r>
    </w:p>
  </w:footnote>
  <w:footnote w:id="23">
    <w:p w14:paraId="6BC03539" w14:textId="77777777" w:rsidR="006B036C" w:rsidRPr="007F1DCB" w:rsidRDefault="006B036C" w:rsidP="006B036C">
      <w:pPr>
        <w:pStyle w:val="Textonotapie"/>
        <w:ind w:firstLine="708"/>
        <w:jc w:val="both"/>
        <w:rPr>
          <w:rFonts w:ascii="Verdana" w:hAnsi="Verdana"/>
          <w:sz w:val="16"/>
          <w:szCs w:val="16"/>
          <w:lang w:val="es-CO"/>
        </w:rPr>
      </w:pPr>
      <w:r w:rsidRPr="007F1DCB">
        <w:rPr>
          <w:rStyle w:val="Refdenotaalpie"/>
          <w:rFonts w:ascii="Verdana" w:hAnsi="Verdana"/>
          <w:sz w:val="16"/>
          <w:szCs w:val="16"/>
        </w:rPr>
        <w:footnoteRef/>
      </w:r>
      <w:r w:rsidRPr="007F1DCB">
        <w:rPr>
          <w:rFonts w:ascii="Verdana" w:hAnsi="Verdana"/>
          <w:sz w:val="16"/>
          <w:szCs w:val="16"/>
        </w:rPr>
        <w:t xml:space="preserve"> </w:t>
      </w:r>
      <w:r>
        <w:rPr>
          <w:rFonts w:ascii="Verdana" w:hAnsi="Verdana"/>
          <w:sz w:val="16"/>
          <w:szCs w:val="16"/>
        </w:rPr>
        <w:t>El artículo 1500 del Código Civil dispone que “</w:t>
      </w:r>
      <w:r w:rsidRPr="007F1DCB">
        <w:rPr>
          <w:rFonts w:ascii="Verdana" w:hAnsi="Verdana"/>
          <w:sz w:val="16"/>
          <w:szCs w:val="16"/>
        </w:rPr>
        <w:t xml:space="preserve">El contrato es real cuando, para que sea perfecto, es necesaria la tradición de la cosa a que se refiere; es solemne cuando está sujeto a la observancia de ciertas formalidades especiales, de manera que sin ellas no produce ningún efecto civil; </w:t>
      </w:r>
      <w:r>
        <w:rPr>
          <w:rFonts w:ascii="Verdana" w:hAnsi="Verdana"/>
          <w:sz w:val="16"/>
          <w:szCs w:val="16"/>
        </w:rPr>
        <w:t>y</w:t>
      </w:r>
      <w:r w:rsidRPr="007F1DCB">
        <w:rPr>
          <w:rFonts w:ascii="Verdana" w:hAnsi="Verdana"/>
          <w:sz w:val="16"/>
          <w:szCs w:val="16"/>
        </w:rPr>
        <w:t xml:space="preserve"> es consensual cuando se perfecciona por el solo consentimiento</w:t>
      </w:r>
      <w:r>
        <w:rPr>
          <w:rFonts w:ascii="Verdana" w:hAnsi="Verdana"/>
          <w:sz w:val="16"/>
          <w:szCs w:val="16"/>
        </w:rPr>
        <w:t>”</w:t>
      </w:r>
      <w:r w:rsidRPr="007F1DCB">
        <w:rPr>
          <w:rFonts w:ascii="Verdana" w:hAnsi="Verdana"/>
          <w:sz w:val="16"/>
          <w:szCs w:val="16"/>
        </w:rPr>
        <w:t>.</w:t>
      </w:r>
    </w:p>
  </w:footnote>
  <w:footnote w:id="24">
    <w:p w14:paraId="47C6BD26" w14:textId="77777777" w:rsidR="006B036C" w:rsidRPr="008D625C" w:rsidRDefault="006B036C" w:rsidP="006B036C">
      <w:pPr>
        <w:pStyle w:val="Textonotapie"/>
        <w:ind w:firstLine="708"/>
        <w:jc w:val="both"/>
        <w:rPr>
          <w:rFonts w:ascii="Verdana" w:hAnsi="Verdana"/>
          <w:sz w:val="16"/>
          <w:szCs w:val="16"/>
          <w:lang w:val="es-CO"/>
        </w:rPr>
      </w:pPr>
      <w:r w:rsidRPr="008D625C">
        <w:rPr>
          <w:rStyle w:val="Refdenotaalpie"/>
          <w:rFonts w:ascii="Verdana" w:hAnsi="Verdana"/>
          <w:sz w:val="16"/>
          <w:szCs w:val="16"/>
        </w:rPr>
        <w:footnoteRef/>
      </w:r>
      <w:r w:rsidRPr="008D625C">
        <w:rPr>
          <w:rFonts w:ascii="Verdana" w:hAnsi="Verdana"/>
          <w:sz w:val="16"/>
          <w:szCs w:val="16"/>
        </w:rPr>
        <w:t xml:space="preserve"> OSPINA FERNÁNDEZ</w:t>
      </w:r>
      <w:r>
        <w:rPr>
          <w:rFonts w:ascii="Verdana" w:hAnsi="Verdana"/>
          <w:sz w:val="16"/>
          <w:szCs w:val="16"/>
        </w:rPr>
        <w:t xml:space="preserve"> &amp;</w:t>
      </w:r>
      <w:r w:rsidRPr="008D625C">
        <w:rPr>
          <w:rFonts w:ascii="Verdana" w:hAnsi="Verdana"/>
          <w:sz w:val="16"/>
          <w:szCs w:val="16"/>
        </w:rPr>
        <w:t xml:space="preserve"> OSPINA ACOST</w:t>
      </w:r>
      <w:r>
        <w:rPr>
          <w:rFonts w:ascii="Verdana" w:hAnsi="Verdana"/>
          <w:sz w:val="16"/>
          <w:szCs w:val="16"/>
        </w:rPr>
        <w:t xml:space="preserve">A, </w:t>
      </w:r>
      <w:r w:rsidRPr="008D625C">
        <w:rPr>
          <w:rFonts w:ascii="Verdana" w:hAnsi="Verdana"/>
          <w:sz w:val="16"/>
          <w:szCs w:val="16"/>
        </w:rPr>
        <w:t>Teoría general del contrato</w:t>
      </w:r>
      <w:r>
        <w:rPr>
          <w:rFonts w:ascii="Verdana" w:hAnsi="Verdana"/>
          <w:sz w:val="16"/>
          <w:szCs w:val="16"/>
        </w:rPr>
        <w:t xml:space="preserve">… Ob. cit., pp. 228-229.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5E3"/>
    <w:rsid w:val="00082362"/>
    <w:rsid w:val="00091884"/>
    <w:rsid w:val="000A5965"/>
    <w:rsid w:val="000A683E"/>
    <w:rsid w:val="000B19B9"/>
    <w:rsid w:val="000D0334"/>
    <w:rsid w:val="000D5DA7"/>
    <w:rsid w:val="000F6486"/>
    <w:rsid w:val="001001CE"/>
    <w:rsid w:val="00116940"/>
    <w:rsid w:val="00125105"/>
    <w:rsid w:val="00127233"/>
    <w:rsid w:val="001345D9"/>
    <w:rsid w:val="00154A4A"/>
    <w:rsid w:val="0015699B"/>
    <w:rsid w:val="001A33BF"/>
    <w:rsid w:val="001A5B38"/>
    <w:rsid w:val="001D2122"/>
    <w:rsid w:val="001E4177"/>
    <w:rsid w:val="001F0B24"/>
    <w:rsid w:val="001F7DC6"/>
    <w:rsid w:val="00200E50"/>
    <w:rsid w:val="0022400B"/>
    <w:rsid w:val="00226C9A"/>
    <w:rsid w:val="002421BB"/>
    <w:rsid w:val="0025796E"/>
    <w:rsid w:val="00265950"/>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551A"/>
    <w:rsid w:val="00406575"/>
    <w:rsid w:val="00414C74"/>
    <w:rsid w:val="0042722E"/>
    <w:rsid w:val="0044528D"/>
    <w:rsid w:val="004609C5"/>
    <w:rsid w:val="00466E39"/>
    <w:rsid w:val="00475A8F"/>
    <w:rsid w:val="004917BB"/>
    <w:rsid w:val="004A1847"/>
    <w:rsid w:val="004A305D"/>
    <w:rsid w:val="004F21C4"/>
    <w:rsid w:val="004F685F"/>
    <w:rsid w:val="00505D72"/>
    <w:rsid w:val="005278D6"/>
    <w:rsid w:val="005566E8"/>
    <w:rsid w:val="00574867"/>
    <w:rsid w:val="00591460"/>
    <w:rsid w:val="005A65E0"/>
    <w:rsid w:val="005C0560"/>
    <w:rsid w:val="005C3777"/>
    <w:rsid w:val="005C5CDC"/>
    <w:rsid w:val="005D476C"/>
    <w:rsid w:val="006200BF"/>
    <w:rsid w:val="006219F8"/>
    <w:rsid w:val="006302F7"/>
    <w:rsid w:val="00633030"/>
    <w:rsid w:val="00646B9F"/>
    <w:rsid w:val="00665D70"/>
    <w:rsid w:val="006900D9"/>
    <w:rsid w:val="00692E7C"/>
    <w:rsid w:val="006B036C"/>
    <w:rsid w:val="006F4005"/>
    <w:rsid w:val="00706C16"/>
    <w:rsid w:val="007340C3"/>
    <w:rsid w:val="0075235A"/>
    <w:rsid w:val="00756841"/>
    <w:rsid w:val="007649AB"/>
    <w:rsid w:val="00771D0C"/>
    <w:rsid w:val="007833AC"/>
    <w:rsid w:val="007B268C"/>
    <w:rsid w:val="007B7171"/>
    <w:rsid w:val="007C0C0F"/>
    <w:rsid w:val="007C3DC2"/>
    <w:rsid w:val="007E5497"/>
    <w:rsid w:val="007F3877"/>
    <w:rsid w:val="00805260"/>
    <w:rsid w:val="00806F5F"/>
    <w:rsid w:val="00820278"/>
    <w:rsid w:val="008258C9"/>
    <w:rsid w:val="008422A5"/>
    <w:rsid w:val="00844AE9"/>
    <w:rsid w:val="00867F95"/>
    <w:rsid w:val="008843B6"/>
    <w:rsid w:val="00891928"/>
    <w:rsid w:val="008A446D"/>
    <w:rsid w:val="008B25F1"/>
    <w:rsid w:val="008D180B"/>
    <w:rsid w:val="008F0EA7"/>
    <w:rsid w:val="00923EEF"/>
    <w:rsid w:val="009419F9"/>
    <w:rsid w:val="00950D97"/>
    <w:rsid w:val="0095685E"/>
    <w:rsid w:val="00961B09"/>
    <w:rsid w:val="00965334"/>
    <w:rsid w:val="0097093E"/>
    <w:rsid w:val="00977609"/>
    <w:rsid w:val="009A0DFA"/>
    <w:rsid w:val="009A1C6F"/>
    <w:rsid w:val="009B2D26"/>
    <w:rsid w:val="009B5C43"/>
    <w:rsid w:val="009C71FA"/>
    <w:rsid w:val="009C72E7"/>
    <w:rsid w:val="009C7F7E"/>
    <w:rsid w:val="009D3058"/>
    <w:rsid w:val="009F3A13"/>
    <w:rsid w:val="00A122D3"/>
    <w:rsid w:val="00A14468"/>
    <w:rsid w:val="00A17F13"/>
    <w:rsid w:val="00A20739"/>
    <w:rsid w:val="00A23AF9"/>
    <w:rsid w:val="00A33C78"/>
    <w:rsid w:val="00A461B5"/>
    <w:rsid w:val="00AB0ADB"/>
    <w:rsid w:val="00AE24D0"/>
    <w:rsid w:val="00B00C0E"/>
    <w:rsid w:val="00B01B1A"/>
    <w:rsid w:val="00B0381D"/>
    <w:rsid w:val="00B44A47"/>
    <w:rsid w:val="00B72CD3"/>
    <w:rsid w:val="00B72FFF"/>
    <w:rsid w:val="00BA48DB"/>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7F4"/>
    <w:rsid w:val="00D44E26"/>
    <w:rsid w:val="00D520D8"/>
    <w:rsid w:val="00D63AC2"/>
    <w:rsid w:val="00D7383B"/>
    <w:rsid w:val="00D7788A"/>
    <w:rsid w:val="00D95AC8"/>
    <w:rsid w:val="00DA231B"/>
    <w:rsid w:val="00DC39FC"/>
    <w:rsid w:val="00DF5254"/>
    <w:rsid w:val="00E02524"/>
    <w:rsid w:val="00E100B7"/>
    <w:rsid w:val="00E16408"/>
    <w:rsid w:val="00E20894"/>
    <w:rsid w:val="00E245AB"/>
    <w:rsid w:val="00E2764C"/>
    <w:rsid w:val="00E27F2E"/>
    <w:rsid w:val="00E4612F"/>
    <w:rsid w:val="00E50AFE"/>
    <w:rsid w:val="00E70AB0"/>
    <w:rsid w:val="00E75C92"/>
    <w:rsid w:val="00E771DC"/>
    <w:rsid w:val="00E8772A"/>
    <w:rsid w:val="00E90F6B"/>
    <w:rsid w:val="00E92C27"/>
    <w:rsid w:val="00EA0E3D"/>
    <w:rsid w:val="00EC38A7"/>
    <w:rsid w:val="00ED4B74"/>
    <w:rsid w:val="00EE1AA8"/>
    <w:rsid w:val="00EF3211"/>
    <w:rsid w:val="00F23FEA"/>
    <w:rsid w:val="00F31EDC"/>
    <w:rsid w:val="00F462B3"/>
    <w:rsid w:val="00F5664F"/>
    <w:rsid w:val="00F666C4"/>
    <w:rsid w:val="00F76AFC"/>
    <w:rsid w:val="00FA47C0"/>
    <w:rsid w:val="00FB5DD1"/>
    <w:rsid w:val="00FC2B5D"/>
    <w:rsid w:val="00FC4556"/>
    <w:rsid w:val="00FD58F2"/>
    <w:rsid w:val="00FE50D1"/>
    <w:rsid w:val="00FF1449"/>
    <w:rsid w:val="00FF7963"/>
    <w:rsid w:val="09908A09"/>
    <w:rsid w:val="13CFC91B"/>
    <w:rsid w:val="19A2EC2C"/>
    <w:rsid w:val="2859CA1B"/>
    <w:rsid w:val="32A4F9CF"/>
    <w:rsid w:val="356CEDFD"/>
    <w:rsid w:val="50365B4C"/>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6B036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6B036C"/>
    <w:rPr>
      <w:rFonts w:ascii="Geomanist Light" w:hAnsi="Geomanist Light"/>
      <w:lang w:val="es-ES"/>
    </w:rPr>
  </w:style>
  <w:style w:type="paragraph" w:styleId="Textoindependiente">
    <w:name w:val="Body Text"/>
    <w:basedOn w:val="Normal"/>
    <w:link w:val="TextoindependienteCar"/>
    <w:uiPriority w:val="99"/>
    <w:unhideWhenUsed/>
    <w:rsid w:val="006B036C"/>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6B036C"/>
    <w:rPr>
      <w:rFonts w:eastAsiaTheme="minorEastAsia"/>
      <w:lang w:eastAsia="es-CO"/>
    </w:rPr>
  </w:style>
  <w:style w:type="paragraph" w:styleId="Textocomentario">
    <w:name w:val="annotation text"/>
    <w:basedOn w:val="Normal"/>
    <w:link w:val="TextocomentarioCar"/>
    <w:uiPriority w:val="99"/>
    <w:semiHidden/>
    <w:unhideWhenUsed/>
    <w:rsid w:val="006B036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6B036C"/>
    <w:rPr>
      <w:sz w:val="20"/>
      <w:szCs w:val="20"/>
    </w:rPr>
  </w:style>
  <w:style w:type="paragraph" w:styleId="Asuntodelcomentario">
    <w:name w:val="annotation subject"/>
    <w:basedOn w:val="Textocomentario"/>
    <w:next w:val="Textocomentario"/>
    <w:link w:val="AsuntodelcomentarioCar"/>
    <w:uiPriority w:val="99"/>
    <w:semiHidden/>
    <w:unhideWhenUsed/>
    <w:rsid w:val="006B036C"/>
    <w:rPr>
      <w:b/>
      <w:bCs/>
    </w:rPr>
  </w:style>
  <w:style w:type="character" w:customStyle="1" w:styleId="AsuntodelcomentarioCar">
    <w:name w:val="Asunto del comentario Car"/>
    <w:basedOn w:val="TextocomentarioCar"/>
    <w:link w:val="Asuntodelcomentario"/>
    <w:uiPriority w:val="99"/>
    <w:semiHidden/>
    <w:rsid w:val="006B036C"/>
    <w:rPr>
      <w:b/>
      <w:bCs/>
      <w:sz w:val="20"/>
      <w:szCs w:val="20"/>
    </w:rPr>
  </w:style>
  <w:style w:type="character" w:customStyle="1" w:styleId="s15">
    <w:name w:val="s15"/>
    <w:basedOn w:val="Fuentedeprrafopredeter"/>
    <w:rsid w:val="006B036C"/>
  </w:style>
  <w:style w:type="character" w:customStyle="1" w:styleId="apple-converted-space">
    <w:name w:val="apple-converted-space"/>
    <w:basedOn w:val="Fuentedeprrafopredeter"/>
    <w:rsid w:val="006B036C"/>
  </w:style>
  <w:style w:type="paragraph" w:styleId="Sinespaciado">
    <w:name w:val="No Spacing"/>
    <w:aliases w:val="No Indent"/>
    <w:uiPriority w:val="3"/>
    <w:qFormat/>
    <w:rsid w:val="006B036C"/>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laitonbeltran98@gmail.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3" Type="http://schemas.openxmlformats.org/officeDocument/2006/relationships/hyperlink" Target="https://www.colombiacompra.gov.co/base-conocimiento/regimen-especial-con-oferta" TargetMode="External"/><Relationship Id="rId2" Type="http://schemas.openxmlformats.org/officeDocument/2006/relationships/hyperlink" Target="https://www.colombiacompra.gov.co/archivos/manual/publicacion-regimen-especial" TargetMode="External"/><Relationship Id="rId1" Type="http://schemas.openxmlformats.org/officeDocument/2006/relationships/hyperlink" Target="https://recyt.fecyt.es/index.php/RAP/article/view/67033" TargetMode="External"/><Relationship Id="rId5" Type="http://schemas.openxmlformats.org/officeDocument/2006/relationships/hyperlink" Target="https://www.colombiacompra.gov.co/wp-content/uploads/2024/08/circular_externa_unica_version_3_vf49.pdf" TargetMode="External"/><Relationship Id="rId4" Type="http://schemas.openxmlformats.org/officeDocument/2006/relationships/hyperlink" Target="https://www.colombiacompra.gov.co/base-conocimiento/regimen-especial-sin-oferta-secop-ii"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F0514F-DDA0-436C-87BB-99B1055C2634}"/>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6</TotalTime>
  <Pages>25</Pages>
  <Words>8342</Words>
  <Characters>45885</Characters>
  <Application>Microsoft Office Word</Application>
  <DocSecurity>0</DocSecurity>
  <Lines>382</Lines>
  <Paragraphs>108</Paragraphs>
  <ScaleCrop>false</ScaleCrop>
  <Company/>
  <LinksUpToDate>false</LinksUpToDate>
  <CharactersWithSpaces>54119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Joan Montoya Penagos</cp:lastModifiedBy>
  <cp:revision>6</cp:revision>
  <cp:lastPrinted>2023-01-10T21:18:00Z</cp:lastPrinted>
  <dcterms:created xsi:type="dcterms:W3CDTF">2025-11-13T03:41:00Z</dcterms:created>
  <dcterms:modified xsi:type="dcterms:W3CDTF">2025-11-14T14:51:00Z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