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9F7C1" w14:textId="77777777" w:rsidR="00BB2611" w:rsidRPr="009B46EA" w:rsidRDefault="00BB2611" w:rsidP="00BB2611">
      <w:pPr>
        <w:pStyle w:val="Textoindependiente"/>
        <w:spacing w:after="0" w:line="240" w:lineRule="auto"/>
        <w:ind w:right="102"/>
        <w:jc w:val="both"/>
        <w:rPr>
          <w:rFonts w:ascii="Verdana" w:hAnsi="Verdana" w:cs="Arial"/>
          <w:b/>
          <w:color w:val="000000" w:themeColor="text1"/>
          <w:sz w:val="20"/>
          <w:szCs w:val="20"/>
          <w:lang w:val="es-ES_tradnl"/>
        </w:rPr>
      </w:pPr>
    </w:p>
    <w:p w14:paraId="02F2A227" w14:textId="77777777" w:rsidR="00BB2611" w:rsidRPr="009B46EA" w:rsidRDefault="00BB2611" w:rsidP="00BB2611">
      <w:pPr>
        <w:pStyle w:val="Textoindependiente"/>
        <w:spacing w:after="0" w:line="240" w:lineRule="auto"/>
        <w:ind w:right="102"/>
        <w:jc w:val="both"/>
        <w:rPr>
          <w:rFonts w:ascii="Verdana" w:hAnsi="Verdana" w:cs="Arial"/>
          <w:b/>
          <w:color w:val="000000" w:themeColor="text1"/>
          <w:lang w:val="es-ES_tradnl"/>
        </w:rPr>
      </w:pPr>
      <w:r w:rsidRPr="009B46EA">
        <w:rPr>
          <w:rFonts w:ascii="Verdana" w:hAnsi="Verdana" w:cs="Arial"/>
          <w:b/>
          <w:color w:val="000000" w:themeColor="text1"/>
          <w:lang w:val="es-ES_tradnl"/>
        </w:rPr>
        <w:t xml:space="preserve">DECRETO 092 DE 2017 – Finalidad – Clases de contratos </w:t>
      </w:r>
    </w:p>
    <w:p w14:paraId="31435490" w14:textId="77777777" w:rsidR="00BB2611" w:rsidRPr="009B46EA" w:rsidRDefault="00BB2611" w:rsidP="00BB2611">
      <w:pPr>
        <w:pStyle w:val="Textoindependiente"/>
        <w:spacing w:after="0" w:line="240" w:lineRule="auto"/>
        <w:ind w:right="102"/>
        <w:jc w:val="both"/>
        <w:rPr>
          <w:rFonts w:ascii="Verdana" w:hAnsi="Verdana" w:cs="Arial"/>
          <w:color w:val="000000" w:themeColor="text1"/>
          <w:sz w:val="20"/>
          <w:szCs w:val="20"/>
          <w:lang w:val="es-ES_tradnl"/>
        </w:rPr>
      </w:pPr>
    </w:p>
    <w:p w14:paraId="7F0FDA19" w14:textId="77777777" w:rsidR="00BB2611" w:rsidRPr="009B46EA" w:rsidRDefault="00BB2611" w:rsidP="00BB2611">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1E2EF45C" w14:textId="77777777" w:rsidR="00BB2611" w:rsidRPr="009B46EA" w:rsidRDefault="00BB2611" w:rsidP="00BB2611">
      <w:pPr>
        <w:spacing w:after="0" w:line="240" w:lineRule="auto"/>
        <w:jc w:val="both"/>
        <w:rPr>
          <w:rFonts w:ascii="Verdana" w:eastAsia="Calibri" w:hAnsi="Verdana" w:cs="Arial"/>
          <w:b/>
          <w:color w:val="000000" w:themeColor="text1"/>
          <w:lang w:val="es-ES_tradnl"/>
        </w:rPr>
      </w:pPr>
    </w:p>
    <w:p w14:paraId="0A6129E5" w14:textId="77777777" w:rsidR="00BB2611" w:rsidRPr="009B46EA" w:rsidRDefault="00BB2611" w:rsidP="00BB2611">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4C90D9B5" w14:textId="77777777" w:rsidR="00BB2611" w:rsidRPr="009B46EA" w:rsidRDefault="00BB2611" w:rsidP="00BB2611">
      <w:pPr>
        <w:spacing w:after="0" w:line="240" w:lineRule="auto"/>
        <w:jc w:val="both"/>
        <w:rPr>
          <w:rFonts w:ascii="Verdana" w:eastAsia="Calibri" w:hAnsi="Verdana" w:cs="Arial"/>
          <w:bCs/>
          <w:color w:val="000000" w:themeColor="text1"/>
          <w:sz w:val="20"/>
          <w:szCs w:val="20"/>
          <w:lang w:val="es-ES_tradnl"/>
        </w:rPr>
      </w:pPr>
    </w:p>
    <w:p w14:paraId="6BFCD256" w14:textId="77777777" w:rsidR="00BB2611" w:rsidRPr="009B46EA" w:rsidRDefault="00BB2611" w:rsidP="00BB2611">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5D1E286C" w14:textId="77777777" w:rsidR="00BB2611" w:rsidRPr="009B46EA" w:rsidRDefault="00BB2611" w:rsidP="00BB2611">
      <w:pPr>
        <w:spacing w:after="0" w:line="240" w:lineRule="auto"/>
        <w:jc w:val="both"/>
        <w:rPr>
          <w:rFonts w:ascii="Verdana" w:hAnsi="Verdana" w:cs="Arial"/>
          <w:color w:val="000000" w:themeColor="text1"/>
          <w:sz w:val="21"/>
          <w:szCs w:val="21"/>
          <w:lang w:val="es-ES_tradnl"/>
        </w:rPr>
      </w:pPr>
    </w:p>
    <w:p w14:paraId="6901A8C0" w14:textId="77777777" w:rsidR="00BB2611" w:rsidRPr="009B46EA" w:rsidRDefault="00BB2611" w:rsidP="00BB2611">
      <w:pPr>
        <w:spacing w:after="0" w:line="240" w:lineRule="auto"/>
        <w:jc w:val="both"/>
        <w:rPr>
          <w:rFonts w:ascii="Verdana" w:eastAsia="Calibri" w:hAnsi="Verdana" w:cs="Arial"/>
          <w:b/>
          <w:color w:val="000000" w:themeColor="text1"/>
          <w:lang w:val="es-ES_tradnl"/>
        </w:rPr>
      </w:pPr>
      <w:bookmarkStart w:id="0" w:name="_Hlk109118876"/>
      <w:r w:rsidRPr="009B46EA">
        <w:rPr>
          <w:rFonts w:ascii="Verdana" w:eastAsia="Calibri" w:hAnsi="Verdana" w:cs="Arial"/>
          <w:b/>
          <w:color w:val="000000" w:themeColor="text1"/>
          <w:lang w:val="es-ES_tradnl"/>
        </w:rPr>
        <w:t>CONTRATACIÓN CON ESAL –</w:t>
      </w:r>
      <w:bookmarkEnd w:id="0"/>
      <w:r w:rsidRPr="009B46EA">
        <w:rPr>
          <w:rFonts w:ascii="Verdana" w:eastAsia="Calibri" w:hAnsi="Verdana" w:cs="Arial"/>
          <w:b/>
          <w:color w:val="000000" w:themeColor="text1"/>
          <w:lang w:val="es-ES_tradnl"/>
        </w:rPr>
        <w:t xml:space="preserve"> Con</w:t>
      </w:r>
      <w:r>
        <w:rPr>
          <w:rFonts w:ascii="Verdana" w:eastAsia="Calibri" w:hAnsi="Verdana" w:cs="Arial"/>
          <w:b/>
          <w:color w:val="000000" w:themeColor="text1"/>
          <w:lang w:val="es-ES_tradnl"/>
        </w:rPr>
        <w:t>venios</w:t>
      </w:r>
      <w:r w:rsidRPr="009B46EA">
        <w:rPr>
          <w:rFonts w:ascii="Verdana" w:eastAsia="Calibri" w:hAnsi="Verdana" w:cs="Arial"/>
          <w:b/>
          <w:color w:val="000000" w:themeColor="text1"/>
          <w:lang w:val="es-ES_tradnl"/>
        </w:rPr>
        <w:t xml:space="preserve"> de asociación – Objeto – Alcance </w:t>
      </w:r>
    </w:p>
    <w:p w14:paraId="7FB3AEB4" w14:textId="77777777" w:rsidR="00BB2611" w:rsidRPr="009B46EA" w:rsidRDefault="00BB2611" w:rsidP="00BB2611">
      <w:pPr>
        <w:spacing w:after="0" w:line="240" w:lineRule="auto"/>
        <w:jc w:val="both"/>
        <w:rPr>
          <w:rFonts w:ascii="Verdana" w:eastAsia="Calibri" w:hAnsi="Verdana" w:cs="Arial"/>
          <w:b/>
          <w:color w:val="000000" w:themeColor="text1"/>
          <w:lang w:val="es-ES_tradnl"/>
        </w:rPr>
      </w:pPr>
    </w:p>
    <w:p w14:paraId="2B42313E" w14:textId="77777777" w:rsidR="00BB2611" w:rsidRPr="009B46EA" w:rsidRDefault="00BB2611" w:rsidP="00BB2611">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2567E91F" w14:textId="77777777" w:rsidR="00BB2611" w:rsidRPr="009B46EA" w:rsidRDefault="00BB2611" w:rsidP="00BB2611">
      <w:pPr>
        <w:spacing w:after="0" w:line="240" w:lineRule="auto"/>
        <w:jc w:val="both"/>
        <w:rPr>
          <w:rFonts w:ascii="Verdana" w:hAnsi="Verdana" w:cs="Arial"/>
          <w:color w:val="000000" w:themeColor="text1"/>
          <w:sz w:val="20"/>
          <w:szCs w:val="20"/>
          <w:lang w:val="es-ES_tradnl"/>
        </w:rPr>
      </w:pPr>
    </w:p>
    <w:p w14:paraId="1E671CAF" w14:textId="77777777" w:rsidR="00BB2611" w:rsidRPr="009B46EA" w:rsidRDefault="00BB2611" w:rsidP="00BB2611">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74C437EB" w14:textId="77777777" w:rsidR="00BB2611" w:rsidRPr="009B46EA" w:rsidRDefault="00BB2611" w:rsidP="00BB2611">
      <w:pPr>
        <w:spacing w:after="0" w:line="240" w:lineRule="auto"/>
        <w:jc w:val="both"/>
        <w:rPr>
          <w:rFonts w:ascii="Verdana" w:hAnsi="Verdana" w:cs="Arial"/>
          <w:color w:val="000000" w:themeColor="text1"/>
          <w:sz w:val="20"/>
          <w:szCs w:val="20"/>
          <w:lang w:val="es-ES_tradnl"/>
        </w:rPr>
      </w:pPr>
    </w:p>
    <w:p w14:paraId="26A2241D" w14:textId="77777777" w:rsidR="00BB2611" w:rsidRPr="009B46EA" w:rsidRDefault="00BB2611" w:rsidP="00BB2611">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w:t>
      </w:r>
      <w:r w:rsidRPr="009B46EA">
        <w:rPr>
          <w:rFonts w:ascii="Verdana" w:hAnsi="Verdana" w:cs="Arial"/>
          <w:color w:val="000000" w:themeColor="text1"/>
          <w:sz w:val="20"/>
          <w:szCs w:val="20"/>
          <w:lang w:val="es-ES_tradnl"/>
        </w:rPr>
        <w:lastRenderedPageBreak/>
        <w:t>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35503C09" w14:textId="77777777" w:rsidR="00BB2611" w:rsidRPr="009B46EA" w:rsidRDefault="00BB2611" w:rsidP="00BB2611">
      <w:pPr>
        <w:pStyle w:val="Sinespaciado"/>
        <w:jc w:val="both"/>
        <w:rPr>
          <w:rFonts w:ascii="Verdana" w:hAnsi="Verdana" w:cs="Arial"/>
          <w:color w:val="000000" w:themeColor="text1"/>
          <w:sz w:val="20"/>
          <w:szCs w:val="20"/>
          <w:lang w:val="es-ES_tradnl"/>
        </w:rPr>
      </w:pPr>
    </w:p>
    <w:p w14:paraId="621BF464" w14:textId="77777777" w:rsidR="00BB2611" w:rsidRPr="009B46EA" w:rsidRDefault="00BB2611" w:rsidP="00BB2611">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657B9956" w14:textId="77777777" w:rsidR="00BB2611" w:rsidRPr="009B46EA" w:rsidRDefault="00BB2611" w:rsidP="00BB2611">
      <w:pPr>
        <w:spacing w:after="0" w:line="240" w:lineRule="auto"/>
        <w:jc w:val="both"/>
        <w:rPr>
          <w:rFonts w:ascii="Verdana" w:hAnsi="Verdana" w:cs="Arial"/>
          <w:color w:val="000000" w:themeColor="text1"/>
          <w:sz w:val="21"/>
          <w:szCs w:val="21"/>
          <w:lang w:val="es-ES_tradnl"/>
        </w:rPr>
      </w:pPr>
    </w:p>
    <w:p w14:paraId="51B65F7E" w14:textId="77777777" w:rsidR="00BB2611" w:rsidRDefault="00BB2611" w:rsidP="00BB2611">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5C7A4A26" w14:textId="77777777" w:rsidR="00BB2611" w:rsidRPr="009B46EA" w:rsidRDefault="00BB2611" w:rsidP="00BB2611">
      <w:pPr>
        <w:spacing w:after="0" w:line="240" w:lineRule="auto"/>
        <w:jc w:val="both"/>
        <w:rPr>
          <w:rFonts w:ascii="Verdana" w:hAnsi="Verdana" w:cs="Arial"/>
          <w:color w:val="000000" w:themeColor="text1"/>
          <w:sz w:val="20"/>
          <w:szCs w:val="20"/>
          <w:lang w:val="es-ES_tradnl"/>
        </w:rPr>
      </w:pPr>
    </w:p>
    <w:p w14:paraId="5A7B8ACA" w14:textId="77777777" w:rsidR="00BB2611" w:rsidRPr="009B46EA" w:rsidRDefault="00BB2611" w:rsidP="00BB2611">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5088524E" w14:textId="77777777" w:rsidR="00BB2611" w:rsidRPr="009B46EA" w:rsidRDefault="00BB2611" w:rsidP="00BB2611">
      <w:pPr>
        <w:spacing w:after="0" w:line="240" w:lineRule="auto"/>
        <w:jc w:val="both"/>
        <w:rPr>
          <w:rFonts w:ascii="Verdana" w:eastAsia="Arial" w:hAnsi="Verdana" w:cs="Arial"/>
          <w:b/>
          <w:bCs/>
          <w:color w:val="000000" w:themeColor="text1"/>
          <w:lang w:val="es-ES_tradnl"/>
        </w:rPr>
      </w:pPr>
    </w:p>
    <w:p w14:paraId="18CA5BE5" w14:textId="77777777" w:rsidR="00BB2611" w:rsidRDefault="00BB2611" w:rsidP="00BB2611">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263426B3" w14:textId="77777777" w:rsidR="00BB2611" w:rsidRDefault="00BB2611" w:rsidP="00BB2611">
      <w:pPr>
        <w:spacing w:after="0" w:line="240" w:lineRule="auto"/>
        <w:jc w:val="both"/>
        <w:rPr>
          <w:rFonts w:ascii="Verdana" w:hAnsi="Verdana" w:cs="Arial"/>
          <w:color w:val="000000" w:themeColor="text1"/>
          <w:sz w:val="20"/>
          <w:szCs w:val="20"/>
          <w:lang w:val="es-ES_tradnl"/>
        </w:rPr>
      </w:pPr>
    </w:p>
    <w:p w14:paraId="39BD77F2" w14:textId="77777777" w:rsidR="00BB2611" w:rsidRPr="00C530A2" w:rsidRDefault="00BB2611" w:rsidP="00BB2611">
      <w:pPr>
        <w:spacing w:after="0" w:line="240" w:lineRule="auto"/>
        <w:jc w:val="both"/>
        <w:rPr>
          <w:rFonts w:ascii="Verdana" w:eastAsia="Calibri" w:hAnsi="Verdana" w:cs="Arial"/>
          <w:b/>
          <w:lang w:val="es-MX"/>
        </w:rPr>
      </w:pPr>
      <w:r w:rsidRPr="00C530A2">
        <w:rPr>
          <w:rFonts w:ascii="Verdana" w:eastAsia="Calibri" w:hAnsi="Verdana" w:cs="Arial"/>
          <w:b/>
          <w:lang w:val="es-MX"/>
        </w:rPr>
        <w:lastRenderedPageBreak/>
        <w:t>LEY 1276 DE 2009 – Convenios – Adulto mayor</w:t>
      </w:r>
      <w:r>
        <w:rPr>
          <w:rFonts w:ascii="Verdana" w:eastAsia="Calibri" w:hAnsi="Verdana" w:cs="Arial"/>
          <w:b/>
          <w:lang w:val="es-MX"/>
        </w:rPr>
        <w:t xml:space="preserve"> – Régimen aplicable</w:t>
      </w:r>
    </w:p>
    <w:p w14:paraId="34AF4D5D" w14:textId="77777777" w:rsidR="00BB2611" w:rsidRPr="00C530A2" w:rsidRDefault="00BB2611" w:rsidP="00BB2611">
      <w:pPr>
        <w:spacing w:after="0" w:line="240" w:lineRule="auto"/>
        <w:jc w:val="both"/>
        <w:rPr>
          <w:rFonts w:ascii="Verdana" w:eastAsia="Calibri" w:hAnsi="Verdana" w:cs="Arial"/>
          <w:b/>
          <w:sz w:val="20"/>
          <w:szCs w:val="20"/>
          <w:lang w:val="es-MX"/>
        </w:rPr>
      </w:pPr>
    </w:p>
    <w:p w14:paraId="4437C971" w14:textId="77777777" w:rsidR="00BB2611" w:rsidRPr="00C530A2" w:rsidRDefault="00BB2611" w:rsidP="00BB2611">
      <w:pPr>
        <w:tabs>
          <w:tab w:val="left" w:pos="709"/>
        </w:tabs>
        <w:spacing w:after="0" w:line="240" w:lineRule="auto"/>
        <w:jc w:val="both"/>
        <w:rPr>
          <w:rFonts w:ascii="Verdana" w:eastAsia="Calibri" w:hAnsi="Verdana" w:cs="Arial"/>
          <w:sz w:val="20"/>
          <w:szCs w:val="20"/>
        </w:rPr>
      </w:pPr>
      <w:r>
        <w:rPr>
          <w:rFonts w:ascii="Verdana" w:eastAsia="Calibri" w:hAnsi="Verdana" w:cs="Arial"/>
          <w:sz w:val="20"/>
          <w:szCs w:val="20"/>
        </w:rPr>
        <w:t xml:space="preserve">[…] </w:t>
      </w:r>
      <w:r w:rsidRPr="00C530A2">
        <w:rPr>
          <w:rFonts w:ascii="Verdana" w:eastAsia="Calibri" w:hAnsi="Verdana" w:cs="Arial"/>
          <w:sz w:val="20"/>
          <w:szCs w:val="20"/>
        </w:rPr>
        <w:t>la Agencia Nacional de Contratación Pública – Colombia Compra Eficiente ha considerado</w:t>
      </w:r>
      <w:r>
        <w:rPr>
          <w:rFonts w:ascii="Verdana" w:eastAsia="Calibri" w:hAnsi="Verdana" w:cs="Arial"/>
          <w:sz w:val="20"/>
          <w:szCs w:val="20"/>
        </w:rPr>
        <w:t xml:space="preserve"> </w:t>
      </w:r>
      <w:r w:rsidRPr="00C530A2">
        <w:rPr>
          <w:rFonts w:ascii="Verdana" w:eastAsia="Calibri" w:hAnsi="Verdana" w:cs="Arial"/>
          <w:sz w:val="20"/>
          <w:szCs w:val="20"/>
        </w:rPr>
        <w:t xml:space="preserve">que, los convenios que pueden celebrar los departamentos, distritos y municipios en los términos del artículo 8 de la Ley 1276 de 2009, modificado por el artículo 16 de la Ley 1850 de 2017, están regulados por el </w:t>
      </w:r>
      <w:r w:rsidRPr="00C530A2">
        <w:rPr>
          <w:rFonts w:ascii="Verdana" w:eastAsia="Calibri" w:hAnsi="Verdana" w:cs="Arial"/>
          <w:sz w:val="20"/>
          <w:szCs w:val="20"/>
          <w:lang w:val="es-MX"/>
        </w:rPr>
        <w:t>EGCAP</w:t>
      </w:r>
      <w:r w:rsidRPr="00C530A2">
        <w:rPr>
          <w:rFonts w:ascii="Verdana" w:eastAsia="Calibri" w:hAnsi="Verdana" w:cs="Arial"/>
          <w:sz w:val="20"/>
          <w:szCs w:val="20"/>
        </w:rPr>
        <w:t xml:space="preserve">, esto es, por la Ley 80 de 1993 y todas sus normas complementarias y reglamentarias. Eventualmente, estos convenios pueden estar regulados por las disposiciones especiales contenidas en el Decreto 092 del 2017, siempre que se den las condiciones para el efecto, esto es, que los convenios se celebren con Entidades Sin Ánimo De Lucro – en adelante ESAL – para los fines previstos en dicha norma. </w:t>
      </w:r>
    </w:p>
    <w:p w14:paraId="2B37DA08" w14:textId="77777777" w:rsidR="00BB2611" w:rsidRPr="00C530A2" w:rsidRDefault="00BB2611" w:rsidP="00BB2611">
      <w:pPr>
        <w:tabs>
          <w:tab w:val="left" w:pos="709"/>
        </w:tabs>
        <w:spacing w:after="0" w:line="240" w:lineRule="auto"/>
        <w:jc w:val="both"/>
        <w:rPr>
          <w:rFonts w:ascii="Verdana" w:eastAsia="Calibri" w:hAnsi="Verdana" w:cs="Arial"/>
          <w:sz w:val="20"/>
          <w:szCs w:val="20"/>
        </w:rPr>
      </w:pPr>
    </w:p>
    <w:p w14:paraId="18B4208D" w14:textId="77777777" w:rsidR="00BB2611" w:rsidRPr="00C530A2" w:rsidRDefault="00BB2611" w:rsidP="00BB2611">
      <w:pPr>
        <w:spacing w:after="0" w:line="240" w:lineRule="auto"/>
        <w:jc w:val="both"/>
        <w:rPr>
          <w:rFonts w:ascii="Verdana" w:eastAsia="Calibri" w:hAnsi="Verdana" w:cs="Arial"/>
          <w:sz w:val="20"/>
          <w:szCs w:val="20"/>
        </w:rPr>
      </w:pPr>
      <w:r w:rsidRPr="00C530A2">
        <w:rPr>
          <w:rFonts w:ascii="Verdana" w:eastAsia="Calibri" w:hAnsi="Verdana" w:cs="Arial"/>
          <w:sz w:val="20"/>
          <w:szCs w:val="20"/>
        </w:rPr>
        <w:t>En este punto, es necesario realizar dos (2) precisiones</w:t>
      </w:r>
      <w:r>
        <w:rPr>
          <w:rFonts w:ascii="Verdana" w:eastAsia="Calibri" w:hAnsi="Verdana" w:cs="Arial"/>
          <w:sz w:val="20"/>
          <w:szCs w:val="20"/>
        </w:rPr>
        <w:t>.</w:t>
      </w:r>
      <w:r w:rsidRPr="00C530A2">
        <w:rPr>
          <w:rFonts w:ascii="Verdana" w:eastAsia="Calibri" w:hAnsi="Verdana" w:cs="Arial"/>
          <w:sz w:val="20"/>
          <w:szCs w:val="20"/>
        </w:rPr>
        <w:t xml:space="preserve"> E</w:t>
      </w:r>
      <w:r w:rsidRPr="00C530A2">
        <w:rPr>
          <w:rFonts w:ascii="Verdana" w:eastAsia="Calibri" w:hAnsi="Verdana" w:cs="Arial"/>
          <w:i/>
          <w:iCs/>
          <w:sz w:val="20"/>
          <w:szCs w:val="20"/>
        </w:rPr>
        <w:t>n primer lugar</w:t>
      </w:r>
      <w:r w:rsidRPr="00C530A2">
        <w:rPr>
          <w:rFonts w:ascii="Verdana" w:eastAsia="Calibri" w:hAnsi="Verdana" w:cs="Arial"/>
          <w:sz w:val="20"/>
          <w:szCs w:val="20"/>
        </w:rPr>
        <w:t xml:space="preserve">, que los convenios de que trata el artículo 8 de la Ley 1276 de 2009, modificado por el artículo 16 de la Ley 1850 de 2017 no podrán regularse por las disposiciones de los regímenes exceptuados del EGCAP, pues dichos convenios son suscritos por entidades territoriales únicamente, particularmente, los departamentos, los distritos y los municipios, autoridades que se denominan “Entidades Estatales” para los fines de la contratación estatal, y cuyos procesos contractuales son regulados por el EGCAP, según los artículos 1 y 2 de la Ley 80 de 1993. </w:t>
      </w:r>
    </w:p>
    <w:p w14:paraId="51518B2D" w14:textId="77777777" w:rsidR="00BB2611" w:rsidRPr="00C530A2" w:rsidRDefault="00BB2611" w:rsidP="00BB2611">
      <w:pPr>
        <w:spacing w:after="0" w:line="240" w:lineRule="auto"/>
        <w:jc w:val="both"/>
        <w:rPr>
          <w:rFonts w:ascii="Verdana" w:eastAsia="Calibri" w:hAnsi="Verdana" w:cs="Arial"/>
          <w:sz w:val="20"/>
          <w:szCs w:val="20"/>
        </w:rPr>
      </w:pPr>
    </w:p>
    <w:p w14:paraId="405521E7" w14:textId="77777777" w:rsidR="00BB2611" w:rsidRDefault="00BB2611" w:rsidP="00BB2611">
      <w:pPr>
        <w:spacing w:after="0" w:line="240" w:lineRule="auto"/>
        <w:jc w:val="both"/>
        <w:rPr>
          <w:rFonts w:ascii="Verdana" w:hAnsi="Verdana" w:cs="Arial"/>
          <w:color w:val="000000" w:themeColor="text1"/>
          <w:sz w:val="20"/>
          <w:szCs w:val="20"/>
          <w:lang w:val="es-ES_tradnl"/>
        </w:rPr>
      </w:pPr>
      <w:r w:rsidRPr="00C530A2">
        <w:rPr>
          <w:rFonts w:ascii="Verdana" w:eastAsia="Calibri" w:hAnsi="Verdana" w:cs="Arial"/>
          <w:i/>
          <w:iCs/>
          <w:sz w:val="20"/>
          <w:szCs w:val="20"/>
          <w:lang w:val="es-ES"/>
        </w:rPr>
        <w:t>En segundo lugar</w:t>
      </w:r>
      <w:r w:rsidRPr="00C530A2">
        <w:rPr>
          <w:rFonts w:ascii="Verdana" w:eastAsia="Calibri" w:hAnsi="Verdana" w:cs="Arial"/>
          <w:sz w:val="20"/>
          <w:szCs w:val="20"/>
          <w:lang w:val="es-ES"/>
        </w:rPr>
        <w:t>,</w:t>
      </w:r>
      <w:r w:rsidRPr="00C530A2">
        <w:rPr>
          <w:rFonts w:ascii="Verdana" w:eastAsia="Calibri" w:hAnsi="Verdana" w:cs="Arial"/>
          <w:sz w:val="20"/>
          <w:szCs w:val="20"/>
          <w:lang w:val="es-MX"/>
        </w:rPr>
        <w:t xml:space="preserve"> el Decreto 092 de 2017 resulta aplicable a los convenios regulados en el parágrafo del artículo 16 de la Ley 1850 de 2017, que modificó el artículo 8 de la Ley 1276 de 2010, </w:t>
      </w:r>
      <w:r w:rsidRPr="00C530A2">
        <w:rPr>
          <w:rFonts w:ascii="Verdana" w:eastAsia="Calibri" w:hAnsi="Verdana" w:cs="Arial"/>
          <w:i/>
          <w:iCs/>
          <w:sz w:val="20"/>
          <w:szCs w:val="20"/>
          <w:lang w:val="es-MX"/>
        </w:rPr>
        <w:t>únicamente</w:t>
      </w:r>
      <w:r w:rsidRPr="00C530A2">
        <w:rPr>
          <w:rFonts w:ascii="Verdana" w:eastAsia="Calibri" w:hAnsi="Verdana" w:cs="Arial"/>
          <w:sz w:val="20"/>
          <w:szCs w:val="20"/>
          <w:lang w:val="es-MX"/>
        </w:rPr>
        <w:t xml:space="preserve"> en aquellos eventos en los que los entes territoriales “[…] contrata[n] con entidades privadas sin ánimo de lucro y de reconocida idoneidad […]”, de acuerdo con lo establecido en el artículo 1 del mencionado Decreto </w:t>
      </w:r>
      <w:r w:rsidRPr="00C530A2">
        <w:rPr>
          <w:rFonts w:ascii="Verdana" w:eastAsia="Calibri" w:hAnsi="Verdana" w:cs="Arial"/>
          <w:sz w:val="20"/>
          <w:szCs w:val="20"/>
          <w:lang w:val="es-ES_tradnl"/>
        </w:rPr>
        <w:t xml:space="preserve">y, solamente, si se cumplen los otros requisitos que se derivan de su contenido, entre ellos, que no se genere </w:t>
      </w:r>
      <w:r w:rsidRPr="00C530A2">
        <w:rPr>
          <w:rFonts w:ascii="Verdana" w:eastAsia="Calibri" w:hAnsi="Verdana" w:cs="Arial"/>
          <w:sz w:val="20"/>
          <w:szCs w:val="20"/>
          <w:lang w:val="es-MX"/>
        </w:rPr>
        <w:t>una contraprestación directa a favor de la entidad y tampoco una relación conmutativa entre esta y la ESAL.</w:t>
      </w:r>
    </w:p>
    <w:p w14:paraId="1D026B9E" w14:textId="77777777" w:rsidR="00BB2611" w:rsidRDefault="00BB2611" w:rsidP="00BB2611">
      <w:pPr>
        <w:spacing w:after="0" w:line="240" w:lineRule="auto"/>
        <w:rPr>
          <w:rFonts w:ascii="Verdana" w:hAnsi="Verdana" w:cs="Arial"/>
          <w:bCs/>
          <w:sz w:val="20"/>
          <w:szCs w:val="20"/>
          <w:lang w:val="es-ES_tradnl" w:eastAsia="es-CO"/>
        </w:rPr>
      </w:pPr>
    </w:p>
    <w:p w14:paraId="00E757EE" w14:textId="77777777" w:rsidR="00BB2611" w:rsidRDefault="00BB2611" w:rsidP="00BB2611">
      <w:pPr>
        <w:spacing w:after="0" w:line="240" w:lineRule="auto"/>
        <w:rPr>
          <w:rFonts w:ascii="Verdana" w:eastAsia="Geomanist Light" w:hAnsi="Verdana" w:cs="Arial"/>
          <w:color w:val="000000" w:themeColor="text1"/>
          <w:lang w:val="es-MX"/>
        </w:rPr>
      </w:pPr>
    </w:p>
    <w:p w14:paraId="4624FC88" w14:textId="77777777" w:rsidR="00BB2611" w:rsidRDefault="00BB2611" w:rsidP="00BB2611">
      <w:pPr>
        <w:spacing w:after="0" w:line="240" w:lineRule="auto"/>
        <w:rPr>
          <w:rFonts w:ascii="Verdana" w:eastAsia="Geomanist Light" w:hAnsi="Verdana" w:cs="Arial"/>
          <w:color w:val="000000" w:themeColor="text1"/>
          <w:lang w:val="es-MX"/>
        </w:rPr>
      </w:pPr>
    </w:p>
    <w:p w14:paraId="13F8DAA8" w14:textId="77777777" w:rsidR="00BB2611" w:rsidRDefault="00BB2611" w:rsidP="00BB2611">
      <w:pPr>
        <w:spacing w:after="0" w:line="240" w:lineRule="auto"/>
        <w:rPr>
          <w:rFonts w:ascii="Verdana" w:eastAsia="Geomanist Light" w:hAnsi="Verdana" w:cs="Arial"/>
          <w:color w:val="000000" w:themeColor="text1"/>
          <w:lang w:val="es-MX"/>
        </w:rPr>
      </w:pPr>
    </w:p>
    <w:p w14:paraId="4CE91787" w14:textId="77777777" w:rsidR="00BB2611" w:rsidRDefault="00BB2611" w:rsidP="00BB2611">
      <w:pPr>
        <w:spacing w:after="0" w:line="240" w:lineRule="auto"/>
        <w:rPr>
          <w:rFonts w:ascii="Verdana" w:eastAsia="Geomanist Light" w:hAnsi="Verdana" w:cs="Arial"/>
          <w:color w:val="000000" w:themeColor="text1"/>
          <w:lang w:val="es-MX"/>
        </w:rPr>
      </w:pPr>
    </w:p>
    <w:p w14:paraId="25386E3C" w14:textId="77777777" w:rsidR="00BB2611" w:rsidRDefault="00BB2611" w:rsidP="00BB2611">
      <w:pPr>
        <w:spacing w:after="0" w:line="240" w:lineRule="auto"/>
        <w:rPr>
          <w:rFonts w:ascii="Verdana" w:eastAsia="Geomanist Light" w:hAnsi="Verdana" w:cs="Arial"/>
          <w:color w:val="000000" w:themeColor="text1"/>
          <w:lang w:val="es-MX"/>
        </w:rPr>
      </w:pPr>
    </w:p>
    <w:p w14:paraId="00E9C59F" w14:textId="77777777" w:rsidR="00BB2611" w:rsidRDefault="00BB2611" w:rsidP="00BB2611">
      <w:pPr>
        <w:spacing w:after="0" w:line="240" w:lineRule="auto"/>
        <w:rPr>
          <w:rFonts w:ascii="Verdana" w:eastAsia="Geomanist Light" w:hAnsi="Verdana" w:cs="Arial"/>
          <w:color w:val="000000" w:themeColor="text1"/>
          <w:lang w:val="es-MX"/>
        </w:rPr>
      </w:pPr>
    </w:p>
    <w:p w14:paraId="234F25BA" w14:textId="77777777" w:rsidR="00BB2611" w:rsidRDefault="00BB2611" w:rsidP="00BB2611">
      <w:pPr>
        <w:spacing w:after="0" w:line="240" w:lineRule="auto"/>
        <w:rPr>
          <w:rFonts w:ascii="Verdana" w:eastAsia="Geomanist Light" w:hAnsi="Verdana" w:cs="Arial"/>
          <w:color w:val="000000" w:themeColor="text1"/>
          <w:lang w:val="es-MX"/>
        </w:rPr>
      </w:pPr>
    </w:p>
    <w:p w14:paraId="2E67168E" w14:textId="77777777" w:rsidR="00BB2611" w:rsidRDefault="00BB2611" w:rsidP="00BB2611">
      <w:pPr>
        <w:spacing w:after="0" w:line="240" w:lineRule="auto"/>
        <w:rPr>
          <w:rFonts w:ascii="Verdana" w:eastAsia="Geomanist Light" w:hAnsi="Verdana" w:cs="Arial"/>
          <w:color w:val="000000" w:themeColor="text1"/>
          <w:lang w:val="es-MX"/>
        </w:rPr>
      </w:pPr>
    </w:p>
    <w:p w14:paraId="43D91D97" w14:textId="77777777" w:rsidR="00BB2611" w:rsidRDefault="00BB2611" w:rsidP="00BB2611">
      <w:pPr>
        <w:spacing w:after="0" w:line="240" w:lineRule="auto"/>
        <w:rPr>
          <w:rFonts w:ascii="Verdana" w:eastAsia="Geomanist Light" w:hAnsi="Verdana" w:cs="Arial"/>
          <w:color w:val="000000" w:themeColor="text1"/>
          <w:lang w:val="es-MX"/>
        </w:rPr>
      </w:pPr>
    </w:p>
    <w:p w14:paraId="7B50FD6F" w14:textId="77777777" w:rsidR="00BB2611" w:rsidRDefault="00BB2611" w:rsidP="00BB2611">
      <w:pPr>
        <w:spacing w:after="0" w:line="240" w:lineRule="auto"/>
        <w:rPr>
          <w:rFonts w:ascii="Verdana" w:eastAsia="Geomanist Light" w:hAnsi="Verdana" w:cs="Arial"/>
          <w:color w:val="000000" w:themeColor="text1"/>
          <w:lang w:val="es-MX"/>
        </w:rPr>
      </w:pPr>
    </w:p>
    <w:p w14:paraId="6D17902B" w14:textId="77777777" w:rsidR="00BB2611" w:rsidRDefault="00BB2611" w:rsidP="00BB2611">
      <w:pPr>
        <w:spacing w:after="0" w:line="240" w:lineRule="auto"/>
        <w:rPr>
          <w:rFonts w:ascii="Verdana" w:eastAsia="Geomanist Light" w:hAnsi="Verdana" w:cs="Arial"/>
          <w:color w:val="000000" w:themeColor="text1"/>
          <w:lang w:val="es-MX"/>
        </w:rPr>
      </w:pPr>
    </w:p>
    <w:p w14:paraId="3C02C3C6" w14:textId="77777777" w:rsidR="00BB2611" w:rsidRDefault="00BB2611" w:rsidP="00BB2611">
      <w:pPr>
        <w:spacing w:after="0" w:line="240" w:lineRule="auto"/>
        <w:rPr>
          <w:rFonts w:ascii="Verdana" w:eastAsia="Geomanist Light" w:hAnsi="Verdana" w:cs="Arial"/>
          <w:color w:val="000000" w:themeColor="text1"/>
          <w:lang w:val="es-MX"/>
        </w:rPr>
      </w:pPr>
    </w:p>
    <w:p w14:paraId="511D4A09" w14:textId="77777777" w:rsidR="00BB2611" w:rsidRDefault="00BB2611" w:rsidP="00BB2611">
      <w:pPr>
        <w:spacing w:after="0" w:line="240" w:lineRule="auto"/>
        <w:rPr>
          <w:rFonts w:ascii="Verdana" w:eastAsia="Geomanist Light" w:hAnsi="Verdana" w:cs="Arial"/>
          <w:color w:val="000000" w:themeColor="text1"/>
          <w:lang w:val="es-MX"/>
        </w:rPr>
      </w:pPr>
    </w:p>
    <w:p w14:paraId="591EB619" w14:textId="77777777" w:rsidR="00BB2611" w:rsidRDefault="00BB2611" w:rsidP="00CF643F">
      <w:pPr>
        <w:spacing w:after="0" w:line="240" w:lineRule="auto"/>
        <w:rPr>
          <w:rFonts w:ascii="Verdana" w:eastAsia="Geomanist Light" w:hAnsi="Verdana" w:cs="Arial"/>
          <w:color w:val="000000" w:themeColor="text1"/>
          <w:lang w:val="es-MX"/>
        </w:rPr>
      </w:pPr>
    </w:p>
    <w:p w14:paraId="3A2A62D5" w14:textId="4F99C4C6" w:rsidR="00CF643F" w:rsidRPr="00593A5F" w:rsidRDefault="00CF643F" w:rsidP="00CF643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57346F">
        <w:rPr>
          <w:rFonts w:ascii="Verdana" w:eastAsia="Geomanist Light" w:hAnsi="Verdana" w:cs="Arial"/>
          <w:color w:val="000000" w:themeColor="text1"/>
          <w:lang w:val="es-MX"/>
        </w:rPr>
        <w:t>13 de Noviembre de 2025</w:t>
      </w:r>
    </w:p>
    <w:p w14:paraId="071E4F90" w14:textId="77777777" w:rsidR="00CF643F" w:rsidRDefault="00CF643F" w:rsidP="00CF643F">
      <w:pPr>
        <w:spacing w:after="0" w:line="240" w:lineRule="auto"/>
        <w:jc w:val="both"/>
        <w:rPr>
          <w:rFonts w:ascii="Verdana" w:eastAsia="Calibri" w:hAnsi="Verdana" w:cs="Arial"/>
          <w:color w:val="000000"/>
          <w:lang w:val="es-ES"/>
        </w:rPr>
      </w:pPr>
    </w:p>
    <w:p w14:paraId="59E7ACF3" w14:textId="140D02CF" w:rsidR="00F82FEC" w:rsidRDefault="00F82FEC" w:rsidP="00F82FEC">
      <w:pPr>
        <w:spacing w:after="0" w:line="240" w:lineRule="auto"/>
        <w:jc w:val="right"/>
        <w:rPr>
          <w:rFonts w:ascii="Verdana" w:eastAsia="Calibri" w:hAnsi="Verdana" w:cs="Arial"/>
          <w:color w:val="000000"/>
          <w:lang w:val="es-ES"/>
        </w:rPr>
      </w:pPr>
      <w:r w:rsidRPr="00F82FEC">
        <w:rPr>
          <w:rFonts w:ascii="Verdana" w:eastAsia="Calibri" w:hAnsi="Verdana" w:cs="Arial"/>
          <w:noProof/>
          <w:color w:val="000000"/>
          <w:lang w:val="es-ES"/>
        </w:rPr>
        <w:drawing>
          <wp:inline distT="0" distB="0" distL="0" distR="0" wp14:anchorId="52318B1A" wp14:editId="51B23E5C">
            <wp:extent cx="2400300" cy="622300"/>
            <wp:effectExtent l="0" t="0" r="0" b="0"/>
            <wp:docPr id="19526030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603010" name=""/>
                    <pic:cNvPicPr/>
                  </pic:nvPicPr>
                  <pic:blipFill>
                    <a:blip r:embed="rId10"/>
                    <a:stretch>
                      <a:fillRect/>
                    </a:stretch>
                  </pic:blipFill>
                  <pic:spPr>
                    <a:xfrm>
                      <a:off x="0" y="0"/>
                      <a:ext cx="2400300" cy="622300"/>
                    </a:xfrm>
                    <a:prstGeom prst="rect">
                      <a:avLst/>
                    </a:prstGeom>
                  </pic:spPr>
                </pic:pic>
              </a:graphicData>
            </a:graphic>
          </wp:inline>
        </w:drawing>
      </w:r>
    </w:p>
    <w:p w14:paraId="30DEF40C" w14:textId="77777777" w:rsidR="00CF643F" w:rsidRPr="00593A5F" w:rsidRDefault="00CF643F" w:rsidP="00CF643F">
      <w:pPr>
        <w:spacing w:after="0" w:line="240" w:lineRule="auto"/>
        <w:jc w:val="both"/>
        <w:rPr>
          <w:rFonts w:ascii="Verdana" w:eastAsia="Calibri" w:hAnsi="Verdana" w:cs="Arial"/>
          <w:color w:val="000000"/>
          <w:lang w:val="es-ES"/>
        </w:rPr>
      </w:pPr>
    </w:p>
    <w:p w14:paraId="744534B1" w14:textId="77777777" w:rsidR="00CF643F" w:rsidRPr="00B96799" w:rsidRDefault="00CF643F" w:rsidP="00CF643F">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1E035D51" w14:textId="77777777" w:rsidR="00CF643F" w:rsidRDefault="00CF643F" w:rsidP="00CF643F">
      <w:pPr>
        <w:spacing w:after="0" w:line="240" w:lineRule="auto"/>
        <w:rPr>
          <w:rFonts w:ascii="Verdana" w:eastAsia="Calibri" w:hAnsi="Verdana" w:cs="Arial"/>
          <w:b/>
          <w:lang w:val="es-ES_tradnl" w:eastAsia="es-ES_tradnl"/>
        </w:rPr>
      </w:pPr>
      <w:r w:rsidRPr="00C968C1">
        <w:rPr>
          <w:rFonts w:ascii="Verdana" w:eastAsia="Calibri" w:hAnsi="Verdana" w:cs="Arial"/>
          <w:b/>
          <w:lang w:val="es-ES_tradnl" w:eastAsia="es-ES_tradnl"/>
        </w:rPr>
        <w:t>Sandra Patricia D</w:t>
      </w:r>
      <w:r>
        <w:rPr>
          <w:rFonts w:ascii="Verdana" w:eastAsia="Calibri" w:hAnsi="Verdana" w:cs="Arial"/>
          <w:b/>
          <w:lang w:val="es-ES_tradnl" w:eastAsia="es-ES_tradnl"/>
        </w:rPr>
        <w:t>í</w:t>
      </w:r>
      <w:r w:rsidRPr="00C968C1">
        <w:rPr>
          <w:rFonts w:ascii="Verdana" w:eastAsia="Calibri" w:hAnsi="Verdana" w:cs="Arial"/>
          <w:b/>
          <w:lang w:val="es-ES_tradnl" w:eastAsia="es-ES_tradnl"/>
        </w:rPr>
        <w:t>az Granados</w:t>
      </w:r>
    </w:p>
    <w:p w14:paraId="021FBF60" w14:textId="77777777" w:rsidR="00CF643F" w:rsidRPr="00F87046" w:rsidRDefault="00CF643F" w:rsidP="00CF643F">
      <w:pPr>
        <w:spacing w:after="0" w:line="240" w:lineRule="auto"/>
        <w:rPr>
          <w:rFonts w:ascii="Verdana" w:eastAsia="Calibri" w:hAnsi="Verdana" w:cs="Arial"/>
          <w:lang w:val="es-ES" w:eastAsia="es-ES"/>
        </w:rPr>
      </w:pPr>
      <w:hyperlink r:id="rId11" w:history="1">
        <w:r w:rsidRPr="001F7DDB">
          <w:rPr>
            <w:rStyle w:val="Hipervnculo"/>
            <w:rFonts w:ascii="Verdana" w:hAnsi="Verdana"/>
          </w:rPr>
          <w:t>spdiaz@procuraduria.gov.co</w:t>
        </w:r>
      </w:hyperlink>
      <w:r>
        <w:rPr>
          <w:rFonts w:ascii="Verdana" w:hAnsi="Verdana"/>
        </w:rPr>
        <w:t xml:space="preserve">  </w:t>
      </w:r>
      <w:r w:rsidRPr="00F87046">
        <w:rPr>
          <w:rFonts w:ascii="Verdana" w:hAnsi="Verdana"/>
        </w:rPr>
        <w:t xml:space="preserve">  </w:t>
      </w:r>
      <w:r w:rsidRPr="00F87046">
        <w:rPr>
          <w:rFonts w:ascii="Verdana" w:eastAsia="Calibri" w:hAnsi="Verdana" w:cs="Arial"/>
          <w:lang w:val="es-ES" w:eastAsia="es-ES"/>
        </w:rPr>
        <w:t xml:space="preserve">    </w:t>
      </w:r>
    </w:p>
    <w:p w14:paraId="16FD7C47" w14:textId="77777777" w:rsidR="00CF643F" w:rsidRDefault="00CF643F" w:rsidP="00CF643F">
      <w:pPr>
        <w:spacing w:after="0" w:line="240" w:lineRule="auto"/>
        <w:rPr>
          <w:rFonts w:ascii="Verdana" w:eastAsia="Calibri" w:hAnsi="Verdana" w:cs="Arial"/>
          <w:lang w:val="es-ES" w:eastAsia="es-ES"/>
        </w:rPr>
      </w:pPr>
      <w:r>
        <w:rPr>
          <w:rFonts w:ascii="Verdana" w:eastAsia="Calibri" w:hAnsi="Verdana" w:cs="Arial"/>
          <w:lang w:val="es-ES" w:eastAsia="es-ES"/>
        </w:rPr>
        <w:t xml:space="preserve">Vélez, Santander  </w:t>
      </w:r>
    </w:p>
    <w:p w14:paraId="15955E54" w14:textId="77777777" w:rsidR="00CF643F" w:rsidRPr="00593A5F" w:rsidRDefault="00CF643F" w:rsidP="00CF643F">
      <w:pPr>
        <w:spacing w:after="0" w:line="240" w:lineRule="auto"/>
        <w:rPr>
          <w:rFonts w:ascii="Verdana" w:eastAsia="Calibri" w:hAnsi="Verdana" w:cs="Arial"/>
          <w:b/>
          <w:bCs/>
          <w:color w:val="000000"/>
          <w:lang w:val="es-ES_tradnl" w:eastAsia="es-ES_tradnl"/>
        </w:rPr>
      </w:pPr>
    </w:p>
    <w:p w14:paraId="1E507F47" w14:textId="77777777" w:rsidR="00CF643F" w:rsidRPr="00593A5F" w:rsidRDefault="00CF643F" w:rsidP="00CF643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F643F" w:rsidRPr="00593A5F" w14:paraId="1C67C4EE" w14:textId="77777777" w:rsidTr="0081202B">
        <w:trPr>
          <w:trHeight w:val="884"/>
        </w:trPr>
        <w:tc>
          <w:tcPr>
            <w:tcW w:w="2689" w:type="dxa"/>
          </w:tcPr>
          <w:p w14:paraId="112F9A91" w14:textId="77777777" w:rsidR="00CF643F" w:rsidRPr="00C00976" w:rsidRDefault="00CF643F" w:rsidP="0081202B">
            <w:pPr>
              <w:jc w:val="both"/>
              <w:rPr>
                <w:rFonts w:ascii="Verdana" w:eastAsia="Calibri" w:hAnsi="Verdana" w:cs="Arial"/>
                <w:b/>
                <w:bCs/>
                <w:color w:val="7030A0"/>
                <w:lang w:val="es-ES_tradnl" w:eastAsia="es-ES_tradnl"/>
              </w:rPr>
            </w:pPr>
          </w:p>
        </w:tc>
        <w:tc>
          <w:tcPr>
            <w:tcW w:w="6100" w:type="dxa"/>
          </w:tcPr>
          <w:p w14:paraId="6A4962FF" w14:textId="438795E0" w:rsidR="00CF643F" w:rsidRPr="00C00976" w:rsidRDefault="00CF643F" w:rsidP="0081202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3E131E">
              <w:rPr>
                <w:rFonts w:ascii="Verdana" w:eastAsia="Calibri" w:hAnsi="Verdana" w:cs="Arial"/>
                <w:b/>
                <w:bCs/>
                <w:lang w:val="es-ES" w:eastAsia="es-ES"/>
              </w:rPr>
              <w:t>1647</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CF643F" w:rsidRPr="00593A5F" w14:paraId="26968B8F" w14:textId="77777777" w:rsidTr="0081202B">
        <w:trPr>
          <w:trHeight w:val="884"/>
        </w:trPr>
        <w:tc>
          <w:tcPr>
            <w:tcW w:w="2689" w:type="dxa"/>
          </w:tcPr>
          <w:p w14:paraId="53FA8E57" w14:textId="77777777" w:rsidR="00CF643F" w:rsidRPr="00593A5F" w:rsidRDefault="00CF643F" w:rsidP="0081202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E337C11" w14:textId="77777777" w:rsidR="00CF643F" w:rsidRPr="00A11406" w:rsidRDefault="00CF643F" w:rsidP="0081202B">
            <w:pPr>
              <w:spacing w:line="276" w:lineRule="auto"/>
              <w:jc w:val="both"/>
              <w:rPr>
                <w:rFonts w:ascii="Verdana" w:eastAsia="Calibri" w:hAnsi="Verdana" w:cs="Arial"/>
                <w:lang w:val="es-ES" w:eastAsia="es-ES"/>
              </w:rPr>
            </w:pPr>
            <w:r w:rsidRPr="00C67963">
              <w:rPr>
                <w:rFonts w:ascii="Verdana" w:eastAsia="Calibri" w:hAnsi="Verdana" w:cs="Arial"/>
                <w:lang w:val="es-ES" w:eastAsia="es-ES"/>
              </w:rPr>
              <w:t>DECRETO 092 DE 2017 – Finalidad – Clases de contratos / CONTRATACIÓN CON ESAL – Contrato de colaboración – Objeto – Alcance / CONTRATACIÓN CON ESAL – Convenios de asociación – Objeto – Alcance / CONVENIOS DE ASOCIACIÓN – Multiplicidad de sujetos – Límites legales / DECRETO 092 DE 2017 – Criterios – Aplicación / DECRETO 092 DE 2017 – Normativa vigente</w:t>
            </w:r>
            <w:r>
              <w:rPr>
                <w:rFonts w:ascii="Verdana" w:eastAsia="Calibri" w:hAnsi="Verdana" w:cs="Arial"/>
                <w:lang w:val="es-ES" w:eastAsia="es-ES"/>
              </w:rPr>
              <w:t xml:space="preserve"> / </w:t>
            </w:r>
            <w:r w:rsidRPr="009F2739">
              <w:rPr>
                <w:rFonts w:ascii="Verdana" w:eastAsia="Calibri" w:hAnsi="Verdana" w:cs="Arial"/>
                <w:lang w:val="es-ES" w:eastAsia="es-ES"/>
              </w:rPr>
              <w:t>LEY 1276 DE 2009 – Convenios – Adulto mayor – Régimen aplicable</w:t>
            </w:r>
            <w:r w:rsidRPr="006F6A89">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82B7790" w14:textId="77777777" w:rsidR="00CF643F" w:rsidRPr="00593A5F" w:rsidRDefault="00CF643F" w:rsidP="0081202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F643F" w:rsidRPr="008E6AD9" w14:paraId="73AA4144" w14:textId="77777777" w:rsidTr="0081202B">
        <w:tc>
          <w:tcPr>
            <w:tcW w:w="2689" w:type="dxa"/>
          </w:tcPr>
          <w:p w14:paraId="7874A1EC" w14:textId="77777777" w:rsidR="00CF643F" w:rsidRPr="008E6AD9" w:rsidRDefault="00CF643F" w:rsidP="0081202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D74C4AF" w14:textId="77777777" w:rsidR="00CF643F" w:rsidRPr="008E6AD9" w:rsidRDefault="00CF643F" w:rsidP="0081202B">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 </w:t>
            </w:r>
            <w:r w:rsidRPr="00F87046">
              <w:rPr>
                <w:rFonts w:ascii="Verdana" w:eastAsia="Calibri" w:hAnsi="Verdana" w:cs="Arial"/>
                <w:lang w:val="es-ES_tradnl" w:eastAsia="es-ES_tradnl"/>
              </w:rPr>
              <w:t xml:space="preserve">1_2025_11_06_012550 </w:t>
            </w:r>
            <w:r>
              <w:rPr>
                <w:rFonts w:ascii="Verdana" w:eastAsia="Calibri" w:hAnsi="Verdana" w:cs="Arial"/>
                <w:lang w:val="es-ES_tradnl" w:eastAsia="es-ES_tradnl"/>
              </w:rPr>
              <w:t>y</w:t>
            </w:r>
            <w:r w:rsidRPr="00F87046">
              <w:rPr>
                <w:rFonts w:ascii="Verdana" w:eastAsia="Calibri" w:hAnsi="Verdana" w:cs="Arial"/>
                <w:lang w:val="es-ES_tradnl" w:eastAsia="es-ES_tradnl"/>
              </w:rPr>
              <w:t xml:space="preserve"> 1_2025_11_06_012551</w:t>
            </w:r>
            <w:r>
              <w:rPr>
                <w:rFonts w:ascii="Verdana" w:eastAsia="Calibri" w:hAnsi="Verdana" w:cs="Arial"/>
                <w:lang w:val="es-ES_tradnl" w:eastAsia="es-ES_tradnl"/>
              </w:rPr>
              <w:t xml:space="preserve">       –Acumulados–</w:t>
            </w:r>
            <w:r w:rsidRPr="00F87046">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596C9C8" w14:textId="77777777" w:rsidR="00CF643F" w:rsidRPr="00593A5F" w:rsidRDefault="00CF643F" w:rsidP="00CF643F">
      <w:pPr>
        <w:spacing w:after="0" w:line="240" w:lineRule="auto"/>
        <w:jc w:val="both"/>
        <w:rPr>
          <w:rFonts w:ascii="Verdana" w:eastAsia="Calibri" w:hAnsi="Verdana" w:cs="Arial"/>
          <w:color w:val="000000"/>
          <w:lang w:val="es-ES_tradnl" w:eastAsia="es-ES_tradnl"/>
        </w:rPr>
      </w:pPr>
    </w:p>
    <w:p w14:paraId="64C7F610" w14:textId="77777777" w:rsidR="00CF643F" w:rsidRPr="00593A5F" w:rsidRDefault="00CF643F" w:rsidP="00CF643F">
      <w:pPr>
        <w:spacing w:after="0" w:line="240" w:lineRule="auto"/>
        <w:jc w:val="both"/>
        <w:rPr>
          <w:rFonts w:ascii="Verdana" w:eastAsia="Calibri" w:hAnsi="Verdana" w:cs="Arial"/>
          <w:color w:val="000000"/>
          <w:lang w:val="es-ES_tradnl" w:eastAsia="es-ES_tradnl"/>
        </w:rPr>
      </w:pPr>
    </w:p>
    <w:p w14:paraId="6637C00B" w14:textId="77777777" w:rsidR="00CF643F" w:rsidRPr="008E6AD9" w:rsidRDefault="00CF643F" w:rsidP="00CF643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señor</w:t>
      </w:r>
      <w:r>
        <w:rPr>
          <w:rFonts w:ascii="Verdana" w:eastAsia="Calibri" w:hAnsi="Verdana" w:cs="Arial"/>
          <w:lang w:val="es-ES" w:eastAsia="es-ES"/>
        </w:rPr>
        <w:t>a</w:t>
      </w:r>
      <w:r w:rsidRPr="008E6AD9">
        <w:rPr>
          <w:rFonts w:ascii="Verdana" w:eastAsia="Calibri" w:hAnsi="Verdana" w:cs="Arial"/>
          <w:lang w:val="es-ES" w:eastAsia="es-ES"/>
        </w:rPr>
        <w:t xml:space="preserve"> </w:t>
      </w:r>
      <w:r w:rsidRPr="00C968C1">
        <w:rPr>
          <w:rFonts w:ascii="Verdana" w:eastAsia="Calibri" w:hAnsi="Verdana" w:cs="Arial"/>
          <w:bCs/>
          <w:lang w:val="es-ES_tradnl" w:eastAsia="es-ES"/>
        </w:rPr>
        <w:t>Díaz Granados</w:t>
      </w:r>
      <w:r w:rsidRPr="008E6AD9">
        <w:rPr>
          <w:rFonts w:ascii="Verdana" w:eastAsia="Calibri" w:hAnsi="Verdana" w:cs="Arial"/>
          <w:lang w:val="es-ES" w:eastAsia="es-ES"/>
        </w:rPr>
        <w:t xml:space="preserve">: </w:t>
      </w:r>
    </w:p>
    <w:p w14:paraId="03CF45FC" w14:textId="77777777" w:rsidR="00CF643F" w:rsidRDefault="00CF643F" w:rsidP="00CF643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1BC7BCF" w14:textId="77777777" w:rsidR="00CF643F" w:rsidRPr="00593A5F" w:rsidRDefault="00CF643F" w:rsidP="00CF643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la petición de consulta radicada el 6 de noviembre de 2025,</w:t>
      </w:r>
      <w:r>
        <w:rPr>
          <w:rFonts w:ascii="Verdana" w:eastAsia="Calibri" w:hAnsi="Verdana" w:cs="Arial"/>
          <w:lang w:val="es-ES" w:eastAsia="es-ES"/>
        </w:rPr>
        <w:t xml:space="preserve"> por la cual, en el marco del expediente disciplinario </w:t>
      </w:r>
      <w:r w:rsidRPr="00101DF6">
        <w:rPr>
          <w:rFonts w:ascii="Verdana" w:eastAsia="Calibri" w:hAnsi="Verdana" w:cs="Arial"/>
          <w:lang w:val="es-ES" w:eastAsia="es-ES"/>
        </w:rPr>
        <w:t>IUC-D-2025-4131077</w:t>
      </w:r>
      <w:r>
        <w:rPr>
          <w:rFonts w:ascii="Verdana" w:eastAsia="Calibri" w:hAnsi="Verdana" w:cs="Arial"/>
          <w:lang w:val="es-ES" w:eastAsia="es-ES"/>
        </w:rPr>
        <w:t>, manifiesta que</w:t>
      </w:r>
      <w:r w:rsidRPr="008E6AD9">
        <w:rPr>
          <w:rFonts w:ascii="Verdana" w:eastAsia="Calibri" w:hAnsi="Verdana" w:cs="Arial"/>
          <w:lang w:val="es-ES" w:eastAsia="es-ES"/>
        </w:rPr>
        <w:t xml:space="preserve">: </w:t>
      </w:r>
    </w:p>
    <w:p w14:paraId="76E694EE" w14:textId="77777777" w:rsidR="00CF643F" w:rsidRPr="00272A7B" w:rsidRDefault="00CF643F" w:rsidP="00CF643F">
      <w:pPr>
        <w:pStyle w:val="Prrafodelista"/>
        <w:tabs>
          <w:tab w:val="left" w:pos="142"/>
          <w:tab w:val="left" w:pos="284"/>
        </w:tabs>
        <w:spacing w:line="276" w:lineRule="auto"/>
        <w:ind w:left="0"/>
        <w:jc w:val="both"/>
        <w:rPr>
          <w:rFonts w:ascii="Verdana" w:eastAsia="Century Gothic" w:hAnsi="Verdana" w:cs="Century Gothic"/>
          <w:b/>
          <w:bCs/>
        </w:rPr>
      </w:pPr>
    </w:p>
    <w:p w14:paraId="06EC5B69" w14:textId="77777777" w:rsidR="00CF643F" w:rsidRPr="00C968C1" w:rsidRDefault="00CF643F" w:rsidP="00CF643F">
      <w:pPr>
        <w:spacing w:after="120" w:line="240" w:lineRule="auto"/>
        <w:ind w:left="709" w:right="709"/>
        <w:jc w:val="both"/>
        <w:rPr>
          <w:rFonts w:ascii="Verdana" w:eastAsia="Century Gothic" w:hAnsi="Verdana" w:cs="Century Gothic"/>
          <w:sz w:val="20"/>
          <w:szCs w:val="20"/>
          <w:lang w:val="es-ES"/>
        </w:rPr>
      </w:pPr>
      <w:bookmarkStart w:id="1" w:name="_Hlk95313578"/>
      <w:r w:rsidRPr="00C968C1">
        <w:rPr>
          <w:rFonts w:ascii="Verdana" w:eastAsia="Century Gothic" w:hAnsi="Verdana" w:cs="Century Gothic"/>
          <w:sz w:val="20"/>
          <w:szCs w:val="20"/>
          <w:lang w:val="es-ES"/>
        </w:rPr>
        <w:t>“</w:t>
      </w:r>
      <w:bookmarkEnd w:id="1"/>
      <w:r w:rsidRPr="00C968C1">
        <w:rPr>
          <w:rFonts w:ascii="Verdana" w:eastAsia="Century Gothic" w:hAnsi="Verdana" w:cs="Century Gothic"/>
          <w:sz w:val="20"/>
          <w:szCs w:val="20"/>
          <w:lang w:val="es-ES"/>
        </w:rPr>
        <w:t>De manera atenta y de acuerdo con lo ordenado en auto de indagación previa, proferido por la Señora Procuradora Provincial de Instrucción de Vélez, me permito solicitar […] la siguiente información:</w:t>
      </w:r>
    </w:p>
    <w:p w14:paraId="347B82AB" w14:textId="77777777" w:rsidR="00CF643F" w:rsidRPr="00C968C1" w:rsidRDefault="00CF643F" w:rsidP="00CF643F">
      <w:pPr>
        <w:spacing w:after="120" w:line="240" w:lineRule="auto"/>
        <w:ind w:left="709" w:right="709"/>
        <w:jc w:val="both"/>
        <w:rPr>
          <w:rFonts w:ascii="Verdana" w:eastAsia="Century Gothic" w:hAnsi="Verdana" w:cs="Century Gothic"/>
          <w:sz w:val="20"/>
          <w:szCs w:val="20"/>
          <w:lang w:val="es-ES"/>
        </w:rPr>
      </w:pPr>
      <w:r w:rsidRPr="00C968C1">
        <w:rPr>
          <w:rFonts w:ascii="Verdana" w:eastAsia="Century Gothic" w:hAnsi="Verdana" w:cs="Century Gothic"/>
          <w:sz w:val="20"/>
          <w:szCs w:val="20"/>
          <w:lang w:val="es-ES"/>
        </w:rPr>
        <w:t xml:space="preserve">1. Oficiar a la Agencia Nacional para la Contratación Pública </w:t>
      </w:r>
      <w:r>
        <w:rPr>
          <w:rFonts w:ascii="Verdana" w:eastAsia="Century Gothic" w:hAnsi="Verdana" w:cs="Century Gothic"/>
          <w:sz w:val="20"/>
          <w:szCs w:val="20"/>
          <w:lang w:val="es-ES"/>
        </w:rPr>
        <w:t>–</w:t>
      </w:r>
      <w:r w:rsidRPr="00C968C1">
        <w:rPr>
          <w:rFonts w:ascii="Verdana" w:eastAsia="Century Gothic" w:hAnsi="Verdana" w:cs="Century Gothic"/>
          <w:sz w:val="20"/>
          <w:szCs w:val="20"/>
          <w:lang w:val="es-ES"/>
        </w:rPr>
        <w:t xml:space="preserve"> Colombia</w:t>
      </w:r>
      <w:r>
        <w:rPr>
          <w:rFonts w:ascii="Verdana" w:eastAsia="Century Gothic" w:hAnsi="Verdana" w:cs="Century Gothic"/>
          <w:sz w:val="20"/>
          <w:szCs w:val="20"/>
          <w:lang w:val="es-ES"/>
        </w:rPr>
        <w:t xml:space="preserve"> </w:t>
      </w:r>
      <w:r w:rsidRPr="00C968C1">
        <w:rPr>
          <w:rFonts w:ascii="Verdana" w:eastAsia="Century Gothic" w:hAnsi="Verdana" w:cs="Century Gothic"/>
          <w:sz w:val="20"/>
          <w:szCs w:val="20"/>
          <w:lang w:val="es-ES"/>
        </w:rPr>
        <w:t>Compra Eficiente, para que remita y/o conceptúe (interpretación en abstracto), sobre la contratación que realizan las entidades públicas territoriales (alcaldías) con Entidades Privadas sin Ánimo de Lucro (ESAL), en los siguientes puntos:</w:t>
      </w:r>
    </w:p>
    <w:p w14:paraId="0150A474" w14:textId="77777777" w:rsidR="00CF643F" w:rsidRPr="00C968C1" w:rsidRDefault="00CF643F" w:rsidP="00CF643F">
      <w:pPr>
        <w:spacing w:after="120" w:line="240" w:lineRule="auto"/>
        <w:ind w:left="709" w:right="709"/>
        <w:jc w:val="both"/>
        <w:rPr>
          <w:rFonts w:ascii="Verdana" w:eastAsia="Century Gothic" w:hAnsi="Verdana" w:cs="Century Gothic"/>
          <w:sz w:val="20"/>
          <w:szCs w:val="20"/>
          <w:lang w:val="es-ES"/>
        </w:rPr>
      </w:pPr>
      <w:r w:rsidRPr="00C968C1">
        <w:rPr>
          <w:rFonts w:ascii="Verdana" w:eastAsia="Century Gothic" w:hAnsi="Verdana" w:cs="Century Gothic"/>
          <w:sz w:val="20"/>
          <w:szCs w:val="20"/>
          <w:lang w:val="es-ES"/>
        </w:rPr>
        <w:t>2.1. Si las entidades públicas territoriales (alcaldías), deberían seguir el proceso general para la contratación con entidades sin ánimo de lucro (ESAL), regulado por el Decreto 092 de 2017, para la contratación con Centros de Bienestar del Anciano y Centros Vida, a fin de garantizar el bienestar de los adultos mayores.</w:t>
      </w:r>
    </w:p>
    <w:p w14:paraId="0DC1B0D0" w14:textId="77777777" w:rsidR="00CF643F" w:rsidRPr="00C968C1" w:rsidRDefault="00CF643F" w:rsidP="00CF643F">
      <w:pPr>
        <w:spacing w:after="120" w:line="240" w:lineRule="auto"/>
        <w:ind w:left="709" w:right="709"/>
        <w:jc w:val="both"/>
        <w:rPr>
          <w:rFonts w:ascii="Verdana" w:eastAsia="Century Gothic" w:hAnsi="Verdana" w:cs="Century Gothic"/>
          <w:sz w:val="20"/>
          <w:szCs w:val="20"/>
          <w:lang w:val="es-ES"/>
        </w:rPr>
      </w:pPr>
      <w:r w:rsidRPr="00C968C1">
        <w:rPr>
          <w:rFonts w:ascii="Verdana" w:eastAsia="Century Gothic" w:hAnsi="Verdana" w:cs="Century Gothic"/>
          <w:sz w:val="20"/>
          <w:szCs w:val="20"/>
          <w:lang w:val="es-ES"/>
        </w:rPr>
        <w:t>2.2. Si el Decreto 092 de 2017 establece excepciones a su aplicación, ¿Cuáles son esas excepciones?; ¿Si una de ellas es cuando existe norma especial?; y ¿Si la Ley 1276 de 2009, ‘a través de la cual se modifica la Ley 687 del 15 de agosto de 2001 y se establecen nuevos criterios de atención integral del adulto mayor en los centros vida’, exime a los convenios con Centros de Bienestar del Anciano y Centros Vida, de la aplicación del Decreto 092 de 2017?</w:t>
      </w:r>
    </w:p>
    <w:p w14:paraId="5AA8D7A8" w14:textId="77777777" w:rsidR="00CF643F" w:rsidRPr="00C968C1" w:rsidRDefault="00CF643F" w:rsidP="00CF643F">
      <w:pPr>
        <w:spacing w:after="0" w:line="240" w:lineRule="auto"/>
        <w:ind w:left="709" w:right="709"/>
        <w:jc w:val="both"/>
        <w:rPr>
          <w:rFonts w:ascii="Verdana" w:eastAsia="Century Gothic" w:hAnsi="Verdana" w:cs="Century Gothic"/>
          <w:sz w:val="21"/>
          <w:szCs w:val="21"/>
          <w:lang w:val="es-ES"/>
        </w:rPr>
      </w:pPr>
      <w:r w:rsidRPr="00C968C1">
        <w:rPr>
          <w:rFonts w:ascii="Verdana" w:eastAsia="Century Gothic" w:hAnsi="Verdana" w:cs="Century Gothic"/>
          <w:sz w:val="20"/>
          <w:szCs w:val="20"/>
          <w:lang w:val="es-ES"/>
        </w:rPr>
        <w:t>Lo anterior solicitado se requiere con carácter urgente, por venir ordenado a través de auto y con el fin de que obre como prueba dentro del proceso disciplinario radicado bajo el No. IUC-D-2025-4131077 que cursa en esta Procuraduría […]”.</w:t>
      </w:r>
      <w:r>
        <w:rPr>
          <w:rFonts w:ascii="Verdana" w:eastAsia="Century Gothic" w:hAnsi="Verdana" w:cs="Century Gothic"/>
          <w:sz w:val="20"/>
          <w:szCs w:val="20"/>
          <w:lang w:val="es-ES"/>
        </w:rPr>
        <w:t xml:space="preserve"> </w:t>
      </w:r>
    </w:p>
    <w:p w14:paraId="1A6620F0" w14:textId="77777777" w:rsidR="00CF643F" w:rsidRPr="008E6AD9" w:rsidRDefault="00CF643F" w:rsidP="00CF643F">
      <w:pPr>
        <w:pStyle w:val="Prrafodelista"/>
        <w:tabs>
          <w:tab w:val="left" w:pos="142"/>
          <w:tab w:val="left" w:pos="284"/>
        </w:tabs>
        <w:spacing w:line="276" w:lineRule="auto"/>
        <w:ind w:left="0"/>
        <w:jc w:val="both"/>
        <w:rPr>
          <w:rFonts w:ascii="Verdana" w:eastAsia="Century Gothic" w:hAnsi="Verdana" w:cs="Century Gothic"/>
          <w:b/>
          <w:bCs/>
        </w:rPr>
      </w:pPr>
    </w:p>
    <w:p w14:paraId="5B0A4B56" w14:textId="77777777" w:rsidR="00CF643F" w:rsidRPr="000B43B3" w:rsidRDefault="00CF643F" w:rsidP="00CF643F">
      <w:pPr>
        <w:spacing w:after="120" w:line="276" w:lineRule="auto"/>
        <w:ind w:firstLine="708"/>
        <w:jc w:val="both"/>
        <w:rPr>
          <w:rFonts w:ascii="Verdana" w:hAnsi="Verdana" w:cs="Arial"/>
          <w:lang w:val="es-ES"/>
        </w:rPr>
      </w:pPr>
      <w:bookmarkStart w:id="2" w:name="_Hlk135067441"/>
      <w:r w:rsidRPr="000B43B3">
        <w:rPr>
          <w:rFonts w:ascii="Verdana" w:hAnsi="Verdana" w:cs="Arial"/>
          <w:bCs/>
        </w:rPr>
        <w:t xml:space="preserve">En ejercicio de las competencias de los artículos 3.5 y 11.8 del Decreto Ley 4170 de 2011, la Agencia Nacional de Contratación Pública – Colombia Compra Eficiente resuelve consultas sobre </w:t>
      </w:r>
      <w:r w:rsidRPr="000B43B3">
        <w:rPr>
          <w:rFonts w:ascii="Verdana" w:hAnsi="Verdana" w:cs="Arial"/>
          <w:lang w:val="es-E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0B43B3">
        <w:rPr>
          <w:rFonts w:ascii="Verdana" w:hAnsi="Verdana" w:cs="Arial"/>
          <w:bCs/>
        </w:rPr>
        <w:t xml:space="preserve"> de todos los partícipes de la contratación estatal.</w:t>
      </w:r>
    </w:p>
    <w:p w14:paraId="34F90C44" w14:textId="77777777" w:rsidR="00CF643F" w:rsidRPr="000B43B3" w:rsidRDefault="00CF643F" w:rsidP="00CF643F">
      <w:pPr>
        <w:spacing w:after="120" w:line="276" w:lineRule="auto"/>
        <w:ind w:firstLine="708"/>
        <w:jc w:val="both"/>
        <w:rPr>
          <w:rFonts w:ascii="Verdana" w:hAnsi="Verdana" w:cs="Arial"/>
          <w:lang w:val="es-ES"/>
        </w:rPr>
      </w:pPr>
      <w:r w:rsidRPr="000B43B3">
        <w:rPr>
          <w:rFonts w:ascii="Verdana" w:hAnsi="Verdana" w:cs="Arial"/>
          <w:lang w:val="es-ES"/>
        </w:rPr>
        <w:t xml:space="preserve">La competencia de esta entidad se fija con límites claros, con el objeto de evitar que la Agencia actúe como una instancia de validación de las actuaciones de las entidades sujetas a la Ley 80 de 1993 o de los demás participantes de la </w:t>
      </w:r>
      <w:r w:rsidRPr="000B43B3">
        <w:rPr>
          <w:rFonts w:ascii="Verdana" w:hAnsi="Verdana" w:cs="Arial"/>
          <w:lang w:val="es-ES"/>
        </w:rPr>
        <w:lastRenderedPageBreak/>
        <w:t>contratación pública</w:t>
      </w:r>
      <w:r w:rsidRPr="000B43B3">
        <w:rPr>
          <w:rFonts w:ascii="Verdana" w:hAnsi="Verdana" w:cs="Arial"/>
          <w:vertAlign w:val="superscript"/>
          <w:lang w:val="es-ES"/>
        </w:rPr>
        <w:footnoteReference w:id="1"/>
      </w:r>
      <w:r w:rsidRPr="000B43B3">
        <w:rPr>
          <w:rFonts w:ascii="Verdana" w:hAnsi="Verdana" w:cs="Arial"/>
          <w:lang w:val="es-ES"/>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bookmarkEnd w:id="2"/>
    <w:p w14:paraId="5158675E" w14:textId="77777777" w:rsidR="00CF643F" w:rsidRDefault="00CF643F" w:rsidP="00CF643F">
      <w:pPr>
        <w:spacing w:after="0" w:line="276" w:lineRule="auto"/>
        <w:ind w:firstLine="709"/>
        <w:jc w:val="both"/>
        <w:rPr>
          <w:rFonts w:ascii="Verdana" w:eastAsia="Calibri" w:hAnsi="Verdana" w:cs="Arial"/>
          <w:color w:val="000000"/>
          <w:lang w:val="es-ES" w:eastAsia="es-ES"/>
        </w:rPr>
      </w:pPr>
      <w:r w:rsidRPr="00E829B8">
        <w:rPr>
          <w:rFonts w:ascii="Verdana" w:hAnsi="Verdana" w:cs="Arial"/>
          <w:bCs/>
          <w:color w:val="1A1A1A" w:themeColor="background1" w:themeShade="1A"/>
        </w:rPr>
        <w:t>Para efectos disciplinarios, el artículo 177 de la Ley 1952 de 2019 permite dictámenes periciales sólo respecto a asuntos técnicos, científicos o artísticos. Ello es congruente con el inciso 3 del artículo 226 del Código General del Proceso, el cual establece expresamente que “No serán admisibles los dictámenes periciales que versen sobre puntos de derecho”. En este contexto, lo decidido en torno al proceso disciplinario del expediente</w:t>
      </w:r>
      <w:r>
        <w:rPr>
          <w:rFonts w:ascii="Verdana" w:hAnsi="Verdana" w:cs="Arial"/>
          <w:bCs/>
          <w:color w:val="1A1A1A" w:themeColor="background1" w:themeShade="1A"/>
        </w:rPr>
        <w:t xml:space="preserve"> </w:t>
      </w:r>
      <w:r w:rsidRPr="00E829B8">
        <w:rPr>
          <w:rFonts w:ascii="Verdana" w:hAnsi="Verdana" w:cs="Arial"/>
          <w:bCs/>
          <w:color w:val="1A1A1A" w:themeColor="background1" w:themeShade="1A"/>
        </w:rPr>
        <w:t>IUC-D-2025-4131077</w:t>
      </w:r>
      <w:r>
        <w:rPr>
          <w:rFonts w:ascii="Verdana" w:hAnsi="Verdana" w:cs="Arial"/>
          <w:bCs/>
          <w:color w:val="1A1A1A" w:themeColor="background1" w:themeShade="1A"/>
        </w:rPr>
        <w:t xml:space="preserve"> </w:t>
      </w:r>
      <w:r w:rsidRPr="00E829B8">
        <w:rPr>
          <w:rFonts w:ascii="Verdana" w:hAnsi="Verdana" w:cs="Arial"/>
          <w:bCs/>
          <w:color w:val="1A1A1A" w:themeColor="background1" w:themeShade="1A"/>
        </w:rPr>
        <w:t>es responsabilidad única y exclusiva de la</w:t>
      </w:r>
      <w:r>
        <w:rPr>
          <w:rFonts w:ascii="Verdana" w:hAnsi="Verdana" w:cs="Arial"/>
          <w:bCs/>
          <w:color w:val="1A1A1A" w:themeColor="background1" w:themeShade="1A"/>
        </w:rPr>
        <w:t xml:space="preserve"> </w:t>
      </w:r>
      <w:r w:rsidRPr="00E829B8">
        <w:rPr>
          <w:rFonts w:ascii="Verdana" w:hAnsi="Verdana" w:cs="Arial"/>
          <w:bCs/>
          <w:color w:val="1A1A1A" w:themeColor="background1" w:themeShade="1A"/>
        </w:rPr>
        <w:t>Procurad</w:t>
      </w:r>
      <w:r>
        <w:rPr>
          <w:rFonts w:ascii="Verdana" w:hAnsi="Verdana" w:cs="Arial"/>
          <w:bCs/>
          <w:color w:val="1A1A1A" w:themeColor="background1" w:themeShade="1A"/>
        </w:rPr>
        <w:t>uría</w:t>
      </w:r>
      <w:r w:rsidRPr="00E829B8">
        <w:rPr>
          <w:rFonts w:ascii="Verdana" w:hAnsi="Verdana" w:cs="Arial"/>
          <w:bCs/>
          <w:color w:val="1A1A1A" w:themeColor="background1" w:themeShade="1A"/>
        </w:rPr>
        <w:t xml:space="preserve"> Provincial de Instrucción de Vélez. Sin perjuicio de lo anterior, la Agencia –dentro de los límites de sus atribuciones, esto es, al margen de las conductas investigadas en el expediente anteriormente citado– resolverá la consulta conforme a las normas generales del sistema de compras públicas.   </w:t>
      </w:r>
      <w:r w:rsidRPr="000B43B3">
        <w:rPr>
          <w:rFonts w:ascii="Verdana" w:eastAsia="Calibri" w:hAnsi="Verdana" w:cs="Arial"/>
          <w:lang w:val="es-ES" w:eastAsia="es-ES"/>
        </w:rPr>
        <w:t xml:space="preserve"> </w:t>
      </w:r>
      <w:r w:rsidRPr="00593A5F">
        <w:rPr>
          <w:rFonts w:ascii="Verdana" w:eastAsia="Calibri" w:hAnsi="Verdana" w:cs="Arial"/>
          <w:color w:val="000000"/>
          <w:lang w:val="es-ES" w:eastAsia="es-ES"/>
        </w:rPr>
        <w:t xml:space="preserve"> </w:t>
      </w:r>
    </w:p>
    <w:p w14:paraId="478252BF" w14:textId="77777777" w:rsidR="00CF643F" w:rsidRPr="00593A5F" w:rsidRDefault="00CF643F" w:rsidP="00CF643F">
      <w:pPr>
        <w:spacing w:after="0" w:line="276" w:lineRule="auto"/>
        <w:ind w:firstLine="709"/>
        <w:jc w:val="both"/>
        <w:rPr>
          <w:rFonts w:ascii="Verdana" w:eastAsia="Calibri" w:hAnsi="Verdana" w:cs="Arial"/>
          <w:color w:val="000000"/>
          <w:lang w:val="es-ES" w:eastAsia="es-ES"/>
        </w:rPr>
      </w:pPr>
    </w:p>
    <w:p w14:paraId="6DAD3BCE" w14:textId="77777777" w:rsidR="00CF643F" w:rsidRPr="00593A5F" w:rsidRDefault="00CF643F" w:rsidP="00CF643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9DC468C" w14:textId="77777777" w:rsidR="00CF643F" w:rsidRPr="00593A5F" w:rsidRDefault="00CF643F" w:rsidP="00CF643F">
      <w:pPr>
        <w:tabs>
          <w:tab w:val="left" w:pos="426"/>
        </w:tabs>
        <w:spacing w:after="0" w:line="276" w:lineRule="auto"/>
        <w:jc w:val="both"/>
        <w:rPr>
          <w:rFonts w:ascii="Verdana" w:eastAsia="Century Gothic" w:hAnsi="Verdana" w:cs="Century Gothic"/>
          <w:lang w:val="es-ES"/>
        </w:rPr>
      </w:pPr>
    </w:p>
    <w:p w14:paraId="028B3451" w14:textId="77777777" w:rsidR="00CF643F" w:rsidRPr="00593A5F" w:rsidRDefault="00CF643F" w:rsidP="00CF643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sidRPr="003A59CD">
        <w:rPr>
          <w:rFonts w:ascii="Verdana" w:eastAsia="Century Gothic" w:hAnsi="Verdana" w:cs="Century Gothic"/>
        </w:rPr>
        <w:t xml:space="preserve">¿cuál es régimen </w:t>
      </w:r>
      <w:r>
        <w:rPr>
          <w:rFonts w:ascii="Verdana" w:eastAsia="Century Gothic" w:hAnsi="Verdana" w:cs="Century Gothic"/>
        </w:rPr>
        <w:t xml:space="preserve">contractual </w:t>
      </w:r>
      <w:r w:rsidRPr="003A59CD">
        <w:rPr>
          <w:rFonts w:ascii="Verdana" w:eastAsia="Century Gothic" w:hAnsi="Verdana" w:cs="Century Gothic"/>
        </w:rPr>
        <w:t xml:space="preserve">aplicable </w:t>
      </w:r>
      <w:r>
        <w:rPr>
          <w:rFonts w:ascii="Verdana" w:eastAsia="Century Gothic" w:hAnsi="Verdana" w:cs="Century Gothic"/>
        </w:rPr>
        <w:t xml:space="preserve">para la celebración de convenios </w:t>
      </w:r>
      <w:r w:rsidRPr="00FE0D78">
        <w:rPr>
          <w:rFonts w:ascii="Verdana" w:eastAsia="Century Gothic" w:hAnsi="Verdana" w:cs="Century Gothic"/>
        </w:rPr>
        <w:t>para el manejo de los Centros Vida, Centros de Bienestar del Anciano y Granjas para adulto mayor</w:t>
      </w:r>
      <w:r>
        <w:rPr>
          <w:rFonts w:ascii="Verdana" w:eastAsia="Century Gothic" w:hAnsi="Verdana" w:cs="Century Gothic"/>
        </w:rPr>
        <w:t xml:space="preserve"> de que trata el parágrafo del artículo 5 de la Ley 687 de 2001, modificado por el artículo 8 de la Ley 1276 de 2009 y por el artículo 16 de la Ley 1850 de 2017</w:t>
      </w:r>
      <w:r w:rsidRPr="003A59CD">
        <w:rPr>
          <w:rFonts w:ascii="Verdana" w:eastAsia="Century Gothic" w:hAnsi="Verdana" w:cs="Century Gothic"/>
        </w:rPr>
        <w:t>?</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162B788" w14:textId="77777777" w:rsidR="00CF643F" w:rsidRPr="004B140F" w:rsidRDefault="00CF643F" w:rsidP="00CF643F">
      <w:pPr>
        <w:spacing w:after="0" w:line="276" w:lineRule="auto"/>
        <w:jc w:val="both"/>
        <w:rPr>
          <w:rFonts w:ascii="Verdana" w:eastAsia="Calibri" w:hAnsi="Verdana" w:cs="Arial"/>
          <w:color w:val="7030A0"/>
        </w:rPr>
      </w:pPr>
    </w:p>
    <w:p w14:paraId="3327A76A" w14:textId="77777777" w:rsidR="00CF643F" w:rsidRPr="00593A5F" w:rsidRDefault="00CF643F" w:rsidP="00CF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34E512C" w14:textId="77777777" w:rsidR="00CF643F" w:rsidRPr="00593A5F" w:rsidRDefault="00CF643F" w:rsidP="00CF643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643F" w:rsidRPr="00593A5F" w14:paraId="465C6994" w14:textId="77777777" w:rsidTr="0081202B">
        <w:trPr>
          <w:jc w:val="center"/>
        </w:trPr>
        <w:tc>
          <w:tcPr>
            <w:tcW w:w="8828" w:type="dxa"/>
          </w:tcPr>
          <w:p w14:paraId="3E8CB949" w14:textId="77777777" w:rsidR="00CF643F" w:rsidRPr="00997F63" w:rsidRDefault="00CF643F" w:rsidP="0081202B">
            <w:pPr>
              <w:spacing w:after="120" w:line="276" w:lineRule="auto"/>
              <w:jc w:val="both"/>
              <w:rPr>
                <w:rFonts w:ascii="Verdana" w:eastAsia="Calibri" w:hAnsi="Verdana" w:cs="Arial"/>
                <w:color w:val="000000" w:themeColor="text1"/>
                <w:lang w:eastAsia="es-ES"/>
              </w:rPr>
            </w:pPr>
            <w:bookmarkStart w:id="3" w:name="_Hlk171694685"/>
            <w:r w:rsidRPr="00E829B8">
              <w:rPr>
                <w:rFonts w:ascii="Verdana" w:eastAsia="Calibri" w:hAnsi="Verdana" w:cs="Arial"/>
                <w:color w:val="000000" w:themeColor="text1"/>
                <w:lang w:val="es-ES" w:eastAsia="es-ES"/>
              </w:rPr>
              <w:lastRenderedPageBreak/>
              <w:t>Conforme a la interpretación general de las normas del sistema de compras públicas,</w:t>
            </w:r>
            <w:r>
              <w:rPr>
                <w:rFonts w:ascii="Verdana" w:eastAsia="Calibri" w:hAnsi="Verdana" w:cs="Arial"/>
                <w:color w:val="000000" w:themeColor="text1"/>
                <w:lang w:val="es-ES" w:eastAsia="es-ES"/>
              </w:rPr>
              <w:t xml:space="preserve"> </w:t>
            </w:r>
            <w:r w:rsidRPr="00997F63">
              <w:rPr>
                <w:rFonts w:ascii="Verdana" w:eastAsia="Calibri" w:hAnsi="Verdana" w:cs="Arial"/>
                <w:color w:val="000000" w:themeColor="text1"/>
                <w:lang w:eastAsia="es-ES"/>
              </w:rPr>
              <w:t xml:space="preserve">los convenios que pueden celebrar los departamentos, distritos y municipios en los términos del artículo 8 de la Ley 1276 de 2009, modificado por el artículo 16 de la Ley 1850 de 2017, están regulados por el </w:t>
            </w:r>
            <w:r w:rsidRPr="00997F63">
              <w:rPr>
                <w:rFonts w:ascii="Verdana" w:eastAsia="Calibri" w:hAnsi="Verdana" w:cs="Arial"/>
                <w:color w:val="000000" w:themeColor="text1"/>
                <w:lang w:val="es-MX" w:eastAsia="es-ES"/>
              </w:rPr>
              <w:t>EGCAP</w:t>
            </w:r>
            <w:r w:rsidRPr="00997F63">
              <w:rPr>
                <w:rFonts w:ascii="Verdana" w:eastAsia="Calibri" w:hAnsi="Verdana" w:cs="Arial"/>
                <w:color w:val="000000" w:themeColor="text1"/>
                <w:lang w:eastAsia="es-ES"/>
              </w:rPr>
              <w:t xml:space="preserve">, esto es, por la Ley 80 de 1993 y todas sus normas complementarias y reglamentarias. Eventualmente, estos convenios pueden estar regulados por las disposiciones especiales contenidas en el Decreto 092 del 2017, siempre que se den las condiciones para el efecto, esto es, que los convenios se celebren con entidades sin ánimo de lucro para los fines previstos en dicha norma. </w:t>
            </w:r>
          </w:p>
          <w:p w14:paraId="37ACF71E" w14:textId="77777777" w:rsidR="00CF643F" w:rsidRPr="00997F63" w:rsidRDefault="00CF643F" w:rsidP="0081202B">
            <w:pPr>
              <w:spacing w:after="120" w:line="276" w:lineRule="auto"/>
              <w:ind w:firstLine="737"/>
              <w:jc w:val="both"/>
              <w:rPr>
                <w:rFonts w:ascii="Verdana" w:eastAsia="Calibri" w:hAnsi="Verdana" w:cs="Arial"/>
                <w:color w:val="000000" w:themeColor="text1"/>
                <w:lang w:eastAsia="es-ES"/>
              </w:rPr>
            </w:pPr>
            <w:r w:rsidRPr="00997F63">
              <w:rPr>
                <w:rFonts w:ascii="Verdana" w:eastAsia="Calibri" w:hAnsi="Verdana" w:cs="Arial"/>
                <w:color w:val="000000" w:themeColor="text1"/>
                <w:lang w:eastAsia="es-ES"/>
              </w:rPr>
              <w:t>En este punto, es necesario realizar dos (2) precisiones</w:t>
            </w:r>
            <w:r>
              <w:rPr>
                <w:rFonts w:ascii="Verdana" w:eastAsia="Calibri" w:hAnsi="Verdana" w:cs="Arial"/>
                <w:color w:val="000000" w:themeColor="text1"/>
                <w:lang w:eastAsia="es-ES"/>
              </w:rPr>
              <w:t>.</w:t>
            </w:r>
            <w:r w:rsidRPr="00997F63">
              <w:rPr>
                <w:rFonts w:ascii="Verdana" w:eastAsia="Calibri" w:hAnsi="Verdana" w:cs="Arial"/>
                <w:color w:val="000000" w:themeColor="text1"/>
                <w:lang w:eastAsia="es-ES"/>
              </w:rPr>
              <w:t xml:space="preserve"> E</w:t>
            </w:r>
            <w:r w:rsidRPr="00997F63">
              <w:rPr>
                <w:rFonts w:ascii="Verdana" w:eastAsia="Calibri" w:hAnsi="Verdana" w:cs="Arial"/>
                <w:i/>
                <w:iCs/>
                <w:color w:val="000000" w:themeColor="text1"/>
                <w:lang w:eastAsia="es-ES"/>
              </w:rPr>
              <w:t>n primer lugar</w:t>
            </w:r>
            <w:r w:rsidRPr="00997F63">
              <w:rPr>
                <w:rFonts w:ascii="Verdana" w:eastAsia="Calibri" w:hAnsi="Verdana" w:cs="Arial"/>
                <w:color w:val="000000" w:themeColor="text1"/>
                <w:lang w:eastAsia="es-ES"/>
              </w:rPr>
              <w:t xml:space="preserve">, los convenios de que trata el artículo 8 de la Ley 1276 de 2009, modificado por el artículo 16 de la Ley 1850 de 2017 no podrán regularse por las disposiciones de los regímenes exceptuados del EGCAP, pues dichos convenios son suscritos por entidades territoriales únicamente, particularmente, los departamentos, los distritos y los municipios, autoridades que se denominan “Entidades Estatales” para los fines de la contratación estatal, y cuyos procesos contractuales son regulados por el EGCAP, según los artículos 1 y 2 de la Ley 80 de 1993. </w:t>
            </w:r>
          </w:p>
          <w:p w14:paraId="01910C53" w14:textId="1E59EE09" w:rsidR="00CF643F" w:rsidRPr="00997F63" w:rsidRDefault="00CF643F" w:rsidP="0081202B">
            <w:pPr>
              <w:spacing w:after="120" w:line="276" w:lineRule="auto"/>
              <w:ind w:firstLine="737"/>
              <w:jc w:val="both"/>
              <w:rPr>
                <w:rFonts w:ascii="Verdana" w:eastAsia="Calibri" w:hAnsi="Verdana" w:cs="Arial"/>
                <w:color w:val="000000" w:themeColor="text1"/>
                <w:lang w:val="es-MX" w:eastAsia="es-ES"/>
              </w:rPr>
            </w:pPr>
            <w:r w:rsidRPr="00997F63">
              <w:rPr>
                <w:rFonts w:ascii="Verdana" w:eastAsia="Calibri" w:hAnsi="Verdana" w:cs="Arial"/>
                <w:i/>
                <w:iCs/>
                <w:color w:val="000000" w:themeColor="text1"/>
                <w:lang w:val="es-ES" w:eastAsia="es-ES"/>
              </w:rPr>
              <w:t>En segundo lugar</w:t>
            </w:r>
            <w:r w:rsidRPr="00997F63">
              <w:rPr>
                <w:rFonts w:ascii="Verdana" w:eastAsia="Calibri" w:hAnsi="Verdana" w:cs="Arial"/>
                <w:color w:val="000000" w:themeColor="text1"/>
                <w:lang w:val="es-ES" w:eastAsia="es-ES"/>
              </w:rPr>
              <w:t>,</w:t>
            </w:r>
            <w:r w:rsidRPr="00997F63">
              <w:rPr>
                <w:rFonts w:ascii="Verdana" w:eastAsia="Calibri" w:hAnsi="Verdana" w:cs="Arial"/>
                <w:color w:val="000000" w:themeColor="text1"/>
                <w:lang w:val="es-MX" w:eastAsia="es-ES"/>
              </w:rPr>
              <w:t xml:space="preserve"> el Decreto 092 de 2017 resulta aplicable a los convenios regulados en el parágrafo del artículo 16 de la Ley 1850 de 2017, que modificó el artículo 8 de la Ley 1276 de 2010, </w:t>
            </w:r>
            <w:r w:rsidRPr="00997F63">
              <w:rPr>
                <w:rFonts w:ascii="Verdana" w:eastAsia="Calibri" w:hAnsi="Verdana" w:cs="Arial"/>
                <w:i/>
                <w:iCs/>
                <w:color w:val="000000" w:themeColor="text1"/>
                <w:lang w:val="es-MX" w:eastAsia="es-ES"/>
              </w:rPr>
              <w:t>únicamente</w:t>
            </w:r>
            <w:r w:rsidRPr="00997F63">
              <w:rPr>
                <w:rFonts w:ascii="Verdana" w:eastAsia="Calibri" w:hAnsi="Verdana" w:cs="Arial"/>
                <w:color w:val="000000" w:themeColor="text1"/>
                <w:lang w:val="es-MX" w:eastAsia="es-ES"/>
              </w:rPr>
              <w:t xml:space="preserve"> en aquellos eventos en los que los entes territoriales “[…] contrata[n] con entidades privadas sin ánimo de lucro y de reconocida idoneidad […]”, de acuerdo con lo establecido en el artículo 1 del mencionado Decreto </w:t>
            </w:r>
            <w:r w:rsidRPr="00997F63">
              <w:rPr>
                <w:rFonts w:ascii="Verdana" w:eastAsia="Calibri" w:hAnsi="Verdana" w:cs="Arial"/>
                <w:color w:val="000000" w:themeColor="text1"/>
                <w:lang w:val="es-ES_tradnl" w:eastAsia="es-ES"/>
              </w:rPr>
              <w:t xml:space="preserve">y, solamente, si se cumplen los otros requisitos que se derivan de su contenido, entre ellos, que no se genere </w:t>
            </w:r>
            <w:r w:rsidRPr="00997F63">
              <w:rPr>
                <w:rFonts w:ascii="Verdana" w:eastAsia="Calibri" w:hAnsi="Verdana" w:cs="Arial"/>
                <w:color w:val="000000" w:themeColor="text1"/>
                <w:lang w:val="es-MX" w:eastAsia="es-ES"/>
              </w:rPr>
              <w:t>una contraprestación directa a favor de la entidad y tampoco una relación conmutativa entre esta y la ESAL.</w:t>
            </w:r>
          </w:p>
          <w:p w14:paraId="34927823" w14:textId="77777777" w:rsidR="00CF643F" w:rsidRPr="00997F63" w:rsidRDefault="00CF643F" w:rsidP="0081202B">
            <w:pPr>
              <w:spacing w:after="120" w:line="276" w:lineRule="auto"/>
              <w:ind w:firstLine="737"/>
              <w:jc w:val="both"/>
              <w:rPr>
                <w:rFonts w:ascii="Verdana" w:eastAsia="Calibri" w:hAnsi="Verdana" w:cs="Arial"/>
                <w:color w:val="000000" w:themeColor="text1"/>
                <w:lang w:val="es-MX" w:eastAsia="es-ES"/>
              </w:rPr>
            </w:pPr>
            <w:r w:rsidRPr="00997F63">
              <w:rPr>
                <w:rFonts w:ascii="Verdana" w:eastAsia="Calibri" w:hAnsi="Verdana" w:cs="Arial"/>
                <w:color w:val="000000" w:themeColor="text1"/>
                <w:lang w:val="es-MX" w:eastAsia="es-ES"/>
              </w:rPr>
              <w:t xml:space="preserve">En este segundo escenario, las entidades territoriales cuentan con dos (2) opciones: i) los contratos de colaboración o de interés público con el fin de impulsar programas y actividades de interés público de acuerdo con el Plan Nacional o los planes seccionales de desarrollo, en los términos del artículo 355 de la Constitución Política; y ii) el artículo 96 de la Ley 489 de 1998 autoriza a las Entidades Estatales a celebrar negocios jurídicos con ESAL para cumplir sus funciones. La misma Ley define estos negocios jurídicos como </w:t>
            </w:r>
            <w:r w:rsidRPr="00997F63">
              <w:rPr>
                <w:rFonts w:ascii="Verdana" w:eastAsia="Calibri" w:hAnsi="Verdana" w:cs="Arial"/>
                <w:color w:val="000000" w:themeColor="text1"/>
                <w:lang w:val="es-MX" w:eastAsia="es-ES"/>
              </w:rPr>
              <w:lastRenderedPageBreak/>
              <w:t>convenios de asociación y establece que deben celebrarse de conformidad con el artículo 355 de la Constitución Política, teniendo en cuenta los parámetros explicados en este concepto.</w:t>
            </w:r>
          </w:p>
          <w:p w14:paraId="7217A217" w14:textId="77777777" w:rsidR="00CF643F" w:rsidRPr="00053714" w:rsidRDefault="00CF643F" w:rsidP="0081202B">
            <w:pPr>
              <w:spacing w:after="120" w:line="276" w:lineRule="auto"/>
              <w:ind w:firstLine="737"/>
              <w:jc w:val="both"/>
              <w:rPr>
                <w:rFonts w:ascii="Verdana" w:eastAsia="Calibri" w:hAnsi="Verdana" w:cs="Arial"/>
                <w:color w:val="000000" w:themeColor="text1"/>
                <w:lang w:val="es-MX" w:eastAsia="es-ES"/>
              </w:rPr>
            </w:pPr>
            <w:r>
              <w:rPr>
                <w:rFonts w:ascii="Verdana" w:eastAsia="Calibri" w:hAnsi="Verdana" w:cs="Arial"/>
                <w:color w:val="000000" w:themeColor="text1"/>
              </w:rPr>
              <w:t xml:space="preserve">Finalmente, </w:t>
            </w:r>
            <w:r w:rsidRPr="001861FA">
              <w:rPr>
                <w:rFonts w:ascii="Verdana" w:eastAsia="Calibri" w:hAnsi="Verdana" w:cs="Arial"/>
                <w:color w:val="000000" w:themeColor="text1"/>
              </w:rPr>
              <w:t>el numeral 16.1 de la versión 1 de la Circular Externa Única disponía lo siguiente: “El Decreto 092 de 2017 no es aplicable a las contrataciones que cuentan con una norma especial que las regula. A la fecha se han identificado algunas especiales, no obstante, es posible que las Entidades Estatales en el cumplimiento de sus funciones identifiquen otras adicionales”. Sin embargo, este aparte no se reprodujo en la versión 2, aprobada el 15 de julio de 2022, ni en la versión 3, aprobada el 27 de diciembre de 2023, las cuales no se refieren a la contratación con ESAL. Dado que la versión 1 se encuentra derogada, es claro que ésta no complementa la versión 3. Por ello, con la derogatoria de la versión 1, cesó la obligación de la Agencia de identificar las dichas “normas especiales” a través de circular.</w:t>
            </w:r>
          </w:p>
          <w:p w14:paraId="53040C89" w14:textId="30151936" w:rsidR="00CF643F" w:rsidRDefault="00CF643F" w:rsidP="0081202B">
            <w:pPr>
              <w:spacing w:line="276" w:lineRule="auto"/>
              <w:ind w:firstLine="737"/>
              <w:jc w:val="both"/>
              <w:rPr>
                <w:rFonts w:ascii="Verdana" w:hAnsi="Verdana" w:cs="Arial"/>
                <w:color w:val="000000" w:themeColor="text1"/>
              </w:rPr>
            </w:pPr>
            <w:r w:rsidRPr="00C35305">
              <w:rPr>
                <w:rFonts w:ascii="Verdana" w:hAnsi="Verdana" w:cs="Arial"/>
                <w:color w:val="000000" w:themeColor="text1"/>
              </w:rPr>
              <w:t>Al margen de la explicación precedente</w:t>
            </w:r>
            <w:r w:rsidR="00C3702D">
              <w:rPr>
                <w:rFonts w:ascii="Verdana" w:hAnsi="Verdana" w:cs="Arial"/>
                <w:color w:val="000000" w:themeColor="text1"/>
              </w:rPr>
              <w:t xml:space="preserve"> </w:t>
            </w:r>
            <w:r w:rsidRPr="00C35305">
              <w:rPr>
                <w:rFonts w:ascii="Verdana" w:hAnsi="Verdana" w:cs="Arial"/>
                <w:color w:val="000000" w:themeColor="text1"/>
              </w:rPr>
              <w:t>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disciplinaria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0FB24DB9" w14:textId="77777777" w:rsidR="00371640" w:rsidRPr="001367D5" w:rsidRDefault="00371640" w:rsidP="00371640">
            <w:pPr>
              <w:spacing w:line="276" w:lineRule="auto"/>
              <w:jc w:val="both"/>
            </w:pPr>
          </w:p>
        </w:tc>
      </w:tr>
    </w:tbl>
    <w:p w14:paraId="624B3585" w14:textId="77777777" w:rsidR="00CF643F" w:rsidRPr="00593A5F" w:rsidRDefault="00CF643F" w:rsidP="00CF643F">
      <w:pPr>
        <w:tabs>
          <w:tab w:val="left" w:pos="142"/>
          <w:tab w:val="left" w:pos="284"/>
        </w:tabs>
        <w:spacing w:after="0" w:line="276" w:lineRule="auto"/>
        <w:jc w:val="both"/>
        <w:rPr>
          <w:rFonts w:ascii="Verdana" w:eastAsia="Century Gothic" w:hAnsi="Verdana" w:cs="Century Gothic"/>
          <w:b/>
          <w:bCs/>
          <w:lang w:val="es-ES"/>
        </w:rPr>
      </w:pPr>
    </w:p>
    <w:bookmarkEnd w:id="3"/>
    <w:p w14:paraId="7A511896" w14:textId="77777777" w:rsidR="00CF643F" w:rsidRPr="00593A5F" w:rsidRDefault="00CF643F" w:rsidP="00CF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4293A91" w14:textId="77777777" w:rsidR="00CF643F" w:rsidRPr="00593A5F" w:rsidRDefault="00CF643F" w:rsidP="00CF643F">
      <w:pPr>
        <w:spacing w:after="0" w:line="276" w:lineRule="auto"/>
        <w:jc w:val="both"/>
        <w:rPr>
          <w:rFonts w:ascii="Verdana" w:eastAsia="Calibri" w:hAnsi="Verdana" w:cs="Arial"/>
          <w:color w:val="7030A0"/>
          <w:lang w:val="es-ES"/>
        </w:rPr>
      </w:pPr>
    </w:p>
    <w:p w14:paraId="0CB87AC3" w14:textId="77777777" w:rsidR="00CF643F" w:rsidRDefault="00CF643F" w:rsidP="00CF643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C4A3327" w14:textId="77777777" w:rsidR="00CF643F" w:rsidRDefault="00CF643F" w:rsidP="00CF643F">
      <w:pPr>
        <w:spacing w:after="0" w:line="276" w:lineRule="auto"/>
        <w:jc w:val="both"/>
        <w:rPr>
          <w:rFonts w:ascii="Verdana" w:eastAsia="Calibri" w:hAnsi="Verdana" w:cs="Arial"/>
          <w:lang w:val="es-ES"/>
        </w:rPr>
      </w:pPr>
    </w:p>
    <w:p w14:paraId="65992E5D" w14:textId="77777777" w:rsidR="00CF643F" w:rsidRPr="0063743B" w:rsidRDefault="00CF643F" w:rsidP="00CF643F">
      <w:pPr>
        <w:spacing w:line="276" w:lineRule="auto"/>
        <w:jc w:val="both"/>
        <w:rPr>
          <w:rFonts w:ascii="Verdana" w:eastAsia="Calibri" w:hAnsi="Verdana" w:cs="Arial"/>
          <w:bCs/>
          <w:lang w:val="es-ES_tradnl"/>
        </w:rPr>
      </w:pPr>
      <w:r>
        <w:rPr>
          <w:rFonts w:ascii="Verdana" w:eastAsia="Calibri" w:hAnsi="Verdana" w:cs="Arial"/>
          <w:bCs/>
          <w:lang w:val="es-ES_tradnl"/>
        </w:rPr>
        <w:t xml:space="preserve">i. </w:t>
      </w:r>
      <w:r w:rsidRPr="0063743B">
        <w:rPr>
          <w:rFonts w:ascii="Verdana" w:eastAsia="Calibri" w:hAnsi="Verdana" w:cs="Arial"/>
          <w:bCs/>
          <w:lang w:val="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63743B">
        <w:rPr>
          <w:rStyle w:val="Refdenotaalpie"/>
          <w:rFonts w:ascii="Verdana" w:hAnsi="Verdana" w:cs="Arial"/>
        </w:rPr>
        <w:footnoteReference w:id="2"/>
      </w:r>
      <w:r w:rsidRPr="0063743B">
        <w:rPr>
          <w:rFonts w:ascii="Verdana" w:eastAsia="Calibri" w:hAnsi="Verdana" w:cs="Arial"/>
          <w:bCs/>
          <w:lang w:val="es-ES_tradnl"/>
        </w:rPr>
        <w:t xml:space="preserve">. Por otra </w:t>
      </w:r>
      <w:r w:rsidRPr="0063743B">
        <w:rPr>
          <w:rFonts w:ascii="Verdana" w:eastAsia="Calibri" w:hAnsi="Verdana" w:cs="Arial"/>
          <w:bCs/>
          <w:lang w:val="es-ES_tradnl"/>
        </w:rPr>
        <w:lastRenderedPageBreak/>
        <w:t>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w:t>
      </w:r>
      <w:r w:rsidRPr="0063743B">
        <w:rPr>
          <w:rStyle w:val="Refdenotaalpie"/>
          <w:rFonts w:ascii="Verdana" w:eastAsia="Calibri" w:hAnsi="Verdana" w:cs="Arial"/>
          <w:bCs/>
          <w:lang w:val="es-ES_tradnl"/>
        </w:rPr>
        <w:footnoteReference w:id="3"/>
      </w:r>
      <w:r w:rsidRPr="0063743B">
        <w:rPr>
          <w:rFonts w:ascii="Verdana" w:eastAsia="Calibri" w:hAnsi="Verdana" w:cs="Arial"/>
          <w:bCs/>
          <w:lang w:val="es-ES_tradnl"/>
        </w:rPr>
        <w:t>. Ambas figuras tienen como fin desarrollar conjuntamente actividades relacionadas con los cometidos y funciones legales asignadas a la entidad.</w:t>
      </w:r>
      <w:r>
        <w:rPr>
          <w:rFonts w:ascii="Verdana" w:eastAsia="Calibri" w:hAnsi="Verdana" w:cs="Arial"/>
          <w:bCs/>
          <w:lang w:val="es-ES_tradnl"/>
        </w:rPr>
        <w:t xml:space="preserve"> Por lo demás, al utilizar el verbo “podrán”, el ordenamiento deja claro su naturaleza potestativa, ya que no existe norma que obligue a su celebración.</w:t>
      </w:r>
    </w:p>
    <w:p w14:paraId="4094A5C3" w14:textId="77777777" w:rsidR="00CF643F" w:rsidRPr="0063743B" w:rsidRDefault="00CF643F" w:rsidP="00CF643F">
      <w:pPr>
        <w:spacing w:before="120" w:after="120" w:line="276" w:lineRule="auto"/>
        <w:ind w:firstLine="709"/>
        <w:jc w:val="both"/>
        <w:rPr>
          <w:rFonts w:ascii="Verdana" w:eastAsia="Calibri" w:hAnsi="Verdana" w:cs="Arial"/>
          <w:lang w:val="es-ES"/>
        </w:rPr>
      </w:pPr>
      <w:bookmarkStart w:id="5" w:name="_Hlk38819155"/>
      <w:r>
        <w:rPr>
          <w:rFonts w:ascii="Verdana" w:eastAsia="Calibri" w:hAnsi="Verdana" w:cs="Arial"/>
          <w:lang w:val="es-ES"/>
        </w:rPr>
        <w:t>Cuando las entidades definan suscribirlos, e</w:t>
      </w:r>
      <w:r w:rsidRPr="0063743B">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5"/>
    </w:p>
    <w:p w14:paraId="21A80CF9" w14:textId="77777777" w:rsidR="00CF643F" w:rsidRPr="0063743B" w:rsidRDefault="00CF643F" w:rsidP="00CF643F">
      <w:pPr>
        <w:spacing w:before="120" w:after="120" w:line="276" w:lineRule="auto"/>
        <w:ind w:firstLine="709"/>
        <w:jc w:val="both"/>
        <w:rPr>
          <w:rFonts w:ascii="Verdana" w:eastAsia="Calibri" w:hAnsi="Verdana" w:cs="Arial"/>
          <w:lang w:val="es-ES"/>
        </w:rPr>
      </w:pPr>
      <w:bookmarkStart w:id="6" w:name="_Hlk95756032"/>
      <w:r w:rsidRPr="0063743B">
        <w:rPr>
          <w:rFonts w:ascii="Verdana" w:eastAsia="Calibri" w:hAnsi="Verdana" w:cs="Arial"/>
          <w:lang w:val="es-ES"/>
        </w:rPr>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que no haya una contraprestación directa a favor de la entidad estatal, es decir, que el programa </w:t>
      </w:r>
      <w:r w:rsidRPr="0063743B">
        <w:rPr>
          <w:rFonts w:ascii="Verdana" w:eastAsia="Calibri" w:hAnsi="Verdana" w:cs="Arial"/>
          <w:lang w:val="es-ES"/>
        </w:rPr>
        <w:lastRenderedPageBreak/>
        <w:t>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6"/>
    <w:p w14:paraId="47066BD9" w14:textId="77777777" w:rsidR="00CF643F" w:rsidRPr="0063743B" w:rsidRDefault="00CF643F" w:rsidP="00CF643F">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63743B">
        <w:rPr>
          <w:rStyle w:val="Refdenotaalpie"/>
          <w:rFonts w:ascii="Verdana" w:hAnsi="Verdana" w:cs="Arial"/>
        </w:rPr>
        <w:footnoteReference w:id="4"/>
      </w:r>
      <w:r w:rsidRPr="0063743B">
        <w:rPr>
          <w:rFonts w:ascii="Verdana" w:eastAsia="Calibri" w:hAnsi="Verdana"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w:t>
      </w:r>
      <w:r>
        <w:rPr>
          <w:rFonts w:ascii="Verdana" w:eastAsia="Calibri" w:hAnsi="Verdana" w:cs="Arial"/>
          <w:bCs/>
          <w:lang w:val="es-ES_tradnl"/>
        </w:rPr>
        <w:t xml:space="preserve"> </w:t>
      </w:r>
      <w:r w:rsidRPr="0063743B">
        <w:rPr>
          <w:rFonts w:ascii="Verdana" w:eastAsia="Calibri" w:hAnsi="Verdana" w:cs="Arial"/>
          <w:bCs/>
          <w:lang w:val="es-ES_tradnl"/>
        </w:rPr>
        <w:t>y</w:t>
      </w:r>
      <w:r>
        <w:rPr>
          <w:rFonts w:ascii="Verdana" w:eastAsia="Calibri" w:hAnsi="Verdana" w:cs="Arial"/>
          <w:bCs/>
          <w:lang w:val="es-ES_tradnl"/>
        </w:rPr>
        <w:t>,</w:t>
      </w:r>
      <w:r w:rsidRPr="0063743B">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63743B">
        <w:rPr>
          <w:rStyle w:val="Refdenotaalpie"/>
          <w:rFonts w:ascii="Verdana" w:hAnsi="Verdana" w:cs="Arial"/>
        </w:rPr>
        <w:footnoteReference w:id="5"/>
      </w:r>
      <w:r w:rsidRPr="0063743B">
        <w:rPr>
          <w:rFonts w:ascii="Verdana" w:eastAsia="Calibri" w:hAnsi="Verdana" w:cs="Arial"/>
          <w:bCs/>
          <w:lang w:val="es-ES_tradnl"/>
        </w:rPr>
        <w:t>.</w:t>
      </w:r>
    </w:p>
    <w:p w14:paraId="5C6430EF" w14:textId="77777777" w:rsidR="00CF643F" w:rsidRDefault="00CF643F" w:rsidP="00CF643F">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63743B">
        <w:rPr>
          <w:rFonts w:ascii="Verdana" w:eastAsia="Calibri" w:hAnsi="Verdana" w:cs="Arial"/>
          <w:bCs/>
        </w:rPr>
        <w:t xml:space="preserve">. </w:t>
      </w:r>
      <w:r>
        <w:rPr>
          <w:rFonts w:ascii="Verdana" w:eastAsia="Calibri" w:hAnsi="Verdana" w:cs="Arial"/>
          <w:bCs/>
        </w:rPr>
        <w:t>Por un lado</w:t>
      </w:r>
      <w:r w:rsidRPr="0063743B">
        <w:rPr>
          <w:rFonts w:ascii="Verdana" w:eastAsia="Calibri" w:hAnsi="Verdana" w:cs="Arial"/>
          <w:bCs/>
        </w:rPr>
        <w:t>,</w:t>
      </w:r>
      <w:r>
        <w:rPr>
          <w:rFonts w:ascii="Verdana" w:eastAsia="Calibri" w:hAnsi="Verdana" w:cs="Arial"/>
          <w:bCs/>
        </w:rPr>
        <w:t xml:space="preserve"> al enfocarse en sujetos determinados, es necesario que todos los integrantes de la estructura plural sean entidades sin ánimo de lucro, ya que este régimen no fue diseñado para contratar con sociedades comerciales u otras entidades públicas.</w:t>
      </w:r>
      <w:r w:rsidRPr="0063743B">
        <w:rPr>
          <w:rFonts w:ascii="Verdana" w:eastAsia="Calibri" w:hAnsi="Verdana" w:cs="Arial"/>
          <w:bCs/>
        </w:rPr>
        <w:t xml:space="preserve"> </w:t>
      </w:r>
      <w:r>
        <w:rPr>
          <w:rFonts w:ascii="Verdana" w:eastAsia="Calibri" w:hAnsi="Verdana" w:cs="Arial"/>
          <w:bCs/>
        </w:rPr>
        <w:t xml:space="preserve">Por otra parte, </w:t>
      </w:r>
      <w:r w:rsidRPr="0063743B">
        <w:rPr>
          <w:rFonts w:ascii="Verdana" w:eastAsia="Calibri" w:hAnsi="Verdana" w:cs="Arial"/>
          <w:bCs/>
        </w:rPr>
        <w:t xml:space="preserve">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w:t>
      </w:r>
    </w:p>
    <w:p w14:paraId="0AB61725" w14:textId="77777777" w:rsidR="00CF643F" w:rsidRPr="0063743B" w:rsidRDefault="00CF643F" w:rsidP="00CF643F">
      <w:pPr>
        <w:spacing w:before="120" w:after="120" w:line="276" w:lineRule="auto"/>
        <w:ind w:firstLine="709"/>
        <w:jc w:val="both"/>
        <w:rPr>
          <w:rFonts w:ascii="Verdana" w:eastAsia="Calibri" w:hAnsi="Verdana" w:cs="Arial"/>
          <w:bCs/>
        </w:rPr>
      </w:pPr>
      <w:r w:rsidRPr="0063743B">
        <w:rPr>
          <w:rFonts w:ascii="Verdana" w:eastAsia="Calibri" w:hAnsi="Verdana" w:cs="Arial"/>
          <w:bCs/>
        </w:rPr>
        <w:t xml:space="preserve">Igualmente, atendiendo a que los convenios de asociación “no estarán sujetos a competencia cuando la entidad sin ánimo de lucro comprometa </w:t>
      </w:r>
      <w:r w:rsidRPr="0063743B">
        <w:rPr>
          <w:rFonts w:ascii="Verdana" w:eastAsia="Calibri" w:hAnsi="Verdana" w:cs="Arial"/>
          <w:bCs/>
        </w:rPr>
        <w:lastRenderedPageBreak/>
        <w:t>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Pr>
          <w:rFonts w:ascii="Verdana" w:eastAsia="Calibri" w:hAnsi="Verdana" w:cs="Arial"/>
          <w:bCs/>
        </w:rPr>
        <w:t xml:space="preserve"> Ello no obsta para que puedan realizarse aportes en especie bajo la consideración de que éstos no inciden en la modalidad de selección aplicable.</w:t>
      </w:r>
    </w:p>
    <w:p w14:paraId="06A2A383" w14:textId="77777777" w:rsidR="00CF643F" w:rsidRPr="0063743B" w:rsidRDefault="00CF643F" w:rsidP="00CF643F">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28678D7E" w14:textId="77777777" w:rsidR="00CF643F" w:rsidRPr="0063743B" w:rsidRDefault="00CF643F" w:rsidP="00CF643F">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Es importante aclarar que los negocios jurídicos que regula el Decreto 092 de 2017 “[…] son esencialmente distintos a los contratos para la adquisición y aprovisionamiento de bienes, obras o servicios regulados por el estatuto de 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63743B">
        <w:rPr>
          <w:rStyle w:val="Refdenotaalpie"/>
          <w:rFonts w:ascii="Verdana" w:hAnsi="Verdana" w:cs="Arial"/>
          <w:color w:val="000000" w:themeColor="text1"/>
          <w:sz w:val="22"/>
        </w:rPr>
        <w:footnoteReference w:id="6"/>
      </w:r>
      <w:r w:rsidRPr="0063743B">
        <w:rPr>
          <w:rFonts w:ascii="Verdana" w:hAnsi="Verdana" w:cs="Arial"/>
          <w:color w:val="000000" w:themeColor="text1"/>
          <w:sz w:val="22"/>
        </w:rPr>
        <w:t>. Así lo consideró la Sala de Consulta y Servicio Civil del Consejo de Estado:</w:t>
      </w:r>
    </w:p>
    <w:p w14:paraId="27ABD764" w14:textId="77777777" w:rsidR="00CF643F" w:rsidRPr="0063743B" w:rsidRDefault="00CF643F" w:rsidP="00CF643F">
      <w:pPr>
        <w:pStyle w:val="Sinespaciado"/>
        <w:spacing w:line="276" w:lineRule="auto"/>
        <w:jc w:val="both"/>
        <w:rPr>
          <w:rFonts w:ascii="Verdana" w:hAnsi="Verdana" w:cs="Arial"/>
          <w:color w:val="000000" w:themeColor="text1"/>
          <w:sz w:val="22"/>
        </w:rPr>
      </w:pPr>
    </w:p>
    <w:p w14:paraId="0672EF26" w14:textId="77777777" w:rsidR="00CF643F" w:rsidRPr="001F683E" w:rsidRDefault="00CF643F" w:rsidP="00CF643F">
      <w:pPr>
        <w:spacing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w:t>
      </w:r>
      <w:r w:rsidRPr="001F683E">
        <w:rPr>
          <w:rFonts w:ascii="Verdana" w:eastAsia="Calibri" w:hAnsi="Verdana" w:cs="Arial"/>
          <w:color w:val="000000" w:themeColor="text1"/>
          <w:sz w:val="20"/>
          <w:szCs w:val="20"/>
        </w:rPr>
        <w:lastRenderedPageBreak/>
        <w:t>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024D33CA" w14:textId="77777777" w:rsidR="00CF643F" w:rsidRPr="0063743B" w:rsidRDefault="00CF643F" w:rsidP="00CF643F">
      <w:pPr>
        <w:spacing w:after="0" w:line="240" w:lineRule="auto"/>
        <w:ind w:left="708" w:right="709"/>
        <w:jc w:val="both"/>
        <w:rPr>
          <w:rFonts w:ascii="Verdana" w:eastAsia="Calibri" w:hAnsi="Verdana" w:cs="Arial"/>
          <w:color w:val="000000" w:themeColor="text1"/>
          <w:sz w:val="21"/>
          <w:szCs w:val="21"/>
        </w:rPr>
      </w:pPr>
      <w:r w:rsidRPr="001F683E">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1F683E">
        <w:rPr>
          <w:rStyle w:val="Refdenotaalpie"/>
          <w:rFonts w:ascii="Verdana" w:hAnsi="Verdana" w:cs="Arial"/>
          <w:color w:val="000000" w:themeColor="text1"/>
          <w:sz w:val="20"/>
          <w:szCs w:val="20"/>
        </w:rPr>
        <w:t xml:space="preserve"> </w:t>
      </w:r>
      <w:r w:rsidRPr="001F683E">
        <w:rPr>
          <w:rStyle w:val="Refdenotaalpie"/>
          <w:rFonts w:ascii="Verdana" w:hAnsi="Verdana" w:cs="Arial"/>
          <w:color w:val="000000" w:themeColor="text1"/>
          <w:sz w:val="20"/>
          <w:szCs w:val="20"/>
        </w:rPr>
        <w:footnoteReference w:id="7"/>
      </w:r>
      <w:r w:rsidRPr="001F683E">
        <w:rPr>
          <w:rFonts w:ascii="Verdana" w:eastAsia="Calibri" w:hAnsi="Verdana" w:cs="Arial"/>
          <w:color w:val="000000" w:themeColor="text1"/>
          <w:sz w:val="20"/>
          <w:szCs w:val="20"/>
        </w:rPr>
        <w:t>.</w:t>
      </w:r>
    </w:p>
    <w:p w14:paraId="66C87B96" w14:textId="77777777" w:rsidR="00CF643F" w:rsidRPr="0063743B" w:rsidRDefault="00CF643F" w:rsidP="00CF643F">
      <w:pPr>
        <w:spacing w:after="0" w:line="276" w:lineRule="auto"/>
        <w:ind w:firstLine="708"/>
        <w:jc w:val="both"/>
        <w:rPr>
          <w:rFonts w:ascii="Verdana" w:eastAsia="Calibri" w:hAnsi="Verdana" w:cs="Arial"/>
          <w:color w:val="000000" w:themeColor="text1"/>
        </w:rPr>
      </w:pPr>
      <w:bookmarkStart w:id="7" w:name="_Hlk95756200"/>
    </w:p>
    <w:p w14:paraId="343A13F8" w14:textId="77777777" w:rsidR="00CF643F" w:rsidRPr="0063743B" w:rsidRDefault="00CF643F" w:rsidP="00CF643F">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7"/>
      <w:r w:rsidRPr="0063743B">
        <w:rPr>
          <w:rFonts w:ascii="Verdana" w:eastAsia="Calibri" w:hAnsi="Verdana" w:cs="Arial"/>
          <w:color w:val="000000" w:themeColor="text1"/>
        </w:rPr>
        <w:t>Así lo reconoció la Corte Constitucional en la sentencia C-287 del 18 de abril de 2012, en la que sostuvo lo siguiente:</w:t>
      </w:r>
    </w:p>
    <w:p w14:paraId="331CDFD8" w14:textId="77777777" w:rsidR="00CF643F" w:rsidRPr="0063743B" w:rsidRDefault="00CF643F" w:rsidP="00CF643F">
      <w:pPr>
        <w:spacing w:after="0" w:line="276" w:lineRule="auto"/>
        <w:ind w:firstLine="708"/>
        <w:jc w:val="both"/>
        <w:rPr>
          <w:rFonts w:ascii="Verdana" w:eastAsia="Calibri" w:hAnsi="Verdana" w:cs="Arial"/>
          <w:color w:val="000000" w:themeColor="text1"/>
        </w:rPr>
      </w:pPr>
    </w:p>
    <w:p w14:paraId="75C437A2" w14:textId="77777777" w:rsidR="00CF643F" w:rsidRPr="001F683E" w:rsidRDefault="00CF643F" w:rsidP="00CF643F">
      <w:pPr>
        <w:spacing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3973DB6" w14:textId="77777777" w:rsidR="00CF643F" w:rsidRPr="0063743B" w:rsidRDefault="00CF643F" w:rsidP="00CF643F">
      <w:pPr>
        <w:spacing w:after="0" w:line="240" w:lineRule="auto"/>
        <w:ind w:left="709" w:right="709"/>
        <w:jc w:val="both"/>
        <w:rPr>
          <w:rFonts w:ascii="Verdana" w:eastAsia="Calibri" w:hAnsi="Verdana" w:cs="Arial"/>
          <w:color w:val="000000" w:themeColor="text1"/>
          <w:sz w:val="21"/>
          <w:szCs w:val="21"/>
        </w:rPr>
      </w:pPr>
      <w:r w:rsidRPr="001F683E">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1F683E">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5C272C55" w14:textId="77777777" w:rsidR="00CF643F" w:rsidRPr="0063743B" w:rsidRDefault="00CF643F" w:rsidP="00CF643F">
      <w:pPr>
        <w:spacing w:after="0" w:line="276" w:lineRule="auto"/>
        <w:ind w:firstLine="709"/>
        <w:jc w:val="both"/>
        <w:rPr>
          <w:rFonts w:ascii="Verdana" w:eastAsia="Calibri" w:hAnsi="Verdana" w:cs="Arial"/>
          <w:color w:val="000000" w:themeColor="text1"/>
        </w:rPr>
      </w:pPr>
    </w:p>
    <w:p w14:paraId="65DCA214" w14:textId="77777777" w:rsidR="00CF643F" w:rsidRDefault="00CF643F" w:rsidP="00CF643F">
      <w:pPr>
        <w:spacing w:after="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5C42B401" w14:textId="77777777" w:rsidR="00CF643F" w:rsidRDefault="00CF643F" w:rsidP="00CF643F">
      <w:pPr>
        <w:spacing w:after="0" w:line="276" w:lineRule="auto"/>
        <w:jc w:val="both"/>
        <w:rPr>
          <w:rFonts w:ascii="Verdana" w:eastAsia="Calibri" w:hAnsi="Verdana" w:cs="Arial"/>
          <w:color w:val="000000" w:themeColor="text1"/>
        </w:rPr>
      </w:pPr>
    </w:p>
    <w:p w14:paraId="060062EF" w14:textId="77777777" w:rsidR="00CF643F" w:rsidRPr="001F4636" w:rsidRDefault="00CF643F" w:rsidP="00CF643F">
      <w:pPr>
        <w:spacing w:line="276" w:lineRule="auto"/>
        <w:jc w:val="both"/>
        <w:rPr>
          <w:rFonts w:ascii="Verdana" w:eastAsia="Calibri" w:hAnsi="Verdana" w:cs="Arial"/>
          <w:color w:val="000000" w:themeColor="text1"/>
        </w:rPr>
      </w:pPr>
      <w:proofErr w:type="spellStart"/>
      <w:r w:rsidRPr="001F4636">
        <w:rPr>
          <w:rFonts w:ascii="Verdana" w:eastAsia="Calibri" w:hAnsi="Verdana" w:cs="Arial"/>
          <w:color w:val="000000" w:themeColor="text1"/>
        </w:rPr>
        <w:t>ii</w:t>
      </w:r>
      <w:proofErr w:type="spellEnd"/>
      <w:r w:rsidRPr="001F4636">
        <w:rPr>
          <w:rFonts w:ascii="Verdana" w:eastAsia="Calibri" w:hAnsi="Verdana" w:cs="Arial"/>
          <w:color w:val="000000" w:themeColor="text1"/>
        </w:rPr>
        <w:t>. El Consejo de Estado, en el Auto del 6 de agosto de 2019 de la Sección Tercera, Subsección A, radicado No. 11001-03-26-000-2018-00113-00 (62.003), Consejero Ponente Carlos Alberto Zambrano Barrera, estudió la solicitud de suspensión provisional del inciso 2 del artículo 1, literales a y c del artículo 2, inciso 5 del artículo 2, inciso 2 del artículo 3, inciso final del artículo 4 y artículo 5 del Decreto 092 de 2017</w:t>
      </w:r>
      <w:r w:rsidRPr="001F4636">
        <w:rPr>
          <w:rStyle w:val="Refdenotaalpie"/>
          <w:rFonts w:ascii="Verdana" w:eastAsia="Calibri" w:hAnsi="Verdana" w:cs="Arial"/>
          <w:color w:val="000000" w:themeColor="text1"/>
        </w:rPr>
        <w:footnoteReference w:id="8"/>
      </w:r>
      <w:r w:rsidRPr="001F4636">
        <w:rPr>
          <w:rFonts w:ascii="Verdana" w:eastAsia="Calibri" w:hAnsi="Verdana" w:cs="Arial"/>
          <w:color w:val="000000" w:themeColor="text1"/>
        </w:rPr>
        <w:t>. Cabe precisar que las decisiones adoptadas en el auto indicado fueron mantenidas en su mayoría en el Auto del 15 de marzo de 2022 de la Sala Plena del Consejo de Estado</w:t>
      </w:r>
      <w:r w:rsidRPr="001F4636">
        <w:rPr>
          <w:rFonts w:ascii="Verdana" w:eastAsia="Calibri" w:hAnsi="Verdana" w:cs="Arial"/>
          <w:color w:val="000000" w:themeColor="text1"/>
          <w:vertAlign w:val="superscript"/>
        </w:rPr>
        <w:footnoteReference w:id="9"/>
      </w:r>
      <w:r w:rsidRPr="001F4636">
        <w:rPr>
          <w:rFonts w:ascii="Verdana" w:eastAsia="Calibri" w:hAnsi="Verdana" w:cs="Arial"/>
          <w:color w:val="000000" w:themeColor="text1"/>
        </w:rPr>
        <w:t xml:space="preserve">, mediante el cual se resuelve el recurso de súplica frente al anterior auto que, como se explicará, suspendió provisionalmente varios apartes del Decreto 092 de 2017. En este sentido, en el último auto se levantó la suspensión provisional del inciso segundo del artículo 1 y del inciso segundo del artículo 3, manteniendo en lo demás la suspensión provisional, como se precisará a continuación. </w:t>
      </w:r>
    </w:p>
    <w:p w14:paraId="57E012C3" w14:textId="77777777" w:rsidR="00CF643F" w:rsidRPr="001F4636" w:rsidRDefault="00CF643F" w:rsidP="00CF643F">
      <w:pPr>
        <w:spacing w:before="120" w:after="0" w:line="276" w:lineRule="auto"/>
        <w:ind w:firstLine="708"/>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primera</w:t>
      </w:r>
      <w:r w:rsidRPr="001F4636">
        <w:rPr>
          <w:rFonts w:ascii="Verdana" w:eastAsia="Calibri" w:hAnsi="Verdana" w:cs="Arial"/>
          <w:color w:val="000000" w:themeColor="text1"/>
        </w:rPr>
        <w:t xml:space="preserve"> norma que estudió el Consejo de Estado en el auto del 6 de agosto de 2019 fue el inciso 2 del artículo 1 del Decreto 092 de 2017, el cual establece que la interpretación de las expresiones que se encuentran en </w:t>
      </w:r>
      <w:r w:rsidRPr="001F4636">
        <w:rPr>
          <w:rFonts w:ascii="Verdana" w:eastAsia="Calibri" w:hAnsi="Verdana" w:cs="Arial"/>
          <w:color w:val="000000" w:themeColor="text1"/>
        </w:rPr>
        <w:lastRenderedPageBreak/>
        <w:t>mayúsculas en el Decreto 092 de 2017 se harían de conformidad con la guía que expida la Agencia Nacional de Contratación Pública</w:t>
      </w:r>
      <w:r w:rsidRPr="001F4636">
        <w:rPr>
          <w:rStyle w:val="Refdenotaalpie"/>
          <w:rFonts w:ascii="Verdana" w:eastAsia="Calibri" w:hAnsi="Verdana" w:cs="Arial"/>
          <w:color w:val="000000" w:themeColor="text1"/>
        </w:rPr>
        <w:footnoteReference w:id="10"/>
      </w:r>
      <w:r w:rsidRPr="001F4636">
        <w:rPr>
          <w:rFonts w:ascii="Verdana" w:eastAsia="Calibri" w:hAnsi="Verdana" w:cs="Arial"/>
          <w:color w:val="000000" w:themeColor="text1"/>
        </w:rPr>
        <w:t>. Señaló que esta disposición, así como el inciso segundo del artículo 3 del Decreto 092 de 2017</w:t>
      </w:r>
      <w:r w:rsidRPr="001F4636">
        <w:rPr>
          <w:rStyle w:val="Refdenotaalpie"/>
          <w:rFonts w:ascii="Verdana" w:eastAsia="Calibri" w:hAnsi="Verdana" w:cs="Arial"/>
          <w:color w:val="000000" w:themeColor="text1"/>
        </w:rPr>
        <w:footnoteReference w:id="11"/>
      </w:r>
      <w:r w:rsidRPr="001F4636">
        <w:rPr>
          <w:rFonts w:ascii="Verdana" w:eastAsia="Calibri" w:hAnsi="Verdana" w:cs="Arial"/>
          <w:color w:val="000000" w:themeColor="text1"/>
        </w:rPr>
        <w:t xml:space="preserve">, excedían la potestad reglamentaria, que estaba exclusivamente asignada al Presidente de la República, toda vez que la esencia de la facultad reglamentaria es de carácter permanente, inalienable, intransferible e irrenunciable, y el Presidente no la podía delegar en una entidad como la Agencia Nacional de Contratación Pública – Colombia Compra Eficiente, para que a través de una guía reglamentara los vacíos de un Decreto. Al respecto señaló: </w:t>
      </w:r>
    </w:p>
    <w:p w14:paraId="4A3C958F" w14:textId="77777777" w:rsidR="00CF643F" w:rsidRPr="001F4636" w:rsidRDefault="00CF643F" w:rsidP="00CF643F">
      <w:pPr>
        <w:spacing w:after="0" w:line="276" w:lineRule="auto"/>
        <w:jc w:val="both"/>
        <w:rPr>
          <w:rFonts w:ascii="Verdana" w:eastAsia="Calibri" w:hAnsi="Verdana" w:cs="Arial"/>
          <w:color w:val="000000" w:themeColor="text1"/>
        </w:rPr>
      </w:pPr>
    </w:p>
    <w:p w14:paraId="11427D2C" w14:textId="77777777" w:rsidR="00CF643F" w:rsidRPr="001F683E" w:rsidRDefault="00CF643F" w:rsidP="00CF643F">
      <w:pPr>
        <w:tabs>
          <w:tab w:val="left" w:pos="8789"/>
        </w:tabs>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“En efecto, dejar espacios ‘vacíos’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14:paraId="3EC8BBE1" w14:textId="77777777" w:rsidR="00CF643F" w:rsidRPr="001F4636" w:rsidRDefault="00CF643F" w:rsidP="00CF643F">
      <w:pPr>
        <w:tabs>
          <w:tab w:val="left" w:pos="8789"/>
        </w:tabs>
        <w:spacing w:after="0" w:line="276" w:lineRule="auto"/>
        <w:ind w:left="708" w:right="709"/>
        <w:jc w:val="both"/>
        <w:rPr>
          <w:rFonts w:ascii="Verdana" w:eastAsia="Calibri" w:hAnsi="Verdana" w:cs="Arial"/>
          <w:color w:val="000000" w:themeColor="text1"/>
        </w:rPr>
      </w:pPr>
    </w:p>
    <w:p w14:paraId="35DC77BD" w14:textId="77777777" w:rsidR="00CF643F" w:rsidRPr="001F4636" w:rsidRDefault="00CF643F" w:rsidP="00CF643F">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En virtud de este análisis, el Consejo de Estado, en el auto del 9 de agosto de 2019 suspendió provisionalmente el inciso 2 del artículo primero y el inciso 2 del artículo 3, lo que significaba que los contratos celebrados con entidades sin ánimo de lucro no tenían que aplicar la “Guía para la contratación con entidades privadas sin ánimo de lucro y de reconocida idoneidad”, expedida por la Agencia Nacional de Contratación Pública–Colombia Compra Eficiente. Sin embargo, mediante el auto del 15 de marzo de 2022 de la Sala Plena del Consejo de </w:t>
      </w:r>
      <w:r w:rsidRPr="001F4636">
        <w:rPr>
          <w:rFonts w:ascii="Verdana" w:eastAsia="Calibri" w:hAnsi="Verdana" w:cs="Arial"/>
          <w:color w:val="000000" w:themeColor="text1"/>
        </w:rPr>
        <w:lastRenderedPageBreak/>
        <w:t>Estado, al que se hizo referencia en inicio de este acápite, se ordenó levantar la suspensión provisional del inciso segundo del artículo 1 y del inciso segundo del artículo 3, al considerar la Alta Corporación que:</w:t>
      </w:r>
    </w:p>
    <w:p w14:paraId="65EA4EB2" w14:textId="77777777" w:rsidR="00CF643F" w:rsidRPr="001F4636" w:rsidRDefault="00CF643F" w:rsidP="00CF643F">
      <w:pPr>
        <w:spacing w:after="0" w:line="276" w:lineRule="auto"/>
        <w:ind w:firstLine="709"/>
        <w:jc w:val="both"/>
        <w:rPr>
          <w:rFonts w:ascii="Verdana" w:eastAsia="Calibri" w:hAnsi="Verdana" w:cs="Arial"/>
          <w:color w:val="000000" w:themeColor="text1"/>
        </w:rPr>
      </w:pPr>
    </w:p>
    <w:p w14:paraId="68D9F5FA" w14:textId="77777777" w:rsidR="00CF643F" w:rsidRPr="001F683E" w:rsidRDefault="00CF643F" w:rsidP="00CF643F">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“28. 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w:t>
      </w:r>
    </w:p>
    <w:p w14:paraId="0CBE6691" w14:textId="77777777" w:rsidR="00CF643F" w:rsidRPr="001F4636" w:rsidRDefault="00CF643F" w:rsidP="00CF643F">
      <w:pPr>
        <w:spacing w:after="0" w:line="276" w:lineRule="auto"/>
        <w:ind w:left="708" w:right="709"/>
        <w:jc w:val="both"/>
        <w:rPr>
          <w:rFonts w:ascii="Verdana" w:eastAsia="Calibri" w:hAnsi="Verdana" w:cs="Arial"/>
          <w:color w:val="000000" w:themeColor="text1"/>
        </w:rPr>
      </w:pPr>
    </w:p>
    <w:p w14:paraId="7F718DFB" w14:textId="77777777" w:rsidR="00CF643F" w:rsidRPr="001F4636" w:rsidRDefault="00CF643F" w:rsidP="00CF643F">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En armonía con lo anterior, en relación con el inciso segundo del artículo primero del Decreto 092 de 2017, que establece que las expresiones utilizadas en el decreto con mayúscula inicial deben ser entendidas con el significado indicado en la guía que expida la Agencia Nacional de Contratación Pública – Colombia Compra Eficiente, el Consejo de Estado consideró procedente levantar la suspensión provisional, al considerar que: </w:t>
      </w:r>
    </w:p>
    <w:p w14:paraId="4260D70F" w14:textId="77777777" w:rsidR="00CF643F" w:rsidRPr="001F4636" w:rsidRDefault="00CF643F" w:rsidP="00CF643F">
      <w:pPr>
        <w:spacing w:after="0" w:line="276" w:lineRule="auto"/>
        <w:ind w:firstLine="709"/>
        <w:jc w:val="both"/>
        <w:rPr>
          <w:rFonts w:ascii="Verdana" w:eastAsia="Calibri" w:hAnsi="Verdana" w:cs="Arial"/>
          <w:color w:val="000000" w:themeColor="text1"/>
        </w:rPr>
      </w:pPr>
    </w:p>
    <w:p w14:paraId="1827447A" w14:textId="77777777" w:rsidR="00CF643F" w:rsidRPr="001F683E" w:rsidRDefault="00CF643F" w:rsidP="00CF643F">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“35. En esa medida determinó el Gobierno nacional que para la interpretación del decreto que nos ocupa, las expresiones utilizadas con mayúscula inicial deben ser entendidas con el significado indicado en la guía que expida la Agencia Nacional de Contratación Pública –Colombia Compra Eficiente– para su correspondiente aplicación, lo que implica una orientación tendiente a propiciar una integración normativa con definiciones que ya existen en el ordenamiento jurídico y que fundamentará la interpretación de dichas expresiones. En este orden de ideas, no existe habilitación a Colombia Compra Eficiente para crear definiciones normativas de estas expresiones, sino que de las que ya cuenta el ordenamiento jurídico realiza la guía. Por ello, no hay delegación de la competencia para crear el decreto constitucional que le compete al Gobierno nacional”.</w:t>
      </w:r>
    </w:p>
    <w:p w14:paraId="357AB09F" w14:textId="77777777" w:rsidR="00CF643F" w:rsidRPr="001F4636" w:rsidRDefault="00CF643F" w:rsidP="00CF643F">
      <w:pPr>
        <w:spacing w:after="0" w:line="276" w:lineRule="auto"/>
        <w:ind w:firstLine="709"/>
        <w:jc w:val="both"/>
        <w:rPr>
          <w:rFonts w:ascii="Verdana" w:eastAsia="Calibri" w:hAnsi="Verdana" w:cs="Arial"/>
          <w:color w:val="000000" w:themeColor="text1"/>
        </w:rPr>
      </w:pPr>
    </w:p>
    <w:p w14:paraId="3ED6955C" w14:textId="77777777" w:rsidR="00CF643F" w:rsidRPr="001F4636" w:rsidRDefault="00CF643F" w:rsidP="00CF643F">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Además, en relación con el inciso segundo del artículo 3, que establece que la entidad estatal debe definir en los documentos del proceso las características que debe acreditar la entidad sin ánimo de lucro, para lo que deberá tener en consideración los criterios establecidos en la guía que expida Colombia Compra Eficiente, el Consejo de Estado también resolvió levantar la suspensión provisional, al considerar que el análisis sobre su validez se debe reservar para el momento en que se profiera la sentencia respectiva, pues, a su </w:t>
      </w:r>
      <w:r w:rsidRPr="001F4636">
        <w:rPr>
          <w:rFonts w:ascii="Verdana" w:eastAsia="Calibri" w:hAnsi="Verdana" w:cs="Arial"/>
          <w:color w:val="000000" w:themeColor="text1"/>
        </w:rPr>
        <w:lastRenderedPageBreak/>
        <w:t>juicio, no resulta evidente que se haya delegado indebidamente el ejercicio de la potestad reglamentaria</w:t>
      </w:r>
      <w:r w:rsidRPr="001F4636">
        <w:rPr>
          <w:rStyle w:val="Refdenotaalpie"/>
          <w:rFonts w:ascii="Verdana" w:eastAsia="Calibri" w:hAnsi="Verdana" w:cs="Arial"/>
          <w:color w:val="000000" w:themeColor="text1"/>
        </w:rPr>
        <w:footnoteReference w:id="12"/>
      </w:r>
      <w:r w:rsidRPr="001F4636">
        <w:rPr>
          <w:rFonts w:ascii="Verdana" w:eastAsia="Calibri" w:hAnsi="Verdana" w:cs="Arial"/>
          <w:color w:val="000000" w:themeColor="text1"/>
        </w:rPr>
        <w:t>.</w:t>
      </w:r>
    </w:p>
    <w:p w14:paraId="492CBCD8" w14:textId="77777777" w:rsidR="00CF643F" w:rsidRPr="001F4636" w:rsidRDefault="00CF643F" w:rsidP="00CF643F">
      <w:pPr>
        <w:spacing w:before="12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Ahora bien, cabe precisar que mediante el auto del 15 de marzo de 2022 de la Sala Plena del Consejo de Estado únicamente se levantó la suspensión provisional de las normas desarrolladas hasta este lugar, por lo que, en lo demás, se confirmó la decisión de suspensión provisional de los demás apartes del Decreto 019 de 2017 dictada en el auto del 6 de agosto de 2019, como se procede a explicar.</w:t>
      </w:r>
    </w:p>
    <w:p w14:paraId="54557CD0" w14:textId="77777777" w:rsidR="00CF643F" w:rsidRPr="001F4636" w:rsidRDefault="00CF643F" w:rsidP="00CF643F">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segunda</w:t>
      </w:r>
      <w:r w:rsidRPr="001F4636">
        <w:rPr>
          <w:rFonts w:ascii="Verdana" w:eastAsia="Calibri" w:hAnsi="Verdana" w:cs="Arial"/>
          <w:color w:val="000000" w:themeColor="text1"/>
        </w:rPr>
        <w:t xml:space="preserve"> norma que analizó el Consejo de Estado en el auto del 6 de agosto de 2019, fue 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1F4636">
        <w:rPr>
          <w:rStyle w:val="Refdenotaalpie"/>
          <w:rFonts w:ascii="Verdana" w:hAnsi="Verdana" w:cs="Arial"/>
          <w:color w:val="000000" w:themeColor="text1"/>
        </w:rPr>
        <w:footnoteReference w:id="13"/>
      </w:r>
      <w:r w:rsidRPr="001F4636">
        <w:rPr>
          <w:rFonts w:ascii="Verdana" w:eastAsia="Calibri" w:hAnsi="Verdana" w:cs="Arial"/>
          <w:color w:val="000000" w:themeColor="text1"/>
        </w:rPr>
        <w:t xml:space="preserve">. </w:t>
      </w:r>
      <w:bookmarkStart w:id="8" w:name="_Hlk95756502"/>
      <w:r w:rsidRPr="001F4636">
        <w:rPr>
          <w:rFonts w:ascii="Verdana" w:eastAsia="Calibri" w:hAnsi="Verdana" w:cs="Arial"/>
          <w:color w:val="000000" w:themeColor="text1"/>
        </w:rPr>
        <w:t xml:space="preserve">En relación con esta norma, encontró que el literal a) del artículo 2 establece dos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w:t>
      </w:r>
      <w:r w:rsidRPr="001F4636">
        <w:rPr>
          <w:rFonts w:ascii="Verdana" w:eastAsia="Calibri" w:hAnsi="Verdana" w:cs="Arial"/>
          <w:color w:val="000000" w:themeColor="text1"/>
        </w:rPr>
        <w:lastRenderedPageBreak/>
        <w:t xml:space="preserve">no debe estar explícitamente en el plan de desarrollo sino que se encuentre en armonía con este. </w:t>
      </w:r>
      <w:bookmarkEnd w:id="8"/>
      <w:r w:rsidRPr="001F4636">
        <w:rPr>
          <w:rFonts w:ascii="Verdana" w:eastAsia="Calibri" w:hAnsi="Verdana" w:cs="Arial"/>
          <w:color w:val="000000" w:themeColor="text1"/>
        </w:rPr>
        <w:t xml:space="preserve">En relación con lo anterior, el auto del Consejo de Estado explica que: </w:t>
      </w:r>
    </w:p>
    <w:p w14:paraId="6EA2294D" w14:textId="77777777" w:rsidR="00CF643F" w:rsidRPr="001F4636" w:rsidRDefault="00CF643F" w:rsidP="00CF643F">
      <w:pPr>
        <w:spacing w:after="0" w:line="276" w:lineRule="auto"/>
        <w:jc w:val="both"/>
        <w:rPr>
          <w:rFonts w:ascii="Verdana" w:eastAsia="Calibri" w:hAnsi="Verdana" w:cs="Arial"/>
          <w:color w:val="000000" w:themeColor="text1"/>
        </w:rPr>
      </w:pPr>
    </w:p>
    <w:p w14:paraId="5E1764D5" w14:textId="77777777" w:rsidR="00CF643F" w:rsidRPr="001F683E" w:rsidRDefault="00CF643F" w:rsidP="00CF643F">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428434F1" w14:textId="77777777" w:rsidR="00CF643F" w:rsidRPr="001F4636" w:rsidRDefault="00CF643F" w:rsidP="00CF643F">
      <w:pPr>
        <w:spacing w:after="0" w:line="276" w:lineRule="auto"/>
        <w:jc w:val="both"/>
        <w:rPr>
          <w:rFonts w:ascii="Verdana" w:eastAsia="Calibri" w:hAnsi="Verdana" w:cs="Arial"/>
          <w:color w:val="000000" w:themeColor="text1"/>
        </w:rPr>
      </w:pPr>
    </w:p>
    <w:p w14:paraId="64EFDB2A" w14:textId="77777777" w:rsidR="00CF643F" w:rsidRPr="001F4636" w:rsidRDefault="00CF643F" w:rsidP="00CF643F">
      <w:pPr>
        <w:spacing w:after="0" w:line="276" w:lineRule="auto"/>
        <w:ind w:firstLine="708"/>
        <w:jc w:val="both"/>
        <w:rPr>
          <w:rFonts w:ascii="Verdana" w:eastAsia="Calibri" w:hAnsi="Verdana" w:cs="Arial"/>
          <w:color w:val="000000" w:themeColor="text1"/>
        </w:rPr>
      </w:pPr>
      <w:r w:rsidRPr="001F4636">
        <w:rPr>
          <w:rFonts w:ascii="Verdana" w:eastAsia="Calibri" w:hAnsi="Verdana" w:cs="Arial"/>
          <w:color w:val="000000" w:themeColor="text1"/>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60B7BD63" w14:textId="77777777" w:rsidR="00CF643F" w:rsidRPr="001F4636" w:rsidRDefault="00CF643F" w:rsidP="00CF643F">
      <w:pPr>
        <w:spacing w:after="0" w:line="276" w:lineRule="auto"/>
        <w:jc w:val="both"/>
        <w:rPr>
          <w:rFonts w:ascii="Verdana" w:eastAsia="Calibri" w:hAnsi="Verdana" w:cs="Arial"/>
          <w:color w:val="000000" w:themeColor="text1"/>
        </w:rPr>
      </w:pPr>
    </w:p>
    <w:p w14:paraId="03E964B9" w14:textId="77777777" w:rsidR="00CF643F" w:rsidRPr="001F683E" w:rsidRDefault="00CF643F" w:rsidP="00CF643F">
      <w:pPr>
        <w:tabs>
          <w:tab w:val="left" w:pos="8080"/>
        </w:tabs>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puede celebrarse en cualquier modalidad, siempre y cuando –claro está– su causa sea “acorde” con los planes de desarrollo, que es, en últimas, el propósito de la norma constitucional”. </w:t>
      </w:r>
    </w:p>
    <w:p w14:paraId="2BC9B3F2" w14:textId="77777777" w:rsidR="00CF643F" w:rsidRPr="001F4636" w:rsidRDefault="00CF643F" w:rsidP="00CF643F">
      <w:pPr>
        <w:spacing w:after="0" w:line="276" w:lineRule="auto"/>
        <w:jc w:val="both"/>
        <w:rPr>
          <w:rFonts w:ascii="Verdana" w:eastAsia="Calibri" w:hAnsi="Verdana" w:cs="Arial"/>
          <w:color w:val="000000" w:themeColor="text1"/>
        </w:rPr>
      </w:pPr>
      <w:r w:rsidRPr="001F4636">
        <w:rPr>
          <w:rFonts w:ascii="Verdana" w:eastAsia="Calibri" w:hAnsi="Verdana" w:cs="Arial"/>
          <w:color w:val="000000" w:themeColor="text1"/>
        </w:rPr>
        <w:t xml:space="preserve"> </w:t>
      </w:r>
    </w:p>
    <w:p w14:paraId="7409213B" w14:textId="77777777" w:rsidR="00CF643F" w:rsidRPr="001F4636" w:rsidRDefault="00CF643F" w:rsidP="00CF643F">
      <w:pPr>
        <w:spacing w:line="276" w:lineRule="auto"/>
        <w:ind w:firstLine="709"/>
        <w:jc w:val="both"/>
        <w:rPr>
          <w:rFonts w:ascii="Verdana" w:eastAsia="Calibri" w:hAnsi="Verdana" w:cs="Arial"/>
          <w:color w:val="000000" w:themeColor="text1"/>
        </w:rPr>
      </w:pPr>
      <w:bookmarkStart w:id="9" w:name="_Hlk95756534"/>
      <w:r w:rsidRPr="001F4636">
        <w:rPr>
          <w:rFonts w:ascii="Verdana" w:eastAsia="Calibri" w:hAnsi="Verdana" w:cs="Arial"/>
          <w:color w:val="000000" w:themeColor="text1"/>
        </w:rPr>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9"/>
    <w:p w14:paraId="1D4CB7DE" w14:textId="77777777" w:rsidR="00CF643F" w:rsidRPr="001F4636" w:rsidRDefault="00CF643F" w:rsidP="00CF643F">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lastRenderedPageBreak/>
        <w:t xml:space="preserve">El Consejo de Estado, en el auto del 6 de agosto de 2019, en </w:t>
      </w:r>
      <w:r w:rsidRPr="001F4636">
        <w:rPr>
          <w:rFonts w:ascii="Verdana" w:eastAsia="Calibri" w:hAnsi="Verdana" w:cs="Arial"/>
          <w:i/>
          <w:iCs/>
          <w:color w:val="000000" w:themeColor="text1"/>
        </w:rPr>
        <w:t>tercer</w:t>
      </w:r>
      <w:r w:rsidRPr="001F4636">
        <w:rPr>
          <w:rFonts w:ascii="Verdana" w:eastAsia="Calibri" w:hAnsi="Verdana" w:cs="Arial"/>
          <w:color w:val="000000" w:themeColor="text1"/>
        </w:rPr>
        <w:t xml:space="preserve"> lugar, examinó el literal c) y el inciso 5 del artículo 2 del Decreto</w:t>
      </w:r>
      <w:r w:rsidRPr="001F4636">
        <w:rPr>
          <w:rStyle w:val="Refdenotaalpie"/>
          <w:rFonts w:ascii="Verdana" w:eastAsia="Calibri" w:hAnsi="Verdana" w:cs="Arial"/>
          <w:color w:val="000000" w:themeColor="text1"/>
        </w:rPr>
        <w:footnoteReference w:id="14"/>
      </w:r>
      <w:r w:rsidRPr="001F4636">
        <w:rPr>
          <w:rFonts w:ascii="Verdana" w:eastAsia="Calibri" w:hAnsi="Verdana" w:cs="Arial"/>
          <w:color w:val="000000" w:themeColor="text1"/>
        </w:rPr>
        <w:t xml:space="preserve">, señalando que contraría la norma constitucional al condicionar que los contratos solo se pueden celebrar cuando no exista oferta en el mercado, sometiendo su celebración a que, de existir oferta, la contratación con las entidades sin ánimo de lucro represente la optimización de los recursos públicos en términos de eficiencia, eficacia, economía y manejo del riesgo, toda vez que se desconocería la naturaleza de las entidades sin ánimo de lucro que implica que ellas no participan en el mercado de bienes y servicios de la misma forma que las demás sociedades. En este sentido, el Consejo de Estado manifestó: </w:t>
      </w:r>
    </w:p>
    <w:p w14:paraId="233674A0" w14:textId="77777777" w:rsidR="00CF643F" w:rsidRPr="001F4636" w:rsidRDefault="00CF643F" w:rsidP="00CF643F">
      <w:pPr>
        <w:spacing w:after="0" w:line="276" w:lineRule="auto"/>
        <w:jc w:val="both"/>
        <w:rPr>
          <w:rFonts w:ascii="Verdana" w:eastAsia="Calibri" w:hAnsi="Verdana" w:cs="Arial"/>
          <w:color w:val="000000" w:themeColor="text1"/>
        </w:rPr>
      </w:pPr>
    </w:p>
    <w:p w14:paraId="7B24E1B5" w14:textId="77777777" w:rsidR="00CF643F" w:rsidRPr="001F683E" w:rsidRDefault="00CF643F" w:rsidP="00CF643F">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no se les pueden aplicar las reglas de selección contenidas en el Estatuto General de la Contratación Pública. Las entidades a las cuales la norma constitucional busca apoyar son entidades que (i) no tienen ánimo de lucro y (</w:t>
      </w:r>
      <w:proofErr w:type="spellStart"/>
      <w:r w:rsidRPr="001F683E">
        <w:rPr>
          <w:rFonts w:ascii="Verdana" w:eastAsia="Calibri" w:hAnsi="Verdana" w:cs="Arial"/>
          <w:color w:val="000000" w:themeColor="text1"/>
          <w:sz w:val="20"/>
          <w:szCs w:val="20"/>
        </w:rPr>
        <w:t>ii</w:t>
      </w:r>
      <w:proofErr w:type="spellEnd"/>
      <w:r w:rsidRPr="001F683E">
        <w:rPr>
          <w:rFonts w:ascii="Verdana" w:eastAsia="Calibri" w:hAnsi="Verdana" w:cs="Arial"/>
          <w:color w:val="000000" w:themeColor="text1"/>
          <w:sz w:val="20"/>
          <w:szCs w:val="20"/>
        </w:rPr>
        <w:t>) desarrollan programas y actividades de interés público con reconocida idoneidad. No son, entonces, entidades creadas para competir en el mercado”.</w:t>
      </w:r>
    </w:p>
    <w:p w14:paraId="50F3D6D0" w14:textId="77777777" w:rsidR="00CF643F" w:rsidRPr="001F4636" w:rsidRDefault="00CF643F" w:rsidP="00CF643F">
      <w:pPr>
        <w:spacing w:after="0" w:line="276" w:lineRule="auto"/>
        <w:jc w:val="both"/>
        <w:rPr>
          <w:rFonts w:ascii="Verdana" w:eastAsia="Calibri" w:hAnsi="Verdana" w:cs="Arial"/>
          <w:color w:val="000000" w:themeColor="text1"/>
        </w:rPr>
      </w:pPr>
    </w:p>
    <w:p w14:paraId="3584BF5B" w14:textId="77777777" w:rsidR="00CF643F" w:rsidRPr="001F4636" w:rsidRDefault="00CF643F" w:rsidP="00CF643F">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Contratación de la Administración Pública, no del régimen jurídico especial que establece el artículo 355 de la Constitución Política.</w:t>
      </w:r>
    </w:p>
    <w:p w14:paraId="40ADDF13" w14:textId="77777777" w:rsidR="00CF643F" w:rsidRPr="001F4636" w:rsidRDefault="00CF643F" w:rsidP="00CF643F">
      <w:pPr>
        <w:spacing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La </w:t>
      </w:r>
      <w:r w:rsidRPr="001F4636">
        <w:rPr>
          <w:rFonts w:ascii="Verdana" w:eastAsia="Calibri" w:hAnsi="Verdana" w:cs="Arial"/>
          <w:i/>
          <w:iCs/>
          <w:color w:val="000000" w:themeColor="text1"/>
        </w:rPr>
        <w:t>cuarta</w:t>
      </w:r>
      <w:r w:rsidRPr="001F4636">
        <w:rPr>
          <w:rFonts w:ascii="Verdana" w:eastAsia="Calibri" w:hAnsi="Verdana" w:cs="Arial"/>
          <w:color w:val="000000" w:themeColor="text1"/>
        </w:rPr>
        <w:t xml:space="preserve"> norma que estudió el Consejo de Estado en el auto del 6 de agosto de 2019 fue el inciso final del artículo 4 del Decreto 092 de 2017, el cual hace referencia a la posibilidad de contratar directamente cuando el objeto del </w:t>
      </w:r>
      <w:r w:rsidRPr="001F4636">
        <w:rPr>
          <w:rFonts w:ascii="Verdana" w:eastAsia="Calibri" w:hAnsi="Verdana" w:cs="Arial"/>
          <w:color w:val="000000" w:themeColor="text1"/>
        </w:rPr>
        <w:lastRenderedPageBreak/>
        <w:t>contrato esté relacionado con actividades artísticas, culturales, deportivas y de promoción de la diversidad étnica colombiana, que únicamente pueden ejecutar determinadas personas jurídicas o naturales</w:t>
      </w:r>
      <w:r w:rsidRPr="001F4636">
        <w:rPr>
          <w:rStyle w:val="Refdenotaalpie"/>
          <w:rFonts w:ascii="Verdana" w:eastAsia="Calibri" w:hAnsi="Verdana" w:cs="Arial"/>
          <w:color w:val="000000" w:themeColor="text1"/>
        </w:rPr>
        <w:footnoteReference w:id="15"/>
      </w:r>
      <w:r w:rsidRPr="001F4636">
        <w:rPr>
          <w:rFonts w:ascii="Verdana" w:eastAsia="Calibri" w:hAnsi="Verdana" w:cs="Arial"/>
          <w:color w:val="000000" w:themeColor="text1"/>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6953ADA6" w14:textId="77777777" w:rsidR="00CF643F" w:rsidRPr="001F4636" w:rsidRDefault="00CF643F" w:rsidP="00CF643F">
      <w:pPr>
        <w:spacing w:after="0" w:line="276" w:lineRule="auto"/>
        <w:jc w:val="both"/>
        <w:rPr>
          <w:rFonts w:ascii="Verdana" w:eastAsia="Calibri" w:hAnsi="Verdana" w:cs="Arial"/>
          <w:color w:val="000000" w:themeColor="text1"/>
        </w:rPr>
      </w:pPr>
    </w:p>
    <w:p w14:paraId="4A3999AA" w14:textId="77777777" w:rsidR="00CF643F" w:rsidRPr="001F683E" w:rsidRDefault="00CF643F" w:rsidP="00CF643F">
      <w:pPr>
        <w:spacing w:after="0" w:line="240" w:lineRule="auto"/>
        <w:ind w:left="708"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“Puestas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14:paraId="1EC8D8DD" w14:textId="77777777" w:rsidR="00CF643F" w:rsidRPr="001F4636" w:rsidRDefault="00CF643F" w:rsidP="00CF643F">
      <w:pPr>
        <w:spacing w:after="0" w:line="276" w:lineRule="auto"/>
        <w:ind w:firstLine="709"/>
        <w:jc w:val="both"/>
        <w:rPr>
          <w:rFonts w:ascii="Verdana" w:eastAsia="Calibri" w:hAnsi="Verdana" w:cs="Arial"/>
          <w:color w:val="000000" w:themeColor="text1"/>
        </w:rPr>
      </w:pPr>
      <w:bookmarkStart w:id="10" w:name="_Hlk95756891"/>
    </w:p>
    <w:p w14:paraId="1A34626A" w14:textId="77777777" w:rsidR="00CF643F" w:rsidRPr="001F4636" w:rsidRDefault="00CF643F" w:rsidP="00CF643F">
      <w:pPr>
        <w:spacing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10"/>
      <w:r w:rsidRPr="001F4636">
        <w:rPr>
          <w:rFonts w:ascii="Verdana" w:eastAsia="Calibri" w:hAnsi="Verdana" w:cs="Arial"/>
          <w:color w:val="000000" w:themeColor="text1"/>
        </w:rPr>
        <w:t xml:space="preserve">En estos procesos, entonces, se debe acudir a los criterios aplicables a los otros negocios jurídicos que regula el Decreto 092 de 2017, particularmente las exigencias del artículo 2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xml:space="preserve">. Incluso, habría que tener en cuenta las exigencias del inciso 2 del artículo 4 </w:t>
      </w:r>
      <w:proofErr w:type="spellStart"/>
      <w:r w:rsidRPr="001F4636">
        <w:rPr>
          <w:rFonts w:ascii="Verdana" w:eastAsia="Calibri" w:hAnsi="Verdana" w:cs="Arial"/>
          <w:i/>
          <w:iCs/>
          <w:color w:val="000000" w:themeColor="text1"/>
        </w:rPr>
        <w:t>íbídem</w:t>
      </w:r>
      <w:proofErr w:type="spellEnd"/>
      <w:r w:rsidRPr="001F4636">
        <w:rPr>
          <w:rFonts w:ascii="Verdana" w:eastAsia="Calibri" w:hAnsi="Verdana" w:cs="Arial"/>
          <w:color w:val="000000" w:themeColor="text1"/>
        </w:rPr>
        <w:t>, siempre que se configuren los supuestos de aplicación de dicha normativa, esto es, siempre que exista más de una entidad sin ánimo de lucro de reconocida idoneidad.</w:t>
      </w:r>
    </w:p>
    <w:p w14:paraId="66B044F6" w14:textId="77777777" w:rsidR="00CF643F" w:rsidRPr="001F4636" w:rsidRDefault="00CF643F" w:rsidP="00CF643F">
      <w:pPr>
        <w:spacing w:before="120" w:line="276" w:lineRule="auto"/>
        <w:ind w:firstLine="709"/>
        <w:jc w:val="both"/>
        <w:rPr>
          <w:rFonts w:ascii="Verdana" w:eastAsia="Calibri" w:hAnsi="Verdana" w:cs="Arial"/>
          <w:color w:val="000000" w:themeColor="text1"/>
        </w:rPr>
      </w:pPr>
      <w:bookmarkStart w:id="11" w:name="_Hlk95757095"/>
      <w:r w:rsidRPr="001F4636">
        <w:rPr>
          <w:rFonts w:ascii="Verdana" w:eastAsia="Calibri" w:hAnsi="Verdana" w:cs="Arial"/>
          <w:color w:val="000000" w:themeColor="text1"/>
        </w:rPr>
        <w:lastRenderedPageBreak/>
        <w:t xml:space="preserve">Por último, en </w:t>
      </w:r>
      <w:r w:rsidRPr="001F4636">
        <w:rPr>
          <w:rFonts w:ascii="Verdana" w:eastAsia="Calibri" w:hAnsi="Verdana" w:cs="Arial"/>
          <w:i/>
          <w:iCs/>
          <w:color w:val="000000" w:themeColor="text1"/>
        </w:rPr>
        <w:t xml:space="preserve">quinto </w:t>
      </w:r>
      <w:r w:rsidRPr="001F4636">
        <w:rPr>
          <w:rFonts w:ascii="Verdana" w:eastAsia="Calibri" w:hAnsi="Verdana" w:cs="Arial"/>
          <w:color w:val="000000" w:themeColor="text1"/>
        </w:rPr>
        <w:t xml:space="preserve">lugar, el Consejo de Estado en el auto del 6 de agosto de 2019 analizó la solicitud de suspensión del artículo 5 del Decreto 092 de 2017, que reglamenta los convenios de asociación que prevé el artículo 96 de la Ley 489 de 1998. Concluyó que el análisis de esta norma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w:t>
      </w:r>
    </w:p>
    <w:p w14:paraId="13528403" w14:textId="77777777" w:rsidR="00CF643F" w:rsidRPr="001F4636" w:rsidRDefault="00CF643F" w:rsidP="00CF643F">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La Sala Plena del Consejo de Estado en Auto del 15 de marzo de 2022 estima que debe mantenerse la suspensión provisional del literal a) del artículo 2 del Decreto 092 de 2017. Lo anterior en la medida que esta restringe y contraria la finalidad de apoyo y fomento prevista en el artículo 355 de la Constitución Política, pues –pese a que la norma superior no hizo diferenciación alguna al respecto– el decreto limita su órbita de aplicación a un catálogo de actividades y programas de interés público susceptibles de este mecanismo</w:t>
      </w:r>
      <w:r w:rsidRPr="001F4636">
        <w:rPr>
          <w:rStyle w:val="Refdenotaalpie"/>
          <w:rFonts w:ascii="Verdana" w:eastAsia="Calibri" w:hAnsi="Verdana" w:cs="Arial"/>
          <w:color w:val="000000" w:themeColor="text1"/>
        </w:rPr>
        <w:footnoteReference w:id="16"/>
      </w:r>
      <w:r w:rsidRPr="001F4636">
        <w:rPr>
          <w:rFonts w:ascii="Verdana" w:eastAsia="Calibri" w:hAnsi="Verdana" w:cs="Arial"/>
          <w:color w:val="000000" w:themeColor="text1"/>
        </w:rPr>
        <w:t xml:space="preserve">. Por lo demás, respecto al inciso final del artículo 4 </w:t>
      </w:r>
      <w:r w:rsidRPr="001F4636">
        <w:rPr>
          <w:rFonts w:ascii="Verdana" w:eastAsia="Calibri" w:hAnsi="Verdana" w:cs="Arial"/>
          <w:i/>
          <w:iCs/>
          <w:color w:val="000000" w:themeColor="text1"/>
        </w:rPr>
        <w:t>ibidem</w:t>
      </w:r>
      <w:r w:rsidRPr="001F4636">
        <w:rPr>
          <w:rFonts w:ascii="Verdana" w:eastAsia="Calibri" w:hAnsi="Verdana" w:cs="Arial"/>
          <w:color w:val="000000" w:themeColor="text1"/>
        </w:rPr>
        <w:t>, el Consejo de Estado mantiene la medida cautelar al configurarse el cargo de violación del principio de igualdad. Para estos efectos, considera que:</w:t>
      </w:r>
    </w:p>
    <w:p w14:paraId="5F9F171E" w14:textId="77777777" w:rsidR="00CF643F" w:rsidRPr="001F4636" w:rsidRDefault="00CF643F" w:rsidP="00CF643F">
      <w:pPr>
        <w:spacing w:after="0" w:line="276" w:lineRule="auto"/>
        <w:ind w:firstLine="709"/>
        <w:jc w:val="both"/>
        <w:rPr>
          <w:rFonts w:ascii="Verdana" w:eastAsia="Calibri" w:hAnsi="Verdana" w:cs="Arial"/>
          <w:color w:val="000000" w:themeColor="text1"/>
        </w:rPr>
      </w:pPr>
    </w:p>
    <w:p w14:paraId="7546C44B" w14:textId="77777777" w:rsidR="00CF643F" w:rsidRPr="001F683E" w:rsidRDefault="00CF643F" w:rsidP="00CF643F">
      <w:pPr>
        <w:spacing w:after="120"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 xml:space="preserve">“73. […] la simple afirmación referida a que existe una relación inherente entre el producto del contrato y el contratista en las actividades exceptuadas del proceso competitivo de selección no permite concluir, razonablemente, que en las demás actividades de interés general aquello no se presente, o que, por ese simple hecho, merezcan un trato diferente. </w:t>
      </w:r>
    </w:p>
    <w:p w14:paraId="36E56EC0" w14:textId="77777777" w:rsidR="00CF643F" w:rsidRPr="001F683E" w:rsidRDefault="00CF643F" w:rsidP="00CF643F">
      <w:pPr>
        <w:spacing w:after="0" w:line="240" w:lineRule="auto"/>
        <w:ind w:left="709" w:right="709"/>
        <w:jc w:val="both"/>
        <w:rPr>
          <w:rFonts w:ascii="Verdana" w:eastAsia="Calibri" w:hAnsi="Verdana" w:cs="Arial"/>
          <w:color w:val="000000" w:themeColor="text1"/>
          <w:sz w:val="20"/>
          <w:szCs w:val="20"/>
        </w:rPr>
      </w:pPr>
      <w:r w:rsidRPr="001F683E">
        <w:rPr>
          <w:rFonts w:ascii="Verdana" w:eastAsia="Calibri" w:hAnsi="Verdana" w:cs="Arial"/>
          <w:color w:val="000000" w:themeColor="text1"/>
          <w:sz w:val="20"/>
          <w:szCs w:val="20"/>
        </w:rPr>
        <w:t>74. En efecto, si en otros ámbitos de actividad de interés público que pueden adelantar entidades privadas sin ánimo de lucro se llega a presentar la situación de que sólo una de ellas esté en capacidad de realizarla, no será factible contratar directamente con ella, puesto que no hace parte de las actividades enunciadas en la norma: de índole artística, cultural, deportiva o de promoción de la diversidad étnica”</w:t>
      </w:r>
      <w:r w:rsidRPr="001F683E">
        <w:rPr>
          <w:rStyle w:val="Refdenotaalpie"/>
          <w:rFonts w:ascii="Verdana" w:eastAsia="Calibri" w:hAnsi="Verdana" w:cs="Arial"/>
          <w:color w:val="000000" w:themeColor="text1"/>
          <w:sz w:val="20"/>
          <w:szCs w:val="20"/>
        </w:rPr>
        <w:footnoteReference w:id="17"/>
      </w:r>
      <w:r w:rsidRPr="001F683E">
        <w:rPr>
          <w:rFonts w:ascii="Verdana" w:eastAsia="Calibri" w:hAnsi="Verdana" w:cs="Arial"/>
          <w:color w:val="000000" w:themeColor="text1"/>
          <w:sz w:val="20"/>
          <w:szCs w:val="20"/>
        </w:rPr>
        <w:t xml:space="preserve">.  </w:t>
      </w:r>
    </w:p>
    <w:p w14:paraId="1AD69F2F" w14:textId="77777777" w:rsidR="00CF643F" w:rsidRPr="001F4636" w:rsidRDefault="00CF643F" w:rsidP="00CF643F">
      <w:pPr>
        <w:spacing w:after="0" w:line="276" w:lineRule="auto"/>
        <w:ind w:firstLine="709"/>
        <w:jc w:val="both"/>
        <w:rPr>
          <w:rFonts w:ascii="Verdana" w:eastAsia="Calibri" w:hAnsi="Verdana" w:cs="Arial"/>
          <w:color w:val="000000" w:themeColor="text1"/>
        </w:rPr>
      </w:pPr>
    </w:p>
    <w:p w14:paraId="36A582F9" w14:textId="77777777" w:rsidR="00CF643F" w:rsidRPr="001F4636" w:rsidRDefault="00CF643F" w:rsidP="00CF643F">
      <w:pPr>
        <w:spacing w:line="276" w:lineRule="auto"/>
        <w:ind w:firstLine="709"/>
        <w:jc w:val="both"/>
        <w:rPr>
          <w:rFonts w:ascii="Verdana" w:eastAsia="Calibri" w:hAnsi="Verdana" w:cs="Arial"/>
          <w:color w:val="000000" w:themeColor="text1"/>
        </w:rPr>
      </w:pPr>
      <w:bookmarkStart w:id="13" w:name="_Hlk95757157"/>
      <w:bookmarkEnd w:id="11"/>
      <w:r w:rsidRPr="001F4636">
        <w:rPr>
          <w:rFonts w:ascii="Verdana" w:hAnsi="Verdana" w:cs="Arial"/>
          <w:color w:val="000000" w:themeColor="text1"/>
        </w:rPr>
        <w:lastRenderedPageBreak/>
        <w:t xml:space="preserve">De lo anterior se desprende que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w:t>
      </w:r>
      <w:proofErr w:type="spellStart"/>
      <w:r w:rsidRPr="001F4636">
        <w:rPr>
          <w:rFonts w:ascii="Verdana" w:hAnsi="Verdana" w:cs="Arial"/>
          <w:color w:val="000000" w:themeColor="text1"/>
        </w:rPr>
        <w:t>ii</w:t>
      </w:r>
      <w:proofErr w:type="spellEnd"/>
      <w:r w:rsidRPr="001F463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1F4636">
        <w:rPr>
          <w:rFonts w:ascii="Verdana" w:hAnsi="Verdana" w:cs="Arial"/>
          <w:color w:val="000000" w:themeColor="text1"/>
        </w:rPr>
        <w:t>iii</w:t>
      </w:r>
      <w:proofErr w:type="spellEnd"/>
      <w:r w:rsidRPr="001F4636">
        <w:rPr>
          <w:rFonts w:ascii="Verdana" w:hAnsi="Verdana" w:cs="Arial"/>
          <w:color w:val="000000" w:themeColor="text1"/>
        </w:rPr>
        <w:t xml:space="preserve">) el objeto del contrato debe estar acorde con el plan nacional o seccional de desarrollo; </w:t>
      </w:r>
      <w:proofErr w:type="spellStart"/>
      <w:r w:rsidRPr="001F4636">
        <w:rPr>
          <w:rFonts w:ascii="Verdana" w:hAnsi="Verdana" w:cs="Arial"/>
          <w:color w:val="000000" w:themeColor="text1"/>
        </w:rPr>
        <w:t>iv</w:t>
      </w:r>
      <w:proofErr w:type="spellEnd"/>
      <w:r w:rsidRPr="001F463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F4636">
        <w:rPr>
          <w:rFonts w:ascii="Verdana" w:hAnsi="Verdana" w:cs="Arial"/>
          <w:color w:val="000000" w:themeColor="text1"/>
        </w:rPr>
        <w:t>iii</w:t>
      </w:r>
      <w:proofErr w:type="spellEnd"/>
      <w:r w:rsidRPr="001F463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069E6D71" w14:textId="77777777" w:rsidR="00CF643F" w:rsidRPr="001F4636" w:rsidRDefault="00CF643F" w:rsidP="00CF643F">
      <w:pPr>
        <w:spacing w:before="120" w:after="0" w:line="276" w:lineRule="auto"/>
        <w:ind w:firstLine="709"/>
        <w:jc w:val="both"/>
        <w:rPr>
          <w:rFonts w:ascii="Verdana" w:eastAsia="Calibri" w:hAnsi="Verdana" w:cs="Arial"/>
          <w:color w:val="000000" w:themeColor="text1"/>
        </w:rPr>
      </w:pPr>
      <w:r w:rsidRPr="001F4636">
        <w:rPr>
          <w:rFonts w:ascii="Verdana" w:eastAsia="Calibri" w:hAnsi="Verdana" w:cs="Arial"/>
          <w:color w:val="000000" w:themeColor="text1"/>
        </w:rPr>
        <w:t xml:space="preserve">Ahora, si se pretende realizar un </w:t>
      </w:r>
      <w:r w:rsidRPr="001F4636">
        <w:rPr>
          <w:rFonts w:ascii="Verdana" w:eastAsia="Calibri" w:hAnsi="Verdana" w:cs="Arial"/>
          <w:i/>
          <w:iCs/>
          <w:color w:val="000000" w:themeColor="text1"/>
        </w:rPr>
        <w:t>convenio de asociación</w:t>
      </w:r>
      <w:r w:rsidRPr="001F463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w:t>
      </w:r>
      <w:bookmarkEnd w:id="13"/>
      <w:r w:rsidRPr="001F4636">
        <w:rPr>
          <w:rFonts w:ascii="Verdana" w:eastAsia="Calibri" w:hAnsi="Verdana" w:cs="Arial"/>
          <w:color w:val="000000" w:themeColor="text1"/>
        </w:rPr>
        <w:t>deben estar sujetos a competencia, salvo en aquellos casos en que una entidad sin ánimo de lucro comprometa recursos en dinero por un valor igual o superior al 30% del valor total del convenio</w:t>
      </w:r>
      <w:r w:rsidRPr="001F4636">
        <w:rPr>
          <w:rStyle w:val="Refdenotaalpie"/>
          <w:rFonts w:ascii="Verdana" w:hAnsi="Verdana" w:cs="Arial"/>
          <w:color w:val="000000" w:themeColor="text1"/>
          <w:sz w:val="20"/>
          <w:szCs w:val="20"/>
        </w:rPr>
        <w:footnoteReference w:id="18"/>
      </w:r>
      <w:r w:rsidRPr="001F463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Pr="001F4636">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1F4636">
        <w:rPr>
          <w:rFonts w:ascii="Verdana" w:eastAsia="Calibri" w:hAnsi="Verdana" w:cs="Arial"/>
          <w:color w:val="000000" w:themeColor="text1"/>
        </w:rPr>
        <w:t>.</w:t>
      </w:r>
    </w:p>
    <w:p w14:paraId="06D93982" w14:textId="77777777" w:rsidR="00CF643F" w:rsidRDefault="00CF643F" w:rsidP="00CF643F">
      <w:pPr>
        <w:spacing w:before="120" w:after="0" w:line="276" w:lineRule="auto"/>
        <w:ind w:firstLine="709"/>
        <w:jc w:val="both"/>
        <w:rPr>
          <w:rFonts w:ascii="Verdana" w:hAnsi="Verdana" w:cs="Arial"/>
          <w:color w:val="000000" w:themeColor="text1"/>
        </w:rPr>
      </w:pPr>
      <w:r w:rsidRPr="001F4636">
        <w:rPr>
          <w:rFonts w:ascii="Verdana" w:eastAsia="Calibri" w:hAnsi="Verdana" w:cs="Arial"/>
          <w:color w:val="000000" w:themeColor="text1"/>
        </w:rPr>
        <w:lastRenderedPageBreak/>
        <w:t xml:space="preserve">Independientemente de que se trate de </w:t>
      </w:r>
      <w:r w:rsidRPr="001F4636">
        <w:rPr>
          <w:rFonts w:ascii="Verdana" w:hAnsi="Verdana" w:cs="Arial"/>
          <w:color w:val="000000" w:themeColor="text1"/>
        </w:rPr>
        <w:t>contratos de interés público, en los términos del artículo 355 de la Constitución Política, o de convenios de asociación del artículo 96 de la Ley 489 de 1998, en ambos negocios jurídicos aplica el régimen de inhabilidades e incompatibilidades de las entidades sometidas al Estatuto General de Contratación Pública. Al respecto, el artículo 6 del Decreto 092 de 2017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 Este reglamento autónomo también remite a los principios de la contratación estatal y a las normas presupuestales –art. 7–, así como de las normas generales de la contratación pública excepto en lo reglamentado en dicho decreto –art. 8–.</w:t>
      </w:r>
    </w:p>
    <w:p w14:paraId="567FDF35" w14:textId="77777777" w:rsidR="00CF643F" w:rsidRDefault="00CF643F" w:rsidP="00CF643F">
      <w:pPr>
        <w:spacing w:after="0" w:line="276" w:lineRule="auto"/>
        <w:ind w:firstLine="709"/>
        <w:jc w:val="both"/>
        <w:rPr>
          <w:rFonts w:ascii="Verdana" w:hAnsi="Verdana" w:cs="Arial"/>
          <w:color w:val="000000" w:themeColor="text1"/>
        </w:rPr>
      </w:pPr>
    </w:p>
    <w:p w14:paraId="02A2C9D3" w14:textId="77777777" w:rsidR="00CF643F" w:rsidRPr="00323178" w:rsidRDefault="00CF643F" w:rsidP="00CF643F">
      <w:pPr>
        <w:spacing w:after="120" w:line="276" w:lineRule="auto"/>
        <w:jc w:val="both"/>
        <w:rPr>
          <w:rFonts w:ascii="Verdana" w:eastAsia="Calibri" w:hAnsi="Verdana" w:cs="Arial"/>
        </w:rPr>
      </w:pPr>
      <w:proofErr w:type="spellStart"/>
      <w:r>
        <w:rPr>
          <w:rFonts w:ascii="Verdana" w:hAnsi="Verdana" w:cs="Arial"/>
          <w:color w:val="000000" w:themeColor="text1"/>
        </w:rPr>
        <w:t>iii</w:t>
      </w:r>
      <w:proofErr w:type="spellEnd"/>
      <w:r>
        <w:rPr>
          <w:rFonts w:ascii="Verdana" w:hAnsi="Verdana" w:cs="Arial"/>
          <w:color w:val="000000" w:themeColor="text1"/>
        </w:rPr>
        <w:t xml:space="preserve">. </w:t>
      </w:r>
      <w:r>
        <w:rPr>
          <w:rFonts w:ascii="Verdana" w:eastAsia="Calibri" w:hAnsi="Verdana" w:cs="Arial"/>
        </w:rPr>
        <w:t>Ahora bien, e</w:t>
      </w:r>
      <w:r w:rsidRPr="00323178">
        <w:rPr>
          <w:rFonts w:ascii="Verdana" w:eastAsia="Calibri" w:hAnsi="Verdana" w:cs="Arial"/>
        </w:rPr>
        <w:t>xisten algunas disposiciones normativas que habilitan a diferentes Entidades Estatales para suscribir contratos o convenios en unos eventos en particular, como es el caso del artículo 3 de la Ley 1575 de 2012</w:t>
      </w:r>
      <w:r w:rsidRPr="00323178">
        <w:rPr>
          <w:rFonts w:ascii="Verdana" w:hAnsi="Verdana"/>
          <w:vertAlign w:val="superscript"/>
        </w:rPr>
        <w:footnoteReference w:id="19"/>
      </w:r>
      <w:r w:rsidRPr="00323178">
        <w:rPr>
          <w:rFonts w:ascii="Verdana" w:eastAsia="Calibri" w:hAnsi="Verdana" w:cs="Arial"/>
        </w:rPr>
        <w:t>, sobre contratación con cuerpos de bomberos; el artículo 6 de la Ley 1551 de 2012</w:t>
      </w:r>
      <w:r w:rsidRPr="00323178">
        <w:rPr>
          <w:rFonts w:ascii="Verdana" w:hAnsi="Verdana"/>
          <w:vertAlign w:val="superscript"/>
        </w:rPr>
        <w:footnoteReference w:id="20"/>
      </w:r>
      <w:r w:rsidRPr="00323178">
        <w:rPr>
          <w:rFonts w:ascii="Verdana" w:eastAsia="Calibri" w:hAnsi="Verdana" w:cs="Arial"/>
        </w:rPr>
        <w:t xml:space="preserve">, en materia de convenios solidarios; o el parágrafo del artículo 8 de la Ley 1276 de 2009, modificado por el artículo 16 de la Ley 1850 de 2017, que se refiere a los convenios para el manejo de los denominados </w:t>
      </w:r>
      <w:r w:rsidRPr="00323178">
        <w:rPr>
          <w:rFonts w:ascii="Verdana" w:eastAsia="Calibri" w:hAnsi="Verdana" w:cs="Arial"/>
          <w:i/>
          <w:iCs/>
        </w:rPr>
        <w:t xml:space="preserve">Centros Vida, Centros de Bienestar del Anciano y Granjas del Adulto Mayor </w:t>
      </w:r>
      <w:r w:rsidRPr="00323178">
        <w:rPr>
          <w:rFonts w:ascii="Verdana" w:eastAsia="Calibri" w:hAnsi="Verdana" w:cs="Arial"/>
        </w:rPr>
        <w:t xml:space="preserve">– a los cuales hace referencia en su consulta. </w:t>
      </w:r>
    </w:p>
    <w:p w14:paraId="3A2567C3" w14:textId="77777777" w:rsidR="00CF643F" w:rsidRDefault="00CF643F" w:rsidP="00CF643F">
      <w:pPr>
        <w:spacing w:after="120" w:line="276" w:lineRule="auto"/>
        <w:ind w:firstLine="709"/>
        <w:jc w:val="both"/>
        <w:rPr>
          <w:rFonts w:ascii="Verdana" w:eastAsia="Calibri" w:hAnsi="Verdana" w:cs="Arial"/>
        </w:rPr>
      </w:pPr>
      <w:r w:rsidRPr="00122993">
        <w:rPr>
          <w:rFonts w:ascii="Verdana" w:eastAsia="Calibri" w:hAnsi="Verdana" w:cs="Arial"/>
        </w:rPr>
        <w:t xml:space="preserve">Algunas de estas normas remiten directamente al estatuto aplicable, como ocurre con el artículo 6 de la Ley 1551 de 2012, cuyo numeral 16 remite al </w:t>
      </w:r>
      <w:r w:rsidRPr="00122993">
        <w:rPr>
          <w:rFonts w:ascii="Verdana" w:eastAsia="Calibri" w:hAnsi="Verdana" w:cs="Arial"/>
        </w:rPr>
        <w:lastRenderedPageBreak/>
        <w:t xml:space="preserve">artículo 355 de la Constitución, esto es, al Decreto 092 de 2017, </w:t>
      </w:r>
      <w:r>
        <w:rPr>
          <w:rFonts w:ascii="Verdana" w:eastAsia="Calibri" w:hAnsi="Verdana" w:cs="Arial"/>
        </w:rPr>
        <w:t>dado</w:t>
      </w:r>
      <w:r w:rsidRPr="00122993">
        <w:rPr>
          <w:rFonts w:ascii="Verdana" w:eastAsia="Calibri" w:hAnsi="Verdana" w:cs="Arial"/>
        </w:rPr>
        <w:t xml:space="preserve"> que este Decreto reguló ese artículo constitucional. Sin embargo, hay otras que no se refieren ni directa ni indirectamente al régimen contractual aplicable, como es el caso del referido parágrafo del artículo 8 de la Ley 1276 de 2009 –tema objeto del presente concepto–.</w:t>
      </w:r>
    </w:p>
    <w:p w14:paraId="480A81F4" w14:textId="77777777" w:rsidR="00CF643F" w:rsidRPr="001861FA" w:rsidRDefault="00CF643F" w:rsidP="00CF643F">
      <w:pPr>
        <w:spacing w:before="120" w:line="276" w:lineRule="auto"/>
        <w:ind w:firstLine="709"/>
        <w:jc w:val="both"/>
        <w:rPr>
          <w:rFonts w:ascii="Verdana" w:eastAsia="Calibri" w:hAnsi="Verdana" w:cs="Arial"/>
          <w:color w:val="000000" w:themeColor="text1"/>
        </w:rPr>
      </w:pPr>
      <w:r w:rsidRPr="001861FA">
        <w:rPr>
          <w:rFonts w:ascii="Verdana" w:eastAsia="Calibri" w:hAnsi="Verdana" w:cs="Arial"/>
          <w:color w:val="000000" w:themeColor="text1"/>
        </w:rPr>
        <w:t>Anteriormente, el numeral 16.1 de la versión 1 de la Circular Externa Única disponía lo siguiente: “El Decreto 092 de 2017 no es aplicable a las contrataciones que cuentan con una norma especial que las regula. A la fecha se han identificado algunas especiales, no obstante, es posible que las Entidades Estatales en el cumplimiento de sus funciones identifiquen otras adicionales”. Sin embargo, este aparte no se reprodujo en la versión 2, aprobada el 15 de julio de 2022, ni en la versión 3, aprobada el 27 de diciembre de 2023, las cuales no se refieren a la contratación con ESAL</w:t>
      </w:r>
      <w:r w:rsidRPr="001861FA">
        <w:rPr>
          <w:rStyle w:val="Refdenotaalpie"/>
          <w:rFonts w:ascii="Verdana" w:eastAsia="Calibri" w:hAnsi="Verdana" w:cs="Arial"/>
          <w:color w:val="000000" w:themeColor="text1"/>
        </w:rPr>
        <w:footnoteReference w:id="21"/>
      </w:r>
      <w:r w:rsidRPr="001861FA">
        <w:rPr>
          <w:rFonts w:ascii="Verdana" w:eastAsia="Calibri" w:hAnsi="Verdana" w:cs="Arial"/>
          <w:color w:val="000000" w:themeColor="text1"/>
        </w:rPr>
        <w:t>. Dado que la versión 1 se encuentra derogada, es claro que ésta no complementa la versión 3. Por ello, con la derogatoria de la versión 1, cesó la obligación de la Agencia de identificar las dichas “normas especiales” a través de circular.</w:t>
      </w:r>
      <w:r w:rsidRPr="001861FA">
        <w:rPr>
          <w:rFonts w:ascii="Verdana" w:eastAsia="Calibri" w:hAnsi="Verdana" w:cs="Arial"/>
        </w:rPr>
        <w:t xml:space="preserve"> </w:t>
      </w:r>
    </w:p>
    <w:p w14:paraId="56283D83" w14:textId="77777777" w:rsidR="00CF643F" w:rsidRPr="00122993" w:rsidRDefault="00CF643F" w:rsidP="00CF643F">
      <w:pPr>
        <w:spacing w:after="120" w:line="276" w:lineRule="auto"/>
        <w:ind w:firstLine="709"/>
        <w:jc w:val="both"/>
        <w:rPr>
          <w:rFonts w:ascii="Verdana" w:eastAsia="Calibri" w:hAnsi="Verdana" w:cs="Arial"/>
        </w:rPr>
      </w:pPr>
      <w:r>
        <w:rPr>
          <w:rFonts w:ascii="Verdana" w:eastAsia="Calibri" w:hAnsi="Verdana" w:cs="Arial"/>
        </w:rPr>
        <w:t>No obstante</w:t>
      </w:r>
      <w:r w:rsidRPr="00122993">
        <w:rPr>
          <w:rFonts w:ascii="Verdana" w:eastAsia="Calibri" w:hAnsi="Verdana" w:cs="Arial"/>
        </w:rPr>
        <w:t xml:space="preserve">, la Agencia Nacional de Contratación Pública – Colombia Compra Eficiente ha considerado, en </w:t>
      </w:r>
      <w:r>
        <w:rPr>
          <w:rFonts w:ascii="Verdana" w:eastAsia="Calibri" w:hAnsi="Verdana" w:cs="Arial"/>
        </w:rPr>
        <w:t>C</w:t>
      </w:r>
      <w:r w:rsidRPr="00122993">
        <w:rPr>
          <w:rFonts w:ascii="Verdana" w:eastAsia="Calibri" w:hAnsi="Verdana" w:cs="Arial"/>
        </w:rPr>
        <w:t xml:space="preserve">onceptos como el C-078 del 25 de abril de 2023 y el C-203 del 21 de junio de 2023, que esas normas no contienen regímenes de contratación diferentes a los que dispuso la Constitución Política, lo que implica que los contratos o convenios a los que dichas normas se refieren tendrán que tramitarse teniendo en cuenta las disposiciones de alguno de </w:t>
      </w:r>
      <w:r>
        <w:rPr>
          <w:rFonts w:ascii="Verdana" w:eastAsia="Calibri" w:hAnsi="Verdana" w:cs="Arial"/>
        </w:rPr>
        <w:t>los siguientes</w:t>
      </w:r>
      <w:r w:rsidRPr="00122993">
        <w:rPr>
          <w:rFonts w:ascii="Verdana" w:eastAsia="Calibri" w:hAnsi="Verdana" w:cs="Arial"/>
        </w:rPr>
        <w:t xml:space="preserve"> tres (3) regímenes de contratación: el que contiene el EGCAP, el régimen exceptuado que corresponde por la naturaleza de la entidad contratante –por ejemplo las Empresas Sociales del Estado o las instituciones educativas– o el que regula el Decreto 092 de 2017. </w:t>
      </w:r>
    </w:p>
    <w:p w14:paraId="60CCBC8E" w14:textId="77777777" w:rsidR="00CF643F" w:rsidRPr="00223A8D" w:rsidRDefault="00CF643F" w:rsidP="00CF643F">
      <w:pPr>
        <w:spacing w:after="0" w:line="276" w:lineRule="auto"/>
        <w:ind w:firstLine="709"/>
        <w:jc w:val="both"/>
        <w:rPr>
          <w:rFonts w:ascii="Verdana" w:eastAsia="Calibri" w:hAnsi="Verdana" w:cs="Arial"/>
        </w:rPr>
      </w:pPr>
      <w:r w:rsidRPr="00223A8D">
        <w:rPr>
          <w:rFonts w:ascii="Verdana" w:eastAsia="Calibri" w:hAnsi="Verdana" w:cs="Arial"/>
        </w:rPr>
        <w:t>La aplicación de esos regímenes de contratación no es facultativa, pues en todo caso, dependerá de la remisión que hacen estas normas a un estatuto en particular –si lo hacen–, así como también de las particularidades del Proceso de Contratación y de la naturaleza jurídica de la entidad contratante o la de la persona jurídica con la que las entidades pretenden contratar.</w:t>
      </w:r>
      <w:r>
        <w:rPr>
          <w:rFonts w:ascii="Verdana" w:eastAsia="Calibri" w:hAnsi="Verdana" w:cs="Arial"/>
        </w:rPr>
        <w:t xml:space="preserve"> </w:t>
      </w:r>
      <w:r w:rsidRPr="00223A8D">
        <w:rPr>
          <w:rFonts w:ascii="Verdana" w:eastAsia="Calibri" w:hAnsi="Verdana" w:cs="Arial"/>
        </w:rPr>
        <w:t xml:space="preserve">En ese sentido, </w:t>
      </w:r>
      <w:r w:rsidRPr="00223A8D">
        <w:rPr>
          <w:rFonts w:ascii="Verdana" w:eastAsia="Calibri" w:hAnsi="Verdana" w:cs="Arial"/>
        </w:rPr>
        <w:lastRenderedPageBreak/>
        <w:t>el artículo 8 de la Ley 1276 de 2009 modificado por el artículo 16 de la Ley 1850 de 2017 (vigente desde 19 de julio del año 2017) señala:</w:t>
      </w:r>
    </w:p>
    <w:p w14:paraId="296A77FE" w14:textId="77777777" w:rsidR="00CF643F" w:rsidRPr="00323178" w:rsidRDefault="00CF643F" w:rsidP="00CF643F">
      <w:pPr>
        <w:spacing w:after="0" w:line="276" w:lineRule="auto"/>
        <w:ind w:firstLine="709"/>
        <w:jc w:val="both"/>
        <w:rPr>
          <w:rFonts w:ascii="Verdana" w:eastAsia="Calibri" w:hAnsi="Verdana" w:cs="Arial"/>
        </w:rPr>
      </w:pPr>
    </w:p>
    <w:p w14:paraId="748A0E08" w14:textId="77777777" w:rsidR="00CF643F" w:rsidRPr="00323178" w:rsidRDefault="00CF643F" w:rsidP="00CF643F">
      <w:pPr>
        <w:spacing w:after="12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“Artículo 16. </w:t>
      </w:r>
      <w:proofErr w:type="spellStart"/>
      <w:r w:rsidRPr="00323178">
        <w:rPr>
          <w:rFonts w:ascii="Verdana" w:eastAsia="Calibri" w:hAnsi="Verdana" w:cs="Arial"/>
          <w:sz w:val="20"/>
          <w:szCs w:val="20"/>
        </w:rPr>
        <w:t>Modifícase</w:t>
      </w:r>
      <w:proofErr w:type="spellEnd"/>
      <w:r w:rsidRPr="00323178">
        <w:rPr>
          <w:rFonts w:ascii="Verdana" w:eastAsia="Calibri" w:hAnsi="Verdana" w:cs="Arial"/>
          <w:sz w:val="20"/>
          <w:szCs w:val="20"/>
        </w:rPr>
        <w:t xml:space="preserve"> el artículo 8o de la Ley 1276 de 2009. A través del cual se modifica el artículo 5o de la Ley 687 de 2001, el cual quedará así:</w:t>
      </w:r>
    </w:p>
    <w:p w14:paraId="6F494309" w14:textId="77777777" w:rsidR="00CF643F" w:rsidRPr="00323178" w:rsidRDefault="00CF643F" w:rsidP="00CF643F">
      <w:pPr>
        <w:spacing w:after="12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Artículo 8o. </w:t>
      </w:r>
      <w:proofErr w:type="spellStart"/>
      <w:r w:rsidRPr="00323178">
        <w:rPr>
          <w:rFonts w:ascii="Verdana" w:eastAsia="Calibri" w:hAnsi="Verdana" w:cs="Arial"/>
          <w:sz w:val="20"/>
          <w:szCs w:val="20"/>
        </w:rPr>
        <w:t>Modifícase</w:t>
      </w:r>
      <w:proofErr w:type="spellEnd"/>
      <w:r w:rsidRPr="00323178">
        <w:rPr>
          <w:rFonts w:ascii="Verdana" w:eastAsia="Calibri" w:hAnsi="Verdana" w:cs="Arial"/>
          <w:sz w:val="20"/>
          <w:szCs w:val="20"/>
        </w:rPr>
        <w:t xml:space="preserve"> el artículo 5o de la Ley 687 de 2001, el cual quedará así: Responsabilidad. El Gobernador o el Alcalde municipal o Distrital será el responsable de sus recursos recaudados por la estampilla en el desarrollo de los programas que se deriven de su inversión en la respectiva jurisdicción, dando cumplimiento a lo relacionado en su plan de desarrollo para el grupo poblacional al que se refiere la presente ley, y delegará en la dependencia competente, la ejecución de los proyectos que componen los Centros Vida, Centros de Bienestar del Anciano y Granjas para adulto mayor, creando todos los sistemas de información que permitan un seguimiento completo de la gestión realizada por estos.</w:t>
      </w:r>
    </w:p>
    <w:p w14:paraId="689DB351" w14:textId="77777777" w:rsidR="00CF643F" w:rsidRPr="00323178" w:rsidRDefault="00CF643F" w:rsidP="00CF643F">
      <w:pPr>
        <w:spacing w:after="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Parágrafo. </w:t>
      </w:r>
      <w:r w:rsidRPr="00323178">
        <w:rPr>
          <w:rFonts w:ascii="Verdana" w:eastAsia="Calibri" w:hAnsi="Verdana" w:cs="Arial"/>
          <w:i/>
          <w:sz w:val="20"/>
          <w:szCs w:val="20"/>
        </w:rPr>
        <w:t>La ejecución de los recursos en los departamentos, distritos y municipios se podrá realizar a través de convenios con entidades reconocidas para el manejo de los Centros Vida, Centros de Bienestar del Anciano y Granjas para adulto mayor</w:t>
      </w:r>
      <w:r w:rsidRPr="00323178">
        <w:rPr>
          <w:rFonts w:ascii="Verdana" w:eastAsia="Calibri" w:hAnsi="Verdana" w:cs="Arial"/>
          <w:sz w:val="20"/>
          <w:szCs w:val="20"/>
        </w:rPr>
        <w:t>, no obstante, estos deberán prever dentro de su estructura administrativa la unidad encargada de su seguimiento y control como estrategia de una política pública orientada a mejorar las condiciones de vida de las personas de tercera edad”. [Cursivas propias]</w:t>
      </w:r>
    </w:p>
    <w:p w14:paraId="04F51ECB" w14:textId="77777777" w:rsidR="00CF643F" w:rsidRDefault="00CF643F" w:rsidP="00CF643F">
      <w:pPr>
        <w:spacing w:after="0" w:line="276" w:lineRule="auto"/>
        <w:jc w:val="both"/>
        <w:rPr>
          <w:rFonts w:ascii="Verdana" w:eastAsia="Calibri" w:hAnsi="Verdana" w:cs="Arial"/>
        </w:rPr>
      </w:pPr>
    </w:p>
    <w:p w14:paraId="4AAB0898" w14:textId="77777777" w:rsidR="00CF643F" w:rsidRPr="00223A8D" w:rsidRDefault="00CF643F" w:rsidP="00CF643F">
      <w:pPr>
        <w:spacing w:after="120" w:line="276" w:lineRule="auto"/>
        <w:ind w:firstLine="709"/>
        <w:jc w:val="both"/>
        <w:rPr>
          <w:rFonts w:ascii="Verdana" w:eastAsia="Calibri" w:hAnsi="Verdana" w:cs="Arial"/>
        </w:rPr>
      </w:pPr>
      <w:r w:rsidRPr="00223A8D">
        <w:rPr>
          <w:rFonts w:ascii="Verdana" w:eastAsia="Calibri" w:hAnsi="Verdana" w:cs="Arial"/>
        </w:rPr>
        <w:t>Nótese que la norma citada autoriza a las entidades territoriales a celebrar “convenios con entidades reconocidas para el manejo de los Centros Vida, Centros de Bienestar del Anciano y Granjas para adulto mayor […]”, pero no establece la regulación contractual aplicable a ese tipo de convenios. Tal regulación tampoco se deriva de ninguno de los otros artículos de la Ley 1850 de 2017, así como no lo hacían el artículo 5 de la Ley 687 de 2001 o el artículo 8 de la Ley 1276 de 2009</w:t>
      </w:r>
      <w:r w:rsidRPr="004C6AAF">
        <w:rPr>
          <w:vertAlign w:val="superscript"/>
        </w:rPr>
        <w:footnoteReference w:id="22"/>
      </w:r>
      <w:r w:rsidRPr="00223A8D">
        <w:rPr>
          <w:rFonts w:ascii="Verdana" w:eastAsia="Calibri" w:hAnsi="Verdana" w:cs="Arial"/>
        </w:rPr>
        <w:t>. De hecho, ninguna de estas tres (3) leyes reguló la materia, omisión que se explica en el hecho que dichas normas regulan la “estampilla pro-dotación y funcionamiento de los Centros de Bienestar del Anciano, instituciones y centros de vida para la tercera edad”, aspecto sustancialmente distinto de las normas que regulan la contratación con el Estado</w:t>
      </w:r>
      <w:r w:rsidRPr="00323178">
        <w:rPr>
          <w:rStyle w:val="Refdenotaalpie"/>
          <w:rFonts w:ascii="Verdana" w:eastAsia="Calibri" w:hAnsi="Verdana" w:cs="Arial"/>
        </w:rPr>
        <w:footnoteReference w:id="23"/>
      </w:r>
      <w:r w:rsidRPr="00223A8D">
        <w:rPr>
          <w:rFonts w:ascii="Verdana" w:eastAsia="Calibri" w:hAnsi="Verdana" w:cs="Arial"/>
        </w:rPr>
        <w:t>.</w:t>
      </w:r>
    </w:p>
    <w:p w14:paraId="1E758790" w14:textId="77777777" w:rsidR="00CF643F" w:rsidRPr="00223A8D" w:rsidRDefault="00CF643F" w:rsidP="00CF643F">
      <w:pPr>
        <w:spacing w:after="120" w:line="276" w:lineRule="auto"/>
        <w:ind w:firstLine="709"/>
        <w:jc w:val="both"/>
        <w:rPr>
          <w:rFonts w:ascii="Verdana" w:eastAsia="Calibri" w:hAnsi="Verdana" w:cs="Arial"/>
        </w:rPr>
      </w:pPr>
      <w:r w:rsidRPr="00223A8D">
        <w:rPr>
          <w:rFonts w:ascii="Verdana" w:eastAsia="Calibri" w:hAnsi="Verdana" w:cs="Arial"/>
        </w:rPr>
        <w:lastRenderedPageBreak/>
        <w:t xml:space="preserve">Teniendo en cuenta la ausencia de regulación en las Leyes 687 de 2001, 1276 de 2009 y 1850 de 2017, y de acuerdo a las consideraciones expuestas en párrafos precedentes, la Agencia Nacional de Contratación Pública – Colombia Compra Eficiente, en </w:t>
      </w:r>
      <w:r>
        <w:rPr>
          <w:rFonts w:ascii="Verdana" w:eastAsia="Calibri" w:hAnsi="Verdana" w:cs="Arial"/>
        </w:rPr>
        <w:t>C</w:t>
      </w:r>
      <w:r w:rsidRPr="00223A8D">
        <w:rPr>
          <w:rFonts w:ascii="Verdana" w:eastAsia="Calibri" w:hAnsi="Verdana" w:cs="Arial"/>
        </w:rPr>
        <w:t>onceptos como el C-078 del 25 de abril de 2023 y el C-203 del 21 de junio de 2023, ha señalado que los convenios a los que se refieren las tres (3) normas mencionadas anteriormente, están regulados por el EGCAP y, eventualmente, por las disposiciones especiales contenidas en el Decreto 092 del 2017. Lo anterior, siempre que el convenio sea suscrito con una ESAL y únicamente si se cumplen los otros requisitos que se derivan del contenido de dicho Decreto, entre ellos, que no se genere una contraprestación directa a favor de la Entidad Estatal y tampoco una relación conmutativa entre esta y la ESAL; así como también que el negocio jurídico tenga como objeto “impulsar programas y actividades de interés público de acuerdo con el Plan Nacional o los planes seccionales de Desarrollo, en los términos del artículo 355 de la Constitución Política</w:t>
      </w:r>
      <w:r>
        <w:rPr>
          <w:rFonts w:ascii="Verdana" w:eastAsia="Calibri" w:hAnsi="Verdana" w:cs="Arial"/>
        </w:rPr>
        <w:t>”</w:t>
      </w:r>
      <w:r w:rsidRPr="00323178">
        <w:rPr>
          <w:rStyle w:val="Refdenotaalpie"/>
          <w:rFonts w:ascii="Verdana" w:eastAsia="Calibri" w:hAnsi="Verdana" w:cs="Arial"/>
        </w:rPr>
        <w:footnoteReference w:id="24"/>
      </w:r>
      <w:r w:rsidRPr="00223A8D">
        <w:rPr>
          <w:rFonts w:ascii="Verdana" w:eastAsia="Calibri" w:hAnsi="Verdana" w:cs="Arial"/>
        </w:rPr>
        <w:t>.</w:t>
      </w:r>
    </w:p>
    <w:p w14:paraId="1DDE58B6" w14:textId="77777777" w:rsidR="00CF643F" w:rsidRPr="00223A8D" w:rsidRDefault="00CF643F" w:rsidP="00CF643F">
      <w:pPr>
        <w:spacing w:after="120" w:line="276" w:lineRule="auto"/>
        <w:ind w:firstLine="709"/>
        <w:jc w:val="both"/>
        <w:rPr>
          <w:rFonts w:ascii="Verdana" w:eastAsia="Calibri" w:hAnsi="Verdana" w:cs="Arial"/>
          <w:lang w:val="es-MX"/>
        </w:rPr>
      </w:pPr>
      <w:r w:rsidRPr="00223A8D">
        <w:rPr>
          <w:rFonts w:ascii="Verdana" w:eastAsia="Calibri" w:hAnsi="Verdana" w:cs="Arial"/>
        </w:rPr>
        <w:t xml:space="preserve">Al respecto, la Agencia Nacional de Contratación Pública considera necesario hacer dos (2) precisiones: </w:t>
      </w:r>
      <w:r w:rsidRPr="00223A8D">
        <w:rPr>
          <w:rFonts w:ascii="Verdana" w:eastAsia="Calibri" w:hAnsi="Verdana" w:cs="Arial"/>
          <w:i/>
          <w:iCs/>
        </w:rPr>
        <w:t>en primer lugar</w:t>
      </w:r>
      <w:r w:rsidRPr="00223A8D">
        <w:rPr>
          <w:rFonts w:ascii="Verdana" w:eastAsia="Calibri" w:hAnsi="Verdana" w:cs="Arial"/>
        </w:rPr>
        <w:t>, que los convenios referidos en las tres normas sub-lite no podrán regularse por las disposiciones de los regímenes exceptuados del EGCAP, pues dichos convenios son suscritos por entidades territoriales únicamente, particularmente, los departamentos, los distritos y los municipios</w:t>
      </w:r>
      <w:r w:rsidRPr="00323178">
        <w:rPr>
          <w:rStyle w:val="Refdenotaalpie"/>
          <w:rFonts w:ascii="Verdana" w:eastAsia="Calibri" w:hAnsi="Verdana" w:cs="Arial"/>
        </w:rPr>
        <w:footnoteReference w:id="25"/>
      </w:r>
      <w:r w:rsidRPr="00223A8D">
        <w:rPr>
          <w:rFonts w:ascii="Verdana" w:eastAsia="Calibri" w:hAnsi="Verdana" w:cs="Arial"/>
        </w:rPr>
        <w:t>. Lo anterior debido a su competencia frente a la ejecución de los recursos de la estampilla enunciada en los párrafos precedentes, autoridades que se denominan “entidades estatales” para los fines de la contratación estatal, y cuyos procesos contractuales son regulados por el EGCAP, según los artículos 1 y 2 de la Ley 80 de 1993</w:t>
      </w:r>
      <w:r w:rsidRPr="00323178">
        <w:rPr>
          <w:rStyle w:val="Refdenotaalpie"/>
          <w:rFonts w:ascii="Verdana" w:eastAsia="Calibri" w:hAnsi="Verdana" w:cs="Arial"/>
        </w:rPr>
        <w:footnoteReference w:id="26"/>
      </w:r>
      <w:r w:rsidRPr="00223A8D">
        <w:rPr>
          <w:rFonts w:ascii="Verdana" w:eastAsia="Calibri" w:hAnsi="Verdana" w:cs="Arial"/>
        </w:rPr>
        <w:t xml:space="preserve">. </w:t>
      </w:r>
    </w:p>
    <w:p w14:paraId="75FDF6D6" w14:textId="77777777" w:rsidR="00CF643F" w:rsidRPr="00223A8D" w:rsidRDefault="00CF643F" w:rsidP="00CF643F">
      <w:pPr>
        <w:spacing w:after="120" w:line="276" w:lineRule="auto"/>
        <w:ind w:firstLine="709"/>
        <w:jc w:val="both"/>
        <w:rPr>
          <w:rFonts w:ascii="Verdana" w:eastAsia="Calibri" w:hAnsi="Verdana" w:cs="Arial"/>
          <w:lang w:val="es-MX"/>
        </w:rPr>
      </w:pPr>
      <w:r w:rsidRPr="00223A8D">
        <w:rPr>
          <w:rFonts w:ascii="Verdana" w:eastAsia="Calibri" w:hAnsi="Verdana" w:cs="Arial"/>
          <w:i/>
          <w:iCs/>
        </w:rPr>
        <w:lastRenderedPageBreak/>
        <w:t>En segundo lugar</w:t>
      </w:r>
      <w:r w:rsidRPr="00223A8D">
        <w:rPr>
          <w:rFonts w:ascii="Verdana" w:eastAsia="Calibri" w:hAnsi="Verdana" w:cs="Arial"/>
        </w:rPr>
        <w:t xml:space="preserve">, el Decreto 092 de 2017 también puede aplicarse a los convenios regulados por el artículo 5 de la Ley 687 de 2001, modificado por el artículo 8 de la Ley 1276 de 2009 y, posteriormente, por el artículo 16 de la Ley 1850 de 2017. En efecto, la aplicación de aquel Decreto resulta procedente y también necesaria, en aquellos eventos en los que el convenio se celebra con una ESAL. Es de resaltar que las tres (3) normas mencionadas no contienen ninguna regulación procesal o sustantiva en materia de contratación estatal, esto es, no establecen las disposiciones que habrían de tenerse en cuenta en el trámite de contratación. </w:t>
      </w:r>
    </w:p>
    <w:p w14:paraId="2AF35CD7" w14:textId="77777777" w:rsidR="00CF643F" w:rsidRPr="00223A8D" w:rsidRDefault="00CF643F" w:rsidP="00CF643F">
      <w:pPr>
        <w:spacing w:after="0" w:line="276" w:lineRule="auto"/>
        <w:ind w:firstLine="708"/>
        <w:jc w:val="both"/>
        <w:rPr>
          <w:rFonts w:ascii="Verdana" w:eastAsia="Calibri" w:hAnsi="Verdana" w:cs="Arial"/>
          <w:lang w:val="es-MX"/>
        </w:rPr>
      </w:pPr>
      <w:r w:rsidRPr="00223A8D">
        <w:rPr>
          <w:rFonts w:ascii="Verdana" w:eastAsia="Calibri" w:hAnsi="Verdana" w:cs="Arial"/>
        </w:rPr>
        <w:t>Aunado a lo anterior, el Ministerio de Salud y de la Protección Social, en documento sin fecha denominado “Orientaciones a las entidades territoriales para la aplicación de la Ley 1276 de 2009 y normas complementarias sobre la Estampilla para el Bienestar del Adulto Mayor”, refiriéndose al régimen de contratación resaltó lo siguiente:</w:t>
      </w:r>
    </w:p>
    <w:p w14:paraId="553D6990" w14:textId="77777777" w:rsidR="00CF643F" w:rsidRPr="00323178" w:rsidRDefault="00CF643F" w:rsidP="00CF643F">
      <w:pPr>
        <w:spacing w:after="0" w:line="276" w:lineRule="auto"/>
        <w:ind w:firstLine="709"/>
        <w:jc w:val="both"/>
        <w:rPr>
          <w:rFonts w:ascii="Verdana" w:eastAsia="Calibri" w:hAnsi="Verdana" w:cs="Arial"/>
        </w:rPr>
      </w:pPr>
    </w:p>
    <w:p w14:paraId="3007A1C4" w14:textId="77777777" w:rsidR="00CF643F" w:rsidRPr="00323178" w:rsidRDefault="00CF643F" w:rsidP="00CF643F">
      <w:pPr>
        <w:spacing w:after="0" w:line="240" w:lineRule="auto"/>
        <w:ind w:left="709" w:right="709"/>
        <w:jc w:val="both"/>
        <w:rPr>
          <w:rFonts w:ascii="Verdana" w:eastAsia="Calibri" w:hAnsi="Verdana" w:cs="Arial"/>
          <w:sz w:val="20"/>
          <w:szCs w:val="20"/>
        </w:rPr>
      </w:pPr>
      <w:r w:rsidRPr="00323178">
        <w:rPr>
          <w:rFonts w:ascii="Verdana" w:eastAsia="Calibri" w:hAnsi="Verdana" w:cs="Arial"/>
          <w:sz w:val="20"/>
          <w:szCs w:val="20"/>
        </w:rPr>
        <w:t xml:space="preserve">“Los centros vida a que se refiere la Ley 1276 son de naturaleza pública, de creación distrital y municipal, razón por la cual la norma establece que una vez creados, la administración puede celebrar convenios para su manejo con entidades con experiencia en la materia, en cuyo caso debe efectuar el seguimiento y evaluación de los servicios prestados, a través de la instancia especialmente creada para esta función dentro de la estructura municipal (Parágrafo del art. 8º de la Ley 1276/09). </w:t>
      </w:r>
      <w:r w:rsidRPr="00323178">
        <w:rPr>
          <w:rFonts w:ascii="Verdana" w:eastAsia="Calibri" w:hAnsi="Verdana" w:cs="Arial"/>
          <w:i/>
          <w:sz w:val="20"/>
          <w:szCs w:val="20"/>
        </w:rPr>
        <w:t>Estos convenios se rigen por la normatividad contractual vigente”</w:t>
      </w:r>
      <w:r w:rsidRPr="00B42E0C">
        <w:rPr>
          <w:vertAlign w:val="superscript"/>
        </w:rPr>
        <w:t xml:space="preserve"> </w:t>
      </w:r>
      <w:r w:rsidRPr="00323178">
        <w:rPr>
          <w:vertAlign w:val="superscript"/>
        </w:rPr>
        <w:footnoteReference w:id="27"/>
      </w:r>
      <w:r w:rsidRPr="00323178">
        <w:rPr>
          <w:rFonts w:ascii="Verdana" w:eastAsia="Calibri" w:hAnsi="Verdana" w:cs="Arial"/>
          <w:i/>
          <w:sz w:val="20"/>
          <w:szCs w:val="20"/>
        </w:rPr>
        <w:t xml:space="preserve">. </w:t>
      </w:r>
      <w:r w:rsidRPr="00323178">
        <w:rPr>
          <w:rFonts w:ascii="Verdana" w:eastAsia="Calibri" w:hAnsi="Verdana" w:cs="Arial"/>
          <w:sz w:val="20"/>
          <w:szCs w:val="20"/>
        </w:rPr>
        <w:t>(Cursivas propias)</w:t>
      </w:r>
    </w:p>
    <w:p w14:paraId="2FD5979F" w14:textId="77777777" w:rsidR="00CF643F" w:rsidRPr="00323178" w:rsidRDefault="00CF643F" w:rsidP="00CF643F">
      <w:pPr>
        <w:spacing w:after="0" w:line="276" w:lineRule="auto"/>
        <w:ind w:firstLine="709"/>
        <w:jc w:val="both"/>
        <w:rPr>
          <w:rFonts w:ascii="Verdana" w:eastAsia="Calibri" w:hAnsi="Verdana" w:cs="Arial"/>
        </w:rPr>
      </w:pPr>
    </w:p>
    <w:p w14:paraId="30268A2D" w14:textId="77777777" w:rsidR="00CF643F" w:rsidRPr="00223A8D" w:rsidRDefault="00CF643F" w:rsidP="00CF643F">
      <w:pPr>
        <w:spacing w:after="0" w:line="276" w:lineRule="auto"/>
        <w:ind w:firstLine="708"/>
        <w:jc w:val="both"/>
        <w:rPr>
          <w:rFonts w:ascii="Verdana" w:eastAsia="Calibri" w:hAnsi="Verdana" w:cs="Arial"/>
        </w:rPr>
      </w:pPr>
      <w:r w:rsidRPr="00223A8D">
        <w:rPr>
          <w:rFonts w:ascii="Verdana" w:eastAsia="Calibri" w:hAnsi="Verdana" w:cs="Arial"/>
        </w:rPr>
        <w:t xml:space="preserve">En ese orden de ideas, </w:t>
      </w:r>
      <w:r>
        <w:rPr>
          <w:rFonts w:ascii="Verdana" w:eastAsia="Calibri" w:hAnsi="Verdana" w:cs="Arial"/>
        </w:rPr>
        <w:t>l</w:t>
      </w:r>
      <w:r w:rsidRPr="00223A8D">
        <w:rPr>
          <w:rFonts w:ascii="Verdana" w:eastAsia="Calibri" w:hAnsi="Verdana" w:cs="Arial"/>
        </w:rPr>
        <w:t>os convenios sub examine están regulados, entonces, por el EGCAP o, eventualmente, por el Decreto 092 de 2018, siendo la aplicación del primero la regla general, mientras que la de este último la excepción, dentro de los parámetros que pasarán a explicarse a continuación:</w:t>
      </w:r>
    </w:p>
    <w:p w14:paraId="518FAAE7" w14:textId="77777777" w:rsidR="00CF643F" w:rsidRPr="00B31A69" w:rsidRDefault="00CF643F" w:rsidP="00CF643F">
      <w:pPr>
        <w:pStyle w:val="Prrafodelista"/>
        <w:tabs>
          <w:tab w:val="left" w:pos="1134"/>
        </w:tabs>
        <w:spacing w:line="276" w:lineRule="auto"/>
        <w:ind w:left="1080"/>
        <w:contextualSpacing w:val="0"/>
        <w:jc w:val="both"/>
        <w:rPr>
          <w:rFonts w:ascii="Verdana" w:eastAsia="Calibri" w:hAnsi="Verdana" w:cs="Arial"/>
          <w:i/>
        </w:rPr>
      </w:pPr>
    </w:p>
    <w:p w14:paraId="0F9C2F7F" w14:textId="77777777" w:rsidR="00CF643F" w:rsidRPr="00B31A69" w:rsidRDefault="00CF643F" w:rsidP="00CF643F">
      <w:pPr>
        <w:pStyle w:val="Prrafodelista"/>
        <w:numPr>
          <w:ilvl w:val="0"/>
          <w:numId w:val="18"/>
        </w:numPr>
        <w:tabs>
          <w:tab w:val="left" w:pos="1134"/>
        </w:tabs>
        <w:spacing w:after="0" w:line="276" w:lineRule="auto"/>
        <w:ind w:left="680"/>
        <w:contextualSpacing w:val="0"/>
        <w:jc w:val="both"/>
        <w:rPr>
          <w:rFonts w:ascii="Verdana" w:eastAsia="Calibri" w:hAnsi="Verdana" w:cs="Arial"/>
          <w:i/>
        </w:rPr>
      </w:pPr>
      <w:r w:rsidRPr="00B31A69">
        <w:rPr>
          <w:rFonts w:ascii="Verdana" w:eastAsia="Calibri" w:hAnsi="Verdana" w:cs="Arial"/>
        </w:rPr>
        <w:t xml:space="preserve">Los procedimientos contractuales mediante los cuales las entidades ejecutan recursos públicos y satisfacen el interés general deben regirse por la normativa de contratación pública </w:t>
      </w:r>
      <w:r>
        <w:rPr>
          <w:rFonts w:ascii="Verdana" w:eastAsia="Calibri" w:hAnsi="Verdana" w:cs="Arial"/>
        </w:rPr>
        <w:t>–</w:t>
      </w:r>
      <w:r w:rsidRPr="00B31A69">
        <w:rPr>
          <w:rFonts w:ascii="Verdana" w:eastAsia="Calibri" w:hAnsi="Verdana" w:cs="Arial"/>
        </w:rPr>
        <w:t>Ley 80 de 1993, Ley 1150 de 2007, Decreto 1082 de 2015 y normas complementarias</w:t>
      </w:r>
      <w:r>
        <w:rPr>
          <w:rFonts w:ascii="Verdana" w:eastAsia="Calibri" w:hAnsi="Verdana" w:cs="Arial"/>
        </w:rPr>
        <w:t>–</w:t>
      </w:r>
      <w:r w:rsidRPr="00B31A69">
        <w:rPr>
          <w:rFonts w:ascii="Verdana" w:eastAsia="Calibri" w:hAnsi="Verdana" w:cs="Arial"/>
        </w:rPr>
        <w:t xml:space="preserve">, que contiene </w:t>
      </w:r>
      <w:r w:rsidRPr="00B31A69">
        <w:rPr>
          <w:rFonts w:ascii="Verdana" w:eastAsia="Calibri" w:hAnsi="Verdana" w:cs="Arial"/>
        </w:rPr>
        <w:lastRenderedPageBreak/>
        <w:t xml:space="preserve">los principios, reglas y procedimientos que rigen los contratos de las Entidades Estatales. Como se explicó, el EGCAP se aplica a las Entidades Estatales relacionadas en el artículo 2 del Decreto 092 de 2017 y demás normas que lo complementan, dentro de las cuales se encuentran mencionados los departamentos, distritos y municipios. </w:t>
      </w:r>
    </w:p>
    <w:p w14:paraId="75D6CADD"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4C31752C"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En aplicación del EGCAP, los procedimientos de contratación se estructuran a partir de las modalidades de selección, y al hacer una revisión de las normas citadas se observa que contienen los procedimientos para adelantarlas y las reglas de cada modalidad: licitación pública, selección abreviada, concurso de méritos, contratación directa y mínima cuantía</w:t>
      </w:r>
      <w:r w:rsidRPr="00B31A69">
        <w:rPr>
          <w:rFonts w:ascii="Verdana" w:hAnsi="Verdana"/>
          <w:vertAlign w:val="superscript"/>
        </w:rPr>
        <w:footnoteReference w:id="28"/>
      </w:r>
      <w:r w:rsidRPr="00B31A69">
        <w:rPr>
          <w:rFonts w:ascii="Verdana" w:eastAsia="Calibri" w:hAnsi="Verdana" w:cs="Arial"/>
        </w:rPr>
        <w:t xml:space="preserve">. </w:t>
      </w:r>
    </w:p>
    <w:p w14:paraId="2069009D"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77494286"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Ahora bien, la determinación de la modalidad de selección del contratista para el caso de los convenios regulados en el parágrafo del artículo 16 de la Ley 1850 de 2017, que modificó el artículo 8 de la Ley 1276 de 2010, depende de las particularidades del caso, entre las que se resaltan la cuantía del contrato y el objeto del mismo, siendo una decisión que, en todo caso, le corresponde a la entidad contratante de manera autónoma, con apego a las directrices que establecen las Leyes 80 de 1993 y 1150 de 2007, así como las que contiene el Decreto 1082 de 2015, entre otras normas complementarias y reglamentarias.</w:t>
      </w:r>
    </w:p>
    <w:p w14:paraId="508A176C"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5CB1771B"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Lo anterior, claro está, cuando no se trate de un convenio interadministrativo, pues para este caso la modalidad es la contratación directa, de acuerdo con lo que establece el artículo 2.2.1.2.1.4.4 del Decreto 1082 de 2015, “Por medio del cual se expide el Decreto único reglamentario del sector administrativo de planeación nacional”</w:t>
      </w:r>
      <w:r w:rsidRPr="00B31A69">
        <w:rPr>
          <w:rFonts w:ascii="Verdana" w:eastAsia="Calibri" w:hAnsi="Verdana" w:cs="Arial"/>
          <w:vertAlign w:val="superscript"/>
        </w:rPr>
        <w:footnoteReference w:id="29"/>
      </w:r>
      <w:r w:rsidRPr="00B31A69">
        <w:rPr>
          <w:rFonts w:ascii="Verdana" w:eastAsia="Calibri" w:hAnsi="Verdana" w:cs="Arial"/>
        </w:rPr>
        <w:t xml:space="preserve">. </w:t>
      </w:r>
    </w:p>
    <w:p w14:paraId="1F331DBA"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07083706"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En todo caso, hay que tener en cuenta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amplio</w:t>
      </w:r>
      <w:r w:rsidRPr="00B31A69">
        <w:rPr>
          <w:rFonts w:ascii="Verdana" w:eastAsia="Calibri" w:hAnsi="Verdana" w:cs="Arial"/>
          <w:vertAlign w:val="superscript"/>
        </w:rPr>
        <w:footnoteReference w:id="30"/>
      </w:r>
      <w:r w:rsidRPr="00B31A69">
        <w:rPr>
          <w:rFonts w:ascii="Verdana" w:eastAsia="Calibri" w:hAnsi="Verdana" w:cs="Arial"/>
        </w:rPr>
        <w:t>. Nótese que, en este caso, lo que cambia es la modalidad de selección y no la naturaleza de contrato interadministrativo.</w:t>
      </w:r>
    </w:p>
    <w:p w14:paraId="61339B79"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13E056F0"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Si bien es cierto que los contratos o convenios interadministrativos están previstos en la Ley 80 de 1993, en la Ley 1150 de 2007 y en el Decreto 1082 de 2015, también lo es que esto no quiere decir que solo puedan celebrarse entre Entidades Estatales que apliquen el régimen de contratación allí previsto. Lo anterior por cuanto una Entidad Estatal de Ley 80 de 1993 puede celebrar esta clase de convenios con una Entidad Estatal de régimen especial y no por ello dejará de ser un contrato o convenio interadministrativo, caso en el cual su ejecución estará sometida a la Ley 80 de 1993</w:t>
      </w:r>
      <w:r w:rsidRPr="00B31A69">
        <w:rPr>
          <w:rFonts w:ascii="Verdana" w:eastAsia="Calibri" w:hAnsi="Verdana" w:cs="Arial"/>
          <w:vertAlign w:val="superscript"/>
        </w:rPr>
        <w:footnoteReference w:id="31"/>
      </w:r>
      <w:r w:rsidRPr="00B31A69">
        <w:rPr>
          <w:rFonts w:ascii="Verdana" w:eastAsia="Calibri" w:hAnsi="Verdana" w:cs="Arial"/>
        </w:rPr>
        <w:t>.</w:t>
      </w:r>
    </w:p>
    <w:p w14:paraId="2073F0D5"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1AEAE556"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 xml:space="preserve">En ese sentido, los convenios interadministrativos se caracterizan por los sujetos que intervienen y por la modalidad de selección que la ley permite aplicar para su celebración, pues comporta un grado de excepcionalidad </w:t>
      </w:r>
      <w:r w:rsidRPr="00B31A69">
        <w:rPr>
          <w:rFonts w:ascii="Verdana" w:eastAsia="Calibri" w:hAnsi="Verdana" w:cs="Arial"/>
        </w:rPr>
        <w:lastRenderedPageBreak/>
        <w:t xml:space="preserve">frente a las demás tipologías contractuales, donde los sujetos no están restringidos a una cualificación particular y aplican otras modalidades de selección. Por regla general, el EGCAP establece la contratación directa como la modalidad de selección aplicable para la celebración de los contratos interadministrativos. </w:t>
      </w:r>
    </w:p>
    <w:p w14:paraId="406CD26F"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29D1BD06" w14:textId="77777777" w:rsidR="00CF643F" w:rsidRPr="00B31A69" w:rsidRDefault="00CF643F" w:rsidP="00CF643F">
      <w:pPr>
        <w:pStyle w:val="Prrafodelista"/>
        <w:numPr>
          <w:ilvl w:val="0"/>
          <w:numId w:val="18"/>
        </w:numPr>
        <w:tabs>
          <w:tab w:val="left" w:pos="1134"/>
        </w:tabs>
        <w:spacing w:after="0" w:line="276" w:lineRule="auto"/>
        <w:ind w:left="680"/>
        <w:contextualSpacing w:val="0"/>
        <w:jc w:val="both"/>
        <w:rPr>
          <w:rFonts w:ascii="Verdana" w:eastAsia="Calibri" w:hAnsi="Verdana" w:cs="Arial"/>
        </w:rPr>
      </w:pPr>
      <w:r w:rsidRPr="00B31A69">
        <w:rPr>
          <w:rFonts w:ascii="Verdana" w:eastAsia="Calibri" w:hAnsi="Verdana" w:cs="Aria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B31A69">
        <w:rPr>
          <w:rFonts w:ascii="Verdana" w:eastAsia="Calibri" w:hAnsi="Verdana" w:cs="Arial"/>
          <w:vertAlign w:val="superscript"/>
        </w:rPr>
        <w:footnoteReference w:id="32"/>
      </w:r>
      <w:r w:rsidRPr="00B31A69">
        <w:rPr>
          <w:rFonts w:ascii="Verdana" w:eastAsia="Calibri" w:hAnsi="Verdana" w:cs="Arial"/>
        </w:rPr>
        <w:t>.</w:t>
      </w:r>
    </w:p>
    <w:p w14:paraId="6E4D5AB4"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289DAF31"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B31A69">
        <w:rPr>
          <w:rFonts w:ascii="Verdana" w:hAnsi="Verdana"/>
          <w:vertAlign w:val="superscript"/>
        </w:rPr>
        <w:footnoteReference w:id="33"/>
      </w:r>
      <w:r w:rsidRPr="00B31A69">
        <w:rPr>
          <w:rFonts w:ascii="Verdana" w:eastAsia="Calibri" w:hAnsi="Verdana" w:cs="Arial"/>
        </w:rPr>
        <w:t>. Ambas figuras tienen como fin desarrollar conjuntamente actividades relacionadas con los cometidos y funciones legales asignadas a la entidad.</w:t>
      </w:r>
    </w:p>
    <w:p w14:paraId="4456B1C2"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4CEE39D7"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 xml:space="preserve">Por otra parte, es importante señalar que, de conformidad con el artículo 3 de la Ley 1276 de 2009, las Asambleas Departamentales y los Concejos Distritales y Municipales se encuentran habilitados para emitir la </w:t>
      </w:r>
      <w:r w:rsidRPr="00B31A69">
        <w:rPr>
          <w:rFonts w:ascii="Verdana" w:eastAsia="Calibri" w:hAnsi="Verdana" w:cs="Arial"/>
        </w:rPr>
        <w:lastRenderedPageBreak/>
        <w:t>“Estampilla para el bienestar del Adulto Mayor”, como recurso de obligatorio recaudo para contribuir a la construcción, instalación, adecuación, dotación, funcionamiento y desarrollo d</w:t>
      </w:r>
      <w:r>
        <w:rPr>
          <w:rFonts w:ascii="Verdana" w:eastAsia="Calibri" w:hAnsi="Verdana" w:cs="Arial"/>
        </w:rPr>
        <w:t>e</w:t>
      </w:r>
      <w:r w:rsidRPr="00B31A69">
        <w:rPr>
          <w:rFonts w:ascii="Verdana" w:eastAsia="Calibri" w:hAnsi="Verdana" w:cs="Arial"/>
        </w:rPr>
        <w:t xml:space="preserve"> programas de prevención y promoción de los Centros de Bienestar del Anciano y Centros de Vida para la Tercera Edad, en sus respectivas entidades territoriales. A su turno, sobre la destinación del producto de dichos recursos, el precitado artículo dispone lo siguiente: “[e]l producto de dichos recursos se destinará, como mínimo, en un 70% para la financiación de los Centros Vida, de acuerdo con las definiciones de la presente ley; y el 30% restante, a la dotación y funcionamiento de los Centros de Bienestar del Anciano, sin perjuicio de los recursos adicionales que puedan gestionarse a través del sector privado y la cooperación internacional".</w:t>
      </w:r>
    </w:p>
    <w:p w14:paraId="6A2DC931"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798C3FB4"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 xml:space="preserve">De igual forma, el recaudo de la estampilla de cada Administración Departamental será distribuido en los distritos y municipios de su jurisdicción, en proporción directa al número de adulto mayores de los niveles I y II del Sisbén que se atiendan en los centros de vida y en los centros de bienestar del anciano en los entes Distritales o Municipales. </w:t>
      </w:r>
    </w:p>
    <w:p w14:paraId="1474D39B"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p>
    <w:p w14:paraId="60E6947C" w14:textId="77777777" w:rsidR="00CF643F" w:rsidRPr="00B31A69" w:rsidRDefault="00CF643F" w:rsidP="00CF643F">
      <w:pPr>
        <w:pStyle w:val="Prrafodelista"/>
        <w:tabs>
          <w:tab w:val="left" w:pos="1134"/>
        </w:tabs>
        <w:spacing w:line="276" w:lineRule="auto"/>
        <w:ind w:left="680"/>
        <w:contextualSpacing w:val="0"/>
        <w:jc w:val="both"/>
        <w:rPr>
          <w:rFonts w:ascii="Verdana" w:eastAsia="Calibri" w:hAnsi="Verdana" w:cs="Arial"/>
        </w:rPr>
      </w:pPr>
      <w:r w:rsidRPr="00B31A69">
        <w:rPr>
          <w:rFonts w:ascii="Verdana" w:eastAsia="Calibri" w:hAnsi="Verdana" w:cs="Arial"/>
        </w:rPr>
        <w:t xml:space="preserve">Finalmente, i) conforme al artículo 5 de la Ley 1276 de 2009, el recaudo de la estampilla en cuestión será aplicado, en su totalidad, a la dotación y funcionamiento de los Centros de Bienestar del Anciano y de los Centros de Vida para la Tercera Edad, en la respectiva jurisdicción, y </w:t>
      </w:r>
      <w:proofErr w:type="spellStart"/>
      <w:r w:rsidRPr="00B31A69">
        <w:rPr>
          <w:rFonts w:ascii="Verdana" w:eastAsia="Calibri" w:hAnsi="Verdana" w:cs="Arial"/>
        </w:rPr>
        <w:t>ii</w:t>
      </w:r>
      <w:proofErr w:type="spellEnd"/>
      <w:r w:rsidRPr="00B31A69">
        <w:rPr>
          <w:rFonts w:ascii="Verdana" w:eastAsia="Calibri" w:hAnsi="Verdana" w:cs="Arial"/>
        </w:rPr>
        <w:t xml:space="preserve">) de acuerdo con el artículo 9 </w:t>
      </w:r>
      <w:r w:rsidRPr="00B31A69">
        <w:rPr>
          <w:rFonts w:ascii="Verdana" w:eastAsia="Calibri" w:hAnsi="Verdana" w:cs="Arial"/>
          <w:i/>
          <w:iCs/>
        </w:rPr>
        <w:t xml:space="preserve">ídem, </w:t>
      </w:r>
      <w:r w:rsidRPr="00B31A69">
        <w:rPr>
          <w:rFonts w:ascii="Verdana" w:eastAsia="Calibri" w:hAnsi="Verdana" w:cs="Arial"/>
        </w:rPr>
        <w:t>en el Acuerdo del Concejo municipal o distrital, en donde se establezca la creación de la estampilla, se adoptarán las definiciones de Centros Vida, anteriormente contempladas, y se establecerán aquellos servicios que como mínimo, se garantizarán a la población objetivo, de acuerdo con los recursos a recaudar y el censo de beneficiarios.</w:t>
      </w:r>
    </w:p>
    <w:p w14:paraId="08DB3536" w14:textId="77777777" w:rsidR="00CF643F" w:rsidRPr="00323178" w:rsidRDefault="00CF643F" w:rsidP="00CF643F">
      <w:pPr>
        <w:widowControl w:val="0"/>
        <w:autoSpaceDE w:val="0"/>
        <w:autoSpaceDN w:val="0"/>
        <w:spacing w:after="0" w:line="276" w:lineRule="auto"/>
        <w:jc w:val="both"/>
        <w:rPr>
          <w:rFonts w:ascii="Verdana" w:hAnsi="Verdana" w:cs="Arial"/>
        </w:rPr>
      </w:pPr>
    </w:p>
    <w:p w14:paraId="5C951C20" w14:textId="77777777" w:rsidR="00CF643F" w:rsidRPr="00B31A69" w:rsidRDefault="00CF643F" w:rsidP="00CF643F">
      <w:pPr>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 xml:space="preserve">. </w:t>
      </w: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disciplinaria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 xml:space="preserve">quienes tengan interés en ello, de acuerdo con lo explicado la aclaración preliminar del presente oficio. De esta manera, las afirmaciones aquí </w:t>
      </w:r>
      <w:r w:rsidRPr="00C35305">
        <w:rPr>
          <w:rFonts w:ascii="Verdana" w:hAnsi="Verdana" w:cs="Arial"/>
          <w:color w:val="000000" w:themeColor="text1"/>
        </w:rPr>
        <w:lastRenderedPageBreak/>
        <w:t>realizadas</w:t>
      </w:r>
      <w:r>
        <w:rPr>
          <w:rFonts w:ascii="Verdana" w:hAnsi="Verdana" w:cs="Arial"/>
          <w:color w:val="000000" w:themeColor="text1"/>
        </w:rPr>
        <w:t xml:space="preserve"> </w:t>
      </w:r>
      <w:r w:rsidRPr="00C35305">
        <w:rPr>
          <w:rFonts w:ascii="Verdana" w:hAnsi="Verdana" w:cs="Arial"/>
          <w:color w:val="000000" w:themeColor="text1"/>
        </w:rPr>
        <w:t>no</w:t>
      </w:r>
      <w:r>
        <w:rPr>
          <w:rFonts w:ascii="Verdana" w:hAnsi="Verdana" w:cs="Arial"/>
          <w:color w:val="000000" w:themeColor="text1"/>
        </w:rPr>
        <w:t xml:space="preserve"> </w:t>
      </w:r>
      <w:r w:rsidRPr="00C35305">
        <w:rPr>
          <w:rFonts w:ascii="Verdana" w:hAnsi="Verdana" w:cs="Arial"/>
          <w:color w:val="000000" w:themeColor="text1"/>
        </w:rPr>
        <w:t>pueden ser interpretadas como juicios de valor sobre circunstancias</w:t>
      </w:r>
      <w:r>
        <w:rPr>
          <w:rFonts w:ascii="Verdana" w:hAnsi="Verdana" w:cs="Arial"/>
          <w:color w:val="000000" w:themeColor="text1"/>
        </w:rPr>
        <w:t xml:space="preserve"> </w:t>
      </w:r>
      <w:r w:rsidRPr="00C35305">
        <w:rPr>
          <w:rFonts w:ascii="Verdana" w:hAnsi="Verdana" w:cs="Arial"/>
          <w:color w:val="000000" w:themeColor="text1"/>
        </w:rPr>
        <w:t>concretas</w:t>
      </w:r>
      <w:r>
        <w:rPr>
          <w:rFonts w:ascii="Verdana" w:hAnsi="Verdana" w:cs="Arial"/>
          <w:color w:val="000000" w:themeColor="text1"/>
        </w:rPr>
        <w:t xml:space="preserve"> </w:t>
      </w:r>
      <w:r w:rsidRPr="00C35305">
        <w:rPr>
          <w:rFonts w:ascii="Verdana" w:hAnsi="Verdana" w:cs="Arial"/>
          <w:color w:val="000000" w:themeColor="text1"/>
        </w:rPr>
        <w:t xml:space="preserve">relacionadas con los hechos </w:t>
      </w:r>
      <w:r>
        <w:rPr>
          <w:rFonts w:ascii="Verdana" w:hAnsi="Verdana" w:cs="Arial"/>
          <w:color w:val="000000" w:themeColor="text1"/>
        </w:rPr>
        <w:t>del expediente disciplinario que</w:t>
      </w:r>
      <w:r w:rsidRPr="00C35305">
        <w:rPr>
          <w:rFonts w:ascii="Verdana" w:hAnsi="Verdana" w:cs="Arial"/>
          <w:color w:val="000000" w:themeColor="text1"/>
        </w:rPr>
        <w:t xml:space="preserve"> motivan la</w:t>
      </w:r>
      <w:r>
        <w:rPr>
          <w:rFonts w:ascii="Verdana" w:hAnsi="Verdana" w:cs="Arial"/>
          <w:color w:val="000000" w:themeColor="text1"/>
        </w:rPr>
        <w:t xml:space="preserve"> </w:t>
      </w:r>
      <w:r w:rsidRPr="00C35305">
        <w:rPr>
          <w:rFonts w:ascii="Verdana" w:hAnsi="Verdana" w:cs="Arial"/>
          <w:color w:val="000000" w:themeColor="text1"/>
        </w:rPr>
        <w:t>consulta.</w:t>
      </w:r>
      <w:r>
        <w:rPr>
          <w:rFonts w:ascii="Verdana" w:hAnsi="Verdana" w:cs="Arial"/>
          <w:color w:val="000000" w:themeColor="text1"/>
        </w:rPr>
        <w:t xml:space="preserve"> </w:t>
      </w:r>
      <w:r w:rsidRPr="00C35305">
        <w:rPr>
          <w:rFonts w:ascii="Verdana" w:hAnsi="Verdana" w:cs="Arial"/>
          <w:color w:val="000000" w:themeColor="text1"/>
        </w:rPr>
        <w:t>Por lo anterior, previo concepto de sus asesores,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 y, en caso de conflicto, a las autoridades judiciales.</w:t>
      </w:r>
    </w:p>
    <w:p w14:paraId="5F64EAB7" w14:textId="77777777" w:rsidR="00CF643F" w:rsidRDefault="00CF643F" w:rsidP="00CF643F">
      <w:pPr>
        <w:spacing w:after="0" w:line="276" w:lineRule="auto"/>
        <w:ind w:firstLine="708"/>
        <w:jc w:val="both"/>
        <w:rPr>
          <w:rFonts w:ascii="Verdana" w:eastAsia="Calibri" w:hAnsi="Verdana" w:cs="Arial"/>
          <w:color w:val="000000" w:themeColor="text1"/>
          <w:lang w:eastAsia="es-ES"/>
        </w:rPr>
      </w:pPr>
      <w:r w:rsidRPr="00C35305">
        <w:rPr>
          <w:rFonts w:ascii="Verdana" w:hAnsi="Verdana" w:cs="Arial"/>
          <w:color w:val="000000" w:themeColor="text1"/>
        </w:rPr>
        <w:t xml:space="preserve">Dentro de este marco, </w:t>
      </w:r>
      <w:r>
        <w:rPr>
          <w:rFonts w:ascii="Verdana" w:hAnsi="Verdana" w:cs="Arial"/>
          <w:color w:val="000000" w:themeColor="text1"/>
        </w:rPr>
        <w:t>el órgano disciplinario</w:t>
      </w:r>
      <w:r w:rsidRPr="00C35305">
        <w:rPr>
          <w:rFonts w:ascii="Verdana" w:hAnsi="Verdana" w:cs="Arial"/>
          <w:color w:val="000000" w:themeColor="text1"/>
        </w:rPr>
        <w:t xml:space="preserve"> definirá en cada caso concreto lo</w:t>
      </w:r>
      <w:r>
        <w:rPr>
          <w:rFonts w:ascii="Verdana" w:hAnsi="Verdana" w:cs="Arial"/>
          <w:color w:val="000000" w:themeColor="text1"/>
        </w:rPr>
        <w:t xml:space="preserve"> </w:t>
      </w:r>
      <w:r w:rsidRPr="00C35305">
        <w:rPr>
          <w:rFonts w:ascii="Verdana" w:hAnsi="Verdana" w:cs="Arial"/>
          <w:color w:val="000000" w:themeColor="text1"/>
        </w:rPr>
        <w:t xml:space="preserve">relacionado con </w:t>
      </w:r>
      <w:r>
        <w:rPr>
          <w:rFonts w:ascii="Verdana" w:hAnsi="Verdana" w:cs="Arial"/>
          <w:color w:val="000000" w:themeColor="text1"/>
        </w:rPr>
        <w:t xml:space="preserve">la tipicidad de las conductas investigadas en </w:t>
      </w:r>
      <w:r>
        <w:rPr>
          <w:rFonts w:ascii="Verdana" w:eastAsia="Calibri" w:hAnsi="Verdana" w:cs="Arial"/>
          <w:lang w:val="es-ES" w:eastAsia="es-ES"/>
        </w:rPr>
        <w:t xml:space="preserve">el </w:t>
      </w:r>
      <w:r w:rsidRPr="00E829B8">
        <w:rPr>
          <w:rFonts w:ascii="Verdana" w:eastAsia="Calibri" w:hAnsi="Verdana" w:cs="Arial"/>
          <w:lang w:val="es-ES" w:eastAsia="es-ES"/>
        </w:rPr>
        <w:t>expediente IUC-D-2025-4131077</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3D8D4852" w14:textId="77777777" w:rsidR="00CF643F" w:rsidRPr="00866E89" w:rsidRDefault="00CF643F" w:rsidP="00CF643F">
      <w:pPr>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 </w:t>
      </w:r>
    </w:p>
    <w:p w14:paraId="701C4375" w14:textId="77777777" w:rsidR="00CF643F" w:rsidRPr="00593A5F" w:rsidRDefault="00CF643F" w:rsidP="00CF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754DF43" w14:textId="77777777" w:rsidR="00CF643F" w:rsidRPr="00593A5F" w:rsidRDefault="00CF643F" w:rsidP="00CF643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643F" w:rsidRPr="002407CE" w14:paraId="3B7D291E" w14:textId="77777777" w:rsidTr="0081202B">
        <w:trPr>
          <w:trHeight w:val="870"/>
          <w:jc w:val="center"/>
        </w:trPr>
        <w:tc>
          <w:tcPr>
            <w:tcW w:w="8647" w:type="dxa"/>
          </w:tcPr>
          <w:p w14:paraId="5E05B546"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AE0331">
              <w:rPr>
                <w:rFonts w:ascii="Verdana" w:hAnsi="Verdana" w:cs="Arial"/>
              </w:rPr>
              <w:t>Constitución Política de 1991, artículo 355.</w:t>
            </w:r>
          </w:p>
          <w:p w14:paraId="1C083784" w14:textId="77777777" w:rsidR="00CF643F" w:rsidRPr="00AE0331"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 y 2.</w:t>
            </w:r>
          </w:p>
          <w:p w14:paraId="02468AD0"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AE0331">
              <w:rPr>
                <w:rFonts w:ascii="Verdana" w:hAnsi="Verdana" w:cs="Arial"/>
              </w:rPr>
              <w:t>Ley 489 de 1998, artículo 96.</w:t>
            </w:r>
          </w:p>
          <w:p w14:paraId="67480874"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687 de 2001, artículo 5.</w:t>
            </w:r>
          </w:p>
          <w:p w14:paraId="51794181"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33D2C9E8" w14:textId="77777777" w:rsidR="00CF643F" w:rsidRPr="004E2551"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1276 de 2009, artículos 3, 5, 8 y 9.</w:t>
            </w:r>
          </w:p>
          <w:p w14:paraId="38988D2B"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w:t>
            </w:r>
            <w:r w:rsidRPr="004E2551">
              <w:rPr>
                <w:rFonts w:ascii="Verdana" w:hAnsi="Verdana" w:cs="Arial"/>
              </w:rPr>
              <w:t>551 de 2012</w:t>
            </w:r>
            <w:r>
              <w:rPr>
                <w:rFonts w:ascii="Verdana" w:hAnsi="Verdana" w:cs="Arial"/>
              </w:rPr>
              <w:t>, artículo 6.</w:t>
            </w:r>
          </w:p>
          <w:p w14:paraId="4F6C73D3"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4E2551">
              <w:rPr>
                <w:rFonts w:ascii="Verdana" w:hAnsi="Verdana" w:cs="Arial"/>
              </w:rPr>
              <w:t>Ley 1575 de 2012</w:t>
            </w:r>
            <w:r>
              <w:rPr>
                <w:rFonts w:ascii="Verdana" w:hAnsi="Verdana" w:cs="Arial"/>
              </w:rPr>
              <w:t>, artículo 3.</w:t>
            </w:r>
          </w:p>
          <w:p w14:paraId="0EA45141" w14:textId="77777777" w:rsidR="00CF643F" w:rsidRPr="00AE0331"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1850 de 2017, artículo 16.</w:t>
            </w:r>
          </w:p>
          <w:p w14:paraId="50CDD7CB" w14:textId="77777777" w:rsidR="00CF643F" w:rsidRDefault="00CF643F" w:rsidP="00CF643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AE0331">
              <w:rPr>
                <w:rFonts w:ascii="Verdana" w:hAnsi="Verdana" w:cs="Arial"/>
              </w:rPr>
              <w:t xml:space="preserve">Decreto 092 de 2017, artículos </w:t>
            </w:r>
            <w:r>
              <w:rPr>
                <w:rFonts w:ascii="Verdana" w:hAnsi="Verdana" w:cs="Arial"/>
              </w:rPr>
              <w:t xml:space="preserve">1, </w:t>
            </w:r>
            <w:r w:rsidRPr="00AE0331">
              <w:rPr>
                <w:rFonts w:ascii="Verdana" w:hAnsi="Verdana" w:cs="Arial"/>
              </w:rPr>
              <w:t>2, 3, 4, 5, 6, 7 y 8.</w:t>
            </w:r>
          </w:p>
          <w:p w14:paraId="03DC74E5" w14:textId="77777777" w:rsidR="00CF643F" w:rsidRPr="00700F94" w:rsidRDefault="00CF643F" w:rsidP="00CF643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4002C1">
              <w:rPr>
                <w:rFonts w:ascii="Verdana" w:hAnsi="Verdana" w:cs="Arial"/>
              </w:rPr>
              <w:t>2.2.1.2.1.4.4</w:t>
            </w:r>
            <w:r>
              <w:rPr>
                <w:rFonts w:ascii="Verdana" w:hAnsi="Verdana" w:cs="Arial"/>
              </w:rPr>
              <w:t>.</w:t>
            </w:r>
            <w:r w:rsidRPr="00AE0331">
              <w:rPr>
                <w:rFonts w:ascii="Verdana" w:hAnsi="Verdana" w:cs="Arial"/>
              </w:rPr>
              <w:t xml:space="preserve"> </w:t>
            </w:r>
          </w:p>
        </w:tc>
      </w:tr>
    </w:tbl>
    <w:p w14:paraId="4B9F3904" w14:textId="77777777" w:rsidR="00CF643F" w:rsidRPr="002407CE" w:rsidRDefault="00CF643F" w:rsidP="00CF643F">
      <w:pPr>
        <w:widowControl w:val="0"/>
        <w:autoSpaceDE w:val="0"/>
        <w:autoSpaceDN w:val="0"/>
        <w:spacing w:after="0" w:line="276" w:lineRule="auto"/>
        <w:jc w:val="both"/>
        <w:rPr>
          <w:rFonts w:ascii="Verdana" w:hAnsi="Verdana" w:cs="Arial"/>
        </w:rPr>
      </w:pPr>
    </w:p>
    <w:p w14:paraId="365B357B" w14:textId="77777777" w:rsidR="00CF643F" w:rsidRPr="00593A5F" w:rsidRDefault="00CF643F" w:rsidP="00CF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41F8028" w14:textId="77777777" w:rsidR="00CF643F" w:rsidRPr="00593A5F" w:rsidRDefault="00CF643F" w:rsidP="00CF643F">
      <w:pPr>
        <w:widowControl w:val="0"/>
        <w:autoSpaceDE w:val="0"/>
        <w:autoSpaceDN w:val="0"/>
        <w:spacing w:after="0" w:line="276" w:lineRule="auto"/>
        <w:jc w:val="both"/>
        <w:rPr>
          <w:rFonts w:ascii="Verdana" w:hAnsi="Verdana" w:cs="Arial"/>
        </w:rPr>
      </w:pPr>
    </w:p>
    <w:p w14:paraId="27845B85" w14:textId="77777777" w:rsidR="00CF643F" w:rsidRDefault="00CF643F" w:rsidP="00CF643F">
      <w:pPr>
        <w:widowControl w:val="0"/>
        <w:autoSpaceDE w:val="0"/>
        <w:autoSpaceDN w:val="0"/>
        <w:spacing w:after="0" w:line="276" w:lineRule="auto"/>
        <w:jc w:val="both"/>
        <w:rPr>
          <w:rStyle w:val="normaltextrun"/>
          <w:rFonts w:ascii="Verdana" w:hAnsi="Verdana" w:cs="Arial"/>
          <w:shd w:val="clear" w:color="auto" w:fill="FFFFFF"/>
          <w:lang w:val="es-ES"/>
        </w:rPr>
      </w:pPr>
      <w:r w:rsidRPr="005A77AC">
        <w:rPr>
          <w:rStyle w:val="normaltextrun"/>
          <w:rFonts w:ascii="Verdana" w:hAnsi="Verdana" w:cs="Arial"/>
          <w:shd w:val="clear" w:color="auto" w:fill="FFFFFF"/>
          <w:lang w:val="es-ES"/>
        </w:rPr>
        <w:t xml:space="preserve">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w:t>
      </w:r>
      <w:r w:rsidRPr="000B123B">
        <w:rPr>
          <w:rStyle w:val="normaltextrun"/>
          <w:rFonts w:ascii="Verdana" w:hAnsi="Verdana" w:cs="Arial"/>
          <w:shd w:val="clear" w:color="auto" w:fill="FFFFFF"/>
          <w:lang w:val="es-ES"/>
        </w:rPr>
        <w:t>C-078 del 25 de abril de 2023</w:t>
      </w:r>
      <w:r>
        <w:rPr>
          <w:rStyle w:val="normaltextrun"/>
          <w:rFonts w:ascii="Verdana" w:hAnsi="Verdana" w:cs="Arial"/>
          <w:shd w:val="clear" w:color="auto" w:fill="FFFFFF"/>
          <w:lang w:val="es-ES"/>
        </w:rPr>
        <w:t xml:space="preserve">, </w:t>
      </w:r>
      <w:r w:rsidRPr="000B123B">
        <w:rPr>
          <w:rStyle w:val="normaltextrun"/>
          <w:rFonts w:ascii="Verdana" w:hAnsi="Verdana" w:cs="Arial"/>
          <w:shd w:val="clear" w:color="auto" w:fill="FFFFFF"/>
          <w:lang w:val="es-ES"/>
        </w:rPr>
        <w:t>C-203 del 21 de junio de 2023</w:t>
      </w:r>
      <w:r>
        <w:rPr>
          <w:rStyle w:val="normaltextrun"/>
          <w:rFonts w:ascii="Verdana" w:hAnsi="Verdana" w:cs="Arial"/>
          <w:shd w:val="clear" w:color="auto" w:fill="FFFFFF"/>
          <w:lang w:val="es-ES"/>
        </w:rPr>
        <w:t xml:space="preserve">, </w:t>
      </w:r>
      <w:r w:rsidRPr="005A77AC">
        <w:rPr>
          <w:rStyle w:val="normaltextrun"/>
          <w:rFonts w:ascii="Verdana" w:hAnsi="Verdana" w:cs="Arial"/>
          <w:shd w:val="clear" w:color="auto" w:fill="FFFFFF"/>
          <w:lang w:val="es-ES"/>
        </w:rPr>
        <w:t>C-351 del 6 de octubre de 2023, C-054 del 24 de abril de 2024, C-064 del 24 de abril de 2024, C-080 del 7 de mayo de 2024, C-281 del 29 de octubre de 2024, C-937 del 9 de diciembre de 2024, C-957 del 17 de diciembre de 2024, C-967 del 1˚ de agosto de 2025</w:t>
      </w:r>
      <w:r>
        <w:rPr>
          <w:rStyle w:val="normaltextrun"/>
          <w:rFonts w:ascii="Verdana" w:hAnsi="Verdana" w:cs="Arial"/>
          <w:shd w:val="clear" w:color="auto" w:fill="FFFFFF"/>
          <w:lang w:val="es-ES"/>
        </w:rPr>
        <w:t xml:space="preserve"> y</w:t>
      </w:r>
      <w:r w:rsidRPr="005A77AC">
        <w:rPr>
          <w:rStyle w:val="normaltextrun"/>
          <w:rFonts w:ascii="Verdana" w:hAnsi="Verdana" w:cs="Arial"/>
          <w:shd w:val="clear" w:color="auto" w:fill="FFFFFF"/>
          <w:lang w:val="es-ES"/>
        </w:rPr>
        <w:t xml:space="preserve"> C-1273 del 25 de septiembre de 2025</w:t>
      </w:r>
      <w:r w:rsidRPr="00EA761C">
        <w:rPr>
          <w:rStyle w:val="normaltextrun"/>
          <w:rFonts w:ascii="Verdana" w:hAnsi="Verdana" w:cs="Arial"/>
          <w:shd w:val="clear" w:color="auto" w:fill="FFFFFF"/>
          <w:lang w:val="es-ES"/>
        </w:rPr>
        <w:t xml:space="preserve">. </w:t>
      </w:r>
      <w:r w:rsidRPr="00CB2CA7">
        <w:rPr>
          <w:rStyle w:val="normaltextrun"/>
          <w:rFonts w:ascii="Verdana" w:hAnsi="Verdana" w:cs="Arial"/>
          <w:shd w:val="clear" w:color="auto" w:fill="FFFFFF"/>
          <w:lang w:val="es-ES"/>
        </w:rPr>
        <w:t>Est</w:t>
      </w:r>
      <w:r>
        <w:rPr>
          <w:rStyle w:val="normaltextrun"/>
          <w:rFonts w:ascii="Verdana" w:hAnsi="Verdana" w:cs="Arial"/>
          <w:shd w:val="clear" w:color="auto" w:fill="FFFFFF"/>
          <w:lang w:val="es-ES"/>
        </w:rPr>
        <w:t>e</w:t>
      </w:r>
      <w:r w:rsidRPr="00CB2CA7">
        <w:rPr>
          <w:rStyle w:val="normaltextrun"/>
          <w:rFonts w:ascii="Verdana" w:hAnsi="Verdana" w:cs="Arial"/>
          <w:shd w:val="clear" w:color="auto" w:fill="FFFFFF"/>
          <w:lang w:val="es-ES"/>
        </w:rPr>
        <w:t xml:space="preserve">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577047">
          <w:rPr>
            <w:rStyle w:val="Hipervnculo"/>
            <w:rFonts w:ascii="Verdana" w:hAnsi="Verdana" w:cs="Arial"/>
            <w:shd w:val="clear" w:color="auto" w:fill="FFFFFF"/>
            <w:lang w:val="es-ES"/>
          </w:rPr>
          <w:t>https://relatoria.colombiacompra.gov.co/</w:t>
        </w:r>
      </w:hyperlink>
      <w:r w:rsidRPr="00CB2CA7">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p>
    <w:p w14:paraId="1BB7C0C1" w14:textId="77777777" w:rsidR="00CF643F" w:rsidRPr="00096788" w:rsidRDefault="00CF643F" w:rsidP="00CF643F">
      <w:pPr>
        <w:widowControl w:val="0"/>
        <w:autoSpaceDE w:val="0"/>
        <w:autoSpaceDN w:val="0"/>
        <w:spacing w:after="0" w:line="276" w:lineRule="auto"/>
        <w:jc w:val="both"/>
        <w:rPr>
          <w:rFonts w:ascii="Verdana" w:hAnsi="Verdana" w:cs="Arial"/>
          <w:color w:val="000000" w:themeColor="text1"/>
          <w:shd w:val="clear" w:color="auto" w:fill="FFFFFF"/>
        </w:rPr>
      </w:pPr>
    </w:p>
    <w:p w14:paraId="736A71DE" w14:textId="77777777" w:rsidR="00CF643F" w:rsidRPr="00A1554D" w:rsidRDefault="00CF643F" w:rsidP="00CF643F">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w:t>
      </w:r>
      <w:r w:rsidRPr="00032009">
        <w:rPr>
          <w:rFonts w:ascii="Verdana" w:hAnsi="Verdana"/>
          <w:color w:val="000000"/>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r w:rsidRPr="00A1554D">
        <w:rPr>
          <w:rStyle w:val="normaltextrun"/>
          <w:rFonts w:ascii="Verdana" w:hAnsi="Verdana" w:cs="Arial"/>
          <w:color w:val="FF0000"/>
          <w:shd w:val="clear" w:color="auto" w:fill="FFFFFF"/>
          <w:lang w:val="es-ES"/>
        </w:rPr>
        <w:t xml:space="preserve">    </w:t>
      </w:r>
    </w:p>
    <w:p w14:paraId="559F55F9" w14:textId="77777777" w:rsidR="00CF643F" w:rsidRDefault="00CF643F" w:rsidP="00CF643F">
      <w:pPr>
        <w:widowControl w:val="0"/>
        <w:autoSpaceDE w:val="0"/>
        <w:autoSpaceDN w:val="0"/>
        <w:spacing w:after="0" w:line="276" w:lineRule="auto"/>
        <w:jc w:val="both"/>
        <w:rPr>
          <w:rFonts w:ascii="Verdana" w:hAnsi="Verdana" w:cs="Arial"/>
        </w:rPr>
      </w:pPr>
    </w:p>
    <w:p w14:paraId="5CB202C1" w14:textId="77777777" w:rsidR="00CF643F" w:rsidRPr="0038088D" w:rsidRDefault="00CF643F" w:rsidP="00CF643F">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34208307" w14:textId="77777777" w:rsidR="00CF643F" w:rsidRPr="0038088D" w:rsidRDefault="00CF643F" w:rsidP="00CF643F">
      <w:pPr>
        <w:spacing w:after="0"/>
        <w:jc w:val="both"/>
        <w:rPr>
          <w:rFonts w:ascii="Verdana" w:hAnsi="Verdana"/>
        </w:rPr>
      </w:pPr>
    </w:p>
    <w:p w14:paraId="5E4F6002" w14:textId="77777777" w:rsidR="00CF643F" w:rsidRPr="0038088D" w:rsidRDefault="00CF643F" w:rsidP="00CF643F">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26231CF9" w14:textId="77777777" w:rsidR="00CF643F" w:rsidRPr="0038088D" w:rsidRDefault="00CF643F" w:rsidP="00CF643F">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2C1B33AE" w14:textId="77777777" w:rsidR="00CF643F" w:rsidRPr="0038088D" w:rsidRDefault="00CF643F" w:rsidP="00CF643F">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2A9A6F08" w14:textId="77777777" w:rsidR="00CF643F" w:rsidRPr="0038088D" w:rsidRDefault="00CF643F" w:rsidP="00CF643F">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01A25110" w14:textId="77777777" w:rsidR="00CF643F" w:rsidRPr="0038088D" w:rsidRDefault="00CF643F" w:rsidP="00CF643F">
      <w:pPr>
        <w:spacing w:after="0" w:line="240" w:lineRule="auto"/>
        <w:ind w:left="720"/>
        <w:jc w:val="both"/>
        <w:rPr>
          <w:rFonts w:ascii="Verdana" w:hAnsi="Verdana"/>
        </w:rPr>
      </w:pPr>
    </w:p>
    <w:p w14:paraId="4B0C8D68" w14:textId="77777777" w:rsidR="00CF643F" w:rsidRPr="0038088D" w:rsidRDefault="00CF643F" w:rsidP="00CF643F">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3B99AA45" w14:textId="77777777" w:rsidR="00CF643F" w:rsidRPr="0038088D" w:rsidRDefault="00CF643F" w:rsidP="00CF643F">
      <w:pPr>
        <w:spacing w:after="0" w:line="240" w:lineRule="auto"/>
        <w:rPr>
          <w:rFonts w:ascii="Verdana" w:hAnsi="Verdana"/>
        </w:rPr>
      </w:pPr>
    </w:p>
    <w:p w14:paraId="1125F60E" w14:textId="77777777" w:rsidR="00CF643F" w:rsidRPr="0038088D" w:rsidRDefault="00CF643F" w:rsidP="00CF643F">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785D3A85" w14:textId="77777777" w:rsidR="00CF643F" w:rsidRPr="00116940" w:rsidRDefault="00CF643F" w:rsidP="00CF643F">
      <w:pPr>
        <w:spacing w:after="0" w:line="240" w:lineRule="auto"/>
        <w:jc w:val="both"/>
        <w:rPr>
          <w:rFonts w:ascii="Verdana" w:hAnsi="Verdana"/>
        </w:rPr>
      </w:pPr>
    </w:p>
    <w:p w14:paraId="2B9AEC71" w14:textId="77777777" w:rsidR="00CF643F" w:rsidRPr="00116940" w:rsidRDefault="00CF643F" w:rsidP="00CF643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16D62B8" w14:textId="77777777" w:rsidR="00CF643F" w:rsidRPr="00116940" w:rsidRDefault="00CF643F" w:rsidP="00CF643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C712B7A" w14:textId="77777777" w:rsidR="00CF643F" w:rsidRPr="0038088D" w:rsidRDefault="00CF643F" w:rsidP="00CF643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C9D99BF" w14:textId="77777777" w:rsidR="00CF643F" w:rsidRPr="00593A5F" w:rsidRDefault="00CF643F" w:rsidP="00CF643F">
      <w:pPr>
        <w:widowControl w:val="0"/>
        <w:autoSpaceDE w:val="0"/>
        <w:autoSpaceDN w:val="0"/>
        <w:spacing w:after="120" w:line="276" w:lineRule="auto"/>
        <w:jc w:val="both"/>
        <w:rPr>
          <w:rFonts w:ascii="Verdana" w:hAnsi="Verdana" w:cs="Arial"/>
        </w:rPr>
      </w:pPr>
    </w:p>
    <w:p w14:paraId="75201797" w14:textId="77777777" w:rsidR="00CF643F" w:rsidRDefault="00CF643F" w:rsidP="00CF643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r w:rsidRPr="004E3D61">
        <w:rPr>
          <w:rFonts w:ascii="Verdana" w:hAnsi="Verdana" w:cs="Arial"/>
          <w:lang w:val="es-ES_tradnl"/>
        </w:rPr>
        <w:t xml:space="preserve">De </w:t>
      </w:r>
      <w:r w:rsidRPr="004E3D61">
        <w:rPr>
          <w:rFonts w:ascii="Verdana" w:hAnsi="Verdana" w:cs="Arial"/>
          <w:lang w:val="es-ES_tradnl"/>
        </w:rPr>
        <w:lastRenderedPageBreak/>
        <w:t>acuerdo con el inciso 3 del artículo 226 del Código General del Proceso, aplicable en concordancia con el artículo 177 de la Ley 1952 de 2019, el presente oficio no tiene el valor de un dictamen pericial, pues versa sobre puntos de derecho. En consecuencia, lo decidido en torno al proceso disciplinario del expediente IUC-D-2025-4131077 es responsabilidad única y exclusiva de la Procuraduría Provincial de Instrucción de Vélez.</w:t>
      </w:r>
    </w:p>
    <w:p w14:paraId="6B35E893" w14:textId="77777777" w:rsidR="00CF643F" w:rsidRPr="00593A5F" w:rsidRDefault="00CF643F" w:rsidP="00CF643F">
      <w:pPr>
        <w:widowControl w:val="0"/>
        <w:autoSpaceDE w:val="0"/>
        <w:autoSpaceDN w:val="0"/>
        <w:spacing w:after="0" w:line="276" w:lineRule="auto"/>
        <w:jc w:val="both"/>
        <w:rPr>
          <w:rFonts w:ascii="Verdana" w:hAnsi="Verdana" w:cs="Arial"/>
        </w:rPr>
      </w:pPr>
    </w:p>
    <w:p w14:paraId="0E283ED3" w14:textId="77777777" w:rsidR="00CF643F" w:rsidRPr="00593A5F" w:rsidRDefault="00CF643F" w:rsidP="00CF643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8FEDC06" w14:textId="2AB01467" w:rsidR="00CF643F" w:rsidRPr="00593A5F" w:rsidRDefault="009437EA" w:rsidP="00CF643F">
      <w:pPr>
        <w:spacing w:line="276" w:lineRule="auto"/>
        <w:jc w:val="center"/>
        <w:rPr>
          <w:rFonts w:ascii="Verdana" w:hAnsi="Verdana" w:cs="Arial"/>
          <w:color w:val="000000"/>
          <w:lang w:val="es-ES_tradnl" w:eastAsia="es-CO"/>
        </w:rPr>
      </w:pPr>
      <w:r>
        <w:rPr>
          <w:noProof/>
        </w:rPr>
        <w:drawing>
          <wp:inline distT="0" distB="0" distL="0" distR="0" wp14:anchorId="400B7D99" wp14:editId="13DE29A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643F" w:rsidRPr="00593A5F" w14:paraId="36A3C7D4" w14:textId="77777777" w:rsidTr="0081202B">
        <w:trPr>
          <w:trHeight w:val="315"/>
        </w:trPr>
        <w:tc>
          <w:tcPr>
            <w:tcW w:w="893" w:type="dxa"/>
            <w:vAlign w:val="center"/>
            <w:hideMark/>
          </w:tcPr>
          <w:p w14:paraId="244BB4F0" w14:textId="77777777" w:rsidR="00CF643F" w:rsidRPr="003751C7" w:rsidRDefault="00CF643F" w:rsidP="0081202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7691E1A" w14:textId="77777777" w:rsidR="00CF643F" w:rsidRPr="00254A7A" w:rsidRDefault="00CF643F" w:rsidP="0081202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6B486C9" w14:textId="77777777" w:rsidR="00CF643F" w:rsidRPr="00254A7A" w:rsidRDefault="00CF643F" w:rsidP="0081202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F643F" w:rsidRPr="00593A5F" w14:paraId="620436AA" w14:textId="77777777" w:rsidTr="0081202B">
        <w:trPr>
          <w:trHeight w:val="330"/>
        </w:trPr>
        <w:tc>
          <w:tcPr>
            <w:tcW w:w="893" w:type="dxa"/>
            <w:vAlign w:val="center"/>
            <w:hideMark/>
          </w:tcPr>
          <w:p w14:paraId="4435DEB1" w14:textId="77777777" w:rsidR="00CF643F" w:rsidRPr="003751C7" w:rsidRDefault="00CF643F" w:rsidP="0081202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ACFB80" w14:textId="77777777" w:rsidR="00CF643F" w:rsidRPr="00254A7A" w:rsidRDefault="00CF643F" w:rsidP="0081202B">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4439371D" w14:textId="77777777" w:rsidR="00CF643F" w:rsidRPr="00254A7A" w:rsidRDefault="00CF643F" w:rsidP="0081202B">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CF643F" w:rsidRPr="00593A5F" w14:paraId="65E74BD4" w14:textId="77777777" w:rsidTr="0081202B">
        <w:trPr>
          <w:trHeight w:val="300"/>
        </w:trPr>
        <w:tc>
          <w:tcPr>
            <w:tcW w:w="893" w:type="dxa"/>
            <w:vAlign w:val="center"/>
          </w:tcPr>
          <w:p w14:paraId="56B1FD82" w14:textId="77777777" w:rsidR="00CF643F" w:rsidRPr="003751C7" w:rsidRDefault="00CF643F" w:rsidP="0081202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55757B2" w14:textId="77777777" w:rsidR="00CF643F" w:rsidRPr="003751C7" w:rsidRDefault="00CF643F" w:rsidP="0081202B">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02CBF79F" w14:textId="77777777" w:rsidR="00CF643F" w:rsidRPr="003751C7" w:rsidRDefault="00CF643F" w:rsidP="0081202B">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7554DF47" w14:textId="77777777" w:rsidR="00CF643F" w:rsidRPr="00593A5F" w:rsidRDefault="00CF643F" w:rsidP="00CF643F">
      <w:pPr>
        <w:spacing w:after="0" w:line="240" w:lineRule="auto"/>
        <w:rPr>
          <w:rFonts w:ascii="Verdana" w:eastAsia="Times New Roman" w:hAnsi="Verdana" w:cs="Arial"/>
          <w:sz w:val="24"/>
          <w:szCs w:val="24"/>
          <w:lang w:eastAsia="es-ES"/>
        </w:rPr>
      </w:pPr>
    </w:p>
    <w:p w14:paraId="0F293BF4" w14:textId="2178B4B4" w:rsidR="00127233" w:rsidRPr="00DF56DF" w:rsidRDefault="00127233" w:rsidP="00DF56DF"/>
    <w:sectPr w:rsidR="00127233" w:rsidRPr="00DF56D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EBB50" w14:textId="77777777" w:rsidR="001001E2" w:rsidRDefault="001001E2" w:rsidP="004A1847">
      <w:pPr>
        <w:spacing w:after="0" w:line="240" w:lineRule="auto"/>
      </w:pPr>
      <w:r>
        <w:separator/>
      </w:r>
    </w:p>
  </w:endnote>
  <w:endnote w:type="continuationSeparator" w:id="0">
    <w:p w14:paraId="782005B4" w14:textId="77777777" w:rsidR="001001E2" w:rsidRDefault="001001E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371640"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371640">
      <w:rPr>
        <w:rFonts w:ascii="Century Gothic" w:eastAsia="Geo" w:hAnsi="Century Gothic" w:cs="Geo"/>
        <w:b/>
        <w:bCs/>
        <w:color w:val="000000" w:themeColor="text1"/>
        <w:sz w:val="16"/>
        <w:szCs w:val="16"/>
        <w:lang w:val="pt-BR" w:eastAsia="es-CO"/>
      </w:rPr>
      <w:t xml:space="preserve">Código: </w:t>
    </w:r>
    <w:r w:rsidRPr="00371640">
      <w:rPr>
        <w:rFonts w:ascii="Century Gothic" w:eastAsia="Geo" w:hAnsi="Century Gothic" w:cs="Geo"/>
        <w:color w:val="000000" w:themeColor="text1"/>
        <w:sz w:val="16"/>
        <w:szCs w:val="16"/>
        <w:lang w:val="pt-BR" w:eastAsia="es-CO"/>
      </w:rPr>
      <w:t xml:space="preserve">CCE-REC-FM-17 </w:t>
    </w:r>
    <w:r w:rsidRPr="00371640">
      <w:rPr>
        <w:rFonts w:ascii="Century Gothic" w:eastAsia="Geo" w:hAnsi="Century Gothic" w:cs="Geo"/>
        <w:b/>
        <w:bCs/>
        <w:color w:val="000000" w:themeColor="text1"/>
        <w:sz w:val="16"/>
        <w:szCs w:val="16"/>
        <w:lang w:val="pt-BR" w:eastAsia="es-CO"/>
      </w:rPr>
      <w:t>V</w:t>
    </w:r>
    <w:r w:rsidRPr="00371640">
      <w:rPr>
        <w:rFonts w:ascii="Century Gothic" w:eastAsia="Arial Nova" w:hAnsi="Century Gothic" w:cs="Arial Nova"/>
        <w:b/>
        <w:bCs/>
        <w:color w:val="000000" w:themeColor="text1"/>
        <w:sz w:val="16"/>
        <w:szCs w:val="16"/>
        <w:lang w:val="pt-BR" w:eastAsia="es-CO"/>
      </w:rPr>
      <w:t xml:space="preserve">: </w:t>
    </w:r>
    <w:r w:rsidRPr="00371640">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3DF49" w14:textId="77777777" w:rsidR="001001E2" w:rsidRDefault="001001E2" w:rsidP="004A1847">
      <w:pPr>
        <w:spacing w:after="0" w:line="240" w:lineRule="auto"/>
      </w:pPr>
      <w:r>
        <w:separator/>
      </w:r>
    </w:p>
  </w:footnote>
  <w:footnote w:type="continuationSeparator" w:id="0">
    <w:p w14:paraId="681A41F8" w14:textId="77777777" w:rsidR="001001E2" w:rsidRDefault="001001E2" w:rsidP="004A1847">
      <w:pPr>
        <w:spacing w:after="0" w:line="240" w:lineRule="auto"/>
      </w:pPr>
      <w:r>
        <w:continuationSeparator/>
      </w:r>
    </w:p>
  </w:footnote>
  <w:footnote w:id="1">
    <w:p w14:paraId="0AC4992B"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1861FA">
        <w:rPr>
          <w:rFonts w:ascii="Verdana" w:hAnsi="Verdana" w:cs="Arial"/>
          <w:i/>
          <w:iCs/>
          <w:sz w:val="16"/>
          <w:szCs w:val="16"/>
        </w:rPr>
        <w:t xml:space="preserve">ibidem </w:t>
      </w:r>
      <w:r w:rsidRPr="001861FA">
        <w:rPr>
          <w:rFonts w:ascii="Verdana" w:hAnsi="Verdana"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3334B5C1"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3">
    <w:p w14:paraId="082D6A42"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sz w:val="16"/>
          <w:szCs w:val="16"/>
        </w:rPr>
        <w:footnoteRef/>
      </w:r>
      <w:r w:rsidRPr="001861FA">
        <w:rPr>
          <w:rFonts w:ascii="Verdana" w:hAnsi="Verdana"/>
          <w:sz w:val="16"/>
          <w:szCs w:val="16"/>
        </w:rPr>
        <w:t xml:space="preserve"> </w:t>
      </w:r>
      <w:r w:rsidRPr="001861FA">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15221D8" w14:textId="77777777" w:rsidR="00CF643F" w:rsidRPr="001861FA" w:rsidRDefault="00CF643F" w:rsidP="00CF643F">
      <w:pPr>
        <w:pStyle w:val="Textonotapie"/>
        <w:ind w:firstLine="708"/>
        <w:jc w:val="both"/>
        <w:rPr>
          <w:rFonts w:ascii="Verdana" w:hAnsi="Verdana" w:cs="Arial"/>
          <w:sz w:val="16"/>
          <w:szCs w:val="16"/>
        </w:rPr>
      </w:pPr>
      <w:r w:rsidRPr="001861FA">
        <w:rPr>
          <w:rFonts w:ascii="Verdana" w:hAnsi="Verdana" w:cs="Arial"/>
          <w:sz w:val="16"/>
          <w:szCs w:val="16"/>
        </w:rPr>
        <w:t xml:space="preserve">Los convenios de asociación a que se refiere el presente artículo </w:t>
      </w:r>
      <w:bookmarkStart w:id="4" w:name="_Hlk36023315"/>
      <w:r w:rsidRPr="001861FA">
        <w:rPr>
          <w:rFonts w:ascii="Verdana" w:hAnsi="Verdana" w:cs="Arial"/>
          <w:sz w:val="16"/>
          <w:szCs w:val="16"/>
        </w:rPr>
        <w:t>se celebrarán de conformidad con lo dispuesto en el artículo 355 de la Constitución Política</w:t>
      </w:r>
      <w:bookmarkEnd w:id="4"/>
      <w:r w:rsidRPr="001861FA">
        <w:rPr>
          <w:rFonts w:ascii="Verdana" w:hAnsi="Verdana" w:cs="Arial"/>
          <w:sz w:val="16"/>
          <w:szCs w:val="16"/>
        </w:rPr>
        <w:t>, en ellos se determinará con precisión su objeto, término, obligaciones de las partes, aportes, coordinación y todos aquellos aspectos que se consideren pertinentes”.</w:t>
      </w:r>
    </w:p>
  </w:footnote>
  <w:footnote w:id="4">
    <w:p w14:paraId="56E93A54"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Concepto del 3 de septiembre de 2019, con radicado No. 2201913000006512.</w:t>
      </w:r>
    </w:p>
  </w:footnote>
  <w:footnote w:id="5">
    <w:p w14:paraId="4C6F80B5"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6">
    <w:p w14:paraId="6CA97193" w14:textId="77777777" w:rsidR="00CF643F" w:rsidRPr="001861FA" w:rsidRDefault="00CF643F" w:rsidP="00CF643F">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Cfr. Concepto del 21 de agosto de 2019, dictado dentro del radicado No. 2201913000006047.</w:t>
      </w:r>
    </w:p>
  </w:footnote>
  <w:footnote w:id="7">
    <w:p w14:paraId="3B76FBBB" w14:textId="77777777" w:rsidR="00CF643F" w:rsidRPr="001861FA" w:rsidRDefault="00CF643F" w:rsidP="00CF643F">
      <w:pPr>
        <w:pStyle w:val="Textonotapie"/>
        <w:ind w:firstLine="708"/>
        <w:jc w:val="both"/>
        <w:rPr>
          <w:rFonts w:ascii="Verdana" w:hAnsi="Verdana" w:cs="Arial"/>
          <w:color w:val="000000" w:themeColor="text1"/>
          <w:sz w:val="16"/>
          <w:szCs w:val="16"/>
          <w:lang w:val="es-ES"/>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Concepto del 24 de febrero de 2005, con radicado No. 1626, C.P. Dra. Gloria Duque Hernández</w:t>
      </w:r>
    </w:p>
  </w:footnote>
  <w:footnote w:id="8">
    <w:p w14:paraId="5EA3FAFD" w14:textId="77777777" w:rsidR="00CF643F" w:rsidRPr="001861FA" w:rsidRDefault="00CF643F" w:rsidP="00CF643F">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footnote>
  <w:footnote w:id="9">
    <w:p w14:paraId="53E0B5BE" w14:textId="77777777" w:rsidR="00CF643F" w:rsidRPr="001861FA" w:rsidRDefault="00CF643F" w:rsidP="00CF643F">
      <w:pPr>
        <w:pStyle w:val="Textonotapie"/>
        <w:ind w:firstLine="708"/>
        <w:rPr>
          <w:rFonts w:ascii="Verdana" w:hAnsi="Verdana" w:cs="Arial"/>
          <w:color w:val="000000" w:themeColor="text1"/>
          <w:sz w:val="16"/>
          <w:szCs w:val="16"/>
        </w:rPr>
      </w:pPr>
      <w:r w:rsidRPr="001861FA">
        <w:rPr>
          <w:rStyle w:val="Refdenotaalpie"/>
          <w:rFonts w:ascii="Verdana" w:hAnsi="Verdana"/>
          <w:sz w:val="16"/>
          <w:szCs w:val="16"/>
        </w:rPr>
        <w:footnoteRef/>
      </w:r>
      <w:r w:rsidRPr="001861FA">
        <w:rPr>
          <w:rFonts w:ascii="Verdana" w:hAnsi="Verdana"/>
          <w:sz w:val="16"/>
          <w:szCs w:val="16"/>
        </w:rPr>
        <w:t xml:space="preserve"> </w:t>
      </w:r>
      <w:r w:rsidRPr="001861FA">
        <w:rPr>
          <w:rFonts w:ascii="Verdana" w:hAnsi="Verdana" w:cs="Arial"/>
          <w:color w:val="000000" w:themeColor="text1"/>
          <w:sz w:val="16"/>
          <w:szCs w:val="16"/>
        </w:rPr>
        <w:t>CONSEJO DE ESTADO. Sala Plena. Auto del 15 de marzo de 2022. Exp. 11001-03-26-000-2018-00113-01 (62.003). C.P. Rocío Araújo Oñate.</w:t>
      </w:r>
    </w:p>
  </w:footnote>
  <w:footnote w:id="10">
    <w:p w14:paraId="6EA92132" w14:textId="77777777" w:rsidR="00CF643F" w:rsidRPr="001861FA" w:rsidRDefault="00CF643F" w:rsidP="00CF643F">
      <w:pPr>
        <w:pStyle w:val="Textonotapie"/>
        <w:ind w:firstLine="708"/>
        <w:jc w:val="both"/>
        <w:rPr>
          <w:rFonts w:ascii="Verdana" w:eastAsia="Calibri"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w:t>
      </w:r>
      <w:r w:rsidRPr="001861FA">
        <w:rPr>
          <w:rFonts w:ascii="Verdana" w:eastAsia="Calibri" w:hAnsi="Verdana" w:cs="Arial"/>
          <w:color w:val="000000" w:themeColor="text1"/>
          <w:sz w:val="16"/>
          <w:szCs w:val="16"/>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footnote>
  <w:footnote w:id="11">
    <w:p w14:paraId="696B7FEF" w14:textId="77777777" w:rsidR="00CF643F" w:rsidRPr="001861FA" w:rsidRDefault="00CF643F" w:rsidP="00CF643F">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w:t>
      </w:r>
      <w:r w:rsidRPr="001861FA">
        <w:rPr>
          <w:rFonts w:ascii="Verdana" w:eastAsia="Calibri" w:hAnsi="Verdana" w:cs="Arial"/>
          <w:color w:val="000000" w:themeColor="text1"/>
          <w:sz w:val="16"/>
          <w:szCs w:val="16"/>
        </w:rPr>
        <w:t>Decreto 092 de 2017, artículo 3, inciso 2: “</w:t>
      </w:r>
      <w:r w:rsidRPr="001861FA">
        <w:rPr>
          <w:rFonts w:ascii="Verdana" w:hAnsi="Verdana" w:cs="Arial"/>
          <w:color w:val="000000" w:themeColor="text1"/>
          <w:sz w:val="16"/>
          <w:szCs w:val="16"/>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footnote>
  <w:footnote w:id="12">
    <w:p w14:paraId="5C17EEEE" w14:textId="77777777" w:rsidR="00CF643F" w:rsidRPr="001861FA" w:rsidRDefault="00CF643F" w:rsidP="00CF643F">
      <w:pPr>
        <w:spacing w:after="0" w:line="240" w:lineRule="auto"/>
        <w:ind w:firstLine="708"/>
        <w:jc w:val="both"/>
        <w:rPr>
          <w:rFonts w:ascii="Verdana" w:hAnsi="Verdana" w:cs="Arial"/>
          <w:color w:val="000000" w:themeColor="text1"/>
          <w:sz w:val="16"/>
          <w:szCs w:val="16"/>
        </w:rPr>
      </w:pPr>
      <w:r w:rsidRPr="001861FA">
        <w:rPr>
          <w:rFonts w:ascii="Verdana" w:hAnsi="Verdana" w:cs="Arial"/>
          <w:color w:val="000000" w:themeColor="text1"/>
          <w:sz w:val="16"/>
          <w:szCs w:val="16"/>
          <w:vertAlign w:val="superscript"/>
        </w:rPr>
        <w:footnoteRef/>
      </w:r>
      <w:r w:rsidRPr="001861FA">
        <w:rPr>
          <w:rFonts w:ascii="Verdana" w:hAnsi="Verdana" w:cs="Arial"/>
          <w:color w:val="000000" w:themeColor="text1"/>
          <w:sz w:val="16"/>
          <w:szCs w:val="16"/>
        </w:rPr>
        <w:t xml:space="preserve"> En el auto del 15 de marzo de 2022 se señalaron los siguientes argumentos para levantar la suspensión provisional del inciso segundo del artículo 3 del Decreto 092 de 2017: “43. En suma, lo que advierte la Sala es que para establecer si el Gobierno nacional delegó indebidamente el ejercicio de la potestad reglamentaria directa de la Constitución, es necesario realizar un estudio de fondo, que es propio de la sentencia, pues de la literalidad de las normas confrontadas no surge que la expedición de la guía, con el alcance orientador y de interpretación señalado en las disposiciones demandadas, corresponda al ejercicio incompleto y trasladado de esa potestad, como lo razona el demandante, o si se trata de la asignación de una función o tarea, dentro de la amplia esfera de configuración normativa que confieren los reglamentos constitucionales autónomos, como lo entiende el Departamento Nacional de Planeación. </w:t>
      </w:r>
    </w:p>
    <w:p w14:paraId="1D360B03" w14:textId="77777777" w:rsidR="00CF643F" w:rsidRPr="001861FA" w:rsidRDefault="00CF643F" w:rsidP="00CF643F">
      <w:pPr>
        <w:spacing w:after="0" w:line="240" w:lineRule="auto"/>
        <w:ind w:firstLine="708"/>
        <w:jc w:val="both"/>
        <w:rPr>
          <w:rFonts w:ascii="Verdana" w:hAnsi="Verdana" w:cs="Arial"/>
          <w:color w:val="000000" w:themeColor="text1"/>
          <w:sz w:val="16"/>
          <w:szCs w:val="16"/>
        </w:rPr>
      </w:pPr>
      <w:r w:rsidRPr="001861FA">
        <w:rPr>
          <w:rFonts w:ascii="Verdana" w:hAnsi="Verdana" w:cs="Arial"/>
          <w:color w:val="000000" w:themeColor="text1"/>
          <w:sz w:val="16"/>
          <w:szCs w:val="16"/>
        </w:rPr>
        <w:t xml:space="preserve"> 44. Así pues, al no evidenciarse ab initio la infracción constitucional aducida en los términos del artículo 231 de la Ley 1437 de 2011, no existe fundamento jurídico para suspender provisionalmente los efectos del inciso segundo del artículo 1 y del inciso segundo del artículo 3 del Decreto 092 de 2017. En consecuencia, la Sala revocará dicha medida cautelar y la negará en relación con esas disposiciones”. (CONSEJO DE ESTADO. Sala Plena. Auto del 15 de marzo de 2022. Exp. 11001-03-26-000-2018-00113-01 (62.003). C.P. Rocío Araújo Oñate).</w:t>
      </w:r>
    </w:p>
  </w:footnote>
  <w:footnote w:id="13">
    <w:p w14:paraId="3D5130CE" w14:textId="77777777" w:rsidR="00CF643F" w:rsidRPr="001861FA" w:rsidRDefault="00CF643F" w:rsidP="00CF643F">
      <w:pPr>
        <w:spacing w:after="0" w:line="240" w:lineRule="auto"/>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4">
    <w:p w14:paraId="6ECA29F2" w14:textId="77777777" w:rsidR="00CF643F" w:rsidRPr="001861FA" w:rsidRDefault="00CF643F" w:rsidP="00CF643F">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footnote>
  <w:footnote w:id="15">
    <w:p w14:paraId="5CB82452" w14:textId="77777777" w:rsidR="00CF643F" w:rsidRPr="001861FA" w:rsidRDefault="00CF643F" w:rsidP="00CF643F">
      <w:pPr>
        <w:pStyle w:val="Textonotapie"/>
        <w:ind w:firstLine="708"/>
        <w:jc w:val="both"/>
        <w:rPr>
          <w:rFonts w:ascii="Verdana" w:hAnsi="Verdana" w:cs="Arial"/>
          <w:color w:val="000000" w:themeColor="text1"/>
          <w:sz w:val="16"/>
          <w:szCs w:val="16"/>
          <w:lang w:val="es-ES"/>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6">
    <w:p w14:paraId="1F563DED"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De esta manera, agrega que “[…] cuando el reglamento exige correspondencia directa entre los objetos de los contratos y las actividades y programas contenidos específicamente en los planes de desarrollo, excluye aquellos programas y actividades de interés público que desarrollan entidades sin ánimo de lucro y de reconocida idoneidad, que aun cuando acordes con los planes de desarrollo no encajan de manera precisa en alguna de las actividades o programas particulares contemplados en dichos planes” (Cfr. Consejo de Estado. Sala Plena. </w:t>
      </w:r>
      <w:bookmarkStart w:id="12" w:name="_Hlk102655636"/>
      <w:r w:rsidRPr="001861FA">
        <w:rPr>
          <w:rFonts w:ascii="Verdana" w:hAnsi="Verdana" w:cs="Arial"/>
          <w:sz w:val="16"/>
          <w:szCs w:val="16"/>
        </w:rPr>
        <w:t>Auto del 15 de marzo de 2022</w:t>
      </w:r>
      <w:bookmarkEnd w:id="12"/>
      <w:r w:rsidRPr="001861FA">
        <w:rPr>
          <w:rFonts w:ascii="Verdana" w:hAnsi="Verdana" w:cs="Arial"/>
          <w:sz w:val="16"/>
          <w:szCs w:val="16"/>
        </w:rPr>
        <w:t>. Exp. 62.003. C.P. Rocío Araújo Oñate).</w:t>
      </w:r>
    </w:p>
  </w:footnote>
  <w:footnote w:id="17">
    <w:p w14:paraId="4A92624C" w14:textId="77777777" w:rsidR="00CF643F" w:rsidRPr="001861FA" w:rsidRDefault="00CF643F" w:rsidP="00CF643F">
      <w:pPr>
        <w:pStyle w:val="Textonotapie"/>
        <w:ind w:firstLine="708"/>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w:t>
      </w:r>
      <w:r w:rsidRPr="001861FA">
        <w:rPr>
          <w:rFonts w:ascii="Verdana" w:hAnsi="Verdana" w:cs="Arial"/>
          <w:i/>
          <w:iCs/>
          <w:sz w:val="16"/>
          <w:szCs w:val="16"/>
        </w:rPr>
        <w:t>Ibidem</w:t>
      </w:r>
      <w:r w:rsidRPr="001861FA">
        <w:rPr>
          <w:rFonts w:ascii="Verdana" w:hAnsi="Verdana" w:cs="Arial"/>
          <w:sz w:val="16"/>
          <w:szCs w:val="16"/>
        </w:rPr>
        <w:t>.</w:t>
      </w:r>
    </w:p>
  </w:footnote>
  <w:footnote w:id="18">
    <w:p w14:paraId="6CD1D619" w14:textId="77777777" w:rsidR="00CF643F" w:rsidRPr="001861FA" w:rsidRDefault="00CF643F" w:rsidP="00CF643F">
      <w:pPr>
        <w:pStyle w:val="Textonotapie"/>
        <w:ind w:firstLine="708"/>
        <w:jc w:val="both"/>
        <w:rPr>
          <w:rFonts w:ascii="Verdana" w:hAnsi="Verdana" w:cs="Arial"/>
          <w:color w:val="000000" w:themeColor="text1"/>
          <w:sz w:val="16"/>
          <w:szCs w:val="16"/>
        </w:rPr>
      </w:pPr>
      <w:r w:rsidRPr="001861FA">
        <w:rPr>
          <w:rStyle w:val="Refdenotaalpie"/>
          <w:rFonts w:ascii="Verdana" w:hAnsi="Verdana" w:cs="Arial"/>
          <w:color w:val="000000" w:themeColor="text1"/>
          <w:sz w:val="16"/>
          <w:szCs w:val="16"/>
        </w:rPr>
        <w:footnoteRef/>
      </w:r>
      <w:r w:rsidRPr="001861FA">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9">
    <w:p w14:paraId="490F6AC7" w14:textId="77777777" w:rsidR="00CF643F" w:rsidRPr="001861FA" w:rsidRDefault="00CF643F" w:rsidP="00CF643F">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“Artículo 3o. Competencias del nivel nacional y territorial. El servicio público esencial se prestará con fundamento en los principios de subsidiariedad, coordinación y concurrencia, en cumplimiento de lo dispuesto en el artículo 288 de la Constitución.</w:t>
      </w:r>
    </w:p>
    <w:p w14:paraId="6F802B22" w14:textId="77777777" w:rsidR="00CF643F" w:rsidRPr="001861FA" w:rsidRDefault="00CF643F" w:rsidP="00CF643F">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w:t>
      </w:r>
    </w:p>
    <w:p w14:paraId="2303A533" w14:textId="77777777" w:rsidR="00CF643F" w:rsidRPr="001861FA" w:rsidRDefault="00CF643F" w:rsidP="00CF643F">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 xml:space="preserve">Es obligación de los distritos, con asiento en su respectiva jurisdicción y de los municipios la prestación del servicio público esencial a través de los cuerpos de bomberos oficiales o </w:t>
      </w:r>
      <w:r w:rsidRPr="001861FA">
        <w:rPr>
          <w:rFonts w:ascii="Verdana" w:hAnsi="Verdana" w:cs="Arial"/>
          <w:i/>
          <w:color w:val="000000"/>
          <w:sz w:val="16"/>
          <w:szCs w:val="16"/>
        </w:rPr>
        <w:t>mediante la celebración de contratos y/o convenios con los cuerpos de bomberos voluntarios</w:t>
      </w:r>
      <w:r w:rsidRPr="001861FA">
        <w:rPr>
          <w:rFonts w:ascii="Verdana" w:hAnsi="Verdana" w:cs="Arial"/>
          <w:color w:val="000000"/>
          <w:sz w:val="16"/>
          <w:szCs w:val="16"/>
        </w:rPr>
        <w:t>. […]” [Énfasis fuera del texto].</w:t>
      </w:r>
    </w:p>
  </w:footnote>
  <w:footnote w:id="20">
    <w:p w14:paraId="5DE553F1" w14:textId="77777777" w:rsidR="00CF643F" w:rsidRPr="001861FA" w:rsidRDefault="00CF643F" w:rsidP="00CF643F">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“Artículo 6o. El artículo 3o de la Ley 136 de 1994 quedará así:</w:t>
      </w:r>
    </w:p>
    <w:p w14:paraId="41D22A27" w14:textId="77777777" w:rsidR="00CF643F" w:rsidRPr="001861FA" w:rsidRDefault="00CF643F" w:rsidP="00CF643F">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Artículo 3o. Funciones de los municipios. Corresponde al municipio:</w:t>
      </w:r>
    </w:p>
    <w:p w14:paraId="36A7FFB2" w14:textId="77777777" w:rsidR="00CF643F" w:rsidRPr="001861FA" w:rsidRDefault="00CF643F" w:rsidP="00CF643F">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w:t>
      </w:r>
    </w:p>
    <w:p w14:paraId="66092E39" w14:textId="77777777" w:rsidR="00CF643F" w:rsidRPr="001861FA" w:rsidRDefault="00CF643F" w:rsidP="00CF643F">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p>
  </w:footnote>
  <w:footnote w:id="21">
    <w:p w14:paraId="093F2364" w14:textId="77777777" w:rsidR="00CF643F" w:rsidRPr="001861FA"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La nueva versión de la circular se encuentra en el siguiente enlace: </w:t>
      </w:r>
      <w:hyperlink r:id="rId1" w:history="1">
        <w:r w:rsidRPr="001861FA">
          <w:rPr>
            <w:rStyle w:val="Hipervnculo"/>
            <w:rFonts w:ascii="Verdana" w:hAnsi="Verdana" w:cs="Arial"/>
            <w:sz w:val="16"/>
            <w:szCs w:val="16"/>
          </w:rPr>
          <w:t>https://www.colombiacompra.gov.co/sites/cce_public/files/cce_circulares/circular_externa_unica_version_3_vf49.pdf</w:t>
        </w:r>
      </w:hyperlink>
      <w:r w:rsidRPr="001861FA">
        <w:rPr>
          <w:rFonts w:ascii="Verdana" w:hAnsi="Verdana" w:cs="Arial"/>
          <w:sz w:val="16"/>
          <w:szCs w:val="16"/>
        </w:rPr>
        <w:t xml:space="preserve">.  </w:t>
      </w:r>
    </w:p>
  </w:footnote>
  <w:footnote w:id="22">
    <w:p w14:paraId="563D6F45" w14:textId="77777777" w:rsidR="00CF643F" w:rsidRPr="001861FA" w:rsidRDefault="00CF643F" w:rsidP="00CF643F">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Estas normas hacen parte de los antecedentes legislativos de la norma en comento, así como también la Ley 48 </w:t>
      </w:r>
      <w:r>
        <w:rPr>
          <w:rFonts w:ascii="Verdana" w:hAnsi="Verdana" w:cs="Arial"/>
          <w:color w:val="000000"/>
          <w:sz w:val="16"/>
          <w:szCs w:val="16"/>
        </w:rPr>
        <w:t xml:space="preserve">de </w:t>
      </w:r>
      <w:r w:rsidRPr="001861FA">
        <w:rPr>
          <w:rFonts w:ascii="Verdana" w:hAnsi="Verdana" w:cs="Arial"/>
          <w:color w:val="000000"/>
          <w:sz w:val="16"/>
          <w:szCs w:val="16"/>
        </w:rPr>
        <w:t>1986.</w:t>
      </w:r>
    </w:p>
  </w:footnote>
  <w:footnote w:id="23">
    <w:p w14:paraId="0DE28FE6" w14:textId="77777777" w:rsidR="00CF643F" w:rsidRPr="001861FA" w:rsidRDefault="00CF643F" w:rsidP="00CF643F">
      <w:pPr>
        <w:pStyle w:val="Textonotapie"/>
        <w:ind w:firstLine="708"/>
        <w:rPr>
          <w:rFonts w:ascii="Verdana" w:hAnsi="Verdana"/>
          <w:sz w:val="16"/>
          <w:szCs w:val="16"/>
        </w:rPr>
      </w:pPr>
      <w:r w:rsidRPr="001861FA">
        <w:rPr>
          <w:rStyle w:val="Refdenotaalpie"/>
          <w:rFonts w:ascii="Verdana" w:hAnsi="Verdana"/>
          <w:sz w:val="16"/>
          <w:szCs w:val="16"/>
        </w:rPr>
        <w:footnoteRef/>
      </w:r>
      <w:r w:rsidRPr="001861FA">
        <w:rPr>
          <w:rFonts w:ascii="Verdana" w:hAnsi="Verdana"/>
          <w:sz w:val="16"/>
          <w:szCs w:val="16"/>
        </w:rPr>
        <w:t xml:space="preserve"> Agencia Nacional de Contratación Pública – Colombia Compra Eficiente. Concepto C-078 del 25 de abril de 2023</w:t>
      </w:r>
    </w:p>
  </w:footnote>
  <w:footnote w:id="24">
    <w:p w14:paraId="47B71843" w14:textId="77777777" w:rsidR="00CF643F" w:rsidRPr="001861FA" w:rsidRDefault="00CF643F" w:rsidP="00CF643F">
      <w:pPr>
        <w:pStyle w:val="Textonotapie"/>
        <w:ind w:firstLine="708"/>
        <w:rPr>
          <w:rFonts w:ascii="Verdana" w:hAnsi="Verdana"/>
          <w:sz w:val="16"/>
          <w:szCs w:val="16"/>
          <w:lang w:val="es-ES"/>
        </w:rPr>
      </w:pPr>
      <w:r w:rsidRPr="001861FA">
        <w:rPr>
          <w:rStyle w:val="Refdenotaalpie"/>
          <w:rFonts w:ascii="Verdana" w:hAnsi="Verdana"/>
          <w:sz w:val="16"/>
          <w:szCs w:val="16"/>
        </w:rPr>
        <w:footnoteRef/>
      </w:r>
      <w:r w:rsidRPr="001861FA">
        <w:rPr>
          <w:rFonts w:ascii="Verdana" w:hAnsi="Verdana"/>
          <w:sz w:val="16"/>
          <w:szCs w:val="16"/>
        </w:rPr>
        <w:t xml:space="preserve"> </w:t>
      </w:r>
      <w:r w:rsidRPr="001861FA">
        <w:rPr>
          <w:rFonts w:ascii="Verdana" w:hAnsi="Verdana"/>
          <w:sz w:val="16"/>
          <w:szCs w:val="16"/>
          <w:lang w:val="es-ES"/>
        </w:rPr>
        <w:t>Artículo 1 Decreto 092 de 2017.</w:t>
      </w:r>
    </w:p>
  </w:footnote>
  <w:footnote w:id="25">
    <w:p w14:paraId="562A9489" w14:textId="77777777" w:rsidR="00CF643F" w:rsidRPr="001861FA" w:rsidRDefault="00CF643F" w:rsidP="00CF643F">
      <w:pPr>
        <w:pStyle w:val="Textonotapie"/>
        <w:ind w:firstLine="708"/>
        <w:rPr>
          <w:rFonts w:ascii="Verdana" w:hAnsi="Verdana"/>
          <w:sz w:val="16"/>
          <w:szCs w:val="16"/>
        </w:rPr>
      </w:pPr>
      <w:r w:rsidRPr="001861FA">
        <w:rPr>
          <w:rStyle w:val="Refdenotaalpie"/>
          <w:rFonts w:ascii="Verdana" w:hAnsi="Verdana"/>
          <w:sz w:val="16"/>
          <w:szCs w:val="16"/>
        </w:rPr>
        <w:footnoteRef/>
      </w:r>
      <w:r w:rsidRPr="001861FA">
        <w:rPr>
          <w:rFonts w:ascii="Verdana" w:hAnsi="Verdana"/>
          <w:sz w:val="16"/>
          <w:szCs w:val="16"/>
        </w:rPr>
        <w:t xml:space="preserve"> Agencia Nacional de Contratación Pública – Colombia Compra Eficiente. Concepto C-078 del 25 de abril de 2023.</w:t>
      </w:r>
    </w:p>
  </w:footnote>
  <w:footnote w:id="26">
    <w:p w14:paraId="3A912F93" w14:textId="77777777" w:rsidR="00CF643F" w:rsidRPr="001861FA" w:rsidRDefault="00CF643F" w:rsidP="00CF643F">
      <w:pPr>
        <w:spacing w:after="0" w:line="240" w:lineRule="auto"/>
        <w:ind w:firstLine="708"/>
        <w:jc w:val="both"/>
        <w:rPr>
          <w:rFonts w:ascii="Verdana" w:eastAsia="Calibri" w:hAnsi="Verdana" w:cs="Arial"/>
          <w:color w:val="000000"/>
          <w:sz w:val="16"/>
          <w:szCs w:val="16"/>
        </w:rPr>
      </w:pPr>
      <w:r w:rsidRPr="001861FA">
        <w:rPr>
          <w:rStyle w:val="Refdenotaalpie"/>
          <w:rFonts w:ascii="Verdana" w:hAnsi="Verdana"/>
          <w:sz w:val="16"/>
          <w:szCs w:val="16"/>
        </w:rPr>
        <w:footnoteRef/>
      </w:r>
      <w:r w:rsidRPr="001861FA">
        <w:rPr>
          <w:rFonts w:ascii="Verdana" w:hAnsi="Verdana"/>
          <w:sz w:val="16"/>
          <w:szCs w:val="16"/>
        </w:rPr>
        <w:t xml:space="preserve"> Ley 80 de 1993. “</w:t>
      </w:r>
      <w:r w:rsidRPr="001861FA">
        <w:rPr>
          <w:rFonts w:ascii="Verdana" w:eastAsia="Calibri" w:hAnsi="Verdana" w:cs="Arial"/>
          <w:color w:val="000000"/>
          <w:sz w:val="16"/>
          <w:szCs w:val="16"/>
        </w:rPr>
        <w:t xml:space="preserve">Artículo 1o. Del objeto. La presente ley tiene por objeto disponer las </w:t>
      </w:r>
      <w:r w:rsidRPr="001861FA">
        <w:rPr>
          <w:rFonts w:ascii="Verdana" w:eastAsia="Calibri" w:hAnsi="Verdana" w:cs="Arial"/>
          <w:i/>
          <w:color w:val="000000"/>
          <w:sz w:val="16"/>
          <w:szCs w:val="16"/>
        </w:rPr>
        <w:t>reglas y principios que rigen los contratos de las entidades estatales”</w:t>
      </w:r>
      <w:r w:rsidRPr="001861FA">
        <w:rPr>
          <w:rFonts w:ascii="Verdana" w:eastAsia="Calibri" w:hAnsi="Verdana" w:cs="Arial"/>
          <w:color w:val="000000"/>
          <w:sz w:val="16"/>
          <w:szCs w:val="16"/>
        </w:rPr>
        <w:t>.</w:t>
      </w:r>
    </w:p>
    <w:p w14:paraId="6EDAF224" w14:textId="77777777" w:rsidR="00CF643F" w:rsidRPr="001861FA" w:rsidRDefault="00CF643F" w:rsidP="00CF643F">
      <w:pPr>
        <w:spacing w:after="0" w:line="240" w:lineRule="auto"/>
        <w:ind w:firstLine="708"/>
        <w:jc w:val="both"/>
        <w:rPr>
          <w:rFonts w:ascii="Verdana" w:eastAsia="Calibri" w:hAnsi="Verdana" w:cs="Arial"/>
          <w:color w:val="000000"/>
          <w:sz w:val="16"/>
          <w:szCs w:val="16"/>
        </w:rPr>
      </w:pPr>
      <w:r w:rsidRPr="001861FA">
        <w:rPr>
          <w:rFonts w:ascii="Verdana" w:eastAsia="Calibri" w:hAnsi="Verdana" w:cs="Arial"/>
          <w:color w:val="000000"/>
          <w:sz w:val="16"/>
          <w:szCs w:val="16"/>
        </w:rPr>
        <w:t>“Artículo 2o. De la definición de Entidades, Servidores y Servicios Públicos. Para los solos efectos de esta ley:</w:t>
      </w:r>
    </w:p>
    <w:p w14:paraId="608843D1" w14:textId="77777777" w:rsidR="00CF643F" w:rsidRPr="001861FA" w:rsidRDefault="00CF643F" w:rsidP="00CF643F">
      <w:pPr>
        <w:spacing w:after="0" w:line="240" w:lineRule="auto"/>
        <w:ind w:firstLine="708"/>
        <w:jc w:val="both"/>
        <w:rPr>
          <w:rFonts w:ascii="Verdana" w:eastAsia="Calibri" w:hAnsi="Verdana" w:cs="Arial"/>
          <w:color w:val="000000"/>
          <w:sz w:val="16"/>
          <w:szCs w:val="16"/>
        </w:rPr>
      </w:pPr>
      <w:r w:rsidRPr="001861FA">
        <w:rPr>
          <w:rFonts w:ascii="Verdana" w:eastAsia="Calibri" w:hAnsi="Verdana" w:cs="Arial"/>
          <w:color w:val="000000"/>
          <w:sz w:val="16"/>
          <w:szCs w:val="16"/>
        </w:rPr>
        <w:t xml:space="preserve">1o. </w:t>
      </w:r>
      <w:r w:rsidRPr="001861FA">
        <w:rPr>
          <w:rFonts w:ascii="Verdana" w:eastAsia="Calibri" w:hAnsi="Verdana" w:cs="Arial"/>
          <w:i/>
          <w:color w:val="000000"/>
          <w:sz w:val="16"/>
          <w:szCs w:val="16"/>
        </w:rPr>
        <w:t>Se denominan entidades estatales</w:t>
      </w:r>
      <w:r w:rsidRPr="001861FA">
        <w:rPr>
          <w:rFonts w:ascii="Verdana" w:eastAsia="Calibri" w:hAnsi="Verdana" w:cs="Arial"/>
          <w:color w:val="000000"/>
          <w:sz w:val="16"/>
          <w:szCs w:val="16"/>
        </w:rPr>
        <w:t>:</w:t>
      </w:r>
    </w:p>
    <w:p w14:paraId="669E829D" w14:textId="77777777" w:rsidR="00CF643F" w:rsidRPr="001861FA" w:rsidRDefault="00CF643F" w:rsidP="00CF643F">
      <w:pPr>
        <w:spacing w:after="0" w:line="240" w:lineRule="auto"/>
        <w:ind w:firstLine="708"/>
        <w:jc w:val="both"/>
        <w:rPr>
          <w:rFonts w:ascii="Verdana" w:eastAsia="Calibri" w:hAnsi="Verdana" w:cs="Arial"/>
          <w:color w:val="000000"/>
          <w:sz w:val="16"/>
          <w:szCs w:val="16"/>
        </w:rPr>
      </w:pPr>
      <w:r w:rsidRPr="001861FA">
        <w:rPr>
          <w:rFonts w:ascii="Verdana" w:eastAsia="Calibri" w:hAnsi="Verdana" w:cs="Arial"/>
          <w:color w:val="000000"/>
          <w:sz w:val="16"/>
          <w:szCs w:val="16"/>
        </w:rPr>
        <w:t xml:space="preserve">a) La Nación, las regiones, </w:t>
      </w:r>
      <w:r w:rsidRPr="001861FA">
        <w:rPr>
          <w:rFonts w:ascii="Verdana" w:eastAsia="Calibri" w:hAnsi="Verdana" w:cs="Arial"/>
          <w:i/>
          <w:color w:val="000000"/>
          <w:sz w:val="16"/>
          <w:szCs w:val="16"/>
        </w:rPr>
        <w:t>los departamentos</w:t>
      </w:r>
      <w:r w:rsidRPr="001861FA">
        <w:rPr>
          <w:rFonts w:ascii="Verdana" w:eastAsia="Calibri" w:hAnsi="Verdana" w:cs="Arial"/>
          <w:color w:val="000000"/>
          <w:sz w:val="16"/>
          <w:szCs w:val="16"/>
        </w:rPr>
        <w:t xml:space="preserve">, las provincias, </w:t>
      </w:r>
      <w:r w:rsidRPr="001861FA">
        <w:rPr>
          <w:rFonts w:ascii="Verdana" w:eastAsia="Calibri" w:hAnsi="Verdana" w:cs="Arial"/>
          <w:i/>
          <w:color w:val="000000"/>
          <w:sz w:val="16"/>
          <w:szCs w:val="16"/>
        </w:rPr>
        <w:t>el distrito capital y los distritos especiales</w:t>
      </w:r>
      <w:r w:rsidRPr="001861FA">
        <w:rPr>
          <w:rFonts w:ascii="Verdana" w:eastAsia="Calibri" w:hAnsi="Verdana" w:cs="Arial"/>
          <w:color w:val="000000"/>
          <w:sz w:val="16"/>
          <w:szCs w:val="16"/>
        </w:rPr>
        <w:t xml:space="preserve">, las áreas metropolitanas, las asociaciones de municipios, los territorios indígenas y </w:t>
      </w:r>
      <w:r w:rsidRPr="001861FA">
        <w:rPr>
          <w:rFonts w:ascii="Verdana" w:eastAsia="Calibri" w:hAnsi="Verdana" w:cs="Arial"/>
          <w:i/>
          <w:color w:val="000000"/>
          <w:sz w:val="16"/>
          <w:szCs w:val="16"/>
        </w:rPr>
        <w:t>los municipios</w:t>
      </w:r>
      <w:r w:rsidRPr="001861FA">
        <w:rPr>
          <w:rFonts w:ascii="Verdana" w:eastAsia="Calibri" w:hAnsi="Verdana" w:cs="Arial"/>
          <w:color w:val="000000"/>
          <w:sz w:val="16"/>
          <w:szCs w:val="16"/>
        </w:rPr>
        <w:t>;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del texto).</w:t>
      </w:r>
    </w:p>
  </w:footnote>
  <w:footnote w:id="27">
    <w:p w14:paraId="6A05AB22" w14:textId="77777777" w:rsidR="00CF643F" w:rsidRPr="00B42E0C" w:rsidRDefault="00CF643F" w:rsidP="00CF643F">
      <w:pPr>
        <w:pStyle w:val="Textonotapie"/>
        <w:ind w:firstLine="708"/>
        <w:jc w:val="both"/>
        <w:rPr>
          <w:rFonts w:ascii="Verdana" w:hAnsi="Verdana" w:cs="Arial"/>
          <w:sz w:val="16"/>
          <w:szCs w:val="16"/>
        </w:rPr>
      </w:pPr>
      <w:r w:rsidRPr="001861FA">
        <w:rPr>
          <w:rStyle w:val="Refdenotaalpie"/>
          <w:rFonts w:ascii="Verdana" w:hAnsi="Verdana" w:cs="Arial"/>
          <w:sz w:val="16"/>
          <w:szCs w:val="16"/>
        </w:rPr>
        <w:footnoteRef/>
      </w:r>
      <w:r w:rsidRPr="001861FA">
        <w:rPr>
          <w:rFonts w:ascii="Verdana" w:hAnsi="Verdana" w:cs="Arial"/>
          <w:sz w:val="16"/>
          <w:szCs w:val="16"/>
        </w:rPr>
        <w:t xml:space="preserve"> Documento suscrito por la Oficina de Promoción Social del Ministerio de Salud y de la Protección Social. Documento disponible para consulta en (consultado el 13 de julio de 2020): </w:t>
      </w:r>
      <w:hyperlink r:id="rId2" w:history="1">
        <w:r w:rsidRPr="001861FA">
          <w:rPr>
            <w:rStyle w:val="Hipervnculo"/>
            <w:rFonts w:ascii="Verdana" w:hAnsi="Verdana" w:cs="Arial"/>
            <w:sz w:val="16"/>
            <w:szCs w:val="16"/>
          </w:rPr>
          <w:t>https://www.minsalud.gov.co/Documentos%20y%20Publicaciones/Alcances%20de%20la%20Ley%201276%20de%202009.pdf</w:t>
        </w:r>
      </w:hyperlink>
      <w:r w:rsidRPr="001861FA">
        <w:rPr>
          <w:rFonts w:ascii="Verdana" w:hAnsi="Verdana" w:cs="Arial"/>
          <w:sz w:val="16"/>
          <w:szCs w:val="16"/>
        </w:rPr>
        <w:t xml:space="preserve"> </w:t>
      </w:r>
    </w:p>
  </w:footnote>
  <w:footnote w:id="28">
    <w:p w14:paraId="768318FB" w14:textId="77777777" w:rsidR="00CF643F" w:rsidRPr="004002C1" w:rsidRDefault="00CF643F" w:rsidP="00CF643F">
      <w:pPr>
        <w:pStyle w:val="Textonotapie"/>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Ley 1150 de 2007: “Artículo 2. De las modalidades de selección. La escogencia del contratista se efectuará con arreglo a las modalidades de selección de licitación pública, selección abreviada, concurso de méritos y contratación directa [...]”.</w:t>
      </w:r>
    </w:p>
  </w:footnote>
  <w:footnote w:id="29">
    <w:p w14:paraId="1E624906" w14:textId="77777777" w:rsidR="00CF643F" w:rsidRPr="001861FA" w:rsidRDefault="00CF643F" w:rsidP="00CF643F">
      <w:pPr>
        <w:pStyle w:val="Textonotapie"/>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3B983DFA" w14:textId="77777777" w:rsidR="00CF643F" w:rsidRPr="001861FA" w:rsidRDefault="00CF643F" w:rsidP="00CF643F">
      <w:pPr>
        <w:pStyle w:val="Textonotapie"/>
        <w:ind w:firstLine="709"/>
        <w:jc w:val="both"/>
        <w:rPr>
          <w:rFonts w:ascii="Verdana" w:hAnsi="Verdana" w:cs="Arial"/>
          <w:color w:val="000000"/>
          <w:sz w:val="16"/>
          <w:szCs w:val="16"/>
        </w:rPr>
      </w:pPr>
      <w:r w:rsidRPr="001861FA">
        <w:rPr>
          <w:rFonts w:ascii="Verdana" w:hAnsi="Verdana" w:cs="Arial"/>
          <w:color w:val="000000"/>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30">
    <w:p w14:paraId="5A8E6EA5" w14:textId="77777777" w:rsidR="00CF643F" w:rsidRPr="001861FA" w:rsidRDefault="00CF643F" w:rsidP="00CF643F">
      <w:pPr>
        <w:spacing w:after="0" w:line="240" w:lineRule="auto"/>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Style w:val="Refdenotaalpie"/>
          <w:rFonts w:ascii="Verdana" w:hAnsi="Verdana" w:cs="Arial"/>
          <w:color w:val="000000"/>
          <w:sz w:val="16"/>
          <w:szCs w:val="16"/>
        </w:rPr>
        <w:t xml:space="preserve"> </w:t>
      </w:r>
      <w:r w:rsidRPr="001861FA">
        <w:rPr>
          <w:rFonts w:ascii="Verdana" w:hAnsi="Verdana" w:cs="Arial"/>
          <w:color w:val="000000"/>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5378D14" w14:textId="77777777" w:rsidR="00CF643F" w:rsidRPr="001861FA" w:rsidRDefault="00CF643F" w:rsidP="00CF643F">
      <w:pPr>
        <w:spacing w:after="0" w:line="240" w:lineRule="auto"/>
        <w:ind w:firstLine="709"/>
        <w:jc w:val="both"/>
        <w:rPr>
          <w:rFonts w:ascii="Verdana" w:hAnsi="Verdana" w:cs="Arial"/>
          <w:color w:val="000000"/>
          <w:sz w:val="16"/>
          <w:szCs w:val="16"/>
        </w:rPr>
      </w:pPr>
    </w:p>
  </w:footnote>
  <w:footnote w:id="31">
    <w:p w14:paraId="5F2C09A3" w14:textId="77777777" w:rsidR="00CF643F" w:rsidRPr="001861FA" w:rsidRDefault="00CF643F" w:rsidP="00CF643F">
      <w:pPr>
        <w:spacing w:after="0" w:line="240" w:lineRule="auto"/>
        <w:ind w:firstLine="709"/>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Style w:val="Refdenotaalpie"/>
          <w:rFonts w:ascii="Verdana" w:hAnsi="Verdana" w:cs="Arial"/>
          <w:color w:val="000000"/>
          <w:sz w:val="16"/>
          <w:szCs w:val="16"/>
        </w:rPr>
        <w:t xml:space="preserve"> </w:t>
      </w:r>
      <w:r w:rsidRPr="001861FA">
        <w:rPr>
          <w:rFonts w:ascii="Verdana" w:hAnsi="Verdana" w:cs="Arial"/>
          <w:color w:val="000000"/>
          <w:sz w:val="16"/>
          <w:szCs w:val="16"/>
        </w:rPr>
        <w:t>Ley 1150 de 2007, artículo 2, literal 4, numeral c, modificada por el artículo 92 de la Ley 1474 de 2011.</w:t>
      </w:r>
    </w:p>
  </w:footnote>
  <w:footnote w:id="32">
    <w:p w14:paraId="377A9618" w14:textId="77777777" w:rsidR="00CF643F" w:rsidRPr="006C2AF4" w:rsidRDefault="00CF643F" w:rsidP="00CF643F">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33">
    <w:p w14:paraId="74DCF56D" w14:textId="77777777" w:rsidR="00CF643F" w:rsidRPr="001861FA" w:rsidRDefault="00CF643F" w:rsidP="00CF643F">
      <w:pPr>
        <w:pStyle w:val="Textonotapie"/>
        <w:ind w:firstLine="708"/>
        <w:jc w:val="both"/>
        <w:rPr>
          <w:rFonts w:ascii="Verdana" w:hAnsi="Verdana" w:cs="Arial"/>
          <w:color w:val="000000"/>
          <w:sz w:val="16"/>
          <w:szCs w:val="16"/>
        </w:rPr>
      </w:pPr>
      <w:r w:rsidRPr="001861FA">
        <w:rPr>
          <w:rStyle w:val="Refdenotaalpie"/>
          <w:rFonts w:ascii="Verdana" w:hAnsi="Verdana" w:cs="Arial"/>
          <w:color w:val="000000"/>
          <w:sz w:val="16"/>
          <w:szCs w:val="16"/>
        </w:rPr>
        <w:footnoteRef/>
      </w:r>
      <w:r w:rsidRPr="001861FA">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BC04737" w14:textId="77777777" w:rsidR="00CF643F" w:rsidRPr="001861FA" w:rsidRDefault="00CF643F" w:rsidP="00CF643F">
      <w:pPr>
        <w:pStyle w:val="Textonotapie"/>
        <w:ind w:firstLine="708"/>
        <w:jc w:val="both"/>
        <w:rPr>
          <w:rFonts w:ascii="Verdana" w:hAnsi="Verdana" w:cs="Arial"/>
          <w:color w:val="000000"/>
          <w:sz w:val="16"/>
          <w:szCs w:val="16"/>
        </w:rPr>
      </w:pPr>
      <w:r w:rsidRPr="001861FA">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7A78E31E" w14:textId="77777777" w:rsidR="00CF643F" w:rsidRPr="001861FA" w:rsidRDefault="00CF643F" w:rsidP="00CF643F">
      <w:pPr>
        <w:pStyle w:val="Textonotapie"/>
        <w:ind w:firstLine="708"/>
        <w:jc w:val="both"/>
        <w:rPr>
          <w:rFonts w:ascii="Verdana" w:hAnsi="Verdana" w:cs="Arial"/>
          <w:color w:val="000000"/>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016D89"/>
    <w:multiLevelType w:val="hybridMultilevel"/>
    <w:tmpl w:val="FA9CF57A"/>
    <w:lvl w:ilvl="0" w:tplc="196A4D18">
      <w:start w:val="1"/>
      <w:numFmt w:val="lowerRoman"/>
      <w:lvlText w:val="%1)"/>
      <w:lvlJc w:val="left"/>
      <w:pPr>
        <w:ind w:left="1080" w:hanging="72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19372017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9BF"/>
    <w:rsid w:val="00016F78"/>
    <w:rsid w:val="00046945"/>
    <w:rsid w:val="00061B2A"/>
    <w:rsid w:val="00082362"/>
    <w:rsid w:val="000A683E"/>
    <w:rsid w:val="000B19B9"/>
    <w:rsid w:val="000D0334"/>
    <w:rsid w:val="000D5DA7"/>
    <w:rsid w:val="000F6486"/>
    <w:rsid w:val="001001E2"/>
    <w:rsid w:val="00105188"/>
    <w:rsid w:val="00116940"/>
    <w:rsid w:val="00125105"/>
    <w:rsid w:val="00127233"/>
    <w:rsid w:val="0015699B"/>
    <w:rsid w:val="001A33BF"/>
    <w:rsid w:val="001E0760"/>
    <w:rsid w:val="001E4177"/>
    <w:rsid w:val="001F0B24"/>
    <w:rsid w:val="001F7DC6"/>
    <w:rsid w:val="0022400B"/>
    <w:rsid w:val="002421BB"/>
    <w:rsid w:val="00247FEE"/>
    <w:rsid w:val="0025796E"/>
    <w:rsid w:val="002707A2"/>
    <w:rsid w:val="00282BD9"/>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61D3"/>
    <w:rsid w:val="00346CA5"/>
    <w:rsid w:val="00371640"/>
    <w:rsid w:val="00374F5E"/>
    <w:rsid w:val="00377E3E"/>
    <w:rsid w:val="003A779E"/>
    <w:rsid w:val="003D0F4D"/>
    <w:rsid w:val="003D5B0D"/>
    <w:rsid w:val="003E0499"/>
    <w:rsid w:val="003E131E"/>
    <w:rsid w:val="003E4F80"/>
    <w:rsid w:val="003E6439"/>
    <w:rsid w:val="003F3941"/>
    <w:rsid w:val="00406575"/>
    <w:rsid w:val="00414C74"/>
    <w:rsid w:val="0042722E"/>
    <w:rsid w:val="0044528D"/>
    <w:rsid w:val="00466E39"/>
    <w:rsid w:val="004A1847"/>
    <w:rsid w:val="004A305D"/>
    <w:rsid w:val="004F21C4"/>
    <w:rsid w:val="004F685F"/>
    <w:rsid w:val="005566E8"/>
    <w:rsid w:val="0057346F"/>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39C9"/>
    <w:rsid w:val="008843B6"/>
    <w:rsid w:val="00891928"/>
    <w:rsid w:val="00895B21"/>
    <w:rsid w:val="008A446D"/>
    <w:rsid w:val="008B25F1"/>
    <w:rsid w:val="008D180B"/>
    <w:rsid w:val="008F0EA7"/>
    <w:rsid w:val="00923EEF"/>
    <w:rsid w:val="009419F9"/>
    <w:rsid w:val="009437EA"/>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40A1"/>
    <w:rsid w:val="00B00C0E"/>
    <w:rsid w:val="00B01B1A"/>
    <w:rsid w:val="00B0381D"/>
    <w:rsid w:val="00B44A47"/>
    <w:rsid w:val="00B72CD3"/>
    <w:rsid w:val="00B72FFF"/>
    <w:rsid w:val="00BA48DB"/>
    <w:rsid w:val="00BB2611"/>
    <w:rsid w:val="00BC3D36"/>
    <w:rsid w:val="00BD54A6"/>
    <w:rsid w:val="00BD7F72"/>
    <w:rsid w:val="00BF7425"/>
    <w:rsid w:val="00C0204A"/>
    <w:rsid w:val="00C04FB3"/>
    <w:rsid w:val="00C11D8B"/>
    <w:rsid w:val="00C15139"/>
    <w:rsid w:val="00C330EB"/>
    <w:rsid w:val="00C3702D"/>
    <w:rsid w:val="00C50D69"/>
    <w:rsid w:val="00C5365C"/>
    <w:rsid w:val="00C754BE"/>
    <w:rsid w:val="00C76B1C"/>
    <w:rsid w:val="00C925AC"/>
    <w:rsid w:val="00CB6357"/>
    <w:rsid w:val="00CC1B26"/>
    <w:rsid w:val="00CF643F"/>
    <w:rsid w:val="00D1606E"/>
    <w:rsid w:val="00D361FD"/>
    <w:rsid w:val="00D423A2"/>
    <w:rsid w:val="00D44E26"/>
    <w:rsid w:val="00D520D8"/>
    <w:rsid w:val="00D63AC2"/>
    <w:rsid w:val="00D7383B"/>
    <w:rsid w:val="00D7788A"/>
    <w:rsid w:val="00DA231B"/>
    <w:rsid w:val="00DC39FC"/>
    <w:rsid w:val="00DC5F8F"/>
    <w:rsid w:val="00DF5254"/>
    <w:rsid w:val="00DF56DF"/>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52B5"/>
    <w:rsid w:val="00F5664F"/>
    <w:rsid w:val="00F666C4"/>
    <w:rsid w:val="00F76AFC"/>
    <w:rsid w:val="00F82FEC"/>
    <w:rsid w:val="00FA13D8"/>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643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643F"/>
    <w:rPr>
      <w:rFonts w:ascii="Geomanist Light" w:hAnsi="Geomanist Light"/>
      <w:lang w:val="es-ES"/>
    </w:rPr>
  </w:style>
  <w:style w:type="paragraph" w:styleId="Sinespaciado">
    <w:name w:val="No Spacing"/>
    <w:aliases w:val="No Indent"/>
    <w:uiPriority w:val="3"/>
    <w:qFormat/>
    <w:rsid w:val="00CF643F"/>
    <w:pPr>
      <w:spacing w:after="0" w:line="240" w:lineRule="auto"/>
    </w:pPr>
    <w:rPr>
      <w:sz w:val="24"/>
      <w:lang w:val="es-MX"/>
    </w:rPr>
  </w:style>
  <w:style w:type="paragraph" w:styleId="Textoindependiente">
    <w:name w:val="Body Text"/>
    <w:basedOn w:val="Normal"/>
    <w:link w:val="TextoindependienteCar"/>
    <w:uiPriority w:val="99"/>
    <w:unhideWhenUsed/>
    <w:rsid w:val="00CF643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CF643F"/>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pdiaz@procuraduri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Documentos%20y%20Publicaciones/Alcances%20de%20la%20Ley%201276%20de%202009.pdf" TargetMode="External"/><Relationship Id="rId1" Type="http://schemas.openxmlformats.org/officeDocument/2006/relationships/hyperlink" Target="https://www.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6FC76BC-6AE5-4D8D-AA53-F970043B41D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34</Pages>
  <Words>11149</Words>
  <Characters>61325</Characters>
  <Application>Microsoft Office Word</Application>
  <DocSecurity>0</DocSecurity>
  <Lines>511</Lines>
  <Paragraphs>144</Paragraphs>
  <ScaleCrop>false</ScaleCrop>
  <Company/>
  <LinksUpToDate>false</LinksUpToDate>
  <CharactersWithSpaces>72330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2025-11-13T20:04:00Z</dcterms:created>
  <dcterms:modified xsi:type="dcterms:W3CDTF">2025-11-14T14:47:00Z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