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33DCA9" w14:textId="77777777" w:rsidR="009441B9" w:rsidRPr="00AF1555" w:rsidRDefault="009441B9" w:rsidP="009441B9">
      <w:pPr>
        <w:tabs>
          <w:tab w:val="left" w:pos="709"/>
        </w:tabs>
        <w:spacing w:after="0" w:line="240" w:lineRule="auto"/>
        <w:jc w:val="both"/>
        <w:rPr>
          <w:rFonts w:ascii="Verdana" w:eastAsia="Calibri" w:hAnsi="Verdana" w:cs="Arial"/>
          <w:bCs/>
          <w:sz w:val="20"/>
          <w:szCs w:val="20"/>
          <w:lang w:val="es-ES_tradnl" w:eastAsia="es-ES_tradnl"/>
        </w:rPr>
      </w:pPr>
    </w:p>
    <w:p w14:paraId="6AA4FFAE" w14:textId="77777777" w:rsidR="009441B9" w:rsidRPr="00AF1555" w:rsidRDefault="009441B9" w:rsidP="009441B9">
      <w:pPr>
        <w:spacing w:after="0" w:line="240" w:lineRule="auto"/>
        <w:jc w:val="both"/>
        <w:rPr>
          <w:rFonts w:ascii="Verdana" w:eastAsia="Calibri" w:hAnsi="Verdana" w:cs="Arial"/>
          <w:b/>
          <w:color w:val="000000" w:themeColor="text1"/>
          <w:lang w:val="es-ES"/>
        </w:rPr>
      </w:pPr>
      <w:r>
        <w:rPr>
          <w:rFonts w:ascii="Verdana" w:eastAsia="Calibri" w:hAnsi="Verdana" w:cs="Arial"/>
          <w:b/>
          <w:color w:val="000000" w:themeColor="text1"/>
          <w:lang w:val="es-ES"/>
        </w:rPr>
        <w:t>EGCAP</w:t>
      </w:r>
      <w:r w:rsidRPr="00E95799">
        <w:rPr>
          <w:rFonts w:ascii="Verdana" w:eastAsia="Calibri" w:hAnsi="Verdana" w:cs="Arial"/>
          <w:b/>
          <w:color w:val="000000" w:themeColor="text1"/>
          <w:lang w:val="es-ES"/>
        </w:rPr>
        <w:t xml:space="preserve"> – </w:t>
      </w:r>
      <w:r>
        <w:rPr>
          <w:rFonts w:ascii="Verdana" w:eastAsia="Calibri" w:hAnsi="Verdana" w:cs="Arial"/>
          <w:b/>
          <w:color w:val="000000" w:themeColor="text1"/>
          <w:lang w:val="es-ES"/>
        </w:rPr>
        <w:t>Ámbito de aplicación</w:t>
      </w:r>
      <w:r w:rsidRPr="00E95799">
        <w:rPr>
          <w:rFonts w:ascii="Verdana" w:eastAsia="Calibri" w:hAnsi="Verdana" w:cs="Arial"/>
          <w:b/>
          <w:color w:val="000000" w:themeColor="text1"/>
          <w:lang w:val="es-ES"/>
        </w:rPr>
        <w:t xml:space="preserve"> – </w:t>
      </w:r>
      <w:r>
        <w:rPr>
          <w:rFonts w:ascii="Verdana" w:eastAsia="Calibri" w:hAnsi="Verdana" w:cs="Arial"/>
          <w:b/>
          <w:color w:val="000000" w:themeColor="text1"/>
          <w:lang w:val="es-ES"/>
        </w:rPr>
        <w:t>Entidades estatales</w:t>
      </w:r>
      <w:r w:rsidRPr="00AF1555">
        <w:rPr>
          <w:rFonts w:ascii="Verdana" w:eastAsia="Calibri" w:hAnsi="Verdana" w:cs="Arial"/>
          <w:b/>
          <w:color w:val="000000" w:themeColor="text1"/>
          <w:lang w:val="es-ES"/>
        </w:rPr>
        <w:t xml:space="preserve"> </w:t>
      </w:r>
    </w:p>
    <w:p w14:paraId="56F1B091" w14:textId="77777777" w:rsidR="009441B9" w:rsidRPr="00AF1555" w:rsidRDefault="009441B9" w:rsidP="009441B9">
      <w:pPr>
        <w:spacing w:after="0" w:line="240" w:lineRule="auto"/>
        <w:jc w:val="both"/>
        <w:rPr>
          <w:rFonts w:ascii="Verdana" w:eastAsia="Calibri" w:hAnsi="Verdana" w:cs="Arial"/>
          <w:bCs/>
          <w:color w:val="000000" w:themeColor="text1"/>
          <w:sz w:val="20"/>
          <w:szCs w:val="20"/>
          <w:lang w:val="es-ES"/>
        </w:rPr>
      </w:pPr>
    </w:p>
    <w:p w14:paraId="110F9C45" w14:textId="77777777" w:rsidR="009441B9" w:rsidRDefault="009441B9" w:rsidP="009441B9">
      <w:pPr>
        <w:spacing w:after="0" w:line="240" w:lineRule="auto"/>
        <w:jc w:val="both"/>
        <w:rPr>
          <w:rFonts w:ascii="Verdana" w:eastAsia="Calibri" w:hAnsi="Verdana" w:cs="Arial"/>
          <w:bCs/>
          <w:color w:val="000000" w:themeColor="text1"/>
          <w:sz w:val="20"/>
          <w:szCs w:val="20"/>
          <w:lang w:val="es-ES" w:eastAsia="es-ES_tradnl"/>
        </w:rPr>
      </w:pPr>
      <w:r w:rsidRPr="0006328C">
        <w:rPr>
          <w:rFonts w:ascii="Verdana" w:eastAsia="Calibri" w:hAnsi="Verdana" w:cs="Arial"/>
          <w:bCs/>
          <w:color w:val="000000" w:themeColor="text1"/>
          <w:sz w:val="20"/>
          <w:szCs w:val="20"/>
          <w:lang w:val="es-ES" w:eastAsia="es-ES_tradnl"/>
        </w:rPr>
        <w:t xml:space="preserve">De acuerdo con el inciso final del artículo 150 superior, corresponde al Congreso de la República expedir el Estatuto General de Contratación de la Administración Pública y, en especial, de la Administración Nacional. Esta competencia fue ejercida con la expedición de la Ley 80 de 1993, la cual rige para las </w:t>
      </w:r>
      <w:r w:rsidRPr="0006328C">
        <w:rPr>
          <w:rFonts w:ascii="Verdana" w:eastAsia="Calibri" w:hAnsi="Verdana" w:cs="Arial"/>
          <w:bCs/>
          <w:i/>
          <w:iCs/>
          <w:color w:val="000000" w:themeColor="text1"/>
          <w:sz w:val="20"/>
          <w:szCs w:val="20"/>
          <w:lang w:val="es-ES" w:eastAsia="es-ES_tradnl"/>
        </w:rPr>
        <w:t>entidades estatales</w:t>
      </w:r>
      <w:r w:rsidRPr="0006328C">
        <w:rPr>
          <w:rFonts w:ascii="Verdana" w:eastAsia="Calibri" w:hAnsi="Verdana" w:cs="Arial"/>
          <w:bCs/>
          <w:color w:val="000000" w:themeColor="text1"/>
          <w:sz w:val="20"/>
          <w:szCs w:val="20"/>
          <w:lang w:val="es-ES" w:eastAsia="es-ES_tradnl"/>
        </w:rPr>
        <w:t xml:space="preserve">, esto es, aquellas previstas en los literales a) y b) del numeral 1 del artículo 2 </w:t>
      </w:r>
      <w:r w:rsidRPr="0006328C">
        <w:rPr>
          <w:rFonts w:ascii="Verdana" w:eastAsia="Calibri" w:hAnsi="Verdana" w:cs="Arial"/>
          <w:bCs/>
          <w:i/>
          <w:iCs/>
          <w:color w:val="000000" w:themeColor="text1"/>
          <w:sz w:val="20"/>
          <w:szCs w:val="20"/>
          <w:lang w:val="es-ES" w:eastAsia="es-ES_tradnl"/>
        </w:rPr>
        <w:t>ibidem</w:t>
      </w:r>
      <w:r w:rsidRPr="0006328C">
        <w:rPr>
          <w:rFonts w:ascii="Verdana" w:eastAsia="Calibri" w:hAnsi="Verdana" w:cs="Arial"/>
          <w:bCs/>
          <w:color w:val="000000" w:themeColor="text1"/>
          <w:sz w:val="20"/>
          <w:szCs w:val="20"/>
          <w:lang w:val="es-ES" w:eastAsia="es-ES_tradnl"/>
        </w:rPr>
        <w:t xml:space="preserve">. La norma citada define la competencia contractual en los siguientes términos: </w:t>
      </w:r>
    </w:p>
    <w:p w14:paraId="1EEAC4A2" w14:textId="77777777" w:rsidR="009441B9" w:rsidRPr="0006328C" w:rsidRDefault="009441B9" w:rsidP="009441B9">
      <w:pPr>
        <w:spacing w:after="0" w:line="240" w:lineRule="auto"/>
        <w:jc w:val="both"/>
        <w:rPr>
          <w:rFonts w:ascii="Verdana" w:eastAsia="Calibri" w:hAnsi="Verdana" w:cs="Arial"/>
          <w:bCs/>
          <w:color w:val="000000" w:themeColor="text1"/>
          <w:sz w:val="20"/>
          <w:szCs w:val="20"/>
          <w:lang w:val="es-ES" w:eastAsia="es-ES_tradnl"/>
        </w:rPr>
      </w:pPr>
    </w:p>
    <w:p w14:paraId="2F862BDB" w14:textId="77777777" w:rsidR="009441B9" w:rsidRDefault="009441B9" w:rsidP="009441B9">
      <w:pPr>
        <w:spacing w:after="0" w:line="240" w:lineRule="auto"/>
        <w:jc w:val="both"/>
        <w:rPr>
          <w:rFonts w:ascii="Verdana" w:eastAsia="Calibri" w:hAnsi="Verdana" w:cs="Arial"/>
          <w:bCs/>
          <w:color w:val="000000" w:themeColor="text1"/>
          <w:sz w:val="20"/>
          <w:szCs w:val="20"/>
          <w:lang w:val="es-ES" w:eastAsia="es-ES_tradnl"/>
        </w:rPr>
      </w:pPr>
      <w:r w:rsidRPr="0006328C">
        <w:rPr>
          <w:rFonts w:ascii="Verdana" w:eastAsia="Calibri" w:hAnsi="Verdana" w:cs="Arial"/>
          <w:bCs/>
          <w:color w:val="000000" w:themeColor="text1"/>
          <w:sz w:val="20"/>
          <w:szCs w:val="20"/>
          <w:lang w:val="es-ES" w:eastAsia="es-ES_tradnl"/>
        </w:rPr>
        <w:t xml:space="preserve">El literal a) aplica a las entidades con personería jurídica. Alude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494D4274" w14:textId="77777777" w:rsidR="009441B9" w:rsidRPr="0006328C" w:rsidRDefault="009441B9" w:rsidP="009441B9">
      <w:pPr>
        <w:spacing w:after="0" w:line="240" w:lineRule="auto"/>
        <w:jc w:val="both"/>
        <w:rPr>
          <w:rFonts w:ascii="Verdana" w:eastAsia="Calibri" w:hAnsi="Verdana" w:cs="Arial"/>
          <w:bCs/>
          <w:color w:val="000000" w:themeColor="text1"/>
          <w:sz w:val="20"/>
          <w:szCs w:val="20"/>
          <w:lang w:val="es-ES" w:eastAsia="es-ES_tradnl"/>
        </w:rPr>
      </w:pPr>
      <w:r w:rsidRPr="0006328C">
        <w:rPr>
          <w:rFonts w:ascii="Verdana" w:eastAsia="Calibri" w:hAnsi="Verdana" w:cs="Arial"/>
          <w:bCs/>
          <w:color w:val="000000" w:themeColor="text1"/>
          <w:sz w:val="20"/>
          <w:szCs w:val="20"/>
          <w:lang w:val="es-ES" w:eastAsia="es-ES_tradnl"/>
        </w:rPr>
        <w:t xml:space="preserve"> </w:t>
      </w:r>
    </w:p>
    <w:p w14:paraId="33FB4A70" w14:textId="77777777" w:rsidR="009441B9" w:rsidRDefault="009441B9" w:rsidP="009441B9">
      <w:pPr>
        <w:spacing w:after="0" w:line="240" w:lineRule="auto"/>
        <w:jc w:val="both"/>
        <w:rPr>
          <w:rFonts w:ascii="Verdana" w:eastAsia="Calibri" w:hAnsi="Verdana" w:cs="Arial"/>
          <w:color w:val="000000" w:themeColor="text1"/>
          <w:sz w:val="20"/>
          <w:szCs w:val="20"/>
          <w:lang w:val="es-ES_tradnl"/>
        </w:rPr>
      </w:pPr>
      <w:r w:rsidRPr="0006328C">
        <w:rPr>
          <w:rFonts w:ascii="Verdana" w:eastAsia="Calibri" w:hAnsi="Verdana" w:cs="Arial"/>
          <w:bCs/>
          <w:color w:val="000000" w:themeColor="text1"/>
          <w:sz w:val="20"/>
          <w:szCs w:val="20"/>
          <w:lang w:val="es-ES" w:eastAsia="es-ES_tradnl"/>
        </w:rPr>
        <w:t>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 111 de 1996, modificado por el artículo 124 de la Ley 1957 de 2019</w:t>
      </w:r>
      <w:r w:rsidRPr="00AF1555">
        <w:rPr>
          <w:rFonts w:ascii="Verdana" w:eastAsia="Calibri" w:hAnsi="Verdana" w:cs="Arial"/>
          <w:color w:val="000000" w:themeColor="text1"/>
          <w:sz w:val="20"/>
          <w:szCs w:val="20"/>
          <w:lang w:val="es-ES_tradnl"/>
        </w:rPr>
        <w:t>.</w:t>
      </w:r>
    </w:p>
    <w:p w14:paraId="4A636C8D" w14:textId="77777777" w:rsidR="009441B9" w:rsidRPr="00EB0B5F" w:rsidRDefault="009441B9" w:rsidP="009441B9">
      <w:pPr>
        <w:spacing w:after="0" w:line="240" w:lineRule="auto"/>
        <w:jc w:val="both"/>
        <w:rPr>
          <w:rFonts w:ascii="Verdana" w:eastAsia="Calibri" w:hAnsi="Verdana" w:cs="Arial"/>
          <w:iCs/>
          <w:color w:val="000000" w:themeColor="text1"/>
          <w:sz w:val="20"/>
          <w:szCs w:val="20"/>
          <w:lang w:eastAsia="es-ES_tradnl"/>
        </w:rPr>
      </w:pPr>
    </w:p>
    <w:p w14:paraId="63482A19" w14:textId="77777777" w:rsidR="009441B9" w:rsidRPr="00AF1555" w:rsidRDefault="009441B9" w:rsidP="009441B9">
      <w:pPr>
        <w:tabs>
          <w:tab w:val="left" w:pos="426"/>
        </w:tabs>
        <w:spacing w:after="0" w:line="240" w:lineRule="auto"/>
        <w:jc w:val="both"/>
        <w:rPr>
          <w:rFonts w:ascii="Verdana" w:hAnsi="Verdana" w:cs="Arial"/>
          <w:b/>
          <w:lang w:eastAsia="es-CO"/>
        </w:rPr>
      </w:pPr>
      <w:r>
        <w:rPr>
          <w:rFonts w:ascii="Verdana" w:hAnsi="Verdana" w:cs="Arial"/>
          <w:b/>
          <w:lang w:eastAsia="es-CO"/>
        </w:rPr>
        <w:t>CONTRATO ESTATAL</w:t>
      </w:r>
      <w:r w:rsidRPr="00607390">
        <w:rPr>
          <w:rFonts w:ascii="Verdana" w:hAnsi="Verdana" w:cs="Arial"/>
          <w:b/>
          <w:lang w:eastAsia="es-CO"/>
        </w:rPr>
        <w:t xml:space="preserve"> – </w:t>
      </w:r>
      <w:r>
        <w:rPr>
          <w:rFonts w:ascii="Verdana" w:hAnsi="Verdana" w:cs="Arial"/>
          <w:b/>
          <w:lang w:eastAsia="es-CO"/>
        </w:rPr>
        <w:t>Criterio orgánico</w:t>
      </w:r>
      <w:r w:rsidRPr="00AF1555">
        <w:rPr>
          <w:rFonts w:ascii="Verdana" w:hAnsi="Verdana" w:cs="Arial"/>
          <w:b/>
          <w:lang w:eastAsia="es-CO"/>
        </w:rPr>
        <w:t xml:space="preserve">  </w:t>
      </w:r>
    </w:p>
    <w:p w14:paraId="6283E8DB" w14:textId="77777777" w:rsidR="009441B9" w:rsidRPr="00AF1555" w:rsidRDefault="009441B9" w:rsidP="009441B9">
      <w:pPr>
        <w:tabs>
          <w:tab w:val="left" w:pos="426"/>
        </w:tabs>
        <w:spacing w:after="0" w:line="240" w:lineRule="auto"/>
        <w:jc w:val="both"/>
        <w:rPr>
          <w:rFonts w:ascii="Verdana" w:hAnsi="Verdana" w:cs="Arial"/>
          <w:b/>
          <w:sz w:val="20"/>
          <w:szCs w:val="20"/>
          <w:lang w:eastAsia="es-CO"/>
        </w:rPr>
      </w:pPr>
    </w:p>
    <w:p w14:paraId="79890959" w14:textId="77777777" w:rsidR="009441B9" w:rsidRDefault="009441B9" w:rsidP="009441B9">
      <w:pPr>
        <w:spacing w:after="0" w:line="240" w:lineRule="auto"/>
        <w:jc w:val="both"/>
        <w:rPr>
          <w:rFonts w:ascii="Verdana" w:hAnsi="Verdana" w:cs="Arial"/>
          <w:bCs/>
          <w:sz w:val="20"/>
          <w:szCs w:val="20"/>
          <w:lang w:val="es-ES" w:eastAsia="es-CO"/>
        </w:rPr>
      </w:pPr>
      <w:r w:rsidRPr="001F420B">
        <w:rPr>
          <w:rFonts w:ascii="Verdana" w:hAnsi="Verdana" w:cs="Arial"/>
          <w:bCs/>
          <w:sz w:val="20"/>
          <w:szCs w:val="20"/>
          <w:lang w:eastAsia="es-CO"/>
        </w:rPr>
        <w:t>El contrato estatal se identifica por el criterio orgánico o subjetivo, de manera que –como explica el Consejo de Estado– el “[…] elemento esencial para calificar de estatal un contrato, es que haya sido celebrado por una entidad estatal, es decir, una entidad pública con capacidad legal para celebrarlo […]” . Por tanto, es el acto jurídico creador de obligaciones a cuya celebración concurra una de entidades estatal, independientemente de que se trate de contratos previstos o tipificados en el derecho privado, en disposiciones especiales o que resulten del ejercicio de la autonomía de la voluntad, como sucede con los que se clasifican como atípicos e innominados</w:t>
      </w:r>
      <w:r>
        <w:rPr>
          <w:rFonts w:ascii="Verdana" w:hAnsi="Verdana" w:cs="Arial"/>
          <w:bCs/>
          <w:sz w:val="20"/>
          <w:szCs w:val="20"/>
          <w:lang w:val="es-ES" w:eastAsia="es-CO"/>
        </w:rPr>
        <w:t>.</w:t>
      </w:r>
    </w:p>
    <w:p w14:paraId="19389BD6" w14:textId="77777777" w:rsidR="009441B9" w:rsidRPr="00396DBB" w:rsidRDefault="009441B9" w:rsidP="009441B9">
      <w:pPr>
        <w:pStyle w:val="Textoindependiente"/>
        <w:spacing w:after="0" w:line="240" w:lineRule="auto"/>
        <w:ind w:right="102"/>
        <w:jc w:val="both"/>
        <w:rPr>
          <w:rFonts w:ascii="Verdana" w:hAnsi="Verdana" w:cs="Arial"/>
          <w:b/>
          <w:color w:val="000000" w:themeColor="text1"/>
          <w:sz w:val="20"/>
          <w:szCs w:val="20"/>
          <w:lang w:val="es-ES_tradnl"/>
        </w:rPr>
      </w:pPr>
    </w:p>
    <w:p w14:paraId="2BBF2800" w14:textId="77777777" w:rsidR="009441B9" w:rsidRPr="00396DBB" w:rsidRDefault="009441B9" w:rsidP="009441B9">
      <w:pPr>
        <w:pStyle w:val="Textoindependiente"/>
        <w:spacing w:after="0" w:line="240" w:lineRule="auto"/>
        <w:ind w:right="102"/>
        <w:jc w:val="both"/>
        <w:rPr>
          <w:rFonts w:ascii="Verdana" w:hAnsi="Verdana" w:cs="Arial"/>
          <w:b/>
          <w:color w:val="000000" w:themeColor="text1"/>
          <w:lang w:val="es-ES_tradnl"/>
        </w:rPr>
      </w:pPr>
      <w:r>
        <w:rPr>
          <w:rFonts w:ascii="Verdana" w:hAnsi="Verdana" w:cs="Arial"/>
          <w:b/>
          <w:color w:val="000000" w:themeColor="text1"/>
          <w:lang w:val="es-ES_tradnl"/>
        </w:rPr>
        <w:t>CONTRATO DE ARRENDAMIENTO</w:t>
      </w:r>
      <w:r w:rsidRPr="00396DBB">
        <w:rPr>
          <w:rFonts w:ascii="Verdana" w:hAnsi="Verdana" w:cs="Arial"/>
          <w:b/>
          <w:color w:val="000000" w:themeColor="text1"/>
          <w:lang w:val="es-ES_tradnl"/>
        </w:rPr>
        <w:t xml:space="preserve"> – </w:t>
      </w:r>
      <w:r>
        <w:rPr>
          <w:rFonts w:ascii="Verdana" w:hAnsi="Verdana" w:cs="Arial"/>
          <w:b/>
          <w:color w:val="000000" w:themeColor="text1"/>
          <w:lang w:val="es-ES_tradnl"/>
        </w:rPr>
        <w:t xml:space="preserve">Definición – Características </w:t>
      </w:r>
      <w:r w:rsidRPr="00396DBB">
        <w:rPr>
          <w:rFonts w:ascii="Verdana" w:hAnsi="Verdana" w:cs="Arial"/>
          <w:b/>
          <w:color w:val="000000" w:themeColor="text1"/>
          <w:lang w:val="es-ES_tradnl"/>
        </w:rPr>
        <w:t xml:space="preserve"> </w:t>
      </w:r>
    </w:p>
    <w:p w14:paraId="5F6E57DF" w14:textId="77777777" w:rsidR="009441B9" w:rsidRPr="00396DBB" w:rsidRDefault="009441B9" w:rsidP="009441B9">
      <w:pPr>
        <w:pStyle w:val="Textoindependiente"/>
        <w:spacing w:after="0" w:line="240" w:lineRule="auto"/>
        <w:ind w:right="102"/>
        <w:jc w:val="both"/>
        <w:rPr>
          <w:rFonts w:ascii="Verdana" w:hAnsi="Verdana" w:cs="Arial"/>
          <w:color w:val="000000" w:themeColor="text1"/>
          <w:sz w:val="20"/>
          <w:szCs w:val="20"/>
          <w:lang w:val="es-ES_tradnl"/>
        </w:rPr>
      </w:pPr>
    </w:p>
    <w:p w14:paraId="272DF7FB" w14:textId="77777777" w:rsidR="009441B9" w:rsidRDefault="009441B9" w:rsidP="009441B9">
      <w:pPr>
        <w:spacing w:after="0" w:line="240" w:lineRule="auto"/>
        <w:jc w:val="both"/>
        <w:rPr>
          <w:rFonts w:ascii="Verdana" w:eastAsia="Arial" w:hAnsi="Verdana" w:cs="Arial"/>
          <w:color w:val="000000" w:themeColor="text1"/>
          <w:sz w:val="20"/>
          <w:szCs w:val="20"/>
          <w:lang w:val="es-ES"/>
        </w:rPr>
      </w:pPr>
      <w:r w:rsidRPr="000D2674">
        <w:rPr>
          <w:rFonts w:ascii="Verdana" w:eastAsia="Arial" w:hAnsi="Verdana" w:cs="Arial"/>
          <w:color w:val="000000" w:themeColor="text1"/>
          <w:sz w:val="20"/>
          <w:szCs w:val="20"/>
          <w:lang w:val="es-ES"/>
        </w:rPr>
        <w:lastRenderedPageBreak/>
        <w:t>El artículo 1973 del Código Civil define el arrendamiento como “[…] un contrato en que las dos partes se obligan recíprocamente, la una a conceder el goce de una cosa, o a ejecutar una obra o prestar un servicio, y la otra a pagar por este goce, obra o servicio un precio determinado”. Se trata pues del acuerdo de voluntades en virtud del cual una de las partes –llamada arrendador– se obliga a concederle a otra –llamada arrendatario– el uso y goce de un bien, a cambio de una renta o canon. Por tanto, se diferencia del contrato de compraventa en que no opera una transferencia del dominio del bien cuyo uso y goce se entrega.</w:t>
      </w:r>
    </w:p>
    <w:p w14:paraId="298F163A" w14:textId="77777777" w:rsidR="009441B9" w:rsidRPr="000D2674" w:rsidRDefault="009441B9" w:rsidP="009441B9">
      <w:pPr>
        <w:spacing w:after="0" w:line="240" w:lineRule="auto"/>
        <w:jc w:val="both"/>
        <w:rPr>
          <w:rFonts w:ascii="Verdana" w:eastAsia="Arial" w:hAnsi="Verdana" w:cs="Arial"/>
          <w:color w:val="000000" w:themeColor="text1"/>
          <w:sz w:val="20"/>
          <w:szCs w:val="20"/>
          <w:lang w:val="es-ES"/>
        </w:rPr>
      </w:pPr>
    </w:p>
    <w:p w14:paraId="715471D4" w14:textId="77777777" w:rsidR="009441B9" w:rsidRPr="00FB1576" w:rsidRDefault="009441B9" w:rsidP="009441B9">
      <w:pPr>
        <w:spacing w:after="0" w:line="240" w:lineRule="auto"/>
        <w:jc w:val="both"/>
        <w:rPr>
          <w:rFonts w:ascii="Verdana" w:eastAsia="Arial" w:hAnsi="Verdana" w:cs="Arial"/>
          <w:color w:val="000000" w:themeColor="text1"/>
          <w:sz w:val="20"/>
          <w:szCs w:val="20"/>
        </w:rPr>
      </w:pPr>
      <w:r w:rsidRPr="000D2674">
        <w:rPr>
          <w:rFonts w:ascii="Verdana" w:eastAsia="Arial" w:hAnsi="Verdana" w:cs="Arial"/>
          <w:color w:val="000000" w:themeColor="text1"/>
          <w:sz w:val="20"/>
          <w:szCs w:val="20"/>
          <w:lang w:val="es-ES"/>
        </w:rPr>
        <w:t xml:space="preserve">En cuanto a sus características, la doctrina ha indicado que el arrendamiento es un contrato: i) bilateral, pues ambas partes se obligan recíprocamente; </w:t>
      </w:r>
      <w:proofErr w:type="spellStart"/>
      <w:r w:rsidRPr="000D2674">
        <w:rPr>
          <w:rFonts w:ascii="Verdana" w:eastAsia="Arial" w:hAnsi="Verdana" w:cs="Arial"/>
          <w:color w:val="000000" w:themeColor="text1"/>
          <w:sz w:val="20"/>
          <w:szCs w:val="20"/>
          <w:lang w:val="es-ES"/>
        </w:rPr>
        <w:t>ii</w:t>
      </w:r>
      <w:proofErr w:type="spellEnd"/>
      <w:r w:rsidRPr="000D2674">
        <w:rPr>
          <w:rFonts w:ascii="Verdana" w:eastAsia="Arial" w:hAnsi="Verdana" w:cs="Arial"/>
          <w:color w:val="000000" w:themeColor="text1"/>
          <w:sz w:val="20"/>
          <w:szCs w:val="20"/>
          <w:lang w:val="es-ES"/>
        </w:rPr>
        <w:t xml:space="preserve">) consensual, dado que se perfecciona con el consentimiento ; </w:t>
      </w:r>
      <w:proofErr w:type="spellStart"/>
      <w:r w:rsidRPr="000D2674">
        <w:rPr>
          <w:rFonts w:ascii="Verdana" w:eastAsia="Arial" w:hAnsi="Verdana" w:cs="Arial"/>
          <w:color w:val="000000" w:themeColor="text1"/>
          <w:sz w:val="20"/>
          <w:szCs w:val="20"/>
          <w:lang w:val="es-ES"/>
        </w:rPr>
        <w:t>iii</w:t>
      </w:r>
      <w:proofErr w:type="spellEnd"/>
      <w:r w:rsidRPr="000D2674">
        <w:rPr>
          <w:rFonts w:ascii="Verdana" w:eastAsia="Arial" w:hAnsi="Verdana" w:cs="Arial"/>
          <w:color w:val="000000" w:themeColor="text1"/>
          <w:sz w:val="20"/>
          <w:szCs w:val="20"/>
          <w:lang w:val="es-ES"/>
        </w:rPr>
        <w:t xml:space="preserve">) oneroso, ya que ambas partes obtienen utilidades –el arrendatario, el uso y goce del bien, y el arrendador la renta o canon–; </w:t>
      </w:r>
      <w:proofErr w:type="spellStart"/>
      <w:r w:rsidRPr="000D2674">
        <w:rPr>
          <w:rFonts w:ascii="Verdana" w:eastAsia="Arial" w:hAnsi="Verdana" w:cs="Arial"/>
          <w:color w:val="000000" w:themeColor="text1"/>
          <w:sz w:val="20"/>
          <w:szCs w:val="20"/>
          <w:lang w:val="es-ES"/>
        </w:rPr>
        <w:t>iv</w:t>
      </w:r>
      <w:proofErr w:type="spellEnd"/>
      <w:r w:rsidRPr="000D2674">
        <w:rPr>
          <w:rFonts w:ascii="Verdana" w:eastAsia="Arial" w:hAnsi="Verdana" w:cs="Arial"/>
          <w:color w:val="000000" w:themeColor="text1"/>
          <w:sz w:val="20"/>
          <w:szCs w:val="20"/>
          <w:lang w:val="es-ES"/>
        </w:rPr>
        <w:t>) de ejecución sucesiva, en la medida en que se ejecuta en forma periódica; v) principal, porque existe en forma autónoma; y v) nominado, porque está tipificado y desarrollado en la ley</w:t>
      </w:r>
      <w:r w:rsidRPr="00BE364D">
        <w:rPr>
          <w:rFonts w:ascii="Verdana" w:eastAsia="Arial" w:hAnsi="Verdana" w:cs="Arial"/>
          <w:color w:val="000000" w:themeColor="text1"/>
          <w:sz w:val="20"/>
          <w:szCs w:val="20"/>
        </w:rPr>
        <w:t>.</w:t>
      </w:r>
      <w:r w:rsidRPr="00FB1576">
        <w:rPr>
          <w:rFonts w:ascii="Verdana" w:eastAsia="Arial" w:hAnsi="Verdana" w:cs="Arial"/>
          <w:color w:val="000000" w:themeColor="text1"/>
          <w:sz w:val="20"/>
          <w:szCs w:val="20"/>
        </w:rPr>
        <w:t xml:space="preserve"> </w:t>
      </w:r>
    </w:p>
    <w:p w14:paraId="4F9FCC26" w14:textId="77777777" w:rsidR="009441B9" w:rsidRPr="00396DBB" w:rsidRDefault="009441B9" w:rsidP="009441B9">
      <w:pPr>
        <w:pStyle w:val="Textoindependiente"/>
        <w:spacing w:after="0" w:line="240" w:lineRule="auto"/>
        <w:ind w:right="102"/>
        <w:jc w:val="both"/>
        <w:rPr>
          <w:rFonts w:ascii="Verdana" w:hAnsi="Verdana" w:cs="Arial"/>
          <w:b/>
          <w:color w:val="000000" w:themeColor="text1"/>
          <w:sz w:val="20"/>
          <w:szCs w:val="20"/>
          <w:lang w:val="es-ES_tradnl"/>
        </w:rPr>
      </w:pPr>
    </w:p>
    <w:p w14:paraId="4067AA7E" w14:textId="77777777" w:rsidR="009441B9" w:rsidRPr="00FD1291" w:rsidRDefault="009441B9" w:rsidP="009441B9">
      <w:pPr>
        <w:spacing w:after="0" w:line="240" w:lineRule="auto"/>
        <w:jc w:val="both"/>
        <w:rPr>
          <w:rFonts w:ascii="Verdana" w:hAnsi="Verdana" w:cs="Arial"/>
          <w:b/>
          <w:bCs/>
          <w:color w:val="000000" w:themeColor="text1"/>
          <w:lang w:val="es-ES_tradnl"/>
        </w:rPr>
      </w:pPr>
      <w:r>
        <w:rPr>
          <w:rFonts w:ascii="Verdana" w:hAnsi="Verdana" w:cs="Arial"/>
          <w:b/>
          <w:bCs/>
          <w:color w:val="000000" w:themeColor="text1"/>
          <w:lang w:val="es-ES_tradnl"/>
        </w:rPr>
        <w:t>CONTRATACIÓN DIRECTA</w:t>
      </w:r>
      <w:r w:rsidRPr="00FD1291">
        <w:rPr>
          <w:rFonts w:ascii="Verdana" w:hAnsi="Verdana" w:cs="Arial"/>
          <w:b/>
          <w:bCs/>
          <w:color w:val="000000" w:themeColor="text1"/>
          <w:lang w:val="es-ES_tradnl"/>
        </w:rPr>
        <w:t xml:space="preserve"> – </w:t>
      </w:r>
      <w:r>
        <w:rPr>
          <w:rFonts w:ascii="Verdana" w:hAnsi="Verdana" w:cs="Arial"/>
          <w:b/>
          <w:bCs/>
          <w:color w:val="000000" w:themeColor="text1"/>
          <w:lang w:val="es-ES_tradnl"/>
        </w:rPr>
        <w:t>Arrendamiento</w:t>
      </w:r>
      <w:r w:rsidRPr="00FD1291">
        <w:rPr>
          <w:rFonts w:ascii="Verdana" w:hAnsi="Verdana" w:cs="Arial"/>
          <w:b/>
          <w:bCs/>
          <w:color w:val="000000" w:themeColor="text1"/>
          <w:lang w:val="es-ES_tradnl"/>
        </w:rPr>
        <w:t xml:space="preserve"> – </w:t>
      </w:r>
      <w:r>
        <w:rPr>
          <w:rFonts w:ascii="Verdana" w:hAnsi="Verdana" w:cs="Arial"/>
          <w:b/>
          <w:bCs/>
          <w:color w:val="000000" w:themeColor="text1"/>
          <w:lang w:val="es-ES_tradnl"/>
        </w:rPr>
        <w:t>Bienes inmuebles – Alcance</w:t>
      </w:r>
      <w:r w:rsidRPr="00FD1291">
        <w:rPr>
          <w:rFonts w:ascii="Verdana" w:hAnsi="Verdana" w:cs="Arial"/>
          <w:b/>
          <w:bCs/>
          <w:color w:val="000000" w:themeColor="text1"/>
          <w:lang w:val="es-ES_tradnl"/>
        </w:rPr>
        <w:t xml:space="preserve"> </w:t>
      </w:r>
    </w:p>
    <w:p w14:paraId="640471B2" w14:textId="77777777" w:rsidR="009441B9" w:rsidRPr="008251D0" w:rsidRDefault="009441B9" w:rsidP="009441B9">
      <w:pPr>
        <w:spacing w:after="0" w:line="240" w:lineRule="auto"/>
        <w:jc w:val="both"/>
        <w:rPr>
          <w:rFonts w:ascii="Verdana" w:hAnsi="Verdana" w:cs="Arial"/>
          <w:color w:val="000000" w:themeColor="text1"/>
          <w:sz w:val="20"/>
          <w:szCs w:val="20"/>
          <w:lang w:val="es-ES_tradnl"/>
        </w:rPr>
      </w:pPr>
    </w:p>
    <w:p w14:paraId="198AB646" w14:textId="77777777" w:rsidR="009441B9" w:rsidRDefault="009441B9" w:rsidP="009441B9">
      <w:pPr>
        <w:tabs>
          <w:tab w:val="left" w:pos="426"/>
        </w:tabs>
        <w:spacing w:after="0" w:line="240" w:lineRule="auto"/>
        <w:contextualSpacing/>
        <w:jc w:val="both"/>
        <w:rPr>
          <w:rFonts w:ascii="Verdana" w:hAnsi="Verdana" w:cs="Arial"/>
          <w:bCs/>
          <w:color w:val="000000" w:themeColor="text1"/>
          <w:sz w:val="20"/>
          <w:szCs w:val="20"/>
          <w:lang w:val="es-ES"/>
        </w:rPr>
      </w:pPr>
      <w:r>
        <w:rPr>
          <w:rFonts w:ascii="Verdana" w:hAnsi="Verdana" w:cs="Arial"/>
          <w:bCs/>
          <w:color w:val="000000" w:themeColor="text1"/>
          <w:sz w:val="20"/>
          <w:szCs w:val="20"/>
          <w:lang w:val="es-ES"/>
        </w:rPr>
        <w:t>E</w:t>
      </w:r>
      <w:r w:rsidRPr="00264984">
        <w:rPr>
          <w:rFonts w:ascii="Verdana" w:hAnsi="Verdana" w:cs="Arial"/>
          <w:bCs/>
          <w:color w:val="000000" w:themeColor="text1"/>
          <w:sz w:val="20"/>
          <w:szCs w:val="20"/>
          <w:lang w:val="es-ES"/>
        </w:rPr>
        <w:t xml:space="preserve">l literal i) del artículo 2.4 de la Ley 1150 de 2011 permite la contratación directa tratándose de “El arrendamiento […] de inmuebles”. Esta causal hereda la tradición histórica de los artículos 31.7 y 43.6 de los derogados Decretos Leyes 150 de 1976 y 222 de 1983, pues también permitían la contratación directa “Cuando se tomen o den inmuebles en arrendamiento”. Así, a través de este contrato, las entidades públicas administran el patrimonio público o suplen necesidades para la prestación de sus servicios. En este contexto, pueden tener tanto la calidad de arrendadoras –cuando entregan el bien a un tercero– o de arrendatarias –cuando reciben su mera tenencia–. </w:t>
      </w:r>
    </w:p>
    <w:p w14:paraId="797F5186" w14:textId="77777777" w:rsidR="009441B9" w:rsidRPr="00264984" w:rsidRDefault="009441B9" w:rsidP="009441B9">
      <w:pPr>
        <w:tabs>
          <w:tab w:val="left" w:pos="426"/>
        </w:tabs>
        <w:spacing w:after="0" w:line="240" w:lineRule="auto"/>
        <w:contextualSpacing/>
        <w:jc w:val="both"/>
        <w:rPr>
          <w:rFonts w:ascii="Verdana" w:hAnsi="Verdana" w:cs="Arial"/>
          <w:bCs/>
          <w:color w:val="000000" w:themeColor="text1"/>
          <w:sz w:val="20"/>
          <w:szCs w:val="20"/>
          <w:lang w:val="es-ES"/>
        </w:rPr>
      </w:pPr>
    </w:p>
    <w:p w14:paraId="2467876E" w14:textId="77777777" w:rsidR="009441B9" w:rsidRPr="00782519" w:rsidRDefault="009441B9" w:rsidP="009441B9">
      <w:pPr>
        <w:tabs>
          <w:tab w:val="left" w:pos="426"/>
        </w:tabs>
        <w:spacing w:after="0" w:line="240" w:lineRule="auto"/>
        <w:contextualSpacing/>
        <w:jc w:val="both"/>
        <w:rPr>
          <w:rFonts w:ascii="Verdana" w:eastAsia="Calibri" w:hAnsi="Verdana" w:cs="Arial"/>
          <w:noProof/>
          <w:sz w:val="20"/>
          <w:szCs w:val="20"/>
          <w:lang w:val="es-ES_tradnl"/>
        </w:rPr>
      </w:pPr>
      <w:r w:rsidRPr="00264984">
        <w:rPr>
          <w:rFonts w:ascii="Verdana" w:hAnsi="Verdana" w:cs="Arial"/>
          <w:bCs/>
          <w:color w:val="000000" w:themeColor="text1"/>
          <w:sz w:val="20"/>
          <w:szCs w:val="20"/>
          <w:lang w:val="es-ES"/>
        </w:rPr>
        <w:t xml:space="preserve">Cuando la entidad estatal actúe como arrendadora puede evaluar si es conveniente o no adelantar una convocatoria pública en garantía del principio de libre concurrencia. Hacerlo no es obligatorio sino facultativo, pues lo cierto es que el EGCAP permite la contratación directa tratándose del arrendamiento de inmuebles, al margen de la posición que asuma la entidad en el negocio. En todo caso, aquella es autónoma y responsable de la estructuración de sus procesos de contratación, así como determinar su necesidad y la modalidad de selección del contratista. </w:t>
      </w:r>
      <w:r w:rsidRPr="00FD1291">
        <w:rPr>
          <w:rFonts w:ascii="Verdana" w:hAnsi="Verdana" w:cs="Arial"/>
          <w:color w:val="000000" w:themeColor="text1"/>
          <w:sz w:val="20"/>
          <w:szCs w:val="20"/>
          <w:lang w:val="es-ES"/>
        </w:rPr>
        <w:t xml:space="preserve">  </w:t>
      </w:r>
      <w:r w:rsidRPr="00CC1214">
        <w:rPr>
          <w:rFonts w:ascii="Verdana" w:eastAsia="Calibri" w:hAnsi="Verdana" w:cs="Arial"/>
          <w:noProof/>
          <w:sz w:val="20"/>
          <w:szCs w:val="20"/>
          <w:lang w:val="es-ES_tradnl"/>
        </w:rPr>
        <w:t xml:space="preserve"> </w:t>
      </w:r>
      <w:r w:rsidRPr="009673B4">
        <w:rPr>
          <w:rFonts w:ascii="Verdana" w:eastAsia="Calibri" w:hAnsi="Verdana" w:cs="Arial"/>
          <w:noProof/>
          <w:sz w:val="20"/>
          <w:szCs w:val="20"/>
          <w:lang w:val="es-ES_tradnl"/>
        </w:rPr>
        <w:t xml:space="preserve">  </w:t>
      </w:r>
      <w:r w:rsidRPr="00782519">
        <w:rPr>
          <w:rFonts w:ascii="Verdana" w:eastAsia="Calibri" w:hAnsi="Verdana" w:cs="Arial"/>
          <w:noProof/>
          <w:sz w:val="20"/>
          <w:szCs w:val="20"/>
          <w:lang w:val="es-ES_tradnl"/>
        </w:rPr>
        <w:t xml:space="preserve"> </w:t>
      </w:r>
    </w:p>
    <w:p w14:paraId="32C34348" w14:textId="77777777" w:rsidR="009441B9" w:rsidRPr="005145C2" w:rsidRDefault="009441B9" w:rsidP="009441B9">
      <w:pPr>
        <w:spacing w:after="0" w:line="240" w:lineRule="auto"/>
        <w:rPr>
          <w:rFonts w:ascii="Verdana" w:eastAsia="Geomanist Light" w:hAnsi="Verdana" w:cs="Arial"/>
          <w:color w:val="000000" w:themeColor="text1"/>
          <w:lang w:val="es-ES_tradnl"/>
        </w:rPr>
      </w:pPr>
    </w:p>
    <w:p w14:paraId="07F8DD1A" w14:textId="77777777" w:rsidR="009441B9" w:rsidRDefault="009441B9" w:rsidP="009441B9">
      <w:pPr>
        <w:spacing w:after="0" w:line="240" w:lineRule="auto"/>
        <w:rPr>
          <w:rFonts w:ascii="Verdana" w:eastAsia="Geomanist Light" w:hAnsi="Verdana" w:cs="Arial"/>
          <w:color w:val="000000" w:themeColor="text1"/>
          <w:lang w:val="es-MX"/>
        </w:rPr>
      </w:pPr>
    </w:p>
    <w:p w14:paraId="7146EDE8" w14:textId="77777777" w:rsidR="009441B9" w:rsidRDefault="009441B9" w:rsidP="009441B9">
      <w:pPr>
        <w:spacing w:after="0" w:line="240" w:lineRule="auto"/>
        <w:rPr>
          <w:rFonts w:ascii="Verdana" w:eastAsia="Geomanist Light" w:hAnsi="Verdana" w:cs="Arial"/>
          <w:color w:val="000000" w:themeColor="text1"/>
          <w:lang w:val="es-MX"/>
        </w:rPr>
      </w:pPr>
    </w:p>
    <w:p w14:paraId="4921D7B7" w14:textId="77777777" w:rsidR="009441B9" w:rsidRDefault="009441B9" w:rsidP="009441B9">
      <w:pPr>
        <w:spacing w:after="0" w:line="240" w:lineRule="auto"/>
        <w:rPr>
          <w:rFonts w:ascii="Verdana" w:eastAsia="Geomanist Light" w:hAnsi="Verdana" w:cs="Arial"/>
          <w:color w:val="000000" w:themeColor="text1"/>
          <w:lang w:val="es-MX"/>
        </w:rPr>
      </w:pPr>
    </w:p>
    <w:p w14:paraId="325D59AE" w14:textId="77777777" w:rsidR="009441B9" w:rsidRDefault="009441B9" w:rsidP="009441B9">
      <w:pPr>
        <w:spacing w:after="0" w:line="240" w:lineRule="auto"/>
        <w:rPr>
          <w:rFonts w:ascii="Verdana" w:eastAsia="Geomanist Light" w:hAnsi="Verdana" w:cs="Arial"/>
          <w:color w:val="000000" w:themeColor="text1"/>
          <w:lang w:val="es-MX"/>
        </w:rPr>
      </w:pPr>
    </w:p>
    <w:p w14:paraId="424625A7" w14:textId="77777777" w:rsidR="009441B9" w:rsidRDefault="009441B9" w:rsidP="009441B9">
      <w:pPr>
        <w:spacing w:after="0" w:line="240" w:lineRule="auto"/>
        <w:rPr>
          <w:rFonts w:ascii="Verdana" w:eastAsia="Geomanist Light" w:hAnsi="Verdana" w:cs="Arial"/>
          <w:color w:val="000000" w:themeColor="text1"/>
          <w:lang w:val="es-MX"/>
        </w:rPr>
      </w:pPr>
    </w:p>
    <w:p w14:paraId="181F4F69" w14:textId="77777777" w:rsidR="009441B9" w:rsidRDefault="009441B9" w:rsidP="009441B9">
      <w:pPr>
        <w:spacing w:after="0" w:line="240" w:lineRule="auto"/>
        <w:rPr>
          <w:rFonts w:ascii="Verdana" w:eastAsia="Geomanist Light" w:hAnsi="Verdana" w:cs="Arial"/>
          <w:color w:val="000000" w:themeColor="text1"/>
          <w:lang w:val="es-MX"/>
        </w:rPr>
      </w:pPr>
    </w:p>
    <w:p w14:paraId="04363D86" w14:textId="77777777" w:rsidR="009441B9" w:rsidRDefault="009441B9" w:rsidP="009441B9">
      <w:pPr>
        <w:spacing w:after="0" w:line="240" w:lineRule="auto"/>
        <w:rPr>
          <w:rFonts w:ascii="Verdana" w:eastAsia="Geomanist Light" w:hAnsi="Verdana" w:cs="Arial"/>
          <w:color w:val="000000" w:themeColor="text1"/>
          <w:lang w:val="es-MX"/>
        </w:rPr>
      </w:pPr>
    </w:p>
    <w:p w14:paraId="1D8007D6" w14:textId="77777777" w:rsidR="009441B9" w:rsidRDefault="009441B9" w:rsidP="006D7DAE">
      <w:pPr>
        <w:spacing w:after="0" w:line="240" w:lineRule="auto"/>
        <w:rPr>
          <w:rFonts w:ascii="Verdana" w:eastAsia="Geomanist Light" w:hAnsi="Verdana" w:cs="Arial"/>
          <w:color w:val="000000" w:themeColor="text1"/>
          <w:lang w:val="es-MX"/>
        </w:rPr>
      </w:pPr>
    </w:p>
    <w:p w14:paraId="68D724DA" w14:textId="57C90F74" w:rsidR="006D7DAE" w:rsidRDefault="006D7DAE" w:rsidP="006D7DAE">
      <w:pPr>
        <w:spacing w:after="0" w:line="240" w:lineRule="auto"/>
        <w:rPr>
          <w:rFonts w:ascii="Verdana" w:eastAsia="Geomanist Light" w:hAnsi="Verdana" w:cs="Arial"/>
          <w:color w:val="000000" w:themeColor="text1"/>
          <w:lang w:val="es-MX"/>
        </w:rPr>
      </w:pPr>
      <w:r w:rsidRPr="00593A5F">
        <w:rPr>
          <w:rFonts w:ascii="Verdana" w:eastAsia="Geomanist Light" w:hAnsi="Verdana" w:cs="Arial"/>
          <w:color w:val="000000" w:themeColor="text1"/>
          <w:lang w:val="es-MX"/>
        </w:rPr>
        <w:lastRenderedPageBreak/>
        <w:t>Bogotá D.C., </w:t>
      </w:r>
      <w:r w:rsidR="009441B9" w:rsidRPr="009441B9">
        <w:rPr>
          <w:rFonts w:ascii="Verdana" w:eastAsia="Geomanist Light" w:hAnsi="Verdana" w:cs="Arial"/>
          <w:color w:val="000000" w:themeColor="text1"/>
          <w:lang w:val="es-MX"/>
        </w:rPr>
        <w:t>14 de Noviembre de 2025</w:t>
      </w:r>
    </w:p>
    <w:p w14:paraId="7F2EADB9" w14:textId="77777777" w:rsidR="00330B85" w:rsidRPr="00593A5F" w:rsidRDefault="00330B85" w:rsidP="006D7DAE">
      <w:pPr>
        <w:spacing w:after="0" w:line="240" w:lineRule="auto"/>
        <w:rPr>
          <w:rFonts w:ascii="Verdana" w:eastAsia="Geomanist Light" w:hAnsi="Verdana" w:cs="Arial"/>
          <w:color w:val="201F1E"/>
          <w:lang w:val="es-MX"/>
        </w:rPr>
      </w:pPr>
    </w:p>
    <w:p w14:paraId="20ADB4E9" w14:textId="67BFE070" w:rsidR="006D7DAE" w:rsidRDefault="00197873" w:rsidP="00197873">
      <w:pPr>
        <w:spacing w:after="0" w:line="240" w:lineRule="auto"/>
        <w:jc w:val="right"/>
        <w:rPr>
          <w:rFonts w:ascii="Verdana" w:eastAsia="Calibri" w:hAnsi="Verdana" w:cs="Arial"/>
          <w:color w:val="000000"/>
          <w:lang w:val="es-ES"/>
        </w:rPr>
      </w:pPr>
      <w:r w:rsidRPr="00197873">
        <w:rPr>
          <w:rFonts w:ascii="Verdana" w:eastAsia="Calibri" w:hAnsi="Verdana" w:cs="Arial"/>
          <w:color w:val="000000"/>
          <w:lang w:val="es-ES"/>
        </w:rPr>
        <w:drawing>
          <wp:inline distT="0" distB="0" distL="0" distR="0" wp14:anchorId="47120752" wp14:editId="19AFBE71">
            <wp:extent cx="2400300" cy="622300"/>
            <wp:effectExtent l="0" t="0" r="0" b="0"/>
            <wp:docPr id="86049111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491117" name=""/>
                    <pic:cNvPicPr/>
                  </pic:nvPicPr>
                  <pic:blipFill>
                    <a:blip r:embed="rId10"/>
                    <a:stretch>
                      <a:fillRect/>
                    </a:stretch>
                  </pic:blipFill>
                  <pic:spPr>
                    <a:xfrm>
                      <a:off x="0" y="0"/>
                      <a:ext cx="2400300" cy="622300"/>
                    </a:xfrm>
                    <a:prstGeom prst="rect">
                      <a:avLst/>
                    </a:prstGeom>
                  </pic:spPr>
                </pic:pic>
              </a:graphicData>
            </a:graphic>
          </wp:inline>
        </w:drawing>
      </w:r>
    </w:p>
    <w:p w14:paraId="43020FD5" w14:textId="77777777" w:rsidR="006D7DAE" w:rsidRPr="00593A5F" w:rsidRDefault="006D7DAE" w:rsidP="006D7DAE">
      <w:pPr>
        <w:spacing w:after="0" w:line="240" w:lineRule="auto"/>
        <w:jc w:val="both"/>
        <w:rPr>
          <w:rFonts w:ascii="Verdana" w:eastAsia="Calibri" w:hAnsi="Verdana" w:cs="Arial"/>
          <w:color w:val="000000"/>
          <w:lang w:val="es-ES"/>
        </w:rPr>
      </w:pPr>
    </w:p>
    <w:p w14:paraId="41263944" w14:textId="77777777" w:rsidR="006D7DAE" w:rsidRPr="00B96799" w:rsidRDefault="006D7DAE" w:rsidP="006D7DAE">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726FCC34" w14:textId="77777777" w:rsidR="006D7DAE" w:rsidRPr="0085423D" w:rsidRDefault="006D7DAE" w:rsidP="006D7DAE">
      <w:pPr>
        <w:spacing w:after="0" w:line="240" w:lineRule="auto"/>
        <w:rPr>
          <w:rFonts w:ascii="Verdana" w:eastAsia="Calibri" w:hAnsi="Verdana" w:cs="Arial"/>
          <w:b/>
          <w:lang w:val="es-ES_tradnl" w:eastAsia="es-ES_tradnl"/>
        </w:rPr>
      </w:pPr>
      <w:r w:rsidRPr="00993D70">
        <w:rPr>
          <w:rFonts w:ascii="Verdana" w:eastAsia="Calibri" w:hAnsi="Verdana" w:cs="Arial"/>
          <w:b/>
          <w:lang w:val="es-ES_tradnl" w:eastAsia="es-ES_tradnl"/>
        </w:rPr>
        <w:t>Elkin</w:t>
      </w:r>
      <w:r>
        <w:rPr>
          <w:rFonts w:ascii="Verdana" w:eastAsia="Calibri" w:hAnsi="Verdana" w:cs="Arial"/>
          <w:b/>
          <w:lang w:val="es-ES_tradnl" w:eastAsia="es-ES_tradnl"/>
        </w:rPr>
        <w:t xml:space="preserve"> </w:t>
      </w:r>
      <w:r w:rsidRPr="003D216D">
        <w:rPr>
          <w:rFonts w:ascii="Verdana" w:eastAsia="Calibri" w:hAnsi="Verdana" w:cs="Arial"/>
          <w:b/>
          <w:lang w:val="es-ES_tradnl" w:eastAsia="es-ES_tradnl"/>
        </w:rPr>
        <w:t>Estiven</w:t>
      </w:r>
      <w:r w:rsidRPr="00993D70">
        <w:rPr>
          <w:rFonts w:ascii="Verdana" w:eastAsia="Calibri" w:hAnsi="Verdana" w:cs="Arial"/>
          <w:b/>
          <w:lang w:val="es-ES_tradnl" w:eastAsia="es-ES_tradnl"/>
        </w:rPr>
        <w:t xml:space="preserve"> García Sabogal</w:t>
      </w:r>
      <w:r w:rsidRPr="007F2F02">
        <w:rPr>
          <w:rFonts w:ascii="Verdana" w:eastAsia="Calibri" w:hAnsi="Verdana" w:cs="Arial"/>
          <w:b/>
          <w:lang w:val="es-ES_tradnl" w:eastAsia="es-ES_tradnl"/>
        </w:rPr>
        <w:t xml:space="preserve"> </w:t>
      </w:r>
      <w:r>
        <w:rPr>
          <w:rFonts w:ascii="Verdana" w:eastAsia="Calibri" w:hAnsi="Verdana" w:cs="Arial"/>
          <w:b/>
          <w:lang w:val="es-ES_tradnl" w:eastAsia="es-ES_tradnl"/>
        </w:rPr>
        <w:t xml:space="preserve"> </w:t>
      </w:r>
    </w:p>
    <w:p w14:paraId="45F9D350" w14:textId="77777777" w:rsidR="006D7DAE" w:rsidRPr="00993D70" w:rsidRDefault="006D7DAE" w:rsidP="006D7DAE">
      <w:pPr>
        <w:spacing w:after="0" w:line="240" w:lineRule="auto"/>
        <w:rPr>
          <w:rFonts w:ascii="Verdana" w:eastAsia="Calibri" w:hAnsi="Verdana" w:cs="Arial"/>
          <w:lang w:val="es-ES" w:eastAsia="es-ES"/>
        </w:rPr>
      </w:pPr>
      <w:hyperlink r:id="rId11" w:history="1">
        <w:r w:rsidRPr="008A0E88">
          <w:rPr>
            <w:rStyle w:val="Hipervnculo"/>
            <w:rFonts w:ascii="Verdana" w:hAnsi="Verdana"/>
          </w:rPr>
          <w:t>elkingarciasabogal@gmail.com</w:t>
        </w:r>
      </w:hyperlink>
      <w:r>
        <w:rPr>
          <w:rFonts w:ascii="Verdana" w:hAnsi="Verdana"/>
        </w:rPr>
        <w:t xml:space="preserve"> </w:t>
      </w:r>
      <w:r w:rsidRPr="00993D70">
        <w:rPr>
          <w:rFonts w:ascii="Verdana" w:hAnsi="Verdana"/>
        </w:rPr>
        <w:t xml:space="preserve">            </w:t>
      </w:r>
      <w:r w:rsidRPr="00993D70">
        <w:rPr>
          <w:rFonts w:ascii="Verdana" w:eastAsia="Calibri" w:hAnsi="Verdana" w:cs="Arial"/>
          <w:lang w:val="es-ES" w:eastAsia="es-ES"/>
        </w:rPr>
        <w:t xml:space="preserve">    </w:t>
      </w:r>
    </w:p>
    <w:p w14:paraId="1C2C779C" w14:textId="77777777" w:rsidR="006D7DAE" w:rsidRDefault="006D7DAE" w:rsidP="006D7DAE">
      <w:pPr>
        <w:spacing w:after="0" w:line="240" w:lineRule="auto"/>
        <w:rPr>
          <w:rFonts w:ascii="Verdana" w:eastAsia="Calibri" w:hAnsi="Verdana" w:cs="Arial"/>
          <w:lang w:val="es-ES" w:eastAsia="es-ES"/>
        </w:rPr>
      </w:pPr>
      <w:r w:rsidRPr="00472E41">
        <w:rPr>
          <w:rFonts w:ascii="Verdana" w:eastAsia="Geomanist Light" w:hAnsi="Verdana" w:cs="Arial"/>
          <w:color w:val="000000" w:themeColor="text1"/>
          <w:lang w:val="es-MX"/>
        </w:rPr>
        <w:t>Acacías</w:t>
      </w:r>
      <w:r>
        <w:rPr>
          <w:rFonts w:ascii="Verdana" w:eastAsia="Geomanist Light" w:hAnsi="Verdana" w:cs="Arial"/>
          <w:color w:val="000000" w:themeColor="text1"/>
          <w:lang w:val="es-MX"/>
        </w:rPr>
        <w:t>,</w:t>
      </w:r>
      <w:r w:rsidRPr="00472E41">
        <w:rPr>
          <w:rFonts w:ascii="Verdana" w:eastAsia="Geomanist Light" w:hAnsi="Verdana" w:cs="Arial"/>
          <w:color w:val="000000" w:themeColor="text1"/>
          <w:lang w:val="es-MX"/>
        </w:rPr>
        <w:t xml:space="preserve"> Meta</w:t>
      </w:r>
      <w:r>
        <w:rPr>
          <w:rFonts w:ascii="Verdana" w:eastAsia="Calibri" w:hAnsi="Verdana" w:cs="Arial"/>
          <w:lang w:val="es-ES" w:eastAsia="es-ES"/>
        </w:rPr>
        <w:t xml:space="preserve"> </w:t>
      </w:r>
    </w:p>
    <w:p w14:paraId="70F56373" w14:textId="77777777" w:rsidR="006D7DAE" w:rsidRPr="00593A5F" w:rsidRDefault="006D7DAE" w:rsidP="006D7DAE">
      <w:pPr>
        <w:spacing w:after="0" w:line="240" w:lineRule="auto"/>
        <w:rPr>
          <w:rFonts w:ascii="Verdana" w:eastAsia="Calibri" w:hAnsi="Verdana" w:cs="Arial"/>
          <w:b/>
          <w:bCs/>
          <w:color w:val="000000"/>
          <w:lang w:val="es-ES_tradnl" w:eastAsia="es-ES_tradnl"/>
        </w:rPr>
      </w:pPr>
    </w:p>
    <w:p w14:paraId="10F5336F" w14:textId="77777777" w:rsidR="006D7DAE" w:rsidRPr="00593A5F" w:rsidRDefault="006D7DAE" w:rsidP="006D7DAE">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D7DAE" w:rsidRPr="00593A5F" w14:paraId="05BC9D9D" w14:textId="77777777" w:rsidTr="00746A61">
        <w:trPr>
          <w:trHeight w:val="884"/>
        </w:trPr>
        <w:tc>
          <w:tcPr>
            <w:tcW w:w="2689" w:type="dxa"/>
          </w:tcPr>
          <w:p w14:paraId="29C2D828" w14:textId="77777777" w:rsidR="006D7DAE" w:rsidRPr="00C00976" w:rsidRDefault="006D7DAE" w:rsidP="00746A61">
            <w:pPr>
              <w:jc w:val="both"/>
              <w:rPr>
                <w:rFonts w:ascii="Verdana" w:eastAsia="Calibri" w:hAnsi="Verdana" w:cs="Arial"/>
                <w:b/>
                <w:bCs/>
                <w:color w:val="7030A0"/>
                <w:lang w:val="es-ES_tradnl" w:eastAsia="es-ES_tradnl"/>
              </w:rPr>
            </w:pPr>
          </w:p>
        </w:tc>
        <w:tc>
          <w:tcPr>
            <w:tcW w:w="6100" w:type="dxa"/>
          </w:tcPr>
          <w:p w14:paraId="32EB3E2A" w14:textId="62513179" w:rsidR="006D7DAE" w:rsidRPr="00C00976" w:rsidRDefault="006D7DAE" w:rsidP="00746A61">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sidR="00E67EC9">
              <w:rPr>
                <w:rFonts w:ascii="Verdana" w:eastAsia="Calibri" w:hAnsi="Verdana" w:cs="Arial"/>
                <w:b/>
                <w:bCs/>
                <w:lang w:val="es-ES" w:eastAsia="es-ES"/>
              </w:rPr>
              <w:t>1648</w:t>
            </w:r>
            <w:r>
              <w:rPr>
                <w:rFonts w:ascii="Verdana" w:eastAsia="Calibri" w:hAnsi="Verdana" w:cs="Arial"/>
                <w:b/>
                <w:bCs/>
                <w:lang w:val="es-ES" w:eastAsia="es-ES"/>
              </w:rPr>
              <w:t xml:space="preserve">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6D7DAE" w:rsidRPr="00593A5F" w14:paraId="56BB9EB0" w14:textId="77777777" w:rsidTr="00746A61">
        <w:trPr>
          <w:trHeight w:val="884"/>
        </w:trPr>
        <w:tc>
          <w:tcPr>
            <w:tcW w:w="2689" w:type="dxa"/>
          </w:tcPr>
          <w:p w14:paraId="2FF74709" w14:textId="77777777" w:rsidR="006D7DAE" w:rsidRPr="00593A5F" w:rsidRDefault="006D7DAE" w:rsidP="00746A61">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3C6CE42F" w14:textId="77777777" w:rsidR="006D7DAE" w:rsidRPr="00A11406" w:rsidRDefault="006D7DAE" w:rsidP="00746A61">
            <w:pPr>
              <w:spacing w:line="276" w:lineRule="auto"/>
              <w:jc w:val="both"/>
              <w:rPr>
                <w:rFonts w:ascii="Verdana" w:eastAsia="Calibri" w:hAnsi="Verdana" w:cs="Arial"/>
                <w:lang w:val="es-ES" w:eastAsia="es-ES"/>
              </w:rPr>
            </w:pPr>
            <w:r w:rsidRPr="0006422E">
              <w:rPr>
                <w:rFonts w:ascii="Verdana" w:eastAsia="Calibri" w:hAnsi="Verdana" w:cs="Arial"/>
                <w:lang w:val="es-ES" w:eastAsia="es-ES"/>
              </w:rPr>
              <w:t xml:space="preserve">EGCAP – Ámbito de aplicación – Entidades estatales / CONTRATO ESTATAL – Criterio orgánico / CONTRATO DE ARRENDAMIENTO – Definición – Características / </w:t>
            </w:r>
            <w:r w:rsidRPr="00264984">
              <w:rPr>
                <w:rFonts w:ascii="Verdana" w:eastAsia="Calibri" w:hAnsi="Verdana" w:cs="Arial"/>
                <w:lang w:val="es-ES" w:eastAsia="es-ES"/>
              </w:rPr>
              <w:t>CONTRATACIÓN DIRECTA – Arrendamiento – Bienes inmuebles – Alcance</w:t>
            </w:r>
            <w:r w:rsidRPr="00D9782E">
              <w:rPr>
                <w:rFonts w:ascii="Verdana" w:eastAsia="Calibri" w:hAnsi="Verdana" w:cs="Arial"/>
                <w:lang w:val="es-ES" w:eastAsia="es-ES"/>
              </w:rPr>
              <w:t xml:space="preserve"> </w:t>
            </w:r>
            <w:r w:rsidRPr="00FD1291">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387AB697" w14:textId="77777777" w:rsidR="006D7DAE" w:rsidRPr="00593A5F" w:rsidRDefault="006D7DAE" w:rsidP="00746A61">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6D7DAE" w:rsidRPr="008E6AD9" w14:paraId="51B1575F" w14:textId="77777777" w:rsidTr="00746A61">
        <w:tc>
          <w:tcPr>
            <w:tcW w:w="2689" w:type="dxa"/>
          </w:tcPr>
          <w:p w14:paraId="76C3ABFD" w14:textId="77777777" w:rsidR="006D7DAE" w:rsidRPr="008E6AD9" w:rsidRDefault="006D7DAE" w:rsidP="00746A61">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4BA9F1E2" w14:textId="77777777" w:rsidR="006D7DAE" w:rsidRPr="008E6AD9" w:rsidRDefault="006D7DAE" w:rsidP="00746A61">
            <w:pPr>
              <w:spacing w:line="276" w:lineRule="auto"/>
              <w:jc w:val="both"/>
              <w:rPr>
                <w:rFonts w:ascii="Verdana" w:eastAsia="Calibri" w:hAnsi="Verdana" w:cs="Arial"/>
                <w:lang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472E41">
              <w:rPr>
                <w:rFonts w:ascii="Verdana" w:eastAsia="Calibri" w:hAnsi="Verdana" w:cs="Arial"/>
                <w:lang w:val="es-ES_tradnl" w:eastAsia="es-ES_tradnl"/>
              </w:rPr>
              <w:t>1_2025_11_11_012722</w:t>
            </w:r>
            <w:r w:rsidRPr="0085423D">
              <w:rPr>
                <w:rFonts w:ascii="Verdana" w:eastAsia="Calibri" w:hAnsi="Verdana" w:cs="Arial"/>
                <w:lang w:val="es-ES_tradnl" w:eastAsia="es-ES_tradnl"/>
              </w:rPr>
              <w:t xml:space="preserve"> </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1B71C369" w14:textId="77777777" w:rsidR="006D7DAE" w:rsidRPr="00593A5F" w:rsidRDefault="006D7DAE" w:rsidP="006D7DAE">
      <w:pPr>
        <w:spacing w:after="0" w:line="240" w:lineRule="auto"/>
        <w:jc w:val="both"/>
        <w:rPr>
          <w:rFonts w:ascii="Verdana" w:eastAsia="Calibri" w:hAnsi="Verdana" w:cs="Arial"/>
          <w:color w:val="000000"/>
          <w:lang w:val="es-ES_tradnl" w:eastAsia="es-ES_tradnl"/>
        </w:rPr>
      </w:pPr>
    </w:p>
    <w:p w14:paraId="76625C32" w14:textId="77777777" w:rsidR="006D7DAE" w:rsidRPr="00593A5F" w:rsidRDefault="006D7DAE" w:rsidP="006D7DAE">
      <w:pPr>
        <w:spacing w:after="0" w:line="240" w:lineRule="auto"/>
        <w:jc w:val="both"/>
        <w:rPr>
          <w:rFonts w:ascii="Verdana" w:eastAsia="Calibri" w:hAnsi="Verdana" w:cs="Arial"/>
          <w:color w:val="000000"/>
          <w:lang w:val="es-ES_tradnl" w:eastAsia="es-ES_tradnl"/>
        </w:rPr>
      </w:pPr>
    </w:p>
    <w:p w14:paraId="3677EE30" w14:textId="77777777" w:rsidR="006D7DAE" w:rsidRPr="008E6AD9" w:rsidRDefault="006D7DAE" w:rsidP="006D7DAE">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472E41">
        <w:rPr>
          <w:rFonts w:ascii="Verdana" w:eastAsia="Calibri" w:hAnsi="Verdana" w:cs="Arial"/>
          <w:lang w:val="es-ES" w:eastAsia="es-ES"/>
        </w:rPr>
        <w:t>García Sabogal</w:t>
      </w:r>
      <w:r w:rsidRPr="008E6AD9">
        <w:rPr>
          <w:rFonts w:ascii="Verdana" w:eastAsia="Calibri" w:hAnsi="Verdana" w:cs="Arial"/>
          <w:lang w:val="es-ES" w:eastAsia="es-ES"/>
        </w:rPr>
        <w:t xml:space="preserve">: </w:t>
      </w:r>
    </w:p>
    <w:p w14:paraId="31F9833A" w14:textId="77777777" w:rsidR="006D7DAE" w:rsidRDefault="006D7DAE" w:rsidP="006D7DAE">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C2C0F1A" w14:textId="77777777" w:rsidR="006D7DAE" w:rsidRPr="00593A5F" w:rsidRDefault="006D7DAE" w:rsidP="006D7DAE">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11 de noviembre de 2025</w:t>
      </w:r>
      <w:r w:rsidRPr="008E6AD9">
        <w:rPr>
          <w:rFonts w:ascii="Verdana" w:eastAsia="Calibri" w:hAnsi="Verdana" w:cs="Arial"/>
          <w:lang w:val="es-ES" w:eastAsia="es-ES"/>
        </w:rPr>
        <w:t>,</w:t>
      </w:r>
      <w:r>
        <w:rPr>
          <w:rFonts w:ascii="Verdana" w:eastAsia="Calibri" w:hAnsi="Verdana" w:cs="Arial"/>
          <w:lang w:val="es-ES" w:eastAsia="es-ES"/>
        </w:rPr>
        <w:t xml:space="preserve"> </w:t>
      </w:r>
      <w:r w:rsidRPr="008E6AD9">
        <w:rPr>
          <w:rFonts w:ascii="Verdana" w:eastAsia="Calibri" w:hAnsi="Verdana" w:cs="Arial"/>
          <w:lang w:val="es-ES" w:eastAsia="es-ES"/>
        </w:rPr>
        <w:t xml:space="preserve">en </w:t>
      </w:r>
      <w:r>
        <w:rPr>
          <w:rFonts w:ascii="Verdana" w:eastAsia="Calibri" w:hAnsi="Verdana" w:cs="Arial"/>
          <w:lang w:val="es-ES" w:eastAsia="es-ES"/>
        </w:rPr>
        <w:t>la cual solicita:</w:t>
      </w:r>
      <w:r w:rsidRPr="008E6AD9">
        <w:rPr>
          <w:rFonts w:ascii="Verdana" w:eastAsia="Calibri" w:hAnsi="Verdana" w:cs="Arial"/>
          <w:lang w:val="es-ES" w:eastAsia="es-ES"/>
        </w:rPr>
        <w:t xml:space="preserve"> </w:t>
      </w:r>
    </w:p>
    <w:p w14:paraId="514C39C7" w14:textId="77777777" w:rsidR="006D7DAE" w:rsidRPr="00272A7B" w:rsidRDefault="006D7DAE" w:rsidP="006D7DAE">
      <w:pPr>
        <w:pStyle w:val="Prrafodelista"/>
        <w:tabs>
          <w:tab w:val="left" w:pos="142"/>
          <w:tab w:val="left" w:pos="284"/>
        </w:tabs>
        <w:spacing w:after="0" w:line="276" w:lineRule="auto"/>
        <w:ind w:left="0"/>
        <w:jc w:val="both"/>
        <w:rPr>
          <w:rFonts w:ascii="Verdana" w:eastAsia="Century Gothic" w:hAnsi="Verdana" w:cs="Century Gothic"/>
          <w:b/>
          <w:bCs/>
        </w:rPr>
      </w:pPr>
    </w:p>
    <w:p w14:paraId="74515F42" w14:textId="77777777" w:rsidR="006D7DAE" w:rsidRPr="00472E41" w:rsidRDefault="006D7DAE" w:rsidP="006D7DAE">
      <w:pPr>
        <w:spacing w:after="120" w:line="240" w:lineRule="auto"/>
        <w:ind w:left="709" w:right="709"/>
        <w:jc w:val="both"/>
        <w:rPr>
          <w:rFonts w:ascii="Verdana" w:eastAsia="Century Gothic" w:hAnsi="Verdana" w:cs="Century Gothic"/>
          <w:sz w:val="20"/>
          <w:szCs w:val="20"/>
          <w:lang w:val="es-ES"/>
        </w:rPr>
      </w:pPr>
      <w:bookmarkStart w:id="0" w:name="_Hlk95313578"/>
      <w:r w:rsidRPr="006623D1">
        <w:rPr>
          <w:rFonts w:ascii="Verdana" w:eastAsia="Century Gothic" w:hAnsi="Verdana" w:cs="Century Gothic"/>
          <w:sz w:val="20"/>
          <w:szCs w:val="20"/>
          <w:lang w:val="es-ES"/>
        </w:rPr>
        <w:t>“</w:t>
      </w:r>
      <w:bookmarkEnd w:id="0"/>
      <w:r>
        <w:rPr>
          <w:rFonts w:ascii="Verdana" w:eastAsia="Century Gothic" w:hAnsi="Verdana" w:cs="Century Gothic"/>
          <w:sz w:val="20"/>
          <w:szCs w:val="20"/>
          <w:lang w:val="es-ES"/>
        </w:rPr>
        <w:t xml:space="preserve">[…] </w:t>
      </w:r>
      <w:r w:rsidRPr="00472E41">
        <w:rPr>
          <w:rFonts w:ascii="Verdana" w:eastAsia="Century Gothic" w:hAnsi="Verdana" w:cs="Century Gothic"/>
          <w:sz w:val="20"/>
          <w:szCs w:val="20"/>
          <w:lang w:val="es-ES"/>
        </w:rPr>
        <w:t xml:space="preserve">emitir concepto jurídico orientador, en el que se sirva precisar: </w:t>
      </w:r>
    </w:p>
    <w:p w14:paraId="70C04A41" w14:textId="77777777" w:rsidR="006D7DAE" w:rsidRPr="00472E41" w:rsidRDefault="006D7DAE" w:rsidP="006D7DAE">
      <w:pPr>
        <w:spacing w:after="120" w:line="240" w:lineRule="auto"/>
        <w:ind w:left="709" w:right="709"/>
        <w:jc w:val="both"/>
        <w:rPr>
          <w:rFonts w:ascii="Verdana" w:eastAsia="Century Gothic" w:hAnsi="Verdana" w:cs="Century Gothic"/>
          <w:sz w:val="20"/>
          <w:szCs w:val="20"/>
          <w:lang w:val="es-ES"/>
        </w:rPr>
      </w:pPr>
      <w:r w:rsidRPr="00472E41">
        <w:rPr>
          <w:rFonts w:ascii="Verdana" w:eastAsia="Century Gothic" w:hAnsi="Verdana" w:cs="Century Gothic"/>
          <w:sz w:val="20"/>
          <w:szCs w:val="20"/>
          <w:lang w:val="es-ES"/>
        </w:rPr>
        <w:t xml:space="preserve">1. Si, en los procesos de arrendamiento de bienes inmuebles de propiedad estatal destinados al uso o aprovechamiento comercial, debe adelantarse un procedimiento de selección objetiva que asegure la pluralidad de oferentes; o </w:t>
      </w:r>
    </w:p>
    <w:p w14:paraId="1BED9361" w14:textId="77777777" w:rsidR="006D7DAE" w:rsidRDefault="006D7DAE" w:rsidP="006D7DAE">
      <w:pPr>
        <w:spacing w:after="120" w:line="240" w:lineRule="auto"/>
        <w:ind w:left="709" w:right="709"/>
        <w:jc w:val="both"/>
        <w:rPr>
          <w:rFonts w:ascii="Verdana" w:eastAsia="Century Gothic" w:hAnsi="Verdana" w:cs="Century Gothic"/>
          <w:sz w:val="20"/>
          <w:szCs w:val="20"/>
          <w:lang w:val="es-ES"/>
        </w:rPr>
      </w:pPr>
      <w:r w:rsidRPr="00472E41">
        <w:rPr>
          <w:rFonts w:ascii="Verdana" w:eastAsia="Century Gothic" w:hAnsi="Verdana" w:cs="Century Gothic"/>
          <w:sz w:val="20"/>
          <w:szCs w:val="20"/>
          <w:lang w:val="es-ES"/>
        </w:rPr>
        <w:lastRenderedPageBreak/>
        <w:t xml:space="preserve">2. Si la Entidad, en virtud de su autonomía administrativa y de la naturaleza patrimonial del contrato, puede </w:t>
      </w:r>
      <w:proofErr w:type="gramStart"/>
      <w:r w:rsidRPr="00472E41">
        <w:rPr>
          <w:rFonts w:ascii="Verdana" w:eastAsia="Century Gothic" w:hAnsi="Verdana" w:cs="Century Gothic"/>
          <w:sz w:val="20"/>
          <w:szCs w:val="20"/>
          <w:lang w:val="es-ES"/>
        </w:rPr>
        <w:t>proceder a celebrar</w:t>
      </w:r>
      <w:proofErr w:type="gramEnd"/>
      <w:r w:rsidRPr="00472E41">
        <w:rPr>
          <w:rFonts w:ascii="Verdana" w:eastAsia="Century Gothic" w:hAnsi="Verdana" w:cs="Century Gothic"/>
          <w:sz w:val="20"/>
          <w:szCs w:val="20"/>
          <w:lang w:val="es-ES"/>
        </w:rPr>
        <w:t xml:space="preserve"> el arrendamiento de manera directa.</w:t>
      </w:r>
    </w:p>
    <w:p w14:paraId="043BBC25" w14:textId="77777777" w:rsidR="006D7DAE" w:rsidRPr="00472E41" w:rsidRDefault="006D7DAE" w:rsidP="006D7DAE">
      <w:pPr>
        <w:spacing w:after="0" w:line="240" w:lineRule="auto"/>
        <w:ind w:left="709" w:right="709"/>
        <w:jc w:val="both"/>
        <w:rPr>
          <w:rFonts w:ascii="Verdana" w:eastAsia="Century Gothic" w:hAnsi="Verdana" w:cs="Century Gothic"/>
          <w:sz w:val="20"/>
          <w:szCs w:val="20"/>
          <w:lang w:val="es-ES"/>
        </w:rPr>
      </w:pPr>
      <w:r w:rsidRPr="00472E41">
        <w:rPr>
          <w:rFonts w:ascii="Verdana" w:eastAsia="Century Gothic" w:hAnsi="Verdana" w:cs="Century Gothic"/>
          <w:sz w:val="20"/>
          <w:szCs w:val="20"/>
          <w:lang w:val="es-ES"/>
        </w:rPr>
        <w:t>De manera complementaria, se agradecerá indicar si esa Agencia ha emitido lineamientos, conceptos o directrices vigentes que regulen situaciones análogas, o</w:t>
      </w:r>
      <w:r>
        <w:rPr>
          <w:rFonts w:ascii="Verdana" w:eastAsia="Century Gothic" w:hAnsi="Verdana" w:cs="Century Gothic"/>
          <w:sz w:val="20"/>
          <w:szCs w:val="20"/>
          <w:lang w:val="es-ES"/>
        </w:rPr>
        <w:t xml:space="preserve"> </w:t>
      </w:r>
      <w:r w:rsidRPr="00472E41">
        <w:rPr>
          <w:rFonts w:ascii="Verdana" w:eastAsia="Century Gothic" w:hAnsi="Verdana" w:cs="Century Gothic"/>
          <w:sz w:val="20"/>
          <w:szCs w:val="20"/>
          <w:lang w:val="es-ES"/>
        </w:rPr>
        <w:t>si se encuentra en curso alguna iniciativa normativa que desarrolle de forma expresa este tipo de actuaciones contractuales</w:t>
      </w:r>
      <w:r w:rsidRPr="006623D1">
        <w:rPr>
          <w:rFonts w:ascii="Verdana" w:eastAsia="Century Gothic" w:hAnsi="Verdana" w:cs="Century Gothic"/>
          <w:sz w:val="20"/>
          <w:szCs w:val="20"/>
          <w:lang w:val="es-ES"/>
        </w:rPr>
        <w:t>”.</w:t>
      </w:r>
      <w:r>
        <w:rPr>
          <w:rFonts w:ascii="Verdana" w:eastAsia="Century Gothic" w:hAnsi="Verdana" w:cs="Century Gothic"/>
          <w:sz w:val="20"/>
          <w:szCs w:val="20"/>
          <w:lang w:val="es-ES"/>
        </w:rPr>
        <w:t xml:space="preserve"> </w:t>
      </w:r>
    </w:p>
    <w:p w14:paraId="02AD8AFF" w14:textId="77777777" w:rsidR="006D7DAE" w:rsidRPr="008E6AD9" w:rsidRDefault="006D7DAE" w:rsidP="006D7DAE">
      <w:pPr>
        <w:pStyle w:val="Prrafodelista"/>
        <w:tabs>
          <w:tab w:val="left" w:pos="142"/>
          <w:tab w:val="left" w:pos="284"/>
        </w:tabs>
        <w:spacing w:after="0" w:line="276" w:lineRule="auto"/>
        <w:ind w:left="0"/>
        <w:jc w:val="both"/>
        <w:rPr>
          <w:rFonts w:ascii="Verdana" w:eastAsia="Century Gothic" w:hAnsi="Verdana" w:cs="Century Gothic"/>
          <w:b/>
          <w:bCs/>
        </w:rPr>
      </w:pPr>
    </w:p>
    <w:p w14:paraId="56BA0AEA" w14:textId="77777777" w:rsidR="006D7DAE" w:rsidRPr="00A652FF" w:rsidRDefault="006D7DAE" w:rsidP="006D7DAE">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3A418847" w14:textId="77777777" w:rsidR="006D7DAE" w:rsidRDefault="006D7DAE" w:rsidP="006D7DAE">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7F15F164" w14:textId="77777777" w:rsidR="006D7DAE" w:rsidRPr="00593A5F" w:rsidRDefault="006D7DAE" w:rsidP="006D7DAE">
      <w:pPr>
        <w:spacing w:after="0" w:line="276" w:lineRule="auto"/>
        <w:ind w:firstLine="709"/>
        <w:jc w:val="both"/>
        <w:rPr>
          <w:rFonts w:ascii="Verdana" w:eastAsia="Calibri" w:hAnsi="Verdana" w:cs="Arial"/>
          <w:color w:val="000000"/>
          <w:lang w:val="es-ES" w:eastAsia="es-ES"/>
        </w:rPr>
      </w:pPr>
    </w:p>
    <w:p w14:paraId="07DA9539" w14:textId="77777777" w:rsidR="006D7DAE" w:rsidRPr="00593A5F" w:rsidRDefault="006D7DAE" w:rsidP="006D7DAE">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679B63FA" w14:textId="77777777" w:rsidR="006D7DAE" w:rsidRPr="00593A5F" w:rsidRDefault="006D7DAE" w:rsidP="006D7DAE">
      <w:pPr>
        <w:tabs>
          <w:tab w:val="left" w:pos="426"/>
        </w:tabs>
        <w:spacing w:after="0" w:line="276" w:lineRule="auto"/>
        <w:jc w:val="both"/>
        <w:rPr>
          <w:rFonts w:ascii="Verdana" w:eastAsia="Century Gothic" w:hAnsi="Verdana" w:cs="Century Gothic"/>
          <w:lang w:val="es-ES"/>
        </w:rPr>
      </w:pPr>
    </w:p>
    <w:p w14:paraId="4F575778" w14:textId="77777777" w:rsidR="006D7DAE" w:rsidRPr="00593A5F" w:rsidRDefault="006D7DAE" w:rsidP="006D7DAE">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 problema jurídico:</w:t>
      </w:r>
      <w:r>
        <w:rPr>
          <w:rFonts w:ascii="Verdana" w:eastAsia="Century Gothic" w:hAnsi="Verdana" w:cs="Century Gothic"/>
        </w:rPr>
        <w:t xml:space="preserve"> ¿</w:t>
      </w:r>
      <w:r w:rsidRPr="00435775">
        <w:rPr>
          <w:rFonts w:ascii="Verdana" w:eastAsia="Century Gothic" w:hAnsi="Verdana" w:cs="Century Gothic"/>
        </w:rPr>
        <w:t>el literal i) del artículo 2.4 de la Ley 1150 de 2011</w:t>
      </w:r>
      <w:r>
        <w:rPr>
          <w:rFonts w:ascii="Verdana" w:eastAsia="Century Gothic" w:hAnsi="Verdana" w:cs="Century Gothic"/>
        </w:rPr>
        <w:t xml:space="preserve"> sólo permite la contratación directa cuando la entidad estatal es la arrendataria del bien inmueble?  </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64C374C7" w14:textId="77777777" w:rsidR="006D7DAE" w:rsidRPr="004B140F" w:rsidRDefault="006D7DAE" w:rsidP="006D7DAE">
      <w:pPr>
        <w:spacing w:after="0" w:line="276" w:lineRule="auto"/>
        <w:jc w:val="both"/>
        <w:rPr>
          <w:rFonts w:ascii="Verdana" w:eastAsia="Calibri" w:hAnsi="Verdana" w:cs="Arial"/>
          <w:color w:val="7030A0"/>
        </w:rPr>
      </w:pPr>
    </w:p>
    <w:p w14:paraId="3963DC7F" w14:textId="77777777" w:rsidR="006D7DAE" w:rsidRPr="00593A5F" w:rsidRDefault="006D7DAE" w:rsidP="006D7DA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470EC4AF" w14:textId="77777777" w:rsidR="006D7DAE" w:rsidRPr="00593A5F" w:rsidRDefault="006D7DAE" w:rsidP="006D7DAE">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D7DAE" w:rsidRPr="00593A5F" w14:paraId="0EA1BC0C" w14:textId="77777777" w:rsidTr="00CF2DA9">
        <w:trPr>
          <w:jc w:val="center"/>
        </w:trPr>
        <w:tc>
          <w:tcPr>
            <w:tcW w:w="8828" w:type="dxa"/>
          </w:tcPr>
          <w:p w14:paraId="1C9C5188" w14:textId="77777777" w:rsidR="006D7DAE" w:rsidRDefault="006D7DAE" w:rsidP="00746A61">
            <w:pPr>
              <w:spacing w:after="120" w:line="276" w:lineRule="auto"/>
              <w:jc w:val="both"/>
              <w:rPr>
                <w:rFonts w:ascii="Verdana" w:eastAsia="Times New Roman" w:hAnsi="Verdana" w:cs="Arial"/>
                <w:lang w:eastAsia="es-MX"/>
              </w:rPr>
            </w:pPr>
            <w:bookmarkStart w:id="1" w:name="_Hlk171694685"/>
            <w:r>
              <w:rPr>
                <w:rFonts w:ascii="Verdana" w:eastAsia="Calibri" w:hAnsi="Verdana" w:cs="Times New Roman"/>
                <w:iCs/>
                <w:lang w:val="es-ES"/>
              </w:rPr>
              <w:lastRenderedPageBreak/>
              <w:t xml:space="preserve">Conforme a la interpretación general de las normas del sistema de compras públicas, </w:t>
            </w:r>
            <w:r>
              <w:rPr>
                <w:rFonts w:ascii="Verdana" w:eastAsia="Times New Roman" w:hAnsi="Verdana" w:cs="Arial"/>
                <w:lang w:eastAsia="es-MX"/>
              </w:rPr>
              <w:t>el literal i) del artículo 2.4 de la Ley 1150 de 2011 permite la contratación directa tratándose de “</w:t>
            </w:r>
            <w:r w:rsidRPr="002835CA">
              <w:rPr>
                <w:rFonts w:ascii="Verdana" w:eastAsia="Times New Roman" w:hAnsi="Verdana" w:cs="Arial"/>
                <w:lang w:eastAsia="es-MX"/>
              </w:rPr>
              <w:t xml:space="preserve">El arrendamiento </w:t>
            </w:r>
            <w:r>
              <w:rPr>
                <w:rFonts w:ascii="Verdana" w:eastAsia="Times New Roman" w:hAnsi="Verdana" w:cs="Arial"/>
                <w:lang w:eastAsia="es-MX"/>
              </w:rPr>
              <w:t>[…]</w:t>
            </w:r>
            <w:r w:rsidRPr="002835CA">
              <w:rPr>
                <w:rFonts w:ascii="Verdana" w:eastAsia="Times New Roman" w:hAnsi="Verdana" w:cs="Arial"/>
                <w:lang w:eastAsia="es-MX"/>
              </w:rPr>
              <w:t xml:space="preserve"> de inmuebles</w:t>
            </w:r>
            <w:r>
              <w:rPr>
                <w:rFonts w:ascii="Verdana" w:eastAsia="Times New Roman" w:hAnsi="Verdana" w:cs="Arial"/>
                <w:lang w:eastAsia="es-MX"/>
              </w:rPr>
              <w:t xml:space="preserve">”. </w:t>
            </w:r>
            <w:r w:rsidRPr="00460F02">
              <w:rPr>
                <w:rFonts w:ascii="Verdana" w:eastAsia="Times New Roman" w:hAnsi="Verdana" w:cs="Arial"/>
                <w:lang w:eastAsia="es-MX"/>
              </w:rPr>
              <w:t>Esta causal hereda la tradición histórica de los artículos 31.7 y 43.6 de los derogados Decretos Leyes 150 de 1976 y 222 de 1983, pues también permitían la contratación directa “Cuando se tomen o den inmuebles en arrendamiento”. Así, a través de este contrato, las entidades públicas administran el patrimonio público o suplen necesidades para la prestación de sus servicios. En este contexto, pueden tener tanto la calidad de arrendadoras –cuando entregan el bien a un tercero– o de arrendatarias –cuando reciben su mera tenencia–.</w:t>
            </w:r>
            <w:r>
              <w:rPr>
                <w:rFonts w:ascii="Verdana" w:eastAsia="Times New Roman" w:hAnsi="Verdana" w:cs="Arial"/>
                <w:lang w:eastAsia="es-MX"/>
              </w:rPr>
              <w:t xml:space="preserve"> </w:t>
            </w:r>
          </w:p>
          <w:p w14:paraId="33F08DB9" w14:textId="77777777" w:rsidR="006D7DAE" w:rsidRPr="00460F02" w:rsidRDefault="006D7DAE" w:rsidP="00746A61">
            <w:pPr>
              <w:spacing w:line="276" w:lineRule="auto"/>
              <w:ind w:firstLine="708"/>
              <w:jc w:val="both"/>
              <w:rPr>
                <w:rFonts w:ascii="Verdana" w:eastAsia="Calibri" w:hAnsi="Verdana" w:cs="Arial"/>
                <w:lang w:val="es-ES"/>
              </w:rPr>
            </w:pPr>
            <w:r>
              <w:rPr>
                <w:rFonts w:ascii="Verdana" w:eastAsia="Calibri" w:hAnsi="Verdana" w:cs="Arial"/>
                <w:lang w:val="es-ES"/>
              </w:rPr>
              <w:t xml:space="preserve">Cuando </w:t>
            </w:r>
            <w:r w:rsidRPr="00F04E54">
              <w:rPr>
                <w:rFonts w:ascii="Verdana" w:eastAsia="Calibri" w:hAnsi="Verdana" w:cs="Arial"/>
                <w:lang w:val="es-ES"/>
              </w:rPr>
              <w:t>la entidad estatal actú</w:t>
            </w:r>
            <w:r>
              <w:rPr>
                <w:rFonts w:ascii="Verdana" w:eastAsia="Calibri" w:hAnsi="Verdana" w:cs="Arial"/>
                <w:lang w:val="es-ES"/>
              </w:rPr>
              <w:t>e</w:t>
            </w:r>
            <w:r w:rsidRPr="00F04E54">
              <w:rPr>
                <w:rFonts w:ascii="Verdana" w:eastAsia="Calibri" w:hAnsi="Verdana" w:cs="Arial"/>
                <w:lang w:val="es-ES"/>
              </w:rPr>
              <w:t xml:space="preserve"> como arrendadora </w:t>
            </w:r>
            <w:r>
              <w:rPr>
                <w:rFonts w:ascii="Verdana" w:eastAsia="Calibri" w:hAnsi="Verdana" w:cs="Arial"/>
                <w:lang w:val="es-ES"/>
              </w:rPr>
              <w:t xml:space="preserve">puede evaluar si es conveniente o no </w:t>
            </w:r>
            <w:r w:rsidRPr="00F04E54">
              <w:rPr>
                <w:rFonts w:ascii="Verdana" w:eastAsia="Calibri" w:hAnsi="Verdana" w:cs="Arial"/>
                <w:lang w:val="es-ES"/>
              </w:rPr>
              <w:t>adelantar una convocatoria pública</w:t>
            </w:r>
            <w:r>
              <w:rPr>
                <w:rFonts w:ascii="Verdana" w:eastAsia="Calibri" w:hAnsi="Verdana" w:cs="Arial"/>
                <w:lang w:val="es-ES"/>
              </w:rPr>
              <w:t xml:space="preserve"> en garantía del principio de libre concurrencia. Hacerlo no es obligatorio sino facultativo, pues lo cierto es que el EGCAP </w:t>
            </w:r>
            <w:r w:rsidRPr="000A5783">
              <w:rPr>
                <w:rFonts w:ascii="Verdana" w:eastAsia="Calibri" w:hAnsi="Verdana" w:cs="Arial"/>
                <w:lang w:val="es-ES"/>
              </w:rPr>
              <w:t>permite la contratación directa tratándose del arrendamiento de inmuebles</w:t>
            </w:r>
            <w:r>
              <w:rPr>
                <w:rFonts w:ascii="Verdana" w:eastAsia="Calibri" w:hAnsi="Verdana" w:cs="Arial"/>
                <w:lang w:val="es-ES"/>
              </w:rPr>
              <w:t>, al margen de la posición que asuma la entidad en el negocio. En todo caso, aquella</w:t>
            </w:r>
            <w:r w:rsidRPr="00682951">
              <w:rPr>
                <w:rFonts w:ascii="Verdana" w:eastAsia="Calibri" w:hAnsi="Verdana" w:cs="Arial"/>
                <w:lang w:val="es-ES"/>
              </w:rPr>
              <w:t xml:space="preserve"> es autónoma y</w:t>
            </w:r>
            <w:r>
              <w:rPr>
                <w:rFonts w:ascii="Verdana" w:eastAsia="Calibri" w:hAnsi="Verdana" w:cs="Arial"/>
                <w:lang w:val="es-ES"/>
              </w:rPr>
              <w:t xml:space="preserve"> </w:t>
            </w:r>
            <w:r w:rsidRPr="00682951">
              <w:rPr>
                <w:rFonts w:ascii="Verdana" w:eastAsia="Calibri" w:hAnsi="Verdana" w:cs="Arial"/>
                <w:lang w:val="es-ES"/>
              </w:rPr>
              <w:t>responsable de la estructuración de sus procesos de contratación, así como</w:t>
            </w:r>
            <w:r>
              <w:rPr>
                <w:rFonts w:ascii="Verdana" w:eastAsia="Calibri" w:hAnsi="Verdana" w:cs="Arial"/>
                <w:lang w:val="es-ES"/>
              </w:rPr>
              <w:t xml:space="preserve"> </w:t>
            </w:r>
            <w:r w:rsidRPr="00682951">
              <w:rPr>
                <w:rFonts w:ascii="Verdana" w:eastAsia="Calibri" w:hAnsi="Verdana" w:cs="Arial"/>
                <w:lang w:val="es-ES"/>
              </w:rPr>
              <w:t>determinar su necesidad y la modalidad de selección del contratista</w:t>
            </w:r>
            <w:r>
              <w:rPr>
                <w:rFonts w:ascii="Verdana" w:eastAsia="Calibri" w:hAnsi="Verdana" w:cs="Arial"/>
                <w:lang w:val="es-ES"/>
              </w:rPr>
              <w:t xml:space="preserve">. </w:t>
            </w:r>
          </w:p>
          <w:p w14:paraId="2E79B857" w14:textId="77777777" w:rsidR="006D7DAE" w:rsidRPr="001A09C8" w:rsidRDefault="006D7DAE" w:rsidP="00746A61">
            <w:pPr>
              <w:spacing w:before="120" w:line="276" w:lineRule="auto"/>
              <w:ind w:firstLine="737"/>
              <w:jc w:val="both"/>
              <w:rPr>
                <w:rFonts w:ascii="Verdana" w:eastAsia="Calibri" w:hAnsi="Verdana" w:cs="Arial"/>
                <w:bCs/>
                <w:color w:val="000000" w:themeColor="text1"/>
              </w:rPr>
            </w:pPr>
            <w:r w:rsidRPr="00E853DE">
              <w:rPr>
                <w:rFonts w:ascii="Verdana" w:eastAsia="Calibri" w:hAnsi="Verdana" w:cs="Arial"/>
                <w:bCs/>
                <w:color w:val="000000" w:themeColor="text1"/>
              </w:rPr>
              <w:t xml:space="preserve">Al margen de la explicación precedente debe advertirse que </w:t>
            </w:r>
            <w:r w:rsidRPr="001941FD">
              <w:rPr>
                <w:rStyle w:val="s15"/>
                <w:rFonts w:ascii="Verdana" w:hAnsi="Verdana"/>
                <w:color w:val="000000"/>
              </w:rPr>
              <w:t xml:space="preserve">el análisis requerido para resolver problemas específicos en torno </w:t>
            </w:r>
            <w:r>
              <w:rPr>
                <w:rStyle w:val="s15"/>
                <w:rFonts w:ascii="Verdana" w:hAnsi="Verdana"/>
                <w:color w:val="000000"/>
              </w:rPr>
              <w:t>a la gestión contractual</w:t>
            </w:r>
            <w:r w:rsidRPr="001941FD">
              <w:rPr>
                <w:rStyle w:val="s15"/>
                <w:rFonts w:ascii="Verdana" w:hAnsi="Verdana"/>
                <w:color w:val="000000"/>
              </w:rPr>
              <w:t xml:space="preserve"> debe ser realizado por quienes tengan interés en ello, de acuerdo con lo explicado la aclaración preliminar del presente oficio.</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r>
              <w:rPr>
                <w:rStyle w:val="s15"/>
                <w:rFonts w:ascii="Verdana" w:hAnsi="Verdana"/>
                <w:color w:val="000000"/>
              </w:rPr>
              <w:t xml:space="preserve"> Esto significa que</w:t>
            </w:r>
            <w:r w:rsidRPr="00925D18">
              <w:rPr>
                <w:rStyle w:val="s15"/>
                <w:rFonts w:ascii="Verdana" w:hAnsi="Verdana"/>
                <w:color w:val="000000"/>
              </w:rPr>
              <w:t>, fuera de la orientación del presente oficio, la ANCP – CCE carece de atribuciones normativas para desarrollar las actuaciones contractuales objeto de la solicitud.</w:t>
            </w:r>
          </w:p>
        </w:tc>
      </w:tr>
    </w:tbl>
    <w:p w14:paraId="6DB7D50D" w14:textId="77777777" w:rsidR="006D7DAE" w:rsidRPr="00593A5F" w:rsidRDefault="006D7DAE" w:rsidP="006D7DAE">
      <w:pPr>
        <w:tabs>
          <w:tab w:val="left" w:pos="142"/>
          <w:tab w:val="left" w:pos="284"/>
        </w:tabs>
        <w:spacing w:after="0" w:line="276" w:lineRule="auto"/>
        <w:jc w:val="both"/>
        <w:rPr>
          <w:rFonts w:ascii="Verdana" w:eastAsia="Century Gothic" w:hAnsi="Verdana" w:cs="Century Gothic"/>
          <w:b/>
          <w:bCs/>
          <w:lang w:val="es-ES"/>
        </w:rPr>
      </w:pPr>
    </w:p>
    <w:bookmarkEnd w:id="1"/>
    <w:p w14:paraId="40753282" w14:textId="77777777" w:rsidR="006D7DAE" w:rsidRPr="00593A5F" w:rsidRDefault="006D7DAE" w:rsidP="006D7DA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6B1F7685" w14:textId="77777777" w:rsidR="006D7DAE" w:rsidRPr="00593A5F" w:rsidRDefault="006D7DAE" w:rsidP="006D7DAE">
      <w:pPr>
        <w:spacing w:after="0" w:line="276" w:lineRule="auto"/>
        <w:jc w:val="both"/>
        <w:rPr>
          <w:rFonts w:ascii="Verdana" w:eastAsia="Calibri" w:hAnsi="Verdana" w:cs="Arial"/>
          <w:color w:val="7030A0"/>
          <w:lang w:val="es-ES"/>
        </w:rPr>
      </w:pPr>
    </w:p>
    <w:p w14:paraId="3112CF98" w14:textId="77777777" w:rsidR="006D7DAE" w:rsidRDefault="006D7DAE" w:rsidP="006D7DAE">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39B2B6B0" w14:textId="77777777" w:rsidR="006D7DAE" w:rsidRPr="00415608" w:rsidRDefault="006D7DAE" w:rsidP="006D7DAE">
      <w:pPr>
        <w:spacing w:after="0" w:line="276" w:lineRule="auto"/>
        <w:jc w:val="both"/>
        <w:rPr>
          <w:rFonts w:ascii="Verdana" w:eastAsia="Calibri" w:hAnsi="Verdana" w:cs="Arial"/>
          <w:lang w:val="es-ES"/>
        </w:rPr>
      </w:pPr>
    </w:p>
    <w:p w14:paraId="181747D2" w14:textId="77777777" w:rsidR="006D7DAE" w:rsidRPr="00666B6A" w:rsidRDefault="006D7DAE" w:rsidP="006D7DAE">
      <w:pPr>
        <w:spacing w:after="120" w:line="276" w:lineRule="auto"/>
        <w:jc w:val="both"/>
        <w:rPr>
          <w:rFonts w:ascii="Verdana" w:hAnsi="Verdana" w:cs="Arial"/>
          <w:lang w:val="es-ES"/>
        </w:rPr>
      </w:pPr>
      <w:r w:rsidRPr="00C35463">
        <w:rPr>
          <w:rFonts w:ascii="Verdana" w:hAnsi="Verdana" w:cs="Arial"/>
          <w:lang w:val="es-ES"/>
        </w:rPr>
        <w:t>i.</w:t>
      </w:r>
      <w:r w:rsidRPr="00666B6A">
        <w:rPr>
          <w:rFonts w:ascii="Verdana" w:hAnsi="Verdana" w:cs="Arial"/>
          <w:lang w:val="es-ES"/>
        </w:rPr>
        <w:t xml:space="preserve"> De acuerdo con el inciso final del artículo 150 superior, corresponde al Congreso de la República expedir el Estatuto General de Contratación de la Administración Pública y, en especial, de la Administración Nacional. Esta competencia fue ejercida con la expedición de la Ley 80 de 1993, la cual rige para las </w:t>
      </w:r>
      <w:r w:rsidRPr="00666B6A">
        <w:rPr>
          <w:rFonts w:ascii="Verdana" w:hAnsi="Verdana" w:cs="Arial"/>
          <w:i/>
          <w:iCs/>
          <w:lang w:val="es-ES"/>
        </w:rPr>
        <w:t>entidades estatales</w:t>
      </w:r>
      <w:r w:rsidRPr="00666B6A">
        <w:rPr>
          <w:rFonts w:ascii="Verdana" w:hAnsi="Verdana" w:cs="Arial"/>
          <w:lang w:val="es-ES"/>
        </w:rPr>
        <w:t xml:space="preserve">, esto es, aquellas previstas en los literales a) y b) del numeral 1 del artículo 2 </w:t>
      </w:r>
      <w:r w:rsidRPr="00666B6A">
        <w:rPr>
          <w:rFonts w:ascii="Verdana" w:hAnsi="Verdana" w:cs="Arial"/>
          <w:i/>
          <w:iCs/>
          <w:lang w:val="es-ES"/>
        </w:rPr>
        <w:t>ibidem</w:t>
      </w:r>
      <w:r w:rsidRPr="00666B6A">
        <w:rPr>
          <w:rFonts w:ascii="Verdana" w:hAnsi="Verdana" w:cs="Arial"/>
          <w:lang w:val="es-ES"/>
        </w:rPr>
        <w:t xml:space="preserve">. La norma citada define la competencia contractual en los siguientes términos: </w:t>
      </w:r>
    </w:p>
    <w:p w14:paraId="502AFA83" w14:textId="77777777" w:rsidR="006D7DAE" w:rsidRPr="00666B6A" w:rsidRDefault="006D7DAE" w:rsidP="006D7DAE">
      <w:pPr>
        <w:spacing w:after="120" w:line="276" w:lineRule="auto"/>
        <w:ind w:firstLine="708"/>
        <w:jc w:val="both"/>
        <w:rPr>
          <w:rFonts w:ascii="Verdana" w:hAnsi="Verdana" w:cs="Arial"/>
          <w:lang w:val="es-ES"/>
        </w:rPr>
      </w:pPr>
      <w:r w:rsidRPr="00666B6A">
        <w:rPr>
          <w:rFonts w:ascii="Verdana" w:hAnsi="Verdana" w:cs="Arial"/>
          <w:lang w:val="es-ES"/>
        </w:rPr>
        <w:t xml:space="preserve">El literal a) aplica a las entidades con personería jurídica. Alude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1BD94869" w14:textId="77777777" w:rsidR="006D7DAE" w:rsidRPr="00666B6A" w:rsidRDefault="006D7DAE" w:rsidP="006D7DAE">
      <w:pPr>
        <w:spacing w:after="120" w:line="276" w:lineRule="auto"/>
        <w:ind w:firstLine="708"/>
        <w:jc w:val="both"/>
        <w:rPr>
          <w:rFonts w:ascii="Verdana" w:hAnsi="Verdana" w:cs="Arial"/>
          <w:lang w:val="es-ES"/>
        </w:rPr>
      </w:pPr>
      <w:r w:rsidRPr="00666B6A">
        <w:rPr>
          <w:rFonts w:ascii="Verdana" w:hAnsi="Verdana" w:cs="Arial"/>
          <w:lang w:val="es-ES"/>
        </w:rPr>
        <w:t>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w:t>
      </w:r>
      <w:r>
        <w:rPr>
          <w:rFonts w:ascii="Verdana" w:hAnsi="Verdana" w:cs="Arial"/>
          <w:lang w:val="es-ES"/>
        </w:rPr>
        <w:t xml:space="preserve"> Ley</w:t>
      </w:r>
      <w:r w:rsidRPr="00666B6A">
        <w:rPr>
          <w:rFonts w:ascii="Verdana" w:hAnsi="Verdana" w:cs="Arial"/>
          <w:lang w:val="es-ES"/>
        </w:rPr>
        <w:t xml:space="preserve"> 111 de 1996, modificado por el artículo 124 de la Ley 1957 de 2019</w:t>
      </w:r>
      <w:r w:rsidRPr="00666B6A">
        <w:rPr>
          <w:rStyle w:val="Refdenotaalpie"/>
          <w:rFonts w:ascii="Verdana" w:hAnsi="Verdana" w:cs="Arial"/>
          <w:lang w:val="es-ES"/>
        </w:rPr>
        <w:footnoteReference w:id="2"/>
      </w:r>
      <w:r w:rsidRPr="00666B6A">
        <w:rPr>
          <w:rFonts w:ascii="Verdana" w:hAnsi="Verdana" w:cs="Arial"/>
          <w:lang w:val="es-ES"/>
        </w:rPr>
        <w:t xml:space="preserve">. </w:t>
      </w:r>
    </w:p>
    <w:p w14:paraId="79BBAF4B" w14:textId="77777777" w:rsidR="006D7DAE" w:rsidRPr="00666B6A" w:rsidRDefault="006D7DAE" w:rsidP="006D7DAE">
      <w:pPr>
        <w:spacing w:after="0" w:line="276" w:lineRule="auto"/>
        <w:ind w:firstLine="708"/>
        <w:jc w:val="both"/>
        <w:rPr>
          <w:rFonts w:ascii="Verdana" w:hAnsi="Verdana" w:cs="Arial"/>
          <w:bCs/>
          <w:lang w:val="es-MX"/>
        </w:rPr>
      </w:pPr>
      <w:r w:rsidRPr="00666B6A">
        <w:rPr>
          <w:rFonts w:ascii="Verdana" w:hAnsi="Verdana" w:cs="Arial"/>
          <w:lang w:val="es-ES"/>
        </w:rPr>
        <w:lastRenderedPageBreak/>
        <w:t xml:space="preserve">Para las entidades de los párrafos anteriores, sin perjuicio de las excepciones puntales a la aplicación del EGCAP, los procesos de selección se rigen por el artículo 2 de la Ley 1150 de 2007. El </w:t>
      </w:r>
      <w:r w:rsidRPr="00666B6A">
        <w:rPr>
          <w:rFonts w:ascii="Verdana" w:hAnsi="Verdana" w:cs="Arial"/>
          <w:bCs/>
          <w:lang w:val="es-MX"/>
        </w:rPr>
        <w:t xml:space="preserve">numeral uno, inciso primero, dispone que “La escogencia del contratista se efectuará por </w:t>
      </w:r>
      <w:r w:rsidRPr="00666B6A">
        <w:rPr>
          <w:rFonts w:ascii="Verdana" w:hAnsi="Verdana" w:cs="Arial"/>
          <w:bCs/>
          <w:i/>
          <w:iCs/>
          <w:lang w:val="es-MX"/>
        </w:rPr>
        <w:t>regla general</w:t>
      </w:r>
      <w:r w:rsidRPr="00666B6A">
        <w:rPr>
          <w:rFonts w:ascii="Verdana" w:hAnsi="Verdana" w:cs="Arial"/>
          <w:bCs/>
          <w:lang w:val="es-MX"/>
        </w:rPr>
        <w:t xml:space="preserve"> a través de licitación pública, con las </w:t>
      </w:r>
      <w:r w:rsidRPr="00666B6A">
        <w:rPr>
          <w:rFonts w:ascii="Verdana" w:hAnsi="Verdana" w:cs="Arial"/>
          <w:bCs/>
          <w:i/>
          <w:iCs/>
          <w:lang w:val="es-MX"/>
        </w:rPr>
        <w:t>excepciones</w:t>
      </w:r>
      <w:r w:rsidRPr="00666B6A">
        <w:rPr>
          <w:rFonts w:ascii="Verdana" w:hAnsi="Verdana" w:cs="Arial"/>
          <w:bCs/>
          <w:lang w:val="es-MX"/>
        </w:rPr>
        <w:t xml:space="preserve"> que se señalan en los numerales 2, 3 y 4 del presente artículo” (Énfasis fuera de texto), norma que sustituye el derogado numeral 1 del artículo 24 de la Ley 80 de 1993 sobre el principio de transparencia</w:t>
      </w:r>
      <w:r w:rsidRPr="00666B6A">
        <w:rPr>
          <w:rFonts w:ascii="Verdana" w:hAnsi="Verdana" w:cs="Arial"/>
          <w:bCs/>
          <w:vertAlign w:val="superscript"/>
          <w:lang w:val="es-MX"/>
        </w:rPr>
        <w:footnoteReference w:id="3"/>
      </w:r>
      <w:r w:rsidRPr="00666B6A">
        <w:rPr>
          <w:rFonts w:ascii="Verdana" w:hAnsi="Verdana" w:cs="Arial"/>
          <w:bCs/>
          <w:lang w:val="es-MX"/>
        </w:rPr>
        <w:t>. En este contexto, salvo norma especial que ordene la celebración del negocio jurídico por selección abreviada, concurso de méritos, mínima cuantía o contratación directa, debe aplicarse la regla general de licitación pública</w:t>
      </w:r>
      <w:r w:rsidRPr="00666B6A">
        <w:rPr>
          <w:rFonts w:ascii="Verdana" w:hAnsi="Verdana" w:cs="Arial"/>
          <w:bCs/>
          <w:vertAlign w:val="superscript"/>
          <w:lang w:val="es-MX"/>
        </w:rPr>
        <w:footnoteReference w:id="4"/>
      </w:r>
      <w:r w:rsidRPr="00666B6A">
        <w:rPr>
          <w:rFonts w:ascii="Verdana" w:hAnsi="Verdana" w:cs="Arial"/>
          <w:bCs/>
          <w:lang w:val="es-MX"/>
        </w:rPr>
        <w:t>.</w:t>
      </w:r>
    </w:p>
    <w:p w14:paraId="3040D791" w14:textId="77777777" w:rsidR="006D7DAE" w:rsidRPr="00666B6A" w:rsidRDefault="006D7DAE" w:rsidP="006D7DAE">
      <w:pPr>
        <w:spacing w:after="0" w:line="276" w:lineRule="auto"/>
        <w:jc w:val="both"/>
        <w:rPr>
          <w:rFonts w:ascii="Verdana" w:hAnsi="Verdana" w:cs="Arial"/>
          <w:bCs/>
          <w:lang w:val="es-MX"/>
        </w:rPr>
      </w:pPr>
    </w:p>
    <w:p w14:paraId="429AB12A" w14:textId="77777777" w:rsidR="006D7DAE" w:rsidRPr="00666B6A" w:rsidRDefault="006D7DAE" w:rsidP="006D7DAE">
      <w:pPr>
        <w:spacing w:after="0" w:line="276" w:lineRule="auto"/>
        <w:jc w:val="both"/>
        <w:rPr>
          <w:rFonts w:ascii="Verdana" w:eastAsia="Arial" w:hAnsi="Verdana" w:cs="Arial"/>
          <w:color w:val="000000"/>
          <w:lang w:val="es-ES"/>
        </w:rPr>
      </w:pPr>
      <w:r w:rsidRPr="00C35463">
        <w:rPr>
          <w:rFonts w:ascii="Verdana" w:eastAsia="Calibri" w:hAnsi="Verdana" w:cs="Arial"/>
          <w:lang w:val="es-MX"/>
        </w:rPr>
        <w:t>ii.</w:t>
      </w:r>
      <w:r>
        <w:rPr>
          <w:rFonts w:ascii="Verdana" w:eastAsia="Calibri" w:hAnsi="Verdana" w:cs="Arial"/>
          <w:lang w:val="es-MX"/>
        </w:rPr>
        <w:t xml:space="preserve"> </w:t>
      </w:r>
      <w:r w:rsidRPr="00666B6A">
        <w:rPr>
          <w:rFonts w:ascii="Verdana" w:hAnsi="Verdana" w:cs="Arial"/>
          <w:bCs/>
          <w:lang w:val="es-MX"/>
        </w:rPr>
        <w:t>E</w:t>
      </w:r>
      <w:r w:rsidRPr="00666B6A">
        <w:rPr>
          <w:rFonts w:ascii="Verdana" w:hAnsi="Verdana" w:cs="Arial"/>
          <w:bCs/>
        </w:rPr>
        <w:t xml:space="preserve">l contrato estatal se identifica por el criterio orgánico o subjetivo, de manera que –como explica el Consejo de Estado– el “[…] </w:t>
      </w:r>
      <w:r w:rsidRPr="00666B6A">
        <w:rPr>
          <w:rFonts w:ascii="Verdana" w:eastAsia="Arial" w:hAnsi="Verdana" w:cs="Arial"/>
          <w:color w:val="000000"/>
          <w:lang w:val="es-ES"/>
        </w:rPr>
        <w:t>elemento esencial para calificar de estatal un contrato, es que haya sido celebrado por una entidad estatal, es decir, una entidad pública con capacidad legal para celebrarlo […]”</w:t>
      </w:r>
      <w:r w:rsidRPr="00666B6A">
        <w:rPr>
          <w:rFonts w:ascii="Verdana" w:eastAsia="Arial" w:hAnsi="Verdana" w:cs="Arial"/>
          <w:color w:val="000000"/>
          <w:vertAlign w:val="superscript"/>
          <w:lang w:val="es-ES"/>
        </w:rPr>
        <w:footnoteReference w:id="5"/>
      </w:r>
      <w:r w:rsidRPr="00666B6A">
        <w:rPr>
          <w:rFonts w:ascii="Verdana" w:eastAsia="Arial" w:hAnsi="Verdana" w:cs="Arial"/>
          <w:color w:val="000000"/>
          <w:lang w:val="es-ES"/>
        </w:rPr>
        <w:t>.</w:t>
      </w:r>
      <w:r w:rsidRPr="00666B6A">
        <w:rPr>
          <w:rFonts w:ascii="Verdana" w:hAnsi="Verdana" w:cs="Arial"/>
          <w:bCs/>
          <w:lang w:val="es-ES"/>
        </w:rPr>
        <w:t xml:space="preserve"> </w:t>
      </w:r>
      <w:r w:rsidRPr="00666B6A">
        <w:rPr>
          <w:rFonts w:ascii="Verdana" w:eastAsia="Arial" w:hAnsi="Verdana" w:cs="Arial"/>
          <w:color w:val="000000"/>
          <w:lang w:val="es-ES"/>
        </w:rPr>
        <w:t xml:space="preserve">Por tanto, es el acto jurídico creador de obligaciones a cuya celebración concurra una de </w:t>
      </w:r>
      <w:r w:rsidRPr="00666B6A">
        <w:rPr>
          <w:rFonts w:ascii="Verdana" w:eastAsia="Arial" w:hAnsi="Verdana" w:cs="Arial"/>
          <w:color w:val="000000"/>
          <w:lang w:val="es-ES"/>
        </w:rPr>
        <w:lastRenderedPageBreak/>
        <w:t>entidades estatal, independientemente de que se trate de contratos previstos o tipificados en el derecho privado, en disposiciones especiales o que resulten del ejercicio de la autonomía de la voluntad, como sucede con los que se clasifican como atípicos e innominados</w:t>
      </w:r>
      <w:r w:rsidRPr="00666B6A">
        <w:rPr>
          <w:rFonts w:ascii="Verdana" w:eastAsia="Arial" w:hAnsi="Verdana" w:cs="Arial"/>
          <w:color w:val="000000"/>
          <w:vertAlign w:val="superscript"/>
          <w:lang w:val="es-ES"/>
        </w:rPr>
        <w:footnoteReference w:id="6"/>
      </w:r>
      <w:r w:rsidRPr="00666B6A">
        <w:rPr>
          <w:rFonts w:ascii="Verdana" w:eastAsia="Arial" w:hAnsi="Verdana" w:cs="Arial"/>
          <w:color w:val="000000"/>
          <w:lang w:val="es-ES"/>
        </w:rPr>
        <w:t>. Conforme con lo anterior, el contrato estatal es un acuerdo de voluntades efectuado por las entidades públicas que genera, extingue o modifica obligaciones para quienes lo suscriben, cuya celebración no se encuentra limitada, de forma exclusiva, a las entidades referidas en la Ley 80 de 1993, sino que, puede ser suscrito por entidades públicas con regímenes especiales de contratación, caso en el cual se tratará de un contrato estatal de régimen exceptuado</w:t>
      </w:r>
      <w:r w:rsidRPr="00666B6A">
        <w:rPr>
          <w:rStyle w:val="Refdenotaalpie"/>
          <w:rFonts w:ascii="Verdana" w:eastAsia="Arial" w:hAnsi="Verdana" w:cs="Arial"/>
          <w:color w:val="000000"/>
          <w:lang w:val="es-ES"/>
        </w:rPr>
        <w:footnoteReference w:id="7"/>
      </w:r>
      <w:r w:rsidRPr="00666B6A">
        <w:rPr>
          <w:rFonts w:ascii="Verdana" w:eastAsia="Arial" w:hAnsi="Verdana" w:cs="Arial"/>
          <w:color w:val="000000"/>
          <w:lang w:val="es-ES"/>
        </w:rPr>
        <w:t xml:space="preserve">. </w:t>
      </w:r>
    </w:p>
    <w:p w14:paraId="438B69C8" w14:textId="77777777" w:rsidR="006D7DAE" w:rsidRPr="00666B6A" w:rsidRDefault="006D7DAE" w:rsidP="006D7DAE">
      <w:pPr>
        <w:spacing w:after="0" w:line="276" w:lineRule="auto"/>
        <w:jc w:val="both"/>
        <w:rPr>
          <w:rFonts w:ascii="Verdana" w:eastAsia="Arial" w:hAnsi="Verdana" w:cs="Arial"/>
          <w:color w:val="000000"/>
          <w:lang w:val="es-ES"/>
        </w:rPr>
      </w:pPr>
    </w:p>
    <w:p w14:paraId="5665E91C" w14:textId="77777777" w:rsidR="006D7DAE" w:rsidRPr="00666B6A" w:rsidRDefault="006D7DAE" w:rsidP="006D7DAE">
      <w:pPr>
        <w:spacing w:after="120" w:line="276" w:lineRule="auto"/>
        <w:jc w:val="both"/>
        <w:rPr>
          <w:rFonts w:ascii="Verdana" w:hAnsi="Verdana" w:cs="Arial"/>
        </w:rPr>
      </w:pPr>
      <w:proofErr w:type="spellStart"/>
      <w:r w:rsidRPr="00C35463">
        <w:rPr>
          <w:rFonts w:ascii="Verdana" w:eastAsia="Arial" w:hAnsi="Verdana" w:cs="Arial"/>
          <w:color w:val="000000"/>
          <w:lang w:val="es-ES"/>
        </w:rPr>
        <w:t>iii</w:t>
      </w:r>
      <w:proofErr w:type="spellEnd"/>
      <w:r w:rsidRPr="00C35463">
        <w:rPr>
          <w:rFonts w:ascii="Verdana" w:eastAsia="Arial" w:hAnsi="Verdana" w:cs="Arial"/>
          <w:color w:val="000000"/>
          <w:lang w:val="es-ES"/>
        </w:rPr>
        <w:t>.</w:t>
      </w:r>
      <w:r w:rsidRPr="00666B6A">
        <w:rPr>
          <w:rFonts w:ascii="Verdana" w:eastAsia="Arial" w:hAnsi="Verdana" w:cs="Arial"/>
          <w:color w:val="000000"/>
          <w:lang w:val="es-ES"/>
        </w:rPr>
        <w:t xml:space="preserve"> </w:t>
      </w:r>
      <w:r w:rsidRPr="00666B6A">
        <w:rPr>
          <w:rFonts w:ascii="Verdana" w:eastAsia="Calibri" w:hAnsi="Verdana" w:cs="Arial"/>
          <w:lang w:val="es-ES"/>
        </w:rPr>
        <w:t xml:space="preserve">Tratándose de las entidades sometidas a la Ley 80 de 1993, el Estatuto General de Contratación de la Administración Pública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666B6A">
        <w:rPr>
          <w:rFonts w:ascii="Verdana" w:hAnsi="Verdana" w:cs="Arial"/>
        </w:rPr>
        <w:t xml:space="preserve">el inciso primero del artículo 13 dispone que “Los contratos que celebren las entidades a que se refiere el artículo 2o. del presente estatuto se regirán por las disposiciones comerciales y civiles pertinentes, salvo en las materias particularmente reguladas en esta ley”. </w:t>
      </w:r>
    </w:p>
    <w:p w14:paraId="1EACADA4" w14:textId="77777777" w:rsidR="006D7DAE" w:rsidRDefault="006D7DAE" w:rsidP="006D7DAE">
      <w:pPr>
        <w:spacing w:after="0" w:line="276" w:lineRule="auto"/>
        <w:ind w:firstLine="709"/>
        <w:jc w:val="both"/>
        <w:rPr>
          <w:rFonts w:ascii="Verdana" w:hAnsi="Verdana" w:cs="Arial"/>
        </w:rPr>
      </w:pPr>
      <w:r w:rsidRPr="00666B6A">
        <w:rPr>
          <w:rFonts w:ascii="Verdana" w:hAnsi="Verdana" w:cs="Arial"/>
        </w:rPr>
        <w:t xml:space="preserve">Dicha idea también se reitera en el EGCAP considerando que “Son contratos estatales todos los actos jurídicos generadores de obligaciones que celebren las entidades a que se refiere el presente estatuto, previstos en el </w:t>
      </w:r>
      <w:r w:rsidRPr="00666B6A">
        <w:rPr>
          <w:rFonts w:ascii="Verdana" w:hAnsi="Verdana" w:cs="Arial"/>
        </w:rPr>
        <w:lastRenderedPageBreak/>
        <w:t>derecho privado o en disposiciones especiales, o derivados del ejercicio de la autonomía de la voluntad” –art. 32, inciso primero–. Asimismo, dispone que “Las estipulaciones de los contratos serán las que de acuerdo con las normas civiles, comerciales y las previstas en esta ley, correspondan a su esencia y naturaleza” –art. 40, inciso primero–.</w:t>
      </w:r>
    </w:p>
    <w:p w14:paraId="618E3794" w14:textId="77777777" w:rsidR="006D7DAE" w:rsidRPr="00666B6A" w:rsidRDefault="006D7DAE" w:rsidP="006D7DAE">
      <w:pPr>
        <w:spacing w:after="0" w:line="276" w:lineRule="auto"/>
        <w:ind w:firstLine="709"/>
        <w:jc w:val="both"/>
        <w:rPr>
          <w:rFonts w:ascii="Verdana" w:hAnsi="Verdana" w:cs="Arial"/>
        </w:rPr>
      </w:pPr>
    </w:p>
    <w:p w14:paraId="27F72227" w14:textId="77777777" w:rsidR="006D7DAE" w:rsidRPr="00666B6A" w:rsidRDefault="006D7DAE" w:rsidP="006D7DAE">
      <w:pPr>
        <w:spacing w:after="0" w:line="276" w:lineRule="auto"/>
        <w:jc w:val="both"/>
        <w:rPr>
          <w:rFonts w:ascii="Verdana" w:hAnsi="Verdana" w:cs="Arial"/>
        </w:rPr>
      </w:pPr>
      <w:proofErr w:type="spellStart"/>
      <w:r w:rsidRPr="00C35463">
        <w:rPr>
          <w:rFonts w:ascii="Verdana" w:hAnsi="Verdana" w:cs="Arial"/>
        </w:rPr>
        <w:t>iv</w:t>
      </w:r>
      <w:proofErr w:type="spellEnd"/>
      <w:r w:rsidRPr="00C35463">
        <w:rPr>
          <w:rFonts w:ascii="Verdana" w:hAnsi="Verdana" w:cs="Arial"/>
        </w:rPr>
        <w:t>.</w:t>
      </w:r>
      <w:r>
        <w:rPr>
          <w:rFonts w:ascii="Verdana" w:hAnsi="Verdana" w:cs="Arial"/>
        </w:rPr>
        <w:t xml:space="preserve"> </w:t>
      </w:r>
      <w:r w:rsidRPr="00666B6A">
        <w:rPr>
          <w:rFonts w:ascii="Verdana" w:hAnsi="Verdana" w:cs="Arial"/>
        </w:rPr>
        <w:t>De esta manera, los contratos de las entidades sometidas al Estatuto General de Contratación se rigen generalmente por el derecho privado y excepcionalmente por el derecho público, pues las normas civiles y comerciales son el derecho común de los contratos estatales</w:t>
      </w:r>
      <w:r w:rsidRPr="00666B6A">
        <w:rPr>
          <w:rStyle w:val="Refdenotaalpie"/>
          <w:rFonts w:ascii="Verdana" w:hAnsi="Verdana" w:cs="Arial"/>
        </w:rPr>
        <w:footnoteReference w:id="8"/>
      </w:r>
      <w:r w:rsidRPr="00666B6A">
        <w:rPr>
          <w:rFonts w:ascii="Verdana" w:hAnsi="Verdana" w:cs="Arial"/>
        </w:rPr>
        <w:t>. Para la doctrina, la mixtura del régimen contractual:</w:t>
      </w:r>
    </w:p>
    <w:p w14:paraId="4EE5EF89" w14:textId="77777777" w:rsidR="006D7DAE" w:rsidRPr="00666B6A" w:rsidRDefault="006D7DAE" w:rsidP="006D7DAE">
      <w:pPr>
        <w:spacing w:after="0" w:line="276" w:lineRule="auto"/>
        <w:ind w:firstLine="709"/>
        <w:jc w:val="both"/>
        <w:rPr>
          <w:rFonts w:ascii="Verdana" w:hAnsi="Verdana" w:cs="Arial"/>
        </w:rPr>
      </w:pPr>
    </w:p>
    <w:p w14:paraId="66232B8A" w14:textId="77777777" w:rsidR="006D7DAE" w:rsidRPr="00834D45" w:rsidRDefault="006D7DAE" w:rsidP="006D7DAE">
      <w:pPr>
        <w:spacing w:after="0" w:line="240" w:lineRule="auto"/>
        <w:ind w:left="709" w:right="709"/>
        <w:jc w:val="both"/>
        <w:rPr>
          <w:rFonts w:ascii="Verdana" w:hAnsi="Verdana" w:cs="Arial"/>
          <w:sz w:val="20"/>
          <w:szCs w:val="20"/>
        </w:rPr>
      </w:pPr>
      <w:r w:rsidRPr="00834D45">
        <w:rPr>
          <w:rFonts w:ascii="Verdana" w:hAnsi="Verdana" w:cs="Arial"/>
          <w:sz w:val="20"/>
          <w:szCs w:val="20"/>
        </w:rPr>
        <w:t>“[…] no hace otra cosa que aprovechar ciertos principios rectores de la contratación general que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6E4A45FD" w14:textId="77777777" w:rsidR="006D7DAE" w:rsidRPr="00CB68C5" w:rsidRDefault="006D7DAE" w:rsidP="006D7DAE">
      <w:pPr>
        <w:spacing w:after="0" w:line="240" w:lineRule="auto"/>
        <w:ind w:right="709"/>
        <w:jc w:val="both"/>
        <w:rPr>
          <w:rFonts w:ascii="Verdana" w:hAnsi="Verdana" w:cs="Arial"/>
          <w:sz w:val="12"/>
          <w:szCs w:val="12"/>
        </w:rPr>
      </w:pPr>
      <w:r w:rsidRPr="00CB68C5">
        <w:rPr>
          <w:rFonts w:ascii="Verdana" w:hAnsi="Verdana" w:cs="Arial"/>
          <w:sz w:val="21"/>
          <w:szCs w:val="21"/>
        </w:rPr>
        <w:tab/>
      </w:r>
    </w:p>
    <w:p w14:paraId="326BFA97" w14:textId="77777777" w:rsidR="006D7DAE" w:rsidRPr="00834D45" w:rsidRDefault="006D7DAE" w:rsidP="006D7DAE">
      <w:pPr>
        <w:spacing w:after="0" w:line="240" w:lineRule="auto"/>
        <w:ind w:left="709" w:right="709"/>
        <w:jc w:val="both"/>
        <w:rPr>
          <w:rFonts w:ascii="Verdana" w:hAnsi="Verdana" w:cs="Arial"/>
          <w:sz w:val="20"/>
          <w:szCs w:val="20"/>
        </w:rPr>
      </w:pPr>
      <w:r w:rsidRPr="00834D45">
        <w:rPr>
          <w:rFonts w:ascii="Verdana" w:hAnsi="Verdana" w:cs="Arial"/>
          <w:sz w:val="20"/>
          <w:szCs w:val="20"/>
        </w:rPr>
        <w:t>En otras palabras, extremos como los indicados no son ni de derecho público ni de derecho privado, sino, simplemente, de derecho propio, aplicables a toda relación contractual, con prescindencia de la naturaleza de los sujetos involucrados en la misma”</w:t>
      </w:r>
      <w:r w:rsidRPr="00834D45">
        <w:rPr>
          <w:rStyle w:val="Refdenotaalpie"/>
          <w:rFonts w:ascii="Verdana" w:hAnsi="Verdana" w:cs="Arial"/>
          <w:sz w:val="20"/>
          <w:szCs w:val="20"/>
        </w:rPr>
        <w:footnoteReference w:id="9"/>
      </w:r>
      <w:r w:rsidRPr="00834D45">
        <w:rPr>
          <w:rFonts w:ascii="Verdana" w:hAnsi="Verdana" w:cs="Arial"/>
          <w:sz w:val="20"/>
          <w:szCs w:val="20"/>
        </w:rPr>
        <w:t xml:space="preserve">. </w:t>
      </w:r>
    </w:p>
    <w:p w14:paraId="73793A1C" w14:textId="77777777" w:rsidR="006D7DAE" w:rsidRPr="00666B6A" w:rsidRDefault="006D7DAE" w:rsidP="006D7DAE">
      <w:pPr>
        <w:spacing w:after="0" w:line="276" w:lineRule="auto"/>
        <w:ind w:left="709" w:right="709"/>
        <w:jc w:val="both"/>
        <w:rPr>
          <w:rFonts w:ascii="Verdana" w:hAnsi="Verdana" w:cs="Arial"/>
        </w:rPr>
      </w:pPr>
    </w:p>
    <w:p w14:paraId="0CB73A6A" w14:textId="77777777" w:rsidR="006D7DAE" w:rsidRPr="00666B6A" w:rsidRDefault="006D7DAE" w:rsidP="006D7DAE">
      <w:pPr>
        <w:spacing w:after="0" w:line="276" w:lineRule="auto"/>
        <w:jc w:val="both"/>
        <w:rPr>
          <w:rFonts w:ascii="Verdana" w:hAnsi="Verdana" w:cs="Arial"/>
        </w:rPr>
      </w:pPr>
      <w:r w:rsidRPr="00666B6A">
        <w:rPr>
          <w:rFonts w:ascii="Verdana" w:hAnsi="Verdana" w:cs="Arial"/>
        </w:rPr>
        <w:tab/>
        <w:t xml:space="preserve">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w:t>
      </w:r>
      <w:r w:rsidRPr="00666B6A">
        <w:rPr>
          <w:rFonts w:ascii="Verdana" w:hAnsi="Verdana" w:cs="Arial"/>
        </w:rPr>
        <w:lastRenderedPageBreak/>
        <w:t>privado. Esta precisión es importante, porque el arrendamiento se encuentra tipificado en el Código Civil y allí se encuentra gran parte de su régimen jurídico, sin perjuicio de normas especiales sobre la materia.</w:t>
      </w:r>
    </w:p>
    <w:p w14:paraId="6C4899BF" w14:textId="77777777" w:rsidR="006D7DAE" w:rsidRPr="00666B6A" w:rsidRDefault="006D7DAE" w:rsidP="006D7DAE">
      <w:pPr>
        <w:spacing w:after="0" w:line="276" w:lineRule="auto"/>
        <w:jc w:val="both"/>
        <w:rPr>
          <w:rFonts w:ascii="Verdana" w:eastAsia="Arial" w:hAnsi="Verdana" w:cs="Arial"/>
          <w:color w:val="000000"/>
          <w:lang w:val="es-ES"/>
        </w:rPr>
      </w:pPr>
    </w:p>
    <w:p w14:paraId="383F18CB" w14:textId="77777777" w:rsidR="006D7DAE" w:rsidRPr="00666B6A" w:rsidRDefault="006D7DAE" w:rsidP="006D7DAE">
      <w:pPr>
        <w:pStyle w:val="Prrafodelista"/>
        <w:tabs>
          <w:tab w:val="left" w:pos="142"/>
          <w:tab w:val="left" w:pos="426"/>
        </w:tabs>
        <w:spacing w:after="120" w:line="276" w:lineRule="auto"/>
        <w:ind w:left="0"/>
        <w:jc w:val="both"/>
        <w:rPr>
          <w:rFonts w:ascii="Verdana" w:eastAsia="Calibri" w:hAnsi="Verdana" w:cs="Arial"/>
          <w:bCs/>
        </w:rPr>
      </w:pPr>
      <w:r w:rsidRPr="00C35463">
        <w:rPr>
          <w:rFonts w:ascii="Verdana" w:eastAsia="Arial" w:hAnsi="Verdana" w:cs="Arial"/>
          <w:color w:val="000000"/>
        </w:rPr>
        <w:t xml:space="preserve">v. </w:t>
      </w:r>
      <w:r w:rsidRPr="00C35463">
        <w:rPr>
          <w:rFonts w:ascii="Verdana" w:eastAsia="Calibri" w:hAnsi="Verdana" w:cs="Arial"/>
          <w:bCs/>
        </w:rPr>
        <w:t>El artículo 1973 del Código Civil define el arrendamiento como “[…] un</w:t>
      </w:r>
      <w:r w:rsidRPr="00666B6A">
        <w:rPr>
          <w:rFonts w:ascii="Verdana" w:eastAsia="Calibri" w:hAnsi="Verdana" w:cs="Arial"/>
          <w:bCs/>
        </w:rPr>
        <w:t xml:space="preserve"> contrato en que las dos partes se obligan recíprocamente, la una a conceder el goce de una cosa, o a ejecutar una obra o prestar un servicio, y la otra a pagar por este goce, obra o servicio un precio determinado”. Se trata pues del acuerdo de voluntades en virtud del cual una de las partes –llamada arrendador– se obliga a concederle a otra –llamada arrendatario– el uso y goce de un bien, a cambio de una renta o canon</w:t>
      </w:r>
      <w:r w:rsidRPr="00666B6A">
        <w:rPr>
          <w:rStyle w:val="Refdenotaalpie"/>
          <w:rFonts w:ascii="Verdana" w:eastAsia="Calibri" w:hAnsi="Verdana" w:cs="Arial"/>
          <w:bCs/>
        </w:rPr>
        <w:footnoteReference w:id="10"/>
      </w:r>
      <w:r w:rsidRPr="00666B6A">
        <w:rPr>
          <w:rFonts w:ascii="Verdana" w:eastAsia="Calibri" w:hAnsi="Verdana" w:cs="Arial"/>
          <w:bCs/>
        </w:rPr>
        <w:t>. Por tanto, se diferencia del contrato de compraventa en que no opera una transferencia del dominio del bien cuyo uso y goce se entrega.</w:t>
      </w:r>
    </w:p>
    <w:p w14:paraId="67A6E681" w14:textId="77777777" w:rsidR="006D7DAE" w:rsidRDefault="006D7DAE" w:rsidP="006D7DAE">
      <w:pPr>
        <w:spacing w:after="0" w:line="276" w:lineRule="auto"/>
        <w:ind w:firstLine="709"/>
        <w:jc w:val="both"/>
        <w:rPr>
          <w:rFonts w:ascii="Verdana" w:eastAsia="Calibri" w:hAnsi="Verdana" w:cs="Arial"/>
          <w:bCs/>
          <w:lang w:val="es-ES"/>
        </w:rPr>
      </w:pPr>
      <w:r w:rsidRPr="00666B6A">
        <w:rPr>
          <w:rFonts w:ascii="Verdana" w:eastAsia="Calibri" w:hAnsi="Verdana" w:cs="Arial"/>
          <w:bCs/>
          <w:lang w:val="es-ES"/>
        </w:rPr>
        <w:t xml:space="preserve">En </w:t>
      </w:r>
      <w:r w:rsidRPr="00666B6A">
        <w:rPr>
          <w:rFonts w:ascii="Verdana" w:hAnsi="Verdana" w:cs="Arial"/>
          <w:lang w:val="es-ES"/>
        </w:rPr>
        <w:t>cuanto</w:t>
      </w:r>
      <w:r w:rsidRPr="00666B6A">
        <w:rPr>
          <w:rFonts w:ascii="Verdana" w:eastAsia="Calibri" w:hAnsi="Verdana" w:cs="Arial"/>
          <w:bCs/>
          <w:lang w:val="es-ES"/>
        </w:rPr>
        <w:t xml:space="preserve"> a sus características, la doctrina ha indicado que el arrendamiento es un contrato: i) bilateral, pues ambas partes se obligan recíprocamente; </w:t>
      </w:r>
      <w:proofErr w:type="spellStart"/>
      <w:r w:rsidRPr="00666B6A">
        <w:rPr>
          <w:rFonts w:ascii="Verdana" w:eastAsia="Calibri" w:hAnsi="Verdana" w:cs="Arial"/>
          <w:bCs/>
          <w:lang w:val="es-ES"/>
        </w:rPr>
        <w:t>ii</w:t>
      </w:r>
      <w:proofErr w:type="spellEnd"/>
      <w:r w:rsidRPr="00666B6A">
        <w:rPr>
          <w:rFonts w:ascii="Verdana" w:eastAsia="Calibri" w:hAnsi="Verdana" w:cs="Arial"/>
          <w:bCs/>
          <w:lang w:val="es-ES"/>
        </w:rPr>
        <w:t>) consensual, dado que se perfecciona con el consentimiento</w:t>
      </w:r>
      <w:r w:rsidRPr="00666B6A">
        <w:rPr>
          <w:rStyle w:val="Refdenotaalpie"/>
          <w:rFonts w:ascii="Verdana" w:eastAsia="Calibri" w:hAnsi="Verdana" w:cs="Arial"/>
          <w:bCs/>
          <w:lang w:val="es-ES"/>
        </w:rPr>
        <w:footnoteReference w:id="11"/>
      </w:r>
      <w:r w:rsidRPr="00666B6A">
        <w:rPr>
          <w:rFonts w:ascii="Verdana" w:eastAsia="Calibri" w:hAnsi="Verdana" w:cs="Arial"/>
          <w:bCs/>
          <w:lang w:val="es-ES"/>
        </w:rPr>
        <w:t xml:space="preserve">; </w:t>
      </w:r>
      <w:proofErr w:type="spellStart"/>
      <w:r w:rsidRPr="00666B6A">
        <w:rPr>
          <w:rFonts w:ascii="Verdana" w:eastAsia="Calibri" w:hAnsi="Verdana" w:cs="Arial"/>
          <w:bCs/>
          <w:lang w:val="es-ES"/>
        </w:rPr>
        <w:t>iii</w:t>
      </w:r>
      <w:proofErr w:type="spellEnd"/>
      <w:r w:rsidRPr="00666B6A">
        <w:rPr>
          <w:rFonts w:ascii="Verdana" w:eastAsia="Calibri" w:hAnsi="Verdana" w:cs="Arial"/>
          <w:bCs/>
          <w:lang w:val="es-ES"/>
        </w:rPr>
        <w:t xml:space="preserve">) oneroso, ya que ambas partes obtienen utilidades –el arrendatario, el uso y goce del bien, y el arrendador la renta o canon–; </w:t>
      </w:r>
      <w:proofErr w:type="spellStart"/>
      <w:r w:rsidRPr="00666B6A">
        <w:rPr>
          <w:rFonts w:ascii="Verdana" w:eastAsia="Calibri" w:hAnsi="Verdana" w:cs="Arial"/>
          <w:bCs/>
          <w:lang w:val="es-ES"/>
        </w:rPr>
        <w:t>iv</w:t>
      </w:r>
      <w:proofErr w:type="spellEnd"/>
      <w:r w:rsidRPr="00666B6A">
        <w:rPr>
          <w:rFonts w:ascii="Verdana" w:eastAsia="Calibri" w:hAnsi="Verdana" w:cs="Arial"/>
          <w:bCs/>
          <w:lang w:val="es-ES"/>
        </w:rPr>
        <w:t>) de ejecución sucesiva, en la medida en que se ejecuta en forma periódica; v) principal, porque existe en forma autónoma; y v) nominado, porque está tipificado y desarrollado en la ley</w:t>
      </w:r>
      <w:r w:rsidRPr="00666B6A">
        <w:rPr>
          <w:rStyle w:val="Refdenotaalpie"/>
          <w:rFonts w:ascii="Verdana" w:eastAsia="Calibri" w:hAnsi="Verdana" w:cs="Arial"/>
          <w:bCs/>
          <w:lang w:val="es-ES"/>
        </w:rPr>
        <w:footnoteReference w:id="12"/>
      </w:r>
      <w:r w:rsidRPr="00666B6A">
        <w:rPr>
          <w:rFonts w:ascii="Verdana" w:eastAsia="Calibri" w:hAnsi="Verdana" w:cs="Arial"/>
          <w:bCs/>
          <w:lang w:val="es-ES"/>
        </w:rPr>
        <w:t xml:space="preserve">. </w:t>
      </w:r>
    </w:p>
    <w:p w14:paraId="08E5DD00" w14:textId="77777777" w:rsidR="006D7DAE" w:rsidRPr="00666B6A" w:rsidRDefault="006D7DAE" w:rsidP="006D7DAE">
      <w:pPr>
        <w:spacing w:after="0" w:line="276" w:lineRule="auto"/>
        <w:ind w:firstLine="709"/>
        <w:jc w:val="both"/>
        <w:rPr>
          <w:rFonts w:ascii="Verdana" w:eastAsia="Calibri" w:hAnsi="Verdana" w:cs="Arial"/>
          <w:bCs/>
          <w:lang w:val="es-ES"/>
        </w:rPr>
      </w:pPr>
    </w:p>
    <w:p w14:paraId="755BFF52" w14:textId="77777777" w:rsidR="006D7DAE" w:rsidRPr="00C35463" w:rsidRDefault="006D7DAE" w:rsidP="006D7DAE">
      <w:pPr>
        <w:spacing w:after="120" w:line="276" w:lineRule="auto"/>
        <w:jc w:val="both"/>
        <w:rPr>
          <w:rFonts w:ascii="Verdana" w:hAnsi="Verdana" w:cs="Arial"/>
          <w:lang w:val="es-ES" w:eastAsia="es-MX"/>
        </w:rPr>
      </w:pPr>
      <w:r w:rsidRPr="00C35463">
        <w:rPr>
          <w:rFonts w:ascii="Verdana" w:eastAsia="Calibri" w:hAnsi="Verdana" w:cs="Arial"/>
          <w:lang w:val="es-ES"/>
        </w:rPr>
        <w:t xml:space="preserve">vi. Respecto los procedimientos de selección, </w:t>
      </w:r>
      <w:r w:rsidRPr="00C35463">
        <w:rPr>
          <w:rFonts w:ascii="Verdana" w:eastAsia="Times New Roman" w:hAnsi="Verdana" w:cs="Arial"/>
          <w:lang w:eastAsia="es-MX"/>
        </w:rPr>
        <w:t xml:space="preserve">la exposición de motivos de la Ley 1150 de 2007 señala las razones por las cuales se establecieron, pues “[…] las experiencias exitosas a nivel internacional demuestran que el criterio de distinción que debe gobernar un esquema contractual eficiente es el de modular </w:t>
      </w:r>
      <w:r w:rsidRPr="00C35463">
        <w:rPr>
          <w:rFonts w:ascii="Verdana" w:eastAsia="Times New Roman" w:hAnsi="Verdana" w:cs="Arial"/>
          <w:lang w:eastAsia="es-MX"/>
        </w:rPr>
        <w:lastRenderedPageBreak/>
        <w:t>las modalidades de selección en razón a las características del objeto”</w:t>
      </w:r>
      <w:r w:rsidRPr="00C35463">
        <w:rPr>
          <w:rFonts w:ascii="Verdana" w:eastAsia="Times New Roman" w:hAnsi="Verdana" w:cs="Arial"/>
          <w:vertAlign w:val="superscript"/>
          <w:lang w:eastAsia="es-MX"/>
        </w:rPr>
        <w:footnoteReference w:id="13"/>
      </w:r>
      <w:r w:rsidRPr="00C35463">
        <w:rPr>
          <w:rFonts w:ascii="Verdana" w:eastAsia="Times New Roman" w:hAnsi="Verdana" w:cs="Arial"/>
          <w:lang w:eastAsia="es-MX"/>
        </w:rPr>
        <w:t>.</w:t>
      </w:r>
      <w:r w:rsidRPr="00C35463">
        <w:rPr>
          <w:rFonts w:ascii="Verdana" w:hAnsi="Verdana" w:cs="Arial"/>
          <w:lang w:eastAsia="es-MX"/>
        </w:rPr>
        <w:t xml:space="preserve"> Así, las </w:t>
      </w:r>
      <w:r w:rsidRPr="00C35463">
        <w:rPr>
          <w:rFonts w:ascii="Verdana" w:eastAsia="Times New Roman" w:hAnsi="Verdana" w:cs="Arial"/>
          <w:lang w:eastAsia="es-MX"/>
        </w:rPr>
        <w:t xml:space="preserve">modalidades pueden dividirse en i) competitivas y </w:t>
      </w:r>
      <w:proofErr w:type="spellStart"/>
      <w:r w:rsidRPr="00C35463">
        <w:rPr>
          <w:rFonts w:ascii="Verdana" w:eastAsia="Times New Roman" w:hAnsi="Verdana" w:cs="Arial"/>
          <w:lang w:eastAsia="es-MX"/>
        </w:rPr>
        <w:t>ii</w:t>
      </w:r>
      <w:proofErr w:type="spellEnd"/>
      <w:r w:rsidRPr="00C35463">
        <w:rPr>
          <w:rFonts w:ascii="Verdana" w:eastAsia="Times New Roman" w:hAnsi="Verdana" w:cs="Arial"/>
          <w:lang w:eastAsia="es-MX"/>
        </w:rPr>
        <w:t>) no competitivas. Sobre el particular, la guía de competencia en las compras públicas de la Agencia Nacional de Contratación Pública – Colombia Compra Eficiente señala que “[…] la competencia, entendida como rivalidad efectiva entre empresas de un mismo mercado, incentiva la reducción de precios, el aumento de la calidad, la lucha contra la corrupción y la innovación por parte del sector privado”</w:t>
      </w:r>
      <w:r w:rsidRPr="00C35463">
        <w:rPr>
          <w:rFonts w:ascii="Verdana" w:eastAsia="Times New Roman" w:hAnsi="Verdana" w:cs="Arial"/>
          <w:vertAlign w:val="superscript"/>
          <w:lang w:eastAsia="es-MX"/>
        </w:rPr>
        <w:footnoteReference w:id="14"/>
      </w:r>
      <w:r w:rsidRPr="00C35463">
        <w:rPr>
          <w:rFonts w:ascii="Verdana" w:eastAsia="Times New Roman" w:hAnsi="Verdana" w:cs="Arial"/>
          <w:lang w:eastAsia="es-MX"/>
        </w:rPr>
        <w:t xml:space="preserve">. </w:t>
      </w:r>
    </w:p>
    <w:p w14:paraId="655EE113" w14:textId="77777777" w:rsidR="006D7DAE" w:rsidRPr="00C35463" w:rsidRDefault="006D7DAE" w:rsidP="006D7DAE">
      <w:pPr>
        <w:spacing w:after="120" w:line="276" w:lineRule="auto"/>
        <w:ind w:firstLine="709"/>
        <w:jc w:val="both"/>
        <w:rPr>
          <w:rFonts w:ascii="Verdana" w:eastAsia="Times New Roman" w:hAnsi="Verdana" w:cs="Arial"/>
          <w:lang w:eastAsia="es-MX"/>
        </w:rPr>
      </w:pPr>
      <w:r w:rsidRPr="00C35463">
        <w:rPr>
          <w:rFonts w:ascii="Verdana" w:eastAsia="Times New Roman" w:hAnsi="Verdana" w:cs="Arial"/>
          <w:lang w:eastAsia="es-MX"/>
        </w:rPr>
        <w:t>Por ejemplo, procesos como la licitación pública y el concurso de méritos son modalidades de selección abiertas a competencia, pues en ellas tiene lugar la participación de varios proponentes en una fase pública de presentación de ofertas. Esto permite que todas las personas interesadas concurran al proceso en igualdad de condiciones y compitan en el mismo. En contraste, la contratación directa es una modalidad no competitiva, es decir, no está abierta al público para que los proponentes presenten sus ofertas. En esta modalidad la entidad estatal determina, de forma directa y no pública, la persona que puede participar y que será seleccionada.</w:t>
      </w:r>
    </w:p>
    <w:p w14:paraId="03ED9283" w14:textId="77777777" w:rsidR="006D7DAE" w:rsidRPr="00C35463" w:rsidRDefault="006D7DAE" w:rsidP="006D7DAE">
      <w:pPr>
        <w:spacing w:after="0" w:line="276" w:lineRule="auto"/>
        <w:ind w:firstLine="708"/>
        <w:jc w:val="both"/>
        <w:rPr>
          <w:rFonts w:ascii="Verdana" w:eastAsia="Times New Roman" w:hAnsi="Verdana" w:cs="Arial"/>
          <w:lang w:eastAsia="es-MX"/>
        </w:rPr>
      </w:pPr>
      <w:r w:rsidRPr="00C35463">
        <w:rPr>
          <w:rFonts w:ascii="Verdana" w:eastAsia="Times New Roman" w:hAnsi="Verdana" w:cs="Arial"/>
          <w:lang w:eastAsia="es-MX"/>
        </w:rPr>
        <w:t>Lo expuesto se complementa con lo explicado por la Corte Constitucional en Sentencia C-713 de 2009, la cual estudió la constitucionalidad de los artículos 2 ‒parcial‒ y 5 ‒parcial‒ de la Ley 1150 de 2007. En esa decisi</w:t>
      </w:r>
      <w:r w:rsidRPr="00C35463">
        <w:rPr>
          <w:rFonts w:ascii="Verdana" w:eastAsia="Times New Roman" w:hAnsi="Verdana" w:cs="Century Gothic"/>
          <w:lang w:eastAsia="es-MX"/>
        </w:rPr>
        <w:t>ó</w:t>
      </w:r>
      <w:r w:rsidRPr="00C35463">
        <w:rPr>
          <w:rFonts w:ascii="Verdana" w:eastAsia="Times New Roman" w:hAnsi="Verdana" w:cs="Arial"/>
          <w:lang w:eastAsia="es-MX"/>
        </w:rPr>
        <w:t>n judicial se desarrollaron los principios de libre concurrencia y selecci</w:t>
      </w:r>
      <w:r w:rsidRPr="00C35463">
        <w:rPr>
          <w:rFonts w:ascii="Verdana" w:eastAsia="Times New Roman" w:hAnsi="Verdana" w:cs="Century Gothic"/>
          <w:lang w:eastAsia="es-MX"/>
        </w:rPr>
        <w:t>ó</w:t>
      </w:r>
      <w:r w:rsidRPr="00C35463">
        <w:rPr>
          <w:rFonts w:ascii="Verdana" w:eastAsia="Times New Roman" w:hAnsi="Verdana" w:cs="Arial"/>
          <w:lang w:eastAsia="es-MX"/>
        </w:rPr>
        <w:t>n objetiva en la contrataci</w:t>
      </w:r>
      <w:r w:rsidRPr="00C35463">
        <w:rPr>
          <w:rFonts w:ascii="Verdana" w:eastAsia="Times New Roman" w:hAnsi="Verdana" w:cs="Century Gothic"/>
          <w:lang w:eastAsia="es-MX"/>
        </w:rPr>
        <w:t>ó</w:t>
      </w:r>
      <w:r w:rsidRPr="00C35463">
        <w:rPr>
          <w:rFonts w:ascii="Verdana" w:eastAsia="Times New Roman" w:hAnsi="Verdana" w:cs="Arial"/>
          <w:lang w:eastAsia="es-MX"/>
        </w:rPr>
        <w:t>n p</w:t>
      </w:r>
      <w:r w:rsidRPr="00C35463">
        <w:rPr>
          <w:rFonts w:ascii="Verdana" w:eastAsia="Times New Roman" w:hAnsi="Verdana" w:cs="Century Gothic"/>
          <w:lang w:eastAsia="es-MX"/>
        </w:rPr>
        <w:t>ú</w:t>
      </w:r>
      <w:r w:rsidRPr="00C35463">
        <w:rPr>
          <w:rFonts w:ascii="Verdana" w:eastAsia="Times New Roman" w:hAnsi="Verdana" w:cs="Arial"/>
          <w:lang w:eastAsia="es-MX"/>
        </w:rPr>
        <w:t>blica, como expresiones del derecho a la igualdad de oportunidades para quienes tengan inter</w:t>
      </w:r>
      <w:r w:rsidRPr="00C35463">
        <w:rPr>
          <w:rFonts w:ascii="Verdana" w:eastAsia="Times New Roman" w:hAnsi="Verdana" w:cs="Century Gothic"/>
          <w:lang w:eastAsia="es-MX"/>
        </w:rPr>
        <w:t>é</w:t>
      </w:r>
      <w:r w:rsidRPr="00C35463">
        <w:rPr>
          <w:rFonts w:ascii="Verdana" w:eastAsia="Times New Roman" w:hAnsi="Verdana" w:cs="Arial"/>
          <w:lang w:eastAsia="es-MX"/>
        </w:rPr>
        <w:t>s en participar en la contrataci</w:t>
      </w:r>
      <w:r w:rsidRPr="00C35463">
        <w:rPr>
          <w:rFonts w:ascii="Verdana" w:eastAsia="Times New Roman" w:hAnsi="Verdana" w:cs="Century Gothic"/>
          <w:lang w:eastAsia="es-MX"/>
        </w:rPr>
        <w:t>ó</w:t>
      </w:r>
      <w:r w:rsidRPr="00C35463">
        <w:rPr>
          <w:rFonts w:ascii="Verdana" w:eastAsia="Times New Roman" w:hAnsi="Verdana" w:cs="Arial"/>
          <w:lang w:eastAsia="es-MX"/>
        </w:rPr>
        <w:t>n estatal. La materializaci</w:t>
      </w:r>
      <w:r w:rsidRPr="00C35463">
        <w:rPr>
          <w:rFonts w:ascii="Verdana" w:eastAsia="Times New Roman" w:hAnsi="Verdana" w:cs="Century Gothic"/>
          <w:lang w:eastAsia="es-MX"/>
        </w:rPr>
        <w:t>ó</w:t>
      </w:r>
      <w:r w:rsidRPr="00C35463">
        <w:rPr>
          <w:rFonts w:ascii="Verdana" w:eastAsia="Times New Roman" w:hAnsi="Verdana" w:cs="Arial"/>
          <w:lang w:eastAsia="es-MX"/>
        </w:rPr>
        <w:t>n de esos principios pretende que no exista discriminaci</w:t>
      </w:r>
      <w:r w:rsidRPr="00C35463">
        <w:rPr>
          <w:rFonts w:ascii="Verdana" w:eastAsia="Times New Roman" w:hAnsi="Verdana" w:cs="Century Gothic"/>
          <w:lang w:eastAsia="es-MX"/>
        </w:rPr>
        <w:t>ó</w:t>
      </w:r>
      <w:r w:rsidRPr="00C35463">
        <w:rPr>
          <w:rFonts w:ascii="Verdana" w:eastAsia="Times New Roman" w:hAnsi="Verdana" w:cs="Arial"/>
          <w:lang w:eastAsia="es-MX"/>
        </w:rPr>
        <w:t>n y que las entidades no impongan limitaciones a través de reglas que impidan la concurrencia para obtener mejores condiciones de contratación. Sin embargo, se admiten excepciones que busquen condiciones del contratista que sean favorables a los intereses del Estado y aseguren la transparencia del procedimiento como las inhabilidades e incompatibilidades</w:t>
      </w:r>
      <w:r w:rsidRPr="00C35463">
        <w:rPr>
          <w:rFonts w:ascii="Verdana" w:eastAsia="Times New Roman" w:hAnsi="Verdana" w:cs="Arial"/>
          <w:vertAlign w:val="superscript"/>
          <w:lang w:eastAsia="es-MX"/>
        </w:rPr>
        <w:footnoteReference w:id="15"/>
      </w:r>
      <w:r w:rsidRPr="00C35463">
        <w:rPr>
          <w:rFonts w:ascii="Verdana" w:eastAsia="Times New Roman" w:hAnsi="Verdana" w:cs="Arial"/>
          <w:lang w:eastAsia="es-MX"/>
        </w:rPr>
        <w:t>.</w:t>
      </w:r>
    </w:p>
    <w:p w14:paraId="4C1A61B0" w14:textId="77777777" w:rsidR="006D7DAE" w:rsidRPr="00C35463" w:rsidRDefault="006D7DAE" w:rsidP="006D7DAE">
      <w:pPr>
        <w:spacing w:after="0" w:line="276" w:lineRule="auto"/>
        <w:jc w:val="both"/>
        <w:rPr>
          <w:rFonts w:ascii="Verdana" w:eastAsia="Times New Roman" w:hAnsi="Verdana" w:cs="Arial"/>
          <w:lang w:eastAsia="es-MX"/>
        </w:rPr>
      </w:pPr>
    </w:p>
    <w:p w14:paraId="2B227C53" w14:textId="77777777" w:rsidR="006D7DAE" w:rsidRPr="00C35463" w:rsidRDefault="006D7DAE" w:rsidP="006D7DAE">
      <w:pPr>
        <w:spacing w:after="120" w:line="276" w:lineRule="auto"/>
        <w:jc w:val="both"/>
        <w:rPr>
          <w:rFonts w:ascii="Verdana" w:eastAsia="Times New Roman" w:hAnsi="Verdana" w:cs="Arial"/>
          <w:lang w:eastAsia="es-MX"/>
        </w:rPr>
      </w:pPr>
      <w:proofErr w:type="spellStart"/>
      <w:r w:rsidRPr="00C35463">
        <w:rPr>
          <w:rFonts w:ascii="Verdana" w:eastAsia="Times New Roman" w:hAnsi="Verdana" w:cs="Arial"/>
          <w:lang w:eastAsia="es-MX"/>
        </w:rPr>
        <w:t>vii</w:t>
      </w:r>
      <w:proofErr w:type="spellEnd"/>
      <w:r w:rsidRPr="00C35463">
        <w:rPr>
          <w:rFonts w:ascii="Verdana" w:eastAsia="Times New Roman" w:hAnsi="Verdana" w:cs="Arial"/>
          <w:lang w:eastAsia="es-MX"/>
        </w:rPr>
        <w:t xml:space="preserve">. Así las cosas, la contratación directa es una excepción al principio de libre concurrencia y competencia, que se aplica en los procesos de contratación, para </w:t>
      </w:r>
      <w:r w:rsidRPr="00C35463">
        <w:rPr>
          <w:rFonts w:ascii="Verdana" w:eastAsia="Times New Roman" w:hAnsi="Verdana" w:cs="Arial"/>
          <w:lang w:eastAsia="es-MX"/>
        </w:rPr>
        <w:lastRenderedPageBreak/>
        <w:t xml:space="preserve">que cualquier persona interesada en satisfacer la necesidad de una entidad pueda presentar una oferta. Por ello, es de aplicación restrictiva, esto es, solo procede por las causales señaladas taxativamente en el numeral 4 del artículo 2 de la Ley 1150 de 2007. En tal sentido, su aplicación no puede efectuarse por fuera del contenido normativo citado, ni operar más allá de lo que la misma norma dispone, dentro del contexto del ordenamiento jurídico de la contratación estatal. </w:t>
      </w:r>
    </w:p>
    <w:p w14:paraId="65083865" w14:textId="77777777" w:rsidR="006D7DAE" w:rsidRPr="00C35463" w:rsidRDefault="006D7DAE" w:rsidP="006D7DAE">
      <w:pPr>
        <w:spacing w:after="120" w:line="276" w:lineRule="auto"/>
        <w:ind w:right="45" w:firstLine="709"/>
        <w:jc w:val="both"/>
        <w:rPr>
          <w:rFonts w:ascii="Verdana" w:eastAsia="Times New Roman" w:hAnsi="Verdana" w:cs="Arial"/>
          <w:lang w:eastAsia="es-MX"/>
        </w:rPr>
      </w:pPr>
      <w:r w:rsidRPr="00C35463">
        <w:rPr>
          <w:rFonts w:ascii="Verdana" w:eastAsia="Times New Roman" w:hAnsi="Verdana" w:cs="Arial"/>
          <w:lang w:eastAsia="es-MX"/>
        </w:rPr>
        <w:t>Igualmente, esta excepción al deber de procurar la pluralidad de ofertas es considerada por el Consejo de Estado como un método que permite satisfacer la selección objetiva. De esta manera, aunque en la contratación directa no es necesaria la comparación de ofertas, no desconoce lo previsto en el artículo 5 de la Ley 1150 de 2007. Por ello, la jurisprudencia explica que: “[…] se ha aceptado que la selección objetiva fundada en el ofrecimiento más favorable no depende únicamente del cotejo entre ofertas sino también de métodos que, aun prescindiendo de dicha comparación, garanticen que la respectiva escogencia se ajuste a los criterios legales de selección objetiva, a los precios o condiciones del mercado y a los estudios y deducciones de la entidad o de los organismos consultores o asesores designados para ello”</w:t>
      </w:r>
      <w:r w:rsidRPr="00C35463">
        <w:rPr>
          <w:rFonts w:ascii="Verdana" w:eastAsia="Times New Roman" w:hAnsi="Verdana" w:cs="Arial"/>
          <w:vertAlign w:val="superscript"/>
          <w:lang w:eastAsia="es-MX"/>
        </w:rPr>
        <w:footnoteReference w:id="16"/>
      </w:r>
      <w:r w:rsidRPr="00C35463">
        <w:rPr>
          <w:rFonts w:ascii="Verdana" w:eastAsia="Times New Roman" w:hAnsi="Verdana" w:cs="Arial"/>
          <w:lang w:eastAsia="es-MX"/>
        </w:rPr>
        <w:t>.</w:t>
      </w:r>
    </w:p>
    <w:p w14:paraId="07685608" w14:textId="77777777" w:rsidR="006D7DAE" w:rsidRPr="00C35463" w:rsidRDefault="006D7DAE" w:rsidP="006D7DAE">
      <w:pPr>
        <w:spacing w:after="0" w:line="276" w:lineRule="auto"/>
        <w:ind w:firstLine="708"/>
        <w:jc w:val="both"/>
        <w:rPr>
          <w:rFonts w:ascii="Verdana" w:eastAsia="Times New Roman" w:hAnsi="Verdana" w:cs="Arial"/>
          <w:lang w:eastAsia="es-MX"/>
        </w:rPr>
      </w:pPr>
      <w:r w:rsidRPr="00C35463">
        <w:rPr>
          <w:rFonts w:ascii="Verdana" w:eastAsia="Times New Roman" w:hAnsi="Verdana" w:cs="Arial"/>
          <w:lang w:eastAsia="es-MX"/>
        </w:rPr>
        <w:t>De este modo, en la contratación directa no es necesario que la entidad reciba más de una oferta, pues la contratación se realiza con quien la entidad escoja libremente, bajo criterios que permitan adoptar una decisión objetiva en procura del cumplimiento de las necesidades de la administración</w:t>
      </w:r>
      <w:r w:rsidRPr="00C35463">
        <w:rPr>
          <w:rFonts w:ascii="Verdana" w:eastAsia="Times New Roman" w:hAnsi="Verdana" w:cs="Arial"/>
          <w:vertAlign w:val="superscript"/>
          <w:lang w:eastAsia="es-MX"/>
        </w:rPr>
        <w:footnoteReference w:id="17"/>
      </w:r>
      <w:r w:rsidRPr="00C35463">
        <w:rPr>
          <w:rFonts w:ascii="Verdana" w:eastAsia="Times New Roman" w:hAnsi="Verdana" w:cs="Arial"/>
          <w:lang w:eastAsia="es-MX"/>
        </w:rPr>
        <w:t xml:space="preserve">. Esta </w:t>
      </w:r>
      <w:r w:rsidRPr="00C35463">
        <w:rPr>
          <w:rFonts w:ascii="Verdana" w:eastAsia="Times New Roman" w:hAnsi="Verdana" w:cs="Arial"/>
          <w:lang w:eastAsia="es-MX"/>
        </w:rPr>
        <w:lastRenderedPageBreak/>
        <w:t xml:space="preserve">contratación puede estar fundada en que el proponente es único, existe alguna situación de urgencia manifiesta o el legislador privilegió algunos objetos contractuales u oferentes para contratarlos de manera directa, teniendo en cuenta las causales expresamente señaladas en la ley. </w:t>
      </w:r>
    </w:p>
    <w:p w14:paraId="48B9347E" w14:textId="77777777" w:rsidR="006D7DAE" w:rsidRPr="00C35463" w:rsidRDefault="006D7DAE" w:rsidP="006D7DAE">
      <w:pPr>
        <w:spacing w:after="0" w:line="276" w:lineRule="auto"/>
        <w:jc w:val="both"/>
        <w:rPr>
          <w:rFonts w:ascii="Verdana" w:eastAsia="Times New Roman" w:hAnsi="Verdana" w:cs="Arial"/>
          <w:lang w:eastAsia="es-MX"/>
        </w:rPr>
      </w:pPr>
    </w:p>
    <w:p w14:paraId="041F9979" w14:textId="77777777" w:rsidR="006D7DAE" w:rsidRPr="00C35463" w:rsidRDefault="006D7DAE" w:rsidP="006D7DAE">
      <w:pPr>
        <w:spacing w:after="120" w:line="276" w:lineRule="auto"/>
        <w:jc w:val="both"/>
        <w:rPr>
          <w:rFonts w:ascii="Verdana" w:eastAsia="Times New Roman" w:hAnsi="Verdana" w:cs="Arial"/>
          <w:lang w:eastAsia="es-MX"/>
        </w:rPr>
      </w:pPr>
      <w:proofErr w:type="spellStart"/>
      <w:r w:rsidRPr="00C35463">
        <w:rPr>
          <w:rFonts w:ascii="Verdana" w:eastAsia="Times New Roman" w:hAnsi="Verdana" w:cs="Arial"/>
          <w:lang w:eastAsia="es-MX"/>
        </w:rPr>
        <w:t>viii</w:t>
      </w:r>
      <w:proofErr w:type="spellEnd"/>
      <w:r w:rsidRPr="00C35463">
        <w:rPr>
          <w:rFonts w:ascii="Verdana" w:eastAsia="Times New Roman" w:hAnsi="Verdana" w:cs="Arial"/>
          <w:lang w:eastAsia="es-MX"/>
        </w:rPr>
        <w:t>. Todo lo anterior implica que el proceso de contratación directa sea simplificado, corto, ágil y expedito, por no exigir el agotamiento de una convocatoria pública o la realización de un proceso competitivo. Sin embargo, estas características no eximen a las entidades estatales de garantizar los principios rectores de la contratación pública. Por ello, cabe destacar que existe otra diferencia fundamental con las modalidades de selección competitivas mencionadas: en la contratación directa no se otorga puntaje a las ofertas para ponderarlas y elegir el ofrecimiento más favorable, pues la entidad recibe solo una oferta. Sobre este particular el Consejo de Estado explica que “Se define la expresión contratación directa entendida como cualquier mecanismo de escogencia del contratista en el que se prescinde de la licitación o concurso, sin que se tenga en cuenta por el legislador estatutario el régimen de contratación aplicable, ya sea contenido en el Estatuto General de Contratación de la Administración Pública - ley 80 de 1993 -, o uno especial en razón del objeto del contrato o del órgano que contrata”</w:t>
      </w:r>
      <w:r w:rsidRPr="00C35463">
        <w:rPr>
          <w:rFonts w:ascii="Verdana" w:eastAsia="Times New Roman" w:hAnsi="Verdana" w:cs="Arial"/>
          <w:vertAlign w:val="superscript"/>
          <w:lang w:eastAsia="es-MX"/>
        </w:rPr>
        <w:footnoteReference w:id="18"/>
      </w:r>
      <w:r w:rsidRPr="00C35463">
        <w:rPr>
          <w:rFonts w:ascii="Verdana" w:eastAsia="Times New Roman" w:hAnsi="Verdana" w:cs="Arial"/>
          <w:lang w:eastAsia="es-MX"/>
        </w:rPr>
        <w:t>.</w:t>
      </w:r>
    </w:p>
    <w:p w14:paraId="4B4F6650" w14:textId="77777777" w:rsidR="006D7DAE" w:rsidRPr="00C35463" w:rsidRDefault="006D7DAE" w:rsidP="006D7DAE">
      <w:pPr>
        <w:spacing w:after="0" w:line="276" w:lineRule="auto"/>
        <w:ind w:firstLine="708"/>
        <w:jc w:val="both"/>
        <w:rPr>
          <w:rFonts w:ascii="Verdana" w:eastAsia="Times New Roman" w:hAnsi="Verdana" w:cs="Arial"/>
          <w:lang w:eastAsia="es-MX"/>
        </w:rPr>
      </w:pPr>
      <w:r w:rsidRPr="00C35463">
        <w:rPr>
          <w:rFonts w:ascii="Verdana" w:eastAsia="Times New Roman" w:hAnsi="Verdana" w:cs="Arial"/>
          <w:lang w:eastAsia="es-MX"/>
        </w:rPr>
        <w:t>Por consiguiente, en la contratación directa la entidad no establece puntaje para ponderar ofertas, porque se presenta una sola propuesta, la cual corresponde a la de la persona a quien la entidad invitó y seleccionó en forma directa. En todo caso, se debe garantizar el cumplimiento de los principios de la función administrativa y la gestión fiscal consagrados en los artículos 209 y 267 de la Constitución Política.</w:t>
      </w:r>
    </w:p>
    <w:p w14:paraId="4014DD1C" w14:textId="77777777" w:rsidR="006D7DAE" w:rsidRPr="00C35463" w:rsidRDefault="006D7DAE" w:rsidP="006D7DAE">
      <w:pPr>
        <w:spacing w:after="0" w:line="276" w:lineRule="auto"/>
        <w:jc w:val="both"/>
        <w:rPr>
          <w:rFonts w:ascii="Verdana" w:eastAsia="Times New Roman" w:hAnsi="Verdana" w:cs="Arial"/>
          <w:lang w:eastAsia="es-MX"/>
        </w:rPr>
      </w:pPr>
    </w:p>
    <w:p w14:paraId="7B735109" w14:textId="77777777" w:rsidR="006D7DAE" w:rsidRPr="00C35463" w:rsidRDefault="006D7DAE" w:rsidP="006D7DAE">
      <w:pPr>
        <w:spacing w:after="120" w:line="276" w:lineRule="auto"/>
        <w:jc w:val="both"/>
        <w:rPr>
          <w:rFonts w:ascii="Verdana" w:hAnsi="Verdana" w:cs="Arial"/>
          <w:bCs/>
          <w:color w:val="000000" w:themeColor="text1"/>
          <w:lang w:val="es-ES"/>
        </w:rPr>
      </w:pPr>
      <w:proofErr w:type="spellStart"/>
      <w:r w:rsidRPr="00C35463">
        <w:rPr>
          <w:rFonts w:ascii="Verdana" w:eastAsia="Times New Roman" w:hAnsi="Verdana" w:cs="Arial"/>
          <w:lang w:eastAsia="es-MX"/>
        </w:rPr>
        <w:t>ix</w:t>
      </w:r>
      <w:proofErr w:type="spellEnd"/>
      <w:r w:rsidRPr="00C35463">
        <w:rPr>
          <w:rFonts w:ascii="Verdana" w:eastAsia="Times New Roman" w:hAnsi="Verdana" w:cs="Arial"/>
          <w:lang w:eastAsia="es-MX"/>
        </w:rPr>
        <w:t xml:space="preserve">. De esta manera, al igual que el literal e) del derogado artículo 24.1 de la Ley 80 de 1993, el literal i) del artículo 2.4 de la Ley 1150 de 2011 permite la contratación directa tratándose de “El arrendamiento […] de inmuebles”. Es decir, </w:t>
      </w:r>
      <w:r w:rsidRPr="00C35463">
        <w:rPr>
          <w:rFonts w:ascii="Verdana" w:eastAsia="Calibri" w:hAnsi="Verdana" w:cs="Arial"/>
          <w:lang w:val="es-ES"/>
        </w:rPr>
        <w:t xml:space="preserve">si se trata de arrendamiento de bienes </w:t>
      </w:r>
      <w:r w:rsidRPr="00C35463">
        <w:rPr>
          <w:rFonts w:ascii="Verdana" w:eastAsia="Calibri" w:hAnsi="Verdana" w:cs="Arial"/>
          <w:iCs/>
          <w:lang w:val="es-ES"/>
        </w:rPr>
        <w:t>muebles</w:t>
      </w:r>
      <w:r w:rsidRPr="00C35463">
        <w:rPr>
          <w:rFonts w:ascii="Verdana" w:eastAsia="Calibri" w:hAnsi="Verdana" w:cs="Arial"/>
          <w:i/>
          <w:lang w:val="es-ES"/>
        </w:rPr>
        <w:t>,</w:t>
      </w:r>
      <w:r w:rsidRPr="00C35463">
        <w:rPr>
          <w:rFonts w:ascii="Verdana" w:eastAsia="Calibri" w:hAnsi="Verdana" w:cs="Arial"/>
          <w:lang w:val="es-ES"/>
        </w:rPr>
        <w:t xml:space="preserve"> la modalidad aplicable será la licitación pública, la selección abreviada o la mínima cuantía, según corresponda dependiendo del valor de la contratación. Lo anterior en la medida </w:t>
      </w:r>
      <w:r w:rsidRPr="00C35463">
        <w:rPr>
          <w:rFonts w:ascii="Verdana" w:eastAsia="Calibri" w:hAnsi="Verdana" w:cs="Arial"/>
          <w:lang w:val="es-ES"/>
        </w:rPr>
        <w:lastRenderedPageBreak/>
        <w:t>que no se encuentran dentro de las causales de contratación directa que expresamente señala la norma precitada.</w:t>
      </w:r>
      <w:r w:rsidRPr="00C35463">
        <w:rPr>
          <w:rFonts w:ascii="Verdana" w:hAnsi="Verdana" w:cs="Arial"/>
          <w:bCs/>
          <w:color w:val="000000" w:themeColor="text1"/>
          <w:lang w:val="es-ES"/>
        </w:rPr>
        <w:t xml:space="preserve"> </w:t>
      </w:r>
    </w:p>
    <w:p w14:paraId="11F8CC9E" w14:textId="77777777" w:rsidR="006D7DAE" w:rsidRPr="00C35463" w:rsidRDefault="006D7DAE" w:rsidP="006D7DAE">
      <w:pPr>
        <w:spacing w:after="120" w:line="276" w:lineRule="auto"/>
        <w:jc w:val="both"/>
        <w:rPr>
          <w:rFonts w:ascii="Verdana" w:eastAsia="Times New Roman" w:hAnsi="Verdana" w:cs="Arial"/>
          <w:lang w:eastAsia="es-MX"/>
        </w:rPr>
      </w:pPr>
      <w:r w:rsidRPr="00C35463">
        <w:rPr>
          <w:rFonts w:ascii="Verdana" w:hAnsi="Verdana" w:cs="Arial"/>
          <w:bCs/>
          <w:color w:val="000000" w:themeColor="text1"/>
          <w:lang w:val="es-ES"/>
        </w:rPr>
        <w:tab/>
        <w:t>Esta causal hereda la tradición histórica de los artículos 31.7 y 43.6 de los derogados Decretos Leyes 150 de 1976 y 222 de 1983, pues también permitían la contratación directa “Cuando se tomen o den inmuebles en arrendamiento”. Así, a través de este contrato, las entidades públicas administran el patrimonio público o suplen necesidades para la prestación de sus servicios. En este contexto, pueden tener tanto la calidad de arrendadoras –cuando entregan el bien a un tercero– o de arrendatarias –cuando reciben su mera tenencia–.</w:t>
      </w:r>
      <w:r w:rsidRPr="00C35463">
        <w:rPr>
          <w:rFonts w:ascii="Verdana" w:eastAsia="Times New Roman" w:hAnsi="Verdana" w:cs="Arial"/>
          <w:lang w:eastAsia="es-MX"/>
        </w:rPr>
        <w:t xml:space="preserve"> </w:t>
      </w:r>
    </w:p>
    <w:p w14:paraId="10CE971A" w14:textId="77777777" w:rsidR="006D7DAE" w:rsidRPr="00C35463" w:rsidRDefault="006D7DAE" w:rsidP="006D7DAE">
      <w:pPr>
        <w:spacing w:after="120" w:line="276" w:lineRule="auto"/>
        <w:ind w:firstLine="709"/>
        <w:jc w:val="both"/>
        <w:rPr>
          <w:rFonts w:ascii="Verdana" w:eastAsia="Times New Roman" w:hAnsi="Verdana" w:cs="Arial"/>
          <w:lang w:eastAsia="es-MX"/>
        </w:rPr>
      </w:pPr>
      <w:r w:rsidRPr="00C35463">
        <w:rPr>
          <w:rFonts w:ascii="Verdana" w:eastAsia="Times New Roman" w:hAnsi="Verdana" w:cs="Arial"/>
          <w:lang w:eastAsia="es-MX"/>
        </w:rPr>
        <w:t xml:space="preserve">Aunque el literal e) del derogado artículo 24.1 de la Ley 80 de 1993 tiene una redacción distinta a la prevista en los mencionados decretos leyes, autores como PINO RICCI entienden que “En el E.C. no se estableció que el evento de contratación directa del contrato de arrendamiento de inmuebles se refiere únicamente al evento en el que una entidad alquila un inmueble para su servicio, es decir, se constituye en arrendataria. </w:t>
      </w:r>
      <w:r w:rsidRPr="00C35463">
        <w:rPr>
          <w:rFonts w:ascii="Verdana" w:eastAsia="Times New Roman" w:hAnsi="Verdana" w:cs="Arial"/>
          <w:i/>
          <w:iCs/>
          <w:lang w:eastAsia="es-MX"/>
        </w:rPr>
        <w:t>Por tanto, también para el caso en el que actúa como arrendadora puede acudir a un evento especial de contratación directa</w:t>
      </w:r>
      <w:r w:rsidRPr="00C35463">
        <w:rPr>
          <w:rFonts w:ascii="Verdana" w:eastAsia="Times New Roman" w:hAnsi="Verdana" w:cs="Arial"/>
          <w:lang w:eastAsia="es-MX"/>
        </w:rPr>
        <w:t xml:space="preserve"> […]”</w:t>
      </w:r>
      <w:r w:rsidRPr="00C35463">
        <w:rPr>
          <w:rStyle w:val="Refdenotaalpie"/>
          <w:rFonts w:ascii="Verdana" w:eastAsia="Times New Roman" w:hAnsi="Verdana" w:cs="Arial"/>
          <w:lang w:eastAsia="es-MX"/>
        </w:rPr>
        <w:footnoteReference w:id="19"/>
      </w:r>
      <w:r w:rsidRPr="00C35463">
        <w:rPr>
          <w:rFonts w:ascii="Verdana" w:eastAsia="Times New Roman" w:hAnsi="Verdana" w:cs="Arial"/>
          <w:lang w:eastAsia="es-MX"/>
        </w:rPr>
        <w:t xml:space="preserve"> (Énfasis fuera de texto). Dicho entendimiento tampoco cambió después de la reforma de la Ley 1150 de 2007, pues DÁVILA VINUEZA considera que “</w:t>
      </w:r>
      <w:r w:rsidRPr="00C35463">
        <w:rPr>
          <w:rFonts w:ascii="Verdana" w:eastAsia="Times New Roman" w:hAnsi="Verdana" w:cs="Arial"/>
          <w:i/>
          <w:iCs/>
          <w:lang w:eastAsia="es-MX"/>
        </w:rPr>
        <w:t>La contratación directa está admitida tanto cuando la entidad es arrendataria como cuando es arrendadora y no se requiere obtener varias ofertas</w:t>
      </w:r>
      <w:r w:rsidRPr="00C35463">
        <w:rPr>
          <w:rFonts w:ascii="Verdana" w:eastAsia="Times New Roman" w:hAnsi="Verdana" w:cs="Arial"/>
          <w:lang w:eastAsia="es-MX"/>
        </w:rPr>
        <w:t xml:space="preserve"> […]”</w:t>
      </w:r>
      <w:r w:rsidRPr="00C35463">
        <w:rPr>
          <w:rStyle w:val="Refdenotaalpie"/>
          <w:rFonts w:ascii="Verdana" w:eastAsia="Times New Roman" w:hAnsi="Verdana" w:cs="Arial"/>
          <w:lang w:eastAsia="es-MX"/>
        </w:rPr>
        <w:footnoteReference w:id="20"/>
      </w:r>
      <w:r w:rsidRPr="00C35463">
        <w:rPr>
          <w:rFonts w:ascii="Verdana" w:eastAsia="Times New Roman" w:hAnsi="Verdana" w:cs="Arial"/>
          <w:lang w:eastAsia="es-MX"/>
        </w:rPr>
        <w:t xml:space="preserve"> (Énfasis fuera de texto); razón por la cual, también debe “[…] asegurarse la aplicación del deber de selección objetiva, que para este caso se materializa, si actúa la Administración como arrendataria, que se trate de un inmueble apto para el servicio, y si es arrendadora, que el canon pactado esté ajustado a un precio real y conveniente”</w:t>
      </w:r>
      <w:r w:rsidRPr="00C35463">
        <w:rPr>
          <w:rStyle w:val="Refdenotaalpie"/>
          <w:rFonts w:ascii="Verdana" w:eastAsia="Times New Roman" w:hAnsi="Verdana" w:cs="Arial"/>
          <w:lang w:eastAsia="es-MX"/>
        </w:rPr>
        <w:footnoteReference w:id="21"/>
      </w:r>
      <w:r w:rsidRPr="00C35463">
        <w:rPr>
          <w:rFonts w:ascii="Verdana" w:eastAsia="Times New Roman" w:hAnsi="Verdana" w:cs="Arial"/>
          <w:lang w:eastAsia="es-MX"/>
        </w:rPr>
        <w:t xml:space="preserve">. </w:t>
      </w:r>
    </w:p>
    <w:p w14:paraId="608781C8" w14:textId="77777777" w:rsidR="006D7DAE" w:rsidRPr="00C35463" w:rsidRDefault="006D7DAE" w:rsidP="006D7DAE">
      <w:pPr>
        <w:spacing w:after="0" w:line="276" w:lineRule="auto"/>
        <w:ind w:firstLine="709"/>
        <w:jc w:val="both"/>
        <w:rPr>
          <w:rFonts w:ascii="Verdana" w:hAnsi="Verdana" w:cs="Arial"/>
          <w:bCs/>
          <w:color w:val="000000" w:themeColor="text1"/>
          <w:lang w:val="es-ES"/>
        </w:rPr>
      </w:pPr>
      <w:r w:rsidRPr="00C35463">
        <w:rPr>
          <w:rFonts w:ascii="Verdana" w:hAnsi="Verdana" w:cs="Arial"/>
          <w:bCs/>
          <w:color w:val="000000" w:themeColor="text1"/>
          <w:lang w:val="es-ES"/>
        </w:rPr>
        <w:t xml:space="preserve">Adicionalmente, el artículo 2.2.1.2.1.4.11 del Decreto 1082 de 2015 dispone que las entidades estatales pueden alquilar o arrendar inmuebles mediante contratación directa para lo cual deben seguir las siguientes reglas: </w:t>
      </w:r>
    </w:p>
    <w:p w14:paraId="498ABE7B" w14:textId="77777777" w:rsidR="006D7DAE" w:rsidRPr="00C35463" w:rsidRDefault="006D7DAE" w:rsidP="006D7DAE">
      <w:pPr>
        <w:spacing w:after="0" w:line="276" w:lineRule="auto"/>
        <w:ind w:firstLine="709"/>
        <w:jc w:val="both"/>
        <w:rPr>
          <w:rFonts w:ascii="Verdana" w:hAnsi="Verdana" w:cs="Arial"/>
          <w:bCs/>
          <w:color w:val="000000" w:themeColor="text1"/>
          <w:lang w:val="es-ES"/>
        </w:rPr>
      </w:pPr>
    </w:p>
    <w:p w14:paraId="6ABA52F1" w14:textId="77777777" w:rsidR="006D7DAE" w:rsidRPr="00C35463" w:rsidRDefault="006D7DAE" w:rsidP="006D7DAE">
      <w:pPr>
        <w:spacing w:after="120" w:line="240" w:lineRule="auto"/>
        <w:ind w:left="709" w:right="709"/>
        <w:jc w:val="both"/>
        <w:rPr>
          <w:rFonts w:ascii="Verdana" w:eastAsia="Calibri" w:hAnsi="Verdana" w:cs="Arial"/>
          <w:sz w:val="20"/>
          <w:szCs w:val="20"/>
        </w:rPr>
      </w:pPr>
      <w:r w:rsidRPr="00C35463">
        <w:rPr>
          <w:rFonts w:ascii="Verdana" w:eastAsia="Calibri" w:hAnsi="Verdana" w:cs="Arial"/>
          <w:sz w:val="20"/>
          <w:szCs w:val="20"/>
        </w:rPr>
        <w:t>“1. Verificar las condiciones del mercado inmobiliario en la ciudad en la que la Entidad Estatal requiere el inmueble.</w:t>
      </w:r>
    </w:p>
    <w:p w14:paraId="090CD4BA" w14:textId="77777777" w:rsidR="006D7DAE" w:rsidRPr="00C35463" w:rsidRDefault="006D7DAE" w:rsidP="006D7DAE">
      <w:pPr>
        <w:spacing w:after="0" w:line="240" w:lineRule="auto"/>
        <w:ind w:left="709" w:right="709"/>
        <w:jc w:val="both"/>
        <w:rPr>
          <w:rFonts w:ascii="Verdana" w:eastAsia="Calibri" w:hAnsi="Verdana" w:cs="Arial"/>
          <w:sz w:val="20"/>
          <w:szCs w:val="20"/>
        </w:rPr>
      </w:pPr>
      <w:r w:rsidRPr="00C35463">
        <w:rPr>
          <w:rFonts w:ascii="Verdana" w:eastAsia="Calibri" w:hAnsi="Verdana" w:cs="Arial"/>
          <w:sz w:val="20"/>
          <w:szCs w:val="20"/>
        </w:rPr>
        <w:lastRenderedPageBreak/>
        <w:t>2. Analizar y comparar las condiciones de los bienes inmuebles que satisfacen las necesidades identificadas y las opciones de arrendamiento, análisis que deberá tener en cuenta los principios y objetivos del sistema de compra y contratación pública”.</w:t>
      </w:r>
    </w:p>
    <w:p w14:paraId="4C4989A2" w14:textId="77777777" w:rsidR="006D7DAE" w:rsidRPr="00C35463" w:rsidRDefault="006D7DAE" w:rsidP="006D7DAE">
      <w:pPr>
        <w:spacing w:after="0" w:line="276" w:lineRule="auto"/>
        <w:ind w:firstLine="708"/>
        <w:jc w:val="both"/>
        <w:rPr>
          <w:rFonts w:ascii="Verdana" w:eastAsia="Calibri" w:hAnsi="Verdana" w:cs="Arial"/>
          <w:color w:val="000000" w:themeColor="text1"/>
        </w:rPr>
      </w:pPr>
    </w:p>
    <w:p w14:paraId="3C31F02E" w14:textId="77777777" w:rsidR="006D7DAE" w:rsidRPr="00C35463" w:rsidRDefault="006D7DAE" w:rsidP="006D7DAE">
      <w:pPr>
        <w:spacing w:after="120" w:line="276" w:lineRule="auto"/>
        <w:ind w:firstLine="708"/>
        <w:jc w:val="both"/>
        <w:rPr>
          <w:rFonts w:ascii="Verdana" w:eastAsia="Calibri" w:hAnsi="Verdana" w:cs="Arial"/>
          <w:lang w:val="es-ES"/>
        </w:rPr>
      </w:pPr>
      <w:r w:rsidRPr="00C35463">
        <w:rPr>
          <w:rFonts w:ascii="Verdana" w:eastAsia="Calibri" w:hAnsi="Verdana" w:cs="Arial"/>
          <w:lang w:val="es-ES"/>
        </w:rPr>
        <w:t xml:space="preserve">Para autores como GONZÁLEZ LÓPEZ, </w:t>
      </w:r>
      <w:r w:rsidRPr="00C35463">
        <w:rPr>
          <w:rFonts w:ascii="Verdana" w:eastAsia="Calibri" w:hAnsi="Verdana" w:cs="Arial"/>
          <w:sz w:val="20"/>
          <w:szCs w:val="20"/>
          <w:lang w:val="es-ES"/>
        </w:rPr>
        <w:t>“</w:t>
      </w:r>
      <w:r w:rsidRPr="00C35463">
        <w:rPr>
          <w:rFonts w:ascii="Verdana" w:eastAsia="Calibri" w:hAnsi="Verdana" w:cs="Arial"/>
          <w:lang w:val="es-ES"/>
        </w:rPr>
        <w:t xml:space="preserve">[…] la ley se refiere en forma indistinta al arrendamiento de inmuebles, mientras que el reglamento solo alude a cuando la entidad alquile o arriende inmuebles, en su calidad de arrendataria. No obstante, la falta de claridad del reglamento, cuando la ley no distingue no le corresponde al interprete distinguir y, por ende, </w:t>
      </w:r>
      <w:r w:rsidRPr="00C35463">
        <w:rPr>
          <w:rFonts w:ascii="Verdana" w:eastAsia="Calibri" w:hAnsi="Verdana" w:cs="Arial"/>
          <w:i/>
          <w:iCs/>
          <w:lang w:val="es-ES"/>
        </w:rPr>
        <w:t>es viable la modalidad de contratación directa siempre que se trae de un contrato de arrendamiento que suscriba una entidad estatal regulada por la Ley 80 de 1993</w:t>
      </w:r>
      <w:r w:rsidRPr="00C35463">
        <w:rPr>
          <w:rFonts w:ascii="Verdana" w:eastAsia="Calibri" w:hAnsi="Verdana" w:cs="Arial"/>
          <w:lang w:val="es-ES"/>
        </w:rPr>
        <w:t>”</w:t>
      </w:r>
      <w:r w:rsidRPr="00C35463">
        <w:rPr>
          <w:rStyle w:val="Refdenotaalpie"/>
          <w:rFonts w:ascii="Verdana" w:eastAsia="Calibri" w:hAnsi="Verdana" w:cs="Arial"/>
          <w:lang w:val="es-ES"/>
        </w:rPr>
        <w:footnoteReference w:id="22"/>
      </w:r>
      <w:r w:rsidRPr="00C35463">
        <w:rPr>
          <w:rFonts w:ascii="Verdana" w:eastAsia="Calibri" w:hAnsi="Verdana" w:cs="Arial"/>
          <w:lang w:val="es-ES"/>
        </w:rPr>
        <w:t xml:space="preserve"> (Énfasis fuera de texto).</w:t>
      </w:r>
    </w:p>
    <w:p w14:paraId="62D7F6DD" w14:textId="77777777" w:rsidR="006D7DAE" w:rsidRPr="00C35463" w:rsidRDefault="006D7DAE" w:rsidP="006D7DAE">
      <w:pPr>
        <w:spacing w:after="0" w:line="276" w:lineRule="auto"/>
        <w:ind w:firstLine="708"/>
        <w:jc w:val="both"/>
        <w:rPr>
          <w:rFonts w:ascii="Verdana" w:eastAsia="Calibri" w:hAnsi="Verdana" w:cs="Arial"/>
          <w:lang w:val="es-ES"/>
        </w:rPr>
      </w:pPr>
      <w:r w:rsidRPr="00C35463">
        <w:rPr>
          <w:rFonts w:ascii="Verdana" w:eastAsia="Calibri" w:hAnsi="Verdana" w:cs="Arial"/>
          <w:lang w:val="es-ES"/>
        </w:rPr>
        <w:t>RICO PUERTA sostiene la misma opinión, pero agrega que “[…] no existe prohibición legal para que, en los eventos en los que la entidad estatal actúa como arrendadora pueda adelantar una convocatoria pública para obtener las mejores condiciones en el negocio y para garantizar el principio de libre concurrencia”</w:t>
      </w:r>
      <w:r w:rsidRPr="00C35463">
        <w:rPr>
          <w:rStyle w:val="Refdenotaalpie"/>
          <w:rFonts w:ascii="Verdana" w:eastAsia="Calibri" w:hAnsi="Verdana" w:cs="Arial"/>
          <w:lang w:val="es-ES"/>
        </w:rPr>
        <w:footnoteReference w:id="23"/>
      </w:r>
      <w:r w:rsidRPr="00C35463">
        <w:rPr>
          <w:rFonts w:ascii="Verdana" w:eastAsia="Calibri" w:hAnsi="Verdana" w:cs="Arial"/>
          <w:lang w:val="es-ES"/>
        </w:rPr>
        <w:t>. Aunque existe la discusión sobre la conveniencia o no de esta postura, lo cierto es que el literal i) del artículo 2.4 de la Ley 1150 de 2011 permite la contratación directa tratándose del arrendamiento de inmuebles, al margen de la posición que asuma la entidad en el negocio</w:t>
      </w:r>
      <w:r w:rsidRPr="00C35463">
        <w:rPr>
          <w:rStyle w:val="Refdenotaalpie"/>
          <w:rFonts w:ascii="Verdana" w:eastAsia="Calibri" w:hAnsi="Verdana" w:cs="Arial"/>
          <w:lang w:val="es-ES"/>
        </w:rPr>
        <w:footnoteReference w:id="24"/>
      </w:r>
      <w:r w:rsidRPr="00C35463">
        <w:rPr>
          <w:rFonts w:ascii="Verdana" w:eastAsia="Calibri" w:hAnsi="Verdana" w:cs="Arial"/>
          <w:lang w:val="es-ES"/>
        </w:rPr>
        <w:t xml:space="preserve">. En todo caso, </w:t>
      </w:r>
      <w:r w:rsidRPr="00C35463">
        <w:rPr>
          <w:rFonts w:ascii="Verdana" w:eastAsia="Calibri" w:hAnsi="Verdana" w:cs="Arial"/>
          <w:lang w:val="es-ES"/>
        </w:rPr>
        <w:lastRenderedPageBreak/>
        <w:t xml:space="preserve">aquella es autónoma y responsable de la estructuración de sus procesos de contratación, así como determinar su necesidad y la modalidad de selección del contratista. </w:t>
      </w:r>
    </w:p>
    <w:p w14:paraId="12267A8B" w14:textId="77777777" w:rsidR="006D7DAE" w:rsidRPr="00C35463" w:rsidRDefault="006D7DAE" w:rsidP="006D7DAE">
      <w:pPr>
        <w:spacing w:after="0" w:line="276" w:lineRule="auto"/>
        <w:ind w:firstLine="708"/>
        <w:jc w:val="both"/>
        <w:rPr>
          <w:rFonts w:ascii="Verdana" w:eastAsia="Calibri" w:hAnsi="Verdana" w:cs="Arial"/>
          <w:lang w:val="es-ES"/>
        </w:rPr>
      </w:pPr>
    </w:p>
    <w:p w14:paraId="6937DC71" w14:textId="77777777" w:rsidR="006D7DAE" w:rsidRDefault="006D7DAE" w:rsidP="006D7DAE">
      <w:pPr>
        <w:spacing w:after="120" w:line="276" w:lineRule="auto"/>
        <w:jc w:val="both"/>
        <w:rPr>
          <w:rFonts w:ascii="Verdana" w:eastAsia="Calibri" w:hAnsi="Verdana" w:cs="Arial"/>
          <w:bCs/>
          <w:color w:val="000000" w:themeColor="text1"/>
        </w:rPr>
      </w:pPr>
      <w:r w:rsidRPr="00C35463">
        <w:rPr>
          <w:rFonts w:ascii="Verdana" w:eastAsia="Calibri" w:hAnsi="Verdana" w:cs="Arial"/>
          <w:lang w:val="es-ES"/>
        </w:rPr>
        <w:t xml:space="preserve">x. </w:t>
      </w:r>
      <w:r w:rsidRPr="00C35463">
        <w:rPr>
          <w:rFonts w:ascii="Verdana" w:eastAsia="Calibri" w:hAnsi="Verdana" w:cs="Arial"/>
          <w:bCs/>
          <w:color w:val="000000" w:themeColor="text1"/>
        </w:rPr>
        <w:t>Al margen</w:t>
      </w:r>
      <w:r w:rsidRPr="00E853DE">
        <w:rPr>
          <w:rFonts w:ascii="Verdana" w:eastAsia="Calibri" w:hAnsi="Verdana" w:cs="Arial"/>
          <w:bCs/>
          <w:color w:val="000000" w:themeColor="text1"/>
        </w:rPr>
        <w:t xml:space="preserve"> de la explicación precedente debe advertirse que </w:t>
      </w:r>
      <w:r w:rsidRPr="001941FD">
        <w:rPr>
          <w:rStyle w:val="s15"/>
          <w:rFonts w:ascii="Verdana" w:hAnsi="Verdana"/>
          <w:color w:val="000000"/>
        </w:rPr>
        <w:t xml:space="preserve">el análisis requerido para resolver problemas específicos en torno </w:t>
      </w:r>
      <w:r>
        <w:rPr>
          <w:rStyle w:val="s15"/>
          <w:rFonts w:ascii="Verdana" w:hAnsi="Verdana"/>
          <w:color w:val="000000"/>
        </w:rPr>
        <w:t>a la gestión contractual</w:t>
      </w:r>
      <w:r w:rsidRPr="001941FD">
        <w:rPr>
          <w:rStyle w:val="s15"/>
          <w:rFonts w:ascii="Verdana" w:hAnsi="Verdana"/>
          <w:color w:val="000000"/>
        </w:rPr>
        <w:t xml:space="preserve"> debe ser realizado por quienes tengan interés en ello, de acuerdo con lo explicado la aclaración preliminar del presente oficio</w:t>
      </w:r>
      <w:r w:rsidRPr="00E853DE">
        <w:rPr>
          <w:rFonts w:ascii="Verdana" w:eastAsia="Calibri" w:hAnsi="Verdana" w:cs="Arial"/>
          <w:bCs/>
          <w:color w:val="000000" w:themeColor="text1"/>
        </w:rPr>
        <w:t>.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F10D2DD" w14:textId="77777777" w:rsidR="006D7DAE" w:rsidRPr="00185EE9" w:rsidRDefault="006D7DAE" w:rsidP="006D7DAE">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r>
        <w:rPr>
          <w:rStyle w:val="s15"/>
          <w:rFonts w:ascii="Verdana" w:hAnsi="Verdana"/>
          <w:color w:val="000000"/>
        </w:rPr>
        <w:t>Esto significa que</w:t>
      </w:r>
      <w:r w:rsidRPr="00925D18">
        <w:rPr>
          <w:rStyle w:val="s15"/>
          <w:rFonts w:ascii="Verdana" w:hAnsi="Verdana"/>
          <w:color w:val="000000"/>
        </w:rPr>
        <w:t>,</w:t>
      </w:r>
      <w:r>
        <w:rPr>
          <w:rFonts w:ascii="Verdana" w:eastAsia="Calibri" w:hAnsi="Verdana" w:cs="Arial"/>
          <w:bCs/>
          <w:color w:val="000000" w:themeColor="text1"/>
        </w:rPr>
        <w:t xml:space="preserve"> fuera de la orientación del presente oficio, la ANCP – CCE carece de atribuciones normativas para desarrollar las actuaciones contractuales objeto de la solicitud</w:t>
      </w:r>
      <w:r>
        <w:rPr>
          <w:rStyle w:val="Refdenotaalpie"/>
          <w:rFonts w:ascii="Verdana" w:eastAsia="Calibri" w:hAnsi="Verdana" w:cs="Arial"/>
          <w:bCs/>
          <w:color w:val="000000" w:themeColor="text1"/>
        </w:rPr>
        <w:footnoteReference w:id="25"/>
      </w:r>
      <w:r>
        <w:rPr>
          <w:rFonts w:ascii="Verdana" w:eastAsia="Calibri" w:hAnsi="Verdana" w:cs="Arial"/>
          <w:bCs/>
          <w:color w:val="000000" w:themeColor="text1"/>
        </w:rPr>
        <w:t xml:space="preserve">. </w:t>
      </w:r>
    </w:p>
    <w:p w14:paraId="63762CC5" w14:textId="77777777" w:rsidR="006D7DAE" w:rsidRPr="00182C89" w:rsidRDefault="006D7DAE" w:rsidP="006D7DAE">
      <w:pPr>
        <w:tabs>
          <w:tab w:val="left" w:pos="709"/>
        </w:tabs>
        <w:spacing w:after="0" w:line="276" w:lineRule="auto"/>
        <w:jc w:val="both"/>
        <w:rPr>
          <w:rFonts w:ascii="Verdana" w:eastAsia="Calibri" w:hAnsi="Verdana" w:cs="Arial"/>
          <w:color w:val="000000" w:themeColor="text1"/>
        </w:rPr>
      </w:pPr>
    </w:p>
    <w:p w14:paraId="47A05C28" w14:textId="77777777" w:rsidR="006D7DAE" w:rsidRPr="00593A5F" w:rsidRDefault="006D7DAE" w:rsidP="006D7DA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4D411D">
        <w:rPr>
          <w:rFonts w:ascii="Verdana" w:eastAsia="Century Gothic" w:hAnsi="Verdana" w:cs="Century Gothic"/>
          <w:b/>
          <w:bCs/>
        </w:rPr>
        <w:t>Referencias normativas</w:t>
      </w:r>
      <w:r w:rsidRPr="00593A5F">
        <w:rPr>
          <w:rFonts w:ascii="Verdana" w:eastAsia="Century Gothic" w:hAnsi="Verdana" w:cs="Century Gothic"/>
          <w:b/>
          <w:bCs/>
        </w:rPr>
        <w:t>:</w:t>
      </w:r>
    </w:p>
    <w:p w14:paraId="6DFC3528" w14:textId="77777777" w:rsidR="006D7DAE" w:rsidRPr="00593A5F" w:rsidRDefault="006D7DAE" w:rsidP="006D7DAE">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D7DAE" w:rsidRPr="002407CE" w14:paraId="68D41515" w14:textId="77777777" w:rsidTr="00746A61">
        <w:trPr>
          <w:trHeight w:val="870"/>
          <w:jc w:val="center"/>
        </w:trPr>
        <w:tc>
          <w:tcPr>
            <w:tcW w:w="8647" w:type="dxa"/>
          </w:tcPr>
          <w:p w14:paraId="7F903C6F" w14:textId="77777777" w:rsidR="006D7DAE" w:rsidRPr="00B954AE" w:rsidRDefault="006D7DAE" w:rsidP="00746A6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artículos 150, 209 y 267.</w:t>
            </w:r>
          </w:p>
          <w:p w14:paraId="5B6B66BC" w14:textId="77777777" w:rsidR="006D7DAE" w:rsidRPr="00B954AE" w:rsidRDefault="006D7DAE" w:rsidP="00746A6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2, 13, 14, 32 y 40.</w:t>
            </w:r>
          </w:p>
          <w:p w14:paraId="4251103D" w14:textId="77777777" w:rsidR="006D7DAE" w:rsidRPr="005447E6" w:rsidRDefault="006D7DAE" w:rsidP="00746A6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 2 y 5.</w:t>
            </w:r>
          </w:p>
          <w:p w14:paraId="3AE8DB1D" w14:textId="77777777" w:rsidR="006D7DAE" w:rsidRDefault="006D7DAE" w:rsidP="00746A6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Decreto 1082 de 2015, artículo </w:t>
            </w:r>
            <w:r w:rsidRPr="00EB733B">
              <w:rPr>
                <w:rFonts w:ascii="Verdana" w:hAnsi="Verdana" w:cs="Arial"/>
              </w:rPr>
              <w:t>2.2.1.2.1.4.11</w:t>
            </w:r>
            <w:r>
              <w:rPr>
                <w:rFonts w:ascii="Verdana" w:hAnsi="Verdana" w:cs="Arial"/>
              </w:rPr>
              <w:t>.</w:t>
            </w:r>
          </w:p>
          <w:p w14:paraId="122AB10B" w14:textId="77777777" w:rsidR="006D7DAE" w:rsidRPr="00B954AE" w:rsidRDefault="006D7DAE" w:rsidP="00746A61">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Decreto Ley </w:t>
            </w:r>
            <w:r w:rsidRPr="00EB733B">
              <w:rPr>
                <w:rFonts w:ascii="Verdana" w:hAnsi="Verdana" w:cs="Arial"/>
              </w:rPr>
              <w:t>111 de 1996</w:t>
            </w:r>
            <w:r>
              <w:rPr>
                <w:rFonts w:ascii="Verdana" w:hAnsi="Verdana" w:cs="Arial"/>
              </w:rPr>
              <w:t>, artículo 110.</w:t>
            </w:r>
          </w:p>
          <w:p w14:paraId="0AD6ADBE" w14:textId="77777777" w:rsidR="006D7DAE" w:rsidRPr="00DA543F" w:rsidRDefault="006D7DAE" w:rsidP="00746A61">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lang w:val="es-ES_tradnl"/>
              </w:rPr>
            </w:pPr>
            <w:r>
              <w:rPr>
                <w:rFonts w:ascii="Verdana" w:hAnsi="Verdana" w:cs="Arial"/>
              </w:rPr>
              <w:t>Código Civil, artículo</w:t>
            </w:r>
            <w:r w:rsidRPr="002407CE">
              <w:rPr>
                <w:rFonts w:ascii="Verdana" w:hAnsi="Verdana" w:cs="Arial"/>
              </w:rPr>
              <w:t xml:space="preserve"> </w:t>
            </w:r>
            <w:r>
              <w:rPr>
                <w:rFonts w:ascii="Verdana" w:hAnsi="Verdana" w:cs="Arial"/>
              </w:rPr>
              <w:t>1973.</w:t>
            </w:r>
            <w:r w:rsidRPr="002407CE">
              <w:rPr>
                <w:rFonts w:ascii="Verdana" w:hAnsi="Verdana" w:cs="Arial"/>
              </w:rPr>
              <w:t xml:space="preserve"> </w:t>
            </w:r>
          </w:p>
        </w:tc>
      </w:tr>
    </w:tbl>
    <w:p w14:paraId="2B39B646" w14:textId="77777777" w:rsidR="006D7DAE" w:rsidRPr="002407CE" w:rsidRDefault="006D7DAE" w:rsidP="006D7DAE">
      <w:pPr>
        <w:widowControl w:val="0"/>
        <w:autoSpaceDE w:val="0"/>
        <w:autoSpaceDN w:val="0"/>
        <w:spacing w:after="0" w:line="276" w:lineRule="auto"/>
        <w:jc w:val="both"/>
        <w:rPr>
          <w:rFonts w:ascii="Verdana" w:hAnsi="Verdana" w:cs="Arial"/>
        </w:rPr>
      </w:pPr>
    </w:p>
    <w:p w14:paraId="601267A1" w14:textId="77777777" w:rsidR="006D7DAE" w:rsidRPr="00593A5F" w:rsidRDefault="006D7DAE" w:rsidP="006D7DA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3D1E8147" w14:textId="77777777" w:rsidR="006D7DAE" w:rsidRPr="00593A5F" w:rsidRDefault="006D7DAE" w:rsidP="006D7DAE">
      <w:pPr>
        <w:widowControl w:val="0"/>
        <w:autoSpaceDE w:val="0"/>
        <w:autoSpaceDN w:val="0"/>
        <w:spacing w:after="0" w:line="276" w:lineRule="auto"/>
        <w:jc w:val="both"/>
        <w:rPr>
          <w:rFonts w:ascii="Verdana" w:hAnsi="Verdana" w:cs="Arial"/>
        </w:rPr>
      </w:pPr>
    </w:p>
    <w:p w14:paraId="565248F3" w14:textId="77777777" w:rsidR="006D7DAE" w:rsidRPr="00ED0098" w:rsidRDefault="006D7DAE" w:rsidP="006D7DAE">
      <w:pPr>
        <w:widowControl w:val="0"/>
        <w:autoSpaceDE w:val="0"/>
        <w:autoSpaceDN w:val="0"/>
        <w:spacing w:after="0" w:line="276" w:lineRule="auto"/>
        <w:jc w:val="both"/>
        <w:rPr>
          <w:rStyle w:val="normaltextrun"/>
          <w:rFonts w:ascii="Verdana" w:hAnsi="Verdana" w:cs="Arial"/>
          <w:shd w:val="clear" w:color="auto" w:fill="FFFFFF"/>
        </w:rPr>
      </w:pPr>
      <w:r w:rsidRPr="0094222D">
        <w:rPr>
          <w:rStyle w:val="normaltextrun"/>
          <w:rFonts w:ascii="Verdana" w:hAnsi="Verdana" w:cs="Arial"/>
          <w:shd w:val="clear" w:color="auto" w:fill="FFFFFF"/>
          <w:lang w:val="es-ES_tradnl"/>
        </w:rPr>
        <w:t>Esta Subdirección se ha pronunciado sobre el régimen jurídico de los contratos de arrendamiento en los Conceptos C-646 del 22 de noviembre de 2021</w:t>
      </w:r>
      <w:r>
        <w:rPr>
          <w:rStyle w:val="normaltextrun"/>
          <w:rFonts w:ascii="Verdana" w:hAnsi="Verdana" w:cs="Arial"/>
          <w:shd w:val="clear" w:color="auto" w:fill="FFFFFF"/>
          <w:lang w:val="es-ES_tradnl"/>
        </w:rPr>
        <w:t>,</w:t>
      </w:r>
      <w:r w:rsidRPr="0094222D">
        <w:rPr>
          <w:rStyle w:val="normaltextrun"/>
          <w:rFonts w:ascii="Verdana" w:hAnsi="Verdana" w:cs="Arial"/>
          <w:shd w:val="clear" w:color="auto" w:fill="FFFFFF"/>
          <w:lang w:val="es-ES_tradnl"/>
        </w:rPr>
        <w:t xml:space="preserve"> C-214 del 22 de abril de 2022</w:t>
      </w:r>
      <w:r>
        <w:rPr>
          <w:rStyle w:val="normaltextrun"/>
          <w:rFonts w:ascii="Verdana" w:hAnsi="Verdana" w:cs="Arial"/>
          <w:shd w:val="clear" w:color="auto" w:fill="FFFFFF"/>
          <w:lang w:val="es-ES_tradnl"/>
        </w:rPr>
        <w:t>, C-830 del 16 de diciembre de 2024 y C-159 del 20 de marzo de 2025</w:t>
      </w:r>
      <w:r w:rsidRPr="004A73EC">
        <w:rPr>
          <w:rStyle w:val="normaltextrun"/>
          <w:rFonts w:ascii="Verdana" w:hAnsi="Verdana" w:cs="Arial"/>
          <w:shd w:val="clear" w:color="auto" w:fill="FFFFFF"/>
          <w:lang w:val="es-ES_tradnl"/>
        </w:rPr>
        <w:t>. Es</w:t>
      </w:r>
      <w:r w:rsidRPr="004A73EC">
        <w:rPr>
          <w:rFonts w:ascii="Verdana" w:hAnsi="Verdana"/>
          <w:lang w:val="es-ES_tradnl"/>
        </w:rPr>
        <w:t>tos y otros se encuentran disponibles para consulta en el Sistema de relatoría de la Agencia, al cual puede accederse a través del siguiente enlace:</w:t>
      </w:r>
      <w:r w:rsidRPr="008D0AB0">
        <w:rPr>
          <w:rStyle w:val="normaltextrun"/>
          <w:rFonts w:ascii="Verdana" w:hAnsi="Verdana" w:cs="Arial"/>
          <w:shd w:val="clear" w:color="auto" w:fill="FFFFFF"/>
        </w:rPr>
        <w:t xml:space="preserv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2DC5690C" w14:textId="77777777" w:rsidR="006D7DAE" w:rsidRPr="00096788" w:rsidRDefault="006D7DAE" w:rsidP="006D7DAE">
      <w:pPr>
        <w:widowControl w:val="0"/>
        <w:autoSpaceDE w:val="0"/>
        <w:autoSpaceDN w:val="0"/>
        <w:spacing w:after="0" w:line="276" w:lineRule="auto"/>
        <w:jc w:val="both"/>
        <w:rPr>
          <w:rFonts w:ascii="Verdana" w:hAnsi="Verdana" w:cs="Arial"/>
          <w:color w:val="000000" w:themeColor="text1"/>
          <w:shd w:val="clear" w:color="auto" w:fill="FFFFFF"/>
        </w:rPr>
      </w:pPr>
    </w:p>
    <w:p w14:paraId="095BB1E0" w14:textId="77777777" w:rsidR="006D7DAE" w:rsidRPr="00E440FD" w:rsidRDefault="006D7DAE" w:rsidP="006D7DAE">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 xml:space="preserve">Guía de lineamientos de transparencia y selección </w:t>
        </w:r>
        <w:r w:rsidRPr="00032009">
          <w:rPr>
            <w:rStyle w:val="Hipervnculo"/>
            <w:rFonts w:ascii="Verdana" w:hAnsi="Verdana"/>
          </w:rPr>
          <w:lastRenderedPageBreak/>
          <w:t>objetiva para el departamento de La Guajira – Objetivo sexto constitucional de la Sentencia T-302 del 2017</w:t>
        </w:r>
      </w:hyperlink>
      <w:r>
        <w:rPr>
          <w:rFonts w:ascii="Verdana" w:hAnsi="Verdana"/>
          <w:color w:val="000000"/>
          <w:u w:val="single"/>
        </w:rPr>
        <w:t>.</w:t>
      </w:r>
    </w:p>
    <w:p w14:paraId="1DC3A0EA" w14:textId="77777777" w:rsidR="006D7DAE" w:rsidRDefault="006D7DAE" w:rsidP="006D7DAE">
      <w:pPr>
        <w:widowControl w:val="0"/>
        <w:autoSpaceDE w:val="0"/>
        <w:autoSpaceDN w:val="0"/>
        <w:spacing w:after="0" w:line="276" w:lineRule="auto"/>
        <w:jc w:val="both"/>
        <w:rPr>
          <w:rFonts w:ascii="Verdana" w:hAnsi="Verdana" w:cs="Arial"/>
          <w:color w:val="000000" w:themeColor="text1"/>
          <w:shd w:val="clear" w:color="auto" w:fill="FFFFFF"/>
          <w:lang w:val="es-ES_tradnl"/>
        </w:rPr>
      </w:pPr>
    </w:p>
    <w:p w14:paraId="7500EFDF" w14:textId="77777777" w:rsidR="006D7DAE" w:rsidRPr="0038088D" w:rsidRDefault="006D7DAE" w:rsidP="006D7DAE">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3FFF2710" w14:textId="77777777" w:rsidR="006D7DAE" w:rsidRPr="0038088D" w:rsidRDefault="006D7DAE" w:rsidP="006D7DAE">
      <w:pPr>
        <w:spacing w:after="0"/>
        <w:jc w:val="both"/>
        <w:rPr>
          <w:rFonts w:ascii="Verdana" w:hAnsi="Verdana"/>
        </w:rPr>
      </w:pPr>
    </w:p>
    <w:p w14:paraId="3A8A5D9D" w14:textId="77777777" w:rsidR="006D7DAE" w:rsidRPr="0038088D" w:rsidRDefault="006D7DAE" w:rsidP="006D7DAE">
      <w:pPr>
        <w:pStyle w:val="Prrafodelista"/>
        <w:numPr>
          <w:ilvl w:val="0"/>
          <w:numId w:val="15"/>
        </w:numPr>
        <w:spacing w:after="0" w:line="240" w:lineRule="auto"/>
        <w:jc w:val="both"/>
        <w:rPr>
          <w:rFonts w:ascii="Verdana" w:eastAsia="Verdana" w:hAnsi="Verdana" w:cs="Verdana"/>
          <w:color w:val="4472C4" w:themeColor="accent1"/>
          <w:u w:val="single"/>
        </w:rPr>
      </w:pPr>
      <w:r w:rsidRPr="0038088D">
        <w:rPr>
          <w:rFonts w:ascii="Verdana" w:eastAsia="Verdana" w:hAnsi="Verdana" w:cs="Verdana"/>
        </w:rPr>
        <w:t xml:space="preserve">Línea nacional gratuita o servicio a la ciudadanía (Mesa de servicio): </w:t>
      </w:r>
      <w:r w:rsidRPr="0038088D">
        <w:rPr>
          <w:rStyle w:val="Hipervnculo"/>
          <w:rFonts w:ascii="Verdana" w:hAnsi="Verdana"/>
        </w:rPr>
        <w:t>01800 0520808</w:t>
      </w:r>
    </w:p>
    <w:p w14:paraId="693630D7" w14:textId="77777777" w:rsidR="006D7DAE" w:rsidRPr="0038088D" w:rsidRDefault="006D7DAE" w:rsidP="006D7DAE">
      <w:pPr>
        <w:pStyle w:val="Prrafodelista"/>
        <w:numPr>
          <w:ilvl w:val="0"/>
          <w:numId w:val="15"/>
        </w:numPr>
        <w:spacing w:after="0"/>
        <w:rPr>
          <w:rFonts w:ascii="Verdana" w:eastAsia="Verdana" w:hAnsi="Verdana" w:cs="Verdana"/>
          <w:color w:val="4472C4" w:themeColor="accent1"/>
          <w:u w:val="single"/>
        </w:rPr>
      </w:pPr>
      <w:r w:rsidRPr="0038088D">
        <w:rPr>
          <w:rFonts w:ascii="Verdana" w:eastAsia="Verdana" w:hAnsi="Verdana" w:cs="Verdana"/>
        </w:rPr>
        <w:t>Línea en Bogotá (Mesa de servicio</w:t>
      </w:r>
      <w:proofErr w:type="gramStart"/>
      <w:r w:rsidRPr="0038088D">
        <w:rPr>
          <w:rFonts w:ascii="Verdana" w:eastAsia="Verdana" w:hAnsi="Verdana" w:cs="Verdana"/>
        </w:rPr>
        <w:t>):</w:t>
      </w:r>
      <w:r w:rsidRPr="0038088D">
        <w:rPr>
          <w:rStyle w:val="Hipervnculo"/>
          <w:rFonts w:ascii="Verdana" w:hAnsi="Verdana"/>
        </w:rPr>
        <w:t>+</w:t>
      </w:r>
      <w:proofErr w:type="gramEnd"/>
      <w:r w:rsidRPr="0038088D">
        <w:rPr>
          <w:rStyle w:val="Hipervnculo"/>
          <w:rFonts w:ascii="Verdana" w:hAnsi="Verdana"/>
        </w:rPr>
        <w:t>57 601 7456788</w:t>
      </w:r>
    </w:p>
    <w:p w14:paraId="5EFC9C05" w14:textId="77777777" w:rsidR="006D7DAE" w:rsidRPr="0038088D" w:rsidRDefault="006D7DAE" w:rsidP="006D7DAE">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 xml:space="preserve">Correo de radicación de correspondencia: </w:t>
      </w:r>
      <w:hyperlink r:id="rId14">
        <w:r w:rsidRPr="0038088D">
          <w:rPr>
            <w:rStyle w:val="Hipervnculo"/>
            <w:rFonts w:ascii="Verdana" w:eastAsia="Verdana" w:hAnsi="Verdana" w:cs="Verdana"/>
          </w:rPr>
          <w:t>ventanilladeradicacion@colombiacompra.gov.co</w:t>
        </w:r>
      </w:hyperlink>
    </w:p>
    <w:p w14:paraId="1BFA4595" w14:textId="77777777" w:rsidR="006D7DAE" w:rsidRPr="0038088D" w:rsidRDefault="006D7DAE" w:rsidP="006D7DAE">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Formulario web para</w:t>
      </w:r>
      <w:r w:rsidRPr="0038088D">
        <w:rPr>
          <w:rFonts w:ascii="Verdana" w:eastAsia="Verdana" w:hAnsi="Verdana" w:cs="Verdana"/>
          <w:lang w:val="es"/>
        </w:rPr>
        <w:t xml:space="preserve"> PQRSD: </w:t>
      </w:r>
      <w:hyperlink r:id="rId15">
        <w:r w:rsidRPr="0038088D">
          <w:rPr>
            <w:rStyle w:val="Hipervnculo"/>
            <w:rFonts w:ascii="Verdana" w:eastAsia="Verdana" w:hAnsi="Verdana" w:cs="Verdana"/>
          </w:rPr>
          <w:t>https://www.colombiacompra.gov.co/pqrsd/informacion-importante-antes-de-formular-una-pqrsd</w:t>
        </w:r>
      </w:hyperlink>
    </w:p>
    <w:p w14:paraId="6B4C2FD5" w14:textId="77777777" w:rsidR="006D7DAE" w:rsidRPr="0038088D" w:rsidRDefault="006D7DAE" w:rsidP="006D7DAE">
      <w:pPr>
        <w:spacing w:after="0" w:line="240" w:lineRule="auto"/>
        <w:ind w:left="720"/>
        <w:jc w:val="both"/>
        <w:rPr>
          <w:rFonts w:ascii="Verdana" w:hAnsi="Verdana"/>
        </w:rPr>
      </w:pPr>
    </w:p>
    <w:p w14:paraId="64D3DBE3" w14:textId="77777777" w:rsidR="006D7DAE" w:rsidRPr="0038088D" w:rsidRDefault="006D7DAE" w:rsidP="006D7DAE">
      <w:pPr>
        <w:spacing w:after="0" w:line="240" w:lineRule="auto"/>
        <w:rPr>
          <w:rFonts w:ascii="Verdana" w:hAnsi="Verdana"/>
        </w:rPr>
      </w:pPr>
      <w:r w:rsidRPr="0038088D">
        <w:rPr>
          <w:rFonts w:ascii="Verdana" w:hAnsi="Verdana"/>
        </w:rPr>
        <w:t>Evalúa el servicio que ofrece la Agencia por el canal de atención de PQRSD en el siguiente enlace :</w:t>
      </w:r>
      <w:hyperlink r:id="rId16"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2EA787AE" w14:textId="77777777" w:rsidR="006D7DAE" w:rsidRPr="0038088D" w:rsidRDefault="006D7DAE" w:rsidP="006D7DAE">
      <w:pPr>
        <w:spacing w:after="0" w:line="240" w:lineRule="auto"/>
        <w:rPr>
          <w:rFonts w:ascii="Verdana" w:hAnsi="Verdana"/>
        </w:rPr>
      </w:pPr>
    </w:p>
    <w:p w14:paraId="6C0CED7C" w14:textId="77777777" w:rsidR="006D7DAE" w:rsidRPr="0038088D" w:rsidRDefault="006D7DAE" w:rsidP="006D7DAE">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46FF8EA1" w14:textId="77777777" w:rsidR="006D7DAE" w:rsidRPr="00116940" w:rsidRDefault="006D7DAE" w:rsidP="006D7DAE">
      <w:pPr>
        <w:spacing w:after="0" w:line="240" w:lineRule="auto"/>
        <w:jc w:val="both"/>
        <w:rPr>
          <w:rFonts w:ascii="Verdana" w:hAnsi="Verdana"/>
        </w:rPr>
      </w:pPr>
    </w:p>
    <w:p w14:paraId="550F9592" w14:textId="77777777" w:rsidR="006D7DAE" w:rsidRPr="00116940" w:rsidRDefault="006D7DAE" w:rsidP="006D7DAE">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51E9EF22" w14:textId="77777777" w:rsidR="006D7DAE" w:rsidRPr="00116940" w:rsidRDefault="006D7DAE" w:rsidP="006D7DAE">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1687D72D" w14:textId="77777777" w:rsidR="006D7DAE" w:rsidRPr="0038088D" w:rsidRDefault="006D7DAE" w:rsidP="006D7DAE">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74569B6E" w14:textId="77777777" w:rsidR="006D7DAE" w:rsidRPr="009C4035" w:rsidRDefault="006D7DAE" w:rsidP="006D7DAE">
      <w:pPr>
        <w:widowControl w:val="0"/>
        <w:autoSpaceDE w:val="0"/>
        <w:autoSpaceDN w:val="0"/>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3995D31B" w14:textId="77777777" w:rsidR="006D7DAE" w:rsidRPr="00593A5F" w:rsidRDefault="006D7DAE" w:rsidP="006D7DAE">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43D08E4C" w14:textId="77777777" w:rsidR="006D7DAE" w:rsidRPr="00593A5F" w:rsidRDefault="006D7DAE" w:rsidP="006D7DAE">
      <w:pPr>
        <w:widowControl w:val="0"/>
        <w:autoSpaceDE w:val="0"/>
        <w:autoSpaceDN w:val="0"/>
        <w:spacing w:after="0" w:line="276" w:lineRule="auto"/>
        <w:jc w:val="both"/>
        <w:rPr>
          <w:rFonts w:ascii="Verdana" w:hAnsi="Verdana" w:cs="Arial"/>
        </w:rPr>
      </w:pPr>
    </w:p>
    <w:p w14:paraId="32EFCB22" w14:textId="77777777" w:rsidR="006D7DAE" w:rsidRPr="00593A5F" w:rsidRDefault="006D7DAE" w:rsidP="006D7DAE">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3450A2CE" w14:textId="0251DE72" w:rsidR="006D7DAE" w:rsidRPr="00593A5F" w:rsidRDefault="00330B85" w:rsidP="006D7DAE">
      <w:pPr>
        <w:spacing w:line="276" w:lineRule="auto"/>
        <w:jc w:val="center"/>
        <w:rPr>
          <w:rFonts w:ascii="Verdana" w:hAnsi="Verdana" w:cs="Arial"/>
          <w:color w:val="000000"/>
          <w:lang w:val="es-ES_tradnl" w:eastAsia="es-CO"/>
        </w:rPr>
      </w:pPr>
      <w:r>
        <w:rPr>
          <w:noProof/>
        </w:rPr>
        <w:lastRenderedPageBreak/>
        <w:drawing>
          <wp:inline distT="0" distB="0" distL="0" distR="0" wp14:anchorId="19CF7FAD" wp14:editId="4861D588">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D7DAE" w:rsidRPr="00593A5F" w14:paraId="2B7E27DB" w14:textId="77777777" w:rsidTr="00746A61">
        <w:trPr>
          <w:trHeight w:val="315"/>
        </w:trPr>
        <w:tc>
          <w:tcPr>
            <w:tcW w:w="893" w:type="dxa"/>
            <w:vAlign w:val="center"/>
            <w:hideMark/>
          </w:tcPr>
          <w:p w14:paraId="14828F4E" w14:textId="77777777" w:rsidR="006D7DAE" w:rsidRPr="003751C7" w:rsidRDefault="006D7DAE" w:rsidP="00746A61">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FC06E56" w14:textId="77777777" w:rsidR="006D7DAE" w:rsidRPr="00254A7A" w:rsidRDefault="006D7DAE" w:rsidP="00746A61">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4455D2A0" w14:textId="77777777" w:rsidR="006D7DAE" w:rsidRPr="00254A7A" w:rsidRDefault="006D7DAE" w:rsidP="00746A61">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6D7DAE" w:rsidRPr="00593A5F" w14:paraId="2DA8330F" w14:textId="77777777" w:rsidTr="00746A61">
        <w:trPr>
          <w:trHeight w:val="330"/>
        </w:trPr>
        <w:tc>
          <w:tcPr>
            <w:tcW w:w="893" w:type="dxa"/>
            <w:vAlign w:val="center"/>
            <w:hideMark/>
          </w:tcPr>
          <w:p w14:paraId="21CBCD55" w14:textId="77777777" w:rsidR="006D7DAE" w:rsidRPr="003751C7" w:rsidRDefault="006D7DAE" w:rsidP="00746A61">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2910861" w14:textId="77777777" w:rsidR="006D7DAE" w:rsidRPr="0033383A" w:rsidRDefault="006D7DAE" w:rsidP="00746A61">
            <w:pPr>
              <w:pStyle w:val="paragraph"/>
              <w:spacing w:after="0"/>
              <w:contextualSpacing/>
              <w:textAlignment w:val="baseline"/>
              <w:rPr>
                <w:rStyle w:val="normaltextrun"/>
                <w:rFonts w:ascii="Verdana" w:hAnsi="Verdana" w:cs="Arial"/>
                <w:sz w:val="16"/>
                <w:szCs w:val="16"/>
                <w:lang w:val="es-ES_tradnl"/>
              </w:rPr>
            </w:pPr>
            <w:r w:rsidRPr="0033383A">
              <w:rPr>
                <w:rStyle w:val="normaltextrun"/>
                <w:rFonts w:ascii="Verdana" w:hAnsi="Verdana" w:cs="Arial"/>
                <w:sz w:val="16"/>
                <w:szCs w:val="16"/>
                <w:lang w:val="es-ES_tradnl"/>
              </w:rPr>
              <w:t>Alejandro Sarmiento Cantillo</w:t>
            </w:r>
          </w:p>
          <w:p w14:paraId="30FB2431" w14:textId="77777777" w:rsidR="006D7DAE" w:rsidRPr="00254A7A" w:rsidRDefault="006D7DAE" w:rsidP="00746A61">
            <w:pPr>
              <w:pStyle w:val="paragraph"/>
              <w:spacing w:before="0" w:beforeAutospacing="0" w:after="0" w:afterAutospacing="0"/>
              <w:contextualSpacing/>
              <w:textAlignment w:val="baseline"/>
              <w:rPr>
                <w:rFonts w:ascii="Verdana" w:hAnsi="Verdana" w:cs="Segoe UI"/>
                <w:sz w:val="16"/>
                <w:szCs w:val="16"/>
              </w:rPr>
            </w:pPr>
            <w:r w:rsidRPr="0033383A">
              <w:rPr>
                <w:rStyle w:val="normaltextrun"/>
                <w:rFonts w:ascii="Verdana" w:hAnsi="Verdana" w:cs="Arial"/>
                <w:sz w:val="16"/>
                <w:szCs w:val="16"/>
                <w:lang w:val="es-ES_tradnl"/>
              </w:rPr>
              <w:t>Gestor T1 ‒ 15 de la Subdirección de Gestión Contractual</w:t>
            </w:r>
          </w:p>
        </w:tc>
      </w:tr>
      <w:tr w:rsidR="006D7DAE" w:rsidRPr="00593A5F" w14:paraId="15698215" w14:textId="77777777" w:rsidTr="00746A61">
        <w:trPr>
          <w:trHeight w:val="300"/>
        </w:trPr>
        <w:tc>
          <w:tcPr>
            <w:tcW w:w="893" w:type="dxa"/>
            <w:vAlign w:val="center"/>
          </w:tcPr>
          <w:p w14:paraId="28BB9653" w14:textId="77777777" w:rsidR="006D7DAE" w:rsidRPr="003751C7" w:rsidRDefault="006D7DAE" w:rsidP="00746A61">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F82B9C1" w14:textId="77777777" w:rsidR="006D7DAE" w:rsidRPr="00731523" w:rsidRDefault="006D7DAE" w:rsidP="00746A61">
            <w:pPr>
              <w:contextualSpacing/>
              <w:rPr>
                <w:rFonts w:ascii="Verdana" w:eastAsia="Calibri" w:hAnsi="Verdana" w:cs="Arial"/>
                <w:sz w:val="16"/>
                <w:szCs w:val="16"/>
                <w:lang w:val="es-ES" w:eastAsia="es-ES"/>
              </w:rPr>
            </w:pPr>
            <w:r w:rsidRPr="693F933D">
              <w:rPr>
                <w:rFonts w:ascii="Verdana" w:eastAsia="Calibri" w:hAnsi="Verdana" w:cs="Arial"/>
                <w:sz w:val="16"/>
                <w:szCs w:val="16"/>
                <w:lang w:val="es-ES" w:eastAsia="es-ES"/>
              </w:rPr>
              <w:t xml:space="preserve">Carolina Quintero </w:t>
            </w:r>
            <w:proofErr w:type="spellStart"/>
            <w:r w:rsidRPr="693F933D">
              <w:rPr>
                <w:rFonts w:ascii="Verdana" w:eastAsia="Calibri" w:hAnsi="Verdana" w:cs="Arial"/>
                <w:sz w:val="16"/>
                <w:szCs w:val="16"/>
                <w:lang w:val="es-ES" w:eastAsia="es-ES"/>
              </w:rPr>
              <w:t>Gacharná</w:t>
            </w:r>
            <w:proofErr w:type="spellEnd"/>
          </w:p>
          <w:p w14:paraId="151D0585" w14:textId="77777777" w:rsidR="006D7DAE" w:rsidRPr="003751C7" w:rsidRDefault="006D7DAE" w:rsidP="00746A61">
            <w:pPr>
              <w:contextualSpacing/>
              <w:rPr>
                <w:rFonts w:ascii="Verdana" w:eastAsia="Calibri" w:hAnsi="Verdana" w:cs="Arial"/>
                <w:sz w:val="16"/>
                <w:szCs w:val="16"/>
                <w:lang w:val="pt-BR" w:eastAsia="es-ES"/>
              </w:rPr>
            </w:pPr>
            <w:r w:rsidRPr="00731523">
              <w:rPr>
                <w:rFonts w:ascii="Verdana" w:eastAsia="Calibri" w:hAnsi="Verdana" w:cs="Arial"/>
                <w:sz w:val="16"/>
                <w:szCs w:val="16"/>
                <w:lang w:val="es-ES_tradnl" w:eastAsia="es-ES"/>
              </w:rPr>
              <w:t>Subdirectora de Gestión Contractual ANCP – CCE</w:t>
            </w:r>
          </w:p>
        </w:tc>
      </w:tr>
    </w:tbl>
    <w:p w14:paraId="0BB00D0A" w14:textId="77777777" w:rsidR="006D7DAE" w:rsidRPr="00543BFE" w:rsidRDefault="006D7DAE" w:rsidP="006D7DAE"/>
    <w:p w14:paraId="0F293BF4" w14:textId="36227532" w:rsidR="00127233" w:rsidRPr="001D14C7" w:rsidRDefault="00127233" w:rsidP="001D14C7"/>
    <w:sectPr w:rsidR="00127233" w:rsidRPr="001D14C7"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A01AFA" w14:textId="77777777" w:rsidR="002C0643" w:rsidRDefault="002C0643" w:rsidP="004A1847">
      <w:pPr>
        <w:spacing w:after="0" w:line="240" w:lineRule="auto"/>
      </w:pPr>
      <w:r>
        <w:separator/>
      </w:r>
    </w:p>
  </w:endnote>
  <w:endnote w:type="continuationSeparator" w:id="0">
    <w:p w14:paraId="5F0343CB" w14:textId="77777777" w:rsidR="002C0643" w:rsidRDefault="002C0643" w:rsidP="004A1847">
      <w:pPr>
        <w:spacing w:after="0" w:line="240" w:lineRule="auto"/>
      </w:pPr>
      <w:r>
        <w:continuationSeparator/>
      </w:r>
    </w:p>
  </w:endnote>
  <w:endnote w:type="continuationNotice" w:id="1">
    <w:p w14:paraId="67FA1750" w14:textId="77777777" w:rsidR="002C0643" w:rsidRDefault="002C064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4F622D" w14:textId="77777777" w:rsidR="002C0643" w:rsidRDefault="002C0643" w:rsidP="004A1847">
      <w:pPr>
        <w:spacing w:after="0" w:line="240" w:lineRule="auto"/>
      </w:pPr>
      <w:r>
        <w:separator/>
      </w:r>
    </w:p>
  </w:footnote>
  <w:footnote w:type="continuationSeparator" w:id="0">
    <w:p w14:paraId="0F476C65" w14:textId="77777777" w:rsidR="002C0643" w:rsidRDefault="002C0643" w:rsidP="004A1847">
      <w:pPr>
        <w:spacing w:after="0" w:line="240" w:lineRule="auto"/>
      </w:pPr>
      <w:r>
        <w:continuationSeparator/>
      </w:r>
    </w:p>
  </w:footnote>
  <w:footnote w:type="continuationNotice" w:id="1">
    <w:p w14:paraId="62AFD9B5" w14:textId="77777777" w:rsidR="002C0643" w:rsidRDefault="002C0643">
      <w:pPr>
        <w:spacing w:after="0" w:line="240" w:lineRule="auto"/>
      </w:pPr>
    </w:p>
  </w:footnote>
  <w:footnote w:id="2">
    <w:p w14:paraId="17A652B5" w14:textId="77777777" w:rsidR="006D7DAE" w:rsidRPr="0031671B" w:rsidRDefault="006D7DAE" w:rsidP="006D7DAE">
      <w:pPr>
        <w:pStyle w:val="Textonotapie"/>
        <w:ind w:firstLine="708"/>
        <w:jc w:val="both"/>
        <w:rPr>
          <w:rFonts w:ascii="Verdana" w:hAnsi="Verdana"/>
          <w:sz w:val="16"/>
          <w:szCs w:val="16"/>
        </w:rPr>
      </w:pPr>
      <w:r w:rsidRPr="0031671B">
        <w:rPr>
          <w:rStyle w:val="Refdenotaalpie"/>
          <w:rFonts w:ascii="Verdana" w:hAnsi="Verdana"/>
          <w:sz w:val="16"/>
          <w:szCs w:val="16"/>
        </w:rPr>
        <w:footnoteRef/>
      </w:r>
      <w:r w:rsidRPr="0031671B">
        <w:rPr>
          <w:rFonts w:ascii="Verdana" w:hAnsi="Verdana"/>
          <w:sz w:val="16"/>
          <w:szCs w:val="16"/>
        </w:rPr>
        <w:t xml:space="preserve"> En lo pertinente, la norma prescribe que “Los órganos que son una sección en el Presupuesto General de la Nación, tendrán la capacidad de contratar y comprometer a nombre de la persona jurídica de la cual hagan parte, y ordenar el gasto en desarrollo de las apropiaciones incorporadas en la respectiva sección, lo que constituye la autonomía presupuestal a que se refieren la Constitución Política y la ley. Estas facultades estarán en cabeza del jefe de cada órgano quien podrá delegarlas en funcionarios del nivel directivo, o quien haga sus veces, y serán ejercidas teniendo en cuenta las normas consagradas en el Estatuto General de Contratación de la Administración Pública y en las disposiciones legales vigentes.</w:t>
      </w:r>
    </w:p>
    <w:p w14:paraId="62BF9FDA" w14:textId="77777777" w:rsidR="006D7DAE" w:rsidRPr="0031671B" w:rsidRDefault="006D7DAE" w:rsidP="006D7DAE">
      <w:pPr>
        <w:pStyle w:val="Textonotapie"/>
        <w:ind w:firstLine="708"/>
        <w:jc w:val="both"/>
        <w:rPr>
          <w:rFonts w:ascii="Verdana" w:hAnsi="Verdana"/>
          <w:sz w:val="16"/>
          <w:szCs w:val="16"/>
        </w:rPr>
      </w:pPr>
      <w:r w:rsidRPr="0031671B">
        <w:rPr>
          <w:rFonts w:ascii="Verdana" w:hAnsi="Verdana"/>
          <w:sz w:val="16"/>
          <w:szCs w:val="16"/>
        </w:rPr>
        <w:t>[…]</w:t>
      </w:r>
    </w:p>
    <w:p w14:paraId="6C644D94" w14:textId="77777777" w:rsidR="006D7DAE" w:rsidRPr="0031671B" w:rsidRDefault="006D7DAE" w:rsidP="006D7DAE">
      <w:pPr>
        <w:pStyle w:val="Textonotapie"/>
        <w:ind w:firstLine="708"/>
        <w:jc w:val="both"/>
        <w:rPr>
          <w:rFonts w:ascii="Verdana" w:hAnsi="Verdana"/>
          <w:sz w:val="16"/>
          <w:szCs w:val="16"/>
        </w:rPr>
      </w:pPr>
      <w:r w:rsidRPr="0031671B">
        <w:rPr>
          <w:rFonts w:ascii="Verdana" w:hAnsi="Verdana"/>
          <w:sz w:val="16"/>
          <w:szCs w:val="16"/>
        </w:rPr>
        <w:t>En los mismos términos y condiciones tendrán estas capacidades las Superintendencias, Unidades Administrativas Especiales, las Entidades Territoriales, Asambleas y Concejos, las Contralorías y Personerías Territoriales y todos los demás órganos estatales de cualquier nivel que tengan personería jurídica.</w:t>
      </w:r>
    </w:p>
    <w:p w14:paraId="5F01095F" w14:textId="77777777" w:rsidR="006D7DAE" w:rsidRPr="0031671B" w:rsidRDefault="006D7DAE" w:rsidP="006D7DAE">
      <w:pPr>
        <w:pStyle w:val="Textonotapie"/>
        <w:ind w:firstLine="708"/>
        <w:jc w:val="both"/>
        <w:rPr>
          <w:rFonts w:ascii="Verdana" w:hAnsi="Verdana"/>
          <w:sz w:val="16"/>
          <w:szCs w:val="16"/>
        </w:rPr>
      </w:pPr>
      <w:r w:rsidRPr="0031671B">
        <w:rPr>
          <w:rFonts w:ascii="Verdana" w:hAnsi="Verdana"/>
          <w:sz w:val="16"/>
          <w:szCs w:val="16"/>
        </w:rPr>
        <w:t>En todo caso, el Presidente de la República podrá celebrar contratos a nombre de la Nación”.</w:t>
      </w:r>
    </w:p>
  </w:footnote>
  <w:footnote w:id="3">
    <w:p w14:paraId="45D15CD9" w14:textId="77777777" w:rsidR="006D7DAE" w:rsidRPr="0031671B" w:rsidRDefault="006D7DAE" w:rsidP="006D7DAE">
      <w:pPr>
        <w:pStyle w:val="Textonotapie"/>
        <w:ind w:firstLine="708"/>
        <w:jc w:val="both"/>
        <w:rPr>
          <w:rFonts w:ascii="Verdana" w:hAnsi="Verdana" w:cs="Arial"/>
          <w:sz w:val="16"/>
          <w:szCs w:val="16"/>
        </w:rPr>
      </w:pPr>
      <w:r w:rsidRPr="0031671B">
        <w:rPr>
          <w:rStyle w:val="Refdenotaalpie"/>
          <w:rFonts w:ascii="Verdana" w:hAnsi="Verdana" w:cs="Arial"/>
          <w:sz w:val="16"/>
          <w:szCs w:val="16"/>
        </w:rPr>
        <w:footnoteRef/>
      </w:r>
      <w:r w:rsidRPr="0031671B">
        <w:rPr>
          <w:rFonts w:ascii="Verdana" w:hAnsi="Verdana" w:cs="Arial"/>
          <w:sz w:val="16"/>
          <w:szCs w:val="16"/>
        </w:rPr>
        <w:t xml:space="preserve"> El inciso primero de norma disponía que, conforme al principio de transparencia, “</w:t>
      </w:r>
      <w:r w:rsidRPr="0031671B">
        <w:rPr>
          <w:rFonts w:ascii="Verdana" w:hAnsi="Verdana" w:cs="Arial"/>
          <w:i/>
          <w:iCs/>
          <w:sz w:val="16"/>
          <w:szCs w:val="16"/>
        </w:rPr>
        <w:t>La escogencia del contratista se efectuará siempre a través de licitación o concurso públicos</w:t>
      </w:r>
      <w:r w:rsidRPr="0031671B">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4">
    <w:p w14:paraId="0BE3DAC9" w14:textId="77777777" w:rsidR="006D7DAE" w:rsidRPr="0031671B" w:rsidRDefault="006D7DAE" w:rsidP="006D7DAE">
      <w:pPr>
        <w:pStyle w:val="Textonotapie"/>
        <w:ind w:firstLine="708"/>
        <w:jc w:val="both"/>
        <w:rPr>
          <w:rFonts w:ascii="Verdana" w:hAnsi="Verdana" w:cs="Arial"/>
          <w:sz w:val="16"/>
          <w:szCs w:val="16"/>
        </w:rPr>
      </w:pPr>
      <w:r w:rsidRPr="0031671B">
        <w:rPr>
          <w:rStyle w:val="Refdenotaalpie"/>
          <w:rFonts w:ascii="Verdana" w:hAnsi="Verdana" w:cs="Arial"/>
          <w:sz w:val="16"/>
          <w:szCs w:val="16"/>
        </w:rPr>
        <w:footnoteRef/>
      </w:r>
      <w:r w:rsidRPr="0031671B">
        <w:rPr>
          <w:rFonts w:ascii="Verdana" w:hAnsi="Verdana" w:cs="Arial"/>
          <w:sz w:val="16"/>
          <w:szCs w:val="16"/>
        </w:rPr>
        <w:t xml:space="preserve"> Sobre la articulación de los diferentes procesos de selección previstos en el artículo 2 de la Ley 1150 de 2007, DÁVILA VINUEZA considera lo siguiente: “En las leyes 80 de 1993 y 1150 de 2007 los demás procedimientos de selección distintos a la licitación pública, se convierten en procedimientos excepcionales y procedentes únicamente en los casos taxativamente contemplados en la ley. Pero la excepción no es respecto de los principios de transparencia, economía y responsabilidad y del deber de selección objetiva como parece lo han entendido algunas entidades estales. Estos principios que […] desarrollan los rectores de la función pública de orden constitucional y legal (art. 209 C.N., y art. 3° Cpaca) son aplicables con todo rigor a los procedimientos de excepción. Siendo ello así, la excepción de que se habla es respecto del proceso licitatorio regulado en el artículo 30 de la Ley 80 de 1993 con las variantes introducidas por el artículo 2°, numeral 1, de la ley 1150 de 2007, en concordancia con el artículo 2.2.1.2.1.1.1 del Decreto 1082 de 2015 (</w:t>
      </w:r>
      <w:r w:rsidRPr="0031671B">
        <w:rPr>
          <w:rFonts w:ascii="Verdana" w:hAnsi="Verdana" w:cs="Arial"/>
          <w:i/>
          <w:iCs/>
          <w:sz w:val="16"/>
          <w:szCs w:val="16"/>
        </w:rPr>
        <w:t>Presentación de la oferta de manera dinámica</w:t>
      </w:r>
      <w:r w:rsidRPr="0031671B">
        <w:rPr>
          <w:rFonts w:ascii="Verdana" w:hAnsi="Verdana" w:cs="Arial"/>
          <w:sz w:val="16"/>
          <w:szCs w:val="16"/>
        </w:rPr>
        <w:t xml:space="preserve">). Es decir, que ante la ausencia de una causal concreta para un determinado evento específico, la selección debe asumir la que el ordenamiento jurídico regula como licitación pública. Por eso es que, además, las causas excepcionales de selección son de interpretación restrictiva y no admiten analogía ni la interpretación extensiva. Genera nulidad absoluta del contrato, por abuso o desviación de poder, y nulidad del acto administrativo de selección cualquier artilugio que implique socavar la principal manifestación del principio de transparencia, cual es la selección por vía de licitación”. (DÁVILA VINUEZA, Luis Guillermo. Régimen jurídico de la contratación estatal. Tercera Edición. Bogotá: Legis, 2016. p. 463).      </w:t>
      </w:r>
    </w:p>
  </w:footnote>
  <w:footnote w:id="5">
    <w:p w14:paraId="3F4CFE5A" w14:textId="77777777" w:rsidR="006D7DAE" w:rsidRPr="0031671B" w:rsidRDefault="006D7DAE" w:rsidP="006D7DAE">
      <w:pPr>
        <w:pStyle w:val="Textonotapie"/>
        <w:ind w:right="108" w:firstLine="709"/>
        <w:jc w:val="both"/>
        <w:rPr>
          <w:rFonts w:ascii="Verdana" w:hAnsi="Verdana" w:cs="Arial"/>
          <w:sz w:val="16"/>
          <w:szCs w:val="16"/>
        </w:rPr>
      </w:pPr>
      <w:r w:rsidRPr="0031671B">
        <w:rPr>
          <w:rStyle w:val="Refdenotaalpie"/>
          <w:rFonts w:ascii="Verdana" w:hAnsi="Verdana" w:cs="Arial"/>
          <w:sz w:val="16"/>
          <w:szCs w:val="16"/>
        </w:rPr>
        <w:footnoteRef/>
      </w:r>
      <w:r w:rsidRPr="0031671B">
        <w:rPr>
          <w:rFonts w:ascii="Verdana" w:hAnsi="Verdana" w:cs="Arial"/>
          <w:sz w:val="16"/>
          <w:szCs w:val="16"/>
        </w:rPr>
        <w:t xml:space="preserve"> CONSEJO DE ESTADO. Sección Tercera. Sentencia del 4 de abril de 2002, C.P. Alier E. Hernández Enríquez, Rad. 1999-0290-01 (17.244).</w:t>
      </w:r>
    </w:p>
  </w:footnote>
  <w:footnote w:id="6">
    <w:p w14:paraId="07C6986B" w14:textId="77777777" w:rsidR="006D7DAE" w:rsidRPr="0031671B" w:rsidRDefault="006D7DAE" w:rsidP="006D7DAE">
      <w:pPr>
        <w:spacing w:after="0" w:line="242" w:lineRule="auto"/>
        <w:ind w:right="108" w:firstLine="709"/>
        <w:jc w:val="both"/>
        <w:rPr>
          <w:rFonts w:ascii="Verdana" w:hAnsi="Verdana" w:cs="Arial"/>
          <w:sz w:val="16"/>
          <w:szCs w:val="16"/>
        </w:rPr>
      </w:pPr>
      <w:r w:rsidRPr="0031671B">
        <w:rPr>
          <w:rStyle w:val="Refdenotaalpie"/>
          <w:rFonts w:ascii="Verdana" w:hAnsi="Verdana" w:cs="Arial"/>
          <w:sz w:val="16"/>
          <w:szCs w:val="16"/>
        </w:rPr>
        <w:footnoteRef/>
      </w:r>
      <w:r w:rsidRPr="0031671B">
        <w:rPr>
          <w:rFonts w:ascii="Verdana" w:hAnsi="Verdana" w:cs="Arial"/>
          <w:sz w:val="16"/>
          <w:szCs w:val="16"/>
        </w:rPr>
        <w:t xml:space="preserve"> CONSEJO DE ESTADO. Sección Tercera. Auto del 30 de enero de 2008. Rad. 32.867. M.P. Mauricio Fajardo Gómez: “A partir de la vigencia de la Ley 80, expedida en el año de 1993, el ordenamiento positivo adoptó la categoría del contrato estatal, el cual -al margen de los reparos que amerita la definición contenida en la parte inicial de su artículo 32-, se encuentra legalmente definido como aquel acto jurídico creador de obligaciones a cuya celebración concurra una de las entidades estatales que menciona el artículo 2º ibídem, independientemente de que se trate de contratos previstos o tipificados en el derecho privado, en disposiciones especiales o que sencillamente resulten del ejercicio de la autonomía de la voluntad como suele suceder con los que se clasifican como atípicos e innominados (artículo 32, Ley 80). Así pues, la Ley 80 adoptó un criterio eminentemente subjetivo u orgánico, esto es en atención a la naturaleza de los sujetos u órganos que intervienen en la formación del vínculo contractual, para efectos de determinar que los contratos podrán catalogarse como estatales únicamente en cuanto en uno de sus extremos, al menos, se encuentre una entidad</w:t>
      </w:r>
      <w:r w:rsidRPr="0031671B">
        <w:rPr>
          <w:rFonts w:ascii="Verdana" w:hAnsi="Verdana" w:cs="Arial"/>
          <w:spacing w:val="-2"/>
          <w:sz w:val="16"/>
          <w:szCs w:val="16"/>
        </w:rPr>
        <w:t xml:space="preserve"> </w:t>
      </w:r>
      <w:r w:rsidRPr="0031671B">
        <w:rPr>
          <w:rFonts w:ascii="Verdana" w:hAnsi="Verdana" w:cs="Arial"/>
          <w:sz w:val="16"/>
          <w:szCs w:val="16"/>
        </w:rPr>
        <w:t xml:space="preserve">estatal”. </w:t>
      </w:r>
    </w:p>
  </w:footnote>
  <w:footnote w:id="7">
    <w:p w14:paraId="68D1EC8D" w14:textId="77777777" w:rsidR="006D7DAE" w:rsidRPr="0031671B" w:rsidRDefault="006D7DAE" w:rsidP="006D7DAE">
      <w:pPr>
        <w:pStyle w:val="Textonotapie"/>
        <w:ind w:firstLine="708"/>
        <w:jc w:val="both"/>
        <w:rPr>
          <w:rFonts w:ascii="Verdana" w:hAnsi="Verdana"/>
          <w:sz w:val="16"/>
          <w:szCs w:val="16"/>
          <w:lang w:val="es-CO"/>
        </w:rPr>
      </w:pPr>
      <w:r w:rsidRPr="0031671B">
        <w:rPr>
          <w:rStyle w:val="Refdenotaalpie"/>
          <w:rFonts w:ascii="Verdana" w:hAnsi="Verdana"/>
          <w:sz w:val="16"/>
          <w:szCs w:val="16"/>
        </w:rPr>
        <w:footnoteRef/>
      </w:r>
      <w:r w:rsidRPr="0031671B">
        <w:rPr>
          <w:rFonts w:ascii="Verdana" w:hAnsi="Verdana"/>
          <w:sz w:val="16"/>
          <w:szCs w:val="16"/>
        </w:rPr>
        <w:t xml:space="preserve"> </w:t>
      </w:r>
      <w:r w:rsidRPr="0031671B">
        <w:rPr>
          <w:rFonts w:ascii="Verdana" w:hAnsi="Verdana" w:cs="Arial"/>
          <w:sz w:val="16"/>
          <w:szCs w:val="16"/>
          <w:lang w:val="es-ES"/>
        </w:rPr>
        <w:t xml:space="preserve">Por ello, “[…] </w:t>
      </w:r>
      <w:r w:rsidRPr="0031671B">
        <w:rPr>
          <w:rFonts w:ascii="Verdana" w:hAnsi="Verdana" w:cs="Arial"/>
          <w:sz w:val="16"/>
          <w:szCs w:val="16"/>
        </w:rPr>
        <w:t xml:space="preserve">la clasificación de estatal, respecto de un determinado contrato, no determina, </w:t>
      </w:r>
      <w:r w:rsidRPr="0031671B">
        <w:rPr>
          <w:rFonts w:ascii="Verdana" w:hAnsi="Verdana" w:cs="Arial"/>
          <w:i/>
          <w:iCs/>
          <w:sz w:val="16"/>
          <w:szCs w:val="16"/>
        </w:rPr>
        <w:t>per se</w:t>
      </w:r>
      <w:r w:rsidRPr="0031671B">
        <w:rPr>
          <w:rFonts w:ascii="Verdana" w:hAnsi="Verdana" w:cs="Arial"/>
          <w:sz w:val="16"/>
          <w:szCs w:val="16"/>
        </w:rPr>
        <w:t>, el régimen legal que deba aplicársele al mismo, puesto que resulta perfectamente posible, incluso en relación con contratos estatales propiamente dichos, que las normas sustanciales a la cuales deba someterse la relación contractual sean aquellas que formen parte del denominado derecho privado, sin que por ello pierda su condición de estatal, así como también puede resultar -como ocurre con la generalidad de los casos-, que el régimen jurídico correspondiente sea mixto, esto es integrado tanto por normas de derecho público como de derecho privado” (</w:t>
      </w:r>
      <w:r w:rsidRPr="0031671B">
        <w:rPr>
          <w:rFonts w:ascii="Verdana" w:hAnsi="Verdana" w:cs="Arial"/>
          <w:i/>
          <w:iCs/>
          <w:sz w:val="16"/>
          <w:szCs w:val="16"/>
        </w:rPr>
        <w:t>Ibidem</w:t>
      </w:r>
      <w:r w:rsidRPr="0031671B">
        <w:rPr>
          <w:rFonts w:ascii="Verdana" w:hAnsi="Verdana" w:cs="Arial"/>
          <w:sz w:val="16"/>
          <w:szCs w:val="16"/>
        </w:rPr>
        <w:t>).</w:t>
      </w:r>
    </w:p>
  </w:footnote>
  <w:footnote w:id="8">
    <w:p w14:paraId="586CD974" w14:textId="77777777" w:rsidR="006D7DAE" w:rsidRPr="0031671B" w:rsidRDefault="006D7DAE" w:rsidP="006D7DAE">
      <w:pPr>
        <w:pStyle w:val="Textonotapie"/>
        <w:ind w:firstLine="708"/>
        <w:jc w:val="both"/>
        <w:rPr>
          <w:rFonts w:ascii="Verdana" w:hAnsi="Verdana" w:cs="Arial"/>
          <w:sz w:val="16"/>
          <w:szCs w:val="16"/>
          <w:lang w:val="es-ES"/>
        </w:rPr>
      </w:pPr>
      <w:r w:rsidRPr="0031671B">
        <w:rPr>
          <w:rStyle w:val="Refdenotaalpie"/>
          <w:rFonts w:ascii="Verdana" w:hAnsi="Verdana" w:cs="Arial"/>
          <w:sz w:val="16"/>
          <w:szCs w:val="16"/>
        </w:rPr>
        <w:footnoteRef/>
      </w:r>
      <w:r w:rsidRPr="0031671B">
        <w:rPr>
          <w:rFonts w:ascii="Verdana" w:hAnsi="Verdana" w:cs="Arial"/>
          <w:sz w:val="16"/>
          <w:szCs w:val="16"/>
        </w:rPr>
        <w:t xml:space="preserve"> Cfr. BENAVIDES, José Luis. El contrato estatal: entre el derecho público y el derecho privado. Segunda edición. Bogotá: Universidad Externado de Colombia, 2009. pp. 78-79.      </w:t>
      </w:r>
    </w:p>
  </w:footnote>
  <w:footnote w:id="9">
    <w:p w14:paraId="62DF171F" w14:textId="77777777" w:rsidR="006D7DAE" w:rsidRPr="0031671B" w:rsidRDefault="006D7DAE" w:rsidP="006D7DAE">
      <w:pPr>
        <w:pStyle w:val="Textonotapie"/>
        <w:ind w:firstLine="708"/>
        <w:jc w:val="both"/>
        <w:rPr>
          <w:rFonts w:ascii="Verdana" w:hAnsi="Verdana" w:cs="Arial"/>
          <w:sz w:val="16"/>
          <w:szCs w:val="16"/>
          <w:lang w:val="es-ES"/>
        </w:rPr>
      </w:pPr>
      <w:r w:rsidRPr="0031671B">
        <w:rPr>
          <w:rStyle w:val="Refdenotaalpie"/>
          <w:rFonts w:ascii="Verdana" w:hAnsi="Verdana" w:cs="Arial"/>
          <w:sz w:val="16"/>
          <w:szCs w:val="16"/>
        </w:rPr>
        <w:footnoteRef/>
      </w:r>
      <w:r w:rsidRPr="0031671B">
        <w:rPr>
          <w:rFonts w:ascii="Verdana" w:hAnsi="Verdana" w:cs="Arial"/>
          <w:sz w:val="16"/>
          <w:szCs w:val="16"/>
        </w:rPr>
        <w:t xml:space="preserve"> BETANCUR JARAMILLO, Carlos. Derecho procesal administrativo. Octava edición. Medellín: Señal Editora, 2013. p. 627. </w:t>
      </w:r>
    </w:p>
  </w:footnote>
  <w:footnote w:id="10">
    <w:p w14:paraId="2386F441" w14:textId="77777777" w:rsidR="006D7DAE" w:rsidRPr="0031671B" w:rsidRDefault="006D7DAE" w:rsidP="006D7DAE">
      <w:pPr>
        <w:pStyle w:val="Textonotapie"/>
        <w:ind w:firstLine="709"/>
        <w:jc w:val="both"/>
        <w:rPr>
          <w:rFonts w:ascii="Verdana" w:hAnsi="Verdana" w:cs="Arial"/>
          <w:color w:val="000000" w:themeColor="text1"/>
          <w:sz w:val="16"/>
          <w:szCs w:val="16"/>
          <w:lang w:val="es-ES"/>
        </w:rPr>
      </w:pPr>
      <w:r w:rsidRPr="0031671B">
        <w:rPr>
          <w:rStyle w:val="Refdenotaalpie"/>
          <w:rFonts w:ascii="Verdana" w:hAnsi="Verdana" w:cs="Arial"/>
          <w:color w:val="000000" w:themeColor="text1"/>
          <w:sz w:val="16"/>
          <w:szCs w:val="16"/>
        </w:rPr>
        <w:footnoteRef/>
      </w:r>
      <w:r w:rsidRPr="0031671B">
        <w:rPr>
          <w:rFonts w:ascii="Verdana" w:hAnsi="Verdana" w:cs="Arial"/>
          <w:color w:val="000000" w:themeColor="text1"/>
          <w:sz w:val="16"/>
          <w:szCs w:val="16"/>
        </w:rPr>
        <w:t xml:space="preserve"> </w:t>
      </w:r>
      <w:r w:rsidRPr="0031671B">
        <w:rPr>
          <w:rFonts w:ascii="Verdana" w:hAnsi="Verdana" w:cs="Arial"/>
          <w:color w:val="000000" w:themeColor="text1"/>
          <w:sz w:val="16"/>
          <w:szCs w:val="16"/>
          <w:lang w:val="es-ES"/>
        </w:rPr>
        <w:t>Para la doctrina, “El arrendamiento es el contrato en virtud del cual una de las partes se obliga a proporcionarle a otra el uso y goce de una cosa, durante cierto tiempo, y ésta a pagar, como contraprestación, un precio determinado.</w:t>
      </w:r>
    </w:p>
    <w:p w14:paraId="0B551BFC" w14:textId="77777777" w:rsidR="006D7DAE" w:rsidRPr="0031671B" w:rsidRDefault="006D7DAE" w:rsidP="006D7DAE">
      <w:pPr>
        <w:pStyle w:val="Textonotapie"/>
        <w:ind w:firstLine="709"/>
        <w:jc w:val="both"/>
        <w:rPr>
          <w:rFonts w:ascii="Verdana" w:hAnsi="Verdana" w:cs="Arial"/>
          <w:color w:val="000000" w:themeColor="text1"/>
          <w:sz w:val="16"/>
          <w:szCs w:val="16"/>
          <w:lang w:val="es-ES"/>
        </w:rPr>
      </w:pPr>
      <w:r w:rsidRPr="0031671B">
        <w:rPr>
          <w:rFonts w:ascii="Verdana" w:hAnsi="Verdana" w:cs="Arial"/>
          <w:color w:val="000000" w:themeColor="text1"/>
          <w:sz w:val="16"/>
          <w:szCs w:val="16"/>
          <w:lang w:val="es-ES"/>
        </w:rPr>
        <w:t xml:space="preserve">La parte que proporciona el goce se llama </w:t>
      </w:r>
      <w:r w:rsidRPr="0031671B">
        <w:rPr>
          <w:rFonts w:ascii="Verdana" w:hAnsi="Verdana" w:cs="Arial"/>
          <w:b/>
          <w:bCs/>
          <w:color w:val="000000" w:themeColor="text1"/>
          <w:sz w:val="16"/>
          <w:szCs w:val="16"/>
          <w:lang w:val="es-ES"/>
        </w:rPr>
        <w:t>arrendador</w:t>
      </w:r>
      <w:r w:rsidRPr="0031671B">
        <w:rPr>
          <w:rFonts w:ascii="Verdana" w:hAnsi="Verdana" w:cs="Arial"/>
          <w:color w:val="000000" w:themeColor="text1"/>
          <w:sz w:val="16"/>
          <w:szCs w:val="16"/>
          <w:lang w:val="es-ES"/>
        </w:rPr>
        <w:t xml:space="preserve"> y la parte que da el precio </w:t>
      </w:r>
      <w:r w:rsidRPr="0031671B">
        <w:rPr>
          <w:rFonts w:ascii="Verdana" w:hAnsi="Verdana" w:cs="Arial"/>
          <w:b/>
          <w:bCs/>
          <w:color w:val="000000" w:themeColor="text1"/>
          <w:sz w:val="16"/>
          <w:szCs w:val="16"/>
          <w:lang w:val="es-ES"/>
        </w:rPr>
        <w:t>arrendatario</w:t>
      </w:r>
      <w:r w:rsidRPr="0031671B">
        <w:rPr>
          <w:rFonts w:ascii="Verdana" w:hAnsi="Verdana" w:cs="Arial"/>
          <w:color w:val="000000" w:themeColor="text1"/>
          <w:sz w:val="16"/>
          <w:szCs w:val="16"/>
          <w:lang w:val="es-ES"/>
        </w:rPr>
        <w:t xml:space="preserve">. También se conoce con el nombre de </w:t>
      </w:r>
      <w:r w:rsidRPr="0031671B">
        <w:rPr>
          <w:rFonts w:ascii="Verdana" w:hAnsi="Verdana" w:cs="Arial"/>
          <w:b/>
          <w:bCs/>
          <w:color w:val="000000" w:themeColor="text1"/>
          <w:sz w:val="16"/>
          <w:szCs w:val="16"/>
          <w:lang w:val="es-ES"/>
        </w:rPr>
        <w:t>inquilino</w:t>
      </w:r>
      <w:r w:rsidRPr="0031671B">
        <w:rPr>
          <w:rFonts w:ascii="Verdana" w:hAnsi="Verdana" w:cs="Arial"/>
          <w:color w:val="000000" w:themeColor="text1"/>
          <w:sz w:val="16"/>
          <w:szCs w:val="16"/>
          <w:lang w:val="es-ES"/>
        </w:rPr>
        <w:t xml:space="preserve"> cuando se trata de arrendamiento de casas, almacenes u otros edificios, y </w:t>
      </w:r>
      <w:r w:rsidRPr="0031671B">
        <w:rPr>
          <w:rFonts w:ascii="Verdana" w:hAnsi="Verdana" w:cs="Arial"/>
          <w:b/>
          <w:bCs/>
          <w:color w:val="000000" w:themeColor="text1"/>
          <w:sz w:val="16"/>
          <w:szCs w:val="16"/>
          <w:lang w:val="es-ES"/>
        </w:rPr>
        <w:t>colono</w:t>
      </w:r>
      <w:r w:rsidRPr="0031671B">
        <w:rPr>
          <w:rFonts w:ascii="Verdana" w:hAnsi="Verdana" w:cs="Arial"/>
          <w:color w:val="000000" w:themeColor="text1"/>
          <w:sz w:val="16"/>
          <w:szCs w:val="16"/>
          <w:lang w:val="es-ES"/>
        </w:rPr>
        <w:t xml:space="preserve"> cuando el goce radica en predio rústico. Son expresiones que, indistintamente, hace uso el Código Civil, por ejemplo, en los artículos 1977, 2028, 2037, respectivamente” (BONIVENTO FERNANDEZ, José. Los principales contratos civiles y su paralelo con los comerciales. Vigésimo segunda edición. Bogotá: Tirant lo Blanch, 2024. p. 524 p. 569. Énfasis dentro del texto). </w:t>
      </w:r>
    </w:p>
  </w:footnote>
  <w:footnote w:id="11">
    <w:p w14:paraId="5B1F5921" w14:textId="77777777" w:rsidR="006D7DAE" w:rsidRPr="0031671B" w:rsidRDefault="006D7DAE" w:rsidP="006D7DAE">
      <w:pPr>
        <w:pStyle w:val="Textonotapie"/>
        <w:ind w:firstLine="708"/>
        <w:jc w:val="both"/>
        <w:rPr>
          <w:rFonts w:ascii="Verdana" w:hAnsi="Verdana" w:cs="Arial"/>
          <w:sz w:val="16"/>
          <w:szCs w:val="16"/>
        </w:rPr>
      </w:pPr>
      <w:r w:rsidRPr="0031671B">
        <w:rPr>
          <w:rStyle w:val="Refdenotaalpie"/>
          <w:rFonts w:ascii="Verdana" w:hAnsi="Verdana" w:cs="Arial"/>
          <w:sz w:val="16"/>
          <w:szCs w:val="16"/>
        </w:rPr>
        <w:footnoteRef/>
      </w:r>
      <w:r w:rsidRPr="0031671B">
        <w:rPr>
          <w:rFonts w:ascii="Verdana" w:hAnsi="Verdana" w:cs="Arial"/>
          <w:sz w:val="16"/>
          <w:szCs w:val="16"/>
        </w:rPr>
        <w:t xml:space="preserve"> Lo anterior bajo el régimen del derecho privado, sin perjuicio de que cuando se trata de un contrato estatal deben cumplirse los requisitos de perfeccionamiento establecidos en el artículo 41 de la Ley 80 de 1993.</w:t>
      </w:r>
    </w:p>
  </w:footnote>
  <w:footnote w:id="12">
    <w:p w14:paraId="5CAB24DF" w14:textId="77777777" w:rsidR="006D7DAE" w:rsidRPr="0031671B" w:rsidRDefault="006D7DAE" w:rsidP="006D7DAE">
      <w:pPr>
        <w:pStyle w:val="Textonotapie"/>
        <w:ind w:firstLine="709"/>
        <w:jc w:val="both"/>
        <w:rPr>
          <w:rFonts w:ascii="Verdana" w:hAnsi="Verdana" w:cs="Arial"/>
          <w:color w:val="000000" w:themeColor="text1"/>
          <w:sz w:val="16"/>
          <w:szCs w:val="16"/>
        </w:rPr>
      </w:pPr>
      <w:r w:rsidRPr="0031671B">
        <w:rPr>
          <w:rStyle w:val="Refdenotaalpie"/>
          <w:rFonts w:ascii="Verdana" w:hAnsi="Verdana" w:cs="Arial"/>
          <w:color w:val="000000" w:themeColor="text1"/>
          <w:sz w:val="16"/>
          <w:szCs w:val="16"/>
        </w:rPr>
        <w:footnoteRef/>
      </w:r>
      <w:r w:rsidRPr="0031671B">
        <w:rPr>
          <w:rFonts w:ascii="Verdana" w:hAnsi="Verdana" w:cs="Arial"/>
          <w:color w:val="000000" w:themeColor="text1"/>
          <w:sz w:val="16"/>
          <w:szCs w:val="16"/>
        </w:rPr>
        <w:t xml:space="preserve"> </w:t>
      </w:r>
      <w:r w:rsidRPr="0031671B">
        <w:rPr>
          <w:rFonts w:ascii="Verdana" w:hAnsi="Verdana" w:cs="Arial"/>
          <w:i/>
          <w:iCs/>
          <w:color w:val="000000" w:themeColor="text1"/>
          <w:sz w:val="16"/>
          <w:szCs w:val="16"/>
        </w:rPr>
        <w:t>Ibidem</w:t>
      </w:r>
      <w:r w:rsidRPr="0031671B">
        <w:rPr>
          <w:rFonts w:ascii="Verdana" w:hAnsi="Verdana" w:cs="Arial"/>
          <w:color w:val="000000" w:themeColor="text1"/>
          <w:sz w:val="16"/>
          <w:szCs w:val="16"/>
        </w:rPr>
        <w:t>. pp. 569-570.</w:t>
      </w:r>
    </w:p>
  </w:footnote>
  <w:footnote w:id="13">
    <w:p w14:paraId="2CB26FB5" w14:textId="77777777" w:rsidR="006D7DAE" w:rsidRPr="00480D85" w:rsidRDefault="006D7DAE" w:rsidP="006D7DAE">
      <w:pPr>
        <w:pStyle w:val="Textonotapie"/>
        <w:ind w:firstLine="567"/>
        <w:jc w:val="both"/>
        <w:rPr>
          <w:rFonts w:ascii="Verdana" w:hAnsi="Verdana" w:cs="Arial"/>
          <w:sz w:val="16"/>
          <w:szCs w:val="16"/>
          <w:lang w:val="es-ES"/>
        </w:rPr>
      </w:pPr>
      <w:r w:rsidRPr="00480D85">
        <w:rPr>
          <w:rStyle w:val="Refdenotaalpie"/>
          <w:rFonts w:ascii="Verdana" w:hAnsi="Verdana" w:cs="Arial"/>
          <w:sz w:val="16"/>
          <w:szCs w:val="16"/>
        </w:rPr>
        <w:footnoteRef/>
      </w:r>
      <w:r w:rsidRPr="00480D85">
        <w:rPr>
          <w:rFonts w:ascii="Verdana" w:hAnsi="Verdana" w:cs="Arial"/>
          <w:sz w:val="16"/>
          <w:szCs w:val="16"/>
        </w:rPr>
        <w:t xml:space="preserve"> </w:t>
      </w:r>
      <w:r w:rsidRPr="00480D85">
        <w:rPr>
          <w:rFonts w:ascii="Verdana" w:hAnsi="Verdana" w:cs="Arial"/>
          <w:sz w:val="16"/>
          <w:szCs w:val="16"/>
          <w:lang w:val="es-ES"/>
        </w:rPr>
        <w:t xml:space="preserve">Congreso de la República, Gaceta 466 del 2 de agosto de 2005. Exposición de motivos del Proyecto de Ley 19 de 2005 – Senado. </w:t>
      </w:r>
    </w:p>
  </w:footnote>
  <w:footnote w:id="14">
    <w:p w14:paraId="54742D6C" w14:textId="77777777" w:rsidR="006D7DAE" w:rsidRPr="00480D85" w:rsidRDefault="006D7DAE" w:rsidP="006D7DAE">
      <w:pPr>
        <w:pStyle w:val="Textonotapie"/>
        <w:ind w:firstLine="567"/>
        <w:jc w:val="both"/>
        <w:rPr>
          <w:rFonts w:ascii="Verdana" w:hAnsi="Verdana" w:cs="Arial"/>
          <w:sz w:val="16"/>
          <w:szCs w:val="16"/>
          <w:lang w:val="es-ES"/>
        </w:rPr>
      </w:pPr>
      <w:r w:rsidRPr="00480D85">
        <w:rPr>
          <w:rStyle w:val="Refdenotaalpie"/>
          <w:rFonts w:ascii="Verdana" w:hAnsi="Verdana" w:cs="Arial"/>
          <w:sz w:val="16"/>
          <w:szCs w:val="16"/>
        </w:rPr>
        <w:footnoteRef/>
      </w:r>
      <w:r w:rsidRPr="00480D85">
        <w:rPr>
          <w:rFonts w:ascii="Verdana" w:hAnsi="Verdana" w:cs="Arial"/>
          <w:sz w:val="16"/>
          <w:szCs w:val="16"/>
        </w:rPr>
        <w:t xml:space="preserve"> </w:t>
      </w:r>
      <w:r w:rsidRPr="00480D85">
        <w:rPr>
          <w:rFonts w:ascii="Verdana" w:hAnsi="Verdana" w:cs="Arial"/>
          <w:sz w:val="16"/>
          <w:szCs w:val="16"/>
          <w:lang w:val="es-ES"/>
        </w:rPr>
        <w:t xml:space="preserve">Agencia Nacional de Contratación Pública – Colombia Compra Eficiente, Guía de Competencia en las Compras Públicas. La Guía puede consultarse en el siguiente enlace: </w:t>
      </w:r>
      <w:hyperlink r:id="rId1" w:history="1">
        <w:r w:rsidRPr="00480D85">
          <w:rPr>
            <w:rStyle w:val="Hipervnculo"/>
            <w:rFonts w:ascii="Verdana" w:hAnsi="Verdana" w:cs="Arial"/>
            <w:sz w:val="16"/>
            <w:szCs w:val="16"/>
            <w:lang w:val="es-ES"/>
          </w:rPr>
          <w:t>https://colombiacompra.gov.co/sites/cce_public/files/cce_documents/cce_guia_competencia_0.pdf</w:t>
        </w:r>
      </w:hyperlink>
      <w:r w:rsidRPr="00480D85">
        <w:rPr>
          <w:rFonts w:ascii="Verdana" w:hAnsi="Verdana" w:cs="Arial"/>
          <w:sz w:val="16"/>
          <w:szCs w:val="16"/>
          <w:lang w:val="es-ES"/>
        </w:rPr>
        <w:t xml:space="preserve">. </w:t>
      </w:r>
    </w:p>
  </w:footnote>
  <w:footnote w:id="15">
    <w:p w14:paraId="07FF6AB2" w14:textId="77777777" w:rsidR="006D7DAE" w:rsidRPr="00480D85" w:rsidRDefault="006D7DAE" w:rsidP="006D7DAE">
      <w:pPr>
        <w:pStyle w:val="Textonotapie"/>
        <w:ind w:firstLine="708"/>
        <w:jc w:val="both"/>
        <w:rPr>
          <w:rFonts w:ascii="Verdana" w:hAnsi="Verdana" w:cs="Arial"/>
          <w:sz w:val="16"/>
          <w:szCs w:val="16"/>
        </w:rPr>
      </w:pPr>
      <w:r w:rsidRPr="00480D85">
        <w:rPr>
          <w:rStyle w:val="Refdenotaalpie"/>
          <w:rFonts w:ascii="Verdana" w:hAnsi="Verdana" w:cs="Arial"/>
          <w:sz w:val="16"/>
          <w:szCs w:val="16"/>
        </w:rPr>
        <w:footnoteRef/>
      </w:r>
      <w:r w:rsidRPr="00480D85">
        <w:rPr>
          <w:rFonts w:ascii="Verdana" w:hAnsi="Verdana" w:cs="Arial"/>
          <w:sz w:val="16"/>
          <w:szCs w:val="16"/>
          <w:lang w:val="pt-BR"/>
        </w:rPr>
        <w:t xml:space="preserve"> Corte Constitucional. </w:t>
      </w:r>
      <w:r w:rsidRPr="00480D85">
        <w:rPr>
          <w:rFonts w:ascii="Verdana" w:hAnsi="Verdana" w:cs="Arial"/>
          <w:sz w:val="16"/>
          <w:szCs w:val="16"/>
          <w:lang w:val="es-CO"/>
        </w:rPr>
        <w:t xml:space="preserve">Sentencia C-713 del 7 de octubre de 2009. </w:t>
      </w:r>
      <w:r w:rsidRPr="00480D85">
        <w:rPr>
          <w:rFonts w:ascii="Verdana" w:hAnsi="Verdana" w:cs="Arial"/>
          <w:sz w:val="16"/>
          <w:szCs w:val="16"/>
        </w:rPr>
        <w:t>M.P. María Victoria Calle Correa.</w:t>
      </w:r>
    </w:p>
  </w:footnote>
  <w:footnote w:id="16">
    <w:p w14:paraId="6CACD5B3" w14:textId="77777777" w:rsidR="006D7DAE" w:rsidRPr="00480D85" w:rsidRDefault="006D7DAE" w:rsidP="006D7DAE">
      <w:pPr>
        <w:pStyle w:val="Textonotapie"/>
        <w:ind w:firstLine="709"/>
        <w:jc w:val="both"/>
        <w:rPr>
          <w:rFonts w:ascii="Verdana" w:hAnsi="Verdana" w:cs="Arial"/>
          <w:sz w:val="16"/>
          <w:szCs w:val="16"/>
        </w:rPr>
      </w:pPr>
      <w:r w:rsidRPr="00480D85">
        <w:rPr>
          <w:rStyle w:val="Refdenotaalpie"/>
          <w:rFonts w:ascii="Verdana" w:hAnsi="Verdana" w:cs="Arial"/>
          <w:sz w:val="16"/>
          <w:szCs w:val="16"/>
        </w:rPr>
        <w:footnoteRef/>
      </w:r>
      <w:r w:rsidRPr="00480D85">
        <w:rPr>
          <w:rFonts w:ascii="Verdana" w:hAnsi="Verdana" w:cs="Arial"/>
          <w:sz w:val="16"/>
          <w:szCs w:val="16"/>
        </w:rPr>
        <w:t xml:space="preserve"> Consejo de Estado. Sección Tercera. Subsección A. Sentencia del 24 de mayo de 2018. Exp. 50.222. C.P. Marta Nubia Velásquez Rico.</w:t>
      </w:r>
    </w:p>
  </w:footnote>
  <w:footnote w:id="17">
    <w:p w14:paraId="3D8F2638" w14:textId="77777777" w:rsidR="006D7DAE" w:rsidRPr="00480D85" w:rsidRDefault="006D7DAE" w:rsidP="006D7DAE">
      <w:pPr>
        <w:pStyle w:val="Textonotapie"/>
        <w:ind w:firstLine="708"/>
        <w:jc w:val="both"/>
        <w:rPr>
          <w:rFonts w:ascii="Verdana" w:hAnsi="Verdana" w:cs="Arial"/>
          <w:iCs/>
          <w:sz w:val="16"/>
          <w:szCs w:val="16"/>
          <w:lang w:val="es-ES_tradnl"/>
        </w:rPr>
      </w:pPr>
      <w:r w:rsidRPr="00480D85">
        <w:rPr>
          <w:rStyle w:val="Refdenotaalpie"/>
          <w:rFonts w:ascii="Verdana" w:hAnsi="Verdana" w:cs="Arial"/>
          <w:sz w:val="16"/>
          <w:szCs w:val="16"/>
        </w:rPr>
        <w:footnoteRef/>
      </w:r>
      <w:r w:rsidRPr="00480D85">
        <w:rPr>
          <w:rFonts w:ascii="Verdana" w:hAnsi="Verdana" w:cs="Arial"/>
          <w:sz w:val="16"/>
          <w:szCs w:val="16"/>
        </w:rPr>
        <w:t xml:space="preserve"> </w:t>
      </w:r>
      <w:r w:rsidRPr="00480D85">
        <w:rPr>
          <w:rFonts w:ascii="Verdana" w:hAnsi="Verdana" w:cs="Arial"/>
          <w:sz w:val="16"/>
          <w:szCs w:val="16"/>
          <w:lang w:val="es-ES_tradnl"/>
        </w:rPr>
        <w:t xml:space="preserve">En efecto, de acuerdo con el Consejo de Estado: </w:t>
      </w:r>
      <w:r w:rsidRPr="00480D85">
        <w:rPr>
          <w:rFonts w:ascii="Verdana" w:eastAsia="Times New Roman" w:hAnsi="Verdana" w:cs="Arial"/>
          <w:sz w:val="16"/>
          <w:szCs w:val="16"/>
          <w:lang w:val="es-CO" w:eastAsia="es-MX"/>
        </w:rPr>
        <w:t>“</w:t>
      </w:r>
      <w:r w:rsidRPr="00480D85">
        <w:rPr>
          <w:rFonts w:ascii="Verdana" w:hAnsi="Verdana" w:cs="Arial"/>
          <w:iCs/>
          <w:sz w:val="16"/>
          <w:szCs w:val="16"/>
          <w:lang w:val="es-ES_tradnl"/>
        </w:rPr>
        <w:t>[...] la administración se encuentra en la obligación de establecer, con antelación al inicio del proceso de contratación, los criterios objetivos de la futura contratación, tales como la necesidad a satisfacer y los mejores medios para tales propósitos, el presupuesto estimado de la contratación, el objeto contractual, las prestaciones específicas a cargo de las partes, las condiciones de calidad y oportunidad, así como las calidades del posible contratista. Con fundamento en tal ejercicio de planeación y estructuración de la contratación, la administración cuenta, sin duda, con criterios que le permitirían adoptar una decisión objetiva en relación con aquello que resulte más favorable para el cumplimiento de los fines ínsitos en la contratación.[…] Ante la ausencia de pluralidad de ofertas –situación que, por lo demás debería ser excepcional, así como lo debe ser acudir a la modalidad de contratación directa, pues memórese que la regla general es la licitación pública en garantía de la máxima publicidad y concurrencia en la contratación estatal–, será procedente comparar el único ofrecimiento con los criterios objetivos elaborados por la entidad. En este evento, por lo tanto, los métodos a los que se debe acudir para garantizar la selección objetiva se ven reducidos en comparación con las demás modalidades de contratación, en tanto no hay comparación de ofertas, sin que ello implique que se incumpla con tal regla, pues persiste, necesariamente una confrontación de la única oferta con los estudios previos que elaboró la entidad, lo cual ofrecerá la objetividad necesaria para evitar imparcialidad en la contratación de los bienes o servicios de que se trate</w:t>
      </w:r>
      <w:r w:rsidRPr="00480D85">
        <w:rPr>
          <w:rFonts w:ascii="Verdana" w:eastAsia="Times New Roman" w:hAnsi="Verdana" w:cs="Arial"/>
          <w:sz w:val="16"/>
          <w:szCs w:val="16"/>
          <w:lang w:val="es-CO" w:eastAsia="es-MX"/>
        </w:rPr>
        <w:t>”</w:t>
      </w:r>
      <w:r w:rsidRPr="00480D85">
        <w:rPr>
          <w:rFonts w:ascii="Verdana" w:hAnsi="Verdana" w:cs="Arial"/>
          <w:iCs/>
          <w:sz w:val="16"/>
          <w:szCs w:val="16"/>
          <w:lang w:val="es-ES_tradnl"/>
        </w:rPr>
        <w:t>.</w:t>
      </w:r>
      <w:r w:rsidRPr="00480D85">
        <w:rPr>
          <w:rFonts w:ascii="Verdana" w:hAnsi="Verdana" w:cs="Arial"/>
          <w:sz w:val="16"/>
          <w:szCs w:val="16"/>
        </w:rPr>
        <w:t xml:space="preserve"> Consejo de Estado. Sección Tercera. Sentencia del 23 de julio de 2015. Exp. 36.805. C.P. Hernán Andrade Rincón.</w:t>
      </w:r>
    </w:p>
  </w:footnote>
  <w:footnote w:id="18">
    <w:p w14:paraId="37BA054A" w14:textId="77777777" w:rsidR="006D7DAE" w:rsidRPr="00480D85" w:rsidRDefault="006D7DAE" w:rsidP="006D7DAE">
      <w:pPr>
        <w:pStyle w:val="Textonotapie"/>
        <w:ind w:firstLine="708"/>
        <w:jc w:val="both"/>
        <w:rPr>
          <w:rFonts w:ascii="Verdana" w:hAnsi="Verdana" w:cs="Arial"/>
          <w:sz w:val="16"/>
          <w:szCs w:val="16"/>
          <w:lang w:val="es-CO"/>
        </w:rPr>
      </w:pPr>
      <w:r w:rsidRPr="00480D85">
        <w:rPr>
          <w:rStyle w:val="Refdenotaalpie"/>
          <w:rFonts w:ascii="Verdana" w:hAnsi="Verdana" w:cs="Arial"/>
          <w:sz w:val="16"/>
          <w:szCs w:val="16"/>
        </w:rPr>
        <w:footnoteRef/>
      </w:r>
      <w:r w:rsidRPr="00480D85">
        <w:rPr>
          <w:rFonts w:ascii="Verdana" w:hAnsi="Verdana" w:cs="Arial"/>
          <w:sz w:val="16"/>
          <w:szCs w:val="16"/>
        </w:rPr>
        <w:t xml:space="preserve"> Consejo de Estado. Sala de consulta y servicio civil. Sentencia del 20 de febrero de 2006. Exp. 1.727. C.P. Enrique José Arboleda Perdomo.</w:t>
      </w:r>
    </w:p>
  </w:footnote>
  <w:footnote w:id="19">
    <w:p w14:paraId="7669C4A4" w14:textId="77777777" w:rsidR="006D7DAE" w:rsidRPr="00013ED1" w:rsidRDefault="006D7DAE" w:rsidP="006D7DAE">
      <w:pPr>
        <w:pStyle w:val="Textonotapie"/>
        <w:ind w:firstLine="708"/>
        <w:jc w:val="both"/>
        <w:rPr>
          <w:rFonts w:ascii="Verdana" w:hAnsi="Verdana"/>
          <w:sz w:val="16"/>
          <w:szCs w:val="16"/>
          <w:lang w:val="es-CO"/>
        </w:rPr>
      </w:pPr>
      <w:r w:rsidRPr="00E73AA2">
        <w:rPr>
          <w:rStyle w:val="Refdenotaalpie"/>
          <w:rFonts w:ascii="Verdana" w:hAnsi="Verdana"/>
          <w:sz w:val="16"/>
          <w:szCs w:val="16"/>
        </w:rPr>
        <w:footnoteRef/>
      </w:r>
      <w:r w:rsidRPr="00E73AA2">
        <w:rPr>
          <w:rFonts w:ascii="Verdana" w:hAnsi="Verdana"/>
          <w:sz w:val="16"/>
          <w:szCs w:val="16"/>
        </w:rPr>
        <w:t xml:space="preserve"> </w:t>
      </w:r>
      <w:r>
        <w:rPr>
          <w:rFonts w:ascii="Verdana" w:hAnsi="Verdana"/>
          <w:sz w:val="16"/>
          <w:szCs w:val="16"/>
        </w:rPr>
        <w:t>PINO RICCI, Jorge. Régimen jurídico de los contratos estatales. Bogotá: Universidad Externado de Colombia, 2005. p. 264.</w:t>
      </w:r>
    </w:p>
  </w:footnote>
  <w:footnote w:id="20">
    <w:p w14:paraId="52A9C2D6" w14:textId="77777777" w:rsidR="006D7DAE" w:rsidRPr="00EA7B5D" w:rsidRDefault="006D7DAE" w:rsidP="006D7DAE">
      <w:pPr>
        <w:pStyle w:val="Textonotapie"/>
        <w:ind w:firstLine="708"/>
        <w:rPr>
          <w:rFonts w:ascii="Verdana" w:hAnsi="Verdana"/>
          <w:sz w:val="16"/>
          <w:szCs w:val="16"/>
          <w:lang w:val="es-CO"/>
        </w:rPr>
      </w:pPr>
      <w:r w:rsidRPr="00EA7B5D">
        <w:rPr>
          <w:rStyle w:val="Refdenotaalpie"/>
          <w:rFonts w:ascii="Verdana" w:hAnsi="Verdana"/>
          <w:sz w:val="16"/>
          <w:szCs w:val="16"/>
        </w:rPr>
        <w:footnoteRef/>
      </w:r>
      <w:r w:rsidRPr="00EA7B5D">
        <w:rPr>
          <w:rFonts w:ascii="Verdana" w:hAnsi="Verdana"/>
          <w:sz w:val="16"/>
          <w:szCs w:val="16"/>
        </w:rPr>
        <w:t xml:space="preserve"> DÁVILA VINUEZA</w:t>
      </w:r>
      <w:r>
        <w:rPr>
          <w:rFonts w:ascii="Verdana" w:hAnsi="Verdana"/>
          <w:sz w:val="16"/>
          <w:szCs w:val="16"/>
        </w:rPr>
        <w:t>, Régimen jurídico… Ob. cit., p. 505.</w:t>
      </w:r>
    </w:p>
  </w:footnote>
  <w:footnote w:id="21">
    <w:p w14:paraId="55A45DF0" w14:textId="77777777" w:rsidR="006D7DAE" w:rsidRPr="00E67EC9" w:rsidRDefault="006D7DAE" w:rsidP="006D7DAE">
      <w:pPr>
        <w:pStyle w:val="Textonotapie"/>
        <w:ind w:firstLine="708"/>
        <w:jc w:val="both"/>
        <w:rPr>
          <w:rFonts w:ascii="Verdana" w:hAnsi="Verdana"/>
          <w:sz w:val="16"/>
          <w:szCs w:val="16"/>
          <w:lang w:val="es-CO"/>
        </w:rPr>
      </w:pPr>
      <w:r w:rsidRPr="00E672E3">
        <w:rPr>
          <w:rStyle w:val="Refdenotaalpie"/>
          <w:rFonts w:ascii="Verdana" w:hAnsi="Verdana"/>
          <w:sz w:val="16"/>
          <w:szCs w:val="16"/>
        </w:rPr>
        <w:footnoteRef/>
      </w:r>
      <w:r w:rsidRPr="00E672E3">
        <w:rPr>
          <w:rFonts w:ascii="Verdana" w:hAnsi="Verdana"/>
          <w:sz w:val="16"/>
          <w:szCs w:val="16"/>
        </w:rPr>
        <w:t xml:space="preserve"> </w:t>
      </w:r>
      <w:r w:rsidRPr="00E672E3">
        <w:rPr>
          <w:rFonts w:ascii="Verdana" w:hAnsi="Verdana"/>
          <w:i/>
          <w:iCs/>
          <w:sz w:val="16"/>
          <w:szCs w:val="16"/>
        </w:rPr>
        <w:t>Ibidem</w:t>
      </w:r>
      <w:r>
        <w:rPr>
          <w:rFonts w:ascii="Verdana" w:hAnsi="Verdana"/>
          <w:sz w:val="16"/>
          <w:szCs w:val="16"/>
        </w:rPr>
        <w:t xml:space="preserve">. </w:t>
      </w:r>
    </w:p>
  </w:footnote>
  <w:footnote w:id="22">
    <w:p w14:paraId="1DB4A3FF" w14:textId="77777777" w:rsidR="006D7DAE" w:rsidRPr="00F04E54" w:rsidRDefault="006D7DAE" w:rsidP="006D7DAE">
      <w:pPr>
        <w:pStyle w:val="Textonotapie"/>
        <w:ind w:firstLine="708"/>
        <w:jc w:val="both"/>
        <w:rPr>
          <w:rFonts w:ascii="Verdana" w:hAnsi="Verdana"/>
          <w:sz w:val="16"/>
          <w:szCs w:val="16"/>
        </w:rPr>
      </w:pPr>
      <w:r w:rsidRPr="00E672E3">
        <w:rPr>
          <w:rStyle w:val="Refdenotaalpie"/>
          <w:rFonts w:ascii="Verdana" w:hAnsi="Verdana"/>
          <w:sz w:val="16"/>
          <w:szCs w:val="16"/>
        </w:rPr>
        <w:footnoteRef/>
      </w:r>
      <w:r w:rsidRPr="00E672E3">
        <w:rPr>
          <w:rFonts w:ascii="Verdana" w:hAnsi="Verdana"/>
          <w:sz w:val="16"/>
          <w:szCs w:val="16"/>
        </w:rPr>
        <w:t xml:space="preserve"> </w:t>
      </w:r>
      <w:r w:rsidRPr="002B6A8A">
        <w:rPr>
          <w:rFonts w:ascii="Verdana" w:hAnsi="Verdana"/>
          <w:sz w:val="16"/>
          <w:szCs w:val="16"/>
        </w:rPr>
        <w:t>GONZÁLEZ LÓPEZ</w:t>
      </w:r>
      <w:r>
        <w:rPr>
          <w:rFonts w:ascii="Verdana" w:hAnsi="Verdana"/>
          <w:sz w:val="16"/>
          <w:szCs w:val="16"/>
        </w:rPr>
        <w:t xml:space="preserve">, Edgar. </w:t>
      </w:r>
      <w:r w:rsidRPr="00F04E54">
        <w:rPr>
          <w:rFonts w:ascii="Verdana" w:hAnsi="Verdana"/>
          <w:sz w:val="16"/>
          <w:szCs w:val="16"/>
        </w:rPr>
        <w:t>Los contratos</w:t>
      </w:r>
      <w:r>
        <w:rPr>
          <w:rFonts w:ascii="Verdana" w:hAnsi="Verdana"/>
          <w:sz w:val="16"/>
          <w:szCs w:val="16"/>
        </w:rPr>
        <w:t xml:space="preserve"> </w:t>
      </w:r>
      <w:r w:rsidRPr="00F04E54">
        <w:rPr>
          <w:rFonts w:ascii="Verdana" w:hAnsi="Verdana"/>
          <w:sz w:val="16"/>
          <w:szCs w:val="16"/>
        </w:rPr>
        <w:t>estatales.</w:t>
      </w:r>
      <w:r>
        <w:rPr>
          <w:rFonts w:ascii="Verdana" w:hAnsi="Verdana"/>
          <w:sz w:val="16"/>
          <w:szCs w:val="16"/>
        </w:rPr>
        <w:t xml:space="preserve"> </w:t>
      </w:r>
      <w:r w:rsidRPr="00F04E54">
        <w:rPr>
          <w:rFonts w:ascii="Verdana" w:hAnsi="Verdana"/>
          <w:sz w:val="16"/>
          <w:szCs w:val="16"/>
        </w:rPr>
        <w:t>El proceso de</w:t>
      </w:r>
      <w:r>
        <w:rPr>
          <w:rFonts w:ascii="Verdana" w:hAnsi="Verdana"/>
          <w:sz w:val="16"/>
          <w:szCs w:val="16"/>
        </w:rPr>
        <w:t xml:space="preserve"> </w:t>
      </w:r>
      <w:r w:rsidRPr="00F04E54">
        <w:rPr>
          <w:rFonts w:ascii="Verdana" w:hAnsi="Verdana"/>
          <w:sz w:val="16"/>
          <w:szCs w:val="16"/>
        </w:rPr>
        <w:t>selección y la</w:t>
      </w:r>
      <w:r>
        <w:rPr>
          <w:rFonts w:ascii="Verdana" w:hAnsi="Verdana"/>
          <w:sz w:val="16"/>
          <w:szCs w:val="16"/>
        </w:rPr>
        <w:t xml:space="preserve"> </w:t>
      </w:r>
      <w:r w:rsidRPr="00F04E54">
        <w:rPr>
          <w:rFonts w:ascii="Verdana" w:hAnsi="Verdana"/>
          <w:sz w:val="16"/>
          <w:szCs w:val="16"/>
        </w:rPr>
        <w:t>modificación de</w:t>
      </w:r>
      <w:r>
        <w:rPr>
          <w:rFonts w:ascii="Verdana" w:hAnsi="Verdana"/>
          <w:sz w:val="16"/>
          <w:szCs w:val="16"/>
        </w:rPr>
        <w:t xml:space="preserve"> </w:t>
      </w:r>
      <w:r w:rsidRPr="00F04E54">
        <w:rPr>
          <w:rFonts w:ascii="Verdana" w:hAnsi="Verdana"/>
          <w:sz w:val="16"/>
          <w:szCs w:val="16"/>
        </w:rPr>
        <w:t>los contratos</w:t>
      </w:r>
      <w:r>
        <w:rPr>
          <w:rFonts w:ascii="Verdana" w:hAnsi="Verdana"/>
          <w:sz w:val="16"/>
          <w:szCs w:val="16"/>
        </w:rPr>
        <w:t>. Bógotá: Universidad Externado de Colombia – Tirant lo Blanch, 2023.</w:t>
      </w:r>
      <w:r w:rsidRPr="00F04E54">
        <w:rPr>
          <w:rFonts w:ascii="Verdana" w:hAnsi="Verdana"/>
          <w:sz w:val="16"/>
          <w:szCs w:val="16"/>
        </w:rPr>
        <w:t xml:space="preserve"> </w:t>
      </w:r>
      <w:r>
        <w:rPr>
          <w:rFonts w:ascii="Verdana" w:hAnsi="Verdana"/>
          <w:sz w:val="16"/>
          <w:szCs w:val="16"/>
        </w:rPr>
        <w:t>p. 564.</w:t>
      </w:r>
    </w:p>
  </w:footnote>
  <w:footnote w:id="23">
    <w:p w14:paraId="36041F04" w14:textId="77777777" w:rsidR="006D7DAE" w:rsidRPr="003A0333" w:rsidRDefault="006D7DAE" w:rsidP="006D7DAE">
      <w:pPr>
        <w:pStyle w:val="Textonotapie"/>
        <w:ind w:firstLine="708"/>
        <w:jc w:val="both"/>
        <w:rPr>
          <w:rFonts w:ascii="Verdana" w:hAnsi="Verdana"/>
          <w:sz w:val="16"/>
          <w:szCs w:val="16"/>
        </w:rPr>
      </w:pPr>
      <w:r w:rsidRPr="003A0333">
        <w:rPr>
          <w:rStyle w:val="Refdenotaalpie"/>
          <w:rFonts w:ascii="Verdana" w:hAnsi="Verdana"/>
          <w:sz w:val="16"/>
          <w:szCs w:val="16"/>
        </w:rPr>
        <w:footnoteRef/>
      </w:r>
      <w:r w:rsidRPr="003A0333">
        <w:rPr>
          <w:rFonts w:ascii="Verdana" w:hAnsi="Verdana"/>
          <w:sz w:val="16"/>
          <w:szCs w:val="16"/>
        </w:rPr>
        <w:t xml:space="preserve"> </w:t>
      </w:r>
      <w:r>
        <w:rPr>
          <w:rFonts w:ascii="Verdana" w:hAnsi="Verdana"/>
          <w:sz w:val="16"/>
          <w:szCs w:val="16"/>
        </w:rPr>
        <w:t xml:space="preserve">RICO PUERTA, Luis Alonso. </w:t>
      </w:r>
      <w:r w:rsidRPr="003A0333">
        <w:rPr>
          <w:rFonts w:ascii="Verdana" w:hAnsi="Verdana"/>
          <w:sz w:val="16"/>
          <w:szCs w:val="16"/>
        </w:rPr>
        <w:t>Teoría general</w:t>
      </w:r>
      <w:r>
        <w:rPr>
          <w:rFonts w:ascii="Verdana" w:hAnsi="Verdana"/>
          <w:sz w:val="16"/>
          <w:szCs w:val="16"/>
        </w:rPr>
        <w:t xml:space="preserve"> </w:t>
      </w:r>
      <w:r w:rsidRPr="003A0333">
        <w:rPr>
          <w:rFonts w:ascii="Verdana" w:hAnsi="Verdana"/>
          <w:sz w:val="16"/>
          <w:szCs w:val="16"/>
        </w:rPr>
        <w:t>y práctica de la</w:t>
      </w:r>
      <w:r>
        <w:rPr>
          <w:rFonts w:ascii="Verdana" w:hAnsi="Verdana"/>
          <w:sz w:val="16"/>
          <w:szCs w:val="16"/>
        </w:rPr>
        <w:t xml:space="preserve"> </w:t>
      </w:r>
      <w:r w:rsidRPr="003A0333">
        <w:rPr>
          <w:rFonts w:ascii="Verdana" w:hAnsi="Verdana"/>
          <w:sz w:val="16"/>
          <w:szCs w:val="16"/>
        </w:rPr>
        <w:t>contratación estatal</w:t>
      </w:r>
      <w:r>
        <w:rPr>
          <w:rFonts w:ascii="Verdana" w:hAnsi="Verdana"/>
          <w:sz w:val="16"/>
          <w:szCs w:val="16"/>
        </w:rPr>
        <w:t xml:space="preserve">. Volumen II. </w:t>
      </w:r>
      <w:r w:rsidRPr="003A0333">
        <w:rPr>
          <w:rFonts w:ascii="Verdana" w:hAnsi="Verdana"/>
          <w:sz w:val="16"/>
          <w:szCs w:val="16"/>
        </w:rPr>
        <w:t>Decimotercera edición</w:t>
      </w:r>
      <w:r>
        <w:rPr>
          <w:rFonts w:ascii="Verdana" w:hAnsi="Verdana"/>
          <w:sz w:val="16"/>
          <w:szCs w:val="16"/>
        </w:rPr>
        <w:t xml:space="preserve">. Bogotá: </w:t>
      </w:r>
      <w:r w:rsidRPr="003A0333">
        <w:rPr>
          <w:rFonts w:ascii="Verdana" w:hAnsi="Verdana"/>
          <w:sz w:val="16"/>
          <w:szCs w:val="16"/>
        </w:rPr>
        <w:t>Grupo Editorial Ibañez</w:t>
      </w:r>
      <w:r>
        <w:rPr>
          <w:rFonts w:ascii="Verdana" w:hAnsi="Verdana"/>
          <w:sz w:val="16"/>
          <w:szCs w:val="16"/>
        </w:rPr>
        <w:t>, 2025. p. 1142.</w:t>
      </w:r>
    </w:p>
  </w:footnote>
  <w:footnote w:id="24">
    <w:p w14:paraId="5726AAD4" w14:textId="77777777" w:rsidR="006D7DAE" w:rsidRDefault="006D7DAE" w:rsidP="006D7DAE">
      <w:pPr>
        <w:pStyle w:val="Textonotapie"/>
        <w:ind w:firstLine="708"/>
        <w:jc w:val="both"/>
        <w:rPr>
          <w:rFonts w:ascii="Verdana" w:hAnsi="Verdana"/>
          <w:sz w:val="16"/>
          <w:szCs w:val="16"/>
        </w:rPr>
      </w:pPr>
      <w:r w:rsidRPr="000A5783">
        <w:rPr>
          <w:rStyle w:val="Refdenotaalpie"/>
          <w:rFonts w:ascii="Verdana" w:hAnsi="Verdana"/>
          <w:sz w:val="16"/>
          <w:szCs w:val="16"/>
        </w:rPr>
        <w:footnoteRef/>
      </w:r>
      <w:r w:rsidRPr="000A5783">
        <w:rPr>
          <w:rFonts w:ascii="Verdana" w:hAnsi="Verdana"/>
          <w:sz w:val="16"/>
          <w:szCs w:val="16"/>
        </w:rPr>
        <w:t xml:space="preserve"> </w:t>
      </w:r>
      <w:r>
        <w:rPr>
          <w:rFonts w:ascii="Verdana" w:hAnsi="Verdana"/>
          <w:sz w:val="16"/>
          <w:szCs w:val="16"/>
        </w:rPr>
        <w:t xml:space="preserve">Por ejemplo, para RODRÍGUEZ TAMAYO “[…] </w:t>
      </w:r>
      <w:r w:rsidRPr="00B73A6D">
        <w:rPr>
          <w:rFonts w:ascii="Verdana" w:hAnsi="Verdana"/>
          <w:sz w:val="16"/>
          <w:szCs w:val="16"/>
        </w:rPr>
        <w:t>resulta inútil la tramitación de convocatorias públicas que hacen algunas entidades estatales, cuando van a entregar en arrendamiento bienes inmuebles de</w:t>
      </w:r>
      <w:r>
        <w:rPr>
          <w:rFonts w:ascii="Verdana" w:hAnsi="Verdana"/>
          <w:sz w:val="16"/>
          <w:szCs w:val="16"/>
        </w:rPr>
        <w:t xml:space="preserve"> </w:t>
      </w:r>
      <w:r w:rsidRPr="00B73A6D">
        <w:rPr>
          <w:rFonts w:ascii="Verdana" w:hAnsi="Verdana"/>
          <w:sz w:val="16"/>
          <w:szCs w:val="16"/>
        </w:rPr>
        <w:t>su propiedad, pues en esos casos, el ordenamiento jurídico no exige tal procedimiento</w:t>
      </w:r>
      <w:r>
        <w:rPr>
          <w:rFonts w:ascii="Verdana" w:hAnsi="Verdana"/>
          <w:sz w:val="16"/>
          <w:szCs w:val="16"/>
        </w:rPr>
        <w:t xml:space="preserve"> </w:t>
      </w:r>
      <w:r w:rsidRPr="00B73A6D">
        <w:rPr>
          <w:rFonts w:ascii="Verdana" w:hAnsi="Verdana"/>
          <w:sz w:val="16"/>
          <w:szCs w:val="16"/>
        </w:rPr>
        <w:t>y, por el contrario, ello se presta para conflictos con los interesados que concurren a dichos llamados. Tanto la ley como el reglamento, dieron flexibilidad a la administración,</w:t>
      </w:r>
      <w:r>
        <w:rPr>
          <w:rFonts w:ascii="Verdana" w:hAnsi="Verdana"/>
          <w:sz w:val="16"/>
          <w:szCs w:val="16"/>
        </w:rPr>
        <w:t xml:space="preserve"> </w:t>
      </w:r>
      <w:r w:rsidRPr="00B73A6D">
        <w:rPr>
          <w:rFonts w:ascii="Verdana" w:hAnsi="Verdana"/>
          <w:sz w:val="16"/>
          <w:szCs w:val="16"/>
        </w:rPr>
        <w:t>ya s</w:t>
      </w:r>
      <w:r>
        <w:rPr>
          <w:rFonts w:ascii="Verdana" w:hAnsi="Verdana"/>
          <w:sz w:val="16"/>
          <w:szCs w:val="16"/>
        </w:rPr>
        <w:t>e</w:t>
      </w:r>
      <w:r w:rsidRPr="00B73A6D">
        <w:rPr>
          <w:rFonts w:ascii="Verdana" w:hAnsi="Verdana"/>
          <w:sz w:val="16"/>
          <w:szCs w:val="16"/>
        </w:rPr>
        <w:t>a para obrar como arrendador o como arrendatario, obviamente, teniendo como</w:t>
      </w:r>
      <w:r>
        <w:rPr>
          <w:rFonts w:ascii="Verdana" w:hAnsi="Verdana"/>
          <w:sz w:val="16"/>
          <w:szCs w:val="16"/>
        </w:rPr>
        <w:t xml:space="preserve"> </w:t>
      </w:r>
      <w:r w:rsidRPr="00B73A6D">
        <w:rPr>
          <w:rFonts w:ascii="Verdana" w:hAnsi="Verdana"/>
          <w:sz w:val="16"/>
          <w:szCs w:val="16"/>
        </w:rPr>
        <w:t>límite los precios del mercado y obrar en sentido contrario, en la práctica, implica regular aspectos no autorizados por la ley</w:t>
      </w:r>
      <w:r>
        <w:rPr>
          <w:rFonts w:ascii="Verdana" w:hAnsi="Verdana"/>
          <w:sz w:val="16"/>
          <w:szCs w:val="16"/>
        </w:rPr>
        <w:t xml:space="preserve">” (RODRÍGUEZ TAMAYO, Mauricio Fernando. </w:t>
      </w:r>
      <w:r w:rsidRPr="005950B7">
        <w:rPr>
          <w:rFonts w:ascii="Verdana" w:hAnsi="Verdana"/>
          <w:sz w:val="16"/>
          <w:szCs w:val="16"/>
        </w:rPr>
        <w:t>Los contratos</w:t>
      </w:r>
      <w:r>
        <w:rPr>
          <w:rFonts w:ascii="Verdana" w:hAnsi="Verdana"/>
          <w:sz w:val="16"/>
          <w:szCs w:val="16"/>
        </w:rPr>
        <w:t xml:space="preserve"> </w:t>
      </w:r>
      <w:r w:rsidRPr="005950B7">
        <w:rPr>
          <w:rFonts w:ascii="Verdana" w:hAnsi="Verdana"/>
          <w:sz w:val="16"/>
          <w:szCs w:val="16"/>
        </w:rPr>
        <w:t>estatales en</w:t>
      </w:r>
      <w:r>
        <w:rPr>
          <w:rFonts w:ascii="Verdana" w:hAnsi="Verdana"/>
          <w:sz w:val="16"/>
          <w:szCs w:val="16"/>
        </w:rPr>
        <w:t xml:space="preserve"> C</w:t>
      </w:r>
      <w:r w:rsidRPr="005950B7">
        <w:rPr>
          <w:rFonts w:ascii="Verdana" w:hAnsi="Verdana"/>
          <w:sz w:val="16"/>
          <w:szCs w:val="16"/>
        </w:rPr>
        <w:t>olombia</w:t>
      </w:r>
      <w:r>
        <w:rPr>
          <w:rFonts w:ascii="Verdana" w:hAnsi="Verdana"/>
          <w:sz w:val="16"/>
          <w:szCs w:val="16"/>
        </w:rPr>
        <w:t>. Bogotá: Tirant lo Blanch, 2022. p. 199).</w:t>
      </w:r>
    </w:p>
    <w:p w14:paraId="017460B5" w14:textId="77777777" w:rsidR="006D7DAE" w:rsidRPr="0086542E" w:rsidRDefault="006D7DAE" w:rsidP="006D7DAE">
      <w:pPr>
        <w:pStyle w:val="Textonotapie"/>
        <w:ind w:firstLine="708"/>
        <w:jc w:val="both"/>
        <w:rPr>
          <w:rFonts w:ascii="Verdana" w:hAnsi="Verdana"/>
          <w:sz w:val="16"/>
          <w:szCs w:val="16"/>
        </w:rPr>
      </w:pPr>
      <w:r>
        <w:rPr>
          <w:rFonts w:ascii="Verdana" w:hAnsi="Verdana"/>
          <w:sz w:val="16"/>
          <w:szCs w:val="16"/>
        </w:rPr>
        <w:t xml:space="preserve">En contraste, para SÁNCHEZ ESTRADA “[…] </w:t>
      </w:r>
      <w:r w:rsidRPr="0086542E">
        <w:rPr>
          <w:rFonts w:ascii="Verdana" w:hAnsi="Verdana"/>
          <w:sz w:val="16"/>
          <w:szCs w:val="16"/>
        </w:rPr>
        <w:t>el legislador desaprovechó la oportunidad de</w:t>
      </w:r>
      <w:r>
        <w:rPr>
          <w:rFonts w:ascii="Verdana" w:hAnsi="Verdana"/>
          <w:sz w:val="16"/>
          <w:szCs w:val="16"/>
        </w:rPr>
        <w:t xml:space="preserve"> </w:t>
      </w:r>
      <w:r w:rsidRPr="0086542E">
        <w:rPr>
          <w:rFonts w:ascii="Verdana" w:hAnsi="Verdana"/>
          <w:sz w:val="16"/>
          <w:szCs w:val="16"/>
        </w:rPr>
        <w:t>corregir el yerro que viene desde los decretos 150 de 1976 y 222 de 1983, de</w:t>
      </w:r>
      <w:r>
        <w:rPr>
          <w:rFonts w:ascii="Verdana" w:hAnsi="Verdana"/>
          <w:sz w:val="16"/>
          <w:szCs w:val="16"/>
        </w:rPr>
        <w:t xml:space="preserve"> </w:t>
      </w:r>
      <w:r w:rsidRPr="0086542E">
        <w:rPr>
          <w:rFonts w:ascii="Verdana" w:hAnsi="Verdana"/>
          <w:sz w:val="16"/>
          <w:szCs w:val="16"/>
        </w:rPr>
        <w:t>habilitar la contratación directa tanto cuando la entidad estatal es arrendataria</w:t>
      </w:r>
      <w:r>
        <w:rPr>
          <w:rFonts w:ascii="Verdana" w:hAnsi="Verdana"/>
          <w:sz w:val="16"/>
          <w:szCs w:val="16"/>
        </w:rPr>
        <w:t xml:space="preserve"> </w:t>
      </w:r>
      <w:r w:rsidRPr="0086542E">
        <w:rPr>
          <w:rFonts w:ascii="Verdana" w:hAnsi="Verdana"/>
          <w:sz w:val="16"/>
          <w:szCs w:val="16"/>
        </w:rPr>
        <w:t>como cuando funge de arrendadora. En efecto, en la primera de las hipótesis</w:t>
      </w:r>
      <w:r>
        <w:rPr>
          <w:rFonts w:ascii="Verdana" w:hAnsi="Verdana"/>
          <w:sz w:val="16"/>
          <w:szCs w:val="16"/>
        </w:rPr>
        <w:t xml:space="preserve"> </w:t>
      </w:r>
      <w:r w:rsidRPr="0086542E">
        <w:rPr>
          <w:rFonts w:ascii="Verdana" w:hAnsi="Verdana"/>
          <w:sz w:val="16"/>
          <w:szCs w:val="16"/>
        </w:rPr>
        <w:t>está justificada la causal, pues cuando un ente estatal busca un inmueble el factor</w:t>
      </w:r>
      <w:r>
        <w:rPr>
          <w:rFonts w:ascii="Verdana" w:hAnsi="Verdana"/>
          <w:sz w:val="16"/>
          <w:szCs w:val="16"/>
        </w:rPr>
        <w:t xml:space="preserve"> </w:t>
      </w:r>
      <w:r w:rsidRPr="0086542E">
        <w:rPr>
          <w:rFonts w:ascii="Verdana" w:hAnsi="Verdana"/>
          <w:sz w:val="16"/>
          <w:szCs w:val="16"/>
        </w:rPr>
        <w:t>menos importante termina siendo el precio. La ubicación, funcionalidad,</w:t>
      </w:r>
      <w:r>
        <w:rPr>
          <w:rFonts w:ascii="Verdana" w:hAnsi="Verdana"/>
          <w:sz w:val="16"/>
          <w:szCs w:val="16"/>
        </w:rPr>
        <w:t xml:space="preserve"> </w:t>
      </w:r>
      <w:r w:rsidRPr="0086542E">
        <w:rPr>
          <w:rFonts w:ascii="Verdana" w:hAnsi="Verdana"/>
          <w:sz w:val="16"/>
          <w:szCs w:val="16"/>
        </w:rPr>
        <w:t>capacidad, etc., son criterios determinantes y muy difíciles de evaluar en un</w:t>
      </w:r>
      <w:r>
        <w:rPr>
          <w:rFonts w:ascii="Verdana" w:hAnsi="Verdana"/>
          <w:sz w:val="16"/>
          <w:szCs w:val="16"/>
        </w:rPr>
        <w:t xml:space="preserve"> </w:t>
      </w:r>
      <w:r w:rsidRPr="0086542E">
        <w:rPr>
          <w:rFonts w:ascii="Verdana" w:hAnsi="Verdana"/>
          <w:sz w:val="16"/>
          <w:szCs w:val="16"/>
        </w:rPr>
        <w:t>trámite licitatorio. No ocurre lo mismo cuando se trata de arrendar bienes de</w:t>
      </w:r>
      <w:r>
        <w:rPr>
          <w:rFonts w:ascii="Verdana" w:hAnsi="Verdana"/>
          <w:sz w:val="16"/>
          <w:szCs w:val="16"/>
        </w:rPr>
        <w:t xml:space="preserve"> </w:t>
      </w:r>
      <w:r w:rsidRPr="0086542E">
        <w:rPr>
          <w:rFonts w:ascii="Verdana" w:hAnsi="Verdana"/>
          <w:sz w:val="16"/>
          <w:szCs w:val="16"/>
        </w:rPr>
        <w:t>propiedad el Estado. En ese caso nada le impide a la administración adelantar</w:t>
      </w:r>
      <w:r>
        <w:rPr>
          <w:rFonts w:ascii="Verdana" w:hAnsi="Verdana"/>
          <w:sz w:val="16"/>
          <w:szCs w:val="16"/>
        </w:rPr>
        <w:t xml:space="preserve"> </w:t>
      </w:r>
      <w:r w:rsidRPr="0086542E">
        <w:rPr>
          <w:rFonts w:ascii="Verdana" w:hAnsi="Verdana"/>
          <w:sz w:val="16"/>
          <w:szCs w:val="16"/>
        </w:rPr>
        <w:t>un proceso de selección en el que escoja a quien, cumpliendo unas exigencias</w:t>
      </w:r>
      <w:r>
        <w:rPr>
          <w:rFonts w:ascii="Verdana" w:hAnsi="Verdana"/>
          <w:sz w:val="16"/>
          <w:szCs w:val="16"/>
        </w:rPr>
        <w:t xml:space="preserve"> </w:t>
      </w:r>
      <w:r w:rsidRPr="0086542E">
        <w:rPr>
          <w:rFonts w:ascii="Verdana" w:hAnsi="Verdana"/>
          <w:sz w:val="16"/>
          <w:szCs w:val="16"/>
        </w:rPr>
        <w:t>mínimas, le ofrezca pagar el mejor canon. De hecho, la aplicación amplia de la</w:t>
      </w:r>
      <w:r>
        <w:rPr>
          <w:rFonts w:ascii="Verdana" w:hAnsi="Verdana"/>
          <w:sz w:val="16"/>
          <w:szCs w:val="16"/>
        </w:rPr>
        <w:t xml:space="preserve"> </w:t>
      </w:r>
      <w:r w:rsidRPr="0086542E">
        <w:rPr>
          <w:rFonts w:ascii="Verdana" w:hAnsi="Verdana"/>
          <w:sz w:val="16"/>
          <w:szCs w:val="16"/>
        </w:rPr>
        <w:t>causal ha propiciado el favoritismo a la hora de arrendar bienes del Estado con</w:t>
      </w:r>
      <w:r>
        <w:rPr>
          <w:rFonts w:ascii="Verdana" w:hAnsi="Verdana"/>
          <w:sz w:val="16"/>
          <w:szCs w:val="16"/>
        </w:rPr>
        <w:t xml:space="preserve"> </w:t>
      </w:r>
      <w:r w:rsidRPr="0086542E">
        <w:rPr>
          <w:rFonts w:ascii="Verdana" w:hAnsi="Verdana"/>
          <w:sz w:val="16"/>
          <w:szCs w:val="16"/>
        </w:rPr>
        <w:t>privilegiada ubicación, no sólo en los entes territoriales.</w:t>
      </w:r>
    </w:p>
    <w:p w14:paraId="68AEC37D" w14:textId="77777777" w:rsidR="006D7DAE" w:rsidRPr="00B73A6D" w:rsidRDefault="006D7DAE" w:rsidP="006D7DAE">
      <w:pPr>
        <w:pStyle w:val="Textonotapie"/>
        <w:ind w:firstLine="708"/>
        <w:jc w:val="both"/>
        <w:rPr>
          <w:rFonts w:ascii="Verdana" w:hAnsi="Verdana"/>
          <w:sz w:val="16"/>
          <w:szCs w:val="16"/>
        </w:rPr>
      </w:pPr>
      <w:r w:rsidRPr="0086542E">
        <w:rPr>
          <w:rFonts w:ascii="Verdana" w:hAnsi="Verdana"/>
          <w:sz w:val="16"/>
          <w:szCs w:val="16"/>
        </w:rPr>
        <w:t>A manera de ejemplo, recordemos los recientes contratos de arrendamiento</w:t>
      </w:r>
      <w:r>
        <w:rPr>
          <w:rFonts w:ascii="Verdana" w:hAnsi="Verdana"/>
          <w:sz w:val="16"/>
          <w:szCs w:val="16"/>
        </w:rPr>
        <w:t xml:space="preserve"> </w:t>
      </w:r>
      <w:r w:rsidRPr="0086542E">
        <w:rPr>
          <w:rFonts w:ascii="Verdana" w:hAnsi="Verdana"/>
          <w:sz w:val="16"/>
          <w:szCs w:val="16"/>
        </w:rPr>
        <w:t xml:space="preserve">suscritos por el </w:t>
      </w:r>
      <w:r>
        <w:rPr>
          <w:rFonts w:ascii="Verdana" w:hAnsi="Verdana"/>
          <w:sz w:val="16"/>
          <w:szCs w:val="16"/>
        </w:rPr>
        <w:t>I</w:t>
      </w:r>
      <w:r w:rsidRPr="0086542E">
        <w:rPr>
          <w:rFonts w:ascii="Verdana" w:hAnsi="Verdana"/>
          <w:sz w:val="16"/>
          <w:szCs w:val="16"/>
        </w:rPr>
        <w:t>ncoder-Ministerio de Agricultura con los ocupantes ilegales</w:t>
      </w:r>
      <w:r>
        <w:rPr>
          <w:rFonts w:ascii="Verdana" w:hAnsi="Verdana"/>
          <w:sz w:val="16"/>
          <w:szCs w:val="16"/>
        </w:rPr>
        <w:t xml:space="preserve"> </w:t>
      </w:r>
      <w:r w:rsidRPr="0086542E">
        <w:rPr>
          <w:rFonts w:ascii="Verdana" w:hAnsi="Verdana"/>
          <w:sz w:val="16"/>
          <w:szCs w:val="16"/>
        </w:rPr>
        <w:t xml:space="preserve">de las Islas del Rosario, a quienes se les </w:t>
      </w:r>
      <w:r>
        <w:rPr>
          <w:rFonts w:ascii="Verdana" w:hAnsi="Verdana"/>
          <w:sz w:val="16"/>
          <w:szCs w:val="16"/>
        </w:rPr>
        <w:t>‘</w:t>
      </w:r>
      <w:r w:rsidRPr="0086542E">
        <w:rPr>
          <w:rFonts w:ascii="Verdana" w:hAnsi="Verdana"/>
          <w:sz w:val="16"/>
          <w:szCs w:val="16"/>
        </w:rPr>
        <w:t>sancionó</w:t>
      </w:r>
      <w:r>
        <w:rPr>
          <w:rFonts w:ascii="Verdana" w:hAnsi="Verdana"/>
          <w:sz w:val="16"/>
          <w:szCs w:val="16"/>
        </w:rPr>
        <w:t>’</w:t>
      </w:r>
      <w:r w:rsidRPr="0086542E">
        <w:rPr>
          <w:rFonts w:ascii="Verdana" w:hAnsi="Verdana"/>
          <w:sz w:val="16"/>
          <w:szCs w:val="16"/>
        </w:rPr>
        <w:t xml:space="preserve"> su infracción celebrando</w:t>
      </w:r>
      <w:r>
        <w:rPr>
          <w:rFonts w:ascii="Verdana" w:hAnsi="Verdana"/>
          <w:sz w:val="16"/>
          <w:szCs w:val="16"/>
        </w:rPr>
        <w:t xml:space="preserve"> </w:t>
      </w:r>
      <w:r w:rsidRPr="0086542E">
        <w:rPr>
          <w:rFonts w:ascii="Verdana" w:hAnsi="Verdana"/>
          <w:sz w:val="16"/>
          <w:szCs w:val="16"/>
        </w:rPr>
        <w:t>con ellos, de forma directa y a precios risibles, contratos de arrendamiento. Sin</w:t>
      </w:r>
      <w:r>
        <w:rPr>
          <w:rFonts w:ascii="Verdana" w:hAnsi="Verdana"/>
          <w:sz w:val="16"/>
          <w:szCs w:val="16"/>
        </w:rPr>
        <w:t xml:space="preserve"> </w:t>
      </w:r>
      <w:r w:rsidRPr="0086542E">
        <w:rPr>
          <w:rFonts w:ascii="Verdana" w:hAnsi="Verdana"/>
          <w:sz w:val="16"/>
          <w:szCs w:val="16"/>
        </w:rPr>
        <w:t>duda, de haberse efectuado convocatoria pública, el Estado hubiera conseguido</w:t>
      </w:r>
      <w:r>
        <w:rPr>
          <w:rFonts w:ascii="Verdana" w:hAnsi="Verdana"/>
          <w:sz w:val="16"/>
          <w:szCs w:val="16"/>
        </w:rPr>
        <w:t xml:space="preserve"> </w:t>
      </w:r>
      <w:r w:rsidRPr="0086542E">
        <w:rPr>
          <w:rFonts w:ascii="Verdana" w:hAnsi="Verdana"/>
          <w:sz w:val="16"/>
          <w:szCs w:val="16"/>
        </w:rPr>
        <w:t>mejores contratistas. No entendemos cómo para los casos de compra y venta se</w:t>
      </w:r>
      <w:r>
        <w:rPr>
          <w:rFonts w:ascii="Verdana" w:hAnsi="Verdana"/>
          <w:sz w:val="16"/>
          <w:szCs w:val="16"/>
        </w:rPr>
        <w:t xml:space="preserve"> </w:t>
      </w:r>
      <w:r w:rsidRPr="0086542E">
        <w:rPr>
          <w:rFonts w:ascii="Verdana" w:hAnsi="Verdana"/>
          <w:sz w:val="16"/>
          <w:szCs w:val="16"/>
        </w:rPr>
        <w:t>tienen previstos procedimientos distintos y no ocurre lo mismo cuando se toman</w:t>
      </w:r>
      <w:r>
        <w:rPr>
          <w:rFonts w:ascii="Verdana" w:hAnsi="Verdana"/>
          <w:sz w:val="16"/>
          <w:szCs w:val="16"/>
        </w:rPr>
        <w:t xml:space="preserve"> </w:t>
      </w:r>
      <w:r w:rsidRPr="0086542E">
        <w:rPr>
          <w:rFonts w:ascii="Verdana" w:hAnsi="Verdana"/>
          <w:sz w:val="16"/>
          <w:szCs w:val="16"/>
        </w:rPr>
        <w:t>o dan en arriendo inmuebles de propiedad de las entidades del Estado</w:t>
      </w:r>
      <w:r>
        <w:rPr>
          <w:rFonts w:ascii="Verdana" w:hAnsi="Verdana"/>
          <w:sz w:val="16"/>
          <w:szCs w:val="16"/>
        </w:rPr>
        <w:t>” (</w:t>
      </w:r>
      <w:r w:rsidRPr="00F6336E">
        <w:rPr>
          <w:rFonts w:ascii="Verdana" w:hAnsi="Verdana"/>
          <w:sz w:val="16"/>
          <w:szCs w:val="16"/>
        </w:rPr>
        <w:t>ESTRADA SÁNCHEZ, Juan Pablo. Contratación directa, convenios interadministrativos y contratos de cooperación internacional. En: Contratación estatal. Estudios sobre la reforma del Estatuto Contractual Ley 1150 de 2007. Bogotá: Universidad Externado de Colombia, 2009.</w:t>
      </w:r>
      <w:r>
        <w:rPr>
          <w:rFonts w:ascii="Verdana" w:hAnsi="Verdana"/>
          <w:sz w:val="16"/>
          <w:szCs w:val="16"/>
        </w:rPr>
        <w:t xml:space="preserve"> p</w:t>
      </w:r>
      <w:r w:rsidRPr="0086542E">
        <w:rPr>
          <w:rFonts w:ascii="Verdana" w:hAnsi="Verdana"/>
          <w:sz w:val="16"/>
          <w:szCs w:val="16"/>
        </w:rPr>
        <w:t>.</w:t>
      </w:r>
      <w:r>
        <w:rPr>
          <w:rFonts w:ascii="Verdana" w:hAnsi="Verdana"/>
          <w:sz w:val="16"/>
          <w:szCs w:val="16"/>
        </w:rPr>
        <w:t xml:space="preserve"> 315).</w:t>
      </w:r>
    </w:p>
  </w:footnote>
  <w:footnote w:id="25">
    <w:p w14:paraId="138E740C" w14:textId="77777777" w:rsidR="006D7DAE" w:rsidRPr="00F26E5F" w:rsidRDefault="006D7DAE" w:rsidP="006D7DAE">
      <w:pPr>
        <w:pStyle w:val="Textonotapie"/>
        <w:ind w:firstLine="708"/>
        <w:jc w:val="both"/>
        <w:rPr>
          <w:rFonts w:ascii="Verdana" w:hAnsi="Verdana"/>
          <w:sz w:val="16"/>
          <w:szCs w:val="16"/>
        </w:rPr>
      </w:pPr>
      <w:r w:rsidRPr="00F26E5F">
        <w:rPr>
          <w:rStyle w:val="Refdenotaalpie"/>
          <w:rFonts w:ascii="Verdana" w:hAnsi="Verdana"/>
          <w:sz w:val="16"/>
          <w:szCs w:val="16"/>
        </w:rPr>
        <w:footnoteRef/>
      </w:r>
      <w:r w:rsidRPr="00F26E5F">
        <w:rPr>
          <w:rFonts w:ascii="Verdana" w:hAnsi="Verdana"/>
          <w:sz w:val="16"/>
          <w:szCs w:val="16"/>
        </w:rPr>
        <w:t xml:space="preserve"> </w:t>
      </w:r>
      <w:r>
        <w:rPr>
          <w:rFonts w:ascii="Verdana" w:hAnsi="Verdana"/>
          <w:sz w:val="16"/>
          <w:szCs w:val="16"/>
        </w:rPr>
        <w:t xml:space="preserve">Para la doctrina, “[…] </w:t>
      </w:r>
      <w:r w:rsidRPr="00F26E5F">
        <w:rPr>
          <w:rFonts w:ascii="Verdana" w:hAnsi="Verdana"/>
          <w:sz w:val="16"/>
          <w:szCs w:val="16"/>
        </w:rPr>
        <w:t>ni el objeto (art. 2.º) ni las funciones (art. 3.º) que</w:t>
      </w:r>
      <w:r>
        <w:rPr>
          <w:rFonts w:ascii="Verdana" w:hAnsi="Verdana"/>
          <w:sz w:val="16"/>
          <w:szCs w:val="16"/>
        </w:rPr>
        <w:t xml:space="preserve"> </w:t>
      </w:r>
      <w:r w:rsidRPr="00F26E5F">
        <w:rPr>
          <w:rFonts w:ascii="Verdana" w:hAnsi="Verdana"/>
          <w:sz w:val="16"/>
          <w:szCs w:val="16"/>
        </w:rPr>
        <w:t>la ley de creación confió a la Agencia (Dcto.-Ley 4170/11)</w:t>
      </w:r>
      <w:r>
        <w:rPr>
          <w:rFonts w:ascii="Verdana" w:hAnsi="Verdana"/>
          <w:sz w:val="16"/>
          <w:szCs w:val="16"/>
        </w:rPr>
        <w:t xml:space="preserve"> </w:t>
      </w:r>
      <w:r w:rsidRPr="00F26E5F">
        <w:rPr>
          <w:rFonts w:ascii="Verdana" w:hAnsi="Verdana"/>
          <w:sz w:val="16"/>
          <w:szCs w:val="16"/>
        </w:rPr>
        <w:t>comprenden competencias normativas sobre la contratación.</w:t>
      </w:r>
      <w:r>
        <w:rPr>
          <w:rFonts w:ascii="Verdana" w:hAnsi="Verdana"/>
          <w:sz w:val="16"/>
          <w:szCs w:val="16"/>
        </w:rPr>
        <w:t xml:space="preserve"> </w:t>
      </w:r>
      <w:r w:rsidRPr="00F26E5F">
        <w:rPr>
          <w:rFonts w:ascii="Verdana" w:hAnsi="Verdana"/>
          <w:sz w:val="16"/>
          <w:szCs w:val="16"/>
        </w:rPr>
        <w:t>Aunque el numeral 2.º del artículo 3.º le confiere las funciones</w:t>
      </w:r>
      <w:r>
        <w:rPr>
          <w:rFonts w:ascii="Verdana" w:hAnsi="Verdana"/>
          <w:sz w:val="16"/>
          <w:szCs w:val="16"/>
        </w:rPr>
        <w:t xml:space="preserve"> </w:t>
      </w:r>
      <w:r w:rsidRPr="00F26E5F">
        <w:rPr>
          <w:rFonts w:ascii="Verdana" w:hAnsi="Verdana"/>
          <w:sz w:val="16"/>
          <w:szCs w:val="16"/>
        </w:rPr>
        <w:t xml:space="preserve">de </w:t>
      </w:r>
      <w:r>
        <w:rPr>
          <w:rFonts w:ascii="Verdana" w:hAnsi="Verdana"/>
          <w:sz w:val="16"/>
          <w:szCs w:val="16"/>
        </w:rPr>
        <w:t>‘</w:t>
      </w:r>
      <w:r w:rsidRPr="00F26E5F">
        <w:rPr>
          <w:rFonts w:ascii="Verdana" w:hAnsi="Verdana"/>
          <w:sz w:val="16"/>
          <w:szCs w:val="16"/>
        </w:rPr>
        <w:t>desarrollar, implementar […] normas […] que faciliten</w:t>
      </w:r>
      <w:r>
        <w:rPr>
          <w:rFonts w:ascii="Verdana" w:hAnsi="Verdana"/>
          <w:sz w:val="16"/>
          <w:szCs w:val="16"/>
        </w:rPr>
        <w:t xml:space="preserve"> </w:t>
      </w:r>
      <w:r w:rsidRPr="00F26E5F">
        <w:rPr>
          <w:rFonts w:ascii="Verdana" w:hAnsi="Verdana"/>
          <w:sz w:val="16"/>
          <w:szCs w:val="16"/>
        </w:rPr>
        <w:t>las compras y contratación pública del Estado y promuevan las mejores prácticas</w:t>
      </w:r>
      <w:r>
        <w:rPr>
          <w:rFonts w:ascii="Verdana" w:hAnsi="Verdana"/>
          <w:sz w:val="16"/>
          <w:szCs w:val="16"/>
        </w:rPr>
        <w:t>’</w:t>
      </w:r>
      <w:r w:rsidRPr="00F26E5F">
        <w:rPr>
          <w:rFonts w:ascii="Verdana" w:hAnsi="Verdana"/>
          <w:sz w:val="16"/>
          <w:szCs w:val="16"/>
        </w:rPr>
        <w:t>, ello no puede concebirse como</w:t>
      </w:r>
      <w:r>
        <w:rPr>
          <w:rFonts w:ascii="Verdana" w:hAnsi="Verdana"/>
          <w:sz w:val="16"/>
          <w:szCs w:val="16"/>
        </w:rPr>
        <w:t xml:space="preserve"> </w:t>
      </w:r>
      <w:r w:rsidRPr="00F26E5F">
        <w:rPr>
          <w:rFonts w:ascii="Verdana" w:hAnsi="Verdana"/>
          <w:sz w:val="16"/>
          <w:szCs w:val="16"/>
        </w:rPr>
        <w:t>una competencia específicamente normativa. Su misión de</w:t>
      </w:r>
      <w:r>
        <w:rPr>
          <w:rFonts w:ascii="Verdana" w:hAnsi="Verdana"/>
          <w:sz w:val="16"/>
          <w:szCs w:val="16"/>
        </w:rPr>
        <w:t xml:space="preserve"> </w:t>
      </w:r>
      <w:r w:rsidRPr="00F26E5F">
        <w:rPr>
          <w:rFonts w:ascii="Verdana" w:hAnsi="Verdana"/>
          <w:sz w:val="16"/>
          <w:szCs w:val="16"/>
        </w:rPr>
        <w:t>carácter técnico es promover las mejores condiciones de</w:t>
      </w:r>
      <w:r>
        <w:rPr>
          <w:rFonts w:ascii="Verdana" w:hAnsi="Verdana"/>
          <w:sz w:val="16"/>
          <w:szCs w:val="16"/>
        </w:rPr>
        <w:t xml:space="preserve"> </w:t>
      </w:r>
      <w:r w:rsidRPr="00F26E5F">
        <w:rPr>
          <w:rFonts w:ascii="Verdana" w:hAnsi="Verdana"/>
          <w:sz w:val="16"/>
          <w:szCs w:val="16"/>
        </w:rPr>
        <w:t>contratación, lo que comprende la realización de estudios</w:t>
      </w:r>
      <w:r>
        <w:rPr>
          <w:rFonts w:ascii="Verdana" w:hAnsi="Verdana"/>
          <w:sz w:val="16"/>
          <w:szCs w:val="16"/>
        </w:rPr>
        <w:t xml:space="preserve"> </w:t>
      </w:r>
      <w:r w:rsidRPr="00F26E5F">
        <w:rPr>
          <w:rFonts w:ascii="Verdana" w:hAnsi="Verdana"/>
          <w:sz w:val="16"/>
          <w:szCs w:val="16"/>
        </w:rPr>
        <w:t>y diagnósticos (num. 4.º), la difusión de normas, reglas y</w:t>
      </w:r>
      <w:r>
        <w:rPr>
          <w:rFonts w:ascii="Verdana" w:hAnsi="Verdana"/>
          <w:sz w:val="16"/>
          <w:szCs w:val="16"/>
        </w:rPr>
        <w:t xml:space="preserve"> </w:t>
      </w:r>
      <w:r w:rsidRPr="00F26E5F">
        <w:rPr>
          <w:rFonts w:ascii="Verdana" w:hAnsi="Verdana"/>
          <w:sz w:val="16"/>
          <w:szCs w:val="16"/>
        </w:rPr>
        <w:t>procedimientos (num. 10), el brindar apoyo a entidades</w:t>
      </w:r>
      <w:r>
        <w:rPr>
          <w:rFonts w:ascii="Verdana" w:hAnsi="Verdana"/>
          <w:sz w:val="16"/>
          <w:szCs w:val="16"/>
        </w:rPr>
        <w:t xml:space="preserve"> </w:t>
      </w:r>
      <w:r w:rsidRPr="00F26E5F">
        <w:rPr>
          <w:rFonts w:ascii="Verdana" w:hAnsi="Verdana"/>
          <w:sz w:val="16"/>
          <w:szCs w:val="16"/>
        </w:rPr>
        <w:t>territoriales (num. 11) y la promoción de políticas y normas ante el Gobierno Nacional (num. 1.º). Estas labores de</w:t>
      </w:r>
      <w:r>
        <w:rPr>
          <w:rFonts w:ascii="Verdana" w:hAnsi="Verdana"/>
          <w:sz w:val="16"/>
          <w:szCs w:val="16"/>
        </w:rPr>
        <w:t xml:space="preserve"> </w:t>
      </w:r>
      <w:r w:rsidRPr="00F26E5F">
        <w:rPr>
          <w:rFonts w:ascii="Verdana" w:hAnsi="Verdana"/>
          <w:sz w:val="16"/>
          <w:szCs w:val="16"/>
        </w:rPr>
        <w:t>apoyo, tanto a las entidades contratantes como al Gobierno</w:t>
      </w:r>
      <w:r>
        <w:rPr>
          <w:rFonts w:ascii="Verdana" w:hAnsi="Verdana"/>
          <w:sz w:val="16"/>
          <w:szCs w:val="16"/>
        </w:rPr>
        <w:t xml:space="preserve"> </w:t>
      </w:r>
      <w:r w:rsidRPr="00F26E5F">
        <w:rPr>
          <w:rFonts w:ascii="Verdana" w:hAnsi="Verdana"/>
          <w:sz w:val="16"/>
          <w:szCs w:val="16"/>
        </w:rPr>
        <w:t>Nacional, no comportan una función normativa propia</w:t>
      </w:r>
      <w:r>
        <w:rPr>
          <w:rFonts w:ascii="Verdana" w:hAnsi="Verdana"/>
          <w:sz w:val="16"/>
          <w:szCs w:val="16"/>
        </w:rPr>
        <w:t xml:space="preserve"> […]” (Cfr. BENAVIDES, José Luis</w:t>
      </w:r>
      <w:r w:rsidRPr="00F26E5F">
        <w:rPr>
          <w:rFonts w:ascii="Verdana" w:hAnsi="Verdana"/>
          <w:sz w:val="16"/>
          <w:szCs w:val="16"/>
        </w:rPr>
        <w:t>.</w:t>
      </w:r>
      <w:r>
        <w:rPr>
          <w:rFonts w:ascii="Verdana" w:hAnsi="Verdana"/>
          <w:sz w:val="16"/>
          <w:szCs w:val="16"/>
        </w:rPr>
        <w:t xml:space="preserve"> Contratos públicos. Estudios. Bogotá: Universidad Externado de Colombia, 2014. p. 166).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7" type="#_x0000_t75" style="width:7.45pt;height:7.4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D7068"/>
    <w:rsid w:val="000F6486"/>
    <w:rsid w:val="00116940"/>
    <w:rsid w:val="00125105"/>
    <w:rsid w:val="001263F2"/>
    <w:rsid w:val="00127233"/>
    <w:rsid w:val="0015699B"/>
    <w:rsid w:val="00197873"/>
    <w:rsid w:val="001A33BF"/>
    <w:rsid w:val="001D14C7"/>
    <w:rsid w:val="001E4177"/>
    <w:rsid w:val="001F0B24"/>
    <w:rsid w:val="001F7DC6"/>
    <w:rsid w:val="0022400B"/>
    <w:rsid w:val="002421BB"/>
    <w:rsid w:val="0025796E"/>
    <w:rsid w:val="002707A2"/>
    <w:rsid w:val="002951A0"/>
    <w:rsid w:val="002962BC"/>
    <w:rsid w:val="002A093D"/>
    <w:rsid w:val="002A0DD0"/>
    <w:rsid w:val="002A49AC"/>
    <w:rsid w:val="002A64FD"/>
    <w:rsid w:val="002C0643"/>
    <w:rsid w:val="002C7A84"/>
    <w:rsid w:val="002E2BF8"/>
    <w:rsid w:val="002E4FD9"/>
    <w:rsid w:val="0030657A"/>
    <w:rsid w:val="00322A85"/>
    <w:rsid w:val="00324168"/>
    <w:rsid w:val="00330834"/>
    <w:rsid w:val="00330B85"/>
    <w:rsid w:val="003448F4"/>
    <w:rsid w:val="00374F5E"/>
    <w:rsid w:val="00377E3E"/>
    <w:rsid w:val="003A779E"/>
    <w:rsid w:val="003D0F4D"/>
    <w:rsid w:val="003D5B0D"/>
    <w:rsid w:val="003E0499"/>
    <w:rsid w:val="003E4F80"/>
    <w:rsid w:val="003E6439"/>
    <w:rsid w:val="003F3941"/>
    <w:rsid w:val="00406575"/>
    <w:rsid w:val="00414C74"/>
    <w:rsid w:val="00417FFC"/>
    <w:rsid w:val="0042722E"/>
    <w:rsid w:val="0044528D"/>
    <w:rsid w:val="00466E39"/>
    <w:rsid w:val="004A1847"/>
    <w:rsid w:val="004A305D"/>
    <w:rsid w:val="004B4626"/>
    <w:rsid w:val="004F21C4"/>
    <w:rsid w:val="004F685F"/>
    <w:rsid w:val="00556432"/>
    <w:rsid w:val="005566E8"/>
    <w:rsid w:val="00574867"/>
    <w:rsid w:val="00591460"/>
    <w:rsid w:val="005A65E0"/>
    <w:rsid w:val="005C3777"/>
    <w:rsid w:val="005C5CDC"/>
    <w:rsid w:val="005D476C"/>
    <w:rsid w:val="006200BF"/>
    <w:rsid w:val="006219F8"/>
    <w:rsid w:val="006302F7"/>
    <w:rsid w:val="00646B9F"/>
    <w:rsid w:val="00665D70"/>
    <w:rsid w:val="006900D9"/>
    <w:rsid w:val="006C71EE"/>
    <w:rsid w:val="006D7DAE"/>
    <w:rsid w:val="006F4005"/>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21B4"/>
    <w:rsid w:val="008258C9"/>
    <w:rsid w:val="00844AE9"/>
    <w:rsid w:val="00867F95"/>
    <w:rsid w:val="008843B6"/>
    <w:rsid w:val="00891928"/>
    <w:rsid w:val="008A446D"/>
    <w:rsid w:val="008B25F1"/>
    <w:rsid w:val="008D180B"/>
    <w:rsid w:val="008F0EA7"/>
    <w:rsid w:val="00923EEF"/>
    <w:rsid w:val="009419F9"/>
    <w:rsid w:val="009441B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42CBC"/>
    <w:rsid w:val="00AB0ADB"/>
    <w:rsid w:val="00B00C0E"/>
    <w:rsid w:val="00B01B1A"/>
    <w:rsid w:val="00B0334D"/>
    <w:rsid w:val="00B0381D"/>
    <w:rsid w:val="00B44A47"/>
    <w:rsid w:val="00B72CD3"/>
    <w:rsid w:val="00B72FFF"/>
    <w:rsid w:val="00BC3D36"/>
    <w:rsid w:val="00BD54A6"/>
    <w:rsid w:val="00BD7F72"/>
    <w:rsid w:val="00BF7425"/>
    <w:rsid w:val="00C04FB3"/>
    <w:rsid w:val="00C11D8B"/>
    <w:rsid w:val="00C15139"/>
    <w:rsid w:val="00C330EB"/>
    <w:rsid w:val="00C44635"/>
    <w:rsid w:val="00C50D69"/>
    <w:rsid w:val="00C5365C"/>
    <w:rsid w:val="00C754BE"/>
    <w:rsid w:val="00C76B1C"/>
    <w:rsid w:val="00C925AC"/>
    <w:rsid w:val="00CB6357"/>
    <w:rsid w:val="00CC1B26"/>
    <w:rsid w:val="00CE69A5"/>
    <w:rsid w:val="00CF2DA9"/>
    <w:rsid w:val="00D361FD"/>
    <w:rsid w:val="00D423A2"/>
    <w:rsid w:val="00D44E26"/>
    <w:rsid w:val="00D520D8"/>
    <w:rsid w:val="00D63AC2"/>
    <w:rsid w:val="00D7383B"/>
    <w:rsid w:val="00D7590B"/>
    <w:rsid w:val="00D7788A"/>
    <w:rsid w:val="00DA231B"/>
    <w:rsid w:val="00DC39FC"/>
    <w:rsid w:val="00DF5254"/>
    <w:rsid w:val="00E02524"/>
    <w:rsid w:val="00E16408"/>
    <w:rsid w:val="00E17FC9"/>
    <w:rsid w:val="00E20894"/>
    <w:rsid w:val="00E245AB"/>
    <w:rsid w:val="00E2764C"/>
    <w:rsid w:val="00E27F2E"/>
    <w:rsid w:val="00E50AFE"/>
    <w:rsid w:val="00E67EC9"/>
    <w:rsid w:val="00E75C92"/>
    <w:rsid w:val="00E771DC"/>
    <w:rsid w:val="00E8772A"/>
    <w:rsid w:val="00E90F6B"/>
    <w:rsid w:val="00E92C27"/>
    <w:rsid w:val="00E9701D"/>
    <w:rsid w:val="00EA0E3D"/>
    <w:rsid w:val="00EC38A7"/>
    <w:rsid w:val="00EE1AA8"/>
    <w:rsid w:val="00F23FEA"/>
    <w:rsid w:val="00F31EDC"/>
    <w:rsid w:val="00F462B3"/>
    <w:rsid w:val="00F5664F"/>
    <w:rsid w:val="00F666C4"/>
    <w:rsid w:val="00F76AFC"/>
    <w:rsid w:val="00FA47C0"/>
    <w:rsid w:val="00FB5DD1"/>
    <w:rsid w:val="00FC2B5D"/>
    <w:rsid w:val="00FF1449"/>
    <w:rsid w:val="00FF7963"/>
    <w:rsid w:val="09908A09"/>
    <w:rsid w:val="13CFC91B"/>
    <w:rsid w:val="19A2EC2C"/>
    <w:rsid w:val="2859CA1B"/>
    <w:rsid w:val="32A4F9CF"/>
    <w:rsid w:val="356CEDFD"/>
    <w:rsid w:val="693F933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6D7DA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D7DAE"/>
    <w:rPr>
      <w:rFonts w:ascii="Geomanist Light" w:hAnsi="Geomanist Light"/>
      <w:lang w:val="es-ES"/>
    </w:rPr>
  </w:style>
  <w:style w:type="paragraph" w:styleId="Textoindependiente">
    <w:name w:val="Body Text"/>
    <w:basedOn w:val="Normal"/>
    <w:link w:val="TextoindependienteCar"/>
    <w:uiPriority w:val="99"/>
    <w:unhideWhenUsed/>
    <w:rsid w:val="006D7DAE"/>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6D7DAE"/>
    <w:rPr>
      <w:rFonts w:eastAsiaTheme="minorEastAsia"/>
      <w:lang w:eastAsia="es-CO"/>
    </w:rPr>
  </w:style>
  <w:style w:type="character" w:customStyle="1" w:styleId="s15">
    <w:name w:val="s15"/>
    <w:basedOn w:val="Fuentedeprrafopredeter"/>
    <w:rsid w:val="006D7DAE"/>
  </w:style>
  <w:style w:type="character" w:customStyle="1" w:styleId="apple-converted-space">
    <w:name w:val="apple-converted-space"/>
    <w:basedOn w:val="Fuentedeprrafopredeter"/>
    <w:rsid w:val="006D7D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lkingarciasabogal@gmail.com"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colombiacompra.gov.co/sites/cce_public/files/cce_documents/cce_guia_competencia_0.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513CBAC3-5953-4E1B-9D30-160D7B275BF5}"/>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fd6426d-c0fc-47b5-a6b8-86becfa1e099"/>
    <ds:schemaRef ds:uri="8ae15d26-076e-464e-81a7-6f76a0fb3917"/>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4</TotalTime>
  <Pages>19</Pages>
  <Words>5518</Words>
  <Characters>30352</Characters>
  <Application>Microsoft Office Word</Application>
  <DocSecurity>0</DocSecurity>
  <Lines>252</Lines>
  <Paragraphs>71</Paragraphs>
  <ScaleCrop>false</ScaleCrop>
  <Company/>
  <LinksUpToDate>false</LinksUpToDate>
  <CharactersWithSpaces>35799</CharactersWithSpaces>
  <SharedDoc>false</SharedDoc>
  <HLinks>
    <vt:vector size="42" baseType="variant">
      <vt:variant>
        <vt:i4>4456513</vt:i4>
      </vt:variant>
      <vt:variant>
        <vt:i4>15</vt:i4>
      </vt:variant>
      <vt:variant>
        <vt:i4>0</vt:i4>
      </vt:variant>
      <vt:variant>
        <vt:i4>5</vt:i4>
      </vt:variant>
      <vt:variant>
        <vt:lpwstr>https://forms.office.com/r/pPHyWVs2SZ</vt:lpwstr>
      </vt:variant>
      <vt:variant>
        <vt:lpwstr/>
      </vt:variant>
      <vt:variant>
        <vt:i4>3407926</vt:i4>
      </vt:variant>
      <vt:variant>
        <vt:i4>12</vt:i4>
      </vt:variant>
      <vt:variant>
        <vt:i4>0</vt:i4>
      </vt:variant>
      <vt:variant>
        <vt:i4>5</vt:i4>
      </vt:variant>
      <vt:variant>
        <vt:lpwstr>https://www.colombiacompra.gov.co/pqrsd/informacion-importante-antes-de-formular-una-pqrsd</vt:lpwstr>
      </vt:variant>
      <vt:variant>
        <vt:lpwstr/>
      </vt:variant>
      <vt:variant>
        <vt:i4>4980779</vt:i4>
      </vt:variant>
      <vt:variant>
        <vt:i4>9</vt:i4>
      </vt:variant>
      <vt:variant>
        <vt:i4>0</vt:i4>
      </vt:variant>
      <vt:variant>
        <vt:i4>5</vt:i4>
      </vt:variant>
      <vt:variant>
        <vt:lpwstr>mailto:ventanilladeradicacion@colombiacompra.gov.co</vt:lpwstr>
      </vt:variant>
      <vt:variant>
        <vt:lpwstr/>
      </vt:variant>
      <vt:variant>
        <vt:i4>7995518</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vt:lpwstr>
      </vt:variant>
      <vt:variant>
        <vt:lpwstr/>
      </vt:variant>
      <vt:variant>
        <vt:i4>7471218</vt:i4>
      </vt:variant>
      <vt:variant>
        <vt:i4>3</vt:i4>
      </vt:variant>
      <vt:variant>
        <vt:i4>0</vt:i4>
      </vt:variant>
      <vt:variant>
        <vt:i4>5</vt:i4>
      </vt:variant>
      <vt:variant>
        <vt:lpwstr>https://relatoria.colombiacompra.gov.co/busqueda/conceptos</vt:lpwstr>
      </vt:variant>
      <vt:variant>
        <vt:lpwstr/>
      </vt:variant>
      <vt:variant>
        <vt:i4>720928</vt:i4>
      </vt:variant>
      <vt:variant>
        <vt:i4>0</vt:i4>
      </vt:variant>
      <vt:variant>
        <vt:i4>0</vt:i4>
      </vt:variant>
      <vt:variant>
        <vt:i4>5</vt:i4>
      </vt:variant>
      <vt:variant>
        <vt:lpwstr>mailto:elkingarciasabogal@gmail.com</vt:lpwstr>
      </vt:variant>
      <vt:variant>
        <vt:lpwstr/>
      </vt:variant>
      <vt:variant>
        <vt:i4>7471182</vt:i4>
      </vt:variant>
      <vt:variant>
        <vt:i4>0</vt:i4>
      </vt:variant>
      <vt:variant>
        <vt:i4>0</vt:i4>
      </vt:variant>
      <vt:variant>
        <vt:i4>5</vt:i4>
      </vt:variant>
      <vt:variant>
        <vt:lpwstr>https://colombiacompra.gov.co/sites/cce_public/files/cce_documents/cce_guia_competencia_0.pdf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7</cp:revision>
  <cp:lastPrinted>2023-01-10T21:18:00Z</cp:lastPrinted>
  <dcterms:created xsi:type="dcterms:W3CDTF">2025-11-14T15:11:00Z</dcterms:created>
  <dcterms:modified xsi:type="dcterms:W3CDTF">2025-11-15T01:35:00Z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