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668F7" w14:textId="77777777" w:rsidR="00162EAA" w:rsidRDefault="00162EAA" w:rsidP="00162EAA">
      <w:pPr>
        <w:spacing w:after="0" w:line="240" w:lineRule="auto"/>
        <w:jc w:val="both"/>
        <w:rPr>
          <w:rFonts w:ascii="Verdana" w:eastAsia="Aptos" w:hAnsi="Verdana" w:cs="Times New Roman"/>
          <w:sz w:val="20"/>
          <w:szCs w:val="20"/>
        </w:rPr>
      </w:pPr>
      <w:bookmarkStart w:id="0" w:name="_Hlk143780582"/>
      <w:r w:rsidRPr="00356B64">
        <w:rPr>
          <w:rFonts w:ascii="Verdana" w:eastAsia="Aptos" w:hAnsi="Verdana" w:cs="Times New Roman"/>
          <w:b/>
          <w:bCs/>
        </w:rPr>
        <w:t xml:space="preserve">PRINCIPIO DE PUBLICIDAD – SECOP </w:t>
      </w:r>
    </w:p>
    <w:p w14:paraId="0875B7A2" w14:textId="77777777" w:rsidR="00162EAA" w:rsidRDefault="00162EAA" w:rsidP="00162EAA">
      <w:pPr>
        <w:spacing w:after="0" w:line="240" w:lineRule="auto"/>
        <w:jc w:val="both"/>
        <w:rPr>
          <w:rFonts w:ascii="Verdana" w:eastAsia="Aptos" w:hAnsi="Verdana" w:cs="Times New Roman"/>
          <w:sz w:val="20"/>
          <w:szCs w:val="20"/>
        </w:rPr>
      </w:pPr>
    </w:p>
    <w:p w14:paraId="2712648C" w14:textId="77777777" w:rsidR="00162EAA" w:rsidRDefault="00162EAA" w:rsidP="00162EAA">
      <w:pPr>
        <w:spacing w:after="0" w:line="240" w:lineRule="auto"/>
        <w:jc w:val="both"/>
        <w:rPr>
          <w:rFonts w:ascii="Verdana" w:eastAsia="Aptos" w:hAnsi="Verdana" w:cs="Times New Roman"/>
          <w:b/>
          <w:bCs/>
        </w:rPr>
      </w:pPr>
      <w:r w:rsidRPr="00356B64">
        <w:rPr>
          <w:rFonts w:ascii="Verdana" w:eastAsia="Aptos" w:hAnsi="Verdana" w:cs="Times New Roman"/>
          <w:sz w:val="20"/>
          <w:szCs w:val="20"/>
        </w:rPr>
        <w:t>[…] 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07A80629" w14:textId="77777777" w:rsidR="00162EAA" w:rsidRDefault="00162EAA" w:rsidP="00162EAA">
      <w:pPr>
        <w:spacing w:after="0" w:line="240" w:lineRule="auto"/>
        <w:jc w:val="both"/>
        <w:rPr>
          <w:rFonts w:ascii="Verdana" w:eastAsia="Aptos" w:hAnsi="Verdana" w:cs="Times New Roman"/>
          <w:b/>
          <w:bCs/>
        </w:rPr>
      </w:pPr>
    </w:p>
    <w:p w14:paraId="54010851" w14:textId="77777777" w:rsidR="00162EAA" w:rsidRPr="00B92AD4" w:rsidRDefault="00162EAA" w:rsidP="00162EAA">
      <w:pPr>
        <w:spacing w:after="0" w:line="240" w:lineRule="auto"/>
        <w:jc w:val="both"/>
        <w:rPr>
          <w:rFonts w:ascii="Verdana" w:eastAsia="Aptos" w:hAnsi="Verdana" w:cs="Times New Roman"/>
          <w:b/>
          <w:bCs/>
        </w:rPr>
      </w:pPr>
      <w:r w:rsidRPr="00B92AD4">
        <w:rPr>
          <w:rFonts w:ascii="Verdana" w:eastAsia="Aptos" w:hAnsi="Verdana" w:cs="Times New Roman"/>
          <w:b/>
          <w:bCs/>
        </w:rPr>
        <w:t>COMITÉ EVALUADOR – Alcance – Facultad de la entidad – Determinación de funciones</w:t>
      </w:r>
    </w:p>
    <w:p w14:paraId="46A8F8D2" w14:textId="77777777" w:rsidR="00162EAA" w:rsidRPr="00B92AD4" w:rsidRDefault="00162EAA" w:rsidP="00162EAA">
      <w:pPr>
        <w:spacing w:after="0" w:line="240" w:lineRule="auto"/>
        <w:jc w:val="both"/>
        <w:rPr>
          <w:rFonts w:ascii="Verdana" w:eastAsia="Aptos" w:hAnsi="Verdana" w:cs="Times New Roman"/>
          <w:b/>
          <w:bCs/>
        </w:rPr>
      </w:pPr>
    </w:p>
    <w:p w14:paraId="5B5E719F" w14:textId="77777777" w:rsidR="00162EAA" w:rsidRPr="00B92AD4" w:rsidRDefault="00162EAA" w:rsidP="00162EAA">
      <w:pPr>
        <w:spacing w:after="0" w:line="240" w:lineRule="auto"/>
        <w:jc w:val="both"/>
        <w:rPr>
          <w:rFonts w:ascii="Verdana" w:eastAsia="Aptos" w:hAnsi="Verdana" w:cs="Times New Roman"/>
          <w:sz w:val="20"/>
          <w:szCs w:val="20"/>
        </w:rPr>
      </w:pPr>
      <w:r w:rsidRPr="00B92AD4">
        <w:rPr>
          <w:rFonts w:ascii="Verdana" w:eastAsia="Aptos" w:hAnsi="Verdana" w:cs="Times New Roman"/>
          <w:sz w:val="20"/>
          <w:szCs w:val="20"/>
        </w:rPr>
        <w:t>[…] el artículo 2.2.1.1.2.2.3 del Decreto 1082 de 2015 mediante el cual se les otorga tal facultad, permite que las Entidades Estatales determinen ciertos elementos en relación con el comité de evaluación que decidan constituir. De esta forma, aspectos como el número de miembros, las calidades o profesiones de cada uno, las funciones o actividades que estos desarrollarán, la determinación de los procesos de selección en los cuales dicho comité se conformará, o la definición de factores como la cuantía u objeto contractual para la misma finalidad, entre otros, son aspectos que, en la medida que la norma guarde silencio, corresponderá a las Entidades establecer para cada proceso en sus respectivos manuales de contratación.</w:t>
      </w:r>
    </w:p>
    <w:p w14:paraId="5139B8BA" w14:textId="77777777" w:rsidR="00162EAA" w:rsidRPr="00B92AD4" w:rsidRDefault="00162EAA" w:rsidP="00162EAA">
      <w:pPr>
        <w:spacing w:after="0" w:line="240" w:lineRule="auto"/>
        <w:jc w:val="both"/>
        <w:rPr>
          <w:rFonts w:ascii="Verdana" w:eastAsia="Aptos" w:hAnsi="Verdana" w:cs="Times New Roman"/>
          <w:sz w:val="20"/>
          <w:szCs w:val="20"/>
        </w:rPr>
      </w:pPr>
      <w:r w:rsidRPr="00B92AD4">
        <w:rPr>
          <w:rFonts w:ascii="Verdana" w:eastAsia="Aptos" w:hAnsi="Verdana" w:cs="Times New Roman"/>
          <w:sz w:val="20"/>
          <w:szCs w:val="20"/>
        </w:rPr>
        <w:t>[…]</w:t>
      </w:r>
    </w:p>
    <w:p w14:paraId="38905B8A" w14:textId="02DC9225" w:rsidR="00162EAA" w:rsidRPr="00056034" w:rsidRDefault="00162EAA" w:rsidP="00056034">
      <w:pPr>
        <w:spacing w:after="0" w:line="240" w:lineRule="auto"/>
        <w:jc w:val="both"/>
        <w:rPr>
          <w:rFonts w:ascii="Verdana" w:eastAsia="Aptos" w:hAnsi="Verdana" w:cs="Times New Roman"/>
          <w:sz w:val="20"/>
          <w:szCs w:val="20"/>
        </w:rPr>
      </w:pPr>
      <w:r w:rsidRPr="00B92AD4">
        <w:rPr>
          <w:rFonts w:ascii="Verdana" w:eastAsia="Aptos" w:hAnsi="Verdana" w:cs="Times New Roman"/>
          <w:sz w:val="20"/>
          <w:szCs w:val="20"/>
        </w:rPr>
        <w:t>[…] es de menester advertir, que el artículo 2.2.1.1.2.2.3 del Decreto 1082 de 2015 mediante el cual se les otorga tal facultad, permite que las Entidades Estatales determinen ciertos elementos en relación con el comité de evaluación que decidan constituir. Por ello, aspectos como el número de miembros, las calidades o profesiones de cada uno, la determinación de los procesos de selección en los cuales dicho comité se conformará, o la definición de factores como la cuantía u objeto contractual para la misma finalidad, entre otros, son aspectos que, en la medida que la norma guarde silencio, le corresponderá a las Entidades definir para cada proceso, en sus respectivos manuales de contratación. Situación esta, que se refleja en la definición de las condiciones que deberían observar las Entidades Estatales al momento de asignar las funciones o actividades a desempeñar por parte de los miembros de dichos comités, pues la norma en mención, no se refirió sobre este aspecto, por lo que le corresponderá a la Entidad, según la particularidad del asunto, determinarlo.</w:t>
      </w:r>
    </w:p>
    <w:p w14:paraId="15149434" w14:textId="77777777" w:rsidR="00162EAA" w:rsidRDefault="00162EAA" w:rsidP="00162EAA">
      <w:pPr>
        <w:spacing w:after="0"/>
        <w:rPr>
          <w:rFonts w:ascii="Verdana" w:eastAsia="Calibri" w:hAnsi="Verdana" w:cs="Arial"/>
          <w:b/>
          <w:bCs/>
          <w:color w:val="000000" w:themeColor="text1"/>
          <w:lang w:val="es-ES_tradnl"/>
        </w:rPr>
      </w:pPr>
    </w:p>
    <w:p w14:paraId="518644EA" w14:textId="77777777" w:rsidR="00162EAA" w:rsidRPr="00795FBD" w:rsidRDefault="00162EAA" w:rsidP="00162EAA">
      <w:pPr>
        <w:spacing w:after="0"/>
        <w:rPr>
          <w:rFonts w:ascii="Verdana" w:eastAsia="Calibri" w:hAnsi="Verdana" w:cs="Arial"/>
          <w:b/>
          <w:bCs/>
          <w:color w:val="000000" w:themeColor="text1"/>
          <w:lang w:val="es-ES_tradnl"/>
        </w:rPr>
      </w:pPr>
      <w:r w:rsidRPr="00795FBD">
        <w:rPr>
          <w:rFonts w:ascii="Verdana" w:eastAsia="Calibri" w:hAnsi="Verdana" w:cs="Arial"/>
          <w:b/>
          <w:bCs/>
          <w:color w:val="000000" w:themeColor="text1"/>
          <w:lang w:val="es-ES_tradnl"/>
        </w:rPr>
        <w:t xml:space="preserve">COMITÉ EVALUADOR </w:t>
      </w:r>
      <w:r w:rsidRPr="00795FBD">
        <w:rPr>
          <w:rFonts w:ascii="Verdana" w:eastAsia="Calibri" w:hAnsi="Verdana" w:cs="Arial"/>
          <w:b/>
          <w:bCs/>
          <w:color w:val="000000" w:themeColor="text1"/>
        </w:rPr>
        <w:t>–</w:t>
      </w:r>
      <w:r w:rsidRPr="00795FBD">
        <w:rPr>
          <w:rFonts w:ascii="Verdana" w:eastAsia="Calibri" w:hAnsi="Verdana" w:cs="Arial"/>
          <w:b/>
          <w:bCs/>
          <w:color w:val="000000" w:themeColor="text1"/>
          <w:lang w:val="es-ES_tradnl"/>
        </w:rPr>
        <w:t xml:space="preserve"> Organismo asesor</w:t>
      </w:r>
    </w:p>
    <w:p w14:paraId="270E9D6D" w14:textId="77777777" w:rsidR="00162EAA" w:rsidRPr="00795FBD" w:rsidRDefault="00162EAA" w:rsidP="00162EAA">
      <w:pPr>
        <w:spacing w:after="0"/>
        <w:rPr>
          <w:rFonts w:ascii="Verdana" w:eastAsia="Calibri" w:hAnsi="Verdana" w:cs="Arial"/>
          <w:b/>
          <w:bCs/>
          <w:color w:val="000000" w:themeColor="text1"/>
          <w:lang w:val="es-ES_tradnl"/>
        </w:rPr>
      </w:pPr>
    </w:p>
    <w:p w14:paraId="76BA1EF5" w14:textId="77777777" w:rsidR="00162EAA" w:rsidRPr="00C44DAE" w:rsidRDefault="00162EAA" w:rsidP="00162EAA">
      <w:pPr>
        <w:spacing w:after="120" w:line="276" w:lineRule="auto"/>
        <w:ind w:firstLine="709"/>
        <w:jc w:val="both"/>
        <w:rPr>
          <w:rFonts w:ascii="Verdana" w:eastAsia="Aptos" w:hAnsi="Verdana" w:cs="Times New Roman"/>
          <w:sz w:val="20"/>
          <w:szCs w:val="20"/>
        </w:rPr>
      </w:pPr>
      <w:r w:rsidRPr="00C44DAE">
        <w:rPr>
          <w:rFonts w:ascii="Verdana" w:eastAsia="Aptos" w:hAnsi="Verdana" w:cs="Times New Roman"/>
          <w:sz w:val="20"/>
          <w:szCs w:val="20"/>
        </w:rPr>
        <w:t xml:space="preserve">[…] Por otro lado, en cuanto a la labor del Comité de Evaluación es pertinente precisar que su función no es la de emitir actos administrativos definitorios o decisorios frente a la adjudicación del contrato, el rechazo de las ofertas o la declaratoria de </w:t>
      </w:r>
      <w:r w:rsidRPr="00C44DAE">
        <w:rPr>
          <w:rFonts w:ascii="Verdana" w:eastAsia="Aptos" w:hAnsi="Verdana" w:cs="Times New Roman"/>
          <w:sz w:val="20"/>
          <w:szCs w:val="20"/>
        </w:rPr>
        <w:lastRenderedPageBreak/>
        <w:t xml:space="preserve">desierta, según sea el caso, sino la presentación de un informe de evaluación no vinculante. </w:t>
      </w:r>
    </w:p>
    <w:p w14:paraId="5D429E54" w14:textId="77777777" w:rsidR="00162EAA" w:rsidRPr="00C44DAE" w:rsidRDefault="00162EAA" w:rsidP="00162EAA">
      <w:pPr>
        <w:spacing w:after="120" w:line="276" w:lineRule="auto"/>
        <w:ind w:firstLine="709"/>
        <w:jc w:val="both"/>
        <w:rPr>
          <w:rFonts w:ascii="Verdana" w:eastAsia="Aptos" w:hAnsi="Verdana" w:cs="Times New Roman"/>
          <w:sz w:val="20"/>
          <w:szCs w:val="20"/>
        </w:rPr>
      </w:pPr>
      <w:r w:rsidRPr="00C44DAE">
        <w:rPr>
          <w:rFonts w:ascii="Verdana" w:eastAsia="Aptos" w:hAnsi="Verdana" w:cs="Times New Roman"/>
          <w:sz w:val="20"/>
          <w:szCs w:val="20"/>
        </w:rPr>
        <w:t>En relación con el carácter no vinculante del concepto o dictamen emitido por el comité evaluador, el Consejo de Estado ha considerado que el informe por parte de los comités asesores no es obligatorio para el órgano competente al momento de adjudicar “y, por el contrario, éste puede separarse y resolver en sentido diferente por encontrar errores que afecten los resultados en él consignados, aun cuando debe exponer razonadamente la motivación del apartamiento, con el fin de que la decisión no adolezca de nulidad por insuficiencia de motivación, tal y como lo ha manifestado de tiempo atrás la jurisprudencia”.</w:t>
      </w:r>
    </w:p>
    <w:p w14:paraId="5FC0EA22" w14:textId="77777777" w:rsidR="00162EAA" w:rsidRPr="00C44DAE" w:rsidRDefault="00162EAA" w:rsidP="00162EAA">
      <w:pPr>
        <w:spacing w:after="0"/>
        <w:rPr>
          <w:rFonts w:ascii="Verdana" w:eastAsia="Aptos" w:hAnsi="Verdana" w:cs="Times New Roman"/>
          <w:sz w:val="20"/>
          <w:szCs w:val="20"/>
        </w:rPr>
      </w:pPr>
    </w:p>
    <w:p w14:paraId="06E31098" w14:textId="77777777" w:rsidR="00162EAA" w:rsidRPr="00C44DAE" w:rsidRDefault="00162EAA" w:rsidP="00162EAA">
      <w:pPr>
        <w:spacing w:after="0"/>
        <w:rPr>
          <w:rFonts w:ascii="Verdana" w:eastAsia="Aptos" w:hAnsi="Verdana" w:cs="Times New Roman"/>
          <w:sz w:val="20"/>
          <w:szCs w:val="20"/>
        </w:rPr>
      </w:pPr>
    </w:p>
    <w:p w14:paraId="50003C75" w14:textId="77777777" w:rsidR="00162EAA" w:rsidRDefault="00162EAA" w:rsidP="00162EAA">
      <w:pPr>
        <w:spacing w:after="0"/>
        <w:rPr>
          <w:rFonts w:ascii="Verdana" w:eastAsia="Calibri" w:hAnsi="Verdana" w:cs="Arial"/>
          <w:b/>
          <w:bCs/>
          <w:color w:val="000000" w:themeColor="text1"/>
          <w:lang w:val="es-ES_tradnl"/>
        </w:rPr>
      </w:pPr>
    </w:p>
    <w:p w14:paraId="341C38E9" w14:textId="77777777" w:rsidR="00162EAA" w:rsidRDefault="00162EAA" w:rsidP="00162EAA">
      <w:pPr>
        <w:spacing w:after="0"/>
        <w:rPr>
          <w:rFonts w:ascii="Verdana" w:eastAsia="Calibri" w:hAnsi="Verdana" w:cs="Arial"/>
          <w:b/>
          <w:bCs/>
          <w:color w:val="000000" w:themeColor="text1"/>
          <w:lang w:val="es-ES_tradnl"/>
        </w:rPr>
      </w:pPr>
    </w:p>
    <w:p w14:paraId="39C00568" w14:textId="77777777" w:rsidR="00162EAA" w:rsidRDefault="00162EAA" w:rsidP="00162EAA">
      <w:pPr>
        <w:spacing w:after="0"/>
        <w:rPr>
          <w:rFonts w:ascii="Verdana" w:eastAsia="Calibri" w:hAnsi="Verdana" w:cs="Arial"/>
          <w:b/>
          <w:bCs/>
          <w:color w:val="000000" w:themeColor="text1"/>
          <w:lang w:val="es-ES_tradnl"/>
        </w:rPr>
      </w:pPr>
    </w:p>
    <w:p w14:paraId="169C3A8E" w14:textId="77777777" w:rsidR="00162EAA" w:rsidRDefault="00162EAA" w:rsidP="00162EAA">
      <w:pPr>
        <w:spacing w:after="0"/>
        <w:rPr>
          <w:rFonts w:ascii="Verdana" w:eastAsia="Calibri" w:hAnsi="Verdana" w:cs="Arial"/>
          <w:b/>
          <w:bCs/>
          <w:color w:val="000000" w:themeColor="text1"/>
          <w:lang w:val="es-ES_tradnl"/>
        </w:rPr>
      </w:pPr>
    </w:p>
    <w:p w14:paraId="027F0FEA" w14:textId="77777777" w:rsidR="00162EAA" w:rsidRDefault="00162EAA" w:rsidP="00162EAA">
      <w:pPr>
        <w:spacing w:after="0"/>
        <w:rPr>
          <w:rFonts w:ascii="Verdana" w:eastAsia="Calibri" w:hAnsi="Verdana" w:cs="Arial"/>
          <w:b/>
          <w:bCs/>
          <w:color w:val="000000" w:themeColor="text1"/>
          <w:lang w:val="es-ES_tradnl"/>
        </w:rPr>
      </w:pPr>
    </w:p>
    <w:p w14:paraId="5F922B91" w14:textId="77777777" w:rsidR="00162EAA" w:rsidRDefault="00162EAA" w:rsidP="00162EAA">
      <w:pPr>
        <w:spacing w:after="0"/>
        <w:rPr>
          <w:rFonts w:ascii="Verdana" w:eastAsia="Calibri" w:hAnsi="Verdana" w:cs="Arial"/>
          <w:b/>
          <w:bCs/>
          <w:color w:val="000000" w:themeColor="text1"/>
          <w:lang w:val="es-ES_tradnl"/>
        </w:rPr>
      </w:pPr>
    </w:p>
    <w:p w14:paraId="059E564A" w14:textId="77777777" w:rsidR="00162EAA" w:rsidRDefault="00162EAA" w:rsidP="00162EAA">
      <w:pPr>
        <w:spacing w:after="0"/>
        <w:rPr>
          <w:rFonts w:ascii="Verdana" w:hAnsi="Verdana"/>
        </w:rPr>
      </w:pPr>
    </w:p>
    <w:p w14:paraId="2660FB9F" w14:textId="77777777" w:rsidR="00162EAA" w:rsidRDefault="00162EAA" w:rsidP="00162EAA">
      <w:pPr>
        <w:spacing w:after="0"/>
        <w:rPr>
          <w:rFonts w:ascii="Verdana" w:hAnsi="Verdana"/>
        </w:rPr>
      </w:pPr>
    </w:p>
    <w:p w14:paraId="71A1D914" w14:textId="77777777" w:rsidR="00162EAA" w:rsidRDefault="00162EAA" w:rsidP="00162EAA">
      <w:pPr>
        <w:spacing w:after="0"/>
        <w:rPr>
          <w:rFonts w:ascii="Verdana" w:hAnsi="Verdana"/>
        </w:rPr>
      </w:pPr>
    </w:p>
    <w:p w14:paraId="6911B7B1" w14:textId="77777777" w:rsidR="00162EAA" w:rsidRDefault="00162EAA" w:rsidP="00162EAA">
      <w:pPr>
        <w:spacing w:after="0"/>
        <w:rPr>
          <w:rFonts w:ascii="Verdana" w:hAnsi="Verdana"/>
        </w:rPr>
      </w:pPr>
    </w:p>
    <w:p w14:paraId="67C10300" w14:textId="77777777" w:rsidR="00162EAA" w:rsidRDefault="00162EAA" w:rsidP="00162EAA">
      <w:pPr>
        <w:spacing w:after="0"/>
        <w:rPr>
          <w:rFonts w:ascii="Verdana" w:hAnsi="Verdana"/>
        </w:rPr>
      </w:pPr>
    </w:p>
    <w:p w14:paraId="729D00F2" w14:textId="77777777" w:rsidR="00162EAA" w:rsidRDefault="00162EAA" w:rsidP="00162EAA">
      <w:pPr>
        <w:spacing w:after="0"/>
        <w:rPr>
          <w:rFonts w:ascii="Verdana" w:hAnsi="Verdana"/>
        </w:rPr>
      </w:pPr>
    </w:p>
    <w:p w14:paraId="0C3A3DFA" w14:textId="77777777" w:rsidR="00162EAA" w:rsidRDefault="00162EAA" w:rsidP="00162EAA">
      <w:pPr>
        <w:spacing w:after="0"/>
        <w:rPr>
          <w:rFonts w:ascii="Verdana" w:hAnsi="Verdana"/>
        </w:rPr>
      </w:pPr>
    </w:p>
    <w:p w14:paraId="31684F40" w14:textId="77777777" w:rsidR="00162EAA" w:rsidRDefault="00162EAA" w:rsidP="00162EAA">
      <w:pPr>
        <w:spacing w:after="0"/>
        <w:rPr>
          <w:rFonts w:ascii="Verdana" w:hAnsi="Verdana"/>
        </w:rPr>
      </w:pPr>
    </w:p>
    <w:p w14:paraId="09B52345" w14:textId="77777777" w:rsidR="00162EAA" w:rsidRDefault="00162EAA" w:rsidP="00162EAA">
      <w:pPr>
        <w:spacing w:after="0"/>
        <w:rPr>
          <w:rFonts w:ascii="Verdana" w:hAnsi="Verdana"/>
        </w:rPr>
      </w:pPr>
    </w:p>
    <w:p w14:paraId="0516B974" w14:textId="77777777" w:rsidR="00162EAA" w:rsidRDefault="00162EAA" w:rsidP="00162EAA">
      <w:pPr>
        <w:spacing w:after="0"/>
        <w:rPr>
          <w:rFonts w:ascii="Verdana" w:hAnsi="Verdana"/>
        </w:rPr>
      </w:pPr>
    </w:p>
    <w:p w14:paraId="53D55122" w14:textId="77777777" w:rsidR="00162EAA" w:rsidRDefault="00162EAA" w:rsidP="00162EAA">
      <w:pPr>
        <w:spacing w:after="0"/>
        <w:rPr>
          <w:rFonts w:ascii="Verdana" w:hAnsi="Verdana"/>
        </w:rPr>
      </w:pPr>
    </w:p>
    <w:p w14:paraId="399675D2" w14:textId="77777777" w:rsidR="00162EAA" w:rsidRDefault="00162EAA" w:rsidP="00162EAA">
      <w:pPr>
        <w:spacing w:after="0"/>
        <w:rPr>
          <w:rFonts w:ascii="Verdana" w:hAnsi="Verdana"/>
        </w:rPr>
      </w:pPr>
    </w:p>
    <w:p w14:paraId="5C32C56A" w14:textId="77777777" w:rsidR="00162EAA" w:rsidRDefault="00162EAA" w:rsidP="00162EAA">
      <w:pPr>
        <w:spacing w:after="0"/>
        <w:rPr>
          <w:rFonts w:ascii="Verdana" w:hAnsi="Verdana"/>
        </w:rPr>
      </w:pPr>
    </w:p>
    <w:p w14:paraId="22CC6254" w14:textId="77777777" w:rsidR="00162EAA" w:rsidRDefault="00162EAA" w:rsidP="00162EAA">
      <w:pPr>
        <w:spacing w:after="0"/>
        <w:rPr>
          <w:rFonts w:ascii="Verdana" w:hAnsi="Verdana"/>
        </w:rPr>
      </w:pPr>
    </w:p>
    <w:p w14:paraId="15E4FCCC" w14:textId="77777777" w:rsidR="00162EAA" w:rsidRDefault="00162EAA" w:rsidP="00162EAA">
      <w:pPr>
        <w:spacing w:after="0"/>
        <w:rPr>
          <w:rFonts w:ascii="Verdana" w:hAnsi="Verdana"/>
        </w:rPr>
      </w:pPr>
    </w:p>
    <w:p w14:paraId="417725E3" w14:textId="77777777" w:rsidR="00EC207D" w:rsidRDefault="00EC207D" w:rsidP="00162EAA">
      <w:pPr>
        <w:spacing w:after="0"/>
        <w:rPr>
          <w:rFonts w:ascii="Verdana" w:hAnsi="Verdana"/>
        </w:rPr>
      </w:pPr>
    </w:p>
    <w:p w14:paraId="0CC2CE24" w14:textId="77777777" w:rsidR="00162EAA" w:rsidRDefault="00162EAA" w:rsidP="00162EAA">
      <w:pPr>
        <w:spacing w:after="0"/>
        <w:rPr>
          <w:rFonts w:ascii="Verdana" w:hAnsi="Verdana"/>
        </w:rPr>
      </w:pPr>
    </w:p>
    <w:p w14:paraId="606F860A" w14:textId="77777777" w:rsidR="00056034" w:rsidRDefault="00056034" w:rsidP="00162EAA">
      <w:pPr>
        <w:spacing w:after="0"/>
        <w:rPr>
          <w:rFonts w:ascii="Verdana" w:hAnsi="Verdana"/>
        </w:rPr>
      </w:pPr>
    </w:p>
    <w:p w14:paraId="1C64CC74" w14:textId="77777777" w:rsidR="00056034" w:rsidRDefault="00056034" w:rsidP="00162EAA">
      <w:pPr>
        <w:spacing w:after="0"/>
        <w:rPr>
          <w:rFonts w:ascii="Verdana" w:hAnsi="Verdana"/>
        </w:rPr>
      </w:pPr>
    </w:p>
    <w:p w14:paraId="57B677A3" w14:textId="77777777" w:rsidR="00056034" w:rsidRDefault="00056034" w:rsidP="00162EAA">
      <w:pPr>
        <w:spacing w:after="0"/>
        <w:rPr>
          <w:rFonts w:ascii="Verdana" w:hAnsi="Verdana"/>
        </w:rPr>
      </w:pPr>
    </w:p>
    <w:p w14:paraId="4A8E112F" w14:textId="62043D74" w:rsidR="00162EAA" w:rsidRDefault="004936AE" w:rsidP="00162EAA">
      <w:pPr>
        <w:spacing w:after="0"/>
        <w:rPr>
          <w:rFonts w:ascii="Verdana" w:hAnsi="Verdana"/>
        </w:rPr>
      </w:pPr>
      <w:r w:rsidRPr="00EA2499">
        <w:rPr>
          <w:rFonts w:ascii="Verdana" w:eastAsia="Calibri" w:hAnsi="Verdana" w:cs="Arial"/>
          <w:b/>
          <w:bCs/>
          <w:noProof/>
          <w:lang w:eastAsia="es-ES"/>
        </w:rPr>
        <w:lastRenderedPageBreak/>
        <w:drawing>
          <wp:anchor distT="0" distB="0" distL="114300" distR="114300" simplePos="0" relativeHeight="251658240" behindDoc="1" locked="0" layoutInCell="1" allowOverlap="1" wp14:anchorId="74427F40" wp14:editId="12055D1E">
            <wp:simplePos x="0" y="0"/>
            <wp:positionH relativeFrom="column">
              <wp:posOffset>3278962</wp:posOffset>
            </wp:positionH>
            <wp:positionV relativeFrom="paragraph">
              <wp:posOffset>-79197</wp:posOffset>
            </wp:positionV>
            <wp:extent cx="2472538" cy="785793"/>
            <wp:effectExtent l="0" t="0" r="4445" b="0"/>
            <wp:wrapNone/>
            <wp:docPr id="139397225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97225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472538" cy="785793"/>
                    </a:xfrm>
                    <a:prstGeom prst="rect">
                      <a:avLst/>
                    </a:prstGeom>
                  </pic:spPr>
                </pic:pic>
              </a:graphicData>
            </a:graphic>
            <wp14:sizeRelH relativeFrom="page">
              <wp14:pctWidth>0</wp14:pctWidth>
            </wp14:sizeRelH>
            <wp14:sizeRelV relativeFrom="page">
              <wp14:pctHeight>0</wp14:pctHeight>
            </wp14:sizeRelV>
          </wp:anchor>
        </w:drawing>
      </w:r>
      <w:r w:rsidR="003076F5" w:rsidRPr="0024624F">
        <w:rPr>
          <w:rFonts w:ascii="Verdana" w:hAnsi="Verdana"/>
        </w:rPr>
        <w:t xml:space="preserve">Bogotá D.C., </w:t>
      </w:r>
      <w:r w:rsidR="003076F5">
        <w:rPr>
          <w:rFonts w:ascii="Verdana" w:hAnsi="Verdana"/>
        </w:rPr>
        <w:t>25 de noviembre de 2025</w:t>
      </w:r>
    </w:p>
    <w:p w14:paraId="47361F40" w14:textId="48DD3749" w:rsidR="00162EAA" w:rsidRPr="0044528D" w:rsidRDefault="00162EAA" w:rsidP="00162EAA">
      <w:pPr>
        <w:spacing w:after="0"/>
        <w:rPr>
          <w:rFonts w:ascii="Verdana" w:hAnsi="Verdana"/>
        </w:rPr>
      </w:pPr>
    </w:p>
    <w:p w14:paraId="195AB367" w14:textId="77777777" w:rsidR="004936AE" w:rsidRDefault="004936AE" w:rsidP="00162EAA">
      <w:pPr>
        <w:spacing w:after="0" w:line="240" w:lineRule="auto"/>
        <w:jc w:val="both"/>
        <w:rPr>
          <w:rFonts w:ascii="Verdana" w:eastAsia="Calibri" w:hAnsi="Verdana" w:cs="Arial"/>
          <w:lang w:eastAsia="es-ES"/>
        </w:rPr>
      </w:pPr>
      <w:bookmarkStart w:id="1" w:name="_Hlk180638295"/>
      <w:bookmarkStart w:id="2" w:name="_Hlk181166167"/>
    </w:p>
    <w:p w14:paraId="0259B8AA" w14:textId="1BFB78EC" w:rsidR="00162EAA" w:rsidRPr="00AB0FE7" w:rsidRDefault="00162EAA" w:rsidP="00162EAA">
      <w:pPr>
        <w:spacing w:after="0" w:line="240" w:lineRule="auto"/>
        <w:jc w:val="both"/>
        <w:rPr>
          <w:rFonts w:ascii="Verdana" w:eastAsia="Calibri" w:hAnsi="Verdana" w:cs="Arial"/>
          <w:lang w:eastAsia="es-ES"/>
        </w:rPr>
      </w:pPr>
      <w:r w:rsidRPr="00AB0FE7">
        <w:rPr>
          <w:rFonts w:ascii="Verdana" w:eastAsia="Calibri" w:hAnsi="Verdana" w:cs="Arial"/>
          <w:lang w:eastAsia="es-ES"/>
        </w:rPr>
        <w:t>Señor</w:t>
      </w:r>
      <w:r>
        <w:rPr>
          <w:rFonts w:ascii="Verdana" w:eastAsia="Calibri" w:hAnsi="Verdana" w:cs="Arial"/>
          <w:lang w:eastAsia="es-ES"/>
        </w:rPr>
        <w:t>a</w:t>
      </w:r>
    </w:p>
    <w:p w14:paraId="470E0023" w14:textId="224CA296" w:rsidR="00162EAA" w:rsidRDefault="00162EAA" w:rsidP="00162EAA">
      <w:pPr>
        <w:spacing w:after="0" w:line="240" w:lineRule="auto"/>
        <w:rPr>
          <w:rFonts w:ascii="Verdana" w:eastAsia="Calibri" w:hAnsi="Verdana" w:cs="Arial"/>
          <w:b/>
          <w:bCs/>
          <w:lang w:eastAsia="es-ES"/>
        </w:rPr>
      </w:pPr>
      <w:r w:rsidRPr="001F3AEE">
        <w:rPr>
          <w:rFonts w:ascii="Verdana" w:eastAsia="Calibri" w:hAnsi="Verdana" w:cs="Arial"/>
          <w:b/>
          <w:bCs/>
          <w:lang w:eastAsia="es-ES"/>
        </w:rPr>
        <w:t>DIANA CRISTINA GONZ</w:t>
      </w:r>
      <w:r>
        <w:rPr>
          <w:rFonts w:ascii="Verdana" w:eastAsia="Calibri" w:hAnsi="Verdana" w:cs="Arial"/>
          <w:b/>
          <w:bCs/>
          <w:lang w:eastAsia="es-ES"/>
        </w:rPr>
        <w:t>Á</w:t>
      </w:r>
      <w:r w:rsidRPr="001F3AEE">
        <w:rPr>
          <w:rFonts w:ascii="Verdana" w:eastAsia="Calibri" w:hAnsi="Verdana" w:cs="Arial"/>
          <w:b/>
          <w:bCs/>
          <w:lang w:eastAsia="es-ES"/>
        </w:rPr>
        <w:t xml:space="preserve">LEZ CUERVO </w:t>
      </w:r>
      <w:r w:rsidR="00EA2499">
        <w:rPr>
          <w:rFonts w:ascii="Verdana" w:eastAsia="Calibri" w:hAnsi="Verdana" w:cs="Arial"/>
          <w:b/>
          <w:bCs/>
          <w:lang w:eastAsia="es-ES"/>
        </w:rPr>
        <w:t xml:space="preserve"> </w:t>
      </w:r>
    </w:p>
    <w:p w14:paraId="7F282943" w14:textId="54C94890" w:rsidR="00162EAA" w:rsidRDefault="00162EAA" w:rsidP="00162EAA">
      <w:pPr>
        <w:spacing w:after="0" w:line="240" w:lineRule="auto"/>
        <w:rPr>
          <w:rFonts w:ascii="Verdana" w:hAnsi="Verdana"/>
        </w:rPr>
      </w:pPr>
      <w:hyperlink r:id="rId11" w:history="1">
        <w:r w:rsidRPr="00902EE9">
          <w:rPr>
            <w:rStyle w:val="Hipervnculo"/>
            <w:rFonts w:ascii="Verdana" w:hAnsi="Verdana"/>
          </w:rPr>
          <w:t>diana.gonzalez@fac.mil.co</w:t>
        </w:r>
      </w:hyperlink>
    </w:p>
    <w:p w14:paraId="42C3EB6C" w14:textId="77777777" w:rsidR="00162EAA" w:rsidRPr="001070CB" w:rsidRDefault="00162EAA" w:rsidP="00162EAA">
      <w:pPr>
        <w:spacing w:after="0" w:line="240" w:lineRule="auto"/>
        <w:rPr>
          <w:rFonts w:ascii="Verdana" w:eastAsia="Calibri" w:hAnsi="Verdana" w:cs="Arial"/>
          <w:color w:val="000000"/>
          <w:lang w:eastAsia="es-ES_tradnl"/>
        </w:rPr>
      </w:pPr>
      <w:r>
        <w:rPr>
          <w:rFonts w:ascii="Verdana" w:hAnsi="Verdana"/>
        </w:rPr>
        <w:t>Puerto Salgar, Cundinamarca</w:t>
      </w:r>
      <w:r w:rsidRPr="001070CB">
        <w:rPr>
          <w:rFonts w:ascii="Verdana" w:eastAsia="Calibri" w:hAnsi="Verdana" w:cs="Arial"/>
          <w:color w:val="000000"/>
          <w:lang w:eastAsia="es-ES_tradnl"/>
        </w:rPr>
        <w:t>.</w:t>
      </w:r>
    </w:p>
    <w:p w14:paraId="712B6047" w14:textId="77777777" w:rsidR="00162EAA" w:rsidRPr="001070CB" w:rsidRDefault="00162EAA" w:rsidP="00162EAA">
      <w:pPr>
        <w:spacing w:after="0" w:line="240" w:lineRule="auto"/>
        <w:rPr>
          <w:rFonts w:ascii="Verdana" w:eastAsia="Calibri" w:hAnsi="Verdana" w:cs="Arial"/>
          <w:color w:val="000000"/>
          <w:lang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162EAA" w:rsidRPr="00593A5F" w14:paraId="7AB940C3" w14:textId="77777777" w:rsidTr="001F36A9">
        <w:trPr>
          <w:trHeight w:val="884"/>
        </w:trPr>
        <w:tc>
          <w:tcPr>
            <w:tcW w:w="2410" w:type="dxa"/>
          </w:tcPr>
          <w:p w14:paraId="28198007" w14:textId="77777777" w:rsidR="00162EAA" w:rsidRPr="001070CB" w:rsidRDefault="00162EAA" w:rsidP="001F36A9">
            <w:pPr>
              <w:jc w:val="both"/>
              <w:rPr>
                <w:rFonts w:ascii="Verdana" w:eastAsia="Calibri" w:hAnsi="Verdana" w:cs="Arial"/>
                <w:b/>
                <w:bCs/>
                <w:color w:val="7030A0"/>
                <w:lang w:eastAsia="es-ES_tradnl"/>
              </w:rPr>
            </w:pPr>
          </w:p>
        </w:tc>
        <w:tc>
          <w:tcPr>
            <w:tcW w:w="6804" w:type="dxa"/>
            <w:gridSpan w:val="2"/>
          </w:tcPr>
          <w:p w14:paraId="7551464F" w14:textId="77777777" w:rsidR="00162EAA" w:rsidRDefault="00162EAA" w:rsidP="001F36A9">
            <w:pPr>
              <w:jc w:val="both"/>
              <w:rPr>
                <w:rFonts w:ascii="Verdana" w:eastAsia="Calibri" w:hAnsi="Verdana" w:cs="Arial"/>
                <w:b/>
                <w:bCs/>
                <w:lang w:val="es-ES" w:eastAsia="es-ES"/>
              </w:rPr>
            </w:pPr>
          </w:p>
          <w:p w14:paraId="0FA28768" w14:textId="77777777" w:rsidR="00162EAA" w:rsidRDefault="00162EAA" w:rsidP="001F36A9">
            <w:pPr>
              <w:jc w:val="both"/>
              <w:rPr>
                <w:rFonts w:ascii="Verdana" w:eastAsia="Calibri" w:hAnsi="Verdana" w:cs="Arial"/>
                <w:b/>
                <w:bCs/>
                <w:lang w:val="es-ES" w:eastAsia="es-ES"/>
              </w:rPr>
            </w:pPr>
            <w:r w:rsidRPr="0096584C">
              <w:rPr>
                <w:rFonts w:ascii="Verdana" w:eastAsia="Calibri" w:hAnsi="Verdana" w:cs="Arial"/>
                <w:b/>
                <w:bCs/>
                <w:lang w:val="es-ES" w:eastAsia="es-ES"/>
              </w:rPr>
              <w:t xml:space="preserve">Concepto C- </w:t>
            </w:r>
            <w:r>
              <w:rPr>
                <w:rFonts w:ascii="Verdana" w:eastAsia="Calibri" w:hAnsi="Verdana" w:cs="Arial"/>
                <w:b/>
                <w:bCs/>
                <w:lang w:val="es-ES" w:eastAsia="es-ES"/>
              </w:rPr>
              <w:t xml:space="preserve">1660 </w:t>
            </w:r>
            <w:r w:rsidRPr="0096584C">
              <w:rPr>
                <w:rFonts w:ascii="Verdana" w:eastAsia="Calibri" w:hAnsi="Verdana" w:cs="Arial"/>
                <w:b/>
                <w:bCs/>
                <w:lang w:val="es-ES" w:eastAsia="es-ES"/>
              </w:rPr>
              <w:t>de 2025</w:t>
            </w:r>
          </w:p>
          <w:p w14:paraId="3AD21D4E" w14:textId="77777777" w:rsidR="004936AE" w:rsidRDefault="004936AE" w:rsidP="001F36A9">
            <w:pPr>
              <w:jc w:val="both"/>
              <w:rPr>
                <w:rFonts w:ascii="Verdana" w:eastAsia="Calibri" w:hAnsi="Verdana" w:cs="Arial"/>
                <w:b/>
                <w:bCs/>
                <w:color w:val="7030A0"/>
                <w:lang w:val="es-ES" w:eastAsia="es-ES"/>
              </w:rPr>
            </w:pPr>
          </w:p>
          <w:p w14:paraId="4A0346A0" w14:textId="77777777" w:rsidR="004936AE" w:rsidRPr="0096584C" w:rsidRDefault="004936AE" w:rsidP="001F36A9">
            <w:pPr>
              <w:jc w:val="both"/>
              <w:rPr>
                <w:rFonts w:ascii="Verdana" w:eastAsia="Calibri" w:hAnsi="Verdana" w:cs="Arial"/>
                <w:b/>
                <w:bCs/>
                <w:color w:val="7030A0"/>
                <w:lang w:val="es-ES" w:eastAsia="es-ES"/>
              </w:rPr>
            </w:pPr>
          </w:p>
        </w:tc>
      </w:tr>
      <w:tr w:rsidR="00162EAA" w:rsidRPr="00A52DE7" w14:paraId="1465DC94" w14:textId="77777777" w:rsidTr="001F36A9">
        <w:trPr>
          <w:trHeight w:val="884"/>
        </w:trPr>
        <w:tc>
          <w:tcPr>
            <w:tcW w:w="2410" w:type="dxa"/>
          </w:tcPr>
          <w:p w14:paraId="2FF67479" w14:textId="77777777" w:rsidR="00162EAA" w:rsidRPr="00593A5F" w:rsidRDefault="00162EAA" w:rsidP="001F36A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1CDF14B6" w14:textId="5D5923B9" w:rsidR="00162EAA" w:rsidRPr="000E0B8B" w:rsidRDefault="00162EAA" w:rsidP="001F36A9">
            <w:pPr>
              <w:jc w:val="both"/>
              <w:rPr>
                <w:rFonts w:ascii="Verdana" w:eastAsia="Calibri" w:hAnsi="Verdana" w:cs="Arial"/>
                <w:b/>
                <w:bCs/>
                <w:color w:val="000000" w:themeColor="text1"/>
                <w:lang w:val="es-ES_tradnl"/>
              </w:rPr>
            </w:pPr>
            <w:r w:rsidRPr="00356B64">
              <w:rPr>
                <w:rFonts w:ascii="Verdana" w:eastAsia="Aptos" w:hAnsi="Verdana" w:cs="Times New Roman"/>
              </w:rPr>
              <w:t>PRINCIPIO DE PUBLICIDAD – SECOP</w:t>
            </w:r>
            <w:r w:rsidRPr="000E0B8B">
              <w:rPr>
                <w:rFonts w:ascii="Verdana" w:hAnsi="Verdana" w:cs="Arial"/>
                <w:bCs/>
                <w:lang w:val="es-ES" w:eastAsia="es-ES_tradnl"/>
              </w:rPr>
              <w:t xml:space="preserve"> </w:t>
            </w:r>
            <w:r>
              <w:rPr>
                <w:rFonts w:ascii="Verdana" w:hAnsi="Verdana" w:cs="Arial"/>
                <w:bCs/>
                <w:lang w:val="es-ES" w:eastAsia="es-ES_tradnl"/>
              </w:rPr>
              <w:t xml:space="preserve">/ </w:t>
            </w:r>
            <w:r w:rsidRPr="000E0B8B">
              <w:rPr>
                <w:rFonts w:ascii="Verdana" w:hAnsi="Verdana" w:cs="Arial"/>
                <w:bCs/>
                <w:lang w:val="es-ES" w:eastAsia="es-ES_tradnl"/>
              </w:rPr>
              <w:t xml:space="preserve">COMITÉ EVALUADOR – Alcance – Facultad de la entidad – Determinación de funciones / </w:t>
            </w:r>
            <w:r w:rsidRPr="000E0B8B">
              <w:rPr>
                <w:rFonts w:ascii="Verdana" w:eastAsia="Calibri" w:hAnsi="Verdana" w:cs="Arial"/>
                <w:color w:val="000000" w:themeColor="text1"/>
                <w:lang w:val="es-ES_tradnl"/>
              </w:rPr>
              <w:t xml:space="preserve">COMITÉ EVALUADOR </w:t>
            </w:r>
            <w:r w:rsidRPr="000E0B8B">
              <w:rPr>
                <w:rFonts w:ascii="Verdana" w:eastAsia="Calibri" w:hAnsi="Verdana" w:cs="Arial"/>
                <w:color w:val="000000" w:themeColor="text1"/>
              </w:rPr>
              <w:t>–</w:t>
            </w:r>
            <w:r w:rsidRPr="000E0B8B">
              <w:rPr>
                <w:rFonts w:ascii="Verdana" w:eastAsia="Calibri" w:hAnsi="Verdana" w:cs="Arial"/>
                <w:color w:val="000000" w:themeColor="text1"/>
                <w:lang w:val="es-ES_tradnl"/>
              </w:rPr>
              <w:t xml:space="preserve"> Organismo asesor</w:t>
            </w:r>
          </w:p>
          <w:p w14:paraId="352A39EC" w14:textId="77777777" w:rsidR="00162EAA" w:rsidRPr="00DD485A" w:rsidRDefault="00162EAA" w:rsidP="001F36A9">
            <w:pPr>
              <w:jc w:val="both"/>
              <w:rPr>
                <w:rFonts w:ascii="Arial" w:eastAsia="Calibri" w:hAnsi="Arial" w:cs="Arial"/>
                <w:b/>
                <w:bCs/>
                <w:color w:val="000000" w:themeColor="text1"/>
                <w:sz w:val="20"/>
                <w:szCs w:val="20"/>
                <w:lang w:val="es-ES_tradnl"/>
              </w:rPr>
            </w:pPr>
          </w:p>
          <w:p w14:paraId="2FFCE83B" w14:textId="77777777" w:rsidR="00162EAA" w:rsidRPr="00A52DE7" w:rsidRDefault="00162EAA" w:rsidP="001F36A9">
            <w:pPr>
              <w:jc w:val="both"/>
              <w:rPr>
                <w:rFonts w:ascii="Verdana" w:eastAsia="Calibri" w:hAnsi="Verdana" w:cs="Arial"/>
                <w:b/>
                <w:highlight w:val="yellow"/>
                <w:lang w:val="es-ES" w:eastAsia="es-ES"/>
              </w:rPr>
            </w:pPr>
          </w:p>
        </w:tc>
      </w:tr>
      <w:tr w:rsidR="00162EAA" w:rsidRPr="00593A5F" w14:paraId="346FCC4F" w14:textId="77777777" w:rsidTr="001F36A9">
        <w:tc>
          <w:tcPr>
            <w:tcW w:w="2410" w:type="dxa"/>
          </w:tcPr>
          <w:p w14:paraId="22CBD5A3" w14:textId="77777777" w:rsidR="00162EAA" w:rsidRPr="006730E9" w:rsidRDefault="00162EAA" w:rsidP="001F36A9">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00CF86B7" w14:textId="77777777" w:rsidR="00162EAA" w:rsidRPr="006730E9" w:rsidRDefault="00162EAA" w:rsidP="001F36A9">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A81BE9">
              <w:rPr>
                <w:rFonts w:ascii="Verdana" w:eastAsia="Calibri" w:hAnsi="Verdana" w:cs="Arial"/>
                <w:lang w:val="es-ES_tradnl" w:eastAsia="es-ES_tradnl"/>
              </w:rPr>
              <w:t>1_2025_11_09_012621</w:t>
            </w:r>
            <w:r>
              <w:rPr>
                <w:rFonts w:ascii="Verdana" w:eastAsia="Calibri" w:hAnsi="Verdana" w:cs="Arial"/>
                <w:lang w:val="es-ES_tradnl" w:eastAsia="es-ES_tradnl"/>
              </w:rPr>
              <w:t xml:space="preserve"> acumulada con </w:t>
            </w:r>
            <w:r w:rsidRPr="00A81BE9">
              <w:rPr>
                <w:rFonts w:ascii="Verdana" w:eastAsia="Calibri" w:hAnsi="Verdana" w:cs="Arial"/>
                <w:lang w:eastAsia="es-ES_tradnl"/>
              </w:rPr>
              <w:t>1_2025_11_09_01262</w:t>
            </w:r>
            <w:r>
              <w:rPr>
                <w:rFonts w:ascii="Verdana" w:eastAsia="Calibri" w:hAnsi="Verdana" w:cs="Arial"/>
                <w:lang w:eastAsia="es-ES_tradnl"/>
              </w:rPr>
              <w:t>2</w:t>
            </w:r>
            <w:r>
              <w:rPr>
                <w:rFonts w:ascii="Verdana" w:eastAsia="Calibri" w:hAnsi="Verdana" w:cs="Arial"/>
                <w:lang w:val="es-ES_tradnl" w:eastAsia="es-ES_tradnl"/>
              </w:rPr>
              <w:t>.</w:t>
            </w:r>
          </w:p>
        </w:tc>
      </w:tr>
      <w:tr w:rsidR="00162EAA" w:rsidRPr="00DB23D2" w14:paraId="05691526" w14:textId="77777777" w:rsidTr="001F36A9">
        <w:trPr>
          <w:gridAfter w:val="1"/>
          <w:wAfter w:w="336" w:type="dxa"/>
          <w:trHeight w:val="233"/>
        </w:trPr>
        <w:tc>
          <w:tcPr>
            <w:tcW w:w="8878" w:type="dxa"/>
            <w:gridSpan w:val="2"/>
          </w:tcPr>
          <w:p w14:paraId="3FFDC486" w14:textId="77777777" w:rsidR="00162EAA" w:rsidRPr="00DB23D2" w:rsidRDefault="00162EAA" w:rsidP="001F36A9">
            <w:pPr>
              <w:spacing w:after="120" w:line="276" w:lineRule="auto"/>
              <w:jc w:val="both"/>
              <w:rPr>
                <w:rFonts w:ascii="Verdana" w:eastAsia="Calibri" w:hAnsi="Verdana" w:cs="Arial"/>
                <w:lang w:val="es-ES_tradnl" w:eastAsia="es-ES"/>
              </w:rPr>
            </w:pPr>
          </w:p>
        </w:tc>
      </w:tr>
    </w:tbl>
    <w:p w14:paraId="6E884278" w14:textId="77777777" w:rsidR="00C14129" w:rsidRDefault="00C14129" w:rsidP="00162EAA">
      <w:pPr>
        <w:spacing w:after="0" w:line="276" w:lineRule="auto"/>
        <w:jc w:val="both"/>
        <w:rPr>
          <w:rFonts w:ascii="Verdana" w:eastAsia="Calibri" w:hAnsi="Verdana" w:cs="Arial"/>
          <w:lang w:val="es-ES" w:eastAsia="es-ES"/>
        </w:rPr>
      </w:pPr>
    </w:p>
    <w:p w14:paraId="2B5D011D" w14:textId="057B841F" w:rsidR="00162EAA" w:rsidRPr="006730E9" w:rsidRDefault="00162EAA" w:rsidP="00162EA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González;</w:t>
      </w:r>
    </w:p>
    <w:p w14:paraId="2A0072C1" w14:textId="77777777" w:rsidR="00162EAA" w:rsidRDefault="00162EAA" w:rsidP="00162EA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E3F18F2" w14:textId="77777777" w:rsidR="00162EAA" w:rsidRPr="006730E9" w:rsidRDefault="00162EAA" w:rsidP="00162EAA">
      <w:pPr>
        <w:spacing w:after="0" w:line="276" w:lineRule="auto"/>
        <w:jc w:val="both"/>
        <w:rPr>
          <w:rFonts w:ascii="Verdana" w:eastAsia="Calibri" w:hAnsi="Verdana" w:cs="Arial"/>
          <w:lang w:val="es-ES" w:eastAsia="es-ES"/>
        </w:rPr>
      </w:pPr>
      <w:r w:rsidRPr="00C52866">
        <w:rPr>
          <w:rFonts w:ascii="Verdana" w:eastAsia="Calibri" w:hAnsi="Verdana" w:cs="Arial"/>
          <w:lang w:val="es-ES" w:eastAsia="es-ES"/>
        </w:rPr>
        <w:t xml:space="preserve">En ejercicio de la competencia otorgada por los artículos 3, numeral 5º, y 11, numeral 8º, del Decreto Ley 4170 de 2011, y de conformidad con las modalidades del derecho de petición contempladas en la Ley 1755 de 2015, así como lo establecido en la resolución N° 469 del 2025 expedida por esta Agencia, damos respuesta a su solicitud de consulta radicada en esta entidad el </w:t>
      </w:r>
      <w:r>
        <w:rPr>
          <w:rFonts w:ascii="Verdana" w:eastAsia="Calibri" w:hAnsi="Verdana" w:cs="Arial"/>
          <w:lang w:val="es-ES" w:eastAsia="es-ES"/>
        </w:rPr>
        <w:t>9</w:t>
      </w:r>
      <w:r w:rsidRPr="00C52866">
        <w:rPr>
          <w:rFonts w:ascii="Verdana" w:eastAsia="Calibri" w:hAnsi="Verdana" w:cs="Arial"/>
          <w:lang w:val="es-ES" w:eastAsia="es-ES"/>
        </w:rPr>
        <w:t xml:space="preserve"> de noviembre de 2025, en la cual pregunta sobre lo siguiente:</w:t>
      </w:r>
      <w:r w:rsidRPr="006730E9">
        <w:rPr>
          <w:rFonts w:ascii="Verdana" w:eastAsia="Calibri" w:hAnsi="Verdana" w:cs="Arial"/>
          <w:lang w:val="es-ES" w:eastAsia="es-ES"/>
        </w:rPr>
        <w:t xml:space="preserve"> </w:t>
      </w:r>
    </w:p>
    <w:p w14:paraId="05ACFD05" w14:textId="77777777" w:rsidR="00162EAA" w:rsidRPr="00496678" w:rsidRDefault="00162EAA" w:rsidP="00162EAA">
      <w:pPr>
        <w:pStyle w:val="Textoindependiente"/>
        <w:tabs>
          <w:tab w:val="left" w:pos="8222"/>
        </w:tabs>
        <w:spacing w:before="171" w:line="240" w:lineRule="auto"/>
        <w:ind w:left="172" w:right="642"/>
        <w:jc w:val="both"/>
        <w:rPr>
          <w:rFonts w:ascii="Verdana" w:hAnsi="Verdana"/>
          <w:sz w:val="20"/>
          <w:szCs w:val="20"/>
        </w:rPr>
      </w:pPr>
      <w:r>
        <w:rPr>
          <w:rFonts w:ascii="Verdana" w:eastAsia="Century Gothic" w:hAnsi="Verdana" w:cs="Century Gothic"/>
          <w:i/>
          <w:iCs/>
          <w:sz w:val="20"/>
          <w:szCs w:val="20"/>
        </w:rPr>
        <w:t xml:space="preserve">       </w:t>
      </w:r>
      <w:r w:rsidRPr="00A83CB0">
        <w:rPr>
          <w:rFonts w:ascii="Verdana" w:eastAsia="Century Gothic" w:hAnsi="Verdana" w:cs="Century Gothic"/>
          <w:i/>
          <w:iCs/>
          <w:sz w:val="20"/>
          <w:szCs w:val="20"/>
        </w:rPr>
        <w:t>(…)</w:t>
      </w:r>
      <w:r w:rsidRPr="009F47B0">
        <w:rPr>
          <w:rFonts w:ascii="Verdana" w:eastAsia="Century Gothic" w:hAnsi="Verdana" w:cs="Century Gothic"/>
          <w:i/>
          <w:iCs/>
          <w:sz w:val="20"/>
          <w:szCs w:val="20"/>
        </w:rPr>
        <w:t xml:space="preserve"> </w:t>
      </w:r>
    </w:p>
    <w:p w14:paraId="58735B18" w14:textId="77777777" w:rsidR="00162EAA" w:rsidRDefault="00162EAA" w:rsidP="00162EAA">
      <w:pPr>
        <w:pStyle w:val="Prrafodelista"/>
        <w:widowControl w:val="0"/>
        <w:tabs>
          <w:tab w:val="left" w:pos="590"/>
          <w:tab w:val="left" w:pos="592"/>
          <w:tab w:val="left" w:pos="8222"/>
        </w:tabs>
        <w:autoSpaceDE w:val="0"/>
        <w:autoSpaceDN w:val="0"/>
        <w:spacing w:before="146" w:after="0" w:line="240" w:lineRule="auto"/>
        <w:ind w:left="592" w:right="718"/>
        <w:jc w:val="both"/>
        <w:rPr>
          <w:rFonts w:ascii="Verdana" w:hAnsi="Verdana"/>
          <w:color w:val="242424"/>
          <w:spacing w:val="-2"/>
          <w:w w:val="105"/>
          <w:sz w:val="20"/>
          <w:szCs w:val="20"/>
          <w:lang w:val="es-CO"/>
        </w:rPr>
      </w:pPr>
      <w:r w:rsidRPr="001070CB">
        <w:rPr>
          <w:rFonts w:ascii="Verdana" w:hAnsi="Verdana"/>
          <w:color w:val="242424"/>
          <w:spacing w:val="-2"/>
          <w:w w:val="105"/>
          <w:sz w:val="20"/>
          <w:szCs w:val="20"/>
          <w:lang w:val="es-CO"/>
        </w:rPr>
        <w:t>¿Existe una prohibición legal que impida que el mismo especialista jurídico que</w:t>
      </w:r>
      <w:r>
        <w:rPr>
          <w:rFonts w:ascii="Verdana" w:hAnsi="Verdana"/>
          <w:color w:val="242424"/>
          <w:spacing w:val="-2"/>
          <w:w w:val="105"/>
          <w:sz w:val="20"/>
          <w:szCs w:val="20"/>
          <w:lang w:val="es-CO"/>
        </w:rPr>
        <w:t xml:space="preserve"> </w:t>
      </w:r>
      <w:r w:rsidRPr="001070CB">
        <w:rPr>
          <w:rFonts w:ascii="Verdana" w:hAnsi="Verdana"/>
          <w:color w:val="242424"/>
          <w:spacing w:val="-2"/>
          <w:w w:val="105"/>
          <w:sz w:val="20"/>
          <w:szCs w:val="20"/>
          <w:lang w:val="es-CO"/>
        </w:rPr>
        <w:t xml:space="preserve">aprueba un proceso en SECOP II también actúe como evaluador jurídico? </w:t>
      </w:r>
    </w:p>
    <w:p w14:paraId="5C7A7CFC" w14:textId="77777777" w:rsidR="00162EAA" w:rsidRDefault="00162EAA" w:rsidP="00162EAA">
      <w:pPr>
        <w:pStyle w:val="Prrafodelista"/>
        <w:widowControl w:val="0"/>
        <w:tabs>
          <w:tab w:val="left" w:pos="590"/>
          <w:tab w:val="left" w:pos="592"/>
          <w:tab w:val="left" w:pos="8222"/>
        </w:tabs>
        <w:autoSpaceDE w:val="0"/>
        <w:autoSpaceDN w:val="0"/>
        <w:spacing w:before="146" w:after="0" w:line="240" w:lineRule="auto"/>
        <w:ind w:left="592" w:right="718"/>
        <w:jc w:val="both"/>
        <w:rPr>
          <w:rFonts w:ascii="Verdana" w:hAnsi="Verdana"/>
          <w:color w:val="242424"/>
          <w:spacing w:val="-2"/>
          <w:w w:val="105"/>
          <w:sz w:val="20"/>
          <w:szCs w:val="20"/>
          <w:lang w:val="es-CO"/>
        </w:rPr>
      </w:pPr>
    </w:p>
    <w:p w14:paraId="590B53F4" w14:textId="77777777" w:rsidR="00E72D29" w:rsidRDefault="00162EAA" w:rsidP="00162EAA">
      <w:pPr>
        <w:pStyle w:val="Prrafodelista"/>
        <w:widowControl w:val="0"/>
        <w:tabs>
          <w:tab w:val="left" w:pos="590"/>
          <w:tab w:val="left" w:pos="592"/>
          <w:tab w:val="left" w:pos="8222"/>
        </w:tabs>
        <w:autoSpaceDE w:val="0"/>
        <w:autoSpaceDN w:val="0"/>
        <w:spacing w:before="146" w:after="0" w:line="240" w:lineRule="auto"/>
        <w:ind w:left="592" w:right="718"/>
        <w:jc w:val="both"/>
        <w:rPr>
          <w:rFonts w:ascii="Verdana" w:hAnsi="Verdana"/>
          <w:color w:val="242424"/>
          <w:w w:val="105"/>
          <w:sz w:val="20"/>
          <w:szCs w:val="20"/>
          <w:lang w:val="es-CO"/>
        </w:rPr>
      </w:pPr>
      <w:r w:rsidRPr="002420E1">
        <w:rPr>
          <w:rFonts w:ascii="Verdana" w:hAnsi="Verdana"/>
          <w:color w:val="242424"/>
          <w:w w:val="105"/>
          <w:sz w:val="20"/>
          <w:szCs w:val="20"/>
          <w:lang w:val="es-CO"/>
        </w:rPr>
        <w:t xml:space="preserve">Aclarando unos aspectos en relación a la pregunta formulada en radicado 1_2025_11_09_012621, no es el estructurador jurídico, solo aprueba la publicación del proceso y se aplicaría en los procesos de </w:t>
      </w:r>
    </w:p>
    <w:p w14:paraId="07C2CD49" w14:textId="77777777" w:rsidR="00E72D29" w:rsidRDefault="00E72D29" w:rsidP="00162EAA">
      <w:pPr>
        <w:pStyle w:val="Prrafodelista"/>
        <w:widowControl w:val="0"/>
        <w:tabs>
          <w:tab w:val="left" w:pos="590"/>
          <w:tab w:val="left" w:pos="592"/>
          <w:tab w:val="left" w:pos="8222"/>
        </w:tabs>
        <w:autoSpaceDE w:val="0"/>
        <w:autoSpaceDN w:val="0"/>
        <w:spacing w:before="146" w:after="0" w:line="240" w:lineRule="auto"/>
        <w:ind w:left="592" w:right="718"/>
        <w:jc w:val="both"/>
        <w:rPr>
          <w:rFonts w:ascii="Verdana" w:hAnsi="Verdana"/>
          <w:color w:val="242424"/>
          <w:w w:val="105"/>
          <w:sz w:val="20"/>
          <w:szCs w:val="20"/>
          <w:lang w:val="es-CO"/>
        </w:rPr>
      </w:pPr>
    </w:p>
    <w:p w14:paraId="5346DD4A" w14:textId="77777777" w:rsidR="00E72D29" w:rsidRDefault="00E72D29" w:rsidP="00162EAA">
      <w:pPr>
        <w:pStyle w:val="Prrafodelista"/>
        <w:widowControl w:val="0"/>
        <w:tabs>
          <w:tab w:val="left" w:pos="590"/>
          <w:tab w:val="left" w:pos="592"/>
          <w:tab w:val="left" w:pos="8222"/>
        </w:tabs>
        <w:autoSpaceDE w:val="0"/>
        <w:autoSpaceDN w:val="0"/>
        <w:spacing w:before="146" w:after="0" w:line="240" w:lineRule="auto"/>
        <w:ind w:left="592" w:right="718"/>
        <w:jc w:val="both"/>
        <w:rPr>
          <w:rFonts w:ascii="Verdana" w:hAnsi="Verdana"/>
          <w:color w:val="242424"/>
          <w:w w:val="105"/>
          <w:sz w:val="20"/>
          <w:szCs w:val="20"/>
          <w:lang w:val="es-CO"/>
        </w:rPr>
      </w:pPr>
    </w:p>
    <w:p w14:paraId="6219C482" w14:textId="574A2A55" w:rsidR="00162EAA" w:rsidRDefault="00162EAA" w:rsidP="00162EAA">
      <w:pPr>
        <w:pStyle w:val="Prrafodelista"/>
        <w:widowControl w:val="0"/>
        <w:tabs>
          <w:tab w:val="left" w:pos="590"/>
          <w:tab w:val="left" w:pos="592"/>
          <w:tab w:val="left" w:pos="8222"/>
        </w:tabs>
        <w:autoSpaceDE w:val="0"/>
        <w:autoSpaceDN w:val="0"/>
        <w:spacing w:before="146" w:after="0" w:line="240" w:lineRule="auto"/>
        <w:ind w:left="592" w:right="718"/>
        <w:jc w:val="both"/>
        <w:rPr>
          <w:rFonts w:ascii="Verdana" w:hAnsi="Verdana"/>
          <w:color w:val="242424"/>
          <w:w w:val="105"/>
          <w:sz w:val="20"/>
          <w:szCs w:val="20"/>
          <w:lang w:val="es-CO"/>
        </w:rPr>
      </w:pPr>
      <w:r w:rsidRPr="002420E1">
        <w:rPr>
          <w:rFonts w:ascii="Verdana" w:hAnsi="Verdana"/>
          <w:color w:val="242424"/>
          <w:w w:val="105"/>
          <w:sz w:val="20"/>
          <w:szCs w:val="20"/>
          <w:lang w:val="es-CO"/>
        </w:rPr>
        <w:t>mínima cuantía</w:t>
      </w:r>
      <w:r>
        <w:rPr>
          <w:rFonts w:ascii="Verdana" w:hAnsi="Verdana"/>
          <w:color w:val="242424"/>
          <w:w w:val="105"/>
          <w:sz w:val="20"/>
          <w:szCs w:val="20"/>
          <w:lang w:val="es-CO"/>
        </w:rPr>
        <w:t>.</w:t>
      </w:r>
      <w:r w:rsidRPr="002420E1">
        <w:rPr>
          <w:rFonts w:ascii="Verdana" w:hAnsi="Verdana"/>
          <w:color w:val="242424"/>
          <w:w w:val="105"/>
          <w:sz w:val="20"/>
          <w:szCs w:val="20"/>
          <w:lang w:val="es-CO"/>
        </w:rPr>
        <w:t xml:space="preserve"> </w:t>
      </w:r>
    </w:p>
    <w:p w14:paraId="11949DD3" w14:textId="610B6E38" w:rsidR="00162EAA" w:rsidRDefault="00162EAA" w:rsidP="00162EAA">
      <w:pPr>
        <w:pStyle w:val="Prrafodelista"/>
        <w:widowControl w:val="0"/>
        <w:tabs>
          <w:tab w:val="left" w:pos="590"/>
          <w:tab w:val="left" w:pos="592"/>
          <w:tab w:val="left" w:pos="8222"/>
        </w:tabs>
        <w:autoSpaceDE w:val="0"/>
        <w:autoSpaceDN w:val="0"/>
        <w:spacing w:before="146" w:after="0" w:line="240" w:lineRule="auto"/>
        <w:ind w:left="592" w:right="718"/>
        <w:jc w:val="both"/>
        <w:rPr>
          <w:rFonts w:ascii="Verdana" w:eastAsia="Century Gothic" w:hAnsi="Verdana" w:cs="Century Gothic"/>
          <w:i/>
          <w:iCs/>
          <w:sz w:val="20"/>
          <w:szCs w:val="20"/>
        </w:rPr>
      </w:pPr>
      <w:r>
        <w:rPr>
          <w:rFonts w:ascii="Verdana" w:hAnsi="Verdana"/>
          <w:color w:val="242424"/>
          <w:w w:val="105"/>
          <w:sz w:val="20"/>
          <w:szCs w:val="20"/>
        </w:rPr>
        <w:t>(…)</w:t>
      </w:r>
      <w:r>
        <w:rPr>
          <w:rFonts w:ascii="Verdana" w:eastAsia="Century Gothic" w:hAnsi="Verdana" w:cs="Century Gothic"/>
          <w:i/>
          <w:iCs/>
          <w:sz w:val="20"/>
          <w:szCs w:val="20"/>
        </w:rPr>
        <w:t>”</w:t>
      </w:r>
      <w:r w:rsidRPr="00CD7324">
        <w:rPr>
          <w:rFonts w:ascii="Verdana" w:eastAsia="Century Gothic" w:hAnsi="Verdana" w:cs="Century Gothic"/>
          <w:i/>
          <w:iCs/>
          <w:sz w:val="20"/>
          <w:szCs w:val="20"/>
        </w:rPr>
        <w:t xml:space="preserve"> </w:t>
      </w:r>
    </w:p>
    <w:p w14:paraId="0D775F07" w14:textId="77777777" w:rsidR="00162EAA" w:rsidRPr="00496678" w:rsidRDefault="00162EAA" w:rsidP="00162EAA">
      <w:pPr>
        <w:pStyle w:val="Prrafodelista"/>
        <w:widowControl w:val="0"/>
        <w:tabs>
          <w:tab w:val="left" w:pos="590"/>
          <w:tab w:val="left" w:pos="592"/>
          <w:tab w:val="left" w:pos="8222"/>
        </w:tabs>
        <w:autoSpaceDE w:val="0"/>
        <w:autoSpaceDN w:val="0"/>
        <w:spacing w:before="146" w:after="0" w:line="240" w:lineRule="auto"/>
        <w:ind w:left="592" w:right="718"/>
        <w:contextualSpacing w:val="0"/>
        <w:rPr>
          <w:rFonts w:ascii="Verdana" w:hAnsi="Verdana"/>
          <w:sz w:val="20"/>
          <w:szCs w:val="20"/>
        </w:rPr>
      </w:pPr>
    </w:p>
    <w:p w14:paraId="37854BF0" w14:textId="77777777" w:rsidR="00162EAA" w:rsidRPr="00AA3B9F" w:rsidRDefault="00162EAA" w:rsidP="00162EA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FBEF91A" w14:textId="77777777" w:rsidR="00162EAA" w:rsidRPr="00AA3B9F" w:rsidRDefault="00162EAA" w:rsidP="00162EAA">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7BD39DFB" w14:textId="77777777" w:rsidR="00392A03" w:rsidRDefault="00392A03" w:rsidP="00162EA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9BBBAD5" w14:textId="77777777" w:rsidR="00162EAA" w:rsidRDefault="00162EAA" w:rsidP="00162EA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01FB25B2" w14:textId="77777777" w:rsidR="00162EAA" w:rsidRDefault="00162EAA" w:rsidP="00162EAA">
      <w:pPr>
        <w:pStyle w:val="Prrafodelista"/>
        <w:tabs>
          <w:tab w:val="left" w:pos="142"/>
          <w:tab w:val="left" w:pos="284"/>
        </w:tabs>
        <w:spacing w:after="0" w:line="276" w:lineRule="auto"/>
        <w:ind w:left="0"/>
        <w:jc w:val="both"/>
        <w:rPr>
          <w:rFonts w:ascii="Verdana" w:eastAsia="Century Gothic" w:hAnsi="Verdana" w:cs="Century Gothic"/>
          <w:b/>
          <w:bCs/>
        </w:rPr>
      </w:pPr>
    </w:p>
    <w:p w14:paraId="1AE1C681" w14:textId="77777777" w:rsidR="00162EAA" w:rsidRPr="00FA1604" w:rsidRDefault="00162EAA" w:rsidP="00162EAA">
      <w:pPr>
        <w:spacing w:after="0"/>
        <w:jc w:val="both"/>
        <w:rPr>
          <w:rFonts w:ascii="Arial" w:eastAsia="Times New Roman" w:hAnsi="Arial" w:cs="Arial"/>
          <w:sz w:val="21"/>
          <w:szCs w:val="21"/>
          <w:lang w:eastAsia="es-ES_tradnl"/>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w:t>
      </w:r>
      <w:r>
        <w:rPr>
          <w:rFonts w:ascii="Arial" w:eastAsia="Times New Roman" w:hAnsi="Arial" w:cs="Arial"/>
          <w:sz w:val="21"/>
          <w:szCs w:val="21"/>
          <w:lang w:eastAsia="es-ES_tradnl"/>
        </w:rPr>
        <w:t xml:space="preserve"> </w:t>
      </w:r>
      <w:r w:rsidRPr="00FA1604">
        <w:rPr>
          <w:rFonts w:ascii="Arial" w:eastAsia="Times New Roman" w:hAnsi="Arial" w:cs="Arial"/>
          <w:sz w:val="21"/>
          <w:szCs w:val="21"/>
          <w:lang w:eastAsia="es-ES_tradnl"/>
        </w:rPr>
        <w:t>¿</w:t>
      </w:r>
      <w:r w:rsidRPr="009A655C">
        <w:rPr>
          <w:rFonts w:ascii="Verdana" w:eastAsia="Calibri" w:hAnsi="Verdana" w:cs="Arial"/>
          <w:lang w:eastAsia="es-ES"/>
        </w:rPr>
        <w:t>Existe algun</w:t>
      </w:r>
      <w:r>
        <w:rPr>
          <w:rFonts w:ascii="Verdana" w:eastAsia="Calibri" w:hAnsi="Verdana" w:cs="Arial"/>
          <w:lang w:eastAsia="es-ES"/>
        </w:rPr>
        <w:t>a norma</w:t>
      </w:r>
      <w:r w:rsidRPr="009A655C">
        <w:rPr>
          <w:rFonts w:ascii="Verdana" w:eastAsia="Calibri" w:hAnsi="Verdana" w:cs="Arial"/>
          <w:lang w:eastAsia="es-ES"/>
        </w:rPr>
        <w:t xml:space="preserve"> que prohíba o impida que los funcionarios </w:t>
      </w:r>
      <w:r>
        <w:rPr>
          <w:rFonts w:ascii="Verdana" w:eastAsia="Calibri" w:hAnsi="Verdana" w:cs="Arial"/>
          <w:lang w:eastAsia="es-ES"/>
        </w:rPr>
        <w:t>y/</w:t>
      </w:r>
      <w:r w:rsidRPr="009A655C">
        <w:rPr>
          <w:rFonts w:ascii="Verdana" w:eastAsia="Calibri" w:hAnsi="Verdana" w:cs="Arial"/>
          <w:lang w:eastAsia="es-ES"/>
        </w:rPr>
        <w:t xml:space="preserve">o contratistas que participen en la </w:t>
      </w:r>
      <w:r>
        <w:rPr>
          <w:rFonts w:ascii="Verdana" w:eastAsia="Calibri" w:hAnsi="Verdana" w:cs="Arial"/>
          <w:lang w:eastAsia="es-ES"/>
        </w:rPr>
        <w:t>publicación</w:t>
      </w:r>
      <w:r w:rsidRPr="009A655C">
        <w:rPr>
          <w:rFonts w:ascii="Verdana" w:eastAsia="Calibri" w:hAnsi="Verdana" w:cs="Arial"/>
          <w:lang w:eastAsia="es-ES"/>
        </w:rPr>
        <w:t xml:space="preserve"> del proceso</w:t>
      </w:r>
      <w:r>
        <w:rPr>
          <w:rFonts w:ascii="Verdana" w:eastAsia="Calibri" w:hAnsi="Verdana" w:cs="Arial"/>
          <w:lang w:eastAsia="es-ES"/>
        </w:rPr>
        <w:t xml:space="preserve"> de selección en secop</w:t>
      </w:r>
      <w:r w:rsidRPr="009A655C">
        <w:rPr>
          <w:rFonts w:ascii="Verdana" w:eastAsia="Calibri" w:hAnsi="Verdana" w:cs="Arial"/>
          <w:lang w:eastAsia="es-ES"/>
        </w:rPr>
        <w:t xml:space="preserve"> puedan </w:t>
      </w:r>
      <w:r>
        <w:rPr>
          <w:rFonts w:ascii="Verdana" w:eastAsia="Calibri" w:hAnsi="Verdana" w:cs="Arial"/>
          <w:lang w:eastAsia="es-ES"/>
        </w:rPr>
        <w:t>integrar el</w:t>
      </w:r>
      <w:r w:rsidRPr="009A655C">
        <w:rPr>
          <w:rFonts w:ascii="Verdana" w:eastAsia="Calibri" w:hAnsi="Verdana" w:cs="Arial"/>
          <w:lang w:eastAsia="es-ES"/>
        </w:rPr>
        <w:t xml:space="preserve"> comité́ evaluador </w:t>
      </w:r>
      <w:r>
        <w:rPr>
          <w:rFonts w:ascii="Verdana" w:eastAsia="Calibri" w:hAnsi="Verdana" w:cs="Arial"/>
          <w:lang w:eastAsia="es-ES"/>
        </w:rPr>
        <w:t>del mismo</w:t>
      </w:r>
      <w:r w:rsidRPr="009A655C">
        <w:rPr>
          <w:rFonts w:ascii="Verdana" w:eastAsia="Calibri" w:hAnsi="Verdana" w:cs="Arial"/>
          <w:lang w:eastAsia="es-ES"/>
        </w:rPr>
        <w:t>?</w:t>
      </w:r>
      <w:r w:rsidRPr="00FA1604">
        <w:rPr>
          <w:rFonts w:ascii="Arial" w:eastAsia="Times New Roman" w:hAnsi="Arial" w:cs="Arial"/>
          <w:sz w:val="21"/>
          <w:szCs w:val="21"/>
          <w:lang w:eastAsia="es-ES_tradnl"/>
        </w:rPr>
        <w:t xml:space="preserve"> </w:t>
      </w:r>
    </w:p>
    <w:p w14:paraId="6288F61D" w14:textId="77777777" w:rsidR="00162EAA" w:rsidRPr="00FA1604" w:rsidRDefault="00162EAA" w:rsidP="00162EAA">
      <w:pPr>
        <w:spacing w:after="0"/>
        <w:ind w:left="708"/>
        <w:rPr>
          <w:rFonts w:ascii="Arial" w:eastAsia="Times New Roman" w:hAnsi="Arial" w:cs="Arial"/>
          <w:sz w:val="21"/>
          <w:szCs w:val="21"/>
          <w:lang w:eastAsia="es-ES_tradnl"/>
        </w:rPr>
      </w:pPr>
    </w:p>
    <w:bookmarkEnd w:id="3"/>
    <w:p w14:paraId="3B56B0AB" w14:textId="77777777" w:rsidR="00162EAA" w:rsidRPr="00593A5F" w:rsidRDefault="00162EAA" w:rsidP="00162EA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7C46CD0" w14:textId="77777777" w:rsidR="00162EAA" w:rsidRPr="00593A5F" w:rsidRDefault="00162EAA" w:rsidP="00162EA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62EAA" w:rsidRPr="00593A5F" w14:paraId="36A27BDC" w14:textId="77777777" w:rsidTr="7B5F0046">
        <w:tc>
          <w:tcPr>
            <w:tcW w:w="8828" w:type="dxa"/>
          </w:tcPr>
          <w:p w14:paraId="605B0D72" w14:textId="11501A90" w:rsidR="004543E5" w:rsidRPr="004543E5" w:rsidRDefault="003E57D2" w:rsidP="004543E5">
            <w:pPr>
              <w:spacing w:after="120" w:line="276" w:lineRule="auto"/>
              <w:ind w:firstLine="709"/>
              <w:jc w:val="both"/>
              <w:rPr>
                <w:rFonts w:ascii="Verdana" w:eastAsia="Calibri" w:hAnsi="Verdana" w:cs="Arial"/>
                <w:bCs/>
                <w:lang w:eastAsia="es-ES" w:bidi="es-ES"/>
              </w:rPr>
            </w:pPr>
            <w:r>
              <w:rPr>
                <w:rFonts w:ascii="Verdana" w:eastAsia="Calibri" w:hAnsi="Verdana" w:cs="Arial"/>
                <w:lang w:eastAsia="es-ES"/>
              </w:rPr>
              <w:t>L</w:t>
            </w:r>
            <w:r w:rsidR="004543E5" w:rsidRPr="004543E5">
              <w:rPr>
                <w:rFonts w:ascii="Verdana" w:eastAsia="Calibri" w:hAnsi="Verdana" w:cs="Arial"/>
                <w:bCs/>
                <w:lang w:eastAsia="es-ES" w:bidi="es-ES"/>
              </w:rPr>
              <w:t xml:space="preserve">a publicación del proceso en la plataforma constituye un acto de trámite para dar cumplimiento al principio de publicidad, que no implica ningún juicio de valor sobre las condiciones habilitantes o ponderables señaladas en el proceso ni de las ofertas que eventualmente se presenten, y cuya obligación </w:t>
            </w:r>
            <w:r w:rsidR="004543E5" w:rsidRPr="004543E5">
              <w:rPr>
                <w:rFonts w:ascii="Verdana" w:eastAsia="Calibri" w:hAnsi="Verdana" w:cs="Arial"/>
                <w:bCs/>
                <w:lang w:eastAsia="es-ES" w:bidi="es-ES"/>
              </w:rPr>
              <w:lastRenderedPageBreak/>
              <w:t xml:space="preserve">recae o se determina conforme a la distribución de funciones establecida en el manual de contratación y en los actos administrativos de delegación o asignación de funciones de la entidad. </w:t>
            </w:r>
          </w:p>
          <w:p w14:paraId="201FAAF4" w14:textId="23C9632C" w:rsidR="004543E5" w:rsidRPr="004543E5" w:rsidRDefault="79DE5DC4" w:rsidP="52907E4C">
            <w:pPr>
              <w:spacing w:after="120" w:line="276" w:lineRule="auto"/>
              <w:ind w:firstLine="709"/>
              <w:jc w:val="both"/>
              <w:rPr>
                <w:rFonts w:ascii="Verdana" w:eastAsia="Calibri" w:hAnsi="Verdana" w:cs="Arial"/>
                <w:lang w:eastAsia="es-ES" w:bidi="es-ES"/>
              </w:rPr>
            </w:pPr>
            <w:r w:rsidRPr="7B5F0046">
              <w:rPr>
                <w:rFonts w:ascii="Verdana" w:eastAsia="Calibri" w:hAnsi="Verdana" w:cs="Arial"/>
                <w:lang w:eastAsia="es-ES" w:bidi="es-ES"/>
              </w:rPr>
              <w:t xml:space="preserve">Por otro lado, en cuanto a la labor del Comité de Evaluación es pertinente precisar que su función no es la de emitir actos administrativos definitorios o decisorios frente a la adjudicación del contrato, el rechazo de las ofertas o la declaratoria de desierta, según sea el caso, sino la presentación de un informe de evaluación no vinculante. Este informe de evaluación de las propuestas es un acto de trámite –preparatorio–. Dicho informe no decide de manera definitiva la adjudicación, toda vez que la competencia para proferir el acto administrativo de adjudicación corresponde al jefe o representante de la entidad estatal, o en quien éste haya delegado dicha competencia. </w:t>
            </w:r>
          </w:p>
          <w:p w14:paraId="79EE12A0" w14:textId="2962F60A" w:rsidR="004543E5" w:rsidRPr="004543E5" w:rsidRDefault="004543E5" w:rsidP="067E81F5">
            <w:pPr>
              <w:spacing w:after="120" w:line="276" w:lineRule="auto"/>
              <w:ind w:firstLine="709"/>
              <w:jc w:val="both"/>
              <w:rPr>
                <w:rFonts w:ascii="Verdana" w:eastAsia="Calibri" w:hAnsi="Verdana" w:cs="Arial"/>
                <w:lang w:eastAsia="es-ES" w:bidi="es-ES"/>
              </w:rPr>
            </w:pPr>
            <w:r w:rsidRPr="067E81F5">
              <w:rPr>
                <w:rFonts w:ascii="Verdana" w:eastAsia="Calibri" w:hAnsi="Verdana" w:cs="Arial"/>
                <w:lang w:eastAsia="es-ES" w:bidi="es-ES"/>
              </w:rPr>
              <w:t>Al respecto, el Consejo de Estado ha señalado que «el informe de evaluación y calificación de las propuestas se constituye en un acto de trámite, pues no consolida una situación jurídica en favor del proponente y tampoco pone fin al proceso de selección respectiva, siendo entonces el acto de adjudicación el acto definitivo, pues por medio de éste se consolida la nueva situación jurídica en favor del proponente y pone fin al respectivo proceso de selección». En este sentido, el informe de evaluación de las propuestas no es vinculante para el jefe o representante legal de la entidad, a quien le compete realizar la adjudicación, por lo que éste puede apartarse del mismo.</w:t>
            </w:r>
          </w:p>
          <w:p w14:paraId="3D4D88F9" w14:textId="3676BC93" w:rsidR="004543E5" w:rsidRPr="004543E5" w:rsidRDefault="004543E5" w:rsidP="067E81F5">
            <w:pPr>
              <w:spacing w:after="120" w:line="276" w:lineRule="auto"/>
              <w:ind w:firstLine="709"/>
              <w:jc w:val="both"/>
              <w:rPr>
                <w:rFonts w:ascii="Verdana" w:eastAsia="Calibri" w:hAnsi="Verdana" w:cs="Arial"/>
                <w:lang w:eastAsia="es-ES" w:bidi="es-ES"/>
              </w:rPr>
            </w:pPr>
            <w:r w:rsidRPr="7B5F0046">
              <w:rPr>
                <w:rFonts w:ascii="Verdana" w:eastAsia="Calibri" w:hAnsi="Verdana" w:cs="Arial"/>
                <w:lang w:eastAsia="es-ES" w:bidi="es-ES"/>
              </w:rPr>
              <w:t xml:space="preserve">En relación con el carácter no vinculante del concepto o dictamen emitido por el comité evaluador, el Consejo de Estado ha considerado que el informe </w:t>
            </w:r>
            <w:r w:rsidR="2562F73E" w:rsidRPr="7B5F0046">
              <w:rPr>
                <w:rFonts w:ascii="Verdana" w:eastAsia="Calibri" w:hAnsi="Verdana" w:cs="Arial"/>
                <w:lang w:eastAsia="es-ES" w:bidi="es-ES"/>
              </w:rPr>
              <w:t xml:space="preserve">realizado </w:t>
            </w:r>
            <w:r w:rsidRPr="7B5F0046">
              <w:rPr>
                <w:rFonts w:ascii="Verdana" w:eastAsia="Calibri" w:hAnsi="Verdana" w:cs="Arial"/>
                <w:lang w:eastAsia="es-ES" w:bidi="es-ES"/>
              </w:rPr>
              <w:t>por parte de los comités asesores no es obligatorio para el órgano competente al momento de adjudicar “y, por el contrario, éste puede separarse y resolver en sentido diferente por encontrar errores que afecten los resultados en él consignados, aun cuando debe exponer razonadamente la motivación del apartamiento, con el fin de que la decisión no adolezca de nulidad por insuficiencia de motivación, tal y como lo ha manifestado de tiempo atrás la jurisprudencia”.</w:t>
            </w:r>
            <w:r w:rsidR="00FC384D" w:rsidRPr="7B5F0046">
              <w:rPr>
                <w:rFonts w:ascii="Verdana" w:eastAsia="Calibri" w:hAnsi="Verdana" w:cs="Arial"/>
                <w:lang w:eastAsia="es-ES" w:bidi="es-ES"/>
              </w:rPr>
              <w:t xml:space="preserve"> Esto</w:t>
            </w:r>
            <w:r w:rsidR="0008575C" w:rsidRPr="7B5F0046">
              <w:rPr>
                <w:rFonts w:ascii="Verdana" w:eastAsia="Calibri" w:hAnsi="Verdana" w:cs="Arial"/>
                <w:lang w:eastAsia="es-ES" w:bidi="es-ES"/>
              </w:rPr>
              <w:t>,</w:t>
            </w:r>
            <w:r w:rsidR="00FC384D" w:rsidRPr="7B5F0046">
              <w:rPr>
                <w:rFonts w:ascii="Verdana" w:eastAsia="Calibri" w:hAnsi="Verdana" w:cs="Arial"/>
                <w:lang w:eastAsia="es-ES" w:bidi="es-ES"/>
              </w:rPr>
              <w:t xml:space="preserve"> dado que es el ordenador del gasto quien tiene la responsabilidad de la toma de la decisión definitiva a través de la emisión del acto administrativo de adjudicación, considerando su competencia en la dirección y manejo de la actividad contractual en los términos establecidos en el artículo 26, numeral 5° de la Ley 80 de 1993.</w:t>
            </w:r>
          </w:p>
          <w:p w14:paraId="628C943E" w14:textId="77777777" w:rsidR="004543E5" w:rsidRPr="004543E5" w:rsidRDefault="004543E5" w:rsidP="004543E5">
            <w:pPr>
              <w:spacing w:after="120" w:line="276" w:lineRule="auto"/>
              <w:ind w:firstLine="709"/>
              <w:jc w:val="both"/>
              <w:rPr>
                <w:rFonts w:ascii="Verdana" w:eastAsia="Calibri" w:hAnsi="Verdana" w:cs="Arial"/>
                <w:bCs/>
                <w:lang w:eastAsia="es-ES" w:bidi="es-ES"/>
              </w:rPr>
            </w:pPr>
            <w:r w:rsidRPr="004543E5">
              <w:rPr>
                <w:rFonts w:ascii="Verdana" w:eastAsia="Calibri" w:hAnsi="Verdana" w:cs="Arial"/>
                <w:bCs/>
                <w:lang w:eastAsia="es-ES" w:bidi="es-ES"/>
              </w:rPr>
              <w:lastRenderedPageBreak/>
              <w:t xml:space="preserve">En concordancia con lo previamente señalado, y conforme a lo dispuesto en el inciso segundo del artículo 2.2.1.1.2.2.3 del Decreto 1082 de 2015, el régimen de inhabilidades e incompatibilidades establecido por el EGCAP no contempla una prohibición para que los servidores públicos o contratistas que hubiesen participado en el acto de publicar el proceso de selección en la plataforma SECOP integren el Comité Evaluador. Lo anterior, sin perjuicio del régimen de conflictos de intereses, también aplicable a dichos miembros.  </w:t>
            </w:r>
          </w:p>
          <w:p w14:paraId="461FFBEB" w14:textId="70CB2797" w:rsidR="004543E5" w:rsidRPr="004543E5" w:rsidRDefault="004543E5" w:rsidP="004543E5">
            <w:pPr>
              <w:spacing w:after="120" w:line="276" w:lineRule="auto"/>
              <w:ind w:firstLine="709"/>
              <w:jc w:val="both"/>
              <w:rPr>
                <w:rFonts w:ascii="Verdana" w:eastAsia="Calibri" w:hAnsi="Verdana" w:cs="Arial"/>
                <w:bCs/>
                <w:lang w:eastAsia="es-ES" w:bidi="es-ES"/>
              </w:rPr>
            </w:pPr>
            <w:r w:rsidRPr="004543E5">
              <w:rPr>
                <w:rFonts w:ascii="Verdana" w:eastAsia="Calibri" w:hAnsi="Verdana" w:cs="Arial"/>
                <w:bCs/>
                <w:lang w:eastAsia="es-ES" w:bidi="es-ES"/>
              </w:rPr>
              <w:t>Lo anterior con finalidad garantizar la aplicación del principio de imparcialidad, conforme al cual —y según lo expresado por el Consejo de Estado en sentencia del 3 de diciembre de 2007—   “Las autoridades deberán actuar teniendo en cuenta que la finalidad de los procedimientos (para el caso los de selección de contratistas) consiste en asegurar y garantizar los derechos de todas las personas sin ningún género de discriminación; por consiguiente, deberán darles igualdad de tratamiento, respetando el orden en que actúen ante ellos. En tratándose de los mecanismos de selección, significa el deber de transparencia de la administración de actuar sin designio anticipado o prevención a favor o en contra de un posible oferente o participante por algún motivo o factor subjetivo de segregación irrazonable y desproporcionado, esto es, que no tengan una justificación objetiva y proporcional que fundamente el trato diferente”.</w:t>
            </w:r>
          </w:p>
          <w:p w14:paraId="48491474" w14:textId="20929B3A" w:rsidR="00162EAA" w:rsidRPr="00831CDD" w:rsidRDefault="004543E5" w:rsidP="004543E5">
            <w:pPr>
              <w:spacing w:line="276" w:lineRule="auto"/>
              <w:ind w:firstLine="708"/>
              <w:jc w:val="both"/>
              <w:rPr>
                <w:rFonts w:ascii="Verdana" w:hAnsi="Verdana" w:cs="Arial"/>
                <w:bCs/>
                <w:color w:val="000000" w:themeColor="text1"/>
              </w:rPr>
            </w:pPr>
            <w:r w:rsidRPr="004543E5">
              <w:rPr>
                <w:rFonts w:ascii="Verdana" w:eastAsia="Calibri" w:hAnsi="Verdana" w:cs="Arial"/>
                <w:bCs/>
                <w:lang w:eastAsia="es-ES" w:bidi="es-ES"/>
              </w:rPr>
              <w:t>En consecuencia, corresponderá a cada entidad estatal, en ejercicio de su autonomía administrativa, definir en su manual de contratación las funciones específicas del comité evaluador, así como las de los demás equipos que deban conformarse para adelantar la gestión contractual. 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tc>
      </w:tr>
    </w:tbl>
    <w:p w14:paraId="127678F9" w14:textId="77777777" w:rsidR="00162EAA" w:rsidRDefault="00162EAA" w:rsidP="00162EAA">
      <w:pPr>
        <w:tabs>
          <w:tab w:val="left" w:pos="142"/>
          <w:tab w:val="left" w:pos="284"/>
        </w:tabs>
        <w:spacing w:after="0" w:line="276" w:lineRule="auto"/>
        <w:jc w:val="both"/>
        <w:rPr>
          <w:rFonts w:ascii="Verdana" w:eastAsia="Century Gothic" w:hAnsi="Verdana" w:cs="Century Gothic"/>
          <w:b/>
          <w:bCs/>
          <w:lang w:val="es-ES"/>
        </w:rPr>
      </w:pPr>
    </w:p>
    <w:p w14:paraId="660B97F6" w14:textId="77777777" w:rsidR="00162EAA" w:rsidRDefault="00162EAA" w:rsidP="00162EA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5F04052" w14:textId="77777777" w:rsidR="00392A03" w:rsidRPr="00392A03" w:rsidRDefault="00392A03" w:rsidP="00392A03">
      <w:pPr>
        <w:tabs>
          <w:tab w:val="left" w:pos="142"/>
          <w:tab w:val="left" w:pos="284"/>
        </w:tabs>
        <w:spacing w:after="0" w:line="276" w:lineRule="auto"/>
        <w:jc w:val="both"/>
        <w:rPr>
          <w:rFonts w:ascii="Verdana" w:eastAsia="Century Gothic" w:hAnsi="Verdana" w:cs="Century Gothic"/>
          <w:b/>
          <w:bCs/>
        </w:rPr>
      </w:pPr>
    </w:p>
    <w:p w14:paraId="65D19859" w14:textId="77777777" w:rsidR="00162EAA" w:rsidRPr="003C55C9" w:rsidRDefault="00162EAA" w:rsidP="00162EAA">
      <w:pPr>
        <w:spacing w:before="120" w:after="120" w:line="276" w:lineRule="auto"/>
        <w:jc w:val="both"/>
        <w:rPr>
          <w:rFonts w:ascii="Verdana" w:hAnsi="Verdana"/>
        </w:rPr>
      </w:pPr>
      <w:r w:rsidRPr="003C55C9">
        <w:rPr>
          <w:rFonts w:ascii="Verdana" w:hAnsi="Verdana"/>
        </w:rPr>
        <w:lastRenderedPageBreak/>
        <w:t xml:space="preserve">Los </w:t>
      </w:r>
      <w:bookmarkStart w:id="4" w:name="_Hlk203987985"/>
      <w:r w:rsidRPr="003C55C9">
        <w:rPr>
          <w:rFonts w:ascii="Verdana" w:hAnsi="Verdana"/>
        </w:rPr>
        <w:t>artículos 13 y 32 de la Ley 80 de 1993</w:t>
      </w:r>
      <w:bookmarkEnd w:id="4"/>
      <w:r w:rsidRPr="003C55C9">
        <w:rPr>
          <w:rFonts w:ascii="Verdana" w:hAnsi="Verdana"/>
        </w:rPr>
        <w:t>, permiten concluir que las entidades estatales pueden celebrar los contratos necesarios para la consecución de sus fines, ya sean estos nominados y típicos</w:t>
      </w:r>
      <w:r w:rsidRPr="003C55C9">
        <w:footnoteReference w:id="1"/>
      </w:r>
      <w:r w:rsidRPr="003C55C9">
        <w:rPr>
          <w:rFonts w:ascii="Verdana" w:hAnsi="Verdana"/>
        </w:rPr>
        <w:t xml:space="preserve"> en la legislación civil y comercial, ahora bien, teniendo en cuenta que la actividad contractual del Estado resulta ser un asunto complejo que implica la influencia de distintas disciplinas y especialidades, el ordenamiento normativo colombiano le ha otorgado a las Entidades Estatales la facultad de constituir los denominados comités evaluadores o comités de evaluación, como organismos encargados, en ciertos casos, de la evaluación de las ofertas presentadas en el marco de un Proceso de Contratación. En ese sentido, el artículo 2.2.1.1.2.2.3 del Decreto 1082 de 2015 establece que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w:t>
      </w:r>
    </w:p>
    <w:p w14:paraId="34CE8252" w14:textId="77777777" w:rsidR="00162EAA" w:rsidRPr="003C55C9" w:rsidRDefault="00162EAA" w:rsidP="00162EAA">
      <w:pPr>
        <w:spacing w:before="120" w:after="120" w:line="276" w:lineRule="auto"/>
        <w:ind w:firstLine="709"/>
        <w:jc w:val="both"/>
        <w:rPr>
          <w:rFonts w:ascii="Verdana" w:hAnsi="Verdana"/>
        </w:rPr>
      </w:pPr>
      <w:r w:rsidRPr="003C55C9">
        <w:rPr>
          <w:rFonts w:ascii="Verdana" w:hAnsi="Verdana"/>
        </w:rPr>
        <w:t>Como se observa, la norma mencionada permite que las Entidades Estatales sometidas al Estatuto General de Contratación de la Administración Pública, en adelante EGCAP, puedan constituir un comité evaluador de ofertas y de manifestaciones de interés</w:t>
      </w:r>
      <w:r w:rsidRPr="003C55C9">
        <w:rPr>
          <w:rFonts w:ascii="Verdana" w:hAnsi="Verdana"/>
        </w:rPr>
        <w:footnoteReference w:id="2"/>
      </w:r>
      <w:r w:rsidRPr="003C55C9">
        <w:rPr>
          <w:rFonts w:ascii="Verdana" w:hAnsi="Verdana"/>
        </w:rPr>
        <w:t xml:space="preserve">, que podrá estar conformado bien sea por servidores públicos o particulares contratados para tal finalidad o por ambos. En ese sentido, respecto de la creación del comité evaluador, debe aclararse, que al establecer la norma el verbo “podrá”, se infiere que las Entidades Estatales de acuerdo con sus funciones y organización interna, así como con la naturaleza y complejidad del contrato que pretendan celebrar, entre otros aspectos, definirán si es o no necesaria la constitución de dicho organismo, ya que, como se observa, esto no acarrea una obligación. </w:t>
      </w:r>
    </w:p>
    <w:p w14:paraId="1683C8AD" w14:textId="77777777" w:rsidR="00E72D29" w:rsidRDefault="00162EAA" w:rsidP="00EC207D">
      <w:pPr>
        <w:spacing w:before="120" w:after="120" w:line="276" w:lineRule="auto"/>
        <w:ind w:firstLine="709"/>
        <w:jc w:val="both"/>
        <w:rPr>
          <w:rFonts w:ascii="Verdana" w:hAnsi="Verdana"/>
        </w:rPr>
      </w:pPr>
      <w:r w:rsidRPr="003C55C9">
        <w:rPr>
          <w:rFonts w:ascii="Verdana" w:hAnsi="Verdana"/>
        </w:rPr>
        <w:t xml:space="preserve">Ahora bien, es de menester advertir, que el artículo 2.2.1.1.2.2.3 del Decreto 1082 de 2015 mediante el cual se les otorga tal facultad, permite que las Entidades Estatales determinen ciertos elementos en relación con el comité de evaluación que decidan constituir. Por ello, aspectos como el número de </w:t>
      </w:r>
    </w:p>
    <w:p w14:paraId="716A6485" w14:textId="60A434A0" w:rsidR="00162EAA" w:rsidRPr="003C55C9" w:rsidRDefault="00162EAA" w:rsidP="00E72D29">
      <w:pPr>
        <w:spacing w:before="120" w:after="120" w:line="276" w:lineRule="auto"/>
        <w:jc w:val="both"/>
        <w:rPr>
          <w:rFonts w:ascii="Verdana" w:hAnsi="Verdana"/>
        </w:rPr>
      </w:pPr>
      <w:r w:rsidRPr="003C55C9">
        <w:rPr>
          <w:rFonts w:ascii="Verdana" w:hAnsi="Verdana"/>
        </w:rPr>
        <w:lastRenderedPageBreak/>
        <w:t>miembros, las calidades o profesiones de cada uno, la determinación de los procesos de selección en los cuales dicho comité se conformará, o la definición de factores como la cuantía u objeto contractual para la misma finalidad, entre otros, son aspectos que, en la medida que la norma guarde silencio, le corresponderá a las Entidades definir para cada proceso, en sus respectivos manuales de contratación. Situación esta, que se refleja en la definición de las condiciones que deberían observar las Entidades Estatales al momento de asignar las funciones o actividades a desempeñar por parte de los miembros de dichos comités, pues la norma en mención, no se refirió sobre este aspecto, por lo que le corresponderá a la Entidad, según la particularidad del asunto, determinarlo.</w:t>
      </w:r>
    </w:p>
    <w:p w14:paraId="199F2F44" w14:textId="77777777" w:rsidR="00162EAA" w:rsidRPr="003C55C9" w:rsidRDefault="00162EAA" w:rsidP="00162EAA">
      <w:pPr>
        <w:spacing w:before="120" w:after="120" w:line="276" w:lineRule="auto"/>
        <w:ind w:firstLine="709"/>
        <w:jc w:val="both"/>
        <w:rPr>
          <w:rFonts w:ascii="Verdana" w:hAnsi="Verdana"/>
        </w:rPr>
      </w:pPr>
      <w:r w:rsidRPr="003C55C9">
        <w:rPr>
          <w:rFonts w:ascii="Verdana" w:hAnsi="Verdana"/>
        </w:rPr>
        <w:t>Sobre el particular, la Sala de Consulta y Servicio Civil del Consejo de Estado ha considerado que la realización de la evaluación y la elaboración del informe correspondiente por parte de los comités es una de las actividades desconcentradas a las que alude el parágrafo del artículo 21 de la ley 1150 de 2007</w:t>
      </w:r>
      <w:r w:rsidRPr="003C55C9">
        <w:rPr>
          <w:rFonts w:ascii="Verdana" w:hAnsi="Verdana"/>
        </w:rPr>
        <w:footnoteReference w:id="3"/>
      </w:r>
      <w:r w:rsidRPr="003C55C9">
        <w:rPr>
          <w:rFonts w:ascii="Verdana" w:hAnsi="Verdana"/>
        </w:rPr>
        <w:t>. La norma en cita dispone que “[…] se entiende por desconcentración la distribución adecuada del trabajo que realiza el jefe o representante legal de la entidad, sin que ello implique autonomía administrativa en su ejercicio […]”.</w:t>
      </w:r>
    </w:p>
    <w:p w14:paraId="0AE4FB61" w14:textId="77777777" w:rsidR="00162EAA" w:rsidRPr="009A655C" w:rsidRDefault="00162EAA" w:rsidP="00162EAA">
      <w:pPr>
        <w:spacing w:before="120" w:after="120" w:line="276" w:lineRule="auto"/>
        <w:ind w:firstLine="709"/>
        <w:jc w:val="both"/>
        <w:rPr>
          <w:rFonts w:ascii="Verdana" w:hAnsi="Verdana"/>
        </w:rPr>
      </w:pPr>
      <w:r w:rsidRPr="003C55C9">
        <w:rPr>
          <w:rFonts w:ascii="Verdana" w:hAnsi="Verdana"/>
        </w:rPr>
        <w:t xml:space="preserve">De esta manera, no puede perderse de vista que la finalidad del comité evaluador, según la norma en comento, es la de evaluar las ofertas y manifestación de interés, así como el ejercer todas las actividades y prerrogativas que se deriven o se hagan necesarias para el cumplimiento de dicha función. La evaluación que realizan se materializa a través de la emisión de un </w:t>
      </w:r>
      <w:r w:rsidRPr="009A655C">
        <w:rPr>
          <w:rFonts w:ascii="Verdana" w:hAnsi="Verdana"/>
        </w:rPr>
        <w:t>concepto o dictamen o informe, que deberá elaborarse y presentarse tanto al ordenador del gasto, como a los demás interesados en el Proceso de Contratación bajo las condiciones y plazos previamente definidos por la Entidad Estatal, a través del Sistema Electrónico para la Contratación Pública – SECOP.</w:t>
      </w:r>
    </w:p>
    <w:p w14:paraId="0D8C6A25" w14:textId="77777777" w:rsidR="00162EAA" w:rsidRDefault="00162EAA" w:rsidP="00162EAA">
      <w:pPr>
        <w:spacing w:before="120" w:after="120" w:line="276" w:lineRule="auto"/>
        <w:ind w:firstLine="709"/>
        <w:jc w:val="both"/>
      </w:pPr>
      <w:r>
        <w:rPr>
          <w:rFonts w:ascii="Verdana" w:hAnsi="Verdana"/>
        </w:rPr>
        <w:t>P</w:t>
      </w:r>
      <w:r w:rsidRPr="009A655C">
        <w:rPr>
          <w:rFonts w:ascii="Verdana" w:hAnsi="Verdana"/>
        </w:rPr>
        <w:t>or su parte el numeral 1º del artículo 5 de la Ley 1150 de 2007 establece que en los procesos de selección de contratistas serán objeto de verificación, como requisitos habilitantes, entre otros, los siguientes: i) la capacidad jurídica; ii) la experiencia; iii) la capacidad financiera; y iv) la capacidad de organización.</w:t>
      </w:r>
      <w:r>
        <w:rPr>
          <w:rFonts w:ascii="Verdana" w:hAnsi="Verdana"/>
        </w:rPr>
        <w:t xml:space="preserve"> </w:t>
      </w:r>
      <w:r w:rsidRPr="009266D6">
        <w:rPr>
          <w:rFonts w:ascii="Verdana" w:eastAsia="Calibri" w:hAnsi="Verdana" w:cs="Arial"/>
          <w:lang w:eastAsia="es-ES"/>
        </w:rPr>
        <w:lastRenderedPageBreak/>
        <w:t>En este contexto, resulta recomendable consultar el “Manual para Determinar y Verificar los Requisitos Habilitantes en los Procesos de Contratación”</w:t>
      </w:r>
      <w:r>
        <w:rPr>
          <w:rStyle w:val="Refdenotaalpie"/>
          <w:rFonts w:ascii="Verdana" w:eastAsia="Calibri" w:hAnsi="Verdana" w:cs="Arial"/>
          <w:lang w:eastAsia="es-ES"/>
        </w:rPr>
        <w:footnoteReference w:id="4"/>
      </w:r>
      <w:r w:rsidRPr="009266D6">
        <w:rPr>
          <w:rFonts w:ascii="Verdana" w:eastAsia="Calibri" w:hAnsi="Verdana" w:cs="Arial"/>
          <w:lang w:eastAsia="es-ES"/>
        </w:rPr>
        <w:t>, expedido por Colombia Compra Eficiente, el cual proporciona directrices sobre cómo deben ser definidos y evaluados los requisitos habilitantes en los procesos de selección, incluyendo la experiencia del proponente.</w:t>
      </w:r>
      <w:r w:rsidRPr="009266D6">
        <w:t xml:space="preserve"> </w:t>
      </w:r>
    </w:p>
    <w:p w14:paraId="7A5CECD1" w14:textId="77777777" w:rsidR="00A16776" w:rsidRDefault="00A16776" w:rsidP="00162EAA">
      <w:pPr>
        <w:spacing w:before="120" w:after="120" w:line="276" w:lineRule="auto"/>
        <w:ind w:firstLine="709"/>
        <w:jc w:val="both"/>
        <w:rPr>
          <w:rFonts w:ascii="Verdana" w:eastAsia="Calibri" w:hAnsi="Verdana" w:cs="Arial"/>
          <w:lang w:eastAsia="es-ES"/>
        </w:rPr>
      </w:pPr>
    </w:p>
    <w:p w14:paraId="5ED0BFDE" w14:textId="77777777" w:rsidR="00162EAA" w:rsidRDefault="00162EAA" w:rsidP="00162EAA">
      <w:pPr>
        <w:spacing w:after="120" w:line="276" w:lineRule="auto"/>
        <w:ind w:firstLine="709"/>
        <w:jc w:val="both"/>
        <w:rPr>
          <w:rFonts w:ascii="Verdana" w:eastAsia="Calibri" w:hAnsi="Verdana" w:cs="Arial"/>
          <w:bCs/>
          <w:lang w:eastAsia="es-ES" w:bidi="es-ES"/>
        </w:rPr>
      </w:pPr>
      <w:r w:rsidRPr="00E61A09">
        <w:rPr>
          <w:rFonts w:ascii="Verdana" w:eastAsia="Calibri" w:hAnsi="Verdana" w:cs="Arial"/>
          <w:bCs/>
          <w:lang w:val="es-MX" w:eastAsia="es-ES" w:bidi="es-ES"/>
        </w:rPr>
        <w:t>Ahora bien,</w:t>
      </w:r>
      <w:r>
        <w:rPr>
          <w:rFonts w:ascii="Verdana" w:eastAsia="Calibri" w:hAnsi="Verdana" w:cs="Arial"/>
          <w:bCs/>
          <w:lang w:val="es-MX" w:eastAsia="es-ES" w:bidi="es-ES"/>
        </w:rPr>
        <w:t xml:space="preserve"> </w:t>
      </w:r>
      <w:r>
        <w:rPr>
          <w:rFonts w:ascii="Verdana" w:eastAsia="Calibri" w:hAnsi="Verdana" w:cs="Arial"/>
          <w:bCs/>
          <w:lang w:eastAsia="es-ES" w:bidi="es-ES"/>
        </w:rPr>
        <w:t>e</w:t>
      </w:r>
      <w:r w:rsidRPr="0057022A">
        <w:rPr>
          <w:rFonts w:ascii="Verdana" w:eastAsia="Calibri" w:hAnsi="Verdana" w:cs="Arial"/>
          <w:bCs/>
          <w:lang w:eastAsia="es-ES" w:bidi="es-ES"/>
        </w:rPr>
        <w:t>l principio de publicidad 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p>
    <w:p w14:paraId="095D8ADB" w14:textId="6EBCC4D4" w:rsidR="00162EAA" w:rsidRPr="003C1F1E" w:rsidRDefault="00162EAA" w:rsidP="00162EAA">
      <w:pPr>
        <w:spacing w:after="120" w:line="276" w:lineRule="auto"/>
        <w:ind w:firstLine="709"/>
        <w:jc w:val="both"/>
        <w:rPr>
          <w:rFonts w:ascii="Verdana" w:eastAsia="Calibri" w:hAnsi="Verdana" w:cs="Arial"/>
          <w:bCs/>
          <w:lang w:eastAsia="es-ES" w:bidi="es-ES"/>
        </w:rPr>
      </w:pPr>
      <w:r w:rsidRPr="00047DC8">
        <w:rPr>
          <w:rFonts w:ascii="Verdana" w:eastAsia="Calibri" w:hAnsi="Verdana" w:cs="Arial"/>
          <w:bCs/>
          <w:lang w:eastAsia="es-ES" w:bidi="es-ES"/>
        </w:rPr>
        <w:t>Con el propósito de garantizar el cumplimiento del mencionado deber de publicidad, se le asignó a la Agencia Nacional de Contratación Pública - Colombia Compra Eficiente, la función de administrar el SECOP</w:t>
      </w:r>
      <w:r>
        <w:rPr>
          <w:rStyle w:val="Refdenotaalpie"/>
          <w:rFonts w:ascii="Verdana" w:eastAsia="Calibri" w:hAnsi="Verdana" w:cs="Arial"/>
          <w:bCs/>
          <w:lang w:eastAsia="es-ES" w:bidi="es-ES"/>
        </w:rPr>
        <w:footnoteReference w:id="5"/>
      </w:r>
      <w:r w:rsidRPr="00047DC8">
        <w:rPr>
          <w:rFonts w:ascii="Verdana" w:eastAsia="Calibri" w:hAnsi="Verdana" w:cs="Arial"/>
          <w:bCs/>
          <w:lang w:eastAsia="es-ES" w:bidi="es-ES"/>
        </w:rPr>
        <w:t xml:space="preserve">.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 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w:t>
      </w:r>
    </w:p>
    <w:p w14:paraId="64A4B9EA" w14:textId="77777777" w:rsidR="00162EAA" w:rsidRDefault="00162EAA" w:rsidP="00162EAA">
      <w:pPr>
        <w:spacing w:after="120" w:line="276" w:lineRule="auto"/>
        <w:ind w:firstLine="709"/>
        <w:jc w:val="both"/>
        <w:rPr>
          <w:rFonts w:ascii="Verdana" w:eastAsia="Calibri" w:hAnsi="Verdana" w:cs="Arial"/>
          <w:bCs/>
          <w:lang w:eastAsia="es-ES" w:bidi="es-ES"/>
        </w:rPr>
      </w:pPr>
      <w:r>
        <w:rPr>
          <w:rFonts w:ascii="Verdana" w:eastAsia="Calibri" w:hAnsi="Verdana" w:cs="Arial"/>
          <w:bCs/>
          <w:lang w:val="es-MX" w:eastAsia="es-ES" w:bidi="es-ES"/>
        </w:rPr>
        <w:lastRenderedPageBreak/>
        <w:t xml:space="preserve"> </w:t>
      </w:r>
      <w:r>
        <w:rPr>
          <w:rFonts w:ascii="Verdana" w:eastAsia="Calibri" w:hAnsi="Verdana" w:cs="Arial"/>
          <w:bCs/>
          <w:lang w:eastAsia="es-ES" w:bidi="es-ES"/>
        </w:rPr>
        <w:t>E</w:t>
      </w:r>
      <w:r w:rsidRPr="00212080">
        <w:rPr>
          <w:rFonts w:ascii="Verdana" w:eastAsia="Calibri" w:hAnsi="Verdana" w:cs="Arial"/>
          <w:bCs/>
          <w:lang w:eastAsia="es-ES" w:bidi="es-ES"/>
        </w:rPr>
        <w:t>xisten dos tipos de usuario en</w:t>
      </w:r>
      <w:r>
        <w:rPr>
          <w:rFonts w:ascii="Verdana" w:eastAsia="Calibri" w:hAnsi="Verdana" w:cs="Arial"/>
          <w:bCs/>
          <w:lang w:eastAsia="es-ES" w:bidi="es-ES"/>
        </w:rPr>
        <w:t xml:space="preserve"> la plataforma </w:t>
      </w:r>
      <w:r w:rsidRPr="00212080">
        <w:rPr>
          <w:rFonts w:ascii="Verdana" w:eastAsia="Calibri" w:hAnsi="Verdana" w:cs="Arial"/>
          <w:bCs/>
          <w:lang w:eastAsia="es-ES" w:bidi="es-ES"/>
        </w:rPr>
        <w:t>SECOP II, el usuario administrador y el usuario comprador:</w:t>
      </w:r>
      <w:r>
        <w:rPr>
          <w:rFonts w:ascii="Verdana" w:eastAsia="Calibri" w:hAnsi="Verdana" w:cs="Arial"/>
          <w:bCs/>
          <w:lang w:eastAsia="es-ES" w:bidi="es-ES"/>
        </w:rPr>
        <w:t xml:space="preserve"> </w:t>
      </w:r>
      <w:r w:rsidRPr="002F00F7">
        <w:rPr>
          <w:rFonts w:ascii="Verdana" w:eastAsia="Calibri" w:hAnsi="Verdana" w:cs="Arial"/>
          <w:bCs/>
          <w:i/>
          <w:iCs/>
          <w:lang w:eastAsia="es-ES" w:bidi="es-ES"/>
        </w:rPr>
        <w:t>i. El Usuario Administrador:</w:t>
      </w:r>
      <w:r w:rsidRPr="00212080">
        <w:rPr>
          <w:rFonts w:ascii="Verdana" w:eastAsia="Calibri" w:hAnsi="Verdana" w:cs="Arial"/>
          <w:bCs/>
          <w:lang w:eastAsia="es-ES" w:bidi="es-ES"/>
        </w:rPr>
        <w:t xml:space="preserve"> Es el funcionario o contratista que se encarga de crear y configurar la cuenta de la Entidad Estatal en el SECOP II. La configuración comprende: i) autorizar el acceso por parte de los usuarios compradores a la cuenta de la Entidad Estatal; (ii) definir los roles y permisos que tienen estos usuarios para participar en los diferentes Procesos de Contratación que se realicen a través del SECOP II; (iii) administrar la biblioteca de documentos; entre otros. El usuario administrador es el primer usuario de la Entidad Estatal que debe registrarse en el SECOP II. Cada Entidad Estatal debe tener por lo menos un usuario administrador</w:t>
      </w:r>
      <w:r>
        <w:rPr>
          <w:rStyle w:val="Refdenotaalpie"/>
          <w:rFonts w:ascii="Verdana" w:eastAsia="Calibri" w:hAnsi="Verdana" w:cs="Arial"/>
          <w:bCs/>
          <w:lang w:eastAsia="es-ES" w:bidi="es-ES"/>
        </w:rPr>
        <w:footnoteReference w:id="6"/>
      </w:r>
      <w:r w:rsidRPr="00212080">
        <w:rPr>
          <w:rFonts w:ascii="Verdana" w:eastAsia="Calibri" w:hAnsi="Verdana" w:cs="Arial"/>
          <w:bCs/>
          <w:lang w:eastAsia="es-ES" w:bidi="es-ES"/>
        </w:rPr>
        <w:t>.</w:t>
      </w:r>
      <w:r>
        <w:rPr>
          <w:rFonts w:ascii="Verdana" w:eastAsia="Calibri" w:hAnsi="Verdana" w:cs="Arial"/>
          <w:bCs/>
          <w:lang w:eastAsia="es-ES" w:bidi="es-ES"/>
        </w:rPr>
        <w:t xml:space="preserve"> </w:t>
      </w:r>
      <w:r w:rsidRPr="002F00F7">
        <w:rPr>
          <w:rFonts w:ascii="Verdana" w:eastAsia="Calibri" w:hAnsi="Verdana" w:cs="Arial"/>
          <w:bCs/>
          <w:i/>
          <w:iCs/>
          <w:lang w:eastAsia="es-ES" w:bidi="es-ES"/>
        </w:rPr>
        <w:t>ii.</w:t>
      </w:r>
      <w:r>
        <w:rPr>
          <w:rFonts w:ascii="Verdana" w:eastAsia="Calibri" w:hAnsi="Verdana" w:cs="Arial"/>
          <w:bCs/>
          <w:lang w:eastAsia="es-ES" w:bidi="es-ES"/>
        </w:rPr>
        <w:t xml:space="preserve"> </w:t>
      </w:r>
      <w:r w:rsidRPr="002F00F7">
        <w:rPr>
          <w:rFonts w:ascii="Verdana" w:eastAsia="Calibri" w:hAnsi="Verdana" w:cs="Arial"/>
          <w:i/>
          <w:iCs/>
          <w:lang w:eastAsia="es-ES" w:bidi="es-ES"/>
        </w:rPr>
        <w:t>Usuario Comprador:</w:t>
      </w:r>
      <w:r>
        <w:rPr>
          <w:rFonts w:ascii="Verdana" w:eastAsia="Calibri" w:hAnsi="Verdana" w:cs="Arial"/>
          <w:b/>
          <w:bCs/>
          <w:lang w:eastAsia="es-ES" w:bidi="es-ES"/>
        </w:rPr>
        <w:t xml:space="preserve"> </w:t>
      </w:r>
      <w:r w:rsidRPr="00D72D07">
        <w:rPr>
          <w:rFonts w:ascii="Verdana" w:eastAsia="Calibri" w:hAnsi="Verdana" w:cs="Arial"/>
          <w:bCs/>
          <w:lang w:eastAsia="es-ES" w:bidi="es-ES"/>
        </w:rPr>
        <w:t>Es el funcionario o contratista que participa en los Procesos de Contratación usando la cuenta de la Entidad Estatal en el SECOP II. Puede participar en cualquiera de las fases del Proceso</w:t>
      </w:r>
      <w:r>
        <w:rPr>
          <w:rStyle w:val="Refdenotaalpie"/>
          <w:rFonts w:ascii="Verdana" w:eastAsia="Calibri" w:hAnsi="Verdana" w:cs="Arial"/>
          <w:bCs/>
          <w:lang w:eastAsia="es-ES" w:bidi="es-ES"/>
        </w:rPr>
        <w:footnoteReference w:id="7"/>
      </w:r>
      <w:r>
        <w:rPr>
          <w:rFonts w:ascii="Verdana" w:eastAsia="Calibri" w:hAnsi="Verdana" w:cs="Arial"/>
          <w:bCs/>
          <w:lang w:eastAsia="es-ES" w:bidi="es-ES"/>
        </w:rPr>
        <w:t>, así mismo los usuarios pueden tener diferentes perfiles con distintos permisos, unos más limitados que otros</w:t>
      </w:r>
      <w:r>
        <w:rPr>
          <w:rStyle w:val="Refdenotaalpie"/>
          <w:rFonts w:ascii="Verdana" w:eastAsia="Calibri" w:hAnsi="Verdana" w:cs="Arial"/>
          <w:bCs/>
          <w:lang w:eastAsia="es-ES" w:bidi="es-ES"/>
        </w:rPr>
        <w:footnoteReference w:id="8"/>
      </w:r>
      <w:r>
        <w:rPr>
          <w:rFonts w:ascii="Verdana" w:eastAsia="Calibri" w:hAnsi="Verdana" w:cs="Arial"/>
          <w:bCs/>
          <w:lang w:eastAsia="es-ES" w:bidi="es-ES"/>
        </w:rPr>
        <w:t>.</w:t>
      </w:r>
    </w:p>
    <w:p w14:paraId="62260BC9" w14:textId="76B437CF" w:rsidR="004D4706" w:rsidRPr="007378EC" w:rsidRDefault="00162EAA" w:rsidP="00D43975">
      <w:pPr>
        <w:spacing w:after="120" w:line="276" w:lineRule="auto"/>
        <w:ind w:firstLine="709"/>
        <w:jc w:val="both"/>
        <w:rPr>
          <w:rFonts w:ascii="Verdana" w:eastAsia="Calibri" w:hAnsi="Verdana" w:cs="Arial"/>
          <w:bCs/>
          <w:lang w:eastAsia="es-ES" w:bidi="es-ES"/>
        </w:rPr>
      </w:pPr>
      <w:r w:rsidRPr="7B5F0046">
        <w:rPr>
          <w:rFonts w:ascii="Verdana" w:eastAsia="Calibri" w:hAnsi="Verdana" w:cs="Arial"/>
          <w:lang w:eastAsia="es-ES" w:bidi="es-ES"/>
        </w:rPr>
        <w:t>Atendiendo su consulta y en relación con el caso concreto, resulta pertinente señalar que</w:t>
      </w:r>
      <w:r w:rsidR="00227BEE">
        <w:rPr>
          <w:rFonts w:ascii="Verdana" w:eastAsia="Calibri" w:hAnsi="Verdana" w:cs="Arial"/>
          <w:lang w:eastAsia="es-ES" w:bidi="es-ES"/>
        </w:rPr>
        <w:t>, frente a</w:t>
      </w:r>
      <w:r w:rsidRPr="7B5F0046">
        <w:rPr>
          <w:rFonts w:ascii="Verdana" w:eastAsia="Calibri" w:hAnsi="Verdana" w:cs="Arial"/>
          <w:lang w:eastAsia="es-ES" w:bidi="es-ES"/>
        </w:rPr>
        <w:t xml:space="preserve"> </w:t>
      </w:r>
      <w:r>
        <w:rPr>
          <w:rFonts w:ascii="Verdana" w:eastAsia="Calibri" w:hAnsi="Verdana" w:cs="Arial"/>
          <w:bCs/>
          <w:lang w:eastAsia="es-ES" w:bidi="es-ES"/>
        </w:rPr>
        <w:t xml:space="preserve">la labor del </w:t>
      </w:r>
      <w:r w:rsidRPr="00A63740">
        <w:rPr>
          <w:rFonts w:ascii="Verdana" w:eastAsia="Calibri" w:hAnsi="Verdana" w:cs="Arial"/>
          <w:lang w:eastAsia="es-ES"/>
        </w:rPr>
        <w:t>Comité de Evaluación</w:t>
      </w:r>
      <w:r w:rsidR="00433960">
        <w:rPr>
          <w:rFonts w:ascii="Verdana" w:eastAsia="Calibri" w:hAnsi="Verdana" w:cs="Arial"/>
          <w:lang w:eastAsia="es-ES"/>
        </w:rPr>
        <w:t>,</w:t>
      </w:r>
      <w:r>
        <w:rPr>
          <w:rFonts w:ascii="Verdana" w:eastAsia="Calibri" w:hAnsi="Verdana" w:cs="Arial"/>
          <w:lang w:eastAsia="es-ES"/>
        </w:rPr>
        <w:t xml:space="preserve"> su función</w:t>
      </w:r>
      <w:r w:rsidRPr="00A63740">
        <w:rPr>
          <w:rFonts w:ascii="Verdana" w:eastAsia="Calibri" w:hAnsi="Verdana" w:cs="Arial"/>
          <w:lang w:eastAsia="es-ES"/>
        </w:rPr>
        <w:t xml:space="preserve"> no es la de emitir actos administrativos definitorios o decisorios frente a la adjudicación del contrato, el rechazo de las ofertas o la declaratoria de desierta, según sea el caso, sino la </w:t>
      </w:r>
      <w:r w:rsidRPr="003C55C9">
        <w:rPr>
          <w:rFonts w:ascii="Verdana" w:eastAsia="Calibri" w:hAnsi="Verdana" w:cs="Arial"/>
          <w:bCs/>
          <w:lang w:eastAsia="es-ES" w:bidi="es-ES"/>
        </w:rPr>
        <w:t>presentación de un informe de evaluación no vinculante</w:t>
      </w:r>
      <w:r w:rsidRPr="0097735F">
        <w:rPr>
          <w:rFonts w:ascii="Verdana" w:eastAsia="Calibri" w:hAnsi="Verdana" w:cs="Arial"/>
          <w:bCs/>
          <w:lang w:eastAsia="es-ES" w:bidi="es-ES"/>
        </w:rPr>
        <w:t>.</w:t>
      </w:r>
      <w:r w:rsidRPr="003C55C9">
        <w:rPr>
          <w:rFonts w:ascii="Verdana" w:eastAsia="Calibri" w:hAnsi="Verdana" w:cs="Arial"/>
          <w:bCs/>
          <w:lang w:eastAsia="es-ES" w:bidi="es-ES"/>
        </w:rPr>
        <w:t xml:space="preserve"> </w:t>
      </w:r>
      <w:r w:rsidR="004D4706" w:rsidRPr="004D4706">
        <w:rPr>
          <w:rFonts w:ascii="Verdana" w:hAnsi="Verdana" w:cs="Arial"/>
          <w:bCs/>
          <w:lang w:val="es-MX"/>
        </w:rPr>
        <w:t xml:space="preserve">Este </w:t>
      </w:r>
      <w:r w:rsidR="004D4706" w:rsidRPr="004D4706">
        <w:rPr>
          <w:rFonts w:ascii="Verdana" w:hAnsi="Verdana" w:cs="Arial"/>
          <w:lang w:val="es-ES"/>
        </w:rPr>
        <w:t xml:space="preserve">informe de evaluación de las propuestas es un acto de trámite –preparatorio–. Dicho informe no decide de manera definitiva la adjudicación, toda vez que la competencia para proferir el acto </w:t>
      </w:r>
      <w:r w:rsidR="004D4706" w:rsidRPr="007378EC">
        <w:rPr>
          <w:rFonts w:ascii="Verdana" w:eastAsia="Calibri" w:hAnsi="Verdana" w:cs="Arial"/>
          <w:bCs/>
          <w:lang w:eastAsia="es-ES" w:bidi="es-ES"/>
        </w:rPr>
        <w:t xml:space="preserve">administrativo de adjudicación corresponde al jefe o representante de la entidad estatal, o en quien éste haya delegado dicha competencia. </w:t>
      </w:r>
    </w:p>
    <w:p w14:paraId="689F00FF" w14:textId="7C1E5F96" w:rsidR="004D4706" w:rsidRPr="001C7F03" w:rsidRDefault="004D4706" w:rsidP="001C7F03">
      <w:pPr>
        <w:spacing w:after="120" w:line="276" w:lineRule="auto"/>
        <w:ind w:firstLine="709"/>
        <w:jc w:val="both"/>
        <w:rPr>
          <w:rFonts w:ascii="Verdana" w:eastAsia="Calibri" w:hAnsi="Verdana" w:cs="Arial"/>
          <w:bCs/>
          <w:lang w:eastAsia="es-ES" w:bidi="es-ES"/>
        </w:rPr>
      </w:pPr>
      <w:r w:rsidRPr="001C7F03">
        <w:rPr>
          <w:rFonts w:ascii="Verdana" w:eastAsia="Calibri" w:hAnsi="Verdana" w:cs="Arial"/>
          <w:bCs/>
          <w:lang w:eastAsia="es-ES" w:bidi="es-ES"/>
        </w:rPr>
        <w:t xml:space="preserve">Al respecto, el Consejo de Estado ha señalado que «el informe de evaluación y calificación de las propuestas se constituye en un acto de trámite, pues no consolida una situación jurídica en favor del proponente y tampoco pone fin al proceso de selección respectiva, siendo entonces el acto de adjudicación el acto definitivo, pues por medio de éste se consolida la nueva situación jurídica </w:t>
      </w:r>
      <w:r w:rsidRPr="001C7F03">
        <w:rPr>
          <w:rFonts w:ascii="Verdana" w:eastAsia="Calibri" w:hAnsi="Verdana" w:cs="Arial"/>
          <w:bCs/>
          <w:lang w:eastAsia="es-ES" w:bidi="es-ES"/>
        </w:rPr>
        <w:lastRenderedPageBreak/>
        <w:t>en favor del proponente y pone fin al respectivo proceso de selección»</w:t>
      </w:r>
      <w:r w:rsidRPr="00963271">
        <w:rPr>
          <w:rFonts w:eastAsia="Calibri"/>
          <w:bCs/>
          <w:vertAlign w:val="superscript"/>
          <w:lang w:eastAsia="es-ES" w:bidi="es-ES"/>
        </w:rPr>
        <w:footnoteReference w:id="9"/>
      </w:r>
      <w:r w:rsidRPr="001C7F03">
        <w:rPr>
          <w:rFonts w:ascii="Verdana" w:eastAsia="Calibri" w:hAnsi="Verdana" w:cs="Arial"/>
          <w:bCs/>
          <w:lang w:eastAsia="es-ES" w:bidi="es-ES"/>
        </w:rPr>
        <w:t>. En este sentido, el informe de evaluación de las propuestas no es vinculante para el jefe o representante legal de la entidad, a quien le compete realizar la adjudicación, por lo que éste puede apartarse del mismo</w:t>
      </w:r>
      <w:r w:rsidRPr="00963271">
        <w:rPr>
          <w:rFonts w:ascii="Verdana" w:eastAsia="Calibri" w:hAnsi="Verdana" w:cs="Arial"/>
          <w:bCs/>
          <w:vertAlign w:val="superscript"/>
          <w:lang w:eastAsia="es-ES" w:bidi="es-ES"/>
        </w:rPr>
        <w:footnoteReference w:id="10"/>
      </w:r>
      <w:r w:rsidR="00A7702F">
        <w:rPr>
          <w:rFonts w:ascii="Verdana" w:eastAsia="Calibri" w:hAnsi="Verdana" w:cs="Arial"/>
          <w:bCs/>
          <w:lang w:eastAsia="es-ES" w:bidi="es-ES"/>
        </w:rPr>
        <w:t>.</w:t>
      </w:r>
    </w:p>
    <w:p w14:paraId="4818E2D0" w14:textId="261A6518" w:rsidR="004805F9" w:rsidRPr="001C7F03" w:rsidRDefault="00BF35E7" w:rsidP="067E81F5">
      <w:pPr>
        <w:spacing w:after="120" w:line="276" w:lineRule="auto"/>
        <w:ind w:firstLine="709"/>
        <w:jc w:val="both"/>
        <w:rPr>
          <w:rFonts w:ascii="Verdana" w:eastAsia="Calibri" w:hAnsi="Verdana" w:cs="Arial"/>
          <w:lang w:eastAsia="es-ES" w:bidi="es-ES"/>
        </w:rPr>
      </w:pPr>
      <w:r w:rsidRPr="067E81F5">
        <w:rPr>
          <w:rFonts w:ascii="Verdana" w:eastAsia="Calibri" w:hAnsi="Verdana" w:cs="Arial"/>
          <w:lang w:eastAsia="es-ES" w:bidi="es-ES"/>
        </w:rPr>
        <w:t xml:space="preserve">En relación con el carácter no vinculante del concepto o dictamen emitido por el comité evaluador, el Consejo de Estado ha considerado que el informe </w:t>
      </w:r>
      <w:r w:rsidR="7CA60F95" w:rsidRPr="067E81F5">
        <w:rPr>
          <w:rFonts w:ascii="Verdana" w:eastAsia="Calibri" w:hAnsi="Verdana" w:cs="Arial"/>
          <w:lang w:eastAsia="es-ES" w:bidi="es-ES"/>
        </w:rPr>
        <w:t xml:space="preserve">realizado </w:t>
      </w:r>
      <w:r w:rsidRPr="067E81F5">
        <w:rPr>
          <w:rFonts w:ascii="Verdana" w:eastAsia="Calibri" w:hAnsi="Verdana" w:cs="Arial"/>
          <w:lang w:eastAsia="es-ES" w:bidi="es-ES"/>
        </w:rPr>
        <w:t>por parte de los comités asesores no es obligatorio para el órgano competente al momento de adjudicar “y, por el contrario, éste puede separarse y resolver en sentido diferente por encontrar errores que afecten los resultados en él consignados, aun cuando debe exponer razonadamente la motivación del apartamiento, con el fin de que la decisión no adolezca de nulidad por insuficiencia de motivación, tal y como lo ha manifestado de tiempo atrás la jurisprudencia”</w:t>
      </w:r>
      <w:r w:rsidRPr="067E81F5">
        <w:rPr>
          <w:rFonts w:ascii="Verdana" w:eastAsia="Calibri" w:hAnsi="Verdana" w:cs="Arial"/>
          <w:vertAlign w:val="superscript"/>
          <w:lang w:eastAsia="es-ES" w:bidi="es-ES"/>
        </w:rPr>
        <w:footnoteReference w:id="11"/>
      </w:r>
      <w:r w:rsidRPr="067E81F5">
        <w:rPr>
          <w:rFonts w:ascii="Verdana" w:eastAsia="Calibri" w:hAnsi="Verdana" w:cs="Arial"/>
          <w:lang w:eastAsia="es-ES" w:bidi="es-ES"/>
        </w:rPr>
        <w:t>.</w:t>
      </w:r>
      <w:r w:rsidR="003A7255" w:rsidRPr="067E81F5">
        <w:rPr>
          <w:rFonts w:ascii="Verdana" w:eastAsia="Calibri" w:hAnsi="Verdana" w:cs="Arial"/>
          <w:lang w:eastAsia="es-ES" w:bidi="es-ES"/>
        </w:rPr>
        <w:t xml:space="preserve"> </w:t>
      </w:r>
      <w:r w:rsidR="004805F9" w:rsidRPr="067E81F5">
        <w:rPr>
          <w:rFonts w:ascii="Verdana" w:eastAsia="Calibri" w:hAnsi="Verdana" w:cs="Arial"/>
          <w:lang w:eastAsia="es-ES" w:bidi="es-ES"/>
        </w:rPr>
        <w:t>Esto</w:t>
      </w:r>
      <w:r w:rsidR="0008575C" w:rsidRPr="067E81F5">
        <w:rPr>
          <w:rFonts w:ascii="Verdana" w:eastAsia="Calibri" w:hAnsi="Verdana" w:cs="Arial"/>
          <w:lang w:eastAsia="es-ES" w:bidi="es-ES"/>
        </w:rPr>
        <w:t>,</w:t>
      </w:r>
      <w:r w:rsidR="004805F9" w:rsidRPr="067E81F5">
        <w:rPr>
          <w:rFonts w:ascii="Verdana" w:eastAsia="Calibri" w:hAnsi="Verdana" w:cs="Arial"/>
          <w:lang w:eastAsia="es-ES" w:bidi="es-ES"/>
        </w:rPr>
        <w:t xml:space="preserve"> dado que es el ordenador del gasto quien tiene la responsabilidad de la toma de la decisión definitiva a través de la emisión del acto administrativo de adjudicación, considerando su competencia en la dirección y manejo de la actividad contractual en los términos establecidos en el artículo 26, numeral 5° de la Ley 80 de 1993.</w:t>
      </w:r>
    </w:p>
    <w:p w14:paraId="15411D56" w14:textId="060EFE8C" w:rsidR="00631D3B" w:rsidRDefault="0031679E" w:rsidP="00162EAA">
      <w:pPr>
        <w:spacing w:after="120" w:line="276" w:lineRule="auto"/>
        <w:ind w:firstLine="709"/>
        <w:jc w:val="both"/>
        <w:rPr>
          <w:rFonts w:ascii="Verdana" w:eastAsia="Calibri" w:hAnsi="Verdana" w:cs="Arial"/>
          <w:bCs/>
          <w:lang w:eastAsia="es-ES" w:bidi="es-ES"/>
        </w:rPr>
      </w:pPr>
      <w:r>
        <w:rPr>
          <w:rFonts w:ascii="Verdana" w:eastAsia="Calibri" w:hAnsi="Verdana" w:cs="Arial"/>
          <w:bCs/>
          <w:lang w:eastAsia="es-ES" w:bidi="es-ES"/>
        </w:rPr>
        <w:t>En concordancia con lo previamente señalado</w:t>
      </w:r>
      <w:r w:rsidR="00162EAA" w:rsidRPr="0097735F">
        <w:rPr>
          <w:rFonts w:ascii="Verdana" w:eastAsia="Calibri" w:hAnsi="Verdana" w:cs="Arial"/>
          <w:bCs/>
          <w:lang w:eastAsia="es-ES" w:bidi="es-ES"/>
        </w:rPr>
        <w:t>, y conforme a lo dispuesto en el inciso segundo del artículo 2.2.1.1.2.2.3 del Decreto 1082 de 2015, el régimen de inhabilidades e incompatibilidades establecido por el EGCAP no contempla una prohibición para que los servidores públicos o contratistas que hubiesen participado en el acto de publicar el proceso de selección en la plataforma SECOP integren el Comité Evaluador. Lo anterior, sin perjuicio del régimen de conflictos de intereses, también aplicable a dichos miembros.</w:t>
      </w:r>
      <w:r w:rsidR="00162EAA" w:rsidRPr="00F91131">
        <w:rPr>
          <w:rFonts w:ascii="Verdana" w:eastAsia="Calibri" w:hAnsi="Verdana" w:cs="Arial"/>
          <w:bCs/>
          <w:lang w:eastAsia="es-ES" w:bidi="es-ES"/>
        </w:rPr>
        <w:t xml:space="preserve"> </w:t>
      </w:r>
      <w:r w:rsidR="00631D3B">
        <w:rPr>
          <w:rFonts w:ascii="Verdana" w:eastAsia="Calibri" w:hAnsi="Verdana" w:cs="Arial"/>
          <w:bCs/>
          <w:lang w:eastAsia="es-ES" w:bidi="es-ES"/>
        </w:rPr>
        <w:t xml:space="preserve"> </w:t>
      </w:r>
    </w:p>
    <w:p w14:paraId="43EBE0C4" w14:textId="2B05B7A5" w:rsidR="00162EAA" w:rsidRDefault="00162EAA" w:rsidP="00162EAA">
      <w:pPr>
        <w:spacing w:after="120" w:line="276" w:lineRule="auto"/>
        <w:ind w:firstLine="709"/>
        <w:jc w:val="both"/>
        <w:rPr>
          <w:rFonts w:ascii="Verdana" w:eastAsia="Calibri" w:hAnsi="Verdana" w:cs="Arial"/>
          <w:bCs/>
          <w:lang w:eastAsia="es-ES" w:bidi="es-ES"/>
        </w:rPr>
      </w:pPr>
      <w:r w:rsidRPr="00F802BF">
        <w:rPr>
          <w:rFonts w:ascii="Verdana" w:eastAsia="Calibri" w:hAnsi="Verdana" w:cs="Arial"/>
          <w:bCs/>
          <w:lang w:eastAsia="es-ES" w:bidi="es-ES"/>
        </w:rPr>
        <w:lastRenderedPageBreak/>
        <w:t xml:space="preserve">Lo anterior </w:t>
      </w:r>
      <w:r>
        <w:rPr>
          <w:rFonts w:ascii="Verdana" w:eastAsia="Calibri" w:hAnsi="Verdana" w:cs="Arial"/>
          <w:bCs/>
          <w:lang w:eastAsia="es-ES" w:bidi="es-ES"/>
        </w:rPr>
        <w:t>con</w:t>
      </w:r>
      <w:r w:rsidRPr="00F802BF">
        <w:rPr>
          <w:rFonts w:ascii="Verdana" w:eastAsia="Calibri" w:hAnsi="Verdana" w:cs="Arial"/>
          <w:bCs/>
          <w:lang w:eastAsia="es-ES" w:bidi="es-ES"/>
        </w:rPr>
        <w:t xml:space="preserve"> finalidad garantizar la aplicación del principio de imparcialidad, conforme al cual —y según lo expresado por el Consejo de Estado en sentencia del 3 de diciembre de 2007— </w:t>
      </w:r>
      <w:r>
        <w:rPr>
          <w:rFonts w:ascii="Verdana" w:eastAsia="Calibri" w:hAnsi="Verdana" w:cs="Arial"/>
          <w:bCs/>
          <w:lang w:eastAsia="es-ES" w:bidi="es-ES"/>
        </w:rPr>
        <w:t xml:space="preserve"> “</w:t>
      </w:r>
      <w:r w:rsidRPr="008A70BB">
        <w:rPr>
          <w:rFonts w:ascii="Verdana" w:eastAsia="Calibri" w:hAnsi="Verdana" w:cs="Arial"/>
          <w:bCs/>
          <w:i/>
          <w:iCs/>
          <w:lang w:eastAsia="es-ES" w:bidi="es-ES"/>
        </w:rPr>
        <w:t>Las autoridades deberán actuar teniendo en cuenta que la finalidad de los procedimientos (para el caso los de selección de contratistas) consiste en asegurar y garantizar los derechos de todas las personas sin ningún género de discriminación; por consiguiente, deberán darles igualdad de tratamiento, respetando el orden en que actúen ante ellos. En tratándose de los mecanismos de selección, significa el deber de transparencia de la administración de actuar sin designio anticipado o prevención a favor o en contra de un posible oferente o participante por algún motivo</w:t>
      </w:r>
      <w:r w:rsidRPr="00335E36">
        <w:rPr>
          <w:rFonts w:ascii="Verdana" w:eastAsia="Calibri" w:hAnsi="Verdana" w:cs="Arial"/>
          <w:bCs/>
          <w:i/>
          <w:iCs/>
          <w:lang w:eastAsia="es-ES" w:bidi="es-ES"/>
        </w:rPr>
        <w:t xml:space="preserve"> o factor subjetivo de segregación irrazonable y desproporcionado, esto es, que no tengan una justificación objetiva y proporcional que fundamente el trato diferente</w:t>
      </w:r>
      <w:r>
        <w:rPr>
          <w:rStyle w:val="Refdenotaalpie"/>
          <w:rFonts w:ascii="Verdana" w:eastAsia="Calibri" w:hAnsi="Verdana" w:cs="Arial"/>
          <w:bCs/>
          <w:i/>
          <w:iCs/>
          <w:lang w:eastAsia="es-ES" w:bidi="es-ES"/>
        </w:rPr>
        <w:footnoteReference w:id="12"/>
      </w:r>
      <w:r>
        <w:rPr>
          <w:rFonts w:ascii="Verdana" w:eastAsia="Calibri" w:hAnsi="Verdana" w:cs="Arial"/>
          <w:bCs/>
          <w:lang w:eastAsia="es-ES" w:bidi="es-ES"/>
        </w:rPr>
        <w:t>”.</w:t>
      </w:r>
    </w:p>
    <w:p w14:paraId="4B1A9E23" w14:textId="5D6D0A20" w:rsidR="00162EAA" w:rsidRPr="003C55C9" w:rsidRDefault="00DE234E" w:rsidP="00162EAA">
      <w:pPr>
        <w:spacing w:after="120" w:line="276" w:lineRule="auto"/>
        <w:ind w:firstLine="709"/>
        <w:jc w:val="both"/>
        <w:rPr>
          <w:rFonts w:ascii="Verdana" w:eastAsia="Calibri" w:hAnsi="Verdana" w:cs="Arial"/>
          <w:bCs/>
          <w:lang w:eastAsia="es-ES" w:bidi="es-ES"/>
        </w:rPr>
      </w:pPr>
      <w:r w:rsidRPr="00F802BF">
        <w:rPr>
          <w:rFonts w:ascii="Verdana" w:eastAsia="Calibri" w:hAnsi="Verdana" w:cs="Arial"/>
          <w:bCs/>
          <w:lang w:eastAsia="es-ES" w:bidi="es-ES"/>
        </w:rPr>
        <w:t xml:space="preserve">En consecuencia, corresponderá a cada entidad estatal, en ejercicio de su autonomía administrativa, definir en su manual de contratación las funciones específicas del comité evaluador, así como las de los demás equipos que deban conformarse para adelantar la gestión contractual. </w:t>
      </w:r>
      <w:r w:rsidR="00162EAA" w:rsidRPr="003C55C9">
        <w:rPr>
          <w:rFonts w:ascii="Verdana" w:eastAsia="Calibri" w:hAnsi="Verdana" w:cs="Arial"/>
          <w:bCs/>
          <w:lang w:eastAsia="es-ES" w:bidi="es-ES"/>
        </w:rPr>
        <w:t xml:space="preserve">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 </w:t>
      </w:r>
    </w:p>
    <w:p w14:paraId="573183DF" w14:textId="77777777" w:rsidR="00162EAA" w:rsidRPr="00B92AD4" w:rsidRDefault="00162EAA" w:rsidP="00162EAA">
      <w:pPr>
        <w:spacing w:after="120" w:line="276" w:lineRule="auto"/>
        <w:ind w:firstLine="709"/>
        <w:jc w:val="both"/>
        <w:rPr>
          <w:rFonts w:ascii="Verdana" w:eastAsia="Calibri" w:hAnsi="Verdana" w:cs="Arial"/>
          <w:bCs/>
          <w:color w:val="000000"/>
        </w:rPr>
      </w:pPr>
      <w:r w:rsidRPr="003C55C9">
        <w:rPr>
          <w:rFonts w:ascii="Verdana" w:eastAsia="Calibri" w:hAnsi="Verdana" w:cs="Arial"/>
          <w:bCs/>
          <w:lang w:eastAsia="es-ES" w:bidi="es-ES"/>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w:t>
      </w:r>
      <w:r>
        <w:rPr>
          <w:rFonts w:ascii="Verdana" w:eastAsia="Calibri" w:hAnsi="Verdana" w:cs="Arial"/>
          <w:lang w:eastAsia="es-ES"/>
        </w:rPr>
        <w:t xml:space="preserve"> </w:t>
      </w:r>
      <w:r w:rsidRPr="002C0599">
        <w:rPr>
          <w:rFonts w:ascii="Verdana" w:eastAsia="Calibri" w:hAnsi="Verdana" w:cs="Arial"/>
          <w:lang w:eastAsia="es-ES"/>
        </w:rPr>
        <w:t xml:space="preserve">partícipes del Sistema de Compras </w:t>
      </w:r>
      <w:r w:rsidRPr="002C0599">
        <w:rPr>
          <w:rFonts w:ascii="Verdana" w:eastAsia="Calibri" w:hAnsi="Verdana" w:cs="Arial"/>
          <w:lang w:eastAsia="es-ES"/>
        </w:rPr>
        <w:lastRenderedPageBreak/>
        <w:t>y Contratación Pública adopten la</w:t>
      </w:r>
      <w:r>
        <w:rPr>
          <w:rFonts w:ascii="Verdana" w:eastAsia="Calibri" w:hAnsi="Verdana" w:cs="Arial"/>
          <w:lang w:eastAsia="es-ES"/>
        </w:rPr>
        <w:t xml:space="preserve"> </w:t>
      </w:r>
      <w:r w:rsidRPr="002C0599">
        <w:rPr>
          <w:rFonts w:ascii="Verdana" w:eastAsia="Calibri" w:hAnsi="Verdana" w:cs="Arial"/>
          <w:lang w:eastAsia="es-ES"/>
        </w:rPr>
        <w:t>decisión que corresponda, lo cual es acorde con el principio de juridicidad.</w:t>
      </w:r>
      <w:r>
        <w:rPr>
          <w:rFonts w:ascii="Verdana" w:eastAsia="Calibri" w:hAnsi="Verdana" w:cs="Arial"/>
          <w:lang w:eastAsia="es-ES"/>
        </w:rPr>
        <w:t xml:space="preserve"> </w:t>
      </w:r>
      <w:r w:rsidRPr="002C0599">
        <w:rPr>
          <w:rFonts w:ascii="Verdana" w:eastAsia="Calibri" w:hAnsi="Verdana" w:cs="Arial"/>
          <w:lang w:eastAsia="es-ES"/>
        </w:rPr>
        <w:t>Así, cada Entidad definirá la forma de adelantar su gestión contractual,</w:t>
      </w:r>
      <w:r>
        <w:rPr>
          <w:rFonts w:ascii="Verdana" w:eastAsia="Calibri" w:hAnsi="Verdana" w:cs="Arial"/>
          <w:lang w:eastAsia="es-ES"/>
        </w:rPr>
        <w:t xml:space="preserve"> </w:t>
      </w:r>
      <w:r w:rsidRPr="002C0599">
        <w:rPr>
          <w:rFonts w:ascii="Verdana" w:eastAsia="Calibri" w:hAnsi="Verdana" w:cs="Arial"/>
          <w:lang w:eastAsia="es-ES"/>
        </w:rPr>
        <w:t>sin que sea atribución de la Agencia Nacional de Contratación Pública -</w:t>
      </w:r>
      <w:r>
        <w:rPr>
          <w:rFonts w:ascii="Verdana" w:eastAsia="Calibri" w:hAnsi="Verdana" w:cs="Arial"/>
          <w:lang w:eastAsia="es-ES"/>
        </w:rPr>
        <w:t xml:space="preserve"> </w:t>
      </w:r>
      <w:r w:rsidRPr="002C0599">
        <w:rPr>
          <w:rFonts w:ascii="Verdana" w:eastAsia="Calibri" w:hAnsi="Verdana" w:cs="Arial"/>
          <w:lang w:eastAsia="es-ES"/>
        </w:rPr>
        <w:t>Colombia Compra Eficiente validar sus actuaciones</w:t>
      </w:r>
      <w:r>
        <w:rPr>
          <w:rFonts w:ascii="Verdana" w:eastAsia="Calibri" w:hAnsi="Verdana" w:cs="Arial"/>
          <w:lang w:eastAsia="es-ES"/>
        </w:rPr>
        <w:t>.</w:t>
      </w:r>
    </w:p>
    <w:p w14:paraId="219CF614" w14:textId="77777777" w:rsidR="00162EAA" w:rsidRDefault="00162EAA" w:rsidP="00162EAA">
      <w:pPr>
        <w:widowControl w:val="0"/>
        <w:autoSpaceDE w:val="0"/>
        <w:autoSpaceDN w:val="0"/>
        <w:spacing w:after="120" w:line="276" w:lineRule="auto"/>
        <w:ind w:right="68" w:firstLine="709"/>
        <w:contextualSpacing/>
        <w:jc w:val="both"/>
        <w:rPr>
          <w:rFonts w:ascii="Verdana" w:eastAsia="Arial MT" w:hAnsi="Verdana" w:cs="Arial"/>
          <w:lang w:val="es-ES"/>
        </w:rPr>
      </w:pPr>
    </w:p>
    <w:p w14:paraId="1D991E9B" w14:textId="77777777" w:rsidR="00162EAA" w:rsidRPr="0060676F" w:rsidRDefault="00162EAA" w:rsidP="00162EAA">
      <w:pPr>
        <w:pStyle w:val="Prrafodelista"/>
        <w:numPr>
          <w:ilvl w:val="0"/>
          <w:numId w:val="16"/>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637E2C6" w14:textId="77777777" w:rsidR="00162EAA" w:rsidRPr="00593A5F" w:rsidRDefault="00162EAA" w:rsidP="00162EA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62EAA" w:rsidRPr="00593A5F" w14:paraId="5116296E" w14:textId="77777777" w:rsidTr="001F36A9">
        <w:trPr>
          <w:trHeight w:val="870"/>
        </w:trPr>
        <w:tc>
          <w:tcPr>
            <w:tcW w:w="8647" w:type="dxa"/>
          </w:tcPr>
          <w:p w14:paraId="79037DD3" w14:textId="77777777" w:rsidR="00162EAA" w:rsidRDefault="00162EAA" w:rsidP="001F36A9">
            <w:pPr>
              <w:pStyle w:val="Prrafodelista"/>
              <w:widowControl w:val="0"/>
              <w:numPr>
                <w:ilvl w:val="0"/>
                <w:numId w:val="17"/>
              </w:numPr>
              <w:autoSpaceDE w:val="0"/>
              <w:autoSpaceDN w:val="0"/>
              <w:spacing w:after="120"/>
              <w:ind w:left="454"/>
              <w:jc w:val="both"/>
              <w:rPr>
                <w:rFonts w:ascii="Verdana" w:hAnsi="Verdana" w:cs="Arial"/>
              </w:rPr>
            </w:pPr>
            <w:r w:rsidRPr="00797E96">
              <w:rPr>
                <w:rFonts w:ascii="Verdana" w:hAnsi="Verdana" w:cs="Arial"/>
              </w:rPr>
              <w:t>Ley 1150 de 2007, numeral 1º del artículo 5.</w:t>
            </w:r>
          </w:p>
          <w:p w14:paraId="15FEF4D3" w14:textId="77777777" w:rsidR="00162EAA" w:rsidRPr="00797E96" w:rsidRDefault="00162EAA" w:rsidP="001F36A9">
            <w:pPr>
              <w:pStyle w:val="Prrafodelista"/>
              <w:ind w:left="454"/>
              <w:rPr>
                <w:rFonts w:ascii="Verdana" w:hAnsi="Verdana" w:cs="Arial"/>
              </w:rPr>
            </w:pPr>
          </w:p>
          <w:p w14:paraId="71030F27" w14:textId="77777777" w:rsidR="00162EAA" w:rsidRDefault="00162EAA" w:rsidP="001F36A9">
            <w:pPr>
              <w:pStyle w:val="Prrafodelista"/>
              <w:widowControl w:val="0"/>
              <w:numPr>
                <w:ilvl w:val="0"/>
                <w:numId w:val="17"/>
              </w:numPr>
              <w:autoSpaceDE w:val="0"/>
              <w:autoSpaceDN w:val="0"/>
              <w:spacing w:after="120"/>
              <w:ind w:left="454"/>
              <w:jc w:val="both"/>
              <w:rPr>
                <w:rFonts w:ascii="Verdana" w:hAnsi="Verdana" w:cs="Arial"/>
              </w:rPr>
            </w:pPr>
            <w:r w:rsidRPr="00797E96">
              <w:rPr>
                <w:rFonts w:ascii="Verdana" w:hAnsi="Verdana" w:cs="Arial"/>
              </w:rPr>
              <w:t xml:space="preserve">Decreto 1082 de 2015, artículo 2.2.1.1.2.2.3, 2.2.1.1.1.7. </w:t>
            </w:r>
          </w:p>
          <w:p w14:paraId="1D693678" w14:textId="77777777" w:rsidR="00162EAA" w:rsidRDefault="00162EAA" w:rsidP="001F36A9">
            <w:pPr>
              <w:pStyle w:val="Prrafodelista"/>
              <w:widowControl w:val="0"/>
              <w:autoSpaceDE w:val="0"/>
              <w:autoSpaceDN w:val="0"/>
              <w:spacing w:after="120"/>
              <w:ind w:left="454"/>
              <w:jc w:val="both"/>
              <w:rPr>
                <w:rFonts w:ascii="Verdana" w:hAnsi="Verdana" w:cs="Arial"/>
              </w:rPr>
            </w:pPr>
          </w:p>
          <w:p w14:paraId="685B5143" w14:textId="77777777" w:rsidR="00162EAA" w:rsidRDefault="00162EAA" w:rsidP="001F36A9">
            <w:pPr>
              <w:pStyle w:val="Prrafodelista"/>
              <w:widowControl w:val="0"/>
              <w:numPr>
                <w:ilvl w:val="0"/>
                <w:numId w:val="17"/>
              </w:numPr>
              <w:autoSpaceDE w:val="0"/>
              <w:autoSpaceDN w:val="0"/>
              <w:spacing w:after="120"/>
              <w:ind w:left="454"/>
              <w:jc w:val="both"/>
              <w:rPr>
                <w:rFonts w:ascii="Verdana" w:hAnsi="Verdana" w:cs="Arial"/>
              </w:rPr>
            </w:pPr>
            <w:r w:rsidRPr="00797E96">
              <w:rPr>
                <w:rFonts w:ascii="Verdana" w:hAnsi="Verdana" w:cs="Arial"/>
              </w:rPr>
              <w:t>Consejo de Estado. Sala de Consulta y Servicio Civil. Concepto del 6 de diciembre de 2007. Exp. 1871. C.P.: Luis Fernando Álvarez Jaramillo.</w:t>
            </w:r>
          </w:p>
          <w:p w14:paraId="124975F9" w14:textId="77777777" w:rsidR="00162EAA" w:rsidRPr="002E71EA" w:rsidRDefault="00162EAA" w:rsidP="001F36A9">
            <w:pPr>
              <w:pStyle w:val="Prrafodelista"/>
              <w:rPr>
                <w:rFonts w:ascii="Verdana" w:hAnsi="Verdana" w:cs="Arial"/>
              </w:rPr>
            </w:pPr>
          </w:p>
          <w:p w14:paraId="273F83E3" w14:textId="77777777" w:rsidR="00162EAA" w:rsidRDefault="00162EAA" w:rsidP="001F36A9">
            <w:pPr>
              <w:pStyle w:val="Prrafodelista"/>
              <w:widowControl w:val="0"/>
              <w:numPr>
                <w:ilvl w:val="0"/>
                <w:numId w:val="17"/>
              </w:numPr>
              <w:autoSpaceDE w:val="0"/>
              <w:autoSpaceDN w:val="0"/>
              <w:spacing w:after="120"/>
              <w:ind w:left="454"/>
              <w:jc w:val="both"/>
              <w:rPr>
                <w:rFonts w:ascii="Verdana" w:hAnsi="Verdana" w:cs="Arial"/>
              </w:rPr>
            </w:pPr>
            <w:r w:rsidRPr="002E71EA">
              <w:rPr>
                <w:rFonts w:ascii="Verdana" w:hAnsi="Verdana" w:cs="Arial"/>
              </w:rPr>
              <w:t>Consejo de Estado. Sección Tercera. Sentencia del 3 de diciembre de 2007 Rad. 11001-03-26-000-2003-00014-01(24715); 1100-10-326-000- 2003-000-32-01(25206); 1100-10-326-000-2003-000-38-01(25409); 1100-10-326- 000-2003-000-10-01(24524);1100-10-326-000-2004-000-21-00(27834);</w:t>
            </w:r>
            <w:r>
              <w:rPr>
                <w:rFonts w:ascii="Verdana" w:hAnsi="Verdana" w:cs="Arial"/>
              </w:rPr>
              <w:t xml:space="preserve"> </w:t>
            </w:r>
            <w:r w:rsidRPr="002E71EA">
              <w:rPr>
                <w:rFonts w:ascii="Verdana" w:hAnsi="Verdana" w:cs="Arial"/>
              </w:rPr>
              <w:t>1100-10- 326-000-2003-000-39-01(25410);1100-10-326-000-2003-000-71-(26105); 100-10- 326-000-2004-000-34-00(28244);1100-103-26-000-2005-000-50-01(31447) Acumulados-. C.P: Ruth Stella Correa Palacio.</w:t>
            </w:r>
          </w:p>
          <w:p w14:paraId="4AB3584E" w14:textId="77777777" w:rsidR="00162EAA" w:rsidRPr="00256539" w:rsidRDefault="00162EAA" w:rsidP="001F36A9">
            <w:pPr>
              <w:pStyle w:val="Prrafodelista"/>
              <w:rPr>
                <w:rFonts w:ascii="Verdana" w:hAnsi="Verdana" w:cs="Arial"/>
              </w:rPr>
            </w:pPr>
          </w:p>
          <w:p w14:paraId="5D4F950E" w14:textId="77777777" w:rsidR="00162EAA" w:rsidRPr="00797E96" w:rsidRDefault="00162EAA" w:rsidP="001F36A9">
            <w:pPr>
              <w:pStyle w:val="Prrafodelista"/>
              <w:widowControl w:val="0"/>
              <w:numPr>
                <w:ilvl w:val="0"/>
                <w:numId w:val="17"/>
              </w:numPr>
              <w:autoSpaceDE w:val="0"/>
              <w:autoSpaceDN w:val="0"/>
              <w:spacing w:after="120"/>
              <w:ind w:left="454"/>
              <w:jc w:val="both"/>
              <w:rPr>
                <w:rFonts w:ascii="Verdana" w:hAnsi="Verdana" w:cs="Arial"/>
              </w:rPr>
            </w:pPr>
            <w:r>
              <w:rPr>
                <w:rFonts w:ascii="Verdana" w:eastAsia="Calibri" w:hAnsi="Verdana" w:cs="Arial"/>
                <w:bCs/>
                <w:lang w:val="es-CO" w:eastAsia="es-ES" w:bidi="es-ES"/>
              </w:rPr>
              <w:t>G</w:t>
            </w:r>
            <w:r w:rsidRPr="007E682C">
              <w:rPr>
                <w:rFonts w:ascii="Verdana" w:eastAsia="Calibri" w:hAnsi="Verdana" w:cs="Arial"/>
                <w:bCs/>
                <w:lang w:val="es-CO" w:eastAsia="es-ES" w:bidi="es-ES"/>
              </w:rPr>
              <w:t>uía sobre mínima cuantía</w:t>
            </w:r>
            <w:r>
              <w:rPr>
                <w:rFonts w:ascii="Verdana" w:eastAsia="Calibri" w:hAnsi="Verdana" w:cs="Arial"/>
                <w:bCs/>
                <w:lang w:val="es-CO" w:eastAsia="es-ES" w:bidi="es-ES"/>
              </w:rPr>
              <w:t xml:space="preserve">, disponible en </w:t>
            </w:r>
            <w:hyperlink r:id="rId12" w:history="1">
              <w:r w:rsidRPr="002C3E6E">
                <w:rPr>
                  <w:rStyle w:val="Hipervnculo"/>
                  <w:rFonts w:ascii="Verdana" w:eastAsia="Calibri" w:hAnsi="Verdana" w:cs="Arial"/>
                  <w:bCs/>
                  <w:lang w:val="es-CO" w:eastAsia="es-ES" w:bidi="es-ES"/>
                </w:rPr>
                <w:t>https://operaciones.colombiacompra.gov.co/sites/cce_public/files/cce_step/cce-sec-gi-20guiasecopii_eemcminimacuantia20-04-2022_0.pdf</w:t>
              </w:r>
            </w:hyperlink>
          </w:p>
        </w:tc>
      </w:tr>
    </w:tbl>
    <w:p w14:paraId="5A4037A7" w14:textId="77777777" w:rsidR="00162EAA" w:rsidRDefault="00162EAA" w:rsidP="00162EA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CA3E193" w14:textId="77777777" w:rsidR="00162EAA" w:rsidRDefault="00162EAA" w:rsidP="00162EA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611B16C" w14:textId="77777777" w:rsidR="00162EAA" w:rsidRPr="00593A5F" w:rsidRDefault="00162EAA" w:rsidP="00162EA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0F61FEF" w14:textId="77777777" w:rsidR="00D5735A" w:rsidRDefault="00162EAA" w:rsidP="00162EAA">
      <w:pPr>
        <w:widowControl w:val="0"/>
        <w:autoSpaceDE w:val="0"/>
        <w:autoSpaceDN w:val="0"/>
        <w:spacing w:after="0" w:line="276" w:lineRule="auto"/>
        <w:jc w:val="both"/>
        <w:rPr>
          <w:rFonts w:ascii="Verdana" w:hAnsi="Verdana" w:cs="Arial"/>
          <w:color w:val="0563C1" w:themeColor="hyperlink"/>
          <w:u w:val="single"/>
          <w:shd w:val="clear" w:color="auto" w:fill="FFFFFF"/>
          <w:lang w:val="es-ES"/>
        </w:rPr>
      </w:pPr>
      <w:r w:rsidRPr="00B92AD4">
        <w:rPr>
          <w:rFonts w:ascii="Verdana" w:eastAsia="Aptos" w:hAnsi="Verdana" w:cs="Arial"/>
          <w:shd w:val="clear" w:color="auto" w:fill="FFFFFF"/>
          <w:lang w:val="es-ES"/>
        </w:rPr>
        <w:t xml:space="preserve">Sobre </w:t>
      </w:r>
      <w:r>
        <w:rPr>
          <w:rFonts w:ascii="Verdana" w:eastAsia="Aptos" w:hAnsi="Verdana" w:cs="Arial"/>
          <w:shd w:val="clear" w:color="auto" w:fill="FFFFFF"/>
        </w:rPr>
        <w:t>los C</w:t>
      </w:r>
      <w:r w:rsidRPr="00B92AD4">
        <w:rPr>
          <w:rFonts w:ascii="Verdana" w:eastAsia="Aptos" w:hAnsi="Verdana" w:cs="Arial"/>
          <w:shd w:val="clear" w:color="auto" w:fill="FFFFFF"/>
        </w:rPr>
        <w:t xml:space="preserve">omités de </w:t>
      </w:r>
      <w:r>
        <w:rPr>
          <w:rFonts w:ascii="Verdana" w:eastAsia="Aptos" w:hAnsi="Verdana" w:cs="Arial"/>
          <w:shd w:val="clear" w:color="auto" w:fill="FFFFFF"/>
        </w:rPr>
        <w:t>E</w:t>
      </w:r>
      <w:r w:rsidRPr="00B92AD4">
        <w:rPr>
          <w:rFonts w:ascii="Verdana" w:eastAsia="Aptos" w:hAnsi="Verdana" w:cs="Arial"/>
          <w:shd w:val="clear" w:color="auto" w:fill="FFFFFF"/>
        </w:rPr>
        <w:t>valuación de las ofertas</w:t>
      </w:r>
      <w:r w:rsidRPr="00B92AD4">
        <w:rPr>
          <w:rFonts w:ascii="Verdana" w:eastAsia="Aptos" w:hAnsi="Verdana" w:cs="Arial"/>
          <w:shd w:val="clear" w:color="auto" w:fill="FFFFFF"/>
          <w:lang w:val="es-ES"/>
        </w:rPr>
        <w:t xml:space="preserve">, esta Subdirección se ha referido en los Conceptos </w:t>
      </w:r>
      <w:r w:rsidRPr="00B92AD4">
        <w:rPr>
          <w:rFonts w:ascii="Verdana" w:eastAsia="Calibri" w:hAnsi="Verdana" w:cs="Arial"/>
          <w:lang w:val="es-ES_tradnl" w:eastAsia="es-MX"/>
        </w:rPr>
        <w:t>C-128 del 3 de marzo de 2020, C-522 del 1 de octubre de 2021, C-063 de 17 de abril 202</w:t>
      </w:r>
      <w:r>
        <w:rPr>
          <w:rFonts w:ascii="Verdana" w:eastAsia="Calibri" w:hAnsi="Verdana" w:cs="Arial"/>
          <w:lang w:val="es-ES_tradnl" w:eastAsia="es-MX"/>
        </w:rPr>
        <w:t>3</w:t>
      </w:r>
      <w:r w:rsidRPr="00B92AD4">
        <w:rPr>
          <w:rFonts w:ascii="Verdana" w:eastAsia="Calibri" w:hAnsi="Verdana" w:cs="Arial"/>
          <w:lang w:val="es-ES_tradnl" w:eastAsia="es-MX"/>
        </w:rPr>
        <w:t>, C-602 del 9 de octubre de 2024</w:t>
      </w:r>
      <w:r w:rsidRPr="00B92AD4">
        <w:rPr>
          <w:rFonts w:ascii="Verdana" w:eastAsia="Aptos" w:hAnsi="Verdana" w:cs="Arial"/>
          <w:shd w:val="clear" w:color="auto" w:fill="FFFFFF"/>
          <w:lang w:val="es-ES"/>
        </w:rPr>
        <w:t>,</w:t>
      </w:r>
      <w:r>
        <w:rPr>
          <w:rFonts w:ascii="Verdana" w:eastAsia="Aptos" w:hAnsi="Verdana" w:cs="Arial"/>
          <w:shd w:val="clear" w:color="auto" w:fill="FFFFFF"/>
          <w:lang w:val="es-ES"/>
        </w:rPr>
        <w:t xml:space="preserve"> C-343 del 24 de abril de 2025,</w:t>
      </w:r>
      <w:r w:rsidRPr="00B92AD4">
        <w:rPr>
          <w:rFonts w:ascii="Verdana" w:eastAsia="Aptos" w:hAnsi="Verdana" w:cs="Arial"/>
          <w:shd w:val="clear" w:color="auto" w:fill="FFFFFF"/>
          <w:lang w:val="es-ES"/>
        </w:rPr>
        <w:t xml:space="preserve"> </w:t>
      </w:r>
      <w:r>
        <w:rPr>
          <w:rFonts w:ascii="Verdana" w:eastAsia="Aptos" w:hAnsi="Verdana" w:cs="Arial"/>
          <w:shd w:val="clear" w:color="auto" w:fill="FFFFFF"/>
          <w:lang w:val="es-ES"/>
        </w:rPr>
        <w:t xml:space="preserve">C-755 del 23 de julio de 2025, </w:t>
      </w:r>
      <w:r w:rsidRPr="005E131A">
        <w:rPr>
          <w:rFonts w:ascii="Verdana" w:eastAsia="Aptos" w:hAnsi="Verdana" w:cs="Arial"/>
          <w:shd w:val="clear" w:color="auto" w:fill="FFFFFF"/>
          <w:lang w:val="es-ES"/>
        </w:rPr>
        <w:t>C- 1155 de</w:t>
      </w:r>
      <w:r>
        <w:rPr>
          <w:rFonts w:ascii="Verdana" w:eastAsia="Aptos" w:hAnsi="Verdana" w:cs="Arial"/>
          <w:shd w:val="clear" w:color="auto" w:fill="FFFFFF"/>
          <w:lang w:val="es-ES"/>
        </w:rPr>
        <w:t xml:space="preserve">l 26 de agosto de </w:t>
      </w:r>
      <w:r w:rsidRPr="005E131A">
        <w:rPr>
          <w:rFonts w:ascii="Verdana" w:eastAsia="Aptos" w:hAnsi="Verdana" w:cs="Arial"/>
          <w:shd w:val="clear" w:color="auto" w:fill="FFFFFF"/>
          <w:lang w:val="es-ES"/>
        </w:rPr>
        <w:t>2025</w:t>
      </w:r>
      <w:r>
        <w:rPr>
          <w:rFonts w:ascii="Verdana" w:eastAsia="Aptos" w:hAnsi="Verdana" w:cs="Arial"/>
          <w:shd w:val="clear" w:color="auto" w:fill="FFFFFF"/>
          <w:lang w:val="es-ES"/>
        </w:rPr>
        <w:t xml:space="preserve"> </w:t>
      </w:r>
      <w:r w:rsidRPr="00B92AD4">
        <w:rPr>
          <w:rFonts w:ascii="Verdana" w:eastAsia="Aptos" w:hAnsi="Verdana" w:cs="Arial"/>
          <w:shd w:val="clear" w:color="auto" w:fill="FFFFFF"/>
          <w:lang w:val="es-ES"/>
        </w:rPr>
        <w:t>entre otros</w:t>
      </w:r>
      <w:r w:rsidRPr="000C14B8">
        <w:rPr>
          <w:rFonts w:ascii="Verdana" w:eastAsia="Calibri" w:hAnsi="Verdana" w:cs="Arial"/>
          <w:lang w:val="es-ES" w:eastAsia="es-ES_tradnl"/>
        </w:rPr>
        <w:t>. 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p>
    <w:p w14:paraId="5948FCED" w14:textId="77777777" w:rsidR="00D5735A" w:rsidRDefault="00D5735A" w:rsidP="00162EAA">
      <w:pPr>
        <w:widowControl w:val="0"/>
        <w:autoSpaceDE w:val="0"/>
        <w:autoSpaceDN w:val="0"/>
        <w:spacing w:after="0" w:line="276" w:lineRule="auto"/>
        <w:jc w:val="both"/>
        <w:rPr>
          <w:rFonts w:ascii="Verdana" w:hAnsi="Verdana" w:cs="Arial"/>
          <w:color w:val="0563C1" w:themeColor="hyperlink"/>
          <w:u w:val="single"/>
          <w:shd w:val="clear" w:color="auto" w:fill="FFFFFF"/>
          <w:lang w:val="es-ES"/>
        </w:rPr>
      </w:pPr>
    </w:p>
    <w:p w14:paraId="4FD0612A" w14:textId="4D33DA42" w:rsidR="00162EAA" w:rsidRPr="000C14B8" w:rsidRDefault="00162EAA" w:rsidP="00162EAA">
      <w:pPr>
        <w:widowControl w:val="0"/>
        <w:autoSpaceDE w:val="0"/>
        <w:autoSpaceDN w:val="0"/>
        <w:spacing w:after="0" w:line="276" w:lineRule="auto"/>
        <w:jc w:val="both"/>
        <w:rPr>
          <w:rFonts w:ascii="Verdana" w:hAnsi="Verdana" w:cs="Arial"/>
          <w:color w:val="000000" w:themeColor="text1"/>
          <w:shd w:val="clear" w:color="auto" w:fill="FFFFFF"/>
          <w:lang w:val="es-ES"/>
        </w:rPr>
      </w:pPr>
      <w:r w:rsidRPr="000C14B8">
        <w:rPr>
          <w:rFonts w:ascii="Verdana" w:hAnsi="Verdana" w:cs="Arial"/>
          <w:color w:val="0563C1" w:themeColor="hyperlink"/>
          <w:u w:val="single"/>
          <w:shd w:val="clear" w:color="auto" w:fill="FFFFFF"/>
          <w:lang w:val="es-ES"/>
        </w:rPr>
        <w:lastRenderedPageBreak/>
        <w:t>/busqueda/conceptos</w:t>
      </w:r>
    </w:p>
    <w:p w14:paraId="082C5570" w14:textId="77777777" w:rsidR="00162EAA" w:rsidRPr="00505CD6" w:rsidRDefault="00162EAA" w:rsidP="00162EAA">
      <w:pPr>
        <w:widowControl w:val="0"/>
        <w:autoSpaceDE w:val="0"/>
        <w:autoSpaceDN w:val="0"/>
        <w:spacing w:after="0" w:line="276" w:lineRule="auto"/>
        <w:jc w:val="both"/>
        <w:rPr>
          <w:rFonts w:ascii="Verdana" w:hAnsi="Verdana" w:cs="Arial"/>
          <w:color w:val="000000" w:themeColor="text1"/>
          <w:shd w:val="clear" w:color="auto" w:fill="FFFFFF"/>
        </w:rPr>
      </w:pPr>
    </w:p>
    <w:p w14:paraId="27D6609D" w14:textId="77777777" w:rsidR="00162EAA" w:rsidRPr="00505CD6" w:rsidRDefault="00162EAA" w:rsidP="00162EAA">
      <w:pPr>
        <w:widowControl w:val="0"/>
        <w:autoSpaceDE w:val="0"/>
        <w:autoSpaceDN w:val="0"/>
        <w:spacing w:after="0" w:line="276" w:lineRule="auto"/>
        <w:jc w:val="both"/>
        <w:rPr>
          <w:rFonts w:ascii="Verdana" w:hAnsi="Verdana" w:cs="Arial"/>
          <w:color w:val="000000" w:themeColor="text1"/>
          <w:shd w:val="clear" w:color="auto" w:fill="FFFFFF"/>
        </w:rPr>
      </w:pPr>
      <w:r>
        <w:rPr>
          <w:rFonts w:ascii="Verdana" w:hAnsi="Verdana" w:cs="Arial"/>
          <w:color w:val="000000" w:themeColor="text1"/>
          <w:shd w:val="clear" w:color="auto" w:fill="FFFFFF"/>
        </w:rPr>
        <w:t>L</w:t>
      </w:r>
      <w:r w:rsidRPr="00574BB0">
        <w:rPr>
          <w:rFonts w:ascii="Verdana" w:hAnsi="Verdana" w:cs="Arial"/>
          <w:color w:val="000000" w:themeColor="text1"/>
          <w:shd w:val="clear" w:color="auto" w:fill="FFFFFF"/>
        </w:rPr>
        <w:t>e contamos que ya se encuentra disponible la </w:t>
      </w:r>
      <w:r w:rsidRPr="00574BB0">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574BB0">
        <w:rPr>
          <w:rFonts w:ascii="Verdana" w:hAnsi="Verdana" w:cs="Arial"/>
          <w:color w:val="000000" w:themeColor="text1"/>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574BB0">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574BB0">
        <w:rPr>
          <w:rFonts w:ascii="Verdana" w:hAnsi="Verdana" w:cs="Arial"/>
          <w:color w:val="000000" w:themeColor="text1"/>
          <w:u w:val="single"/>
          <w:shd w:val="clear" w:color="auto" w:fill="FFFFFF"/>
        </w:rPr>
        <w:t>"</w:t>
      </w:r>
    </w:p>
    <w:p w14:paraId="66451FFB" w14:textId="77777777" w:rsidR="00162EAA" w:rsidRDefault="00162EAA" w:rsidP="00162EAA">
      <w:pPr>
        <w:widowControl w:val="0"/>
        <w:autoSpaceDE w:val="0"/>
        <w:autoSpaceDN w:val="0"/>
        <w:spacing w:after="0" w:line="276" w:lineRule="auto"/>
        <w:jc w:val="both"/>
        <w:rPr>
          <w:rFonts w:ascii="Verdana" w:eastAsia="Calibri" w:hAnsi="Verdana" w:cs="Arial"/>
          <w:color w:val="000000" w:themeColor="text1"/>
        </w:rPr>
      </w:pPr>
    </w:p>
    <w:p w14:paraId="04E8BBD3"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F7A46BF"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40F8F6F6" w14:textId="77777777" w:rsidR="00162EAA" w:rsidRPr="00572E1B" w:rsidRDefault="00162EAA" w:rsidP="00162EAA">
      <w:pPr>
        <w:widowControl w:val="0"/>
        <w:numPr>
          <w:ilvl w:val="0"/>
          <w:numId w:val="18"/>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 xml:space="preserve">Línea nacional gratuita o servicio a la ciudadanía (Mesa de servicio): </w:t>
      </w:r>
      <w:r w:rsidRPr="00572E1B">
        <w:rPr>
          <w:rFonts w:ascii="Verdana" w:eastAsia="Calibri" w:hAnsi="Verdana" w:cs="Arial"/>
          <w:color w:val="000000" w:themeColor="text1"/>
          <w:u w:val="single"/>
          <w:lang w:val="es-ES"/>
        </w:rPr>
        <w:t>01800 0520808</w:t>
      </w:r>
      <w:r w:rsidRPr="00572E1B">
        <w:rPr>
          <w:rFonts w:ascii="Verdana" w:eastAsia="Calibri" w:hAnsi="Verdana" w:cs="Arial"/>
          <w:color w:val="000000" w:themeColor="text1"/>
        </w:rPr>
        <w:t> </w:t>
      </w:r>
    </w:p>
    <w:p w14:paraId="2A2712A9" w14:textId="77777777" w:rsidR="00162EAA" w:rsidRPr="00572E1B" w:rsidRDefault="00162EAA" w:rsidP="00162EAA">
      <w:pPr>
        <w:widowControl w:val="0"/>
        <w:numPr>
          <w:ilvl w:val="0"/>
          <w:numId w:val="19"/>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Línea en Bogotá (Mesa de servicio):</w:t>
      </w:r>
      <w:r w:rsidRPr="00572E1B">
        <w:rPr>
          <w:rFonts w:ascii="Verdana" w:eastAsia="Calibri" w:hAnsi="Verdana" w:cs="Arial"/>
          <w:color w:val="000000" w:themeColor="text1"/>
          <w:u w:val="single"/>
          <w:lang w:val="es-ES"/>
        </w:rPr>
        <w:t>+57 601 7456788</w:t>
      </w:r>
      <w:r w:rsidRPr="00572E1B">
        <w:rPr>
          <w:rFonts w:ascii="Verdana" w:eastAsia="Calibri" w:hAnsi="Verdana" w:cs="Arial"/>
          <w:color w:val="000000" w:themeColor="text1"/>
        </w:rPr>
        <w:t> </w:t>
      </w:r>
    </w:p>
    <w:p w14:paraId="3803A853" w14:textId="77777777" w:rsidR="00162EAA" w:rsidRPr="00572E1B" w:rsidRDefault="00162EAA" w:rsidP="00162EAA">
      <w:pPr>
        <w:widowControl w:val="0"/>
        <w:numPr>
          <w:ilvl w:val="0"/>
          <w:numId w:val="20"/>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 xml:space="preserve">Correo de radicación de correspondencia: </w:t>
      </w:r>
      <w:hyperlink r:id="rId14" w:tgtFrame="_blank" w:history="1">
        <w:r w:rsidRPr="00572E1B">
          <w:rPr>
            <w:rStyle w:val="Hipervnculo"/>
            <w:rFonts w:ascii="Verdana" w:eastAsia="Calibri" w:hAnsi="Verdana" w:cs="Arial"/>
            <w:lang w:val="es-MX"/>
          </w:rPr>
          <w:t>ventanilladeradicacion@colombiacompra.gov.co</w:t>
        </w:r>
      </w:hyperlink>
      <w:r w:rsidRPr="00572E1B">
        <w:rPr>
          <w:rFonts w:ascii="Verdana" w:eastAsia="Calibri" w:hAnsi="Verdana" w:cs="Arial"/>
          <w:color w:val="000000" w:themeColor="text1"/>
        </w:rPr>
        <w:t> </w:t>
      </w:r>
    </w:p>
    <w:p w14:paraId="7F5D4433" w14:textId="77777777" w:rsidR="00162EAA" w:rsidRPr="00572E1B" w:rsidRDefault="00162EAA" w:rsidP="00162EAA">
      <w:pPr>
        <w:widowControl w:val="0"/>
        <w:numPr>
          <w:ilvl w:val="0"/>
          <w:numId w:val="21"/>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ES"/>
        </w:rPr>
        <w:t xml:space="preserve">Formulario web para PQRSD: </w:t>
      </w:r>
      <w:hyperlink r:id="rId15" w:tgtFrame="_blank" w:history="1">
        <w:r w:rsidRPr="00572E1B">
          <w:rPr>
            <w:rStyle w:val="Hipervnculo"/>
            <w:rFonts w:ascii="Verdana" w:eastAsia="Calibri" w:hAnsi="Verdana" w:cs="Arial"/>
            <w:lang w:val="es-MX"/>
          </w:rPr>
          <w:t>https://www.colombiacompra.gov.co/pqrsd/informacion-importante-antes-de-formular-una-pqrsd</w:t>
        </w:r>
      </w:hyperlink>
      <w:r w:rsidRPr="00572E1B">
        <w:rPr>
          <w:rFonts w:ascii="Verdana" w:eastAsia="Calibri" w:hAnsi="Verdana" w:cs="Arial"/>
          <w:color w:val="000000" w:themeColor="text1"/>
        </w:rPr>
        <w:t> </w:t>
      </w:r>
    </w:p>
    <w:p w14:paraId="380E66BE"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1B885793"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Evalúa el servicio que ofrece la Agencia por el canal de atención de PQRSD en el siguiente enlace :</w:t>
      </w:r>
      <w:hyperlink r:id="rId16" w:tgtFrame="_blank" w:history="1">
        <w:r w:rsidRPr="00572E1B">
          <w:rPr>
            <w:rStyle w:val="Hipervnculo"/>
            <w:rFonts w:ascii="Verdana" w:eastAsia="Calibri" w:hAnsi="Verdana" w:cs="Arial"/>
          </w:rPr>
          <w:t>https://forms.office.com/r/pPHyWVs2SZ</w:t>
        </w:r>
      </w:hyperlink>
      <w:r w:rsidRPr="00572E1B">
        <w:rPr>
          <w:rFonts w:ascii="Verdana" w:eastAsia="Calibri" w:hAnsi="Verdana" w:cs="Arial"/>
          <w:color w:val="000000" w:themeColor="text1"/>
        </w:rPr>
        <w:t>.¡Ayúdanos a mejorar porque el compromiso es de todos! </w:t>
      </w:r>
    </w:p>
    <w:p w14:paraId="58945FFE"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4F3378F3"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Por último, lo invitamos a seguirnos en las redes sociales en las cuales se difunde información institucional:  </w:t>
      </w:r>
    </w:p>
    <w:p w14:paraId="04B3EEC7"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05DBFC5F"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lastRenderedPageBreak/>
        <w:t xml:space="preserve">Twitter: </w:t>
      </w:r>
      <w:r w:rsidRPr="00572E1B">
        <w:rPr>
          <w:rFonts w:ascii="Verdana" w:eastAsia="Calibri" w:hAnsi="Verdana" w:cs="Arial"/>
          <w:color w:val="000000" w:themeColor="text1"/>
          <w:u w:val="single"/>
        </w:rPr>
        <w:t>@colombiacompra</w:t>
      </w:r>
      <w:r w:rsidRPr="00572E1B">
        <w:rPr>
          <w:rFonts w:ascii="Verdana" w:eastAsia="Calibri" w:hAnsi="Verdana" w:cs="Arial"/>
          <w:color w:val="000000" w:themeColor="text1"/>
        </w:rPr>
        <w:t>  </w:t>
      </w:r>
    </w:p>
    <w:p w14:paraId="636D8534"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Facebook: </w:t>
      </w:r>
      <w:r w:rsidRPr="00572E1B">
        <w:rPr>
          <w:rFonts w:ascii="Verdana" w:eastAsia="Calibri" w:hAnsi="Verdana" w:cs="Arial"/>
          <w:color w:val="000000" w:themeColor="text1"/>
          <w:u w:val="single"/>
        </w:rPr>
        <w:t>ColombiaCompraEficiente</w:t>
      </w:r>
      <w:r w:rsidRPr="00572E1B">
        <w:rPr>
          <w:rFonts w:ascii="Verdana" w:eastAsia="Calibri" w:hAnsi="Verdana" w:cs="Arial"/>
          <w:color w:val="000000" w:themeColor="text1"/>
        </w:rPr>
        <w:t> </w:t>
      </w:r>
    </w:p>
    <w:p w14:paraId="7B9BFAAC"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LinkedIn: </w:t>
      </w:r>
      <w:r w:rsidRPr="00572E1B">
        <w:rPr>
          <w:rFonts w:ascii="Verdana" w:eastAsia="Calibri" w:hAnsi="Verdana" w:cs="Arial"/>
          <w:color w:val="000000" w:themeColor="text1"/>
          <w:u w:val="single"/>
        </w:rPr>
        <w:t>Agencia Nacional de Contratación Pública - Colombia Compra Eficiente</w:t>
      </w:r>
      <w:r w:rsidRPr="00572E1B">
        <w:rPr>
          <w:rFonts w:ascii="Verdana" w:eastAsia="Calibri" w:hAnsi="Verdana" w:cs="Arial"/>
          <w:color w:val="000000" w:themeColor="text1"/>
        </w:rPr>
        <w:t xml:space="preserve"> Instagram: </w:t>
      </w:r>
      <w:r w:rsidRPr="00572E1B">
        <w:rPr>
          <w:rFonts w:ascii="Verdana" w:eastAsia="Calibri" w:hAnsi="Verdana" w:cs="Arial"/>
          <w:color w:val="000000" w:themeColor="text1"/>
          <w:u w:val="single"/>
        </w:rPr>
        <w:t>@colombiacompraeficiente_cce</w:t>
      </w:r>
      <w:r w:rsidRPr="00572E1B">
        <w:rPr>
          <w:rFonts w:ascii="Verdana" w:eastAsia="Calibri" w:hAnsi="Verdana" w:cs="Arial"/>
          <w:color w:val="000000" w:themeColor="text1"/>
        </w:rPr>
        <w:t> </w:t>
      </w:r>
    </w:p>
    <w:p w14:paraId="29EC9012" w14:textId="77777777" w:rsidR="00162EAA" w:rsidRPr="00572E1B" w:rsidRDefault="00162EAA" w:rsidP="00162EAA">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735FD87B" w14:textId="77777777" w:rsidR="00162EAA" w:rsidRPr="00505CD6" w:rsidRDefault="00162EAA" w:rsidP="00162EA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F00CDA3" w14:textId="77777777" w:rsidR="00162EAA" w:rsidRPr="00544874" w:rsidRDefault="00162EAA" w:rsidP="00162EAA">
      <w:pPr>
        <w:widowControl w:val="0"/>
        <w:autoSpaceDE w:val="0"/>
        <w:autoSpaceDN w:val="0"/>
        <w:spacing w:after="0" w:line="276" w:lineRule="auto"/>
        <w:jc w:val="both"/>
        <w:rPr>
          <w:rFonts w:ascii="Verdana" w:hAnsi="Verdana" w:cs="Arial"/>
          <w:lang w:val="es-ES_tradnl"/>
        </w:rPr>
      </w:pPr>
    </w:p>
    <w:p w14:paraId="1CDDAFDF" w14:textId="77777777" w:rsidR="00162EAA" w:rsidRPr="00505CD6" w:rsidRDefault="00162EAA" w:rsidP="00162EA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B0C6B0" w14:textId="1F7BD4C5" w:rsidR="00162EAA" w:rsidRPr="00EF055B" w:rsidRDefault="00A62868" w:rsidP="00162EAA">
      <w:pPr>
        <w:spacing w:line="276" w:lineRule="auto"/>
        <w:jc w:val="center"/>
        <w:rPr>
          <w:noProof/>
          <w:color w:val="000000"/>
        </w:rPr>
      </w:pPr>
      <w:r w:rsidRPr="002C3AD6">
        <w:rPr>
          <w:rFonts w:ascii="Century Gothic" w:hAnsi="Century Gothic"/>
          <w:noProof/>
        </w:rPr>
        <w:drawing>
          <wp:inline distT="0" distB="0" distL="0" distR="0" wp14:anchorId="6C9E54DE" wp14:editId="112AB78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62EAA" w:rsidRPr="00593A5F" w14:paraId="5F330010" w14:textId="77777777" w:rsidTr="001F36A9">
        <w:trPr>
          <w:trHeight w:val="315"/>
        </w:trPr>
        <w:tc>
          <w:tcPr>
            <w:tcW w:w="893" w:type="dxa"/>
            <w:vAlign w:val="center"/>
            <w:hideMark/>
          </w:tcPr>
          <w:p w14:paraId="3BC3557C" w14:textId="77777777" w:rsidR="00162EAA" w:rsidRPr="003751C7" w:rsidRDefault="00162EAA" w:rsidP="001F36A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FB34026" w14:textId="77777777" w:rsidR="00162EAA" w:rsidRPr="00C07B4A" w:rsidRDefault="00162EAA" w:rsidP="001F36A9">
            <w:pPr>
              <w:pStyle w:val="paragraph"/>
              <w:spacing w:before="0" w:beforeAutospacing="0" w:after="0" w:afterAutospacing="0"/>
              <w:contextualSpacing/>
              <w:textAlignment w:val="baseline"/>
              <w:rPr>
                <w:rStyle w:val="normaltextrun"/>
                <w:rFonts w:ascii="Verdana" w:hAnsi="Verdana" w:cstheme="minorHAnsi"/>
                <w:sz w:val="16"/>
                <w:szCs w:val="16"/>
              </w:rPr>
            </w:pPr>
            <w:r w:rsidRPr="00C07B4A">
              <w:rPr>
                <w:rStyle w:val="normaltextrun"/>
                <w:rFonts w:ascii="Verdana" w:hAnsi="Verdana" w:cstheme="minorHAnsi"/>
                <w:sz w:val="16"/>
                <w:szCs w:val="16"/>
              </w:rPr>
              <w:t>María Joshira Nieto Manzano.</w:t>
            </w:r>
          </w:p>
          <w:p w14:paraId="2AB0E44C" w14:textId="77777777" w:rsidR="00162EAA" w:rsidRPr="00C07B4A" w:rsidRDefault="00162EAA" w:rsidP="001F36A9">
            <w:pPr>
              <w:contextualSpacing/>
              <w:rPr>
                <w:rStyle w:val="normaltextrun"/>
                <w:rFonts w:ascii="Verdana" w:eastAsia="Times New Roman" w:hAnsi="Verdana" w:cstheme="minorHAnsi"/>
                <w:sz w:val="16"/>
                <w:szCs w:val="16"/>
                <w:lang w:eastAsia="es-CO"/>
              </w:rPr>
            </w:pPr>
            <w:r w:rsidRPr="00C07B4A">
              <w:rPr>
                <w:rStyle w:val="normaltextrun"/>
                <w:rFonts w:ascii="Verdana" w:eastAsia="Times New Roman" w:hAnsi="Verdana" w:cstheme="minorHAnsi"/>
                <w:sz w:val="16"/>
                <w:szCs w:val="16"/>
                <w:lang w:eastAsia="es-CO"/>
              </w:rPr>
              <w:t>Contratista de la Subdirección de Gestión Contractual</w:t>
            </w:r>
          </w:p>
        </w:tc>
      </w:tr>
      <w:tr w:rsidR="00162EAA" w:rsidRPr="00593A5F" w14:paraId="1327A4FB" w14:textId="77777777" w:rsidTr="001F36A9">
        <w:trPr>
          <w:trHeight w:val="330"/>
        </w:trPr>
        <w:tc>
          <w:tcPr>
            <w:tcW w:w="893" w:type="dxa"/>
            <w:vAlign w:val="center"/>
            <w:hideMark/>
          </w:tcPr>
          <w:p w14:paraId="42965874" w14:textId="77777777" w:rsidR="00162EAA" w:rsidRPr="003751C7" w:rsidRDefault="00162EAA" w:rsidP="001F36A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CC3089" w14:textId="77777777" w:rsidR="00162EAA" w:rsidRPr="00C07B4A" w:rsidRDefault="00162EAA" w:rsidP="001F36A9">
            <w:pPr>
              <w:pStyle w:val="paragraph"/>
              <w:spacing w:before="0" w:beforeAutospacing="0" w:after="0" w:afterAutospacing="0"/>
              <w:contextualSpacing/>
              <w:textAlignment w:val="baseline"/>
              <w:rPr>
                <w:rStyle w:val="normaltextrun"/>
                <w:rFonts w:ascii="Verdana" w:hAnsi="Verdana" w:cstheme="minorHAnsi"/>
                <w:sz w:val="16"/>
                <w:szCs w:val="16"/>
              </w:rPr>
            </w:pPr>
            <w:r w:rsidRPr="00C07B4A">
              <w:rPr>
                <w:rStyle w:val="normaltextrun"/>
                <w:rFonts w:ascii="Verdana" w:hAnsi="Verdana" w:cstheme="minorHAnsi"/>
                <w:sz w:val="16"/>
                <w:szCs w:val="16"/>
              </w:rPr>
              <w:t>Juan Carlos González Vásquez.</w:t>
            </w:r>
          </w:p>
          <w:p w14:paraId="606EBBCE" w14:textId="77777777" w:rsidR="00162EAA" w:rsidRPr="00C07B4A" w:rsidRDefault="00162EAA" w:rsidP="001F36A9">
            <w:pPr>
              <w:pStyle w:val="paragraph"/>
              <w:spacing w:before="0" w:beforeAutospacing="0" w:after="0" w:afterAutospacing="0"/>
              <w:contextualSpacing/>
              <w:textAlignment w:val="baseline"/>
              <w:rPr>
                <w:rStyle w:val="normaltextrun"/>
                <w:rFonts w:ascii="Verdana" w:hAnsi="Verdana"/>
                <w:sz w:val="16"/>
                <w:szCs w:val="16"/>
              </w:rPr>
            </w:pPr>
            <w:r w:rsidRPr="00C07B4A">
              <w:rPr>
                <w:rStyle w:val="normaltextrun"/>
                <w:rFonts w:ascii="Verdana" w:hAnsi="Verdana" w:cstheme="minorHAnsi"/>
                <w:sz w:val="16"/>
                <w:szCs w:val="16"/>
              </w:rPr>
              <w:t>Contratista Subdirección de Gestión Contractual</w:t>
            </w:r>
          </w:p>
        </w:tc>
      </w:tr>
      <w:tr w:rsidR="00162EAA" w:rsidRPr="00593A5F" w14:paraId="4DAF6486" w14:textId="77777777" w:rsidTr="001F36A9">
        <w:trPr>
          <w:trHeight w:val="300"/>
        </w:trPr>
        <w:tc>
          <w:tcPr>
            <w:tcW w:w="893" w:type="dxa"/>
            <w:vAlign w:val="center"/>
          </w:tcPr>
          <w:p w14:paraId="72F0EE2C" w14:textId="77777777" w:rsidR="00162EAA" w:rsidRPr="003751C7" w:rsidRDefault="00162EAA" w:rsidP="001F36A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EE08A5" w14:textId="77777777" w:rsidR="00162EAA" w:rsidRPr="00C07B4A" w:rsidRDefault="00162EAA" w:rsidP="001F36A9">
            <w:pPr>
              <w:contextualSpacing/>
              <w:rPr>
                <w:rFonts w:ascii="Verdana" w:eastAsia="Calibri" w:hAnsi="Verdana" w:cs="Arial"/>
                <w:sz w:val="16"/>
                <w:szCs w:val="16"/>
                <w:lang w:val="pt-BR" w:eastAsia="es-ES"/>
              </w:rPr>
            </w:pPr>
            <w:r w:rsidRPr="00C07B4A">
              <w:rPr>
                <w:rFonts w:ascii="Verdana" w:eastAsia="Calibri" w:hAnsi="Verdana" w:cs="Arial"/>
                <w:sz w:val="16"/>
                <w:szCs w:val="16"/>
                <w:lang w:val="pt-BR" w:eastAsia="es-ES"/>
              </w:rPr>
              <w:t>Carolina Quintero Ganchará.</w:t>
            </w:r>
          </w:p>
          <w:p w14:paraId="09CE62C2" w14:textId="77777777" w:rsidR="00162EAA" w:rsidRPr="00C07B4A" w:rsidRDefault="00162EAA" w:rsidP="001F36A9">
            <w:pPr>
              <w:contextualSpacing/>
              <w:rPr>
                <w:rFonts w:ascii="Verdana" w:eastAsia="Calibri" w:hAnsi="Verdana" w:cs="Arial"/>
                <w:sz w:val="16"/>
                <w:szCs w:val="16"/>
                <w:lang w:val="pt-BR" w:eastAsia="es-ES"/>
              </w:rPr>
            </w:pPr>
            <w:r w:rsidRPr="00C07B4A">
              <w:rPr>
                <w:rFonts w:ascii="Verdana" w:eastAsia="Calibri" w:hAnsi="Verdana" w:cs="Arial"/>
                <w:sz w:val="16"/>
                <w:szCs w:val="16"/>
                <w:lang w:eastAsia="es-ES"/>
              </w:rPr>
              <w:t>Subdirectora</w:t>
            </w:r>
            <w:r w:rsidRPr="00C07B4A">
              <w:rPr>
                <w:rFonts w:ascii="Verdana" w:eastAsia="Calibri" w:hAnsi="Verdana" w:cs="Arial"/>
                <w:sz w:val="16"/>
                <w:szCs w:val="16"/>
                <w:lang w:val="pt-BR" w:eastAsia="es-ES"/>
              </w:rPr>
              <w:t xml:space="preserve"> de Gestión Contratual ANCP – CCE</w:t>
            </w:r>
          </w:p>
        </w:tc>
      </w:tr>
    </w:tbl>
    <w:p w14:paraId="5CB03D6C" w14:textId="77777777" w:rsidR="00162EAA" w:rsidRPr="0044528D" w:rsidRDefault="00162EAA" w:rsidP="00162EAA">
      <w:pPr>
        <w:spacing w:after="0"/>
        <w:rPr>
          <w:rFonts w:ascii="Verdana" w:hAnsi="Verdana"/>
        </w:rPr>
      </w:pPr>
    </w:p>
    <w:p w14:paraId="703142C8" w14:textId="77777777" w:rsidR="00162EAA" w:rsidRPr="00596868" w:rsidRDefault="00162EAA" w:rsidP="00162EAA"/>
    <w:p w14:paraId="2CDBD7BC" w14:textId="77777777" w:rsidR="00162EAA" w:rsidRDefault="00162EAA" w:rsidP="00162EAA">
      <w:pPr>
        <w:spacing w:line="276" w:lineRule="auto"/>
        <w:jc w:val="center"/>
        <w:rPr>
          <w:rFonts w:ascii="Verdana" w:hAnsi="Verdana"/>
          <w:noProof/>
        </w:rPr>
      </w:pPr>
    </w:p>
    <w:bookmarkEnd w:id="1"/>
    <w:bookmarkEnd w:id="2"/>
    <w:p w14:paraId="4BF7DD02" w14:textId="77777777" w:rsidR="00162EAA" w:rsidRPr="00DE435A" w:rsidRDefault="00162EAA" w:rsidP="00162EAA">
      <w:pPr>
        <w:rPr>
          <w:lang w:val="es-ES"/>
        </w:rPr>
      </w:pPr>
    </w:p>
    <w:p w14:paraId="7EE675C8" w14:textId="77777777" w:rsidR="00162EAA" w:rsidRPr="000E0B8B" w:rsidRDefault="00162EAA" w:rsidP="00162EAA">
      <w:pPr>
        <w:spacing w:after="0"/>
        <w:jc w:val="both"/>
        <w:rPr>
          <w:rStyle w:val="Hipervnculo"/>
          <w:rFonts w:ascii="Verdana" w:hAnsi="Verdana"/>
          <w:lang w:val="es-ES"/>
        </w:rPr>
      </w:pPr>
    </w:p>
    <w:p w14:paraId="6A41749C" w14:textId="77777777" w:rsidR="00162EAA" w:rsidRPr="0044528D" w:rsidRDefault="00162EAA" w:rsidP="00162EAA">
      <w:pPr>
        <w:spacing w:after="0"/>
        <w:jc w:val="both"/>
        <w:rPr>
          <w:rStyle w:val="Hipervnculo"/>
          <w:rFonts w:ascii="Verdana" w:hAnsi="Verdana"/>
        </w:rPr>
      </w:pPr>
    </w:p>
    <w:p w14:paraId="6C2387B8" w14:textId="77777777" w:rsidR="00162EAA" w:rsidRPr="0044528D" w:rsidRDefault="00162EAA" w:rsidP="00162EAA">
      <w:pPr>
        <w:spacing w:after="0"/>
        <w:jc w:val="both"/>
        <w:rPr>
          <w:rStyle w:val="Hipervnculo"/>
          <w:rFonts w:ascii="Verdana" w:hAnsi="Verdana"/>
        </w:rPr>
      </w:pPr>
    </w:p>
    <w:p w14:paraId="2A1A9222" w14:textId="77777777" w:rsidR="00162EAA" w:rsidRPr="0044528D" w:rsidRDefault="00162EAA" w:rsidP="00162EAA">
      <w:pPr>
        <w:spacing w:after="0"/>
        <w:jc w:val="both"/>
        <w:rPr>
          <w:rStyle w:val="Hipervnculo"/>
          <w:rFonts w:ascii="Verdana" w:hAnsi="Verdana"/>
        </w:rPr>
      </w:pPr>
    </w:p>
    <w:p w14:paraId="5864F898" w14:textId="77777777" w:rsidR="00162EAA" w:rsidRPr="0044528D" w:rsidRDefault="00162EAA" w:rsidP="00162EAA">
      <w:pPr>
        <w:spacing w:after="0"/>
        <w:jc w:val="both"/>
        <w:rPr>
          <w:rStyle w:val="Hipervnculo"/>
          <w:rFonts w:ascii="Verdana" w:hAnsi="Verdana"/>
        </w:rPr>
      </w:pPr>
    </w:p>
    <w:p w14:paraId="34A1BBAE" w14:textId="77777777" w:rsidR="00162EAA" w:rsidRPr="0044528D" w:rsidRDefault="00162EAA" w:rsidP="00162EAA">
      <w:pPr>
        <w:spacing w:after="0"/>
        <w:jc w:val="both"/>
        <w:rPr>
          <w:rStyle w:val="Hipervnculo"/>
          <w:rFonts w:ascii="Verdana" w:hAnsi="Verdana"/>
        </w:rPr>
      </w:pPr>
    </w:p>
    <w:p w14:paraId="3BA9E198" w14:textId="77777777" w:rsidR="00162EAA" w:rsidRPr="0044528D" w:rsidRDefault="00162EAA" w:rsidP="00162EAA">
      <w:pPr>
        <w:spacing w:after="0"/>
        <w:jc w:val="both"/>
        <w:rPr>
          <w:rStyle w:val="Hipervnculo"/>
          <w:rFonts w:ascii="Verdana" w:hAnsi="Verdana"/>
        </w:rPr>
      </w:pPr>
    </w:p>
    <w:p w14:paraId="7F4066D2" w14:textId="77777777" w:rsidR="00162EAA" w:rsidRPr="0044528D" w:rsidRDefault="00162EAA" w:rsidP="00162EAA">
      <w:pPr>
        <w:spacing w:after="0"/>
        <w:jc w:val="both"/>
        <w:rPr>
          <w:rStyle w:val="Hipervnculo"/>
          <w:rFonts w:ascii="Verdana" w:hAnsi="Verdana"/>
        </w:rPr>
      </w:pPr>
    </w:p>
    <w:p w14:paraId="64B587FD" w14:textId="77777777" w:rsidR="00162EAA" w:rsidRPr="0044528D" w:rsidRDefault="00162EAA" w:rsidP="00162EAA">
      <w:pPr>
        <w:spacing w:after="0" w:line="240" w:lineRule="auto"/>
        <w:textAlignment w:val="baseline"/>
        <w:rPr>
          <w:rFonts w:ascii="Verdana" w:eastAsia="Times New Roman" w:hAnsi="Verdana" w:cs="Segoe UI"/>
          <w:b/>
          <w:bCs/>
          <w:color w:val="46589C"/>
          <w:lang w:val="es-ES" w:eastAsia="es-CO"/>
        </w:rPr>
      </w:pPr>
    </w:p>
    <w:p w14:paraId="4D5C005A" w14:textId="77777777" w:rsidR="00162EAA" w:rsidRPr="00162EAA" w:rsidRDefault="00162EAA" w:rsidP="00162EAA">
      <w:pPr>
        <w:spacing w:after="0"/>
        <w:rPr>
          <w:rFonts w:ascii="Verdana" w:hAnsi="Verdana"/>
          <w:lang w:val="es-ES"/>
        </w:rPr>
      </w:pPr>
    </w:p>
    <w:bookmarkEnd w:id="0"/>
    <w:p w14:paraId="074CB10E" w14:textId="77777777" w:rsidR="00BC5448" w:rsidRPr="0044528D" w:rsidRDefault="00BC5448" w:rsidP="00BC5448">
      <w:pPr>
        <w:spacing w:after="0"/>
        <w:rPr>
          <w:rFonts w:ascii="Verdana" w:hAnsi="Verdana"/>
        </w:rPr>
      </w:pPr>
    </w:p>
    <w:sectPr w:rsidR="00BC5448" w:rsidRPr="0044528D" w:rsidSect="00EA358F">
      <w:headerReference w:type="default" r:id="rId18"/>
      <w:footerReference w:type="default" r:id="rId19"/>
      <w:pgSz w:w="12240" w:h="15840" w:code="1"/>
      <w:pgMar w:top="1417" w:right="1701" w:bottom="1417" w:left="1701" w:header="709" w:footer="8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248104" w14:textId="77777777" w:rsidR="00D47A44" w:rsidRDefault="00D47A44" w:rsidP="004A1847">
      <w:pPr>
        <w:spacing w:after="0" w:line="240" w:lineRule="auto"/>
      </w:pPr>
      <w:r>
        <w:separator/>
      </w:r>
    </w:p>
  </w:endnote>
  <w:endnote w:type="continuationSeparator" w:id="0">
    <w:p w14:paraId="0D599548" w14:textId="77777777" w:rsidR="00D47A44" w:rsidRDefault="00D47A4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F8BCE" w14:textId="77777777" w:rsidR="00D47A44" w:rsidRDefault="00D47A44" w:rsidP="004A1847">
      <w:pPr>
        <w:spacing w:after="0" w:line="240" w:lineRule="auto"/>
      </w:pPr>
      <w:r>
        <w:separator/>
      </w:r>
    </w:p>
  </w:footnote>
  <w:footnote w:type="continuationSeparator" w:id="0">
    <w:p w14:paraId="387334DD" w14:textId="77777777" w:rsidR="00D47A44" w:rsidRDefault="00D47A44" w:rsidP="004A1847">
      <w:pPr>
        <w:spacing w:after="0" w:line="240" w:lineRule="auto"/>
      </w:pPr>
      <w:r>
        <w:continuationSeparator/>
      </w:r>
    </w:p>
  </w:footnote>
  <w:footnote w:id="1">
    <w:p w14:paraId="10E1FA03" w14:textId="77777777" w:rsidR="00162EAA" w:rsidRPr="00B965EB" w:rsidRDefault="00162EAA" w:rsidP="00162EAA">
      <w:pPr>
        <w:pStyle w:val="Textonotapie"/>
        <w:ind w:firstLine="708"/>
        <w:jc w:val="both"/>
        <w:rPr>
          <w:rFonts w:ascii="Verdana" w:hAnsi="Verdana" w:cs="Arial"/>
          <w:sz w:val="16"/>
          <w:szCs w:val="16"/>
        </w:rPr>
      </w:pPr>
      <w:r w:rsidRPr="00B965EB">
        <w:rPr>
          <w:rStyle w:val="Refdenotaalpie"/>
          <w:rFonts w:ascii="Verdana" w:hAnsi="Verdana" w:cs="Arial"/>
          <w:sz w:val="16"/>
          <w:szCs w:val="16"/>
        </w:rPr>
        <w:footnoteRef/>
      </w:r>
      <w:r w:rsidRPr="00B965EB">
        <w:rPr>
          <w:rFonts w:ascii="Verdana" w:hAnsi="Verdana" w:cs="Arial"/>
          <w:sz w:val="16"/>
          <w:szCs w:val="16"/>
        </w:rPr>
        <w:t xml:space="preserve"> Que tienen una definición y regulación establecida en la ley.</w:t>
      </w:r>
    </w:p>
  </w:footnote>
  <w:footnote w:id="2">
    <w:p w14:paraId="4840F126" w14:textId="77777777" w:rsidR="00162EAA" w:rsidRPr="0090155F" w:rsidRDefault="00162EAA" w:rsidP="00162EAA">
      <w:pPr>
        <w:pStyle w:val="Textonotapie"/>
        <w:ind w:firstLine="709"/>
        <w:jc w:val="both"/>
        <w:rPr>
          <w:rFonts w:ascii="Verdana" w:hAnsi="Verdana" w:cs="Arial"/>
          <w:sz w:val="18"/>
          <w:szCs w:val="18"/>
          <w:lang w:val="es-ES"/>
        </w:rPr>
      </w:pPr>
      <w:r w:rsidRPr="0090155F">
        <w:rPr>
          <w:rStyle w:val="Refdenotaalpie"/>
          <w:rFonts w:ascii="Verdana" w:hAnsi="Verdana" w:cs="Arial"/>
          <w:sz w:val="18"/>
          <w:szCs w:val="18"/>
        </w:rPr>
        <w:footnoteRef/>
      </w:r>
      <w:r w:rsidRPr="0090155F">
        <w:rPr>
          <w:rFonts w:ascii="Verdana" w:hAnsi="Verdana" w:cs="Arial"/>
          <w:sz w:val="18"/>
          <w:szCs w:val="18"/>
        </w:rPr>
        <w:t xml:space="preserve"> </w:t>
      </w:r>
      <w:r w:rsidRPr="0090155F">
        <w:rPr>
          <w:rFonts w:ascii="Verdana" w:hAnsi="Verdana" w:cs="Arial"/>
          <w:sz w:val="18"/>
          <w:szCs w:val="18"/>
          <w:lang w:val="es-ES"/>
        </w:rPr>
        <w:t xml:space="preserve">Recuérdese que las denominadas «manifestaciones de interés» corresponden a la modalidad de selección de contratistas del Concurso de Méritos con Precalificación, regulado, entre otros, en los artículos 2.2.1.2.2.1.3.3. y siguientes del Decreto 1082 de 2015. </w:t>
      </w:r>
    </w:p>
    <w:p w14:paraId="7E701126" w14:textId="77777777" w:rsidR="00162EAA" w:rsidRPr="0090155F" w:rsidRDefault="00162EAA" w:rsidP="00162EAA">
      <w:pPr>
        <w:pStyle w:val="Textonotapie"/>
        <w:ind w:firstLine="709"/>
        <w:jc w:val="both"/>
        <w:rPr>
          <w:rFonts w:ascii="Verdana" w:hAnsi="Verdana" w:cs="Arial"/>
          <w:sz w:val="18"/>
          <w:szCs w:val="18"/>
          <w:lang w:val="es-ES"/>
        </w:rPr>
      </w:pPr>
    </w:p>
  </w:footnote>
  <w:footnote w:id="3">
    <w:p w14:paraId="2C4ED08C" w14:textId="77777777" w:rsidR="00162EAA" w:rsidRPr="00913B8E" w:rsidRDefault="00162EAA" w:rsidP="00162EAA">
      <w:pPr>
        <w:pStyle w:val="Textonotapie"/>
        <w:ind w:firstLine="709"/>
        <w:jc w:val="both"/>
        <w:rPr>
          <w:rFonts w:ascii="Verdana" w:hAnsi="Verdana" w:cs="Arial"/>
          <w:color w:val="000000"/>
          <w:sz w:val="18"/>
          <w:szCs w:val="18"/>
          <w:lang w:val="es-ES"/>
        </w:rPr>
      </w:pPr>
      <w:r w:rsidRPr="00913B8E">
        <w:rPr>
          <w:rStyle w:val="Refdenotaalpie"/>
          <w:rFonts w:ascii="Verdana" w:hAnsi="Verdana" w:cs="Arial"/>
          <w:color w:val="000000"/>
          <w:sz w:val="18"/>
          <w:szCs w:val="18"/>
        </w:rPr>
        <w:footnoteRef/>
      </w:r>
      <w:r w:rsidRPr="00913B8E">
        <w:rPr>
          <w:rFonts w:ascii="Verdana" w:hAnsi="Verdana" w:cs="Arial"/>
          <w:color w:val="000000"/>
          <w:sz w:val="18"/>
          <w:szCs w:val="18"/>
        </w:rPr>
        <w:t xml:space="preserve"> </w:t>
      </w:r>
      <w:bookmarkStart w:id="5" w:name="_Hlk203988006"/>
      <w:r w:rsidRPr="00913B8E">
        <w:rPr>
          <w:rFonts w:ascii="Verdana" w:hAnsi="Verdana" w:cs="Arial"/>
          <w:color w:val="000000"/>
          <w:sz w:val="18"/>
          <w:szCs w:val="18"/>
          <w:lang w:val="es-ES"/>
        </w:rPr>
        <w:t>Consejo de Estado. Sala de Consulta y Servicio Civil. Concepto del 6 de diciembre de 2007. Exp. 1871. C.P.: Luis Fernando Álvarez Jaramillo</w:t>
      </w:r>
      <w:bookmarkEnd w:id="5"/>
      <w:r w:rsidRPr="00913B8E">
        <w:rPr>
          <w:rFonts w:ascii="Verdana" w:hAnsi="Verdana" w:cs="Arial"/>
          <w:color w:val="000000"/>
          <w:sz w:val="18"/>
          <w:szCs w:val="18"/>
          <w:lang w:val="es-ES"/>
        </w:rPr>
        <w:t>.</w:t>
      </w:r>
    </w:p>
    <w:p w14:paraId="66A35A82" w14:textId="77777777" w:rsidR="00162EAA" w:rsidRPr="00913B8E" w:rsidRDefault="00162EAA" w:rsidP="00162EAA">
      <w:pPr>
        <w:pStyle w:val="Textonotapie"/>
        <w:ind w:firstLine="709"/>
        <w:jc w:val="both"/>
        <w:rPr>
          <w:rFonts w:ascii="Verdana" w:hAnsi="Verdana" w:cs="Arial"/>
          <w:color w:val="000000"/>
          <w:sz w:val="18"/>
          <w:szCs w:val="18"/>
          <w:lang w:val="es-ES"/>
        </w:rPr>
      </w:pPr>
    </w:p>
  </w:footnote>
  <w:footnote w:id="4">
    <w:p w14:paraId="23D40A4A" w14:textId="77777777" w:rsidR="00162EAA" w:rsidRPr="009266D6" w:rsidRDefault="00162EAA" w:rsidP="00162EAA">
      <w:pPr>
        <w:pStyle w:val="Textonotapie"/>
        <w:ind w:firstLine="708"/>
        <w:rPr>
          <w:lang w:val="es-ES"/>
        </w:rPr>
      </w:pPr>
      <w:r w:rsidRPr="00496678">
        <w:rPr>
          <w:rStyle w:val="Refdenotaalpie"/>
          <w:rFonts w:ascii="Verdana" w:hAnsi="Verdana"/>
          <w:sz w:val="18"/>
          <w:szCs w:val="18"/>
        </w:rPr>
        <w:footnoteRef/>
      </w:r>
      <w:r w:rsidRPr="00496678">
        <w:rPr>
          <w:rFonts w:ascii="Verdana" w:hAnsi="Verdana"/>
          <w:sz w:val="18"/>
          <w:szCs w:val="18"/>
        </w:rPr>
        <w:t xml:space="preserve">  </w:t>
      </w:r>
      <w:hyperlink r:id="rId1" w:history="1">
        <w:r w:rsidRPr="00496678">
          <w:rPr>
            <w:rStyle w:val="Hipervnculo"/>
            <w:rFonts w:ascii="Verdana" w:hAnsi="Verdana"/>
            <w:sz w:val="18"/>
            <w:szCs w:val="18"/>
          </w:rPr>
          <w:t>https://www.colombiacompra.gov.co/archivos/manual/manual-para-determinar-y-verificar-los-requisitos-habilitantes-en-los-procesos-de-contratacion</w:t>
        </w:r>
      </w:hyperlink>
    </w:p>
  </w:footnote>
  <w:footnote w:id="5">
    <w:p w14:paraId="189B834A" w14:textId="77777777" w:rsidR="00162EAA" w:rsidRDefault="00162EAA" w:rsidP="00162EAA">
      <w:pPr>
        <w:pStyle w:val="Textonotapie"/>
        <w:ind w:firstLine="708"/>
        <w:rPr>
          <w:lang w:val="es-CO"/>
        </w:rPr>
      </w:pPr>
      <w:r>
        <w:rPr>
          <w:rStyle w:val="Refdenotaalpie"/>
        </w:rPr>
        <w:footnoteRef/>
      </w:r>
      <w:r>
        <w:t xml:space="preserve"> </w:t>
      </w:r>
      <w:r w:rsidRPr="007E3631">
        <w:rPr>
          <w:rFonts w:ascii="Verdana" w:hAnsi="Verdana"/>
          <w:sz w:val="18"/>
          <w:szCs w:val="18"/>
          <w:lang w:val="es-CO"/>
        </w:rPr>
        <w:t>Decreto 4170 de 2011: “Artículo 3. Funciones: La Agencia Nacional de Contratación Pública – Colombia Compra Eficiente– ejercerá las siguientes funciones: [...]</w:t>
      </w:r>
      <w:r w:rsidRPr="007E3631">
        <w:rPr>
          <w:lang w:val="es-CO"/>
        </w:rPr>
        <w:t xml:space="preserve"> </w:t>
      </w:r>
    </w:p>
    <w:p w14:paraId="21086F86" w14:textId="77777777" w:rsidR="00162EAA" w:rsidRPr="007E3631" w:rsidRDefault="00162EAA" w:rsidP="00162EAA">
      <w:pPr>
        <w:pStyle w:val="Textonotapie"/>
        <w:ind w:left="709"/>
        <w:jc w:val="both"/>
        <w:rPr>
          <w:rFonts w:ascii="Verdana" w:hAnsi="Verdana"/>
          <w:sz w:val="14"/>
          <w:szCs w:val="14"/>
        </w:rPr>
      </w:pPr>
      <w:r>
        <w:rPr>
          <w:lang w:val="es-CO"/>
        </w:rPr>
        <w:t xml:space="preserve"> “</w:t>
      </w:r>
      <w:r w:rsidRPr="007E3631">
        <w:rPr>
          <w:rFonts w:ascii="Verdana" w:hAnsi="Verdana"/>
          <w:sz w:val="14"/>
          <w:szCs w:val="14"/>
          <w:lang w:val="es-CO"/>
        </w:rPr>
        <w:t>8 .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6">
    <w:p w14:paraId="5BAB1FA6" w14:textId="77777777" w:rsidR="00162EAA" w:rsidRPr="0019005C" w:rsidRDefault="00162EAA" w:rsidP="00162EAA">
      <w:pPr>
        <w:pStyle w:val="Textonotapie"/>
        <w:ind w:firstLine="708"/>
        <w:jc w:val="both"/>
        <w:rPr>
          <w:rFonts w:ascii="Verdana" w:hAnsi="Verdana"/>
          <w:sz w:val="18"/>
          <w:szCs w:val="18"/>
          <w:lang w:val="es-CO"/>
        </w:rPr>
      </w:pPr>
      <w:r w:rsidRPr="0019005C">
        <w:rPr>
          <w:rStyle w:val="Refdenotaalpie"/>
          <w:rFonts w:ascii="Verdana" w:hAnsi="Verdana"/>
          <w:sz w:val="18"/>
          <w:szCs w:val="18"/>
        </w:rPr>
        <w:footnoteRef/>
      </w:r>
      <w:r w:rsidRPr="0019005C">
        <w:rPr>
          <w:rFonts w:ascii="Verdana" w:hAnsi="Verdana"/>
          <w:sz w:val="18"/>
          <w:szCs w:val="18"/>
        </w:rPr>
        <w:t xml:space="preserve"> </w:t>
      </w:r>
      <w:hyperlink r:id="rId2" w:anchor="1727794945531-0d53f81c-5250" w:history="1">
        <w:r w:rsidRPr="0019005C">
          <w:rPr>
            <w:rStyle w:val="Hipervnculo"/>
            <w:rFonts w:ascii="Verdana" w:hAnsi="Verdana"/>
            <w:sz w:val="18"/>
            <w:szCs w:val="18"/>
          </w:rPr>
          <w:t>https://www.colombiacompra.gov.co/base-conocimiento/registro-de-usuarios-y-cuenta-de-entidad-estatal#1727794945531-0d53f81c-5250</w:t>
        </w:r>
      </w:hyperlink>
    </w:p>
  </w:footnote>
  <w:footnote w:id="7">
    <w:p w14:paraId="4EEA1771" w14:textId="77777777" w:rsidR="00162EAA" w:rsidRPr="0019005C" w:rsidRDefault="00162EAA" w:rsidP="00162EAA">
      <w:pPr>
        <w:pStyle w:val="Textonotapie"/>
        <w:ind w:firstLine="708"/>
        <w:rPr>
          <w:rFonts w:ascii="Verdana" w:hAnsi="Verdana"/>
          <w:sz w:val="18"/>
          <w:szCs w:val="18"/>
          <w:lang w:val="es-CO"/>
        </w:rPr>
      </w:pPr>
      <w:r w:rsidRPr="0019005C">
        <w:rPr>
          <w:rStyle w:val="Refdenotaalpie"/>
          <w:rFonts w:ascii="Verdana" w:hAnsi="Verdana"/>
          <w:sz w:val="18"/>
          <w:szCs w:val="18"/>
        </w:rPr>
        <w:footnoteRef/>
      </w:r>
      <w:r w:rsidRPr="0019005C">
        <w:rPr>
          <w:rFonts w:ascii="Verdana" w:hAnsi="Verdana"/>
          <w:sz w:val="18"/>
          <w:szCs w:val="18"/>
        </w:rPr>
        <w:t xml:space="preserve"> </w:t>
      </w:r>
      <w:hyperlink r:id="rId3" w:anchor="1727794945554-719b940e-e5bd" w:history="1">
        <w:r w:rsidRPr="0019005C">
          <w:rPr>
            <w:rStyle w:val="Hipervnculo"/>
            <w:rFonts w:ascii="Verdana" w:hAnsi="Verdana"/>
            <w:sz w:val="18"/>
            <w:szCs w:val="18"/>
          </w:rPr>
          <w:t>https://www.colombiacompra.gov.co/base-conocimiento/registro-de-usuarios-y-cuenta-de-entidad-estatal#1727794945554-719b940e-e5bd</w:t>
        </w:r>
      </w:hyperlink>
    </w:p>
  </w:footnote>
  <w:footnote w:id="8">
    <w:p w14:paraId="059238B9" w14:textId="77777777" w:rsidR="00162EAA" w:rsidRPr="00FF4E6E" w:rsidRDefault="00162EAA" w:rsidP="00162EAA">
      <w:pPr>
        <w:pStyle w:val="Textonotapie"/>
        <w:ind w:firstLine="708"/>
        <w:rPr>
          <w:rFonts w:ascii="Verdana" w:hAnsi="Verdana"/>
          <w:sz w:val="16"/>
          <w:szCs w:val="16"/>
        </w:rPr>
      </w:pPr>
      <w:r>
        <w:rPr>
          <w:rStyle w:val="Refdenotaalpie"/>
        </w:rPr>
        <w:footnoteRef/>
      </w:r>
      <w:r>
        <w:t xml:space="preserve"> </w:t>
      </w:r>
      <w:hyperlink r:id="rId4" w:anchor="1728183502900-ecbcca39-8993" w:history="1">
        <w:r w:rsidRPr="007C3DA4">
          <w:rPr>
            <w:rStyle w:val="Hipervnculo"/>
            <w:rFonts w:ascii="Verdana" w:hAnsi="Verdana"/>
            <w:sz w:val="18"/>
            <w:szCs w:val="18"/>
          </w:rPr>
          <w:t>https://www.colombiacompra.gov.co/base-conocimiento/registro-de-usuarios-y-cuenta-de-entidad-estatal#1728183502900-ecbcca39-8993</w:t>
        </w:r>
      </w:hyperlink>
    </w:p>
  </w:footnote>
  <w:footnote w:id="9">
    <w:p w14:paraId="36F634D1" w14:textId="77777777" w:rsidR="004D4706" w:rsidRDefault="004D4706" w:rsidP="004D4706">
      <w:pPr>
        <w:pStyle w:val="Textonotapie"/>
        <w:ind w:firstLine="709"/>
        <w:jc w:val="both"/>
        <w:rPr>
          <w:rFonts w:ascii="Geomanist Light" w:hAnsi="Geomanist Light" w:cs="Arial"/>
          <w:sz w:val="18"/>
          <w:szCs w:val="18"/>
        </w:rPr>
      </w:pPr>
      <w:r w:rsidRPr="003265D7">
        <w:rPr>
          <w:rStyle w:val="Refdenotaalpie"/>
          <w:rFonts w:ascii="Geomanist Light" w:hAnsi="Geomanist Light"/>
          <w:sz w:val="18"/>
          <w:szCs w:val="18"/>
        </w:rPr>
        <w:footnoteRef/>
      </w:r>
      <w:r w:rsidRPr="003265D7">
        <w:rPr>
          <w:rFonts w:ascii="Geomanist Light" w:hAnsi="Geomanist Light"/>
          <w:sz w:val="18"/>
          <w:szCs w:val="18"/>
        </w:rPr>
        <w:t xml:space="preserve"> </w:t>
      </w:r>
      <w:r w:rsidRPr="009D0483">
        <w:rPr>
          <w:rFonts w:ascii="Geomanist Light" w:hAnsi="Geomanist Light" w:cs="Arial"/>
          <w:sz w:val="18"/>
          <w:szCs w:val="18"/>
        </w:rPr>
        <w:t>Consejo de Estado. Sección Tercera. Sentencia del 20 de febrero de 2017. Exp. 57.783. Consejero Ponente: Jaime Orlando Santofimio Gamboa.</w:t>
      </w:r>
    </w:p>
    <w:p w14:paraId="1E550B46" w14:textId="77777777" w:rsidR="004D4706" w:rsidRPr="003265D7" w:rsidRDefault="004D4706" w:rsidP="004D4706">
      <w:pPr>
        <w:pStyle w:val="Textonotapie"/>
        <w:ind w:firstLine="709"/>
        <w:jc w:val="both"/>
        <w:rPr>
          <w:rFonts w:ascii="Geomanist Light" w:hAnsi="Geomanist Light"/>
          <w:sz w:val="18"/>
          <w:szCs w:val="18"/>
          <w:lang w:val="es-CO"/>
        </w:rPr>
      </w:pPr>
    </w:p>
  </w:footnote>
  <w:footnote w:id="10">
    <w:p w14:paraId="31FCD053" w14:textId="4FE0B9C9" w:rsidR="004D4706" w:rsidRDefault="004D4706" w:rsidP="004D4706">
      <w:pPr>
        <w:pStyle w:val="Textonotapie"/>
        <w:ind w:firstLine="709"/>
        <w:jc w:val="both"/>
        <w:rPr>
          <w:rFonts w:ascii="Verdana" w:hAnsi="Verdana" w:cs="Arial"/>
          <w:sz w:val="18"/>
          <w:szCs w:val="18"/>
        </w:rPr>
      </w:pPr>
      <w:r w:rsidRPr="003265D7">
        <w:rPr>
          <w:rStyle w:val="Refdenotaalpie"/>
          <w:rFonts w:ascii="Geomanist Light" w:hAnsi="Geomanist Light" w:cs="Arial"/>
          <w:color w:val="000000" w:themeColor="text1"/>
          <w:sz w:val="18"/>
          <w:szCs w:val="18"/>
        </w:rPr>
        <w:footnoteRef/>
      </w:r>
      <w:r w:rsidRPr="003265D7">
        <w:rPr>
          <w:rFonts w:ascii="Geomanist Light" w:hAnsi="Geomanist Light" w:cs="Arial"/>
          <w:color w:val="000000" w:themeColor="text1"/>
          <w:sz w:val="18"/>
          <w:szCs w:val="18"/>
        </w:rPr>
        <w:t xml:space="preserve"> </w:t>
      </w:r>
      <w:r w:rsidRPr="003C7B36">
        <w:rPr>
          <w:rFonts w:ascii="Verdana" w:hAnsi="Verdana" w:cs="Arial"/>
          <w:sz w:val="18"/>
          <w:szCs w:val="18"/>
        </w:rPr>
        <w:t>«El informe de evaluación realizado por el comité evaluador no es un acto administrativo […]. Se trata de un documento de trámite o preparatorio necesario para formar en definitiva la voluntad del Estado que tampoco es vinculante en cuanto no determina el resultado final, amén de no ser producido por la autoridad competente para efectuar la selección» (DÁVILA VINUEZA, Luis Guillermo. Régimen jurídico de la contratación estatal. 3ª ed. Bogotá: Legis, 2016. p. 439).</w:t>
      </w:r>
    </w:p>
    <w:p w14:paraId="025DDA10" w14:textId="77777777" w:rsidR="003C7B36" w:rsidRPr="003C7B36" w:rsidRDefault="003C7B36" w:rsidP="004D4706">
      <w:pPr>
        <w:pStyle w:val="Textonotapie"/>
        <w:ind w:firstLine="709"/>
        <w:jc w:val="both"/>
        <w:rPr>
          <w:rFonts w:ascii="Verdana" w:hAnsi="Verdana" w:cs="Arial"/>
          <w:color w:val="000000" w:themeColor="text1"/>
          <w:sz w:val="18"/>
          <w:szCs w:val="18"/>
          <w:lang w:val="es-ES"/>
        </w:rPr>
      </w:pPr>
    </w:p>
  </w:footnote>
  <w:footnote w:id="11">
    <w:p w14:paraId="1BFD550E" w14:textId="77777777" w:rsidR="00BF35E7" w:rsidRPr="003C7B36" w:rsidRDefault="00BF35E7" w:rsidP="00BF35E7">
      <w:pPr>
        <w:spacing w:before="86"/>
        <w:ind w:left="120" w:right="49" w:firstLine="709"/>
        <w:jc w:val="both"/>
        <w:rPr>
          <w:rFonts w:ascii="Verdana" w:hAnsi="Verdana"/>
          <w:sz w:val="18"/>
          <w:szCs w:val="18"/>
        </w:rPr>
      </w:pPr>
      <w:r w:rsidRPr="003C7B36">
        <w:rPr>
          <w:rStyle w:val="Refdenotaalpie"/>
          <w:rFonts w:ascii="Verdana" w:hAnsi="Verdana"/>
          <w:sz w:val="18"/>
          <w:szCs w:val="18"/>
        </w:rPr>
        <w:footnoteRef/>
      </w:r>
      <w:r w:rsidRPr="003C7B36">
        <w:rPr>
          <w:rFonts w:ascii="Verdana" w:hAnsi="Verdana"/>
          <w:sz w:val="18"/>
          <w:szCs w:val="18"/>
        </w:rPr>
        <w:t xml:space="preserve"> Consejo</w:t>
      </w:r>
      <w:r w:rsidRPr="003C7B36">
        <w:rPr>
          <w:rFonts w:ascii="Verdana" w:hAnsi="Verdana"/>
          <w:spacing w:val="-13"/>
          <w:sz w:val="18"/>
          <w:szCs w:val="18"/>
        </w:rPr>
        <w:t xml:space="preserve"> </w:t>
      </w:r>
      <w:r w:rsidRPr="003C7B36">
        <w:rPr>
          <w:rFonts w:ascii="Verdana" w:hAnsi="Verdana"/>
          <w:sz w:val="18"/>
          <w:szCs w:val="18"/>
        </w:rPr>
        <w:t>de</w:t>
      </w:r>
      <w:r w:rsidRPr="003C7B36">
        <w:rPr>
          <w:rFonts w:ascii="Verdana" w:hAnsi="Verdana"/>
          <w:spacing w:val="-13"/>
          <w:sz w:val="18"/>
          <w:szCs w:val="18"/>
        </w:rPr>
        <w:t xml:space="preserve"> </w:t>
      </w:r>
      <w:r w:rsidRPr="003C7B36">
        <w:rPr>
          <w:rFonts w:ascii="Verdana" w:hAnsi="Verdana"/>
          <w:sz w:val="18"/>
          <w:szCs w:val="18"/>
        </w:rPr>
        <w:t>Estado.</w:t>
      </w:r>
      <w:r w:rsidRPr="003C7B36">
        <w:rPr>
          <w:rFonts w:ascii="Verdana" w:hAnsi="Verdana"/>
          <w:spacing w:val="-13"/>
          <w:sz w:val="18"/>
          <w:szCs w:val="18"/>
        </w:rPr>
        <w:t xml:space="preserve"> </w:t>
      </w:r>
      <w:r w:rsidRPr="003C7B36">
        <w:rPr>
          <w:rFonts w:ascii="Verdana" w:hAnsi="Verdana"/>
          <w:sz w:val="18"/>
          <w:szCs w:val="18"/>
        </w:rPr>
        <w:t>Sección</w:t>
      </w:r>
      <w:r w:rsidRPr="003C7B36">
        <w:rPr>
          <w:rFonts w:ascii="Verdana" w:hAnsi="Verdana"/>
          <w:spacing w:val="-12"/>
          <w:sz w:val="18"/>
          <w:szCs w:val="18"/>
        </w:rPr>
        <w:t xml:space="preserve"> </w:t>
      </w:r>
      <w:r w:rsidRPr="003C7B36">
        <w:rPr>
          <w:rFonts w:ascii="Verdana" w:hAnsi="Verdana"/>
          <w:sz w:val="18"/>
          <w:szCs w:val="18"/>
        </w:rPr>
        <w:t>Tercera.</w:t>
      </w:r>
      <w:r w:rsidRPr="003C7B36">
        <w:rPr>
          <w:rFonts w:ascii="Verdana" w:hAnsi="Verdana"/>
          <w:spacing w:val="-14"/>
          <w:sz w:val="18"/>
          <w:szCs w:val="18"/>
        </w:rPr>
        <w:t xml:space="preserve"> </w:t>
      </w:r>
      <w:r w:rsidRPr="003C7B36">
        <w:rPr>
          <w:rFonts w:ascii="Verdana" w:hAnsi="Verdana"/>
          <w:sz w:val="18"/>
          <w:szCs w:val="18"/>
        </w:rPr>
        <w:t>Sentencia</w:t>
      </w:r>
      <w:r w:rsidRPr="003C7B36">
        <w:rPr>
          <w:rFonts w:ascii="Verdana" w:hAnsi="Verdana"/>
          <w:spacing w:val="-11"/>
          <w:sz w:val="18"/>
          <w:szCs w:val="18"/>
        </w:rPr>
        <w:t xml:space="preserve"> </w:t>
      </w:r>
      <w:r w:rsidRPr="003C7B36">
        <w:rPr>
          <w:rFonts w:ascii="Verdana" w:hAnsi="Verdana"/>
          <w:sz w:val="18"/>
          <w:szCs w:val="18"/>
        </w:rPr>
        <w:t>de</w:t>
      </w:r>
      <w:r w:rsidRPr="003C7B36">
        <w:rPr>
          <w:rFonts w:ascii="Verdana" w:hAnsi="Verdana"/>
          <w:spacing w:val="-14"/>
          <w:sz w:val="18"/>
          <w:szCs w:val="18"/>
        </w:rPr>
        <w:t xml:space="preserve"> </w:t>
      </w:r>
      <w:r w:rsidRPr="003C7B36">
        <w:rPr>
          <w:rFonts w:ascii="Verdana" w:hAnsi="Verdana"/>
          <w:sz w:val="18"/>
          <w:szCs w:val="18"/>
        </w:rPr>
        <w:t>28</w:t>
      </w:r>
      <w:r w:rsidRPr="003C7B36">
        <w:rPr>
          <w:rFonts w:ascii="Verdana" w:hAnsi="Verdana"/>
          <w:spacing w:val="-13"/>
          <w:sz w:val="18"/>
          <w:szCs w:val="18"/>
        </w:rPr>
        <w:t xml:space="preserve"> </w:t>
      </w:r>
      <w:r w:rsidRPr="003C7B36">
        <w:rPr>
          <w:rFonts w:ascii="Verdana" w:hAnsi="Verdana"/>
          <w:sz w:val="18"/>
          <w:szCs w:val="18"/>
        </w:rPr>
        <w:t>de</w:t>
      </w:r>
      <w:r w:rsidRPr="003C7B36">
        <w:rPr>
          <w:rFonts w:ascii="Verdana" w:hAnsi="Verdana"/>
          <w:spacing w:val="-14"/>
          <w:sz w:val="18"/>
          <w:szCs w:val="18"/>
        </w:rPr>
        <w:t xml:space="preserve"> </w:t>
      </w:r>
      <w:r w:rsidRPr="003C7B36">
        <w:rPr>
          <w:rFonts w:ascii="Verdana" w:hAnsi="Verdana"/>
          <w:sz w:val="18"/>
          <w:szCs w:val="18"/>
        </w:rPr>
        <w:t>mayo</w:t>
      </w:r>
      <w:r w:rsidRPr="003C7B36">
        <w:rPr>
          <w:rFonts w:ascii="Verdana" w:hAnsi="Verdana"/>
          <w:spacing w:val="-12"/>
          <w:sz w:val="18"/>
          <w:szCs w:val="18"/>
        </w:rPr>
        <w:t xml:space="preserve"> </w:t>
      </w:r>
      <w:r w:rsidRPr="003C7B36">
        <w:rPr>
          <w:rFonts w:ascii="Verdana" w:hAnsi="Verdana"/>
          <w:sz w:val="18"/>
          <w:szCs w:val="18"/>
        </w:rPr>
        <w:t>de</w:t>
      </w:r>
      <w:r w:rsidRPr="003C7B36">
        <w:rPr>
          <w:rFonts w:ascii="Verdana" w:hAnsi="Verdana"/>
          <w:spacing w:val="-14"/>
          <w:sz w:val="18"/>
          <w:szCs w:val="18"/>
        </w:rPr>
        <w:t xml:space="preserve"> </w:t>
      </w:r>
      <w:r w:rsidRPr="003C7B36">
        <w:rPr>
          <w:rFonts w:ascii="Verdana" w:hAnsi="Verdana"/>
          <w:sz w:val="18"/>
          <w:szCs w:val="18"/>
        </w:rPr>
        <w:t>2012,</w:t>
      </w:r>
      <w:r w:rsidRPr="003C7B36">
        <w:rPr>
          <w:rFonts w:ascii="Verdana" w:hAnsi="Verdana"/>
          <w:spacing w:val="-12"/>
          <w:sz w:val="18"/>
          <w:szCs w:val="18"/>
        </w:rPr>
        <w:t xml:space="preserve"> </w:t>
      </w:r>
      <w:r w:rsidRPr="003C7B36">
        <w:rPr>
          <w:rFonts w:ascii="Verdana" w:hAnsi="Verdana"/>
          <w:sz w:val="18"/>
          <w:szCs w:val="18"/>
        </w:rPr>
        <w:t>Exp.</w:t>
      </w:r>
      <w:r w:rsidRPr="003C7B36">
        <w:rPr>
          <w:rFonts w:ascii="Verdana" w:hAnsi="Verdana"/>
          <w:spacing w:val="-14"/>
          <w:sz w:val="18"/>
          <w:szCs w:val="18"/>
        </w:rPr>
        <w:t xml:space="preserve"> </w:t>
      </w:r>
      <w:r w:rsidRPr="003C7B36">
        <w:rPr>
          <w:rFonts w:ascii="Verdana" w:hAnsi="Verdana"/>
          <w:sz w:val="18"/>
          <w:szCs w:val="18"/>
        </w:rPr>
        <w:t>22089.</w:t>
      </w:r>
      <w:r w:rsidRPr="003C7B36">
        <w:rPr>
          <w:rFonts w:ascii="Verdana" w:hAnsi="Verdana"/>
          <w:spacing w:val="-12"/>
          <w:sz w:val="18"/>
          <w:szCs w:val="18"/>
        </w:rPr>
        <w:t xml:space="preserve"> </w:t>
      </w:r>
      <w:r w:rsidRPr="003C7B36">
        <w:rPr>
          <w:rFonts w:ascii="Verdana" w:hAnsi="Verdana"/>
          <w:sz w:val="18"/>
          <w:szCs w:val="18"/>
        </w:rPr>
        <w:t>C.P.</w:t>
      </w:r>
      <w:r w:rsidRPr="003C7B36">
        <w:rPr>
          <w:rFonts w:ascii="Verdana" w:hAnsi="Verdana"/>
          <w:spacing w:val="-13"/>
          <w:sz w:val="18"/>
          <w:szCs w:val="18"/>
        </w:rPr>
        <w:t xml:space="preserve"> </w:t>
      </w:r>
      <w:r w:rsidRPr="003C7B36">
        <w:rPr>
          <w:rFonts w:ascii="Verdana" w:hAnsi="Verdana"/>
          <w:sz w:val="18"/>
          <w:szCs w:val="18"/>
        </w:rPr>
        <w:t>Ruth</w:t>
      </w:r>
      <w:r w:rsidRPr="003C7B36">
        <w:rPr>
          <w:rFonts w:ascii="Verdana" w:hAnsi="Verdana"/>
          <w:spacing w:val="-12"/>
          <w:sz w:val="18"/>
          <w:szCs w:val="18"/>
        </w:rPr>
        <w:t xml:space="preserve"> </w:t>
      </w:r>
      <w:r w:rsidRPr="003C7B36">
        <w:rPr>
          <w:rFonts w:ascii="Verdana" w:hAnsi="Verdana"/>
          <w:sz w:val="18"/>
          <w:szCs w:val="18"/>
        </w:rPr>
        <w:t>Stella</w:t>
      </w:r>
      <w:r w:rsidRPr="003C7B36">
        <w:rPr>
          <w:rFonts w:ascii="Verdana" w:hAnsi="Verdana"/>
          <w:spacing w:val="1"/>
          <w:sz w:val="18"/>
          <w:szCs w:val="18"/>
        </w:rPr>
        <w:t xml:space="preserve"> </w:t>
      </w:r>
      <w:r w:rsidRPr="003C7B36">
        <w:rPr>
          <w:rFonts w:ascii="Verdana" w:hAnsi="Verdana"/>
          <w:sz w:val="18"/>
          <w:szCs w:val="18"/>
        </w:rPr>
        <w:t xml:space="preserve">Correa Palacio. </w:t>
      </w:r>
    </w:p>
    <w:p w14:paraId="60B4B487" w14:textId="77777777" w:rsidR="00BF35E7" w:rsidRPr="00496678" w:rsidRDefault="00BF35E7" w:rsidP="00BF35E7">
      <w:pPr>
        <w:pStyle w:val="Textonotapie"/>
        <w:ind w:right="49"/>
        <w:rPr>
          <w:rFonts w:ascii="Verdana" w:hAnsi="Verdana"/>
          <w:sz w:val="18"/>
          <w:szCs w:val="18"/>
          <w:lang w:val="es-ES"/>
        </w:rPr>
      </w:pPr>
    </w:p>
  </w:footnote>
  <w:footnote w:id="12">
    <w:p w14:paraId="7A3E386B" w14:textId="77777777" w:rsidR="00162EAA" w:rsidRPr="000735A6" w:rsidRDefault="00162EAA" w:rsidP="00162EAA">
      <w:pPr>
        <w:pStyle w:val="Textonotapie"/>
        <w:jc w:val="both"/>
        <w:rPr>
          <w:lang w:val="es-ES"/>
        </w:rPr>
      </w:pPr>
      <w:r>
        <w:rPr>
          <w:rStyle w:val="Refdenotaalpie"/>
        </w:rPr>
        <w:footnoteRef/>
      </w:r>
      <w:r>
        <w:t xml:space="preserve"> </w:t>
      </w:r>
      <w:r w:rsidRPr="001410F1">
        <w:rPr>
          <w:rFonts w:ascii="Verdana" w:hAnsi="Verdana"/>
          <w:sz w:val="18"/>
          <w:szCs w:val="18"/>
          <w:lang w:val="es-ES"/>
        </w:rPr>
        <w:t>Consejo de Estado. Sección Tercera. Sentencia del 3 de diciembre de 2007</w:t>
      </w:r>
      <w:r>
        <w:rPr>
          <w:lang w:val="es-ES"/>
        </w:rPr>
        <w:t xml:space="preserve"> </w:t>
      </w:r>
      <w:r w:rsidRPr="001410F1">
        <w:rPr>
          <w:rFonts w:ascii="Verdana" w:hAnsi="Verdana"/>
          <w:sz w:val="18"/>
          <w:szCs w:val="18"/>
          <w:lang w:val="es-ES"/>
        </w:rPr>
        <w:t>Rad. 11001-03-26-000-2003-00014-01(24715); 1100-10-326-000- 2003-000-32-01(25206); 1100-10-326-000-2003-000-38-01(25409); 1100-10-326- 000-2003-000-10-01(24524);1100-10-326-000-2004-000-21-00(27834); 1100-10- 326-000-2003-000-39-01(25410);1100-10-326-000-2003-000-71-(26105); 100-10- 326-000-2004-000-34-00(28244);1100-103-26-000-2005-000-50-01(31447)</w:t>
      </w:r>
      <w:r>
        <w:rPr>
          <w:rFonts w:ascii="Verdana" w:hAnsi="Verdana"/>
          <w:sz w:val="18"/>
          <w:szCs w:val="18"/>
          <w:lang w:val="es-ES"/>
        </w:rPr>
        <w:t xml:space="preserve"> </w:t>
      </w:r>
      <w:r w:rsidRPr="001410F1">
        <w:rPr>
          <w:lang w:val="es-ES"/>
        </w:rPr>
        <w:t>Acumulados-</w:t>
      </w:r>
      <w:r>
        <w:rPr>
          <w:lang w:val="es-ES"/>
        </w:rPr>
        <w:t>. C.P</w:t>
      </w:r>
      <w:r w:rsidRPr="002E71EA">
        <w:rPr>
          <w:lang w:val="es-CO"/>
        </w:rPr>
        <w:t>: Ruth Stella Correa Palacio</w:t>
      </w:r>
      <w:r>
        <w:rPr>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948039690"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331008111" name="Imagen 1331008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B606DB"/>
    <w:multiLevelType w:val="multilevel"/>
    <w:tmpl w:val="4E6E6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9015C9"/>
    <w:multiLevelType w:val="multilevel"/>
    <w:tmpl w:val="F38C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3EE7D34"/>
    <w:multiLevelType w:val="multilevel"/>
    <w:tmpl w:val="24507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C753F83"/>
    <w:multiLevelType w:val="hybridMultilevel"/>
    <w:tmpl w:val="7528DA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203983"/>
    <w:multiLevelType w:val="multilevel"/>
    <w:tmpl w:val="32ECF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1380713882">
    <w:abstractNumId w:val="0"/>
  </w:num>
  <w:num w:numId="17" w16cid:durableId="2051875400">
    <w:abstractNumId w:val="12"/>
  </w:num>
  <w:num w:numId="18" w16cid:durableId="1276667598">
    <w:abstractNumId w:val="18"/>
  </w:num>
  <w:num w:numId="19" w16cid:durableId="788888712">
    <w:abstractNumId w:val="4"/>
  </w:num>
  <w:num w:numId="20" w16cid:durableId="1943099715">
    <w:abstractNumId w:val="3"/>
  </w:num>
  <w:num w:numId="21" w16cid:durableId="1544181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C7F"/>
    <w:rsid w:val="00016F78"/>
    <w:rsid w:val="00046945"/>
    <w:rsid w:val="00056034"/>
    <w:rsid w:val="00061B2A"/>
    <w:rsid w:val="00082362"/>
    <w:rsid w:val="0008575C"/>
    <w:rsid w:val="000A683E"/>
    <w:rsid w:val="000B19B9"/>
    <w:rsid w:val="000D0334"/>
    <w:rsid w:val="000D5DA7"/>
    <w:rsid w:val="000F6486"/>
    <w:rsid w:val="00116940"/>
    <w:rsid w:val="00125105"/>
    <w:rsid w:val="00127233"/>
    <w:rsid w:val="00131433"/>
    <w:rsid w:val="0015699B"/>
    <w:rsid w:val="00162EAA"/>
    <w:rsid w:val="001A33BF"/>
    <w:rsid w:val="001C4501"/>
    <w:rsid w:val="001C6119"/>
    <w:rsid w:val="001C7F03"/>
    <w:rsid w:val="001E4177"/>
    <w:rsid w:val="001F0B24"/>
    <w:rsid w:val="001F7DC6"/>
    <w:rsid w:val="0022400B"/>
    <w:rsid w:val="00227BEE"/>
    <w:rsid w:val="002421BB"/>
    <w:rsid w:val="002514E1"/>
    <w:rsid w:val="0025796E"/>
    <w:rsid w:val="002707A2"/>
    <w:rsid w:val="002951A0"/>
    <w:rsid w:val="002962BC"/>
    <w:rsid w:val="002A093D"/>
    <w:rsid w:val="002A0DD0"/>
    <w:rsid w:val="002A49AC"/>
    <w:rsid w:val="002A64FD"/>
    <w:rsid w:val="002C7A84"/>
    <w:rsid w:val="002E0141"/>
    <w:rsid w:val="002E2BF8"/>
    <w:rsid w:val="002E4FD9"/>
    <w:rsid w:val="0030657A"/>
    <w:rsid w:val="003076F5"/>
    <w:rsid w:val="0031679E"/>
    <w:rsid w:val="0032107A"/>
    <w:rsid w:val="00322A85"/>
    <w:rsid w:val="00324168"/>
    <w:rsid w:val="00330834"/>
    <w:rsid w:val="003448F4"/>
    <w:rsid w:val="00374F5E"/>
    <w:rsid w:val="00377E3E"/>
    <w:rsid w:val="00392A03"/>
    <w:rsid w:val="003A7255"/>
    <w:rsid w:val="003A779E"/>
    <w:rsid w:val="003B23AE"/>
    <w:rsid w:val="003C7B36"/>
    <w:rsid w:val="003D0F4D"/>
    <w:rsid w:val="003D1948"/>
    <w:rsid w:val="003D5B0D"/>
    <w:rsid w:val="003E0499"/>
    <w:rsid w:val="003E4F80"/>
    <w:rsid w:val="003E57D2"/>
    <w:rsid w:val="003E6439"/>
    <w:rsid w:val="003F3941"/>
    <w:rsid w:val="00406575"/>
    <w:rsid w:val="00414C74"/>
    <w:rsid w:val="0042722E"/>
    <w:rsid w:val="00433960"/>
    <w:rsid w:val="0044528D"/>
    <w:rsid w:val="004543E5"/>
    <w:rsid w:val="00466E39"/>
    <w:rsid w:val="004805F9"/>
    <w:rsid w:val="00492FB6"/>
    <w:rsid w:val="004936AE"/>
    <w:rsid w:val="004A1847"/>
    <w:rsid w:val="004A305D"/>
    <w:rsid w:val="004D4706"/>
    <w:rsid w:val="004F21C4"/>
    <w:rsid w:val="004F685F"/>
    <w:rsid w:val="005566E8"/>
    <w:rsid w:val="00573F6A"/>
    <w:rsid w:val="00574867"/>
    <w:rsid w:val="00591460"/>
    <w:rsid w:val="005A65E0"/>
    <w:rsid w:val="005C3777"/>
    <w:rsid w:val="005C5CDC"/>
    <w:rsid w:val="005D476C"/>
    <w:rsid w:val="006016EE"/>
    <w:rsid w:val="006200BF"/>
    <w:rsid w:val="006219F8"/>
    <w:rsid w:val="006302F7"/>
    <w:rsid w:val="00631D3B"/>
    <w:rsid w:val="00646B9F"/>
    <w:rsid w:val="00665D70"/>
    <w:rsid w:val="006900D9"/>
    <w:rsid w:val="006B7DA9"/>
    <w:rsid w:val="00706C16"/>
    <w:rsid w:val="0071638E"/>
    <w:rsid w:val="007340C3"/>
    <w:rsid w:val="007378EC"/>
    <w:rsid w:val="0075235A"/>
    <w:rsid w:val="00756841"/>
    <w:rsid w:val="007649AB"/>
    <w:rsid w:val="00771D0C"/>
    <w:rsid w:val="007833AC"/>
    <w:rsid w:val="007B268C"/>
    <w:rsid w:val="007B50D0"/>
    <w:rsid w:val="007B7171"/>
    <w:rsid w:val="007C0C0F"/>
    <w:rsid w:val="007C3DC2"/>
    <w:rsid w:val="007E5497"/>
    <w:rsid w:val="00806F5F"/>
    <w:rsid w:val="00820278"/>
    <w:rsid w:val="008258C9"/>
    <w:rsid w:val="00844AE9"/>
    <w:rsid w:val="00867F95"/>
    <w:rsid w:val="008843B6"/>
    <w:rsid w:val="00891928"/>
    <w:rsid w:val="008A446D"/>
    <w:rsid w:val="008B25F1"/>
    <w:rsid w:val="008C2D5B"/>
    <w:rsid w:val="008D180B"/>
    <w:rsid w:val="008F0EA7"/>
    <w:rsid w:val="009118DC"/>
    <w:rsid w:val="00923EEF"/>
    <w:rsid w:val="009419F9"/>
    <w:rsid w:val="0095685E"/>
    <w:rsid w:val="00961B09"/>
    <w:rsid w:val="00963271"/>
    <w:rsid w:val="00965334"/>
    <w:rsid w:val="0097093E"/>
    <w:rsid w:val="00990976"/>
    <w:rsid w:val="00997C2D"/>
    <w:rsid w:val="00997D80"/>
    <w:rsid w:val="009A0DFA"/>
    <w:rsid w:val="009A1C6F"/>
    <w:rsid w:val="009B2D26"/>
    <w:rsid w:val="009C71FA"/>
    <w:rsid w:val="009C72E7"/>
    <w:rsid w:val="009C7F7E"/>
    <w:rsid w:val="009D3058"/>
    <w:rsid w:val="009F3A13"/>
    <w:rsid w:val="00A04C7E"/>
    <w:rsid w:val="00A122D3"/>
    <w:rsid w:val="00A14468"/>
    <w:rsid w:val="00A16776"/>
    <w:rsid w:val="00A17F13"/>
    <w:rsid w:val="00A20739"/>
    <w:rsid w:val="00A23AF9"/>
    <w:rsid w:val="00A33C78"/>
    <w:rsid w:val="00A62868"/>
    <w:rsid w:val="00A7702F"/>
    <w:rsid w:val="00AB0ADB"/>
    <w:rsid w:val="00B00C0E"/>
    <w:rsid w:val="00B01B1A"/>
    <w:rsid w:val="00B0381D"/>
    <w:rsid w:val="00B44A47"/>
    <w:rsid w:val="00B72CD3"/>
    <w:rsid w:val="00B72FFF"/>
    <w:rsid w:val="00BC3D36"/>
    <w:rsid w:val="00BC5448"/>
    <w:rsid w:val="00BD54A6"/>
    <w:rsid w:val="00BD7F72"/>
    <w:rsid w:val="00BF35E7"/>
    <w:rsid w:val="00BF7425"/>
    <w:rsid w:val="00C04FB3"/>
    <w:rsid w:val="00C11D8B"/>
    <w:rsid w:val="00C14129"/>
    <w:rsid w:val="00C15139"/>
    <w:rsid w:val="00C330EB"/>
    <w:rsid w:val="00C433B5"/>
    <w:rsid w:val="00C50D69"/>
    <w:rsid w:val="00C5365C"/>
    <w:rsid w:val="00C754BE"/>
    <w:rsid w:val="00C76B1C"/>
    <w:rsid w:val="00C925AC"/>
    <w:rsid w:val="00CB6357"/>
    <w:rsid w:val="00CC1B26"/>
    <w:rsid w:val="00CC620E"/>
    <w:rsid w:val="00CF0149"/>
    <w:rsid w:val="00D309ED"/>
    <w:rsid w:val="00D361FD"/>
    <w:rsid w:val="00D423A2"/>
    <w:rsid w:val="00D43975"/>
    <w:rsid w:val="00D44E26"/>
    <w:rsid w:val="00D47A44"/>
    <w:rsid w:val="00D520D8"/>
    <w:rsid w:val="00D5735A"/>
    <w:rsid w:val="00D63AC2"/>
    <w:rsid w:val="00D7383B"/>
    <w:rsid w:val="00D7788A"/>
    <w:rsid w:val="00D97B38"/>
    <w:rsid w:val="00DA231B"/>
    <w:rsid w:val="00DC39FC"/>
    <w:rsid w:val="00DE234E"/>
    <w:rsid w:val="00DF5254"/>
    <w:rsid w:val="00E02524"/>
    <w:rsid w:val="00E16408"/>
    <w:rsid w:val="00E20894"/>
    <w:rsid w:val="00E245AB"/>
    <w:rsid w:val="00E2764C"/>
    <w:rsid w:val="00E27F2E"/>
    <w:rsid w:val="00E31B6D"/>
    <w:rsid w:val="00E50AFE"/>
    <w:rsid w:val="00E70836"/>
    <w:rsid w:val="00E72D29"/>
    <w:rsid w:val="00E75C92"/>
    <w:rsid w:val="00E771DC"/>
    <w:rsid w:val="00E8772A"/>
    <w:rsid w:val="00E90F6B"/>
    <w:rsid w:val="00E92C27"/>
    <w:rsid w:val="00EA0E3D"/>
    <w:rsid w:val="00EA2499"/>
    <w:rsid w:val="00EA358F"/>
    <w:rsid w:val="00EB60C7"/>
    <w:rsid w:val="00EC207D"/>
    <w:rsid w:val="00EC38A7"/>
    <w:rsid w:val="00ED516F"/>
    <w:rsid w:val="00ED75BD"/>
    <w:rsid w:val="00EE1AA8"/>
    <w:rsid w:val="00F23FEA"/>
    <w:rsid w:val="00F27682"/>
    <w:rsid w:val="00F31EDC"/>
    <w:rsid w:val="00F462B3"/>
    <w:rsid w:val="00F5664F"/>
    <w:rsid w:val="00F666C4"/>
    <w:rsid w:val="00F76AFC"/>
    <w:rsid w:val="00FA47C0"/>
    <w:rsid w:val="00FB5DD1"/>
    <w:rsid w:val="00FC2B5D"/>
    <w:rsid w:val="00FC384D"/>
    <w:rsid w:val="00FF1449"/>
    <w:rsid w:val="00FF7963"/>
    <w:rsid w:val="067E81F5"/>
    <w:rsid w:val="09908A09"/>
    <w:rsid w:val="126D3112"/>
    <w:rsid w:val="13CFC91B"/>
    <w:rsid w:val="19A2EC2C"/>
    <w:rsid w:val="2562F73E"/>
    <w:rsid w:val="25896DAE"/>
    <w:rsid w:val="2859CA1B"/>
    <w:rsid w:val="32A4F9CF"/>
    <w:rsid w:val="356CEDFD"/>
    <w:rsid w:val="52907E4C"/>
    <w:rsid w:val="58F1FA7E"/>
    <w:rsid w:val="59FADE52"/>
    <w:rsid w:val="665E1764"/>
    <w:rsid w:val="69614A15"/>
    <w:rsid w:val="75D63B62"/>
    <w:rsid w:val="77E7F240"/>
    <w:rsid w:val="79DE5DC4"/>
    <w:rsid w:val="7B5F0046"/>
    <w:rsid w:val="7BB183BC"/>
    <w:rsid w:val="7CA60F9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C54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C5448"/>
    <w:rPr>
      <w:rFonts w:ascii="Geomanist Light" w:hAnsi="Geomanist Light"/>
      <w:lang w:val="es-ES"/>
    </w:rPr>
  </w:style>
  <w:style w:type="paragraph" w:styleId="Textoindependiente">
    <w:name w:val="Body Text"/>
    <w:basedOn w:val="Normal"/>
    <w:link w:val="TextoindependienteCar"/>
    <w:uiPriority w:val="1"/>
    <w:unhideWhenUsed/>
    <w:qFormat/>
    <w:rsid w:val="00BC5448"/>
    <w:pPr>
      <w:spacing w:after="120"/>
    </w:pPr>
  </w:style>
  <w:style w:type="character" w:customStyle="1" w:styleId="TextoindependienteCar">
    <w:name w:val="Texto independiente Car"/>
    <w:basedOn w:val="Fuentedeprrafopredeter"/>
    <w:link w:val="Textoindependiente"/>
    <w:uiPriority w:val="1"/>
    <w:rsid w:val="00BC5448"/>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operaciones.colombiacompra.gov.co/sites/cce_public/files/cce_step/cce-sec-gi-20guiasecopii_eemcminimacuantia20-04-2022_0.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ana.gonzalez@fac.mil.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registro-de-usuarios-y-cuenta-de-entidad-estatal" TargetMode="External"/><Relationship Id="rId2" Type="http://schemas.openxmlformats.org/officeDocument/2006/relationships/hyperlink" Target="https://www.colombiacompra.gov.co/base-conocimiento/registro-de-usuarios-y-cuenta-de-entidad-estatal" TargetMode="External"/><Relationship Id="rId1" Type="http://schemas.openxmlformats.org/officeDocument/2006/relationships/hyperlink" Target="https://www.colombiacompra.gov.co/archivos/manual/manual-para-determinar-y-verificar-los-requisitos-habilitantes-en-los-procesos-de-contratacion" TargetMode="External"/><Relationship Id="rId4" Type="http://schemas.openxmlformats.org/officeDocument/2006/relationships/hyperlink" Target="https://www.colombiacompra.gov.co/base-conocimiento/registro-de-usuarios-y-cuenta-de-entidad-estat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358F50A-0429-4A9C-89EB-31985C8127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16</Pages>
  <Words>4598</Words>
  <Characters>25428</Characters>
  <Application>Microsoft Office Word</Application>
  <DocSecurity>0</DocSecurity>
  <Lines>529</Lines>
  <Paragraphs>107</Paragraphs>
  <ScaleCrop>false</ScaleCrop>
  <Company/>
  <LinksUpToDate>false</LinksUpToDate>
  <CharactersWithSpaces>29919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15</cp:revision>
  <cp:lastPrinted>2023-01-10T21:18:00Z</cp:lastPrinted>
  <dcterms:created xsi:type="dcterms:W3CDTF">2025-11-25T19:03:00Z</dcterms:created>
  <dcterms:modified xsi:type="dcterms:W3CDTF">2025-11-26T15:04:00Z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