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D22376" w14:textId="77777777" w:rsidR="00ED79C8" w:rsidRPr="00523932" w:rsidRDefault="00ED79C8" w:rsidP="00ED79C8">
      <w:pPr>
        <w:spacing w:after="0" w:line="240" w:lineRule="auto"/>
        <w:rPr>
          <w:rFonts w:ascii="Verdana" w:eastAsia="Calibri" w:hAnsi="Verdana" w:cs="Arial"/>
          <w:b/>
          <w:sz w:val="20"/>
          <w:szCs w:val="20"/>
          <w:lang w:val="es-MX" w:eastAsia="es-ES_tradnl"/>
        </w:rPr>
      </w:pPr>
    </w:p>
    <w:p w14:paraId="4AA7427A" w14:textId="77777777" w:rsidR="00ED79C8" w:rsidRPr="00523932" w:rsidRDefault="00ED79C8" w:rsidP="00ED79C8">
      <w:pPr>
        <w:spacing w:after="0" w:line="240" w:lineRule="auto"/>
        <w:jc w:val="both"/>
        <w:rPr>
          <w:rFonts w:ascii="Verdana" w:eastAsia="Calibri" w:hAnsi="Verdana" w:cs="Arial"/>
          <w:b/>
          <w:lang w:val="es-MX" w:eastAsia="es-ES_tradnl"/>
        </w:rPr>
      </w:pPr>
      <w:r w:rsidRPr="00523932">
        <w:rPr>
          <w:rFonts w:ascii="Verdana" w:eastAsia="Calibri" w:hAnsi="Verdana" w:cs="Arial"/>
          <w:b/>
          <w:lang w:val="es-MX" w:eastAsia="es-ES_tradnl"/>
        </w:rPr>
        <w:t>INHABILIDADES – Definición – Finalidad – Limitación capacidad contractual</w:t>
      </w:r>
    </w:p>
    <w:p w14:paraId="0DAE2FA5" w14:textId="77777777" w:rsidR="00ED79C8" w:rsidRPr="00523932" w:rsidRDefault="00ED79C8" w:rsidP="00ED79C8">
      <w:pPr>
        <w:spacing w:after="0" w:line="240" w:lineRule="auto"/>
        <w:rPr>
          <w:rFonts w:ascii="Verdana" w:eastAsia="Calibri" w:hAnsi="Verdana" w:cs="Arial"/>
          <w:bCs/>
          <w:sz w:val="20"/>
          <w:szCs w:val="20"/>
          <w:lang w:val="es-MX" w:eastAsia="es-ES_tradnl"/>
        </w:rPr>
      </w:pPr>
    </w:p>
    <w:p w14:paraId="6E6680F0" w14:textId="77777777" w:rsidR="00ED79C8" w:rsidRPr="00523932" w:rsidRDefault="00ED79C8" w:rsidP="00ED79C8">
      <w:pPr>
        <w:spacing w:after="0" w:line="240" w:lineRule="auto"/>
        <w:jc w:val="both"/>
        <w:rPr>
          <w:rFonts w:ascii="Verdana" w:eastAsia="Geomanist Light" w:hAnsi="Verdana" w:cs="Arial"/>
          <w:color w:val="000000" w:themeColor="text1"/>
          <w:sz w:val="20"/>
          <w:szCs w:val="20"/>
          <w:lang w:val="es-MX"/>
        </w:rPr>
      </w:pPr>
      <w:r w:rsidRPr="00523932">
        <w:rPr>
          <w:rFonts w:ascii="Verdana" w:eastAsia="Geomanist Light" w:hAnsi="Verdana" w:cs="Arial"/>
          <w:color w:val="000000" w:themeColor="text1"/>
          <w:sz w:val="20"/>
          <w:szCs w:val="20"/>
          <w:lang w:val="es-MX"/>
        </w:rPr>
        <w:t>Las inhabilidades son circunstancias establecidas por la Constitución o la ley que impiden que personas naturales o jurídicas sean elegidas o designadas en un cargo público o celebren contratos con el Estado, con el objetivo de garantizar la idoneidad, imparcialidad, probidad, transparencia y moralidad de la función pública, garantizando el interés general. 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 La consagración limitaciones que afectan la capacidad jurídica para contratar desarrolla los principios de la función administrativa consagrados en el artículo 209 de la Constitución Política, con especial énfasis el de moralidad.</w:t>
      </w:r>
    </w:p>
    <w:p w14:paraId="6D6D79A3" w14:textId="77777777" w:rsidR="00ED79C8" w:rsidRPr="00523932" w:rsidRDefault="00ED79C8" w:rsidP="00ED79C8">
      <w:pPr>
        <w:spacing w:after="0" w:line="240" w:lineRule="auto"/>
        <w:jc w:val="both"/>
        <w:rPr>
          <w:rFonts w:ascii="Verdana" w:eastAsia="Geomanist Light" w:hAnsi="Verdana" w:cs="Arial"/>
          <w:color w:val="000000" w:themeColor="text1"/>
          <w:sz w:val="20"/>
          <w:szCs w:val="20"/>
          <w:lang w:val="es-MX"/>
        </w:rPr>
      </w:pPr>
    </w:p>
    <w:p w14:paraId="1BE04533" w14:textId="77777777" w:rsidR="00ED79C8" w:rsidRPr="00523932" w:rsidRDefault="00ED79C8" w:rsidP="00ED79C8">
      <w:pPr>
        <w:spacing w:after="0" w:line="240" w:lineRule="auto"/>
        <w:jc w:val="both"/>
        <w:rPr>
          <w:rFonts w:ascii="Verdana" w:eastAsia="Calibri" w:hAnsi="Verdana" w:cs="Arial"/>
          <w:b/>
          <w:lang w:val="es-MX" w:eastAsia="es-ES_tradnl"/>
        </w:rPr>
      </w:pPr>
      <w:r w:rsidRPr="00523932">
        <w:rPr>
          <w:rFonts w:ascii="Verdana" w:eastAsia="Calibri" w:hAnsi="Verdana" w:cs="Arial"/>
          <w:b/>
          <w:lang w:val="es-MX" w:eastAsia="es-ES_tradnl"/>
        </w:rPr>
        <w:t>CONTRATACIÓN ESTATAL – Capacidad – Validez contratos – Régimen de contratación – Inscripción – Limitación de la capacidad</w:t>
      </w:r>
    </w:p>
    <w:p w14:paraId="05CB670F" w14:textId="77777777" w:rsidR="00ED79C8" w:rsidRPr="00523932" w:rsidRDefault="00ED79C8" w:rsidP="00ED79C8">
      <w:pPr>
        <w:spacing w:after="0" w:line="240" w:lineRule="auto"/>
        <w:jc w:val="both"/>
        <w:rPr>
          <w:rFonts w:ascii="Verdana" w:eastAsia="Calibri" w:hAnsi="Verdana" w:cs="Arial"/>
          <w:bCs/>
          <w:sz w:val="20"/>
          <w:szCs w:val="20"/>
          <w:lang w:val="es-MX" w:eastAsia="es-ES_tradnl"/>
        </w:rPr>
      </w:pPr>
    </w:p>
    <w:p w14:paraId="673D6065" w14:textId="77777777" w:rsidR="00ED79C8" w:rsidRPr="00523932" w:rsidRDefault="00ED79C8" w:rsidP="00ED79C8">
      <w:pPr>
        <w:spacing w:after="0" w:line="240" w:lineRule="auto"/>
        <w:jc w:val="both"/>
        <w:rPr>
          <w:rFonts w:ascii="Verdana" w:eastAsia="Calibri" w:hAnsi="Verdana" w:cs="Arial"/>
          <w:bCs/>
          <w:sz w:val="20"/>
          <w:szCs w:val="20"/>
          <w:lang w:val="es-MX" w:eastAsia="es-ES_tradnl"/>
        </w:rPr>
      </w:pPr>
      <w:r w:rsidRPr="00523932">
        <w:rPr>
          <w:rFonts w:ascii="Verdana" w:eastAsia="Calibri" w:hAnsi="Verdana" w:cs="Arial"/>
          <w:bCs/>
          <w:sz w:val="20"/>
          <w:szCs w:val="20"/>
          <w:lang w:val="es-MX" w:eastAsia="es-ES_tradnl"/>
        </w:rPr>
        <w:t>[…] en la contratación estatal, la capacidad también es un requisito de validez de los contratos, tanto en el régimen de las entidades sujetas al Estatuto General de Contratación de la Administración Pública como en el de las entidades exceptuadas de aquel. Si bien la regulación de la capacidad se integra por varias disposiciones y exigencias especiales –como el requisito de inscribirse, por regla general, en el Registro Único de Proponentes (RUP), establecido en el artículo 6 de la Ley 1150 de 2007, modificado por el artículo 221 del Decreto 19 de 2012 –, se destaca el régimen de inhabilidades e incompatibilidades como un conjunto de normas que imponen restricciones para los sujetos que, eventualmente, pretendan participar en los procedimientos de selección o celebrar contratos con las entidades estatales.</w:t>
      </w:r>
    </w:p>
    <w:p w14:paraId="38A7FA81" w14:textId="77777777" w:rsidR="00ED79C8" w:rsidRPr="00523932" w:rsidRDefault="00ED79C8" w:rsidP="00ED79C8">
      <w:pPr>
        <w:spacing w:after="0" w:line="240" w:lineRule="auto"/>
        <w:jc w:val="both"/>
        <w:rPr>
          <w:rFonts w:ascii="Verdana" w:eastAsia="Calibri" w:hAnsi="Verdana" w:cs="Arial"/>
          <w:bCs/>
          <w:sz w:val="20"/>
          <w:szCs w:val="20"/>
          <w:lang w:val="es-MX" w:eastAsia="es-ES_tradnl"/>
        </w:rPr>
      </w:pPr>
    </w:p>
    <w:p w14:paraId="1F41EB5A" w14:textId="77777777" w:rsidR="00ED79C8" w:rsidRDefault="00ED79C8" w:rsidP="00ED79C8">
      <w:pPr>
        <w:spacing w:after="0" w:line="240" w:lineRule="auto"/>
        <w:jc w:val="both"/>
        <w:rPr>
          <w:rFonts w:ascii="Verdana" w:eastAsia="Calibri" w:hAnsi="Verdana" w:cs="Arial"/>
          <w:bCs/>
          <w:sz w:val="20"/>
          <w:szCs w:val="20"/>
          <w:lang w:val="es-MX" w:eastAsia="es-ES_tradnl"/>
        </w:rPr>
      </w:pPr>
      <w:r w:rsidRPr="00523932">
        <w:rPr>
          <w:rFonts w:ascii="Verdana" w:eastAsia="Calibri" w:hAnsi="Verdana" w:cs="Arial"/>
          <w:bCs/>
          <w:sz w:val="20"/>
          <w:szCs w:val="20"/>
          <w:lang w:val="es-MX" w:eastAsia="es-ES_tradnl"/>
        </w:rPr>
        <w:t xml:space="preserve">Las inhabilidades son prohibiciones para concurrir a los procedimientos de selección y para contratar con el Estado, que se derivan: i) de la existencia de comportamientos reprochables o de sanciones anteriormente impuestas, ii) de vínculos personales relativos al parentesco o al estado civil o iii) de una actividad u oficio que se desempeñó en el pasado. De otro lado, las incompatibilidades, según un sector de la doctrina,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 En todo caso, a pesar de la existencia de distintos criterios para diferenciar las inhabilidades de las incompatibilidades, de la presencia de ellas se derivan las mismas consecuencias jurídicas, esto es, la limitación </w:t>
      </w:r>
      <w:r w:rsidRPr="00523932">
        <w:rPr>
          <w:rFonts w:ascii="Verdana" w:eastAsia="Calibri" w:hAnsi="Verdana" w:cs="Arial"/>
          <w:bCs/>
          <w:sz w:val="20"/>
          <w:szCs w:val="20"/>
          <w:lang w:val="es-MX" w:eastAsia="es-ES_tradnl"/>
        </w:rPr>
        <w:lastRenderedPageBreak/>
        <w:t>de la capacidad contractual. De manera que la presencia de ellas impide que se puedan celebrar contratos con el Estado o participar en procedimientos de selección de las entidades estatales, por lo que de cualquiera de ellas se derivan los mismos efectos jurídicos.</w:t>
      </w:r>
    </w:p>
    <w:p w14:paraId="3EEE8FEC" w14:textId="77777777" w:rsidR="00ED79C8" w:rsidRPr="00523932" w:rsidRDefault="00ED79C8" w:rsidP="00ED79C8">
      <w:pPr>
        <w:spacing w:after="0" w:line="240" w:lineRule="auto"/>
        <w:jc w:val="both"/>
        <w:rPr>
          <w:rFonts w:ascii="Verdana" w:eastAsia="Calibri" w:hAnsi="Verdana" w:cs="Arial"/>
          <w:bCs/>
          <w:sz w:val="20"/>
          <w:szCs w:val="20"/>
          <w:lang w:val="es-MX" w:eastAsia="es-ES_tradnl"/>
        </w:rPr>
      </w:pPr>
    </w:p>
    <w:p w14:paraId="61141B5C" w14:textId="77777777" w:rsidR="00ED79C8" w:rsidRPr="00523932" w:rsidRDefault="00ED79C8" w:rsidP="00ED79C8">
      <w:pPr>
        <w:spacing w:after="0" w:line="240" w:lineRule="auto"/>
        <w:jc w:val="both"/>
        <w:rPr>
          <w:rFonts w:ascii="Verdana" w:eastAsia="Calibri" w:hAnsi="Verdana" w:cs="Arial"/>
          <w:b/>
          <w:lang w:val="es-MX" w:eastAsia="es-ES_tradnl"/>
        </w:rPr>
      </w:pPr>
      <w:r>
        <w:rPr>
          <w:rFonts w:ascii="Verdana" w:eastAsia="Calibri" w:hAnsi="Verdana" w:cs="Arial"/>
          <w:b/>
          <w:lang w:val="es-MX" w:eastAsia="es-ES_tradnl"/>
        </w:rPr>
        <w:t>PARTICULARES QUE ADMINISTRAN RECURSOS PÚBLICOS</w:t>
      </w:r>
      <w:r w:rsidRPr="00523932">
        <w:rPr>
          <w:rFonts w:ascii="Verdana" w:eastAsia="Calibri" w:hAnsi="Verdana" w:cs="Arial"/>
          <w:b/>
          <w:lang w:val="es-MX" w:eastAsia="es-ES_tradnl"/>
        </w:rPr>
        <w:t xml:space="preserve"> –</w:t>
      </w:r>
      <w:r>
        <w:rPr>
          <w:rFonts w:ascii="Verdana" w:eastAsia="Calibri" w:hAnsi="Verdana" w:cs="Arial"/>
          <w:b/>
          <w:lang w:val="es-MX" w:eastAsia="es-ES_tradnl"/>
        </w:rPr>
        <w:t xml:space="preserve"> Régimen de inhabilidades e incompatibilidades – Extensión </w:t>
      </w:r>
    </w:p>
    <w:p w14:paraId="5B6A9553" w14:textId="77777777" w:rsidR="00ED79C8" w:rsidRPr="00523932" w:rsidRDefault="00ED79C8" w:rsidP="00ED79C8">
      <w:pPr>
        <w:spacing w:after="0" w:line="240" w:lineRule="auto"/>
        <w:rPr>
          <w:rFonts w:ascii="Verdana" w:eastAsia="Calibri" w:hAnsi="Verdana" w:cs="Arial"/>
          <w:bCs/>
          <w:sz w:val="20"/>
          <w:szCs w:val="20"/>
          <w:lang w:val="es-MX" w:eastAsia="es-ES_tradnl"/>
        </w:rPr>
      </w:pPr>
    </w:p>
    <w:p w14:paraId="22EF897D" w14:textId="77777777" w:rsidR="00ED79C8" w:rsidRDefault="00ED79C8" w:rsidP="00ED79C8">
      <w:pPr>
        <w:spacing w:after="0" w:line="240" w:lineRule="auto"/>
        <w:jc w:val="both"/>
        <w:rPr>
          <w:rFonts w:ascii="Verdana" w:eastAsia="Calibri" w:hAnsi="Verdana" w:cs="Arial"/>
          <w:bCs/>
          <w:sz w:val="20"/>
          <w:szCs w:val="20"/>
          <w:lang w:val="es-MX" w:eastAsia="es-ES_tradnl"/>
        </w:rPr>
      </w:pPr>
      <w:r>
        <w:rPr>
          <w:rFonts w:ascii="Verdana" w:eastAsia="Calibri" w:hAnsi="Verdana" w:cs="Arial"/>
          <w:bCs/>
          <w:sz w:val="20"/>
          <w:szCs w:val="20"/>
          <w:lang w:val="es-MX" w:eastAsia="es-ES_tradnl"/>
        </w:rPr>
        <w:t>L</w:t>
      </w:r>
      <w:r w:rsidRPr="00555999">
        <w:rPr>
          <w:rFonts w:ascii="Verdana" w:eastAsia="Calibri" w:hAnsi="Verdana" w:cs="Arial"/>
          <w:bCs/>
          <w:sz w:val="20"/>
          <w:szCs w:val="20"/>
          <w:lang w:val="es-MX" w:eastAsia="es-ES_tradnl"/>
        </w:rPr>
        <w:t>as restricciones a la capacidad jurídica para la celebración de contratos se extiend</w:t>
      </w:r>
      <w:r>
        <w:rPr>
          <w:rFonts w:ascii="Verdana" w:eastAsia="Calibri" w:hAnsi="Verdana" w:cs="Arial"/>
          <w:bCs/>
          <w:sz w:val="20"/>
          <w:szCs w:val="20"/>
          <w:lang w:val="es-MX" w:eastAsia="es-ES_tradnl"/>
        </w:rPr>
        <w:t>e</w:t>
      </w:r>
      <w:r w:rsidRPr="00555999">
        <w:rPr>
          <w:rFonts w:ascii="Verdana" w:eastAsia="Calibri" w:hAnsi="Verdana" w:cs="Arial"/>
          <w:bCs/>
          <w:sz w:val="20"/>
          <w:szCs w:val="20"/>
          <w:lang w:val="es-MX" w:eastAsia="es-ES_tradnl"/>
        </w:rPr>
        <w:t>n a los negocios jurídicos entre particulares. Al respecto, el parágrafo 3 del artículo 8 del Estatuto General de Contratación de la Administración Pública, adicionado por el artículo 3 de la Ley 2014 de 2019, dispone que “Las inhabilidades e incompatibilidades contempladas en este artículo se aplicarán a cualquier proceso de contratación privada en el que se comprometan recursos públicos”.</w:t>
      </w:r>
    </w:p>
    <w:p w14:paraId="5A7A4F4F" w14:textId="77777777" w:rsidR="00ED79C8" w:rsidRPr="00555999" w:rsidRDefault="00ED79C8" w:rsidP="00ED79C8">
      <w:pPr>
        <w:spacing w:after="0" w:line="240" w:lineRule="auto"/>
        <w:jc w:val="both"/>
        <w:rPr>
          <w:rFonts w:ascii="Verdana" w:eastAsia="Calibri" w:hAnsi="Verdana" w:cs="Arial"/>
          <w:bCs/>
          <w:sz w:val="20"/>
          <w:szCs w:val="20"/>
          <w:lang w:val="es-MX" w:eastAsia="es-ES_tradnl"/>
        </w:rPr>
      </w:pPr>
    </w:p>
    <w:p w14:paraId="21416DCE" w14:textId="77777777" w:rsidR="00ED79C8" w:rsidRPr="000F6022" w:rsidRDefault="00ED79C8" w:rsidP="00ED79C8">
      <w:pPr>
        <w:spacing w:after="0" w:line="240" w:lineRule="auto"/>
        <w:jc w:val="both"/>
        <w:rPr>
          <w:rFonts w:ascii="Verdana" w:eastAsia="Times New Roman" w:hAnsi="Verdana" w:cs="Arial"/>
          <w:color w:val="000000"/>
          <w:sz w:val="20"/>
          <w:szCs w:val="20"/>
          <w:lang w:val="es-MX" w:eastAsia="es-MX"/>
        </w:rPr>
      </w:pPr>
    </w:p>
    <w:p w14:paraId="661E4516" w14:textId="77777777" w:rsidR="00ED79C8" w:rsidRPr="00DE2AC7" w:rsidRDefault="00ED79C8" w:rsidP="00ED79C8">
      <w:pPr>
        <w:spacing w:after="0" w:line="240" w:lineRule="auto"/>
        <w:jc w:val="both"/>
        <w:rPr>
          <w:rFonts w:ascii="Verdana" w:eastAsia="Geomanist Light" w:hAnsi="Verdana" w:cs="Arial"/>
          <w:color w:val="000000" w:themeColor="text1"/>
        </w:rPr>
      </w:pPr>
    </w:p>
    <w:p w14:paraId="324D413F" w14:textId="77777777" w:rsidR="00ED79C8" w:rsidRDefault="00ED79C8" w:rsidP="00ED79C8">
      <w:pPr>
        <w:spacing w:after="0" w:line="240" w:lineRule="auto"/>
        <w:rPr>
          <w:rFonts w:ascii="Verdana" w:eastAsia="Geomanist Light" w:hAnsi="Verdana" w:cs="Arial"/>
          <w:color w:val="000000" w:themeColor="text1"/>
          <w:lang w:val="es-MX"/>
        </w:rPr>
      </w:pPr>
    </w:p>
    <w:p w14:paraId="58CCE913" w14:textId="77777777" w:rsidR="00ED79C8" w:rsidRDefault="00ED79C8" w:rsidP="00ED79C8">
      <w:pPr>
        <w:spacing w:after="0" w:line="240" w:lineRule="auto"/>
        <w:rPr>
          <w:rFonts w:ascii="Verdana" w:eastAsia="Geomanist Light" w:hAnsi="Verdana" w:cs="Arial"/>
          <w:color w:val="000000" w:themeColor="text1"/>
          <w:lang w:val="es-MX"/>
        </w:rPr>
      </w:pPr>
    </w:p>
    <w:p w14:paraId="481659EA" w14:textId="77777777" w:rsidR="00ED79C8" w:rsidRDefault="00ED79C8" w:rsidP="00ED79C8">
      <w:pPr>
        <w:spacing w:after="0" w:line="240" w:lineRule="auto"/>
        <w:rPr>
          <w:rFonts w:ascii="Verdana" w:eastAsia="Geomanist Light" w:hAnsi="Verdana" w:cs="Arial"/>
          <w:color w:val="000000" w:themeColor="text1"/>
          <w:lang w:val="es-MX"/>
        </w:rPr>
      </w:pPr>
    </w:p>
    <w:p w14:paraId="1C8441F3" w14:textId="77777777" w:rsidR="00ED79C8" w:rsidRDefault="00ED79C8" w:rsidP="00ED79C8">
      <w:pPr>
        <w:spacing w:after="0" w:line="240" w:lineRule="auto"/>
        <w:rPr>
          <w:rFonts w:ascii="Verdana" w:eastAsia="Geomanist Light" w:hAnsi="Verdana" w:cs="Arial"/>
          <w:color w:val="000000" w:themeColor="text1"/>
          <w:lang w:val="es-MX"/>
        </w:rPr>
      </w:pPr>
    </w:p>
    <w:p w14:paraId="18E2B5E3" w14:textId="77777777" w:rsidR="00ED79C8" w:rsidRDefault="00ED79C8" w:rsidP="00ED79C8">
      <w:pPr>
        <w:spacing w:after="0" w:line="240" w:lineRule="auto"/>
        <w:rPr>
          <w:rFonts w:ascii="Verdana" w:eastAsia="Geomanist Light" w:hAnsi="Verdana" w:cs="Arial"/>
          <w:color w:val="000000" w:themeColor="text1"/>
          <w:lang w:val="es-MX"/>
        </w:rPr>
      </w:pPr>
    </w:p>
    <w:p w14:paraId="4C687831" w14:textId="77777777" w:rsidR="00ED79C8" w:rsidRDefault="00ED79C8" w:rsidP="00ED79C8">
      <w:pPr>
        <w:spacing w:after="0" w:line="240" w:lineRule="auto"/>
        <w:rPr>
          <w:rFonts w:ascii="Verdana" w:eastAsia="Geomanist Light" w:hAnsi="Verdana" w:cs="Arial"/>
          <w:color w:val="000000" w:themeColor="text1"/>
          <w:lang w:val="es-MX"/>
        </w:rPr>
      </w:pPr>
    </w:p>
    <w:p w14:paraId="5ED7C884" w14:textId="77777777" w:rsidR="00ED79C8" w:rsidRDefault="00ED79C8" w:rsidP="00ED79C8">
      <w:pPr>
        <w:spacing w:after="0" w:line="240" w:lineRule="auto"/>
        <w:rPr>
          <w:rFonts w:ascii="Verdana" w:eastAsia="Geomanist Light" w:hAnsi="Verdana" w:cs="Arial"/>
          <w:color w:val="000000" w:themeColor="text1"/>
          <w:lang w:val="es-MX"/>
        </w:rPr>
      </w:pPr>
    </w:p>
    <w:p w14:paraId="17344C31" w14:textId="77777777" w:rsidR="00ED79C8" w:rsidRDefault="00ED79C8" w:rsidP="00ED79C8">
      <w:pPr>
        <w:spacing w:after="0" w:line="240" w:lineRule="auto"/>
        <w:rPr>
          <w:rFonts w:ascii="Verdana" w:eastAsia="Geomanist Light" w:hAnsi="Verdana" w:cs="Arial"/>
          <w:color w:val="000000" w:themeColor="text1"/>
          <w:lang w:val="es-MX"/>
        </w:rPr>
      </w:pPr>
    </w:p>
    <w:p w14:paraId="4C5BBE47" w14:textId="77777777" w:rsidR="00ED79C8" w:rsidRDefault="00ED79C8" w:rsidP="00ED79C8">
      <w:pPr>
        <w:spacing w:after="0" w:line="240" w:lineRule="auto"/>
        <w:rPr>
          <w:rFonts w:ascii="Verdana" w:eastAsia="Geomanist Light" w:hAnsi="Verdana" w:cs="Arial"/>
          <w:color w:val="000000" w:themeColor="text1"/>
          <w:lang w:val="es-MX"/>
        </w:rPr>
      </w:pPr>
    </w:p>
    <w:p w14:paraId="769F98C2" w14:textId="77777777" w:rsidR="00ED79C8" w:rsidRDefault="00ED79C8" w:rsidP="00ED79C8">
      <w:pPr>
        <w:spacing w:after="0" w:line="240" w:lineRule="auto"/>
        <w:rPr>
          <w:rFonts w:ascii="Verdana" w:eastAsia="Geomanist Light" w:hAnsi="Verdana" w:cs="Arial"/>
          <w:color w:val="000000" w:themeColor="text1"/>
          <w:lang w:val="es-MX"/>
        </w:rPr>
      </w:pPr>
    </w:p>
    <w:p w14:paraId="63B44B0D" w14:textId="77777777" w:rsidR="00ED79C8" w:rsidRDefault="00ED79C8" w:rsidP="00ED79C8">
      <w:pPr>
        <w:spacing w:after="0" w:line="240" w:lineRule="auto"/>
        <w:rPr>
          <w:rFonts w:ascii="Verdana" w:eastAsia="Geomanist Light" w:hAnsi="Verdana" w:cs="Arial"/>
          <w:color w:val="000000" w:themeColor="text1"/>
          <w:lang w:val="es-MX"/>
        </w:rPr>
      </w:pPr>
    </w:p>
    <w:p w14:paraId="16B0263D" w14:textId="77777777" w:rsidR="00ED79C8" w:rsidRDefault="00ED79C8" w:rsidP="00ED79C8">
      <w:pPr>
        <w:spacing w:after="0" w:line="240" w:lineRule="auto"/>
        <w:rPr>
          <w:rFonts w:ascii="Verdana" w:eastAsia="Geomanist Light" w:hAnsi="Verdana" w:cs="Arial"/>
          <w:color w:val="000000" w:themeColor="text1"/>
          <w:lang w:val="es-MX"/>
        </w:rPr>
      </w:pPr>
    </w:p>
    <w:p w14:paraId="7EB7B6F1" w14:textId="77777777" w:rsidR="00ED79C8" w:rsidRDefault="00ED79C8" w:rsidP="00ED79C8">
      <w:pPr>
        <w:spacing w:after="0" w:line="240" w:lineRule="auto"/>
        <w:rPr>
          <w:rFonts w:ascii="Verdana" w:eastAsia="Geomanist Light" w:hAnsi="Verdana" w:cs="Arial"/>
          <w:color w:val="000000" w:themeColor="text1"/>
          <w:lang w:val="es-MX"/>
        </w:rPr>
      </w:pPr>
    </w:p>
    <w:p w14:paraId="68F23203" w14:textId="77777777" w:rsidR="00ED79C8" w:rsidRDefault="00ED79C8" w:rsidP="00ED79C8">
      <w:pPr>
        <w:spacing w:after="0" w:line="240" w:lineRule="auto"/>
        <w:rPr>
          <w:rFonts w:ascii="Verdana" w:eastAsia="Geomanist Light" w:hAnsi="Verdana" w:cs="Arial"/>
          <w:color w:val="000000" w:themeColor="text1"/>
          <w:lang w:val="es-MX"/>
        </w:rPr>
      </w:pPr>
    </w:p>
    <w:p w14:paraId="2E757DAC" w14:textId="77777777" w:rsidR="00ED79C8" w:rsidRDefault="00ED79C8" w:rsidP="00ED79C8">
      <w:pPr>
        <w:spacing w:after="0" w:line="240" w:lineRule="auto"/>
        <w:rPr>
          <w:rFonts w:ascii="Verdana" w:eastAsia="Geomanist Light" w:hAnsi="Verdana" w:cs="Arial"/>
          <w:color w:val="000000" w:themeColor="text1"/>
          <w:lang w:val="es-MX"/>
        </w:rPr>
      </w:pPr>
    </w:p>
    <w:p w14:paraId="6C630E7E" w14:textId="77777777" w:rsidR="00ED79C8" w:rsidRDefault="00ED79C8" w:rsidP="00ED79C8">
      <w:pPr>
        <w:spacing w:after="0" w:line="240" w:lineRule="auto"/>
        <w:rPr>
          <w:rFonts w:ascii="Verdana" w:eastAsia="Geomanist Light" w:hAnsi="Verdana" w:cs="Arial"/>
          <w:color w:val="000000" w:themeColor="text1"/>
          <w:lang w:val="es-MX"/>
        </w:rPr>
      </w:pPr>
    </w:p>
    <w:p w14:paraId="2F2FDDE7" w14:textId="77777777" w:rsidR="00ED79C8" w:rsidRDefault="00ED79C8" w:rsidP="00ED79C8">
      <w:pPr>
        <w:spacing w:after="0" w:line="240" w:lineRule="auto"/>
        <w:rPr>
          <w:rFonts w:ascii="Verdana" w:eastAsia="Geomanist Light" w:hAnsi="Verdana" w:cs="Arial"/>
          <w:color w:val="000000" w:themeColor="text1"/>
          <w:lang w:val="es-MX"/>
        </w:rPr>
      </w:pPr>
    </w:p>
    <w:p w14:paraId="5A60B092" w14:textId="77777777" w:rsidR="00ED79C8" w:rsidRDefault="00ED79C8" w:rsidP="00ED79C8">
      <w:pPr>
        <w:spacing w:after="0" w:line="240" w:lineRule="auto"/>
        <w:rPr>
          <w:rFonts w:ascii="Verdana" w:eastAsia="Geomanist Light" w:hAnsi="Verdana" w:cs="Arial"/>
          <w:color w:val="000000" w:themeColor="text1"/>
          <w:lang w:val="es-MX"/>
        </w:rPr>
      </w:pPr>
    </w:p>
    <w:p w14:paraId="4A62C015" w14:textId="77777777" w:rsidR="00ED79C8" w:rsidRDefault="00ED79C8" w:rsidP="00ED79C8">
      <w:pPr>
        <w:spacing w:after="0" w:line="240" w:lineRule="auto"/>
        <w:rPr>
          <w:rFonts w:ascii="Verdana" w:eastAsia="Geomanist Light" w:hAnsi="Verdana" w:cs="Arial"/>
          <w:color w:val="000000" w:themeColor="text1"/>
          <w:lang w:val="es-MX"/>
        </w:rPr>
      </w:pPr>
    </w:p>
    <w:p w14:paraId="496FC6D0" w14:textId="77777777" w:rsidR="00ED79C8" w:rsidRDefault="00ED79C8" w:rsidP="00ED79C8">
      <w:pPr>
        <w:spacing w:after="0" w:line="240" w:lineRule="auto"/>
        <w:rPr>
          <w:rFonts w:ascii="Verdana" w:eastAsia="Geomanist Light" w:hAnsi="Verdana" w:cs="Arial"/>
          <w:color w:val="000000" w:themeColor="text1"/>
          <w:lang w:val="es-MX"/>
        </w:rPr>
      </w:pPr>
    </w:p>
    <w:p w14:paraId="602AE397" w14:textId="77777777" w:rsidR="00ED79C8" w:rsidRDefault="00ED79C8" w:rsidP="00ED79C8">
      <w:pPr>
        <w:spacing w:after="0" w:line="240" w:lineRule="auto"/>
        <w:rPr>
          <w:rFonts w:ascii="Verdana" w:eastAsia="Geomanist Light" w:hAnsi="Verdana" w:cs="Arial"/>
          <w:color w:val="000000" w:themeColor="text1"/>
          <w:lang w:val="es-MX"/>
        </w:rPr>
      </w:pPr>
    </w:p>
    <w:p w14:paraId="686A0360" w14:textId="77777777" w:rsidR="00ED79C8" w:rsidRDefault="00ED79C8" w:rsidP="00ED79C8">
      <w:pPr>
        <w:spacing w:after="0" w:line="240" w:lineRule="auto"/>
        <w:rPr>
          <w:rFonts w:ascii="Verdana" w:eastAsia="Geomanist Light" w:hAnsi="Verdana" w:cs="Arial"/>
          <w:color w:val="000000" w:themeColor="text1"/>
          <w:lang w:val="es-MX"/>
        </w:rPr>
      </w:pPr>
    </w:p>
    <w:p w14:paraId="46106CD1" w14:textId="77777777" w:rsidR="00ED79C8" w:rsidRDefault="00ED79C8" w:rsidP="00ED79C8">
      <w:pPr>
        <w:spacing w:after="0" w:line="240" w:lineRule="auto"/>
        <w:rPr>
          <w:rFonts w:ascii="Verdana" w:eastAsia="Geomanist Light" w:hAnsi="Verdana" w:cs="Arial"/>
          <w:color w:val="000000" w:themeColor="text1"/>
          <w:lang w:val="es-MX"/>
        </w:rPr>
      </w:pPr>
    </w:p>
    <w:p w14:paraId="7F2B59D3" w14:textId="77777777" w:rsidR="00ED79C8" w:rsidRDefault="00ED79C8" w:rsidP="00ED79C8">
      <w:pPr>
        <w:spacing w:after="0" w:line="240" w:lineRule="auto"/>
        <w:rPr>
          <w:rFonts w:ascii="Verdana" w:eastAsia="Geomanist Light" w:hAnsi="Verdana" w:cs="Arial"/>
          <w:color w:val="000000" w:themeColor="text1"/>
          <w:lang w:val="es-MX"/>
        </w:rPr>
      </w:pPr>
    </w:p>
    <w:p w14:paraId="3D21F3EE" w14:textId="77777777" w:rsidR="00ED79C8" w:rsidRDefault="00ED79C8" w:rsidP="00ED79C8">
      <w:pPr>
        <w:spacing w:after="0" w:line="240" w:lineRule="auto"/>
        <w:rPr>
          <w:rFonts w:ascii="Verdana" w:eastAsia="Geomanist Light" w:hAnsi="Verdana" w:cs="Arial"/>
          <w:color w:val="000000" w:themeColor="text1"/>
          <w:lang w:val="es-MX"/>
        </w:rPr>
      </w:pPr>
    </w:p>
    <w:p w14:paraId="7B6654ED" w14:textId="77777777" w:rsidR="00ED79C8" w:rsidRDefault="00ED79C8" w:rsidP="000829A1">
      <w:pPr>
        <w:spacing w:after="0" w:line="240" w:lineRule="auto"/>
        <w:rPr>
          <w:rFonts w:ascii="Verdana" w:eastAsia="Geomanist Light" w:hAnsi="Verdana" w:cs="Arial"/>
          <w:color w:val="000000" w:themeColor="text1"/>
          <w:lang w:val="es-MX"/>
        </w:rPr>
      </w:pPr>
    </w:p>
    <w:p w14:paraId="646A6993" w14:textId="54527BDB" w:rsidR="000829A1" w:rsidRPr="00593A5F" w:rsidRDefault="000829A1" w:rsidP="000829A1">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BF4CCF">
        <w:rPr>
          <w:rFonts w:ascii="Verdana" w:eastAsia="Geomanist Light" w:hAnsi="Verdana" w:cs="Arial"/>
          <w:color w:val="000000" w:themeColor="text1"/>
          <w:lang w:val="es-MX"/>
        </w:rPr>
        <w:t>19 de Noviembre de 2025</w:t>
      </w:r>
    </w:p>
    <w:p w14:paraId="61611D3E" w14:textId="77777777" w:rsidR="000829A1" w:rsidRDefault="000829A1" w:rsidP="000829A1">
      <w:pPr>
        <w:spacing w:after="0" w:line="240" w:lineRule="auto"/>
        <w:jc w:val="both"/>
        <w:rPr>
          <w:rFonts w:ascii="Verdana" w:eastAsia="Calibri" w:hAnsi="Verdana" w:cs="Arial"/>
          <w:color w:val="000000"/>
          <w:lang w:val="es-ES"/>
        </w:rPr>
      </w:pPr>
    </w:p>
    <w:p w14:paraId="65ABC27E" w14:textId="42B9EB81" w:rsidR="000829A1" w:rsidRDefault="00F80FE6" w:rsidP="00F80FE6">
      <w:pPr>
        <w:spacing w:after="0" w:line="240" w:lineRule="auto"/>
        <w:jc w:val="right"/>
        <w:rPr>
          <w:rFonts w:ascii="Verdana" w:eastAsia="Calibri" w:hAnsi="Verdana" w:cs="Arial"/>
          <w:color w:val="000000"/>
          <w:lang w:val="es-ES"/>
        </w:rPr>
      </w:pPr>
      <w:r w:rsidRPr="00F80FE6">
        <w:rPr>
          <w:rFonts w:ascii="Verdana" w:eastAsia="Calibri" w:hAnsi="Verdana" w:cs="Arial"/>
          <w:noProof/>
          <w:color w:val="000000"/>
          <w:lang w:val="es-ES"/>
        </w:rPr>
        <w:drawing>
          <wp:inline distT="0" distB="0" distL="0" distR="0" wp14:anchorId="718C8FA6" wp14:editId="3D9E1497">
            <wp:extent cx="2750457" cy="711200"/>
            <wp:effectExtent l="0" t="0" r="5715" b="0"/>
            <wp:docPr id="150897480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974806" name=""/>
                    <pic:cNvPicPr/>
                  </pic:nvPicPr>
                  <pic:blipFill>
                    <a:blip r:embed="rId10"/>
                    <a:stretch>
                      <a:fillRect/>
                    </a:stretch>
                  </pic:blipFill>
                  <pic:spPr>
                    <a:xfrm>
                      <a:off x="0" y="0"/>
                      <a:ext cx="2855049" cy="738245"/>
                    </a:xfrm>
                    <a:prstGeom prst="rect">
                      <a:avLst/>
                    </a:prstGeom>
                  </pic:spPr>
                </pic:pic>
              </a:graphicData>
            </a:graphic>
          </wp:inline>
        </w:drawing>
      </w:r>
    </w:p>
    <w:p w14:paraId="680D9A82" w14:textId="77777777" w:rsidR="00F80FE6" w:rsidRPr="00593A5F" w:rsidRDefault="00F80FE6" w:rsidP="000829A1">
      <w:pPr>
        <w:spacing w:after="0" w:line="240" w:lineRule="auto"/>
        <w:jc w:val="both"/>
        <w:rPr>
          <w:rFonts w:ascii="Verdana" w:eastAsia="Calibri" w:hAnsi="Verdana" w:cs="Arial"/>
          <w:color w:val="000000"/>
          <w:lang w:val="es-ES"/>
        </w:rPr>
      </w:pPr>
    </w:p>
    <w:p w14:paraId="095135FE" w14:textId="77777777" w:rsidR="000829A1" w:rsidRPr="00B96799" w:rsidRDefault="000829A1" w:rsidP="000829A1">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0B90F910" w14:textId="77777777" w:rsidR="000829A1" w:rsidRPr="0085423D" w:rsidRDefault="000829A1" w:rsidP="000829A1">
      <w:pPr>
        <w:spacing w:after="0" w:line="240" w:lineRule="auto"/>
        <w:rPr>
          <w:rFonts w:ascii="Verdana" w:eastAsia="Calibri" w:hAnsi="Verdana" w:cs="Arial"/>
          <w:b/>
          <w:lang w:val="es-ES_tradnl" w:eastAsia="es-ES_tradnl"/>
        </w:rPr>
      </w:pPr>
      <w:bookmarkStart w:id="0" w:name="OLE_LINK1"/>
      <w:r w:rsidRPr="0079772D">
        <w:rPr>
          <w:rFonts w:ascii="Verdana" w:eastAsia="Calibri" w:hAnsi="Verdana" w:cs="Arial"/>
          <w:b/>
          <w:lang w:val="es-ES_tradnl" w:eastAsia="es-ES_tradnl"/>
        </w:rPr>
        <w:t>Nicolas Acevedo González</w:t>
      </w:r>
      <w:r>
        <w:rPr>
          <w:rFonts w:ascii="Verdana" w:eastAsia="Calibri" w:hAnsi="Verdana" w:cs="Arial"/>
          <w:b/>
          <w:lang w:val="es-ES_tradnl" w:eastAsia="es-ES_tradnl"/>
        </w:rPr>
        <w:t xml:space="preserve"> </w:t>
      </w:r>
    </w:p>
    <w:bookmarkEnd w:id="0"/>
    <w:p w14:paraId="53AF9F99" w14:textId="77777777" w:rsidR="000829A1" w:rsidRPr="00507587" w:rsidRDefault="000829A1" w:rsidP="000829A1">
      <w:pPr>
        <w:spacing w:after="0" w:line="240" w:lineRule="auto"/>
        <w:rPr>
          <w:rFonts w:ascii="Verdana" w:eastAsia="Calibri" w:hAnsi="Verdana" w:cs="Arial"/>
          <w:lang w:val="es-ES" w:eastAsia="es-ES"/>
        </w:rPr>
      </w:pPr>
      <w:r>
        <w:rPr>
          <w:rFonts w:ascii="Verdana" w:hAnsi="Verdana"/>
        </w:rPr>
        <w:fldChar w:fldCharType="begin"/>
      </w:r>
      <w:r>
        <w:rPr>
          <w:rFonts w:ascii="Verdana" w:hAnsi="Verdana"/>
        </w:rPr>
        <w:instrText>HYPERLINK "mailto:</w:instrText>
      </w:r>
      <w:r w:rsidRPr="005B702E">
        <w:rPr>
          <w:rFonts w:ascii="Verdana" w:hAnsi="Verdana"/>
        </w:rPr>
        <w:instrText>nicolas.acevedo@icbf.gov.co</w:instrText>
      </w:r>
      <w:r>
        <w:rPr>
          <w:rFonts w:ascii="Verdana" w:hAnsi="Verdana"/>
        </w:rPr>
        <w:instrText>"</w:instrText>
      </w:r>
      <w:r>
        <w:rPr>
          <w:rFonts w:ascii="Verdana" w:hAnsi="Verdana"/>
        </w:rPr>
      </w:r>
      <w:r>
        <w:rPr>
          <w:rFonts w:ascii="Verdana" w:hAnsi="Verdana"/>
        </w:rPr>
        <w:fldChar w:fldCharType="separate"/>
      </w:r>
      <w:r w:rsidRPr="00A91D92">
        <w:rPr>
          <w:rStyle w:val="Hipervnculo"/>
          <w:rFonts w:ascii="Verdana" w:hAnsi="Verdana"/>
        </w:rPr>
        <w:t>nicolas.acevedo@icbf.gov.co</w:t>
      </w:r>
      <w:r>
        <w:rPr>
          <w:rFonts w:ascii="Verdana" w:hAnsi="Verdana"/>
        </w:rPr>
        <w:fldChar w:fldCharType="end"/>
      </w:r>
      <w:r>
        <w:rPr>
          <w:rFonts w:ascii="Verdana" w:hAnsi="Verdana"/>
        </w:rPr>
        <w:t xml:space="preserve">   </w:t>
      </w:r>
      <w:r w:rsidRPr="0084291A">
        <w:rPr>
          <w:rFonts w:ascii="Verdana" w:hAnsi="Verdana"/>
        </w:rPr>
        <w:t xml:space="preserve"> </w:t>
      </w:r>
      <w:r>
        <w:rPr>
          <w:rFonts w:ascii="Verdana" w:hAnsi="Verdana"/>
        </w:rPr>
        <w:t xml:space="preserve"> </w:t>
      </w:r>
      <w:r w:rsidRPr="00507587">
        <w:rPr>
          <w:rFonts w:ascii="Verdana" w:hAnsi="Verdana"/>
        </w:rPr>
        <w:t xml:space="preserve">            </w:t>
      </w:r>
      <w:r w:rsidRPr="00507587">
        <w:rPr>
          <w:rFonts w:ascii="Verdana" w:eastAsia="Calibri" w:hAnsi="Verdana" w:cs="Arial"/>
          <w:lang w:val="es-ES" w:eastAsia="es-ES"/>
        </w:rPr>
        <w:t xml:space="preserve">    </w:t>
      </w:r>
    </w:p>
    <w:p w14:paraId="138A80AF" w14:textId="77777777" w:rsidR="000829A1" w:rsidRDefault="000829A1" w:rsidP="000829A1">
      <w:pPr>
        <w:spacing w:after="0" w:line="240" w:lineRule="auto"/>
        <w:rPr>
          <w:rFonts w:ascii="Verdana" w:eastAsia="Calibri" w:hAnsi="Verdana" w:cs="Arial"/>
          <w:lang w:val="es-ES" w:eastAsia="es-ES"/>
        </w:rPr>
      </w:pPr>
      <w:r w:rsidRPr="001F5E1C">
        <w:rPr>
          <w:rFonts w:ascii="Verdana" w:eastAsia="Calibri" w:hAnsi="Verdana" w:cs="Arial"/>
          <w:lang w:val="es-ES" w:eastAsia="es-ES"/>
        </w:rPr>
        <w:t>Bogotá D.C.</w:t>
      </w:r>
      <w:r>
        <w:rPr>
          <w:rFonts w:ascii="Verdana" w:eastAsia="Calibri" w:hAnsi="Verdana" w:cs="Arial"/>
          <w:lang w:val="es-ES" w:eastAsia="es-ES"/>
        </w:rPr>
        <w:t xml:space="preserve"> </w:t>
      </w:r>
    </w:p>
    <w:p w14:paraId="437773B8" w14:textId="77777777" w:rsidR="000829A1" w:rsidRPr="00593A5F" w:rsidRDefault="000829A1" w:rsidP="000829A1">
      <w:pPr>
        <w:spacing w:after="0" w:line="240" w:lineRule="auto"/>
        <w:rPr>
          <w:rFonts w:ascii="Verdana" w:eastAsia="Calibri" w:hAnsi="Verdana" w:cs="Arial"/>
          <w:b/>
          <w:bCs/>
          <w:color w:val="000000"/>
          <w:lang w:val="es-ES_tradnl" w:eastAsia="es-ES_tradnl"/>
        </w:rPr>
      </w:pPr>
    </w:p>
    <w:p w14:paraId="589F31E2" w14:textId="77777777" w:rsidR="000829A1" w:rsidRPr="00593A5F" w:rsidRDefault="000829A1" w:rsidP="000829A1">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829A1" w:rsidRPr="00593A5F" w14:paraId="6FBF7139" w14:textId="77777777" w:rsidTr="00597922">
        <w:trPr>
          <w:trHeight w:val="884"/>
        </w:trPr>
        <w:tc>
          <w:tcPr>
            <w:tcW w:w="2689" w:type="dxa"/>
          </w:tcPr>
          <w:p w14:paraId="6E499559" w14:textId="77777777" w:rsidR="000829A1" w:rsidRPr="00C00976" w:rsidRDefault="000829A1" w:rsidP="00597922">
            <w:pPr>
              <w:jc w:val="both"/>
              <w:rPr>
                <w:rFonts w:ascii="Verdana" w:eastAsia="Calibri" w:hAnsi="Verdana" w:cs="Arial"/>
                <w:b/>
                <w:bCs/>
                <w:color w:val="7030A0"/>
                <w:lang w:val="es-ES_tradnl" w:eastAsia="es-ES_tradnl"/>
              </w:rPr>
            </w:pPr>
          </w:p>
        </w:tc>
        <w:tc>
          <w:tcPr>
            <w:tcW w:w="6100" w:type="dxa"/>
          </w:tcPr>
          <w:p w14:paraId="17F366E7" w14:textId="7DED7D65" w:rsidR="000829A1" w:rsidRPr="00C00976" w:rsidRDefault="000829A1" w:rsidP="00597922">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FD2086">
              <w:rPr>
                <w:rFonts w:ascii="Verdana" w:eastAsia="Calibri" w:hAnsi="Verdana" w:cs="Arial"/>
                <w:b/>
                <w:bCs/>
                <w:lang w:val="es-ES" w:eastAsia="es-ES"/>
              </w:rPr>
              <w:t>1690</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0829A1" w:rsidRPr="00593A5F" w14:paraId="1B9B0CFA" w14:textId="77777777" w:rsidTr="00597922">
        <w:trPr>
          <w:trHeight w:val="884"/>
        </w:trPr>
        <w:tc>
          <w:tcPr>
            <w:tcW w:w="2689" w:type="dxa"/>
          </w:tcPr>
          <w:p w14:paraId="1E679896" w14:textId="77777777" w:rsidR="000829A1" w:rsidRPr="00593A5F" w:rsidRDefault="000829A1" w:rsidP="00597922">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07557628" w14:textId="77777777" w:rsidR="000829A1" w:rsidRPr="00A11406" w:rsidRDefault="000829A1" w:rsidP="00597922">
            <w:pPr>
              <w:spacing w:line="276" w:lineRule="auto"/>
              <w:jc w:val="both"/>
              <w:rPr>
                <w:rFonts w:ascii="Verdana" w:eastAsia="Calibri" w:hAnsi="Verdana" w:cs="Arial"/>
                <w:lang w:val="es-ES" w:eastAsia="es-ES"/>
              </w:rPr>
            </w:pPr>
            <w:r w:rsidRPr="003575C9">
              <w:rPr>
                <w:rFonts w:ascii="Verdana" w:eastAsia="Calibri" w:hAnsi="Verdana" w:cs="Arial"/>
                <w:lang w:val="es-ES" w:eastAsia="es-ES"/>
              </w:rPr>
              <w:t>INHABILIDADES – Definición – Finalidad – Limitación capacidad contractual</w:t>
            </w:r>
            <w:r>
              <w:rPr>
                <w:rFonts w:ascii="Verdana" w:eastAsia="Calibri" w:hAnsi="Verdana" w:cs="Arial"/>
                <w:lang w:val="es-ES" w:eastAsia="es-ES"/>
              </w:rPr>
              <w:t xml:space="preserve"> / </w:t>
            </w:r>
            <w:r w:rsidRPr="003575C9">
              <w:rPr>
                <w:rFonts w:ascii="Verdana" w:eastAsia="Calibri" w:hAnsi="Verdana" w:cs="Arial"/>
                <w:lang w:val="es-ES" w:eastAsia="es-ES"/>
              </w:rPr>
              <w:t>CONTRATACIÓN ESTATAL – Capacidad – Validez contratos – Régimen de contratación – Inscripción – Limitación de la capacidad</w:t>
            </w:r>
            <w:r>
              <w:rPr>
                <w:rFonts w:ascii="Verdana" w:eastAsia="Calibri" w:hAnsi="Verdana" w:cs="Arial"/>
                <w:lang w:val="es-ES" w:eastAsia="es-ES"/>
              </w:rPr>
              <w:t xml:space="preserve"> / </w:t>
            </w:r>
            <w:r w:rsidRPr="00D91491">
              <w:rPr>
                <w:rFonts w:ascii="Verdana" w:eastAsia="Calibri" w:hAnsi="Verdana" w:cs="Arial"/>
                <w:lang w:val="es-ES" w:eastAsia="es-ES"/>
              </w:rPr>
              <w:t>PARTICULARES QUE ADMINISTRAN RECURSOS PÚBLICOS – Régimen de inhabilidades e incompatibilidades – Extensión</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74A290D4" w14:textId="77777777" w:rsidR="000829A1" w:rsidRPr="00593A5F" w:rsidRDefault="000829A1" w:rsidP="00597922">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0829A1" w:rsidRPr="008E6AD9" w14:paraId="296C5948" w14:textId="77777777" w:rsidTr="00597922">
        <w:tc>
          <w:tcPr>
            <w:tcW w:w="2689" w:type="dxa"/>
          </w:tcPr>
          <w:p w14:paraId="264DA551" w14:textId="77777777" w:rsidR="000829A1" w:rsidRPr="008E6AD9" w:rsidRDefault="000829A1" w:rsidP="00597922">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0BCBEDBE" w14:textId="77777777" w:rsidR="000829A1" w:rsidRPr="00B92340" w:rsidRDefault="000829A1" w:rsidP="00597922">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2219B8">
              <w:rPr>
                <w:rFonts w:ascii="Verdana" w:eastAsia="Calibri" w:hAnsi="Verdana" w:cs="Arial"/>
                <w:lang w:val="es-ES_tradnl" w:eastAsia="es-ES_tradnl"/>
              </w:rPr>
              <w:t>1_2025_11_14_012889</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3CA9EF08" w14:textId="77777777" w:rsidR="000829A1" w:rsidRPr="00593A5F" w:rsidRDefault="000829A1" w:rsidP="000829A1">
      <w:pPr>
        <w:spacing w:after="0" w:line="240" w:lineRule="auto"/>
        <w:jc w:val="both"/>
        <w:rPr>
          <w:rFonts w:ascii="Verdana" w:eastAsia="Calibri" w:hAnsi="Verdana" w:cs="Arial"/>
          <w:color w:val="000000"/>
          <w:lang w:val="es-ES_tradnl" w:eastAsia="es-ES_tradnl"/>
        </w:rPr>
      </w:pPr>
    </w:p>
    <w:p w14:paraId="5E43D182" w14:textId="77777777" w:rsidR="000829A1" w:rsidRPr="00593A5F" w:rsidRDefault="000829A1" w:rsidP="000829A1">
      <w:pPr>
        <w:spacing w:after="0" w:line="240" w:lineRule="auto"/>
        <w:jc w:val="both"/>
        <w:rPr>
          <w:rFonts w:ascii="Verdana" w:eastAsia="Calibri" w:hAnsi="Verdana" w:cs="Arial"/>
          <w:color w:val="000000"/>
          <w:lang w:val="es-ES_tradnl" w:eastAsia="es-ES_tradnl"/>
        </w:rPr>
      </w:pPr>
    </w:p>
    <w:p w14:paraId="6AC94CA1" w14:textId="77777777" w:rsidR="000829A1" w:rsidRPr="008E6AD9" w:rsidRDefault="000829A1" w:rsidP="000829A1">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4F155B">
        <w:rPr>
          <w:rFonts w:ascii="Verdana" w:eastAsia="Calibri" w:hAnsi="Verdana" w:cs="Arial"/>
          <w:lang w:val="es-ES" w:eastAsia="es-ES"/>
        </w:rPr>
        <w:t>Acevedo González</w:t>
      </w:r>
      <w:r w:rsidRPr="008E6AD9">
        <w:rPr>
          <w:rFonts w:ascii="Verdana" w:eastAsia="Calibri" w:hAnsi="Verdana" w:cs="Arial"/>
          <w:lang w:val="es-ES" w:eastAsia="es-ES"/>
        </w:rPr>
        <w:t xml:space="preserve">: </w:t>
      </w:r>
    </w:p>
    <w:p w14:paraId="478DA59D" w14:textId="77777777" w:rsidR="000829A1" w:rsidRDefault="000829A1" w:rsidP="000829A1">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0174BE2" w14:textId="77777777" w:rsidR="000829A1" w:rsidRPr="00593A5F" w:rsidRDefault="000829A1" w:rsidP="000829A1">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 xml:space="preserve">la Agencia Nacional de Contratación Pública – Colombia Compra Eficiente responde </w:t>
      </w:r>
      <w:r>
        <w:rPr>
          <w:rFonts w:ascii="Verdana" w:eastAsia="Calibri" w:hAnsi="Verdana" w:cs="Arial"/>
          <w:color w:val="000000" w:themeColor="text1"/>
          <w:lang w:val="es-ES" w:eastAsia="es-ES"/>
        </w:rPr>
        <w:t>su</w:t>
      </w:r>
      <w:r w:rsidRPr="00593A5F">
        <w:rPr>
          <w:rFonts w:ascii="Verdana" w:eastAsia="Calibri" w:hAnsi="Verdana" w:cs="Arial"/>
          <w:color w:val="000000" w:themeColor="text1"/>
          <w:lang w:val="es-ES" w:eastAsia="es-ES"/>
        </w:rPr>
        <w:t xml:space="preserve">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15 de octubre de 2025 realizada al Departamento Administrativo de la Función Pública, la cual –conforme al artículo 21 de la Ley 1437 de 2011– fue remitida por competencia a esta entidad mediante correo </w:t>
      </w:r>
      <w:r>
        <w:rPr>
          <w:rFonts w:ascii="Verdana" w:eastAsia="Calibri" w:hAnsi="Verdana" w:cs="Arial"/>
          <w:lang w:val="es-ES" w:eastAsia="es-ES"/>
        </w:rPr>
        <w:lastRenderedPageBreak/>
        <w:t>electrónico del 13 de octubre de las misma anualidad, en que plantea las siguientes inquietudes</w:t>
      </w:r>
      <w:r w:rsidRPr="008E6AD9">
        <w:rPr>
          <w:rFonts w:ascii="Verdana" w:eastAsia="Calibri" w:hAnsi="Verdana" w:cs="Arial"/>
          <w:lang w:val="es-ES" w:eastAsia="es-ES"/>
        </w:rPr>
        <w:t xml:space="preserve">: </w:t>
      </w:r>
    </w:p>
    <w:p w14:paraId="38C6DA65" w14:textId="77777777" w:rsidR="000829A1" w:rsidRPr="00272A7B" w:rsidRDefault="000829A1" w:rsidP="000829A1">
      <w:pPr>
        <w:pStyle w:val="Prrafodelista"/>
        <w:tabs>
          <w:tab w:val="left" w:pos="142"/>
          <w:tab w:val="left" w:pos="284"/>
        </w:tabs>
        <w:spacing w:after="0" w:line="276" w:lineRule="auto"/>
        <w:ind w:left="0"/>
        <w:jc w:val="both"/>
        <w:rPr>
          <w:rFonts w:ascii="Verdana" w:eastAsia="Century Gothic" w:hAnsi="Verdana" w:cs="Century Gothic"/>
          <w:b/>
          <w:bCs/>
        </w:rPr>
      </w:pPr>
    </w:p>
    <w:p w14:paraId="3FB51E7F" w14:textId="77777777" w:rsidR="000829A1" w:rsidRPr="00841344" w:rsidRDefault="000829A1" w:rsidP="004D60A5">
      <w:pPr>
        <w:spacing w:after="0" w:line="240" w:lineRule="auto"/>
        <w:ind w:left="709" w:right="709"/>
        <w:jc w:val="both"/>
        <w:rPr>
          <w:rFonts w:ascii="Verdana" w:eastAsia="Century Gothic" w:hAnsi="Verdana" w:cs="Century Gothic"/>
          <w:sz w:val="21"/>
          <w:szCs w:val="21"/>
          <w:lang w:val="es-ES"/>
        </w:rPr>
      </w:pPr>
      <w:bookmarkStart w:id="1" w:name="_Hlk95313578"/>
      <w:r w:rsidRPr="00CD413C">
        <w:rPr>
          <w:rFonts w:ascii="Verdana" w:eastAsia="Century Gothic" w:hAnsi="Verdana" w:cs="Century Gothic"/>
          <w:sz w:val="20"/>
          <w:szCs w:val="20"/>
          <w:lang w:val="es-ES"/>
        </w:rPr>
        <w:t>“</w:t>
      </w:r>
      <w:bookmarkEnd w:id="1"/>
      <w:r>
        <w:rPr>
          <w:rFonts w:ascii="Verdana" w:eastAsia="Century Gothic" w:hAnsi="Verdana" w:cs="Century Gothic"/>
          <w:sz w:val="20"/>
          <w:szCs w:val="20"/>
          <w:lang w:val="es-ES"/>
        </w:rPr>
        <w:t xml:space="preserve">[…] </w:t>
      </w:r>
      <w:r w:rsidRPr="0043748B">
        <w:rPr>
          <w:rFonts w:ascii="Verdana" w:eastAsia="Century Gothic" w:hAnsi="Verdana" w:cs="Century Gothic"/>
          <w:sz w:val="20"/>
          <w:szCs w:val="20"/>
          <w:lang w:val="es-ES"/>
        </w:rPr>
        <w:t>¿Le es aplicable el régimen de inhabilidades, incompatibilidades y conflictos de interés a particulares que administran recursos públicos y/o prestan un servicio público de acuerdo con la jurisprudencia y las leyes? de ser aplicable inclusive parcialmente ¿Cuál es su alcance?</w:t>
      </w:r>
      <w:r w:rsidRPr="00CD413C">
        <w:rPr>
          <w:rFonts w:ascii="Verdana" w:eastAsia="Century Gothic" w:hAnsi="Verdana" w:cs="Century Gothic"/>
          <w:sz w:val="20"/>
          <w:szCs w:val="20"/>
        </w:rPr>
        <w:t xml:space="preserve">”. </w:t>
      </w:r>
    </w:p>
    <w:p w14:paraId="225FC4C2" w14:textId="77777777" w:rsidR="000829A1" w:rsidRPr="008E6AD9" w:rsidRDefault="000829A1" w:rsidP="000829A1">
      <w:pPr>
        <w:pStyle w:val="Prrafodelista"/>
        <w:tabs>
          <w:tab w:val="left" w:pos="142"/>
          <w:tab w:val="left" w:pos="284"/>
        </w:tabs>
        <w:spacing w:after="0" w:line="276" w:lineRule="auto"/>
        <w:ind w:left="0"/>
        <w:jc w:val="both"/>
        <w:rPr>
          <w:rFonts w:ascii="Verdana" w:eastAsia="Century Gothic" w:hAnsi="Verdana" w:cs="Century Gothic"/>
          <w:b/>
          <w:bCs/>
        </w:rPr>
      </w:pPr>
    </w:p>
    <w:p w14:paraId="4F0BF90D" w14:textId="77777777" w:rsidR="000829A1" w:rsidRPr="00A652FF" w:rsidRDefault="000829A1" w:rsidP="000829A1">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195E58DE" w14:textId="77777777" w:rsidR="000829A1" w:rsidRDefault="000829A1" w:rsidP="000829A1">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p>
    <w:p w14:paraId="5383FAC3" w14:textId="77777777" w:rsidR="000829A1" w:rsidRPr="00593A5F" w:rsidRDefault="000829A1" w:rsidP="000829A1">
      <w:pPr>
        <w:spacing w:after="0" w:line="276" w:lineRule="auto"/>
        <w:ind w:firstLine="709"/>
        <w:jc w:val="both"/>
        <w:rPr>
          <w:rFonts w:ascii="Verdana" w:eastAsia="Calibri" w:hAnsi="Verdana" w:cs="Arial"/>
          <w:color w:val="000000"/>
          <w:lang w:val="es-ES" w:eastAsia="es-ES"/>
        </w:rPr>
      </w:pPr>
    </w:p>
    <w:p w14:paraId="0937FAF0" w14:textId="77777777" w:rsidR="000829A1" w:rsidRPr="00593A5F" w:rsidRDefault="000829A1" w:rsidP="000829A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43A27279" w14:textId="77777777" w:rsidR="000829A1" w:rsidRPr="00593A5F" w:rsidRDefault="000829A1" w:rsidP="000829A1">
      <w:pPr>
        <w:tabs>
          <w:tab w:val="left" w:pos="426"/>
        </w:tabs>
        <w:spacing w:after="0" w:line="276" w:lineRule="auto"/>
        <w:jc w:val="both"/>
        <w:rPr>
          <w:rFonts w:ascii="Verdana" w:eastAsia="Century Gothic" w:hAnsi="Verdana" w:cs="Century Gothic"/>
          <w:lang w:val="es-ES"/>
        </w:rPr>
      </w:pPr>
    </w:p>
    <w:p w14:paraId="4A0E6905" w14:textId="77777777" w:rsidR="000829A1" w:rsidRPr="00593A5F" w:rsidRDefault="000829A1" w:rsidP="000829A1">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 xml:space="preserve">problema jurídico: </w:t>
      </w:r>
      <w:r>
        <w:rPr>
          <w:rFonts w:ascii="Verdana" w:eastAsia="Century Gothic" w:hAnsi="Verdana" w:cs="Century Gothic"/>
        </w:rPr>
        <w:t xml:space="preserve">¿el régimen de inhabilidades e incompatibilidades previsto en el artículo 8 de la Ley 80 de 1993 se extiende a los particulares que administren recursos públicos?       </w:t>
      </w:r>
    </w:p>
    <w:p w14:paraId="25DFAF39" w14:textId="77777777" w:rsidR="000829A1" w:rsidRPr="004B140F" w:rsidRDefault="000829A1" w:rsidP="000829A1">
      <w:pPr>
        <w:spacing w:after="0" w:line="276" w:lineRule="auto"/>
        <w:jc w:val="both"/>
        <w:rPr>
          <w:rFonts w:ascii="Verdana" w:eastAsia="Calibri" w:hAnsi="Verdana" w:cs="Arial"/>
          <w:color w:val="7030A0"/>
        </w:rPr>
      </w:pPr>
    </w:p>
    <w:p w14:paraId="1151DF59" w14:textId="77777777" w:rsidR="000829A1" w:rsidRPr="00593A5F" w:rsidRDefault="000829A1" w:rsidP="000829A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CF2114F" w14:textId="77777777" w:rsidR="000829A1" w:rsidRPr="00593A5F" w:rsidRDefault="000829A1" w:rsidP="000829A1">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829A1" w:rsidRPr="00593A5F" w14:paraId="0C2A86D6" w14:textId="77777777" w:rsidTr="00D64C2C">
        <w:trPr>
          <w:jc w:val="center"/>
        </w:trPr>
        <w:tc>
          <w:tcPr>
            <w:tcW w:w="8828" w:type="dxa"/>
          </w:tcPr>
          <w:p w14:paraId="3D8EAB1D" w14:textId="77777777" w:rsidR="000829A1" w:rsidRDefault="000829A1" w:rsidP="00597922">
            <w:pPr>
              <w:spacing w:after="120" w:line="276" w:lineRule="auto"/>
              <w:jc w:val="both"/>
              <w:rPr>
                <w:rFonts w:ascii="Verdana" w:eastAsia="Calibri" w:hAnsi="Verdana" w:cs="Arial"/>
                <w:lang w:val="es-ES_tradnl"/>
              </w:rPr>
            </w:pPr>
            <w:bookmarkStart w:id="2" w:name="_Hlk171694685"/>
            <w:r>
              <w:rPr>
                <w:rFonts w:ascii="Verdana" w:eastAsia="Calibri" w:hAnsi="Verdana" w:cs="Arial"/>
                <w:bCs/>
                <w:color w:val="000000" w:themeColor="text1"/>
              </w:rPr>
              <w:lastRenderedPageBreak/>
              <w:t>Conforme a la interpretación general de las normas del sistema de compras públicas,</w:t>
            </w:r>
            <w:r>
              <w:rPr>
                <w:rFonts w:ascii="Verdana" w:eastAsia="Calibri" w:hAnsi="Verdana" w:cs="Arial"/>
                <w:color w:val="000000" w:themeColor="text1"/>
              </w:rPr>
              <w:t xml:space="preserve"> </w:t>
            </w:r>
            <w:r>
              <w:rPr>
                <w:rFonts w:ascii="Verdana" w:eastAsia="Calibri" w:hAnsi="Verdana" w:cs="Arial"/>
                <w:lang w:val="es-ES_tradnl"/>
              </w:rPr>
              <w:t>el literal a) del artículo 8.1 de la Ley 80 de 1993 dispone que s</w:t>
            </w:r>
            <w:r w:rsidRPr="00446B74">
              <w:rPr>
                <w:rFonts w:ascii="Verdana" w:eastAsia="Calibri" w:hAnsi="Verdana" w:cs="Arial"/>
                <w:lang w:val="es-ES_tradnl"/>
              </w:rPr>
              <w:t xml:space="preserve">on inhábiles para participar </w:t>
            </w:r>
            <w:r>
              <w:rPr>
                <w:rFonts w:ascii="Verdana" w:eastAsia="Calibri" w:hAnsi="Verdana" w:cs="Arial"/>
                <w:lang w:val="es-ES_tradnl"/>
              </w:rPr>
              <w:t xml:space="preserve">procesos de selección </w:t>
            </w:r>
            <w:r w:rsidRPr="00446B74">
              <w:rPr>
                <w:rFonts w:ascii="Verdana" w:eastAsia="Calibri" w:hAnsi="Verdana" w:cs="Arial"/>
                <w:lang w:val="es-ES_tradnl"/>
              </w:rPr>
              <w:t xml:space="preserve">y para celebrar contratos </w:t>
            </w:r>
            <w:r>
              <w:rPr>
                <w:rFonts w:ascii="Verdana" w:eastAsia="Calibri" w:hAnsi="Verdana" w:cs="Arial"/>
                <w:lang w:val="es-ES_tradnl"/>
              </w:rPr>
              <w:t>estatales “</w:t>
            </w:r>
            <w:r w:rsidRPr="00446B74">
              <w:rPr>
                <w:rFonts w:ascii="Verdana" w:eastAsia="Calibri" w:hAnsi="Verdana" w:cs="Arial"/>
                <w:lang w:val="es-ES_tradnl"/>
              </w:rPr>
              <w:t>Las personas que se hallen inhabilitadas para contratar por la Constitución y las leyes</w:t>
            </w:r>
            <w:r>
              <w:rPr>
                <w:rFonts w:ascii="Verdana" w:eastAsia="Calibri" w:hAnsi="Verdana" w:cs="Arial"/>
                <w:lang w:val="es-ES_tradnl"/>
              </w:rPr>
              <w:t>”</w:t>
            </w:r>
            <w:r w:rsidRPr="00446B74">
              <w:rPr>
                <w:rFonts w:ascii="Verdana" w:eastAsia="Calibri" w:hAnsi="Verdana" w:cs="Arial"/>
                <w:lang w:val="es-ES_tradnl"/>
              </w:rPr>
              <w:t>.</w:t>
            </w:r>
            <w:r>
              <w:rPr>
                <w:rFonts w:ascii="Verdana" w:eastAsia="Calibri" w:hAnsi="Verdana" w:cs="Arial"/>
                <w:lang w:val="es-ES_tradnl"/>
              </w:rPr>
              <w:t xml:space="preserve"> De esta manera, el régimen de inhabilidades en el sistema de compras públicas no se agota en el artículo 8 precitado, sino que se integra con otras normas del ordenamiento jurídico. Asimismo, todas se extienden a las entidades exceptuadas del EGCAP, especialmente, cuando el inciso primero del artículo 13 de la Ley 1150 de 2007 prescribe que “[…] </w:t>
            </w:r>
            <w:r w:rsidRPr="00446B74">
              <w:rPr>
                <w:rFonts w:ascii="Verdana" w:eastAsia="Calibri" w:hAnsi="Verdana" w:cs="Arial"/>
                <w:lang w:val="es-ES_tradnl"/>
              </w:rPr>
              <w:t>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r>
              <w:rPr>
                <w:rFonts w:ascii="Verdana" w:eastAsia="Calibri" w:hAnsi="Verdana" w:cs="Arial"/>
                <w:lang w:val="es-ES_tradnl"/>
              </w:rPr>
              <w:t>”. Incluso, en virtud del artículo 6 del Decreto 092 de 2017, también hacen parte de los negocios jurídicos que se suscriban con las ESAL conforme a los artículos 355 constitucional o 96 de la Ley 489 de 1998</w:t>
            </w:r>
            <w:r>
              <w:rPr>
                <w:rStyle w:val="Refdenotaalpie"/>
                <w:rFonts w:ascii="Verdana" w:eastAsia="Calibri" w:hAnsi="Verdana" w:cs="Arial"/>
                <w:lang w:val="es-ES_tradnl"/>
              </w:rPr>
              <w:footnoteReference w:id="2"/>
            </w:r>
            <w:r>
              <w:rPr>
                <w:rFonts w:ascii="Verdana" w:eastAsia="Calibri" w:hAnsi="Verdana" w:cs="Arial"/>
                <w:lang w:val="es-ES_tradnl"/>
              </w:rPr>
              <w:t>.</w:t>
            </w:r>
          </w:p>
          <w:p w14:paraId="25473FD8" w14:textId="77777777" w:rsidR="000829A1" w:rsidRDefault="000829A1" w:rsidP="00597922">
            <w:pPr>
              <w:spacing w:after="120" w:line="276" w:lineRule="auto"/>
              <w:ind w:firstLine="709"/>
              <w:jc w:val="both"/>
              <w:rPr>
                <w:rFonts w:ascii="Verdana" w:eastAsia="Calibri" w:hAnsi="Verdana" w:cs="Arial"/>
                <w:lang w:val="es-ES_tradnl"/>
              </w:rPr>
            </w:pPr>
            <w:r>
              <w:rPr>
                <w:rFonts w:ascii="Verdana" w:eastAsia="Calibri" w:hAnsi="Verdana" w:cs="Arial"/>
                <w:lang w:val="es-ES_tradnl"/>
              </w:rPr>
              <w:t>Lo anterior no obsta para que las restricciones a la capacidad jurídica para la celebración de contratos se extiendan a los negocios jurídicos entre particulares. Al respecto, el parágrafo 3 del artículo 8 del Estatuto General de Contratación de la Administración Pública, adicionado por el artículo 3 de la Ley 2014 de 2019, dispone que “</w:t>
            </w:r>
            <w:r w:rsidRPr="006909C4">
              <w:rPr>
                <w:rFonts w:ascii="Verdana" w:eastAsia="Calibri" w:hAnsi="Verdana" w:cs="Arial"/>
                <w:lang w:val="es-ES_tradnl"/>
              </w:rPr>
              <w:t>Las inhabilidades e incompatibilidades contempladas en este artículo se aplicarán a cualquier proceso de contratación privada en el que se comprometan recursos públicos</w:t>
            </w:r>
            <w:r>
              <w:rPr>
                <w:rFonts w:ascii="Verdana" w:eastAsia="Calibri" w:hAnsi="Verdana" w:cs="Arial"/>
                <w:lang w:val="es-ES_tradnl"/>
              </w:rPr>
              <w:t>”</w:t>
            </w:r>
            <w:r w:rsidRPr="006909C4">
              <w:rPr>
                <w:rFonts w:ascii="Verdana" w:eastAsia="Calibri" w:hAnsi="Verdana" w:cs="Arial"/>
                <w:lang w:val="es-ES_tradnl"/>
              </w:rPr>
              <w:t>.</w:t>
            </w:r>
          </w:p>
          <w:p w14:paraId="3968FFCF" w14:textId="77777777" w:rsidR="000829A1" w:rsidRPr="001941FD" w:rsidRDefault="000829A1" w:rsidP="00597922">
            <w:pPr>
              <w:spacing w:line="276" w:lineRule="auto"/>
              <w:ind w:firstLine="709"/>
              <w:jc w:val="both"/>
              <w:rPr>
                <w:rFonts w:ascii="Verdana" w:eastAsia="Calibri" w:hAnsi="Verdana" w:cs="Arial"/>
                <w:bCs/>
                <w:color w:val="000000" w:themeColor="text1"/>
              </w:rPr>
            </w:pPr>
            <w:r w:rsidRPr="006D71DE">
              <w:rPr>
                <w:rStyle w:val="s15"/>
                <w:rFonts w:ascii="Verdana" w:hAnsi="Verdana"/>
                <w:color w:val="000000"/>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w:t>
            </w:r>
            <w:r w:rsidRPr="006D71DE">
              <w:rPr>
                <w:rStyle w:val="s15"/>
                <w:rFonts w:ascii="Verdana" w:hAnsi="Verdana"/>
                <w:color w:val="000000"/>
              </w:rPr>
              <w:lastRenderedPageBreak/>
              <w:t>Así, cada entidad definirá la forma de adelantar su gestión contractual, sin que sea atribución de Colombia Compra Eficiente validar sus actuaciones.</w:t>
            </w:r>
          </w:p>
        </w:tc>
      </w:tr>
    </w:tbl>
    <w:p w14:paraId="56838307" w14:textId="77777777" w:rsidR="000829A1" w:rsidRPr="00593A5F" w:rsidRDefault="000829A1" w:rsidP="000829A1">
      <w:pPr>
        <w:tabs>
          <w:tab w:val="left" w:pos="142"/>
          <w:tab w:val="left" w:pos="284"/>
        </w:tabs>
        <w:spacing w:after="0" w:line="276" w:lineRule="auto"/>
        <w:jc w:val="both"/>
        <w:rPr>
          <w:rFonts w:ascii="Verdana" w:eastAsia="Century Gothic" w:hAnsi="Verdana" w:cs="Century Gothic"/>
          <w:b/>
          <w:bCs/>
          <w:lang w:val="es-ES"/>
        </w:rPr>
      </w:pPr>
    </w:p>
    <w:bookmarkEnd w:id="2"/>
    <w:p w14:paraId="0E4681BB" w14:textId="77777777" w:rsidR="000829A1" w:rsidRPr="00593A5F" w:rsidRDefault="000829A1" w:rsidP="000829A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41EBA2C6" w14:textId="77777777" w:rsidR="000829A1" w:rsidRPr="00593A5F" w:rsidRDefault="000829A1" w:rsidP="000829A1">
      <w:pPr>
        <w:spacing w:after="0" w:line="276" w:lineRule="auto"/>
        <w:jc w:val="both"/>
        <w:rPr>
          <w:rFonts w:ascii="Verdana" w:eastAsia="Calibri" w:hAnsi="Verdana" w:cs="Arial"/>
          <w:color w:val="7030A0"/>
          <w:lang w:val="es-ES"/>
        </w:rPr>
      </w:pPr>
    </w:p>
    <w:p w14:paraId="07D0567B" w14:textId="77777777" w:rsidR="000829A1" w:rsidRDefault="000829A1" w:rsidP="000829A1">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5E926A46" w14:textId="77777777" w:rsidR="000829A1" w:rsidRPr="00415608" w:rsidRDefault="000829A1" w:rsidP="000829A1">
      <w:pPr>
        <w:spacing w:after="0" w:line="276" w:lineRule="auto"/>
        <w:jc w:val="both"/>
        <w:rPr>
          <w:rFonts w:ascii="Verdana" w:eastAsia="Calibri" w:hAnsi="Verdana" w:cs="Arial"/>
          <w:lang w:val="es-ES"/>
        </w:rPr>
      </w:pPr>
    </w:p>
    <w:p w14:paraId="3203E51C" w14:textId="77777777" w:rsidR="000829A1" w:rsidRPr="00E96901" w:rsidRDefault="000829A1" w:rsidP="000829A1">
      <w:pPr>
        <w:pStyle w:val="Sinespaciado"/>
        <w:spacing w:after="120" w:line="276" w:lineRule="auto"/>
        <w:jc w:val="both"/>
        <w:rPr>
          <w:rFonts w:ascii="Verdana" w:hAnsi="Verdana" w:cs="Arial"/>
          <w:sz w:val="22"/>
        </w:rPr>
      </w:pPr>
      <w:r w:rsidRPr="00E96901">
        <w:rPr>
          <w:rFonts w:ascii="Verdana" w:hAnsi="Verdana" w:cs="Arial"/>
          <w:sz w:val="22"/>
        </w:rPr>
        <w:t>Las inhabilidades son circunstancias establecidas por la Constitución o la ley que impiden que personas naturales o jurídicas sean elegidas o designadas en un cargo público o celebren contratos con el Estado, con el objetivo de garantizar la idoneidad, imparcialidad, probidad, transparencia y moralidad de la función pública, garantizando el interés general.</w:t>
      </w:r>
      <w:r>
        <w:rPr>
          <w:rFonts w:ascii="Verdana" w:hAnsi="Verdana" w:cs="Arial"/>
          <w:sz w:val="22"/>
        </w:rPr>
        <w:t xml:space="preserve"> </w:t>
      </w:r>
    </w:p>
    <w:p w14:paraId="5A79294E" w14:textId="77777777" w:rsidR="000829A1" w:rsidRPr="00E96901" w:rsidRDefault="000829A1" w:rsidP="000829A1">
      <w:pPr>
        <w:spacing w:line="276" w:lineRule="auto"/>
        <w:ind w:firstLine="709"/>
        <w:jc w:val="both"/>
        <w:rPr>
          <w:rFonts w:ascii="Verdana" w:hAnsi="Verdana" w:cs="Arial"/>
        </w:rPr>
      </w:pPr>
      <w:r w:rsidRPr="00E96901">
        <w:rPr>
          <w:rFonts w:ascii="Verdana" w:hAnsi="Verdana" w:cs="Arial"/>
        </w:rPr>
        <w:t>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E96901">
        <w:rPr>
          <w:rStyle w:val="Refdenotaalpie"/>
          <w:rFonts w:ascii="Verdana" w:hAnsi="Verdana" w:cs="Arial"/>
        </w:rPr>
        <w:footnoteReference w:id="3"/>
      </w:r>
      <w:r w:rsidRPr="00E96901">
        <w:rPr>
          <w:rFonts w:ascii="Verdana" w:hAnsi="Verdana" w:cs="Arial"/>
        </w:rPr>
        <w:t>.</w:t>
      </w:r>
    </w:p>
    <w:p w14:paraId="75326FC5" w14:textId="77777777" w:rsidR="000829A1" w:rsidRPr="00E96901" w:rsidRDefault="000829A1" w:rsidP="000829A1">
      <w:pPr>
        <w:pStyle w:val="Sinespaciado"/>
        <w:spacing w:line="276" w:lineRule="auto"/>
        <w:ind w:firstLine="709"/>
        <w:jc w:val="both"/>
        <w:rPr>
          <w:rFonts w:ascii="Verdana" w:hAnsi="Verdana" w:cs="Arial"/>
          <w:sz w:val="22"/>
        </w:rPr>
      </w:pPr>
      <w:r w:rsidRPr="00E96901">
        <w:rPr>
          <w:rFonts w:ascii="Verdana" w:hAnsi="Verdana" w:cs="Arial"/>
          <w:sz w:val="22"/>
        </w:rPr>
        <w:t xml:space="preserve">La consagración limitaciones que afectan la capacidad jurídica para contratar desarrolla los principios de la función administrativa consagrados en el artículo 209 de la Constitución Política, con especial énfasis el de moralidad. Así lo entiende el Consejo de Estado: </w:t>
      </w:r>
    </w:p>
    <w:p w14:paraId="2AF6E1FD" w14:textId="77777777" w:rsidR="000829A1" w:rsidRPr="00E96901" w:rsidRDefault="000829A1" w:rsidP="000829A1">
      <w:pPr>
        <w:pStyle w:val="Sinespaciado"/>
        <w:spacing w:line="276" w:lineRule="auto"/>
        <w:jc w:val="both"/>
        <w:rPr>
          <w:rFonts w:ascii="Verdana" w:hAnsi="Verdana" w:cs="Arial"/>
          <w:sz w:val="22"/>
        </w:rPr>
      </w:pPr>
    </w:p>
    <w:p w14:paraId="5C485F54" w14:textId="77777777" w:rsidR="000829A1" w:rsidRPr="006909C4" w:rsidRDefault="000829A1" w:rsidP="000829A1">
      <w:pPr>
        <w:pStyle w:val="NormalWeb"/>
        <w:shd w:val="clear" w:color="auto" w:fill="FFFFFF"/>
        <w:spacing w:before="0" w:beforeAutospacing="0" w:after="120" w:afterAutospacing="0"/>
        <w:ind w:left="709" w:right="709"/>
        <w:jc w:val="both"/>
        <w:rPr>
          <w:rFonts w:ascii="Verdana" w:hAnsi="Verdana" w:cs="Arial"/>
          <w:sz w:val="20"/>
          <w:szCs w:val="20"/>
          <w:lang w:val="es-ES"/>
        </w:rPr>
      </w:pPr>
      <w:r w:rsidRPr="006909C4">
        <w:rPr>
          <w:rFonts w:ascii="Verdana" w:hAnsi="Verdana" w:cs="Arial"/>
          <w:sz w:val="20"/>
          <w:szCs w:val="20"/>
          <w:lang w:val="es-ES"/>
        </w:rPr>
        <w:t xml:space="preserve">“De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w:t>
      </w:r>
      <w:r w:rsidRPr="006909C4">
        <w:rPr>
          <w:rFonts w:ascii="Verdana" w:hAnsi="Verdana" w:cs="Arial"/>
          <w:sz w:val="20"/>
          <w:szCs w:val="20"/>
          <w:lang w:val="es-ES"/>
        </w:rPr>
        <w:lastRenderedPageBreak/>
        <w:t>se inspira, justifica y legitima la existencia de las normas que definen y regulan las inhabilidades e incompatibilidades.</w:t>
      </w:r>
    </w:p>
    <w:p w14:paraId="5F7E1119" w14:textId="77777777" w:rsidR="000829A1" w:rsidRPr="006909C4" w:rsidRDefault="000829A1" w:rsidP="000829A1">
      <w:pPr>
        <w:pStyle w:val="NormalWeb"/>
        <w:shd w:val="clear" w:color="auto" w:fill="FFFFFF"/>
        <w:spacing w:before="0" w:beforeAutospacing="0" w:after="0" w:afterAutospacing="0"/>
        <w:ind w:left="709" w:right="709"/>
        <w:jc w:val="both"/>
        <w:rPr>
          <w:rFonts w:ascii="Verdana" w:hAnsi="Verdana" w:cs="Arial"/>
          <w:sz w:val="20"/>
          <w:szCs w:val="20"/>
          <w:lang w:val="es-ES"/>
        </w:rPr>
      </w:pPr>
      <w:r w:rsidRPr="006909C4">
        <w:rPr>
          <w:rFonts w:ascii="Verdana" w:hAnsi="Verdana" w:cs="Arial"/>
          <w:sz w:val="20"/>
          <w:szCs w:val="20"/>
          <w:lang w:val="es-ES"/>
        </w:rPr>
        <w:t>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6909C4">
        <w:rPr>
          <w:rStyle w:val="Refdenotaalpie"/>
          <w:rFonts w:ascii="Verdana" w:hAnsi="Verdana" w:cs="Arial"/>
          <w:sz w:val="20"/>
          <w:szCs w:val="20"/>
          <w:lang w:val="es-ES"/>
        </w:rPr>
        <w:footnoteReference w:id="4"/>
      </w:r>
      <w:r w:rsidRPr="006909C4">
        <w:rPr>
          <w:rFonts w:ascii="Verdana" w:hAnsi="Verdana" w:cs="Arial"/>
          <w:sz w:val="20"/>
          <w:szCs w:val="20"/>
          <w:lang w:val="es-ES"/>
        </w:rPr>
        <w:t>.</w:t>
      </w:r>
    </w:p>
    <w:p w14:paraId="0262E864" w14:textId="77777777" w:rsidR="000829A1" w:rsidRPr="002829DE" w:rsidRDefault="000829A1" w:rsidP="000829A1">
      <w:pPr>
        <w:pStyle w:val="NormalWeb"/>
        <w:shd w:val="clear" w:color="auto" w:fill="FFFFFF"/>
        <w:spacing w:before="0" w:beforeAutospacing="0" w:after="0" w:afterAutospacing="0"/>
        <w:ind w:left="709" w:right="709"/>
        <w:jc w:val="both"/>
        <w:rPr>
          <w:rFonts w:ascii="Verdana" w:hAnsi="Verdana" w:cs="Arial"/>
          <w:sz w:val="21"/>
          <w:szCs w:val="21"/>
          <w:lang w:val="es-ES"/>
        </w:rPr>
      </w:pPr>
    </w:p>
    <w:p w14:paraId="277A04EB" w14:textId="77777777" w:rsidR="000829A1" w:rsidRPr="00E96901" w:rsidRDefault="000829A1" w:rsidP="000829A1">
      <w:pPr>
        <w:pStyle w:val="Sinespaciado"/>
        <w:spacing w:line="276" w:lineRule="auto"/>
        <w:ind w:firstLine="709"/>
        <w:jc w:val="both"/>
        <w:rPr>
          <w:rFonts w:ascii="Verdana" w:hAnsi="Verdana" w:cs="Arial"/>
          <w:sz w:val="22"/>
        </w:rPr>
      </w:pPr>
      <w:r w:rsidRPr="00E96901">
        <w:rPr>
          <w:rFonts w:ascii="Verdana" w:hAnsi="Verdana" w:cs="Arial"/>
          <w:sz w:val="22"/>
        </w:rPr>
        <w:t xml:space="preserve">Así las cosas,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La Corte Constitucional ha reconocido que estas limitaciones deben estar justificadas en la salvaguarda del interés general y que su lectura e interpretación es taxativa y restrictiva: </w:t>
      </w:r>
    </w:p>
    <w:p w14:paraId="0F1B74E2" w14:textId="77777777" w:rsidR="000829A1" w:rsidRPr="00E96901" w:rsidRDefault="000829A1" w:rsidP="000829A1">
      <w:pPr>
        <w:pStyle w:val="Sinespaciado"/>
        <w:spacing w:line="276" w:lineRule="auto"/>
        <w:ind w:firstLine="709"/>
        <w:jc w:val="both"/>
        <w:rPr>
          <w:rFonts w:ascii="Verdana" w:hAnsi="Verdana" w:cs="Arial"/>
          <w:sz w:val="22"/>
        </w:rPr>
      </w:pPr>
    </w:p>
    <w:p w14:paraId="2B5FAD7D" w14:textId="77777777" w:rsidR="000829A1" w:rsidRPr="006909C4" w:rsidRDefault="000829A1" w:rsidP="000829A1">
      <w:pPr>
        <w:spacing w:after="120" w:line="240" w:lineRule="auto"/>
        <w:ind w:left="709" w:right="709"/>
        <w:jc w:val="both"/>
        <w:rPr>
          <w:rFonts w:ascii="Verdana" w:hAnsi="Verdana" w:cs="Arial"/>
          <w:sz w:val="20"/>
          <w:szCs w:val="20"/>
        </w:rPr>
      </w:pPr>
      <w:r w:rsidRPr="006909C4">
        <w:rPr>
          <w:rFonts w:ascii="Verdana" w:hAnsi="Verdana" w:cs="Arial"/>
          <w:sz w:val="20"/>
          <w:szCs w:val="20"/>
        </w:rPr>
        <w:t>“Todo régimen de inhabilidades e incompatibilidades de suyo excluye a ciertas categorías de personas del proceso de contratación, generando incapacidades especiales, impedimentos y prohibiciones de variada naturaleza, que en cierta medida afectan el derecho a la personalidad jurídica traducido, a su turno, en el principio general de capacidad legal [CC arts. 1502 y 1503; ley 80 de 1993, art. 6]. De ordinario, como ocurre en la contratación estatal, la inobservancia del régimen de inhabilidades e incompatibilidades, se erige en causal de nulidad del contrato celebrado en esas condiciones (ley 80 de 1993, art. 44).</w:t>
      </w:r>
    </w:p>
    <w:p w14:paraId="108F4E68" w14:textId="77777777" w:rsidR="000829A1" w:rsidRPr="00E96901" w:rsidRDefault="000829A1" w:rsidP="000829A1">
      <w:pPr>
        <w:spacing w:after="0" w:line="240" w:lineRule="auto"/>
        <w:ind w:left="709" w:right="709"/>
        <w:jc w:val="both"/>
        <w:rPr>
          <w:rFonts w:ascii="Verdana" w:hAnsi="Verdana" w:cs="Arial"/>
          <w:sz w:val="21"/>
          <w:szCs w:val="21"/>
        </w:rPr>
      </w:pPr>
      <w:r w:rsidRPr="006909C4">
        <w:rPr>
          <w:rFonts w:ascii="Verdana" w:hAnsi="Verdana" w:cs="Arial"/>
          <w:sz w:val="20"/>
          <w:szCs w:val="20"/>
        </w:rPr>
        <w:t xml:space="preserve">El carácter reconocidamente taxativo y restrictivo de este régimen y el de las correlativas nulidades, obedece a la necesidad de salvaguardar el interés general ínsito en la contratación pública de manera que implique el menor sacrificio posible al derecho de igualdad y de reconocimiento de la personalidad jurídica de quienes aspiran a contratar con el Estado. Es evidente que si la restricción legal [incompatibilidad o inhabilidad] no se </w:t>
      </w:r>
      <w:r w:rsidRPr="006909C4">
        <w:rPr>
          <w:rFonts w:ascii="Verdana" w:hAnsi="Verdana" w:cs="Arial"/>
          <w:sz w:val="20"/>
          <w:szCs w:val="20"/>
        </w:rPr>
        <w:lastRenderedPageBreak/>
        <w:t>sustenta en ninguna necesidad de protección del interés general o ésta es irrazonable o desproporcionada, en esa misma medida pierde justificación constitucional como medio legítimo para restringir, en ese caso, el derecho a la igualdad y el reconocimiento de la personalidad jurídica de las personas que resultan rechazadas del ámbito contractual del Estado”</w:t>
      </w:r>
      <w:r w:rsidRPr="006909C4">
        <w:rPr>
          <w:rStyle w:val="Refdenotaalpie"/>
          <w:rFonts w:ascii="Verdana" w:hAnsi="Verdana" w:cs="Arial"/>
          <w:sz w:val="20"/>
          <w:szCs w:val="20"/>
        </w:rPr>
        <w:footnoteReference w:id="5"/>
      </w:r>
      <w:r w:rsidRPr="006909C4">
        <w:rPr>
          <w:rFonts w:ascii="Verdana" w:hAnsi="Verdana" w:cs="Arial"/>
          <w:sz w:val="20"/>
          <w:szCs w:val="20"/>
        </w:rPr>
        <w:t>.</w:t>
      </w:r>
    </w:p>
    <w:p w14:paraId="64BFB5E2" w14:textId="77777777" w:rsidR="000829A1" w:rsidRPr="00E96901" w:rsidRDefault="000829A1" w:rsidP="000829A1">
      <w:pPr>
        <w:spacing w:after="0" w:line="240" w:lineRule="auto"/>
        <w:ind w:right="709"/>
        <w:jc w:val="both"/>
        <w:rPr>
          <w:rFonts w:ascii="Verdana" w:hAnsi="Verdana" w:cs="Arial"/>
        </w:rPr>
      </w:pPr>
    </w:p>
    <w:p w14:paraId="151B2B1D" w14:textId="722E13F3" w:rsidR="1C0F21E5" w:rsidRDefault="1C0F21E5" w:rsidP="1C0F21E5">
      <w:pPr>
        <w:spacing w:after="0" w:line="240" w:lineRule="auto"/>
        <w:ind w:right="709"/>
        <w:jc w:val="both"/>
        <w:rPr>
          <w:rFonts w:ascii="Verdana" w:hAnsi="Verdana" w:cs="Arial"/>
        </w:rPr>
      </w:pPr>
    </w:p>
    <w:p w14:paraId="29B19198" w14:textId="77777777" w:rsidR="000829A1" w:rsidRPr="00E96901" w:rsidRDefault="000829A1" w:rsidP="000829A1">
      <w:pPr>
        <w:spacing w:after="0" w:line="276" w:lineRule="auto"/>
        <w:ind w:firstLine="709"/>
        <w:jc w:val="both"/>
        <w:rPr>
          <w:rFonts w:ascii="Verdana" w:hAnsi="Verdana" w:cs="Arial"/>
        </w:rPr>
      </w:pPr>
      <w:r w:rsidRPr="00E96901">
        <w:rPr>
          <w:rFonts w:ascii="Verdana" w:hAnsi="Verdana" w:cs="Arial"/>
        </w:rPr>
        <w:t>Además, la Corte Constitucional explica que el legislador tiene la competencia para determinar qué hechos o situaciones generan inhabilidad para contratar, pues este régimen es un aspecto propio del Estatuto General de Contratación de la Administración Pública, cuya expedición compete al Congreso de la República a la luz del artículo 150 de la Constitución Política, y que en esta materia rige el principio de legalidad:</w:t>
      </w:r>
    </w:p>
    <w:p w14:paraId="1C2B3CAD" w14:textId="77777777" w:rsidR="000829A1" w:rsidRPr="00E96901" w:rsidRDefault="000829A1" w:rsidP="000829A1">
      <w:pPr>
        <w:pStyle w:val="Sinespaciado"/>
        <w:tabs>
          <w:tab w:val="left" w:pos="1532"/>
        </w:tabs>
        <w:spacing w:line="276" w:lineRule="auto"/>
        <w:jc w:val="both"/>
        <w:rPr>
          <w:rFonts w:ascii="Verdana" w:hAnsi="Verdana" w:cs="Arial"/>
          <w:sz w:val="22"/>
        </w:rPr>
      </w:pPr>
    </w:p>
    <w:p w14:paraId="41C38520" w14:textId="77777777" w:rsidR="000829A1" w:rsidRPr="006909C4" w:rsidRDefault="000829A1" w:rsidP="000829A1">
      <w:pPr>
        <w:spacing w:after="0" w:line="240" w:lineRule="auto"/>
        <w:ind w:left="709" w:right="709"/>
        <w:jc w:val="both"/>
        <w:rPr>
          <w:rFonts w:ascii="Verdana" w:hAnsi="Verdana" w:cs="Arial"/>
          <w:sz w:val="20"/>
          <w:szCs w:val="20"/>
        </w:rPr>
      </w:pPr>
      <w:r w:rsidRPr="006909C4">
        <w:rPr>
          <w:rFonts w:ascii="Verdana" w:hAnsi="Verdana" w:cs="Arial"/>
          <w:sz w:val="20"/>
          <w:szCs w:val="20"/>
        </w:rPr>
        <w:t>“Las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principio </w:t>
      </w:r>
      <w:r w:rsidRPr="006909C4">
        <w:rPr>
          <w:rFonts w:ascii="Verdana" w:hAnsi="Verdana" w:cs="Arial"/>
          <w:i/>
          <w:iCs/>
          <w:sz w:val="20"/>
          <w:szCs w:val="20"/>
        </w:rPr>
        <w:t xml:space="preserve">pro </w:t>
      </w:r>
      <w:proofErr w:type="spellStart"/>
      <w:r w:rsidRPr="006909C4">
        <w:rPr>
          <w:rFonts w:ascii="Verdana" w:hAnsi="Verdana" w:cs="Arial"/>
          <w:i/>
          <w:iCs/>
          <w:sz w:val="20"/>
          <w:szCs w:val="20"/>
        </w:rPr>
        <w:t>libertate</w:t>
      </w:r>
      <w:proofErr w:type="spellEnd"/>
      <w:r w:rsidRPr="006909C4">
        <w:rPr>
          <w:rFonts w:ascii="Verdana" w:hAnsi="Verdana" w:cs="Arial"/>
          <w:sz w:val="20"/>
          <w:szCs w:val="20"/>
        </w:rPr>
        <w:t xml:space="preserve">, sino el de legalidad, el que ordena que la función pública debe someterse estrictamente a lo que disponga la Constitución y la ley (CP art. 6). </w:t>
      </w:r>
    </w:p>
    <w:p w14:paraId="04D6F305" w14:textId="77777777" w:rsidR="000829A1" w:rsidRPr="006909C4" w:rsidRDefault="000829A1" w:rsidP="000829A1">
      <w:pPr>
        <w:spacing w:after="120" w:line="240" w:lineRule="auto"/>
        <w:ind w:left="709" w:right="709"/>
        <w:jc w:val="both"/>
        <w:rPr>
          <w:rFonts w:ascii="Verdana" w:hAnsi="Verdana" w:cs="Arial"/>
          <w:sz w:val="20"/>
          <w:szCs w:val="20"/>
        </w:rPr>
      </w:pPr>
      <w:r w:rsidRPr="006909C4">
        <w:rPr>
          <w:rFonts w:ascii="Verdana" w:hAnsi="Verdana" w:cs="Arial"/>
          <w:sz w:val="20"/>
          <w:szCs w:val="20"/>
        </w:rPr>
        <w:t xml:space="preserve">[…] </w:t>
      </w:r>
    </w:p>
    <w:p w14:paraId="2534BE16" w14:textId="6956D960" w:rsidR="1C0F21E5" w:rsidRDefault="1C0F21E5" w:rsidP="1C0F21E5">
      <w:pPr>
        <w:spacing w:after="120" w:line="240" w:lineRule="auto"/>
        <w:ind w:left="709" w:right="709"/>
        <w:jc w:val="both"/>
        <w:rPr>
          <w:rFonts w:ascii="Verdana" w:hAnsi="Verdana" w:cs="Arial"/>
          <w:sz w:val="20"/>
          <w:szCs w:val="20"/>
        </w:rPr>
      </w:pPr>
    </w:p>
    <w:p w14:paraId="4535CADA" w14:textId="77777777" w:rsidR="000829A1" w:rsidRPr="00E96901" w:rsidRDefault="000829A1" w:rsidP="000829A1">
      <w:pPr>
        <w:spacing w:after="0" w:line="240" w:lineRule="auto"/>
        <w:ind w:left="709" w:right="709"/>
        <w:jc w:val="both"/>
        <w:rPr>
          <w:rFonts w:ascii="Verdana" w:hAnsi="Verdana" w:cs="Arial"/>
          <w:sz w:val="21"/>
          <w:szCs w:val="21"/>
        </w:rPr>
      </w:pPr>
      <w:r w:rsidRPr="006909C4">
        <w:rPr>
          <w:rFonts w:ascii="Verdana" w:hAnsi="Verdana" w:cs="Arial"/>
          <w:sz w:val="20"/>
          <w:szCs w:val="20"/>
        </w:rPr>
        <w:t>Se comprende con facilidad que el régimen de inhabilidades e incompatibilidades, corresponde a una materia de normal y obligada inclusión en un estatuto contractual. El legislador, a quien se ha confiado expedir el indicado estatuto, tiene, pues, competencia para establecerlo (CP art. 150)”</w:t>
      </w:r>
      <w:r w:rsidRPr="006909C4">
        <w:rPr>
          <w:rStyle w:val="Refdenotaalpie"/>
          <w:rFonts w:ascii="Verdana" w:hAnsi="Verdana" w:cs="Arial"/>
          <w:sz w:val="20"/>
          <w:szCs w:val="20"/>
        </w:rPr>
        <w:footnoteReference w:id="6"/>
      </w:r>
      <w:r w:rsidRPr="006909C4">
        <w:rPr>
          <w:rFonts w:ascii="Verdana" w:hAnsi="Verdana" w:cs="Arial"/>
          <w:sz w:val="20"/>
          <w:szCs w:val="20"/>
        </w:rPr>
        <w:t>.</w:t>
      </w:r>
    </w:p>
    <w:p w14:paraId="3BB3E456" w14:textId="77777777" w:rsidR="000829A1" w:rsidRPr="00E96901" w:rsidRDefault="000829A1" w:rsidP="000829A1">
      <w:pPr>
        <w:spacing w:after="0" w:line="276" w:lineRule="auto"/>
        <w:ind w:left="709" w:right="709"/>
        <w:jc w:val="both"/>
        <w:rPr>
          <w:rFonts w:ascii="Verdana" w:hAnsi="Verdana" w:cs="Arial"/>
        </w:rPr>
      </w:pPr>
    </w:p>
    <w:p w14:paraId="7F4B9A98" w14:textId="77777777" w:rsidR="000829A1" w:rsidRPr="00E96901" w:rsidRDefault="000829A1" w:rsidP="000829A1">
      <w:pPr>
        <w:spacing w:line="276" w:lineRule="auto"/>
        <w:ind w:firstLine="709"/>
        <w:jc w:val="both"/>
        <w:rPr>
          <w:rFonts w:ascii="Verdana" w:hAnsi="Verdana" w:cs="Arial"/>
        </w:rPr>
      </w:pPr>
      <w:r w:rsidRPr="00E96901">
        <w:rPr>
          <w:rFonts w:ascii="Verdana" w:hAnsi="Verdana" w:cs="Arial"/>
        </w:rPr>
        <w:t xml:space="preserve">Conviene también distinguir las fuentes de las inhabilidades, las cuales han sido clasificadas en dos (2) grupos: i) inhabilidades-sanción y </w:t>
      </w:r>
      <w:proofErr w:type="spellStart"/>
      <w:r w:rsidRPr="00E96901">
        <w:rPr>
          <w:rFonts w:ascii="Verdana" w:hAnsi="Verdana" w:cs="Arial"/>
        </w:rPr>
        <w:t>ii</w:t>
      </w:r>
      <w:proofErr w:type="spellEnd"/>
      <w:r w:rsidRPr="00E96901">
        <w:rPr>
          <w:rFonts w:ascii="Verdana" w:hAnsi="Verdana" w:cs="Arial"/>
        </w:rPr>
        <w:t xml:space="preserve">) inhabilidades-requisito. En el primer grupo se encuentran las inhabilidades que surgen como consecuencia de un proceso sancionatorio, en los ámbitos penal, disciplinario, contravencional o de pérdida de investidura. En el segundo grupo </w:t>
      </w:r>
      <w:r w:rsidRPr="00E96901">
        <w:rPr>
          <w:rFonts w:ascii="Verdana" w:hAnsi="Verdana" w:cs="Arial"/>
        </w:rPr>
        <w:lastRenderedPageBreak/>
        <w:t>están aquellas que no devienen de un proceso sancionatorio, sino de condiciones propias de la persona y garantizan la moralidad, la imparcialidad, la eficacia y la transparencia</w:t>
      </w:r>
      <w:r w:rsidRPr="00E96901">
        <w:rPr>
          <w:rStyle w:val="Refdenotaalpie"/>
          <w:rFonts w:ascii="Verdana" w:hAnsi="Verdana" w:cs="Arial"/>
        </w:rPr>
        <w:footnoteReference w:id="7"/>
      </w:r>
      <w:r w:rsidRPr="00E96901">
        <w:rPr>
          <w:rFonts w:ascii="Verdana" w:hAnsi="Verdana" w:cs="Arial"/>
        </w:rPr>
        <w:t>.</w:t>
      </w:r>
    </w:p>
    <w:p w14:paraId="14872C1B" w14:textId="21923027" w:rsidR="1C0F21E5" w:rsidRDefault="1C0F21E5" w:rsidP="1C0F21E5">
      <w:pPr>
        <w:spacing w:line="276" w:lineRule="auto"/>
        <w:ind w:firstLine="709"/>
        <w:jc w:val="both"/>
        <w:rPr>
          <w:rFonts w:ascii="Verdana" w:hAnsi="Verdana" w:cs="Arial"/>
        </w:rPr>
      </w:pPr>
    </w:p>
    <w:p w14:paraId="1276B3E1" w14:textId="77777777" w:rsidR="000829A1" w:rsidRPr="00E96901" w:rsidRDefault="000829A1" w:rsidP="000829A1">
      <w:pPr>
        <w:spacing w:before="120" w:after="120" w:line="276" w:lineRule="auto"/>
        <w:ind w:firstLine="709"/>
        <w:jc w:val="both"/>
        <w:rPr>
          <w:rFonts w:ascii="Verdana" w:hAnsi="Verdana" w:cs="Arial"/>
        </w:rPr>
      </w:pPr>
      <w:r w:rsidRPr="00E96901">
        <w:rPr>
          <w:rFonts w:ascii="Verdana" w:hAnsi="Verdana" w:cs="Arial"/>
        </w:rPr>
        <w:t xml:space="preserve">A manera de ejemplo, en materia contractual, los literales c), d) y j) del numeral 1 del artículo 8 de la Ley 80 de 1993 establecen inhabilidades-sanción, porque la prohibición para contratar con el Estado en esos eventos es una consecuencia de una declaratoria de responsabilidad que surge luego de un proceso sancionatorio –administrativo, disciplinario o penal–; mientras que las inhabilidades de los literales f), g) y h) del literal 1 de la norma citada establecen inhabilidades–requisito, pues no se configuran por la comisión previa de una falta o un delito que dio lugar a una declaratoria por parte de la Administración o el juez, sino de aspectos propios de la persona, derivados, por ejemplo, del parentesco o la afinidad o de la condición de servidor público. </w:t>
      </w:r>
      <w:bookmarkStart w:id="3" w:name="_Hlk40976328"/>
      <w:r w:rsidRPr="00E96901">
        <w:rPr>
          <w:rFonts w:ascii="Verdana" w:hAnsi="Verdana" w:cs="Arial"/>
        </w:rPr>
        <w:t xml:space="preserve">En ambos eventos, la inhabilidad tiene como fuente una situación o un hecho propio del proponente –una conducta o una condición– ajena a la oferta. La inhabilidad surge, entre otros, por su grado de parentesco o afinidad, por su condición de servidor público o por una declaratoria de responsabilidad penal, disciplinaria o sancionatoria contractual sobre él. </w:t>
      </w:r>
      <w:bookmarkEnd w:id="3"/>
    </w:p>
    <w:p w14:paraId="292A27A0" w14:textId="74F56B14" w:rsidR="1C0F21E5" w:rsidRDefault="1C0F21E5" w:rsidP="1C0F21E5">
      <w:pPr>
        <w:spacing w:before="120" w:after="120" w:line="276" w:lineRule="auto"/>
        <w:ind w:firstLine="709"/>
        <w:jc w:val="both"/>
        <w:rPr>
          <w:rFonts w:ascii="Verdana" w:hAnsi="Verdana" w:cs="Arial"/>
        </w:rPr>
      </w:pPr>
    </w:p>
    <w:p w14:paraId="6EDF7F8C" w14:textId="77777777" w:rsidR="000829A1" w:rsidRPr="00E96901" w:rsidRDefault="000829A1" w:rsidP="000829A1">
      <w:pPr>
        <w:spacing w:after="120" w:line="276" w:lineRule="auto"/>
        <w:ind w:firstLine="708"/>
        <w:jc w:val="both"/>
        <w:rPr>
          <w:rFonts w:ascii="Verdana" w:eastAsia="Calibri" w:hAnsi="Verdana" w:cs="Arial"/>
          <w:lang w:val="es-ES_tradnl"/>
        </w:rPr>
      </w:pPr>
      <w:r w:rsidRPr="1C0F21E5">
        <w:rPr>
          <w:rFonts w:ascii="Verdana" w:eastAsia="Calibri" w:hAnsi="Verdana" w:cs="Arial"/>
          <w:i/>
          <w:lang w:val="es-ES"/>
        </w:rPr>
        <w:t>Igualmente</w:t>
      </w:r>
      <w:r w:rsidRPr="1C0F21E5">
        <w:rPr>
          <w:rFonts w:ascii="Verdana" w:eastAsia="Calibri" w:hAnsi="Verdana" w:cs="Arial"/>
          <w:lang w:val="es-ES"/>
        </w:rPr>
        <w:t xml:space="preserve">, </w:t>
      </w:r>
      <w:bookmarkStart w:id="4" w:name="_Hlk135133412"/>
      <w:r w:rsidRPr="1C0F21E5">
        <w:rPr>
          <w:rFonts w:ascii="Verdana" w:eastAsia="Calibri" w:hAnsi="Verdana" w:cs="Arial"/>
          <w:lang w:val="es-ES"/>
        </w:rPr>
        <w:t xml:space="preserve">en la contratación estatal, la </w:t>
      </w:r>
      <w:r w:rsidRPr="1C0F21E5">
        <w:rPr>
          <w:rFonts w:ascii="Verdana" w:eastAsia="Calibri" w:hAnsi="Verdana" w:cs="Arial"/>
          <w:i/>
          <w:lang w:val="es-ES"/>
        </w:rPr>
        <w:t>capacidad</w:t>
      </w:r>
      <w:r w:rsidRPr="1C0F21E5">
        <w:rPr>
          <w:rFonts w:ascii="Verdana" w:eastAsia="Calibri" w:hAnsi="Verdana" w:cs="Arial"/>
          <w:lang w:val="es-ES"/>
        </w:rPr>
        <w:t xml:space="preserve"> también es un requisito de validez de los contratos, tanto en el régimen de las entidades sujetas al Estatuto General de Contratación de la Administración Pública</w:t>
      </w:r>
      <w:r w:rsidRPr="1C0F21E5">
        <w:rPr>
          <w:rStyle w:val="Refdenotaalpie"/>
          <w:rFonts w:ascii="Verdana" w:eastAsia="Calibri" w:hAnsi="Verdana" w:cs="Arial"/>
          <w:lang w:val="es-ES"/>
        </w:rPr>
        <w:footnoteReference w:id="8"/>
      </w:r>
      <w:r w:rsidRPr="1C0F21E5">
        <w:rPr>
          <w:rFonts w:ascii="Verdana" w:eastAsia="Calibri" w:hAnsi="Verdana" w:cs="Arial"/>
          <w:lang w:val="es-ES"/>
        </w:rPr>
        <w:t xml:space="preserve"> como en el de las entidades exceptuadas de aquel</w:t>
      </w:r>
      <w:r w:rsidRPr="1C0F21E5">
        <w:rPr>
          <w:rStyle w:val="Refdenotaalpie"/>
          <w:rFonts w:ascii="Verdana" w:eastAsia="Calibri" w:hAnsi="Verdana" w:cs="Arial"/>
          <w:lang w:val="es-ES"/>
        </w:rPr>
        <w:footnoteReference w:id="9"/>
      </w:r>
      <w:r w:rsidRPr="1C0F21E5">
        <w:rPr>
          <w:rFonts w:ascii="Verdana" w:eastAsia="Calibri" w:hAnsi="Verdana" w:cs="Arial"/>
          <w:lang w:val="es-ES"/>
        </w:rPr>
        <w:t xml:space="preserve">. Si bien la regulación de la capacidad se integra por varias disposiciones y exigencias especiales –como el requisito de inscribirse, por regla general, en el Registro Único de Proponentes (RUP), </w:t>
      </w:r>
      <w:r w:rsidRPr="1C0F21E5">
        <w:rPr>
          <w:rFonts w:ascii="Verdana" w:eastAsia="Calibri" w:hAnsi="Verdana" w:cs="Arial"/>
          <w:lang w:val="es-ES"/>
        </w:rPr>
        <w:lastRenderedPageBreak/>
        <w:t>establecido en el artículo 6 de la Ley 1150 de 2007, modificado por el artículo 221 del Decreto 19 de 2012</w:t>
      </w:r>
      <w:r w:rsidRPr="1C0F21E5">
        <w:rPr>
          <w:rStyle w:val="Refdenotaalpie"/>
          <w:rFonts w:ascii="Verdana" w:eastAsia="Calibri" w:hAnsi="Verdana" w:cs="Arial"/>
          <w:lang w:val="es-ES"/>
        </w:rPr>
        <w:footnoteReference w:id="10"/>
      </w:r>
      <w:r w:rsidRPr="1C0F21E5">
        <w:rPr>
          <w:rFonts w:ascii="Verdana" w:eastAsia="Calibri" w:hAnsi="Verdana" w:cs="Arial"/>
          <w:lang w:val="es-ES"/>
        </w:rPr>
        <w:t>–, se destaca el régimen de inhabilidades e incompatibilidades como un conjunto de normas que imponen restricciones para los sujetos que, eventualmente, pretendan participar en los procedimientos de selección o celebrar contratos con las entidades estatales</w:t>
      </w:r>
      <w:r w:rsidRPr="1C0F21E5">
        <w:rPr>
          <w:rStyle w:val="Refdenotaalpie"/>
          <w:rFonts w:ascii="Verdana" w:eastAsia="Calibri" w:hAnsi="Verdana" w:cs="Arial"/>
          <w:lang w:val="es-ES"/>
        </w:rPr>
        <w:footnoteReference w:id="11"/>
      </w:r>
      <w:r w:rsidRPr="1C0F21E5">
        <w:rPr>
          <w:rFonts w:ascii="Verdana" w:eastAsia="Calibri" w:hAnsi="Verdana" w:cs="Arial"/>
          <w:lang w:val="es-ES"/>
        </w:rPr>
        <w:t>.</w:t>
      </w:r>
    </w:p>
    <w:p w14:paraId="74F6FCA0" w14:textId="0A118BB4" w:rsidR="1C0F21E5" w:rsidRDefault="1C0F21E5" w:rsidP="1C0F21E5">
      <w:pPr>
        <w:spacing w:after="120" w:line="276" w:lineRule="auto"/>
        <w:ind w:firstLine="709"/>
        <w:jc w:val="both"/>
        <w:rPr>
          <w:rFonts w:ascii="Verdana" w:eastAsia="Calibri" w:hAnsi="Verdana" w:cs="Arial"/>
          <w:lang w:val="es-ES"/>
        </w:rPr>
      </w:pPr>
    </w:p>
    <w:p w14:paraId="0F2D22A3" w14:textId="77777777" w:rsidR="000829A1" w:rsidRPr="00E96901" w:rsidRDefault="000829A1" w:rsidP="000829A1">
      <w:pPr>
        <w:spacing w:after="120" w:line="276" w:lineRule="auto"/>
        <w:ind w:firstLine="709"/>
        <w:jc w:val="both"/>
        <w:rPr>
          <w:rFonts w:ascii="Verdana" w:eastAsia="Calibri" w:hAnsi="Verdana" w:cs="Arial"/>
          <w:lang w:val="es-ES"/>
        </w:rPr>
      </w:pPr>
      <w:r w:rsidRPr="1C0F21E5">
        <w:rPr>
          <w:rFonts w:ascii="Verdana" w:eastAsia="Calibri" w:hAnsi="Verdana" w:cs="Arial"/>
          <w:lang w:val="es-ES"/>
        </w:rPr>
        <w:t xml:space="preserve">Las inhabilidades son prohibiciones para concurrir a los procedimientos de selección y para contratar con el Estado, que se derivan: i) de la existencia de comportamientos reprochables o de sanciones anteriormente impuestas, </w:t>
      </w:r>
      <w:proofErr w:type="spellStart"/>
      <w:r w:rsidRPr="1C0F21E5">
        <w:rPr>
          <w:rFonts w:ascii="Verdana" w:eastAsia="Calibri" w:hAnsi="Verdana" w:cs="Arial"/>
          <w:lang w:val="es-ES"/>
        </w:rPr>
        <w:t>ii</w:t>
      </w:r>
      <w:proofErr w:type="spellEnd"/>
      <w:r w:rsidRPr="1C0F21E5">
        <w:rPr>
          <w:rFonts w:ascii="Verdana" w:eastAsia="Calibri" w:hAnsi="Verdana" w:cs="Arial"/>
          <w:lang w:val="es-ES"/>
        </w:rPr>
        <w:t xml:space="preserve">) de vínculos personales relativos al parentesco o al estado civil o </w:t>
      </w:r>
      <w:proofErr w:type="spellStart"/>
      <w:r w:rsidRPr="1C0F21E5">
        <w:rPr>
          <w:rFonts w:ascii="Verdana" w:eastAsia="Calibri" w:hAnsi="Verdana" w:cs="Arial"/>
          <w:lang w:val="es-ES"/>
        </w:rPr>
        <w:t>iii</w:t>
      </w:r>
      <w:proofErr w:type="spellEnd"/>
      <w:r w:rsidRPr="1C0F21E5">
        <w:rPr>
          <w:rFonts w:ascii="Verdana" w:eastAsia="Calibri" w:hAnsi="Verdana" w:cs="Arial"/>
          <w:lang w:val="es-ES"/>
        </w:rPr>
        <w:t xml:space="preserve">) de una actividad u oficio que se desempeñó en el pasado. De otro lado, las incompatibilidades, según un sector de la doctrina,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 En todo caso, a pesar de la existencia de distintos criterios para diferenciar las inhabilidades de las incompatibilidades, de la presencia de ellas se derivan las mismas consecuencias jurídicas, esto es, la limitación de la capacidad contractual, de manera que la presencia de ellas impide que se puedan celebrar contratos con el Estado o participar en procedimientos de </w:t>
      </w:r>
      <w:r w:rsidRPr="1C0F21E5">
        <w:rPr>
          <w:rFonts w:ascii="Verdana" w:eastAsia="Calibri" w:hAnsi="Verdana" w:cs="Arial"/>
          <w:lang w:val="es-ES"/>
        </w:rPr>
        <w:lastRenderedPageBreak/>
        <w:t>selección de las entidades estatales, por lo que de cualquiera de ellas se derivan los mismos efectos jurídicos</w:t>
      </w:r>
      <w:r w:rsidRPr="1C0F21E5">
        <w:rPr>
          <w:rStyle w:val="Refdenotaalpie"/>
          <w:rFonts w:ascii="Verdana" w:eastAsia="Calibri" w:hAnsi="Verdana" w:cs="Arial"/>
          <w:lang w:val="es-ES"/>
        </w:rPr>
        <w:footnoteReference w:id="12"/>
      </w:r>
      <w:r w:rsidRPr="1C0F21E5">
        <w:rPr>
          <w:rFonts w:ascii="Verdana" w:eastAsia="Calibri" w:hAnsi="Verdana" w:cs="Arial"/>
          <w:lang w:val="es-ES"/>
        </w:rPr>
        <w:t>.</w:t>
      </w:r>
    </w:p>
    <w:bookmarkEnd w:id="4"/>
    <w:p w14:paraId="4C933A5A" w14:textId="4A32A315" w:rsidR="1C0F21E5" w:rsidRDefault="1C0F21E5" w:rsidP="1C0F21E5">
      <w:pPr>
        <w:spacing w:after="120" w:line="276" w:lineRule="auto"/>
        <w:ind w:firstLine="709"/>
        <w:jc w:val="both"/>
        <w:rPr>
          <w:rFonts w:ascii="Verdana" w:eastAsia="Calibri" w:hAnsi="Verdana" w:cs="Arial"/>
          <w:lang w:val="es-ES"/>
        </w:rPr>
      </w:pPr>
    </w:p>
    <w:p w14:paraId="51967598" w14:textId="77777777" w:rsidR="000829A1" w:rsidRDefault="000829A1" w:rsidP="000829A1">
      <w:pPr>
        <w:spacing w:after="120" w:line="276" w:lineRule="auto"/>
        <w:ind w:firstLine="709"/>
        <w:jc w:val="both"/>
        <w:rPr>
          <w:rFonts w:ascii="Verdana" w:eastAsia="Calibri" w:hAnsi="Verdana" w:cs="Arial"/>
          <w:lang w:val="es-ES"/>
        </w:rPr>
      </w:pPr>
      <w:r w:rsidRPr="1C0F21E5">
        <w:rPr>
          <w:rFonts w:ascii="Verdana" w:eastAsia="Calibri" w:hAnsi="Verdana" w:cs="Arial"/>
          <w:lang w:val="es-ES"/>
        </w:rPr>
        <w:t>De otro lado, el régimen de inhabilidades e incompatibilidades en la contratación pública responde a la tendencia, vigente desde hace varias décadas en nuestro país, pero que se ha reforzado en los últimos años, de asegurar que la actividad de provisión de los bienes, obras y servicios por parte de las entidades estatales se efectúe cumpliendo con los principios de la función administrativa y de la gestión fiscal, especialmente con probidad y transparencia. Por ello, como destaca la doctrina, las inhabilidades e incompatibilidades son herramientas en la lucha contra la corrupción, adoptando paulatinamente una naturaleza sancionatoria o “</w:t>
      </w:r>
      <w:proofErr w:type="spellStart"/>
      <w:r w:rsidRPr="1C0F21E5">
        <w:rPr>
          <w:rFonts w:ascii="Verdana" w:eastAsia="Calibri" w:hAnsi="Verdana" w:cs="Arial"/>
          <w:lang w:val="es-ES"/>
        </w:rPr>
        <w:t>neopunitiva</w:t>
      </w:r>
      <w:proofErr w:type="spellEnd"/>
      <w:r w:rsidRPr="1C0F21E5">
        <w:rPr>
          <w:rFonts w:ascii="Verdana" w:eastAsia="Calibri" w:hAnsi="Verdana" w:cs="Arial"/>
          <w:lang w:val="es-ES"/>
        </w:rPr>
        <w:t>”</w:t>
      </w:r>
      <w:r w:rsidRPr="1C0F21E5">
        <w:rPr>
          <w:rStyle w:val="Refdenotaalpie"/>
          <w:rFonts w:ascii="Verdana" w:eastAsia="Calibri" w:hAnsi="Verdana" w:cs="Arial"/>
          <w:lang w:val="es-ES"/>
        </w:rPr>
        <w:footnoteReference w:id="13"/>
      </w:r>
      <w:r w:rsidRPr="1C0F21E5">
        <w:rPr>
          <w:rFonts w:ascii="Verdana" w:eastAsia="Calibri" w:hAnsi="Verdana" w:cs="Arial"/>
          <w:lang w:val="es-ES"/>
        </w:rPr>
        <w:t>. Si bien no todas las causales de inhabilidad y de incompatibilidad son consecuencia de una medida de reproche ni de una sanción previa, como ya se explicó, es indiscutible que en los años más recientes los lamentables hechos de corrupción han generado, como respuesta del legislador, un incremento de las restricciones a la capacidad contractual, dirigidas a prevenir este tipo de situaciones o a sancionar tales conductas.</w:t>
      </w:r>
    </w:p>
    <w:p w14:paraId="4B7DF357" w14:textId="7F693C1A" w:rsidR="1C0F21E5" w:rsidRDefault="1C0F21E5" w:rsidP="1C0F21E5">
      <w:pPr>
        <w:spacing w:after="120" w:line="276" w:lineRule="auto"/>
        <w:ind w:firstLine="709"/>
        <w:jc w:val="both"/>
        <w:rPr>
          <w:rFonts w:ascii="Verdana" w:eastAsia="Calibri" w:hAnsi="Verdana" w:cs="Arial"/>
          <w:lang w:val="es-ES"/>
        </w:rPr>
      </w:pPr>
    </w:p>
    <w:p w14:paraId="142A32C5" w14:textId="77777777" w:rsidR="000829A1" w:rsidRDefault="000829A1" w:rsidP="000829A1">
      <w:pPr>
        <w:spacing w:after="120" w:line="276" w:lineRule="auto"/>
        <w:ind w:firstLine="709"/>
        <w:jc w:val="both"/>
        <w:rPr>
          <w:rFonts w:ascii="Verdana" w:eastAsia="Calibri" w:hAnsi="Verdana" w:cs="Arial"/>
          <w:lang w:val="es-ES_tradnl"/>
        </w:rPr>
      </w:pPr>
      <w:r w:rsidRPr="1C0F21E5">
        <w:rPr>
          <w:rFonts w:ascii="Verdana" w:eastAsia="Calibri" w:hAnsi="Verdana" w:cs="Arial"/>
          <w:lang w:val="es-ES"/>
        </w:rPr>
        <w:t xml:space="preserve">Ahora bien, el literal a) del artículo 8.1 de la Ley 80 de 1993 dispone que son inhábiles para participar procesos de selección y para celebrar contratos estatales “Las personas que se hallen inhabilitadas para contratar por la Constitución y las leyes”. De esta manera, el régimen de inhabilidades en el sistema de compras públicas no se agota en el artículo 8 precitado, sino que se integra con otras normas del ordenamiento jurídico. Asimismo, todas se extienden a las entidades exceptuadas del EGCAP, especialmente, cuando el </w:t>
      </w:r>
      <w:r w:rsidRPr="1C0F21E5">
        <w:rPr>
          <w:rFonts w:ascii="Verdana" w:eastAsia="Calibri" w:hAnsi="Verdana" w:cs="Arial"/>
          <w:lang w:val="es-ES"/>
        </w:rPr>
        <w:lastRenderedPageBreak/>
        <w:t>inciso primero del artículo 13 de la Ley 1150 de 2007 prescribe que “[…]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 Incluso, en virtud del artículo 6 del Decreto 092 de 2017, también hacen parte de los negocios jurídicos que se suscriban con las ESAL conforme a los artículos 355 constitucional o 96 de la Ley 489 de 1998</w:t>
      </w:r>
      <w:r w:rsidRPr="1C0F21E5">
        <w:rPr>
          <w:rStyle w:val="Refdenotaalpie"/>
          <w:rFonts w:ascii="Verdana" w:eastAsia="Calibri" w:hAnsi="Verdana" w:cs="Arial"/>
          <w:lang w:val="es-ES"/>
        </w:rPr>
        <w:footnoteReference w:id="14"/>
      </w:r>
      <w:r w:rsidRPr="1C0F21E5">
        <w:rPr>
          <w:rFonts w:ascii="Verdana" w:eastAsia="Calibri" w:hAnsi="Verdana" w:cs="Arial"/>
          <w:lang w:val="es-ES"/>
        </w:rPr>
        <w:t>.</w:t>
      </w:r>
    </w:p>
    <w:p w14:paraId="0A659108" w14:textId="0182A917" w:rsidR="1C0F21E5" w:rsidRDefault="1C0F21E5" w:rsidP="1C0F21E5">
      <w:pPr>
        <w:spacing w:after="120" w:line="276" w:lineRule="auto"/>
        <w:ind w:firstLine="709"/>
        <w:jc w:val="both"/>
        <w:rPr>
          <w:rFonts w:ascii="Verdana" w:eastAsia="Calibri" w:hAnsi="Verdana" w:cs="Arial"/>
          <w:lang w:val="es-ES"/>
        </w:rPr>
      </w:pPr>
    </w:p>
    <w:p w14:paraId="31EA6E48" w14:textId="77777777" w:rsidR="000829A1" w:rsidRDefault="000829A1" w:rsidP="000829A1">
      <w:pPr>
        <w:spacing w:after="120" w:line="276" w:lineRule="auto"/>
        <w:ind w:firstLine="709"/>
        <w:jc w:val="both"/>
        <w:rPr>
          <w:rFonts w:ascii="Verdana" w:eastAsia="Calibri" w:hAnsi="Verdana" w:cs="Arial"/>
          <w:lang w:val="es-ES_tradnl"/>
        </w:rPr>
      </w:pPr>
      <w:r>
        <w:rPr>
          <w:rFonts w:ascii="Verdana" w:eastAsia="Calibri" w:hAnsi="Verdana" w:cs="Arial"/>
          <w:lang w:val="es-ES_tradnl"/>
        </w:rPr>
        <w:t>Lo anterior no obsta para que las restricciones a la capacidad jurídica para la celebración de contratos se extiendan a los negocios jurídicos entre particulares. Al respecto, el parágrafo 3 del artículo 8 del Estatuto General de Contratación de la Administración Pública, adicionado por el artículo 3 de la Ley 2014 de 2019, dispone que “</w:t>
      </w:r>
      <w:r w:rsidRPr="006909C4">
        <w:rPr>
          <w:rFonts w:ascii="Verdana" w:eastAsia="Calibri" w:hAnsi="Verdana" w:cs="Arial"/>
          <w:lang w:val="es-ES_tradnl"/>
        </w:rPr>
        <w:t>Las inhabilidades e incompatibilidades contempladas en este artículo se aplicarán a cualquier proceso de contratación privada en el que se comprometan recursos públicos</w:t>
      </w:r>
      <w:r>
        <w:rPr>
          <w:rFonts w:ascii="Verdana" w:eastAsia="Calibri" w:hAnsi="Verdana" w:cs="Arial"/>
          <w:lang w:val="es-ES_tradnl"/>
        </w:rPr>
        <w:t>”</w:t>
      </w:r>
      <w:r w:rsidRPr="006909C4">
        <w:rPr>
          <w:rFonts w:ascii="Verdana" w:eastAsia="Calibri" w:hAnsi="Verdana" w:cs="Arial"/>
          <w:lang w:val="es-ES_tradnl"/>
        </w:rPr>
        <w:t>.</w:t>
      </w:r>
    </w:p>
    <w:p w14:paraId="4B727B1C" w14:textId="77777777" w:rsidR="000829A1" w:rsidRPr="00F4158D" w:rsidRDefault="000829A1" w:rsidP="000829A1">
      <w:pPr>
        <w:pStyle w:val="paragraph"/>
        <w:shd w:val="clear" w:color="auto" w:fill="FFFFFF"/>
        <w:spacing w:before="0" w:beforeAutospacing="0" w:after="120" w:afterAutospacing="0" w:line="276" w:lineRule="auto"/>
        <w:ind w:firstLine="708"/>
        <w:jc w:val="both"/>
        <w:textAlignment w:val="baseline"/>
        <w:rPr>
          <w:rFonts w:ascii="Verdana" w:eastAsia="Calibri" w:hAnsi="Verdana" w:cs="Arial"/>
          <w:bCs/>
          <w:color w:val="000000" w:themeColor="text1"/>
          <w:sz w:val="22"/>
          <w:szCs w:val="22"/>
        </w:rPr>
      </w:pPr>
      <w:r w:rsidRPr="00F4158D">
        <w:rPr>
          <w:rFonts w:ascii="Verdana" w:eastAsia="Calibri" w:hAnsi="Verdana" w:cs="Arial"/>
          <w:bCs/>
          <w:color w:val="000000" w:themeColor="text1"/>
          <w:sz w:val="22"/>
          <w:szCs w:val="22"/>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1E9C13C" w14:textId="77777777" w:rsidR="000829A1" w:rsidRDefault="000829A1" w:rsidP="000829A1">
      <w:pPr>
        <w:spacing w:after="0" w:line="276" w:lineRule="auto"/>
        <w:ind w:firstLine="708"/>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w:t>
      </w:r>
      <w:r w:rsidRPr="00F4158D">
        <w:rPr>
          <w:rFonts w:ascii="Verdana" w:eastAsia="Calibri" w:hAnsi="Verdana" w:cs="Arial"/>
          <w:bCs/>
          <w:color w:val="000000" w:themeColor="text1"/>
        </w:rPr>
        <w:lastRenderedPageBreak/>
        <w:t>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7FA6C906" w14:textId="77777777" w:rsidR="000829A1" w:rsidRPr="0016510D" w:rsidRDefault="000829A1" w:rsidP="000829A1">
      <w:pPr>
        <w:spacing w:after="0" w:line="276" w:lineRule="auto"/>
        <w:jc w:val="both"/>
        <w:rPr>
          <w:rFonts w:ascii="Verdana" w:eastAsia="Calibri" w:hAnsi="Verdana" w:cs="Arial"/>
          <w:bCs/>
          <w:color w:val="000000" w:themeColor="text1"/>
        </w:rPr>
      </w:pPr>
      <w:r w:rsidRPr="00185EE9">
        <w:rPr>
          <w:rFonts w:ascii="Verdana" w:eastAsia="Calibri" w:hAnsi="Verdana" w:cs="Arial"/>
          <w:bCs/>
          <w:color w:val="000000" w:themeColor="text1"/>
        </w:rPr>
        <w:t xml:space="preserve"> </w:t>
      </w:r>
    </w:p>
    <w:p w14:paraId="3C7AEE28" w14:textId="77777777" w:rsidR="000829A1" w:rsidRPr="00593A5F" w:rsidRDefault="000829A1" w:rsidP="000829A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530F526A" w14:textId="77777777" w:rsidR="000829A1" w:rsidRPr="00593A5F" w:rsidRDefault="000829A1" w:rsidP="000829A1">
      <w:pPr>
        <w:widowControl w:val="0"/>
        <w:autoSpaceDE w:val="0"/>
        <w:autoSpaceDN w:val="0"/>
        <w:spacing w:after="0" w:line="276" w:lineRule="auto"/>
        <w:jc w:val="both"/>
        <w:rPr>
          <w:rFonts w:ascii="Verdana" w:hAnsi="Verdana" w:cs="Arial"/>
        </w:rPr>
      </w:pPr>
    </w:p>
    <w:p w14:paraId="24C67286" w14:textId="09FD7E4C" w:rsidR="1C0F21E5" w:rsidRDefault="1C0F21E5" w:rsidP="1C0F21E5">
      <w:pPr>
        <w:widowControl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829A1" w:rsidRPr="002407CE" w14:paraId="19BA67DE" w14:textId="77777777" w:rsidTr="00597922">
        <w:trPr>
          <w:trHeight w:val="870"/>
          <w:jc w:val="center"/>
        </w:trPr>
        <w:tc>
          <w:tcPr>
            <w:tcW w:w="8647" w:type="dxa"/>
          </w:tcPr>
          <w:p w14:paraId="0DD99D34" w14:textId="77777777" w:rsidR="000829A1" w:rsidRDefault="000829A1" w:rsidP="0059792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150, 209, 267 y 355.</w:t>
            </w:r>
          </w:p>
          <w:p w14:paraId="70708E8F" w14:textId="77777777" w:rsidR="000829A1" w:rsidRDefault="000829A1" w:rsidP="0059792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 8.</w:t>
            </w:r>
          </w:p>
          <w:p w14:paraId="2919E668" w14:textId="77777777" w:rsidR="000829A1" w:rsidRDefault="000829A1" w:rsidP="0059792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489 de 1998, artículo 96.</w:t>
            </w:r>
          </w:p>
          <w:p w14:paraId="61A8F12E" w14:textId="77777777" w:rsidR="000829A1" w:rsidRPr="0013347D" w:rsidRDefault="000829A1" w:rsidP="0059792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artículos 6 y 13.</w:t>
            </w:r>
          </w:p>
          <w:p w14:paraId="293963E7" w14:textId="77777777" w:rsidR="000829A1" w:rsidRPr="0013347D" w:rsidRDefault="000829A1" w:rsidP="00597922">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Decreto 092 de 2017, artículo 6.</w:t>
            </w:r>
          </w:p>
        </w:tc>
      </w:tr>
    </w:tbl>
    <w:p w14:paraId="1F2F660C" w14:textId="77777777" w:rsidR="000829A1" w:rsidRPr="002407CE" w:rsidRDefault="000829A1" w:rsidP="000829A1">
      <w:pPr>
        <w:widowControl w:val="0"/>
        <w:autoSpaceDE w:val="0"/>
        <w:autoSpaceDN w:val="0"/>
        <w:spacing w:after="0" w:line="276" w:lineRule="auto"/>
        <w:jc w:val="both"/>
        <w:rPr>
          <w:rFonts w:ascii="Verdana" w:hAnsi="Verdana" w:cs="Arial"/>
        </w:rPr>
      </w:pPr>
    </w:p>
    <w:p w14:paraId="173EEA9A" w14:textId="469125CE" w:rsidR="1C0F21E5" w:rsidRDefault="1C0F21E5" w:rsidP="1C0F21E5">
      <w:pPr>
        <w:widowControl w:val="0"/>
        <w:spacing w:after="0" w:line="276" w:lineRule="auto"/>
        <w:jc w:val="both"/>
        <w:rPr>
          <w:rFonts w:ascii="Verdana" w:hAnsi="Verdana" w:cs="Arial"/>
        </w:rPr>
      </w:pPr>
    </w:p>
    <w:p w14:paraId="786AAF40" w14:textId="77777777" w:rsidR="000829A1" w:rsidRPr="00593A5F" w:rsidRDefault="000829A1" w:rsidP="000829A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FD222BC" w14:textId="77777777" w:rsidR="000829A1" w:rsidRPr="00593A5F" w:rsidRDefault="000829A1" w:rsidP="000829A1">
      <w:pPr>
        <w:widowControl w:val="0"/>
        <w:autoSpaceDE w:val="0"/>
        <w:autoSpaceDN w:val="0"/>
        <w:spacing w:after="0" w:line="276" w:lineRule="auto"/>
        <w:jc w:val="both"/>
        <w:rPr>
          <w:rFonts w:ascii="Verdana" w:hAnsi="Verdana" w:cs="Arial"/>
        </w:rPr>
      </w:pPr>
    </w:p>
    <w:p w14:paraId="2B8B6322" w14:textId="77777777" w:rsidR="000829A1" w:rsidRPr="007E4299" w:rsidRDefault="000829A1" w:rsidP="000829A1">
      <w:pPr>
        <w:widowControl w:val="0"/>
        <w:autoSpaceDE w:val="0"/>
        <w:autoSpaceDN w:val="0"/>
        <w:spacing w:after="0" w:line="276" w:lineRule="auto"/>
        <w:jc w:val="both"/>
        <w:rPr>
          <w:rStyle w:val="normaltextrun"/>
          <w:rFonts w:ascii="Verdana" w:hAnsi="Verdana"/>
        </w:rPr>
      </w:pPr>
      <w:r w:rsidRPr="00277E26">
        <w:rPr>
          <w:rStyle w:val="normaltextrun"/>
          <w:rFonts w:ascii="Verdana" w:hAnsi="Verdana" w:cs="Arial"/>
          <w:shd w:val="clear" w:color="auto" w:fill="FFFFFF"/>
          <w:lang w:val="es-ES"/>
        </w:rPr>
        <w:t>Esta Subdirección</w:t>
      </w:r>
      <w:r>
        <w:rPr>
          <w:rStyle w:val="normaltextrun"/>
          <w:rFonts w:ascii="Verdana" w:hAnsi="Verdana" w:cs="Arial"/>
          <w:shd w:val="clear" w:color="auto" w:fill="FFFFFF"/>
          <w:lang w:val="es-ES"/>
        </w:rPr>
        <w:t xml:space="preserve"> </w:t>
      </w:r>
      <w:r w:rsidRPr="009D1699">
        <w:rPr>
          <w:rStyle w:val="normaltextrun"/>
          <w:rFonts w:ascii="Verdana" w:hAnsi="Verdana" w:cs="Arial"/>
          <w:shd w:val="clear" w:color="auto" w:fill="FFFFFF"/>
          <w:lang w:val="es-ES"/>
        </w:rPr>
        <w:t xml:space="preserve">se ha pronunciado sobre </w:t>
      </w:r>
      <w:r>
        <w:rPr>
          <w:rStyle w:val="normaltextrun"/>
          <w:rFonts w:ascii="Verdana" w:hAnsi="Verdana" w:cs="Arial"/>
          <w:shd w:val="clear" w:color="auto" w:fill="FFFFFF"/>
          <w:lang w:val="es-ES"/>
        </w:rPr>
        <w:t>el régimen de inhabilidades e incompatibilidades</w:t>
      </w:r>
      <w:r w:rsidRPr="00277E26">
        <w:rPr>
          <w:rStyle w:val="normaltextrun"/>
          <w:rFonts w:ascii="Verdana" w:hAnsi="Verdana" w:cs="Arial"/>
          <w:shd w:val="clear" w:color="auto" w:fill="FFFFFF"/>
          <w:lang w:val="es-ES"/>
        </w:rPr>
        <w:t xml:space="preserve"> en los Conceptos </w:t>
      </w:r>
      <w:r w:rsidRPr="003D07ED">
        <w:rPr>
          <w:rStyle w:val="normaltextrun"/>
          <w:rFonts w:ascii="Verdana" w:hAnsi="Verdana" w:cs="Arial"/>
          <w:shd w:val="clear" w:color="auto" w:fill="FFFFFF"/>
          <w:lang w:val="es-ES"/>
        </w:rPr>
        <w:t>4201912000004765 de 29 de agosto de 2019, 4201913000005694 del 3 de octubre de 2019, 4201912000006288 del 7 de septiembre de 2019, 4201912000006259 del 13 de noviembre de 2019, 4201913000006917 del 21 de noviembre de 2019, 4201912000006978 del 25 de noviembre de 2019, 4201912000007291 del 3 de diciembre de 2019, 4201912000007281 del 5 de diciembre de 2019, 4201912000007060 del 11 de diciembre de 2019, 4201912000007512 del 16</w:t>
      </w:r>
      <w:r>
        <w:rPr>
          <w:rStyle w:val="normaltextrun"/>
          <w:rFonts w:ascii="Verdana" w:hAnsi="Verdana" w:cs="Arial"/>
          <w:shd w:val="clear" w:color="auto" w:fill="FFFFFF"/>
          <w:lang w:val="es-ES"/>
        </w:rPr>
        <w:t xml:space="preserve"> </w:t>
      </w:r>
      <w:r w:rsidRPr="003D07ED">
        <w:rPr>
          <w:rStyle w:val="normaltextrun"/>
          <w:rFonts w:ascii="Verdana" w:hAnsi="Verdana" w:cs="Arial"/>
          <w:shd w:val="clear" w:color="auto" w:fill="FFFFFF"/>
          <w:lang w:val="es-ES"/>
        </w:rPr>
        <w:t xml:space="preserve">diciembre de 2019, 4201912000008460 del 14 de febrero de 2020, C-032 del 19 de febrero de 2020, C-090 del 24 de febrero de 2020, C-125 del 3 de marzo de 2020, C-157 del 17 de marzo de 2020, C-273 del 21 de mayo de 2020, C-386 del 24 de julio de 2020, C-580 del 21 de septiembre de 2020, C-639 del 27 de octubre del 2020, C-650 del 10 de noviembre de 2020, C-684 del 24 de noviembre de 2020 C-004 del 12 de febrero de 2021, C-815 del 18 de febrero de 2021, C-210 del 12 de mayo de 2021, C-275 del 11 de junio de 2021, C-321 del 2 de julio de 2021, C-410 del 7 de julio del 2021, C-491 del 14 de septiembre de 2021, C-028 del 28 </w:t>
      </w:r>
      <w:r w:rsidRPr="003D07ED">
        <w:rPr>
          <w:rStyle w:val="normaltextrun"/>
          <w:rFonts w:ascii="Verdana" w:hAnsi="Verdana" w:cs="Arial"/>
          <w:shd w:val="clear" w:color="auto" w:fill="FFFFFF"/>
          <w:lang w:val="es-ES"/>
        </w:rPr>
        <w:lastRenderedPageBreak/>
        <w:t>de febrero de 2022, C-318 del 18 de mayo de 2022, C-252 del 30 de mayo de 2022, C-175 del 4 de mayo de 2023, C-234 del 5 de julio de 2023</w:t>
      </w:r>
      <w:r>
        <w:rPr>
          <w:rStyle w:val="normaltextrun"/>
          <w:rFonts w:ascii="Verdana" w:hAnsi="Verdana" w:cs="Arial"/>
          <w:shd w:val="clear" w:color="auto" w:fill="FFFFFF"/>
          <w:lang w:val="es-ES"/>
        </w:rPr>
        <w:t xml:space="preserve">, </w:t>
      </w:r>
      <w:r w:rsidRPr="003D07ED">
        <w:rPr>
          <w:rStyle w:val="normaltextrun"/>
          <w:rFonts w:ascii="Verdana" w:hAnsi="Verdana" w:cs="Arial"/>
          <w:shd w:val="clear" w:color="auto" w:fill="FFFFFF"/>
          <w:lang w:val="es-ES"/>
        </w:rPr>
        <w:t>C-408 del 21 de agosto de 2024</w:t>
      </w:r>
      <w:r>
        <w:rPr>
          <w:rStyle w:val="normaltextrun"/>
          <w:rFonts w:ascii="Verdana" w:hAnsi="Verdana" w:cs="Arial"/>
          <w:shd w:val="clear" w:color="auto" w:fill="FFFFFF"/>
          <w:lang w:val="es-ES"/>
        </w:rPr>
        <w:t>, C-975 del 16 de diciembre de 2024, C-1027 del 29 de enero de 2015, C-053 del 30 de enero de 2025, C-030 del 21 de febrero de 2025, C-344 del 28 de abril de 2025, C-434 del 14 de mayo de 2025, C-595 del 4 de junio de 2025 y C-1447 del 16 de octubre de 2025</w:t>
      </w:r>
      <w:r>
        <w:rPr>
          <w:rFonts w:ascii="Verdana" w:hAnsi="Verdana"/>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1"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 xml:space="preserve">. </w:t>
      </w:r>
    </w:p>
    <w:p w14:paraId="1D66EB37" w14:textId="77777777" w:rsidR="000829A1" w:rsidRPr="00096788" w:rsidRDefault="000829A1" w:rsidP="000829A1">
      <w:pPr>
        <w:widowControl w:val="0"/>
        <w:autoSpaceDE w:val="0"/>
        <w:autoSpaceDN w:val="0"/>
        <w:spacing w:after="0" w:line="276" w:lineRule="auto"/>
        <w:jc w:val="both"/>
        <w:rPr>
          <w:rFonts w:ascii="Verdana" w:hAnsi="Verdana" w:cs="Arial"/>
          <w:color w:val="000000" w:themeColor="text1"/>
          <w:shd w:val="clear" w:color="auto" w:fill="FFFFFF"/>
        </w:rPr>
      </w:pPr>
    </w:p>
    <w:p w14:paraId="0C78883C" w14:textId="7CD275BE" w:rsidR="1C0F21E5" w:rsidRDefault="1C0F21E5" w:rsidP="1C0F21E5">
      <w:pPr>
        <w:widowControl w:val="0"/>
        <w:spacing w:after="0" w:line="276" w:lineRule="auto"/>
        <w:jc w:val="both"/>
        <w:rPr>
          <w:rFonts w:ascii="Verdana" w:hAnsi="Verdana" w:cs="Arial"/>
          <w:color w:val="000000" w:themeColor="text1"/>
        </w:rPr>
      </w:pPr>
    </w:p>
    <w:p w14:paraId="105A6AFC" w14:textId="77777777" w:rsidR="000829A1" w:rsidRPr="001205D1" w:rsidRDefault="000829A1" w:rsidP="000829A1">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77C6FC64" w14:textId="77777777" w:rsidR="000829A1" w:rsidRDefault="000829A1" w:rsidP="000829A1">
      <w:pPr>
        <w:spacing w:after="0"/>
        <w:jc w:val="both"/>
        <w:rPr>
          <w:rFonts w:ascii="Verdana" w:hAnsi="Verdana"/>
        </w:rPr>
      </w:pPr>
    </w:p>
    <w:p w14:paraId="27CD8709" w14:textId="77777777" w:rsidR="000829A1" w:rsidRPr="0038088D" w:rsidRDefault="000829A1" w:rsidP="000829A1">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12C21DBE" w14:textId="77777777" w:rsidR="000829A1" w:rsidRPr="0038088D" w:rsidRDefault="000829A1" w:rsidP="000829A1">
      <w:pPr>
        <w:spacing w:after="0"/>
        <w:jc w:val="both"/>
        <w:rPr>
          <w:rFonts w:ascii="Verdana" w:hAnsi="Verdana"/>
        </w:rPr>
      </w:pPr>
    </w:p>
    <w:p w14:paraId="3BFBC1B7" w14:textId="77777777" w:rsidR="000829A1" w:rsidRPr="0038088D" w:rsidRDefault="000829A1" w:rsidP="000829A1">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44434C17" w14:textId="77777777" w:rsidR="000829A1" w:rsidRPr="0038088D" w:rsidRDefault="000829A1" w:rsidP="000829A1">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proofErr w:type="gramStart"/>
      <w:r w:rsidRPr="0038088D">
        <w:rPr>
          <w:rFonts w:ascii="Verdana" w:eastAsia="Verdana" w:hAnsi="Verdana" w:cs="Verdana"/>
        </w:rPr>
        <w:t>):</w:t>
      </w:r>
      <w:r w:rsidRPr="0038088D">
        <w:rPr>
          <w:rStyle w:val="Hipervnculo"/>
          <w:rFonts w:ascii="Verdana" w:hAnsi="Verdana"/>
        </w:rPr>
        <w:t>+</w:t>
      </w:r>
      <w:proofErr w:type="gramEnd"/>
      <w:r w:rsidRPr="0038088D">
        <w:rPr>
          <w:rStyle w:val="Hipervnculo"/>
          <w:rFonts w:ascii="Verdana" w:hAnsi="Verdana"/>
        </w:rPr>
        <w:t>57 601 7456788</w:t>
      </w:r>
    </w:p>
    <w:p w14:paraId="64CAFA8D" w14:textId="77777777" w:rsidR="000829A1" w:rsidRPr="0038088D" w:rsidRDefault="000829A1" w:rsidP="000829A1">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 xml:space="preserve">Correo de radicación de correspondencia: </w:t>
      </w:r>
      <w:hyperlink r:id="rId13">
        <w:r w:rsidRPr="0038088D">
          <w:rPr>
            <w:rStyle w:val="Hipervnculo"/>
            <w:rFonts w:ascii="Verdana" w:eastAsia="Verdana" w:hAnsi="Verdana" w:cs="Verdana"/>
          </w:rPr>
          <w:t>ventanilladeradicacion@colombiacompra.gov.co</w:t>
        </w:r>
      </w:hyperlink>
    </w:p>
    <w:p w14:paraId="59FAD826" w14:textId="77777777" w:rsidR="000829A1" w:rsidRPr="0038088D" w:rsidRDefault="000829A1" w:rsidP="000829A1">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14">
        <w:r w:rsidRPr="0038088D">
          <w:rPr>
            <w:rStyle w:val="Hipervnculo"/>
            <w:rFonts w:ascii="Verdana" w:eastAsia="Verdana" w:hAnsi="Verdana" w:cs="Verdana"/>
          </w:rPr>
          <w:t>https://www.colombiacompra.gov.co/pqrsd/informacion-importante-antes-de-formular-una-pqrsd</w:t>
        </w:r>
      </w:hyperlink>
    </w:p>
    <w:p w14:paraId="07431D59" w14:textId="77777777" w:rsidR="000829A1" w:rsidRPr="0038088D" w:rsidRDefault="000829A1" w:rsidP="000829A1">
      <w:pPr>
        <w:spacing w:after="0" w:line="240" w:lineRule="auto"/>
        <w:ind w:left="720"/>
        <w:jc w:val="both"/>
        <w:rPr>
          <w:rFonts w:ascii="Verdana" w:hAnsi="Verdana"/>
        </w:rPr>
      </w:pPr>
    </w:p>
    <w:p w14:paraId="34C99641" w14:textId="77777777" w:rsidR="000829A1" w:rsidRPr="0038088D" w:rsidRDefault="000829A1" w:rsidP="000829A1">
      <w:pPr>
        <w:spacing w:after="0" w:line="240" w:lineRule="auto"/>
        <w:rPr>
          <w:rFonts w:ascii="Verdana" w:hAnsi="Verdana"/>
        </w:rPr>
      </w:pPr>
      <w:r w:rsidRPr="0038088D">
        <w:rPr>
          <w:rFonts w:ascii="Verdana" w:hAnsi="Verdana"/>
        </w:rPr>
        <w:t>Evalúa el servicio que ofrece la Agencia por el canal de atención de PQRSD en el siguiente enlace :</w:t>
      </w:r>
      <w:hyperlink r:id="rId15"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34961AEC" w14:textId="77777777" w:rsidR="000829A1" w:rsidRPr="0038088D" w:rsidRDefault="000829A1" w:rsidP="000829A1">
      <w:pPr>
        <w:spacing w:after="0" w:line="240" w:lineRule="auto"/>
        <w:rPr>
          <w:rFonts w:ascii="Verdana" w:hAnsi="Verdana"/>
        </w:rPr>
      </w:pPr>
    </w:p>
    <w:p w14:paraId="7D93AB5E" w14:textId="77777777" w:rsidR="000829A1" w:rsidRPr="0038088D" w:rsidRDefault="000829A1" w:rsidP="000829A1">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25223AF9" w14:textId="77777777" w:rsidR="000829A1" w:rsidRPr="00116940" w:rsidRDefault="000829A1" w:rsidP="000829A1">
      <w:pPr>
        <w:spacing w:after="0" w:line="240" w:lineRule="auto"/>
        <w:jc w:val="both"/>
        <w:rPr>
          <w:rFonts w:ascii="Verdana" w:hAnsi="Verdana"/>
        </w:rPr>
      </w:pPr>
    </w:p>
    <w:p w14:paraId="2D3D25AB" w14:textId="77777777" w:rsidR="000829A1" w:rsidRPr="00116940" w:rsidRDefault="000829A1" w:rsidP="000829A1">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1DDAE857" w14:textId="77777777" w:rsidR="000829A1" w:rsidRPr="00116940" w:rsidRDefault="000829A1" w:rsidP="000829A1">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72101590" w14:textId="77777777" w:rsidR="000829A1" w:rsidRPr="00E22E6E" w:rsidRDefault="000829A1" w:rsidP="000829A1">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E182BD9" w14:textId="77777777" w:rsidR="000829A1" w:rsidRPr="009C4035" w:rsidRDefault="000829A1" w:rsidP="000829A1">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r>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30570B4F" w14:textId="77777777" w:rsidR="000829A1" w:rsidRPr="00593A5F" w:rsidRDefault="000829A1" w:rsidP="000829A1">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1659A9B2" w14:textId="77777777" w:rsidR="000829A1" w:rsidRPr="00593A5F" w:rsidRDefault="000829A1" w:rsidP="000829A1">
      <w:pPr>
        <w:widowControl w:val="0"/>
        <w:autoSpaceDE w:val="0"/>
        <w:autoSpaceDN w:val="0"/>
        <w:spacing w:after="0" w:line="276" w:lineRule="auto"/>
        <w:jc w:val="both"/>
        <w:rPr>
          <w:rFonts w:ascii="Verdana" w:hAnsi="Verdana" w:cs="Arial"/>
        </w:rPr>
      </w:pPr>
    </w:p>
    <w:p w14:paraId="08CFDCE5" w14:textId="77777777" w:rsidR="000829A1" w:rsidRPr="00593A5F" w:rsidRDefault="000829A1" w:rsidP="000829A1">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FC62730" w14:textId="7BCDD2ED" w:rsidR="1C0F21E5" w:rsidRDefault="1C0F21E5" w:rsidP="1C0F21E5">
      <w:pPr>
        <w:spacing w:after="0" w:line="240" w:lineRule="auto"/>
        <w:rPr>
          <w:rFonts w:ascii="Verdana" w:hAnsi="Verdana" w:cs="Arial"/>
          <w:lang w:eastAsia="es-CO"/>
        </w:rPr>
      </w:pPr>
    </w:p>
    <w:p w14:paraId="716C346F" w14:textId="525EB1AB" w:rsidR="54A8EEA5" w:rsidRDefault="00101169" w:rsidP="00101169">
      <w:pPr>
        <w:spacing w:after="0" w:line="240" w:lineRule="auto"/>
        <w:jc w:val="center"/>
      </w:pPr>
      <w:r w:rsidRPr="00C07C60">
        <w:rPr>
          <w:rFonts w:ascii="Verdana" w:hAnsi="Verdana" w:cs="Arial"/>
          <w:noProof/>
          <w:lang w:eastAsia="es-CO"/>
        </w:rPr>
        <w:drawing>
          <wp:inline distT="0" distB="0" distL="0" distR="0" wp14:anchorId="15D2D281" wp14:editId="53E2491F">
            <wp:extent cx="4241800" cy="1778000"/>
            <wp:effectExtent l="0" t="0" r="0" b="0"/>
            <wp:docPr id="108489529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4895296" name=""/>
                    <pic:cNvPicPr/>
                  </pic:nvPicPr>
                  <pic:blipFill>
                    <a:blip r:embed="rId16"/>
                    <a:stretch>
                      <a:fillRect/>
                    </a:stretch>
                  </pic:blipFill>
                  <pic:spPr>
                    <a:xfrm>
                      <a:off x="0" y="0"/>
                      <a:ext cx="4241800" cy="1778000"/>
                    </a:xfrm>
                    <a:prstGeom prst="rect">
                      <a:avLst/>
                    </a:prstGeom>
                  </pic:spPr>
                </pic:pic>
              </a:graphicData>
            </a:graphic>
          </wp:inline>
        </w:drawing>
      </w:r>
    </w:p>
    <w:p w14:paraId="2959FEC1" w14:textId="77777777" w:rsidR="000829A1" w:rsidRPr="00593A5F" w:rsidRDefault="000829A1" w:rsidP="000829A1">
      <w:pPr>
        <w:spacing w:line="276" w:lineRule="auto"/>
        <w:jc w:val="center"/>
        <w:rPr>
          <w:rFonts w:ascii="Verdana" w:hAnsi="Verdana" w:cs="Arial"/>
          <w:color w:val="000000"/>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829A1" w:rsidRPr="00593A5F" w14:paraId="6397A08B" w14:textId="77777777" w:rsidTr="00597922">
        <w:trPr>
          <w:trHeight w:val="315"/>
        </w:trPr>
        <w:tc>
          <w:tcPr>
            <w:tcW w:w="893" w:type="dxa"/>
            <w:vAlign w:val="center"/>
            <w:hideMark/>
          </w:tcPr>
          <w:p w14:paraId="7C8F097A" w14:textId="77777777" w:rsidR="000829A1" w:rsidRPr="003751C7" w:rsidRDefault="000829A1" w:rsidP="00597922">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66B8595" w14:textId="77777777" w:rsidR="000829A1" w:rsidRPr="00254A7A" w:rsidRDefault="000829A1" w:rsidP="00597922">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35F06D23" w14:textId="77777777" w:rsidR="000829A1" w:rsidRPr="00254A7A" w:rsidRDefault="000829A1" w:rsidP="00597922">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0829A1" w:rsidRPr="00593A5F" w14:paraId="5FBD6CF0" w14:textId="77777777" w:rsidTr="00597922">
        <w:trPr>
          <w:trHeight w:val="330"/>
        </w:trPr>
        <w:tc>
          <w:tcPr>
            <w:tcW w:w="893" w:type="dxa"/>
            <w:vAlign w:val="center"/>
            <w:hideMark/>
          </w:tcPr>
          <w:p w14:paraId="4AF6E39D" w14:textId="77777777" w:rsidR="000829A1" w:rsidRPr="003751C7" w:rsidRDefault="000829A1" w:rsidP="00597922">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C86E62F" w14:textId="77777777" w:rsidR="000829A1" w:rsidRPr="001B6B73" w:rsidRDefault="000829A1" w:rsidP="00597922">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5E398558" w14:textId="77777777" w:rsidR="000829A1" w:rsidRPr="00254A7A" w:rsidRDefault="000829A1" w:rsidP="00597922">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0829A1" w:rsidRPr="00593A5F" w14:paraId="66E05D74" w14:textId="77777777" w:rsidTr="00597922">
        <w:trPr>
          <w:trHeight w:val="300"/>
        </w:trPr>
        <w:tc>
          <w:tcPr>
            <w:tcW w:w="893" w:type="dxa"/>
            <w:vAlign w:val="center"/>
          </w:tcPr>
          <w:p w14:paraId="01092994" w14:textId="77777777" w:rsidR="000829A1" w:rsidRPr="003751C7" w:rsidRDefault="000829A1" w:rsidP="00597922">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78CC5F1" w14:textId="77777777" w:rsidR="000829A1" w:rsidRPr="004E184A" w:rsidRDefault="000829A1" w:rsidP="00597922">
            <w:pPr>
              <w:contextualSpacing/>
              <w:rPr>
                <w:rFonts w:ascii="Verdana" w:eastAsia="Calibri" w:hAnsi="Verdana" w:cs="Arial"/>
                <w:sz w:val="16"/>
                <w:szCs w:val="16"/>
                <w:lang w:val="es-ES_tradnl" w:eastAsia="es-ES"/>
              </w:rPr>
            </w:pPr>
            <w:r w:rsidRPr="004E184A">
              <w:rPr>
                <w:rFonts w:ascii="Verdana" w:eastAsia="Calibri" w:hAnsi="Verdana" w:cs="Arial"/>
                <w:sz w:val="16"/>
                <w:szCs w:val="16"/>
                <w:lang w:val="es-ES_tradnl" w:eastAsia="es-ES"/>
              </w:rPr>
              <w:t>Ana María Tolosa Rico</w:t>
            </w:r>
          </w:p>
          <w:p w14:paraId="4E928AB7" w14:textId="77777777" w:rsidR="000829A1" w:rsidRPr="003751C7" w:rsidRDefault="000829A1" w:rsidP="00597922">
            <w:pPr>
              <w:contextualSpacing/>
              <w:rPr>
                <w:rFonts w:ascii="Verdana" w:eastAsia="Calibri" w:hAnsi="Verdana" w:cs="Arial"/>
                <w:sz w:val="16"/>
                <w:szCs w:val="16"/>
                <w:lang w:val="pt-BR" w:eastAsia="es-ES"/>
              </w:rPr>
            </w:pPr>
            <w:r w:rsidRPr="004E184A">
              <w:rPr>
                <w:rFonts w:ascii="Verdana" w:eastAsia="Calibri" w:hAnsi="Verdana" w:cs="Arial"/>
                <w:sz w:val="16"/>
                <w:szCs w:val="16"/>
                <w:lang w:val="es-ES_tradnl" w:eastAsia="es-ES"/>
              </w:rPr>
              <w:t>Subdirectora de Gestión Contractual (E)</w:t>
            </w:r>
          </w:p>
        </w:tc>
      </w:tr>
    </w:tbl>
    <w:p w14:paraId="486E1637" w14:textId="77777777" w:rsidR="000829A1" w:rsidRPr="00543BFE" w:rsidRDefault="000829A1" w:rsidP="000829A1"/>
    <w:p w14:paraId="4257051C" w14:textId="77777777" w:rsidR="000829A1" w:rsidRPr="00543BFE" w:rsidRDefault="000829A1" w:rsidP="000829A1"/>
    <w:p w14:paraId="0F293BF4" w14:textId="700608D2" w:rsidR="00127233" w:rsidRPr="00E54359" w:rsidRDefault="00127233" w:rsidP="00E54359"/>
    <w:sectPr w:rsidR="00127233" w:rsidRPr="00E54359"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0BEDFE" w14:textId="77777777" w:rsidR="005D1C15" w:rsidRDefault="005D1C15" w:rsidP="004A1847">
      <w:pPr>
        <w:spacing w:after="0" w:line="240" w:lineRule="auto"/>
      </w:pPr>
      <w:r>
        <w:separator/>
      </w:r>
    </w:p>
  </w:endnote>
  <w:endnote w:type="continuationSeparator" w:id="0">
    <w:p w14:paraId="76BB9D83" w14:textId="77777777" w:rsidR="005D1C15" w:rsidRDefault="005D1C15" w:rsidP="004A1847">
      <w:pPr>
        <w:spacing w:after="0" w:line="240" w:lineRule="auto"/>
      </w:pPr>
      <w:r>
        <w:continuationSeparator/>
      </w:r>
    </w:p>
  </w:endnote>
  <w:endnote w:type="continuationNotice" w:id="1">
    <w:p w14:paraId="29576B35" w14:textId="77777777" w:rsidR="005D1C15" w:rsidRDefault="005D1C1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43E496" w14:textId="77777777" w:rsidR="005D1C15" w:rsidRDefault="005D1C15" w:rsidP="004A1847">
      <w:pPr>
        <w:spacing w:after="0" w:line="240" w:lineRule="auto"/>
      </w:pPr>
      <w:r>
        <w:separator/>
      </w:r>
    </w:p>
  </w:footnote>
  <w:footnote w:type="continuationSeparator" w:id="0">
    <w:p w14:paraId="65D6B4F5" w14:textId="77777777" w:rsidR="005D1C15" w:rsidRDefault="005D1C15" w:rsidP="004A1847">
      <w:pPr>
        <w:spacing w:after="0" w:line="240" w:lineRule="auto"/>
      </w:pPr>
      <w:r>
        <w:continuationSeparator/>
      </w:r>
    </w:p>
  </w:footnote>
  <w:footnote w:type="continuationNotice" w:id="1">
    <w:p w14:paraId="1E5BB93E" w14:textId="77777777" w:rsidR="005D1C15" w:rsidRDefault="005D1C15">
      <w:pPr>
        <w:spacing w:after="0" w:line="240" w:lineRule="auto"/>
      </w:pPr>
    </w:p>
  </w:footnote>
  <w:footnote w:id="2">
    <w:p w14:paraId="1F6BE7CE" w14:textId="77777777" w:rsidR="000829A1" w:rsidRPr="001F0D99" w:rsidRDefault="000829A1" w:rsidP="000829A1">
      <w:pPr>
        <w:pStyle w:val="Textonotapie"/>
        <w:ind w:firstLine="709"/>
        <w:jc w:val="both"/>
        <w:rPr>
          <w:rFonts w:ascii="Verdana" w:hAnsi="Verdana"/>
          <w:sz w:val="16"/>
          <w:szCs w:val="16"/>
          <w:lang w:val="es-CO"/>
        </w:rPr>
      </w:pPr>
      <w:r w:rsidRPr="001F0D99">
        <w:rPr>
          <w:rStyle w:val="Refdenotaalpie"/>
          <w:rFonts w:ascii="Verdana" w:hAnsi="Verdana"/>
          <w:sz w:val="16"/>
          <w:szCs w:val="16"/>
        </w:rPr>
        <w:footnoteRef/>
      </w:r>
      <w:r w:rsidRPr="001F0D99">
        <w:rPr>
          <w:rFonts w:ascii="Verdana" w:hAnsi="Verdana"/>
          <w:sz w:val="16"/>
          <w:szCs w:val="16"/>
        </w:rPr>
        <w:t xml:space="preserve"> El artículo 6 del Decreto 092 de 2017, “Por el cual se reglamenta la contratación con entidades privadas sin ánimo de lucro a la que hace referencia el inciso segundo del artículo 355 de la Constitución Política”, dispone que “Las prohibiciones, inhabilidades e incompatibilidades establecidas en la Constitución y en las Leyes 80 de 1993, 1150 de 2007 y 1474 de 2011, y en las normas que las modifiquen, aclaren, adicionen o sustituyan, o en cualquier otra norma especial, son aplicables a la contratación a la que hace referencia el presente decreto”.</w:t>
      </w:r>
    </w:p>
  </w:footnote>
  <w:footnote w:id="3">
    <w:p w14:paraId="09A87B24" w14:textId="77777777" w:rsidR="000829A1" w:rsidRPr="001F0D99" w:rsidRDefault="000829A1" w:rsidP="000829A1">
      <w:pPr>
        <w:pStyle w:val="Textonotapie"/>
        <w:ind w:firstLine="709"/>
        <w:jc w:val="both"/>
        <w:rPr>
          <w:rFonts w:ascii="Verdana" w:hAnsi="Verdana" w:cs="Arial"/>
          <w:sz w:val="16"/>
          <w:szCs w:val="16"/>
          <w:lang w:val="es-ES_tradnl"/>
        </w:rPr>
      </w:pPr>
      <w:r w:rsidRPr="001F0D99">
        <w:rPr>
          <w:rStyle w:val="Refdenotaalpie"/>
          <w:rFonts w:ascii="Verdana" w:hAnsi="Verdana" w:cs="Arial"/>
          <w:sz w:val="16"/>
          <w:szCs w:val="16"/>
        </w:rPr>
        <w:footnoteRef/>
      </w:r>
      <w:r w:rsidRPr="001F0D99">
        <w:rPr>
          <w:rFonts w:ascii="Verdana" w:hAnsi="Verdana" w:cs="Arial"/>
          <w:sz w:val="16"/>
          <w:szCs w:val="16"/>
        </w:rPr>
        <w:t xml:space="preserve"> </w:t>
      </w:r>
      <w:r w:rsidRPr="001F0D99">
        <w:rPr>
          <w:rFonts w:ascii="Verdana" w:hAnsi="Verdana" w:cs="Arial"/>
          <w:sz w:val="16"/>
          <w:szCs w:val="16"/>
          <w:lang w:val="pt-BR"/>
        </w:rPr>
        <w:t>CORTE CONSTITUCIONAL. Sentencia C-1016 de 2012. M.P. Jorge Iván Palacio.</w:t>
      </w:r>
    </w:p>
  </w:footnote>
  <w:footnote w:id="4">
    <w:p w14:paraId="1F88DB7D" w14:textId="77777777" w:rsidR="000829A1" w:rsidRPr="001F0D99" w:rsidRDefault="000829A1" w:rsidP="000829A1">
      <w:pPr>
        <w:pStyle w:val="Textonotapie"/>
        <w:ind w:firstLine="709"/>
        <w:jc w:val="both"/>
        <w:rPr>
          <w:rFonts w:ascii="Verdana" w:hAnsi="Verdana" w:cs="Arial"/>
          <w:sz w:val="16"/>
          <w:szCs w:val="16"/>
          <w:lang w:val="pt-BR"/>
        </w:rPr>
      </w:pPr>
      <w:r w:rsidRPr="001F0D99">
        <w:rPr>
          <w:rStyle w:val="Refdenotaalpie"/>
          <w:rFonts w:ascii="Verdana" w:hAnsi="Verdana" w:cs="Arial"/>
          <w:sz w:val="16"/>
          <w:szCs w:val="16"/>
        </w:rPr>
        <w:footnoteRef/>
      </w:r>
      <w:r w:rsidRPr="001F0D99">
        <w:rPr>
          <w:rFonts w:ascii="Verdana" w:hAnsi="Verdana" w:cs="Arial"/>
          <w:sz w:val="16"/>
          <w:szCs w:val="16"/>
        </w:rPr>
        <w:t xml:space="preserve"> CONSEJO DE ESTADO. Sección Tercera. Subsección A. Sentencia del 13 de noviembre de 2013. </w:t>
      </w:r>
      <w:r w:rsidRPr="001F0D99">
        <w:rPr>
          <w:rFonts w:ascii="Verdana" w:hAnsi="Verdana" w:cs="Arial"/>
          <w:sz w:val="16"/>
          <w:szCs w:val="16"/>
          <w:lang w:val="pt-BR"/>
        </w:rPr>
        <w:t>Rad. 25.646. C.P. Mauricio Fajardo Gómez.</w:t>
      </w:r>
    </w:p>
  </w:footnote>
  <w:footnote w:id="5">
    <w:p w14:paraId="605901DB" w14:textId="77777777" w:rsidR="000829A1" w:rsidRPr="001F0D99" w:rsidRDefault="000829A1" w:rsidP="000829A1">
      <w:pPr>
        <w:pStyle w:val="Textonotapie"/>
        <w:ind w:firstLine="709"/>
        <w:jc w:val="both"/>
        <w:rPr>
          <w:rFonts w:ascii="Verdana" w:hAnsi="Verdana" w:cs="Arial"/>
          <w:sz w:val="16"/>
          <w:szCs w:val="16"/>
          <w:lang w:val="es-ES_tradnl"/>
        </w:rPr>
      </w:pPr>
      <w:r w:rsidRPr="001F0D99">
        <w:rPr>
          <w:rStyle w:val="Refdenotaalpie"/>
          <w:rFonts w:ascii="Verdana" w:hAnsi="Verdana" w:cs="Arial"/>
          <w:sz w:val="16"/>
          <w:szCs w:val="16"/>
        </w:rPr>
        <w:footnoteRef/>
      </w:r>
      <w:r w:rsidRPr="001F0D99">
        <w:rPr>
          <w:rFonts w:ascii="Verdana" w:hAnsi="Verdana" w:cs="Arial"/>
          <w:sz w:val="16"/>
          <w:szCs w:val="16"/>
        </w:rPr>
        <w:t xml:space="preserve"> </w:t>
      </w:r>
      <w:r w:rsidRPr="001F0D99">
        <w:rPr>
          <w:rFonts w:ascii="Verdana" w:hAnsi="Verdana" w:cs="Arial"/>
          <w:sz w:val="16"/>
          <w:szCs w:val="16"/>
          <w:lang w:val="pt-BR"/>
        </w:rPr>
        <w:t xml:space="preserve">CORTE CONSTITUCIONAL. Sentencia C-415 de 1994. M.P. </w:t>
      </w:r>
      <w:r w:rsidRPr="001F0D99">
        <w:rPr>
          <w:rFonts w:ascii="Verdana" w:hAnsi="Verdana" w:cs="Arial"/>
          <w:sz w:val="16"/>
          <w:szCs w:val="16"/>
          <w:lang w:val="es-ES_tradnl"/>
        </w:rPr>
        <w:t>Eduardo Cifuentes Muñoz.</w:t>
      </w:r>
    </w:p>
  </w:footnote>
  <w:footnote w:id="6">
    <w:p w14:paraId="51A91848" w14:textId="77777777" w:rsidR="000829A1" w:rsidRPr="001F0D99" w:rsidRDefault="000829A1" w:rsidP="000829A1">
      <w:pPr>
        <w:pStyle w:val="Textonotapie"/>
        <w:ind w:firstLine="709"/>
        <w:jc w:val="both"/>
        <w:rPr>
          <w:rFonts w:ascii="Verdana" w:hAnsi="Verdana" w:cs="Arial"/>
          <w:sz w:val="16"/>
          <w:szCs w:val="16"/>
          <w:lang w:val="pt-BR"/>
        </w:rPr>
      </w:pPr>
      <w:r w:rsidRPr="001F0D99">
        <w:rPr>
          <w:rStyle w:val="Refdenotaalpie"/>
          <w:rFonts w:ascii="Verdana" w:hAnsi="Verdana" w:cs="Arial"/>
          <w:sz w:val="16"/>
          <w:szCs w:val="16"/>
        </w:rPr>
        <w:footnoteRef/>
      </w:r>
      <w:r w:rsidRPr="001F0D99">
        <w:rPr>
          <w:rFonts w:ascii="Verdana" w:hAnsi="Verdana" w:cs="Arial"/>
          <w:sz w:val="16"/>
          <w:szCs w:val="16"/>
        </w:rPr>
        <w:t xml:space="preserve"> </w:t>
      </w:r>
      <w:r w:rsidRPr="001F0D99">
        <w:rPr>
          <w:rFonts w:ascii="Verdana" w:hAnsi="Verdana" w:cs="Arial"/>
          <w:sz w:val="16"/>
          <w:szCs w:val="16"/>
          <w:lang w:val="pt-BR"/>
        </w:rPr>
        <w:t>Ibidem.</w:t>
      </w:r>
    </w:p>
  </w:footnote>
  <w:footnote w:id="7">
    <w:p w14:paraId="5F15674F" w14:textId="77777777" w:rsidR="000829A1" w:rsidRPr="001F0D99" w:rsidRDefault="000829A1" w:rsidP="000829A1">
      <w:pPr>
        <w:pStyle w:val="Textonotapie"/>
        <w:ind w:firstLine="709"/>
        <w:jc w:val="both"/>
        <w:rPr>
          <w:rFonts w:ascii="Verdana" w:hAnsi="Verdana" w:cs="Arial"/>
          <w:sz w:val="16"/>
          <w:szCs w:val="16"/>
          <w:lang w:val="es-CO"/>
        </w:rPr>
      </w:pPr>
      <w:r w:rsidRPr="001F0D99">
        <w:rPr>
          <w:rStyle w:val="Refdenotaalpie"/>
          <w:rFonts w:ascii="Verdana" w:hAnsi="Verdana" w:cs="Arial"/>
          <w:sz w:val="16"/>
          <w:szCs w:val="16"/>
        </w:rPr>
        <w:footnoteRef/>
      </w:r>
      <w:r w:rsidRPr="001F0D99">
        <w:rPr>
          <w:rFonts w:ascii="Verdana" w:hAnsi="Verdana" w:cs="Arial"/>
          <w:sz w:val="16"/>
          <w:szCs w:val="16"/>
        </w:rPr>
        <w:t xml:space="preserve"> </w:t>
      </w:r>
      <w:r w:rsidRPr="001F0D99">
        <w:rPr>
          <w:rFonts w:ascii="Verdana" w:hAnsi="Verdana" w:cs="Arial"/>
          <w:sz w:val="16"/>
          <w:szCs w:val="16"/>
          <w:lang w:val="pt-BR"/>
        </w:rPr>
        <w:t xml:space="preserve">CORTE CONSTITUCIONAL. </w:t>
      </w:r>
      <w:r w:rsidRPr="001F0D99">
        <w:rPr>
          <w:rFonts w:ascii="Verdana" w:hAnsi="Verdana" w:cs="Arial"/>
          <w:sz w:val="16"/>
          <w:szCs w:val="16"/>
        </w:rPr>
        <w:t xml:space="preserve">Sentencia C-780 de 2001. </w:t>
      </w:r>
      <w:r w:rsidRPr="001F0D99">
        <w:rPr>
          <w:rFonts w:ascii="Verdana" w:hAnsi="Verdana" w:cs="Arial"/>
          <w:sz w:val="16"/>
          <w:szCs w:val="16"/>
          <w:lang w:val="es-CO"/>
        </w:rPr>
        <w:t xml:space="preserve">M.P. Jaime Córdoba Triviño. </w:t>
      </w:r>
    </w:p>
  </w:footnote>
  <w:footnote w:id="8">
    <w:p w14:paraId="532923C8" w14:textId="77777777" w:rsidR="000829A1" w:rsidRPr="001F0D99" w:rsidRDefault="000829A1" w:rsidP="000829A1">
      <w:pPr>
        <w:pStyle w:val="Textonotapie"/>
        <w:ind w:firstLine="709"/>
        <w:jc w:val="both"/>
        <w:rPr>
          <w:rFonts w:ascii="Verdana" w:hAnsi="Verdana" w:cs="Arial"/>
          <w:sz w:val="16"/>
          <w:szCs w:val="16"/>
        </w:rPr>
      </w:pPr>
      <w:r w:rsidRPr="001F0D99">
        <w:rPr>
          <w:rStyle w:val="Refdenotaalpie"/>
          <w:rFonts w:ascii="Verdana" w:hAnsi="Verdana" w:cs="Arial"/>
          <w:sz w:val="16"/>
          <w:szCs w:val="16"/>
        </w:rPr>
        <w:footnoteRef/>
      </w:r>
      <w:r w:rsidRPr="001F0D99">
        <w:rPr>
          <w:rFonts w:ascii="Verdana" w:hAnsi="Verdana" w:cs="Arial"/>
          <w:sz w:val="16"/>
          <w:szCs w:val="16"/>
        </w:rPr>
        <w:t xml:space="preserve"> Ley 80 de 1993: “Artículo 6. De la capacidad para contratar. Pueden celebrar contratos con las entidades estatales las personas consideradas legalmente capaces en las disposiciones vigentes. También podrán celebrar contratos con las entidades estatales, los consorcios y uniones temporales.</w:t>
      </w:r>
    </w:p>
    <w:p w14:paraId="6C4E8094" w14:textId="77777777" w:rsidR="000829A1" w:rsidRPr="001F0D99" w:rsidRDefault="000829A1" w:rsidP="000829A1">
      <w:pPr>
        <w:pStyle w:val="Textonotapie"/>
        <w:ind w:firstLine="709"/>
        <w:jc w:val="both"/>
        <w:rPr>
          <w:rFonts w:ascii="Verdana" w:hAnsi="Verdana" w:cs="Arial"/>
          <w:sz w:val="16"/>
          <w:szCs w:val="16"/>
        </w:rPr>
      </w:pPr>
      <w:r w:rsidRPr="001F0D99">
        <w:rPr>
          <w:rFonts w:ascii="Verdana" w:hAnsi="Verdana" w:cs="Arial"/>
          <w:sz w:val="16"/>
          <w:szCs w:val="16"/>
        </w:rPr>
        <w:t>Las personas jurídicas nacionales y extranjeras deberán acreditar que su duración no será inferior a la del plazo del contrato y un año más”.</w:t>
      </w:r>
    </w:p>
  </w:footnote>
  <w:footnote w:id="9">
    <w:p w14:paraId="1AA78E33" w14:textId="77777777" w:rsidR="000829A1" w:rsidRPr="001F0D99" w:rsidRDefault="000829A1" w:rsidP="000829A1">
      <w:pPr>
        <w:pStyle w:val="Textonotapie"/>
        <w:ind w:firstLine="709"/>
        <w:jc w:val="both"/>
        <w:rPr>
          <w:rFonts w:ascii="Verdana" w:hAnsi="Verdana" w:cs="Arial"/>
          <w:sz w:val="16"/>
          <w:szCs w:val="16"/>
        </w:rPr>
      </w:pPr>
      <w:r w:rsidRPr="001F0D99">
        <w:rPr>
          <w:rStyle w:val="Refdenotaalpie"/>
          <w:rFonts w:ascii="Verdana" w:hAnsi="Verdana" w:cs="Arial"/>
          <w:sz w:val="16"/>
          <w:szCs w:val="16"/>
        </w:rPr>
        <w:footnoteRef/>
      </w:r>
      <w:r w:rsidRPr="001F0D99">
        <w:rPr>
          <w:rFonts w:ascii="Verdana" w:hAnsi="Verdana" w:cs="Arial"/>
          <w:sz w:val="16"/>
          <w:szCs w:val="16"/>
        </w:rPr>
        <w:t xml:space="preserve"> Código Civil: “Artículo 1502. Requisitos para obligarse. Para que una persona se obligue a otra por un acto o declaración de voluntad, es necesario:</w:t>
      </w:r>
    </w:p>
    <w:p w14:paraId="29070BAD" w14:textId="77777777" w:rsidR="000829A1" w:rsidRPr="001F0D99" w:rsidRDefault="000829A1" w:rsidP="000829A1">
      <w:pPr>
        <w:pStyle w:val="Textonotapie"/>
        <w:ind w:firstLine="709"/>
        <w:jc w:val="both"/>
        <w:rPr>
          <w:rFonts w:ascii="Verdana" w:hAnsi="Verdana" w:cs="Arial"/>
          <w:sz w:val="16"/>
          <w:szCs w:val="16"/>
        </w:rPr>
      </w:pPr>
      <w:r w:rsidRPr="001F0D99">
        <w:rPr>
          <w:rFonts w:ascii="Verdana" w:hAnsi="Verdana" w:cs="Arial"/>
          <w:sz w:val="16"/>
          <w:szCs w:val="16"/>
        </w:rPr>
        <w:t>1o.) que sea legalmente capaz.</w:t>
      </w:r>
    </w:p>
    <w:p w14:paraId="0E57BAD3" w14:textId="77777777" w:rsidR="000829A1" w:rsidRPr="001F0D99" w:rsidRDefault="000829A1" w:rsidP="000829A1">
      <w:pPr>
        <w:pStyle w:val="Textonotapie"/>
        <w:ind w:firstLine="709"/>
        <w:jc w:val="both"/>
        <w:rPr>
          <w:rFonts w:ascii="Verdana" w:hAnsi="Verdana" w:cs="Arial"/>
          <w:sz w:val="16"/>
          <w:szCs w:val="16"/>
        </w:rPr>
      </w:pPr>
      <w:r w:rsidRPr="001F0D99">
        <w:rPr>
          <w:rFonts w:ascii="Verdana" w:hAnsi="Verdana" w:cs="Arial"/>
          <w:sz w:val="16"/>
          <w:szCs w:val="16"/>
        </w:rPr>
        <w:t>[…]</w:t>
      </w:r>
    </w:p>
    <w:p w14:paraId="56A6F55C" w14:textId="77777777" w:rsidR="000829A1" w:rsidRPr="001F0D99" w:rsidRDefault="000829A1" w:rsidP="000829A1">
      <w:pPr>
        <w:pStyle w:val="Textonotapie"/>
        <w:ind w:firstLine="709"/>
        <w:jc w:val="both"/>
        <w:rPr>
          <w:rFonts w:ascii="Verdana" w:hAnsi="Verdana" w:cs="Arial"/>
          <w:sz w:val="16"/>
          <w:szCs w:val="16"/>
        </w:rPr>
      </w:pPr>
      <w:r w:rsidRPr="001F0D99">
        <w:rPr>
          <w:rFonts w:ascii="Verdana" w:hAnsi="Verdana" w:cs="Arial"/>
          <w:sz w:val="16"/>
          <w:szCs w:val="16"/>
        </w:rPr>
        <w:t>La capacidad legal de una persona consiste en poderse obligar por sí misma, sin el ministerio o la autorización de otra”.</w:t>
      </w:r>
    </w:p>
  </w:footnote>
  <w:footnote w:id="10">
    <w:p w14:paraId="5E1FB9EA" w14:textId="77777777" w:rsidR="000829A1" w:rsidRPr="001F0D99" w:rsidRDefault="000829A1" w:rsidP="000829A1">
      <w:pPr>
        <w:pStyle w:val="Textonotapie"/>
        <w:ind w:firstLine="709"/>
        <w:jc w:val="both"/>
        <w:rPr>
          <w:rFonts w:ascii="Verdana" w:hAnsi="Verdana" w:cs="Arial"/>
          <w:sz w:val="16"/>
          <w:szCs w:val="16"/>
        </w:rPr>
      </w:pPr>
      <w:r w:rsidRPr="001F0D99">
        <w:rPr>
          <w:rStyle w:val="Refdenotaalpie"/>
          <w:rFonts w:ascii="Verdana" w:hAnsi="Verdana" w:cs="Arial"/>
          <w:sz w:val="16"/>
          <w:szCs w:val="16"/>
        </w:rPr>
        <w:footnoteRef/>
      </w:r>
      <w:r w:rsidRPr="001F0D99">
        <w:rPr>
          <w:rFonts w:ascii="Verdana" w:hAnsi="Verdana" w:cs="Arial"/>
          <w:sz w:val="16"/>
          <w:szCs w:val="16"/>
        </w:rPr>
        <w:t xml:space="preserve"> Decreto Ley 19 de 2012: “Artículo 221. El artículo 6 de la Ley 1150 de 2007, quedará así:</w:t>
      </w:r>
    </w:p>
    <w:p w14:paraId="022C2AA4" w14:textId="77777777" w:rsidR="000829A1" w:rsidRPr="001F0D99" w:rsidRDefault="000829A1" w:rsidP="000829A1">
      <w:pPr>
        <w:pStyle w:val="Textonotapie"/>
        <w:ind w:firstLine="709"/>
        <w:jc w:val="both"/>
        <w:rPr>
          <w:rFonts w:ascii="Verdana" w:hAnsi="Verdana" w:cs="Arial"/>
          <w:sz w:val="16"/>
          <w:szCs w:val="16"/>
          <w:lang w:val="es-ES"/>
        </w:rPr>
      </w:pPr>
      <w:r w:rsidRPr="001F0D99">
        <w:rPr>
          <w:rFonts w:ascii="Verdana" w:hAnsi="Verdana" w:cs="Arial"/>
          <w:sz w:val="16"/>
          <w:szCs w:val="16"/>
        </w:rPr>
        <w:t>Artículo 6. De la verificación de las condiciones de los proponentes. T</w:t>
      </w:r>
      <w:r w:rsidRPr="001F0D99">
        <w:rPr>
          <w:rFonts w:ascii="Verdana" w:hAnsi="Verdana" w:cs="Arial"/>
          <w:sz w:val="16"/>
          <w:szCs w:val="16"/>
          <w:lang w:val="es-ES"/>
        </w:rPr>
        <w: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736C86E1" w14:textId="77777777" w:rsidR="000829A1" w:rsidRPr="001F0D99" w:rsidRDefault="000829A1" w:rsidP="000829A1">
      <w:pPr>
        <w:pStyle w:val="Textonotapie"/>
        <w:ind w:firstLine="709"/>
        <w:jc w:val="both"/>
        <w:rPr>
          <w:rFonts w:ascii="Verdana" w:hAnsi="Verdana" w:cs="Arial"/>
          <w:sz w:val="16"/>
          <w:szCs w:val="16"/>
          <w:lang w:val="es-ES"/>
        </w:rPr>
      </w:pPr>
      <w:r w:rsidRPr="001F0D99">
        <w:rPr>
          <w:rFonts w:ascii="Verdana" w:hAnsi="Verdana" w:cs="Arial"/>
          <w:sz w:val="16"/>
          <w:szCs w:val="16"/>
          <w:lang w:val="es-ES"/>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footnote>
  <w:footnote w:id="11">
    <w:p w14:paraId="257F5383" w14:textId="77777777" w:rsidR="000829A1" w:rsidRPr="001F0D99" w:rsidRDefault="000829A1" w:rsidP="000829A1">
      <w:pPr>
        <w:pStyle w:val="Textonotapie"/>
        <w:ind w:firstLine="709"/>
        <w:jc w:val="both"/>
        <w:rPr>
          <w:rFonts w:ascii="Verdana" w:hAnsi="Verdana" w:cs="Arial"/>
          <w:sz w:val="16"/>
          <w:szCs w:val="16"/>
          <w:lang w:val="es-ES"/>
        </w:rPr>
      </w:pPr>
      <w:r w:rsidRPr="001F0D99">
        <w:rPr>
          <w:rStyle w:val="Refdenotaalpie"/>
          <w:rFonts w:ascii="Verdana" w:hAnsi="Verdana" w:cs="Arial"/>
          <w:sz w:val="16"/>
          <w:szCs w:val="16"/>
        </w:rPr>
        <w:footnoteRef/>
      </w:r>
      <w:r w:rsidRPr="001F0D99">
        <w:rPr>
          <w:rFonts w:ascii="Verdana" w:hAnsi="Verdana" w:cs="Arial"/>
          <w:sz w:val="16"/>
          <w:szCs w:val="16"/>
        </w:rPr>
        <w:t xml:space="preserve"> </w:t>
      </w:r>
      <w:r w:rsidRPr="001F0D99">
        <w:rPr>
          <w:rFonts w:ascii="Verdana" w:hAnsi="Verdana" w:cs="Arial"/>
          <w:sz w:val="16"/>
          <w:szCs w:val="16"/>
          <w:lang w:val="es-ES"/>
        </w:rPr>
        <w:t xml:space="preserve">En tal sentido, José Luis Benavides comenta que “Aunque la mayoría de las reglas limitativas de la responsabilidad contractual se aplican a la administración, existen también algunas restricciones importantes a la capacidad de los contratistas: </w:t>
      </w:r>
      <w:r w:rsidRPr="001F0D99">
        <w:rPr>
          <w:rFonts w:ascii="Verdana" w:hAnsi="Verdana" w:cs="Arial"/>
          <w:i/>
          <w:iCs/>
          <w:sz w:val="16"/>
          <w:szCs w:val="16"/>
          <w:lang w:val="es-ES"/>
        </w:rPr>
        <w:t>el régimen de inhabilidades e incompatibilidades</w:t>
      </w:r>
      <w:r w:rsidRPr="001F0D99">
        <w:rPr>
          <w:rFonts w:ascii="Verdana" w:hAnsi="Verdana" w:cs="Arial"/>
          <w:sz w:val="16"/>
          <w:szCs w:val="16"/>
          <w:lang w:val="es-ES"/>
        </w:rPr>
        <w:t xml:space="preserve"> (1) y la obligación de ciertos proponentes de inscribirse en el </w:t>
      </w:r>
      <w:r w:rsidRPr="001F0D99">
        <w:rPr>
          <w:rFonts w:ascii="Verdana" w:hAnsi="Verdana" w:cs="Arial"/>
          <w:i/>
          <w:iCs/>
          <w:sz w:val="16"/>
          <w:szCs w:val="16"/>
          <w:lang w:val="es-ES"/>
        </w:rPr>
        <w:t>registro único</w:t>
      </w:r>
      <w:r w:rsidRPr="001F0D99">
        <w:rPr>
          <w:rFonts w:ascii="Verdana" w:hAnsi="Verdana" w:cs="Arial"/>
          <w:sz w:val="16"/>
          <w:szCs w:val="16"/>
          <w:lang w:val="es-ES"/>
        </w:rPr>
        <w:t xml:space="preserve"> (2)” (BENAVIDES, José Luis. El contrato estatal. Entre el Derecho público y el Derecho privado. 2ª ed. Bogotá: Universidad Externado de Colombia, 2004. p. 278). </w:t>
      </w:r>
    </w:p>
  </w:footnote>
  <w:footnote w:id="12">
    <w:p w14:paraId="20B3970B" w14:textId="77777777" w:rsidR="000829A1" w:rsidRPr="001F0D99" w:rsidRDefault="000829A1" w:rsidP="000829A1">
      <w:pPr>
        <w:pStyle w:val="Textonotapie"/>
        <w:ind w:firstLine="709"/>
        <w:jc w:val="both"/>
        <w:rPr>
          <w:rFonts w:ascii="Verdana" w:hAnsi="Verdana" w:cs="Arial"/>
          <w:sz w:val="16"/>
          <w:szCs w:val="16"/>
        </w:rPr>
      </w:pPr>
      <w:r w:rsidRPr="001F0D99">
        <w:rPr>
          <w:rStyle w:val="Refdenotaalpie"/>
          <w:rFonts w:ascii="Verdana" w:hAnsi="Verdana" w:cs="Arial"/>
          <w:sz w:val="16"/>
          <w:szCs w:val="16"/>
        </w:rPr>
        <w:footnoteRef/>
      </w:r>
      <w:r w:rsidRPr="001F0D99">
        <w:rPr>
          <w:rFonts w:ascii="Verdana" w:hAnsi="Verdana" w:cs="Arial"/>
          <w:sz w:val="16"/>
          <w:szCs w:val="16"/>
        </w:rPr>
        <w:t xml:space="preserve"> En esta línea Dávila Vinueza Expresa: “El legislador para calificar estas prohibiciones emplea dos vocablos: Inhabilidades o incompatibilidades, los cuales en un examen desprevenido podrían sugerir ideas diferentes y en consecuencia, efectos también distintos. Sin embargo, se trata de conceptos que no producen distinciones más allá de las puramente semánticas. En nada afecta el calificar una causal con denominación diferente a la empleada en el texto legal, cuando mucho se criticará la falta de precisión. Ello es así por cuanto los efectos jurídicos que se general para una y otra son exactamente los mismos. Incluso se podría afirmar que ante la semejanza de las figuras, conviene emplear un único vocablo, con lo cual serían innecesarias los intentos y las elucubraciones y explicaciones, algunas novedosas que podrían ensayarse”. (DÁVILA VINUEZA, Luis Guillermo. Régimen jurídico de la contratación estatal. 3ª ed. Bogotá: Legis, 2016. p. 148).</w:t>
      </w:r>
    </w:p>
  </w:footnote>
  <w:footnote w:id="13">
    <w:p w14:paraId="24B63B4B" w14:textId="77777777" w:rsidR="000829A1" w:rsidRPr="001F0D99" w:rsidRDefault="000829A1" w:rsidP="000829A1">
      <w:pPr>
        <w:pStyle w:val="Textonotapie"/>
        <w:ind w:firstLine="709"/>
        <w:jc w:val="both"/>
        <w:rPr>
          <w:rFonts w:ascii="Verdana" w:hAnsi="Verdana" w:cs="Arial"/>
          <w:sz w:val="16"/>
          <w:szCs w:val="16"/>
          <w:lang w:val="es-ES"/>
        </w:rPr>
      </w:pPr>
      <w:r w:rsidRPr="001F0D99">
        <w:rPr>
          <w:rStyle w:val="Refdenotaalpie"/>
          <w:rFonts w:ascii="Verdana" w:hAnsi="Verdana" w:cs="Arial"/>
          <w:sz w:val="16"/>
          <w:szCs w:val="16"/>
        </w:rPr>
        <w:footnoteRef/>
      </w:r>
      <w:r w:rsidRPr="001F0D99">
        <w:rPr>
          <w:rFonts w:ascii="Verdana" w:hAnsi="Verdana" w:cs="Arial"/>
          <w:sz w:val="16"/>
          <w:szCs w:val="16"/>
        </w:rPr>
        <w:t xml:space="preserve"> </w:t>
      </w:r>
      <w:r w:rsidRPr="001F0D99">
        <w:rPr>
          <w:rFonts w:ascii="Verdana" w:hAnsi="Verdana" w:cs="Arial"/>
          <w:sz w:val="16"/>
          <w:szCs w:val="16"/>
          <w:lang w:val="es-ES"/>
        </w:rPr>
        <w:t>BARRETO ROZO, Antonio Alejandro. Inhabilidades de la contratación estatal, efectos y neopunitivismo en el Estatuto Anticorrupción. En: ALVIAR GARCÍA, Helena (Coordinadora). Nuevas tendencias del Derecho administrativo. Bogotá: Universidad de los Andes; Temis, 2016. pp. 63-99.</w:t>
      </w:r>
    </w:p>
  </w:footnote>
  <w:footnote w:id="14">
    <w:p w14:paraId="7E0D6BDB" w14:textId="77777777" w:rsidR="000829A1" w:rsidRPr="001F0D99" w:rsidRDefault="000829A1" w:rsidP="000829A1">
      <w:pPr>
        <w:pStyle w:val="Textonotapie"/>
        <w:ind w:firstLine="709"/>
        <w:jc w:val="both"/>
        <w:rPr>
          <w:rFonts w:ascii="Verdana" w:hAnsi="Verdana"/>
          <w:sz w:val="16"/>
          <w:szCs w:val="16"/>
          <w:lang w:val="es-CO"/>
        </w:rPr>
      </w:pPr>
      <w:r w:rsidRPr="001F0D99">
        <w:rPr>
          <w:rStyle w:val="Refdenotaalpie"/>
          <w:rFonts w:ascii="Verdana" w:hAnsi="Verdana"/>
          <w:sz w:val="16"/>
          <w:szCs w:val="16"/>
        </w:rPr>
        <w:footnoteRef/>
      </w:r>
      <w:r w:rsidRPr="001F0D99">
        <w:rPr>
          <w:rFonts w:ascii="Verdana" w:hAnsi="Verdana"/>
          <w:sz w:val="16"/>
          <w:szCs w:val="16"/>
        </w:rPr>
        <w:t xml:space="preserve"> El artículo 6 del Decreto 092 de 2017, “Por el cual se reglamenta la contratación con entidades privadas sin ánimo de lucro a la que hace referencia el inciso segundo del artículo 355 de la Constitución Política”, dispone que “Las prohibiciones, inhabilidades e incompatibilidades establecidas en la Constitución y en las Leyes 80 de 1993, 1150 de 2007 y 1474 de 2011, y en las normas que las modifiquen, aclaren, adicionen o sustituyan, o en cualquier otra norma especial, son aplicables a la contratación a la que hace referencia el presente decreto”.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4" type="#_x0000_t75" style="width:7.45pt;height:7.4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4925"/>
    <w:rsid w:val="00082362"/>
    <w:rsid w:val="000829A1"/>
    <w:rsid w:val="000A683E"/>
    <w:rsid w:val="000B19B9"/>
    <w:rsid w:val="000D0334"/>
    <w:rsid w:val="000D5DA7"/>
    <w:rsid w:val="000F6486"/>
    <w:rsid w:val="00101169"/>
    <w:rsid w:val="00116940"/>
    <w:rsid w:val="00125105"/>
    <w:rsid w:val="00127233"/>
    <w:rsid w:val="0015699B"/>
    <w:rsid w:val="001A33BF"/>
    <w:rsid w:val="001E4177"/>
    <w:rsid w:val="001F0B24"/>
    <w:rsid w:val="001F3DA9"/>
    <w:rsid w:val="001F7DC6"/>
    <w:rsid w:val="0022400B"/>
    <w:rsid w:val="002421BB"/>
    <w:rsid w:val="0025796E"/>
    <w:rsid w:val="00270787"/>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C271A"/>
    <w:rsid w:val="004D60A5"/>
    <w:rsid w:val="004F21C4"/>
    <w:rsid w:val="004F685F"/>
    <w:rsid w:val="005566E8"/>
    <w:rsid w:val="00574867"/>
    <w:rsid w:val="00591460"/>
    <w:rsid w:val="005A65E0"/>
    <w:rsid w:val="005C3777"/>
    <w:rsid w:val="005C5CDC"/>
    <w:rsid w:val="005D1C15"/>
    <w:rsid w:val="005D476C"/>
    <w:rsid w:val="006200BF"/>
    <w:rsid w:val="006219F8"/>
    <w:rsid w:val="006302F7"/>
    <w:rsid w:val="00642724"/>
    <w:rsid w:val="00646B9F"/>
    <w:rsid w:val="00665D70"/>
    <w:rsid w:val="006900D9"/>
    <w:rsid w:val="00693678"/>
    <w:rsid w:val="006A618E"/>
    <w:rsid w:val="00706C16"/>
    <w:rsid w:val="007340C3"/>
    <w:rsid w:val="0075235A"/>
    <w:rsid w:val="00756841"/>
    <w:rsid w:val="007649AB"/>
    <w:rsid w:val="00771D0C"/>
    <w:rsid w:val="007833AC"/>
    <w:rsid w:val="007B268C"/>
    <w:rsid w:val="007B7171"/>
    <w:rsid w:val="007C0C0F"/>
    <w:rsid w:val="007C3DC2"/>
    <w:rsid w:val="007D25E7"/>
    <w:rsid w:val="007E5497"/>
    <w:rsid w:val="00806F5F"/>
    <w:rsid w:val="00820278"/>
    <w:rsid w:val="008258C9"/>
    <w:rsid w:val="00844AE9"/>
    <w:rsid w:val="00867F95"/>
    <w:rsid w:val="00882C32"/>
    <w:rsid w:val="008843B6"/>
    <w:rsid w:val="00891928"/>
    <w:rsid w:val="008931EE"/>
    <w:rsid w:val="008A446D"/>
    <w:rsid w:val="008B25F1"/>
    <w:rsid w:val="008D180B"/>
    <w:rsid w:val="008F0EA7"/>
    <w:rsid w:val="00923EEF"/>
    <w:rsid w:val="009303B5"/>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95C01"/>
    <w:rsid w:val="00BA504C"/>
    <w:rsid w:val="00BC3D36"/>
    <w:rsid w:val="00BD54A6"/>
    <w:rsid w:val="00BD7F72"/>
    <w:rsid w:val="00BF4CCF"/>
    <w:rsid w:val="00BF7425"/>
    <w:rsid w:val="00C04FB3"/>
    <w:rsid w:val="00C11D8B"/>
    <w:rsid w:val="00C15139"/>
    <w:rsid w:val="00C330EB"/>
    <w:rsid w:val="00C50D69"/>
    <w:rsid w:val="00C5365C"/>
    <w:rsid w:val="00C715D8"/>
    <w:rsid w:val="00C754BE"/>
    <w:rsid w:val="00C76B1C"/>
    <w:rsid w:val="00C925AC"/>
    <w:rsid w:val="00CB6357"/>
    <w:rsid w:val="00CC1B26"/>
    <w:rsid w:val="00D361FD"/>
    <w:rsid w:val="00D423A2"/>
    <w:rsid w:val="00D44E26"/>
    <w:rsid w:val="00D520D8"/>
    <w:rsid w:val="00D63AC2"/>
    <w:rsid w:val="00D64C2C"/>
    <w:rsid w:val="00D7383B"/>
    <w:rsid w:val="00D7788A"/>
    <w:rsid w:val="00DA231B"/>
    <w:rsid w:val="00DC39FC"/>
    <w:rsid w:val="00DF5254"/>
    <w:rsid w:val="00E02524"/>
    <w:rsid w:val="00E16408"/>
    <w:rsid w:val="00E20894"/>
    <w:rsid w:val="00E208F2"/>
    <w:rsid w:val="00E245AB"/>
    <w:rsid w:val="00E2764C"/>
    <w:rsid w:val="00E27F2E"/>
    <w:rsid w:val="00E50AFE"/>
    <w:rsid w:val="00E54359"/>
    <w:rsid w:val="00E6542C"/>
    <w:rsid w:val="00E75C92"/>
    <w:rsid w:val="00E771DC"/>
    <w:rsid w:val="00E8772A"/>
    <w:rsid w:val="00E90F6B"/>
    <w:rsid w:val="00E92C27"/>
    <w:rsid w:val="00EA0E3D"/>
    <w:rsid w:val="00EC38A7"/>
    <w:rsid w:val="00ED5306"/>
    <w:rsid w:val="00ED79C8"/>
    <w:rsid w:val="00EE1AA8"/>
    <w:rsid w:val="00F23FEA"/>
    <w:rsid w:val="00F31EDC"/>
    <w:rsid w:val="00F462B3"/>
    <w:rsid w:val="00F5664F"/>
    <w:rsid w:val="00F666C4"/>
    <w:rsid w:val="00F76AFC"/>
    <w:rsid w:val="00F80FE6"/>
    <w:rsid w:val="00F83A70"/>
    <w:rsid w:val="00FA0AD1"/>
    <w:rsid w:val="00FA47C0"/>
    <w:rsid w:val="00FB5DD1"/>
    <w:rsid w:val="00FC2B5D"/>
    <w:rsid w:val="00FD2086"/>
    <w:rsid w:val="00FF1449"/>
    <w:rsid w:val="00FF7963"/>
    <w:rsid w:val="00FF7C46"/>
    <w:rsid w:val="09908A09"/>
    <w:rsid w:val="13CFC91B"/>
    <w:rsid w:val="144C94E2"/>
    <w:rsid w:val="19A2EC2C"/>
    <w:rsid w:val="1C0F21E5"/>
    <w:rsid w:val="2859CA1B"/>
    <w:rsid w:val="2D5D8C04"/>
    <w:rsid w:val="32A4F9CF"/>
    <w:rsid w:val="356CEDFD"/>
    <w:rsid w:val="54A8EEA5"/>
    <w:rsid w:val="55D96BFC"/>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829A1"/>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29A1"/>
    <w:rPr>
      <w:rFonts w:ascii="Geomanist Light" w:hAnsi="Geomanist Light"/>
      <w:lang w:val="es-ES"/>
    </w:rPr>
  </w:style>
  <w:style w:type="character" w:customStyle="1" w:styleId="s15">
    <w:name w:val="s15"/>
    <w:basedOn w:val="Fuentedeprrafopredeter"/>
    <w:rsid w:val="000829A1"/>
  </w:style>
  <w:style w:type="character" w:customStyle="1" w:styleId="NormalWebCar">
    <w:name w:val="Normal (Web) Car"/>
    <w:link w:val="NormalWeb"/>
    <w:uiPriority w:val="99"/>
    <w:rsid w:val="000829A1"/>
    <w:rPr>
      <w:rFonts w:ascii="Times New Roman" w:eastAsia="Times New Roman" w:hAnsi="Times New Roman" w:cs="Times New Roman"/>
      <w:sz w:val="24"/>
      <w:szCs w:val="24"/>
      <w:lang w:eastAsia="es-CO"/>
    </w:rPr>
  </w:style>
  <w:style w:type="paragraph" w:styleId="Sinespaciado">
    <w:name w:val="No Spacing"/>
    <w:aliases w:val="No Indent"/>
    <w:uiPriority w:val="3"/>
    <w:qFormat/>
    <w:rsid w:val="000829A1"/>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entanilladeradicacion@colombiacompra.gov.c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pqrsd/informacion-importante-antes-de-formular-una-pqrsd"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A064CE7A-5BC1-43E9-A120-9AB60238E0F9}"/>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15</Pages>
  <Words>4599</Words>
  <Characters>25296</Characters>
  <Application>Microsoft Office Word</Application>
  <DocSecurity>0</DocSecurity>
  <Lines>210</Lines>
  <Paragraphs>59</Paragraphs>
  <ScaleCrop>false</ScaleCrop>
  <Company/>
  <LinksUpToDate>false</LinksUpToDate>
  <CharactersWithSpaces>29836</CharactersWithSpaces>
  <SharedDoc>false</SharedDoc>
  <HLinks>
    <vt:vector size="36" baseType="variant">
      <vt:variant>
        <vt:i4>4456513</vt:i4>
      </vt:variant>
      <vt:variant>
        <vt:i4>15</vt:i4>
      </vt:variant>
      <vt:variant>
        <vt:i4>0</vt:i4>
      </vt:variant>
      <vt:variant>
        <vt:i4>5</vt:i4>
      </vt:variant>
      <vt:variant>
        <vt:lpwstr>https://forms.office.com/r/pPHyWVs2SZ</vt:lpwstr>
      </vt:variant>
      <vt:variant>
        <vt:lpwstr/>
      </vt:variant>
      <vt:variant>
        <vt:i4>3407926</vt:i4>
      </vt:variant>
      <vt:variant>
        <vt:i4>12</vt:i4>
      </vt:variant>
      <vt:variant>
        <vt:i4>0</vt:i4>
      </vt:variant>
      <vt:variant>
        <vt:i4>5</vt:i4>
      </vt:variant>
      <vt:variant>
        <vt:lpwstr>https://www.colombiacompra.gov.co/pqrsd/informacion-importante-antes-de-formular-una-pqrsd</vt:lpwstr>
      </vt:variant>
      <vt:variant>
        <vt:lpwstr/>
      </vt:variant>
      <vt:variant>
        <vt:i4>4980779</vt:i4>
      </vt:variant>
      <vt:variant>
        <vt:i4>9</vt:i4>
      </vt:variant>
      <vt:variant>
        <vt:i4>0</vt:i4>
      </vt:variant>
      <vt:variant>
        <vt:i4>5</vt:i4>
      </vt:variant>
      <vt:variant>
        <vt:lpwstr>mailto:ventanilladeradicacion@colombiacompra.gov.co</vt:lpwstr>
      </vt:variant>
      <vt:variant>
        <vt:lpwstr/>
      </vt:variant>
      <vt:variant>
        <vt:i4>7995518</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7667781</vt:i4>
      </vt:variant>
      <vt:variant>
        <vt:i4>0</vt:i4>
      </vt:variant>
      <vt:variant>
        <vt:i4>0</vt:i4>
      </vt:variant>
      <vt:variant>
        <vt:i4>5</vt:i4>
      </vt:variant>
      <vt:variant>
        <vt:lpwstr>mailto:nicolas.acevedo@icbf.gov.co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6</cp:revision>
  <cp:lastPrinted>2023-01-10T21:18:00Z</cp:lastPrinted>
  <dcterms:created xsi:type="dcterms:W3CDTF">2025-11-19T21:10:00Z</dcterms:created>
  <dcterms:modified xsi:type="dcterms:W3CDTF">2025-11-19T22:49:00Z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