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3A027E" w14:textId="77777777" w:rsidR="00CB0BAE" w:rsidRPr="00D96F62" w:rsidRDefault="00CB0BAE" w:rsidP="00D96F62">
      <w:pPr>
        <w:snapToGrid w:val="0"/>
        <w:spacing w:after="0" w:line="240" w:lineRule="auto"/>
        <w:contextualSpacing/>
        <w:jc w:val="both"/>
        <w:rPr>
          <w:rFonts w:ascii="Verdana" w:eastAsia="Calibri" w:hAnsi="Verdana" w:cs="Arial"/>
          <w:b/>
          <w:bCs/>
          <w:lang w:val="es-ES" w:eastAsia="es-ES"/>
        </w:rPr>
      </w:pPr>
      <w:bookmarkStart w:id="0" w:name="_Hlk143780582"/>
      <w:r w:rsidRPr="00D96F62">
        <w:rPr>
          <w:rFonts w:ascii="Verdana" w:eastAsia="Calibri" w:hAnsi="Verdana" w:cs="Arial"/>
          <w:b/>
          <w:bCs/>
          <w:lang w:val="es-ES" w:eastAsia="es-ES"/>
        </w:rPr>
        <w:t>DECRETO 092 DE 2017 – Finalidad – Clases de contratos</w:t>
      </w:r>
    </w:p>
    <w:p w14:paraId="4C0D7DA0" w14:textId="77777777" w:rsidR="00D96F62" w:rsidRDefault="00D96F62" w:rsidP="00D96F62">
      <w:pPr>
        <w:snapToGrid w:val="0"/>
        <w:spacing w:after="0" w:line="240" w:lineRule="auto"/>
        <w:contextualSpacing/>
        <w:jc w:val="both"/>
        <w:rPr>
          <w:rFonts w:ascii="Verdana" w:hAnsi="Verdana" w:cs="Arial"/>
          <w:color w:val="000000" w:themeColor="text1"/>
          <w:sz w:val="20"/>
          <w:szCs w:val="20"/>
          <w:lang w:val="es-ES"/>
        </w:rPr>
      </w:pPr>
    </w:p>
    <w:p w14:paraId="1D50DD6F" w14:textId="672D3314" w:rsidR="00D96F62" w:rsidRPr="00D96F62" w:rsidRDefault="00D96F62" w:rsidP="00D96F62">
      <w:pPr>
        <w:snapToGrid w:val="0"/>
        <w:spacing w:after="0" w:line="240" w:lineRule="auto"/>
        <w:contextualSpacing/>
        <w:jc w:val="both"/>
        <w:rPr>
          <w:rFonts w:ascii="Verdana" w:eastAsia="Calibri" w:hAnsi="Verdana" w:cs="Arial"/>
          <w:color w:val="000000"/>
          <w:sz w:val="20"/>
          <w:szCs w:val="20"/>
          <w:lang w:val="es-ES" w:eastAsia="es-ES_tradnl"/>
        </w:rPr>
      </w:pPr>
      <w:r w:rsidRPr="00D96F62">
        <w:rPr>
          <w:rFonts w:ascii="Verdana" w:hAnsi="Verdana" w:cs="Arial"/>
          <w:color w:val="000000" w:themeColor="text1"/>
          <w:sz w:val="20"/>
          <w:szCs w:val="20"/>
          <w:lang w:val="es-ES"/>
        </w:rPr>
        <w:t>El Gobierno Nacional, en desarrollo del artículo 355 de la Constitución Política, expidió el Decreto 092 de 2017, el cual</w:t>
      </w:r>
      <w:r w:rsidRPr="00D96F62">
        <w:rPr>
          <w:rFonts w:ascii="Verdana" w:eastAsia="Calibri" w:hAnsi="Verdana" w:cs="Arial"/>
          <w:color w:val="000000" w:themeColor="text1"/>
          <w:sz w:val="20"/>
          <w:szCs w:val="20"/>
          <w:lang w:val="es-ES"/>
        </w:rPr>
        <w:t xml:space="preserve"> dispone las </w:t>
      </w:r>
      <w:r w:rsidRPr="00D96F62">
        <w:rPr>
          <w:rFonts w:ascii="Verdana" w:eastAsia="Calibri" w:hAnsi="Verdana" w:cs="Arial"/>
          <w:sz w:val="20"/>
          <w:szCs w:val="20"/>
          <w:lang w:val="es-ES"/>
        </w:rPr>
        <w:t xml:space="preserve">reglas para las contrataciones que realizan las Entidades Estatales con las ESAL. </w:t>
      </w:r>
      <w:r w:rsidRPr="00D96F62">
        <w:rPr>
          <w:rFonts w:ascii="Verdana" w:eastAsia="Calibri" w:hAnsi="Verdana" w:cs="Arial"/>
          <w:color w:val="000000" w:themeColor="text1"/>
          <w:sz w:val="20"/>
          <w:szCs w:val="20"/>
          <w:lang w:val="es-ES"/>
        </w:rPr>
        <w:t xml:space="preserve">El Decreto regula dos (2) eventos: i) </w:t>
      </w:r>
      <w:r w:rsidRPr="00D96F62">
        <w:rPr>
          <w:rFonts w:ascii="Verdana" w:eastAsia="Calibri" w:hAnsi="Verdana" w:cs="Arial"/>
          <w:sz w:val="20"/>
          <w:szCs w:val="20"/>
          <w:lang w:val="es-ES"/>
        </w:rPr>
        <w:t xml:space="preserve">los contratos del artículo 355 de la Constitución Política, también llamados </w:t>
      </w:r>
      <w:r w:rsidRPr="00D96F62">
        <w:rPr>
          <w:rFonts w:ascii="Verdana" w:eastAsia="Calibri" w:hAnsi="Verdana" w:cs="Arial"/>
          <w:i/>
          <w:iCs/>
          <w:sz w:val="20"/>
          <w:szCs w:val="20"/>
          <w:lang w:val="es-ES" w:eastAsia="es-ES_tradnl"/>
        </w:rPr>
        <w:t>contratos de colaboración</w:t>
      </w:r>
      <w:r w:rsidRPr="00D96F62">
        <w:rPr>
          <w:rFonts w:ascii="Verdana" w:eastAsia="Calibri" w:hAnsi="Verdana" w:cs="Arial"/>
          <w:sz w:val="20"/>
          <w:szCs w:val="20"/>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D96F62">
        <w:rPr>
          <w:rFonts w:ascii="Verdana" w:eastAsia="Calibri" w:hAnsi="Verdana" w:cs="Arial"/>
          <w:color w:val="000000" w:themeColor="text1"/>
          <w:sz w:val="20"/>
          <w:szCs w:val="20"/>
          <w:lang w:val="es-ES"/>
        </w:rPr>
        <w:t xml:space="preserve"> y </w:t>
      </w:r>
      <w:proofErr w:type="spellStart"/>
      <w:r w:rsidRPr="00D96F62">
        <w:rPr>
          <w:rFonts w:ascii="Verdana" w:eastAsia="Calibri" w:hAnsi="Verdana" w:cs="Arial"/>
          <w:color w:val="000000" w:themeColor="text1"/>
          <w:sz w:val="20"/>
          <w:szCs w:val="20"/>
          <w:lang w:val="es-ES"/>
        </w:rPr>
        <w:t>ii</w:t>
      </w:r>
      <w:proofErr w:type="spellEnd"/>
      <w:r w:rsidRPr="00D96F62">
        <w:rPr>
          <w:rFonts w:ascii="Verdana" w:eastAsia="Calibri" w:hAnsi="Verdana" w:cs="Arial"/>
          <w:color w:val="000000" w:themeColor="text1"/>
          <w:sz w:val="20"/>
          <w:szCs w:val="20"/>
          <w:lang w:val="es-ES"/>
        </w:rPr>
        <w:t xml:space="preserve">) los </w:t>
      </w:r>
      <w:r w:rsidRPr="00D96F62">
        <w:rPr>
          <w:rFonts w:ascii="Verdana" w:eastAsia="Calibri" w:hAnsi="Verdana" w:cs="Arial"/>
          <w:i/>
          <w:iCs/>
          <w:color w:val="000000" w:themeColor="text1"/>
          <w:sz w:val="20"/>
          <w:szCs w:val="20"/>
          <w:lang w:val="es-ES"/>
        </w:rPr>
        <w:t>convenios de asociación</w:t>
      </w:r>
      <w:r w:rsidRPr="00D96F62">
        <w:rPr>
          <w:rFonts w:ascii="Verdana" w:eastAsia="Calibri" w:hAnsi="Verdana" w:cs="Arial"/>
          <w:color w:val="000000" w:themeColor="text1"/>
          <w:sz w:val="20"/>
          <w:szCs w:val="20"/>
          <w:lang w:val="es-ES"/>
        </w:rPr>
        <w:t xml:space="preserve">, para el desarrollo conjunto de actividades relacionadas con las funciones de las Entidades Estatales, en desarrollo del artículo 96 de la Ley 489 de 1998. </w:t>
      </w:r>
      <w:r w:rsidRPr="00D96F62">
        <w:rPr>
          <w:rFonts w:ascii="Verdana" w:eastAsia="Calibri" w:hAnsi="Verdana" w:cs="Arial"/>
          <w:color w:val="000000"/>
          <w:sz w:val="20"/>
          <w:szCs w:val="20"/>
          <w:lang w:val="es-ES" w:eastAsia="es-ES_tradnl"/>
        </w:rPr>
        <w:t xml:space="preserve">Los primeros están regulados en el artículo 2 del Decreto 092 de 2017, mientras que los segundos en los artículos 5, 6, 7 y 8 </w:t>
      </w:r>
      <w:r w:rsidRPr="00D96F62">
        <w:rPr>
          <w:rFonts w:ascii="Verdana" w:eastAsia="Calibri" w:hAnsi="Verdana" w:cs="Arial"/>
          <w:i/>
          <w:iCs/>
          <w:color w:val="000000"/>
          <w:sz w:val="20"/>
          <w:szCs w:val="20"/>
          <w:lang w:val="es-ES" w:eastAsia="es-ES_tradnl"/>
        </w:rPr>
        <w:t>ibidem</w:t>
      </w:r>
      <w:r w:rsidRPr="00D96F62">
        <w:rPr>
          <w:rFonts w:ascii="Verdana" w:eastAsia="Calibri" w:hAnsi="Verdana" w:cs="Arial"/>
          <w:color w:val="000000"/>
          <w:sz w:val="20"/>
          <w:szCs w:val="20"/>
          <w:lang w:val="es-ES" w:eastAsia="es-ES_tradnl"/>
        </w:rPr>
        <w:t>.</w:t>
      </w:r>
    </w:p>
    <w:p w14:paraId="3CFF9FD5" w14:textId="77777777" w:rsidR="00D96F62" w:rsidRPr="00D96F62" w:rsidRDefault="00D96F62" w:rsidP="00D96F62">
      <w:pPr>
        <w:snapToGrid w:val="0"/>
        <w:spacing w:after="0" w:line="240" w:lineRule="auto"/>
        <w:contextualSpacing/>
        <w:jc w:val="both"/>
        <w:rPr>
          <w:rFonts w:ascii="Verdana" w:eastAsia="Calibri" w:hAnsi="Verdana" w:cs="Arial"/>
          <w:b/>
          <w:bCs/>
          <w:sz w:val="20"/>
          <w:szCs w:val="20"/>
          <w:lang w:val="es-ES" w:eastAsia="es-ES"/>
        </w:rPr>
      </w:pPr>
    </w:p>
    <w:p w14:paraId="370AF5FC" w14:textId="77777777" w:rsidR="00CB0BAE" w:rsidRPr="00D96F62" w:rsidRDefault="00CB0BAE" w:rsidP="00D96F62">
      <w:pPr>
        <w:snapToGrid w:val="0"/>
        <w:spacing w:after="0" w:line="240" w:lineRule="auto"/>
        <w:contextualSpacing/>
        <w:jc w:val="both"/>
        <w:rPr>
          <w:rFonts w:ascii="Verdana" w:eastAsia="Calibri" w:hAnsi="Verdana" w:cs="Arial"/>
          <w:b/>
          <w:bCs/>
          <w:lang w:val="es-ES" w:eastAsia="es-ES"/>
        </w:rPr>
      </w:pPr>
      <w:r w:rsidRPr="00D96F62">
        <w:rPr>
          <w:rFonts w:ascii="Verdana" w:eastAsia="Calibri" w:hAnsi="Verdana" w:cs="Arial"/>
          <w:b/>
          <w:bCs/>
          <w:lang w:val="es-ES" w:eastAsia="es-ES"/>
        </w:rPr>
        <w:t>CONTRATACIÓN CON ESAL – Contrato de colaboración – Objeto – Alcance</w:t>
      </w:r>
    </w:p>
    <w:p w14:paraId="6A343EC7" w14:textId="77777777" w:rsidR="00D96F62" w:rsidRDefault="00D96F62" w:rsidP="00D96F62">
      <w:pPr>
        <w:snapToGrid w:val="0"/>
        <w:spacing w:after="0" w:line="240" w:lineRule="auto"/>
        <w:contextualSpacing/>
        <w:jc w:val="both"/>
        <w:rPr>
          <w:rFonts w:ascii="Verdana" w:eastAsia="Calibri" w:hAnsi="Verdana" w:cs="Arial"/>
          <w:sz w:val="20"/>
          <w:szCs w:val="20"/>
          <w:lang w:val="es-ES"/>
        </w:rPr>
      </w:pPr>
    </w:p>
    <w:p w14:paraId="71D4C196" w14:textId="65B4F552" w:rsidR="00D96F62" w:rsidRPr="00D96F62" w:rsidRDefault="00D96F62" w:rsidP="00D96F62">
      <w:pPr>
        <w:snapToGrid w:val="0"/>
        <w:spacing w:after="0" w:line="240" w:lineRule="auto"/>
        <w:contextualSpacing/>
        <w:jc w:val="both"/>
        <w:rPr>
          <w:rFonts w:ascii="Verdana" w:eastAsia="Calibri" w:hAnsi="Verdana" w:cs="Arial"/>
          <w:sz w:val="20"/>
          <w:szCs w:val="20"/>
          <w:lang w:val="es-ES"/>
        </w:rPr>
      </w:pPr>
      <w:r w:rsidRPr="00D96F62">
        <w:rPr>
          <w:rFonts w:ascii="Verdana" w:eastAsia="Calibri" w:hAnsi="Verdana" w:cs="Arial"/>
          <w:sz w:val="20"/>
          <w:szCs w:val="20"/>
          <w:lang w:val="es-ES"/>
        </w:rPr>
        <w:t xml:space="preserve">Los </w:t>
      </w:r>
      <w:r w:rsidRPr="00D96F62">
        <w:rPr>
          <w:rFonts w:ascii="Verdana" w:eastAsia="Calibri" w:hAnsi="Verdana" w:cs="Arial"/>
          <w:i/>
          <w:iCs/>
          <w:sz w:val="20"/>
          <w:szCs w:val="20"/>
          <w:lang w:val="es-ES"/>
        </w:rPr>
        <w:t>contratos del artículo 355 de la Constitución Política, también denominados contratos de colaboración o interés público</w:t>
      </w:r>
      <w:r w:rsidRPr="00D96F62">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5E20A2EC" w14:textId="77777777" w:rsidR="00D96F62" w:rsidRDefault="00D96F62" w:rsidP="00D96F62">
      <w:pPr>
        <w:snapToGrid w:val="0"/>
        <w:spacing w:after="0" w:line="240" w:lineRule="auto"/>
        <w:contextualSpacing/>
        <w:jc w:val="both"/>
        <w:rPr>
          <w:rFonts w:ascii="Verdana" w:eastAsia="Calibri" w:hAnsi="Verdana" w:cs="Arial"/>
          <w:sz w:val="20"/>
          <w:szCs w:val="20"/>
          <w:lang w:val="es-ES"/>
        </w:rPr>
      </w:pPr>
    </w:p>
    <w:p w14:paraId="0A1379BA" w14:textId="62E09E2A" w:rsidR="00D96F62" w:rsidRPr="00D96F62" w:rsidRDefault="00D96F62" w:rsidP="00D96F62">
      <w:pPr>
        <w:snapToGrid w:val="0"/>
        <w:spacing w:after="0" w:line="240" w:lineRule="auto"/>
        <w:contextualSpacing/>
        <w:jc w:val="both"/>
        <w:rPr>
          <w:rFonts w:ascii="Verdana" w:eastAsia="Calibri" w:hAnsi="Verdana" w:cs="Arial"/>
          <w:sz w:val="20"/>
          <w:szCs w:val="20"/>
          <w:lang w:val="es-ES"/>
        </w:rPr>
      </w:pPr>
      <w:r w:rsidRPr="00D96F62">
        <w:rPr>
          <w:rFonts w:ascii="Verdana" w:eastAsia="Calibri" w:hAnsi="Verdana" w:cs="Arial"/>
          <w:sz w:val="20"/>
          <w:szCs w:val="20"/>
          <w:lang w:val="es-ES"/>
        </w:rPr>
        <w:t>Para celebrar estos contratos, según lo establece el artículo 3 del Decreto 092 de 2017, por regla general, la entidad debe adelantar un proceso competitivo para seleccionar la entidad sin ánimo de lucro contratista. En particular, la entidad debe verificar que el objeto del contrato corresponda a programas y actividades de interés público acordes con el Plan Nacional o Seccional de Desarrollo; y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de la Administración Pública. Solo cuando se reúnan estas condiciones es procedente celebrar contratos del artículo 355 de la Constitución Política; de lo contrario, se aplicarán las normas del Estatuto General de Contratación de la Administración Pública.</w:t>
      </w:r>
    </w:p>
    <w:p w14:paraId="1774AB1A" w14:textId="77777777" w:rsidR="00D96F62" w:rsidRPr="00D96F62" w:rsidRDefault="00D96F62" w:rsidP="00D96F62">
      <w:pPr>
        <w:snapToGrid w:val="0"/>
        <w:spacing w:after="0" w:line="240" w:lineRule="auto"/>
        <w:contextualSpacing/>
        <w:jc w:val="both"/>
        <w:rPr>
          <w:rFonts w:ascii="Verdana" w:eastAsia="Calibri" w:hAnsi="Verdana" w:cs="Arial"/>
          <w:b/>
          <w:bCs/>
          <w:lang w:val="es-ES" w:eastAsia="es-ES"/>
        </w:rPr>
      </w:pPr>
    </w:p>
    <w:p w14:paraId="6B9760D6" w14:textId="2728BB92" w:rsidR="00CB0BAE" w:rsidRPr="00D96F62" w:rsidRDefault="00CB0BAE" w:rsidP="00D96F62">
      <w:pPr>
        <w:snapToGrid w:val="0"/>
        <w:spacing w:after="0" w:line="240" w:lineRule="auto"/>
        <w:contextualSpacing/>
        <w:jc w:val="both"/>
        <w:rPr>
          <w:rFonts w:ascii="Verdana" w:eastAsia="Calibri" w:hAnsi="Verdana" w:cs="Arial"/>
          <w:b/>
          <w:bCs/>
          <w:lang w:val="es-ES" w:eastAsia="es-ES"/>
        </w:rPr>
      </w:pPr>
      <w:r w:rsidRPr="00D96F62">
        <w:rPr>
          <w:rFonts w:ascii="Verdana" w:eastAsia="Calibri" w:hAnsi="Verdana" w:cs="Arial"/>
          <w:b/>
          <w:bCs/>
          <w:lang w:val="es-ES" w:eastAsia="es-ES"/>
        </w:rPr>
        <w:t>CONTRATACIÓN CON ESAL – Contrato de asociación – Objeto – Alcance</w:t>
      </w:r>
    </w:p>
    <w:p w14:paraId="24983C18" w14:textId="77777777" w:rsidR="00D96F62" w:rsidRPr="00D96F62" w:rsidRDefault="00D96F62" w:rsidP="00D96F62">
      <w:pPr>
        <w:snapToGrid w:val="0"/>
        <w:spacing w:after="0" w:line="240" w:lineRule="auto"/>
        <w:contextualSpacing/>
        <w:jc w:val="both"/>
        <w:rPr>
          <w:rFonts w:ascii="Verdana" w:eastAsia="Calibri" w:hAnsi="Verdana" w:cs="Arial"/>
          <w:b/>
          <w:bCs/>
          <w:sz w:val="20"/>
          <w:szCs w:val="20"/>
          <w:lang w:val="es-ES" w:eastAsia="es-ES"/>
        </w:rPr>
      </w:pPr>
    </w:p>
    <w:p w14:paraId="7542DDC1" w14:textId="461E206E" w:rsidR="00D96F62" w:rsidRPr="00D96F62" w:rsidRDefault="00D96F62" w:rsidP="00D96F62">
      <w:pPr>
        <w:snapToGrid w:val="0"/>
        <w:spacing w:after="0" w:line="240" w:lineRule="auto"/>
        <w:contextualSpacing/>
        <w:jc w:val="both"/>
        <w:rPr>
          <w:rFonts w:ascii="Verdana" w:eastAsia="Calibri" w:hAnsi="Verdana" w:cs="Arial"/>
          <w:color w:val="000000" w:themeColor="text1"/>
          <w:sz w:val="20"/>
          <w:szCs w:val="20"/>
          <w:lang w:val="es-ES"/>
        </w:rPr>
      </w:pPr>
      <w:r w:rsidRPr="00D96F62">
        <w:rPr>
          <w:rFonts w:ascii="Verdana" w:eastAsia="Calibri" w:hAnsi="Verdana" w:cs="Arial"/>
          <w:color w:val="000000" w:themeColor="text1"/>
          <w:sz w:val="20"/>
          <w:szCs w:val="20"/>
          <w:lang w:val="es-ES"/>
        </w:rPr>
        <w:t xml:space="preserve">Por otra parte, los </w:t>
      </w:r>
      <w:r w:rsidRPr="00D96F62">
        <w:rPr>
          <w:rFonts w:ascii="Verdana" w:eastAsia="Calibri" w:hAnsi="Verdana" w:cs="Arial"/>
          <w:i/>
          <w:iCs/>
          <w:color w:val="000000" w:themeColor="text1"/>
          <w:sz w:val="20"/>
          <w:szCs w:val="20"/>
          <w:lang w:val="es-ES"/>
        </w:rPr>
        <w:t xml:space="preserve">convenios de asociación </w:t>
      </w:r>
      <w:r w:rsidRPr="00D96F62">
        <w:rPr>
          <w:rFonts w:ascii="Verdana" w:eastAsia="Calibri" w:hAnsi="Verdana" w:cs="Arial"/>
          <w:color w:val="000000" w:themeColor="text1"/>
          <w:sz w:val="20"/>
          <w:szCs w:val="20"/>
          <w:lang w:val="es-ES"/>
        </w:rPr>
        <w:t>“[t]</w:t>
      </w:r>
      <w:proofErr w:type="spellStart"/>
      <w:r w:rsidRPr="00D96F62">
        <w:rPr>
          <w:rFonts w:ascii="Verdana" w:eastAsia="Calibri" w:hAnsi="Verdana" w:cs="Arial"/>
          <w:color w:val="000000" w:themeColor="text1"/>
          <w:sz w:val="20"/>
          <w:szCs w:val="20"/>
          <w:lang w:val="es-ES"/>
        </w:rPr>
        <w:t>ienen</w:t>
      </w:r>
      <w:proofErr w:type="spellEnd"/>
      <w:r w:rsidRPr="00D96F62">
        <w:rPr>
          <w:rFonts w:ascii="Verdana" w:eastAsia="Calibri" w:hAnsi="Verdana" w:cs="Arial"/>
          <w:color w:val="000000" w:themeColor="text1"/>
          <w:sz w:val="20"/>
          <w:szCs w:val="20"/>
          <w:lang w:val="es-ES"/>
        </w:rPr>
        <w:t xml:space="preserve"> como finalidad que la entidad estatal, cualquiera que sea su naturaleza y orden administrativo, se asocien con </w:t>
      </w:r>
      <w:r w:rsidRPr="00D96F62">
        <w:rPr>
          <w:rFonts w:ascii="Verdana" w:eastAsia="Calibri" w:hAnsi="Verdana" w:cs="Arial"/>
          <w:i/>
          <w:iCs/>
          <w:color w:val="000000" w:themeColor="text1"/>
          <w:sz w:val="20"/>
          <w:szCs w:val="20"/>
          <w:u w:val="single"/>
          <w:lang w:val="es-ES"/>
        </w:rPr>
        <w:t>personas jurídicas particulares</w:t>
      </w:r>
      <w:r w:rsidRPr="00D96F62">
        <w:rPr>
          <w:rFonts w:ascii="Verdana" w:eastAsia="Calibri" w:hAnsi="Verdana" w:cs="Arial"/>
          <w:color w:val="000000" w:themeColor="text1"/>
          <w:sz w:val="20"/>
          <w:szCs w:val="20"/>
          <w:lang w:val="es-ES"/>
        </w:rPr>
        <w:t xml:space="preserve"> para el desarrollo conjunto de actividades relacionadas con los cometidos y funciones asignadas a aquellas conforme a la Constitución y a la Ley” [Énfasis propio]. Por esta razón, en los convenios de asociación no existen </w:t>
      </w:r>
      <w:r w:rsidRPr="00D96F62">
        <w:rPr>
          <w:rFonts w:ascii="Verdana" w:eastAsia="Calibri" w:hAnsi="Verdana" w:cs="Arial"/>
          <w:color w:val="000000" w:themeColor="text1"/>
          <w:sz w:val="20"/>
          <w:szCs w:val="20"/>
          <w:lang w:val="es-ES"/>
        </w:rPr>
        <w:lastRenderedPageBreak/>
        <w:t xml:space="preserve">contraprestaciones o pagos, sino </w:t>
      </w:r>
      <w:r w:rsidRPr="00D96F62">
        <w:rPr>
          <w:rFonts w:ascii="Verdana" w:eastAsia="Calibri" w:hAnsi="Verdana" w:cs="Arial"/>
          <w:i/>
          <w:iCs/>
          <w:color w:val="000000" w:themeColor="text1"/>
          <w:sz w:val="20"/>
          <w:szCs w:val="20"/>
          <w:lang w:val="es-ES"/>
        </w:rPr>
        <w:t>aportes</w:t>
      </w:r>
      <w:r w:rsidRPr="00D96F62">
        <w:rPr>
          <w:rFonts w:ascii="Verdana" w:eastAsia="Calibri" w:hAnsi="Verdana" w:cs="Arial"/>
          <w:color w:val="000000" w:themeColor="text1"/>
          <w:sz w:val="20"/>
          <w:szCs w:val="20"/>
          <w:lang w:val="es-ES"/>
        </w:rPr>
        <w:t xml:space="preserve">, los cuales están dirigidos exclusivamente a lograr la ejecución del convenio, no a remunerar la actividad o actuaciones del asociado. </w:t>
      </w:r>
    </w:p>
    <w:p w14:paraId="3FC4A035" w14:textId="2142206A" w:rsidR="00D96F62" w:rsidRPr="00D96F62" w:rsidRDefault="00D96F62" w:rsidP="00D96F62">
      <w:pPr>
        <w:snapToGrid w:val="0"/>
        <w:spacing w:after="0" w:line="240" w:lineRule="auto"/>
        <w:contextualSpacing/>
        <w:jc w:val="both"/>
        <w:rPr>
          <w:rFonts w:ascii="Verdana" w:eastAsia="Calibri" w:hAnsi="Verdana" w:cs="Arial"/>
          <w:color w:val="000000"/>
          <w:sz w:val="20"/>
          <w:szCs w:val="20"/>
          <w:lang w:val="es-ES" w:eastAsia="es-ES_tradnl"/>
        </w:rPr>
      </w:pPr>
      <w:r w:rsidRPr="00D96F62">
        <w:rPr>
          <w:rFonts w:ascii="Verdana" w:eastAsia="Century Gothic" w:hAnsi="Verdana" w:cs="Century Gothic"/>
          <w:bCs/>
          <w:sz w:val="20"/>
          <w:szCs w:val="20"/>
          <w:lang w:val="es-ES"/>
        </w:rPr>
        <w:t xml:space="preserve">En efecto, en estos convenios las partes asociadas suman voluntades y recursos con la finalidad de cumplir con el objetivo del acuerdo. Por lo anterior, no es propio de los convenios de asociación que se pacte algún tipo de remuneración o de utilidad; de forma similar, no se configuran pagos, sino que se realiza el desembolso. De esta forma, es inherente a estos acuerdos que las partes realicen aportes que pueden pactarse en dinero o en especie, siempre que sean destinados al desarrollo del acuerdo. En concreto, </w:t>
      </w:r>
      <w:r w:rsidRPr="00D96F62">
        <w:rPr>
          <w:rFonts w:ascii="Verdana" w:eastAsia="Calibri" w:hAnsi="Verdana" w:cs="Arial"/>
          <w:color w:val="000000"/>
          <w:sz w:val="20"/>
          <w:szCs w:val="20"/>
          <w:lang w:val="es-ES" w:eastAsia="es-ES_tradnl"/>
        </w:rPr>
        <w:t>las ESAL deben realizar aportes a los convenios que suscriban, los cuales pueden ser en dinero, en porcentajes inferiores o superiores al treinta por ciento (30%) del valor total, o en especie, los cuales deben servir a los objetivos comunes de la asociación.</w:t>
      </w:r>
    </w:p>
    <w:p w14:paraId="1C2AC061" w14:textId="77777777" w:rsidR="00D96F62" w:rsidRPr="00D96F62" w:rsidRDefault="00D96F62" w:rsidP="00D96F62">
      <w:pPr>
        <w:snapToGrid w:val="0"/>
        <w:spacing w:after="0" w:line="240" w:lineRule="auto"/>
        <w:contextualSpacing/>
        <w:jc w:val="both"/>
        <w:rPr>
          <w:rFonts w:ascii="Verdana" w:eastAsia="Calibri" w:hAnsi="Verdana" w:cs="Arial"/>
          <w:b/>
          <w:bCs/>
          <w:sz w:val="20"/>
          <w:szCs w:val="20"/>
          <w:lang w:val="es-ES" w:eastAsia="es-ES"/>
        </w:rPr>
      </w:pPr>
    </w:p>
    <w:p w14:paraId="5704208D" w14:textId="446E0B77" w:rsidR="00CB0BAE" w:rsidRPr="00D96F62" w:rsidRDefault="00CB0BAE" w:rsidP="00D96F62">
      <w:pPr>
        <w:snapToGrid w:val="0"/>
        <w:spacing w:after="0" w:line="240" w:lineRule="auto"/>
        <w:contextualSpacing/>
        <w:jc w:val="both"/>
        <w:rPr>
          <w:rFonts w:ascii="Verdana" w:eastAsia="Calibri" w:hAnsi="Verdana" w:cs="Arial"/>
          <w:b/>
          <w:bCs/>
          <w:lang w:val="es-ES" w:eastAsia="es-ES"/>
        </w:rPr>
      </w:pPr>
      <w:r w:rsidRPr="00D96F62">
        <w:rPr>
          <w:rFonts w:ascii="Verdana" w:eastAsia="Calibri" w:hAnsi="Verdana" w:cs="Arial"/>
          <w:b/>
          <w:bCs/>
          <w:lang w:val="es-ES" w:eastAsia="es-ES"/>
        </w:rPr>
        <w:t>DECRETO 092 DE 2017 – Sujetos – Aplicación</w:t>
      </w:r>
    </w:p>
    <w:p w14:paraId="6A65C233" w14:textId="77777777" w:rsidR="00D96F62" w:rsidRDefault="00D96F62" w:rsidP="00D96F62">
      <w:pPr>
        <w:pStyle w:val="ListParagraph"/>
        <w:snapToGrid w:val="0"/>
        <w:ind w:left="0"/>
        <w:jc w:val="both"/>
        <w:rPr>
          <w:rFonts w:ascii="Verdana" w:eastAsia="Calibri" w:hAnsi="Verdana" w:cs="Arial"/>
          <w:sz w:val="20"/>
          <w:szCs w:val="20"/>
        </w:rPr>
      </w:pPr>
    </w:p>
    <w:p w14:paraId="10294E3B" w14:textId="52DA4F66" w:rsidR="00D96F62" w:rsidRPr="00D96F62" w:rsidRDefault="00D96F62" w:rsidP="00D96F62">
      <w:pPr>
        <w:pStyle w:val="ListParagraph"/>
        <w:snapToGrid w:val="0"/>
        <w:spacing w:after="0" w:line="240" w:lineRule="auto"/>
        <w:ind w:left="0"/>
        <w:jc w:val="both"/>
        <w:rPr>
          <w:rFonts w:ascii="Verdana" w:eastAsia="Calibri" w:hAnsi="Verdana" w:cs="Arial"/>
          <w:color w:val="000000" w:themeColor="text1"/>
          <w:sz w:val="20"/>
          <w:szCs w:val="20"/>
        </w:rPr>
      </w:pPr>
      <w:r w:rsidRPr="00D96F62">
        <w:rPr>
          <w:rFonts w:ascii="Verdana" w:eastAsia="Calibri" w:hAnsi="Verdana" w:cs="Arial"/>
          <w:sz w:val="20"/>
          <w:szCs w:val="20"/>
        </w:rPr>
        <w:t xml:space="preserve">Respecto a su participación en los contratos del artículo 355 superior y los convenios de asociación regulados en dicho decreto, se evidencia que no existe norma en el ordenamiento jurídico que limite estas figuras contractuales a las ESAL colombianas. El artículo 355 constitucional de refiere a la celebración de contratos con “entidades privadas sin ánimo de lucro y de reconocida idoneidad”,  </w:t>
      </w:r>
      <w:r w:rsidRPr="00D96F62">
        <w:rPr>
          <w:rFonts w:ascii="Verdana" w:eastAsia="Calibri" w:hAnsi="Verdana" w:cs="Arial"/>
          <w:color w:val="000000" w:themeColor="text1"/>
          <w:sz w:val="20"/>
          <w:szCs w:val="20"/>
        </w:rPr>
        <w:t>el artículo 96 de la Ley 489 de 1998 permite a las entidades asociarse con “personas jurídicas particulares”, y el Decreto 092 de 2017 se refiere, en términos generales, a la contratación con “entidades privadas sin ánimo de lucro y de reconocida idoneidad”. En consecuencia, la normativa que rige estos mecanismos jurídicos no delimita su aplicación a ESAL nacionales, ni establece que se encuentre vetada la participación de aquellas que tengan carácter extranjero. Por lo anterior, en desarrollo del principio general de interpretación jurídica según el cual donde la norma no distingue, no le corresponde distinguir al intérprete, no resulta viable deducir que las ESAL extranjeras no puedan participar en los contratos de colaboración o los convenios de asociación a los que se refiere el Decreto 092 de 2017.</w:t>
      </w:r>
    </w:p>
    <w:p w14:paraId="24774F48" w14:textId="77777777" w:rsidR="00D96F62" w:rsidRPr="00D96F62" w:rsidRDefault="00D96F62" w:rsidP="00D96F62">
      <w:pPr>
        <w:snapToGrid w:val="0"/>
        <w:spacing w:after="0" w:line="240" w:lineRule="auto"/>
        <w:contextualSpacing/>
        <w:jc w:val="both"/>
        <w:rPr>
          <w:rFonts w:ascii="Verdana" w:eastAsia="Calibri" w:hAnsi="Verdana" w:cs="Arial"/>
          <w:b/>
          <w:bCs/>
          <w:lang w:val="es-ES" w:eastAsia="es-ES"/>
        </w:rPr>
      </w:pPr>
    </w:p>
    <w:p w14:paraId="758DABC8" w14:textId="77777777" w:rsidR="00CB0BAE" w:rsidRDefault="00CB0BAE" w:rsidP="00AF21F2">
      <w:pPr>
        <w:spacing w:after="0"/>
        <w:rPr>
          <w:rFonts w:ascii="Verdana" w:hAnsi="Verdana"/>
          <w:lang w:val="es-ES"/>
        </w:rPr>
      </w:pPr>
    </w:p>
    <w:p w14:paraId="19BCAC80" w14:textId="77777777" w:rsidR="00D96F62" w:rsidRDefault="00D96F62" w:rsidP="00AF21F2">
      <w:pPr>
        <w:spacing w:after="0"/>
        <w:rPr>
          <w:rFonts w:ascii="Verdana" w:hAnsi="Verdana"/>
          <w:lang w:val="es-ES"/>
        </w:rPr>
      </w:pPr>
    </w:p>
    <w:p w14:paraId="0706BD94" w14:textId="77777777" w:rsidR="00D96F62" w:rsidRDefault="00D96F62" w:rsidP="00AF21F2">
      <w:pPr>
        <w:spacing w:after="0"/>
        <w:rPr>
          <w:rFonts w:ascii="Verdana" w:hAnsi="Verdana"/>
          <w:lang w:val="es-ES"/>
        </w:rPr>
      </w:pPr>
    </w:p>
    <w:p w14:paraId="278AA0B6" w14:textId="77777777" w:rsidR="00D96F62" w:rsidRDefault="00D96F62" w:rsidP="00AF21F2">
      <w:pPr>
        <w:spacing w:after="0"/>
        <w:rPr>
          <w:rFonts w:ascii="Verdana" w:hAnsi="Verdana"/>
          <w:lang w:val="es-ES"/>
        </w:rPr>
      </w:pPr>
    </w:p>
    <w:p w14:paraId="2E70CD0B" w14:textId="77777777" w:rsidR="00D96F62" w:rsidRDefault="00D96F62" w:rsidP="00AF21F2">
      <w:pPr>
        <w:spacing w:after="0"/>
        <w:rPr>
          <w:rFonts w:ascii="Verdana" w:hAnsi="Verdana"/>
          <w:lang w:val="es-ES"/>
        </w:rPr>
      </w:pPr>
    </w:p>
    <w:p w14:paraId="45800F12" w14:textId="77777777" w:rsidR="00D96F62" w:rsidRDefault="00D96F62" w:rsidP="00AF21F2">
      <w:pPr>
        <w:spacing w:after="0"/>
        <w:rPr>
          <w:rFonts w:ascii="Verdana" w:hAnsi="Verdana"/>
          <w:lang w:val="es-ES"/>
        </w:rPr>
      </w:pPr>
    </w:p>
    <w:p w14:paraId="0DF9A8F6" w14:textId="77777777" w:rsidR="00D96F62" w:rsidRDefault="00D96F62" w:rsidP="00AF21F2">
      <w:pPr>
        <w:spacing w:after="0"/>
        <w:rPr>
          <w:rFonts w:ascii="Verdana" w:hAnsi="Verdana"/>
          <w:lang w:val="es-ES"/>
        </w:rPr>
      </w:pPr>
    </w:p>
    <w:p w14:paraId="7CF9C157" w14:textId="77777777" w:rsidR="00D96F62" w:rsidRDefault="00D96F62" w:rsidP="00AF21F2">
      <w:pPr>
        <w:spacing w:after="0"/>
        <w:rPr>
          <w:rFonts w:ascii="Verdana" w:hAnsi="Verdana"/>
          <w:lang w:val="es-ES"/>
        </w:rPr>
      </w:pPr>
    </w:p>
    <w:p w14:paraId="522DF4B9" w14:textId="77777777" w:rsidR="00D96F62" w:rsidRDefault="00D96F62" w:rsidP="00AF21F2">
      <w:pPr>
        <w:spacing w:after="0"/>
        <w:rPr>
          <w:rFonts w:ascii="Verdana" w:hAnsi="Verdana"/>
          <w:lang w:val="es-ES"/>
        </w:rPr>
      </w:pPr>
    </w:p>
    <w:p w14:paraId="7F6BE6CB" w14:textId="77777777" w:rsidR="00D96F62" w:rsidRDefault="00D96F62" w:rsidP="00AF21F2">
      <w:pPr>
        <w:spacing w:after="0"/>
        <w:rPr>
          <w:rFonts w:ascii="Verdana" w:hAnsi="Verdana"/>
          <w:lang w:val="es-ES"/>
        </w:rPr>
      </w:pPr>
    </w:p>
    <w:p w14:paraId="3975DB93" w14:textId="77777777" w:rsidR="00D96F62" w:rsidRDefault="00D96F62" w:rsidP="00AF21F2">
      <w:pPr>
        <w:spacing w:after="0"/>
        <w:rPr>
          <w:rFonts w:ascii="Verdana" w:hAnsi="Verdana"/>
          <w:lang w:val="es-ES"/>
        </w:rPr>
      </w:pPr>
    </w:p>
    <w:p w14:paraId="29AD68B5" w14:textId="77777777" w:rsidR="00D96F62" w:rsidRDefault="00D96F62" w:rsidP="00AF21F2">
      <w:pPr>
        <w:spacing w:after="0"/>
        <w:rPr>
          <w:rFonts w:ascii="Verdana" w:hAnsi="Verdana"/>
          <w:lang w:val="es-ES"/>
        </w:rPr>
      </w:pPr>
    </w:p>
    <w:p w14:paraId="39523228" w14:textId="77777777" w:rsidR="00D96F62" w:rsidRDefault="00D96F62" w:rsidP="00AF21F2">
      <w:pPr>
        <w:spacing w:after="0"/>
        <w:rPr>
          <w:rFonts w:ascii="Verdana" w:hAnsi="Verdana"/>
          <w:lang w:val="es-ES"/>
        </w:rPr>
      </w:pPr>
    </w:p>
    <w:p w14:paraId="3BBBC515" w14:textId="77777777" w:rsidR="00D96F62" w:rsidRDefault="00D96F62" w:rsidP="00AF21F2">
      <w:pPr>
        <w:spacing w:after="0"/>
        <w:rPr>
          <w:rFonts w:ascii="Verdana" w:hAnsi="Verdana"/>
          <w:lang w:val="es-ES"/>
        </w:rPr>
      </w:pPr>
    </w:p>
    <w:p w14:paraId="1BD3DA0A" w14:textId="215B042C" w:rsidR="00AF21F2" w:rsidRPr="0017378C" w:rsidRDefault="00AF21F2" w:rsidP="00AF21F2">
      <w:pPr>
        <w:spacing w:after="0"/>
        <w:rPr>
          <w:rFonts w:ascii="Verdana" w:hAnsi="Verdana"/>
          <w:lang w:val="es-ES"/>
        </w:rPr>
      </w:pPr>
      <w:r w:rsidRPr="0017378C">
        <w:rPr>
          <w:rFonts w:ascii="Verdana" w:hAnsi="Verdana"/>
          <w:lang w:val="es-ES"/>
        </w:rPr>
        <w:lastRenderedPageBreak/>
        <w:t xml:space="preserve">Bogotá D.C., </w:t>
      </w:r>
      <w:r w:rsidR="00CB0BAE">
        <w:rPr>
          <w:rFonts w:ascii="Verdana" w:hAnsi="Verdana"/>
          <w:lang w:val="es-ES"/>
        </w:rPr>
        <w:t>26 de noviembre de 2025</w:t>
      </w:r>
    </w:p>
    <w:p w14:paraId="29607B10" w14:textId="77777777" w:rsidR="00AF21F2" w:rsidRPr="0017378C" w:rsidRDefault="00AF21F2" w:rsidP="00AF21F2">
      <w:pPr>
        <w:spacing w:after="0"/>
        <w:rPr>
          <w:rFonts w:ascii="Verdana" w:hAnsi="Verdana"/>
          <w:lang w:val="es-ES"/>
        </w:rPr>
      </w:pPr>
    </w:p>
    <w:p w14:paraId="755DEEF3" w14:textId="36C93A71" w:rsidR="00AF21F2" w:rsidRPr="0017378C" w:rsidRDefault="00CB0BAE" w:rsidP="00AF21F2">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val="es-ES" w:eastAsia="es-ES"/>
        </w:rPr>
        <w:drawing>
          <wp:anchor distT="0" distB="0" distL="114300" distR="114300" simplePos="0" relativeHeight="251658240" behindDoc="0" locked="0" layoutInCell="1" allowOverlap="1" wp14:anchorId="623682D8" wp14:editId="28E9F85A">
            <wp:simplePos x="0" y="0"/>
            <wp:positionH relativeFrom="column">
              <wp:posOffset>3026654</wp:posOffset>
            </wp:positionH>
            <wp:positionV relativeFrom="page">
              <wp:posOffset>2045970</wp:posOffset>
            </wp:positionV>
            <wp:extent cx="2418715" cy="716915"/>
            <wp:effectExtent l="0" t="0" r="0" b="0"/>
            <wp:wrapSquare wrapText="bothSides"/>
            <wp:docPr id="1838688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688082" name="Picture 1838688082"/>
                    <pic:cNvPicPr/>
                  </pic:nvPicPr>
                  <pic:blipFill>
                    <a:blip r:embed="rId10">
                      <a:extLst>
                        <a:ext uri="{28A0092B-C50C-407E-A947-70E740481C1C}">
                          <a14:useLocalDpi xmlns:a14="http://schemas.microsoft.com/office/drawing/2010/main" val="0"/>
                        </a:ext>
                      </a:extLst>
                    </a:blip>
                    <a:stretch>
                      <a:fillRect/>
                    </a:stretch>
                  </pic:blipFill>
                  <pic:spPr>
                    <a:xfrm>
                      <a:off x="0" y="0"/>
                      <a:ext cx="2418715" cy="716915"/>
                    </a:xfrm>
                    <a:prstGeom prst="rect">
                      <a:avLst/>
                    </a:prstGeom>
                  </pic:spPr>
                </pic:pic>
              </a:graphicData>
            </a:graphic>
            <wp14:sizeRelH relativeFrom="page">
              <wp14:pctWidth>0</wp14:pctWidth>
            </wp14:sizeRelH>
            <wp14:sizeRelV relativeFrom="page">
              <wp14:pctHeight>0</wp14:pctHeight>
            </wp14:sizeRelV>
          </wp:anchor>
        </w:drawing>
      </w:r>
      <w:r w:rsidR="00AF21F2" w:rsidRPr="0017378C">
        <w:rPr>
          <w:rFonts w:ascii="Verdana" w:eastAsia="Calibri" w:hAnsi="Verdana" w:cs="Arial"/>
          <w:color w:val="000000" w:themeColor="text1"/>
          <w:lang w:val="es-ES" w:eastAsia="es-ES"/>
        </w:rPr>
        <w:t>Señor</w:t>
      </w:r>
    </w:p>
    <w:p w14:paraId="2FA4CDD3" w14:textId="6D963702" w:rsidR="00AF21F2" w:rsidRPr="0077644A" w:rsidRDefault="00AF21F2" w:rsidP="00AF21F2">
      <w:pPr>
        <w:spacing w:after="0" w:line="240" w:lineRule="auto"/>
        <w:rPr>
          <w:rFonts w:ascii="Verdana" w:eastAsia="Calibri" w:hAnsi="Verdana" w:cs="Arial"/>
          <w:b/>
          <w:bCs/>
          <w:color w:val="000000" w:themeColor="text1"/>
          <w:lang w:val="es-ES" w:eastAsia="es-ES"/>
        </w:rPr>
      </w:pPr>
      <w:r w:rsidRPr="0017378C">
        <w:rPr>
          <w:rFonts w:ascii="Verdana" w:eastAsia="Calibri" w:hAnsi="Verdana" w:cs="Arial"/>
          <w:b/>
          <w:bCs/>
          <w:color w:val="000000" w:themeColor="text1"/>
          <w:lang w:val="es-ES" w:eastAsia="es-ES"/>
        </w:rPr>
        <w:t xml:space="preserve">Juan Sebastián Olaya Perdomo </w:t>
      </w:r>
    </w:p>
    <w:p w14:paraId="6078E0B5" w14:textId="77777777" w:rsidR="00AF21F2" w:rsidRPr="0077644A" w:rsidRDefault="00AF21F2" w:rsidP="00AF21F2">
      <w:pPr>
        <w:spacing w:after="0" w:line="240" w:lineRule="auto"/>
        <w:rPr>
          <w:rFonts w:ascii="Verdana" w:eastAsia="Calibri" w:hAnsi="Verdana" w:cs="Arial"/>
          <w:color w:val="000000" w:themeColor="text1"/>
          <w:lang w:val="es-ES" w:eastAsia="es-ES"/>
        </w:rPr>
      </w:pPr>
      <w:r w:rsidRPr="0077644A">
        <w:rPr>
          <w:rFonts w:ascii="Verdana" w:eastAsia="Calibri" w:hAnsi="Verdana" w:cs="Arial"/>
          <w:color w:val="000000" w:themeColor="text1"/>
          <w:lang w:val="es-ES" w:eastAsia="es-ES"/>
        </w:rPr>
        <w:t xml:space="preserve">juanseolaya@gmail.com </w:t>
      </w:r>
    </w:p>
    <w:p w14:paraId="18515D6B" w14:textId="77777777" w:rsidR="00AF21F2" w:rsidRPr="0017378C" w:rsidRDefault="00AF21F2" w:rsidP="00AF21F2">
      <w:pPr>
        <w:spacing w:after="0" w:line="240" w:lineRule="auto"/>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Cali, Valle del Cauca</w:t>
      </w:r>
    </w:p>
    <w:p w14:paraId="0479874D" w14:textId="77777777" w:rsidR="00AF21F2" w:rsidRPr="0017378C" w:rsidRDefault="00AF21F2" w:rsidP="00AF21F2">
      <w:pPr>
        <w:spacing w:after="0" w:line="240" w:lineRule="auto"/>
        <w:rPr>
          <w:rFonts w:ascii="Verdana" w:eastAsia="Calibri" w:hAnsi="Verdana" w:cs="Arial"/>
          <w:b/>
          <w:bCs/>
          <w:color w:val="000000" w:themeColor="text1"/>
          <w:lang w:val="es-ES" w:eastAsia="es-ES"/>
        </w:rPr>
      </w:pPr>
    </w:p>
    <w:p w14:paraId="454835A4" w14:textId="77777777" w:rsidR="00AF21F2" w:rsidRPr="0017378C" w:rsidRDefault="00AF21F2" w:rsidP="00AF21F2">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AF21F2" w:rsidRPr="0017378C" w14:paraId="55B04FB5" w14:textId="77777777" w:rsidTr="00553665">
        <w:trPr>
          <w:gridAfter w:val="1"/>
          <w:wAfter w:w="4179" w:type="dxa"/>
          <w:trHeight w:val="304"/>
        </w:trPr>
        <w:tc>
          <w:tcPr>
            <w:tcW w:w="2689" w:type="dxa"/>
          </w:tcPr>
          <w:p w14:paraId="7E3EB5E8" w14:textId="77777777" w:rsidR="00AF21F2" w:rsidRPr="0017378C" w:rsidRDefault="00AF21F2" w:rsidP="00553665">
            <w:pPr>
              <w:jc w:val="both"/>
              <w:rPr>
                <w:rFonts w:ascii="Verdana" w:eastAsia="Calibri" w:hAnsi="Verdana" w:cs="Arial"/>
                <w:b/>
                <w:bCs/>
                <w:color w:val="000000" w:themeColor="text1"/>
                <w:lang w:val="es-ES" w:eastAsia="es-ES_tradnl"/>
              </w:rPr>
            </w:pPr>
          </w:p>
        </w:tc>
        <w:tc>
          <w:tcPr>
            <w:tcW w:w="6100" w:type="dxa"/>
          </w:tcPr>
          <w:p w14:paraId="46D5839C" w14:textId="2D8311F6" w:rsidR="00AF21F2" w:rsidRPr="0017378C" w:rsidRDefault="00AF21F2" w:rsidP="00553665">
            <w:pPr>
              <w:jc w:val="both"/>
              <w:rPr>
                <w:rFonts w:ascii="Verdana" w:eastAsia="Calibri" w:hAnsi="Verdana" w:cs="Arial"/>
                <w:b/>
                <w:bCs/>
                <w:color w:val="000000" w:themeColor="text1"/>
                <w:lang w:val="es-ES" w:eastAsia="es-ES"/>
              </w:rPr>
            </w:pPr>
            <w:r w:rsidRPr="0017378C">
              <w:rPr>
                <w:rFonts w:ascii="Verdana" w:eastAsia="Calibri" w:hAnsi="Verdana" w:cs="Arial"/>
                <w:b/>
                <w:bCs/>
                <w:color w:val="000000" w:themeColor="text1"/>
                <w:lang w:val="es-ES" w:eastAsia="es-ES"/>
              </w:rPr>
              <w:t>Concepto C-</w:t>
            </w:r>
            <w:r w:rsidR="00EC3533">
              <w:rPr>
                <w:rFonts w:ascii="Verdana" w:eastAsia="Calibri" w:hAnsi="Verdana" w:cs="Arial"/>
                <w:b/>
                <w:bCs/>
                <w:color w:val="000000" w:themeColor="text1"/>
                <w:lang w:val="es-ES" w:eastAsia="es-ES"/>
              </w:rPr>
              <w:t>1498</w:t>
            </w:r>
            <w:r w:rsidRPr="0017378C">
              <w:rPr>
                <w:rFonts w:ascii="Verdana" w:eastAsia="Calibri" w:hAnsi="Verdana" w:cs="Arial"/>
                <w:b/>
                <w:bCs/>
                <w:color w:val="000000" w:themeColor="text1"/>
                <w:lang w:val="es-ES" w:eastAsia="es-ES"/>
              </w:rPr>
              <w:t xml:space="preserve"> de 2025</w:t>
            </w:r>
          </w:p>
          <w:p w14:paraId="0826DB1B" w14:textId="77777777" w:rsidR="00AF21F2" w:rsidRPr="0017378C" w:rsidRDefault="00AF21F2" w:rsidP="00553665">
            <w:pPr>
              <w:jc w:val="both"/>
              <w:rPr>
                <w:rFonts w:ascii="Verdana" w:eastAsia="Calibri" w:hAnsi="Verdana" w:cs="Arial"/>
                <w:b/>
                <w:bCs/>
                <w:color w:val="000000" w:themeColor="text1"/>
                <w:lang w:val="es-ES" w:eastAsia="es-ES"/>
              </w:rPr>
            </w:pPr>
          </w:p>
        </w:tc>
      </w:tr>
      <w:tr w:rsidR="00AF21F2" w:rsidRPr="0017378C" w14:paraId="4423000D" w14:textId="77777777" w:rsidTr="00553665">
        <w:trPr>
          <w:trHeight w:val="884"/>
        </w:trPr>
        <w:tc>
          <w:tcPr>
            <w:tcW w:w="2689" w:type="dxa"/>
          </w:tcPr>
          <w:p w14:paraId="67EEB5BB" w14:textId="77777777" w:rsidR="00AF21F2" w:rsidRPr="0017378C" w:rsidRDefault="00AF21F2" w:rsidP="00553665">
            <w:pPr>
              <w:jc w:val="both"/>
              <w:rPr>
                <w:rFonts w:ascii="Verdana" w:eastAsia="Calibri" w:hAnsi="Verdana" w:cs="Arial"/>
                <w:color w:val="000000" w:themeColor="text1"/>
                <w:lang w:val="es-ES" w:eastAsia="es-ES_tradnl"/>
              </w:rPr>
            </w:pPr>
            <w:r w:rsidRPr="0017378C">
              <w:rPr>
                <w:rFonts w:ascii="Verdana" w:eastAsia="Calibri" w:hAnsi="Verdana" w:cs="Arial"/>
                <w:b/>
                <w:color w:val="000000" w:themeColor="text1"/>
                <w:lang w:val="es-ES" w:eastAsia="es-ES_tradnl"/>
              </w:rPr>
              <w:t>Temas:</w:t>
            </w:r>
            <w:r w:rsidRPr="0017378C">
              <w:rPr>
                <w:rFonts w:ascii="Verdana" w:eastAsia="Calibri" w:hAnsi="Verdana" w:cs="Arial"/>
                <w:color w:val="000000" w:themeColor="text1"/>
                <w:lang w:val="es-ES" w:eastAsia="es-ES_tradnl"/>
              </w:rPr>
              <w:t xml:space="preserve">                   </w:t>
            </w:r>
          </w:p>
        </w:tc>
        <w:tc>
          <w:tcPr>
            <w:tcW w:w="6100" w:type="dxa"/>
          </w:tcPr>
          <w:p w14:paraId="4BBEC51D" w14:textId="7782F951" w:rsidR="00AF21F2" w:rsidRPr="0017378C" w:rsidRDefault="00AF21F2" w:rsidP="00553665">
            <w:pPr>
              <w:spacing w:line="276" w:lineRule="auto"/>
              <w:jc w:val="both"/>
              <w:rPr>
                <w:rFonts w:ascii="Verdana" w:eastAsia="Calibri" w:hAnsi="Verdana" w:cs="Arial"/>
                <w:lang w:val="es-ES" w:eastAsia="es-ES"/>
              </w:rPr>
            </w:pPr>
            <w:r w:rsidRPr="0017378C">
              <w:rPr>
                <w:rFonts w:ascii="Verdana" w:eastAsia="Calibri" w:hAnsi="Verdana" w:cs="Arial"/>
                <w:lang w:val="es-ES" w:eastAsia="es-ES"/>
              </w:rPr>
              <w:t>DECRETO 092 DE 2017 – Finalidad – Clases de contratos / CONTRATACIÓN CON ESAL – Contrato de colaboración – Objeto – Alcance / CONTRATACIÓN CON ESAL – Contrato de asociación – Objeto – Alcance/ DECRETO 092 DE 2017 – Sujetos – Aplicación</w:t>
            </w:r>
          </w:p>
          <w:p w14:paraId="709CBEE0" w14:textId="77777777" w:rsidR="00AF21F2" w:rsidRPr="0017378C" w:rsidRDefault="00AF21F2" w:rsidP="00553665">
            <w:pPr>
              <w:spacing w:line="276" w:lineRule="auto"/>
              <w:jc w:val="both"/>
              <w:rPr>
                <w:rFonts w:ascii="Verdana" w:eastAsia="Calibri" w:hAnsi="Verdana" w:cs="Arial"/>
                <w:color w:val="000000" w:themeColor="text1"/>
                <w:lang w:val="es-ES" w:eastAsia="es-ES_tradnl"/>
              </w:rPr>
            </w:pPr>
          </w:p>
        </w:tc>
        <w:tc>
          <w:tcPr>
            <w:tcW w:w="4179" w:type="dxa"/>
          </w:tcPr>
          <w:p w14:paraId="4853934E" w14:textId="77777777" w:rsidR="00AF21F2" w:rsidRPr="0017378C" w:rsidRDefault="00AF21F2" w:rsidP="00553665">
            <w:pPr>
              <w:spacing w:line="276" w:lineRule="auto"/>
              <w:jc w:val="both"/>
              <w:rPr>
                <w:rFonts w:ascii="Verdana" w:eastAsia="Calibri" w:hAnsi="Verdana" w:cs="Arial"/>
                <w:color w:val="000000" w:themeColor="text1"/>
                <w:lang w:val="es-ES" w:eastAsia="es-ES_tradnl"/>
              </w:rPr>
            </w:pPr>
          </w:p>
          <w:p w14:paraId="494701F5" w14:textId="77777777" w:rsidR="00AF21F2" w:rsidRPr="0017378C" w:rsidRDefault="00AF21F2" w:rsidP="00553665">
            <w:pPr>
              <w:spacing w:line="276" w:lineRule="auto"/>
              <w:rPr>
                <w:rFonts w:ascii="Verdana" w:eastAsia="Calibri" w:hAnsi="Verdana" w:cs="Arial"/>
                <w:color w:val="000000" w:themeColor="text1"/>
                <w:lang w:val="es-ES" w:eastAsia="es-ES_tradnl"/>
              </w:rPr>
            </w:pPr>
          </w:p>
        </w:tc>
      </w:tr>
      <w:tr w:rsidR="00AF21F2" w:rsidRPr="0017378C" w14:paraId="3F24C217" w14:textId="77777777" w:rsidTr="00553665">
        <w:trPr>
          <w:gridAfter w:val="1"/>
          <w:wAfter w:w="4179" w:type="dxa"/>
        </w:trPr>
        <w:tc>
          <w:tcPr>
            <w:tcW w:w="2689" w:type="dxa"/>
          </w:tcPr>
          <w:p w14:paraId="0DC5C9B8" w14:textId="77777777" w:rsidR="00AF21F2" w:rsidRPr="0017378C" w:rsidRDefault="00AF21F2" w:rsidP="00553665">
            <w:pPr>
              <w:jc w:val="both"/>
              <w:rPr>
                <w:rFonts w:ascii="Verdana" w:eastAsia="Calibri" w:hAnsi="Verdana" w:cs="Arial"/>
                <w:b/>
                <w:color w:val="000000" w:themeColor="text1"/>
                <w:lang w:val="es-ES" w:eastAsia="es-ES_tradnl"/>
              </w:rPr>
            </w:pPr>
            <w:r w:rsidRPr="0017378C">
              <w:rPr>
                <w:rFonts w:ascii="Verdana" w:eastAsia="Calibri" w:hAnsi="Verdana" w:cs="Arial"/>
                <w:b/>
                <w:color w:val="000000" w:themeColor="text1"/>
                <w:lang w:val="es-ES" w:eastAsia="es-ES_tradnl"/>
              </w:rPr>
              <w:t>Radicación:</w:t>
            </w:r>
            <w:r w:rsidRPr="0017378C">
              <w:rPr>
                <w:rFonts w:ascii="Verdana" w:eastAsia="Calibri" w:hAnsi="Verdana" w:cs="Arial"/>
                <w:color w:val="000000" w:themeColor="text1"/>
                <w:lang w:val="es-ES" w:eastAsia="es-ES_tradnl"/>
              </w:rPr>
              <w:t xml:space="preserve">               </w:t>
            </w:r>
          </w:p>
        </w:tc>
        <w:tc>
          <w:tcPr>
            <w:tcW w:w="6100" w:type="dxa"/>
          </w:tcPr>
          <w:p w14:paraId="77D846E5" w14:textId="77777777" w:rsidR="00AF21F2" w:rsidRPr="0017378C" w:rsidRDefault="00AF21F2" w:rsidP="00553665">
            <w:pPr>
              <w:jc w:val="both"/>
              <w:rPr>
                <w:rFonts w:ascii="Verdana" w:eastAsia="Calibri" w:hAnsi="Verdana" w:cs="Arial"/>
                <w:color w:val="000000" w:themeColor="text1"/>
                <w:lang w:val="es-ES" w:eastAsia="es-ES_tradnl"/>
              </w:rPr>
            </w:pPr>
            <w:r w:rsidRPr="0017378C">
              <w:rPr>
                <w:rFonts w:ascii="Verdana" w:eastAsia="Calibri" w:hAnsi="Verdana" w:cs="Arial"/>
                <w:color w:val="000000" w:themeColor="text1"/>
                <w:lang w:val="es-ES" w:eastAsia="es-ES_tradnl"/>
              </w:rPr>
              <w:t>Respuesta a consultas con radicados No. 1_2025_10_15_011518 y 1_2025_10_15_011519 (Acumuladas)</w:t>
            </w:r>
          </w:p>
        </w:tc>
      </w:tr>
    </w:tbl>
    <w:p w14:paraId="0036D2C9" w14:textId="77777777" w:rsidR="00AF21F2" w:rsidRPr="0017378C" w:rsidRDefault="00AF21F2" w:rsidP="00AF21F2">
      <w:pPr>
        <w:spacing w:after="0" w:line="276" w:lineRule="auto"/>
        <w:jc w:val="both"/>
        <w:rPr>
          <w:rFonts w:ascii="Verdana" w:eastAsia="Calibri" w:hAnsi="Verdana" w:cs="Arial"/>
          <w:color w:val="000000" w:themeColor="text1"/>
          <w:lang w:val="es-ES" w:eastAsia="es-ES_tradnl"/>
        </w:rPr>
      </w:pPr>
    </w:p>
    <w:p w14:paraId="5241281C" w14:textId="77777777" w:rsidR="00AF21F2" w:rsidRPr="0017378C" w:rsidRDefault="00AF21F2" w:rsidP="00AF21F2">
      <w:pPr>
        <w:spacing w:after="0" w:line="276" w:lineRule="auto"/>
        <w:jc w:val="both"/>
        <w:rPr>
          <w:rFonts w:ascii="Verdana" w:eastAsia="Calibri" w:hAnsi="Verdana" w:cs="Arial"/>
          <w:color w:val="000000" w:themeColor="text1"/>
          <w:lang w:val="es-ES" w:eastAsia="es-ES_tradnl"/>
        </w:rPr>
      </w:pPr>
    </w:p>
    <w:p w14:paraId="28AC91C4" w14:textId="77777777" w:rsidR="00AF21F2" w:rsidRPr="0017378C" w:rsidRDefault="00AF21F2" w:rsidP="00AF21F2">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 xml:space="preserve">Estimado señor Olaya: </w:t>
      </w:r>
    </w:p>
    <w:p w14:paraId="7F60DB06" w14:textId="77777777" w:rsidR="00AF21F2" w:rsidRPr="0017378C" w:rsidRDefault="00AF21F2" w:rsidP="00AF21F2">
      <w:pPr>
        <w:tabs>
          <w:tab w:val="left" w:pos="3768"/>
        </w:tabs>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ab/>
      </w:r>
    </w:p>
    <w:p w14:paraId="41BF78AE" w14:textId="77777777" w:rsidR="00AF21F2" w:rsidRPr="0017378C" w:rsidRDefault="00AF21F2" w:rsidP="00AF21F2">
      <w:pPr>
        <w:spacing w:after="0" w:line="276" w:lineRule="auto"/>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En ejercicio de la competencia otorgada por los artículos 3, numeral 5º, y 11, numeral 8º, del Decreto Ley 4170 de 2011,</w:t>
      </w:r>
      <w:r w:rsidRPr="0017378C">
        <w:rPr>
          <w:rFonts w:ascii="Verdana" w:eastAsia="Arial MT" w:hAnsi="Verdana" w:cs="Arial MT"/>
          <w:color w:val="000000" w:themeColor="text1"/>
          <w:lang w:val="es-ES" w:eastAsia="es-ES"/>
        </w:rPr>
        <w:t xml:space="preserve"> </w:t>
      </w:r>
      <w:r w:rsidRPr="0017378C">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concepto del 15 de octubre de 2025, en la cual manifiesta lo siguiente:</w:t>
      </w:r>
      <w:r w:rsidRPr="0017378C">
        <w:rPr>
          <w:rFonts w:ascii="Verdana" w:eastAsia="Calibri" w:hAnsi="Verdana" w:cs="Arial"/>
          <w:color w:val="000000" w:themeColor="text1"/>
          <w:lang w:val="es-ES" w:eastAsia="es-ES"/>
        </w:rPr>
        <w:t xml:space="preserve"> </w:t>
      </w:r>
    </w:p>
    <w:p w14:paraId="69857CA8" w14:textId="77777777" w:rsidR="00AF21F2" w:rsidRPr="0017378C" w:rsidRDefault="00AF21F2" w:rsidP="00AF21F2">
      <w:pPr>
        <w:spacing w:after="0" w:line="276" w:lineRule="auto"/>
        <w:jc w:val="both"/>
        <w:rPr>
          <w:rFonts w:ascii="Verdana" w:eastAsia="Calibri" w:hAnsi="Verdana" w:cs="Arial"/>
          <w:color w:val="000000" w:themeColor="text1"/>
          <w:lang w:val="es-ES" w:eastAsia="es-ES"/>
        </w:rPr>
      </w:pPr>
    </w:p>
    <w:p w14:paraId="410C23E1" w14:textId="77777777" w:rsidR="00AF21F2" w:rsidRPr="0017378C" w:rsidRDefault="00AF21F2" w:rsidP="00AF21F2">
      <w:pPr>
        <w:spacing w:after="0"/>
        <w:ind w:left="720" w:right="709"/>
        <w:jc w:val="both"/>
        <w:rPr>
          <w:rFonts w:ascii="Verdana" w:eastAsia="Century Gothic" w:hAnsi="Verdana" w:cs="Century Gothic"/>
          <w:color w:val="000000" w:themeColor="text1"/>
          <w:sz w:val="20"/>
          <w:szCs w:val="20"/>
          <w:lang w:val="es-ES"/>
        </w:rPr>
      </w:pPr>
      <w:r w:rsidRPr="0017378C">
        <w:rPr>
          <w:rFonts w:ascii="Verdana" w:eastAsia="Century Gothic" w:hAnsi="Verdana" w:cs="Century Gothic"/>
          <w:color w:val="000000" w:themeColor="text1"/>
          <w:sz w:val="20"/>
          <w:szCs w:val="20"/>
          <w:lang w:val="es-ES"/>
        </w:rPr>
        <w:t xml:space="preserve">“Solicito amablemente me den un concepto sobre la </w:t>
      </w:r>
      <w:proofErr w:type="spellStart"/>
      <w:r w:rsidRPr="0017378C">
        <w:rPr>
          <w:rFonts w:ascii="Verdana" w:eastAsia="Century Gothic" w:hAnsi="Verdana" w:cs="Century Gothic"/>
          <w:color w:val="000000" w:themeColor="text1"/>
          <w:sz w:val="20"/>
          <w:szCs w:val="20"/>
          <w:lang w:val="es-ES"/>
        </w:rPr>
        <w:t>psosibilidad</w:t>
      </w:r>
      <w:proofErr w:type="spellEnd"/>
      <w:r w:rsidRPr="0017378C">
        <w:rPr>
          <w:rFonts w:ascii="Verdana" w:eastAsia="Century Gothic" w:hAnsi="Verdana" w:cs="Century Gothic"/>
          <w:color w:val="000000" w:themeColor="text1"/>
          <w:sz w:val="20"/>
          <w:szCs w:val="20"/>
          <w:lang w:val="es-ES"/>
        </w:rPr>
        <w:t xml:space="preserve"> de entidades sin </w:t>
      </w:r>
      <w:proofErr w:type="spellStart"/>
      <w:r w:rsidRPr="0017378C">
        <w:rPr>
          <w:rFonts w:ascii="Verdana" w:eastAsia="Century Gothic" w:hAnsi="Verdana" w:cs="Century Gothic"/>
          <w:color w:val="000000" w:themeColor="text1"/>
          <w:sz w:val="20"/>
          <w:szCs w:val="20"/>
          <w:lang w:val="es-ES"/>
        </w:rPr>
        <w:t>animo</w:t>
      </w:r>
      <w:proofErr w:type="spellEnd"/>
      <w:r w:rsidRPr="0017378C">
        <w:rPr>
          <w:rFonts w:ascii="Verdana" w:eastAsia="Century Gothic" w:hAnsi="Verdana" w:cs="Century Gothic"/>
          <w:color w:val="000000" w:themeColor="text1"/>
          <w:sz w:val="20"/>
          <w:szCs w:val="20"/>
          <w:lang w:val="es-ES"/>
        </w:rPr>
        <w:t xml:space="preserve"> de lucro de otros </w:t>
      </w:r>
      <w:proofErr w:type="spellStart"/>
      <w:r w:rsidRPr="0017378C">
        <w:rPr>
          <w:rFonts w:ascii="Verdana" w:eastAsia="Century Gothic" w:hAnsi="Verdana" w:cs="Century Gothic"/>
          <w:color w:val="000000" w:themeColor="text1"/>
          <w:sz w:val="20"/>
          <w:szCs w:val="20"/>
          <w:lang w:val="es-ES"/>
        </w:rPr>
        <w:t>paises</w:t>
      </w:r>
      <w:proofErr w:type="spellEnd"/>
      <w:r w:rsidRPr="0017378C">
        <w:rPr>
          <w:rFonts w:ascii="Verdana" w:eastAsia="Century Gothic" w:hAnsi="Verdana" w:cs="Century Gothic"/>
          <w:color w:val="000000" w:themeColor="text1"/>
          <w:sz w:val="20"/>
          <w:szCs w:val="20"/>
          <w:lang w:val="es-ES"/>
        </w:rPr>
        <w:t xml:space="preserve"> pueden participar en proceso </w:t>
      </w:r>
      <w:proofErr w:type="spellStart"/>
      <w:r w:rsidRPr="0017378C">
        <w:rPr>
          <w:rFonts w:ascii="Verdana" w:eastAsia="Century Gothic" w:hAnsi="Verdana" w:cs="Century Gothic"/>
          <w:color w:val="000000" w:themeColor="text1"/>
          <w:sz w:val="20"/>
          <w:szCs w:val="20"/>
          <w:lang w:val="es-ES"/>
        </w:rPr>
        <w:t>competivos</w:t>
      </w:r>
      <w:proofErr w:type="spellEnd"/>
      <w:r w:rsidRPr="0017378C">
        <w:rPr>
          <w:rFonts w:ascii="Verdana" w:eastAsia="Century Gothic" w:hAnsi="Verdana" w:cs="Century Gothic"/>
          <w:color w:val="000000" w:themeColor="text1"/>
          <w:sz w:val="20"/>
          <w:szCs w:val="20"/>
          <w:lang w:val="es-ES"/>
        </w:rPr>
        <w:t xml:space="preserve"> en el marco del decreto 092 de 2017”</w:t>
      </w:r>
    </w:p>
    <w:p w14:paraId="09C94955" w14:textId="77777777" w:rsidR="00AF21F2" w:rsidRPr="0017378C" w:rsidRDefault="00AF21F2" w:rsidP="00AF21F2">
      <w:pPr>
        <w:spacing w:after="0"/>
        <w:ind w:left="709" w:right="709"/>
        <w:jc w:val="both"/>
        <w:rPr>
          <w:rFonts w:ascii="Verdana" w:eastAsia="Century Gothic" w:hAnsi="Verdana" w:cs="Century Gothic"/>
          <w:i/>
          <w:iCs/>
          <w:color w:val="000000" w:themeColor="text1"/>
          <w:sz w:val="20"/>
          <w:szCs w:val="20"/>
          <w:lang w:val="es-ES"/>
        </w:rPr>
      </w:pPr>
    </w:p>
    <w:p w14:paraId="0A0EE626" w14:textId="77777777" w:rsidR="00AF21F2" w:rsidRPr="0017378C" w:rsidRDefault="00AF21F2" w:rsidP="00AF21F2">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17378C">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17378C">
        <w:rPr>
          <w:rFonts w:ascii="Verdana" w:eastAsia="Calibri" w:hAnsi="Verdana" w:cs="Arial"/>
          <w:color w:val="000000" w:themeColor="text1"/>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378C">
        <w:rPr>
          <w:rFonts w:ascii="Verdana" w:eastAsia="Calibri" w:hAnsi="Verdana" w:cs="Arial"/>
          <w:color w:val="000000" w:themeColor="text1"/>
          <w:szCs w:val="24"/>
          <w:lang w:val="es-ES" w:eastAsia="es-ES_tradnl"/>
        </w:rPr>
        <w:tab/>
      </w:r>
    </w:p>
    <w:p w14:paraId="789FEFFB" w14:textId="77777777" w:rsidR="00AF21F2" w:rsidRPr="0017378C" w:rsidRDefault="00AF21F2" w:rsidP="00AF21F2">
      <w:pPr>
        <w:spacing w:before="120" w:after="120" w:line="276" w:lineRule="auto"/>
        <w:ind w:firstLine="709"/>
        <w:jc w:val="both"/>
        <w:rPr>
          <w:rFonts w:ascii="Verdana" w:eastAsia="Calibri" w:hAnsi="Verdana" w:cs="Arial"/>
          <w:color w:val="000000" w:themeColor="text1"/>
          <w:lang w:val="es-ES" w:eastAsia="es-ES"/>
        </w:rPr>
      </w:pPr>
      <w:r w:rsidRPr="0017378C">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2AC66885" w14:textId="77777777" w:rsidR="00AF21F2" w:rsidRPr="0017378C" w:rsidRDefault="00AF21F2" w:rsidP="00AF21F2">
      <w:pPr>
        <w:spacing w:after="0" w:line="276" w:lineRule="auto"/>
        <w:jc w:val="both"/>
        <w:rPr>
          <w:rFonts w:ascii="Verdana" w:eastAsia="Calibri" w:hAnsi="Verdana" w:cs="Arial"/>
          <w:color w:val="000000" w:themeColor="text1"/>
          <w:lang w:val="es-ES" w:eastAsia="es-ES"/>
        </w:rPr>
      </w:pPr>
    </w:p>
    <w:p w14:paraId="18A4855E" w14:textId="77777777" w:rsidR="00AF21F2" w:rsidRPr="0017378C" w:rsidRDefault="00AF21F2" w:rsidP="00AF21F2">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Problema planteado:</w:t>
      </w:r>
    </w:p>
    <w:p w14:paraId="7A9D32D3" w14:textId="77777777" w:rsidR="00AF21F2" w:rsidRPr="0017378C" w:rsidRDefault="00AF21F2" w:rsidP="00AF21F2">
      <w:pPr>
        <w:tabs>
          <w:tab w:val="left" w:pos="426"/>
        </w:tabs>
        <w:spacing w:after="0" w:line="276" w:lineRule="auto"/>
        <w:jc w:val="both"/>
        <w:rPr>
          <w:rFonts w:ascii="Verdana" w:eastAsia="Century Gothic" w:hAnsi="Verdana" w:cs="Century Gothic"/>
          <w:color w:val="000000" w:themeColor="text1"/>
          <w:lang w:val="es-ES"/>
        </w:rPr>
      </w:pPr>
    </w:p>
    <w:p w14:paraId="7BB3B405" w14:textId="15EC5CBF" w:rsidR="00AF21F2" w:rsidRPr="0017378C" w:rsidRDefault="00AF21F2" w:rsidP="00AF21F2">
      <w:pPr>
        <w:spacing w:after="0" w:line="276" w:lineRule="auto"/>
        <w:jc w:val="both"/>
        <w:rPr>
          <w:rFonts w:ascii="Verdana" w:eastAsia="Century Gothic" w:hAnsi="Verdana" w:cs="Century Gothic"/>
          <w:color w:val="000000" w:themeColor="text1"/>
          <w:lang w:val="es-ES"/>
        </w:rPr>
      </w:pPr>
      <w:r w:rsidRPr="0017378C">
        <w:rPr>
          <w:rFonts w:ascii="Verdana" w:eastAsia="Century Gothic" w:hAnsi="Verdana" w:cs="Century Gothic"/>
          <w:color w:val="000000" w:themeColor="text1"/>
          <w:lang w:val="es-ES"/>
        </w:rPr>
        <w:t>De acuerdo con el contenido de su solicitud, esta Agencia resolverá el siguiente problema jurídico:</w:t>
      </w:r>
      <w:r w:rsidRPr="0017378C">
        <w:rPr>
          <w:rFonts w:ascii="Verdana" w:eastAsia="Century Gothic" w:hAnsi="Verdana" w:cs="Century Gothic"/>
          <w:lang w:val="es-ES"/>
        </w:rPr>
        <w:t xml:space="preserve"> ¿Pueden las e</w:t>
      </w:r>
      <w:r w:rsidR="009F1185">
        <w:rPr>
          <w:rFonts w:ascii="Verdana" w:eastAsia="Century Gothic" w:hAnsi="Verdana" w:cs="Century Gothic"/>
          <w:lang w:val="es-ES"/>
        </w:rPr>
        <w:t>ntidades</w:t>
      </w:r>
      <w:r w:rsidRPr="0017378C">
        <w:rPr>
          <w:rFonts w:ascii="Verdana" w:eastAsia="Century Gothic" w:hAnsi="Verdana" w:cs="Century Gothic"/>
          <w:lang w:val="es-ES"/>
        </w:rPr>
        <w:t xml:space="preserve"> sin ánimo de lucro extranjeras participar en los procedimientos regulados en el Decreto 092 de 2017? </w:t>
      </w:r>
    </w:p>
    <w:p w14:paraId="380E2F42" w14:textId="77777777" w:rsidR="00AF21F2" w:rsidRPr="0017378C" w:rsidRDefault="00AF21F2" w:rsidP="00AF21F2">
      <w:pPr>
        <w:spacing w:after="0" w:line="276" w:lineRule="auto"/>
        <w:jc w:val="both"/>
        <w:rPr>
          <w:rFonts w:ascii="Verdana" w:eastAsia="Calibri" w:hAnsi="Verdana" w:cs="Arial"/>
          <w:color w:val="000000" w:themeColor="text1"/>
          <w:lang w:val="es-ES"/>
        </w:rPr>
      </w:pPr>
    </w:p>
    <w:p w14:paraId="1337D22B" w14:textId="77777777" w:rsidR="00AF21F2" w:rsidRPr="0017378C" w:rsidRDefault="00AF21F2" w:rsidP="00AF21F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Respuesta:</w:t>
      </w:r>
    </w:p>
    <w:p w14:paraId="5F867145" w14:textId="77777777" w:rsidR="00AF21F2" w:rsidRPr="0017378C" w:rsidRDefault="00AF21F2" w:rsidP="00AF21F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F21F2" w:rsidRPr="0017378C" w14:paraId="3DD5600F" w14:textId="77777777" w:rsidTr="00553665">
        <w:tc>
          <w:tcPr>
            <w:tcW w:w="8828" w:type="dxa"/>
          </w:tcPr>
          <w:p w14:paraId="43B44001" w14:textId="77777777" w:rsidR="00AF21F2" w:rsidRPr="0017378C" w:rsidRDefault="00AF21F2" w:rsidP="00553665">
            <w:pPr>
              <w:pStyle w:val="ListParagraph"/>
              <w:spacing w:after="120" w:line="276" w:lineRule="auto"/>
              <w:ind w:left="0"/>
              <w:contextualSpacing w:val="0"/>
              <w:jc w:val="both"/>
              <w:rPr>
                <w:rFonts w:ascii="Verdana" w:eastAsia="Calibri" w:hAnsi="Verdana" w:cs="Arial"/>
              </w:rPr>
            </w:pPr>
            <w:r w:rsidRPr="0017378C">
              <w:rPr>
                <w:rFonts w:ascii="Verdana" w:eastAsia="Calibri" w:hAnsi="Verdana" w:cs="Arial"/>
              </w:rPr>
              <w:t>Para efectos de la aplicación del EGCAP, la capacidad para contratar la tienen las personas consideradas legalmente capaces en las disposiciones vigentes</w:t>
            </w:r>
            <w:r w:rsidRPr="0017378C">
              <w:rPr>
                <w:rStyle w:val="FootnoteReference"/>
                <w:rFonts w:ascii="Verdana" w:eastAsia="Calibri" w:hAnsi="Verdana" w:cs="Arial"/>
              </w:rPr>
              <w:footnoteReference w:id="2"/>
            </w:r>
            <w:r w:rsidRPr="0017378C">
              <w:rPr>
                <w:rFonts w:ascii="Verdana" w:eastAsia="Calibri" w:hAnsi="Verdana" w:cs="Arial"/>
              </w:rPr>
              <w:t>,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75083B54" w14:textId="77777777" w:rsidR="00AF21F2" w:rsidRPr="0017378C" w:rsidRDefault="00AF21F2" w:rsidP="00553665">
            <w:pPr>
              <w:pStyle w:val="ListParagraph"/>
              <w:spacing w:after="120" w:line="276" w:lineRule="auto"/>
              <w:ind w:left="0" w:firstLine="709"/>
              <w:contextualSpacing w:val="0"/>
              <w:jc w:val="both"/>
              <w:rPr>
                <w:rFonts w:ascii="Verdana" w:eastAsia="Calibri" w:hAnsi="Verdana" w:cs="Arial"/>
              </w:rPr>
            </w:pPr>
            <w:r w:rsidRPr="0017378C">
              <w:rPr>
                <w:rFonts w:ascii="Verdana" w:eastAsia="Calibri" w:hAnsi="Verdana" w:cs="Arial"/>
              </w:rPr>
              <w:t xml:space="preserve">Por tanto, es claro que las ESAL tienen capacidad para contratar bajo las reglas del EGCAP al ser personas jurídicas consideradas legalmente capaces, en los términos del artículo 6 de la Ley 80 de 1993. Incluso, el </w:t>
            </w:r>
            <w:r w:rsidRPr="0017378C">
              <w:rPr>
                <w:rFonts w:ascii="Verdana" w:eastAsia="Calibri" w:hAnsi="Verdana" w:cs="Arial"/>
              </w:rPr>
              <w:lastRenderedPageBreak/>
              <w:t xml:space="preserve">Decreto 092 de 2017 reguló un régimen especial de contratación con este tipo personas jurídicas. </w:t>
            </w:r>
          </w:p>
          <w:p w14:paraId="57D904F8" w14:textId="32A3A806" w:rsidR="00AF21F2" w:rsidRPr="0017378C" w:rsidRDefault="00AF21F2" w:rsidP="00553665">
            <w:pPr>
              <w:pStyle w:val="ListParagraph"/>
              <w:spacing w:after="120" w:line="276" w:lineRule="auto"/>
              <w:ind w:left="0" w:firstLine="709"/>
              <w:contextualSpacing w:val="0"/>
              <w:jc w:val="both"/>
              <w:rPr>
                <w:rFonts w:ascii="Verdana" w:eastAsia="Calibri" w:hAnsi="Verdana" w:cs="Arial"/>
                <w:color w:val="000000" w:themeColor="text1"/>
              </w:rPr>
            </w:pPr>
            <w:r w:rsidRPr="0017378C">
              <w:rPr>
                <w:rFonts w:ascii="Verdana" w:eastAsia="Calibri" w:hAnsi="Verdana" w:cs="Arial"/>
              </w:rPr>
              <w:t>Respecto a su participación en los contratos del artículo 355 superior y los convenios de asociación regulados en dicho decreto, se evidencia que no existe norma en el ordenamiento jurídico que limite estas figuras contractuales a las ESAL</w:t>
            </w:r>
            <w:r w:rsidR="00C742BC">
              <w:rPr>
                <w:rFonts w:ascii="Verdana" w:eastAsia="Calibri" w:hAnsi="Verdana" w:cs="Arial"/>
              </w:rPr>
              <w:t xml:space="preserve"> colombianas</w:t>
            </w:r>
            <w:r w:rsidRPr="0017378C">
              <w:rPr>
                <w:rFonts w:ascii="Verdana" w:eastAsia="Calibri" w:hAnsi="Verdana" w:cs="Arial"/>
              </w:rPr>
              <w:t xml:space="preserve">. El artículo 355 constitucional de refiere a la celebración de contratos con “entidades privadas sin ánimo de lucro y de reconocida idoneidad”,  </w:t>
            </w:r>
            <w:r w:rsidRPr="0017378C">
              <w:rPr>
                <w:rFonts w:ascii="Verdana" w:eastAsia="Calibri" w:hAnsi="Verdana" w:cs="Arial"/>
                <w:color w:val="000000" w:themeColor="text1"/>
              </w:rPr>
              <w:t>el artículo 96 de la Ley 489 de 1998</w:t>
            </w:r>
            <w:r w:rsidRPr="0017378C">
              <w:rPr>
                <w:rFonts w:ascii="Verdana" w:hAnsi="Verdana"/>
                <w:vertAlign w:val="superscript"/>
              </w:rPr>
              <w:footnoteReference w:id="3"/>
            </w:r>
            <w:r w:rsidRPr="0017378C">
              <w:rPr>
                <w:rFonts w:ascii="Verdana" w:eastAsia="Calibri" w:hAnsi="Verdana" w:cs="Arial"/>
                <w:color w:val="000000" w:themeColor="text1"/>
              </w:rPr>
              <w:t xml:space="preserve"> permite a las entidades asociarse con “personas jurídicas particulares”</w:t>
            </w:r>
            <w:r w:rsidR="00504ED8">
              <w:rPr>
                <w:rFonts w:ascii="Verdana" w:eastAsia="Calibri" w:hAnsi="Verdana" w:cs="Arial"/>
                <w:color w:val="000000" w:themeColor="text1"/>
              </w:rPr>
              <w:t>, y</w:t>
            </w:r>
            <w:r w:rsidRPr="0017378C">
              <w:rPr>
                <w:rFonts w:ascii="Verdana" w:eastAsia="Calibri" w:hAnsi="Verdana" w:cs="Arial"/>
                <w:color w:val="000000" w:themeColor="text1"/>
              </w:rPr>
              <w:t xml:space="preserve"> el Decreto 092 de 2017 se refiere, en términos generales, a la contratación con </w:t>
            </w:r>
            <w:r w:rsidR="00504ED8">
              <w:rPr>
                <w:rFonts w:ascii="Verdana" w:eastAsia="Calibri" w:hAnsi="Verdana" w:cs="Arial"/>
                <w:color w:val="000000" w:themeColor="text1"/>
              </w:rPr>
              <w:t>“</w:t>
            </w:r>
            <w:r w:rsidRPr="0017378C">
              <w:rPr>
                <w:rFonts w:ascii="Verdana" w:eastAsia="Calibri" w:hAnsi="Verdana" w:cs="Arial"/>
                <w:color w:val="000000" w:themeColor="text1"/>
              </w:rPr>
              <w:t>entidades privadas sin ánimo de lucro y de reconocida idoneidad</w:t>
            </w:r>
            <w:r w:rsidR="00504ED8">
              <w:rPr>
                <w:rFonts w:ascii="Verdana" w:eastAsia="Calibri" w:hAnsi="Verdana" w:cs="Arial"/>
                <w:color w:val="000000" w:themeColor="text1"/>
              </w:rPr>
              <w:t>”</w:t>
            </w:r>
            <w:r w:rsidRPr="0017378C">
              <w:rPr>
                <w:rFonts w:ascii="Verdana" w:eastAsia="Calibri" w:hAnsi="Verdana" w:cs="Arial"/>
                <w:color w:val="000000" w:themeColor="text1"/>
              </w:rPr>
              <w:t>. En consecuencia, la normativa que rige estos mecanismos jurídicos no delimita su aplicación a ESAL nacionales, ni establece que se encuentre vetada la participación de aquellas que tengan carácter extranjero. Por lo anterior, en desarrollo del principio general de interpretación jurídica según el cual donde la norma no distingue, no le corresponde distinguir al intérprete, no resulta viable deducir que las ESAL extranjeras no puedan participar en los contratos de colaboración o los convenios de asociación a los que se refiere el Decreto 092 de 2017.</w:t>
            </w:r>
          </w:p>
          <w:p w14:paraId="3BA076E2" w14:textId="6B8A948E" w:rsidR="00AF21F2" w:rsidRPr="0017378C" w:rsidRDefault="00AF21F2" w:rsidP="00553665">
            <w:pPr>
              <w:spacing w:before="120" w:after="120" w:line="276" w:lineRule="auto"/>
              <w:ind w:firstLine="708"/>
              <w:jc w:val="both"/>
              <w:rPr>
                <w:rFonts w:ascii="Verdana" w:eastAsia="Calibri" w:hAnsi="Verdana" w:cs="Arial"/>
                <w:lang w:val="es-ES"/>
              </w:rPr>
            </w:pPr>
            <w:r w:rsidRPr="0017378C">
              <w:rPr>
                <w:rFonts w:ascii="Verdana" w:eastAsia="Calibri" w:hAnsi="Verdana" w:cs="Arial"/>
                <w:color w:val="000000" w:themeColor="text1"/>
                <w:lang w:val="es-ES"/>
              </w:rPr>
              <w:t xml:space="preserve">Sin embargo, es necesario aclarar que toda ESAL que participe en dichos procesos contractuales deberá acreditar el cumplimiento de los requisitos que exige la normativa colombiana para su existencia y funcionamiento, de modo que acrediten ser </w:t>
            </w:r>
            <w:r w:rsidRPr="0017378C">
              <w:rPr>
                <w:rFonts w:ascii="Verdana" w:eastAsia="Calibri" w:hAnsi="Verdana" w:cs="Arial"/>
                <w:lang w:val="es-ES"/>
              </w:rPr>
              <w:t xml:space="preserve">personas jurídicas consideradas legalmente capaces. En este contexto, </w:t>
            </w:r>
            <w:r w:rsidRPr="00D54D27">
              <w:rPr>
                <w:rFonts w:ascii="Verdana" w:eastAsia="Calibri" w:hAnsi="Verdana" w:cs="Arial"/>
                <w:lang w:val="es-ES"/>
              </w:rPr>
              <w:t xml:space="preserve">el ordenamiento </w:t>
            </w:r>
            <w:r w:rsidR="00BE3AB9" w:rsidRPr="00D54D27">
              <w:rPr>
                <w:rFonts w:ascii="Verdana" w:eastAsia="Calibri" w:hAnsi="Verdana" w:cs="Arial"/>
                <w:lang w:val="es-ES"/>
              </w:rPr>
              <w:t>jurídico</w:t>
            </w:r>
            <w:r w:rsidRPr="00D54D27">
              <w:rPr>
                <w:rFonts w:ascii="Verdana" w:eastAsia="Calibri" w:hAnsi="Verdana" w:cs="Arial"/>
                <w:lang w:val="es-ES"/>
              </w:rPr>
              <w:t xml:space="preserve"> colombiano permite que </w:t>
            </w:r>
            <w:r w:rsidRPr="0017378C">
              <w:rPr>
                <w:rFonts w:ascii="Verdana" w:eastAsia="Calibri" w:hAnsi="Verdana" w:cs="Arial"/>
                <w:lang w:val="es-ES"/>
              </w:rPr>
              <w:t xml:space="preserve">las ESAL </w:t>
            </w:r>
            <w:r w:rsidRPr="00D54D27">
              <w:rPr>
                <w:rFonts w:ascii="Verdana" w:eastAsia="Calibri" w:hAnsi="Verdana" w:cs="Arial"/>
                <w:lang w:val="es-ES"/>
              </w:rPr>
              <w:t xml:space="preserve">constituidas </w:t>
            </w:r>
            <w:r w:rsidRPr="0017378C">
              <w:rPr>
                <w:rFonts w:ascii="Verdana" w:eastAsia="Calibri" w:hAnsi="Verdana" w:cs="Arial"/>
                <w:lang w:val="es-ES"/>
              </w:rPr>
              <w:t xml:space="preserve">en otro </w:t>
            </w:r>
            <w:r w:rsidR="00BE3AB9" w:rsidRPr="00D54D27">
              <w:rPr>
                <w:rFonts w:ascii="Verdana" w:eastAsia="Calibri" w:hAnsi="Verdana" w:cs="Arial"/>
                <w:lang w:val="es-ES"/>
              </w:rPr>
              <w:t>país</w:t>
            </w:r>
            <w:r w:rsidRPr="00D54D27">
              <w:rPr>
                <w:rFonts w:ascii="Verdana" w:eastAsia="Calibri" w:hAnsi="Verdana" w:cs="Arial"/>
                <w:lang w:val="es-ES"/>
              </w:rPr>
              <w:t xml:space="preserve"> y con domicilio en el exterior puedan operar de forma permanente en Colombia</w:t>
            </w:r>
            <w:r w:rsidRPr="0017378C">
              <w:rPr>
                <w:rFonts w:ascii="Verdana" w:eastAsia="Calibri" w:hAnsi="Verdana" w:cs="Arial"/>
                <w:lang w:val="es-ES"/>
              </w:rPr>
              <w:t>. Para lo anterior, deben cumplir, por ejemplo, con el deber de registro y representación legal establecido en la normativa nacional.</w:t>
            </w:r>
          </w:p>
          <w:p w14:paraId="15FD9F4F" w14:textId="77777777" w:rsidR="00AF21F2" w:rsidRPr="0017378C" w:rsidRDefault="00AF21F2" w:rsidP="00553665">
            <w:pPr>
              <w:spacing w:before="120" w:after="120" w:line="276" w:lineRule="auto"/>
              <w:ind w:firstLine="708"/>
              <w:jc w:val="both"/>
              <w:rPr>
                <w:rFonts w:ascii="Verdana" w:eastAsia="Calibri" w:hAnsi="Verdana" w:cs="Arial"/>
                <w:lang w:val="es-ES"/>
              </w:rPr>
            </w:pPr>
            <w:r w:rsidRPr="0017378C">
              <w:rPr>
                <w:rFonts w:ascii="Verdana" w:eastAsia="Calibri" w:hAnsi="Verdana" w:cs="Arial"/>
                <w:lang w:val="es-ES"/>
              </w:rPr>
              <w:t xml:space="preserve">En cualquier caso, corresponde a las entidades verificar en cada caso que la ESAL extranjera cumpla con los requisitos de capacidad jurídica </w:t>
            </w:r>
            <w:r w:rsidRPr="0017378C">
              <w:rPr>
                <w:rFonts w:ascii="Verdana" w:eastAsia="Calibri" w:hAnsi="Verdana" w:cs="Arial"/>
                <w:lang w:val="es-ES"/>
              </w:rPr>
              <w:lastRenderedPageBreak/>
              <w:t xml:space="preserve">necesarios para su participación en procesos de contratación estatal, así como para la suscripción de los contratos o convenios dispuestos en el Decreto 092 de 2017. </w:t>
            </w:r>
          </w:p>
        </w:tc>
      </w:tr>
    </w:tbl>
    <w:p w14:paraId="3DD2E86E" w14:textId="77777777" w:rsidR="00AF21F2" w:rsidRPr="0017378C" w:rsidRDefault="00AF21F2" w:rsidP="00AF21F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F2B9AA7" w14:textId="77777777" w:rsidR="00AF21F2" w:rsidRPr="0017378C" w:rsidRDefault="00AF21F2" w:rsidP="00AF21F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Razones de la respuesta:</w:t>
      </w:r>
    </w:p>
    <w:p w14:paraId="26D8D894" w14:textId="77777777" w:rsidR="00AF21F2" w:rsidRPr="0017378C" w:rsidRDefault="00AF21F2" w:rsidP="00AF21F2">
      <w:pPr>
        <w:spacing w:after="0" w:line="276" w:lineRule="auto"/>
        <w:jc w:val="both"/>
        <w:rPr>
          <w:rFonts w:ascii="Verdana" w:eastAsia="Calibri" w:hAnsi="Verdana" w:cs="Arial"/>
          <w:color w:val="000000" w:themeColor="text1"/>
          <w:lang w:val="es-ES"/>
        </w:rPr>
      </w:pPr>
    </w:p>
    <w:p w14:paraId="67F96C6C" w14:textId="77777777" w:rsidR="00AF21F2" w:rsidRPr="0017378C" w:rsidRDefault="00AF21F2" w:rsidP="00AF21F2">
      <w:pPr>
        <w:spacing w:after="0" w:line="276" w:lineRule="auto"/>
        <w:jc w:val="both"/>
        <w:rPr>
          <w:rFonts w:ascii="Verdana" w:eastAsia="Calibri" w:hAnsi="Verdana" w:cs="Arial"/>
          <w:color w:val="000000" w:themeColor="text1"/>
          <w:lang w:val="es-ES"/>
        </w:rPr>
      </w:pPr>
      <w:r w:rsidRPr="0017378C">
        <w:rPr>
          <w:rFonts w:ascii="Verdana" w:eastAsia="Calibri" w:hAnsi="Verdana" w:cs="Arial"/>
          <w:color w:val="000000" w:themeColor="text1"/>
          <w:lang w:val="es-ES"/>
        </w:rPr>
        <w:t xml:space="preserve">Lo anterior se sustenta en las siguientes consideraciones: </w:t>
      </w:r>
    </w:p>
    <w:p w14:paraId="66C15016" w14:textId="77777777" w:rsidR="00AF21F2" w:rsidRPr="0017378C" w:rsidRDefault="00AF21F2" w:rsidP="00AF21F2">
      <w:pPr>
        <w:spacing w:after="0" w:line="276" w:lineRule="auto"/>
        <w:jc w:val="both"/>
        <w:rPr>
          <w:rFonts w:ascii="Verdana" w:eastAsia="Calibri" w:hAnsi="Verdana" w:cs="Arial"/>
          <w:color w:val="000000" w:themeColor="text1"/>
          <w:lang w:val="es-ES"/>
        </w:rPr>
      </w:pPr>
    </w:p>
    <w:p w14:paraId="212A4891" w14:textId="77777777" w:rsidR="00AF21F2" w:rsidRPr="0017378C" w:rsidRDefault="00AF21F2" w:rsidP="00AF21F2">
      <w:pPr>
        <w:spacing w:after="0" w:line="276" w:lineRule="auto"/>
        <w:jc w:val="both"/>
        <w:rPr>
          <w:rFonts w:ascii="Verdana" w:eastAsia="Calibri" w:hAnsi="Verdana" w:cs="Arial"/>
          <w:color w:val="000000" w:themeColor="text1"/>
          <w:lang w:val="es-ES"/>
        </w:rPr>
      </w:pPr>
      <w:r w:rsidRPr="0017378C">
        <w:rPr>
          <w:rFonts w:ascii="Verdana" w:eastAsia="Calibri" w:hAnsi="Verdana" w:cs="Arial"/>
          <w:color w:val="000000" w:themeColor="text1"/>
          <w:lang w:val="es-ES"/>
        </w:rPr>
        <w:t xml:space="preserve">El </w:t>
      </w:r>
      <w:bookmarkStart w:id="2" w:name="_Hlk173063453"/>
      <w:r w:rsidRPr="0017378C">
        <w:rPr>
          <w:rFonts w:ascii="Verdana" w:eastAsia="Calibri" w:hAnsi="Verdana" w:cs="Arial"/>
          <w:color w:val="000000" w:themeColor="text1"/>
          <w:lang w:val="es-ES"/>
        </w:rPr>
        <w:t xml:space="preserve">artículo 355 de la Constitución Política </w:t>
      </w:r>
      <w:bookmarkEnd w:id="2"/>
      <w:r w:rsidRPr="0017378C">
        <w:rPr>
          <w:rFonts w:ascii="Verdana" w:eastAsia="Calibri" w:hAnsi="Verdana" w:cs="Arial"/>
          <w:color w:val="000000" w:themeColor="text1"/>
          <w:lang w:val="es-ES"/>
        </w:rPr>
        <w:t xml:space="preserve">prohíbe a las ramas y órganos del poder público decretar auxilios o donaciones en favor de personas naturales o jurídicas. Igualmente, establece que las entidades del orden nacional, departamental, distrital y municipal podrán, con sus propios recursos, contratar con </w:t>
      </w:r>
      <w:r w:rsidRPr="0017378C">
        <w:rPr>
          <w:rFonts w:ascii="Verdana" w:eastAsia="Calibri" w:hAnsi="Verdana" w:cs="Arial"/>
          <w:i/>
          <w:iCs/>
          <w:color w:val="000000" w:themeColor="text1"/>
          <w:lang w:val="es-ES"/>
        </w:rPr>
        <w:t>entidades privadas sin ánimo de lucro</w:t>
      </w:r>
      <w:r w:rsidRPr="0017378C">
        <w:rPr>
          <w:rFonts w:ascii="Verdana" w:eastAsia="Calibri" w:hAnsi="Verdana" w:cs="Arial"/>
          <w:color w:val="000000" w:themeColor="text1"/>
          <w:lang w:val="es-ES"/>
        </w:rPr>
        <w:t>, en adelante ESAL, y de reconocida idoneidad con el fin de impulsar programas y actividades de interés público acordes con el Plan Nacional y los planes seccionales de desarrollo</w:t>
      </w:r>
      <w:r w:rsidRPr="0017378C">
        <w:rPr>
          <w:rFonts w:ascii="Verdana" w:hAnsi="Verdana"/>
          <w:vertAlign w:val="superscript"/>
          <w:lang w:val="es-ES"/>
        </w:rPr>
        <w:footnoteReference w:id="4"/>
      </w:r>
      <w:r w:rsidRPr="0017378C">
        <w:rPr>
          <w:rFonts w:ascii="Verdana" w:eastAsia="Calibri" w:hAnsi="Verdana" w:cs="Arial"/>
          <w:color w:val="000000" w:themeColor="text1"/>
          <w:lang w:val="es-ES"/>
        </w:rPr>
        <w:t xml:space="preserve">. </w:t>
      </w:r>
      <w:bookmarkStart w:id="3" w:name="_Hlk164688501"/>
      <w:r w:rsidRPr="0017378C">
        <w:rPr>
          <w:rFonts w:ascii="Verdana" w:eastAsia="Calibri" w:hAnsi="Verdana" w:cs="Arial"/>
          <w:color w:val="000000" w:themeColor="text1"/>
          <w:lang w:val="es-ES"/>
        </w:rPr>
        <w:t xml:space="preserve">En concordancia, el </w:t>
      </w:r>
      <w:bookmarkStart w:id="4" w:name="_Hlk173063480"/>
      <w:r w:rsidRPr="0017378C">
        <w:rPr>
          <w:rFonts w:ascii="Verdana" w:eastAsia="Calibri" w:hAnsi="Verdana" w:cs="Arial"/>
          <w:color w:val="000000" w:themeColor="text1"/>
          <w:lang w:val="es-ES"/>
        </w:rPr>
        <w:t>artículo 96 de la Ley 489 de 1998</w:t>
      </w:r>
      <w:bookmarkEnd w:id="4"/>
      <w:r w:rsidRPr="0017378C">
        <w:rPr>
          <w:rFonts w:ascii="Verdana" w:hAnsi="Verdana"/>
          <w:vertAlign w:val="superscript"/>
          <w:lang w:val="es-ES"/>
        </w:rPr>
        <w:footnoteReference w:id="5"/>
      </w:r>
      <w:r w:rsidRPr="0017378C">
        <w:rPr>
          <w:rFonts w:ascii="Verdana" w:eastAsia="Calibri" w:hAnsi="Verdana" w:cs="Arial"/>
          <w:color w:val="000000" w:themeColor="text1"/>
          <w:lang w:val="es-ES"/>
        </w:rPr>
        <w:t xml:space="preserve"> permite a las entidades, cualquiera que sea su naturaleza y orden administrativo, asociarse con </w:t>
      </w:r>
      <w:r w:rsidRPr="0017378C">
        <w:rPr>
          <w:rFonts w:ascii="Verdana" w:eastAsia="Calibri" w:hAnsi="Verdana" w:cs="Arial"/>
          <w:i/>
          <w:iCs/>
          <w:color w:val="000000" w:themeColor="text1"/>
          <w:lang w:val="es-ES"/>
        </w:rPr>
        <w:t>personas jurídicas particulares</w:t>
      </w:r>
      <w:r w:rsidRPr="0017378C">
        <w:rPr>
          <w:rFonts w:ascii="Verdana" w:eastAsia="Calibri" w:hAnsi="Verdana" w:cs="Arial"/>
          <w:color w:val="000000" w:themeColor="text1"/>
          <w:lang w:val="es-ES"/>
        </w:rPr>
        <w:t>, mediante la celebración de convenios de asociación o la creación de personas jurídicas. Ambas figuras tienen como fin desarrollar conjuntamente actividades relacionadas con los cometidos y funciones legales asignadas a la entidad</w:t>
      </w:r>
      <w:bookmarkEnd w:id="3"/>
      <w:r w:rsidRPr="0017378C">
        <w:rPr>
          <w:rFonts w:ascii="Verdana" w:eastAsia="Calibri" w:hAnsi="Verdana" w:cs="Arial"/>
          <w:color w:val="000000" w:themeColor="text1"/>
          <w:lang w:val="es-ES"/>
        </w:rPr>
        <w:t>.</w:t>
      </w:r>
    </w:p>
    <w:p w14:paraId="6E2E9DB7" w14:textId="77777777" w:rsidR="00AF21F2" w:rsidRPr="0017378C" w:rsidRDefault="00AF21F2" w:rsidP="00AF21F2">
      <w:pPr>
        <w:spacing w:before="120" w:after="0" w:line="276" w:lineRule="auto"/>
        <w:ind w:firstLine="708"/>
        <w:jc w:val="both"/>
        <w:rPr>
          <w:rFonts w:ascii="Verdana" w:eastAsia="Calibri" w:hAnsi="Verdana" w:cs="Arial"/>
          <w:color w:val="000000"/>
          <w:lang w:val="es-ES" w:eastAsia="es-ES_tradnl"/>
        </w:rPr>
      </w:pPr>
      <w:r w:rsidRPr="0017378C">
        <w:rPr>
          <w:rFonts w:ascii="Verdana" w:hAnsi="Verdana" w:cs="Arial"/>
          <w:color w:val="000000" w:themeColor="text1"/>
          <w:lang w:val="es-ES"/>
        </w:rPr>
        <w:t>El Gobierno Nacional, en desarrollo del artículo 355 de la Constitución Política, expidió el Decreto 092 de 2017, el cual</w:t>
      </w:r>
      <w:r w:rsidRPr="0017378C">
        <w:rPr>
          <w:rFonts w:ascii="Verdana" w:eastAsia="Calibri" w:hAnsi="Verdana" w:cs="Arial"/>
          <w:color w:val="000000" w:themeColor="text1"/>
          <w:lang w:val="es-ES"/>
        </w:rPr>
        <w:t xml:space="preserve"> dispone las </w:t>
      </w:r>
      <w:r w:rsidRPr="0017378C">
        <w:rPr>
          <w:rFonts w:ascii="Verdana" w:eastAsia="Calibri" w:hAnsi="Verdana" w:cs="Arial"/>
          <w:lang w:val="es-ES"/>
        </w:rPr>
        <w:t xml:space="preserve">reglas para las contrataciones que realizan las Entidades Estatales con las ESAL. </w:t>
      </w:r>
      <w:r w:rsidRPr="0017378C">
        <w:rPr>
          <w:rFonts w:ascii="Verdana" w:eastAsia="Calibri" w:hAnsi="Verdana" w:cs="Arial"/>
          <w:color w:val="000000" w:themeColor="text1"/>
          <w:lang w:val="es-ES"/>
        </w:rPr>
        <w:t xml:space="preserve">El Decreto regula dos (2) eventos: i) </w:t>
      </w:r>
      <w:r w:rsidRPr="0017378C">
        <w:rPr>
          <w:rFonts w:ascii="Verdana" w:eastAsia="Calibri" w:hAnsi="Verdana" w:cs="Arial"/>
          <w:lang w:val="es-ES"/>
        </w:rPr>
        <w:t xml:space="preserve">los contratos del artículo 355 de la Constitución Política, también llamados </w:t>
      </w:r>
      <w:r w:rsidRPr="0017378C">
        <w:rPr>
          <w:rFonts w:ascii="Verdana" w:eastAsia="Calibri" w:hAnsi="Verdana" w:cs="Arial"/>
          <w:i/>
          <w:iCs/>
          <w:lang w:val="es-ES" w:eastAsia="es-ES_tradnl"/>
        </w:rPr>
        <w:t>contratos de colaboración</w:t>
      </w:r>
      <w:r w:rsidRPr="0017378C">
        <w:rPr>
          <w:rFonts w:ascii="Verdana" w:eastAsia="Calibri" w:hAnsi="Verdana" w:cs="Arial"/>
          <w:lang w:val="es-ES" w:eastAsia="es-ES_tradnl"/>
        </w:rPr>
        <w:t xml:space="preserve"> o de interés público, con el fin impulsar programas y actividades de interés público de acuerdo con el Plan Nacional o los planes seccionales de desarrollo, en los términos del artículo 355 </w:t>
      </w:r>
      <w:r w:rsidRPr="0017378C">
        <w:rPr>
          <w:rFonts w:ascii="Verdana" w:eastAsia="Calibri" w:hAnsi="Verdana" w:cs="Arial"/>
          <w:lang w:val="es-ES" w:eastAsia="es-ES_tradnl"/>
        </w:rPr>
        <w:lastRenderedPageBreak/>
        <w:t>de la Constitución Política,</w:t>
      </w:r>
      <w:r w:rsidRPr="0017378C">
        <w:rPr>
          <w:rFonts w:ascii="Verdana" w:eastAsia="Calibri" w:hAnsi="Verdana" w:cs="Arial"/>
          <w:color w:val="000000" w:themeColor="text1"/>
          <w:lang w:val="es-ES"/>
        </w:rPr>
        <w:t xml:space="preserve"> y </w:t>
      </w:r>
      <w:proofErr w:type="spellStart"/>
      <w:r w:rsidRPr="0017378C">
        <w:rPr>
          <w:rFonts w:ascii="Verdana" w:eastAsia="Calibri" w:hAnsi="Verdana" w:cs="Arial"/>
          <w:color w:val="000000" w:themeColor="text1"/>
          <w:lang w:val="es-ES"/>
        </w:rPr>
        <w:t>ii</w:t>
      </w:r>
      <w:proofErr w:type="spellEnd"/>
      <w:r w:rsidRPr="0017378C">
        <w:rPr>
          <w:rFonts w:ascii="Verdana" w:eastAsia="Calibri" w:hAnsi="Verdana" w:cs="Arial"/>
          <w:color w:val="000000" w:themeColor="text1"/>
          <w:lang w:val="es-ES"/>
        </w:rPr>
        <w:t xml:space="preserve">) los </w:t>
      </w:r>
      <w:r w:rsidRPr="0017378C">
        <w:rPr>
          <w:rFonts w:ascii="Verdana" w:eastAsia="Calibri" w:hAnsi="Verdana" w:cs="Arial"/>
          <w:i/>
          <w:iCs/>
          <w:color w:val="000000" w:themeColor="text1"/>
          <w:lang w:val="es-ES"/>
        </w:rPr>
        <w:t>convenios de asociación</w:t>
      </w:r>
      <w:r w:rsidRPr="0017378C">
        <w:rPr>
          <w:rFonts w:ascii="Verdana" w:eastAsia="Calibri" w:hAnsi="Verdana" w:cs="Arial"/>
          <w:color w:val="000000" w:themeColor="text1"/>
          <w:lang w:val="es-ES"/>
        </w:rPr>
        <w:t xml:space="preserve">, para el desarrollo conjunto de actividades relacionadas con las funciones de las Entidades Estatales, en desarrollo del artículo 96 de la Ley 489 de 1998. </w:t>
      </w:r>
      <w:r w:rsidRPr="0017378C">
        <w:rPr>
          <w:rFonts w:ascii="Verdana" w:eastAsia="Calibri" w:hAnsi="Verdana" w:cs="Arial"/>
          <w:color w:val="000000"/>
          <w:lang w:val="es-ES" w:eastAsia="es-ES_tradnl"/>
        </w:rPr>
        <w:t xml:space="preserve">Los primeros están regulados en el artículo 2 del Decreto 092 de 2017, mientras que los segundos en los artículos 5, 6, 7 y 8 </w:t>
      </w:r>
      <w:r w:rsidRPr="0017378C">
        <w:rPr>
          <w:rFonts w:ascii="Verdana" w:eastAsia="Calibri" w:hAnsi="Verdana" w:cs="Arial"/>
          <w:i/>
          <w:iCs/>
          <w:color w:val="000000"/>
          <w:lang w:val="es-ES" w:eastAsia="es-ES_tradnl"/>
        </w:rPr>
        <w:t>ibidem</w:t>
      </w:r>
      <w:r w:rsidRPr="0017378C">
        <w:rPr>
          <w:rFonts w:ascii="Verdana" w:eastAsia="Calibri" w:hAnsi="Verdana" w:cs="Arial"/>
          <w:color w:val="000000"/>
          <w:lang w:val="es-ES" w:eastAsia="es-ES_tradnl"/>
        </w:rPr>
        <w:t>.</w:t>
      </w:r>
    </w:p>
    <w:p w14:paraId="0D657AC8" w14:textId="77777777" w:rsidR="00AF21F2" w:rsidRPr="0017378C" w:rsidRDefault="00AF21F2" w:rsidP="00AF21F2">
      <w:pPr>
        <w:spacing w:before="120" w:after="120" w:line="276" w:lineRule="auto"/>
        <w:jc w:val="both"/>
        <w:rPr>
          <w:rFonts w:ascii="Verdana" w:eastAsia="Calibri" w:hAnsi="Verdana" w:cs="Arial"/>
          <w:lang w:val="es-ES"/>
        </w:rPr>
      </w:pPr>
      <w:bookmarkStart w:id="6" w:name="_Hlk95756032"/>
      <w:r w:rsidRPr="0017378C">
        <w:rPr>
          <w:rFonts w:ascii="Verdana" w:eastAsia="Calibri" w:hAnsi="Verdana" w:cs="Arial"/>
          <w:lang w:val="es-ES"/>
        </w:rPr>
        <w:t xml:space="preserve">i) Los </w:t>
      </w:r>
      <w:r w:rsidRPr="0017378C">
        <w:rPr>
          <w:rFonts w:ascii="Verdana" w:eastAsia="Calibri" w:hAnsi="Verdana" w:cs="Arial"/>
          <w:i/>
          <w:iCs/>
          <w:lang w:val="es-ES"/>
        </w:rPr>
        <w:t>contratos del artículo 355 de la Constitución Política, también denominados contratos de colaboración o interés público</w:t>
      </w:r>
      <w:r w:rsidRPr="0017378C">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09240388" w14:textId="77777777" w:rsidR="00AF21F2" w:rsidRPr="0017378C" w:rsidRDefault="00AF21F2" w:rsidP="00AF21F2">
      <w:pPr>
        <w:spacing w:before="120" w:after="120" w:line="276" w:lineRule="auto"/>
        <w:ind w:firstLine="709"/>
        <w:jc w:val="both"/>
        <w:rPr>
          <w:rFonts w:ascii="Verdana" w:eastAsia="Calibri" w:hAnsi="Verdana" w:cs="Arial"/>
          <w:lang w:val="es-ES"/>
        </w:rPr>
      </w:pPr>
      <w:r w:rsidRPr="0017378C">
        <w:rPr>
          <w:rFonts w:ascii="Verdana" w:eastAsia="Calibri" w:hAnsi="Verdana" w:cs="Arial"/>
          <w:lang w:val="es-ES"/>
        </w:rPr>
        <w:t>Para celebrar estos contratos, según lo establece el artículo 3 del Decreto 092 de 2017, por regla general, la entidad debe adelantar un proceso competitivo para seleccionar la entidad sin ánimo de lucro contratista. En particular, la entidad debe verificar que el objeto del contrato corresponda a programas y actividades de interés público acordes con el Plan Nacional o Seccional de Desarrollo; y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de la Administración Pública. Solo cuando se reúnan estas condiciones es procedente celebrar contratos del artículo 355 de la Constitución Política; de lo contrario, se aplicarán las normas del Estatuto General de Contratación de la Administración Pública.</w:t>
      </w:r>
      <w:bookmarkEnd w:id="6"/>
    </w:p>
    <w:p w14:paraId="45A826B6" w14:textId="77777777" w:rsidR="00AF21F2" w:rsidRPr="0017378C" w:rsidRDefault="00AF21F2" w:rsidP="00AF21F2">
      <w:pPr>
        <w:spacing w:line="276" w:lineRule="auto"/>
        <w:ind w:firstLine="709"/>
        <w:jc w:val="both"/>
        <w:rPr>
          <w:rFonts w:ascii="Verdana" w:eastAsia="Calibri" w:hAnsi="Verdana" w:cs="Arial"/>
          <w:color w:val="000000" w:themeColor="text1"/>
          <w:lang w:val="es-ES"/>
        </w:rPr>
      </w:pPr>
      <w:r w:rsidRPr="0017378C">
        <w:rPr>
          <w:rFonts w:ascii="Verdana" w:hAnsi="Verdana" w:cs="Arial"/>
          <w:color w:val="000000" w:themeColor="text1"/>
          <w:lang w:val="es-ES"/>
        </w:rPr>
        <w:t xml:space="preserve">Adicionalmente, 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17378C">
        <w:rPr>
          <w:rFonts w:ascii="Verdana" w:hAnsi="Verdana" w:cs="Arial"/>
          <w:i/>
          <w:iCs/>
          <w:color w:val="000000" w:themeColor="text1"/>
          <w:lang w:val="es-ES"/>
        </w:rPr>
        <w:t>contratos del artículo 355 de la Constitución Política</w:t>
      </w:r>
      <w:r w:rsidRPr="0017378C">
        <w:rPr>
          <w:rFonts w:ascii="Verdana" w:hAnsi="Verdana" w:cs="Arial"/>
          <w:color w:val="000000" w:themeColor="text1"/>
          <w:lang w:val="es-ES"/>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17378C">
        <w:rPr>
          <w:rFonts w:ascii="Verdana" w:hAnsi="Verdana" w:cs="Arial"/>
          <w:color w:val="000000" w:themeColor="text1"/>
          <w:lang w:val="es-ES"/>
        </w:rPr>
        <w:t>ii</w:t>
      </w:r>
      <w:proofErr w:type="spellEnd"/>
      <w:r w:rsidRPr="0017378C">
        <w:rPr>
          <w:rFonts w:ascii="Verdana" w:hAnsi="Verdana" w:cs="Arial"/>
          <w:color w:val="000000" w:themeColor="text1"/>
          <w:lang w:val="es-ES"/>
        </w:rPr>
        <w:t xml:space="preserve">) tampoco debe condicionarse a que la contratación con las ESAL garantice la optimización de los recursos públicos en </w:t>
      </w:r>
      <w:r w:rsidRPr="0017378C">
        <w:rPr>
          <w:rFonts w:ascii="Verdana" w:hAnsi="Verdana" w:cs="Arial"/>
          <w:color w:val="000000" w:themeColor="text1"/>
          <w:lang w:val="es-ES"/>
        </w:rPr>
        <w:lastRenderedPageBreak/>
        <w:t xml:space="preserve">términos de eficiencia, eficacia, economía y manejo del riesgo; </w:t>
      </w:r>
      <w:proofErr w:type="spellStart"/>
      <w:r w:rsidRPr="0017378C">
        <w:rPr>
          <w:rFonts w:ascii="Verdana" w:hAnsi="Verdana" w:cs="Arial"/>
          <w:color w:val="000000" w:themeColor="text1"/>
          <w:lang w:val="es-ES"/>
        </w:rPr>
        <w:t>iii</w:t>
      </w:r>
      <w:proofErr w:type="spellEnd"/>
      <w:r w:rsidRPr="0017378C">
        <w:rPr>
          <w:rFonts w:ascii="Verdana" w:hAnsi="Verdana" w:cs="Arial"/>
          <w:color w:val="000000" w:themeColor="text1"/>
          <w:lang w:val="es-ES"/>
        </w:rPr>
        <w:t xml:space="preserve">) el objeto del contrato debe estar acorde con el plan nacional o seccional de desarrollo; </w:t>
      </w:r>
      <w:proofErr w:type="spellStart"/>
      <w:r w:rsidRPr="0017378C">
        <w:rPr>
          <w:rFonts w:ascii="Verdana" w:hAnsi="Verdana" w:cs="Arial"/>
          <w:color w:val="000000" w:themeColor="text1"/>
          <w:lang w:val="es-ES"/>
        </w:rPr>
        <w:t>iv</w:t>
      </w:r>
      <w:proofErr w:type="spellEnd"/>
      <w:r w:rsidRPr="0017378C">
        <w:rPr>
          <w:rFonts w:ascii="Verdana" w:hAnsi="Verdana" w:cs="Arial"/>
          <w:color w:val="000000" w:themeColor="text1"/>
          <w:lang w:val="es-ES"/>
        </w:rPr>
        <w:t>)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 y v) el contrato no debe establecer una relación conmutativa en el cual haya una contraprestación directa a favor de la entidad, ni instrucciones precisas dadas por esta al contratista para cumplir con el objeto del contrato.</w:t>
      </w:r>
    </w:p>
    <w:p w14:paraId="5EE1F7B2" w14:textId="77777777" w:rsidR="00AF21F2" w:rsidRPr="0017378C" w:rsidRDefault="00AF21F2" w:rsidP="00AF21F2">
      <w:pPr>
        <w:spacing w:before="120" w:after="120" w:line="276" w:lineRule="auto"/>
        <w:ind w:firstLine="709"/>
        <w:jc w:val="both"/>
        <w:rPr>
          <w:rFonts w:ascii="Verdana" w:eastAsia="Calibri" w:hAnsi="Verdana" w:cs="Arial"/>
          <w:lang w:val="es-ES"/>
        </w:rPr>
      </w:pPr>
    </w:p>
    <w:p w14:paraId="1DE850DE" w14:textId="77777777" w:rsidR="00AF21F2" w:rsidRPr="0017378C" w:rsidRDefault="00AF21F2" w:rsidP="00AF21F2">
      <w:pPr>
        <w:spacing w:before="120" w:after="120" w:line="276" w:lineRule="auto"/>
        <w:jc w:val="both"/>
        <w:rPr>
          <w:rFonts w:ascii="Verdana" w:eastAsia="Calibri" w:hAnsi="Verdana" w:cs="Arial"/>
          <w:color w:val="000000" w:themeColor="text1"/>
          <w:lang w:val="es-ES"/>
        </w:rPr>
      </w:pPr>
      <w:proofErr w:type="spellStart"/>
      <w:r w:rsidRPr="0017378C">
        <w:rPr>
          <w:rFonts w:ascii="Verdana" w:eastAsia="Calibri" w:hAnsi="Verdana" w:cs="Arial"/>
          <w:color w:val="000000" w:themeColor="text1"/>
          <w:lang w:val="es-ES"/>
        </w:rPr>
        <w:t>ii</w:t>
      </w:r>
      <w:proofErr w:type="spellEnd"/>
      <w:r w:rsidRPr="0017378C">
        <w:rPr>
          <w:rFonts w:ascii="Verdana" w:eastAsia="Calibri" w:hAnsi="Verdana" w:cs="Arial"/>
          <w:color w:val="000000" w:themeColor="text1"/>
          <w:lang w:val="es-ES"/>
        </w:rPr>
        <w:t xml:space="preserve">) Por otra parte, los </w:t>
      </w:r>
      <w:r w:rsidRPr="0017378C">
        <w:rPr>
          <w:rFonts w:ascii="Verdana" w:eastAsia="Calibri" w:hAnsi="Verdana" w:cs="Arial"/>
          <w:i/>
          <w:iCs/>
          <w:color w:val="000000" w:themeColor="text1"/>
          <w:lang w:val="es-ES"/>
        </w:rPr>
        <w:t xml:space="preserve">convenios de asociación </w:t>
      </w:r>
      <w:r w:rsidRPr="0017378C">
        <w:rPr>
          <w:rFonts w:ascii="Verdana" w:eastAsia="Calibri" w:hAnsi="Verdana" w:cs="Arial"/>
          <w:color w:val="000000" w:themeColor="text1"/>
          <w:lang w:val="es-ES"/>
        </w:rPr>
        <w:t>“[t]</w:t>
      </w:r>
      <w:proofErr w:type="spellStart"/>
      <w:r w:rsidRPr="0017378C">
        <w:rPr>
          <w:rFonts w:ascii="Verdana" w:eastAsia="Calibri" w:hAnsi="Verdana" w:cs="Arial"/>
          <w:color w:val="000000" w:themeColor="text1"/>
          <w:lang w:val="es-ES"/>
        </w:rPr>
        <w:t>ienen</w:t>
      </w:r>
      <w:proofErr w:type="spellEnd"/>
      <w:r w:rsidRPr="0017378C">
        <w:rPr>
          <w:rFonts w:ascii="Verdana" w:eastAsia="Calibri" w:hAnsi="Verdana" w:cs="Arial"/>
          <w:color w:val="000000" w:themeColor="text1"/>
          <w:lang w:val="es-ES"/>
        </w:rPr>
        <w:t xml:space="preserve"> como finalidad que la entidad estatal, cualquiera que sea su naturaleza y orden administrativo, se asocien con </w:t>
      </w:r>
      <w:r w:rsidRPr="0017378C">
        <w:rPr>
          <w:rFonts w:ascii="Verdana" w:eastAsia="Calibri" w:hAnsi="Verdana" w:cs="Arial"/>
          <w:i/>
          <w:iCs/>
          <w:color w:val="000000" w:themeColor="text1"/>
          <w:u w:val="single"/>
          <w:lang w:val="es-ES"/>
        </w:rPr>
        <w:t>personas jurídicas particulares</w:t>
      </w:r>
      <w:r w:rsidRPr="0017378C">
        <w:rPr>
          <w:rFonts w:ascii="Verdana" w:eastAsia="Calibri" w:hAnsi="Verdana" w:cs="Arial"/>
          <w:color w:val="000000" w:themeColor="text1"/>
          <w:lang w:val="es-ES"/>
        </w:rPr>
        <w:t xml:space="preserve"> para el desarrollo conjunto de actividades relacionadas con los cometidos y funciones asignadas a aquellas conforme a la Constitución y a la Ley”</w:t>
      </w:r>
      <w:r w:rsidRPr="0017378C">
        <w:rPr>
          <w:rFonts w:ascii="Verdana" w:hAnsi="Verdana"/>
          <w:vertAlign w:val="superscript"/>
          <w:lang w:val="es-ES"/>
        </w:rPr>
        <w:footnoteReference w:id="6"/>
      </w:r>
      <w:r w:rsidRPr="0017378C">
        <w:rPr>
          <w:rFonts w:ascii="Verdana" w:eastAsia="Calibri" w:hAnsi="Verdana" w:cs="Arial"/>
          <w:color w:val="000000" w:themeColor="text1"/>
          <w:lang w:val="es-ES"/>
        </w:rPr>
        <w:t xml:space="preserve"> [Énfasis propio]. Por esta razón, en los convenios de asociación no existen contraprestaciones o pagos, sino </w:t>
      </w:r>
      <w:r w:rsidRPr="0017378C">
        <w:rPr>
          <w:rFonts w:ascii="Verdana" w:eastAsia="Calibri" w:hAnsi="Verdana" w:cs="Arial"/>
          <w:i/>
          <w:iCs/>
          <w:color w:val="000000" w:themeColor="text1"/>
          <w:lang w:val="es-ES"/>
        </w:rPr>
        <w:t>aportes</w:t>
      </w:r>
      <w:r w:rsidRPr="0017378C">
        <w:rPr>
          <w:rFonts w:ascii="Verdana" w:eastAsia="Calibri" w:hAnsi="Verdana" w:cs="Arial"/>
          <w:color w:val="000000" w:themeColor="text1"/>
          <w:lang w:val="es-ES"/>
        </w:rPr>
        <w:t xml:space="preserve">, los cuales están dirigidos exclusivamente a lograr la ejecución del convenio, no a remunerar la actividad o actuaciones del asociado. </w:t>
      </w:r>
    </w:p>
    <w:p w14:paraId="74730905" w14:textId="77777777" w:rsidR="00AF21F2" w:rsidRPr="0017378C" w:rsidRDefault="00AF21F2" w:rsidP="00AF21F2">
      <w:pPr>
        <w:spacing w:before="120" w:after="120" w:line="276" w:lineRule="auto"/>
        <w:ind w:firstLine="708"/>
        <w:jc w:val="both"/>
        <w:rPr>
          <w:rFonts w:ascii="Verdana" w:eastAsia="Calibri" w:hAnsi="Verdana" w:cs="Arial"/>
          <w:color w:val="000000"/>
          <w:lang w:val="es-ES" w:eastAsia="es-ES_tradnl"/>
        </w:rPr>
      </w:pPr>
      <w:r w:rsidRPr="0017378C">
        <w:rPr>
          <w:rFonts w:ascii="Verdana" w:eastAsia="Century Gothic" w:hAnsi="Verdana" w:cs="Century Gothic"/>
          <w:bCs/>
          <w:lang w:val="es-ES"/>
        </w:rPr>
        <w:t xml:space="preserve">En efecto, en estos convenios las partes asociadas suman voluntades y recursos con la finalidad de cumplir con el objetivo del acuerdo. Por lo anterior, no es propio de los convenios de asociación que se pacte algún tipo de remuneración o de utilidad; de forma similar, no se configuran pagos, sino que se realiza el desembolso. De esta forma, es inherente a estos acuerdos que las partes realicen aportes que pueden pactarse en dinero o en especie, siempre que sean destinados al desarrollo del acuerdo. En concreto, </w:t>
      </w:r>
      <w:r w:rsidRPr="0017378C">
        <w:rPr>
          <w:rFonts w:ascii="Verdana" w:eastAsia="Calibri" w:hAnsi="Verdana" w:cs="Arial"/>
          <w:color w:val="000000"/>
          <w:lang w:val="es-ES" w:eastAsia="es-ES_tradnl"/>
        </w:rPr>
        <w:t xml:space="preserve">las ESAL deben realizar aportes a los convenios que suscriban, los cuales pueden ser en dinero, en porcentajes inferiores o superiores al treinta por ciento (30%) del valor total, o en especie, los cuales deben servir a los objetivos comunes de la asociación. </w:t>
      </w:r>
    </w:p>
    <w:p w14:paraId="7C2E03BE" w14:textId="77777777" w:rsidR="00AF21F2" w:rsidRPr="0017378C" w:rsidRDefault="00AF21F2" w:rsidP="00AF21F2">
      <w:pPr>
        <w:spacing w:after="120" w:line="276" w:lineRule="auto"/>
        <w:ind w:firstLine="709"/>
        <w:jc w:val="both"/>
        <w:textAlignment w:val="baseline"/>
        <w:rPr>
          <w:rFonts w:ascii="Verdana" w:hAnsi="Verdana" w:cs="Arial"/>
          <w:color w:val="000000" w:themeColor="text1"/>
          <w:lang w:val="es-ES"/>
        </w:rPr>
      </w:pPr>
      <w:r w:rsidRPr="0017378C">
        <w:rPr>
          <w:rFonts w:ascii="Verdana" w:hAnsi="Verdana" w:cs="Arial"/>
          <w:color w:val="000000" w:themeColor="text1"/>
          <w:lang w:val="es-ES"/>
        </w:rPr>
        <w:t xml:space="preserve">En los términos contenidos en el convenio, cada parte deberá ejecutar las obligaciones correspondientes a los aportes comprometidos para satisfacer sus </w:t>
      </w:r>
      <w:r w:rsidRPr="0017378C">
        <w:rPr>
          <w:rFonts w:ascii="Verdana" w:hAnsi="Verdana" w:cs="Arial"/>
          <w:color w:val="000000" w:themeColor="text1"/>
          <w:lang w:val="es-ES"/>
        </w:rPr>
        <w:lastRenderedPageBreak/>
        <w:t>finalidades, esto es, el desarrollo conjunto de actividades relacionadas con los cometidos y funciones asignadas a la Entidad Estatal, cualquiera que sea su naturaleza y orden administrativo, conforme a la Constitución y a la Ley</w:t>
      </w:r>
      <w:r w:rsidRPr="0017378C">
        <w:rPr>
          <w:rFonts w:ascii="Verdana" w:eastAsia="Calibri" w:hAnsi="Verdana" w:cs="Arial"/>
          <w:i/>
          <w:iCs/>
          <w:vertAlign w:val="superscript"/>
          <w:lang w:val="es-ES"/>
        </w:rPr>
        <w:footnoteReference w:id="7"/>
      </w:r>
      <w:r w:rsidRPr="0017378C">
        <w:rPr>
          <w:rFonts w:ascii="Verdana" w:hAnsi="Verdana" w:cs="Arial"/>
          <w:color w:val="000000" w:themeColor="text1"/>
          <w:lang w:val="es-ES"/>
        </w:rPr>
        <w:t>.</w:t>
      </w:r>
      <w:r w:rsidRPr="0017378C">
        <w:rPr>
          <w:rFonts w:ascii="Verdana" w:eastAsia="Calibri" w:hAnsi="Verdana" w:cs="Arial"/>
          <w:lang w:val="es-ES" w:eastAsia="es-ES_tradnl"/>
        </w:rPr>
        <w:t xml:space="preserve"> </w:t>
      </w:r>
      <w:r w:rsidRPr="0017378C">
        <w:rPr>
          <w:rFonts w:ascii="Verdana" w:hAnsi="Verdana" w:cs="Arial"/>
          <w:color w:val="000000" w:themeColor="text1"/>
          <w:lang w:val="es-ES"/>
        </w:rPr>
        <w:t>En línea con lo anterior, los aportes pueden incluir distintos bienes y servicios como, por ejemplo, el pago de equipo de trabajo, alquiler aulas, alquiler equipos de cómputo, refrigerios, material didáctico, logística, cursos académicos, seminarios, transporte, impresiones, entre otros. Se reitera, la destinación de los recursos en dinero o del aporte en especie aportado dependerá del objeto del convenio y se realizará en los términos pactados en el mismo.</w:t>
      </w:r>
    </w:p>
    <w:p w14:paraId="0C5284D7" w14:textId="77777777" w:rsidR="00AF21F2" w:rsidRPr="0017378C" w:rsidRDefault="00AF21F2" w:rsidP="00AF21F2">
      <w:pPr>
        <w:spacing w:after="120" w:line="276" w:lineRule="auto"/>
        <w:ind w:firstLine="709"/>
        <w:jc w:val="both"/>
        <w:rPr>
          <w:rFonts w:ascii="Verdana" w:eastAsia="Calibri" w:hAnsi="Verdana" w:cs="Arial"/>
          <w:lang w:val="es-ES"/>
        </w:rPr>
      </w:pPr>
      <w:r w:rsidRPr="0017378C">
        <w:rPr>
          <w:rFonts w:ascii="Verdana" w:eastAsia="Calibri" w:hAnsi="Verdana" w:cs="Arial"/>
          <w:lang w:val="es-ES"/>
        </w:rPr>
        <w:t>De todos modos, la entidad deberá adelantar un proceso competitivo, salvo cuando la ESAL comprometa recursos en dinero para la ejecución de estas actividades, en una proporción no inferior al treinta por ciento (30%) del valor total del convenio. El convenio de asociación no es conmutativo y, por tanto, la entidad no instruye al contratista para desarrollar los programas o actividades previstas, sino que se asocia con él para el cumplimiento de objetivos comunes</w:t>
      </w:r>
      <w:r w:rsidRPr="0017378C">
        <w:rPr>
          <w:rStyle w:val="FootnoteReference"/>
          <w:rFonts w:ascii="Verdana" w:hAnsi="Verdana" w:cs="Arial"/>
          <w:lang w:val="es-ES"/>
        </w:rPr>
        <w:footnoteReference w:id="8"/>
      </w:r>
      <w:r w:rsidRPr="0017378C">
        <w:rPr>
          <w:rFonts w:ascii="Verdana" w:eastAsia="Calibri" w:hAnsi="Verdana" w:cs="Arial"/>
          <w:lang w:val="es-ES"/>
        </w:rPr>
        <w:t>.</w:t>
      </w:r>
    </w:p>
    <w:p w14:paraId="54BEE679" w14:textId="77777777" w:rsidR="00AF21F2" w:rsidRPr="0017378C" w:rsidRDefault="00AF21F2" w:rsidP="00AF21F2">
      <w:pPr>
        <w:spacing w:before="120" w:after="120" w:line="276" w:lineRule="auto"/>
        <w:ind w:firstLine="709"/>
        <w:jc w:val="both"/>
        <w:rPr>
          <w:rFonts w:ascii="Verdana" w:eastAsia="Calibri" w:hAnsi="Verdana" w:cs="Arial"/>
          <w:lang w:val="es-ES"/>
        </w:rPr>
      </w:pPr>
      <w:r w:rsidRPr="0017378C">
        <w:rPr>
          <w:rFonts w:ascii="Verdana" w:eastAsia="Calibri" w:hAnsi="Verdana" w:cs="Arial"/>
          <w:color w:val="000000"/>
          <w:lang w:val="es-ES" w:eastAsia="es-ES_tradnl"/>
        </w:rPr>
        <w:t>Sobe la estipulación de los aportes, el inciso segundo del artículo 96 de la Ley 489 de 1998 señala lo siguiente:</w:t>
      </w:r>
    </w:p>
    <w:p w14:paraId="3A9C9CE7" w14:textId="77777777" w:rsidR="00AF21F2" w:rsidRPr="0017378C" w:rsidRDefault="00AF21F2" w:rsidP="00AF21F2">
      <w:pPr>
        <w:spacing w:after="0" w:line="240" w:lineRule="auto"/>
        <w:ind w:left="709" w:right="709"/>
        <w:jc w:val="both"/>
        <w:rPr>
          <w:rFonts w:ascii="Verdana" w:eastAsia="Century Gothic" w:hAnsi="Verdana" w:cs="Century Gothic"/>
          <w:bCs/>
          <w:sz w:val="21"/>
          <w:szCs w:val="21"/>
          <w:lang w:val="es-ES"/>
        </w:rPr>
      </w:pPr>
      <w:r w:rsidRPr="0017378C">
        <w:rPr>
          <w:rFonts w:ascii="Verdana" w:eastAsia="Century Gothic" w:hAnsi="Verdana" w:cs="Century Gothic"/>
          <w:bCs/>
          <w:sz w:val="21"/>
          <w:szCs w:val="21"/>
          <w:lang w:val="es-ES"/>
        </w:rPr>
        <w:t>“Los convenios de asociación a que se refiere el presente artículo se celebrarán de conformidad con lo dispuesto en el artículo 355 de la Constitución Política, </w:t>
      </w:r>
      <w:r w:rsidRPr="0017378C">
        <w:rPr>
          <w:rFonts w:ascii="Verdana" w:eastAsia="Century Gothic" w:hAnsi="Verdana" w:cs="Century Gothic"/>
          <w:b/>
          <w:bCs/>
          <w:sz w:val="21"/>
          <w:szCs w:val="21"/>
          <w:u w:val="single"/>
          <w:lang w:val="es-ES"/>
        </w:rPr>
        <w:t>se determinará con precisión su objeto, término, obligaciones de las partes, aportes, coordinación y todos aquellos aspectos que se consideren pertinentes</w:t>
      </w:r>
      <w:r w:rsidRPr="0017378C">
        <w:rPr>
          <w:rFonts w:ascii="Verdana" w:eastAsia="Century Gothic" w:hAnsi="Verdana" w:cs="Century Gothic"/>
          <w:bCs/>
          <w:sz w:val="21"/>
          <w:szCs w:val="21"/>
          <w:lang w:val="es-ES"/>
        </w:rPr>
        <w:t> […]”. [Énfasis fuera del texto original]</w:t>
      </w:r>
    </w:p>
    <w:p w14:paraId="253C27CE" w14:textId="77777777" w:rsidR="00AF21F2" w:rsidRPr="0017378C" w:rsidRDefault="00AF21F2" w:rsidP="00AF21F2">
      <w:pPr>
        <w:spacing w:before="120" w:after="120" w:line="276" w:lineRule="auto"/>
        <w:ind w:firstLine="708"/>
        <w:jc w:val="both"/>
        <w:rPr>
          <w:rFonts w:ascii="Verdana" w:eastAsia="Calibri" w:hAnsi="Verdana" w:cs="Arial"/>
          <w:color w:val="000000"/>
          <w:lang w:val="es-ES" w:eastAsia="es-ES_tradnl"/>
        </w:rPr>
      </w:pPr>
      <w:r w:rsidRPr="0017378C">
        <w:rPr>
          <w:rFonts w:ascii="Verdana" w:eastAsia="Calibri" w:hAnsi="Verdana" w:cs="Arial"/>
          <w:color w:val="000000"/>
          <w:lang w:val="es-ES" w:eastAsia="es-ES_tradnl"/>
        </w:rPr>
        <w:t xml:space="preserve">De esta manera, la norma resalta que las entidades que suscriban convenios de asociación tienen la obligación de determinar </w:t>
      </w:r>
      <w:r w:rsidRPr="0017378C">
        <w:rPr>
          <w:rFonts w:ascii="Verdana" w:eastAsia="Calibri" w:hAnsi="Verdana" w:cs="Arial"/>
          <w:i/>
          <w:iCs/>
          <w:color w:val="000000"/>
          <w:lang w:val="es-ES" w:eastAsia="es-ES_tradnl"/>
        </w:rPr>
        <w:t>de forma precisa</w:t>
      </w:r>
      <w:r w:rsidRPr="0017378C">
        <w:rPr>
          <w:rFonts w:ascii="Verdana" w:eastAsia="Calibri" w:hAnsi="Verdana" w:cs="Arial"/>
          <w:color w:val="000000"/>
          <w:lang w:val="es-ES" w:eastAsia="es-ES_tradnl"/>
        </w:rPr>
        <w:t xml:space="preserve"> las obligaciones de las partes y sus aportes, así como otros factores que sean necesarios para su correcta ejecución. </w:t>
      </w:r>
    </w:p>
    <w:p w14:paraId="0FCFD42B" w14:textId="77777777" w:rsidR="00AF21F2" w:rsidRPr="0017378C" w:rsidRDefault="00AF21F2" w:rsidP="00AF21F2">
      <w:pPr>
        <w:spacing w:before="120" w:after="120" w:line="276" w:lineRule="auto"/>
        <w:ind w:firstLine="708"/>
        <w:jc w:val="both"/>
        <w:rPr>
          <w:rFonts w:ascii="Verdana" w:eastAsia="Century Gothic" w:hAnsi="Verdana" w:cs="Century Gothic"/>
          <w:bCs/>
          <w:lang w:val="es-ES"/>
        </w:rPr>
      </w:pPr>
      <w:r w:rsidRPr="0017378C">
        <w:rPr>
          <w:rFonts w:ascii="Verdana" w:eastAsia="Century Gothic" w:hAnsi="Verdana" w:cs="Century Gothic"/>
          <w:bCs/>
          <w:lang w:val="es-ES"/>
        </w:rPr>
        <w:t xml:space="preserve">Sin embargo, es importante aclarar ninguna de las normas señaladas establece la forma o condiciones en que las entidades deben precisar los aportes en especie del convenio o los mecanismos que deben implementar para verificar </w:t>
      </w:r>
      <w:r w:rsidRPr="0017378C">
        <w:rPr>
          <w:rFonts w:ascii="Verdana" w:eastAsia="Century Gothic" w:hAnsi="Verdana" w:cs="Century Gothic"/>
          <w:bCs/>
          <w:lang w:val="es-ES"/>
        </w:rPr>
        <w:lastRenderedPageBreak/>
        <w:t xml:space="preserve">que efectivamente sean aportados para el cumplimiento de sus fines. De esta forma, las partes cuentan con autonomía plena para determinar y configurar los aportes que realicen al convenio, así como los entregables que verificarán para determinar su cumplimiento, según se considere más adecuado y conveniente para asegurar su debida ejecución. De cualquier modo, en cumplimiento de la norma, tales determinaciones deben ser específicas, de modo que sea claro para los asociados en qué consiste el aporte de cada uno y cómo se hará la verificación durante la ejecución del convenio de asociación. </w:t>
      </w:r>
    </w:p>
    <w:p w14:paraId="330B304B" w14:textId="77777777" w:rsidR="00AF21F2" w:rsidRPr="0017378C" w:rsidRDefault="00AF21F2" w:rsidP="00AF21F2">
      <w:pPr>
        <w:spacing w:after="120" w:line="276" w:lineRule="auto"/>
        <w:ind w:firstLine="708"/>
        <w:jc w:val="both"/>
        <w:rPr>
          <w:rFonts w:ascii="Verdana" w:eastAsia="Calibri" w:hAnsi="Verdana" w:cs="Arial"/>
          <w:lang w:val="es-ES" w:eastAsia="es-ES"/>
        </w:rPr>
      </w:pPr>
      <w:r w:rsidRPr="0017378C">
        <w:rPr>
          <w:rFonts w:ascii="Verdana" w:eastAsia="Calibri" w:hAnsi="Verdana" w:cs="Arial"/>
          <w:lang w:val="es-ES"/>
        </w:rPr>
        <w:t>De cualquier manera,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4F486957" w14:textId="77777777" w:rsidR="00AF21F2" w:rsidRPr="0017378C" w:rsidRDefault="00AF21F2" w:rsidP="00AF21F2">
      <w:pPr>
        <w:spacing w:after="120" w:line="276" w:lineRule="auto"/>
        <w:ind w:firstLine="708"/>
        <w:jc w:val="both"/>
        <w:rPr>
          <w:rFonts w:ascii="Verdana" w:eastAsia="Calibri" w:hAnsi="Verdana" w:cs="Arial"/>
          <w:lang w:val="es-ES"/>
        </w:rPr>
      </w:pPr>
      <w:r w:rsidRPr="0017378C">
        <w:rPr>
          <w:rFonts w:ascii="Verdana" w:eastAsia="Calibri" w:hAnsi="Verdana" w:cs="Arial"/>
          <w:lang w:val="es-ES"/>
        </w:rPr>
        <w:t>La noción “seleccionar de forma objetiva”, contenida en el artículo 5 del Decreto 092 de 2017 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27FDFC02" w14:textId="77777777" w:rsidR="00AF21F2" w:rsidRPr="0017378C" w:rsidRDefault="00AF21F2" w:rsidP="00AF21F2">
      <w:pPr>
        <w:spacing w:after="0" w:line="276" w:lineRule="auto"/>
        <w:ind w:firstLine="709"/>
        <w:jc w:val="both"/>
        <w:rPr>
          <w:rFonts w:ascii="Verdana" w:eastAsia="Calibri" w:hAnsi="Verdana" w:cs="Arial"/>
          <w:color w:val="000000" w:themeColor="text1"/>
          <w:lang w:val="es-ES"/>
        </w:rPr>
      </w:pPr>
      <w:r w:rsidRPr="0017378C">
        <w:rPr>
          <w:rFonts w:ascii="Verdana" w:eastAsia="Calibri" w:hAnsi="Verdana" w:cs="Arial"/>
          <w:color w:val="000000" w:themeColor="text1"/>
          <w:lang w:val="es-ES"/>
        </w:rPr>
        <w:t xml:space="preserve">En suma, si se pretende realizar un </w:t>
      </w:r>
      <w:r w:rsidRPr="0017378C">
        <w:rPr>
          <w:rFonts w:ascii="Verdana" w:eastAsia="Calibri" w:hAnsi="Verdana" w:cs="Arial"/>
          <w:i/>
          <w:iCs/>
          <w:color w:val="000000" w:themeColor="text1"/>
          <w:lang w:val="es-ES"/>
        </w:rPr>
        <w:t>convenio de asociación</w:t>
      </w:r>
      <w:r w:rsidRPr="0017378C">
        <w:rPr>
          <w:rFonts w:ascii="Verdana" w:eastAsia="Calibri" w:hAnsi="Verdana" w:cs="Arial"/>
          <w:color w:val="000000" w:themeColor="text1"/>
          <w:lang w:val="es-ES"/>
        </w:rPr>
        <w:t xml:space="preserve"> con ESAL de reconocida idoneidad para el cumplimiento de las funciones que la ley les asigna a las entidades públicas, deberá aplicarse lo dispuesto en el artículo 5 del Decreto </w:t>
      </w:r>
      <w:r w:rsidRPr="0017378C">
        <w:rPr>
          <w:rFonts w:ascii="Verdana" w:eastAsia="Calibri" w:hAnsi="Verdana" w:cs="Arial"/>
          <w:color w:val="000000" w:themeColor="text1"/>
          <w:lang w:val="es-ES"/>
        </w:rPr>
        <w:lastRenderedPageBreak/>
        <w:t>092 de 2017. De esta manera, deben estar sujetos a competencia, salvo en aquellos casos en que una entidad sin ánimo de lucro comprometa recursos en dinero por un valor igual o superior al 30% del valor total del convenio</w:t>
      </w:r>
      <w:r w:rsidRPr="0017378C">
        <w:rPr>
          <w:rStyle w:val="FootnoteReference"/>
          <w:rFonts w:ascii="Verdana" w:hAnsi="Verdana" w:cs="Arial"/>
          <w:color w:val="000000" w:themeColor="text1"/>
          <w:lang w:val="es-ES"/>
        </w:rPr>
        <w:footnoteReference w:id="9"/>
      </w:r>
      <w:r w:rsidRPr="0017378C">
        <w:rPr>
          <w:rFonts w:ascii="Verdana" w:eastAsia="Calibri" w:hAnsi="Verdana" w:cs="Arial"/>
          <w:color w:val="000000" w:themeColor="text1"/>
          <w:lang w:val="es-ES"/>
        </w:rPr>
        <w:t xml:space="preserve">, y siempre que la entidad estatal verifique previamente que no existe ninguna otra entidad sin ánimo de lucro que ofrezca aportes iguales o superiores al 30%. </w:t>
      </w:r>
      <w:r w:rsidRPr="0017378C">
        <w:rPr>
          <w:rFonts w:ascii="Verdana" w:eastAsia="Calibri" w:hAnsi="Verdana" w:cs="Arial"/>
          <w:color w:val="000000"/>
          <w:lang w:val="es-ES"/>
        </w:rPr>
        <w:t>Lo anterior sin perjuicio de las restricciones previstas en el artículo 33 de la Ley de Garantías durante el periodo preelectoral de las elecciones presidenciales para los procesos no competitivos</w:t>
      </w:r>
      <w:r w:rsidRPr="0017378C">
        <w:rPr>
          <w:rFonts w:ascii="Verdana" w:eastAsia="Calibri" w:hAnsi="Verdana" w:cs="Arial"/>
          <w:color w:val="000000" w:themeColor="text1"/>
          <w:lang w:val="es-ES"/>
        </w:rPr>
        <w:t>.</w:t>
      </w:r>
    </w:p>
    <w:p w14:paraId="55B9A48E" w14:textId="77777777" w:rsidR="00AF21F2" w:rsidRPr="0017378C" w:rsidRDefault="00AF21F2" w:rsidP="00AF21F2">
      <w:pPr>
        <w:spacing w:after="120" w:line="276" w:lineRule="auto"/>
        <w:jc w:val="both"/>
        <w:rPr>
          <w:rFonts w:ascii="Verdana" w:eastAsia="Calibri" w:hAnsi="Verdana" w:cs="Arial"/>
          <w:lang w:val="es-ES"/>
        </w:rPr>
      </w:pPr>
      <w:proofErr w:type="spellStart"/>
      <w:r w:rsidRPr="0017378C">
        <w:rPr>
          <w:rFonts w:ascii="Verdana" w:eastAsia="Calibri" w:hAnsi="Verdana" w:cs="Arial"/>
          <w:color w:val="000000" w:themeColor="text1"/>
          <w:lang w:val="es-ES"/>
        </w:rPr>
        <w:t>iii</w:t>
      </w:r>
      <w:proofErr w:type="spellEnd"/>
      <w:r w:rsidRPr="0017378C">
        <w:rPr>
          <w:rFonts w:ascii="Verdana" w:eastAsia="Calibri" w:hAnsi="Verdana" w:cs="Arial"/>
          <w:color w:val="000000" w:themeColor="text1"/>
          <w:lang w:val="es-ES"/>
        </w:rPr>
        <w:t xml:space="preserve">) </w:t>
      </w:r>
      <w:r w:rsidRPr="0017378C">
        <w:rPr>
          <w:rFonts w:ascii="Verdana" w:eastAsia="Calibri" w:hAnsi="Verdana" w:cs="Arial"/>
          <w:lang w:val="es-ES"/>
        </w:rPr>
        <w:t>Las ESAL justifican su existencia en la medida que ayudan al Estado en el cumplimiento de las finalidades, esto es, 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defender la independencia nacional, mantener la integridad territorial y asegurar la convivencia pacífica y la vigencia de un orden justo.</w:t>
      </w:r>
    </w:p>
    <w:p w14:paraId="4DEAAE88" w14:textId="77777777" w:rsidR="00AF21F2" w:rsidRPr="0017378C" w:rsidRDefault="00AF21F2" w:rsidP="00AF21F2">
      <w:pPr>
        <w:spacing w:after="0" w:line="276" w:lineRule="auto"/>
        <w:ind w:firstLine="426"/>
        <w:jc w:val="both"/>
        <w:rPr>
          <w:rFonts w:ascii="Verdana" w:eastAsia="Calibri" w:hAnsi="Verdana" w:cs="Arial"/>
          <w:lang w:val="es-ES"/>
        </w:rPr>
      </w:pPr>
      <w:r w:rsidRPr="0017378C">
        <w:rPr>
          <w:rFonts w:ascii="Verdana" w:eastAsia="Calibri" w:hAnsi="Verdana" w:cs="Arial"/>
          <w:lang w:val="es-ES"/>
        </w:rPr>
        <w:tab/>
        <w:t>El elemento característico de estas entidades es la ausencia de lucro, el cual está relacionado con que no haya una distribución o reparto de utilidades a sus miembros. Al respecto, el Consejo de Estado ha precisado:</w:t>
      </w:r>
    </w:p>
    <w:p w14:paraId="3F36742B" w14:textId="77777777" w:rsidR="00AF21F2" w:rsidRPr="0017378C" w:rsidRDefault="00AF21F2" w:rsidP="00AF21F2">
      <w:pPr>
        <w:spacing w:after="0" w:line="276" w:lineRule="auto"/>
        <w:ind w:left="720"/>
        <w:contextualSpacing/>
        <w:jc w:val="both"/>
        <w:rPr>
          <w:rFonts w:ascii="Verdana" w:eastAsia="Calibri" w:hAnsi="Verdana" w:cs="Arial"/>
          <w:lang w:val="es-ES"/>
        </w:rPr>
      </w:pPr>
    </w:p>
    <w:p w14:paraId="27136A84" w14:textId="77777777" w:rsidR="00AF21F2" w:rsidRPr="0017378C" w:rsidRDefault="00AF21F2" w:rsidP="00AF21F2">
      <w:pPr>
        <w:spacing w:after="0" w:line="240" w:lineRule="auto"/>
        <w:ind w:left="709" w:right="709"/>
        <w:jc w:val="both"/>
        <w:rPr>
          <w:rFonts w:ascii="Verdana" w:eastAsia="Calibri" w:hAnsi="Verdana" w:cs="Arial"/>
          <w:sz w:val="20"/>
          <w:szCs w:val="20"/>
          <w:lang w:val="es-ES"/>
        </w:rPr>
      </w:pPr>
      <w:r w:rsidRPr="0017378C">
        <w:rPr>
          <w:rFonts w:ascii="Verdana" w:eastAsia="Calibri" w:hAnsi="Verdana" w:cs="Arial"/>
          <w:sz w:val="20"/>
          <w:szCs w:val="20"/>
          <w:lang w:val="es-ES"/>
        </w:rPr>
        <w:t>“El criterio de lucro o las finalidades de lucro no se relacionan, no pueden relacionarse a las utilidades obtenidas, sino a la destinación que se les dé. La estipulación o norma, que elimina los fines de lucro, es la que tiene como consecuencia, la de que los rendimientos o utilidades obtenidas no sean objeto de distribución o reparto entre socios o integrantes de la persona moral que las genera. Este criterio o concepto ha sido tradicionalmente concebido y respetado siempre.</w:t>
      </w:r>
      <w:r w:rsidRPr="0017378C">
        <w:rPr>
          <w:rStyle w:val="FootnoteReference"/>
          <w:rFonts w:ascii="Verdana" w:eastAsia="Calibri" w:hAnsi="Verdana" w:cs="Arial"/>
          <w:sz w:val="20"/>
          <w:szCs w:val="20"/>
          <w:lang w:val="es-ES"/>
        </w:rPr>
        <w:footnoteReference w:id="10"/>
      </w:r>
      <w:r w:rsidRPr="0017378C">
        <w:rPr>
          <w:rFonts w:ascii="Verdana" w:eastAsia="Calibri" w:hAnsi="Verdana" w:cs="Arial"/>
          <w:sz w:val="20"/>
          <w:szCs w:val="20"/>
          <w:lang w:val="es-ES"/>
        </w:rPr>
        <w:t xml:space="preserve">” </w:t>
      </w:r>
    </w:p>
    <w:p w14:paraId="2EEA1C13" w14:textId="77777777" w:rsidR="00AF21F2" w:rsidRPr="0017378C" w:rsidRDefault="00AF21F2" w:rsidP="00AF21F2">
      <w:pPr>
        <w:spacing w:after="120" w:line="276" w:lineRule="auto"/>
        <w:jc w:val="both"/>
        <w:rPr>
          <w:rFonts w:ascii="Verdana" w:eastAsia="Calibri" w:hAnsi="Verdana" w:cs="Arial"/>
          <w:color w:val="000000" w:themeColor="text1"/>
          <w:lang w:val="es-ES"/>
        </w:rPr>
      </w:pPr>
    </w:p>
    <w:p w14:paraId="6643E1BD" w14:textId="77777777" w:rsidR="00AF21F2" w:rsidRPr="0017378C" w:rsidRDefault="00AF21F2" w:rsidP="00AF21F2">
      <w:pPr>
        <w:pStyle w:val="ListParagraph"/>
        <w:spacing w:after="120" w:line="276" w:lineRule="auto"/>
        <w:ind w:left="0" w:firstLine="709"/>
        <w:contextualSpacing w:val="0"/>
        <w:jc w:val="both"/>
        <w:rPr>
          <w:rFonts w:ascii="Verdana" w:eastAsia="Calibri" w:hAnsi="Verdana" w:cs="Arial"/>
        </w:rPr>
      </w:pPr>
      <w:r w:rsidRPr="0017378C">
        <w:rPr>
          <w:rFonts w:ascii="Verdana" w:eastAsia="Calibri" w:hAnsi="Verdana" w:cs="Arial"/>
        </w:rPr>
        <w:t>Ahora bien, respecto a la capacidad de las ESAL de participar en los procesos de contratación pública del EGCAP, se debe aclarar que la capacidad jurídica es la aptitud que recae en los sujetos activos o pasivos de las relaciones jurídicas</w:t>
      </w:r>
      <w:r w:rsidRPr="0017378C">
        <w:rPr>
          <w:rStyle w:val="FootnoteReference"/>
          <w:rFonts w:ascii="Verdana" w:eastAsia="Calibri" w:hAnsi="Verdana" w:cs="Arial"/>
        </w:rPr>
        <w:footnoteReference w:id="11"/>
      </w:r>
      <w:r w:rsidRPr="0017378C">
        <w:rPr>
          <w:rFonts w:ascii="Verdana" w:eastAsia="Calibri" w:hAnsi="Verdana" w:cs="Arial"/>
        </w:rPr>
        <w:t xml:space="preserve">. Para efectos de las relaciones contractuales en las que uno de los </w:t>
      </w:r>
      <w:r w:rsidRPr="0017378C">
        <w:rPr>
          <w:rFonts w:ascii="Verdana" w:eastAsia="Calibri" w:hAnsi="Verdana" w:cs="Arial"/>
        </w:rPr>
        <w:lastRenderedPageBreak/>
        <w:t xml:space="preserve">extremos de la relación sea una Entidad Estatal, la capacidad contractual es la facultad que se ostenta para celebrar contratos con una Entidad Estatal. En otras palabras, es: i) la capacidad de obligarse a cumplir el objeto del contrato y </w:t>
      </w:r>
      <w:proofErr w:type="spellStart"/>
      <w:r w:rsidRPr="0017378C">
        <w:rPr>
          <w:rFonts w:ascii="Verdana" w:eastAsia="Calibri" w:hAnsi="Verdana" w:cs="Arial"/>
        </w:rPr>
        <w:t>ii</w:t>
      </w:r>
      <w:proofErr w:type="spellEnd"/>
      <w:r w:rsidRPr="0017378C">
        <w:rPr>
          <w:rFonts w:ascii="Verdana" w:eastAsia="Calibri" w:hAnsi="Verdana" w:cs="Arial"/>
        </w:rPr>
        <w:t xml:space="preserve">) de no estar incursa en inhabilidades o incompatibilidades que impiden la celebración del negocio. Así las cosas, se procede a analizar cada uno de estos aspectos para dar respuesta a la consulta. </w:t>
      </w:r>
    </w:p>
    <w:p w14:paraId="5537EB85" w14:textId="77777777" w:rsidR="00AF21F2" w:rsidRPr="0017378C" w:rsidRDefault="00AF21F2" w:rsidP="00AF21F2">
      <w:pPr>
        <w:pStyle w:val="ListParagraph"/>
        <w:spacing w:after="120" w:line="276" w:lineRule="auto"/>
        <w:ind w:left="0" w:firstLine="709"/>
        <w:contextualSpacing w:val="0"/>
        <w:jc w:val="both"/>
        <w:rPr>
          <w:rFonts w:ascii="Verdana" w:eastAsia="Calibri" w:hAnsi="Verdana" w:cs="Arial"/>
        </w:rPr>
      </w:pPr>
      <w:r w:rsidRPr="0017378C">
        <w:rPr>
          <w:rFonts w:ascii="Verdana" w:eastAsia="Calibri" w:hAnsi="Verdana" w:cs="Arial"/>
        </w:rPr>
        <w:t>Para efectos de la aplicación del EGCAP, la capacidad para contratar la tienen las personas consideradas legalmente capaces en las disposiciones vigentes</w:t>
      </w:r>
      <w:r w:rsidRPr="0017378C">
        <w:rPr>
          <w:rStyle w:val="FootnoteReference"/>
          <w:rFonts w:ascii="Verdana" w:eastAsia="Calibri" w:hAnsi="Verdana" w:cs="Arial"/>
        </w:rPr>
        <w:footnoteReference w:id="12"/>
      </w:r>
      <w:r w:rsidRPr="0017378C">
        <w:rPr>
          <w:rFonts w:ascii="Verdana" w:eastAsia="Calibri" w:hAnsi="Verdana" w:cs="Arial"/>
        </w:rPr>
        <w:t>,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5D5341AE" w14:textId="77777777" w:rsidR="00AF21F2" w:rsidRPr="0017378C" w:rsidRDefault="00AF21F2" w:rsidP="00AF21F2">
      <w:pPr>
        <w:pStyle w:val="ListParagraph"/>
        <w:spacing w:after="120" w:line="276" w:lineRule="auto"/>
        <w:ind w:left="0" w:firstLine="709"/>
        <w:contextualSpacing w:val="0"/>
        <w:jc w:val="both"/>
        <w:rPr>
          <w:rFonts w:ascii="Verdana" w:eastAsia="Calibri" w:hAnsi="Verdana" w:cs="Arial"/>
        </w:rPr>
      </w:pPr>
      <w:r w:rsidRPr="0017378C">
        <w:rPr>
          <w:rFonts w:ascii="Verdana" w:eastAsia="Calibri" w:hAnsi="Verdana" w:cs="Arial"/>
        </w:rPr>
        <w:t>Por tanto, es claro que las ESAL tienen capacidad para contratar bajo las reglas del EGCAP al ser personas jurídicas consideradas legalmente capaces, en los términos del artículo 6 de la Ley 80 de 1993. Incluso, el Decreto 092 de 2017 reguló un régimen especial de contratación con este tipo personas jurídicas. Sin embargo, es importante aclarar que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tienen capacidad jurídica para contratar con el Estado tanto en los procesos de selección regidos por las reglas del EGCAP, caso en el cual participan con las mismas reglas aplicables a los demás oferentes, como a través de las figuras reguladas en el Decreto 092 de 2017.</w:t>
      </w:r>
    </w:p>
    <w:p w14:paraId="5E0B8D6C" w14:textId="77777777" w:rsidR="00AF21F2" w:rsidRPr="0017378C" w:rsidRDefault="00AF21F2" w:rsidP="00AF21F2">
      <w:pPr>
        <w:pStyle w:val="ListParagraph"/>
        <w:spacing w:after="120" w:line="276" w:lineRule="auto"/>
        <w:ind w:left="0" w:firstLine="709"/>
        <w:contextualSpacing w:val="0"/>
        <w:jc w:val="both"/>
        <w:rPr>
          <w:rFonts w:ascii="Verdana" w:eastAsia="Calibri" w:hAnsi="Verdana" w:cs="Arial"/>
          <w:color w:val="000000" w:themeColor="text1"/>
        </w:rPr>
      </w:pPr>
      <w:r w:rsidRPr="0017378C">
        <w:rPr>
          <w:rFonts w:ascii="Verdana" w:eastAsia="Calibri" w:hAnsi="Verdana" w:cs="Arial"/>
        </w:rPr>
        <w:t xml:space="preserve">Respecto a su participación en los contratos del artículo 355 superior y los convenios de asociación de dicho decreto, se evidencia que no existe norma en el ordenamiento jurídico que limite estas figuras contractuales a las ESAL nacionales o domiciliadas en Colombia. El artículo 355 constitucional de refiere a la celebración de contratos con “entidades privadas sin ánimo de lucro y de </w:t>
      </w:r>
      <w:r w:rsidRPr="0017378C">
        <w:rPr>
          <w:rFonts w:ascii="Verdana" w:eastAsia="Calibri" w:hAnsi="Verdana" w:cs="Arial"/>
        </w:rPr>
        <w:lastRenderedPageBreak/>
        <w:t xml:space="preserve">reconocida idoneidad”,  </w:t>
      </w:r>
      <w:r w:rsidRPr="0017378C">
        <w:rPr>
          <w:rFonts w:ascii="Verdana" w:eastAsia="Calibri" w:hAnsi="Verdana" w:cs="Arial"/>
          <w:color w:val="000000" w:themeColor="text1"/>
        </w:rPr>
        <w:t>el artículo 96 de la Ley 489 de 1998</w:t>
      </w:r>
      <w:r w:rsidRPr="0017378C">
        <w:rPr>
          <w:rFonts w:ascii="Verdana" w:hAnsi="Verdana"/>
          <w:vertAlign w:val="superscript"/>
        </w:rPr>
        <w:footnoteReference w:id="13"/>
      </w:r>
      <w:r w:rsidRPr="0017378C">
        <w:rPr>
          <w:rFonts w:ascii="Verdana" w:eastAsia="Calibri" w:hAnsi="Verdana" w:cs="Arial"/>
          <w:color w:val="000000" w:themeColor="text1"/>
        </w:rPr>
        <w:t xml:space="preserve"> permite a las entidades asociarse con “personas jurídicas particulares”; el Decreto 092 de 2017 es concordante con lo anterior, de modo que se refiere, en términos generales, a la contratación con entidades privadas sin ánimo de lucro y de reconocida idoneidad. En consecuencia, la normativa que rige estos mecanismos jurídicos no delimita su aplicación a ESAL nacionales, ni establece que se encuentre vetada la participación de aquellas que tengan carácter extranjero. Por lo anterior, en desarrollo del principio general de interpretación jurídica según el cual donde la norma no distingue, no le corresponde distinguir al intérprete, no resulta viable deducir que las ESAL extranjeras no puedan participar en los contratos de colaboración o los convenios de asociación a los que se refiere el Decreto 092 de 2017.</w:t>
      </w:r>
    </w:p>
    <w:p w14:paraId="7C3D4092" w14:textId="77777777" w:rsidR="00AF21F2" w:rsidRPr="0017378C" w:rsidRDefault="00AF21F2" w:rsidP="00AF21F2">
      <w:pPr>
        <w:pStyle w:val="ListParagraph"/>
        <w:spacing w:after="120" w:line="276" w:lineRule="auto"/>
        <w:ind w:left="0" w:firstLine="709"/>
        <w:contextualSpacing w:val="0"/>
        <w:jc w:val="both"/>
        <w:rPr>
          <w:rFonts w:ascii="Verdana" w:eastAsia="Aptos" w:hAnsi="Verdana" w:cs="Arial"/>
          <w:shd w:val="clear" w:color="auto" w:fill="FFFFFF"/>
        </w:rPr>
      </w:pPr>
      <w:r w:rsidRPr="0017378C">
        <w:rPr>
          <w:rFonts w:ascii="Verdana" w:eastAsia="Calibri" w:hAnsi="Verdana" w:cs="Arial"/>
          <w:color w:val="000000" w:themeColor="text1"/>
        </w:rPr>
        <w:t xml:space="preserve">Sin embargo, es necesario aclarar que toda ESAL que participe en dichos procesos contractuales deberá acreditar el cumplimiento de los requisitos que exige la normativa colombiana para su existencia y funcionamiento, de modo que sean </w:t>
      </w:r>
      <w:r w:rsidRPr="0017378C">
        <w:rPr>
          <w:rFonts w:ascii="Verdana" w:eastAsia="Calibri" w:hAnsi="Verdana" w:cs="Arial"/>
        </w:rPr>
        <w:t>personas jurídicas consideradas legalmente capaces</w:t>
      </w:r>
      <w:r w:rsidRPr="0017378C">
        <w:rPr>
          <w:rFonts w:ascii="Verdana" w:eastAsia="Calibri" w:hAnsi="Verdana" w:cs="Arial"/>
          <w:color w:val="000000" w:themeColor="text1"/>
        </w:rPr>
        <w:t xml:space="preserve">. Bajo este régimen jurídico, </w:t>
      </w:r>
      <w:r w:rsidRPr="0017378C">
        <w:rPr>
          <w:rFonts w:ascii="Verdana" w:eastAsia="Calibri" w:hAnsi="Verdana" w:cs="Arial"/>
        </w:rPr>
        <w:t xml:space="preserve">una ESAL es una persona jurídica capaz de ejercer derechos y contraer obligaciones, cuya finalidad es que sus utilidades o beneficios sean reinvertidos en el objeto social para el cual han sido creadas, es decir, la finalidad no es repartir las utilidades a sus miembros, llámese asociados, fundadores o cooperados. </w:t>
      </w:r>
      <w:r w:rsidRPr="0017378C">
        <w:rPr>
          <w:rFonts w:ascii="Verdana" w:eastAsia="Aptos" w:hAnsi="Verdana" w:cs="Arial"/>
          <w:shd w:val="clear" w:color="auto" w:fill="FFFFFF"/>
        </w:rPr>
        <w:t>Aunque las ESAL no tienen como objetivo la generación de utilidades, esto no les impide participar en contratos o actividades comerciales que generen ingresos, siempre y cuando estos se reinviertan en el cumplimiento de sus fines sociales y no se distribuyan entre sus miembros. Así las cosas, las ESAL tienen capacidad jurídica para contratar con el Estado, en el marco de su objeto social, conforme a las facultades que le han sido otorgadas al representante legal y a la ausencia de inhabilidades, incompatibilidades o prohibiciones para contratar, derivadas de la ley.</w:t>
      </w:r>
    </w:p>
    <w:p w14:paraId="54E32729" w14:textId="77777777" w:rsidR="00AF21F2" w:rsidRPr="0017378C" w:rsidRDefault="00AF21F2" w:rsidP="00AF21F2">
      <w:pPr>
        <w:pStyle w:val="ListParagraph"/>
        <w:spacing w:after="120" w:line="276" w:lineRule="auto"/>
        <w:ind w:left="0" w:firstLine="709"/>
        <w:contextualSpacing w:val="0"/>
        <w:jc w:val="both"/>
        <w:rPr>
          <w:rFonts w:ascii="Verdana" w:eastAsia="Aptos" w:hAnsi="Verdana" w:cs="Arial"/>
          <w:shd w:val="clear" w:color="auto" w:fill="FFFFFF"/>
        </w:rPr>
      </w:pPr>
      <w:r w:rsidRPr="0017378C">
        <w:rPr>
          <w:rFonts w:ascii="Verdana" w:eastAsia="Aptos" w:hAnsi="Verdana" w:cs="Arial"/>
          <w:shd w:val="clear" w:color="auto" w:fill="FFFFFF"/>
        </w:rPr>
        <w:lastRenderedPageBreak/>
        <w:t xml:space="preserve">La doctrina ha considerado respecto de la naturaleza y características de las entidades sin ánimo de lucro nacionales lo siguiente: </w:t>
      </w:r>
    </w:p>
    <w:p w14:paraId="29622F21" w14:textId="77777777" w:rsidR="00AF21F2" w:rsidRPr="00190018" w:rsidRDefault="00AF21F2" w:rsidP="00AF21F2">
      <w:pPr>
        <w:pStyle w:val="ListParagraph"/>
        <w:spacing w:after="120" w:line="240" w:lineRule="auto"/>
        <w:ind w:left="709" w:right="709"/>
        <w:jc w:val="both"/>
        <w:rPr>
          <w:rFonts w:ascii="Verdana" w:eastAsia="Aptos" w:hAnsi="Verdana" w:cs="Arial"/>
          <w:sz w:val="21"/>
          <w:szCs w:val="21"/>
          <w:shd w:val="clear" w:color="auto" w:fill="FFFFFF"/>
        </w:rPr>
      </w:pPr>
      <w:r w:rsidRPr="00190018">
        <w:rPr>
          <w:rFonts w:ascii="Verdana" w:eastAsia="Aptos" w:hAnsi="Verdana" w:cs="Arial"/>
          <w:shd w:val="clear" w:color="auto" w:fill="FFFFFF"/>
        </w:rPr>
        <w:t>“</w:t>
      </w:r>
      <w:r w:rsidRPr="00190018">
        <w:rPr>
          <w:rFonts w:ascii="Verdana" w:eastAsia="Aptos" w:hAnsi="Verdana" w:cs="Arial"/>
          <w:sz w:val="21"/>
          <w:szCs w:val="21"/>
          <w:shd w:val="clear" w:color="auto" w:fill="FFFFFF"/>
        </w:rPr>
        <w:t xml:space="preserve">Las ESAL son personas </w:t>
      </w:r>
      <w:proofErr w:type="spellStart"/>
      <w:r w:rsidRPr="00190018">
        <w:rPr>
          <w:rFonts w:ascii="Verdana" w:eastAsia="Aptos" w:hAnsi="Verdana" w:cs="Arial"/>
          <w:sz w:val="21"/>
          <w:szCs w:val="21"/>
          <w:shd w:val="clear" w:color="auto" w:fill="FFFFFF"/>
        </w:rPr>
        <w:t>jurídicas</w:t>
      </w:r>
      <w:proofErr w:type="spellEnd"/>
      <w:r w:rsidRPr="00190018">
        <w:rPr>
          <w:rFonts w:ascii="Verdana" w:eastAsia="Aptos" w:hAnsi="Verdana" w:cs="Arial"/>
          <w:sz w:val="21"/>
          <w:szCs w:val="21"/>
          <w:shd w:val="clear" w:color="auto" w:fill="FFFFFF"/>
        </w:rPr>
        <w:t xml:space="preserve"> diferentes de las personas que las conforman, (asociados) que pueden ejercer derechos, contraer obligaciones, y estar representadas legal, judicial y extrajudicialmente en virtud del desarrollo y </w:t>
      </w:r>
      <w:proofErr w:type="spellStart"/>
      <w:r w:rsidRPr="00190018">
        <w:rPr>
          <w:rFonts w:ascii="Verdana" w:eastAsia="Aptos" w:hAnsi="Verdana" w:cs="Arial"/>
          <w:sz w:val="21"/>
          <w:szCs w:val="21"/>
          <w:shd w:val="clear" w:color="auto" w:fill="FFFFFF"/>
        </w:rPr>
        <w:t>ejecución</w:t>
      </w:r>
      <w:proofErr w:type="spellEnd"/>
      <w:r w:rsidRPr="00190018">
        <w:rPr>
          <w:rFonts w:ascii="Verdana" w:eastAsia="Aptos" w:hAnsi="Verdana" w:cs="Arial"/>
          <w:sz w:val="21"/>
          <w:szCs w:val="21"/>
          <w:shd w:val="clear" w:color="auto" w:fill="FFFFFF"/>
        </w:rPr>
        <w:t xml:space="preserve"> de las actividades propias de su objeto. Esa entidad, como su nombre lo indica, no persigue </w:t>
      </w:r>
      <w:proofErr w:type="spellStart"/>
      <w:r w:rsidRPr="00190018">
        <w:rPr>
          <w:rFonts w:ascii="Verdana" w:eastAsia="Aptos" w:hAnsi="Verdana" w:cs="Arial"/>
          <w:sz w:val="21"/>
          <w:szCs w:val="21"/>
          <w:shd w:val="clear" w:color="auto" w:fill="FFFFFF"/>
        </w:rPr>
        <w:t>ánimo</w:t>
      </w:r>
      <w:proofErr w:type="spellEnd"/>
      <w:r w:rsidRPr="00190018">
        <w:rPr>
          <w:rFonts w:ascii="Verdana" w:eastAsia="Aptos" w:hAnsi="Verdana" w:cs="Arial"/>
          <w:sz w:val="21"/>
          <w:szCs w:val="21"/>
          <w:shd w:val="clear" w:color="auto" w:fill="FFFFFF"/>
        </w:rPr>
        <w:t xml:space="preserve"> de lucro, es decir, no pretende el reparto, entre los asociados, de las utilidades que se generen en desarrollo de su objetivo social, sino que busca engrandecer su propio patrimonio, para el cumplimiento de sus metas y objetivos que, por lo general, son de beneficio social, bien sea encaminado hacia un grupo determinado de personas o hacia la comunidad en general. En resumen, </w:t>
      </w:r>
      <w:proofErr w:type="spellStart"/>
      <w:r w:rsidRPr="00190018">
        <w:rPr>
          <w:rFonts w:ascii="Verdana" w:eastAsia="Aptos" w:hAnsi="Verdana" w:cs="Arial"/>
          <w:sz w:val="21"/>
          <w:szCs w:val="21"/>
          <w:shd w:val="clear" w:color="auto" w:fill="FFFFFF"/>
        </w:rPr>
        <w:t>podríamos</w:t>
      </w:r>
      <w:proofErr w:type="spellEnd"/>
      <w:r w:rsidRPr="00190018">
        <w:rPr>
          <w:rFonts w:ascii="Verdana" w:eastAsia="Aptos" w:hAnsi="Verdana" w:cs="Arial"/>
          <w:sz w:val="21"/>
          <w:szCs w:val="21"/>
          <w:shd w:val="clear" w:color="auto" w:fill="FFFFFF"/>
        </w:rPr>
        <w:t xml:space="preserve"> decir que las entidades de dicha naturaleza </w:t>
      </w:r>
      <w:proofErr w:type="spellStart"/>
      <w:r w:rsidRPr="00190018">
        <w:rPr>
          <w:rFonts w:ascii="Verdana" w:eastAsia="Aptos" w:hAnsi="Verdana" w:cs="Arial"/>
          <w:sz w:val="21"/>
          <w:szCs w:val="21"/>
          <w:shd w:val="clear" w:color="auto" w:fill="FFFFFF"/>
        </w:rPr>
        <w:t>jurídica</w:t>
      </w:r>
      <w:proofErr w:type="spellEnd"/>
      <w:r w:rsidRPr="00190018">
        <w:rPr>
          <w:rFonts w:ascii="Verdana" w:eastAsia="Aptos" w:hAnsi="Verdana" w:cs="Arial"/>
          <w:sz w:val="21"/>
          <w:szCs w:val="21"/>
          <w:shd w:val="clear" w:color="auto" w:fill="FFFFFF"/>
        </w:rPr>
        <w:t xml:space="preserve"> se caracterizan principalmente por: Son personas </w:t>
      </w:r>
      <w:proofErr w:type="spellStart"/>
      <w:r w:rsidRPr="00190018">
        <w:rPr>
          <w:rFonts w:ascii="Verdana" w:eastAsia="Aptos" w:hAnsi="Verdana" w:cs="Arial"/>
          <w:sz w:val="21"/>
          <w:szCs w:val="21"/>
          <w:shd w:val="clear" w:color="auto" w:fill="FFFFFF"/>
        </w:rPr>
        <w:t>jurídicas</w:t>
      </w:r>
      <w:proofErr w:type="spellEnd"/>
      <w:r w:rsidRPr="00190018">
        <w:rPr>
          <w:rFonts w:ascii="Verdana" w:eastAsia="Aptos" w:hAnsi="Verdana" w:cs="Arial"/>
          <w:sz w:val="21"/>
          <w:szCs w:val="21"/>
          <w:shd w:val="clear" w:color="auto" w:fill="FFFFFF"/>
        </w:rPr>
        <w:t xml:space="preserve"> (crean una persona diferente de sus asociados). No tienen </w:t>
      </w:r>
      <w:proofErr w:type="spellStart"/>
      <w:r w:rsidRPr="00190018">
        <w:rPr>
          <w:rFonts w:ascii="Verdana" w:eastAsia="Aptos" w:hAnsi="Verdana" w:cs="Arial"/>
          <w:sz w:val="21"/>
          <w:szCs w:val="21"/>
          <w:shd w:val="clear" w:color="auto" w:fill="FFFFFF"/>
        </w:rPr>
        <w:t>ánimo</w:t>
      </w:r>
      <w:proofErr w:type="spellEnd"/>
      <w:r w:rsidRPr="00190018">
        <w:rPr>
          <w:rFonts w:ascii="Verdana" w:eastAsia="Aptos" w:hAnsi="Verdana" w:cs="Arial"/>
          <w:sz w:val="21"/>
          <w:szCs w:val="21"/>
          <w:shd w:val="clear" w:color="auto" w:fill="FFFFFF"/>
        </w:rPr>
        <w:t xml:space="preserve"> de lucro (no reparten utilidades). Tienen fines sociales (encaminadas al mejoramiento social y beneficio común). Son regladas (se encuentran definidas en la Ley nacional y para su existencia, validez y funcionamiento requieren de formalidades legales</w:t>
      </w:r>
      <w:r w:rsidRPr="0017378C">
        <w:rPr>
          <w:rFonts w:ascii="Verdana" w:eastAsia="Aptos" w:hAnsi="Verdana" w:cs="Arial"/>
          <w:sz w:val="21"/>
          <w:szCs w:val="21"/>
          <w:shd w:val="clear" w:color="auto" w:fill="FFFFFF"/>
        </w:rPr>
        <w:t>)</w:t>
      </w:r>
      <w:r w:rsidRPr="00190018">
        <w:rPr>
          <w:rFonts w:ascii="Verdana" w:eastAsia="Aptos" w:hAnsi="Verdana" w:cs="Arial"/>
          <w:sz w:val="21"/>
          <w:szCs w:val="21"/>
          <w:shd w:val="clear" w:color="auto" w:fill="FFFFFF"/>
        </w:rPr>
        <w:t xml:space="preserve"> [...] </w:t>
      </w:r>
    </w:p>
    <w:p w14:paraId="36B6D9A8" w14:textId="77777777" w:rsidR="00AF21F2" w:rsidRPr="0017378C" w:rsidRDefault="00AF21F2" w:rsidP="00AF21F2">
      <w:pPr>
        <w:pStyle w:val="ListParagraph"/>
        <w:spacing w:after="120" w:line="240" w:lineRule="auto"/>
        <w:ind w:left="709" w:right="709"/>
        <w:jc w:val="both"/>
        <w:rPr>
          <w:rFonts w:ascii="Verdana" w:eastAsia="Aptos" w:hAnsi="Verdana" w:cs="Arial"/>
          <w:sz w:val="21"/>
          <w:szCs w:val="21"/>
          <w:shd w:val="clear" w:color="auto" w:fill="FFFFFF"/>
        </w:rPr>
      </w:pPr>
    </w:p>
    <w:p w14:paraId="1FC8E59D" w14:textId="77777777" w:rsidR="00AF21F2" w:rsidRPr="00190018" w:rsidRDefault="00AF21F2" w:rsidP="00AF21F2">
      <w:pPr>
        <w:pStyle w:val="ListParagraph"/>
        <w:spacing w:after="120" w:line="240" w:lineRule="auto"/>
        <w:ind w:left="709" w:right="709"/>
        <w:jc w:val="both"/>
        <w:rPr>
          <w:rFonts w:ascii="Verdana" w:eastAsia="Aptos" w:hAnsi="Verdana" w:cs="Arial"/>
          <w:sz w:val="21"/>
          <w:szCs w:val="21"/>
          <w:shd w:val="clear" w:color="auto" w:fill="FFFFFF"/>
        </w:rPr>
      </w:pPr>
      <w:r w:rsidRPr="00190018">
        <w:rPr>
          <w:rFonts w:ascii="Verdana" w:eastAsia="Aptos" w:hAnsi="Verdana" w:cs="Arial"/>
          <w:sz w:val="21"/>
          <w:szCs w:val="21"/>
          <w:shd w:val="clear" w:color="auto" w:fill="FFFFFF"/>
        </w:rPr>
        <w:t xml:space="preserve">Como se ha </w:t>
      </w:r>
      <w:proofErr w:type="spellStart"/>
      <w:r w:rsidRPr="00190018">
        <w:rPr>
          <w:rFonts w:ascii="Verdana" w:eastAsia="Aptos" w:hAnsi="Verdana" w:cs="Arial"/>
          <w:sz w:val="21"/>
          <w:szCs w:val="21"/>
          <w:shd w:val="clear" w:color="auto" w:fill="FFFFFF"/>
        </w:rPr>
        <w:t>señalado</w:t>
      </w:r>
      <w:proofErr w:type="spellEnd"/>
      <w:r w:rsidRPr="00190018">
        <w:rPr>
          <w:rFonts w:ascii="Verdana" w:eastAsia="Aptos" w:hAnsi="Verdana" w:cs="Arial"/>
          <w:sz w:val="21"/>
          <w:szCs w:val="21"/>
          <w:shd w:val="clear" w:color="auto" w:fill="FFFFFF"/>
        </w:rPr>
        <w:t xml:space="preserve">, las entidades sin </w:t>
      </w:r>
      <w:proofErr w:type="spellStart"/>
      <w:r w:rsidRPr="00190018">
        <w:rPr>
          <w:rFonts w:ascii="Verdana" w:eastAsia="Aptos" w:hAnsi="Verdana" w:cs="Arial"/>
          <w:sz w:val="21"/>
          <w:szCs w:val="21"/>
          <w:shd w:val="clear" w:color="auto" w:fill="FFFFFF"/>
        </w:rPr>
        <w:t>ánimo</w:t>
      </w:r>
      <w:proofErr w:type="spellEnd"/>
      <w:r w:rsidRPr="00190018">
        <w:rPr>
          <w:rFonts w:ascii="Verdana" w:eastAsia="Aptos" w:hAnsi="Verdana" w:cs="Arial"/>
          <w:sz w:val="21"/>
          <w:szCs w:val="21"/>
          <w:shd w:val="clear" w:color="auto" w:fill="FFFFFF"/>
        </w:rPr>
        <w:t xml:space="preserve"> de lucro son personas </w:t>
      </w:r>
      <w:proofErr w:type="spellStart"/>
      <w:r w:rsidRPr="00190018">
        <w:rPr>
          <w:rFonts w:ascii="Verdana" w:eastAsia="Aptos" w:hAnsi="Verdana" w:cs="Arial"/>
          <w:sz w:val="21"/>
          <w:szCs w:val="21"/>
          <w:shd w:val="clear" w:color="auto" w:fill="FFFFFF"/>
        </w:rPr>
        <w:t>jurídicas</w:t>
      </w:r>
      <w:proofErr w:type="spellEnd"/>
      <w:r w:rsidRPr="00190018">
        <w:rPr>
          <w:rFonts w:ascii="Verdana" w:eastAsia="Aptos" w:hAnsi="Verdana" w:cs="Arial"/>
          <w:sz w:val="21"/>
          <w:szCs w:val="21"/>
          <w:shd w:val="clear" w:color="auto" w:fill="FFFFFF"/>
        </w:rPr>
        <w:t xml:space="preserve">, que en algunas ocasiones se constituyen como entidades de </w:t>
      </w:r>
      <w:proofErr w:type="spellStart"/>
      <w:r w:rsidRPr="00190018">
        <w:rPr>
          <w:rFonts w:ascii="Verdana" w:eastAsia="Aptos" w:hAnsi="Verdana" w:cs="Arial"/>
          <w:sz w:val="21"/>
          <w:szCs w:val="21"/>
          <w:shd w:val="clear" w:color="auto" w:fill="FFFFFF"/>
        </w:rPr>
        <w:t>carácter</w:t>
      </w:r>
      <w:proofErr w:type="spellEnd"/>
      <w:r w:rsidRPr="00190018">
        <w:rPr>
          <w:rFonts w:ascii="Verdana" w:eastAsia="Aptos" w:hAnsi="Verdana" w:cs="Arial"/>
          <w:sz w:val="21"/>
          <w:szCs w:val="21"/>
          <w:shd w:val="clear" w:color="auto" w:fill="FFFFFF"/>
        </w:rPr>
        <w:t xml:space="preserve"> privado, o como Organizaciones No Gubernamentales, con </w:t>
      </w:r>
      <w:proofErr w:type="spellStart"/>
      <w:r w:rsidRPr="00190018">
        <w:rPr>
          <w:rFonts w:ascii="Verdana" w:eastAsia="Aptos" w:hAnsi="Verdana" w:cs="Arial"/>
          <w:sz w:val="21"/>
          <w:szCs w:val="21"/>
          <w:shd w:val="clear" w:color="auto" w:fill="FFFFFF"/>
        </w:rPr>
        <w:t>personería</w:t>
      </w:r>
      <w:proofErr w:type="spellEnd"/>
      <w:r w:rsidRPr="00190018">
        <w:rPr>
          <w:rFonts w:ascii="Verdana" w:eastAsia="Aptos" w:hAnsi="Verdana" w:cs="Arial"/>
          <w:sz w:val="21"/>
          <w:szCs w:val="21"/>
          <w:shd w:val="clear" w:color="auto" w:fill="FFFFFF"/>
        </w:rPr>
        <w:t xml:space="preserve"> </w:t>
      </w:r>
      <w:proofErr w:type="spellStart"/>
      <w:r w:rsidRPr="00190018">
        <w:rPr>
          <w:rFonts w:ascii="Verdana" w:eastAsia="Aptos" w:hAnsi="Verdana" w:cs="Arial"/>
          <w:sz w:val="21"/>
          <w:szCs w:val="21"/>
          <w:shd w:val="clear" w:color="auto" w:fill="FFFFFF"/>
        </w:rPr>
        <w:t>jurídica</w:t>
      </w:r>
      <w:proofErr w:type="spellEnd"/>
      <w:r w:rsidRPr="00190018">
        <w:rPr>
          <w:rFonts w:ascii="Verdana" w:eastAsia="Aptos" w:hAnsi="Verdana" w:cs="Arial"/>
          <w:sz w:val="21"/>
          <w:szCs w:val="21"/>
          <w:shd w:val="clear" w:color="auto" w:fill="FFFFFF"/>
        </w:rPr>
        <w:t xml:space="preserve">, pero en ambos casos con la finalidad de desarrollar objetivos de beneficio común, que, en razón de la </w:t>
      </w:r>
      <w:proofErr w:type="spellStart"/>
      <w:r w:rsidRPr="00190018">
        <w:rPr>
          <w:rFonts w:ascii="Verdana" w:eastAsia="Aptos" w:hAnsi="Verdana" w:cs="Arial"/>
          <w:sz w:val="21"/>
          <w:szCs w:val="21"/>
          <w:shd w:val="clear" w:color="auto" w:fill="FFFFFF"/>
        </w:rPr>
        <w:t>legislación</w:t>
      </w:r>
      <w:proofErr w:type="spellEnd"/>
      <w:r w:rsidRPr="00190018">
        <w:rPr>
          <w:rFonts w:ascii="Verdana" w:eastAsia="Aptos" w:hAnsi="Verdana" w:cs="Arial"/>
          <w:sz w:val="21"/>
          <w:szCs w:val="21"/>
          <w:shd w:val="clear" w:color="auto" w:fill="FFFFFF"/>
        </w:rPr>
        <w:t xml:space="preserve"> internacional, </w:t>
      </w:r>
      <w:proofErr w:type="spellStart"/>
      <w:r w:rsidRPr="00190018">
        <w:rPr>
          <w:rFonts w:ascii="Verdana" w:eastAsia="Aptos" w:hAnsi="Verdana" w:cs="Arial"/>
          <w:sz w:val="21"/>
          <w:szCs w:val="21"/>
          <w:shd w:val="clear" w:color="auto" w:fill="FFFFFF"/>
        </w:rPr>
        <w:t>también</w:t>
      </w:r>
      <w:proofErr w:type="spellEnd"/>
      <w:r w:rsidRPr="00190018">
        <w:rPr>
          <w:rFonts w:ascii="Verdana" w:eastAsia="Aptos" w:hAnsi="Verdana" w:cs="Arial"/>
          <w:sz w:val="21"/>
          <w:szCs w:val="21"/>
          <w:shd w:val="clear" w:color="auto" w:fill="FFFFFF"/>
        </w:rPr>
        <w:t xml:space="preserve"> se pueden constituir en otros </w:t>
      </w:r>
      <w:proofErr w:type="spellStart"/>
      <w:r w:rsidRPr="00190018">
        <w:rPr>
          <w:rFonts w:ascii="Verdana" w:eastAsia="Aptos" w:hAnsi="Verdana" w:cs="Arial"/>
          <w:sz w:val="21"/>
          <w:szCs w:val="21"/>
          <w:shd w:val="clear" w:color="auto" w:fill="FFFFFF"/>
        </w:rPr>
        <w:t>países</w:t>
      </w:r>
      <w:proofErr w:type="spellEnd"/>
      <w:r w:rsidRPr="00190018">
        <w:rPr>
          <w:rFonts w:ascii="Verdana" w:eastAsia="Aptos" w:hAnsi="Verdana" w:cs="Arial"/>
          <w:sz w:val="21"/>
          <w:szCs w:val="21"/>
          <w:shd w:val="clear" w:color="auto" w:fill="FFFFFF"/>
        </w:rPr>
        <w:t xml:space="preserve"> diferentes a Colombia</w:t>
      </w:r>
      <w:r w:rsidRPr="0017378C">
        <w:rPr>
          <w:rFonts w:ascii="Verdana" w:eastAsia="Aptos" w:hAnsi="Verdana" w:cs="Arial"/>
          <w:sz w:val="21"/>
          <w:szCs w:val="21"/>
          <w:shd w:val="clear" w:color="auto" w:fill="FFFFFF"/>
        </w:rPr>
        <w:t>”</w:t>
      </w:r>
      <w:r w:rsidRPr="0017378C">
        <w:rPr>
          <w:rStyle w:val="FootnoteReference"/>
          <w:rFonts w:ascii="Verdana" w:eastAsia="Aptos" w:hAnsi="Verdana" w:cs="Arial"/>
          <w:sz w:val="21"/>
          <w:szCs w:val="21"/>
          <w:shd w:val="clear" w:color="auto" w:fill="FFFFFF"/>
        </w:rPr>
        <w:footnoteReference w:id="14"/>
      </w:r>
      <w:r w:rsidRPr="00190018">
        <w:rPr>
          <w:rFonts w:ascii="Verdana" w:eastAsia="Aptos" w:hAnsi="Verdana" w:cs="Arial"/>
          <w:sz w:val="21"/>
          <w:szCs w:val="21"/>
          <w:shd w:val="clear" w:color="auto" w:fill="FFFFFF"/>
        </w:rPr>
        <w:t xml:space="preserve">. </w:t>
      </w:r>
    </w:p>
    <w:p w14:paraId="791D7ADE" w14:textId="77777777" w:rsidR="00AF21F2" w:rsidRPr="0017378C" w:rsidRDefault="00AF21F2" w:rsidP="00AF21F2">
      <w:pPr>
        <w:spacing w:after="120" w:line="276" w:lineRule="auto"/>
        <w:ind w:firstLine="708"/>
        <w:jc w:val="both"/>
        <w:rPr>
          <w:rFonts w:ascii="Verdana" w:eastAsia="Calibri" w:hAnsi="Verdana" w:cs="Arial"/>
          <w:lang w:val="es-ES"/>
        </w:rPr>
      </w:pPr>
      <w:r w:rsidRPr="0017378C">
        <w:rPr>
          <w:rFonts w:ascii="Verdana" w:eastAsia="Calibri" w:hAnsi="Verdana" w:cs="Arial"/>
          <w:lang w:val="es-ES"/>
        </w:rPr>
        <w:t xml:space="preserve">En este contexto, </w:t>
      </w:r>
      <w:r w:rsidRPr="00D54D27">
        <w:rPr>
          <w:rFonts w:ascii="Verdana" w:eastAsia="Calibri" w:hAnsi="Verdana" w:cs="Arial"/>
          <w:lang w:val="es-ES"/>
        </w:rPr>
        <w:t xml:space="preserve">el Consejo de Estado ha señalado que el ordenamiento jurídico colombiano permite que </w:t>
      </w:r>
      <w:r w:rsidRPr="0017378C">
        <w:rPr>
          <w:rFonts w:ascii="Verdana" w:eastAsia="Calibri" w:hAnsi="Verdana" w:cs="Arial"/>
          <w:lang w:val="es-ES"/>
        </w:rPr>
        <w:t xml:space="preserve">las ESAL </w:t>
      </w:r>
      <w:r w:rsidRPr="00D54D27">
        <w:rPr>
          <w:rFonts w:ascii="Verdana" w:eastAsia="Calibri" w:hAnsi="Verdana" w:cs="Arial"/>
          <w:lang w:val="es-ES"/>
        </w:rPr>
        <w:t xml:space="preserve">constituidas </w:t>
      </w:r>
      <w:r w:rsidRPr="0017378C">
        <w:rPr>
          <w:rFonts w:ascii="Verdana" w:eastAsia="Calibri" w:hAnsi="Verdana" w:cs="Arial"/>
          <w:lang w:val="es-ES"/>
        </w:rPr>
        <w:t xml:space="preserve">en otro </w:t>
      </w:r>
      <w:r w:rsidRPr="00D54D27">
        <w:rPr>
          <w:rFonts w:ascii="Verdana" w:eastAsia="Calibri" w:hAnsi="Verdana" w:cs="Arial"/>
          <w:lang w:val="es-ES"/>
        </w:rPr>
        <w:t>país y con domicilio en el exterior puedan operar de forma permanente en Colombia</w:t>
      </w:r>
      <w:r w:rsidRPr="0017378C">
        <w:rPr>
          <w:rStyle w:val="FootnoteReference"/>
          <w:rFonts w:ascii="Verdana" w:eastAsia="Calibri" w:hAnsi="Verdana" w:cs="Arial"/>
          <w:lang w:val="es-ES"/>
        </w:rPr>
        <w:footnoteReference w:id="15"/>
      </w:r>
      <w:r w:rsidRPr="0017378C">
        <w:rPr>
          <w:rFonts w:ascii="Verdana" w:eastAsia="Calibri" w:hAnsi="Verdana" w:cs="Arial"/>
          <w:lang w:val="es-ES"/>
        </w:rPr>
        <w:t xml:space="preserve">. Para lo anterior, es necesario tener en cuenta que deben cumplir, por ejemplo, con el deber de registro y representación legal establecido en la normativa nacional. Con respecto a lo primero, el Decreto 2893 de 20114 asignó inicialmente a la Oficina Asesora Jurídica del Ministerio del Interior las funciones de inscripción en </w:t>
      </w:r>
      <w:r w:rsidRPr="0017378C">
        <w:rPr>
          <w:rFonts w:ascii="Verdana" w:eastAsia="Calibri" w:hAnsi="Verdana" w:cs="Arial"/>
          <w:lang w:val="es-ES"/>
        </w:rPr>
        <w:lastRenderedPageBreak/>
        <w:t xml:space="preserve">su registro público y de </w:t>
      </w:r>
      <w:proofErr w:type="spellStart"/>
      <w:r w:rsidRPr="0017378C">
        <w:rPr>
          <w:rFonts w:ascii="Verdana" w:eastAsia="Calibri" w:hAnsi="Verdana" w:cs="Arial"/>
          <w:lang w:val="es-ES"/>
        </w:rPr>
        <w:t>expedición</w:t>
      </w:r>
      <w:proofErr w:type="spellEnd"/>
      <w:r w:rsidRPr="0017378C">
        <w:rPr>
          <w:rFonts w:ascii="Verdana" w:eastAsia="Calibri" w:hAnsi="Verdana" w:cs="Arial"/>
          <w:lang w:val="es-ES"/>
        </w:rPr>
        <w:t xml:space="preserve"> de certificados de existencia y </w:t>
      </w:r>
      <w:proofErr w:type="spellStart"/>
      <w:r w:rsidRPr="0017378C">
        <w:rPr>
          <w:rFonts w:ascii="Verdana" w:eastAsia="Calibri" w:hAnsi="Verdana" w:cs="Arial"/>
          <w:lang w:val="es-ES"/>
        </w:rPr>
        <w:t>representación</w:t>
      </w:r>
      <w:proofErr w:type="spellEnd"/>
      <w:r w:rsidRPr="0017378C">
        <w:rPr>
          <w:rFonts w:ascii="Verdana" w:eastAsia="Calibri" w:hAnsi="Verdana" w:cs="Arial"/>
          <w:lang w:val="es-ES"/>
        </w:rPr>
        <w:t xml:space="preserve"> legal de las personas </w:t>
      </w:r>
      <w:proofErr w:type="spellStart"/>
      <w:r w:rsidRPr="0017378C">
        <w:rPr>
          <w:rFonts w:ascii="Verdana" w:eastAsia="Calibri" w:hAnsi="Verdana" w:cs="Arial"/>
          <w:lang w:val="es-ES"/>
        </w:rPr>
        <w:t>jurídicas</w:t>
      </w:r>
      <w:proofErr w:type="spellEnd"/>
      <w:r w:rsidRPr="0017378C">
        <w:rPr>
          <w:rFonts w:ascii="Verdana" w:eastAsia="Calibri" w:hAnsi="Verdana" w:cs="Arial"/>
          <w:lang w:val="es-ES"/>
        </w:rPr>
        <w:t xml:space="preserve"> extranjeras de derecho privado sin </w:t>
      </w:r>
      <w:proofErr w:type="spellStart"/>
      <w:r w:rsidRPr="0017378C">
        <w:rPr>
          <w:rFonts w:ascii="Verdana" w:eastAsia="Calibri" w:hAnsi="Verdana" w:cs="Arial"/>
          <w:lang w:val="es-ES"/>
        </w:rPr>
        <w:t>ánimo</w:t>
      </w:r>
      <w:proofErr w:type="spellEnd"/>
      <w:r w:rsidRPr="0017378C">
        <w:rPr>
          <w:rFonts w:ascii="Verdana" w:eastAsia="Calibri" w:hAnsi="Verdana" w:cs="Arial"/>
          <w:lang w:val="es-ES"/>
        </w:rPr>
        <w:t xml:space="preserve"> de lucro con domicilio en el exterior que establecieran negocios permanentes en Colombia. Esta </w:t>
      </w:r>
      <w:proofErr w:type="spellStart"/>
      <w:r w:rsidRPr="0017378C">
        <w:rPr>
          <w:rFonts w:ascii="Verdana" w:eastAsia="Calibri" w:hAnsi="Verdana" w:cs="Arial"/>
          <w:lang w:val="es-ES"/>
        </w:rPr>
        <w:t>atribución</w:t>
      </w:r>
      <w:proofErr w:type="spellEnd"/>
      <w:r w:rsidRPr="0017378C">
        <w:rPr>
          <w:rFonts w:ascii="Verdana" w:eastAsia="Calibri" w:hAnsi="Verdana" w:cs="Arial"/>
          <w:lang w:val="es-ES"/>
        </w:rPr>
        <w:t xml:space="preserve"> que fue modificada posteriormente por el artículo 166 del Decreto Ley 019 de 2012, en el sentido de trasladar dichas funciones a las respectivas cámaras de comercio. </w:t>
      </w:r>
    </w:p>
    <w:p w14:paraId="7AFF97BF" w14:textId="77777777" w:rsidR="00AF21F2" w:rsidRPr="0017378C" w:rsidRDefault="00AF21F2" w:rsidP="00AF21F2">
      <w:pPr>
        <w:spacing w:after="120" w:line="276" w:lineRule="auto"/>
        <w:ind w:firstLine="708"/>
        <w:jc w:val="both"/>
        <w:rPr>
          <w:rFonts w:ascii="Verdana" w:eastAsia="Calibri" w:hAnsi="Verdana" w:cs="Arial"/>
          <w:lang w:val="es-ES"/>
        </w:rPr>
      </w:pPr>
      <w:r w:rsidRPr="0017378C">
        <w:rPr>
          <w:rFonts w:ascii="Verdana" w:eastAsia="Calibri" w:hAnsi="Verdana" w:cs="Arial"/>
          <w:lang w:val="es-ES"/>
        </w:rPr>
        <w:t xml:space="preserve">Frente a lo segundo, el artículo 58 del Código General del Proceso dispone lo siguiente: </w:t>
      </w:r>
    </w:p>
    <w:p w14:paraId="3A6D7964" w14:textId="77777777" w:rsidR="00AF21F2" w:rsidRPr="007C1629" w:rsidRDefault="00AF21F2" w:rsidP="00AF21F2">
      <w:pPr>
        <w:spacing w:after="120" w:line="240" w:lineRule="auto"/>
        <w:ind w:left="709" w:right="709"/>
        <w:jc w:val="both"/>
        <w:rPr>
          <w:rFonts w:ascii="Verdana" w:eastAsia="Calibri" w:hAnsi="Verdana" w:cs="Arial"/>
          <w:sz w:val="21"/>
          <w:szCs w:val="21"/>
          <w:lang w:val="es-ES"/>
        </w:rPr>
      </w:pPr>
      <w:bookmarkStart w:id="7" w:name="58"/>
      <w:r w:rsidRPr="0017378C">
        <w:rPr>
          <w:rFonts w:ascii="Verdana" w:eastAsia="Calibri" w:hAnsi="Verdana" w:cs="Arial"/>
          <w:sz w:val="21"/>
          <w:szCs w:val="21"/>
          <w:lang w:val="es-ES"/>
        </w:rPr>
        <w:t>Artículo 58. Representación de personas jurídicas extranjeras y organizaciones no gubernamentales sin ánimo de lucro</w:t>
      </w:r>
      <w:r w:rsidRPr="007C1629">
        <w:rPr>
          <w:rFonts w:ascii="Verdana" w:eastAsia="Calibri" w:hAnsi="Verdana" w:cs="Arial"/>
          <w:sz w:val="21"/>
          <w:szCs w:val="21"/>
          <w:lang w:val="es-ES"/>
        </w:rPr>
        <w:t>.</w:t>
      </w:r>
      <w:bookmarkEnd w:id="7"/>
      <w:r w:rsidRPr="007C1629">
        <w:rPr>
          <w:rFonts w:ascii="Verdana" w:eastAsia="Calibri" w:hAnsi="Verdana" w:cs="Arial"/>
          <w:sz w:val="21"/>
          <w:szCs w:val="21"/>
          <w:lang w:val="es-ES"/>
        </w:rPr>
        <w:t> La representación de las sociedades extranjeras con negocios permanentes en Colombia se regirá por las normas del Código de Comercio.</w:t>
      </w:r>
    </w:p>
    <w:p w14:paraId="14D6C6AD" w14:textId="77777777" w:rsidR="00AF21F2" w:rsidRPr="0017378C" w:rsidRDefault="00AF21F2" w:rsidP="00AF21F2">
      <w:pPr>
        <w:spacing w:after="120" w:line="240" w:lineRule="auto"/>
        <w:ind w:left="709" w:right="709"/>
        <w:jc w:val="both"/>
        <w:rPr>
          <w:rFonts w:ascii="Verdana" w:eastAsia="Calibri" w:hAnsi="Verdana" w:cs="Arial"/>
          <w:sz w:val="21"/>
          <w:szCs w:val="21"/>
          <w:lang w:val="es-ES"/>
        </w:rPr>
      </w:pPr>
      <w:r w:rsidRPr="007C1629">
        <w:rPr>
          <w:rFonts w:ascii="Verdana" w:eastAsia="Calibri" w:hAnsi="Verdana" w:cs="Arial"/>
          <w:sz w:val="21"/>
          <w:szCs w:val="21"/>
          <w:lang w:val="es-ES"/>
        </w:rPr>
        <w:t>Las demás personas jurídicas de derecho privado y las organizaciones no gubernamentales sin ánimo de lucro con domicilio en el exterior que establezcan negocios o deseen desarrollar su objeto social en Colombia, constituirán apoderados con capacidad para representarlas judicialmente. Para tal efecto protocolizarán en una notaría del respectivo circuito la prueba idónea de la existencia y representación de dichas personas jurídicas y del poder correspondiente. Además, un extracto de los documentos protocolizados se inscribirá en la oficina pública correspondiente</w:t>
      </w:r>
      <w:r w:rsidRPr="0017378C">
        <w:rPr>
          <w:rFonts w:ascii="Verdana" w:eastAsia="Calibri" w:hAnsi="Verdana" w:cs="Arial"/>
          <w:sz w:val="21"/>
          <w:szCs w:val="21"/>
          <w:lang w:val="es-ES"/>
        </w:rPr>
        <w:t xml:space="preserve"> […].</w:t>
      </w:r>
    </w:p>
    <w:p w14:paraId="0E908A0E" w14:textId="77777777" w:rsidR="00AF21F2" w:rsidRPr="0017378C" w:rsidRDefault="00AF21F2" w:rsidP="00AF21F2">
      <w:pPr>
        <w:spacing w:after="120" w:line="276" w:lineRule="auto"/>
        <w:ind w:firstLine="708"/>
        <w:jc w:val="both"/>
        <w:rPr>
          <w:rFonts w:ascii="Verdana" w:eastAsia="Calibri" w:hAnsi="Verdana" w:cs="Arial"/>
          <w:lang w:val="es-ES"/>
        </w:rPr>
      </w:pPr>
      <w:r w:rsidRPr="0017378C">
        <w:rPr>
          <w:rFonts w:ascii="Verdana" w:eastAsia="Calibri" w:hAnsi="Verdana" w:cs="Arial"/>
          <w:lang w:val="es-ES"/>
        </w:rPr>
        <w:t xml:space="preserve">En cualquier caso, corresponde a las entidades verificar en cada caso que la ESAL extranjera cumple con los requisitos de capacidad jurídica necesarios para su participación en procesos de contratación estatal, así como para la suscripción de los contratos o convenios dispuestos en el Decreto 092 de 2017. </w:t>
      </w:r>
    </w:p>
    <w:p w14:paraId="5A0CFF32" w14:textId="77777777" w:rsidR="00AF21F2" w:rsidRPr="0017378C" w:rsidRDefault="00AF21F2" w:rsidP="00AF21F2">
      <w:pPr>
        <w:spacing w:after="120" w:line="276" w:lineRule="auto"/>
        <w:ind w:firstLine="708"/>
        <w:jc w:val="both"/>
        <w:rPr>
          <w:rFonts w:ascii="Verdana" w:eastAsia="Calibri" w:hAnsi="Verdana" w:cs="Arial"/>
          <w:lang w:val="es-ES"/>
        </w:rPr>
      </w:pPr>
      <w:r w:rsidRPr="0017378C">
        <w:rPr>
          <w:rFonts w:ascii="Verdana" w:eastAsia="Calibri" w:hAnsi="Verdana" w:cs="Arial"/>
          <w:lang w:val="es-ES"/>
        </w:rPr>
        <w:t xml:space="preserve">Finalmente </w:t>
      </w:r>
      <w:r w:rsidRPr="0017378C">
        <w:rPr>
          <w:rFonts w:ascii="Verdana" w:eastAsia="Calibri" w:hAnsi="Verdana" w:cs="Arial"/>
          <w:color w:val="000000" w:themeColor="text1"/>
          <w:lang w:val="es-ES"/>
        </w:rPr>
        <w:t>es importante aclarar que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(nacional o extranjera) sino el objeto del contrato o convenio que la entidad pretende adelantar. Por tanto, el hecho de que se trate de una entidad sin ánimo de lucro no implica que necesariamente deba celebrarse un contrato de colaboración o un convenio de asociación. Así lo reconoció la Corte Constitucional en la sentencia C-287 del 18 de abril de 2012, en la que sostuvo lo siguiente:</w:t>
      </w:r>
    </w:p>
    <w:p w14:paraId="3FA6FF46" w14:textId="77777777" w:rsidR="00AF21F2" w:rsidRPr="0017378C" w:rsidRDefault="00AF21F2" w:rsidP="00AF21F2">
      <w:pPr>
        <w:spacing w:line="240" w:lineRule="auto"/>
        <w:ind w:left="709" w:right="709"/>
        <w:jc w:val="both"/>
        <w:rPr>
          <w:rFonts w:ascii="Verdana" w:eastAsia="Calibri" w:hAnsi="Verdana" w:cs="Arial"/>
          <w:color w:val="000000" w:themeColor="text1"/>
          <w:sz w:val="21"/>
          <w:szCs w:val="21"/>
          <w:lang w:val="es-ES"/>
        </w:rPr>
      </w:pPr>
      <w:r w:rsidRPr="0017378C">
        <w:rPr>
          <w:rFonts w:ascii="Verdana" w:eastAsia="Calibri" w:hAnsi="Verdana" w:cs="Arial"/>
          <w:color w:val="000000" w:themeColor="text1"/>
          <w:sz w:val="21"/>
          <w:szCs w:val="21"/>
          <w:lang w:val="es-ES"/>
        </w:rPr>
        <w:lastRenderedPageBreak/>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49BFFAB" w14:textId="77777777" w:rsidR="00AF21F2" w:rsidRPr="0017378C" w:rsidRDefault="00AF21F2" w:rsidP="00AF21F2">
      <w:pPr>
        <w:spacing w:after="0" w:line="240" w:lineRule="auto"/>
        <w:ind w:left="709" w:right="709"/>
        <w:jc w:val="both"/>
        <w:rPr>
          <w:rFonts w:ascii="Verdana" w:eastAsia="Calibri" w:hAnsi="Verdana" w:cs="Arial"/>
          <w:color w:val="000000" w:themeColor="text1"/>
          <w:sz w:val="21"/>
          <w:szCs w:val="21"/>
          <w:lang w:val="es-ES"/>
        </w:rPr>
      </w:pPr>
      <w:r w:rsidRPr="0017378C">
        <w:rPr>
          <w:rFonts w:ascii="Verdana" w:eastAsia="Calibri" w:hAnsi="Verdana" w:cs="Arial"/>
          <w:i/>
          <w:iCs/>
          <w:color w:val="000000" w:themeColor="text1"/>
          <w:sz w:val="21"/>
          <w:szCs w:val="21"/>
          <w:lang w:val="es-ES"/>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17378C">
        <w:rPr>
          <w:rFonts w:ascii="Verdana" w:eastAsia="Calibri" w:hAnsi="Verdana" w:cs="Arial"/>
          <w:color w:val="000000" w:themeColor="text1"/>
          <w:sz w:val="21"/>
          <w:szCs w:val="21"/>
          <w:lang w:val="es-ES"/>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6FABF16D" w14:textId="77777777" w:rsidR="00AF21F2" w:rsidRPr="0017378C" w:rsidRDefault="00AF21F2" w:rsidP="00AF21F2">
      <w:pPr>
        <w:spacing w:after="0" w:line="276" w:lineRule="auto"/>
        <w:ind w:firstLine="709"/>
        <w:jc w:val="both"/>
        <w:rPr>
          <w:rFonts w:ascii="Verdana" w:eastAsia="Calibri" w:hAnsi="Verdana" w:cs="Arial"/>
          <w:color w:val="000000" w:themeColor="text1"/>
          <w:lang w:val="es-ES"/>
        </w:rPr>
      </w:pPr>
    </w:p>
    <w:p w14:paraId="3259C62E" w14:textId="77777777" w:rsidR="00AF21F2" w:rsidRPr="0017378C" w:rsidRDefault="00AF21F2" w:rsidP="00AF21F2">
      <w:pPr>
        <w:spacing w:after="120" w:line="276" w:lineRule="auto"/>
        <w:ind w:firstLine="709"/>
        <w:jc w:val="both"/>
        <w:rPr>
          <w:rFonts w:ascii="Verdana" w:eastAsia="Calibri" w:hAnsi="Verdana" w:cs="Arial"/>
          <w:color w:val="000000" w:themeColor="text1"/>
          <w:lang w:val="es-ES"/>
        </w:rPr>
      </w:pPr>
      <w:r w:rsidRPr="0017378C">
        <w:rPr>
          <w:rFonts w:ascii="Verdana" w:eastAsia="Calibri" w:hAnsi="Verdana" w:cs="Arial"/>
          <w:color w:val="000000" w:themeColor="text1"/>
          <w:lang w:val="es-ES"/>
        </w:rPr>
        <w:t>Aunque la principal característica de las ESAL es la ausencia de lucro, es decir, las ganancias o beneficios económicos no están destinados a repartirse en favor de los miembros ni de terceros,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3914959F" w14:textId="77777777" w:rsidR="00AF21F2" w:rsidRPr="0017378C" w:rsidRDefault="00AF21F2" w:rsidP="00AF21F2">
      <w:pPr>
        <w:spacing w:after="120" w:line="276" w:lineRule="auto"/>
        <w:ind w:firstLine="708"/>
        <w:jc w:val="both"/>
        <w:rPr>
          <w:rFonts w:ascii="Verdana" w:hAnsi="Verdana" w:cs="Arial"/>
          <w:color w:val="000000" w:themeColor="text1"/>
          <w:lang w:val="es-ES"/>
        </w:rPr>
      </w:pPr>
      <w:r w:rsidRPr="0017378C">
        <w:rPr>
          <w:rFonts w:ascii="Verdana" w:hAnsi="Verdana" w:cs="Arial"/>
          <w:color w:val="000000" w:themeColor="text1"/>
          <w:lang w:val="es-ES"/>
        </w:rPr>
        <w:t>Al margen de la explicación precedente debe advertirse que el análisis requerido para verificar la capacidad jurídica de las ESAL extranjeras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w:t>
      </w:r>
    </w:p>
    <w:p w14:paraId="65BCD677" w14:textId="77777777" w:rsidR="00AF21F2" w:rsidRPr="0017378C" w:rsidRDefault="00AF21F2" w:rsidP="00AF21F2">
      <w:pPr>
        <w:spacing w:after="0" w:line="276" w:lineRule="auto"/>
        <w:jc w:val="both"/>
        <w:rPr>
          <w:rFonts w:ascii="Verdana" w:eastAsia="Calibri" w:hAnsi="Verdana" w:cs="Arial"/>
          <w:lang w:val="es-ES"/>
        </w:rPr>
      </w:pPr>
    </w:p>
    <w:p w14:paraId="187C8E0A" w14:textId="77777777" w:rsidR="00AF21F2" w:rsidRPr="0017378C" w:rsidRDefault="00AF21F2" w:rsidP="00AF21F2">
      <w:pPr>
        <w:pStyle w:val="ListParagraph"/>
        <w:numPr>
          <w:ilvl w:val="0"/>
          <w:numId w:val="16"/>
        </w:numPr>
        <w:spacing w:line="276" w:lineRule="auto"/>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Referencias normativas, jurisprudenciales y otras fuentes:</w:t>
      </w:r>
    </w:p>
    <w:p w14:paraId="7D61E44E" w14:textId="77777777" w:rsidR="00AF21F2" w:rsidRPr="0017378C" w:rsidRDefault="00AF21F2" w:rsidP="00AF21F2">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F21F2" w:rsidRPr="0017378C" w14:paraId="39E8E33E" w14:textId="77777777" w:rsidTr="00553665">
        <w:trPr>
          <w:trHeight w:val="870"/>
        </w:trPr>
        <w:tc>
          <w:tcPr>
            <w:tcW w:w="8647" w:type="dxa"/>
          </w:tcPr>
          <w:p w14:paraId="2F8079E6" w14:textId="77777777" w:rsidR="00AF21F2" w:rsidRPr="00247EE5" w:rsidRDefault="00AF21F2" w:rsidP="00553665">
            <w:pPr>
              <w:pStyle w:val="ListParagraph"/>
              <w:widowControl w:val="0"/>
              <w:numPr>
                <w:ilvl w:val="0"/>
                <w:numId w:val="17"/>
              </w:numPr>
              <w:autoSpaceDE w:val="0"/>
              <w:autoSpaceDN w:val="0"/>
              <w:spacing w:line="276" w:lineRule="auto"/>
              <w:contextualSpacing w:val="0"/>
              <w:jc w:val="both"/>
              <w:rPr>
                <w:rFonts w:ascii="Verdana" w:hAnsi="Verdana" w:cs="Arial"/>
              </w:rPr>
            </w:pPr>
            <w:r w:rsidRPr="00247EE5">
              <w:rPr>
                <w:rFonts w:ascii="Verdana" w:hAnsi="Verdana" w:cs="Arial"/>
              </w:rPr>
              <w:t>Constitución Política de 1991, artículo 355.</w:t>
            </w:r>
          </w:p>
          <w:p w14:paraId="6ED1463E" w14:textId="77777777" w:rsidR="00AF21F2" w:rsidRPr="00247EE5" w:rsidRDefault="00AF21F2" w:rsidP="00553665">
            <w:pPr>
              <w:pStyle w:val="ListParagraph"/>
              <w:widowControl w:val="0"/>
              <w:numPr>
                <w:ilvl w:val="0"/>
                <w:numId w:val="17"/>
              </w:numPr>
              <w:autoSpaceDE w:val="0"/>
              <w:autoSpaceDN w:val="0"/>
              <w:spacing w:line="276" w:lineRule="auto"/>
              <w:contextualSpacing w:val="0"/>
              <w:jc w:val="both"/>
              <w:rPr>
                <w:rFonts w:ascii="Verdana" w:hAnsi="Verdana" w:cs="Arial"/>
              </w:rPr>
            </w:pPr>
            <w:r w:rsidRPr="00247EE5">
              <w:rPr>
                <w:rFonts w:ascii="Verdana" w:hAnsi="Verdana" w:cs="Arial"/>
              </w:rPr>
              <w:t>Ley 80 de 1993, artículo 6.</w:t>
            </w:r>
          </w:p>
          <w:p w14:paraId="6D80A29F" w14:textId="77777777" w:rsidR="00AF21F2" w:rsidRDefault="00AF21F2" w:rsidP="00553665">
            <w:pPr>
              <w:pStyle w:val="ListParagraph"/>
              <w:widowControl w:val="0"/>
              <w:numPr>
                <w:ilvl w:val="0"/>
                <w:numId w:val="17"/>
              </w:numPr>
              <w:autoSpaceDE w:val="0"/>
              <w:autoSpaceDN w:val="0"/>
              <w:spacing w:line="276" w:lineRule="auto"/>
              <w:contextualSpacing w:val="0"/>
              <w:jc w:val="both"/>
              <w:rPr>
                <w:rFonts w:ascii="Verdana" w:hAnsi="Verdana" w:cs="Arial"/>
              </w:rPr>
            </w:pPr>
            <w:r w:rsidRPr="00247EE5">
              <w:rPr>
                <w:rFonts w:ascii="Verdana" w:hAnsi="Verdana" w:cs="Arial"/>
              </w:rPr>
              <w:t>Decreto 092 de 2017, artículos 2, 3, 4, 5, 6, 7</w:t>
            </w:r>
            <w:r>
              <w:rPr>
                <w:rFonts w:ascii="Verdana" w:hAnsi="Verdana" w:cs="Arial"/>
              </w:rPr>
              <w:t xml:space="preserve">, </w:t>
            </w:r>
            <w:r w:rsidRPr="00247EE5">
              <w:rPr>
                <w:rFonts w:ascii="Verdana" w:hAnsi="Verdana" w:cs="Arial"/>
              </w:rPr>
              <w:t>8</w:t>
            </w:r>
            <w:r>
              <w:rPr>
                <w:rFonts w:ascii="Verdana" w:hAnsi="Verdana" w:cs="Arial"/>
              </w:rPr>
              <w:t xml:space="preserve"> y 9</w:t>
            </w:r>
            <w:r w:rsidRPr="00247EE5">
              <w:rPr>
                <w:rFonts w:ascii="Verdana" w:hAnsi="Verdana" w:cs="Arial"/>
              </w:rPr>
              <w:t xml:space="preserve">. </w:t>
            </w:r>
          </w:p>
          <w:p w14:paraId="7AEB8F64" w14:textId="5A7D2D52" w:rsidR="00AF21F2" w:rsidRPr="0017378C" w:rsidRDefault="00AF21F2" w:rsidP="00553665">
            <w:pPr>
              <w:pStyle w:val="ListParagraph"/>
              <w:widowControl w:val="0"/>
              <w:numPr>
                <w:ilvl w:val="0"/>
                <w:numId w:val="17"/>
              </w:numPr>
              <w:autoSpaceDE w:val="0"/>
              <w:autoSpaceDN w:val="0"/>
              <w:snapToGrid w:val="0"/>
              <w:spacing w:before="120" w:after="120" w:line="276" w:lineRule="auto"/>
              <w:contextualSpacing w:val="0"/>
              <w:jc w:val="both"/>
              <w:rPr>
                <w:rFonts w:ascii="Verdana" w:eastAsia="Calibri" w:hAnsi="Verdana" w:cs="Arial"/>
                <w:color w:val="000000" w:themeColor="text1"/>
              </w:rPr>
            </w:pPr>
            <w:r>
              <w:rPr>
                <w:rFonts w:ascii="Verdana" w:hAnsi="Verdana" w:cs="Arial"/>
              </w:rPr>
              <w:t xml:space="preserve">Agencia Nacional de Contratación Pública – Colombia Compra Eficiente. </w:t>
            </w:r>
            <w:r w:rsidRPr="007E6636">
              <w:rPr>
                <w:rFonts w:ascii="Verdana" w:hAnsi="Verdana"/>
              </w:rPr>
              <w:t>Guía para la contratación con entidades privadas sin ánimo de lucro y de reconocida idoneidad</w:t>
            </w:r>
            <w:r>
              <w:rPr>
                <w:rFonts w:ascii="Verdana" w:hAnsi="Verdana"/>
              </w:rPr>
              <w:t xml:space="preserve">. Disponible en: </w:t>
            </w:r>
            <w:hyperlink r:id="rId11" w:history="1">
              <w:r w:rsidRPr="00360601">
                <w:rPr>
                  <w:rStyle w:val="Hyperlink"/>
                  <w:rFonts w:ascii="Verdana" w:hAnsi="Verdana"/>
                </w:rPr>
                <w:t>https://www.colombiacompra.gov.co/archivos/manual/guia-para-la-contratacion-con-entidades-sin-animo-de-lucro-y-de-reconocida-idoneidad</w:t>
              </w:r>
            </w:hyperlink>
            <w:r>
              <w:rPr>
                <w:rFonts w:ascii="Verdana" w:hAnsi="Verdana"/>
              </w:rPr>
              <w:t xml:space="preserve"> </w:t>
            </w:r>
          </w:p>
        </w:tc>
      </w:tr>
    </w:tbl>
    <w:p w14:paraId="36629B5D" w14:textId="77777777" w:rsidR="00AF21F2" w:rsidRPr="0017378C" w:rsidRDefault="00AF21F2" w:rsidP="00AF21F2">
      <w:pPr>
        <w:widowControl w:val="0"/>
        <w:autoSpaceDE w:val="0"/>
        <w:autoSpaceDN w:val="0"/>
        <w:spacing w:after="0" w:line="276" w:lineRule="auto"/>
        <w:jc w:val="both"/>
        <w:rPr>
          <w:rFonts w:ascii="Verdana" w:hAnsi="Verdana" w:cs="Arial"/>
          <w:color w:val="000000" w:themeColor="text1"/>
          <w:lang w:val="es-ES"/>
        </w:rPr>
      </w:pPr>
    </w:p>
    <w:p w14:paraId="7FEF1074" w14:textId="77777777" w:rsidR="00AF21F2" w:rsidRPr="0017378C" w:rsidRDefault="00AF21F2" w:rsidP="00AF21F2">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7378C">
        <w:rPr>
          <w:rFonts w:ascii="Verdana" w:eastAsia="Century Gothic" w:hAnsi="Verdana" w:cs="Century Gothic"/>
          <w:b/>
          <w:bCs/>
          <w:color w:val="000000" w:themeColor="text1"/>
        </w:rPr>
        <w:t>Doctrina de la Agencia Nacional de Contratación Pública:</w:t>
      </w:r>
    </w:p>
    <w:p w14:paraId="115731E6" w14:textId="77777777" w:rsidR="00AF21F2" w:rsidRPr="0017378C" w:rsidRDefault="00AF21F2" w:rsidP="00AF21F2">
      <w:pPr>
        <w:widowControl w:val="0"/>
        <w:autoSpaceDE w:val="0"/>
        <w:autoSpaceDN w:val="0"/>
        <w:spacing w:after="0" w:line="276" w:lineRule="auto"/>
        <w:jc w:val="both"/>
        <w:rPr>
          <w:rFonts w:ascii="Verdana" w:hAnsi="Verdana" w:cs="Arial"/>
          <w:color w:val="000000" w:themeColor="text1"/>
          <w:lang w:val="es-ES"/>
        </w:rPr>
      </w:pPr>
    </w:p>
    <w:p w14:paraId="5921EC7E" w14:textId="77777777" w:rsidR="00AF21F2" w:rsidRPr="0017378C" w:rsidRDefault="00AF21F2" w:rsidP="00AF21F2">
      <w:pPr>
        <w:jc w:val="both"/>
        <w:rPr>
          <w:rFonts w:ascii="Verdana" w:eastAsia="Calibri" w:hAnsi="Verdana" w:cs="Arial"/>
          <w:b/>
          <w:bCs/>
          <w:lang w:val="es-ES" w:eastAsia="es-ES"/>
        </w:rPr>
      </w:pPr>
      <w:r w:rsidRPr="0017378C">
        <w:rPr>
          <w:rStyle w:val="normaltextrun"/>
          <w:rFonts w:ascii="Verdana" w:hAnsi="Verdana" w:cs="Arial"/>
          <w:color w:val="000000" w:themeColor="text1"/>
          <w:shd w:val="clear" w:color="auto" w:fill="FFFFFF"/>
          <w:lang w:val="es-ES"/>
        </w:rPr>
        <w:t xml:space="preserve">La Agencia Nacional de Contratación Pública – Colombia Compra Eficiente se ha referido a </w:t>
      </w:r>
      <w:proofErr w:type="spellStart"/>
      <w:r w:rsidRPr="0017378C">
        <w:rPr>
          <w:rStyle w:val="normaltextrun"/>
          <w:rFonts w:ascii="Verdana" w:hAnsi="Verdana" w:cs="Arial"/>
          <w:color w:val="000000" w:themeColor="text1"/>
          <w:shd w:val="clear" w:color="auto" w:fill="FFFFFF"/>
          <w:lang w:val="es-ES"/>
        </w:rPr>
        <w:t>el</w:t>
      </w:r>
      <w:proofErr w:type="spellEnd"/>
      <w:r w:rsidRPr="0017378C">
        <w:rPr>
          <w:rStyle w:val="normaltextrun"/>
          <w:rFonts w:ascii="Verdana" w:hAnsi="Verdana" w:cs="Arial"/>
          <w:color w:val="000000" w:themeColor="text1"/>
          <w:shd w:val="clear" w:color="auto" w:fill="FFFFFF"/>
          <w:lang w:val="es-ES"/>
        </w:rPr>
        <w:t xml:space="preserve"> </w:t>
      </w:r>
      <w:r w:rsidRPr="0017378C">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sidRPr="0017378C">
        <w:rPr>
          <w:rFonts w:ascii="Verdana" w:eastAsia="Calibri" w:hAnsi="Verdana" w:cs="Arial"/>
          <w:lang w:val="es-ES" w:eastAsia="es-ES"/>
        </w:rPr>
        <w:t>C-875 del 13 de agosto de 2025 y</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C-1384 del 5 de noviembre de 2025, entre otros</w:t>
      </w:r>
      <w:r w:rsidRPr="0017378C">
        <w:rPr>
          <w:rFonts w:ascii="Verdana" w:hAnsi="Verdana"/>
          <w:lang w:val="es-ES"/>
        </w:rPr>
        <w:t xml:space="preserve">. </w:t>
      </w:r>
    </w:p>
    <w:p w14:paraId="057A7080" w14:textId="77777777" w:rsidR="00AF21F2" w:rsidRPr="0017378C" w:rsidRDefault="00AF21F2" w:rsidP="00AF21F2">
      <w:pPr>
        <w:spacing w:after="0" w:line="276" w:lineRule="auto"/>
        <w:jc w:val="both"/>
        <w:rPr>
          <w:rStyle w:val="normaltextrun"/>
          <w:rFonts w:ascii="Arial" w:eastAsia="Calibri" w:hAnsi="Arial" w:cs="Arial"/>
          <w:b/>
          <w:bCs/>
          <w:lang w:val="es-ES" w:eastAsia="es-ES_tradnl"/>
        </w:rPr>
      </w:pPr>
      <w:r w:rsidRPr="0017378C">
        <w:rPr>
          <w:rStyle w:val="normaltextrun"/>
          <w:rFonts w:ascii="Verdana" w:hAnsi="Verdana" w:cs="Arial"/>
          <w:shd w:val="clear" w:color="auto" w:fill="FFFFFF"/>
          <w:lang w:val="es-ES"/>
        </w:rPr>
        <w:t xml:space="preserve">También </w:t>
      </w:r>
      <w:r w:rsidRPr="0017378C">
        <w:rPr>
          <w:rFonts w:ascii="Verdana" w:hAnsi="Verdana" w:cs="Arial"/>
          <w:lang w:val="es-ES"/>
        </w:rPr>
        <w:t xml:space="preserve">se ha pronunciado sobre los aspectos que deben tener en cuenta los oferentes extranjeros en los conceptos con radicado: 2201913000007348 del 3 de octubre de 2019, C–164 del 14 de abril de 2020, C-261 del 15 de abril de 2020, C-304 del 21 de mayo de 2020, C-324 del 17 de marzo de 2020, C-441 del 24 de julio de 2020, C-532 del 28 de septiembre de 2021 y C-855 del 12 de </w:t>
      </w:r>
      <w:r w:rsidRPr="0017378C">
        <w:rPr>
          <w:rFonts w:ascii="Verdana" w:hAnsi="Verdana" w:cs="Arial"/>
          <w:lang w:val="es-ES"/>
        </w:rPr>
        <w:lastRenderedPageBreak/>
        <w:t xml:space="preserve">diciembre de 2022. </w:t>
      </w:r>
      <w:r w:rsidRPr="0017378C">
        <w:rPr>
          <w:rStyle w:val="normaltextrun"/>
          <w:rFonts w:ascii="Verdana" w:hAnsi="Verdana" w:cs="Arial"/>
          <w:shd w:val="clear" w:color="auto" w:fill="FFFFFF"/>
          <w:lang w:val="es-ES"/>
        </w:rPr>
        <w:t>Estos y otros conceptos se encuentran disponibles para consulta en el Sistema de relatoría de la Agencia</w:t>
      </w:r>
      <w:r w:rsidRPr="0017378C">
        <w:rPr>
          <w:rFonts w:ascii="Verdana" w:hAnsi="Verdana"/>
          <w:lang w:val="es-ES"/>
        </w:rPr>
        <w:t>, al cual puede accederse a través del siguiente enlace:</w:t>
      </w:r>
      <w:r w:rsidRPr="0017378C">
        <w:rPr>
          <w:rStyle w:val="normaltextrun"/>
          <w:rFonts w:ascii="Verdana" w:hAnsi="Verdana" w:cs="Arial"/>
          <w:shd w:val="clear" w:color="auto" w:fill="FFFFFF"/>
          <w:lang w:val="es-ES"/>
        </w:rPr>
        <w:t xml:space="preserve"> </w:t>
      </w:r>
      <w:hyperlink r:id="rId12" w:history="1">
        <w:r w:rsidRPr="0017378C">
          <w:rPr>
            <w:rStyle w:val="Hyperlink"/>
            <w:rFonts w:ascii="Verdana" w:hAnsi="Verdana" w:cs="Arial"/>
            <w:shd w:val="clear" w:color="auto" w:fill="FFFFFF"/>
            <w:lang w:val="es-ES"/>
          </w:rPr>
          <w:t>https://relatoria.colombiacompra.gov.co/busqueda/conceptos</w:t>
        </w:r>
      </w:hyperlink>
      <w:r w:rsidRPr="0017378C">
        <w:rPr>
          <w:rStyle w:val="normaltextrun"/>
          <w:rFonts w:ascii="Verdana" w:hAnsi="Verdana" w:cs="Arial"/>
          <w:shd w:val="clear" w:color="auto" w:fill="FFFFFF"/>
          <w:lang w:val="es-ES"/>
        </w:rPr>
        <w:t>.</w:t>
      </w:r>
      <w:r w:rsidRPr="0017378C">
        <w:rPr>
          <w:rStyle w:val="normaltextrun"/>
          <w:rFonts w:ascii="Verdana" w:hAnsi="Verdana" w:cs="Arial"/>
          <w:color w:val="FF0000"/>
          <w:shd w:val="clear" w:color="auto" w:fill="FFFFFF"/>
          <w:lang w:val="es-ES"/>
        </w:rPr>
        <w:t xml:space="preserve"> </w:t>
      </w:r>
    </w:p>
    <w:p w14:paraId="453A7FFE" w14:textId="77777777" w:rsidR="00AF21F2" w:rsidRPr="0017378C" w:rsidRDefault="00AF21F2" w:rsidP="00AF21F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04D1487" w14:textId="77777777" w:rsidR="00AF21F2" w:rsidRPr="0017378C" w:rsidRDefault="00AF21F2" w:rsidP="00AF21F2">
      <w:pPr>
        <w:spacing w:after="0" w:line="276" w:lineRule="auto"/>
        <w:jc w:val="both"/>
        <w:rPr>
          <w:rFonts w:ascii="Verdana" w:hAnsi="Verdana"/>
          <w:lang w:val="es-ES"/>
        </w:rPr>
      </w:pPr>
      <w:r w:rsidRPr="0017378C">
        <w:rPr>
          <w:rFonts w:ascii="Verdana" w:hAnsi="Verdana"/>
          <w:lang w:val="es-ES"/>
        </w:rPr>
        <w:t xml:space="preserve">Por último, lo invitamos a seguirnos en las redes sociales en las cuales se difunde información institucional: </w:t>
      </w:r>
    </w:p>
    <w:p w14:paraId="58197667" w14:textId="77777777" w:rsidR="00AF21F2" w:rsidRPr="0017378C" w:rsidRDefault="00AF21F2" w:rsidP="00AF21F2">
      <w:pPr>
        <w:spacing w:after="0" w:line="276" w:lineRule="auto"/>
        <w:jc w:val="both"/>
        <w:rPr>
          <w:rFonts w:ascii="Verdana" w:hAnsi="Verdana"/>
          <w:lang w:val="es-ES"/>
        </w:rPr>
      </w:pPr>
    </w:p>
    <w:p w14:paraId="63E034E4" w14:textId="77777777" w:rsidR="00AF21F2" w:rsidRPr="0017378C" w:rsidRDefault="00AF21F2" w:rsidP="00AF21F2">
      <w:pPr>
        <w:spacing w:after="0" w:line="276" w:lineRule="auto"/>
        <w:jc w:val="both"/>
        <w:rPr>
          <w:rFonts w:ascii="Verdana" w:hAnsi="Verdana"/>
          <w:lang w:val="es-ES"/>
        </w:rPr>
      </w:pPr>
      <w:r w:rsidRPr="0017378C">
        <w:rPr>
          <w:rFonts w:ascii="Verdana" w:hAnsi="Verdana"/>
          <w:lang w:val="es-ES"/>
        </w:rPr>
        <w:t xml:space="preserve">Twitter: </w:t>
      </w:r>
      <w:r w:rsidRPr="0017378C">
        <w:rPr>
          <w:rStyle w:val="Hyperlink"/>
          <w:rFonts w:ascii="Verdana" w:hAnsi="Verdana" w:cs="Arial"/>
          <w:shd w:val="clear" w:color="auto" w:fill="FFFFFF"/>
          <w:lang w:val="es-ES"/>
        </w:rPr>
        <w:t>@colombiacompra</w:t>
      </w:r>
      <w:r w:rsidRPr="0017378C">
        <w:rPr>
          <w:rFonts w:ascii="Verdana" w:hAnsi="Verdana"/>
          <w:color w:val="4472C4" w:themeColor="accent1"/>
          <w:lang w:val="es-ES"/>
        </w:rPr>
        <w:t xml:space="preserve"> </w:t>
      </w:r>
    </w:p>
    <w:p w14:paraId="2B5A091D" w14:textId="77777777" w:rsidR="00AF21F2" w:rsidRPr="0017378C" w:rsidRDefault="00AF21F2" w:rsidP="00AF21F2">
      <w:pPr>
        <w:spacing w:after="0" w:line="276" w:lineRule="auto"/>
        <w:jc w:val="both"/>
        <w:rPr>
          <w:rFonts w:ascii="Verdana" w:hAnsi="Verdana"/>
          <w:lang w:val="es-ES"/>
        </w:rPr>
      </w:pPr>
      <w:r w:rsidRPr="0017378C">
        <w:rPr>
          <w:rFonts w:ascii="Verdana" w:hAnsi="Verdana"/>
          <w:lang w:val="es-ES"/>
        </w:rPr>
        <w:t xml:space="preserve">Facebook: </w:t>
      </w:r>
      <w:proofErr w:type="spellStart"/>
      <w:r w:rsidRPr="0017378C">
        <w:rPr>
          <w:rStyle w:val="Hyperlink"/>
          <w:rFonts w:ascii="Verdana" w:hAnsi="Verdana" w:cs="Arial"/>
          <w:shd w:val="clear" w:color="auto" w:fill="FFFFFF"/>
          <w:lang w:val="es-ES"/>
        </w:rPr>
        <w:t>ColombiaCompraEficiente</w:t>
      </w:r>
      <w:proofErr w:type="spellEnd"/>
    </w:p>
    <w:p w14:paraId="381C61CC" w14:textId="77777777" w:rsidR="00AF21F2" w:rsidRPr="0017378C" w:rsidRDefault="00AF21F2" w:rsidP="00AF21F2">
      <w:pPr>
        <w:spacing w:after="0" w:line="276" w:lineRule="auto"/>
        <w:jc w:val="both"/>
        <w:rPr>
          <w:rFonts w:ascii="Verdana" w:hAnsi="Verdana"/>
          <w:lang w:val="es-ES"/>
        </w:rPr>
      </w:pPr>
      <w:r w:rsidRPr="0017378C">
        <w:rPr>
          <w:rFonts w:ascii="Verdana" w:hAnsi="Verdana"/>
          <w:lang w:val="es-ES"/>
        </w:rPr>
        <w:t xml:space="preserve">LinkedIn: </w:t>
      </w:r>
      <w:r w:rsidRPr="0017378C">
        <w:rPr>
          <w:rStyle w:val="Hyperlink"/>
          <w:rFonts w:ascii="Verdana" w:hAnsi="Verdana" w:cs="Arial"/>
          <w:shd w:val="clear" w:color="auto" w:fill="FFFFFF"/>
          <w:lang w:val="es-ES"/>
        </w:rPr>
        <w:t xml:space="preserve">Agencia Nacional de Contratación Pública - Colombia Compra Eficiente </w:t>
      </w:r>
      <w:r w:rsidRPr="0017378C">
        <w:rPr>
          <w:rFonts w:ascii="Verdana" w:hAnsi="Verdana"/>
          <w:lang w:val="es-ES"/>
        </w:rPr>
        <w:t xml:space="preserve">Instagram: </w:t>
      </w:r>
      <w:r w:rsidRPr="0017378C">
        <w:rPr>
          <w:rStyle w:val="Hyperlink"/>
          <w:rFonts w:ascii="Verdana" w:hAnsi="Verdana" w:cs="Arial"/>
          <w:shd w:val="clear" w:color="auto" w:fill="FFFFFF"/>
          <w:lang w:val="es-ES"/>
        </w:rPr>
        <w:t>@colombiacompraeficiente_cce</w:t>
      </w:r>
    </w:p>
    <w:p w14:paraId="33E094CB" w14:textId="77777777" w:rsidR="00AF21F2" w:rsidRPr="0017378C" w:rsidRDefault="00AF21F2" w:rsidP="00AF21F2">
      <w:pPr>
        <w:widowControl w:val="0"/>
        <w:autoSpaceDE w:val="0"/>
        <w:autoSpaceDN w:val="0"/>
        <w:spacing w:after="0" w:line="276" w:lineRule="auto"/>
        <w:jc w:val="both"/>
        <w:rPr>
          <w:rFonts w:ascii="Verdana" w:hAnsi="Verdana" w:cs="Arial"/>
          <w:color w:val="000000" w:themeColor="text1"/>
          <w:lang w:val="es-ES"/>
        </w:rPr>
      </w:pPr>
    </w:p>
    <w:p w14:paraId="49B906BD" w14:textId="0594C76A" w:rsidR="00AF21F2" w:rsidRPr="0017378C" w:rsidRDefault="00AF21F2" w:rsidP="00AF21F2">
      <w:pPr>
        <w:widowControl w:val="0"/>
        <w:autoSpaceDE w:val="0"/>
        <w:autoSpaceDN w:val="0"/>
        <w:spacing w:after="0" w:line="276" w:lineRule="auto"/>
        <w:jc w:val="both"/>
        <w:rPr>
          <w:rFonts w:ascii="Verdana" w:hAnsi="Verdana" w:cs="Arial"/>
          <w:color w:val="000000" w:themeColor="text1"/>
          <w:lang w:val="es-ES"/>
        </w:rPr>
      </w:pPr>
      <w:r w:rsidRPr="0017378C">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A445614" w14:textId="2A1A56E6" w:rsidR="00AF21F2" w:rsidRPr="0017378C" w:rsidRDefault="00AF21F2" w:rsidP="00AF21F2">
      <w:pPr>
        <w:widowControl w:val="0"/>
        <w:autoSpaceDE w:val="0"/>
        <w:autoSpaceDN w:val="0"/>
        <w:spacing w:after="0" w:line="276" w:lineRule="auto"/>
        <w:jc w:val="both"/>
        <w:rPr>
          <w:rFonts w:ascii="Verdana" w:hAnsi="Verdana" w:cs="Arial"/>
          <w:color w:val="000000" w:themeColor="text1"/>
          <w:lang w:val="es-ES"/>
        </w:rPr>
      </w:pPr>
    </w:p>
    <w:p w14:paraId="0AA719CE" w14:textId="0CF55454" w:rsidR="00AF21F2" w:rsidRPr="0017378C" w:rsidRDefault="00AF21F2" w:rsidP="00AF21F2">
      <w:pPr>
        <w:spacing w:after="0" w:line="276" w:lineRule="auto"/>
        <w:rPr>
          <w:rFonts w:ascii="Verdana" w:hAnsi="Verdana" w:cs="Arial"/>
          <w:color w:val="000000" w:themeColor="text1"/>
          <w:lang w:val="es-ES" w:eastAsia="es-CO"/>
        </w:rPr>
      </w:pPr>
      <w:r w:rsidRPr="0017378C">
        <w:rPr>
          <w:rFonts w:ascii="Verdana" w:eastAsia="Times New Roman" w:hAnsi="Verdana" w:cs="Arial"/>
          <w:color w:val="000000" w:themeColor="text1"/>
          <w:lang w:val="es-ES" w:eastAsia="es-CO"/>
        </w:rPr>
        <w:t>Atentamente,</w:t>
      </w:r>
      <w:r w:rsidRPr="0017378C">
        <w:rPr>
          <w:rFonts w:ascii="Verdana" w:hAnsi="Verdana" w:cs="Arial"/>
          <w:color w:val="000000" w:themeColor="text1"/>
          <w:lang w:val="es-ES" w:eastAsia="es-CO"/>
        </w:rPr>
        <w:t xml:space="preserve"> </w:t>
      </w:r>
    </w:p>
    <w:bookmarkEnd w:id="0"/>
    <w:p w14:paraId="4795B3D3" w14:textId="3AB0CB98" w:rsidR="00AF21F2" w:rsidRPr="0017378C" w:rsidRDefault="00E83CF7" w:rsidP="00AF21F2">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23C6D48D" wp14:editId="38A21F6C">
            <wp:simplePos x="0" y="0"/>
            <wp:positionH relativeFrom="column">
              <wp:posOffset>1034415</wp:posOffset>
            </wp:positionH>
            <wp:positionV relativeFrom="paragraph">
              <wp:posOffset>184150</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F21F2" w:rsidRPr="0017378C" w14:paraId="2CBF95A2" w14:textId="77777777" w:rsidTr="00553665">
        <w:trPr>
          <w:trHeight w:val="315"/>
        </w:trPr>
        <w:tc>
          <w:tcPr>
            <w:tcW w:w="893" w:type="dxa"/>
            <w:vAlign w:val="center"/>
            <w:hideMark/>
          </w:tcPr>
          <w:p w14:paraId="55208423" w14:textId="77777777" w:rsidR="00AF21F2" w:rsidRPr="0017378C" w:rsidRDefault="00AF21F2" w:rsidP="00553665">
            <w:pPr>
              <w:contextualSpacing/>
              <w:rPr>
                <w:rFonts w:ascii="Verdana" w:hAnsi="Verdana" w:cs="Arial"/>
                <w:sz w:val="16"/>
                <w:szCs w:val="16"/>
                <w:lang w:val="es-ES" w:eastAsia="es-ES"/>
              </w:rPr>
            </w:pPr>
            <w:r w:rsidRPr="0017378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B7A0E6D" w14:textId="1E604574" w:rsidR="00AF21F2" w:rsidRPr="0017378C" w:rsidRDefault="00AF21F2" w:rsidP="00553665">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Anamaría Bonilla Prieto</w:t>
            </w:r>
          </w:p>
          <w:p w14:paraId="74885206" w14:textId="77777777" w:rsidR="00AF21F2" w:rsidRPr="0017378C" w:rsidRDefault="00AF21F2" w:rsidP="00553665">
            <w:pPr>
              <w:contextualSpacing/>
              <w:rPr>
                <w:rFonts w:ascii="Verdana" w:eastAsia="Arial" w:hAnsi="Verdana" w:cs="Arial"/>
                <w:sz w:val="16"/>
                <w:szCs w:val="16"/>
                <w:lang w:val="es-ES"/>
              </w:rPr>
            </w:pPr>
            <w:r w:rsidRPr="0017378C">
              <w:rPr>
                <w:rStyle w:val="normaltextrun"/>
                <w:rFonts w:ascii="Verdana" w:eastAsia="Arial" w:hAnsi="Verdana" w:cs="Arial"/>
                <w:color w:val="000000" w:themeColor="text1"/>
                <w:sz w:val="16"/>
                <w:szCs w:val="16"/>
                <w:lang w:val="es-ES"/>
              </w:rPr>
              <w:t xml:space="preserve">Contratista de la Subdirección </w:t>
            </w:r>
            <w:r w:rsidRPr="0017378C">
              <w:rPr>
                <w:rStyle w:val="normaltextrun"/>
                <w:rFonts w:ascii="Verdana" w:eastAsia="Arial" w:hAnsi="Verdana" w:cs="Arial"/>
                <w:sz w:val="16"/>
                <w:szCs w:val="16"/>
                <w:lang w:val="es-ES"/>
              </w:rPr>
              <w:t>de Gestión Contractual</w:t>
            </w:r>
          </w:p>
        </w:tc>
      </w:tr>
      <w:tr w:rsidR="00AF21F2" w:rsidRPr="0017378C" w14:paraId="7E570660" w14:textId="77777777" w:rsidTr="00553665">
        <w:trPr>
          <w:trHeight w:val="330"/>
        </w:trPr>
        <w:tc>
          <w:tcPr>
            <w:tcW w:w="893" w:type="dxa"/>
            <w:vAlign w:val="center"/>
            <w:hideMark/>
          </w:tcPr>
          <w:p w14:paraId="4CDC3F98" w14:textId="77777777" w:rsidR="00AF21F2" w:rsidRPr="0017378C" w:rsidRDefault="00AF21F2" w:rsidP="00553665">
            <w:pPr>
              <w:contextualSpacing/>
              <w:rPr>
                <w:rFonts w:ascii="Verdana" w:hAnsi="Verdana" w:cs="Arial"/>
                <w:sz w:val="16"/>
                <w:szCs w:val="16"/>
                <w:lang w:val="es-ES" w:eastAsia="es-ES"/>
              </w:rPr>
            </w:pPr>
            <w:r w:rsidRPr="0017378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807898" w14:textId="44A28BD3" w:rsidR="00AF21F2" w:rsidRPr="0017378C" w:rsidRDefault="00AF21F2" w:rsidP="00553665">
            <w:pPr>
              <w:contextualSpacing/>
              <w:rPr>
                <w:rFonts w:ascii="Verdana" w:eastAsia="Arial" w:hAnsi="Verdana" w:cs="Arial"/>
                <w:color w:val="000000" w:themeColor="text1"/>
                <w:sz w:val="16"/>
                <w:szCs w:val="16"/>
                <w:lang w:val="es-ES"/>
              </w:rPr>
            </w:pPr>
            <w:r w:rsidRPr="0017378C">
              <w:rPr>
                <w:rFonts w:ascii="Verdana" w:eastAsia="Arial" w:hAnsi="Verdana" w:cs="Arial"/>
                <w:color w:val="000000" w:themeColor="text1"/>
                <w:sz w:val="16"/>
                <w:szCs w:val="16"/>
                <w:lang w:val="es-ES"/>
              </w:rPr>
              <w:t>Alejandro Sarmiento Cantillo</w:t>
            </w:r>
          </w:p>
          <w:p w14:paraId="339F38E9" w14:textId="77777777" w:rsidR="00AF21F2" w:rsidRPr="0017378C" w:rsidRDefault="00AF21F2" w:rsidP="00553665">
            <w:pPr>
              <w:contextualSpacing/>
              <w:rPr>
                <w:rFonts w:ascii="Verdana" w:hAnsi="Verdana" w:cs="Segoe UI"/>
                <w:sz w:val="16"/>
                <w:szCs w:val="16"/>
                <w:lang w:val="es-ES"/>
              </w:rPr>
            </w:pPr>
            <w:r w:rsidRPr="0017378C">
              <w:rPr>
                <w:rFonts w:ascii="Verdana" w:eastAsia="Arial" w:hAnsi="Verdana" w:cs="Arial"/>
                <w:color w:val="000000" w:themeColor="text1"/>
                <w:sz w:val="16"/>
                <w:szCs w:val="16"/>
                <w:lang w:val="es-ES"/>
              </w:rPr>
              <w:t>Gestor T1 – 15 de la Subdirección de Gestión Contractual</w:t>
            </w:r>
            <w:r w:rsidRPr="0017378C">
              <w:rPr>
                <w:rFonts w:ascii="Verdana" w:hAnsi="Verdana" w:cs="Segoe UI"/>
                <w:sz w:val="16"/>
                <w:szCs w:val="16"/>
                <w:lang w:val="es-ES"/>
              </w:rPr>
              <w:t> </w:t>
            </w:r>
          </w:p>
        </w:tc>
      </w:tr>
      <w:tr w:rsidR="00AF21F2" w:rsidRPr="0017378C" w14:paraId="0A598FEB" w14:textId="77777777" w:rsidTr="00553665">
        <w:trPr>
          <w:trHeight w:val="300"/>
        </w:trPr>
        <w:tc>
          <w:tcPr>
            <w:tcW w:w="893" w:type="dxa"/>
            <w:vAlign w:val="center"/>
          </w:tcPr>
          <w:p w14:paraId="6B9C98DE" w14:textId="77777777" w:rsidR="00AF21F2" w:rsidRPr="0017378C" w:rsidRDefault="00AF21F2" w:rsidP="00553665">
            <w:pPr>
              <w:contextualSpacing/>
              <w:rPr>
                <w:rFonts w:ascii="Verdana" w:hAnsi="Verdana" w:cs="Arial"/>
                <w:sz w:val="16"/>
                <w:szCs w:val="16"/>
                <w:lang w:val="es-ES" w:eastAsia="es-ES"/>
              </w:rPr>
            </w:pPr>
            <w:r w:rsidRPr="0017378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1A1708F" w14:textId="26054AC4" w:rsidR="00AF21F2" w:rsidRPr="0017378C" w:rsidRDefault="00AF21F2" w:rsidP="00553665">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Carolina Quintero Gacharná</w:t>
            </w:r>
          </w:p>
          <w:p w14:paraId="59681E26" w14:textId="77777777" w:rsidR="00AF21F2" w:rsidRPr="0017378C" w:rsidRDefault="00AF21F2" w:rsidP="00553665">
            <w:pPr>
              <w:contextualSpacing/>
              <w:rPr>
                <w:rFonts w:ascii="Verdana" w:eastAsia="Calibri" w:hAnsi="Verdana" w:cs="Arial"/>
                <w:sz w:val="16"/>
                <w:szCs w:val="16"/>
                <w:lang w:val="es-ES" w:eastAsia="es-ES"/>
              </w:rPr>
            </w:pPr>
            <w:r w:rsidRPr="0017378C">
              <w:rPr>
                <w:rFonts w:ascii="Verdana" w:eastAsia="Calibri" w:hAnsi="Verdana" w:cs="Arial"/>
                <w:sz w:val="16"/>
                <w:szCs w:val="16"/>
                <w:lang w:val="es-ES" w:eastAsia="es-ES"/>
              </w:rPr>
              <w:t>Subdirectora de Gestión Contractual ANCP – CCE</w:t>
            </w:r>
          </w:p>
        </w:tc>
      </w:tr>
    </w:tbl>
    <w:p w14:paraId="28F2E45E" w14:textId="5E0B2EFC" w:rsidR="00AF21F2" w:rsidRPr="0017378C" w:rsidRDefault="00AF21F2" w:rsidP="00AF21F2">
      <w:pPr>
        <w:rPr>
          <w:lang w:val="es-ES"/>
        </w:rPr>
      </w:pPr>
    </w:p>
    <w:p w14:paraId="0F293BF4" w14:textId="35ECBBE7" w:rsidR="00127233" w:rsidRPr="00AF21F2" w:rsidRDefault="00127233" w:rsidP="00AF21F2"/>
    <w:sectPr w:rsidR="00127233" w:rsidRPr="00AF21F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6CE031" w14:textId="77777777" w:rsidR="00C23AFA" w:rsidRDefault="00C23AFA" w:rsidP="004A1847">
      <w:pPr>
        <w:spacing w:after="0" w:line="240" w:lineRule="auto"/>
      </w:pPr>
      <w:r>
        <w:separator/>
      </w:r>
    </w:p>
  </w:endnote>
  <w:endnote w:type="continuationSeparator" w:id="0">
    <w:p w14:paraId="60558C80" w14:textId="77777777" w:rsidR="00C23AFA" w:rsidRDefault="00C23AFA" w:rsidP="004A1847">
      <w:pPr>
        <w:spacing w:after="0" w:line="240" w:lineRule="auto"/>
      </w:pPr>
      <w:r>
        <w:continuationSeparator/>
      </w:r>
    </w:p>
  </w:endnote>
  <w:endnote w:type="continuationNotice" w:id="1">
    <w:p w14:paraId="7B059AA3" w14:textId="77777777" w:rsidR="00C23AFA" w:rsidRDefault="00C23A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BDE0BD" w14:textId="77777777" w:rsidR="00C23AFA" w:rsidRDefault="00C23AFA" w:rsidP="004A1847">
      <w:pPr>
        <w:spacing w:after="0" w:line="240" w:lineRule="auto"/>
      </w:pPr>
      <w:r>
        <w:separator/>
      </w:r>
    </w:p>
  </w:footnote>
  <w:footnote w:type="continuationSeparator" w:id="0">
    <w:p w14:paraId="6C03A853" w14:textId="77777777" w:rsidR="00C23AFA" w:rsidRDefault="00C23AFA" w:rsidP="004A1847">
      <w:pPr>
        <w:spacing w:after="0" w:line="240" w:lineRule="auto"/>
      </w:pPr>
      <w:r>
        <w:continuationSeparator/>
      </w:r>
    </w:p>
  </w:footnote>
  <w:footnote w:type="continuationNotice" w:id="1">
    <w:p w14:paraId="145D871E" w14:textId="77777777" w:rsidR="00C23AFA" w:rsidRDefault="00C23AFA">
      <w:pPr>
        <w:spacing w:after="0" w:line="240" w:lineRule="auto"/>
      </w:pPr>
    </w:p>
  </w:footnote>
  <w:footnote w:id="2">
    <w:p w14:paraId="05075A7C" w14:textId="77777777" w:rsidR="00AF21F2" w:rsidRPr="00D54D27" w:rsidRDefault="00AF21F2" w:rsidP="00AF21F2">
      <w:pPr>
        <w:pStyle w:val="FootnoteText"/>
        <w:ind w:firstLine="709"/>
        <w:jc w:val="both"/>
        <w:rPr>
          <w:rFonts w:ascii="Verdana" w:hAnsi="Verdana"/>
          <w:sz w:val="16"/>
          <w:szCs w:val="16"/>
          <w:lang w:val="es-ES"/>
        </w:rPr>
      </w:pPr>
      <w:r w:rsidRPr="00D54D27">
        <w:rPr>
          <w:rStyle w:val="FootnoteReference"/>
          <w:rFonts w:ascii="Verdana" w:hAnsi="Verdana"/>
          <w:sz w:val="16"/>
          <w:szCs w:val="16"/>
        </w:rPr>
        <w:footnoteRef/>
      </w:r>
      <w:r w:rsidRPr="00D54D27">
        <w:rPr>
          <w:rFonts w:ascii="Verdana" w:hAnsi="Verdana"/>
          <w:sz w:val="16"/>
          <w:szCs w:val="16"/>
        </w:rPr>
        <w:t xml:space="preserve"> Artículo 6o. De la capacidad para contratar. Pueden celebrar contratos con las entidades estatales las personas consideradas legalmente capaces en las disposiciones vigentes</w:t>
      </w:r>
    </w:p>
  </w:footnote>
  <w:footnote w:id="3">
    <w:p w14:paraId="0626ECF7"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Style w:val="FootnoteReferenc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w:t>
      </w:r>
      <w:r w:rsidRPr="00D54D27">
        <w:rPr>
          <w:rFonts w:ascii="Verdana" w:hAnsi="Verdana" w:cs="Arial"/>
          <w:color w:val="000000" w:themeColor="text1"/>
          <w:sz w:val="16"/>
          <w:szCs w:val="16"/>
        </w:rPr>
        <w:t>Al respecto, la Ley 489 de 1998 dispone que “Artículo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1E5D6FC3"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Fonts w:ascii="Verdana" w:hAnsi="Verdana" w:cs="Arial"/>
          <w:color w:val="000000" w:themeColor="text1"/>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01954FE1" w14:textId="77777777" w:rsidR="00AF21F2" w:rsidRPr="00D54D27" w:rsidRDefault="00AF21F2" w:rsidP="00AF21F2">
      <w:pPr>
        <w:pStyle w:val="FootnoteText"/>
        <w:ind w:firstLine="709"/>
        <w:jc w:val="both"/>
        <w:rPr>
          <w:rFonts w:ascii="Verdana" w:hAnsi="Verdana" w:cs="Arial"/>
          <w:color w:val="000000" w:themeColor="text1"/>
          <w:sz w:val="16"/>
          <w:szCs w:val="16"/>
          <w:lang w:val="es-ES"/>
        </w:rPr>
      </w:pPr>
      <w:r w:rsidRPr="00D54D27">
        <w:rPr>
          <w:rFonts w:ascii="Verdana" w:hAnsi="Verdana" w:cs="Arial"/>
          <w:color w:val="000000" w:themeColor="text1"/>
          <w:sz w:val="16"/>
          <w:szCs w:val="16"/>
        </w:rPr>
        <w:t xml:space="preserve"> </w:t>
      </w:r>
    </w:p>
  </w:footnote>
  <w:footnote w:id="4">
    <w:p w14:paraId="58261B84"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Style w:val="FootnoteReferenc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w:t>
      </w:r>
      <w:r w:rsidRPr="00D54D27">
        <w:rPr>
          <w:rFonts w:ascii="Verdana" w:hAnsi="Verdana" w:cs="Arial"/>
          <w:color w:val="000000" w:themeColor="text1"/>
          <w:sz w:val="16"/>
          <w:szCs w:val="16"/>
        </w:rPr>
        <w:t>Sobre esta norma, consultar los conceptos del 8 de octubre de 2019, con radicado No. 2201913000007532, y del 20 de diciembre de 2019, con radicado No. 4201913000008240, dictados por la Agencia Nacional de Contratación Pública – Colombia Compra Eficiente.</w:t>
      </w:r>
    </w:p>
  </w:footnote>
  <w:footnote w:id="5">
    <w:p w14:paraId="48FA7A4F"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Style w:val="FootnoteReferenc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w:t>
      </w:r>
      <w:r w:rsidRPr="00D54D27">
        <w:rPr>
          <w:rFonts w:ascii="Verdana" w:hAnsi="Verdana" w:cs="Arial"/>
          <w:color w:val="000000" w:themeColor="text1"/>
          <w:sz w:val="16"/>
          <w:szCs w:val="16"/>
        </w:rPr>
        <w:t>Al respecto, la Ley 489 de 1998 dispone que “Artículo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C330875"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Fonts w:ascii="Verdana" w:hAnsi="Verdana" w:cs="Arial"/>
          <w:color w:val="000000" w:themeColor="text1"/>
          <w:sz w:val="16"/>
          <w:szCs w:val="16"/>
        </w:rPr>
        <w:t xml:space="preserve">Los convenios de asociación a que se refiere el presente artículo </w:t>
      </w:r>
      <w:bookmarkStart w:id="5" w:name="_Hlk36023315"/>
      <w:r w:rsidRPr="00D54D27">
        <w:rPr>
          <w:rFonts w:ascii="Verdana" w:hAnsi="Verdana" w:cs="Arial"/>
          <w:color w:val="000000" w:themeColor="text1"/>
          <w:sz w:val="16"/>
          <w:szCs w:val="16"/>
        </w:rPr>
        <w:t>se celebrarán de conformidad con lo dispuesto en el artículo 355 de la Constitución Política</w:t>
      </w:r>
      <w:bookmarkEnd w:id="5"/>
      <w:r w:rsidRPr="00D54D27">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5CD84F96" w14:textId="77777777" w:rsidR="00AF21F2" w:rsidRPr="00D54D27" w:rsidRDefault="00AF21F2" w:rsidP="00AF21F2">
      <w:pPr>
        <w:pStyle w:val="FootnoteText"/>
        <w:ind w:firstLine="709"/>
        <w:jc w:val="both"/>
        <w:rPr>
          <w:rFonts w:ascii="Verdana" w:hAnsi="Verdana" w:cs="Arial"/>
          <w:color w:val="000000" w:themeColor="text1"/>
          <w:sz w:val="16"/>
          <w:szCs w:val="16"/>
          <w:lang w:val="es-ES"/>
        </w:rPr>
      </w:pPr>
      <w:r w:rsidRPr="00D54D27">
        <w:rPr>
          <w:rFonts w:ascii="Verdana" w:hAnsi="Verdana" w:cs="Arial"/>
          <w:color w:val="000000" w:themeColor="text1"/>
          <w:sz w:val="16"/>
          <w:szCs w:val="16"/>
        </w:rPr>
        <w:t xml:space="preserve"> </w:t>
      </w:r>
    </w:p>
  </w:footnote>
  <w:footnote w:id="6">
    <w:p w14:paraId="71721A96"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Style w:val="FootnoteReferenc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w:t>
      </w:r>
      <w:r w:rsidRPr="00D54D27">
        <w:rPr>
          <w:rFonts w:ascii="Verdana" w:hAnsi="Verdana" w:cs="Arial"/>
          <w:color w:val="000000" w:themeColor="text1"/>
          <w:sz w:val="16"/>
          <w:szCs w:val="16"/>
        </w:rPr>
        <w:t>Agencia Nacional de Contratación Pública – Colombia Compra Eficiente. Concepto del 3 de septiembre de 2019, con radicado No. 2201913000006512.</w:t>
      </w:r>
    </w:p>
    <w:p w14:paraId="4172D850" w14:textId="77777777" w:rsidR="00AF21F2" w:rsidRPr="00D54D27" w:rsidRDefault="00AF21F2" w:rsidP="00AF21F2">
      <w:pPr>
        <w:pStyle w:val="FootnoteText"/>
        <w:ind w:firstLine="709"/>
        <w:jc w:val="both"/>
        <w:rPr>
          <w:rFonts w:ascii="Verdana" w:hAnsi="Verdana" w:cs="Arial"/>
          <w:color w:val="000000" w:themeColor="text1"/>
          <w:sz w:val="16"/>
          <w:szCs w:val="16"/>
        </w:rPr>
      </w:pPr>
    </w:p>
  </w:footnote>
  <w:footnote w:id="7">
    <w:p w14:paraId="6DE15D96" w14:textId="77777777" w:rsidR="00AF21F2" w:rsidRPr="00D54D27" w:rsidRDefault="00AF21F2" w:rsidP="00AF21F2">
      <w:pPr>
        <w:pStyle w:val="FootnoteText"/>
        <w:ind w:firstLine="708"/>
        <w:jc w:val="both"/>
        <w:rPr>
          <w:rFonts w:ascii="Verdana" w:hAnsi="Verdana"/>
          <w:sz w:val="16"/>
          <w:szCs w:val="16"/>
        </w:rPr>
      </w:pPr>
      <w:r w:rsidRPr="00D54D27">
        <w:rPr>
          <w:rStyle w:val="FootnoteReference"/>
          <w:rFonts w:ascii="Verdana" w:hAnsi="Verdana"/>
          <w:sz w:val="16"/>
          <w:szCs w:val="16"/>
        </w:rPr>
        <w:footnoteRef/>
      </w:r>
      <w:r w:rsidRPr="00D54D27">
        <w:rPr>
          <w:rFonts w:ascii="Verdana" w:hAnsi="Verdana"/>
          <w:sz w:val="16"/>
          <w:szCs w:val="16"/>
        </w:rPr>
        <w:t xml:space="preserve"> </w:t>
      </w:r>
      <w:r w:rsidRPr="00D54D27">
        <w:rPr>
          <w:rFonts w:ascii="Verdana" w:hAnsi="Verdana"/>
          <w:sz w:val="16"/>
          <w:szCs w:val="16"/>
        </w:rPr>
        <w:t>Agencia Nacional de Contratación Pública – Colombia Compra Eficiente. Concepto C-560 del 7 de septiembre de 2022.</w:t>
      </w:r>
    </w:p>
    <w:p w14:paraId="79D02C3D" w14:textId="77777777" w:rsidR="00AF21F2" w:rsidRPr="00D54D27" w:rsidRDefault="00AF21F2" w:rsidP="00AF21F2">
      <w:pPr>
        <w:pStyle w:val="FootnoteText"/>
        <w:ind w:firstLine="708"/>
        <w:jc w:val="both"/>
        <w:rPr>
          <w:rFonts w:ascii="Verdana" w:hAnsi="Verdana"/>
          <w:sz w:val="16"/>
          <w:szCs w:val="16"/>
        </w:rPr>
      </w:pPr>
    </w:p>
  </w:footnote>
  <w:footnote w:id="8">
    <w:p w14:paraId="423E1DF7" w14:textId="77777777" w:rsidR="00AF21F2" w:rsidRPr="00D54D27" w:rsidRDefault="00AF21F2" w:rsidP="00AF21F2">
      <w:pPr>
        <w:pStyle w:val="FootnoteText"/>
        <w:ind w:firstLine="709"/>
        <w:jc w:val="both"/>
        <w:rPr>
          <w:rFonts w:ascii="Verdana" w:hAnsi="Verdana" w:cs="Arial"/>
          <w:sz w:val="16"/>
          <w:szCs w:val="16"/>
        </w:rPr>
      </w:pPr>
      <w:r w:rsidRPr="00D54D27">
        <w:rPr>
          <w:rStyle w:val="FootnoteReference"/>
          <w:rFonts w:ascii="Verdana" w:hAnsi="Verdana" w:cs="Arial"/>
          <w:sz w:val="16"/>
          <w:szCs w:val="16"/>
        </w:rPr>
        <w:footnoteRef/>
      </w:r>
      <w:r w:rsidRPr="00D54D27">
        <w:rPr>
          <w:rFonts w:ascii="Verdana" w:hAnsi="Verdana" w:cs="Arial"/>
          <w:sz w:val="16"/>
          <w:szCs w:val="16"/>
        </w:rPr>
        <w:t xml:space="preserve"> </w:t>
      </w:r>
      <w:r w:rsidRPr="00D54D27">
        <w:rPr>
          <w:rFonts w:ascii="Verdana" w:hAnsi="Verdana" w:cs="Arial"/>
          <w:sz w:val="16"/>
          <w:szCs w:val="16"/>
        </w:rPr>
        <w:t>Sobre la naturaleza de los convenios de asociación, se reitera lo expuesto en el concepto del 19 de noviembre de 2019, con radicado No. 2201913000008611.</w:t>
      </w:r>
    </w:p>
    <w:p w14:paraId="641065AB" w14:textId="77777777" w:rsidR="00AF21F2" w:rsidRPr="00D54D27" w:rsidRDefault="00AF21F2" w:rsidP="00AF21F2">
      <w:pPr>
        <w:pStyle w:val="FootnoteText"/>
        <w:ind w:firstLine="709"/>
        <w:jc w:val="both"/>
        <w:rPr>
          <w:rFonts w:ascii="Verdana" w:hAnsi="Verdana" w:cs="Arial"/>
          <w:sz w:val="16"/>
          <w:szCs w:val="16"/>
        </w:rPr>
      </w:pPr>
    </w:p>
  </w:footnote>
  <w:footnote w:id="9">
    <w:p w14:paraId="64194243" w14:textId="77777777" w:rsidR="00AF21F2" w:rsidRPr="00D54D27" w:rsidRDefault="00AF21F2" w:rsidP="00AF21F2">
      <w:pPr>
        <w:pStyle w:val="FootnoteText"/>
        <w:ind w:firstLine="708"/>
        <w:jc w:val="both"/>
        <w:rPr>
          <w:rFonts w:ascii="Verdana" w:hAnsi="Verdana" w:cs="Arial"/>
          <w:color w:val="000000" w:themeColor="text1"/>
          <w:sz w:val="16"/>
          <w:szCs w:val="16"/>
        </w:rPr>
      </w:pPr>
      <w:r w:rsidRPr="00D54D27">
        <w:rPr>
          <w:rStyle w:val="FootnoteReferenc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w:t>
      </w:r>
      <w:r w:rsidRPr="00D54D27">
        <w:rPr>
          <w:rFonts w:ascii="Verdana" w:hAnsi="Verdana" w:cs="Arial"/>
          <w:color w:val="000000" w:themeColor="text1"/>
          <w:sz w:val="16"/>
          <w:szCs w:val="16"/>
        </w:rPr>
        <w:t>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0">
    <w:p w14:paraId="380FE8D2" w14:textId="77777777" w:rsidR="00AF21F2" w:rsidRPr="00D54D27" w:rsidRDefault="00AF21F2" w:rsidP="00AF21F2">
      <w:pPr>
        <w:pStyle w:val="FootnoteText"/>
        <w:ind w:firstLine="709"/>
        <w:jc w:val="both"/>
        <w:rPr>
          <w:rFonts w:ascii="Verdana" w:hAnsi="Verdana"/>
          <w:sz w:val="16"/>
          <w:szCs w:val="16"/>
          <w:lang w:val="es-ES"/>
        </w:rPr>
      </w:pPr>
      <w:r w:rsidRPr="00D54D27">
        <w:rPr>
          <w:rStyle w:val="FootnoteReference"/>
          <w:rFonts w:ascii="Verdana" w:hAnsi="Verdana"/>
          <w:sz w:val="16"/>
          <w:szCs w:val="16"/>
        </w:rPr>
        <w:footnoteRef/>
      </w:r>
      <w:r w:rsidRPr="00D54D27">
        <w:rPr>
          <w:rFonts w:ascii="Verdana" w:hAnsi="Verdana"/>
          <w:sz w:val="16"/>
          <w:szCs w:val="16"/>
        </w:rPr>
        <w:t xml:space="preserve"> </w:t>
      </w:r>
      <w:r w:rsidRPr="00D54D27">
        <w:rPr>
          <w:rFonts w:ascii="Verdana" w:hAnsi="Verdana"/>
          <w:sz w:val="16"/>
          <w:szCs w:val="16"/>
        </w:rPr>
        <w:t>Consejo de Estado. Sentencia No. 1444 del 6 de febrero de 1987, M.P. POLICARPO CASTILLO DÁVILA</w:t>
      </w:r>
    </w:p>
  </w:footnote>
  <w:footnote w:id="11">
    <w:p w14:paraId="55638A04" w14:textId="77777777" w:rsidR="00AF21F2" w:rsidRPr="00D54D27" w:rsidRDefault="00AF21F2" w:rsidP="00AF21F2">
      <w:pPr>
        <w:pStyle w:val="FootnoteText"/>
        <w:ind w:firstLine="709"/>
        <w:jc w:val="both"/>
        <w:rPr>
          <w:rFonts w:ascii="Verdana" w:hAnsi="Verdana"/>
          <w:sz w:val="16"/>
          <w:szCs w:val="16"/>
          <w:lang w:val="es-ES"/>
        </w:rPr>
      </w:pPr>
      <w:r w:rsidRPr="00D54D27">
        <w:rPr>
          <w:rStyle w:val="FootnoteReference"/>
          <w:rFonts w:ascii="Verdana" w:hAnsi="Verdana"/>
          <w:sz w:val="16"/>
          <w:szCs w:val="16"/>
        </w:rPr>
        <w:footnoteRef/>
      </w:r>
      <w:r w:rsidRPr="00D54D27">
        <w:rPr>
          <w:rFonts w:ascii="Verdana" w:hAnsi="Verdana"/>
          <w:sz w:val="16"/>
          <w:szCs w:val="16"/>
        </w:rPr>
        <w:t xml:space="preserve"> </w:t>
      </w:r>
      <w:r w:rsidRPr="00D54D27">
        <w:rPr>
          <w:rFonts w:ascii="Verdana" w:hAnsi="Verdana"/>
          <w:sz w:val="16"/>
          <w:szCs w:val="16"/>
        </w:rPr>
        <w:t>Corte Constitucional. Sala Plena. Sentencia C 178 de 29 de abril de 1996. Magistrado Ponente: Antonio Barrera Carbonell. Expediente No. D-974.</w:t>
      </w:r>
    </w:p>
  </w:footnote>
  <w:footnote w:id="12">
    <w:p w14:paraId="66B2B177" w14:textId="77777777" w:rsidR="00AF21F2" w:rsidRPr="00D54D27" w:rsidRDefault="00AF21F2" w:rsidP="00AF21F2">
      <w:pPr>
        <w:pStyle w:val="FootnoteText"/>
        <w:ind w:firstLine="709"/>
        <w:jc w:val="both"/>
        <w:rPr>
          <w:rFonts w:ascii="Verdana" w:hAnsi="Verdana"/>
          <w:sz w:val="16"/>
          <w:szCs w:val="16"/>
          <w:lang w:val="es-ES"/>
        </w:rPr>
      </w:pPr>
      <w:r w:rsidRPr="00D54D27">
        <w:rPr>
          <w:rStyle w:val="FootnoteReference"/>
          <w:rFonts w:ascii="Verdana" w:hAnsi="Verdana"/>
          <w:sz w:val="16"/>
          <w:szCs w:val="16"/>
        </w:rPr>
        <w:footnoteRef/>
      </w:r>
      <w:r w:rsidRPr="00D54D27">
        <w:rPr>
          <w:rFonts w:ascii="Verdana" w:hAnsi="Verdana"/>
          <w:sz w:val="16"/>
          <w:szCs w:val="16"/>
        </w:rPr>
        <w:t xml:space="preserve"> </w:t>
      </w:r>
      <w:r w:rsidRPr="00D54D27">
        <w:rPr>
          <w:rFonts w:ascii="Verdana" w:hAnsi="Verdana"/>
          <w:sz w:val="16"/>
          <w:szCs w:val="16"/>
        </w:rPr>
        <w:t>Artículo 6o. De la capacidad para contratar. Pueden celebrar contratos con las entidades estatales las personas consideradas legalmente capaces en las disposiciones vigentes</w:t>
      </w:r>
    </w:p>
  </w:footnote>
  <w:footnote w:id="13">
    <w:p w14:paraId="704EFF4A"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Style w:val="FootnoteReferenc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w:t>
      </w:r>
      <w:r w:rsidRPr="00D54D27">
        <w:rPr>
          <w:rFonts w:ascii="Verdana" w:hAnsi="Verdana" w:cs="Arial"/>
          <w:color w:val="000000" w:themeColor="text1"/>
          <w:sz w:val="16"/>
          <w:szCs w:val="16"/>
        </w:rPr>
        <w:t>Al respecto, la Ley 489 de 1998 dispone que “Artículo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21A4AAA7" w14:textId="77777777" w:rsidR="00AF21F2" w:rsidRPr="00D54D27" w:rsidRDefault="00AF21F2" w:rsidP="00AF21F2">
      <w:pPr>
        <w:pStyle w:val="FootnoteText"/>
        <w:ind w:firstLine="709"/>
        <w:jc w:val="both"/>
        <w:rPr>
          <w:rFonts w:ascii="Verdana" w:hAnsi="Verdana" w:cs="Arial"/>
          <w:color w:val="000000" w:themeColor="text1"/>
          <w:sz w:val="16"/>
          <w:szCs w:val="16"/>
        </w:rPr>
      </w:pPr>
      <w:r w:rsidRPr="00D54D27">
        <w:rPr>
          <w:rFonts w:ascii="Verdana" w:hAnsi="Verdana" w:cs="Arial"/>
          <w:color w:val="000000" w:themeColor="text1"/>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45338A61" w14:textId="77777777" w:rsidR="00AF21F2" w:rsidRPr="00D54D27" w:rsidRDefault="00AF21F2" w:rsidP="00AF21F2">
      <w:pPr>
        <w:pStyle w:val="FootnoteText"/>
        <w:ind w:firstLine="709"/>
        <w:jc w:val="both"/>
        <w:rPr>
          <w:rFonts w:ascii="Verdana" w:hAnsi="Verdana" w:cs="Arial"/>
          <w:color w:val="000000" w:themeColor="text1"/>
          <w:sz w:val="16"/>
          <w:szCs w:val="16"/>
          <w:lang w:val="es-ES"/>
        </w:rPr>
      </w:pPr>
      <w:r w:rsidRPr="00D54D27">
        <w:rPr>
          <w:rFonts w:ascii="Verdana" w:hAnsi="Verdana" w:cs="Arial"/>
          <w:color w:val="000000" w:themeColor="text1"/>
          <w:sz w:val="16"/>
          <w:szCs w:val="16"/>
        </w:rPr>
        <w:t xml:space="preserve"> </w:t>
      </w:r>
    </w:p>
  </w:footnote>
  <w:footnote w:id="14">
    <w:p w14:paraId="6550908A" w14:textId="77777777" w:rsidR="00AF21F2" w:rsidRPr="00D54D27" w:rsidRDefault="00AF21F2" w:rsidP="00AF21F2">
      <w:pPr>
        <w:pStyle w:val="FootnoteText"/>
        <w:ind w:firstLine="708"/>
        <w:jc w:val="both"/>
        <w:rPr>
          <w:rFonts w:ascii="Verdana" w:hAnsi="Verdana"/>
          <w:sz w:val="16"/>
          <w:szCs w:val="16"/>
        </w:rPr>
      </w:pPr>
      <w:r w:rsidRPr="00D54D27">
        <w:rPr>
          <w:rStyle w:val="FootnoteReference"/>
          <w:rFonts w:ascii="Verdana" w:hAnsi="Verdana"/>
          <w:sz w:val="16"/>
          <w:szCs w:val="16"/>
        </w:rPr>
        <w:footnoteRef/>
      </w:r>
      <w:r w:rsidRPr="00D54D27">
        <w:rPr>
          <w:rFonts w:ascii="Verdana" w:hAnsi="Verdana"/>
          <w:sz w:val="16"/>
          <w:szCs w:val="16"/>
        </w:rPr>
        <w:t xml:space="preserve"> </w:t>
      </w:r>
      <w:r w:rsidRPr="00D54D27">
        <w:rPr>
          <w:rFonts w:ascii="Verdana" w:hAnsi="Verdana"/>
          <w:sz w:val="16"/>
          <w:szCs w:val="16"/>
        </w:rPr>
        <w:t xml:space="preserve">Gaitán Sánchez Oscar, Guía Práctica de las Entidades Sin Ánimo de Lucro y del Sector Solidario, Cámara de Comercio de Bogotá. 2014, p. 17. </w:t>
      </w:r>
    </w:p>
  </w:footnote>
  <w:footnote w:id="15">
    <w:p w14:paraId="5EC5EE26" w14:textId="77777777" w:rsidR="00AF21F2" w:rsidRPr="00D54D27" w:rsidRDefault="00AF21F2" w:rsidP="00AF21F2">
      <w:pPr>
        <w:pStyle w:val="FootnoteText"/>
        <w:ind w:firstLine="708"/>
        <w:jc w:val="both"/>
        <w:rPr>
          <w:rFonts w:ascii="Verdana" w:hAnsi="Verdana"/>
          <w:sz w:val="16"/>
          <w:szCs w:val="16"/>
        </w:rPr>
      </w:pPr>
      <w:r w:rsidRPr="00D54D27">
        <w:rPr>
          <w:rStyle w:val="FootnoteReference"/>
          <w:rFonts w:ascii="Verdana" w:hAnsi="Verdana"/>
          <w:sz w:val="16"/>
          <w:szCs w:val="16"/>
        </w:rPr>
        <w:footnoteRef/>
      </w:r>
      <w:r w:rsidRPr="00D54D27">
        <w:rPr>
          <w:rFonts w:ascii="Verdana" w:hAnsi="Verdana"/>
          <w:sz w:val="16"/>
          <w:szCs w:val="16"/>
        </w:rPr>
        <w:t xml:space="preserve"> </w:t>
      </w:r>
      <w:r w:rsidRPr="00D54D27">
        <w:rPr>
          <w:rFonts w:ascii="Verdana" w:hAnsi="Verdana"/>
          <w:sz w:val="16"/>
          <w:szCs w:val="16"/>
        </w:rPr>
        <w:t xml:space="preserve">Superintendencia de Sociedades, Circular Externa de 2024, en referencia a: Consejo de Estado, Sala de Consulta y Servicio Civil, Decisión del 20 de marzo de 2018, magistrado ponente Oscar Darío Amaya Navas; radicación número 11001-03-06-000-2017-00127-00, Decisión del 22 de julio de 2020, magistrado ponente Oscar Darío Amaya Navas; radicación número 11001- 03-06-000-2020-00145-00, Decisión del 4 de mayo de 2022, magistrado ponente Oscar Darío Amaya Navas; radiación número 11001-03-06-000-2022-00019-00, Decisión del 5 de julio de 2022, magistrada ponente Ana María Charry Gaitán.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2" type="#_x0000_t75" style="width:14.95pt;height:14.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576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2114"/>
    <w:rsid w:val="002951A0"/>
    <w:rsid w:val="002962BC"/>
    <w:rsid w:val="002A093D"/>
    <w:rsid w:val="002A0DD0"/>
    <w:rsid w:val="002A49AC"/>
    <w:rsid w:val="002A64FD"/>
    <w:rsid w:val="002B6A10"/>
    <w:rsid w:val="002C4F87"/>
    <w:rsid w:val="002C7A84"/>
    <w:rsid w:val="002E2BF8"/>
    <w:rsid w:val="002E4FD9"/>
    <w:rsid w:val="0030657A"/>
    <w:rsid w:val="00322516"/>
    <w:rsid w:val="00322A85"/>
    <w:rsid w:val="00324168"/>
    <w:rsid w:val="00330834"/>
    <w:rsid w:val="003448F4"/>
    <w:rsid w:val="003732E6"/>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4602"/>
    <w:rsid w:val="004F685F"/>
    <w:rsid w:val="00504ED8"/>
    <w:rsid w:val="00553665"/>
    <w:rsid w:val="005566E8"/>
    <w:rsid w:val="00574867"/>
    <w:rsid w:val="00591460"/>
    <w:rsid w:val="005A65E0"/>
    <w:rsid w:val="005C3777"/>
    <w:rsid w:val="005C5CDC"/>
    <w:rsid w:val="005D476C"/>
    <w:rsid w:val="006200BF"/>
    <w:rsid w:val="006219F8"/>
    <w:rsid w:val="006302F7"/>
    <w:rsid w:val="00631EE9"/>
    <w:rsid w:val="00646B9F"/>
    <w:rsid w:val="00665D70"/>
    <w:rsid w:val="006900D9"/>
    <w:rsid w:val="00706C16"/>
    <w:rsid w:val="007340C3"/>
    <w:rsid w:val="0075235A"/>
    <w:rsid w:val="00756841"/>
    <w:rsid w:val="007649AB"/>
    <w:rsid w:val="00771D0C"/>
    <w:rsid w:val="00781F4E"/>
    <w:rsid w:val="007833AC"/>
    <w:rsid w:val="007B268C"/>
    <w:rsid w:val="007B7171"/>
    <w:rsid w:val="007C0C0F"/>
    <w:rsid w:val="007C3DC2"/>
    <w:rsid w:val="007E5497"/>
    <w:rsid w:val="00806F5F"/>
    <w:rsid w:val="00820278"/>
    <w:rsid w:val="008258C9"/>
    <w:rsid w:val="00843941"/>
    <w:rsid w:val="00844AE9"/>
    <w:rsid w:val="00867F95"/>
    <w:rsid w:val="008843B6"/>
    <w:rsid w:val="00891928"/>
    <w:rsid w:val="008A446D"/>
    <w:rsid w:val="008B25F1"/>
    <w:rsid w:val="008D180B"/>
    <w:rsid w:val="008D6141"/>
    <w:rsid w:val="008F0EA7"/>
    <w:rsid w:val="008F66C1"/>
    <w:rsid w:val="00923EEF"/>
    <w:rsid w:val="009419F9"/>
    <w:rsid w:val="0095685E"/>
    <w:rsid w:val="00961B09"/>
    <w:rsid w:val="00965334"/>
    <w:rsid w:val="0097093E"/>
    <w:rsid w:val="009737F6"/>
    <w:rsid w:val="009A0DFA"/>
    <w:rsid w:val="009A1C6F"/>
    <w:rsid w:val="009B2D26"/>
    <w:rsid w:val="009C71FA"/>
    <w:rsid w:val="009C72E7"/>
    <w:rsid w:val="009C7F7E"/>
    <w:rsid w:val="009D3058"/>
    <w:rsid w:val="009D41F6"/>
    <w:rsid w:val="009F1185"/>
    <w:rsid w:val="009F3A13"/>
    <w:rsid w:val="00A122D3"/>
    <w:rsid w:val="00A14468"/>
    <w:rsid w:val="00A17F13"/>
    <w:rsid w:val="00A20739"/>
    <w:rsid w:val="00A23AF9"/>
    <w:rsid w:val="00A33C78"/>
    <w:rsid w:val="00A36629"/>
    <w:rsid w:val="00AA7695"/>
    <w:rsid w:val="00AB0ADB"/>
    <w:rsid w:val="00AF21F2"/>
    <w:rsid w:val="00AF430E"/>
    <w:rsid w:val="00B00C0E"/>
    <w:rsid w:val="00B01B1A"/>
    <w:rsid w:val="00B0381D"/>
    <w:rsid w:val="00B44A47"/>
    <w:rsid w:val="00B72CD3"/>
    <w:rsid w:val="00B72FFF"/>
    <w:rsid w:val="00B95BAB"/>
    <w:rsid w:val="00BC3D36"/>
    <w:rsid w:val="00BD54A6"/>
    <w:rsid w:val="00BD7F72"/>
    <w:rsid w:val="00BE3AB9"/>
    <w:rsid w:val="00BF7425"/>
    <w:rsid w:val="00C04FB3"/>
    <w:rsid w:val="00C11D8B"/>
    <w:rsid w:val="00C15139"/>
    <w:rsid w:val="00C23AFA"/>
    <w:rsid w:val="00C330EB"/>
    <w:rsid w:val="00C50D69"/>
    <w:rsid w:val="00C5365C"/>
    <w:rsid w:val="00C60415"/>
    <w:rsid w:val="00C742BC"/>
    <w:rsid w:val="00C754BE"/>
    <w:rsid w:val="00C76B1C"/>
    <w:rsid w:val="00C925AC"/>
    <w:rsid w:val="00CB0BAE"/>
    <w:rsid w:val="00CB6357"/>
    <w:rsid w:val="00CC1B26"/>
    <w:rsid w:val="00CE4112"/>
    <w:rsid w:val="00D14B8C"/>
    <w:rsid w:val="00D361FD"/>
    <w:rsid w:val="00D423A2"/>
    <w:rsid w:val="00D44E26"/>
    <w:rsid w:val="00D520D8"/>
    <w:rsid w:val="00D63AC2"/>
    <w:rsid w:val="00D64826"/>
    <w:rsid w:val="00D7383B"/>
    <w:rsid w:val="00D7788A"/>
    <w:rsid w:val="00D96F62"/>
    <w:rsid w:val="00DA231B"/>
    <w:rsid w:val="00DC39FC"/>
    <w:rsid w:val="00DF5254"/>
    <w:rsid w:val="00E02524"/>
    <w:rsid w:val="00E16408"/>
    <w:rsid w:val="00E20894"/>
    <w:rsid w:val="00E245AB"/>
    <w:rsid w:val="00E2764C"/>
    <w:rsid w:val="00E27F2E"/>
    <w:rsid w:val="00E50AFE"/>
    <w:rsid w:val="00E75C92"/>
    <w:rsid w:val="00E771DC"/>
    <w:rsid w:val="00E83CF7"/>
    <w:rsid w:val="00E8772A"/>
    <w:rsid w:val="00E90F6B"/>
    <w:rsid w:val="00E92536"/>
    <w:rsid w:val="00E92C27"/>
    <w:rsid w:val="00EA0E3D"/>
    <w:rsid w:val="00EB641B"/>
    <w:rsid w:val="00EC3533"/>
    <w:rsid w:val="00EC38A7"/>
    <w:rsid w:val="00EE1AA8"/>
    <w:rsid w:val="00EE32CE"/>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AF76709-D869-D64E-AF6E-808C3540B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AF21F2"/>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AF21F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manual/guia-para-la-contratacion-con-entidades-sin-animo-de-lucro-y-de-reconocida-idoneidad"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5CDBD6E9-B960-4F91-A497-19E71FB42825}"/>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18</Pages>
  <Words>5885</Words>
  <Characters>33550</Characters>
  <Application>Microsoft Office Word</Application>
  <DocSecurity>0</DocSecurity>
  <Lines>279</Lines>
  <Paragraphs>78</Paragraphs>
  <ScaleCrop>false</ScaleCrop>
  <Company/>
  <LinksUpToDate>false</LinksUpToDate>
  <CharactersWithSpaces>39357</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7798899</vt:i4>
      </vt:variant>
      <vt:variant>
        <vt:i4>0</vt:i4>
      </vt:variant>
      <vt:variant>
        <vt:i4>0</vt:i4>
      </vt:variant>
      <vt:variant>
        <vt:i4>5</vt:i4>
      </vt:variant>
      <vt:variant>
        <vt:lpwstr>https://www.colombiacompra.gov.co/archivos/manual/guia-para-la-contratacion-con-entidades-sin-animo-de-lucro-y-de-reconocida-idoneidad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2025-12-04T20:45:00Z</dcterms:created>
  <dcterms:modified xsi:type="dcterms:W3CDTF">2025-12-04T20:51:00Z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