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0853F4" w14:textId="77777777" w:rsidR="007F7A83" w:rsidRPr="00CA3AFC" w:rsidRDefault="007F7A83" w:rsidP="007F7A83">
      <w:pPr>
        <w:spacing w:after="0" w:line="240" w:lineRule="auto"/>
        <w:rPr>
          <w:rFonts w:ascii="Verdana" w:eastAsia="Calibri" w:hAnsi="Verdana" w:cs="Arial"/>
          <w:b/>
          <w:color w:val="000000" w:themeColor="text1"/>
          <w:lang w:val="es-ES_tradnl"/>
        </w:rPr>
      </w:pPr>
      <w:bookmarkStart w:id="0" w:name="_Hlk181166130"/>
      <w:bookmarkStart w:id="1" w:name="_Hlk209714638"/>
      <w:r w:rsidRPr="00CA3AFC">
        <w:rPr>
          <w:rFonts w:ascii="Verdana" w:eastAsia="Calibri" w:hAnsi="Verdana" w:cs="Arial"/>
          <w:b/>
          <w:color w:val="000000" w:themeColor="text1"/>
          <w:lang w:val="es-ES_tradnl"/>
        </w:rPr>
        <w:t xml:space="preserve">LEY DE GARANTÍAS ELECTORALES ‒ Tipos de restricciones ‒ Ámbito temporal </w:t>
      </w:r>
    </w:p>
    <w:p w14:paraId="13896A5F" w14:textId="77777777" w:rsidR="007F7A83" w:rsidRPr="00CA3AFC" w:rsidRDefault="007F7A83" w:rsidP="007F7A83">
      <w:pPr>
        <w:spacing w:after="0" w:line="240" w:lineRule="auto"/>
        <w:rPr>
          <w:rFonts w:ascii="Verdana" w:eastAsia="Calibri" w:hAnsi="Verdana" w:cs="Arial"/>
          <w:b/>
          <w:color w:val="000000" w:themeColor="text1"/>
          <w:lang w:val="es-ES_tradnl"/>
        </w:rPr>
      </w:pPr>
    </w:p>
    <w:p w14:paraId="19C270DE" w14:textId="77777777" w:rsidR="007F7A83" w:rsidRPr="00CA3AFC" w:rsidRDefault="007F7A83" w:rsidP="007F7A83">
      <w:pPr>
        <w:spacing w:after="0" w:line="240" w:lineRule="auto"/>
        <w:jc w:val="both"/>
        <w:rPr>
          <w:rFonts w:ascii="Verdana" w:eastAsia="Calibri" w:hAnsi="Verdana" w:cs="Arial"/>
          <w:color w:val="000000" w:themeColor="text1"/>
          <w:lang w:val="es-ES"/>
        </w:rPr>
      </w:pPr>
      <w:r w:rsidRPr="00CA3AFC">
        <w:rPr>
          <w:rFonts w:ascii="Verdana" w:eastAsia="Calibri" w:hAnsi="Verdana" w:cs="Arial"/>
          <w:color w:val="000000" w:themeColor="text1"/>
          <w:lang w:val="es-ES"/>
        </w:rPr>
        <w:t>[…] la Ley 996 de 2005 establece dos (2) tipos de restricciones en materia de contratación, las cuales coinciden parcialmente. En primer lugar,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5370AA85" w14:textId="77777777" w:rsidR="007F7A83" w:rsidRPr="00CA3AFC" w:rsidRDefault="007F7A83" w:rsidP="007F7A83">
      <w:pPr>
        <w:spacing w:after="0" w:line="240" w:lineRule="auto"/>
        <w:rPr>
          <w:rFonts w:ascii="Verdana" w:eastAsia="Calibri" w:hAnsi="Verdana" w:cs="Arial"/>
          <w:b/>
          <w:color w:val="000000" w:themeColor="text1"/>
          <w:lang w:val="es-ES_tradnl"/>
        </w:rPr>
      </w:pPr>
    </w:p>
    <w:p w14:paraId="244AA129" w14:textId="77777777" w:rsidR="007F7A83" w:rsidRPr="00CA3AFC" w:rsidRDefault="007F7A83" w:rsidP="007F7A83">
      <w:pPr>
        <w:spacing w:after="0" w:line="240" w:lineRule="auto"/>
        <w:rPr>
          <w:rFonts w:ascii="Verdana" w:eastAsia="Calibri" w:hAnsi="Verdana" w:cs="Arial"/>
          <w:b/>
          <w:color w:val="000000" w:themeColor="text1"/>
          <w:lang w:val="es-ES_tradnl"/>
        </w:rPr>
      </w:pPr>
      <w:r w:rsidRPr="00CA3AFC">
        <w:rPr>
          <w:rFonts w:ascii="Verdana" w:eastAsia="Calibri" w:hAnsi="Verdana" w:cs="Arial"/>
          <w:b/>
          <w:color w:val="000000" w:themeColor="text1"/>
          <w:lang w:val="es-ES_tradnl"/>
        </w:rPr>
        <w:t xml:space="preserve">LEY DE GARANTÍAS ELECTORALES ─ Prohibición ‒ Contratación directa ‒ Alcance – Excepciones </w:t>
      </w:r>
    </w:p>
    <w:p w14:paraId="5E156A80" w14:textId="77777777" w:rsidR="007F7A83" w:rsidRPr="00CA3AFC" w:rsidRDefault="007F7A83" w:rsidP="007F7A83">
      <w:pPr>
        <w:spacing w:after="0" w:line="240" w:lineRule="auto"/>
        <w:rPr>
          <w:rFonts w:ascii="Verdana" w:eastAsia="Calibri" w:hAnsi="Verdana" w:cs="Arial"/>
          <w:b/>
          <w:color w:val="000000" w:themeColor="text1"/>
          <w:lang w:val="es-ES_tradnl"/>
        </w:rPr>
      </w:pPr>
    </w:p>
    <w:p w14:paraId="76A38AB6" w14:textId="77777777" w:rsidR="007F7A83" w:rsidRPr="00CA3AFC" w:rsidRDefault="007F7A83" w:rsidP="007F7A83">
      <w:pPr>
        <w:spacing w:after="0" w:line="240" w:lineRule="auto"/>
        <w:jc w:val="both"/>
        <w:rPr>
          <w:rFonts w:ascii="Verdana" w:eastAsia="Calibri" w:hAnsi="Verdana" w:cs="Arial"/>
          <w:color w:val="000000" w:themeColor="text1"/>
          <w:lang w:val="es-ES"/>
        </w:rPr>
      </w:pPr>
      <w:r w:rsidRPr="00CA3AFC">
        <w:rPr>
          <w:rFonts w:ascii="Verdana" w:eastAsia="Calibri" w:hAnsi="Verdana" w:cs="Arial"/>
          <w:color w:val="000000" w:themeColor="text1"/>
          <w:lang w:val="es-ES"/>
        </w:rPr>
        <w:t>[…]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  y sistematizó las causales de contratación directa.</w:t>
      </w:r>
    </w:p>
    <w:p w14:paraId="7B0D5CA1" w14:textId="77777777" w:rsidR="007F7A83" w:rsidRPr="00CA3AFC" w:rsidRDefault="007F7A83" w:rsidP="007F7A83">
      <w:pPr>
        <w:spacing w:after="0" w:line="240" w:lineRule="auto"/>
        <w:jc w:val="both"/>
        <w:rPr>
          <w:rFonts w:ascii="Verdana" w:eastAsia="Calibri" w:hAnsi="Verdana" w:cs="Arial"/>
          <w:bCs/>
          <w:color w:val="000000" w:themeColor="text1"/>
          <w:lang w:val="es-ES_tradnl"/>
        </w:rPr>
      </w:pPr>
    </w:p>
    <w:p w14:paraId="4AA777B6" w14:textId="77777777" w:rsidR="007F7A83" w:rsidRPr="00CA3AFC" w:rsidRDefault="007F7A83" w:rsidP="007F7A83">
      <w:pPr>
        <w:spacing w:after="0" w:line="240" w:lineRule="auto"/>
        <w:jc w:val="both"/>
        <w:rPr>
          <w:rFonts w:ascii="Verdana" w:eastAsia="Calibri" w:hAnsi="Verdana" w:cs="Arial"/>
          <w:color w:val="000000" w:themeColor="text1"/>
          <w:lang w:val="es-ES"/>
        </w:rPr>
      </w:pPr>
      <w:r w:rsidRPr="00CA3AFC">
        <w:rPr>
          <w:rFonts w:ascii="Verdana" w:eastAsia="Calibri" w:hAnsi="Verdana" w:cs="Arial"/>
          <w:color w:val="000000" w:themeColor="text1"/>
          <w:lang w:val="es-ES"/>
        </w:rPr>
        <w:t xml:space="preserve">[…]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w:t>
      </w:r>
      <w:r w:rsidRPr="00CA3AFC">
        <w:rPr>
          <w:rFonts w:ascii="Verdana" w:eastAsia="Calibri" w:hAnsi="Verdana" w:cs="Arial"/>
          <w:color w:val="000000" w:themeColor="text1"/>
          <w:lang w:val="es-ES"/>
        </w:rPr>
        <w:lastRenderedPageBreak/>
        <w:t>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5A85843" w14:textId="77777777" w:rsidR="007F7A83" w:rsidRPr="00CA3AFC" w:rsidRDefault="007F7A83" w:rsidP="007F7A83">
      <w:pPr>
        <w:spacing w:after="0" w:line="240" w:lineRule="auto"/>
        <w:jc w:val="both"/>
        <w:rPr>
          <w:rFonts w:ascii="Verdana" w:eastAsia="Calibri" w:hAnsi="Verdana" w:cs="Arial"/>
          <w:b/>
          <w:color w:val="000000" w:themeColor="text1"/>
          <w:lang w:val="es-ES_tradnl"/>
        </w:rPr>
      </w:pPr>
    </w:p>
    <w:p w14:paraId="764EBF54" w14:textId="77777777" w:rsidR="007F7A83" w:rsidRPr="00CA3AFC" w:rsidRDefault="007F7A83" w:rsidP="007F7A83">
      <w:pPr>
        <w:spacing w:after="0" w:line="240" w:lineRule="auto"/>
        <w:jc w:val="both"/>
        <w:rPr>
          <w:rFonts w:ascii="Verdana" w:eastAsia="Calibri" w:hAnsi="Verdana" w:cs="Arial"/>
          <w:b/>
          <w:color w:val="000000" w:themeColor="text1"/>
          <w:lang w:val="es-ES_tradnl"/>
        </w:rPr>
      </w:pPr>
      <w:r w:rsidRPr="00CA3AFC">
        <w:rPr>
          <w:rFonts w:ascii="Verdana" w:eastAsia="Calibri" w:hAnsi="Verdana" w:cs="Arial"/>
          <w:b/>
          <w:color w:val="000000" w:themeColor="text1"/>
          <w:lang w:val="es-ES_tradnl"/>
        </w:rPr>
        <w:t>LEY DE GARANTÍAS ELECTORALES ‒ Prohibición del artículo 33 ‒ Destinatarios</w:t>
      </w:r>
    </w:p>
    <w:p w14:paraId="460EF42C" w14:textId="77777777" w:rsidR="007F7A83" w:rsidRPr="00CA3AFC" w:rsidRDefault="007F7A83" w:rsidP="007F7A83">
      <w:pPr>
        <w:spacing w:after="0" w:line="240" w:lineRule="auto"/>
        <w:jc w:val="both"/>
        <w:rPr>
          <w:rFonts w:ascii="Verdana" w:eastAsia="Calibri" w:hAnsi="Verdana" w:cs="Arial"/>
          <w:bCs/>
          <w:color w:val="000000" w:themeColor="text1"/>
          <w:lang w:val="es-ES_tradnl"/>
        </w:rPr>
      </w:pPr>
    </w:p>
    <w:p w14:paraId="46BA2329" w14:textId="77777777" w:rsidR="007F7A83" w:rsidRPr="00CA3AFC" w:rsidRDefault="007F7A83" w:rsidP="007F7A83">
      <w:pPr>
        <w:spacing w:after="0" w:line="240" w:lineRule="auto"/>
        <w:jc w:val="both"/>
        <w:rPr>
          <w:rFonts w:ascii="Verdana" w:eastAsia="Calibri" w:hAnsi="Verdana" w:cs="Arial"/>
          <w:color w:val="000000" w:themeColor="text1"/>
          <w:lang w:val="es-ES"/>
        </w:rPr>
      </w:pPr>
      <w:r w:rsidRPr="00CA3AFC">
        <w:rPr>
          <w:rFonts w:ascii="Verdana" w:eastAsia="Calibri" w:hAnsi="Verdana" w:cs="Arial"/>
          <w:color w:val="000000" w:themeColor="text1"/>
          <w:lang w:val="es-ES"/>
        </w:rPr>
        <w:t>El artículo 33 de la Ley 996 de 2005 señala expresamente a los destinatarios de la prohibición,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6DE3BA4D" w14:textId="77777777" w:rsidR="007F7A83" w:rsidRPr="00CA3AFC" w:rsidRDefault="007F7A83" w:rsidP="007F7A83">
      <w:pPr>
        <w:spacing w:after="0" w:line="240" w:lineRule="auto"/>
        <w:jc w:val="both"/>
        <w:rPr>
          <w:rFonts w:ascii="Verdana" w:hAnsi="Verdana" w:cs="Arial"/>
          <w:b/>
          <w:lang w:val="es-MX" w:eastAsia="es-ES_tradnl"/>
        </w:rPr>
      </w:pPr>
    </w:p>
    <w:p w14:paraId="546F1714" w14:textId="77777777" w:rsidR="007F7A83" w:rsidRPr="00CA3AFC" w:rsidRDefault="007F7A83" w:rsidP="007F7A83">
      <w:pPr>
        <w:spacing w:after="0" w:line="240" w:lineRule="auto"/>
        <w:jc w:val="both"/>
        <w:rPr>
          <w:rFonts w:ascii="Verdana" w:hAnsi="Verdana" w:cs="Arial"/>
          <w:b/>
          <w:lang w:val="es-MX" w:eastAsia="es-ES_tradnl"/>
        </w:rPr>
      </w:pPr>
      <w:r w:rsidRPr="00CA3AFC">
        <w:rPr>
          <w:rFonts w:ascii="Verdana" w:hAnsi="Verdana" w:cs="Arial"/>
          <w:b/>
          <w:lang w:val="es-MX" w:eastAsia="es-ES_tradnl"/>
        </w:rPr>
        <w:t>CONTRATOS Y CONVENIOS INTERADMINISTRATIVOS – Definición – Criterio orgánico</w:t>
      </w:r>
    </w:p>
    <w:p w14:paraId="44D544E3" w14:textId="77777777" w:rsidR="007F7A83" w:rsidRPr="00CA3AFC" w:rsidRDefault="007F7A83" w:rsidP="007F7A83">
      <w:pPr>
        <w:spacing w:after="0" w:line="240" w:lineRule="auto"/>
        <w:jc w:val="both"/>
        <w:rPr>
          <w:rFonts w:ascii="Verdana" w:hAnsi="Verdana" w:cs="Arial"/>
          <w:b/>
          <w:lang w:val="es-MX" w:eastAsia="es-ES_tradnl"/>
        </w:rPr>
      </w:pPr>
    </w:p>
    <w:p w14:paraId="44C0A483" w14:textId="77777777" w:rsidR="007F7A83" w:rsidRPr="00CA3AFC" w:rsidRDefault="007F7A83" w:rsidP="007F7A83">
      <w:pPr>
        <w:spacing w:after="0" w:line="240" w:lineRule="auto"/>
        <w:jc w:val="both"/>
        <w:rPr>
          <w:rFonts w:ascii="Verdana" w:hAnsi="Verdana" w:cs="Arial"/>
          <w:b/>
          <w:lang w:val="es-MX" w:eastAsia="es-ES_tradnl"/>
        </w:rPr>
      </w:pPr>
      <w:r w:rsidRPr="00CA3AFC">
        <w:rPr>
          <w:rFonts w:ascii="Verdana" w:eastAsia="Calibri" w:hAnsi="Verdana" w:cs="Arial"/>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CA3AFC">
        <w:rPr>
          <w:rFonts w:ascii="Verdana" w:eastAsia="Arial" w:hAnsi="Verdana" w:cs="Arial"/>
          <w:lang w:val="es-ES" w:eastAsia="es-ES" w:bidi="es-ES"/>
        </w:rPr>
        <w:t>el legislador y el ordenamiento jurídico, en general, en distintas ocasiones utiliza de forma indistinta los conceptos de contrato o convenio para referirse a la misma institución jurídica. Incluso, la Corte Constitucional fundamenta la posibilidad de celebrar convenios interadministrativos de forma directa, con fundamento en la causal establecida en la Ley 1150 de 2007 respecto a los contratos interadministrativos.</w:t>
      </w:r>
    </w:p>
    <w:p w14:paraId="2D740C95" w14:textId="77777777" w:rsidR="007F7A83" w:rsidRPr="00CA3AFC" w:rsidRDefault="007F7A83" w:rsidP="007F7A83">
      <w:pPr>
        <w:spacing w:after="0" w:line="240" w:lineRule="auto"/>
        <w:jc w:val="both"/>
        <w:rPr>
          <w:rFonts w:ascii="Verdana" w:eastAsia="Calibri" w:hAnsi="Verdana" w:cs="Arial"/>
          <w:lang w:bidi="es-ES"/>
        </w:rPr>
      </w:pPr>
    </w:p>
    <w:p w14:paraId="5813858C" w14:textId="77777777" w:rsidR="007F7A83" w:rsidRPr="00CA3AFC" w:rsidRDefault="007F7A83" w:rsidP="007F7A83">
      <w:pPr>
        <w:spacing w:after="0" w:line="240" w:lineRule="auto"/>
        <w:jc w:val="both"/>
        <w:rPr>
          <w:rFonts w:ascii="Verdana" w:eastAsia="Arial" w:hAnsi="Verdana" w:cs="Arial"/>
          <w:lang w:val="es-ES" w:eastAsia="es-ES" w:bidi="es-ES"/>
        </w:rPr>
      </w:pPr>
      <w:r w:rsidRPr="00CA3AFC">
        <w:rPr>
          <w:rFonts w:ascii="Verdana" w:eastAsia="Calibri" w:hAnsi="Verdana" w:cs="Arial"/>
          <w:lang w:val="es-ES" w:bidi="es-ES"/>
        </w:rPr>
        <w:t>De este modo, en la Circular Externa</w:t>
      </w:r>
      <w:r w:rsidRPr="00CA3AFC">
        <w:rPr>
          <w:rFonts w:ascii="Verdana" w:eastAsia="Arial" w:hAnsi="Verdana" w:cs="Arial"/>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w:t>
      </w:r>
    </w:p>
    <w:p w14:paraId="7FF72864" w14:textId="77777777" w:rsidR="007F7A83" w:rsidRPr="00CA3AFC" w:rsidRDefault="007F7A83" w:rsidP="007F7A83">
      <w:pPr>
        <w:spacing w:after="0"/>
        <w:rPr>
          <w:rFonts w:ascii="Verdana" w:hAnsi="Verdana"/>
        </w:rPr>
      </w:pPr>
    </w:p>
    <w:p w14:paraId="47D5910B" w14:textId="77777777" w:rsidR="007F7A83" w:rsidRPr="006F60F9" w:rsidRDefault="007F7A83" w:rsidP="007F7A83">
      <w:pPr>
        <w:spacing w:after="0" w:line="240" w:lineRule="auto"/>
        <w:jc w:val="both"/>
        <w:rPr>
          <w:rFonts w:ascii="Verdana" w:eastAsia="Calibri" w:hAnsi="Verdana" w:cs="Arial"/>
          <w:color w:val="000000" w:themeColor="text1"/>
          <w:sz w:val="20"/>
          <w:szCs w:val="20"/>
          <w:lang w:val="es-ES"/>
        </w:rPr>
      </w:pPr>
    </w:p>
    <w:p w14:paraId="269CBA69" w14:textId="2A2F758F" w:rsidR="007F7A83" w:rsidRDefault="007F7A83" w:rsidP="007F7A83">
      <w:pPr>
        <w:spacing w:after="0" w:line="240" w:lineRule="auto"/>
        <w:rPr>
          <w:rFonts w:ascii="Verdana" w:hAnsi="Verdana"/>
        </w:rPr>
      </w:pPr>
      <w:r>
        <w:rPr>
          <w:rFonts w:ascii="Verdana" w:hAnsi="Verdana"/>
        </w:rPr>
        <w:t>B</w:t>
      </w:r>
      <w:r w:rsidRPr="0044528D">
        <w:rPr>
          <w:rFonts w:ascii="Verdana" w:hAnsi="Verdana"/>
        </w:rPr>
        <w:t xml:space="preserve">ogotá D.C., </w:t>
      </w:r>
      <w:r w:rsidR="00A56D87">
        <w:rPr>
          <w:rFonts w:ascii="Verdana" w:hAnsi="Verdana"/>
        </w:rPr>
        <w:t>26</w:t>
      </w:r>
      <w:r>
        <w:rPr>
          <w:rFonts w:ascii="Verdana" w:hAnsi="Verdana"/>
        </w:rPr>
        <w:t xml:space="preserve"> de </w:t>
      </w:r>
      <w:r w:rsidR="00A56D87">
        <w:rPr>
          <w:rFonts w:ascii="Verdana" w:hAnsi="Verdana"/>
        </w:rPr>
        <w:t>noviembre</w:t>
      </w:r>
      <w:r>
        <w:rPr>
          <w:rFonts w:ascii="Verdana" w:hAnsi="Verdana"/>
        </w:rPr>
        <w:t xml:space="preserve"> de </w:t>
      </w:r>
      <w:r w:rsidR="00A56D87">
        <w:rPr>
          <w:rFonts w:ascii="Verdana" w:hAnsi="Verdana"/>
        </w:rPr>
        <w:t>2025</w:t>
      </w:r>
      <w:r>
        <w:rPr>
          <w:rFonts w:ascii="Verdana" w:hAnsi="Verdana"/>
        </w:rPr>
        <w:t xml:space="preserve"> .</w:t>
      </w:r>
    </w:p>
    <w:bookmarkEnd w:id="0"/>
    <w:p w14:paraId="65A80C1C" w14:textId="77777777" w:rsidR="007F7A83" w:rsidRDefault="007F7A83" w:rsidP="007F7A83">
      <w:pPr>
        <w:spacing w:after="0" w:line="240" w:lineRule="auto"/>
        <w:rPr>
          <w:rFonts w:ascii="Verdana" w:hAnsi="Verdana"/>
        </w:rPr>
      </w:pPr>
    </w:p>
    <w:p w14:paraId="7AE57053" w14:textId="77777777" w:rsidR="007F7A83" w:rsidRDefault="007F7A83" w:rsidP="007F7A83">
      <w:pPr>
        <w:spacing w:after="0" w:line="240" w:lineRule="auto"/>
        <w:rPr>
          <w:rFonts w:ascii="Verdana" w:hAnsi="Verdana"/>
        </w:rPr>
      </w:pPr>
    </w:p>
    <w:p w14:paraId="63F4924C" w14:textId="074413A1" w:rsidR="00A56D87" w:rsidRDefault="00A56D87" w:rsidP="00A56D87">
      <w:pPr>
        <w:spacing w:after="0" w:line="240" w:lineRule="auto"/>
        <w:jc w:val="right"/>
        <w:rPr>
          <w:rFonts w:ascii="Verdana" w:hAnsi="Verdana"/>
        </w:rPr>
      </w:pPr>
      <w:r>
        <w:rPr>
          <w:rFonts w:ascii="Verdana" w:hAnsi="Verdana"/>
          <w:noProof/>
        </w:rPr>
        <w:drawing>
          <wp:inline distT="0" distB="0" distL="0" distR="0" wp14:anchorId="1821AE5A" wp14:editId="6BCBDF58">
            <wp:extent cx="2724150" cy="781050"/>
            <wp:effectExtent l="0" t="0" r="0" b="0"/>
            <wp:docPr id="96620770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24150" cy="781050"/>
                    </a:xfrm>
                    <a:prstGeom prst="rect">
                      <a:avLst/>
                    </a:prstGeom>
                    <a:noFill/>
                    <a:ln>
                      <a:noFill/>
                    </a:ln>
                  </pic:spPr>
                </pic:pic>
              </a:graphicData>
            </a:graphic>
          </wp:inline>
        </w:drawing>
      </w:r>
    </w:p>
    <w:p w14:paraId="062988AD" w14:textId="77777777" w:rsidR="00A56D87" w:rsidRDefault="00A56D87" w:rsidP="007F7A83">
      <w:pPr>
        <w:spacing w:after="0" w:line="240" w:lineRule="auto"/>
        <w:rPr>
          <w:rFonts w:ascii="Verdana" w:hAnsi="Verdana"/>
        </w:rPr>
      </w:pPr>
    </w:p>
    <w:p w14:paraId="2B38B196" w14:textId="77777777" w:rsidR="00A56D87" w:rsidRPr="00AB2F12" w:rsidRDefault="00A56D87" w:rsidP="007F7A83">
      <w:pPr>
        <w:spacing w:after="0" w:line="240" w:lineRule="auto"/>
        <w:rPr>
          <w:rFonts w:ascii="Verdana" w:hAnsi="Verdana"/>
        </w:rPr>
      </w:pPr>
    </w:p>
    <w:p w14:paraId="4F131E68" w14:textId="77777777" w:rsidR="007F7A83" w:rsidRPr="00AB2F12" w:rsidRDefault="007F7A83" w:rsidP="007F7A83">
      <w:pPr>
        <w:spacing w:after="0" w:line="240" w:lineRule="auto"/>
        <w:jc w:val="both"/>
        <w:rPr>
          <w:rFonts w:ascii="Verdana" w:eastAsia="Calibri" w:hAnsi="Verdana" w:cs="Arial"/>
          <w:lang w:eastAsia="es-ES"/>
        </w:rPr>
      </w:pPr>
      <w:r w:rsidRPr="00AB2F12">
        <w:rPr>
          <w:rFonts w:ascii="Verdana" w:eastAsia="Calibri" w:hAnsi="Verdana" w:cs="Arial"/>
          <w:lang w:eastAsia="es-ES"/>
        </w:rPr>
        <w:t>Señor</w:t>
      </w:r>
      <w:r w:rsidRPr="00AB2F12">
        <w:rPr>
          <w:rFonts w:ascii="Verdana" w:eastAsia="Calibri" w:hAnsi="Verdana" w:cs="Arial"/>
          <w:lang w:eastAsia="es-ES"/>
        </w:rPr>
        <w:tab/>
      </w:r>
    </w:p>
    <w:p w14:paraId="2B82582B" w14:textId="77777777" w:rsidR="007F7A83" w:rsidRPr="00AB2F12" w:rsidRDefault="007F7A83" w:rsidP="007F7A83">
      <w:pPr>
        <w:spacing w:after="0" w:line="240" w:lineRule="auto"/>
        <w:jc w:val="both"/>
        <w:rPr>
          <w:rFonts w:ascii="Verdana" w:eastAsia="Calibri" w:hAnsi="Verdana" w:cs="Arial"/>
          <w:b/>
          <w:bCs/>
          <w:lang w:eastAsia="es-ES"/>
        </w:rPr>
      </w:pPr>
      <w:r w:rsidRPr="00AB2F12">
        <w:rPr>
          <w:rFonts w:ascii="Verdana" w:eastAsia="Calibri" w:hAnsi="Verdana" w:cs="Arial"/>
          <w:b/>
          <w:bCs/>
          <w:lang w:eastAsia="es-ES"/>
        </w:rPr>
        <w:t>DUBER DE JESÚS LASCARRO VILLAFAÑE</w:t>
      </w:r>
    </w:p>
    <w:p w14:paraId="427D4209" w14:textId="77777777" w:rsidR="007F7A83" w:rsidRPr="00AB2F12" w:rsidRDefault="007F7A83" w:rsidP="007F7A83">
      <w:pPr>
        <w:spacing w:after="0" w:line="240" w:lineRule="auto"/>
        <w:rPr>
          <w:rFonts w:ascii="Verdana" w:eastAsia="Calibri" w:hAnsi="Verdana" w:cs="Arial"/>
          <w:lang w:eastAsia="es-ES"/>
        </w:rPr>
      </w:pPr>
      <w:hyperlink r:id="rId11" w:history="1">
        <w:r w:rsidRPr="00AB2F12">
          <w:rPr>
            <w:rStyle w:val="Hipervnculo"/>
            <w:rFonts w:ascii="Verdana" w:eastAsia="Calibri" w:hAnsi="Verdana" w:cs="Arial"/>
            <w:lang w:eastAsia="es-ES"/>
          </w:rPr>
          <w:t>dujelavi1@hotmail.com</w:t>
        </w:r>
      </w:hyperlink>
      <w:r w:rsidRPr="00AB2F12">
        <w:rPr>
          <w:rFonts w:ascii="Verdana" w:eastAsia="Calibri" w:hAnsi="Verdana" w:cs="Arial"/>
          <w:lang w:eastAsia="es-ES"/>
        </w:rPr>
        <w:t xml:space="preserve"> </w:t>
      </w:r>
    </w:p>
    <w:p w14:paraId="5A5B39FF" w14:textId="77777777" w:rsidR="007F7A83" w:rsidRPr="00AB2F12" w:rsidRDefault="007F7A83" w:rsidP="007F7A83">
      <w:pPr>
        <w:spacing w:after="0" w:line="240" w:lineRule="auto"/>
        <w:rPr>
          <w:rFonts w:ascii="Verdana" w:eastAsia="Calibri" w:hAnsi="Verdana" w:cs="Arial"/>
          <w:lang w:eastAsia="es-ES"/>
        </w:rPr>
      </w:pPr>
      <w:r w:rsidRPr="00AB2F12">
        <w:rPr>
          <w:rFonts w:ascii="Verdana" w:eastAsia="Calibri" w:hAnsi="Verdana" w:cs="Arial"/>
          <w:lang w:eastAsia="es-ES"/>
        </w:rPr>
        <w:t>Santa Martha (Magdalena)</w:t>
      </w:r>
    </w:p>
    <w:p w14:paraId="78CCC699" w14:textId="77777777" w:rsidR="007F7A83" w:rsidRPr="00AB2F12" w:rsidRDefault="007F7A83" w:rsidP="007F7A83">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7F7A83" w:rsidRPr="00AB2F12" w14:paraId="50E8A5B9" w14:textId="77777777" w:rsidTr="008B3546">
        <w:trPr>
          <w:trHeight w:val="273"/>
        </w:trPr>
        <w:tc>
          <w:tcPr>
            <w:tcW w:w="2295" w:type="dxa"/>
          </w:tcPr>
          <w:p w14:paraId="62EBC90D" w14:textId="77777777" w:rsidR="007F7A83" w:rsidRPr="00AB2F12" w:rsidRDefault="007F7A83" w:rsidP="008B3546">
            <w:pPr>
              <w:jc w:val="both"/>
              <w:rPr>
                <w:rFonts w:ascii="Verdana" w:eastAsia="Calibri" w:hAnsi="Verdana" w:cs="Arial"/>
                <w:b/>
                <w:bCs/>
                <w:color w:val="7030A0"/>
                <w:lang w:val="es-ES_tradnl" w:eastAsia="es-ES_tradnl"/>
              </w:rPr>
            </w:pPr>
          </w:p>
        </w:tc>
        <w:tc>
          <w:tcPr>
            <w:tcW w:w="6481" w:type="dxa"/>
            <w:gridSpan w:val="2"/>
          </w:tcPr>
          <w:p w14:paraId="0A8CE01A" w14:textId="77777777" w:rsidR="007F7A83" w:rsidRPr="00AB2F12" w:rsidRDefault="007F7A83" w:rsidP="008B3546">
            <w:pPr>
              <w:jc w:val="both"/>
              <w:rPr>
                <w:rFonts w:ascii="Verdana" w:eastAsia="Calibri" w:hAnsi="Verdana" w:cs="Arial"/>
                <w:b/>
                <w:bCs/>
                <w:lang w:val="es-ES" w:eastAsia="es-ES"/>
              </w:rPr>
            </w:pPr>
            <w:r w:rsidRPr="00AB2F12">
              <w:rPr>
                <w:rFonts w:ascii="Verdana" w:eastAsia="Calibri" w:hAnsi="Verdana" w:cs="Arial"/>
                <w:b/>
                <w:bCs/>
                <w:lang w:val="es-ES" w:eastAsia="es-ES"/>
              </w:rPr>
              <w:t>Concepto C- 1507 de 2025</w:t>
            </w:r>
          </w:p>
          <w:p w14:paraId="597DF9E5" w14:textId="77777777" w:rsidR="007F7A83" w:rsidRPr="00AB2F12" w:rsidRDefault="007F7A83" w:rsidP="008B3546">
            <w:pPr>
              <w:jc w:val="both"/>
              <w:rPr>
                <w:rFonts w:ascii="Verdana" w:eastAsia="Calibri" w:hAnsi="Verdana" w:cs="Arial"/>
                <w:b/>
                <w:bCs/>
                <w:color w:val="7030A0"/>
                <w:lang w:val="es-ES" w:eastAsia="es-ES"/>
              </w:rPr>
            </w:pPr>
          </w:p>
        </w:tc>
      </w:tr>
      <w:tr w:rsidR="007F7A83" w:rsidRPr="00280D79" w14:paraId="03621D47" w14:textId="77777777" w:rsidTr="008B3546">
        <w:trPr>
          <w:trHeight w:val="1583"/>
        </w:trPr>
        <w:tc>
          <w:tcPr>
            <w:tcW w:w="2295" w:type="dxa"/>
          </w:tcPr>
          <w:p w14:paraId="082A9AC1" w14:textId="77777777" w:rsidR="007F7A83" w:rsidRPr="00593A5F" w:rsidRDefault="007F7A83" w:rsidP="008B3546">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657F8AD8" w14:textId="50B52CD9" w:rsidR="007F7A83" w:rsidRPr="00280D79" w:rsidRDefault="007F7A83" w:rsidP="008B3546">
            <w:pPr>
              <w:jc w:val="both"/>
              <w:rPr>
                <w:rFonts w:ascii="Verdana" w:eastAsia="Calibri" w:hAnsi="Verdana" w:cs="Arial"/>
                <w:b/>
                <w:lang w:val="es-ES" w:eastAsia="es-ES"/>
              </w:rPr>
            </w:pPr>
            <w:r w:rsidRPr="007C11D3">
              <w:rPr>
                <w:rFonts w:ascii="Verdana" w:eastAsia="Calibri" w:hAnsi="Verdana" w:cs="Arial"/>
                <w:lang w:val="es-ES" w:eastAsia="es-ES"/>
              </w:rPr>
              <w:t xml:space="preserve">LEY DE GARANTÍAS ELECTORALES ‒ Tipos de restricciones ‒ Ámbito temporal / LEY DE GARANTÍAS ELECTORALES ─ Prohibición ‒ Contratación directa ‒ Alcance – Excepciones / LEY DE GARANTÍAS ELECTORALES ‒ Prohibición del artículo 33 ‒ Destinatarios </w:t>
            </w:r>
            <w:r>
              <w:rPr>
                <w:rFonts w:ascii="Verdana" w:eastAsia="Calibri" w:hAnsi="Verdana" w:cs="Arial"/>
                <w:lang w:val="es-ES" w:eastAsia="es-ES"/>
              </w:rPr>
              <w:t xml:space="preserve">/ </w:t>
            </w:r>
            <w:r w:rsidRPr="00BD5624">
              <w:rPr>
                <w:rFonts w:ascii="Verdana" w:eastAsia="Calibri" w:hAnsi="Verdana" w:cs="Arial"/>
                <w:lang w:val="es-ES" w:eastAsia="es-ES"/>
              </w:rPr>
              <w:t>CONTRATOS Y CONVENIOS INTERADMINISTRATIVOS – Definición – Criterio orgánico</w:t>
            </w:r>
          </w:p>
          <w:p w14:paraId="68FE6B2A" w14:textId="77777777" w:rsidR="007F7A83" w:rsidRPr="00280D79" w:rsidRDefault="007F7A83" w:rsidP="008B3546">
            <w:pPr>
              <w:jc w:val="both"/>
              <w:rPr>
                <w:rFonts w:ascii="Verdana" w:eastAsia="Calibri" w:hAnsi="Verdana" w:cs="Arial"/>
                <w:b/>
                <w:highlight w:val="yellow"/>
                <w:lang w:val="es-ES" w:eastAsia="es-ES"/>
              </w:rPr>
            </w:pPr>
          </w:p>
        </w:tc>
      </w:tr>
      <w:tr w:rsidR="007F7A83" w:rsidRPr="00593A5F" w14:paraId="5B0F1C37" w14:textId="77777777" w:rsidTr="008B3546">
        <w:trPr>
          <w:trHeight w:val="545"/>
        </w:trPr>
        <w:tc>
          <w:tcPr>
            <w:tcW w:w="2295" w:type="dxa"/>
          </w:tcPr>
          <w:p w14:paraId="6609D94C" w14:textId="77777777" w:rsidR="007F7A83" w:rsidRPr="006730E9" w:rsidRDefault="007F7A83" w:rsidP="008B3546">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22E234C5" w14:textId="77777777" w:rsidR="007F7A83" w:rsidRPr="006730E9" w:rsidRDefault="007F7A83" w:rsidP="008B3546">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AB2F12">
              <w:rPr>
                <w:rFonts w:ascii="Verdana" w:eastAsia="Calibri" w:hAnsi="Verdana" w:cs="Arial"/>
                <w:lang w:val="es-ES_tradnl" w:eastAsia="es-ES_tradnl"/>
              </w:rPr>
              <w:t>1_2025_10_16_011623</w:t>
            </w:r>
            <w:r>
              <w:rPr>
                <w:rFonts w:ascii="Verdana" w:eastAsia="Calibri" w:hAnsi="Verdana" w:cs="Arial"/>
                <w:lang w:val="es-ES_tradnl" w:eastAsia="es-ES_tradnl"/>
              </w:rPr>
              <w:t xml:space="preserve"> acumulada con el radico No. </w:t>
            </w:r>
            <w:r w:rsidRPr="00AB2F12">
              <w:rPr>
                <w:rFonts w:ascii="Verdana" w:eastAsia="Calibri" w:hAnsi="Verdana" w:cs="Arial"/>
                <w:lang w:val="es-ES_tradnl" w:eastAsia="es-ES_tradnl"/>
              </w:rPr>
              <w:t>1_2025_10_17_011648</w:t>
            </w:r>
            <w:r>
              <w:rPr>
                <w:rFonts w:ascii="Verdana" w:eastAsia="Calibri" w:hAnsi="Verdana" w:cs="Arial"/>
                <w:lang w:val="es-ES_tradnl" w:eastAsia="es-ES_tradnl"/>
              </w:rPr>
              <w:t>.</w:t>
            </w:r>
          </w:p>
        </w:tc>
      </w:tr>
      <w:tr w:rsidR="007F7A83" w:rsidRPr="00DB23D2" w14:paraId="2251ECB7" w14:textId="77777777" w:rsidTr="008B3546">
        <w:trPr>
          <w:gridAfter w:val="1"/>
          <w:wAfter w:w="319" w:type="dxa"/>
          <w:trHeight w:val="242"/>
        </w:trPr>
        <w:tc>
          <w:tcPr>
            <w:tcW w:w="8457" w:type="dxa"/>
            <w:gridSpan w:val="2"/>
          </w:tcPr>
          <w:p w14:paraId="6DBA6217" w14:textId="77777777" w:rsidR="007F7A83" w:rsidRPr="00DB23D2" w:rsidRDefault="007F7A83" w:rsidP="008B3546">
            <w:pPr>
              <w:spacing w:line="276" w:lineRule="auto"/>
              <w:jc w:val="both"/>
              <w:rPr>
                <w:rFonts w:ascii="Verdana" w:eastAsia="Calibri" w:hAnsi="Verdana" w:cs="Arial"/>
                <w:lang w:val="es-ES_tradnl" w:eastAsia="es-ES"/>
              </w:rPr>
            </w:pPr>
          </w:p>
        </w:tc>
      </w:tr>
    </w:tbl>
    <w:p w14:paraId="3BF2F2BC" w14:textId="77777777" w:rsidR="007F7A83" w:rsidRPr="006730E9" w:rsidRDefault="007F7A83" w:rsidP="007F7A83">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Lascarro;</w:t>
      </w:r>
    </w:p>
    <w:p w14:paraId="7256F05C" w14:textId="77777777" w:rsidR="007F7A83" w:rsidRDefault="007F7A83" w:rsidP="007F7A8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0C4FE001" w14:textId="77777777" w:rsidR="007F7A83" w:rsidRPr="006730E9" w:rsidRDefault="007F7A83" w:rsidP="007F7A83">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traslada por competencia por la Procuraduría general de la Nación y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 xml:space="preserve">15 </w:t>
      </w:r>
      <w:r w:rsidRPr="00656A22">
        <w:rPr>
          <w:rFonts w:ascii="Verdana" w:eastAsia="Calibri" w:hAnsi="Verdana" w:cs="Arial"/>
          <w:lang w:val="es-ES" w:eastAsia="es-ES"/>
        </w:rPr>
        <w:t xml:space="preserve">de </w:t>
      </w:r>
      <w:r>
        <w:rPr>
          <w:rFonts w:ascii="Verdana" w:eastAsia="Calibri" w:hAnsi="Verdana" w:cs="Arial"/>
          <w:lang w:val="es-ES" w:eastAsia="es-ES"/>
        </w:rPr>
        <w:t>octubre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6F512D19" w14:textId="77777777" w:rsidR="007F7A83" w:rsidRPr="00326382" w:rsidRDefault="007F7A83" w:rsidP="007F7A83">
      <w:pPr>
        <w:spacing w:after="0" w:line="276" w:lineRule="auto"/>
        <w:ind w:left="709" w:right="474"/>
        <w:jc w:val="both"/>
        <w:rPr>
          <w:rFonts w:ascii="Verdana" w:hAnsi="Verdana" w:cs="Arial"/>
          <w:sz w:val="20"/>
          <w:szCs w:val="20"/>
          <w:shd w:val="clear" w:color="auto" w:fill="FFFFFF"/>
        </w:rPr>
      </w:pPr>
      <w:bookmarkStart w:id="2" w:name="_Hlk95313578"/>
    </w:p>
    <w:bookmarkEnd w:id="2"/>
    <w:p w14:paraId="183C14C4" w14:textId="77777777" w:rsidR="007F7A83" w:rsidRDefault="007F7A83" w:rsidP="007F7A83">
      <w:pPr>
        <w:tabs>
          <w:tab w:val="left" w:pos="142"/>
          <w:tab w:val="left" w:pos="567"/>
        </w:tabs>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53F56045" w14:textId="77777777" w:rsidR="007F7A83" w:rsidRDefault="007F7A83" w:rsidP="007F7A83">
      <w:pPr>
        <w:tabs>
          <w:tab w:val="left" w:pos="142"/>
          <w:tab w:val="left" w:pos="567"/>
        </w:tabs>
        <w:spacing w:after="0" w:line="240" w:lineRule="auto"/>
        <w:ind w:left="709" w:right="709"/>
        <w:jc w:val="both"/>
        <w:rPr>
          <w:rFonts w:ascii="Verdana" w:eastAsia="Century Gothic" w:hAnsi="Verdana" w:cs="Century Gothic"/>
          <w:i/>
          <w:iCs/>
          <w:sz w:val="20"/>
          <w:szCs w:val="20"/>
        </w:rPr>
      </w:pPr>
    </w:p>
    <w:p w14:paraId="077B1255" w14:textId="77777777" w:rsidR="007F7A83" w:rsidRDefault="007F7A83" w:rsidP="007F7A83">
      <w:pPr>
        <w:tabs>
          <w:tab w:val="left" w:pos="142"/>
          <w:tab w:val="left" w:pos="567"/>
        </w:tabs>
        <w:spacing w:after="0" w:line="240" w:lineRule="auto"/>
        <w:ind w:left="709" w:right="709"/>
        <w:jc w:val="both"/>
        <w:rPr>
          <w:rFonts w:ascii="Verdana" w:eastAsia="Century Gothic" w:hAnsi="Verdana" w:cs="Century Gothic"/>
          <w:i/>
          <w:iCs/>
          <w:sz w:val="20"/>
          <w:szCs w:val="20"/>
          <w:lang w:val="es-MX"/>
        </w:rPr>
      </w:pPr>
      <w:r w:rsidRPr="00D72FB2">
        <w:rPr>
          <w:rFonts w:ascii="Verdana" w:eastAsia="Century Gothic" w:hAnsi="Verdana" w:cs="Century Gothic"/>
          <w:i/>
          <w:iCs/>
          <w:sz w:val="20"/>
          <w:szCs w:val="20"/>
          <w:lang w:val="es-MX"/>
        </w:rPr>
        <w:t xml:space="preserve">Con el fin de obtener un pronunciamiento oficial respecto a la posibilidad de suscribir convenios interadministrativos durante el actual período electoral atípico que se desarrolla en el </w:t>
      </w:r>
      <w:r>
        <w:rPr>
          <w:rFonts w:ascii="Verdana" w:eastAsia="Century Gothic" w:hAnsi="Verdana" w:cs="Century Gothic"/>
          <w:i/>
          <w:iCs/>
          <w:sz w:val="20"/>
          <w:szCs w:val="20"/>
          <w:lang w:val="es-MX"/>
        </w:rPr>
        <w:t>D</w:t>
      </w:r>
      <w:r w:rsidRPr="00D72FB2">
        <w:rPr>
          <w:rFonts w:ascii="Verdana" w:eastAsia="Century Gothic" w:hAnsi="Verdana" w:cs="Century Gothic"/>
          <w:i/>
          <w:iCs/>
          <w:sz w:val="20"/>
          <w:szCs w:val="20"/>
          <w:lang w:val="es-MX"/>
        </w:rPr>
        <w:t>epartamento del Magdalena correspondiente a las elecciones a la gobernación</w:t>
      </w:r>
      <w:r>
        <w:rPr>
          <w:rFonts w:ascii="Verdana" w:eastAsia="Century Gothic" w:hAnsi="Verdana" w:cs="Century Gothic"/>
          <w:i/>
          <w:iCs/>
          <w:sz w:val="20"/>
          <w:szCs w:val="20"/>
          <w:lang w:val="es-MX"/>
        </w:rPr>
        <w:t>.(…)</w:t>
      </w:r>
    </w:p>
    <w:p w14:paraId="177B0380" w14:textId="77777777" w:rsidR="007F7A83" w:rsidRDefault="007F7A83" w:rsidP="007F7A83">
      <w:pPr>
        <w:tabs>
          <w:tab w:val="left" w:pos="142"/>
          <w:tab w:val="left" w:pos="567"/>
        </w:tabs>
        <w:spacing w:after="0" w:line="240" w:lineRule="auto"/>
        <w:ind w:left="709" w:right="709"/>
        <w:jc w:val="both"/>
        <w:rPr>
          <w:rFonts w:ascii="Verdana" w:eastAsia="Century Gothic" w:hAnsi="Verdana" w:cs="Century Gothic"/>
          <w:i/>
          <w:iCs/>
          <w:sz w:val="20"/>
          <w:szCs w:val="20"/>
          <w:lang w:val="es-MX"/>
        </w:rPr>
      </w:pPr>
    </w:p>
    <w:p w14:paraId="6541F6F3" w14:textId="77777777" w:rsidR="007F7A83" w:rsidRPr="00EA70F7" w:rsidRDefault="007F7A83" w:rsidP="007F7A83">
      <w:pPr>
        <w:tabs>
          <w:tab w:val="left" w:pos="142"/>
          <w:tab w:val="left" w:pos="567"/>
        </w:tabs>
        <w:spacing w:after="0" w:line="240" w:lineRule="auto"/>
        <w:ind w:left="709" w:right="709"/>
        <w:jc w:val="both"/>
        <w:rPr>
          <w:rFonts w:ascii="Verdana" w:eastAsia="Century Gothic" w:hAnsi="Verdana" w:cs="Century Gothic"/>
          <w:i/>
          <w:iCs/>
          <w:sz w:val="20"/>
          <w:szCs w:val="20"/>
        </w:rPr>
      </w:pPr>
      <w:r w:rsidRPr="00D72FB2">
        <w:rPr>
          <w:rFonts w:ascii="Verdana" w:eastAsia="Century Gothic" w:hAnsi="Verdana" w:cs="Century Gothic"/>
          <w:i/>
          <w:iCs/>
          <w:sz w:val="20"/>
          <w:szCs w:val="20"/>
          <w:lang w:val="es-MX"/>
        </w:rPr>
        <w:t>Con base en el presidente constitucional citado resulta procedente la suscripción de un convenio interadministrativo dirigido a realizar el traslado de reclusos hacia el sistema carcelario</w:t>
      </w:r>
      <w:r>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2EABC3FC" w14:textId="77777777" w:rsidR="007F7A83" w:rsidRDefault="007F7A83" w:rsidP="007F7A83">
      <w:pPr>
        <w:spacing w:after="0" w:line="276" w:lineRule="auto"/>
        <w:ind w:firstLine="709"/>
        <w:jc w:val="both"/>
        <w:rPr>
          <w:rFonts w:ascii="Verdana" w:eastAsia="Calibri" w:hAnsi="Verdana" w:cs="Arial"/>
          <w:lang w:val="es-ES" w:eastAsia="es-ES"/>
        </w:rPr>
      </w:pPr>
    </w:p>
    <w:p w14:paraId="0E8A701E" w14:textId="77777777" w:rsidR="007F7A83" w:rsidRPr="00AA3B9F" w:rsidRDefault="007F7A83" w:rsidP="007F7A83">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6FFBF301" w14:textId="77777777" w:rsidR="007F7A83" w:rsidRDefault="007F7A83" w:rsidP="007F7A83">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2FA671D6" w14:textId="77777777" w:rsidR="007F7A83" w:rsidRDefault="007F7A83" w:rsidP="007F7A83">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1F69FDFA" w14:textId="77777777" w:rsidR="007F7A83" w:rsidRDefault="007F7A83" w:rsidP="007F7A8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4041347D" w14:textId="77777777" w:rsidR="007F7A83" w:rsidRDefault="007F7A83" w:rsidP="007F7A83">
      <w:pPr>
        <w:pStyle w:val="Prrafodelista"/>
        <w:tabs>
          <w:tab w:val="left" w:pos="142"/>
          <w:tab w:val="left" w:pos="284"/>
        </w:tabs>
        <w:spacing w:after="0" w:line="276" w:lineRule="auto"/>
        <w:ind w:left="0"/>
        <w:jc w:val="both"/>
        <w:rPr>
          <w:rFonts w:ascii="Verdana" w:eastAsia="Century Gothic" w:hAnsi="Verdana" w:cs="Century Gothic"/>
          <w:b/>
          <w:bCs/>
        </w:rPr>
      </w:pPr>
    </w:p>
    <w:p w14:paraId="208782FE" w14:textId="77777777" w:rsidR="007F7A83" w:rsidRPr="009015F2" w:rsidRDefault="007F7A83" w:rsidP="007F7A83">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3" w:name="_Hlk196737317"/>
      <w:r>
        <w:rPr>
          <w:rFonts w:ascii="Verdana" w:eastAsia="Century Gothic" w:hAnsi="Verdana" w:cs="Century Gothic"/>
        </w:rPr>
        <w:t xml:space="preserve"> </w:t>
      </w:r>
      <w:r>
        <w:rPr>
          <w:rFonts w:ascii="Verdana" w:hAnsi="Verdana"/>
        </w:rPr>
        <w:t>C</w:t>
      </w:r>
      <w:r w:rsidRPr="00AF1ED2">
        <w:rPr>
          <w:rFonts w:ascii="Verdana" w:hAnsi="Verdana"/>
        </w:rPr>
        <w:t>onsiderando las restricciones establecidas por</w:t>
      </w:r>
      <w:r>
        <w:rPr>
          <w:rFonts w:ascii="Verdana" w:hAnsi="Verdana"/>
        </w:rPr>
        <w:t xml:space="preserve"> la</w:t>
      </w:r>
      <w:r w:rsidRPr="00AF1ED2">
        <w:rPr>
          <w:rFonts w:ascii="Verdana" w:hAnsi="Verdana"/>
        </w:rPr>
        <w:t xml:space="preserve"> </w:t>
      </w:r>
      <w:r w:rsidRPr="00E41707">
        <w:rPr>
          <w:rFonts w:ascii="Verdana" w:eastAsia="Century Gothic" w:hAnsi="Verdana" w:cs="Century Gothic"/>
        </w:rPr>
        <w:t>Ley 996 de 2005 –Ley de Garantías Electorales</w:t>
      </w:r>
      <w:r>
        <w:rPr>
          <w:rFonts w:ascii="Verdana" w:eastAsia="Century Gothic" w:hAnsi="Verdana" w:cs="Century Gothic"/>
        </w:rPr>
        <w:t xml:space="preserve">- </w:t>
      </w:r>
      <w:r w:rsidRPr="00AF1ED2">
        <w:rPr>
          <w:rFonts w:ascii="Verdana" w:hAnsi="Verdana"/>
        </w:rPr>
        <w:t xml:space="preserve">¿Es permitido celebrar convenios interadministrativos que impliquen ejecución de recursos públicos durante un período </w:t>
      </w:r>
      <w:r>
        <w:rPr>
          <w:rFonts w:ascii="Verdana" w:hAnsi="Verdana"/>
        </w:rPr>
        <w:t>de elecciones atípicas</w:t>
      </w:r>
      <w:r w:rsidRPr="00025914">
        <w:rPr>
          <w:rFonts w:ascii="Verdana" w:hAnsi="Verdana" w:cs="Arial"/>
          <w:bCs/>
          <w:lang w:val="es-ES_tradnl"/>
        </w:rPr>
        <w:t>?</w:t>
      </w:r>
      <w:r w:rsidRPr="008303DD">
        <w:rPr>
          <w:rFonts w:ascii="Verdana" w:eastAsia="Calibri" w:hAnsi="Verdana" w:cs="Arial"/>
          <w:lang w:eastAsia="es-ES"/>
        </w:rPr>
        <w:t xml:space="preserve"> </w:t>
      </w:r>
    </w:p>
    <w:p w14:paraId="09B90D1D" w14:textId="77777777" w:rsidR="007F7A83" w:rsidRDefault="007F7A83" w:rsidP="007F7A83">
      <w:pPr>
        <w:spacing w:after="0" w:line="276" w:lineRule="auto"/>
        <w:jc w:val="both"/>
        <w:rPr>
          <w:rFonts w:ascii="Verdana" w:eastAsia="Calibri" w:hAnsi="Verdana" w:cs="Arial"/>
          <w:lang w:eastAsia="es-ES"/>
        </w:rPr>
      </w:pPr>
    </w:p>
    <w:bookmarkEnd w:id="3"/>
    <w:p w14:paraId="1B38C5EA" w14:textId="77777777" w:rsidR="007F7A83" w:rsidRDefault="007F7A83" w:rsidP="007F7A8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Respuesta:</w:t>
      </w:r>
    </w:p>
    <w:p w14:paraId="6C0D5435" w14:textId="77777777" w:rsidR="007F7A83" w:rsidRPr="00593A5F" w:rsidRDefault="007F7A83" w:rsidP="007F7A8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F7A83" w:rsidRPr="00593A5F" w14:paraId="050A5D51" w14:textId="77777777" w:rsidTr="008B3546">
        <w:tc>
          <w:tcPr>
            <w:tcW w:w="8828" w:type="dxa"/>
          </w:tcPr>
          <w:p w14:paraId="566469EB" w14:textId="518655CD" w:rsidR="007F7A83" w:rsidRPr="00E41707" w:rsidRDefault="007F7A83" w:rsidP="008B3546">
            <w:pPr>
              <w:spacing w:after="120" w:line="276" w:lineRule="auto"/>
              <w:jc w:val="both"/>
              <w:rPr>
                <w:rFonts w:ascii="Verdana" w:eastAsia="Calibri" w:hAnsi="Verdana" w:cs="Arial"/>
                <w:lang w:val="es-ES"/>
              </w:rPr>
            </w:pPr>
            <w:r w:rsidRPr="003D0447">
              <w:rPr>
                <w:rFonts w:ascii="Verdana" w:hAnsi="Verdana"/>
                <w:bCs/>
                <w:lang w:val="es-MX" w:eastAsia="es-CO"/>
              </w:rPr>
              <w:t xml:space="preserve">De acuerdo con la interpretación de las normas generales del sistema de compras y contratación pública, sin perjuicio de que </w:t>
            </w:r>
            <w:r w:rsidRPr="003D0447">
              <w:rPr>
                <w:rFonts w:ascii="Verdana" w:eastAsia="Calibri" w:hAnsi="Verdana"/>
                <w:color w:val="000000"/>
                <w:shd w:val="clear" w:color="auto" w:fill="FFFFFF"/>
                <w:lang w:val="es-MX"/>
              </w:rPr>
              <w:t>cada entidad defina la viabilidad técnica, jurídica y financiera de celebrar determinado contrato estatal en específico,</w:t>
            </w:r>
            <w:r w:rsidRPr="003D0447">
              <w:rPr>
                <w:rFonts w:ascii="Verdana" w:hAnsi="Verdana"/>
                <w:bCs/>
                <w:lang w:val="es-MX" w:eastAsia="es-CO"/>
              </w:rPr>
              <w:t xml:space="preserve"> es posible afirmar que l</w:t>
            </w:r>
            <w:r w:rsidRPr="003D0447">
              <w:rPr>
                <w:rFonts w:ascii="Verdana" w:hAnsi="Verdana"/>
                <w:lang w:eastAsia="es-ES" w:bidi="es-ES"/>
              </w:rPr>
              <w:t xml:space="preserve">a Ley 996 de 2005 establece dos (2) tipos de restricciones en materia de contratación, las cuales coinciden parcialmente. </w:t>
            </w:r>
          </w:p>
          <w:p w14:paraId="65402F2A" w14:textId="29967290" w:rsidR="007F7A83" w:rsidRDefault="007F7A83" w:rsidP="009D05BA">
            <w:pPr>
              <w:pStyle w:val="Textoindependiente"/>
              <w:spacing w:after="120" w:line="276" w:lineRule="auto"/>
              <w:ind w:firstLine="709"/>
              <w:jc w:val="both"/>
              <w:rPr>
                <w:rFonts w:ascii="Verdana" w:hAnsi="Verdana"/>
                <w:lang w:eastAsia="es-ES" w:bidi="es-ES"/>
              </w:rPr>
            </w:pPr>
            <w:r w:rsidRPr="003D0447">
              <w:rPr>
                <w:rFonts w:ascii="Verdana" w:hAnsi="Verdana"/>
                <w:i/>
                <w:iCs/>
                <w:lang w:eastAsia="es-ES" w:bidi="es-ES"/>
              </w:rPr>
              <w:t>En primer lugar</w:t>
            </w:r>
            <w:r w:rsidRPr="003D0447">
              <w:rPr>
                <w:rFonts w:ascii="Verdana" w:hAnsi="Verdana"/>
                <w:lang w:eastAsia="es-ES" w:bidi="es-ES"/>
              </w:rPr>
              <w:t xml:space="preserve">, la del artículo 33 que opera solo respecto de las elecciones presidenciales, en virtud de la cual queda proscrita la contratación directa dentro de los cuatro (4) meses anteriores a la celebración de los comicios, salvo las excepciones contempladas en el inciso segundo del mismo artículo.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6A5E5372" w14:textId="0BB5D708" w:rsidR="007F7A83" w:rsidRPr="003D0447" w:rsidRDefault="007F7A83" w:rsidP="009D05BA">
            <w:pPr>
              <w:pStyle w:val="Textoindependiente"/>
              <w:spacing w:after="120" w:line="276" w:lineRule="auto"/>
              <w:ind w:firstLine="709"/>
              <w:jc w:val="both"/>
              <w:rPr>
                <w:rFonts w:ascii="Verdana" w:hAnsi="Verdana"/>
                <w:lang w:eastAsia="es-ES" w:bidi="es-ES"/>
              </w:rPr>
            </w:pPr>
            <w:r w:rsidRPr="003D0447">
              <w:rPr>
                <w:rFonts w:ascii="Verdana" w:hAnsi="Verdana"/>
                <w:i/>
                <w:iCs/>
                <w:lang w:eastAsia="es-ES" w:bidi="es-ES"/>
              </w:rPr>
              <w:t>En segundo lugar</w:t>
            </w:r>
            <w:r w:rsidRPr="003D0447">
              <w:rPr>
                <w:rFonts w:ascii="Verdana" w:hAnsi="Verdana"/>
                <w:lang w:eastAsia="es-ES" w:bidi="es-ES"/>
              </w:rPr>
              <w:t xml:space="preserve">, también se encuentra la prohibición del parágrafo del artículo 38, el cual debe aplicarse </w:t>
            </w:r>
            <w:r w:rsidRPr="009D05BA">
              <w:rPr>
                <w:rFonts w:ascii="Verdana" w:hAnsi="Verdana"/>
                <w:i/>
                <w:lang w:eastAsia="es-ES" w:bidi="es-ES"/>
              </w:rPr>
              <w:t>respecto de cualquier tipo de contienda electoral</w:t>
            </w:r>
            <w:r w:rsidRPr="003D0447">
              <w:rPr>
                <w:rFonts w:ascii="Verdana" w:hAnsi="Verdana"/>
                <w:lang w:eastAsia="es-ES" w:bidi="es-ES"/>
              </w:rPr>
              <w:t>, y que prohíbe la celebración de convenios interadministrativos que impliquen la ejecución de recursos públicos dentro de los cuatro (4) meses anteriores a la respectiva jornada de votaciones.</w:t>
            </w:r>
          </w:p>
          <w:p w14:paraId="0CDC4678" w14:textId="77777777" w:rsidR="00D46329" w:rsidRPr="00461891" w:rsidRDefault="00D46329" w:rsidP="009D05BA">
            <w:pPr>
              <w:spacing w:after="120" w:line="276" w:lineRule="auto"/>
              <w:ind w:firstLine="709"/>
              <w:jc w:val="both"/>
              <w:rPr>
                <w:rFonts w:ascii="Verdana" w:eastAsia="Calibri" w:hAnsi="Verdana" w:cs="Arial"/>
              </w:rPr>
            </w:pPr>
            <w:r w:rsidRPr="00461891">
              <w:rPr>
                <w:rFonts w:ascii="Verdana" w:eastAsia="Arial" w:hAnsi="Verdana" w:cs="Arial"/>
                <w:lang w:val="es-ES" w:eastAsia="es-ES" w:bidi="es-ES"/>
              </w:rPr>
              <w:t xml:space="preserve">De esta manera, tratándose de elecciones en general, excluyendo las correspondientes al Presidente de la República, las restricciones que resultan aplicables son las contenidas en el parágrafo del artículo 38. Es decir, cuando se convoca a elecciones para cargos de elección popular los </w:t>
            </w:r>
            <w:r w:rsidRPr="00461891">
              <w:rPr>
                <w:rFonts w:ascii="Verdana" w:eastAsia="Calibri" w:hAnsi="Verdana" w:cs="Arial"/>
              </w:rPr>
              <w:t xml:space="preserve">Gobernadores, Alcaldes Municipales y/o Distritales, Secretarios, Gerentes y directores de Entidades Descentralizadas del orden Municipal, Departamental o Distrital, no podrán celebrar convenios interadministrativos para la ejecución de recursos públicos, dentro de los cuatro (4) meses anteriores a las elecciones. </w:t>
            </w:r>
          </w:p>
          <w:p w14:paraId="5C5833E7" w14:textId="77777777" w:rsidR="00D46329" w:rsidRDefault="00D46329" w:rsidP="009D05BA">
            <w:pPr>
              <w:spacing w:after="120" w:line="276" w:lineRule="auto"/>
              <w:ind w:firstLine="709"/>
              <w:jc w:val="both"/>
              <w:rPr>
                <w:rFonts w:ascii="Verdana" w:eastAsia="Calibri" w:hAnsi="Verdana" w:cs="Arial"/>
                <w:lang w:eastAsia="es-ES" w:bidi="es-ES"/>
              </w:rPr>
            </w:pPr>
            <w:r w:rsidRPr="00461891">
              <w:rPr>
                <w:rFonts w:ascii="Verdana" w:eastAsia="Calibri" w:hAnsi="Verdana" w:cs="Arial"/>
              </w:rPr>
              <w:t xml:space="preserve">Esta prohibición aplica incluso cuando se trate de elecciones atípicas de alcaldes o gobernadores, esto es, elecciones que se realicen por fuera del calendario ordinario electoral. </w:t>
            </w:r>
            <w:r w:rsidRPr="00461891">
              <w:rPr>
                <w:rFonts w:ascii="Verdana" w:eastAsia="Calibri" w:hAnsi="Verdana" w:cs="Arial"/>
                <w:lang w:eastAsia="es-ES" w:bidi="es-ES"/>
              </w:rPr>
              <w:t>En efecto,</w:t>
            </w:r>
            <w:r w:rsidRPr="00461891">
              <w:rPr>
                <w:rFonts w:ascii="Verdana" w:eastAsia="Calibri" w:hAnsi="Verdana" w:cs="Arial"/>
              </w:rPr>
              <w:t xml:space="preserve"> al analizar el contenido del parágrafo del artículo 38 de la Ley 996 de 2005 se evidencia que la prohibición se refiere de forma general a las “elecciones” sin realizar distinción respecto de si esta jornada de votación se realizará dentro del calendario electoral ordinario o de forma atípica. Además,</w:t>
            </w:r>
            <w:r w:rsidRPr="00461891">
              <w:rPr>
                <w:rFonts w:ascii="Verdana" w:eastAsia="Calibri" w:hAnsi="Verdana" w:cs="Arial"/>
                <w:lang w:eastAsia="es-ES" w:bidi="es-ES"/>
              </w:rPr>
              <w:t xml:space="preserve"> las restricciones establecidas en la Ley de Garantías Electorales buscan cumplir el propósito de proteger la democracia participativa y la igualdad entre candidatos, independientemente de la naturaleza de la elección. </w:t>
            </w:r>
          </w:p>
          <w:p w14:paraId="4A017AB1" w14:textId="773E9A49" w:rsidR="00D46329" w:rsidRDefault="00D46329" w:rsidP="009D05BA">
            <w:pPr>
              <w:spacing w:after="120" w:line="276" w:lineRule="auto"/>
              <w:ind w:firstLine="709"/>
              <w:jc w:val="both"/>
              <w:rPr>
                <w:rFonts w:ascii="Verdana" w:eastAsia="Calibri" w:hAnsi="Verdana" w:cs="Arial"/>
                <w:bCs/>
                <w:color w:val="000000" w:themeColor="text1"/>
              </w:rPr>
            </w:pPr>
            <w:r w:rsidRPr="00461891">
              <w:rPr>
                <w:rFonts w:ascii="Verdana" w:eastAsia="Calibri" w:hAnsi="Verdana" w:cs="Arial"/>
                <w:lang w:eastAsia="es-ES" w:bidi="es-ES"/>
              </w:rPr>
              <w:t xml:space="preserve">Por ello, la Ley de Garantías </w:t>
            </w:r>
            <w:r>
              <w:rPr>
                <w:rFonts w:ascii="Verdana" w:eastAsia="Calibri" w:hAnsi="Verdana" w:cs="Arial"/>
                <w:lang w:eastAsia="es-ES" w:bidi="es-ES"/>
              </w:rPr>
              <w:t xml:space="preserve">Electorales </w:t>
            </w:r>
            <w:r w:rsidRPr="00461891">
              <w:rPr>
                <w:rFonts w:ascii="Verdana" w:eastAsia="Calibri" w:hAnsi="Verdana" w:cs="Arial"/>
                <w:lang w:eastAsia="es-ES" w:bidi="es-ES"/>
              </w:rPr>
              <w:t>debe ser aplicada sin distinción asegurando que, tanto en elecciones ordinarias como las atípicas, se mantenga la integridad del proceso electoral.</w:t>
            </w:r>
            <w:r>
              <w:rPr>
                <w:rFonts w:ascii="Verdana" w:eastAsia="Calibri" w:hAnsi="Verdana" w:cs="Arial"/>
                <w:lang w:eastAsia="es-ES" w:bidi="es-ES"/>
              </w:rPr>
              <w:t xml:space="preserve"> </w:t>
            </w:r>
            <w:r w:rsidRPr="00461891">
              <w:rPr>
                <w:rFonts w:ascii="Verdana" w:eastAsia="Calibri" w:hAnsi="Verdana" w:cs="Arial"/>
                <w:lang w:eastAsia="es-ES" w:bidi="es-ES"/>
              </w:rPr>
              <w:t xml:space="preserve">Bajo estas consideraciones, se concluye que para las elecciones atípicas de </w:t>
            </w:r>
            <w:r>
              <w:rPr>
                <w:rFonts w:ascii="Verdana" w:eastAsia="Calibri" w:hAnsi="Verdana" w:cs="Arial"/>
                <w:lang w:eastAsia="es-ES" w:bidi="es-ES"/>
              </w:rPr>
              <w:t>gobernación</w:t>
            </w:r>
            <w:r w:rsidRPr="00461891">
              <w:rPr>
                <w:rFonts w:ascii="Verdana" w:eastAsia="Calibri" w:hAnsi="Verdana" w:cs="Arial"/>
                <w:lang w:eastAsia="es-ES" w:bidi="es-ES"/>
              </w:rPr>
              <w:t xml:space="preserve"> resulta aplicable las restricciones señaladas en el parágrafo del artículo 38 de la Ley 996 de 2005, en los términos que se expondrá en el presente concepto. </w:t>
            </w:r>
          </w:p>
          <w:p w14:paraId="3D205B98" w14:textId="0EBC3451" w:rsidR="007F7A83" w:rsidRDefault="007F7A83" w:rsidP="009D05BA">
            <w:pPr>
              <w:spacing w:after="120" w:line="276" w:lineRule="auto"/>
              <w:ind w:firstLine="709"/>
              <w:jc w:val="both"/>
              <w:rPr>
                <w:rFonts w:ascii="Verdana" w:eastAsia="Calibri" w:hAnsi="Verdana" w:cs="Times New Roman"/>
                <w:lang w:val="es-ES"/>
              </w:rPr>
            </w:pPr>
            <w:r>
              <w:rPr>
                <w:rFonts w:ascii="Verdana" w:eastAsia="Calibri" w:hAnsi="Verdana" w:cs="Arial"/>
                <w:bCs/>
                <w:color w:val="000000" w:themeColor="text1"/>
              </w:rPr>
              <w:t>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1D669FBA" w14:textId="652FB6EE" w:rsidR="007F7A83" w:rsidRPr="00E529C2" w:rsidRDefault="007F7A83" w:rsidP="009D05BA">
            <w:pPr>
              <w:spacing w:line="276" w:lineRule="auto"/>
              <w:ind w:firstLine="709"/>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3E68ADA7" w14:textId="77777777" w:rsidR="007F7A83" w:rsidRDefault="007F7A83" w:rsidP="007F7A83">
      <w:pPr>
        <w:tabs>
          <w:tab w:val="left" w:pos="142"/>
          <w:tab w:val="left" w:pos="284"/>
        </w:tabs>
        <w:spacing w:after="0" w:line="276" w:lineRule="auto"/>
        <w:jc w:val="both"/>
        <w:rPr>
          <w:rFonts w:ascii="Verdana" w:eastAsia="Century Gothic" w:hAnsi="Verdana" w:cs="Century Gothic"/>
          <w:b/>
          <w:bCs/>
          <w:lang w:val="es-ES"/>
        </w:rPr>
      </w:pPr>
    </w:p>
    <w:p w14:paraId="50DABD07" w14:textId="77777777" w:rsidR="007F7A83" w:rsidRDefault="007F7A83" w:rsidP="007F7A8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Razones de la respuesta:</w:t>
      </w:r>
    </w:p>
    <w:p w14:paraId="72929BD1" w14:textId="77777777" w:rsidR="007F7A83" w:rsidRDefault="007F7A83" w:rsidP="007F7A8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D709ECD" w14:textId="4AA3C6D2" w:rsidR="007F7A83" w:rsidRPr="00F10E52" w:rsidRDefault="007F7A83" w:rsidP="007F7A83">
      <w:pPr>
        <w:spacing w:line="276" w:lineRule="auto"/>
        <w:jc w:val="both"/>
        <w:rPr>
          <w:rFonts w:ascii="Verdana" w:eastAsia="Times New Roman" w:hAnsi="Verdana" w:cs="Arial"/>
          <w:bCs/>
          <w:lang w:eastAsia="es-CO"/>
        </w:rPr>
      </w:pPr>
      <w:r w:rsidRPr="00F10E52">
        <w:rPr>
          <w:rFonts w:ascii="Verdana" w:eastAsia="Calibri" w:hAnsi="Verdana" w:cs="Arial"/>
          <w:bCs/>
        </w:rPr>
        <w:t>El ordenamiento jurídico colombiano contempla previsiones claras para evitar la obtención de beneficios personales en asuntos propios de la administración pública</w:t>
      </w:r>
      <w:r w:rsidRPr="00F10E52">
        <w:rPr>
          <w:rFonts w:ascii="Verdana" w:eastAsia="Calibri" w:hAnsi="Verdana" w:cs="Arial"/>
          <w:bCs/>
          <w:i/>
          <w:iCs/>
        </w:rPr>
        <w:t xml:space="preserve">. </w:t>
      </w:r>
      <w:r w:rsidRPr="00F10E52">
        <w:rPr>
          <w:rFonts w:ascii="Verdana" w:eastAsia="Calibri" w:hAnsi="Verdana" w:cs="Arial"/>
          <w:bCs/>
        </w:rPr>
        <w:t>Por ejemplo, el artículo 127 de la Constitución Política establece una prohibición contractual a los servidores públicos y</w:t>
      </w:r>
      <w:r>
        <w:rPr>
          <w:rFonts w:ascii="Verdana" w:eastAsia="Calibri" w:hAnsi="Verdana" w:cs="Arial"/>
          <w:bCs/>
        </w:rPr>
        <w:t>,</w:t>
      </w:r>
      <w:r w:rsidRPr="00F10E52">
        <w:rPr>
          <w:rFonts w:ascii="Verdana" w:eastAsia="Calibri" w:hAnsi="Verdana" w:cs="Arial"/>
          <w:bCs/>
        </w:rPr>
        <w:t xml:space="preserve"> en cuanto</w:t>
      </w:r>
      <w:r>
        <w:rPr>
          <w:rFonts w:ascii="Verdana" w:eastAsia="Calibri" w:hAnsi="Verdana" w:cs="Arial"/>
          <w:bCs/>
        </w:rPr>
        <w:t>,</w:t>
      </w:r>
      <w:r w:rsidRPr="00F10E52">
        <w:rPr>
          <w:rFonts w:ascii="Verdana" w:eastAsia="Calibri" w:hAnsi="Verdana" w:cs="Arial"/>
          <w:bCs/>
        </w:rPr>
        <w:t xml:space="preserve"> a aspectos políticos establece restricciones a ciertos empleados del Estado, incluso en época no electoral</w:t>
      </w:r>
      <w:r w:rsidRPr="00F10E52">
        <w:rPr>
          <w:rStyle w:val="Refdenotaalpie"/>
          <w:rFonts w:ascii="Verdana" w:eastAsia="Calibri" w:hAnsi="Verdana" w:cs="Arial"/>
          <w:bCs/>
        </w:rPr>
        <w:footnoteReference w:id="2"/>
      </w:r>
      <w:r w:rsidRPr="00F10E52">
        <w:rPr>
          <w:rFonts w:ascii="Verdana" w:eastAsia="Calibri" w:hAnsi="Verdana" w:cs="Arial"/>
          <w:bCs/>
        </w:rPr>
        <w:t xml:space="preserve">. </w:t>
      </w:r>
    </w:p>
    <w:p w14:paraId="648924AB" w14:textId="77777777" w:rsidR="007F7A83" w:rsidRDefault="007F7A83" w:rsidP="007F7A83">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3"/>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7C509A3F" w14:textId="77777777" w:rsidR="007F7A83" w:rsidRPr="00F10E52" w:rsidRDefault="007F7A83" w:rsidP="007F7A83">
      <w:pPr>
        <w:tabs>
          <w:tab w:val="left" w:pos="426"/>
        </w:tabs>
        <w:spacing w:before="120"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3B3A52D5" w14:textId="77777777" w:rsidR="007F7A83" w:rsidRDefault="007F7A83" w:rsidP="007F7A83">
      <w:pPr>
        <w:spacing w:after="0" w:line="276" w:lineRule="auto"/>
        <w:ind w:left="709" w:right="709"/>
        <w:jc w:val="both"/>
        <w:rPr>
          <w:rFonts w:ascii="Verdana" w:eastAsia="Times New Roman" w:hAnsi="Verdana" w:cs="Arial"/>
          <w:lang w:val="es-ES" w:eastAsia="es-CO"/>
        </w:rPr>
      </w:pPr>
    </w:p>
    <w:p w14:paraId="4788773E" w14:textId="77777777" w:rsidR="007F7A83" w:rsidRPr="003D0447" w:rsidRDefault="007F7A83" w:rsidP="007F7A83">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3D0447">
        <w:rPr>
          <w:rFonts w:ascii="Verdana" w:eastAsia="Times New Roman" w:hAnsi="Verdana" w:cs="Arial"/>
          <w:sz w:val="20"/>
          <w:szCs w:val="20"/>
          <w:lang w:val="es-ES" w:eastAsia="es-CO"/>
        </w:rPr>
        <w:t xml:space="preserve">[…] </w:t>
      </w:r>
    </w:p>
    <w:p w14:paraId="59535266" w14:textId="77777777" w:rsidR="007F7A83" w:rsidRPr="009B20C5" w:rsidRDefault="007F7A83" w:rsidP="007F7A83">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6C8CFAD4" w14:textId="77777777" w:rsidR="007F7A83" w:rsidRPr="00143D05" w:rsidRDefault="007F7A83" w:rsidP="007F7A83">
      <w:pPr>
        <w:spacing w:after="0" w:line="240" w:lineRule="auto"/>
        <w:ind w:left="709" w:right="709"/>
        <w:jc w:val="both"/>
        <w:rPr>
          <w:rFonts w:ascii="Verdana" w:eastAsia="Times New Roman" w:hAnsi="Verdana" w:cs="Arial"/>
          <w:bCs/>
          <w:sz w:val="20"/>
          <w:szCs w:val="20"/>
          <w:lang w:eastAsia="es-CO"/>
        </w:rPr>
      </w:pPr>
    </w:p>
    <w:p w14:paraId="777F86CE" w14:textId="77777777" w:rsidR="007F7A83" w:rsidRPr="003D0447" w:rsidRDefault="007F7A83" w:rsidP="007F7A83">
      <w:pPr>
        <w:spacing w:after="0" w:line="240" w:lineRule="auto"/>
        <w:ind w:left="709" w:right="709"/>
        <w:jc w:val="both"/>
        <w:rPr>
          <w:rFonts w:ascii="Verdana" w:eastAsia="Times New Roman" w:hAnsi="Verdana" w:cs="Arial"/>
          <w:sz w:val="20"/>
          <w:szCs w:val="20"/>
          <w:lang w:eastAsia="es-CO"/>
        </w:rPr>
      </w:pPr>
      <w:r w:rsidRPr="009B20C5">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9B20C5">
        <w:rPr>
          <w:rStyle w:val="Refdenotaalpie"/>
          <w:rFonts w:ascii="Verdana" w:hAnsi="Verdana" w:cs="Arial"/>
          <w:sz w:val="20"/>
          <w:szCs w:val="20"/>
        </w:rPr>
        <w:footnoteReference w:id="4"/>
      </w:r>
      <w:r>
        <w:rPr>
          <w:rFonts w:ascii="Verdana" w:eastAsia="Times New Roman" w:hAnsi="Verdana" w:cs="Arial"/>
          <w:bCs/>
          <w:sz w:val="20"/>
          <w:szCs w:val="20"/>
          <w:lang w:eastAsia="es-CO"/>
        </w:rPr>
        <w:t xml:space="preserve"> </w:t>
      </w:r>
      <w:r w:rsidRPr="003D0447">
        <w:rPr>
          <w:rFonts w:ascii="Verdana" w:eastAsia="Times New Roman" w:hAnsi="Verdana" w:cs="Arial"/>
          <w:bCs/>
          <w:sz w:val="20"/>
          <w:szCs w:val="20"/>
          <w:lang w:eastAsia="es-CO"/>
        </w:rPr>
        <w:t>[…]</w:t>
      </w:r>
      <w:r>
        <w:rPr>
          <w:rFonts w:ascii="Verdana" w:eastAsia="Times New Roman" w:hAnsi="Verdana" w:cs="Arial"/>
          <w:bCs/>
          <w:sz w:val="20"/>
          <w:szCs w:val="20"/>
          <w:lang w:eastAsia="es-CO"/>
        </w:rPr>
        <w:t>”</w:t>
      </w:r>
      <w:r w:rsidRPr="003D0447">
        <w:rPr>
          <w:rFonts w:ascii="Verdana" w:eastAsia="Times New Roman" w:hAnsi="Verdana" w:cs="Arial"/>
          <w:bCs/>
          <w:sz w:val="20"/>
          <w:szCs w:val="20"/>
          <w:lang w:eastAsia="es-CO"/>
        </w:rPr>
        <w:t xml:space="preserve"> </w:t>
      </w:r>
    </w:p>
    <w:p w14:paraId="72638D56" w14:textId="77777777" w:rsidR="007F7A83" w:rsidRDefault="007F7A83" w:rsidP="007F7A83">
      <w:pPr>
        <w:spacing w:after="0" w:line="276" w:lineRule="auto"/>
        <w:ind w:firstLine="709"/>
        <w:jc w:val="both"/>
        <w:rPr>
          <w:rFonts w:ascii="Verdana" w:eastAsia="Times New Roman" w:hAnsi="Verdana" w:cs="Arial"/>
          <w:bCs/>
          <w:lang w:eastAsia="es-CO"/>
        </w:rPr>
      </w:pPr>
      <w:bookmarkStart w:id="4" w:name="_Hlk78818186"/>
    </w:p>
    <w:p w14:paraId="703209DC" w14:textId="77777777" w:rsidR="007F7A83" w:rsidRDefault="007F7A83" w:rsidP="007F7A83">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4"/>
      <w:r w:rsidRPr="00F10E52">
        <w:rPr>
          <w:rFonts w:ascii="Verdana" w:eastAsia="Times New Roman" w:hAnsi="Verdana" w:cs="Arial"/>
          <w:bCs/>
          <w:lang w:eastAsia="es-CO"/>
        </w:rPr>
        <w:t xml:space="preserve">Por ello, varias de las disposiciones de la Ley 996 de 2005, al contener normas prohibitivas, no admiten una interpretación amplia, sino que deben interpretarse restrictivamente. </w:t>
      </w:r>
    </w:p>
    <w:p w14:paraId="4AB1333C" w14:textId="77777777" w:rsidR="007F7A83" w:rsidRPr="00F10E52" w:rsidRDefault="007F7A83" w:rsidP="007F7A83">
      <w:pPr>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efecto, la Sala de Consulta y Servicio Civil del Consejo de Estado al analizar la referida ley, precisó lo siguiente:</w:t>
      </w:r>
    </w:p>
    <w:p w14:paraId="0B075772" w14:textId="77777777" w:rsidR="007F7A83" w:rsidRPr="00F10E52" w:rsidRDefault="007F7A83" w:rsidP="007F7A83">
      <w:pPr>
        <w:spacing w:after="0" w:line="276" w:lineRule="auto"/>
        <w:ind w:firstLine="709"/>
        <w:jc w:val="both"/>
        <w:rPr>
          <w:rFonts w:ascii="Verdana" w:eastAsia="Times New Roman" w:hAnsi="Verdana" w:cs="Arial"/>
          <w:bCs/>
          <w:lang w:eastAsia="es-CO"/>
        </w:rPr>
      </w:pPr>
    </w:p>
    <w:p w14:paraId="33B2714E" w14:textId="77777777" w:rsidR="007F7A83" w:rsidRPr="009B20C5" w:rsidRDefault="007F7A83" w:rsidP="007F7A83">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FB17C59" w14:textId="77777777" w:rsidR="007F7A83" w:rsidRPr="009B20C5" w:rsidRDefault="007F7A83" w:rsidP="007F7A83">
      <w:pPr>
        <w:spacing w:after="0" w:line="240" w:lineRule="auto"/>
        <w:ind w:left="709" w:right="709"/>
        <w:jc w:val="both"/>
        <w:rPr>
          <w:rFonts w:ascii="Verdana" w:eastAsia="Times New Roman" w:hAnsi="Verdana" w:cs="Arial"/>
          <w:bCs/>
          <w:sz w:val="20"/>
          <w:szCs w:val="20"/>
          <w:lang w:eastAsia="es-CO"/>
        </w:rPr>
      </w:pPr>
    </w:p>
    <w:p w14:paraId="36FC5952" w14:textId="77777777" w:rsidR="007F7A83" w:rsidRPr="009B20C5" w:rsidRDefault="007F7A83" w:rsidP="007F7A83">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9B20C5">
        <w:rPr>
          <w:rStyle w:val="Refdenotaalpie"/>
          <w:rFonts w:ascii="Verdana" w:eastAsia="Times New Roman" w:hAnsi="Verdana" w:cs="Arial"/>
          <w:bCs/>
          <w:sz w:val="20"/>
          <w:szCs w:val="20"/>
          <w:lang w:eastAsia="es-CO"/>
        </w:rPr>
        <w:footnoteReference w:id="7"/>
      </w:r>
      <w:r w:rsidRPr="009B20C5">
        <w:rPr>
          <w:rFonts w:ascii="Verdana" w:eastAsia="Times New Roman" w:hAnsi="Verdana" w:cs="Arial"/>
          <w:bCs/>
          <w:sz w:val="20"/>
          <w:szCs w:val="20"/>
          <w:lang w:eastAsia="es-CO"/>
        </w:rPr>
        <w:t>.</w:t>
      </w:r>
    </w:p>
    <w:p w14:paraId="09FB635A" w14:textId="77777777" w:rsidR="007F7A83" w:rsidRPr="009B20C5" w:rsidRDefault="007F7A83" w:rsidP="007F7A83">
      <w:pPr>
        <w:spacing w:after="0" w:line="240" w:lineRule="auto"/>
        <w:ind w:left="709" w:right="709"/>
        <w:jc w:val="both"/>
        <w:rPr>
          <w:rFonts w:ascii="Verdana" w:eastAsia="Times New Roman" w:hAnsi="Verdana" w:cs="Arial"/>
          <w:bCs/>
          <w:sz w:val="20"/>
          <w:szCs w:val="20"/>
          <w:lang w:eastAsia="es-CO"/>
        </w:rPr>
      </w:pPr>
    </w:p>
    <w:p w14:paraId="0C1F2EE4" w14:textId="77777777" w:rsidR="007F7A83" w:rsidRPr="00F10E52" w:rsidRDefault="007F7A83" w:rsidP="007F7A83">
      <w:pPr>
        <w:spacing w:after="120" w:line="276" w:lineRule="auto"/>
        <w:jc w:val="both"/>
        <w:rPr>
          <w:rFonts w:ascii="Verdana" w:eastAsia="Arial" w:hAnsi="Verdana" w:cs="Arial"/>
          <w:lang w:val="es-ES" w:eastAsia="es-ES" w:bidi="es-ES"/>
        </w:rPr>
      </w:pPr>
      <w:r w:rsidRPr="00F10E52">
        <w:rPr>
          <w:rFonts w:ascii="Verdana" w:eastAsia="Times New Roman" w:hAnsi="Verdana" w:cs="Arial"/>
          <w:bCs/>
          <w:lang w:eastAsia="es-CO"/>
        </w:rPr>
        <w:tab/>
        <w:t>De</w:t>
      </w:r>
      <w:r w:rsidRPr="00F10E52">
        <w:rPr>
          <w:rFonts w:ascii="Verdana" w:eastAsia="Arial" w:hAnsi="Verdana" w:cs="Arial"/>
          <w:lang w:val="es-ES" w:eastAsia="es-ES" w:bidi="es-ES"/>
        </w:rPr>
        <w:t xml:space="preserve"> conformidad con lo anterior, </w:t>
      </w:r>
      <w:bookmarkStart w:id="5" w:name="_Hlk77236098"/>
      <w:r w:rsidRPr="00F10E52">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5"/>
    </w:p>
    <w:p w14:paraId="2356A756" w14:textId="77777777" w:rsidR="007F7A83" w:rsidRPr="00F10E52" w:rsidRDefault="007F7A83" w:rsidP="007F7A83">
      <w:pPr>
        <w:spacing w:after="120" w:line="276" w:lineRule="auto"/>
        <w:ind w:firstLine="708"/>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sidRPr="00F10E52">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 xml:space="preserve">lo referente a la defensa y seguridad del Estado, los contratos de crédito público, los requeridos para cubrir las </w:t>
      </w:r>
      <w:r w:rsidRPr="003D0447">
        <w:rPr>
          <w:rFonts w:ascii="Verdana" w:eastAsia="Calibri" w:hAnsi="Verdana" w:cs="Arial"/>
          <w:i/>
        </w:rPr>
        <w:t>emergencias educativas</w:t>
      </w:r>
      <w:r w:rsidRPr="00F10E52">
        <w:rPr>
          <w:rFonts w:ascii="Verdana" w:eastAsia="Calibri" w:hAnsi="Verdana" w:cs="Arial"/>
        </w:rPr>
        <w:t>,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rPr>
        <w:t>.</w:t>
      </w:r>
    </w:p>
    <w:p w14:paraId="4E5E6529" w14:textId="77777777" w:rsidR="007F7A83" w:rsidRDefault="007F7A83" w:rsidP="007F7A83">
      <w:pPr>
        <w:widowControl w:val="0"/>
        <w:autoSpaceDE w:val="0"/>
        <w:autoSpaceDN w:val="0"/>
        <w:spacing w:after="120" w:line="276" w:lineRule="auto"/>
        <w:ind w:firstLine="708"/>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rPr>
        <w:t>.</w:t>
      </w:r>
      <w:r w:rsidRPr="00F10E52">
        <w:rPr>
          <w:rFonts w:ascii="Verdana" w:eastAsia="Arial" w:hAnsi="Verdana" w:cs="Arial"/>
          <w:lang w:val="es-ES" w:eastAsia="es-ES" w:bidi="es-ES"/>
        </w:rPr>
        <w:t xml:space="preserve"> </w:t>
      </w:r>
    </w:p>
    <w:p w14:paraId="165BA459" w14:textId="77777777" w:rsidR="007F7A83" w:rsidRPr="00F10E52" w:rsidRDefault="007F7A83" w:rsidP="007F7A83">
      <w:pPr>
        <w:widowControl w:val="0"/>
        <w:autoSpaceDE w:val="0"/>
        <w:autoSpaceDN w:val="0"/>
        <w:spacing w:before="120" w:after="0" w:line="276" w:lineRule="auto"/>
        <w:ind w:firstLine="708"/>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54BCA4A0" w14:textId="77777777" w:rsidR="007F7A83" w:rsidRPr="003D0447" w:rsidRDefault="007F7A83" w:rsidP="007F7A83">
      <w:pPr>
        <w:widowControl w:val="0"/>
        <w:autoSpaceDE w:val="0"/>
        <w:autoSpaceDN w:val="0"/>
        <w:spacing w:after="0" w:line="276" w:lineRule="auto"/>
        <w:ind w:left="709" w:right="709"/>
        <w:jc w:val="both"/>
        <w:rPr>
          <w:rFonts w:ascii="Verdana" w:eastAsia="Arial" w:hAnsi="Verdana" w:cs="Arial"/>
          <w:lang w:val="es-ES" w:eastAsia="es-ES" w:bidi="es-ES"/>
        </w:rPr>
      </w:pPr>
    </w:p>
    <w:p w14:paraId="6404741A" w14:textId="77777777" w:rsidR="007F7A83" w:rsidRPr="009B20C5" w:rsidRDefault="007F7A83" w:rsidP="007F7A83">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48E0C270">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6" w:name="_Hlk76109421"/>
      <w:r w:rsidRPr="48E0C270">
        <w:rPr>
          <w:rFonts w:ascii="Verdana" w:eastAsia="Arial" w:hAnsi="Verdana" w:cs="Arial"/>
          <w:sz w:val="20"/>
          <w:szCs w:val="20"/>
          <w:lang w:eastAsia="es-ES" w:bidi="es-ES"/>
        </w:rPr>
        <w:t>se integran parcialmente</w:t>
      </w:r>
      <w:bookmarkEnd w:id="6"/>
      <w:r w:rsidRPr="48E0C270">
        <w:rPr>
          <w:rFonts w:ascii="Verdana" w:eastAsia="Arial" w:hAnsi="Verdana" w:cs="Arial"/>
          <w:sz w:val="20"/>
          <w:szCs w:val="20"/>
          <w:lang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48E0C270">
        <w:rPr>
          <w:rFonts w:ascii="Verdana" w:eastAsia="Arial" w:hAnsi="Verdana" w:cs="Arial"/>
          <w:sz w:val="20"/>
          <w:szCs w:val="20"/>
          <w:vertAlign w:val="superscript"/>
          <w:lang w:eastAsia="es-ES" w:bidi="es-ES"/>
        </w:rPr>
        <w:footnoteReference w:id="8"/>
      </w:r>
    </w:p>
    <w:p w14:paraId="19E6EB74" w14:textId="77777777" w:rsidR="007F7A83" w:rsidRDefault="007F7A83" w:rsidP="007F7A83">
      <w:pPr>
        <w:spacing w:after="0" w:line="276" w:lineRule="auto"/>
        <w:ind w:firstLine="709"/>
        <w:jc w:val="both"/>
        <w:rPr>
          <w:rFonts w:ascii="Verdana" w:eastAsia="Arial" w:hAnsi="Verdana" w:cs="Arial"/>
          <w:lang w:val="es-ES" w:eastAsia="es-ES" w:bidi="es-ES"/>
        </w:rPr>
      </w:pPr>
    </w:p>
    <w:p w14:paraId="4AE38B18" w14:textId="77777777" w:rsidR="007F7A83" w:rsidRPr="00F10E52" w:rsidRDefault="007F7A83" w:rsidP="007F7A83">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7" w:name="_Hlk99438241"/>
      <w:r w:rsidRPr="00F10E52">
        <w:rPr>
          <w:rFonts w:ascii="Verdana" w:eastAsia="Arial" w:hAnsi="Verdana" w:cs="Arial"/>
          <w:lang w:val="es-ES" w:eastAsia="es-ES" w:bidi="es-ES"/>
        </w:rPr>
        <w:t xml:space="preserve">, </w:t>
      </w:r>
      <w:bookmarkStart w:id="8" w:name="_Hlk77236420"/>
      <w:bookmarkStart w:id="9" w:name="_Hlk78818435"/>
      <w:bookmarkStart w:id="10"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7"/>
    <w:bookmarkEnd w:id="9"/>
    <w:p w14:paraId="165BFC46" w14:textId="77777777" w:rsidR="007F7A83" w:rsidRPr="00F10E52" w:rsidRDefault="007F7A83" w:rsidP="007F7A83">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w:t>
      </w:r>
    </w:p>
    <w:bookmarkEnd w:id="10"/>
    <w:p w14:paraId="140088A9" w14:textId="4ABC7314" w:rsidR="008B24D8" w:rsidRDefault="007F7A83" w:rsidP="008B24D8">
      <w:pPr>
        <w:spacing w:after="120" w:line="276" w:lineRule="auto"/>
        <w:ind w:firstLine="708"/>
        <w:jc w:val="both"/>
        <w:rPr>
          <w:rFonts w:ascii="Verdana" w:eastAsia="Times New Roman" w:hAnsi="Verdana" w:cs="Arial"/>
          <w:lang w:val="es-MX" w:eastAsia="x-none"/>
        </w:rPr>
      </w:pPr>
      <w:r w:rsidRPr="003D0447">
        <w:rPr>
          <w:rFonts w:ascii="Verdana" w:hAnsi="Verdana" w:cs="Arial"/>
          <w:bCs/>
          <w:color w:val="000000"/>
          <w:lang w:val="es-ES" w:eastAsia="es-CO"/>
        </w:rPr>
        <w:t xml:space="preserve">Teniendo en cuenta la consulta planteada, </w:t>
      </w:r>
      <w:r w:rsidR="008B24D8" w:rsidRPr="00461891">
        <w:rPr>
          <w:rFonts w:ascii="Verdana" w:eastAsia="Calibri" w:hAnsi="Verdana" w:cs="Arial"/>
          <w:lang w:eastAsia="es-ES" w:bidi="es-ES"/>
        </w:rPr>
        <w:t xml:space="preserve">resulta necesario precisar el alcance de la prohibición </w:t>
      </w:r>
      <w:r w:rsidR="008B24D8" w:rsidRPr="00461891">
        <w:rPr>
          <w:rFonts w:ascii="Verdana" w:eastAsia="Arial" w:hAnsi="Verdana" w:cs="Arial"/>
          <w:lang w:val="es-ES" w:eastAsia="es-ES" w:bidi="es-ES"/>
        </w:rPr>
        <w:t>establecida en e</w:t>
      </w:r>
      <w:r w:rsidR="008B24D8" w:rsidRPr="00461891">
        <w:rPr>
          <w:rFonts w:ascii="Verdana" w:eastAsia="Calibri" w:hAnsi="Verdana" w:cs="Arial"/>
        </w:rPr>
        <w:t xml:space="preserve">l parágrafo del artículo 38 de la Ley 996 de 2005. La citada norma dispone que “[l]os Gobernadores, Alcaldes Municipales y/o Distritales, Secretarios, Gerentes y directores de Entidades Descentralizadas del orden Municipal, Departamental o Distrital, dentro de los cuatro (4) meses anteriores a las elecciones, no podrán celebrar </w:t>
      </w:r>
      <w:r w:rsidR="008B24D8" w:rsidRPr="00461891">
        <w:rPr>
          <w:rFonts w:ascii="Verdana" w:eastAsia="Calibri" w:hAnsi="Verdana" w:cs="Arial"/>
          <w:i/>
          <w:iCs/>
        </w:rPr>
        <w:t>convenios interadministrativos</w:t>
      </w:r>
      <w:r w:rsidR="008B24D8" w:rsidRPr="00461891">
        <w:rPr>
          <w:rFonts w:ascii="Verdana" w:eastAsia="Calibri" w:hAnsi="Verdana" w:cs="Arial"/>
        </w:rPr>
        <w:t xml:space="preserve"> para la ejecución de recursos públicos”.</w:t>
      </w:r>
      <w:r w:rsidR="008B24D8" w:rsidRPr="00461891">
        <w:rPr>
          <w:rFonts w:ascii="Verdana" w:eastAsia="Times New Roman" w:hAnsi="Verdana" w:cs="Arial"/>
          <w:lang w:val="es-MX" w:eastAsia="x-none"/>
        </w:rPr>
        <w:t xml:space="preserve"> [Énfasis fuera del texto original]</w:t>
      </w:r>
    </w:p>
    <w:p w14:paraId="6F67D663" w14:textId="77777777" w:rsidR="008B24D8" w:rsidRPr="00667CD6" w:rsidRDefault="008B24D8" w:rsidP="008B24D8">
      <w:pPr>
        <w:spacing w:after="120" w:line="276" w:lineRule="auto"/>
        <w:ind w:firstLine="709"/>
        <w:jc w:val="both"/>
        <w:rPr>
          <w:rFonts w:ascii="Verdana" w:hAnsi="Verdana" w:cs="Arial"/>
          <w:lang w:eastAsia="es-ES"/>
        </w:rPr>
      </w:pPr>
      <w:r w:rsidRPr="2035D652">
        <w:rPr>
          <w:rFonts w:ascii="Verdana" w:eastAsia="Times New Roman" w:hAnsi="Verdana" w:cs="Arial"/>
          <w:lang w:val="es-ES" w:eastAsia="es-ES"/>
        </w:rPr>
        <w:t xml:space="preserve">Para tales efectos, debe precisarse que </w:t>
      </w:r>
      <w:r w:rsidRPr="00667CD6">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9"/>
      </w:r>
      <w:r w:rsidRPr="00667CD6">
        <w:rPr>
          <w:rFonts w:ascii="Verdana" w:hAnsi="Verdana" w:cs="Arial"/>
          <w:lang w:eastAsia="es-ES"/>
        </w:rPr>
        <w:t>.</w:t>
      </w:r>
    </w:p>
    <w:p w14:paraId="7D988CF8" w14:textId="77777777" w:rsidR="008B24D8" w:rsidRPr="00667CD6" w:rsidRDefault="008B24D8" w:rsidP="008B24D8">
      <w:pPr>
        <w:spacing w:after="120" w:line="276" w:lineRule="auto"/>
        <w:ind w:firstLine="709"/>
        <w:jc w:val="both"/>
        <w:rPr>
          <w:rFonts w:ascii="Verdana" w:hAnsi="Verdana" w:cs="Arial"/>
          <w:color w:val="000000" w:themeColor="text1"/>
          <w:lang w:val="es-ES_tradnl"/>
        </w:rPr>
      </w:pPr>
      <w:r w:rsidRPr="00667CD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606513C8" w14:textId="77777777" w:rsidR="008B24D8" w:rsidRPr="00667CD6" w:rsidRDefault="008B24D8" w:rsidP="008B24D8">
      <w:pPr>
        <w:spacing w:before="120" w:after="0" w:line="276" w:lineRule="auto"/>
        <w:ind w:firstLine="708"/>
        <w:jc w:val="both"/>
        <w:rPr>
          <w:rFonts w:ascii="Verdana" w:hAnsi="Verdana" w:cs="Arial"/>
          <w:lang w:val="es-ES_tradnl"/>
        </w:rPr>
      </w:pPr>
      <w:r w:rsidRPr="2035D652">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10"/>
      </w:r>
      <w:r w:rsidRPr="2035D652">
        <w:rPr>
          <w:rFonts w:ascii="Verdana" w:hAnsi="Verdana" w:cs="Arial"/>
          <w:lang w:val="es-ES"/>
        </w:rPr>
        <w:t>. Nótese que, en este caso, lo que cambia es la modalidad de selección y no la naturaleza de contrato interadministrativo.</w:t>
      </w:r>
    </w:p>
    <w:p w14:paraId="20B4CC14" w14:textId="77777777" w:rsidR="008B24D8" w:rsidRPr="00667CD6" w:rsidRDefault="008B24D8" w:rsidP="008B24D8">
      <w:pPr>
        <w:spacing w:before="120" w:after="0" w:line="276" w:lineRule="auto"/>
        <w:ind w:firstLine="708"/>
        <w:jc w:val="both"/>
        <w:rPr>
          <w:rFonts w:ascii="Verdana" w:hAnsi="Verdana" w:cs="Arial"/>
          <w:lang w:val="es-ES_tradnl"/>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11"/>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5305EEBC" w14:textId="77777777" w:rsidR="008B24D8" w:rsidRPr="00667CD6" w:rsidRDefault="008B24D8" w:rsidP="008B24D8">
      <w:pPr>
        <w:spacing w:before="120" w:after="0" w:line="276" w:lineRule="auto"/>
        <w:ind w:firstLine="708"/>
        <w:jc w:val="both"/>
        <w:rPr>
          <w:rFonts w:ascii="Verdana" w:hAnsi="Verdana"/>
          <w:sz w:val="24"/>
          <w:szCs w:val="24"/>
          <w:lang w:eastAsia="es-CO"/>
        </w:rPr>
      </w:pPr>
      <w:r w:rsidRPr="2035D652">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12"/>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667CD6">
        <w:rPr>
          <w:rFonts w:ascii="Verdana" w:hAnsi="Verdana"/>
          <w:sz w:val="24"/>
          <w:szCs w:val="24"/>
          <w:lang w:eastAsia="es-CO"/>
        </w:rPr>
        <w:t>.</w:t>
      </w:r>
    </w:p>
    <w:p w14:paraId="25A4897A" w14:textId="77777777" w:rsidR="008B24D8" w:rsidRPr="00667CD6" w:rsidRDefault="008B24D8" w:rsidP="008B24D8">
      <w:pPr>
        <w:spacing w:before="120" w:after="0" w:line="276" w:lineRule="auto"/>
        <w:ind w:firstLine="708"/>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343AC55E" w14:textId="77777777" w:rsidR="008B24D8" w:rsidRPr="00667CD6" w:rsidRDefault="008B24D8" w:rsidP="008B24D8">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Respecto del alcance de esta prohibición la Circular Externa No. 006 de 2025 expedida por la ANCP -CCE, en los literales ii) y iv)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4DB27BE4" w14:textId="77777777" w:rsidR="008B24D8" w:rsidRPr="00667CD6" w:rsidRDefault="008B24D8" w:rsidP="008B24D8">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w:t>
      </w:r>
      <w:r w:rsidRPr="00667CD6">
        <w:rPr>
          <w:rFonts w:ascii="Verdana" w:eastAsia="Times New Roman" w:hAnsi="Verdana" w:cs="Arial"/>
          <w:i/>
          <w:iCs/>
          <w:lang w:eastAsia="es-CO"/>
        </w:rPr>
        <w:t>ejecución de recursos públicos</w:t>
      </w:r>
      <w:r w:rsidRPr="00667CD6">
        <w:rPr>
          <w:rFonts w:ascii="Verdana" w:eastAsia="Times New Roman" w:hAnsi="Verdana" w:cs="Arial"/>
          <w:lang w:eastAsia="es-CO"/>
        </w:rPr>
        <w:t xml:space="preserve">. Esto significa que la prohibición no resulta aplicable a </w:t>
      </w:r>
      <w:r w:rsidRPr="00667CD6">
        <w:rPr>
          <w:rFonts w:ascii="Verdana" w:eastAsia="Times New Roman" w:hAnsi="Verdana" w:cs="Arial"/>
          <w:i/>
          <w:iCs/>
          <w:lang w:eastAsia="es-CO"/>
        </w:rPr>
        <w:t>convenios interadministrativos a título gratuito,</w:t>
      </w:r>
      <w:r w:rsidRPr="00667CD6">
        <w:rPr>
          <w:rFonts w:ascii="Verdana" w:eastAsia="Times New Roman" w:hAnsi="Verdana" w:cs="Arial"/>
          <w:lang w:eastAsia="es-CO"/>
        </w:rPr>
        <w:t xml:space="preserve"> los cuales pueden celebrarse válidamente durante la vigencia de la mencionada restricción. </w:t>
      </w:r>
    </w:p>
    <w:p w14:paraId="5347C460" w14:textId="77777777" w:rsidR="008B24D8" w:rsidRPr="00667CD6" w:rsidRDefault="008B24D8" w:rsidP="008B24D8">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eastAsia="Times New Roman" w:hAnsi="Verdana" w:cs="Arial"/>
          <w:lang w:eastAsia="es-CO"/>
        </w:rPr>
        <w:t xml:space="preserve">  </w:t>
      </w:r>
    </w:p>
    <w:p w14:paraId="03457BF5" w14:textId="77777777" w:rsidR="008B24D8" w:rsidRPr="00667CD6" w:rsidRDefault="008B24D8" w:rsidP="008B24D8">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En este punto, </w:t>
      </w:r>
      <w:r>
        <w:rPr>
          <w:rFonts w:ascii="Verdana" w:eastAsia="Times New Roman" w:hAnsi="Verdana" w:cs="Arial"/>
          <w:lang w:eastAsia="es-CO"/>
        </w:rPr>
        <w:t>teniendo en cuenta lo señalado en el contenido de su petición</w:t>
      </w:r>
      <w:r w:rsidRPr="00667CD6">
        <w:rPr>
          <w:rFonts w:ascii="Verdana" w:eastAsia="Times New Roman" w:hAnsi="Verdana" w:cs="Arial"/>
          <w:lang w:eastAsia="es-CO"/>
        </w:rPr>
        <w:t xml:space="preserve">, vale la pena destacar que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numeral 16.2 de la Circular Externa Única de 2022 expedida por la Agencia Nacional de Contratación Pública -Colombia Compra Eficiente-, concretamente, respecto de los siguientes apartes normativos</w:t>
      </w:r>
      <w:r w:rsidRPr="00667CD6">
        <w:rPr>
          <w:rFonts w:ascii="Verdana" w:hAnsi="Verdana" w:cs="Arial"/>
          <w:vertAlign w:val="superscript"/>
        </w:rPr>
        <w:footnoteReference w:id="13"/>
      </w:r>
      <w:r w:rsidRPr="00667CD6">
        <w:rPr>
          <w:rFonts w:ascii="Verdana" w:hAnsi="Verdana" w:cs="Arial"/>
        </w:rPr>
        <w:t xml:space="preserve">: </w:t>
      </w:r>
    </w:p>
    <w:p w14:paraId="1BB11AC2" w14:textId="77777777" w:rsidR="008B24D8" w:rsidRPr="00667CD6" w:rsidRDefault="008B24D8" w:rsidP="008B24D8">
      <w:pPr>
        <w:spacing w:after="0" w:line="276" w:lineRule="auto"/>
        <w:ind w:firstLine="709"/>
        <w:jc w:val="both"/>
        <w:rPr>
          <w:rFonts w:ascii="Verdana" w:hAnsi="Verdana" w:cs="Arial"/>
        </w:rPr>
      </w:pPr>
    </w:p>
    <w:p w14:paraId="745C3328" w14:textId="77777777" w:rsidR="008B24D8" w:rsidRPr="00667CD6" w:rsidRDefault="008B24D8" w:rsidP="008B24D8">
      <w:pPr>
        <w:spacing w:after="0" w:line="240" w:lineRule="auto"/>
        <w:ind w:left="709" w:right="709"/>
        <w:jc w:val="both"/>
        <w:rPr>
          <w:rFonts w:ascii="Verdana" w:hAnsi="Verdana" w:cs="Arial"/>
          <w:sz w:val="20"/>
          <w:szCs w:val="20"/>
        </w:rPr>
      </w:pPr>
      <w:r w:rsidRPr="00667CD6">
        <w:rPr>
          <w:rFonts w:ascii="Verdana" w:hAnsi="Verdana" w:cs="Arial"/>
          <w:sz w:val="20"/>
          <w:szCs w:val="20"/>
          <w:lang w:val="es-MX"/>
        </w:rPr>
        <w:t>i)</w:t>
      </w:r>
      <w:r w:rsidRPr="00667CD6">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10237C98" w14:textId="77777777" w:rsidR="008B24D8" w:rsidRPr="00667CD6" w:rsidRDefault="008B24D8" w:rsidP="008B24D8">
      <w:pPr>
        <w:spacing w:after="0" w:line="240" w:lineRule="auto"/>
        <w:ind w:left="709" w:right="709"/>
        <w:jc w:val="both"/>
        <w:rPr>
          <w:rFonts w:ascii="Verdana" w:hAnsi="Verdana" w:cs="Arial"/>
          <w:sz w:val="20"/>
          <w:szCs w:val="20"/>
        </w:rPr>
      </w:pPr>
    </w:p>
    <w:p w14:paraId="3C6F9ED2" w14:textId="77777777" w:rsidR="008B24D8" w:rsidRPr="00667CD6" w:rsidRDefault="008B24D8" w:rsidP="008B24D8">
      <w:pPr>
        <w:spacing w:after="0" w:line="240" w:lineRule="auto"/>
        <w:ind w:left="709" w:right="709"/>
        <w:jc w:val="both"/>
        <w:rPr>
          <w:rFonts w:ascii="Verdana" w:hAnsi="Verdana" w:cs="Arial"/>
          <w:sz w:val="20"/>
          <w:szCs w:val="20"/>
        </w:rPr>
      </w:pPr>
      <w:r w:rsidRPr="00667CD6">
        <w:rPr>
          <w:rFonts w:ascii="Verdana" w:hAnsi="Verdana" w:cs="Arial"/>
          <w:sz w:val="20"/>
          <w:szCs w:val="20"/>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212CC2B2" w14:textId="77777777" w:rsidR="008B24D8" w:rsidRPr="00667CD6" w:rsidRDefault="008B24D8" w:rsidP="008B24D8">
      <w:pPr>
        <w:spacing w:after="0" w:line="276" w:lineRule="auto"/>
        <w:ind w:left="709" w:right="709"/>
        <w:jc w:val="both"/>
        <w:rPr>
          <w:rFonts w:ascii="Verdana" w:hAnsi="Verdana" w:cs="Arial"/>
        </w:rPr>
      </w:pPr>
    </w:p>
    <w:p w14:paraId="4D35E96D" w14:textId="77777777" w:rsidR="008B24D8" w:rsidRPr="00667CD6" w:rsidRDefault="008B24D8" w:rsidP="008B24D8">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2848CE5F" w14:textId="77777777" w:rsidR="008B24D8" w:rsidRPr="00667CD6" w:rsidRDefault="008B24D8" w:rsidP="008B24D8">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14"/>
      </w:r>
      <w:r w:rsidRPr="00667CD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0C21C8D7" w14:textId="77777777" w:rsidR="008B24D8" w:rsidRDefault="008B24D8" w:rsidP="008B24D8">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31E4E861">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072287AC" w14:textId="77777777" w:rsidR="008B24D8" w:rsidRDefault="008B24D8" w:rsidP="008B24D8">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15"/>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52BB815D" w14:textId="77777777" w:rsidR="008B24D8" w:rsidRPr="00670659" w:rsidRDefault="008B24D8" w:rsidP="008B24D8">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3A9793AB" w14:textId="3644F1C1" w:rsidR="008B24D8" w:rsidRPr="009D05BA" w:rsidRDefault="008B24D8" w:rsidP="009D05BA">
      <w:pPr>
        <w:spacing w:after="120" w:line="276" w:lineRule="auto"/>
        <w:ind w:firstLine="709"/>
        <w:jc w:val="both"/>
        <w:rPr>
          <w:rFonts w:ascii="Verdana" w:eastAsia="Times New Roman" w:hAnsi="Verdana" w:cs="Arial"/>
          <w:lang w:eastAsia="es-CO"/>
        </w:rPr>
      </w:pP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16"/>
      </w:r>
      <w:r>
        <w:rPr>
          <w:rFonts w:ascii="Verdana" w:eastAsia="Times New Roman" w:hAnsi="Verdana" w:cs="Arial"/>
          <w:lang w:eastAsia="es-CO"/>
        </w:rPr>
        <w:t>.</w:t>
      </w:r>
    </w:p>
    <w:p w14:paraId="790771C5" w14:textId="77777777" w:rsidR="008B24D8" w:rsidRPr="00461891" w:rsidRDefault="008B24D8" w:rsidP="009D05BA">
      <w:pPr>
        <w:spacing w:after="120" w:line="276" w:lineRule="auto"/>
        <w:ind w:firstLine="708"/>
        <w:jc w:val="both"/>
        <w:rPr>
          <w:rFonts w:ascii="Verdana" w:eastAsia="Calibri" w:hAnsi="Verdana" w:cs="Arial"/>
        </w:rPr>
      </w:pPr>
      <w:r w:rsidRPr="00461891">
        <w:rPr>
          <w:rFonts w:ascii="Verdana" w:eastAsia="Arial" w:hAnsi="Verdana" w:cs="Arial"/>
          <w:lang w:val="es-ES" w:eastAsia="es-ES" w:bidi="es-ES"/>
        </w:rPr>
        <w:t xml:space="preserve">Precisado lo anterior, en relación con el problema jurídico planteado se tiene que, tratándose de elecciones en general, excluyendo las correspondientes al Presidente de la República, las restricciones que resultan aplicables son las contenidas en el parágrafo del artículo 38. Es decir, cuando se convoca a elecciones para cargos de elección popular los </w:t>
      </w:r>
      <w:r w:rsidRPr="00461891">
        <w:rPr>
          <w:rFonts w:ascii="Verdana" w:eastAsia="Calibri" w:hAnsi="Verdana" w:cs="Arial"/>
        </w:rPr>
        <w:t xml:space="preserve">Gobernadores, Alcaldes Municipales y/o Distritales, Secretarios, Gerentes y directores de Entidades Descentralizadas del orden Municipal, Departamental o Distrital, no podrán celebrar convenios interadministrativos para la ejecución de recursos públicos, dentro de los cuatro (4) meses anteriores a las elecciones. Esta prohibición aplica incluso cuando se trate de elecciones atípicas de alcaldes o gobernadores, esto es, elecciones que se realicen por fuera del calendario ordinario electoral. </w:t>
      </w:r>
    </w:p>
    <w:p w14:paraId="2DA4953E" w14:textId="77777777" w:rsidR="008B24D8" w:rsidRPr="00461891" w:rsidRDefault="008B24D8" w:rsidP="008B24D8">
      <w:pPr>
        <w:spacing w:after="120" w:line="276" w:lineRule="auto"/>
        <w:ind w:firstLine="709"/>
        <w:jc w:val="both"/>
        <w:rPr>
          <w:rFonts w:ascii="Verdana" w:eastAsia="Calibri" w:hAnsi="Verdana" w:cs="Arial"/>
        </w:rPr>
      </w:pPr>
      <w:r w:rsidRPr="00461891">
        <w:rPr>
          <w:rFonts w:ascii="Verdana" w:eastAsia="Calibri" w:hAnsi="Verdana" w:cs="Arial"/>
        </w:rPr>
        <w:t>En efecto, al analizar el contenido del parágrafo del artículo 38 de la Ley 996 de 2005 se evidencia que la prohibición se refiere de forma general a las “elecciones” sin realizar distinción respecto de si esta jornada de votación se realizará dentro del calendario electoral ordinario o de forma atípica. Este último tipo de elecciones “son eventos electorales que se realizan por fuera del calendario electoral ordinario, con el fin de cubrir la vacancia absoluta de un mandatario y elegir una autoridad por el tiempo que resta del periodo constitucional del cargo, cuando esta vacancia se registra faltando 18 meses o más para la terminación de dicho periodo”</w:t>
      </w:r>
      <w:r w:rsidRPr="00461891">
        <w:rPr>
          <w:rFonts w:ascii="Verdana" w:eastAsia="Calibri" w:hAnsi="Verdana" w:cs="Arial"/>
          <w:vertAlign w:val="superscript"/>
        </w:rPr>
        <w:footnoteReference w:id="17"/>
      </w:r>
      <w:r w:rsidRPr="00461891">
        <w:rPr>
          <w:rFonts w:ascii="Verdana" w:eastAsia="Calibri" w:hAnsi="Verdana" w:cs="Arial"/>
        </w:rPr>
        <w:t>. Su convocatoria puede derivar de diferentes situaciones como la muerte del gobernador o el alcalde, la renuncia aceptada, incapacidad física permanente, la declaratoria de nulidad por su elección, la interdicción judicial, la destitución, la revocatoria del mandato y la incapacidad por enfermedad superior a ciento ochenta (180) días</w:t>
      </w:r>
      <w:r w:rsidRPr="00461891">
        <w:rPr>
          <w:rFonts w:ascii="Verdana" w:eastAsia="Calibri" w:hAnsi="Verdana" w:cs="Arial"/>
          <w:vertAlign w:val="superscript"/>
        </w:rPr>
        <w:footnoteReference w:id="18"/>
      </w:r>
      <w:r w:rsidRPr="00461891">
        <w:rPr>
          <w:rFonts w:ascii="Verdana" w:eastAsia="Calibri" w:hAnsi="Verdana" w:cs="Arial"/>
        </w:rPr>
        <w:t>.</w:t>
      </w:r>
    </w:p>
    <w:p w14:paraId="1DFE3CF9" w14:textId="77777777" w:rsidR="008B24D8" w:rsidRPr="00461891" w:rsidRDefault="008B24D8" w:rsidP="008B24D8">
      <w:pPr>
        <w:spacing w:after="120" w:line="276" w:lineRule="auto"/>
        <w:ind w:firstLine="709"/>
        <w:jc w:val="both"/>
        <w:rPr>
          <w:rFonts w:ascii="Verdana" w:eastAsia="Calibri" w:hAnsi="Verdana" w:cs="Arial"/>
        </w:rPr>
      </w:pPr>
      <w:r w:rsidRPr="00461891">
        <w:rPr>
          <w:rFonts w:ascii="Verdana" w:eastAsia="Calibri" w:hAnsi="Verdana" w:cs="Arial"/>
        </w:rPr>
        <w:t xml:space="preserve">En tal sentido, aunque las elecciones atípicas se efectúan fuera de las fechas establecidas en la Ley, por circunstancias excepcionales que requieren una convocatoria urgente, tienen el mismo propósito de las elecciones ordinarias de asegurar la provisión de un cargo de elección popular. Por tanto, la naturaleza y el fin de las elecciones atípicas son idénticos a los de las elecciones ordinarias, ya que ambas buscan asegurar el adecuado funcionamiento de las instituciones públicas y salvaguardar la democracia. </w:t>
      </w:r>
    </w:p>
    <w:p w14:paraId="3D75E0F1" w14:textId="77777777" w:rsidR="008B24D8" w:rsidRPr="00461891" w:rsidRDefault="008B24D8" w:rsidP="008B24D8">
      <w:pPr>
        <w:spacing w:after="0" w:line="276" w:lineRule="auto"/>
        <w:ind w:firstLine="709"/>
        <w:jc w:val="both"/>
        <w:rPr>
          <w:rFonts w:ascii="Verdana" w:eastAsia="Calibri" w:hAnsi="Verdana" w:cs="Arial"/>
        </w:rPr>
      </w:pPr>
      <w:r w:rsidRPr="00461891">
        <w:rPr>
          <w:rFonts w:ascii="Verdana" w:eastAsia="Calibri" w:hAnsi="Verdana" w:cs="Arial"/>
        </w:rPr>
        <w:t xml:space="preserve">Aunado a lo anterior, como se expuso, el propósito de la Ley 996 de 2005 es asegurar condiciones de igualdad y transparencia para todos los aspirantes en el proceso electoral, de manera que los participantes tengan las mismas oportunidades y no enfrenten ventajas indebidas durante la contienda electoral. Al mismo tiempo, la Ley establece restricciones que previenen la desviación de recursos públicos con fines electorales, prohibiendo que los fondos y bienes del Estado sean utilizados para beneficiar a ciertos aspirantes. De este modo, en la Ley de Garantías se plantea como objetivos: </w:t>
      </w:r>
    </w:p>
    <w:p w14:paraId="6E435823" w14:textId="77777777" w:rsidR="008B24D8" w:rsidRPr="00461891" w:rsidRDefault="008B24D8" w:rsidP="008B24D8">
      <w:pPr>
        <w:spacing w:after="0" w:line="276" w:lineRule="auto"/>
        <w:ind w:firstLine="709"/>
        <w:jc w:val="both"/>
        <w:rPr>
          <w:rFonts w:ascii="Verdana" w:eastAsia="Calibri" w:hAnsi="Verdana" w:cs="Arial"/>
        </w:rPr>
      </w:pPr>
    </w:p>
    <w:p w14:paraId="289927B5" w14:textId="77777777" w:rsidR="008B24D8" w:rsidRPr="00461891" w:rsidRDefault="008B24D8" w:rsidP="008B24D8">
      <w:pPr>
        <w:spacing w:after="0" w:line="240" w:lineRule="auto"/>
        <w:ind w:left="709" w:right="709"/>
        <w:jc w:val="both"/>
        <w:rPr>
          <w:rFonts w:ascii="Verdana" w:eastAsia="Calibri" w:hAnsi="Verdana" w:cs="Arial"/>
          <w:sz w:val="20"/>
          <w:szCs w:val="20"/>
        </w:rPr>
      </w:pPr>
      <w:r w:rsidRPr="00461891">
        <w:rPr>
          <w:rFonts w:ascii="Verdana" w:eastAsia="Calibri" w:hAnsi="Verdana" w:cs="Arial"/>
          <w:sz w:val="20"/>
          <w:szCs w:val="20"/>
        </w:rPr>
        <w:t>“a) garantizar la igualdad y equidad entre los candidatos que aspiran a ocupar cargos de elección popular, b) evitar que la voluntad de los electores sea influenciada por la acción u omisión de los servidores públicos, c) asegurar la objetividad y transparencia en las decisiones administrativas, d) impedir que el empleo público se utilice para obtener votos de los servidores o sus allegados, e) proteger al empleado que tiene una inclinación política distinta al nominador, y f) imposibilitar que las vinculaciones al Estado se utilicen como un mecanismo para buscar favores políticos durante las contiendas electorales”</w:t>
      </w:r>
      <w:r w:rsidRPr="00461891">
        <w:rPr>
          <w:rFonts w:ascii="Verdana" w:eastAsia="Calibri" w:hAnsi="Verdana" w:cs="Arial"/>
          <w:sz w:val="20"/>
          <w:szCs w:val="20"/>
          <w:vertAlign w:val="superscript"/>
        </w:rPr>
        <w:footnoteReference w:id="19"/>
      </w:r>
      <w:r w:rsidRPr="00461891">
        <w:rPr>
          <w:rFonts w:ascii="Verdana" w:eastAsia="Calibri" w:hAnsi="Verdana" w:cs="Arial"/>
          <w:sz w:val="20"/>
          <w:szCs w:val="20"/>
        </w:rPr>
        <w:t>. </w:t>
      </w:r>
    </w:p>
    <w:p w14:paraId="1695214D" w14:textId="77777777" w:rsidR="008B24D8" w:rsidRPr="00461891" w:rsidRDefault="008B24D8" w:rsidP="008B24D8">
      <w:pPr>
        <w:widowControl w:val="0"/>
        <w:autoSpaceDE w:val="0"/>
        <w:autoSpaceDN w:val="0"/>
        <w:spacing w:after="0" w:line="276" w:lineRule="auto"/>
        <w:ind w:firstLine="709"/>
        <w:contextualSpacing/>
        <w:jc w:val="both"/>
        <w:rPr>
          <w:rFonts w:ascii="Verdana" w:eastAsia="Calibri" w:hAnsi="Verdana" w:cs="Arial"/>
          <w:lang w:eastAsia="es-ES" w:bidi="es-ES"/>
        </w:rPr>
      </w:pPr>
    </w:p>
    <w:p w14:paraId="722B3294" w14:textId="77777777" w:rsidR="008B24D8" w:rsidRPr="00461891" w:rsidRDefault="008B24D8" w:rsidP="008B24D8">
      <w:pPr>
        <w:widowControl w:val="0"/>
        <w:autoSpaceDE w:val="0"/>
        <w:autoSpaceDN w:val="0"/>
        <w:spacing w:after="0" w:line="276" w:lineRule="auto"/>
        <w:ind w:firstLine="709"/>
        <w:contextualSpacing/>
        <w:jc w:val="both"/>
        <w:rPr>
          <w:rFonts w:ascii="Verdana" w:eastAsia="Calibri" w:hAnsi="Verdana" w:cs="Arial"/>
          <w:lang w:eastAsia="es-ES" w:bidi="es-ES"/>
        </w:rPr>
      </w:pPr>
      <w:r w:rsidRPr="00461891">
        <w:rPr>
          <w:rFonts w:ascii="Verdana" w:eastAsia="Calibri" w:hAnsi="Verdana" w:cs="Arial"/>
          <w:lang w:eastAsia="es-ES" w:bidi="es-ES"/>
        </w:rPr>
        <w:t>Así las cosas, las restricciones establecidas en la Ley de Garantías Electorales buscan cumplir el propósito de proteger la democracia participativa y la igualdad entre candidatos, independientemente de la naturaleza de la elección. Por ello, la Ley de Garantías debe ser aplicada sin distinción asegurando que, tanto en elecciones ordinarias como las atípicas, se mantenga la integridad del proceso electoral. Sobre el particular, el Consejo Nacional Electoral en concepto 9519 del 14 de octubre de 2020</w:t>
      </w:r>
      <w:r w:rsidRPr="00461891">
        <w:rPr>
          <w:rFonts w:ascii="Verdana" w:eastAsia="Calibri" w:hAnsi="Verdana" w:cs="Arial"/>
          <w:vertAlign w:val="superscript"/>
          <w:lang w:eastAsia="es-ES" w:bidi="es-ES"/>
        </w:rPr>
        <w:footnoteReference w:id="20"/>
      </w:r>
      <w:r w:rsidRPr="00461891">
        <w:rPr>
          <w:rFonts w:ascii="Verdana" w:eastAsia="Calibri" w:hAnsi="Verdana" w:cs="Arial"/>
          <w:lang w:eastAsia="es-ES" w:bidi="es-ES"/>
        </w:rPr>
        <w:t xml:space="preserve">, frente a la aplicación de la ley de garantías en elecciones atípicas señaló lo siguiente: </w:t>
      </w:r>
    </w:p>
    <w:p w14:paraId="7E404D06" w14:textId="77777777" w:rsidR="008B24D8" w:rsidRPr="00461891" w:rsidRDefault="008B24D8" w:rsidP="008B24D8">
      <w:pPr>
        <w:widowControl w:val="0"/>
        <w:autoSpaceDE w:val="0"/>
        <w:autoSpaceDN w:val="0"/>
        <w:spacing w:after="0" w:line="276" w:lineRule="auto"/>
        <w:ind w:firstLine="709"/>
        <w:contextualSpacing/>
        <w:jc w:val="both"/>
        <w:rPr>
          <w:rFonts w:ascii="Verdana" w:eastAsia="Calibri" w:hAnsi="Verdana" w:cs="Arial"/>
          <w:lang w:eastAsia="es-ES" w:bidi="es-ES"/>
        </w:rPr>
      </w:pPr>
    </w:p>
    <w:p w14:paraId="03D7E9BA" w14:textId="77777777" w:rsidR="008B24D8" w:rsidRPr="00461891" w:rsidRDefault="008B24D8" w:rsidP="009D05BA">
      <w:pPr>
        <w:widowControl w:val="0"/>
        <w:autoSpaceDE w:val="0"/>
        <w:autoSpaceDN w:val="0"/>
        <w:spacing w:after="0" w:line="240" w:lineRule="auto"/>
        <w:ind w:left="709" w:right="709"/>
        <w:contextualSpacing/>
        <w:jc w:val="both"/>
        <w:rPr>
          <w:rFonts w:ascii="Verdana" w:eastAsia="Calibri" w:hAnsi="Verdana" w:cs="Arial"/>
          <w:sz w:val="20"/>
          <w:szCs w:val="20"/>
          <w:lang w:eastAsia="es-ES" w:bidi="es-ES"/>
        </w:rPr>
      </w:pPr>
      <w:r w:rsidRPr="00461891">
        <w:rPr>
          <w:rFonts w:ascii="Verdana" w:eastAsia="Calibri" w:hAnsi="Verdana" w:cs="Arial"/>
          <w:sz w:val="20"/>
          <w:szCs w:val="20"/>
          <w:lang w:eastAsia="es-ES" w:bidi="es-ES"/>
        </w:rPr>
        <w:t xml:space="preserve">“En esta elección atípica como evento electoral extraordinario que se realiza por fuera del calendario electoral ordinario, con el fin de cubrir la vacancia absoluta de un mandatario y elegir una autoridad por el tiempo que resta del periodo constitucional del cargo, siempre y cuando esta vacancia se registre faltando 18 meses o más para la terminación de dicho periodo, como es el caso concreto </w:t>
      </w:r>
      <w:r w:rsidRPr="00461891">
        <w:rPr>
          <w:rFonts w:ascii="Verdana" w:eastAsia="Calibri" w:hAnsi="Verdana" w:cs="Arial"/>
          <w:i/>
          <w:iCs/>
          <w:sz w:val="20"/>
          <w:szCs w:val="20"/>
          <w:lang w:eastAsia="es-ES" w:bidi="es-ES"/>
        </w:rPr>
        <w:t>solo le es aplicable de la Ley 996 de 2005 el parágrafo del artículo 38</w:t>
      </w:r>
      <w:r w:rsidRPr="00461891">
        <w:rPr>
          <w:rFonts w:ascii="Verdana" w:eastAsia="Calibri" w:hAnsi="Verdana" w:cs="Arial"/>
          <w:sz w:val="20"/>
          <w:szCs w:val="20"/>
          <w:lang w:eastAsia="es-ES" w:bidi="es-ES"/>
        </w:rPr>
        <w:t xml:space="preserve"> y enunciado en el numeral 3.1.2 de los fundamentos jurídicos.</w:t>
      </w:r>
    </w:p>
    <w:p w14:paraId="0D2E3281" w14:textId="77777777" w:rsidR="008B24D8" w:rsidRPr="00461891" w:rsidRDefault="008B24D8" w:rsidP="009D05BA">
      <w:pPr>
        <w:widowControl w:val="0"/>
        <w:autoSpaceDE w:val="0"/>
        <w:autoSpaceDN w:val="0"/>
        <w:spacing w:after="0" w:line="240" w:lineRule="auto"/>
        <w:ind w:left="709" w:right="709" w:firstLine="709"/>
        <w:contextualSpacing/>
        <w:jc w:val="both"/>
        <w:rPr>
          <w:rFonts w:ascii="Verdana" w:eastAsia="Calibri" w:hAnsi="Verdana" w:cs="Arial"/>
          <w:sz w:val="20"/>
          <w:szCs w:val="20"/>
          <w:lang w:eastAsia="es-ES" w:bidi="es-ES"/>
        </w:rPr>
      </w:pPr>
    </w:p>
    <w:p w14:paraId="40543F9A" w14:textId="77777777" w:rsidR="008B24D8" w:rsidRPr="00461891" w:rsidRDefault="008B24D8" w:rsidP="009D05BA">
      <w:pPr>
        <w:widowControl w:val="0"/>
        <w:autoSpaceDE w:val="0"/>
        <w:autoSpaceDN w:val="0"/>
        <w:spacing w:after="0" w:line="240" w:lineRule="auto"/>
        <w:ind w:left="709" w:right="709"/>
        <w:contextualSpacing/>
        <w:jc w:val="both"/>
        <w:rPr>
          <w:rFonts w:ascii="Verdana" w:hAnsi="Verdana"/>
          <w:sz w:val="20"/>
          <w:szCs w:val="20"/>
        </w:rPr>
      </w:pPr>
      <w:r w:rsidRPr="00461891">
        <w:rPr>
          <w:rFonts w:ascii="Verdana" w:hAnsi="Verdana"/>
          <w:sz w:val="20"/>
          <w:szCs w:val="20"/>
        </w:rPr>
        <w:t xml:space="preserve">Por lo expuesto, en los procesos pre-electorales de estas elecciones atípicos para Alcaldía Municipal, deben seguirse las siguientes reglas: </w:t>
      </w:r>
    </w:p>
    <w:p w14:paraId="7B18CE62" w14:textId="77777777" w:rsidR="008B24D8" w:rsidRPr="00461891" w:rsidRDefault="008B24D8" w:rsidP="009D05BA">
      <w:pPr>
        <w:widowControl w:val="0"/>
        <w:autoSpaceDE w:val="0"/>
        <w:autoSpaceDN w:val="0"/>
        <w:spacing w:after="0" w:line="240" w:lineRule="auto"/>
        <w:ind w:left="709" w:right="709"/>
        <w:contextualSpacing/>
        <w:jc w:val="both"/>
        <w:rPr>
          <w:rFonts w:ascii="Verdana" w:hAnsi="Verdana"/>
          <w:sz w:val="20"/>
          <w:szCs w:val="20"/>
        </w:rPr>
      </w:pPr>
    </w:p>
    <w:p w14:paraId="01B284D5" w14:textId="77777777" w:rsidR="008B24D8" w:rsidRPr="00461891" w:rsidRDefault="008B24D8" w:rsidP="009D05BA">
      <w:pPr>
        <w:widowControl w:val="0"/>
        <w:autoSpaceDE w:val="0"/>
        <w:autoSpaceDN w:val="0"/>
        <w:spacing w:after="0" w:line="240" w:lineRule="auto"/>
        <w:ind w:left="709" w:right="709"/>
        <w:contextualSpacing/>
        <w:jc w:val="both"/>
        <w:rPr>
          <w:rFonts w:ascii="Verdana" w:hAnsi="Verdana"/>
          <w:sz w:val="20"/>
          <w:szCs w:val="20"/>
        </w:rPr>
      </w:pPr>
      <w:r w:rsidRPr="00461891">
        <w:rPr>
          <w:rFonts w:ascii="Verdana" w:hAnsi="Verdana"/>
          <w:sz w:val="20"/>
          <w:szCs w:val="20"/>
        </w:rPr>
        <w:t xml:space="preserve">a) Los gobernadores, alcaldes municipales o distritales, secretarios, gerentes y directores de las entidades descentralizadas del orden municipal, departamental o distrital no pueden celebrar convenios interadministrativos para la ejecución de recursos públicos, ni participar, promover o destinar recursos públicos de las entidades a su cargo, como tampoco de las que participen como miembros de sus juntas directivas, en o para reuniones de carácter proselitista dentro de los cuatro (4) meses anteriores a las elecciones. </w:t>
      </w:r>
    </w:p>
    <w:p w14:paraId="389EA357" w14:textId="77777777" w:rsidR="008B24D8" w:rsidRPr="00461891" w:rsidRDefault="008B24D8" w:rsidP="009D05BA">
      <w:pPr>
        <w:widowControl w:val="0"/>
        <w:autoSpaceDE w:val="0"/>
        <w:autoSpaceDN w:val="0"/>
        <w:spacing w:after="0" w:line="240" w:lineRule="auto"/>
        <w:ind w:left="709" w:right="709"/>
        <w:contextualSpacing/>
        <w:jc w:val="both"/>
        <w:rPr>
          <w:rFonts w:ascii="Verdana" w:hAnsi="Verdana"/>
          <w:sz w:val="20"/>
          <w:szCs w:val="20"/>
        </w:rPr>
      </w:pPr>
    </w:p>
    <w:p w14:paraId="38ED10C8" w14:textId="77777777" w:rsidR="008B24D8" w:rsidRPr="00461891" w:rsidRDefault="008B24D8" w:rsidP="009D05BA">
      <w:pPr>
        <w:widowControl w:val="0"/>
        <w:autoSpaceDE w:val="0"/>
        <w:autoSpaceDN w:val="0"/>
        <w:spacing w:after="0" w:line="240" w:lineRule="auto"/>
        <w:ind w:left="709" w:right="709"/>
        <w:contextualSpacing/>
        <w:jc w:val="both"/>
        <w:rPr>
          <w:rFonts w:ascii="Verdana" w:hAnsi="Verdana"/>
          <w:sz w:val="20"/>
          <w:szCs w:val="20"/>
        </w:rPr>
      </w:pPr>
      <w:r w:rsidRPr="00461891">
        <w:rPr>
          <w:rFonts w:ascii="Verdana" w:hAnsi="Verdana"/>
          <w:sz w:val="20"/>
          <w:szCs w:val="20"/>
        </w:rPr>
        <w:t>(….)</w:t>
      </w:r>
    </w:p>
    <w:p w14:paraId="79A9A0C5" w14:textId="77777777" w:rsidR="008B24D8" w:rsidRPr="00461891" w:rsidRDefault="008B24D8" w:rsidP="009D05BA">
      <w:pPr>
        <w:widowControl w:val="0"/>
        <w:autoSpaceDE w:val="0"/>
        <w:autoSpaceDN w:val="0"/>
        <w:spacing w:after="0" w:line="240" w:lineRule="auto"/>
        <w:ind w:left="709" w:right="709"/>
        <w:contextualSpacing/>
        <w:jc w:val="both"/>
        <w:rPr>
          <w:rFonts w:ascii="Verdana" w:hAnsi="Verdana"/>
          <w:sz w:val="20"/>
          <w:szCs w:val="20"/>
        </w:rPr>
      </w:pPr>
    </w:p>
    <w:p w14:paraId="7B8996C8" w14:textId="77777777" w:rsidR="008B24D8" w:rsidRPr="00461891" w:rsidRDefault="008B24D8" w:rsidP="009D05BA">
      <w:pPr>
        <w:widowControl w:val="0"/>
        <w:autoSpaceDE w:val="0"/>
        <w:autoSpaceDN w:val="0"/>
        <w:spacing w:after="0" w:line="240" w:lineRule="auto"/>
        <w:ind w:left="709" w:right="709"/>
        <w:contextualSpacing/>
        <w:jc w:val="both"/>
        <w:rPr>
          <w:rFonts w:ascii="Verdana" w:eastAsia="Calibri" w:hAnsi="Verdana" w:cs="Arial"/>
          <w:sz w:val="20"/>
          <w:szCs w:val="20"/>
          <w:lang w:eastAsia="es-ES" w:bidi="es-ES"/>
        </w:rPr>
      </w:pPr>
      <w:r w:rsidRPr="00461891">
        <w:rPr>
          <w:rFonts w:ascii="Verdana" w:hAnsi="Verdana"/>
          <w:sz w:val="20"/>
          <w:szCs w:val="20"/>
        </w:rPr>
        <w:t>Ahora bien, como se referenció previamente, las normas vigentes establecen que entre el Decreto que convoca a elecciones complementarias, y la votación para las mismas transcurren aproximadamente 60 días o lo que es lo mismo, dos (2) meses. En consecuencia, si la norma establece un plazo aproximado de 60 días para que se celebren las votaciones complementarias, no es posible aplicar al efecto la prohibición de modificar nómina y de celebrar convenios interadministrativos, dentro de los cuatro (4) meses anteriores a las elecciones, contemplados en el parágrafo del artículo 38 de la Ley 996 de 2005”. (Énfasis por fuera de texto)</w:t>
      </w:r>
    </w:p>
    <w:p w14:paraId="686A622D" w14:textId="77777777" w:rsidR="008B24D8" w:rsidRPr="00461891" w:rsidRDefault="008B24D8" w:rsidP="008B24D8">
      <w:pPr>
        <w:widowControl w:val="0"/>
        <w:autoSpaceDE w:val="0"/>
        <w:autoSpaceDN w:val="0"/>
        <w:spacing w:after="0" w:line="276" w:lineRule="auto"/>
        <w:ind w:firstLine="709"/>
        <w:contextualSpacing/>
        <w:jc w:val="both"/>
        <w:rPr>
          <w:rFonts w:ascii="Verdana" w:eastAsia="Calibri" w:hAnsi="Verdana" w:cs="Arial"/>
          <w:lang w:eastAsia="es-ES" w:bidi="es-ES"/>
        </w:rPr>
      </w:pPr>
    </w:p>
    <w:p w14:paraId="54454B5D" w14:textId="77777777" w:rsidR="008B24D8" w:rsidRPr="00461891" w:rsidRDefault="008B24D8" w:rsidP="008B24D8">
      <w:pPr>
        <w:widowControl w:val="0"/>
        <w:autoSpaceDE w:val="0"/>
        <w:autoSpaceDN w:val="0"/>
        <w:spacing w:after="120" w:line="276" w:lineRule="auto"/>
        <w:ind w:firstLine="709"/>
        <w:jc w:val="both"/>
        <w:rPr>
          <w:rFonts w:ascii="Verdana" w:eastAsia="Calibri" w:hAnsi="Verdana" w:cs="Arial"/>
          <w:lang w:eastAsia="es-ES" w:bidi="es-ES"/>
        </w:rPr>
      </w:pPr>
      <w:r w:rsidRPr="00461891">
        <w:rPr>
          <w:rFonts w:ascii="Verdana" w:eastAsia="Calibri" w:hAnsi="Verdana" w:cs="Arial"/>
          <w:lang w:eastAsia="es-ES" w:bidi="es-ES"/>
        </w:rPr>
        <w:t xml:space="preserve">Bajo estas consideraciones, se concluye que para las elecciones atípicas de alcaldía resulta aplicable las restricciones señaladas en el parágrafo del artículo 38 de la Ley 996 de 2005, lo que significa que, en materia de contratación estatal, los Alcaldes, los Gobernadores, Alcaldes Municipales y/o Distritales, Secretarios, Gerentes y directores de Entidades Descentralizadas del orden Municipal, Departamental o Distrital, no podrán celebrar convenios interadministrativos para la ejecución de recursos públicos, dentro del periodo en que se convocó a las elecciones atípicas y su votación. </w:t>
      </w:r>
    </w:p>
    <w:p w14:paraId="016901A9" w14:textId="77777777" w:rsidR="008B24D8" w:rsidRPr="00461891" w:rsidRDefault="008B24D8" w:rsidP="008B24D8">
      <w:pPr>
        <w:widowControl w:val="0"/>
        <w:autoSpaceDE w:val="0"/>
        <w:autoSpaceDN w:val="0"/>
        <w:spacing w:after="0" w:line="276" w:lineRule="auto"/>
        <w:ind w:firstLine="709"/>
        <w:contextualSpacing/>
        <w:jc w:val="both"/>
        <w:rPr>
          <w:rFonts w:ascii="Verdana" w:eastAsia="Calibri" w:hAnsi="Verdana" w:cs="Arial"/>
          <w:lang w:eastAsia="es-ES" w:bidi="es-ES"/>
        </w:rPr>
      </w:pPr>
      <w:r w:rsidRPr="00461891">
        <w:rPr>
          <w:rFonts w:ascii="Verdana" w:eastAsia="Calibri" w:hAnsi="Verdana" w:cs="Arial"/>
          <w:lang w:eastAsia="es-ES" w:bidi="es-ES"/>
        </w:rPr>
        <w:t xml:space="preserve">Naturalmente, en este caso, las restricciones del parágrafo del artículo 38, como lo expone el Consejo Nacional Electoral, no podrán aplicarse dentro del plazo señalado en la norma, por ello, tendrán lugar respecto del plazo que transcurre entre el momento en que se convoca a elecciones y el día en que se realizan efectivamente conforme con la normatividad vigente. </w:t>
      </w:r>
    </w:p>
    <w:p w14:paraId="0CCE1F98" w14:textId="77777777" w:rsidR="007F7A83" w:rsidRPr="00FD34E6" w:rsidRDefault="007F7A83" w:rsidP="009D05BA">
      <w:pPr>
        <w:spacing w:after="0" w:line="276" w:lineRule="auto"/>
        <w:ind w:firstLine="709"/>
        <w:jc w:val="both"/>
        <w:rPr>
          <w:rFonts w:ascii="Verdana" w:eastAsia="Calibri" w:hAnsi="Verdana" w:cs="Times New Roman"/>
          <w:lang w:val="es-ES"/>
        </w:rPr>
      </w:pPr>
    </w:p>
    <w:p w14:paraId="5A9EAFFB" w14:textId="77777777" w:rsidR="007F7A83" w:rsidRPr="0060676F" w:rsidRDefault="007F7A83" w:rsidP="009D05B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14D21F01" w14:textId="77777777" w:rsidR="007F7A83" w:rsidRPr="00593A5F" w:rsidRDefault="007F7A83" w:rsidP="007F7A83">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F7A83" w:rsidRPr="00593A5F" w14:paraId="34873BA4" w14:textId="77777777" w:rsidTr="008B3546">
        <w:trPr>
          <w:trHeight w:val="870"/>
        </w:trPr>
        <w:tc>
          <w:tcPr>
            <w:tcW w:w="8647" w:type="dxa"/>
          </w:tcPr>
          <w:p w14:paraId="6BE9BF9D" w14:textId="77777777" w:rsidR="006675C3" w:rsidRPr="006675C3" w:rsidRDefault="006675C3" w:rsidP="009D05BA">
            <w:pPr>
              <w:widowControl w:val="0"/>
              <w:numPr>
                <w:ilvl w:val="0"/>
                <w:numId w:val="17"/>
              </w:numPr>
              <w:autoSpaceDE w:val="0"/>
              <w:autoSpaceDN w:val="0"/>
              <w:spacing w:line="276" w:lineRule="auto"/>
              <w:jc w:val="both"/>
              <w:rPr>
                <w:rFonts w:ascii="Verdana" w:eastAsia="Arial MT" w:hAnsi="Verdana" w:cs="Arial"/>
                <w:lang w:val="es-ES" w:eastAsia="es-ES" w:bidi="es-ES"/>
              </w:rPr>
            </w:pPr>
            <w:r w:rsidRPr="006675C3">
              <w:rPr>
                <w:rFonts w:ascii="Verdana" w:eastAsia="Arial MT" w:hAnsi="Verdana" w:cs="Arial"/>
                <w:lang w:val="es-ES" w:eastAsia="es-ES" w:bidi="es-ES"/>
              </w:rPr>
              <w:t>Constitución Política, artículo 127.</w:t>
            </w:r>
          </w:p>
          <w:p w14:paraId="0168CE85" w14:textId="77777777" w:rsidR="006675C3" w:rsidRPr="006675C3" w:rsidRDefault="006675C3" w:rsidP="009D05BA">
            <w:pPr>
              <w:widowControl w:val="0"/>
              <w:numPr>
                <w:ilvl w:val="0"/>
                <w:numId w:val="17"/>
              </w:numPr>
              <w:autoSpaceDE w:val="0"/>
              <w:autoSpaceDN w:val="0"/>
              <w:spacing w:line="276" w:lineRule="auto"/>
              <w:jc w:val="both"/>
              <w:rPr>
                <w:rFonts w:ascii="Verdana" w:eastAsia="Arial MT" w:hAnsi="Verdana" w:cs="Arial"/>
                <w:lang w:val="es-ES" w:eastAsia="es-ES" w:bidi="es-ES"/>
              </w:rPr>
            </w:pPr>
            <w:r w:rsidRPr="006675C3">
              <w:rPr>
                <w:rFonts w:ascii="Verdana" w:eastAsia="Arial MT" w:hAnsi="Verdana" w:cs="Arial"/>
                <w:bCs/>
                <w:lang w:val="es-ES" w:eastAsia="es-ES" w:bidi="es-ES"/>
              </w:rPr>
              <w:t>Ley 996 de 2005, artículos 33 y 38.</w:t>
            </w:r>
          </w:p>
          <w:p w14:paraId="2CC767C2" w14:textId="77777777" w:rsidR="006675C3" w:rsidRPr="006675C3" w:rsidRDefault="006675C3" w:rsidP="009D05BA">
            <w:pPr>
              <w:widowControl w:val="0"/>
              <w:numPr>
                <w:ilvl w:val="0"/>
                <w:numId w:val="17"/>
              </w:numPr>
              <w:autoSpaceDE w:val="0"/>
              <w:autoSpaceDN w:val="0"/>
              <w:spacing w:line="276" w:lineRule="auto"/>
              <w:jc w:val="both"/>
              <w:rPr>
                <w:rFonts w:ascii="Verdana" w:eastAsia="Arial MT" w:hAnsi="Verdana" w:cs="Arial"/>
                <w:lang w:val="es-ES" w:eastAsia="es-ES" w:bidi="es-ES"/>
              </w:rPr>
            </w:pPr>
            <w:r w:rsidRPr="006675C3">
              <w:rPr>
                <w:rFonts w:ascii="Verdana" w:hAnsi="Verdana" w:cs="Arial"/>
                <w:bCs/>
                <w:color w:val="000000" w:themeColor="text1"/>
                <w:lang w:val="es-ES"/>
              </w:rPr>
              <w:t>Decreto 1068 de 2015, artículo 2.2.1.1.1.</w:t>
            </w:r>
          </w:p>
          <w:p w14:paraId="78E45417" w14:textId="77777777" w:rsidR="006675C3" w:rsidRPr="006675C3" w:rsidRDefault="006675C3" w:rsidP="009D05BA">
            <w:pPr>
              <w:widowControl w:val="0"/>
              <w:numPr>
                <w:ilvl w:val="0"/>
                <w:numId w:val="17"/>
              </w:numPr>
              <w:autoSpaceDE w:val="0"/>
              <w:autoSpaceDN w:val="0"/>
              <w:spacing w:line="276" w:lineRule="auto"/>
              <w:jc w:val="both"/>
              <w:rPr>
                <w:rFonts w:ascii="Verdana" w:hAnsi="Verdana" w:cs="Arial"/>
                <w:lang w:val="es-ES"/>
              </w:rPr>
            </w:pPr>
            <w:r w:rsidRPr="006675C3">
              <w:rPr>
                <w:rFonts w:ascii="Verdana" w:hAnsi="Verdana" w:cs="Arial"/>
                <w:lang w:val="pt-BR"/>
              </w:rPr>
              <w:t>Corte Constitucional. Sentencia C-671 de 2015. M.P. Alberto Rojas Ríos.</w:t>
            </w:r>
          </w:p>
          <w:p w14:paraId="6A7B0128" w14:textId="77777777" w:rsidR="006675C3" w:rsidRPr="006675C3" w:rsidRDefault="006675C3" w:rsidP="009D05BA">
            <w:pPr>
              <w:widowControl w:val="0"/>
              <w:numPr>
                <w:ilvl w:val="0"/>
                <w:numId w:val="17"/>
              </w:numPr>
              <w:autoSpaceDE w:val="0"/>
              <w:autoSpaceDN w:val="0"/>
              <w:spacing w:line="276" w:lineRule="auto"/>
              <w:jc w:val="both"/>
              <w:rPr>
                <w:rFonts w:ascii="Verdana" w:hAnsi="Verdana" w:cs="Arial"/>
                <w:lang w:val="es-ES"/>
              </w:rPr>
            </w:pPr>
            <w:r w:rsidRPr="006675C3">
              <w:rPr>
                <w:rFonts w:ascii="Verdana" w:hAnsi="Verdana" w:cs="Arial"/>
                <w:lang w:val="es-ES"/>
              </w:rPr>
              <w:t xml:space="preserve">Consejo de Estado, Sección Primera. Sentencia de 3 de marzo de 2005, Exp. 2004-00823-01(PI). </w:t>
            </w:r>
          </w:p>
          <w:p w14:paraId="0BE85B70" w14:textId="77777777" w:rsidR="006675C3" w:rsidRPr="006675C3" w:rsidRDefault="006675C3" w:rsidP="009D05BA">
            <w:pPr>
              <w:numPr>
                <w:ilvl w:val="0"/>
                <w:numId w:val="17"/>
              </w:numPr>
              <w:spacing w:line="276" w:lineRule="auto"/>
              <w:jc w:val="both"/>
              <w:rPr>
                <w:rFonts w:ascii="Verdana" w:hAnsi="Verdana" w:cs="Arial"/>
                <w:lang w:val="es-ES"/>
              </w:rPr>
            </w:pPr>
            <w:r w:rsidRPr="006675C3">
              <w:rPr>
                <w:rFonts w:ascii="Verdana" w:hAnsi="Verdana" w:cs="Arial"/>
              </w:rPr>
              <w:t>Consejo de Estado. Sala de Consulta y Servicio Civil. Concepto del 15 de noviembre de 2007. Expediente número 1863. Consejero Ponente: Luis Fernando Álvarez Jaramillo</w:t>
            </w:r>
          </w:p>
          <w:p w14:paraId="6C088D7C" w14:textId="77777777" w:rsidR="006675C3" w:rsidRPr="006675C3" w:rsidRDefault="006675C3" w:rsidP="009D05BA">
            <w:pPr>
              <w:widowControl w:val="0"/>
              <w:numPr>
                <w:ilvl w:val="0"/>
                <w:numId w:val="17"/>
              </w:numPr>
              <w:autoSpaceDE w:val="0"/>
              <w:autoSpaceDN w:val="0"/>
              <w:spacing w:line="276" w:lineRule="auto"/>
              <w:jc w:val="both"/>
              <w:rPr>
                <w:rFonts w:ascii="Verdana" w:hAnsi="Verdana" w:cs="Arial"/>
                <w:lang w:val="es-ES"/>
              </w:rPr>
            </w:pPr>
            <w:r w:rsidRPr="006675C3">
              <w:rPr>
                <w:rFonts w:ascii="Verdana" w:hAnsi="Verdana" w:cs="Arial"/>
                <w:lang w:val="es-ES"/>
              </w:rPr>
              <w:t xml:space="preserve">Consejo de Estado, Sala de Consulta y Servicio Civil, Concepto de fecha 24 de julio de 2013, Rad. 2166, C. P. Álvaro Namén Vargas. </w:t>
            </w:r>
          </w:p>
          <w:p w14:paraId="1F28B7EC" w14:textId="77777777" w:rsidR="006675C3" w:rsidRPr="006675C3" w:rsidRDefault="006675C3" w:rsidP="009D05BA">
            <w:pPr>
              <w:numPr>
                <w:ilvl w:val="0"/>
                <w:numId w:val="17"/>
              </w:numPr>
              <w:spacing w:line="276" w:lineRule="auto"/>
              <w:jc w:val="both"/>
              <w:rPr>
                <w:rFonts w:ascii="Verdana" w:hAnsi="Verdana" w:cs="Arial"/>
                <w:lang w:val="es-ES"/>
              </w:rPr>
            </w:pPr>
            <w:r w:rsidRPr="006675C3">
              <w:rPr>
                <w:rFonts w:ascii="Verdana" w:hAnsi="Verdana" w:cs="Arial"/>
              </w:rPr>
              <w:t>Consejo de Estado. Sala de Consulta y Servicio Civil. Concepto del 2 de septiembre de 2013 Radicado No: 2168. CP: Alvaro Namén Vargas.</w:t>
            </w:r>
          </w:p>
          <w:p w14:paraId="7824A588" w14:textId="77777777" w:rsidR="006675C3" w:rsidRPr="006675C3" w:rsidRDefault="006675C3" w:rsidP="009D05BA">
            <w:pPr>
              <w:numPr>
                <w:ilvl w:val="0"/>
                <w:numId w:val="17"/>
              </w:numPr>
              <w:spacing w:line="276" w:lineRule="auto"/>
              <w:jc w:val="both"/>
              <w:rPr>
                <w:rFonts w:ascii="Verdana" w:hAnsi="Verdana" w:cs="Arial"/>
                <w:lang w:val="es-ES"/>
              </w:rPr>
            </w:pPr>
            <w:r w:rsidRPr="006675C3">
              <w:rPr>
                <w:rFonts w:ascii="Verdana" w:hAnsi="Verdana" w:cs="Arial"/>
                <w:lang w:val="es-ES"/>
              </w:rPr>
              <w:t>Consejo de Estado. Sala de Consulta y Servicio Civil. Concepto del 17 de febrero de 2015. C.P. William Zambrano Cetina. Radicación No. 11001-03-06-000-2015-00164-00(2269).</w:t>
            </w:r>
          </w:p>
          <w:p w14:paraId="30EF5994" w14:textId="77777777" w:rsidR="006675C3" w:rsidRPr="006675C3" w:rsidRDefault="006675C3" w:rsidP="009D05BA">
            <w:pPr>
              <w:numPr>
                <w:ilvl w:val="0"/>
                <w:numId w:val="17"/>
              </w:numPr>
              <w:spacing w:line="276" w:lineRule="auto"/>
              <w:jc w:val="both"/>
              <w:rPr>
                <w:rFonts w:ascii="Verdana" w:hAnsi="Verdana" w:cs="Arial"/>
                <w:lang w:val="es-ES"/>
              </w:rPr>
            </w:pPr>
            <w:r w:rsidRPr="006675C3">
              <w:rPr>
                <w:rFonts w:ascii="Verdana" w:hAnsi="Verdana" w:cs="Arial"/>
                <w:lang w:val="es-ES"/>
              </w:rPr>
              <w:t>Consejo de Estado, Sala de Consulta y Servicio Civil, Concepto de fecha 8 de mayo de 2018, No. 2382. C. P. Álvaro Namén Vargas.</w:t>
            </w:r>
          </w:p>
          <w:p w14:paraId="694C5050" w14:textId="77777777" w:rsidR="006675C3" w:rsidRPr="006675C3" w:rsidRDefault="006675C3" w:rsidP="009D05BA">
            <w:pPr>
              <w:widowControl w:val="0"/>
              <w:numPr>
                <w:ilvl w:val="0"/>
                <w:numId w:val="17"/>
              </w:numPr>
              <w:autoSpaceDE w:val="0"/>
              <w:autoSpaceDN w:val="0"/>
              <w:spacing w:line="276" w:lineRule="auto"/>
              <w:jc w:val="both"/>
              <w:rPr>
                <w:rFonts w:ascii="Verdana" w:hAnsi="Verdana" w:cs="Arial"/>
                <w:lang w:val="es-ES"/>
              </w:rPr>
            </w:pPr>
            <w:r w:rsidRPr="006675C3">
              <w:rPr>
                <w:rFonts w:ascii="Verdana" w:hAnsi="Verdana" w:cs="Arial"/>
                <w:lang w:val="pt-BR"/>
              </w:rPr>
              <w:t>Consejo de Estado, Sección Tercera. Auto del 4 de octubre de 2024. Exp. 70.313. C.P: Fredy Ibarra Martínez.</w:t>
            </w:r>
          </w:p>
          <w:p w14:paraId="2FB20D31" w14:textId="77777777" w:rsidR="006675C3" w:rsidRPr="006675C3" w:rsidRDefault="006675C3" w:rsidP="009D05BA">
            <w:pPr>
              <w:widowControl w:val="0"/>
              <w:numPr>
                <w:ilvl w:val="0"/>
                <w:numId w:val="17"/>
              </w:numPr>
              <w:autoSpaceDE w:val="0"/>
              <w:autoSpaceDN w:val="0"/>
              <w:spacing w:line="276" w:lineRule="auto"/>
              <w:jc w:val="both"/>
              <w:rPr>
                <w:rFonts w:ascii="Verdana" w:hAnsi="Verdana" w:cs="Arial"/>
                <w:lang w:val="es-ES"/>
              </w:rPr>
            </w:pPr>
            <w:r w:rsidRPr="006675C3">
              <w:rPr>
                <w:rFonts w:ascii="Verdana" w:eastAsia="Times New Roman" w:hAnsi="Verdana" w:cs="Times New Roman"/>
                <w:lang w:eastAsia="es-ES_tradnl"/>
              </w:rPr>
              <w:t xml:space="preserve">Consejo de Estado. Sala de lo Contencioso Administrativo. Sección Tercera. Subsección B. 17 de octubre de 2025. Magistrado Ponente: Fredy Ibarra Martínez.  </w:t>
            </w:r>
          </w:p>
          <w:p w14:paraId="016255EE" w14:textId="071F7951" w:rsidR="007F7A83" w:rsidRPr="00FD34E6" w:rsidRDefault="006675C3" w:rsidP="009D05BA">
            <w:pPr>
              <w:pStyle w:val="Prrafodelista"/>
              <w:widowControl w:val="0"/>
              <w:numPr>
                <w:ilvl w:val="0"/>
                <w:numId w:val="17"/>
              </w:numPr>
              <w:autoSpaceDE w:val="0"/>
              <w:autoSpaceDN w:val="0"/>
              <w:spacing w:line="276" w:lineRule="auto"/>
              <w:jc w:val="both"/>
              <w:rPr>
                <w:rFonts w:ascii="Verdana" w:hAnsi="Verdana" w:cs="Arial"/>
                <w:color w:val="000000" w:themeColor="text1"/>
              </w:rPr>
            </w:pPr>
            <w:r w:rsidRPr="006675C3">
              <w:rPr>
                <w:rFonts w:ascii="Verdana" w:hAnsi="Verdana" w:cs="Arial"/>
              </w:rPr>
              <w:t xml:space="preserve">Circular Externa No. 006 de 2025 </w:t>
            </w:r>
            <w:hyperlink r:id="rId12" w:history="1">
              <w:r w:rsidRPr="006675C3">
                <w:rPr>
                  <w:rFonts w:ascii="Verdana" w:hAnsi="Verdana" w:cs="Arial"/>
                  <w:color w:val="0000FF"/>
                  <w:u w:val="single"/>
                </w:rPr>
                <w:t>https://www.colombiacompra.gov.co/archivos/circular/circular-externa-006-de-2025</w:t>
              </w:r>
            </w:hyperlink>
          </w:p>
        </w:tc>
      </w:tr>
    </w:tbl>
    <w:p w14:paraId="4307D48D" w14:textId="77777777" w:rsidR="007F7A83" w:rsidRDefault="007F7A83" w:rsidP="007F7A8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E71FFA0" w14:textId="77777777" w:rsidR="007F7A83" w:rsidRDefault="007F7A83" w:rsidP="007F7A83">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668698E" w14:textId="77777777" w:rsidR="007F7A83" w:rsidRPr="00593A5F" w:rsidRDefault="007F7A83" w:rsidP="007F7A8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EA62A8D" w14:textId="77777777" w:rsidR="007F7A83" w:rsidRPr="00AE7E03" w:rsidRDefault="007F7A83" w:rsidP="009D05BA">
      <w:pPr>
        <w:widowControl w:val="0"/>
        <w:autoSpaceDE w:val="0"/>
        <w:autoSpaceDN w:val="0"/>
        <w:spacing w:after="0" w:line="276" w:lineRule="auto"/>
        <w:jc w:val="both"/>
        <w:rPr>
          <w:rFonts w:ascii="Verdana" w:eastAsia="Arial" w:hAnsi="Verdana" w:cs="Arial"/>
          <w:lang w:val="es-MX" w:eastAsia="es-ES"/>
        </w:rPr>
      </w:pPr>
      <w:r w:rsidRPr="00EA47ED">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w:t>
      </w:r>
      <w:r>
        <w:rPr>
          <w:rFonts w:ascii="Verdana" w:hAnsi="Verdana" w:cs="Arial"/>
          <w:shd w:val="clear" w:color="auto" w:fill="FFFFFF"/>
        </w:rPr>
        <w:t xml:space="preserve">C-163 del 29 de marzo de 2022, </w:t>
      </w:r>
      <w:r w:rsidRPr="00EA47ED">
        <w:rPr>
          <w:rFonts w:ascii="Verdana" w:hAnsi="Verdana" w:cs="Arial"/>
          <w:shd w:val="clear" w:color="auto" w:fill="FFFFFF"/>
        </w:rPr>
        <w:t>C-180 del 21 de marzo de 2025, C-317 del 25 de abril de 2025, C-510 del 4 de junio de 2025, C -635 del 27 de junio de 2025</w:t>
      </w:r>
      <w:r>
        <w:rPr>
          <w:rFonts w:ascii="Verdana" w:hAnsi="Verdana" w:cs="Arial"/>
          <w:shd w:val="clear" w:color="auto" w:fill="FFFFFF"/>
        </w:rPr>
        <w:t xml:space="preserve">, </w:t>
      </w:r>
      <w:r w:rsidRPr="00EA47ED">
        <w:rPr>
          <w:rFonts w:ascii="Verdana" w:hAnsi="Verdana" w:cs="Arial"/>
          <w:shd w:val="clear" w:color="auto" w:fill="FFFFFF"/>
        </w:rPr>
        <w:t>C–750 de 17 de julio 2025</w:t>
      </w:r>
      <w:r>
        <w:rPr>
          <w:rFonts w:ascii="Verdana" w:hAnsi="Verdana" w:cs="Arial"/>
          <w:shd w:val="clear" w:color="auto" w:fill="FFFFFF"/>
        </w:rPr>
        <w:t xml:space="preserve"> y C-1411 del 07 de noviembre de 2025, </w:t>
      </w:r>
      <w:r>
        <w:rPr>
          <w:rFonts w:ascii="Verdana" w:eastAsia="Aptos" w:hAnsi="Verdana" w:cs="Arial"/>
          <w:shd w:val="clear" w:color="auto" w:fill="FFFFFF"/>
          <w:lang w:val="es-ES"/>
        </w:rPr>
        <w:t>e</w:t>
      </w:r>
      <w:r w:rsidRPr="00406AA6">
        <w:rPr>
          <w:rFonts w:ascii="Verdana" w:eastAsia="Aptos" w:hAnsi="Verdana" w:cs="Arial"/>
          <w:shd w:val="clear" w:color="auto" w:fill="FFFFFF"/>
          <w:lang w:val="es-ES"/>
        </w:rPr>
        <w:t>ntre otros</w:t>
      </w:r>
      <w:r>
        <w:rPr>
          <w:rFonts w:ascii="Verdana" w:hAnsi="Verdana" w:cs="Arial"/>
          <w:shd w:val="clear" w:color="auto" w:fill="FFFFFF"/>
        </w:rPr>
        <w:t xml:space="preserve">. </w:t>
      </w:r>
      <w:r w:rsidRPr="009A5D6C">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07BB4562" w14:textId="77777777" w:rsidR="007F7A83" w:rsidRPr="0065720B" w:rsidRDefault="007F7A83" w:rsidP="007F7A83">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Pr="006675C3">
          <w:rPr>
            <w:rStyle w:val="Hipervnculo"/>
            <w:rFonts w:ascii="Verdana" w:eastAsia="Calibri" w:hAnsi="Verdana" w:cs="Times New Roman"/>
            <w:lang w:val="es-ES"/>
          </w:rPr>
          <w:t>https://relatoria.colombiacompra.gov.co/busqueda/conceptos</w:t>
        </w:r>
      </w:hyperlink>
      <w:r w:rsidRPr="006675C3">
        <w:rPr>
          <w:rFonts w:ascii="Verdana" w:eastAsia="Calibri" w:hAnsi="Verdana" w:cs="Times New Roman"/>
        </w:rPr>
        <w:t>.</w:t>
      </w:r>
    </w:p>
    <w:p w14:paraId="0FAA77CE" w14:textId="77777777" w:rsidR="008B24D8" w:rsidRPr="006675C3" w:rsidRDefault="008B24D8" w:rsidP="006675C3">
      <w:pPr>
        <w:widowControl w:val="0"/>
        <w:autoSpaceDE w:val="0"/>
        <w:autoSpaceDN w:val="0"/>
        <w:spacing w:after="0" w:line="276" w:lineRule="auto"/>
        <w:jc w:val="both"/>
        <w:rPr>
          <w:rFonts w:ascii="Verdana" w:hAnsi="Verdana" w:cs="Arial"/>
          <w:color w:val="000000" w:themeColor="text1"/>
          <w:shd w:val="clear" w:color="auto" w:fill="FFFFFF"/>
        </w:rPr>
      </w:pPr>
    </w:p>
    <w:p w14:paraId="4F7FFAB8" w14:textId="77777777" w:rsidR="007F7A83" w:rsidRPr="00505CD6" w:rsidRDefault="007F7A83" w:rsidP="007F7A83">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7BC23F6E" w14:textId="77777777" w:rsidR="007F7A83" w:rsidRPr="00505CD6" w:rsidRDefault="007F7A83" w:rsidP="007F7A83">
      <w:pPr>
        <w:widowControl w:val="0"/>
        <w:autoSpaceDE w:val="0"/>
        <w:autoSpaceDN w:val="0"/>
        <w:spacing w:after="0" w:line="276" w:lineRule="auto"/>
        <w:jc w:val="both"/>
        <w:rPr>
          <w:rFonts w:ascii="Verdana" w:hAnsi="Verdana" w:cs="Arial"/>
        </w:rPr>
      </w:pPr>
    </w:p>
    <w:p w14:paraId="48B24B0B" w14:textId="7101310E" w:rsidR="009D05BA" w:rsidRPr="00CB5B93" w:rsidRDefault="007F7A83" w:rsidP="00CB5B93">
      <w:pPr>
        <w:spacing w:after="0" w:line="276" w:lineRule="auto"/>
        <w:jc w:val="both"/>
        <w:rPr>
          <w:rFonts w:ascii="Verdana" w:hAnsi="Verdana"/>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40818B18" w14:textId="01BDC615" w:rsidR="009D05BA" w:rsidRDefault="009D05BA" w:rsidP="007F7A83">
      <w:pPr>
        <w:spacing w:line="276" w:lineRule="auto"/>
        <w:jc w:val="center"/>
        <w:rPr>
          <w:noProof/>
        </w:rPr>
      </w:pPr>
    </w:p>
    <w:p w14:paraId="7A238BEA" w14:textId="5B6A0E0B" w:rsidR="00F841D6" w:rsidRDefault="00F841D6" w:rsidP="007F7A83">
      <w:pPr>
        <w:spacing w:line="276" w:lineRule="auto"/>
        <w:jc w:val="center"/>
        <w:rPr>
          <w:noProof/>
        </w:rPr>
      </w:pPr>
      <w:r>
        <w:rPr>
          <w:noProof/>
        </w:rPr>
        <w:drawing>
          <wp:inline distT="0" distB="0" distL="0" distR="0" wp14:anchorId="338577BB" wp14:editId="1B00AB4D">
            <wp:extent cx="3497580" cy="1501450"/>
            <wp:effectExtent l="0" t="0" r="7620" b="3810"/>
            <wp:docPr id="174653418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03444" cy="1503968"/>
                    </a:xfrm>
                    <a:prstGeom prst="rect">
                      <a:avLst/>
                    </a:prstGeom>
                    <a:noFill/>
                    <a:ln>
                      <a:noFill/>
                    </a:ln>
                  </pic:spPr>
                </pic:pic>
              </a:graphicData>
            </a:graphic>
          </wp:inline>
        </w:drawing>
      </w:r>
    </w:p>
    <w:p w14:paraId="08EE28E9" w14:textId="77777777" w:rsidR="00F841D6" w:rsidRDefault="00F841D6" w:rsidP="007F7A83">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F7A83" w:rsidRPr="00593A5F" w14:paraId="6873E461" w14:textId="77777777" w:rsidTr="008B3546">
        <w:trPr>
          <w:trHeight w:val="315"/>
        </w:trPr>
        <w:tc>
          <w:tcPr>
            <w:tcW w:w="893" w:type="dxa"/>
            <w:vAlign w:val="center"/>
            <w:hideMark/>
          </w:tcPr>
          <w:p w14:paraId="01294F0D" w14:textId="77777777" w:rsidR="007F7A83" w:rsidRPr="003751C7" w:rsidRDefault="007F7A83" w:rsidP="008B3546">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8CA4E43" w14:textId="77777777" w:rsidR="007F7A83" w:rsidRPr="007911EE" w:rsidRDefault="007F7A83" w:rsidP="008B3546">
            <w:pPr>
              <w:contextualSpacing/>
              <w:rPr>
                <w:rFonts w:ascii="Verdana" w:hAnsi="Verdana"/>
                <w:sz w:val="16"/>
                <w:szCs w:val="16"/>
              </w:rPr>
            </w:pPr>
            <w:r>
              <w:rPr>
                <w:rFonts w:ascii="Verdana" w:hAnsi="Verdana"/>
                <w:sz w:val="16"/>
                <w:szCs w:val="16"/>
              </w:rPr>
              <w:t>Daniel Eduardo Rojas Poveda</w:t>
            </w:r>
          </w:p>
          <w:p w14:paraId="74291E14" w14:textId="77777777" w:rsidR="007F7A83" w:rsidRPr="007911EE" w:rsidRDefault="007F7A83" w:rsidP="008B3546">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7F7A83" w:rsidRPr="00593A5F" w14:paraId="181C331F" w14:textId="77777777" w:rsidTr="008B3546">
        <w:trPr>
          <w:trHeight w:val="330"/>
        </w:trPr>
        <w:tc>
          <w:tcPr>
            <w:tcW w:w="893" w:type="dxa"/>
            <w:vAlign w:val="center"/>
            <w:hideMark/>
          </w:tcPr>
          <w:p w14:paraId="410D5041" w14:textId="77777777" w:rsidR="007F7A83" w:rsidRPr="003751C7" w:rsidRDefault="007F7A83" w:rsidP="008B3546">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6CCA07C" w14:textId="77777777" w:rsidR="007F7A83" w:rsidRDefault="007F7A83" w:rsidP="008B3546">
            <w:pPr>
              <w:spacing w:line="276" w:lineRule="auto"/>
              <w:contextualSpacing/>
              <w:jc w:val="both"/>
              <w:rPr>
                <w:rFonts w:ascii="Verdana" w:hAnsi="Verdana"/>
                <w:sz w:val="16"/>
                <w:szCs w:val="16"/>
              </w:rPr>
            </w:pPr>
            <w:r>
              <w:rPr>
                <w:rFonts w:ascii="Verdana" w:hAnsi="Verdana"/>
                <w:sz w:val="16"/>
                <w:szCs w:val="16"/>
              </w:rPr>
              <w:t>Diana Lucia Saavedra.</w:t>
            </w:r>
          </w:p>
          <w:p w14:paraId="63358AD7" w14:textId="77777777" w:rsidR="007F7A83" w:rsidRPr="007911EE" w:rsidRDefault="007F7A83" w:rsidP="008B3546">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7F7A83" w:rsidRPr="00593A5F" w14:paraId="0697D437" w14:textId="77777777" w:rsidTr="008B3546">
        <w:trPr>
          <w:trHeight w:val="330"/>
        </w:trPr>
        <w:tc>
          <w:tcPr>
            <w:tcW w:w="893" w:type="dxa"/>
            <w:vAlign w:val="center"/>
          </w:tcPr>
          <w:p w14:paraId="0CE1FE03" w14:textId="77777777" w:rsidR="007F7A83" w:rsidRPr="003751C7" w:rsidRDefault="007F7A83" w:rsidP="008B3546">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4DA7315" w14:textId="28A09FD5" w:rsidR="007F7A83" w:rsidRDefault="007F7A83" w:rsidP="008B3546">
            <w:pPr>
              <w:spacing w:line="276" w:lineRule="auto"/>
              <w:contextualSpacing/>
              <w:jc w:val="both"/>
              <w:rPr>
                <w:rFonts w:ascii="Verdana" w:hAnsi="Verdana"/>
                <w:sz w:val="16"/>
                <w:szCs w:val="16"/>
              </w:rPr>
            </w:pPr>
            <w:r>
              <w:rPr>
                <w:rFonts w:ascii="Verdana" w:hAnsi="Verdana"/>
                <w:sz w:val="16"/>
                <w:szCs w:val="16"/>
              </w:rPr>
              <w:t>Carolina Quintero Gacharn</w:t>
            </w:r>
            <w:r w:rsidR="00CB5B93">
              <w:rPr>
                <w:rFonts w:ascii="Verdana" w:hAnsi="Verdana"/>
                <w:sz w:val="16"/>
                <w:szCs w:val="16"/>
              </w:rPr>
              <w:t>á</w:t>
            </w:r>
            <w:r>
              <w:rPr>
                <w:rFonts w:ascii="Verdana" w:hAnsi="Verdana"/>
                <w:sz w:val="16"/>
                <w:szCs w:val="16"/>
              </w:rPr>
              <w:t xml:space="preserve"> </w:t>
            </w:r>
          </w:p>
          <w:p w14:paraId="5B7DDD18" w14:textId="77777777" w:rsidR="007F7A83" w:rsidRDefault="007F7A83" w:rsidP="008B3546">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09B4E414" w14:textId="77777777" w:rsidR="007F7A83" w:rsidRPr="00F30C63" w:rsidRDefault="007F7A83" w:rsidP="007F7A83"/>
    <w:p w14:paraId="0F293BF4" w14:textId="75159614" w:rsidR="00127233" w:rsidRPr="0041746B" w:rsidRDefault="00127233" w:rsidP="0041746B"/>
    <w:sectPr w:rsidR="00127233" w:rsidRPr="0041746B"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157652" w14:textId="77777777" w:rsidR="002C6907" w:rsidRDefault="002C6907" w:rsidP="004A1847">
      <w:pPr>
        <w:spacing w:after="0" w:line="240" w:lineRule="auto"/>
      </w:pPr>
      <w:r>
        <w:separator/>
      </w:r>
    </w:p>
  </w:endnote>
  <w:endnote w:type="continuationSeparator" w:id="0">
    <w:p w14:paraId="39B1E9BB" w14:textId="77777777" w:rsidR="002C6907" w:rsidRDefault="002C6907" w:rsidP="004A1847">
      <w:pPr>
        <w:spacing w:after="0" w:line="240" w:lineRule="auto"/>
      </w:pPr>
      <w:r>
        <w:continuationSeparator/>
      </w:r>
    </w:p>
  </w:endnote>
  <w:endnote w:type="continuationNotice" w:id="1">
    <w:p w14:paraId="06EF3050" w14:textId="77777777" w:rsidR="002C6907" w:rsidRDefault="002C690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E0DC68" w14:textId="77777777" w:rsidR="002C6907" w:rsidRDefault="002C6907" w:rsidP="004A1847">
      <w:pPr>
        <w:spacing w:after="0" w:line="240" w:lineRule="auto"/>
      </w:pPr>
      <w:r>
        <w:separator/>
      </w:r>
    </w:p>
  </w:footnote>
  <w:footnote w:type="continuationSeparator" w:id="0">
    <w:p w14:paraId="36CF7842" w14:textId="77777777" w:rsidR="002C6907" w:rsidRDefault="002C6907" w:rsidP="004A1847">
      <w:pPr>
        <w:spacing w:after="0" w:line="240" w:lineRule="auto"/>
      </w:pPr>
      <w:r>
        <w:continuationSeparator/>
      </w:r>
    </w:p>
  </w:footnote>
  <w:footnote w:type="continuationNotice" w:id="1">
    <w:p w14:paraId="0D84556A" w14:textId="77777777" w:rsidR="002C6907" w:rsidRDefault="002C6907">
      <w:pPr>
        <w:spacing w:after="0" w:line="240" w:lineRule="auto"/>
      </w:pPr>
    </w:p>
  </w:footnote>
  <w:footnote w:id="2">
    <w:p w14:paraId="7B9E792D" w14:textId="77777777" w:rsidR="007F7A83" w:rsidRPr="009B20C5" w:rsidRDefault="007F7A83" w:rsidP="007F7A83">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El artículo 127 de la Constitución Política señala: </w:t>
      </w:r>
      <w:r>
        <w:rPr>
          <w:rFonts w:ascii="Verdana" w:hAnsi="Verdana" w:cs="Arial"/>
          <w:sz w:val="16"/>
          <w:szCs w:val="16"/>
        </w:rPr>
        <w:t>“</w:t>
      </w:r>
      <w:r w:rsidRPr="009B20C5">
        <w:rPr>
          <w:rFonts w:ascii="Verdana" w:hAnsi="Verdana" w:cs="Arial"/>
          <w:sz w:val="16"/>
          <w:szCs w:val="16"/>
        </w:rPr>
        <w:t xml:space="preserve">Los servidores públicos no podrán celebrar, por si o por interpuesta persona, o en representación de otro, contrato alguno con entidades públicas o con personas privadas que manejen o administren recursos públicos, salvo las excepciones legales. </w:t>
      </w:r>
    </w:p>
    <w:p w14:paraId="099BB01B" w14:textId="77777777" w:rsidR="007F7A83" w:rsidRPr="009B20C5" w:rsidRDefault="007F7A83" w:rsidP="007F7A83">
      <w:pPr>
        <w:pStyle w:val="Textonotapie"/>
        <w:ind w:firstLine="709"/>
        <w:jc w:val="both"/>
        <w:rPr>
          <w:rFonts w:ascii="Verdana" w:hAnsi="Verdana" w:cs="Arial"/>
          <w:sz w:val="16"/>
          <w:szCs w:val="16"/>
        </w:rPr>
      </w:pPr>
      <w:r w:rsidRPr="009B20C5">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r>
        <w:rPr>
          <w:rFonts w:ascii="Verdana" w:hAnsi="Verdana" w:cs="Arial"/>
          <w:sz w:val="16"/>
          <w:szCs w:val="16"/>
        </w:rPr>
        <w:t>”</w:t>
      </w:r>
      <w:r w:rsidRPr="0069134B">
        <w:rPr>
          <w:rFonts w:ascii="Verdana" w:hAnsi="Verdana" w:cs="Arial"/>
          <w:sz w:val="16"/>
          <w:szCs w:val="16"/>
        </w:rPr>
        <w:t>.</w:t>
      </w:r>
    </w:p>
  </w:footnote>
  <w:footnote w:id="3">
    <w:p w14:paraId="34BFBFEB" w14:textId="77777777" w:rsidR="007F7A83" w:rsidRPr="009B20C5" w:rsidRDefault="007F7A83" w:rsidP="007F7A83">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Gaceta del Congreso de la República No. 71 del 2005.</w:t>
      </w:r>
    </w:p>
  </w:footnote>
  <w:footnote w:id="4">
    <w:p w14:paraId="3B32787B" w14:textId="77777777" w:rsidR="007F7A83" w:rsidRPr="009B20C5" w:rsidRDefault="007F7A83" w:rsidP="007F7A83">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Corte Constitucional, Sentencia C- 1153 de 2005, M.P. Marco Gerardo Monroy Cabra.</w:t>
      </w:r>
    </w:p>
  </w:footnote>
  <w:footnote w:id="5">
    <w:p w14:paraId="1A44E5EC" w14:textId="77777777" w:rsidR="007F7A83" w:rsidRPr="009B20C5" w:rsidRDefault="007F7A83" w:rsidP="007F7A83">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75738C36" w14:textId="370950D4" w:rsidR="007F7A83" w:rsidRPr="009B20C5" w:rsidRDefault="007F7A83" w:rsidP="007F7A83">
      <w:pPr>
        <w:pStyle w:val="Textonotapie"/>
        <w:ind w:firstLine="709"/>
        <w:jc w:val="both"/>
        <w:rPr>
          <w:rFonts w:ascii="Verdana" w:hAnsi="Verdana" w:cs="Arial"/>
          <w:sz w:val="16"/>
          <w:szCs w:val="16"/>
          <w:lang w:val="es-CO"/>
        </w:rPr>
      </w:pPr>
      <w:r w:rsidRPr="009B20C5">
        <w:rPr>
          <w:rStyle w:val="Refdenotaalpie"/>
          <w:rFonts w:ascii="Verdana" w:hAnsi="Verdana" w:cs="Arial"/>
          <w:sz w:val="16"/>
          <w:szCs w:val="16"/>
        </w:rPr>
        <w:footnoteRef/>
      </w:r>
      <w:r w:rsidRPr="009B20C5">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r w:rsidRPr="0069134B">
        <w:rPr>
          <w:rFonts w:ascii="Verdana" w:hAnsi="Verdana" w:cs="Arial"/>
          <w:sz w:val="16"/>
          <w:szCs w:val="16"/>
          <w:lang w:val="es-CO"/>
        </w:rPr>
        <w:t>.</w:t>
      </w:r>
      <w:r>
        <w:rPr>
          <w:rFonts w:ascii="Verdana" w:hAnsi="Verdana" w:cs="Arial"/>
          <w:sz w:val="16"/>
          <w:szCs w:val="16"/>
          <w:lang w:val="es-CO"/>
        </w:rPr>
        <w:t>.</w:t>
      </w:r>
    </w:p>
  </w:footnote>
  <w:footnote w:id="7">
    <w:p w14:paraId="09E218AB" w14:textId="4D293DB9" w:rsidR="007F7A83" w:rsidRPr="009B20C5" w:rsidRDefault="007F7A83" w:rsidP="007F7A83">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de fecha 24 de julio de 2013, radicado 2166, Consejero Ponente: Álvaro Namén Vargas.  </w:t>
      </w:r>
    </w:p>
  </w:footnote>
  <w:footnote w:id="8">
    <w:p w14:paraId="3E70C053" w14:textId="666318C7" w:rsidR="007F7A83" w:rsidRPr="0069134B" w:rsidRDefault="007F7A83" w:rsidP="007F7A83">
      <w:pPr>
        <w:spacing w:after="0" w:line="240" w:lineRule="auto"/>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9">
    <w:p w14:paraId="108FB546" w14:textId="77777777" w:rsidR="008B24D8" w:rsidRPr="009D05BA" w:rsidRDefault="008B24D8" w:rsidP="008B24D8">
      <w:pPr>
        <w:pStyle w:val="Textonotapie"/>
        <w:ind w:firstLine="709"/>
        <w:contextualSpacing/>
        <w:jc w:val="both"/>
        <w:rPr>
          <w:rFonts w:ascii="Verdana" w:hAnsi="Verdana" w:cs="Arial"/>
          <w:sz w:val="16"/>
          <w:szCs w:val="16"/>
        </w:rPr>
      </w:pPr>
      <w:r w:rsidRPr="009D05BA">
        <w:rPr>
          <w:rStyle w:val="Refdenotaalpie"/>
          <w:rFonts w:ascii="Verdana" w:hAnsi="Verdana"/>
          <w:sz w:val="16"/>
          <w:szCs w:val="16"/>
        </w:rPr>
        <w:footnoteRef/>
      </w:r>
      <w:r w:rsidRPr="009D05BA">
        <w:rPr>
          <w:rFonts w:ascii="Verdana" w:hAnsi="Verdana"/>
          <w:sz w:val="16"/>
          <w:szCs w:val="16"/>
        </w:rPr>
        <w:t xml:space="preserve"> </w:t>
      </w:r>
      <w:r w:rsidRPr="009D05BA">
        <w:rPr>
          <w:rFonts w:ascii="Verdana" w:hAnsi="Verdana" w:cs="Arial"/>
          <w:sz w:val="16"/>
          <w:szCs w:val="16"/>
        </w:rPr>
        <w:t>Consejo de Estado -Sección Tercera-. Sentencia del 21 de febrero de 2025. Radicación Número: 68.280. CP: José Roberto Sáchica Méndez.</w:t>
      </w:r>
    </w:p>
  </w:footnote>
  <w:footnote w:id="10">
    <w:p w14:paraId="098553B2" w14:textId="3BFED066" w:rsidR="008B24D8" w:rsidRPr="009D05BA" w:rsidRDefault="008B24D8" w:rsidP="006675C3">
      <w:pPr>
        <w:pStyle w:val="Textonotapie"/>
        <w:ind w:firstLine="709"/>
        <w:contextualSpacing/>
        <w:jc w:val="both"/>
        <w:rPr>
          <w:rFonts w:ascii="Verdana" w:hAnsi="Verdana" w:cs="Arial"/>
          <w:sz w:val="16"/>
          <w:szCs w:val="16"/>
        </w:rPr>
      </w:pPr>
      <w:r w:rsidRPr="009D05BA">
        <w:rPr>
          <w:rFonts w:ascii="Verdana" w:hAnsi="Verdana"/>
          <w:sz w:val="16"/>
          <w:szCs w:val="16"/>
          <w:vertAlign w:val="superscript"/>
        </w:rPr>
        <w:footnoteRef/>
      </w:r>
      <w:r w:rsidRPr="009D05BA">
        <w:rPr>
          <w:rFonts w:ascii="Verdana" w:hAnsi="Verdana"/>
          <w:sz w:val="16"/>
          <w:szCs w:val="16"/>
          <w:vertAlign w:val="superscript"/>
        </w:rPr>
        <w:t xml:space="preserve"> </w:t>
      </w:r>
      <w:r w:rsidRPr="009D05BA">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11">
    <w:p w14:paraId="5AE89321" w14:textId="77777777" w:rsidR="008B24D8" w:rsidRPr="009D05BA" w:rsidRDefault="008B24D8" w:rsidP="008B24D8">
      <w:pPr>
        <w:pStyle w:val="Textonotapie"/>
        <w:ind w:firstLine="709"/>
        <w:contextualSpacing/>
        <w:jc w:val="both"/>
        <w:rPr>
          <w:rFonts w:ascii="Verdana" w:hAnsi="Verdana" w:cs="Arial"/>
          <w:sz w:val="16"/>
          <w:szCs w:val="16"/>
        </w:rPr>
      </w:pPr>
      <w:r w:rsidRPr="009D05BA">
        <w:rPr>
          <w:rFonts w:ascii="Verdana" w:hAnsi="Verdana"/>
          <w:sz w:val="16"/>
          <w:szCs w:val="16"/>
          <w:vertAlign w:val="superscript"/>
        </w:rPr>
        <w:footnoteRef/>
      </w:r>
      <w:r w:rsidRPr="009D05BA">
        <w:rPr>
          <w:rFonts w:ascii="Verdana" w:hAnsi="Verdana" w:cs="Arial"/>
          <w:sz w:val="16"/>
          <w:szCs w:val="16"/>
          <w:vertAlign w:val="superscript"/>
        </w:rPr>
        <w:t xml:space="preserve"> </w:t>
      </w:r>
      <w:r w:rsidRPr="009D05BA">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27612D0F" w14:textId="77777777" w:rsidR="008B24D8" w:rsidRPr="009D05BA" w:rsidRDefault="008B24D8" w:rsidP="008B24D8">
      <w:pPr>
        <w:pStyle w:val="Textonotapie"/>
        <w:ind w:firstLine="709"/>
        <w:contextualSpacing/>
        <w:jc w:val="both"/>
        <w:rPr>
          <w:rFonts w:ascii="Verdana" w:hAnsi="Verdana" w:cs="Arial"/>
          <w:sz w:val="16"/>
          <w:szCs w:val="16"/>
        </w:rPr>
      </w:pPr>
      <w:r w:rsidRPr="009D05BA">
        <w:rPr>
          <w:rFonts w:ascii="Verdana" w:hAnsi="Verdana" w:cs="Arial"/>
          <w:sz w:val="16"/>
          <w:szCs w:val="16"/>
        </w:rPr>
        <w:t>[…]”.</w:t>
      </w:r>
    </w:p>
  </w:footnote>
  <w:footnote w:id="12">
    <w:p w14:paraId="560A6AA5" w14:textId="77777777" w:rsidR="008B24D8" w:rsidRPr="009D05BA" w:rsidRDefault="008B24D8" w:rsidP="008B24D8">
      <w:pPr>
        <w:pStyle w:val="Textonotapie"/>
        <w:ind w:firstLine="709"/>
        <w:contextualSpacing/>
        <w:jc w:val="both"/>
        <w:rPr>
          <w:rFonts w:ascii="Verdana" w:hAnsi="Verdana" w:cs="Arial"/>
          <w:sz w:val="16"/>
          <w:szCs w:val="16"/>
        </w:rPr>
      </w:pPr>
      <w:r w:rsidRPr="009D05BA">
        <w:rPr>
          <w:rFonts w:ascii="Verdana" w:hAnsi="Verdana"/>
          <w:sz w:val="16"/>
          <w:szCs w:val="16"/>
          <w:vertAlign w:val="superscript"/>
        </w:rPr>
        <w:footnoteRef/>
      </w:r>
      <w:r w:rsidRPr="009D05BA">
        <w:rPr>
          <w:rFonts w:ascii="Verdana" w:hAnsi="Verdana" w:cs="Arial"/>
          <w:sz w:val="16"/>
          <w:szCs w:val="16"/>
          <w:vertAlign w:val="superscript"/>
        </w:rPr>
        <w:t xml:space="preserve"> </w:t>
      </w:r>
      <w:r w:rsidRPr="009D05BA">
        <w:rPr>
          <w:rFonts w:ascii="Verdana" w:hAnsi="Verdana" w:cs="Arial"/>
          <w:sz w:val="16"/>
          <w:szCs w:val="16"/>
        </w:rPr>
        <w:t>Código Civil: “Artículo 27. Cuando el sentido de la ley sea claro, no se desatenderá su tenor a pretexto de consultar su espíritu”.</w:t>
      </w:r>
    </w:p>
  </w:footnote>
  <w:footnote w:id="13">
    <w:p w14:paraId="68AA1FBE" w14:textId="77777777" w:rsidR="008B24D8" w:rsidRPr="009D05BA" w:rsidRDefault="008B24D8" w:rsidP="008B24D8">
      <w:pPr>
        <w:pStyle w:val="Textonotapie"/>
        <w:ind w:firstLine="709"/>
        <w:contextualSpacing/>
        <w:jc w:val="both"/>
        <w:rPr>
          <w:rFonts w:ascii="Verdana" w:hAnsi="Verdana"/>
          <w:sz w:val="16"/>
          <w:szCs w:val="16"/>
          <w:lang w:val="es-CO"/>
        </w:rPr>
      </w:pPr>
      <w:r w:rsidRPr="009D05BA">
        <w:rPr>
          <w:rStyle w:val="Refdenotaalpie"/>
          <w:rFonts w:ascii="Verdana" w:hAnsi="Verdana"/>
          <w:sz w:val="16"/>
          <w:szCs w:val="16"/>
        </w:rPr>
        <w:footnoteRef/>
      </w:r>
      <w:r w:rsidRPr="009D05BA">
        <w:rPr>
          <w:rFonts w:ascii="Verdana" w:hAnsi="Verdana"/>
          <w:sz w:val="16"/>
          <w:szCs w:val="16"/>
          <w:lang w:val="es-CO"/>
        </w:rPr>
        <w:t xml:space="preserve"> Consejo de Estado, Sección Tercera. Auto del 4 de octubre de 2024. Exp. 70.313. C.P: Fredy Ibarra Martínez.</w:t>
      </w:r>
    </w:p>
  </w:footnote>
  <w:footnote w:id="14">
    <w:p w14:paraId="6190BA20" w14:textId="77777777" w:rsidR="008B24D8" w:rsidRPr="009D05BA" w:rsidRDefault="008B24D8" w:rsidP="008B24D8">
      <w:pPr>
        <w:pStyle w:val="Textonotapie"/>
        <w:ind w:firstLine="709"/>
        <w:contextualSpacing/>
        <w:jc w:val="both"/>
        <w:rPr>
          <w:rFonts w:ascii="Verdana" w:hAnsi="Verdana"/>
          <w:sz w:val="16"/>
          <w:szCs w:val="16"/>
          <w:lang w:val="es-CO"/>
        </w:rPr>
      </w:pPr>
      <w:r w:rsidRPr="009D05BA">
        <w:rPr>
          <w:rStyle w:val="Refdenotaalpie"/>
          <w:rFonts w:ascii="Verdana" w:hAnsi="Verdana"/>
          <w:sz w:val="16"/>
          <w:szCs w:val="16"/>
        </w:rPr>
        <w:footnoteRef/>
      </w:r>
      <w:r w:rsidRPr="009D05BA">
        <w:rPr>
          <w:rFonts w:ascii="Verdana" w:hAnsi="Verdana"/>
          <w:sz w:val="16"/>
          <w:szCs w:val="16"/>
        </w:rPr>
        <w:t xml:space="preserve"> La parte resolutiva del auto dispone lo siguiente; “</w:t>
      </w:r>
      <w:r w:rsidRPr="009D05BA">
        <w:rPr>
          <w:rFonts w:ascii="Verdana" w:hAnsi="Verdana"/>
          <w:b/>
          <w:sz w:val="16"/>
          <w:szCs w:val="16"/>
          <w:lang w:val="es-CO"/>
        </w:rPr>
        <w:t xml:space="preserve">PRIMERO: DECRETAR </w:t>
      </w:r>
      <w:r w:rsidRPr="009D05BA">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9D05BA">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9D05BA">
        <w:rPr>
          <w:rFonts w:ascii="Verdana" w:hAnsi="Verdana"/>
          <w:sz w:val="16"/>
          <w:szCs w:val="16"/>
          <w:lang w:val="es-CO"/>
        </w:rPr>
        <w:t xml:space="preserve">, por las razones expuestas en precedencia. </w:t>
      </w:r>
    </w:p>
    <w:p w14:paraId="0841525E" w14:textId="77777777" w:rsidR="008B24D8" w:rsidRPr="009D05BA" w:rsidRDefault="008B24D8" w:rsidP="008B24D8">
      <w:pPr>
        <w:pStyle w:val="Textonotapie"/>
        <w:ind w:firstLine="709"/>
        <w:contextualSpacing/>
        <w:jc w:val="both"/>
        <w:rPr>
          <w:rFonts w:ascii="Verdana" w:hAnsi="Verdana"/>
          <w:sz w:val="16"/>
          <w:szCs w:val="16"/>
          <w:lang w:val="es-CO"/>
        </w:rPr>
      </w:pPr>
      <w:r w:rsidRPr="009D05BA">
        <w:rPr>
          <w:rFonts w:ascii="Verdana" w:hAnsi="Verdana"/>
          <w:b/>
          <w:sz w:val="16"/>
          <w:szCs w:val="16"/>
          <w:lang w:val="es-CO"/>
        </w:rPr>
        <w:t xml:space="preserve">SEGUNDO: DECRETAR </w:t>
      </w:r>
      <w:r w:rsidRPr="009D05BA">
        <w:rPr>
          <w:rFonts w:ascii="Verdana" w:hAnsi="Verdana"/>
          <w:sz w:val="16"/>
          <w:szCs w:val="16"/>
          <w:lang w:val="es-CO"/>
        </w:rPr>
        <w:t>la suspensión provisional de la expresión “</w:t>
      </w:r>
      <w:r w:rsidRPr="009D05BA">
        <w:rPr>
          <w:rFonts w:ascii="Verdana" w:hAnsi="Verdana"/>
          <w:i/>
          <w:sz w:val="16"/>
          <w:szCs w:val="16"/>
          <w:lang w:val="es-CO"/>
        </w:rPr>
        <w:t>contratos</w:t>
      </w:r>
      <w:r w:rsidRPr="009D05BA">
        <w:rPr>
          <w:rFonts w:ascii="Verdana" w:hAnsi="Verdana"/>
          <w:sz w:val="16"/>
          <w:szCs w:val="16"/>
          <w:lang w:val="es-CO"/>
        </w:rPr>
        <w:t xml:space="preserve">” y del párrafo </w:t>
      </w:r>
      <w:r w:rsidRPr="009D05BA">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9D05BA">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footnote>
  <w:footnote w:id="15">
    <w:p w14:paraId="4D019379" w14:textId="77777777" w:rsidR="008B24D8" w:rsidRPr="009D05BA" w:rsidRDefault="008B24D8" w:rsidP="008B24D8">
      <w:pPr>
        <w:spacing w:after="0" w:line="240" w:lineRule="auto"/>
        <w:ind w:firstLine="709"/>
        <w:contextualSpacing/>
        <w:jc w:val="both"/>
        <w:rPr>
          <w:rFonts w:ascii="Verdana" w:eastAsia="Times New Roman" w:hAnsi="Verdana" w:cs="Times New Roman"/>
          <w:sz w:val="16"/>
          <w:szCs w:val="16"/>
          <w:lang w:eastAsia="es-ES"/>
        </w:rPr>
      </w:pPr>
      <w:r w:rsidRPr="009D05BA">
        <w:rPr>
          <w:rStyle w:val="Refdenotaalpie"/>
          <w:rFonts w:ascii="Verdana" w:hAnsi="Verdana"/>
          <w:sz w:val="16"/>
          <w:szCs w:val="16"/>
        </w:rPr>
        <w:footnoteRef/>
      </w:r>
      <w:r w:rsidRPr="009D05BA">
        <w:rPr>
          <w:rFonts w:ascii="Verdana" w:hAnsi="Verdana"/>
          <w:sz w:val="16"/>
          <w:szCs w:val="16"/>
        </w:rPr>
        <w:t xml:space="preserve"> </w:t>
      </w:r>
      <w:r w:rsidRPr="009D05BA">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9D05BA">
        <w:rPr>
          <w:rFonts w:ascii="Verdana" w:hAnsi="Verdana"/>
          <w:sz w:val="16"/>
          <w:szCs w:val="16"/>
        </w:rPr>
        <w:t xml:space="preserve">La parte de la providencia señala: </w:t>
      </w:r>
      <w:r w:rsidRPr="009D05BA">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16">
    <w:p w14:paraId="5083730E" w14:textId="77777777" w:rsidR="008B24D8" w:rsidRPr="009D05BA" w:rsidRDefault="008B24D8" w:rsidP="008B24D8">
      <w:pPr>
        <w:pStyle w:val="Textonotapie"/>
        <w:ind w:firstLine="709"/>
        <w:rPr>
          <w:rFonts w:ascii="Verdana" w:hAnsi="Verdana"/>
          <w:sz w:val="16"/>
          <w:szCs w:val="16"/>
          <w:lang w:val="es-CO"/>
        </w:rPr>
      </w:pPr>
      <w:r w:rsidRPr="009D05BA">
        <w:rPr>
          <w:rStyle w:val="Refdenotaalpie"/>
          <w:rFonts w:ascii="Verdana" w:hAnsi="Verdana"/>
          <w:sz w:val="16"/>
          <w:szCs w:val="16"/>
        </w:rPr>
        <w:footnoteRef/>
      </w:r>
      <w:r w:rsidRPr="009D05BA">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17">
    <w:p w14:paraId="34715FD3" w14:textId="77777777" w:rsidR="008B24D8" w:rsidRPr="008B24D8" w:rsidRDefault="008B24D8" w:rsidP="008B24D8">
      <w:pPr>
        <w:pStyle w:val="Textonotapie"/>
        <w:ind w:firstLine="709"/>
        <w:rPr>
          <w:rFonts w:ascii="Verdana" w:hAnsi="Verdana"/>
          <w:sz w:val="16"/>
          <w:szCs w:val="16"/>
          <w:lang w:val="es-CO"/>
        </w:rPr>
      </w:pPr>
      <w:r w:rsidRPr="008B24D8">
        <w:rPr>
          <w:rStyle w:val="Refdenotaalpie"/>
          <w:rFonts w:ascii="Verdana" w:hAnsi="Verdana"/>
          <w:sz w:val="16"/>
          <w:szCs w:val="16"/>
        </w:rPr>
        <w:footnoteRef/>
      </w:r>
      <w:r w:rsidRPr="008B24D8">
        <w:rPr>
          <w:rFonts w:ascii="Verdana" w:hAnsi="Verdana"/>
          <w:sz w:val="16"/>
          <w:szCs w:val="16"/>
        </w:rPr>
        <w:t xml:space="preserve"> </w:t>
      </w:r>
      <w:hyperlink r:id="rId1" w:history="1">
        <w:r w:rsidRPr="008B24D8">
          <w:rPr>
            <w:rStyle w:val="Hipervnculo"/>
            <w:rFonts w:ascii="Verdana" w:hAnsi="Verdana"/>
            <w:sz w:val="16"/>
            <w:szCs w:val="16"/>
          </w:rPr>
          <w:t>https://registraduria.gov.co/Que-son-las-elecciones-atipicas.html</w:t>
        </w:r>
      </w:hyperlink>
      <w:r w:rsidRPr="008B24D8">
        <w:rPr>
          <w:rFonts w:ascii="Verdana" w:hAnsi="Verdana"/>
          <w:sz w:val="16"/>
          <w:szCs w:val="16"/>
        </w:rPr>
        <w:t xml:space="preserve"> </w:t>
      </w:r>
    </w:p>
  </w:footnote>
  <w:footnote w:id="18">
    <w:p w14:paraId="7C75FAAA" w14:textId="77777777" w:rsidR="008B24D8" w:rsidRPr="008B24D8" w:rsidRDefault="008B24D8" w:rsidP="008B24D8">
      <w:pPr>
        <w:pStyle w:val="Textonotapie"/>
        <w:ind w:firstLine="709"/>
        <w:rPr>
          <w:rFonts w:ascii="Verdana" w:hAnsi="Verdana"/>
          <w:sz w:val="16"/>
          <w:szCs w:val="16"/>
          <w:lang w:val="es-CO"/>
        </w:rPr>
      </w:pPr>
      <w:r w:rsidRPr="008B24D8">
        <w:rPr>
          <w:rStyle w:val="Refdenotaalpie"/>
          <w:rFonts w:ascii="Verdana" w:hAnsi="Verdana"/>
          <w:sz w:val="16"/>
          <w:szCs w:val="16"/>
        </w:rPr>
        <w:footnoteRef/>
      </w:r>
      <w:r w:rsidRPr="008B24D8">
        <w:rPr>
          <w:rFonts w:ascii="Verdana" w:hAnsi="Verdana"/>
          <w:sz w:val="16"/>
          <w:szCs w:val="16"/>
        </w:rPr>
        <w:t xml:space="preserve"> </w:t>
      </w:r>
      <w:r w:rsidRPr="008B24D8">
        <w:rPr>
          <w:rFonts w:ascii="Verdana" w:hAnsi="Verdana"/>
          <w:sz w:val="16"/>
          <w:szCs w:val="16"/>
          <w:lang w:val="es-CO"/>
        </w:rPr>
        <w:t>Ley 136 de 1994. Artículo 98</w:t>
      </w:r>
    </w:p>
  </w:footnote>
  <w:footnote w:id="19">
    <w:p w14:paraId="551E4F5E" w14:textId="77777777" w:rsidR="008B24D8" w:rsidRPr="008B24D8" w:rsidRDefault="008B24D8" w:rsidP="008B24D8">
      <w:pPr>
        <w:pStyle w:val="Textonotapie"/>
        <w:ind w:firstLine="709"/>
        <w:contextualSpacing/>
        <w:jc w:val="both"/>
        <w:rPr>
          <w:rFonts w:ascii="Verdana" w:hAnsi="Verdana" w:cs="Arial"/>
          <w:sz w:val="16"/>
          <w:szCs w:val="16"/>
        </w:rPr>
      </w:pPr>
      <w:r w:rsidRPr="009D05BA">
        <w:rPr>
          <w:rStyle w:val="Refdenotaalpie"/>
          <w:rFonts w:ascii="Verdana" w:hAnsi="Verdana"/>
          <w:sz w:val="16"/>
          <w:szCs w:val="16"/>
        </w:rPr>
        <w:footnoteRef/>
      </w:r>
      <w:r w:rsidRPr="009D05BA">
        <w:rPr>
          <w:rFonts w:ascii="Verdana" w:hAnsi="Verdana"/>
          <w:sz w:val="16"/>
          <w:szCs w:val="16"/>
        </w:rPr>
        <w:t xml:space="preserve"> </w:t>
      </w:r>
      <w:r w:rsidRPr="008B24D8">
        <w:rPr>
          <w:rFonts w:ascii="Verdana" w:hAnsi="Verdana" w:cs="Arial"/>
          <w:sz w:val="16"/>
          <w:szCs w:val="16"/>
        </w:rPr>
        <w:t>Consejo de Estado. Sala de Consulta y Servicio Civil. Concepto del 20 de febrero de 2018. Expediente número 12366. Consejero Ponente: Oscar Darío Amaya Navas.</w:t>
      </w:r>
    </w:p>
  </w:footnote>
  <w:footnote w:id="20">
    <w:p w14:paraId="06D7B845" w14:textId="77777777" w:rsidR="008B24D8" w:rsidRPr="009D05BA" w:rsidRDefault="008B24D8" w:rsidP="008B24D8">
      <w:pPr>
        <w:pStyle w:val="Textonotapie"/>
        <w:ind w:firstLine="709"/>
        <w:rPr>
          <w:rFonts w:ascii="Verdana" w:hAnsi="Verdana"/>
          <w:sz w:val="16"/>
          <w:szCs w:val="16"/>
          <w:lang w:val="es-CO"/>
        </w:rPr>
      </w:pPr>
      <w:r w:rsidRPr="009D05BA">
        <w:rPr>
          <w:rStyle w:val="Refdenotaalpie"/>
          <w:rFonts w:ascii="Verdana" w:hAnsi="Verdana"/>
          <w:sz w:val="16"/>
          <w:szCs w:val="16"/>
        </w:rPr>
        <w:footnoteRef/>
      </w:r>
      <w:r w:rsidRPr="009D05BA">
        <w:rPr>
          <w:rFonts w:ascii="Verdana" w:hAnsi="Verdana"/>
          <w:sz w:val="16"/>
          <w:szCs w:val="16"/>
        </w:rPr>
        <w:t xml:space="preserve"> Disponible en: </w:t>
      </w:r>
      <w:hyperlink r:id="rId2" w:history="1">
        <w:r w:rsidRPr="009D05BA">
          <w:rPr>
            <w:rStyle w:val="Hipervnculo"/>
            <w:rFonts w:ascii="Verdana" w:hAnsi="Verdana"/>
            <w:sz w:val="16"/>
            <w:szCs w:val="16"/>
          </w:rPr>
          <w:t>https://relatoria.cne.gov.co/relatoria/</w:t>
        </w:r>
      </w:hyperlink>
      <w:r w:rsidRPr="009D05BA">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2.5pt;height: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418594436">
    <w:abstractNumId w:val="0"/>
  </w:num>
  <w:num w:numId="17" w16cid:durableId="1513304009">
    <w:abstractNumId w:val="10"/>
  </w:num>
  <w:num w:numId="18" w16cid:durableId="188980000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6907"/>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1746B"/>
    <w:rsid w:val="0042722E"/>
    <w:rsid w:val="0044528D"/>
    <w:rsid w:val="00466E39"/>
    <w:rsid w:val="004A1847"/>
    <w:rsid w:val="004A305D"/>
    <w:rsid w:val="004D2C01"/>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675C3"/>
    <w:rsid w:val="006900D9"/>
    <w:rsid w:val="00706C16"/>
    <w:rsid w:val="0071502D"/>
    <w:rsid w:val="007340C3"/>
    <w:rsid w:val="007426B7"/>
    <w:rsid w:val="0075235A"/>
    <w:rsid w:val="00756841"/>
    <w:rsid w:val="007649AB"/>
    <w:rsid w:val="00771D0C"/>
    <w:rsid w:val="007833AC"/>
    <w:rsid w:val="007B268C"/>
    <w:rsid w:val="007B7171"/>
    <w:rsid w:val="007C0C0F"/>
    <w:rsid w:val="007C3DC2"/>
    <w:rsid w:val="007E5497"/>
    <w:rsid w:val="007F7A83"/>
    <w:rsid w:val="00806F5F"/>
    <w:rsid w:val="00820278"/>
    <w:rsid w:val="008258C9"/>
    <w:rsid w:val="00844AE9"/>
    <w:rsid w:val="00867F95"/>
    <w:rsid w:val="008843B6"/>
    <w:rsid w:val="00891928"/>
    <w:rsid w:val="008A446D"/>
    <w:rsid w:val="008B24D8"/>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05BA"/>
    <w:rsid w:val="009D3058"/>
    <w:rsid w:val="009F3A13"/>
    <w:rsid w:val="00A122D3"/>
    <w:rsid w:val="00A14468"/>
    <w:rsid w:val="00A17F13"/>
    <w:rsid w:val="00A20739"/>
    <w:rsid w:val="00A23AF9"/>
    <w:rsid w:val="00A33C78"/>
    <w:rsid w:val="00A56D87"/>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A3AFC"/>
    <w:rsid w:val="00CB5B93"/>
    <w:rsid w:val="00CB6357"/>
    <w:rsid w:val="00CC1B26"/>
    <w:rsid w:val="00CF5F2A"/>
    <w:rsid w:val="00D361FD"/>
    <w:rsid w:val="00D423A2"/>
    <w:rsid w:val="00D44E26"/>
    <w:rsid w:val="00D46329"/>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93606"/>
    <w:rsid w:val="00EA0E3D"/>
    <w:rsid w:val="00EC38A7"/>
    <w:rsid w:val="00EE1AA8"/>
    <w:rsid w:val="00F23FEA"/>
    <w:rsid w:val="00F31EDC"/>
    <w:rsid w:val="00F462B3"/>
    <w:rsid w:val="00F5664F"/>
    <w:rsid w:val="00F666C4"/>
    <w:rsid w:val="00F76AFC"/>
    <w:rsid w:val="00F841D6"/>
    <w:rsid w:val="00FA47C0"/>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F7A83"/>
    <w:rPr>
      <w:rFonts w:ascii="Geomanist Light" w:hAnsi="Geomanist Light"/>
      <w:lang w:val="es-ES"/>
    </w:rPr>
  </w:style>
  <w:style w:type="paragraph" w:customStyle="1" w:styleId="Appelnotedebasde">
    <w:name w:val="Appel note de bas de..."/>
    <w:basedOn w:val="Normal"/>
    <w:link w:val="Refdenotaalpie"/>
    <w:uiPriority w:val="99"/>
    <w:rsid w:val="007F7A83"/>
    <w:pPr>
      <w:spacing w:line="240" w:lineRule="exact"/>
    </w:pPr>
    <w:rPr>
      <w:vertAlign w:val="superscript"/>
    </w:rPr>
  </w:style>
  <w:style w:type="paragraph" w:styleId="Textoindependiente">
    <w:name w:val="Body Text"/>
    <w:basedOn w:val="Normal"/>
    <w:link w:val="TextoindependienteCar"/>
    <w:uiPriority w:val="1"/>
    <w:qFormat/>
    <w:rsid w:val="007F7A83"/>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7F7A83"/>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archivos/circular/circular-externa-006-de-2025"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ujelavi1@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s>
</file>

<file path=word/_rels/footnotes.xml.rels><?xml version="1.0" encoding="UTF-8" standalone="yes"?>
<Relationships xmlns="http://schemas.openxmlformats.org/package/2006/relationships"><Relationship Id="rId2" Type="http://schemas.openxmlformats.org/officeDocument/2006/relationships/hyperlink" Target="https://relatoria.cne.gov.co/relatoria/" TargetMode="External"/><Relationship Id="rId1" Type="http://schemas.openxmlformats.org/officeDocument/2006/relationships/hyperlink" Target="https://registraduria.gov.co/Que-son-las-elecciones-atipicas.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59AD5A-DD8A-4DE8-862E-C256CB2D2256}"/>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21</Pages>
  <Words>6884</Words>
  <Characters>37862</Characters>
  <Application>Microsoft Office Word</Application>
  <DocSecurity>0</DocSecurity>
  <Lines>714</Lines>
  <Paragraphs>138</Paragraphs>
  <ScaleCrop>false</ScaleCrop>
  <Company/>
  <LinksUpToDate>false</LinksUpToDate>
  <CharactersWithSpaces>44608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4</cp:revision>
  <cp:lastPrinted>2023-01-10T21:18:00Z</cp:lastPrinted>
  <dcterms:created xsi:type="dcterms:W3CDTF">2025-11-26T16:51:00Z</dcterms:created>
  <dcterms:modified xsi:type="dcterms:W3CDTF">2025-12-01T13:00:00Z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