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FD934" w14:textId="77777777" w:rsidR="00EC4560" w:rsidRPr="00F01937" w:rsidRDefault="00EC4560" w:rsidP="00EC4560">
      <w:pPr>
        <w:spacing w:after="0" w:line="276" w:lineRule="auto"/>
        <w:jc w:val="both"/>
        <w:rPr>
          <w:rFonts w:ascii="Verdana" w:eastAsia="Calibri" w:hAnsi="Verdana" w:cs="Arial"/>
          <w:b/>
          <w:bCs/>
          <w:lang w:val="es-ES_tradnl"/>
        </w:rPr>
      </w:pPr>
      <w:bookmarkStart w:id="0" w:name="_Hlk143780582"/>
      <w:r w:rsidRPr="00F01937">
        <w:rPr>
          <w:rFonts w:ascii="Verdana" w:eastAsia="Calibri" w:hAnsi="Verdana" w:cs="Arial"/>
          <w:b/>
          <w:bCs/>
          <w:lang w:val="es-ES_tradnl"/>
        </w:rPr>
        <w:t xml:space="preserve">DOCUMENTOS TIPO – Fundamento normativo – Obligatoriedad </w:t>
      </w:r>
    </w:p>
    <w:p w14:paraId="043C656E" w14:textId="77777777" w:rsidR="00EC4560" w:rsidRPr="001D1DF1" w:rsidRDefault="00EC4560" w:rsidP="00EC4560">
      <w:pPr>
        <w:spacing w:after="0" w:line="276" w:lineRule="auto"/>
        <w:jc w:val="both"/>
        <w:rPr>
          <w:rFonts w:ascii="Verdana" w:eastAsia="Calibri" w:hAnsi="Verdana" w:cs="Arial"/>
          <w:b/>
          <w:bCs/>
          <w:sz w:val="20"/>
          <w:szCs w:val="20"/>
          <w:lang w:val="es-ES_tradnl"/>
        </w:rPr>
      </w:pPr>
    </w:p>
    <w:p w14:paraId="1C0BCFA8" w14:textId="77777777" w:rsidR="00EC4560" w:rsidRPr="001D1DF1" w:rsidRDefault="00EC4560" w:rsidP="00EC4560">
      <w:pPr>
        <w:tabs>
          <w:tab w:val="left" w:pos="709"/>
        </w:tabs>
        <w:spacing w:after="0" w:line="240" w:lineRule="auto"/>
        <w:jc w:val="both"/>
        <w:rPr>
          <w:rFonts w:ascii="Verdana" w:eastAsia="Calibri" w:hAnsi="Verdana" w:cs="Arial"/>
          <w:sz w:val="20"/>
          <w:szCs w:val="20"/>
          <w:lang w:val="es-ES"/>
        </w:rPr>
      </w:pPr>
      <w:r w:rsidRPr="001D1DF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C2A1755" w14:textId="77777777" w:rsidR="00EC4560" w:rsidRDefault="00EC4560" w:rsidP="00EC4560">
      <w:pPr>
        <w:spacing w:after="0" w:line="276" w:lineRule="auto"/>
        <w:jc w:val="both"/>
        <w:rPr>
          <w:rFonts w:ascii="Verdana" w:eastAsia="Calibri" w:hAnsi="Verdana" w:cs="Arial"/>
          <w:b/>
          <w:bCs/>
          <w:sz w:val="20"/>
          <w:szCs w:val="20"/>
          <w:lang w:val="es-ES_tradnl"/>
        </w:rPr>
      </w:pPr>
    </w:p>
    <w:p w14:paraId="45CDCD4E" w14:textId="3E1BF381" w:rsidR="00EC4560" w:rsidRPr="00870E1D" w:rsidRDefault="00EC4560" w:rsidP="00EC4560">
      <w:pPr>
        <w:spacing w:after="0" w:line="240" w:lineRule="auto"/>
        <w:jc w:val="both"/>
        <w:rPr>
          <w:rFonts w:ascii="Verdana" w:eastAsia="Calibri" w:hAnsi="Verdana" w:cs="Arial"/>
          <w:b/>
          <w:lang w:val="es-ES"/>
        </w:rPr>
      </w:pPr>
      <w:r w:rsidRPr="4A4DC93F">
        <w:rPr>
          <w:rFonts w:ascii="Verdana" w:eastAsia="Calibri" w:hAnsi="Verdana" w:cs="Arial"/>
          <w:b/>
          <w:lang w:val="es-ES"/>
        </w:rPr>
        <w:t>DOCUMENTOS TIPO – Sector social – Resoluciones 219,</w:t>
      </w:r>
      <w:r w:rsidR="592699C5" w:rsidRPr="4A4DC93F">
        <w:rPr>
          <w:rFonts w:ascii="Verdana" w:eastAsia="Calibri" w:hAnsi="Verdana" w:cs="Arial"/>
          <w:b/>
          <w:bCs/>
          <w:lang w:val="es-ES"/>
        </w:rPr>
        <w:t xml:space="preserve"> 220, </w:t>
      </w:r>
      <w:r w:rsidRPr="4A4DC93F">
        <w:rPr>
          <w:rFonts w:ascii="Verdana" w:eastAsia="Calibri" w:hAnsi="Verdana" w:cs="Arial"/>
          <w:b/>
          <w:lang w:val="es-ES"/>
        </w:rPr>
        <w:t>392 y 454 de 2025 - Aplicación</w:t>
      </w:r>
    </w:p>
    <w:p w14:paraId="0349F05F" w14:textId="77777777" w:rsidR="00EC4560" w:rsidRDefault="00EC4560" w:rsidP="00EC4560">
      <w:pPr>
        <w:spacing w:after="0" w:line="276" w:lineRule="auto"/>
        <w:jc w:val="both"/>
        <w:rPr>
          <w:rFonts w:ascii="Verdana" w:eastAsia="Calibri" w:hAnsi="Verdana" w:cs="Arial"/>
          <w:b/>
          <w:bCs/>
          <w:sz w:val="20"/>
          <w:szCs w:val="20"/>
          <w:lang w:val="es-ES_tradnl"/>
        </w:rPr>
      </w:pPr>
    </w:p>
    <w:p w14:paraId="4697277B" w14:textId="39286DB3" w:rsidR="00EC4560" w:rsidRPr="00870E1D" w:rsidRDefault="00EC4560" w:rsidP="00EC4560">
      <w:pPr>
        <w:spacing w:after="0" w:line="240" w:lineRule="auto"/>
        <w:jc w:val="both"/>
        <w:rPr>
          <w:rFonts w:ascii="Verdana" w:eastAsia="Times New Roman" w:hAnsi="Verdana" w:cs="Times New Roman"/>
          <w:color w:val="000000"/>
          <w:sz w:val="20"/>
          <w:szCs w:val="20"/>
          <w:lang w:eastAsia="es-CO"/>
        </w:rPr>
      </w:pPr>
      <w:r w:rsidRPr="4A4DC93F">
        <w:rPr>
          <w:rFonts w:ascii="Verdana" w:eastAsia="Times New Roman" w:hAnsi="Verdana" w:cs="Times New Roman"/>
          <w:color w:val="000000" w:themeColor="text1"/>
          <w:sz w:val="20"/>
          <w:szCs w:val="20"/>
          <w:lang w:eastAsia="es-CO"/>
        </w:rPr>
        <w:t>(…) revisadas las actividades previstas en los documentos tipo de infraestructura social</w:t>
      </w:r>
      <w:r w:rsidR="58B72527" w:rsidRPr="4A4DC93F">
        <w:rPr>
          <w:rFonts w:ascii="Verdana" w:eastAsia="Times New Roman" w:hAnsi="Verdana" w:cs="Times New Roman"/>
          <w:color w:val="000000" w:themeColor="text1"/>
          <w:sz w:val="20"/>
          <w:szCs w:val="20"/>
          <w:lang w:eastAsia="es-CO"/>
        </w:rPr>
        <w:t xml:space="preserve"> vigentes</w:t>
      </w:r>
      <w:r w:rsidRPr="4A4DC93F">
        <w:rPr>
          <w:rFonts w:ascii="Verdana" w:eastAsia="Times New Roman" w:hAnsi="Verdana" w:cs="Times New Roman"/>
          <w:color w:val="000000" w:themeColor="text1"/>
          <w:sz w:val="20"/>
          <w:szCs w:val="20"/>
          <w:lang w:eastAsia="es-CO"/>
        </w:rPr>
        <w:t xml:space="preserve">, adoptados por medio de las Resoluciones </w:t>
      </w:r>
      <w:r w:rsidR="29217B5B" w:rsidRPr="4A4DC93F">
        <w:rPr>
          <w:rFonts w:ascii="Verdana" w:eastAsia="Times New Roman" w:hAnsi="Verdana" w:cs="Times New Roman"/>
          <w:color w:val="000000" w:themeColor="text1"/>
          <w:sz w:val="20"/>
          <w:szCs w:val="20"/>
          <w:lang w:eastAsia="es-CO"/>
        </w:rPr>
        <w:t xml:space="preserve">219, </w:t>
      </w:r>
      <w:r w:rsidRPr="4A4DC93F">
        <w:rPr>
          <w:rFonts w:ascii="Verdana" w:eastAsia="Times New Roman" w:hAnsi="Verdana" w:cs="Times New Roman"/>
          <w:color w:val="000000" w:themeColor="text1"/>
          <w:sz w:val="20"/>
          <w:szCs w:val="20"/>
          <w:lang w:eastAsia="es-CO"/>
        </w:rPr>
        <w:t>220, 392 у 454 de 2021, aplicables respectivamente a los  sectores educativo, salud, cultura, recreación y deporte, en la modalidad de licitación pública, se observa que, en los casos en que los servicios que se prestan en estos centros sean exclusivamente para el desarrollo de actividades administrativas, los documentos mencionados no contemplan actividades para su construcción</w:t>
      </w:r>
      <w:r w:rsidR="2BCB623B" w:rsidRPr="4A4DC93F">
        <w:rPr>
          <w:rFonts w:ascii="Verdana" w:eastAsia="Times New Roman" w:hAnsi="Verdana" w:cs="Times New Roman"/>
          <w:color w:val="000000" w:themeColor="text1"/>
          <w:sz w:val="20"/>
          <w:szCs w:val="20"/>
          <w:lang w:eastAsia="es-CO"/>
        </w:rPr>
        <w:t xml:space="preserve"> actualmente</w:t>
      </w:r>
      <w:r w:rsidRPr="4A4DC93F">
        <w:rPr>
          <w:rFonts w:ascii="Verdana" w:eastAsia="Times New Roman" w:hAnsi="Verdana" w:cs="Times New Roman"/>
          <w:color w:val="000000" w:themeColor="text1"/>
          <w:sz w:val="20"/>
          <w:szCs w:val="20"/>
          <w:lang w:eastAsia="es-CO"/>
        </w:rPr>
        <w:t>. En el mismo sentido, debe señalarse que, en el sector de infraestructura social, a la fecha, no existen documentos tipo para realizar estudios y diseños en dicho ámbito.</w:t>
      </w:r>
    </w:p>
    <w:p w14:paraId="2FD271A7" w14:textId="77777777" w:rsidR="00EC4560" w:rsidRDefault="00EC4560" w:rsidP="00EC4560">
      <w:pPr>
        <w:spacing w:after="0" w:line="276" w:lineRule="auto"/>
        <w:jc w:val="both"/>
        <w:rPr>
          <w:rFonts w:ascii="Verdana" w:eastAsia="Calibri" w:hAnsi="Verdana" w:cs="Arial"/>
          <w:b/>
          <w:bCs/>
          <w:sz w:val="20"/>
          <w:szCs w:val="20"/>
          <w:lang w:val="es-ES_tradnl"/>
        </w:rPr>
      </w:pPr>
    </w:p>
    <w:p w14:paraId="375EE797" w14:textId="1C2CABF8" w:rsidR="00EC4560" w:rsidRPr="00870E1D" w:rsidRDefault="00EC4560" w:rsidP="00EC4560">
      <w:pPr>
        <w:spacing w:after="0" w:line="240" w:lineRule="auto"/>
        <w:jc w:val="both"/>
        <w:rPr>
          <w:rFonts w:ascii="Verdana" w:eastAsia="Calibri" w:hAnsi="Verdana" w:cs="Arial"/>
          <w:b/>
          <w:lang w:val="es-ES"/>
        </w:rPr>
      </w:pPr>
      <w:r w:rsidRPr="4A4DC93F">
        <w:rPr>
          <w:rFonts w:ascii="Verdana" w:eastAsia="Calibri" w:hAnsi="Verdana" w:cs="Arial"/>
          <w:b/>
          <w:lang w:val="es-ES"/>
        </w:rPr>
        <w:t>DOCUMENTOS TIPO – Sector social – Resoluciones 539, 540 y 541 de 2025 - Aplicación</w:t>
      </w:r>
    </w:p>
    <w:p w14:paraId="4EE7501D" w14:textId="77777777" w:rsidR="00EC4560" w:rsidRDefault="00EC4560" w:rsidP="00EC4560">
      <w:pPr>
        <w:spacing w:after="0" w:line="276" w:lineRule="auto"/>
        <w:jc w:val="both"/>
        <w:rPr>
          <w:rFonts w:ascii="Verdana" w:eastAsia="Calibri" w:hAnsi="Verdana" w:cs="Arial"/>
          <w:b/>
          <w:bCs/>
          <w:sz w:val="20"/>
          <w:szCs w:val="20"/>
          <w:lang w:val="es-ES_tradnl"/>
        </w:rPr>
      </w:pPr>
    </w:p>
    <w:p w14:paraId="1AF95496" w14:textId="77777777" w:rsidR="00EC4560" w:rsidRPr="00155B13" w:rsidRDefault="00EC4560" w:rsidP="00EC4560">
      <w:pPr>
        <w:spacing w:after="0" w:line="240" w:lineRule="auto"/>
        <w:jc w:val="both"/>
        <w:rPr>
          <w:rFonts w:ascii="Verdana" w:eastAsia="Calibri" w:hAnsi="Verdana" w:cs="Arial"/>
          <w:kern w:val="2"/>
          <w:sz w:val="20"/>
          <w:szCs w:val="20"/>
          <w14:ligatures w14:val="standardContextual"/>
        </w:rPr>
      </w:pPr>
      <w:r w:rsidRPr="00155B13">
        <w:rPr>
          <w:rFonts w:ascii="Verdana" w:eastAsia="Calibri" w:hAnsi="Verdana" w:cs="Calibri"/>
          <w:sz w:val="20"/>
          <w:szCs w:val="20"/>
        </w:rPr>
        <w:t xml:space="preserve">En relación con el objeto indicado en su solicitud, en el capítulo IV de las Resoluciones </w:t>
      </w:r>
      <w:r w:rsidRPr="00155B13">
        <w:rPr>
          <w:rFonts w:ascii="Verdana" w:eastAsia="Calibri" w:hAnsi="Verdana" w:cs="Arial"/>
          <w:sz w:val="20"/>
          <w:szCs w:val="20"/>
        </w:rPr>
        <w:t xml:space="preserve">539, 540 y 541 del 21 de agosto de 2025, se acogieron los documentos tipo complementarios del sector institucional, en las modalidades de licitación pública, selección abreviada de menor cuantía y mínima cuantía. </w:t>
      </w:r>
    </w:p>
    <w:p w14:paraId="6A2EAF1E" w14:textId="77777777" w:rsidR="00EC4560" w:rsidRPr="00155B13" w:rsidRDefault="00EC4560" w:rsidP="00EC4560">
      <w:pPr>
        <w:spacing w:after="0" w:line="240" w:lineRule="auto"/>
        <w:jc w:val="both"/>
        <w:rPr>
          <w:rFonts w:ascii="Verdana" w:eastAsia="Times New Roman" w:hAnsi="Verdana" w:cs="Times New Roman"/>
          <w:color w:val="000000"/>
          <w:sz w:val="20"/>
          <w:szCs w:val="20"/>
          <w:lang w:eastAsia="es-CO"/>
        </w:rPr>
      </w:pPr>
    </w:p>
    <w:p w14:paraId="1C010DAF" w14:textId="77777777" w:rsidR="00EC4560" w:rsidRPr="00155B13" w:rsidRDefault="00EC4560" w:rsidP="00EC4560">
      <w:pPr>
        <w:spacing w:after="0" w:line="240" w:lineRule="auto"/>
        <w:jc w:val="both"/>
        <w:rPr>
          <w:rFonts w:ascii="Verdana" w:eastAsia="Calibri" w:hAnsi="Verdana" w:cs="Arial"/>
          <w:kern w:val="2"/>
          <w:sz w:val="20"/>
          <w:szCs w:val="20"/>
          <w14:ligatures w14:val="standardContextual"/>
        </w:rPr>
      </w:pPr>
      <w:r w:rsidRPr="00155B13">
        <w:rPr>
          <w:rFonts w:ascii="Verdana" w:eastAsia="Calibri" w:hAnsi="Verdana" w:cs="Arial"/>
          <w:sz w:val="20"/>
          <w:szCs w:val="20"/>
        </w:rPr>
        <w:t>(…)</w:t>
      </w:r>
    </w:p>
    <w:p w14:paraId="6F76A8BF" w14:textId="77777777" w:rsidR="00EC4560" w:rsidRPr="00155B13" w:rsidRDefault="00EC4560" w:rsidP="00EC4560">
      <w:pPr>
        <w:spacing w:after="0" w:line="240" w:lineRule="auto"/>
        <w:jc w:val="both"/>
        <w:rPr>
          <w:rFonts w:ascii="Verdana" w:eastAsia="Calibri" w:hAnsi="Verdana" w:cs="Arial"/>
          <w:kern w:val="2"/>
          <w:sz w:val="20"/>
          <w:szCs w:val="20"/>
          <w14:ligatures w14:val="standardContextual"/>
        </w:rPr>
      </w:pPr>
    </w:p>
    <w:p w14:paraId="36348DBD" w14:textId="3B98C696" w:rsidR="00EC4560" w:rsidRPr="00155B13" w:rsidRDefault="00EC4560" w:rsidP="00EC4560">
      <w:pPr>
        <w:spacing w:after="0" w:line="240" w:lineRule="auto"/>
        <w:jc w:val="both"/>
        <w:rPr>
          <w:rFonts w:ascii="Verdana" w:eastAsia="Calibri" w:hAnsi="Verdana" w:cs="Arial"/>
          <w:kern w:val="2"/>
          <w:sz w:val="20"/>
          <w:szCs w:val="20"/>
          <w14:ligatures w14:val="standardContextual"/>
        </w:rPr>
      </w:pPr>
      <w:r w:rsidRPr="00155B13">
        <w:rPr>
          <w:rFonts w:ascii="Verdana" w:eastAsia="Calibri" w:hAnsi="Verdana" w:cs="Arial"/>
          <w:sz w:val="20"/>
          <w:szCs w:val="20"/>
        </w:rPr>
        <w:t xml:space="preserve">En estos documentos tipo del sector de infraestructura institucional, </w:t>
      </w:r>
      <w:r w:rsidR="4467BD16" w:rsidRPr="4A4DC93F">
        <w:rPr>
          <w:rFonts w:ascii="Verdana" w:eastAsia="Calibri" w:hAnsi="Verdana" w:cs="Arial"/>
          <w:sz w:val="20"/>
          <w:szCs w:val="20"/>
        </w:rPr>
        <w:t>se enmarca</w:t>
      </w:r>
      <w:r w:rsidRPr="00155B13">
        <w:rPr>
          <w:rFonts w:ascii="Verdana" w:eastAsia="Calibri" w:hAnsi="Verdana" w:cs="Arial"/>
          <w:sz w:val="20"/>
          <w:szCs w:val="20"/>
        </w:rPr>
        <w:t xml:space="preserve"> el objeto del proceso por el que se indaga, esto es, la construcción de un centro de administración municipal. No obstante, tal como se señaló, los documentos tipo indicados, aplicaran a las modalidades y sectores mencionados, en los procesos de selección cuyo aviso de convocatoria se publique a partir del 16 de febrero de 2026.</w:t>
      </w:r>
    </w:p>
    <w:p w14:paraId="192E6A26" w14:textId="77777777" w:rsidR="00EC4560" w:rsidRDefault="00EC4560" w:rsidP="00EC4560">
      <w:pPr>
        <w:spacing w:after="0" w:line="276" w:lineRule="auto"/>
        <w:jc w:val="both"/>
        <w:rPr>
          <w:rFonts w:ascii="Verdana" w:eastAsia="Calibri" w:hAnsi="Verdana" w:cs="Arial"/>
          <w:kern w:val="2"/>
          <w:sz w:val="24"/>
          <w:szCs w:val="24"/>
          <w14:ligatures w14:val="standardContextual"/>
        </w:rPr>
      </w:pPr>
    </w:p>
    <w:p w14:paraId="24AAE928" w14:textId="77777777" w:rsidR="00EC4560" w:rsidRPr="00F56EBC" w:rsidRDefault="00EC4560" w:rsidP="00EC4560">
      <w:pPr>
        <w:tabs>
          <w:tab w:val="left" w:pos="0"/>
        </w:tabs>
        <w:spacing w:after="0" w:line="240" w:lineRule="auto"/>
        <w:ind w:left="11"/>
        <w:jc w:val="both"/>
        <w:rPr>
          <w:rFonts w:ascii="Verdana" w:eastAsia="Arial" w:hAnsi="Verdana" w:cs="Arial"/>
          <w:b/>
          <w:lang w:val="es-ES"/>
        </w:rPr>
      </w:pPr>
      <w:r w:rsidRPr="00F56EBC">
        <w:rPr>
          <w:rFonts w:ascii="Verdana" w:eastAsia="Arial" w:hAnsi="Verdana" w:cs="Arial"/>
          <w:b/>
          <w:lang w:val="es-ES"/>
        </w:rPr>
        <w:t>EXPERIENCIA ADICIONAL − Bienes obras y servicios adicionales a la obra pública – Infraestructura de social</w:t>
      </w:r>
    </w:p>
    <w:p w14:paraId="4BBF6398" w14:textId="77777777" w:rsidR="00EC4560" w:rsidRPr="00AC0A48" w:rsidRDefault="00EC4560" w:rsidP="00EC4560">
      <w:pPr>
        <w:spacing w:after="0" w:line="276" w:lineRule="auto"/>
        <w:jc w:val="both"/>
        <w:rPr>
          <w:rFonts w:ascii="Verdana" w:eastAsia="Aptos" w:hAnsi="Verdana" w:cs="Times New Roman"/>
        </w:rPr>
      </w:pPr>
    </w:p>
    <w:p w14:paraId="085CA3AD" w14:textId="77777777" w:rsidR="00EC4560" w:rsidRPr="00AC0A48" w:rsidRDefault="00EC4560" w:rsidP="00EC4560">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(C)</w:t>
      </w:r>
      <w:proofErr w:type="spellStart"/>
      <w:r w:rsidRPr="00AC0A48">
        <w:rPr>
          <w:rFonts w:ascii="Verdana" w:eastAsia="Aptos" w:hAnsi="Verdana" w:cs="Times New Roman"/>
          <w:sz w:val="20"/>
          <w:szCs w:val="20"/>
        </w:rPr>
        <w:t>uando</w:t>
      </w:r>
      <w:proofErr w:type="spellEnd"/>
      <w:r w:rsidRPr="00AC0A48">
        <w:rPr>
          <w:rFonts w:ascii="Verdana" w:eastAsia="Aptos" w:hAnsi="Verdana" w:cs="Times New Roman"/>
          <w:sz w:val="20"/>
          <w:szCs w:val="20"/>
        </w:rPr>
        <w:t xml:space="preserve"> la entidad requiere bienes y servicios que no se encuentran incluidos como obra de infraestructura social en la “Matriz – Experiencia” y considera necesario exigir experiencia adicional, se debe aplicar el artículo 4 de la Resolución No. 219 de 2021. Esta norma dispone los eventos en los que el objeto contractual incluye bienes o servicios </w:t>
      </w:r>
      <w:r w:rsidRPr="00AC0A48">
        <w:rPr>
          <w:rFonts w:ascii="Verdana" w:eastAsia="Aptos" w:hAnsi="Verdana" w:cs="Times New Roman"/>
          <w:sz w:val="20"/>
          <w:szCs w:val="20"/>
        </w:rPr>
        <w:lastRenderedPageBreak/>
        <w:t>adicionales a la obra pública de infraestructura social. En este caso, la entidad puede incluir experiencia adicional para evaluar la idoneidad respecto de los bienes o servicios ajenos a la obra pública de infraestructura social.</w:t>
      </w:r>
    </w:p>
    <w:p w14:paraId="64FFD513" w14:textId="77777777" w:rsidR="00EC4560" w:rsidRPr="00AC0A48" w:rsidRDefault="00EC4560" w:rsidP="00EC4560">
      <w:pPr>
        <w:spacing w:after="0" w:line="240" w:lineRule="auto"/>
        <w:jc w:val="both"/>
        <w:rPr>
          <w:rFonts w:ascii="Verdana" w:eastAsia="Aptos" w:hAnsi="Verdana" w:cs="Times New Roman"/>
          <w:sz w:val="20"/>
          <w:szCs w:val="20"/>
        </w:rPr>
      </w:pPr>
    </w:p>
    <w:p w14:paraId="459E20B4" w14:textId="77777777" w:rsidR="00EC4560" w:rsidRPr="00AC0A48" w:rsidRDefault="00EC4560" w:rsidP="00EC4560">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AC0A48">
        <w:rPr>
          <w:rFonts w:ascii="Verdana" w:eastAsia="Aptos" w:hAnsi="Verdana" w:cs="Times New Roman"/>
          <w:sz w:val="20"/>
          <w:szCs w:val="20"/>
        </w:rPr>
        <w:t>ii</w:t>
      </w:r>
      <w:proofErr w:type="spellEnd"/>
      <w:r w:rsidRPr="00AC0A48">
        <w:rPr>
          <w:rFonts w:ascii="Verdana" w:eastAsia="Aptos" w:hAnsi="Verdana" w:cs="Times New Roman"/>
          <w:sz w:val="20"/>
          <w:szCs w:val="20"/>
        </w:rPr>
        <w:t xml:space="preserve">) conservar los requisitos exigidos en los documentos tipo, </w:t>
      </w:r>
      <w:proofErr w:type="spellStart"/>
      <w:r w:rsidRPr="00AC0A48">
        <w:rPr>
          <w:rFonts w:ascii="Verdana" w:eastAsia="Aptos" w:hAnsi="Verdana" w:cs="Times New Roman"/>
          <w:sz w:val="20"/>
          <w:szCs w:val="20"/>
        </w:rPr>
        <w:t>iii</w:t>
      </w:r>
      <w:proofErr w:type="spellEnd"/>
      <w:r w:rsidRPr="00AC0A48">
        <w:rPr>
          <w:rFonts w:ascii="Verdana" w:eastAsia="Aptos" w:hAnsi="Verdana" w:cs="Times New Roman"/>
          <w:sz w:val="20"/>
          <w:szCs w:val="20"/>
        </w:rPr>
        <w:t xml:space="preserve">) abstenerse de pedir experiencia exclusiva con entidades de cualquier naturaleza, experiencia previa en un territorio específico, limitada en el tiempo o que incluya volúmenes o cantidades de obra específica, </w:t>
      </w:r>
      <w:proofErr w:type="spellStart"/>
      <w:r w:rsidRPr="00AC0A48">
        <w:rPr>
          <w:rFonts w:ascii="Verdana" w:eastAsia="Aptos" w:hAnsi="Verdana" w:cs="Times New Roman"/>
          <w:sz w:val="20"/>
          <w:szCs w:val="20"/>
        </w:rPr>
        <w:t>iv</w:t>
      </w:r>
      <w:proofErr w:type="spellEnd"/>
      <w:r w:rsidRPr="00AC0A48">
        <w:rPr>
          <w:rFonts w:ascii="Verdana" w:eastAsia="Aptos" w:hAnsi="Verdana" w:cs="Times New Roman"/>
          <w:sz w:val="20"/>
          <w:szCs w:val="20"/>
        </w:rPr>
        <w:t>) clasificar la experiencia requerida solo hasta el tercer nivel del clasificador de bienes y servicios e incluir exclusivamente los códigos que estén relacionados directamente con el objeto a contratar.</w:t>
      </w:r>
    </w:p>
    <w:p w14:paraId="5E597B52" w14:textId="77777777" w:rsidR="00EC4560" w:rsidRPr="00AC0A48" w:rsidRDefault="00EC4560" w:rsidP="00EC4560">
      <w:pPr>
        <w:spacing w:after="0" w:line="240" w:lineRule="auto"/>
        <w:jc w:val="both"/>
        <w:rPr>
          <w:rFonts w:ascii="Verdana" w:eastAsia="Aptos" w:hAnsi="Verdana" w:cs="Times New Roman"/>
          <w:sz w:val="20"/>
          <w:szCs w:val="20"/>
        </w:rPr>
      </w:pPr>
    </w:p>
    <w:p w14:paraId="29DCE224" w14:textId="77777777" w:rsidR="00EC4560" w:rsidRPr="00F56EBC" w:rsidRDefault="00EC4560" w:rsidP="00EC4560">
      <w:pPr>
        <w:spacing w:after="0" w:line="240" w:lineRule="auto"/>
        <w:jc w:val="both"/>
        <w:rPr>
          <w:rFonts w:ascii="Verdana" w:eastAsia="Calibri" w:hAnsi="Verdana" w:cs="Arial"/>
          <w:color w:val="000000"/>
          <w:kern w:val="2"/>
          <w:sz w:val="20"/>
          <w:szCs w:val="20"/>
          <w:lang w:val="es-MX" w:eastAsia="es-MX"/>
          <w14:ligatures w14:val="standardContextual"/>
        </w:rPr>
      </w:pPr>
      <w:r w:rsidRPr="00AC0A48">
        <w:rPr>
          <w:rFonts w:ascii="Verdana" w:eastAsia="Aptos" w:hAnsi="Verdana" w:cs="Times New Roman"/>
          <w:sz w:val="20"/>
          <w:szCs w:val="20"/>
        </w:rPr>
        <w:t>Por consiguiente, 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Al respecto el documento señala lo siguiente (…)</w:t>
      </w:r>
    </w:p>
    <w:p w14:paraId="19DC4164" w14:textId="77777777" w:rsidR="00EC4560" w:rsidRDefault="00EC4560" w:rsidP="00EC4560">
      <w:pPr>
        <w:spacing w:after="0" w:line="276" w:lineRule="auto"/>
        <w:jc w:val="both"/>
        <w:rPr>
          <w:rFonts w:ascii="Verdana" w:eastAsia="Calibri" w:hAnsi="Verdana" w:cs="Arial"/>
        </w:rPr>
      </w:pPr>
    </w:p>
    <w:p w14:paraId="31C569A7" w14:textId="77777777" w:rsidR="00EC4560" w:rsidRPr="00155B13" w:rsidRDefault="00EC4560" w:rsidP="00EC4560">
      <w:pPr>
        <w:spacing w:after="0" w:line="240" w:lineRule="auto"/>
        <w:rPr>
          <w:rFonts w:ascii="Verdana" w:hAnsi="Verdana" w:cs="Arial"/>
          <w:b/>
          <w:bCs/>
          <w:lang w:val="es-ES" w:eastAsia="es-ES"/>
        </w:rPr>
      </w:pPr>
      <w:r w:rsidRPr="00155B13">
        <w:rPr>
          <w:rFonts w:ascii="Verdana" w:hAnsi="Verdana" w:cs="Arial"/>
          <w:b/>
          <w:bCs/>
          <w:lang w:val="es-ES" w:eastAsia="es-ES"/>
        </w:rPr>
        <w:t xml:space="preserve">CONTRATO DE OBRA – Modalidad de Llave en mano – Concepto </w:t>
      </w:r>
    </w:p>
    <w:p w14:paraId="7D72FAB7" w14:textId="77777777" w:rsidR="00EC4560" w:rsidRDefault="00EC4560" w:rsidP="00EC4560">
      <w:pPr>
        <w:spacing w:after="0" w:line="240" w:lineRule="auto"/>
        <w:rPr>
          <w:rFonts w:ascii="Verdana" w:hAnsi="Verdana" w:cs="Arial"/>
          <w:b/>
          <w:bCs/>
          <w:lang w:val="es-ES" w:eastAsia="es-ES"/>
        </w:rPr>
      </w:pPr>
    </w:p>
    <w:p w14:paraId="3F093086" w14:textId="77777777" w:rsidR="00EC4560" w:rsidRPr="00870E1D" w:rsidRDefault="00EC4560" w:rsidP="00EC4560">
      <w:pPr>
        <w:spacing w:after="0" w:line="240" w:lineRule="auto"/>
        <w:jc w:val="both"/>
        <w:rPr>
          <w:rFonts w:ascii="Verdana" w:hAnsi="Verdana" w:cs="Arial"/>
          <w:bCs/>
          <w:sz w:val="20"/>
          <w:szCs w:val="20"/>
          <w:lang w:eastAsia="es-ES"/>
        </w:rPr>
      </w:pPr>
      <w:r w:rsidRPr="00870E1D">
        <w:rPr>
          <w:rFonts w:ascii="Verdana" w:hAnsi="Verdana" w:cs="Arial"/>
          <w:bCs/>
          <w:sz w:val="20"/>
          <w:szCs w:val="20"/>
          <w:lang w:val="es-ES_tradnl" w:eastAsia="es-ES"/>
        </w:rPr>
        <w:t xml:space="preserve">En torno al Contrato de Obra bajo la modalidad Llave en mano consiste en que </w:t>
      </w:r>
      <w:r w:rsidRPr="00870E1D">
        <w:rPr>
          <w:rFonts w:ascii="Verdana" w:hAnsi="Verdana" w:cs="Arial"/>
          <w:bCs/>
          <w:sz w:val="20"/>
          <w:szCs w:val="20"/>
          <w:lang w:eastAsia="es-ES"/>
        </w:rPr>
        <w:t xml:space="preserve">el contratista se obliga a ejecutar la obra desde la fase inicial de diseño y hasta la puesta en marcha, que también puede denominarse contrato de </w:t>
      </w:r>
      <w:proofErr w:type="spellStart"/>
      <w:r w:rsidRPr="00870E1D">
        <w:rPr>
          <w:rFonts w:ascii="Verdana" w:hAnsi="Verdana" w:cs="Arial"/>
          <w:bCs/>
          <w:sz w:val="20"/>
          <w:szCs w:val="20"/>
          <w:lang w:eastAsia="es-ES"/>
        </w:rPr>
        <w:t>Engineering</w:t>
      </w:r>
      <w:proofErr w:type="spellEnd"/>
      <w:r w:rsidRPr="00870E1D">
        <w:rPr>
          <w:rFonts w:ascii="Verdana" w:hAnsi="Verdana" w:cs="Arial"/>
          <w:bCs/>
          <w:sz w:val="20"/>
          <w:szCs w:val="20"/>
          <w:lang w:eastAsia="es-ES"/>
        </w:rPr>
        <w:t xml:space="preserve">, </w:t>
      </w:r>
      <w:proofErr w:type="spellStart"/>
      <w:r w:rsidRPr="00870E1D">
        <w:rPr>
          <w:rFonts w:ascii="Verdana" w:hAnsi="Verdana" w:cs="Arial"/>
          <w:bCs/>
          <w:sz w:val="20"/>
          <w:szCs w:val="20"/>
          <w:lang w:eastAsia="es-ES"/>
        </w:rPr>
        <w:t>Procurement</w:t>
      </w:r>
      <w:proofErr w:type="spellEnd"/>
      <w:r w:rsidRPr="00870E1D">
        <w:rPr>
          <w:rFonts w:ascii="Verdana" w:hAnsi="Verdana" w:cs="Arial"/>
          <w:bCs/>
          <w:sz w:val="20"/>
          <w:szCs w:val="20"/>
          <w:lang w:eastAsia="es-ES"/>
        </w:rPr>
        <w:t xml:space="preserve"> and </w:t>
      </w:r>
      <w:proofErr w:type="spellStart"/>
      <w:r w:rsidRPr="00870E1D">
        <w:rPr>
          <w:rFonts w:ascii="Verdana" w:hAnsi="Verdana" w:cs="Arial"/>
          <w:bCs/>
          <w:sz w:val="20"/>
          <w:szCs w:val="20"/>
          <w:lang w:eastAsia="es-ES"/>
        </w:rPr>
        <w:t>Construction</w:t>
      </w:r>
      <w:proofErr w:type="spellEnd"/>
      <w:r w:rsidRPr="00870E1D">
        <w:rPr>
          <w:rFonts w:ascii="Verdana" w:hAnsi="Verdana" w:cs="Arial"/>
          <w:bCs/>
          <w:sz w:val="20"/>
          <w:szCs w:val="20"/>
          <w:lang w:eastAsia="es-ES"/>
        </w:rPr>
        <w:t xml:space="preserve"> –EPC–. Estos contratos “[...] están concebidos para su utilización en grandes proyectos, en los cuales la certidumbre sobre el precio final y sobre el plazo de terminación de la obra es esencial, en la medida en que suelen ser elementos clave para la obtención de financiación de los proyectos”. En efecto, según la “Guía para Procesos de Contratación de Obra Pública” expedida por la Agencia, esta es una modalidad en la cual “el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 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 entrega”.</w:t>
      </w:r>
    </w:p>
    <w:p w14:paraId="5E9749B0" w14:textId="77777777" w:rsidR="00EC4560" w:rsidRDefault="00EC4560" w:rsidP="00EC4560">
      <w:pPr>
        <w:spacing w:after="0" w:line="240" w:lineRule="auto"/>
        <w:rPr>
          <w:rFonts w:ascii="Verdana" w:eastAsia="Calibri" w:hAnsi="Verdana" w:cs="Arial"/>
          <w:b/>
          <w:color w:val="000000"/>
          <w:highlight w:val="yellow"/>
          <w:lang w:eastAsia="es-ES_tradnl"/>
        </w:rPr>
      </w:pPr>
    </w:p>
    <w:p w14:paraId="6CF2C9F0" w14:textId="77777777" w:rsidR="00EC4560" w:rsidRPr="00F56EBC" w:rsidRDefault="00EC4560" w:rsidP="00EC4560">
      <w:pPr>
        <w:spacing w:after="0" w:line="240" w:lineRule="auto"/>
        <w:jc w:val="both"/>
        <w:rPr>
          <w:rFonts w:ascii="Verdana" w:eastAsia="Calibri" w:hAnsi="Verdana" w:cs="Arial"/>
          <w:b/>
          <w:color w:val="000000"/>
          <w:lang w:eastAsia="es-ES_tradnl"/>
        </w:rPr>
      </w:pPr>
      <w:r w:rsidRPr="00F56EBC">
        <w:rPr>
          <w:rFonts w:ascii="Verdana" w:eastAsia="Calibri" w:hAnsi="Verdana" w:cs="Arial"/>
          <w:b/>
          <w:color w:val="000000"/>
          <w:lang w:eastAsia="es-ES_tradnl"/>
        </w:rPr>
        <w:lastRenderedPageBreak/>
        <w:t>ANTICIPO – PAGO ANTICIPADO – Aplicación – Contratos – Llave en mano</w:t>
      </w:r>
    </w:p>
    <w:p w14:paraId="3939F6B2" w14:textId="77777777" w:rsidR="00EC4560" w:rsidRDefault="00EC4560" w:rsidP="00EC4560">
      <w:pPr>
        <w:spacing w:after="0" w:line="240" w:lineRule="auto"/>
        <w:rPr>
          <w:rFonts w:ascii="Verdana" w:eastAsia="Geomanist Light" w:hAnsi="Verdana" w:cs="Arial"/>
          <w:lang w:val="es-MX"/>
        </w:rPr>
      </w:pPr>
    </w:p>
    <w:p w14:paraId="7FB9E3E6" w14:textId="77777777" w:rsidR="00EC4560" w:rsidRPr="00F56EBC" w:rsidRDefault="00EC4560" w:rsidP="00EC4560">
      <w:pPr>
        <w:spacing w:after="0" w:line="240" w:lineRule="auto"/>
        <w:jc w:val="both"/>
        <w:rPr>
          <w:rFonts w:ascii="Verdana" w:eastAsia="Calibri" w:hAnsi="Verdana" w:cs="Arial"/>
          <w:sz w:val="20"/>
          <w:szCs w:val="20"/>
          <w:lang w:val="es-ES"/>
        </w:rPr>
      </w:pPr>
      <w:r w:rsidRPr="00F56EBC">
        <w:rPr>
          <w:rFonts w:ascii="Verdana" w:eastAsia="Calibri" w:hAnsi="Verdana" w:cs="Arial"/>
          <w:sz w:val="20"/>
          <w:szCs w:val="20"/>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1968FB93" w14:textId="77777777" w:rsidR="00EC4560" w:rsidRPr="00F56EBC" w:rsidRDefault="00EC4560" w:rsidP="00EC4560">
      <w:pPr>
        <w:widowControl w:val="0"/>
        <w:autoSpaceDE w:val="0"/>
        <w:autoSpaceDN w:val="0"/>
        <w:spacing w:after="0" w:line="240" w:lineRule="auto"/>
        <w:jc w:val="both"/>
        <w:rPr>
          <w:rFonts w:ascii="Verdana" w:eastAsia="Calibri" w:hAnsi="Verdana" w:cs="Arial"/>
          <w:color w:val="000000"/>
          <w:kern w:val="2"/>
          <w:sz w:val="20"/>
          <w:szCs w:val="20"/>
          <w:lang w:eastAsia="es-ES"/>
          <w14:ligatures w14:val="standardContextual"/>
        </w:rPr>
      </w:pPr>
    </w:p>
    <w:p w14:paraId="6B87E408" w14:textId="77777777" w:rsidR="00EC4560" w:rsidRPr="00F56EBC" w:rsidRDefault="00EC4560" w:rsidP="00EC4560">
      <w:pPr>
        <w:widowControl w:val="0"/>
        <w:autoSpaceDE w:val="0"/>
        <w:autoSpaceDN w:val="0"/>
        <w:spacing w:after="0" w:line="240" w:lineRule="auto"/>
        <w:jc w:val="both"/>
        <w:rPr>
          <w:rFonts w:ascii="Verdana" w:eastAsia="Calibri" w:hAnsi="Verdana" w:cs="Arial"/>
          <w:color w:val="000000"/>
          <w:kern w:val="2"/>
          <w:sz w:val="20"/>
          <w:szCs w:val="20"/>
          <w:lang w:eastAsia="es-ES"/>
          <w14:ligatures w14:val="standardContextual"/>
        </w:rPr>
      </w:pPr>
      <w:r w:rsidRPr="00F56EBC">
        <w:rPr>
          <w:rFonts w:ascii="Verdana" w:eastAsia="Calibri" w:hAnsi="Verdana" w:cs="Arial"/>
          <w:color w:val="000000"/>
          <w:sz w:val="20"/>
          <w:szCs w:val="20"/>
          <w:lang w:eastAsia="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-como serían los contratos llave en mano- o la modalidad de selección del contratista.</w:t>
      </w:r>
    </w:p>
    <w:p w14:paraId="5743F87F" w14:textId="77777777" w:rsidR="00EC4560" w:rsidRPr="00F56EBC" w:rsidRDefault="00EC4560" w:rsidP="00EC4560">
      <w:pPr>
        <w:widowControl w:val="0"/>
        <w:autoSpaceDE w:val="0"/>
        <w:autoSpaceDN w:val="0"/>
        <w:spacing w:after="0" w:line="240" w:lineRule="auto"/>
        <w:jc w:val="both"/>
        <w:rPr>
          <w:rFonts w:ascii="Verdana" w:eastAsia="Calibri" w:hAnsi="Verdana" w:cs="Arial"/>
          <w:color w:val="000000"/>
          <w:kern w:val="2"/>
          <w:sz w:val="20"/>
          <w:szCs w:val="20"/>
          <w:lang w:eastAsia="es-ES"/>
          <w14:ligatures w14:val="standardContextual"/>
        </w:rPr>
      </w:pPr>
    </w:p>
    <w:p w14:paraId="65A1080F" w14:textId="77777777" w:rsidR="00EC4560" w:rsidRPr="00F56EBC" w:rsidRDefault="00EC4560" w:rsidP="00EC4560">
      <w:pPr>
        <w:widowControl w:val="0"/>
        <w:autoSpaceDE w:val="0"/>
        <w:autoSpaceDN w:val="0"/>
        <w:spacing w:after="0" w:line="240" w:lineRule="auto"/>
        <w:jc w:val="both"/>
        <w:rPr>
          <w:rFonts w:ascii="Verdana" w:eastAsia="Calibri" w:hAnsi="Verdana" w:cs="Arial"/>
          <w:color w:val="000000"/>
          <w:kern w:val="2"/>
          <w:sz w:val="20"/>
          <w:szCs w:val="20"/>
          <w:lang w:eastAsia="es-ES"/>
          <w14:ligatures w14:val="standardContextual"/>
        </w:rPr>
      </w:pPr>
      <w:r w:rsidRPr="00F56EBC">
        <w:rPr>
          <w:rFonts w:ascii="Verdana" w:eastAsia="Calibri" w:hAnsi="Verdana" w:cs="Arial"/>
          <w:color w:val="000000"/>
          <w:sz w:val="20"/>
          <w:szCs w:val="20"/>
          <w:lang w:eastAsia="es-ES"/>
        </w:rPr>
        <w:t>(…)</w:t>
      </w:r>
    </w:p>
    <w:p w14:paraId="6DBF252D" w14:textId="77777777" w:rsidR="00EC4560" w:rsidRPr="00F56EBC" w:rsidRDefault="00EC4560" w:rsidP="00EC4560">
      <w:pPr>
        <w:widowControl w:val="0"/>
        <w:autoSpaceDE w:val="0"/>
        <w:autoSpaceDN w:val="0"/>
        <w:spacing w:after="0" w:line="240" w:lineRule="auto"/>
        <w:jc w:val="both"/>
        <w:rPr>
          <w:rFonts w:ascii="Verdana" w:eastAsia="Calibri" w:hAnsi="Verdana" w:cs="Arial"/>
          <w:color w:val="000000"/>
          <w:sz w:val="20"/>
          <w:szCs w:val="20"/>
          <w:lang w:eastAsia="es-ES"/>
        </w:rPr>
      </w:pPr>
    </w:p>
    <w:p w14:paraId="5902279B" w14:textId="77777777" w:rsidR="00EC4560" w:rsidRPr="00F56EBC" w:rsidRDefault="00EC4560" w:rsidP="00EC4560">
      <w:pPr>
        <w:spacing w:after="0" w:line="240" w:lineRule="auto"/>
        <w:jc w:val="both"/>
        <w:rPr>
          <w:rFonts w:ascii="Verdana" w:eastAsia="Geomanist Light" w:hAnsi="Verdana" w:cs="Arial"/>
          <w:sz w:val="20"/>
          <w:szCs w:val="20"/>
          <w:lang w:val="es-MX"/>
        </w:rPr>
      </w:pPr>
      <w:r w:rsidRPr="00F56EBC">
        <w:rPr>
          <w:rFonts w:ascii="Verdana" w:eastAsia="Calibri" w:hAnsi="Verdana" w:cs="Arial"/>
          <w:color w:val="000000"/>
          <w:sz w:val="20"/>
          <w:szCs w:val="20"/>
          <w:lang w:eastAsia="es-ES"/>
        </w:rPr>
        <w:t>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w:t>
      </w:r>
    </w:p>
    <w:p w14:paraId="42B653AE" w14:textId="77777777" w:rsidR="00EC4560" w:rsidRPr="001D1DF1" w:rsidRDefault="00EC4560" w:rsidP="00EC4560">
      <w:pPr>
        <w:spacing w:after="0" w:line="240" w:lineRule="auto"/>
        <w:rPr>
          <w:rFonts w:ascii="Verdana" w:eastAsia="Geomanist Light" w:hAnsi="Verdana" w:cs="Arial"/>
          <w:lang w:val="es-MX"/>
        </w:rPr>
      </w:pPr>
    </w:p>
    <w:p w14:paraId="67B5030A" w14:textId="77777777" w:rsidR="00EC4560" w:rsidRDefault="00EC4560" w:rsidP="00EC4560">
      <w:pPr>
        <w:spacing w:after="0" w:line="240" w:lineRule="auto"/>
        <w:rPr>
          <w:rFonts w:ascii="Verdana" w:eastAsia="Geomanist Light" w:hAnsi="Verdana" w:cs="Arial"/>
          <w:lang w:val="es-MX"/>
        </w:rPr>
      </w:pPr>
    </w:p>
    <w:p w14:paraId="264285C1" w14:textId="77777777" w:rsidR="00EC4560" w:rsidRDefault="00EC4560" w:rsidP="00EC4560">
      <w:pPr>
        <w:spacing w:after="0" w:line="240" w:lineRule="auto"/>
        <w:rPr>
          <w:rFonts w:ascii="Verdana" w:eastAsia="Geomanist Light" w:hAnsi="Verdana" w:cs="Arial"/>
          <w:lang w:val="es-MX"/>
        </w:rPr>
      </w:pPr>
    </w:p>
    <w:p w14:paraId="6111FEE6" w14:textId="77777777" w:rsidR="00EC4560" w:rsidRDefault="00EC4560" w:rsidP="00EC4560">
      <w:pPr>
        <w:spacing w:after="0" w:line="240" w:lineRule="auto"/>
        <w:rPr>
          <w:rFonts w:ascii="Verdana" w:eastAsia="Geomanist Light" w:hAnsi="Verdana" w:cs="Arial"/>
          <w:lang w:val="es-MX"/>
        </w:rPr>
      </w:pPr>
    </w:p>
    <w:p w14:paraId="0A6CA9D4" w14:textId="77777777" w:rsidR="00EC4560" w:rsidRDefault="00EC4560" w:rsidP="00EC4560">
      <w:pPr>
        <w:spacing w:after="0" w:line="240" w:lineRule="auto"/>
        <w:rPr>
          <w:rFonts w:ascii="Verdana" w:eastAsia="Geomanist Light" w:hAnsi="Verdana" w:cs="Arial"/>
          <w:lang w:val="es-MX"/>
        </w:rPr>
      </w:pPr>
    </w:p>
    <w:p w14:paraId="05BBEF8E" w14:textId="77777777" w:rsidR="00EC4560" w:rsidRDefault="00EC4560" w:rsidP="00EC4560">
      <w:pPr>
        <w:spacing w:after="0" w:line="240" w:lineRule="auto"/>
        <w:rPr>
          <w:rFonts w:ascii="Verdana" w:eastAsia="Geomanist Light" w:hAnsi="Verdana" w:cs="Arial"/>
          <w:lang w:val="es-MX"/>
        </w:rPr>
      </w:pPr>
    </w:p>
    <w:p w14:paraId="15E1BD48" w14:textId="77777777" w:rsidR="00EC4560" w:rsidRDefault="00EC4560" w:rsidP="00EC4560">
      <w:pPr>
        <w:spacing w:after="0" w:line="240" w:lineRule="auto"/>
        <w:rPr>
          <w:rFonts w:ascii="Verdana" w:eastAsia="Geomanist Light" w:hAnsi="Verdana" w:cs="Arial"/>
          <w:lang w:val="es-MX"/>
        </w:rPr>
      </w:pPr>
    </w:p>
    <w:p w14:paraId="10272A75" w14:textId="77777777" w:rsidR="00EC4560" w:rsidRDefault="00EC4560" w:rsidP="00EC4560">
      <w:pPr>
        <w:spacing w:after="0" w:line="240" w:lineRule="auto"/>
        <w:rPr>
          <w:rFonts w:ascii="Verdana" w:eastAsia="Geomanist Light" w:hAnsi="Verdana" w:cs="Arial"/>
          <w:lang w:val="es-MX"/>
        </w:rPr>
      </w:pPr>
    </w:p>
    <w:p w14:paraId="49947FED" w14:textId="77777777" w:rsidR="00EC4560" w:rsidRDefault="00EC4560" w:rsidP="00EC4560">
      <w:pPr>
        <w:spacing w:after="0" w:line="240" w:lineRule="auto"/>
        <w:rPr>
          <w:rFonts w:ascii="Verdana" w:eastAsia="Geomanist Light" w:hAnsi="Verdana" w:cs="Arial"/>
          <w:lang w:val="es-MX"/>
        </w:rPr>
      </w:pPr>
    </w:p>
    <w:p w14:paraId="60FC947E" w14:textId="77777777" w:rsidR="00EC4560" w:rsidRDefault="00EC4560" w:rsidP="00EC4560">
      <w:pPr>
        <w:spacing w:after="0" w:line="240" w:lineRule="auto"/>
        <w:rPr>
          <w:rFonts w:ascii="Verdana" w:eastAsia="Geomanist Light" w:hAnsi="Verdana" w:cs="Arial"/>
          <w:lang w:val="es-MX"/>
        </w:rPr>
      </w:pPr>
    </w:p>
    <w:p w14:paraId="54D9871B" w14:textId="77777777" w:rsidR="00EC4560" w:rsidRDefault="00EC4560" w:rsidP="00EC4560">
      <w:pPr>
        <w:spacing w:after="0" w:line="240" w:lineRule="auto"/>
        <w:rPr>
          <w:rFonts w:ascii="Verdana" w:eastAsia="Geomanist Light" w:hAnsi="Verdana" w:cs="Arial"/>
          <w:lang w:val="es-MX"/>
        </w:rPr>
      </w:pPr>
    </w:p>
    <w:p w14:paraId="7F427B96" w14:textId="77777777" w:rsidR="00C165EF" w:rsidRDefault="00C165EF" w:rsidP="00EC4560">
      <w:pPr>
        <w:spacing w:after="0" w:line="240" w:lineRule="auto"/>
        <w:rPr>
          <w:rFonts w:ascii="Verdana" w:eastAsia="Geomanist Light" w:hAnsi="Verdana" w:cs="Arial"/>
          <w:lang w:val="es-MX"/>
        </w:rPr>
      </w:pPr>
    </w:p>
    <w:p w14:paraId="3820EEC6" w14:textId="77777777" w:rsidR="00EC4560" w:rsidRDefault="00EC4560" w:rsidP="00EC4560">
      <w:pPr>
        <w:spacing w:after="0" w:line="240" w:lineRule="auto"/>
        <w:rPr>
          <w:rFonts w:ascii="Verdana" w:eastAsia="Geomanist Light" w:hAnsi="Verdana" w:cs="Arial"/>
          <w:lang w:val="es-MX"/>
        </w:rPr>
      </w:pPr>
    </w:p>
    <w:p w14:paraId="62750535" w14:textId="77777777" w:rsidR="00EC4560" w:rsidRPr="001D1DF1" w:rsidRDefault="00EC4560" w:rsidP="00EC4560">
      <w:pPr>
        <w:spacing w:after="0" w:line="240" w:lineRule="auto"/>
        <w:rPr>
          <w:rFonts w:ascii="Verdana" w:eastAsia="Geomanist Light" w:hAnsi="Verdana" w:cs="Arial"/>
          <w:lang w:val="es-MX"/>
        </w:rPr>
      </w:pPr>
    </w:p>
    <w:p w14:paraId="3E55B5F2" w14:textId="4E497B0F" w:rsidR="00EC4560" w:rsidRDefault="00EC4560" w:rsidP="00EC4560">
      <w:pPr>
        <w:spacing w:after="0" w:line="240" w:lineRule="auto"/>
        <w:rPr>
          <w:rFonts w:ascii="Verdana" w:eastAsia="Calibri" w:hAnsi="Verdana" w:cs="Vrinda"/>
        </w:rPr>
      </w:pPr>
      <w:r w:rsidRPr="00523AA0">
        <w:rPr>
          <w:rFonts w:ascii="Verdana" w:eastAsia="Calibri" w:hAnsi="Verdana" w:cs="Vrinda"/>
        </w:rPr>
        <w:lastRenderedPageBreak/>
        <w:t xml:space="preserve">Bogotá D.C., </w:t>
      </w:r>
      <w:r w:rsidR="002E1AC4">
        <w:rPr>
          <w:rFonts w:ascii="Verdana" w:eastAsia="Calibri" w:hAnsi="Verdana" w:cs="Vrinda"/>
        </w:rPr>
        <w:t xml:space="preserve">28 noviembre 2025 </w:t>
      </w:r>
    </w:p>
    <w:p w14:paraId="68650F84" w14:textId="50B5156C" w:rsidR="002E1AC4" w:rsidRDefault="002E1AC4" w:rsidP="00EC4560">
      <w:pPr>
        <w:spacing w:after="0" w:line="240" w:lineRule="auto"/>
        <w:rPr>
          <w:rFonts w:ascii="Verdana" w:eastAsia="Calibri" w:hAnsi="Verdana" w:cs="Vrinda"/>
        </w:rPr>
      </w:pPr>
    </w:p>
    <w:p w14:paraId="1642B449" w14:textId="26EDE8F2" w:rsidR="002E1AC4" w:rsidRPr="00523AA0" w:rsidRDefault="002E1AC4" w:rsidP="00EC4560">
      <w:pPr>
        <w:spacing w:after="0" w:line="240" w:lineRule="auto"/>
        <w:rPr>
          <w:rFonts w:ascii="Verdana" w:eastAsia="Calibri" w:hAnsi="Verdana" w:cs="Arial"/>
          <w:lang w:val="es-ES" w:eastAsia="es-ES"/>
        </w:rPr>
      </w:pPr>
    </w:p>
    <w:p w14:paraId="7931C9C5" w14:textId="4E03A640" w:rsidR="00EC4560" w:rsidRPr="001D1DF1" w:rsidRDefault="001A201E" w:rsidP="00EC4560">
      <w:pPr>
        <w:spacing w:after="0" w:line="240" w:lineRule="auto"/>
        <w:rPr>
          <w:rFonts w:ascii="Verdana" w:eastAsia="Calibri" w:hAnsi="Verdana" w:cs="Arial"/>
          <w:lang w:val="es-ES" w:eastAsia="es-ES"/>
        </w:rPr>
      </w:pPr>
      <w:r w:rsidRPr="003E78B6">
        <w:rPr>
          <w:rFonts w:ascii="Verdana" w:eastAsia="Calibri" w:hAnsi="Verdana" w:cs="Arial"/>
          <w:noProof/>
          <w:lang w:val="es-ES" w:eastAsia="es-ES"/>
        </w:rPr>
        <w:drawing>
          <wp:anchor distT="0" distB="0" distL="114300" distR="114300" simplePos="0" relativeHeight="251658240" behindDoc="0" locked="0" layoutInCell="1" allowOverlap="1" wp14:anchorId="041278FE" wp14:editId="47FC2AC3">
            <wp:simplePos x="0" y="0"/>
            <wp:positionH relativeFrom="column">
              <wp:posOffset>2561839</wp:posOffset>
            </wp:positionH>
            <wp:positionV relativeFrom="paragraph">
              <wp:posOffset>8476</wp:posOffset>
            </wp:positionV>
            <wp:extent cx="2759710" cy="922020"/>
            <wp:effectExtent l="0" t="0" r="2540" b="0"/>
            <wp:wrapSquare wrapText="bothSides"/>
            <wp:docPr id="18958422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84223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9710" cy="922020"/>
                    </a:xfrm>
                    <a:prstGeom prst="rect">
                      <a:avLst/>
                    </a:prstGeom>
                  </pic:spPr>
                </pic:pic>
              </a:graphicData>
            </a:graphic>
            <wp14:sizeRelH relativeFrom="page">
              <wp14:pctWidth>0</wp14:pctWidth>
            </wp14:sizeRelH>
            <wp14:sizeRelV relativeFrom="page">
              <wp14:pctHeight>0</wp14:pctHeight>
            </wp14:sizeRelV>
          </wp:anchor>
        </w:drawing>
      </w:r>
    </w:p>
    <w:p w14:paraId="06168800" w14:textId="77777777" w:rsidR="00EC4560" w:rsidRDefault="00EC4560" w:rsidP="00EC4560">
      <w:pPr>
        <w:spacing w:after="0" w:line="240" w:lineRule="auto"/>
        <w:rPr>
          <w:rFonts w:ascii="Verdana" w:eastAsia="Calibri" w:hAnsi="Verdana" w:cs="Arial"/>
          <w:lang w:val="es-ES" w:eastAsia="es-ES"/>
        </w:rPr>
      </w:pPr>
      <w:r w:rsidRPr="001D1DF1">
        <w:rPr>
          <w:rFonts w:ascii="Verdana" w:eastAsia="Calibri" w:hAnsi="Verdana" w:cs="Arial"/>
          <w:lang w:val="es-ES" w:eastAsia="es-ES"/>
        </w:rPr>
        <w:t>Señor</w:t>
      </w:r>
      <w:r>
        <w:rPr>
          <w:rFonts w:ascii="Verdana" w:eastAsia="Calibri" w:hAnsi="Verdana" w:cs="Arial"/>
          <w:lang w:val="es-ES" w:eastAsia="es-ES"/>
        </w:rPr>
        <w:t>a</w:t>
      </w:r>
    </w:p>
    <w:p w14:paraId="296C1E06" w14:textId="77777777" w:rsidR="00EC4560" w:rsidRPr="00F56EBC" w:rsidRDefault="00EC4560" w:rsidP="00EC4560">
      <w:pPr>
        <w:spacing w:after="0" w:line="240" w:lineRule="auto"/>
        <w:rPr>
          <w:rFonts w:ascii="Verdana" w:eastAsia="Calibri" w:hAnsi="Verdana" w:cs="Arial"/>
          <w:b/>
          <w:bCs/>
          <w:lang w:val="es-ES" w:eastAsia="es-ES"/>
        </w:rPr>
      </w:pPr>
      <w:r w:rsidRPr="00F56EBC">
        <w:rPr>
          <w:rFonts w:ascii="Verdana" w:eastAsia="Calibri" w:hAnsi="Verdana" w:cs="Arial"/>
          <w:b/>
          <w:bCs/>
          <w:lang w:val="es-ES" w:eastAsia="es-ES"/>
        </w:rPr>
        <w:t xml:space="preserve">Myriam </w:t>
      </w:r>
      <w:proofErr w:type="spellStart"/>
      <w:r w:rsidRPr="00F56EBC">
        <w:rPr>
          <w:rFonts w:ascii="Verdana" w:eastAsia="Calibri" w:hAnsi="Verdana" w:cs="Arial"/>
          <w:b/>
          <w:bCs/>
          <w:lang w:val="es-ES" w:eastAsia="es-ES"/>
        </w:rPr>
        <w:t>Nocua</w:t>
      </w:r>
      <w:proofErr w:type="spellEnd"/>
      <w:r w:rsidRPr="00F56EBC">
        <w:rPr>
          <w:rFonts w:ascii="Verdana" w:eastAsia="Calibri" w:hAnsi="Verdana" w:cs="Arial"/>
          <w:b/>
          <w:bCs/>
          <w:lang w:val="es-ES" w:eastAsia="es-ES"/>
        </w:rPr>
        <w:t xml:space="preserve"> Valderrama</w:t>
      </w:r>
    </w:p>
    <w:p w14:paraId="33C8A499" w14:textId="77777777" w:rsidR="00EC4560" w:rsidRPr="001D1DF1" w:rsidRDefault="00EC4560" w:rsidP="00EC4560">
      <w:pPr>
        <w:spacing w:after="0" w:line="240" w:lineRule="auto"/>
        <w:rPr>
          <w:rFonts w:ascii="Verdana" w:eastAsia="Calibri" w:hAnsi="Verdana" w:cs="Arial"/>
          <w:lang w:val="es-ES_tradnl" w:eastAsia="es-ES_tradnl"/>
        </w:rPr>
      </w:pPr>
      <w:r>
        <w:rPr>
          <w:rFonts w:ascii="Verdana" w:eastAsia="Calibri" w:hAnsi="Verdana" w:cs="Arial"/>
          <w:lang w:val="es-ES_tradnl" w:eastAsia="es-ES_tradnl"/>
        </w:rPr>
        <w:t>Duitama, Boyacá</w:t>
      </w:r>
    </w:p>
    <w:p w14:paraId="335F41F2" w14:textId="77777777" w:rsidR="00EC4560" w:rsidRPr="001D1DF1" w:rsidRDefault="00EC4560" w:rsidP="00EC4560">
      <w:pPr>
        <w:spacing w:after="0" w:line="240" w:lineRule="auto"/>
        <w:rPr>
          <w:rFonts w:ascii="Verdana" w:eastAsia="Calibri" w:hAnsi="Verdana" w:cs="Arial"/>
          <w:b/>
          <w:bCs/>
          <w:lang w:val="es-ES_tradnl" w:eastAsia="es-ES_tradnl"/>
        </w:rPr>
      </w:pPr>
    </w:p>
    <w:p w14:paraId="6871BBE0" w14:textId="77777777" w:rsidR="00EC4560" w:rsidRPr="001D1DF1" w:rsidRDefault="00EC4560" w:rsidP="00EC4560">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C4560" w:rsidRPr="001D1DF1" w14:paraId="5B5E0BCC" w14:textId="77777777" w:rsidTr="00DA5914">
        <w:trPr>
          <w:trHeight w:val="229"/>
        </w:trPr>
        <w:tc>
          <w:tcPr>
            <w:tcW w:w="2268" w:type="dxa"/>
          </w:tcPr>
          <w:p w14:paraId="6E416DD8" w14:textId="77777777" w:rsidR="00EC4560" w:rsidRPr="001D1DF1" w:rsidRDefault="00EC4560" w:rsidP="00DA5914">
            <w:pPr>
              <w:jc w:val="both"/>
              <w:rPr>
                <w:rFonts w:ascii="Verdana" w:eastAsia="Calibri" w:hAnsi="Verdana" w:cs="Arial"/>
                <w:b/>
                <w:bCs/>
                <w:lang w:val="es-ES_tradnl" w:eastAsia="es-ES_tradnl"/>
              </w:rPr>
            </w:pPr>
          </w:p>
        </w:tc>
        <w:tc>
          <w:tcPr>
            <w:tcW w:w="6100" w:type="dxa"/>
          </w:tcPr>
          <w:p w14:paraId="5F1FDFC4" w14:textId="77777777" w:rsidR="00EC4560" w:rsidRPr="001D1DF1" w:rsidRDefault="00EC4560" w:rsidP="00DA5914">
            <w:pPr>
              <w:jc w:val="both"/>
              <w:rPr>
                <w:rFonts w:ascii="Verdana" w:eastAsia="Calibri" w:hAnsi="Verdana" w:cs="Arial"/>
                <w:b/>
                <w:bCs/>
                <w:lang w:val="es-ES" w:eastAsia="es-ES"/>
              </w:rPr>
            </w:pPr>
            <w:r w:rsidRPr="001D1DF1">
              <w:rPr>
                <w:rFonts w:ascii="Verdana" w:eastAsia="Calibri" w:hAnsi="Verdana" w:cs="Arial"/>
                <w:b/>
                <w:bCs/>
                <w:lang w:val="es-ES" w:eastAsia="es-ES"/>
              </w:rPr>
              <w:t>Concepto C-</w:t>
            </w:r>
            <w:r>
              <w:rPr>
                <w:rFonts w:ascii="Verdana" w:eastAsia="Calibri" w:hAnsi="Verdana" w:cs="Arial"/>
                <w:b/>
                <w:bCs/>
                <w:lang w:val="es-ES" w:eastAsia="es-ES"/>
              </w:rPr>
              <w:t>1520</w:t>
            </w:r>
            <w:r w:rsidRPr="001D1DF1">
              <w:rPr>
                <w:rFonts w:ascii="Verdana" w:eastAsia="Calibri" w:hAnsi="Verdana" w:cs="Arial"/>
                <w:b/>
                <w:bCs/>
                <w:lang w:val="es-ES" w:eastAsia="es-ES"/>
              </w:rPr>
              <w:t xml:space="preserve"> de 2025</w:t>
            </w:r>
          </w:p>
          <w:p w14:paraId="64D85C69" w14:textId="77777777" w:rsidR="00EC4560" w:rsidRPr="001D1DF1" w:rsidRDefault="00EC4560" w:rsidP="00DA5914">
            <w:pPr>
              <w:jc w:val="both"/>
              <w:rPr>
                <w:rFonts w:ascii="Verdana" w:eastAsia="Calibri" w:hAnsi="Verdana" w:cs="Arial"/>
                <w:b/>
                <w:bCs/>
                <w:lang w:val="es-ES" w:eastAsia="es-ES"/>
              </w:rPr>
            </w:pPr>
          </w:p>
        </w:tc>
      </w:tr>
      <w:tr w:rsidR="00EC4560" w:rsidRPr="001D1DF1" w14:paraId="4CAE86C5" w14:textId="77777777" w:rsidTr="00DA5914">
        <w:trPr>
          <w:trHeight w:val="884"/>
        </w:trPr>
        <w:tc>
          <w:tcPr>
            <w:tcW w:w="2268" w:type="dxa"/>
          </w:tcPr>
          <w:p w14:paraId="41F78147" w14:textId="77777777" w:rsidR="00EC4560" w:rsidRPr="001D1DF1" w:rsidRDefault="00EC4560" w:rsidP="00DA5914">
            <w:pPr>
              <w:jc w:val="both"/>
              <w:rPr>
                <w:rFonts w:ascii="Verdana" w:eastAsia="Calibri" w:hAnsi="Verdana" w:cs="Arial"/>
                <w:lang w:val="es-ES_tradnl" w:eastAsia="es-ES_tradnl"/>
              </w:rPr>
            </w:pPr>
            <w:r w:rsidRPr="001D1DF1">
              <w:rPr>
                <w:rFonts w:ascii="Verdana" w:eastAsia="Calibri" w:hAnsi="Verdana" w:cs="Arial"/>
                <w:b/>
                <w:lang w:val="es-ES_tradnl" w:eastAsia="es-ES_tradnl"/>
              </w:rPr>
              <w:t>Temas:</w:t>
            </w:r>
            <w:r w:rsidRPr="001D1DF1">
              <w:rPr>
                <w:rFonts w:ascii="Verdana" w:eastAsia="Calibri" w:hAnsi="Verdana" w:cs="Arial"/>
                <w:lang w:val="es-ES_tradnl" w:eastAsia="es-ES_tradnl"/>
              </w:rPr>
              <w:t xml:space="preserve">                   </w:t>
            </w:r>
          </w:p>
        </w:tc>
        <w:tc>
          <w:tcPr>
            <w:tcW w:w="6100" w:type="dxa"/>
          </w:tcPr>
          <w:p w14:paraId="4F275769" w14:textId="15533C4C" w:rsidR="00EC4560" w:rsidRPr="00E619E7" w:rsidRDefault="00EC4560" w:rsidP="00DA5914">
            <w:pPr>
              <w:jc w:val="both"/>
              <w:rPr>
                <w:rFonts w:ascii="Verdana" w:eastAsia="Calibri" w:hAnsi="Verdana" w:cs="Arial"/>
                <w:color w:val="000000"/>
                <w:lang w:eastAsia="es-ES"/>
              </w:rPr>
            </w:pPr>
            <w:r w:rsidRPr="4A4DC93F">
              <w:rPr>
                <w:rFonts w:ascii="Verdana" w:eastAsia="Calibri" w:hAnsi="Verdana" w:cs="Arial"/>
                <w:lang w:val="es-ES"/>
              </w:rPr>
              <w:t>DOCUMENTOS TIPO – Fundamento normativo – Obligatoriedad / DOCUMENTOS TIPO – Sector social – Resoluciones 219,</w:t>
            </w:r>
            <w:r w:rsidR="1A1A80A3" w:rsidRPr="4A4DC93F">
              <w:rPr>
                <w:rFonts w:ascii="Verdana" w:eastAsia="Calibri" w:hAnsi="Verdana" w:cs="Arial"/>
                <w:lang w:val="es-ES"/>
              </w:rPr>
              <w:t xml:space="preserve"> 220, </w:t>
            </w:r>
            <w:r w:rsidRPr="4A4DC93F">
              <w:rPr>
                <w:rFonts w:ascii="Verdana" w:eastAsia="Calibri" w:hAnsi="Verdana" w:cs="Arial"/>
                <w:lang w:val="es-ES"/>
              </w:rPr>
              <w:t>392 y 454 de 202</w:t>
            </w:r>
            <w:r w:rsidR="15BEE420" w:rsidRPr="4A4DC93F">
              <w:rPr>
                <w:rFonts w:ascii="Verdana" w:eastAsia="Calibri" w:hAnsi="Verdana" w:cs="Arial"/>
                <w:lang w:val="es-ES"/>
              </w:rPr>
              <w:t>1</w:t>
            </w:r>
            <w:r w:rsidRPr="4A4DC93F">
              <w:rPr>
                <w:rFonts w:ascii="Verdana" w:eastAsia="Calibri" w:hAnsi="Verdana" w:cs="Arial"/>
                <w:lang w:val="es-ES"/>
              </w:rPr>
              <w:t xml:space="preserve"> - Aplicación – Centro administrativo municipal / DOCUMENTOS TIPO – Sector social – Resoluciones 539, 540 y 541 de 2025 - Aplicación – Centro administrativo municipal  / </w:t>
            </w:r>
            <w:r w:rsidRPr="00E619E7">
              <w:rPr>
                <w:rFonts w:ascii="Verdana" w:eastAsia="Arial" w:hAnsi="Verdana" w:cs="Arial"/>
                <w:lang w:val="es-ES"/>
              </w:rPr>
              <w:t xml:space="preserve">EXPERIENCIA ADICIONAL − Bienes obras y servicios adicionales a la obra pública – Infraestructura de social / </w:t>
            </w:r>
            <w:r w:rsidRPr="00E619E7">
              <w:rPr>
                <w:rFonts w:ascii="Verdana" w:hAnsi="Verdana" w:cs="Arial"/>
                <w:lang w:val="es-ES" w:eastAsia="es-ES"/>
              </w:rPr>
              <w:t xml:space="preserve">CONTRATO DE OBRA – Modalidad de Llave en mano – Concepto / </w:t>
            </w:r>
            <w:r w:rsidRPr="4A4DC93F">
              <w:rPr>
                <w:rFonts w:ascii="Verdana" w:eastAsia="Calibri" w:hAnsi="Verdana" w:cs="Arial"/>
                <w:color w:val="000000" w:themeColor="text1"/>
                <w:lang w:eastAsia="es-ES"/>
              </w:rPr>
              <w:t>ANTICIPO – PAGO ANTICIPADO – Aplicación – Contratos – Llave en mano</w:t>
            </w:r>
          </w:p>
          <w:p w14:paraId="33513016" w14:textId="77777777" w:rsidR="00EC4560" w:rsidRPr="00542F1E" w:rsidRDefault="00EC4560" w:rsidP="00DA5914">
            <w:pPr>
              <w:jc w:val="both"/>
              <w:rPr>
                <w:rFonts w:ascii="Verdana" w:eastAsia="Calibri" w:hAnsi="Verdana" w:cs="Arial"/>
                <w:bCs/>
                <w:lang w:eastAsia="es-ES"/>
              </w:rPr>
            </w:pPr>
          </w:p>
        </w:tc>
      </w:tr>
      <w:tr w:rsidR="00EC4560" w:rsidRPr="001D1DF1" w14:paraId="1E489802" w14:textId="77777777" w:rsidTr="00DA5914">
        <w:tc>
          <w:tcPr>
            <w:tcW w:w="2268" w:type="dxa"/>
          </w:tcPr>
          <w:p w14:paraId="5E75180B" w14:textId="77777777" w:rsidR="00EC4560" w:rsidRPr="001D1DF1" w:rsidRDefault="00EC4560" w:rsidP="00DA5914">
            <w:pPr>
              <w:jc w:val="both"/>
              <w:rPr>
                <w:rFonts w:ascii="Verdana" w:eastAsia="Calibri" w:hAnsi="Verdana" w:cs="Arial"/>
                <w:b/>
                <w:lang w:val="es-ES_tradnl" w:eastAsia="es-ES_tradnl"/>
              </w:rPr>
            </w:pPr>
            <w:r w:rsidRPr="001D1DF1">
              <w:rPr>
                <w:rFonts w:ascii="Verdana" w:eastAsia="Calibri" w:hAnsi="Verdana" w:cs="Arial"/>
                <w:b/>
                <w:lang w:val="es-ES_tradnl" w:eastAsia="es-ES_tradnl"/>
              </w:rPr>
              <w:t>Radicación:</w:t>
            </w:r>
            <w:r w:rsidRPr="001D1DF1">
              <w:rPr>
                <w:rFonts w:ascii="Verdana" w:eastAsia="Calibri" w:hAnsi="Verdana" w:cs="Arial"/>
                <w:lang w:val="es-ES_tradnl" w:eastAsia="es-ES_tradnl"/>
              </w:rPr>
              <w:t xml:space="preserve">               </w:t>
            </w:r>
          </w:p>
        </w:tc>
        <w:tc>
          <w:tcPr>
            <w:tcW w:w="6100" w:type="dxa"/>
          </w:tcPr>
          <w:p w14:paraId="4D284E17" w14:textId="77777777" w:rsidR="00EC4560" w:rsidRPr="001D1DF1" w:rsidRDefault="00EC4560" w:rsidP="00DA5914">
            <w:pPr>
              <w:ind w:left="3" w:hanging="3"/>
              <w:jc w:val="both"/>
              <w:rPr>
                <w:rFonts w:ascii="Verdana" w:eastAsia="Calibri" w:hAnsi="Verdana" w:cs="Arial"/>
                <w:lang w:val="es-ES_tradnl" w:eastAsia="es-ES_tradnl"/>
              </w:rPr>
            </w:pPr>
            <w:r w:rsidRPr="001D1DF1">
              <w:rPr>
                <w:rFonts w:ascii="Verdana" w:eastAsia="Calibri" w:hAnsi="Verdana" w:cs="Arial"/>
                <w:lang w:val="es-ES_tradnl" w:eastAsia="es-ES_tradnl"/>
              </w:rPr>
              <w:t>Respuesta a consulta con radicado No. 1_2025_10_19_011696</w:t>
            </w:r>
          </w:p>
        </w:tc>
      </w:tr>
    </w:tbl>
    <w:p w14:paraId="61FC3B6C" w14:textId="77777777" w:rsidR="00EC4560" w:rsidRPr="001D1DF1" w:rsidRDefault="00EC4560" w:rsidP="00EC4560">
      <w:pPr>
        <w:spacing w:after="0" w:line="240" w:lineRule="auto"/>
        <w:jc w:val="both"/>
        <w:rPr>
          <w:rFonts w:ascii="Verdana" w:eastAsia="Calibri" w:hAnsi="Verdana" w:cs="Arial"/>
          <w:lang w:val="es-ES_tradnl" w:eastAsia="es-ES_tradnl"/>
        </w:rPr>
      </w:pPr>
    </w:p>
    <w:p w14:paraId="24808F01" w14:textId="77777777" w:rsidR="00EC4560" w:rsidRPr="001D1DF1" w:rsidRDefault="00EC4560" w:rsidP="00EC4560">
      <w:pPr>
        <w:spacing w:after="0" w:line="276" w:lineRule="auto"/>
        <w:jc w:val="both"/>
        <w:rPr>
          <w:rFonts w:ascii="Verdana" w:eastAsia="Calibri" w:hAnsi="Verdana" w:cs="Arial"/>
          <w:lang w:val="es-ES" w:eastAsia="es-ES"/>
        </w:rPr>
      </w:pPr>
      <w:r w:rsidRPr="001D1DF1">
        <w:rPr>
          <w:rFonts w:ascii="Verdana" w:eastAsia="Calibri" w:hAnsi="Verdana" w:cs="Arial"/>
          <w:lang w:val="es-ES" w:eastAsia="es-ES"/>
        </w:rPr>
        <w:t>Estimad</w:t>
      </w:r>
      <w:r>
        <w:rPr>
          <w:rFonts w:ascii="Verdana" w:eastAsia="Calibri" w:hAnsi="Verdana" w:cs="Arial"/>
          <w:lang w:val="es-ES" w:eastAsia="es-ES"/>
        </w:rPr>
        <w:t>a</w:t>
      </w:r>
      <w:r w:rsidRPr="001D1DF1">
        <w:rPr>
          <w:rFonts w:ascii="Verdana" w:eastAsia="Calibri" w:hAnsi="Verdana" w:cs="Arial"/>
          <w:lang w:val="es-ES" w:eastAsia="es-ES"/>
        </w:rPr>
        <w:t xml:space="preserve"> señor</w:t>
      </w:r>
      <w:r>
        <w:rPr>
          <w:rFonts w:ascii="Verdana" w:eastAsia="Calibri" w:hAnsi="Verdana" w:cs="Arial"/>
          <w:lang w:val="es-ES" w:eastAsia="es-ES"/>
        </w:rPr>
        <w:t xml:space="preserve">a </w:t>
      </w:r>
      <w:proofErr w:type="spellStart"/>
      <w:r>
        <w:rPr>
          <w:rFonts w:ascii="Verdana" w:eastAsia="Calibri" w:hAnsi="Verdana" w:cs="Arial"/>
          <w:lang w:val="es-ES" w:eastAsia="es-ES"/>
        </w:rPr>
        <w:t>Nocua</w:t>
      </w:r>
      <w:proofErr w:type="spellEnd"/>
      <w:r>
        <w:rPr>
          <w:rFonts w:ascii="Verdana" w:eastAsia="Calibri" w:hAnsi="Verdana" w:cs="Arial"/>
          <w:lang w:val="es-ES" w:eastAsia="es-ES"/>
        </w:rPr>
        <w:t xml:space="preserve"> Valderrama</w:t>
      </w:r>
      <w:r w:rsidRPr="001D1DF1">
        <w:rPr>
          <w:rFonts w:ascii="Verdana" w:eastAsia="Calibri" w:hAnsi="Verdana" w:cs="Arial"/>
          <w:lang w:val="es-ES" w:eastAsia="es-ES"/>
        </w:rPr>
        <w:t xml:space="preserve">: </w:t>
      </w:r>
    </w:p>
    <w:p w14:paraId="72FADAFF" w14:textId="77777777" w:rsidR="00EC4560" w:rsidRPr="001D1DF1" w:rsidRDefault="00EC4560" w:rsidP="00EC4560">
      <w:pPr>
        <w:tabs>
          <w:tab w:val="left" w:pos="3768"/>
        </w:tabs>
        <w:spacing w:after="0" w:line="276" w:lineRule="auto"/>
        <w:jc w:val="both"/>
        <w:rPr>
          <w:rFonts w:ascii="Verdana" w:eastAsia="Calibri" w:hAnsi="Verdana" w:cs="Arial"/>
          <w:lang w:val="es-ES" w:eastAsia="es-ES"/>
        </w:rPr>
      </w:pPr>
      <w:r w:rsidRPr="001D1DF1">
        <w:rPr>
          <w:rFonts w:ascii="Verdana" w:eastAsia="Calibri" w:hAnsi="Verdana" w:cs="Arial"/>
          <w:lang w:val="es-ES" w:eastAsia="es-ES"/>
        </w:rPr>
        <w:tab/>
      </w:r>
    </w:p>
    <w:p w14:paraId="1CB06D56" w14:textId="77777777" w:rsidR="00EC4560" w:rsidRPr="001D1DF1" w:rsidRDefault="00EC4560" w:rsidP="00EC4560">
      <w:pPr>
        <w:spacing w:after="0" w:line="276" w:lineRule="auto"/>
        <w:jc w:val="both"/>
        <w:rPr>
          <w:rFonts w:ascii="Verdana" w:eastAsia="Calibri" w:hAnsi="Verdana" w:cs="Arial"/>
          <w:lang w:val="es-ES" w:eastAsia="es-ES"/>
        </w:rPr>
      </w:pPr>
      <w:r w:rsidRPr="001D1DF1">
        <w:rPr>
          <w:rFonts w:ascii="Verdana" w:eastAsia="Calibri" w:hAnsi="Verdana" w:cs="Arial"/>
          <w:lang w:val="es-ES" w:eastAsia="es-ES"/>
        </w:rPr>
        <w:t>En ejercicio de la competencia otorgada por los artículos 3, numeral 5º, y 11, numeral 8º, del Decreto Ley 4170 de 2011,</w:t>
      </w:r>
      <w:r w:rsidRPr="001D1DF1">
        <w:rPr>
          <w:rFonts w:ascii="Verdana" w:eastAsia="Arial MT" w:hAnsi="Verdana" w:cs="Arial MT"/>
          <w:lang w:val="es-ES" w:eastAsia="es-ES"/>
        </w:rPr>
        <w:t xml:space="preserve"> </w:t>
      </w:r>
      <w:r w:rsidRPr="001D1DF1">
        <w:rPr>
          <w:rFonts w:ascii="Verdana" w:eastAsia="Calibri" w:hAnsi="Verdana" w:cs="Arial"/>
        </w:rPr>
        <w:t xml:space="preserve">así como lo establecido en el artículo 4 de la Resolución 1707 de 2018 expedida por esta Entidad, </w:t>
      </w:r>
      <w:r w:rsidRPr="001D1DF1">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1</w:t>
      </w:r>
      <w:r w:rsidRPr="001D1DF1">
        <w:rPr>
          <w:rFonts w:ascii="Verdana" w:eastAsia="Calibri" w:hAnsi="Verdana" w:cs="Arial"/>
          <w:lang w:val="es-ES" w:eastAsia="es-ES"/>
        </w:rPr>
        <w:t xml:space="preserve">9 de </w:t>
      </w:r>
      <w:r>
        <w:rPr>
          <w:rFonts w:ascii="Verdana" w:eastAsia="Calibri" w:hAnsi="Verdana" w:cs="Arial"/>
          <w:lang w:val="es-ES" w:eastAsia="es-ES"/>
        </w:rPr>
        <w:t>octubre</w:t>
      </w:r>
      <w:r w:rsidRPr="001D1DF1">
        <w:rPr>
          <w:rFonts w:ascii="Verdana" w:eastAsia="Calibri" w:hAnsi="Verdana" w:cs="Arial"/>
          <w:lang w:val="es-ES" w:eastAsia="es-ES"/>
        </w:rPr>
        <w:t xml:space="preserve"> de 2025, en la cual manifiesta lo siguiente: </w:t>
      </w:r>
    </w:p>
    <w:p w14:paraId="375F4A18" w14:textId="77777777" w:rsidR="00EC4560" w:rsidRPr="001D1DF1" w:rsidRDefault="00EC4560" w:rsidP="00EC4560">
      <w:pPr>
        <w:tabs>
          <w:tab w:val="left" w:pos="142"/>
          <w:tab w:val="left" w:pos="284"/>
        </w:tabs>
        <w:spacing w:after="0" w:line="276" w:lineRule="auto"/>
        <w:ind w:left="709" w:right="709"/>
        <w:jc w:val="both"/>
        <w:rPr>
          <w:rFonts w:ascii="Verdana" w:eastAsia="Century Gothic" w:hAnsi="Verdana" w:cs="Century Gothic"/>
          <w:b/>
          <w:bCs/>
        </w:rPr>
      </w:pPr>
    </w:p>
    <w:p w14:paraId="5DAA49FE" w14:textId="616E4D87" w:rsidR="00EC4560" w:rsidRPr="001D1DF1" w:rsidRDefault="00EC4560" w:rsidP="00EC4560">
      <w:pPr>
        <w:spacing w:after="120" w:line="240" w:lineRule="auto"/>
        <w:ind w:left="709" w:right="709"/>
        <w:jc w:val="both"/>
        <w:rPr>
          <w:rFonts w:ascii="Verdana" w:eastAsia="Century Gothic" w:hAnsi="Verdana" w:cs="Arial"/>
          <w:i/>
          <w:iCs/>
          <w:sz w:val="21"/>
          <w:szCs w:val="21"/>
          <w:lang w:val="es-ES"/>
        </w:rPr>
      </w:pPr>
      <w:r w:rsidRPr="001D1DF1">
        <w:rPr>
          <w:rFonts w:ascii="Verdana" w:eastAsia="Century Gothic" w:hAnsi="Verdana" w:cs="Century Gothic"/>
          <w:sz w:val="21"/>
          <w:szCs w:val="21"/>
          <w:lang w:val="es-ES"/>
        </w:rPr>
        <w:t>“</w:t>
      </w:r>
      <w:r w:rsidRPr="001D1DF1">
        <w:rPr>
          <w:rFonts w:ascii="Verdana" w:eastAsia="Century Gothic" w:hAnsi="Verdana" w:cs="Arial"/>
          <w:i/>
          <w:iCs/>
          <w:sz w:val="21"/>
          <w:szCs w:val="21"/>
          <w:lang w:val="es-ES"/>
        </w:rPr>
        <w:t xml:space="preserve">PREGUNTA (1) Puede una entidad  adelantar una licitación </w:t>
      </w:r>
      <w:r w:rsidR="42DA7226" w:rsidRPr="4A4DC93F">
        <w:rPr>
          <w:rFonts w:ascii="Verdana" w:eastAsia="Century Gothic" w:hAnsi="Verdana" w:cs="Arial"/>
          <w:i/>
          <w:iCs/>
          <w:sz w:val="21"/>
          <w:szCs w:val="21"/>
          <w:lang w:val="es-ES"/>
        </w:rPr>
        <w:t>pública</w:t>
      </w:r>
      <w:r w:rsidRPr="001D1DF1">
        <w:rPr>
          <w:rFonts w:ascii="Verdana" w:eastAsia="Century Gothic" w:hAnsi="Verdana" w:cs="Arial"/>
          <w:i/>
          <w:iCs/>
          <w:sz w:val="21"/>
          <w:szCs w:val="21"/>
          <w:lang w:val="es-ES"/>
        </w:rPr>
        <w:t xml:space="preserve"> cuyo objeto es  </w:t>
      </w:r>
      <w:r w:rsidRPr="001D1DF1">
        <w:rPr>
          <w:rFonts w:ascii="Verdana" w:eastAsia="Calibri" w:hAnsi="Verdana" w:cs="Arial"/>
          <w:sz w:val="21"/>
          <w:szCs w:val="21"/>
        </w:rPr>
        <w:t>estudio, diseños y construcción del centro administrativo municipal</w:t>
      </w:r>
      <w:r w:rsidRPr="001D1DF1">
        <w:rPr>
          <w:rFonts w:ascii="Verdana" w:eastAsia="Calibri" w:hAnsi="Verdana" w:cs="Arial"/>
          <w:b/>
          <w:bCs/>
          <w:sz w:val="21"/>
          <w:szCs w:val="21"/>
        </w:rPr>
        <w:t xml:space="preserve">,  </w:t>
      </w:r>
      <w:r w:rsidRPr="001D1DF1">
        <w:rPr>
          <w:rFonts w:ascii="Verdana" w:eastAsia="Century Gothic" w:hAnsi="Verdana" w:cs="Arial"/>
          <w:i/>
          <w:iCs/>
          <w:sz w:val="21"/>
          <w:szCs w:val="21"/>
          <w:lang w:val="es-ES"/>
        </w:rPr>
        <w:t xml:space="preserve">utilizando pliegos tipo, y además de exigir experiencia general y especifica </w:t>
      </w:r>
      <w:r w:rsidR="3503484D" w:rsidRPr="4A4DC93F">
        <w:rPr>
          <w:rFonts w:ascii="Verdana" w:eastAsia="Century Gothic" w:hAnsi="Verdana" w:cs="Arial"/>
          <w:i/>
          <w:iCs/>
          <w:sz w:val="21"/>
          <w:szCs w:val="21"/>
          <w:lang w:val="es-ES"/>
        </w:rPr>
        <w:t>según</w:t>
      </w:r>
      <w:r w:rsidRPr="001D1DF1">
        <w:rPr>
          <w:rFonts w:ascii="Verdana" w:eastAsia="Century Gothic" w:hAnsi="Verdana" w:cs="Arial"/>
          <w:i/>
          <w:iCs/>
          <w:sz w:val="21"/>
          <w:szCs w:val="21"/>
          <w:lang w:val="es-ES"/>
        </w:rPr>
        <w:t xml:space="preserve"> la matriz de experiencia para infraestructura del sector institucional, exigir  una experiencia adicional al siguiente tenor: “</w:t>
      </w:r>
      <w:r w:rsidRPr="001D1DF1">
        <w:rPr>
          <w:rFonts w:ascii="Verdana" w:eastAsia="Calibri" w:hAnsi="Verdana" w:cs="Arial"/>
          <w:i/>
          <w:iCs/>
          <w:sz w:val="21"/>
          <w:szCs w:val="21"/>
          <w:lang w:eastAsia="es-CO"/>
        </w:rPr>
        <w:t xml:space="preserve">acreditar haber ejecutado con persona  pública o privada dos contratos cuyo objeto sea o incluya estudios, diseños y </w:t>
      </w:r>
      <w:r w:rsidRPr="001D1DF1">
        <w:rPr>
          <w:rFonts w:ascii="Verdana" w:eastAsia="Calibri" w:hAnsi="Verdana" w:cs="Arial"/>
          <w:i/>
          <w:iCs/>
          <w:sz w:val="21"/>
          <w:szCs w:val="21"/>
          <w:lang w:eastAsia="es-CO"/>
        </w:rPr>
        <w:lastRenderedPageBreak/>
        <w:t>construcción  de edificaciones de propósito social por un valor igual o superior a dos veces presupuesto oficial</w:t>
      </w:r>
      <w:r w:rsidRPr="001D1DF1">
        <w:rPr>
          <w:rFonts w:ascii="Verdana" w:eastAsia="Calibri" w:hAnsi="Verdana" w:cs="Arial"/>
          <w:sz w:val="21"/>
          <w:szCs w:val="21"/>
          <w:lang w:eastAsia="es-CO"/>
        </w:rPr>
        <w:t>.</w:t>
      </w:r>
      <w:r w:rsidRPr="001D1DF1">
        <w:rPr>
          <w:rFonts w:ascii="Verdana" w:eastAsia="Century Gothic" w:hAnsi="Verdana" w:cs="Arial"/>
          <w:i/>
          <w:iCs/>
          <w:sz w:val="21"/>
          <w:szCs w:val="21"/>
          <w:lang w:val="es-ES"/>
        </w:rPr>
        <w:t xml:space="preserve">  </w:t>
      </w:r>
    </w:p>
    <w:p w14:paraId="68E575DB" w14:textId="77777777" w:rsidR="00EC4560" w:rsidRPr="001D1DF1" w:rsidRDefault="00EC4560" w:rsidP="00EC4560">
      <w:pPr>
        <w:spacing w:after="120" w:line="240" w:lineRule="auto"/>
        <w:ind w:left="709" w:right="709"/>
        <w:jc w:val="both"/>
        <w:rPr>
          <w:rFonts w:ascii="Verdana" w:eastAsia="Calibri" w:hAnsi="Verdana" w:cs="Arial"/>
          <w:b/>
          <w:bCs/>
          <w:sz w:val="21"/>
          <w:szCs w:val="21"/>
          <w:lang w:val="es-ES"/>
        </w:rPr>
      </w:pPr>
      <w:r w:rsidRPr="001D1DF1">
        <w:rPr>
          <w:rFonts w:ascii="Verdana" w:eastAsia="Century Gothic" w:hAnsi="Verdana" w:cs="Arial"/>
          <w:b/>
          <w:bCs/>
          <w:i/>
          <w:iCs/>
          <w:sz w:val="21"/>
          <w:szCs w:val="21"/>
          <w:lang w:val="es-ES"/>
        </w:rPr>
        <w:t xml:space="preserve">El contexto y la actuación de la entidad es el siguiente: </w:t>
      </w:r>
    </w:p>
    <w:p w14:paraId="45E73191" w14:textId="77777777" w:rsidR="00EC4560" w:rsidRPr="001D1DF1" w:rsidRDefault="00EC4560" w:rsidP="00EC4560">
      <w:pPr>
        <w:numPr>
          <w:ilvl w:val="0"/>
          <w:numId w:val="19"/>
        </w:numPr>
        <w:spacing w:after="120" w:line="240" w:lineRule="auto"/>
        <w:ind w:left="1069" w:right="709"/>
        <w:contextualSpacing/>
        <w:jc w:val="both"/>
        <w:rPr>
          <w:rFonts w:ascii="Verdana" w:eastAsia="Calibri" w:hAnsi="Verdana" w:cs="Arial"/>
          <w:sz w:val="21"/>
          <w:szCs w:val="21"/>
        </w:rPr>
      </w:pPr>
      <w:r w:rsidRPr="001D1DF1">
        <w:rPr>
          <w:rFonts w:ascii="Verdana" w:eastAsia="Calibri" w:hAnsi="Verdana" w:cs="Arial"/>
          <w:sz w:val="21"/>
          <w:szCs w:val="21"/>
          <w:lang w:val="es-ES"/>
        </w:rPr>
        <w:t xml:space="preserve">El objeto de la Licitación es </w:t>
      </w:r>
      <w:r w:rsidRPr="001D1DF1">
        <w:rPr>
          <w:rFonts w:ascii="Verdana" w:eastAsia="Calibri" w:hAnsi="Verdana" w:cs="Arial"/>
          <w:sz w:val="21"/>
          <w:szCs w:val="21"/>
        </w:rPr>
        <w:t xml:space="preserve">estudio, diseños y construcción del centro administrativo municipal, por la suma de 6,515,230,380. </w:t>
      </w:r>
    </w:p>
    <w:p w14:paraId="51656DCD" w14:textId="34909367" w:rsidR="00EC4560" w:rsidRPr="001D1DF1" w:rsidRDefault="00EC4560" w:rsidP="00EC4560">
      <w:pPr>
        <w:numPr>
          <w:ilvl w:val="0"/>
          <w:numId w:val="19"/>
        </w:numPr>
        <w:spacing w:after="120" w:line="240" w:lineRule="auto"/>
        <w:ind w:left="1069" w:right="709"/>
        <w:contextualSpacing/>
        <w:jc w:val="both"/>
        <w:rPr>
          <w:rFonts w:ascii="Verdana" w:eastAsia="Calibri" w:hAnsi="Verdana" w:cs="Arial"/>
          <w:sz w:val="21"/>
          <w:szCs w:val="21"/>
        </w:rPr>
      </w:pPr>
      <w:r w:rsidRPr="001D1DF1">
        <w:rPr>
          <w:rFonts w:ascii="Verdana" w:eastAsia="Calibri" w:hAnsi="Verdana" w:cs="Arial"/>
          <w:sz w:val="21"/>
          <w:szCs w:val="21"/>
        </w:rPr>
        <w:t xml:space="preserve">De acuerdo </w:t>
      </w:r>
      <w:r w:rsidR="1C06A710" w:rsidRPr="4A4DC93F">
        <w:rPr>
          <w:rFonts w:ascii="Verdana" w:eastAsia="Calibri" w:hAnsi="Verdana" w:cs="Arial"/>
          <w:sz w:val="21"/>
          <w:szCs w:val="21"/>
        </w:rPr>
        <w:t>con el</w:t>
      </w:r>
      <w:r w:rsidRPr="001D1DF1">
        <w:rPr>
          <w:rFonts w:ascii="Verdana" w:eastAsia="Calibri" w:hAnsi="Verdana" w:cs="Arial"/>
          <w:sz w:val="21"/>
          <w:szCs w:val="21"/>
        </w:rPr>
        <w:t xml:space="preserve"> objeto a contratar corresponde a los pliegos tipo para infraestructura social (Documentos tipo transversales de licitación de obra pública de infraestructura social- RESOLUCIÓN NÚMERO 219 DE 2021 CON LAS MODIFICACIONES DE LA RESOLUCIÓN 275 VIGENTES PARA 2025 vigente a partir del 29/08/2022). Pero como incluye estudios y diseños y éstos no están previstos en la matriz, la entidad solicita experiencia específica en la actividad adicional </w:t>
      </w:r>
      <w:r w:rsidRPr="4A4DC93F">
        <w:rPr>
          <w:rFonts w:ascii="Verdana" w:eastAsia="Century Gothic" w:hAnsi="Verdana" w:cs="Arial"/>
          <w:i/>
          <w:iCs/>
          <w:sz w:val="21"/>
          <w:szCs w:val="21"/>
          <w:lang w:val="es-ES"/>
        </w:rPr>
        <w:t>“</w:t>
      </w:r>
      <w:r w:rsidRPr="001D1DF1">
        <w:rPr>
          <w:rFonts w:ascii="Verdana" w:eastAsia="Calibri" w:hAnsi="Verdana" w:cs="Arial"/>
          <w:i/>
          <w:iCs/>
          <w:sz w:val="21"/>
          <w:szCs w:val="21"/>
          <w:lang w:eastAsia="es-CO"/>
        </w:rPr>
        <w:t>acreditar haber ejecutado con persona pública o privada dos contratos cuyo objeto sea o incluya estudios, diseños y construcción de edificaciones de propósito social por un valor igual o superior a dos veces presupuesto oficial”</w:t>
      </w:r>
      <w:r w:rsidRPr="001D1DF1">
        <w:rPr>
          <w:rFonts w:ascii="Verdana" w:eastAsia="Calibri" w:hAnsi="Verdana" w:cs="Arial"/>
          <w:sz w:val="21"/>
          <w:szCs w:val="21"/>
          <w:lang w:eastAsia="es-CO"/>
        </w:rPr>
        <w:t>.</w:t>
      </w:r>
      <w:r w:rsidRPr="001D1DF1">
        <w:rPr>
          <w:rFonts w:ascii="Verdana" w:eastAsia="Century Gothic" w:hAnsi="Verdana" w:cs="Arial"/>
          <w:i/>
          <w:iCs/>
          <w:sz w:val="21"/>
          <w:szCs w:val="21"/>
          <w:lang w:val="es-ES"/>
        </w:rPr>
        <w:t xml:space="preserve">  </w:t>
      </w:r>
      <w:r w:rsidRPr="001D1DF1">
        <w:rPr>
          <w:rFonts w:ascii="Verdana" w:eastAsia="Calibri" w:hAnsi="Verdana" w:cs="Arial"/>
          <w:sz w:val="21"/>
          <w:szCs w:val="21"/>
        </w:rPr>
        <w:t xml:space="preserve">y la justifica en el artículo 4 de la resolución 219 de 2021 cumpliendo cada requisito de la siguiente manera: </w:t>
      </w:r>
    </w:p>
    <w:p w14:paraId="3B32416B" w14:textId="77777777" w:rsidR="00EC4560" w:rsidRPr="001D1DF1" w:rsidRDefault="00EC4560" w:rsidP="00EC4560">
      <w:pPr>
        <w:spacing w:after="120" w:line="240" w:lineRule="auto"/>
        <w:ind w:left="709" w:right="709"/>
        <w:contextualSpacing/>
        <w:jc w:val="both"/>
        <w:rPr>
          <w:rFonts w:ascii="Verdana" w:eastAsia="Calibri" w:hAnsi="Verdana" w:cs="Arial"/>
          <w:sz w:val="21"/>
          <w:szCs w:val="21"/>
        </w:rPr>
      </w:pPr>
    </w:p>
    <w:p w14:paraId="12046796" w14:textId="77777777" w:rsidR="00EC4560" w:rsidRPr="001D1DF1" w:rsidRDefault="00EC4560" w:rsidP="00EC4560">
      <w:pPr>
        <w:spacing w:after="120" w:line="240" w:lineRule="auto"/>
        <w:ind w:left="709" w:right="709"/>
        <w:jc w:val="both"/>
        <w:rPr>
          <w:rFonts w:ascii="Verdana" w:eastAsia="Calibri" w:hAnsi="Verdana" w:cs="Arial"/>
          <w:sz w:val="21"/>
          <w:szCs w:val="21"/>
        </w:rPr>
      </w:pPr>
      <w:r w:rsidRPr="001D1DF1">
        <w:rPr>
          <w:rFonts w:ascii="Verdana" w:eastAsia="Calibri" w:hAnsi="Verdana" w:cs="Arial"/>
          <w:sz w:val="21"/>
          <w:szCs w:val="21"/>
        </w:rPr>
        <w:t xml:space="preserve">RESOLUCIÓN 219 de 2021 </w:t>
      </w:r>
    </w:p>
    <w:p w14:paraId="4E06A46E" w14:textId="5D75E7C4" w:rsidR="00EC4560" w:rsidRPr="001D1DF1" w:rsidRDefault="00EC4560" w:rsidP="00EC4560">
      <w:pPr>
        <w:spacing w:after="120" w:line="240" w:lineRule="auto"/>
        <w:ind w:left="709" w:right="709"/>
        <w:contextualSpacing/>
        <w:jc w:val="both"/>
        <w:rPr>
          <w:rFonts w:ascii="Verdana" w:eastAsia="Calibri" w:hAnsi="Verdana" w:cs="Arial"/>
          <w:sz w:val="21"/>
          <w:szCs w:val="21"/>
        </w:rPr>
      </w:pPr>
      <w:r w:rsidRPr="001D1DF1">
        <w:rPr>
          <w:rFonts w:ascii="Verdana" w:eastAsia="Calibri" w:hAnsi="Verdana" w:cs="Arial"/>
          <w:sz w:val="21"/>
          <w:szCs w:val="21"/>
        </w:rPr>
        <w:t>“</w:t>
      </w:r>
      <w:r w:rsidRPr="001D1DF1">
        <w:rPr>
          <w:rFonts w:ascii="Verdana" w:eastAsia="Calibri" w:hAnsi="Verdana" w:cs="Arial"/>
          <w:b/>
          <w:bCs/>
          <w:sz w:val="21"/>
          <w:szCs w:val="21"/>
        </w:rPr>
        <w:t>Artículo 4. Bienes o servicios adicionales a la obra pública de infraestructura social</w:t>
      </w:r>
      <w:r w:rsidRPr="001D1DF1">
        <w:rPr>
          <w:rFonts w:ascii="Verdana" w:eastAsia="Calibri" w:hAnsi="Verdana" w:cs="Arial"/>
          <w:sz w:val="21"/>
          <w:szCs w:val="21"/>
        </w:rPr>
        <w:t xml:space="preserve">. Cuando el objeto contractual incluya bienes o servicios ajenos a la obra pública de infraestructura social, la entidad estatal deberá aplicar los documentos tipo. Si de manera excepcional requiere incluir experiencia adicional para evaluar la idoneidad respecto de los bienes o servicios ajenos a la obra pública, deberá seguir los siguientes parámetros:  </w:t>
      </w:r>
    </w:p>
    <w:p w14:paraId="6FDEFFFA" w14:textId="77777777" w:rsidR="00EC4560" w:rsidRPr="001D1DF1" w:rsidRDefault="00EC4560" w:rsidP="00EC4560">
      <w:pPr>
        <w:spacing w:after="120" w:line="240" w:lineRule="auto"/>
        <w:ind w:left="709" w:right="709"/>
        <w:contextualSpacing/>
        <w:jc w:val="both"/>
        <w:rPr>
          <w:rFonts w:ascii="Verdana" w:eastAsia="Calibri" w:hAnsi="Verdana" w:cs="Arial"/>
          <w:sz w:val="21"/>
          <w:szCs w:val="21"/>
        </w:rPr>
      </w:pPr>
    </w:p>
    <w:p w14:paraId="590F08DD" w14:textId="77777777" w:rsidR="00EC4560" w:rsidRPr="001D1DF1" w:rsidRDefault="00EC4560" w:rsidP="00EC4560">
      <w:pPr>
        <w:numPr>
          <w:ilvl w:val="0"/>
          <w:numId w:val="20"/>
        </w:numPr>
        <w:spacing w:after="120" w:line="240" w:lineRule="auto"/>
        <w:ind w:left="1069" w:right="709"/>
        <w:contextualSpacing/>
        <w:jc w:val="both"/>
        <w:rPr>
          <w:rFonts w:ascii="Verdana" w:eastAsia="Calibri" w:hAnsi="Verdana" w:cs="Arial"/>
          <w:b/>
          <w:bCs/>
          <w:sz w:val="21"/>
          <w:szCs w:val="21"/>
        </w:rPr>
      </w:pPr>
      <w:r w:rsidRPr="001D1DF1">
        <w:rPr>
          <w:rFonts w:ascii="Verdana" w:eastAsia="Calibri" w:hAnsi="Verdana" w:cs="Arial"/>
          <w:b/>
          <w:bCs/>
          <w:sz w:val="21"/>
          <w:szCs w:val="21"/>
        </w:rPr>
        <w:t xml:space="preserve">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 PARA TAL EFECTO, LA ENTIDAD REALIZARÁ EL ESTUDIO PREVIO Y EL ANÁLISIS DEL SECTOR EN LOS TÉRMINOS DE LOS ARTÍCULOS 2.2.1.1.1.6.1 Y 2.2.1.1.1.6.2 DEL DECRETO 1082 DE 2015, O LA NORMA QUE LOS ADICIONE, COMPLEMENTE O SUSTITUYA</w:t>
      </w:r>
      <w:r w:rsidRPr="001D1DF1">
        <w:rPr>
          <w:rFonts w:ascii="Verdana" w:eastAsia="Calibri" w:hAnsi="Verdana" w:cs="Arial"/>
          <w:sz w:val="21"/>
          <w:szCs w:val="21"/>
        </w:rPr>
        <w:t xml:space="preserve">. </w:t>
      </w:r>
      <w:r w:rsidRPr="001D1DF1">
        <w:rPr>
          <w:rFonts w:ascii="Verdana" w:eastAsia="Calibri" w:hAnsi="Verdana" w:cs="Arial"/>
          <w:b/>
          <w:bCs/>
          <w:sz w:val="21"/>
          <w:szCs w:val="21"/>
        </w:rPr>
        <w:t xml:space="preserve"> </w:t>
      </w:r>
      <w:r w:rsidRPr="001D1DF1">
        <w:rPr>
          <w:rFonts w:ascii="Verdana" w:eastAsia="Calibri" w:hAnsi="Verdana" w:cs="Arial"/>
          <w:b/>
          <w:bCs/>
          <w:color w:val="4472C4"/>
          <w:sz w:val="21"/>
          <w:szCs w:val="21"/>
        </w:rPr>
        <w:t>ACTUACIÓN DE LA ENTIDAD</w:t>
      </w:r>
      <w:r w:rsidRPr="001D1DF1">
        <w:rPr>
          <w:rFonts w:ascii="Verdana" w:eastAsia="Calibri" w:hAnsi="Verdana" w:cs="Arial"/>
          <w:b/>
          <w:bCs/>
          <w:sz w:val="21"/>
          <w:szCs w:val="21"/>
        </w:rPr>
        <w:t xml:space="preserve">: </w:t>
      </w:r>
      <w:r w:rsidRPr="001D1DF1">
        <w:rPr>
          <w:rFonts w:ascii="Verdana" w:eastAsia="Calibri" w:hAnsi="Verdana" w:cs="Arial"/>
          <w:sz w:val="21"/>
          <w:szCs w:val="21"/>
        </w:rPr>
        <w:t xml:space="preserve">La entidad  para dar cumplimiento al requerimiento legal, en  anexo del análisis del </w:t>
      </w:r>
      <w:r w:rsidRPr="001D1DF1">
        <w:rPr>
          <w:rFonts w:ascii="Verdana" w:eastAsia="Calibri" w:hAnsi="Verdana" w:cs="Arial"/>
          <w:sz w:val="21"/>
          <w:szCs w:val="21"/>
        </w:rPr>
        <w:lastRenderedPageBreak/>
        <w:t>sector justifica la experiencia adicional de la siguiente manera:  “</w:t>
      </w:r>
      <w:r w:rsidRPr="001D1DF1">
        <w:rPr>
          <w:rFonts w:ascii="Verdana" w:eastAsia="Calibri" w:hAnsi="Verdana" w:cs="Arial"/>
          <w:i/>
          <w:iCs/>
          <w:sz w:val="21"/>
          <w:szCs w:val="21"/>
          <w:u w:val="single"/>
        </w:rPr>
        <w:t xml:space="preserve">Justificación de la experiencia adicional solicitada: </w:t>
      </w:r>
      <w:r w:rsidRPr="001D1DF1">
        <w:rPr>
          <w:rFonts w:ascii="Verdana" w:eastAsia="Calibri" w:hAnsi="Verdana" w:cs="Arial"/>
          <w:i/>
          <w:iCs/>
          <w:sz w:val="21"/>
          <w:szCs w:val="21"/>
        </w:rPr>
        <w:t>De conformidad con lo establecido en  los documentos tipo de propósito social por Colombia Compra Eficiente, en especial en lo relativo a la necesidad de verificar las condiciones del mercado para la adquisición de bienes o servicios adicionales al componente de obra pública, y procurando que la experiencia adicional exigida no limite la concurrencia ni restrinja la pluralidad de oferentes, la entidad ha adelantado el respectivo estudio del sector, conforme a los artículos 2.2.1.1.1.6.1 y 2.2.1.1.1.6.2 del Decreto 1082 de 2015. Como resultado de dicho análisis, se ha evidenciado que la exigencia de experiencia adicional no representa una barrera de acceso al proceso de selección, dado que existen antecedentes verificables de entidades estatales que han estructurado procesos contractuales similares, en los que se ha requerido experiencia equivalente. Esto permite concluir que la experiencia solicitada es comúnmente requerida en el mercado para contratos bajo la modalidad "llave en mano", lo que demuestra que existe una oferta suficiente de proponentes capaces de cumplir con esta exigencia, sin comprometer la pluralidad ni la libre concurrencia. Adicionalmente, se resalta que el requisito de haber ejecutado al menos dos contratos bajo la modalidad "llave en mano" relacionados con edificaciones de propósito social guarda una relación directa y proporcional con el objeto contractual, el cual consiste en la ejecución integral de un proyecto institucional que incluye estudios, diseños y construcción. Este tipo de proyectos demanda un conocimiento técnico y una gestión integral que solo puede garantizarse con la experiencia específica en contratos similares. En consecuencia, la exigencia adicional se justifica no solo desde el punto de vista técnico y funcional, sino también en cumplimiento del principio de selección objetiva, toda vez que busca asegurar la idoneidad del contratista sin restringir injustificadamente la participación. (Se anexa copia del estudio del sector que respalda esta justificación).</w:t>
      </w:r>
    </w:p>
    <w:p w14:paraId="30D3E778" w14:textId="77777777" w:rsidR="00EC4560" w:rsidRPr="001D1DF1" w:rsidRDefault="00EC4560" w:rsidP="00EC4560">
      <w:pPr>
        <w:numPr>
          <w:ilvl w:val="0"/>
          <w:numId w:val="20"/>
        </w:numPr>
        <w:spacing w:after="120" w:line="240" w:lineRule="auto"/>
        <w:ind w:left="1069" w:right="709"/>
        <w:contextualSpacing/>
        <w:jc w:val="both"/>
        <w:rPr>
          <w:rFonts w:ascii="Verdana" w:eastAsia="Calibri" w:hAnsi="Verdana" w:cs="Arial"/>
          <w:b/>
          <w:bCs/>
          <w:sz w:val="21"/>
          <w:szCs w:val="21"/>
        </w:rPr>
      </w:pPr>
      <w:r w:rsidRPr="001D1DF1">
        <w:rPr>
          <w:rFonts w:ascii="Verdana" w:eastAsia="Calibri" w:hAnsi="Verdana" w:cs="Arial"/>
          <w:b/>
          <w:bCs/>
          <w:sz w:val="21"/>
          <w:szCs w:val="21"/>
        </w:rPr>
        <w:t>CONSERVAR LOS REQUISITOS EXIGIDOS EN LOS DOCUMENTOS TIPO.</w:t>
      </w:r>
      <w:r w:rsidRPr="001D1DF1">
        <w:rPr>
          <w:rFonts w:ascii="Verdana" w:eastAsia="Calibri" w:hAnsi="Verdana" w:cs="Arial"/>
          <w:sz w:val="21"/>
          <w:szCs w:val="21"/>
        </w:rPr>
        <w:t xml:space="preserve"> </w:t>
      </w:r>
      <w:r w:rsidRPr="001D1DF1">
        <w:rPr>
          <w:rFonts w:ascii="Verdana" w:eastAsia="Calibri" w:hAnsi="Verdana" w:cs="Arial"/>
          <w:b/>
          <w:bCs/>
          <w:color w:val="4472C4"/>
          <w:sz w:val="21"/>
          <w:szCs w:val="21"/>
        </w:rPr>
        <w:t>ACTUACIÓN DE LA ENTIDAD</w:t>
      </w:r>
      <w:r w:rsidRPr="001D1DF1">
        <w:rPr>
          <w:rFonts w:ascii="Verdana" w:eastAsia="Calibri" w:hAnsi="Verdana" w:cs="Arial"/>
          <w:sz w:val="21"/>
          <w:szCs w:val="21"/>
        </w:rPr>
        <w:t xml:space="preserve">: La entidad para dar cumplimiento al requisito </w:t>
      </w:r>
      <w:proofErr w:type="spellStart"/>
      <w:r w:rsidRPr="001D1DF1">
        <w:rPr>
          <w:rFonts w:ascii="Verdana" w:eastAsia="Calibri" w:hAnsi="Verdana" w:cs="Arial"/>
          <w:sz w:val="21"/>
          <w:szCs w:val="21"/>
        </w:rPr>
        <w:t>Nro</w:t>
      </w:r>
      <w:proofErr w:type="spellEnd"/>
      <w:r w:rsidRPr="001D1DF1">
        <w:rPr>
          <w:rFonts w:ascii="Verdana" w:eastAsia="Calibri" w:hAnsi="Verdana" w:cs="Arial"/>
          <w:sz w:val="21"/>
          <w:szCs w:val="21"/>
        </w:rPr>
        <w:t xml:space="preserve"> 2.  Indica: “</w:t>
      </w:r>
      <w:r w:rsidRPr="001D1DF1">
        <w:rPr>
          <w:rFonts w:ascii="Verdana" w:eastAsia="Calibri" w:hAnsi="Verdana" w:cs="Arial"/>
          <w:b/>
          <w:bCs/>
          <w:sz w:val="21"/>
          <w:szCs w:val="21"/>
        </w:rPr>
        <w:t xml:space="preserve">Justificación del Requisito No. 2: Conservación de los Requisitos Exigidos en los Documentos Tipo </w:t>
      </w:r>
      <w:r w:rsidRPr="001D1DF1">
        <w:rPr>
          <w:rFonts w:ascii="Verdana" w:eastAsia="Calibri" w:hAnsi="Verdana" w:cs="Arial"/>
          <w:sz w:val="21"/>
          <w:szCs w:val="21"/>
        </w:rPr>
        <w:t xml:space="preserve">En cumplimiento de lo establecido en la normativa vigente, y específicamente en atención a lo dispuesto en el </w:t>
      </w:r>
      <w:r w:rsidRPr="001D1DF1">
        <w:rPr>
          <w:rFonts w:ascii="Verdana" w:eastAsia="Calibri" w:hAnsi="Verdana" w:cs="Arial"/>
          <w:b/>
          <w:bCs/>
          <w:sz w:val="21"/>
          <w:szCs w:val="21"/>
        </w:rPr>
        <w:t>Decreto 1082 de 2015</w:t>
      </w:r>
      <w:r w:rsidRPr="001D1DF1">
        <w:rPr>
          <w:rFonts w:ascii="Verdana" w:eastAsia="Calibri" w:hAnsi="Verdana" w:cs="Arial"/>
          <w:sz w:val="21"/>
          <w:szCs w:val="21"/>
        </w:rPr>
        <w:t xml:space="preserve"> y en la política de estandarización de pliegos de Colombia Compra Eficiente, la Entidad </w:t>
      </w:r>
      <w:r w:rsidRPr="001D1DF1">
        <w:rPr>
          <w:rFonts w:ascii="Verdana" w:eastAsia="Calibri" w:hAnsi="Verdana" w:cs="Arial"/>
          <w:b/>
          <w:bCs/>
          <w:sz w:val="21"/>
          <w:szCs w:val="21"/>
        </w:rPr>
        <w:t>conserva en su integridad los requisitos de experiencia contenidos en el documento tipo aplicable al proceso</w:t>
      </w:r>
      <w:r w:rsidRPr="001D1DF1">
        <w:rPr>
          <w:rFonts w:ascii="Verdana" w:eastAsia="Calibri" w:hAnsi="Verdana" w:cs="Arial"/>
          <w:sz w:val="21"/>
          <w:szCs w:val="21"/>
        </w:rPr>
        <w:t xml:space="preserve">, en este caso, el </w:t>
      </w:r>
      <w:r w:rsidRPr="001D1DF1">
        <w:rPr>
          <w:rFonts w:ascii="Verdana" w:eastAsia="Calibri" w:hAnsi="Verdana" w:cs="Arial"/>
          <w:sz w:val="21"/>
          <w:szCs w:val="21"/>
        </w:rPr>
        <w:lastRenderedPageBreak/>
        <w:t xml:space="preserve">correspondiente a proyectos de infraestructura institucional. La inclusión literal de los criterios de experiencia general y específica obedece a que dichos requisitos ya han sido objeto de análisis técnico y jurídico por parte de la Agencia Nacional de Contratación Pública - Colombia Compra Eficiente, garantizando que estos cumplen con los principios de </w:t>
      </w:r>
      <w:r w:rsidRPr="001D1DF1">
        <w:rPr>
          <w:rFonts w:ascii="Verdana" w:eastAsia="Calibri" w:hAnsi="Verdana" w:cs="Arial"/>
          <w:b/>
          <w:bCs/>
          <w:sz w:val="21"/>
          <w:szCs w:val="21"/>
        </w:rPr>
        <w:t>proporcionalidad, razonabilidad, pluralidad de oferentes, selección objetiva y transparencia</w:t>
      </w:r>
      <w:r w:rsidRPr="001D1DF1">
        <w:rPr>
          <w:rFonts w:ascii="Verdana" w:eastAsia="Calibri" w:hAnsi="Verdana" w:cs="Arial"/>
          <w:sz w:val="21"/>
          <w:szCs w:val="21"/>
        </w:rPr>
        <w:t xml:space="preserve">. En efecto, el pliego tipo de la entidad establece los siguientes criterios: </w:t>
      </w:r>
      <w:r w:rsidRPr="001D1DF1">
        <w:rPr>
          <w:rFonts w:ascii="Verdana" w:eastAsia="Calibri" w:hAnsi="Verdana" w:cs="Arial"/>
          <w:b/>
          <w:bCs/>
          <w:sz w:val="21"/>
          <w:szCs w:val="21"/>
        </w:rPr>
        <w:t>Experiencia General</w:t>
      </w:r>
      <w:r w:rsidRPr="001D1DF1">
        <w:rPr>
          <w:rFonts w:ascii="Verdana" w:eastAsia="Calibri" w:hAnsi="Verdana" w:cs="Arial"/>
          <w:sz w:val="21"/>
          <w:szCs w:val="21"/>
        </w:rPr>
        <w:t xml:space="preserve">: El proponente debe acreditar experiencia en </w:t>
      </w:r>
      <w:r w:rsidRPr="001D1DF1">
        <w:rPr>
          <w:rFonts w:ascii="Verdana" w:eastAsia="Calibri" w:hAnsi="Verdana" w:cs="Arial"/>
          <w:b/>
          <w:bCs/>
          <w:sz w:val="21"/>
          <w:szCs w:val="21"/>
        </w:rPr>
        <w:t>proyectos que correspondan y/o contemplen actividades de construcción y/o ampliación y/o reconstrucción de edificaciones</w:t>
      </w:r>
      <w:r w:rsidRPr="001D1DF1">
        <w:rPr>
          <w:rFonts w:ascii="Verdana" w:eastAsia="Calibri" w:hAnsi="Verdana" w:cs="Arial"/>
          <w:sz w:val="21"/>
          <w:szCs w:val="21"/>
        </w:rPr>
        <w:t xml:space="preserve">. </w:t>
      </w:r>
      <w:r w:rsidRPr="001D1DF1">
        <w:rPr>
          <w:rFonts w:ascii="Verdana" w:eastAsia="Calibri" w:hAnsi="Verdana" w:cs="Arial"/>
          <w:b/>
          <w:bCs/>
          <w:sz w:val="21"/>
          <w:szCs w:val="21"/>
        </w:rPr>
        <w:t>Experiencia Específica</w:t>
      </w:r>
      <w:r w:rsidRPr="001D1DF1">
        <w:rPr>
          <w:rFonts w:ascii="Verdana" w:eastAsia="Calibri" w:hAnsi="Verdana" w:cs="Arial"/>
          <w:sz w:val="21"/>
          <w:szCs w:val="21"/>
        </w:rPr>
        <w:t xml:space="preserve">: Al menos uno (1) de los contratos válidos aportados como experiencia general debe contemplar un </w:t>
      </w:r>
      <w:r w:rsidRPr="001D1DF1">
        <w:rPr>
          <w:rFonts w:ascii="Verdana" w:eastAsia="Calibri" w:hAnsi="Verdana" w:cs="Arial"/>
          <w:b/>
          <w:bCs/>
          <w:sz w:val="21"/>
          <w:szCs w:val="21"/>
        </w:rPr>
        <w:t>área construida igual o superior al 70%</w:t>
      </w:r>
      <w:r w:rsidRPr="001D1DF1">
        <w:rPr>
          <w:rFonts w:ascii="Verdana" w:eastAsia="Calibri" w:hAnsi="Verdana" w:cs="Arial"/>
          <w:sz w:val="21"/>
          <w:szCs w:val="21"/>
        </w:rPr>
        <w:t xml:space="preserve"> del área total del objeto del presente proceso de selección”.</w:t>
      </w:r>
    </w:p>
    <w:p w14:paraId="4C63B09F" w14:textId="77777777" w:rsidR="00EC4560" w:rsidRPr="001D1DF1" w:rsidRDefault="00EC4560" w:rsidP="00EC4560">
      <w:pPr>
        <w:numPr>
          <w:ilvl w:val="0"/>
          <w:numId w:val="20"/>
        </w:numPr>
        <w:spacing w:after="120" w:line="240" w:lineRule="auto"/>
        <w:ind w:left="1069" w:right="709"/>
        <w:contextualSpacing/>
        <w:jc w:val="both"/>
        <w:rPr>
          <w:rFonts w:ascii="Verdana" w:eastAsia="Calibri" w:hAnsi="Verdana" w:cs="Arial"/>
          <w:sz w:val="21"/>
          <w:szCs w:val="21"/>
        </w:rPr>
      </w:pPr>
      <w:r w:rsidRPr="001D1DF1">
        <w:rPr>
          <w:rFonts w:ascii="Verdana" w:eastAsia="Calibri" w:hAnsi="Verdana" w:cs="Arial"/>
          <w:b/>
          <w:bCs/>
          <w:sz w:val="21"/>
          <w:szCs w:val="21"/>
        </w:rPr>
        <w:t xml:space="preserve">ABSTENERSE DE PEDIR EXPERIENCIA EXCLUSIVA CON ENTIDADES DE CUALQUIER NATURALEZA, EXPERIENCIA PREVIA EXCLUSIVA EN UN TERRITORIO ESPECÍFICO, LIMITADA EN EL TIEMPO O QUE INCLUYA VOLÚMENES O CANTIDADES DE OBRA ESPECÍFICA. </w:t>
      </w:r>
      <w:r w:rsidRPr="001D1DF1">
        <w:rPr>
          <w:rFonts w:ascii="Verdana" w:eastAsia="Calibri" w:hAnsi="Verdana" w:cs="Arial"/>
          <w:b/>
          <w:bCs/>
          <w:color w:val="4472C4"/>
          <w:sz w:val="21"/>
          <w:szCs w:val="21"/>
        </w:rPr>
        <w:t xml:space="preserve">ACTUACIÓN DE LA ENTIDAD: </w:t>
      </w:r>
      <w:r w:rsidRPr="001D1DF1">
        <w:rPr>
          <w:rFonts w:ascii="Verdana" w:eastAsia="Calibri" w:hAnsi="Verdana" w:cs="Arial"/>
          <w:b/>
          <w:bCs/>
          <w:sz w:val="21"/>
          <w:szCs w:val="21"/>
        </w:rPr>
        <w:t xml:space="preserve">Justificación del cumplimiento: No exigir experiencia exclusiva con entidades, territorios, tiempos o volúmenes específicos. </w:t>
      </w:r>
      <w:r w:rsidRPr="001D1DF1">
        <w:rPr>
          <w:rFonts w:ascii="Verdana" w:eastAsia="Calibri" w:hAnsi="Verdana" w:cs="Arial"/>
          <w:sz w:val="21"/>
          <w:szCs w:val="21"/>
        </w:rPr>
        <w:t>En atención a los lineamientos normativos de Colombia Compra Eficiente y en cumplimiento del principio de pluralidad de oferentes, la Entidad se ha abstenido de incluir en el pliego de condiciones requisitos de experiencia que limiten injustificadamente la participación de proponentes.  Una revisión detallada del pliego de condiciones permite constatar que la experiencia adicional solicitada admite como válida la ejecutada tanto con entidades públicas como privadas, sin limitarse a una naturaleza jurídica específica del contratante. Asimismo, no se exige que dicha experiencia haya sido adquirida en un lugar geográfico determinado, ni se establece una vigencia máxima para la experiencia aportada. De igual forma, no se condiciona la experiencia al cumplimiento de cantidades o volúmenes mínimos de obra más allá de los ya establecidos en los documentos tipo, los cuales —como se ha señalado— fueron adoptados en su totalidad. Por tanto, se concluye que los requisitos de experiencia establecidos por la Entidad no restringen de forma injustificada la participación en el proceso de selección, y se encuentran debidamente alineados con los principios de igualdad, libre concurrencia y selección objetiva que rigen la contratación pública en Colombia.</w:t>
      </w:r>
    </w:p>
    <w:p w14:paraId="277BAF49" w14:textId="77777777" w:rsidR="00EC4560" w:rsidRPr="001D1DF1" w:rsidRDefault="00EC4560" w:rsidP="00EC4560">
      <w:pPr>
        <w:numPr>
          <w:ilvl w:val="0"/>
          <w:numId w:val="20"/>
        </w:numPr>
        <w:spacing w:after="120" w:line="240" w:lineRule="auto"/>
        <w:ind w:left="1069" w:right="709"/>
        <w:contextualSpacing/>
        <w:jc w:val="both"/>
        <w:rPr>
          <w:rFonts w:ascii="Verdana" w:eastAsia="Calibri" w:hAnsi="Verdana" w:cs="Arial"/>
          <w:sz w:val="21"/>
          <w:szCs w:val="21"/>
        </w:rPr>
      </w:pPr>
      <w:r w:rsidRPr="001D1DF1">
        <w:rPr>
          <w:rFonts w:ascii="Verdana" w:eastAsia="Calibri" w:hAnsi="Verdana" w:cs="Arial"/>
          <w:sz w:val="21"/>
          <w:szCs w:val="21"/>
        </w:rPr>
        <w:lastRenderedPageBreak/>
        <w:t xml:space="preserve"> </w:t>
      </w:r>
      <w:r w:rsidRPr="001D1DF1">
        <w:rPr>
          <w:rFonts w:ascii="Verdana" w:eastAsia="Calibri" w:hAnsi="Verdana" w:cs="Arial"/>
          <w:b/>
          <w:bCs/>
          <w:sz w:val="21"/>
          <w:szCs w:val="21"/>
        </w:rPr>
        <w:t>CLASIFICAR LA EXPERIENCIA REQUERIDA SOLO HASTA EL TERCER NIVEL DEL CLASIFICADOR DE BIENES Y SERVICIOS E INCLUIR EXCLUSIVAMENTE LOS CÓDIGOS QUE ESTÉN RELACIONADOS DIRECTAMENTE CON EL OBJETO A CONTRATAR.</w:t>
      </w:r>
      <w:r w:rsidRPr="001D1DF1">
        <w:rPr>
          <w:rFonts w:ascii="Verdana" w:eastAsia="Calibri" w:hAnsi="Verdana" w:cs="Arial"/>
          <w:sz w:val="21"/>
          <w:szCs w:val="21"/>
        </w:rPr>
        <w:t xml:space="preserve">  </w:t>
      </w:r>
      <w:r w:rsidRPr="001D1DF1">
        <w:rPr>
          <w:rFonts w:ascii="Verdana" w:eastAsia="Calibri" w:hAnsi="Verdana" w:cs="Arial"/>
          <w:b/>
          <w:bCs/>
          <w:color w:val="4472C4"/>
          <w:sz w:val="21"/>
          <w:szCs w:val="21"/>
        </w:rPr>
        <w:t>ACTUACIÓN DE LA ENTIDAD:</w:t>
      </w:r>
      <w:r w:rsidRPr="001D1DF1">
        <w:rPr>
          <w:rFonts w:ascii="Verdana" w:eastAsia="Calibri" w:hAnsi="Verdana" w:cs="Arial"/>
          <w:sz w:val="21"/>
          <w:szCs w:val="21"/>
        </w:rPr>
        <w:t xml:space="preserve"> Indica la entidad en sus estudios: </w:t>
      </w:r>
      <w:r w:rsidRPr="001D1DF1">
        <w:rPr>
          <w:rFonts w:ascii="Verdana" w:eastAsia="Times New Roman" w:hAnsi="Verdana" w:cs="Arial"/>
          <w:sz w:val="21"/>
          <w:szCs w:val="21"/>
          <w:lang w:eastAsia="es-CO"/>
        </w:rPr>
        <w:t>Justificación del cumplimiento: Clasificación de la experiencia hasta el tercer nivel del Clasificador de Bienes y Servicios En cumplimiento de lo establecido en la Resolución 219 de 2021, modificada por la Resolución 275 de 2022, específicamente en lo dispuesto en relación con la clasificación de la experiencia requerida en los procesos de contratación, la Entidad ha dado aplicación a la regla que establece que la experiencia debe clasificarse únicamente hasta el tercer nivel del Clasificador de Bienes y Servicios, incluyendo exclusivamente aquellos códigos relacionados de manera directa con el objeto a contratar. En este sentido, para el presente proceso, cuyo objeto contractual incluye servicios asociados al sector de la consultoría, la Entidad ha identificado y clasificado la experiencia requerida hasta el tercer nivel del Clasificador, seleccionando únicamente los códigos que guardan relación directa con las actividades a ejecutar, y evitando incluir códigos que puedan resultar genéricos o no pertinentes. Adicionalmente, y en atención al Parágrafo 1 del artículo modificado, la Entidad ha verificado que el objeto contractual no contempla actividades que requieran la aplicación de otros documentos tipo ni la combinación de requisitos de experiencia conforme al numeral 3.5.1 del Documento Base. Por tanto, no resulta necesario aplicar reglas de combinación, y la clasificación utilizada es suficiente, adecuada y proporcional para garantizar la idoneidad del contratista sin restringir injustificadamente la participación. Esta medida busca preservar la objetividad del proceso y facilitar la concurrencia de proponentes, garantizando que los criterios exigidos se relacionan directamente con las características técnicas del contrato a adjudicar.</w:t>
      </w:r>
    </w:p>
    <w:p w14:paraId="4F005018" w14:textId="77777777" w:rsidR="00EC4560" w:rsidRPr="001D1DF1" w:rsidRDefault="00EC4560" w:rsidP="00EC4560">
      <w:pPr>
        <w:spacing w:after="120" w:line="240" w:lineRule="auto"/>
        <w:ind w:left="1069" w:right="709"/>
        <w:jc w:val="both"/>
        <w:rPr>
          <w:rFonts w:ascii="Verdana" w:eastAsia="Calibri" w:hAnsi="Verdana" w:cs="Arial"/>
          <w:sz w:val="21"/>
          <w:szCs w:val="21"/>
        </w:rPr>
      </w:pPr>
      <w:r w:rsidRPr="001D1DF1">
        <w:rPr>
          <w:rFonts w:ascii="Verdana" w:eastAsia="Calibri" w:hAnsi="Verdana" w:cs="Arial"/>
          <w:sz w:val="21"/>
          <w:szCs w:val="21"/>
        </w:rPr>
        <w:t>PREGUNTA Nro. 2. ¿La forma de pago pactada en un contrato "llave en mano", basada en entregables verificados (estudios aprobados), puede considerarse un anticipo o pago anticipado? ¿Existe alguna norma que prohíba este esquema? La entidad considera que no representa riesgo ni vulnera la normatividad.</w:t>
      </w:r>
    </w:p>
    <w:p w14:paraId="5A0D9AFC" w14:textId="77777777" w:rsidR="00EC4560" w:rsidRPr="001D1DF1" w:rsidRDefault="00EC4560" w:rsidP="00EC4560">
      <w:pPr>
        <w:spacing w:after="120" w:line="240" w:lineRule="auto"/>
        <w:ind w:left="709" w:right="709" w:firstLine="360"/>
        <w:jc w:val="both"/>
        <w:rPr>
          <w:rFonts w:ascii="Verdana" w:eastAsia="Arial" w:hAnsi="Verdana" w:cs="Arial"/>
          <w:color w:val="000000"/>
          <w:sz w:val="21"/>
          <w:szCs w:val="21"/>
        </w:rPr>
      </w:pPr>
      <w:r w:rsidRPr="001D1DF1">
        <w:rPr>
          <w:rFonts w:ascii="Verdana" w:eastAsia="Calibri" w:hAnsi="Verdana" w:cs="Arial"/>
          <w:sz w:val="21"/>
          <w:szCs w:val="21"/>
        </w:rPr>
        <w:t xml:space="preserve">Contexto: </w:t>
      </w:r>
    </w:p>
    <w:p w14:paraId="56FF8F76" w14:textId="606AF374" w:rsidR="00EC4560" w:rsidRPr="001D1DF1" w:rsidRDefault="00EC4560" w:rsidP="00EC4560">
      <w:pPr>
        <w:spacing w:after="120" w:line="240" w:lineRule="auto"/>
        <w:ind w:left="1069" w:right="709"/>
        <w:jc w:val="both"/>
        <w:rPr>
          <w:rFonts w:ascii="Verdana" w:eastAsia="Arial" w:hAnsi="Verdana" w:cs="Arial"/>
          <w:i/>
          <w:iCs/>
          <w:color w:val="000000"/>
          <w:sz w:val="21"/>
          <w:szCs w:val="21"/>
        </w:rPr>
      </w:pPr>
      <w:r w:rsidRPr="4A4DC93F">
        <w:rPr>
          <w:rFonts w:ascii="Verdana" w:eastAsia="Arial" w:hAnsi="Verdana" w:cs="Arial"/>
          <w:color w:val="000000" w:themeColor="text1"/>
          <w:sz w:val="21"/>
          <w:szCs w:val="21"/>
        </w:rPr>
        <w:t xml:space="preserve">Teniendo en cuenta que el contrato objeto de esta consulta se ejecutará bajo la modalidad de </w:t>
      </w:r>
      <w:r w:rsidRPr="4A4DC93F">
        <w:rPr>
          <w:rFonts w:ascii="Verdana" w:eastAsia="Arial" w:hAnsi="Verdana" w:cs="Arial"/>
          <w:b/>
          <w:color w:val="000000" w:themeColor="text1"/>
          <w:sz w:val="21"/>
          <w:szCs w:val="21"/>
        </w:rPr>
        <w:t>"llave en mano"</w:t>
      </w:r>
      <w:r w:rsidRPr="4A4DC93F">
        <w:rPr>
          <w:rFonts w:ascii="Verdana" w:eastAsia="Arial" w:hAnsi="Verdana" w:cs="Arial"/>
          <w:color w:val="000000" w:themeColor="text1"/>
          <w:sz w:val="21"/>
          <w:szCs w:val="21"/>
        </w:rPr>
        <w:t xml:space="preserve">, la Entidad ha previsto una forma de pago </w:t>
      </w:r>
      <w:r w:rsidRPr="001D1DF1">
        <w:rPr>
          <w:rFonts w:ascii="Verdana" w:eastAsia="Calibri" w:hAnsi="Verdana" w:cs="Arial"/>
          <w:sz w:val="21"/>
          <w:szCs w:val="21"/>
        </w:rPr>
        <w:t>“</w:t>
      </w:r>
      <w:r w:rsidRPr="4A4DC93F">
        <w:rPr>
          <w:rFonts w:ascii="Verdana" w:eastAsia="Arial" w:hAnsi="Verdana" w:cs="Arial"/>
          <w:i/>
          <w:color w:val="000000" w:themeColor="text1"/>
          <w:sz w:val="21"/>
          <w:szCs w:val="21"/>
        </w:rPr>
        <w:t xml:space="preserve">EI MUNICIPIO cancelará al contratista el valor de los Estudios y Diseños de la siguiente manera: Un 30% </w:t>
      </w:r>
      <w:r w:rsidRPr="4A4DC93F">
        <w:rPr>
          <w:rFonts w:ascii="Verdana" w:eastAsia="Arial" w:hAnsi="Verdana" w:cs="Arial"/>
          <w:i/>
          <w:color w:val="000000" w:themeColor="text1"/>
          <w:sz w:val="21"/>
          <w:szCs w:val="21"/>
        </w:rPr>
        <w:lastRenderedPageBreak/>
        <w:t>del valor del contrato una vez sean aprobados por la Interventoría y radicados ante el Ministerio.  El valor restante será cancelado contra- entrega de los estudios y diseños definitivos.  Y el valor de la obra se   pagará  en cuantías directamente proporcional al porcentaje del avance de obra, con un primer pago equivalente o superior al veinte por ciento (20%) del valor del contrato y hasta un 90% del valor del contrato mediante actas parciales previa aprobación por la supervisión designada, el 10% restante una vez cumplido el objeto contractual previa presentación de informe de actividades y previa acta de liquidación final, para lo cual requerirá que el contratista presente un informe final con el mismo contenido y alcance definido para los informes parciales, anexando además el paz y salvo de cada uno de los trabajadores por todo concepto, paz y salvo de las empresas de servicios públicos, de la personería y demás que la administración crea convenientes, el comprobante de pago del impuesto de timbre correspondiente al valor total de las actas de ajuste definitivo del contrato (cuando a ello hubiere a lugar) e igualmente los Comprobantes de pago en donde se demuestre el cumplimiento por parte del Contratista de sus obligaciones frente al Sistema de Seguridad Social Integral y parafiscales (Cajas de Compensación Familiar, Sena e ICBF). Para cada uno de los pagos el contratista debe cumplir con los siguientes requisitos: Informe parcial que contendrá entre otros los siguientes aspectos relacionados en la lista de chequeo para cobro de actas parciales, suministrada por la supervisión, y comprobantes de pago en donde se demuestre el cumplimiento por parte del Contratista de sus obligaciones frente al Sistema de Seguridad Social Integral y parafiscales (Cajas de Compensación Familiar, Sena e ICBF.</w:t>
      </w:r>
    </w:p>
    <w:p w14:paraId="252F7A82" w14:textId="77777777" w:rsidR="00EC4560" w:rsidRPr="001D1DF1" w:rsidRDefault="00EC4560" w:rsidP="00EC4560">
      <w:pPr>
        <w:spacing w:after="120" w:line="240" w:lineRule="auto"/>
        <w:ind w:left="1069" w:right="709"/>
        <w:jc w:val="both"/>
        <w:rPr>
          <w:rFonts w:ascii="Verdana" w:eastAsia="Arial" w:hAnsi="Verdana" w:cs="Arial"/>
          <w:color w:val="000000"/>
          <w:sz w:val="21"/>
          <w:szCs w:val="21"/>
        </w:rPr>
      </w:pPr>
      <w:r w:rsidRPr="001D1DF1">
        <w:rPr>
          <w:rFonts w:ascii="Verdana" w:eastAsia="Arial" w:hAnsi="Verdana" w:cs="Arial"/>
          <w:color w:val="000000"/>
          <w:sz w:val="21"/>
          <w:szCs w:val="21"/>
        </w:rPr>
        <w:t>En este sentido, los pagos están condicionados al cumplimiento de hitos contractuales verificables. A juicio de la Entidad, esta forma de pago no constituye un anticipo ni un pago anticipado, dado que no se realiza desembolso alguno sin que exista una contraprestación ejecutada y aprobada. Se fundamenta esta estructura de pagos en la autonomía contractual de la entidad, en la medida en que no existe una norma que defina de forma restrictiva cómo debe establecerse la forma de pago en contratos de esta naturaleza. Por ello, se solicita su concepto sobre si este esquema podría considerarse como anticipo o pago anticipado y si existe alguna norma que lo restrinja o prohíba expresamente en contratos bajo esta modalidad, siempre que no represente riesgo para la entidad ni afecte los principios de la contratación pública.</w:t>
      </w:r>
      <w:r w:rsidRPr="001D1DF1">
        <w:rPr>
          <w:rFonts w:ascii="Verdana" w:eastAsia="Century Gothic" w:hAnsi="Verdana" w:cs="Century Gothic"/>
          <w:sz w:val="21"/>
          <w:szCs w:val="21"/>
        </w:rPr>
        <w:t xml:space="preserve">”(sic). </w:t>
      </w:r>
    </w:p>
    <w:p w14:paraId="297BA27F" w14:textId="77777777" w:rsidR="00EC4560" w:rsidRPr="001D1DF1" w:rsidRDefault="00EC4560" w:rsidP="00EC4560">
      <w:pPr>
        <w:spacing w:after="0" w:line="276" w:lineRule="auto"/>
        <w:jc w:val="both"/>
        <w:rPr>
          <w:rFonts w:ascii="Verdana" w:eastAsia="Calibri" w:hAnsi="Verdana" w:cs="Arial"/>
          <w:lang w:val="es-ES" w:eastAsia="es-ES"/>
        </w:rPr>
      </w:pPr>
    </w:p>
    <w:p w14:paraId="0715B0BE" w14:textId="77777777" w:rsidR="00EC4560" w:rsidRPr="001D1DF1" w:rsidRDefault="00EC4560" w:rsidP="00EC4560">
      <w:pPr>
        <w:numPr>
          <w:ilvl w:val="0"/>
          <w:numId w:val="18"/>
        </w:numPr>
        <w:tabs>
          <w:tab w:val="left" w:pos="142"/>
          <w:tab w:val="left" w:pos="284"/>
        </w:tabs>
        <w:spacing w:after="0" w:line="276" w:lineRule="auto"/>
        <w:jc w:val="both"/>
        <w:rPr>
          <w:rFonts w:ascii="Verdana" w:eastAsia="Century Gothic" w:hAnsi="Verdana" w:cs="Century Gothic"/>
          <w:b/>
          <w:bCs/>
        </w:rPr>
      </w:pPr>
      <w:r w:rsidRPr="001D1DF1">
        <w:rPr>
          <w:rFonts w:ascii="Verdana" w:eastAsia="Century Gothic" w:hAnsi="Verdana" w:cs="Century Gothic"/>
          <w:b/>
          <w:bCs/>
        </w:rPr>
        <w:lastRenderedPageBreak/>
        <w:t>Problema planteado:</w:t>
      </w:r>
    </w:p>
    <w:p w14:paraId="662A0AE4" w14:textId="77777777" w:rsidR="00EC4560" w:rsidRPr="001D1DF1" w:rsidRDefault="00EC4560" w:rsidP="00EC4560">
      <w:pPr>
        <w:tabs>
          <w:tab w:val="left" w:pos="426"/>
        </w:tabs>
        <w:spacing w:after="0" w:line="276" w:lineRule="auto"/>
        <w:jc w:val="both"/>
        <w:rPr>
          <w:rFonts w:ascii="Verdana" w:eastAsia="Century Gothic" w:hAnsi="Verdana" w:cs="Century Gothic"/>
          <w:lang w:val="es-ES"/>
        </w:rPr>
      </w:pPr>
    </w:p>
    <w:p w14:paraId="75F0AA8F" w14:textId="194D87FC" w:rsidR="00EC4560" w:rsidRPr="001D1DF1" w:rsidRDefault="00EC4560" w:rsidP="00EC4560">
      <w:pPr>
        <w:spacing w:after="0" w:line="276" w:lineRule="auto"/>
        <w:jc w:val="both"/>
        <w:rPr>
          <w:rFonts w:ascii="Verdana" w:eastAsia="Calibri" w:hAnsi="Verdana" w:cs="Arial"/>
          <w:lang w:val="es-ES" w:eastAsia="es-ES"/>
        </w:rPr>
      </w:pPr>
      <w:r w:rsidRPr="001D1DF1">
        <w:rPr>
          <w:rFonts w:ascii="Verdana" w:eastAsia="Century Gothic" w:hAnsi="Verdana" w:cs="Century Gothic"/>
        </w:rPr>
        <w:t xml:space="preserve">De acuerdo con el contenido de su solicitud, </w:t>
      </w:r>
      <w:r>
        <w:rPr>
          <w:rFonts w:ascii="Verdana" w:eastAsia="Century Gothic" w:hAnsi="Verdana" w:cs="Century Gothic"/>
        </w:rPr>
        <w:t xml:space="preserve">en relación con los documentos tipo del sector social, </w:t>
      </w:r>
      <w:r w:rsidRPr="001D1DF1">
        <w:rPr>
          <w:rFonts w:ascii="Verdana" w:eastAsia="Century Gothic" w:hAnsi="Verdana" w:cs="Century Gothic"/>
        </w:rPr>
        <w:t>esta Agencia resolverá l</w:t>
      </w:r>
      <w:r>
        <w:rPr>
          <w:rFonts w:ascii="Verdana" w:eastAsia="Century Gothic" w:hAnsi="Verdana" w:cs="Century Gothic"/>
        </w:rPr>
        <w:t>os</w:t>
      </w:r>
      <w:r w:rsidRPr="001D1DF1">
        <w:rPr>
          <w:rFonts w:ascii="Verdana" w:eastAsia="Century Gothic" w:hAnsi="Verdana" w:cs="Century Gothic"/>
        </w:rPr>
        <w:t xml:space="preserve"> siguiente</w:t>
      </w:r>
      <w:r>
        <w:rPr>
          <w:rFonts w:ascii="Verdana" w:eastAsia="Century Gothic" w:hAnsi="Verdana" w:cs="Century Gothic"/>
        </w:rPr>
        <w:t>s</w:t>
      </w:r>
      <w:r w:rsidRPr="001D1DF1">
        <w:rPr>
          <w:rFonts w:ascii="Verdana" w:eastAsia="Century Gothic" w:hAnsi="Verdana" w:cs="Century Gothic"/>
        </w:rPr>
        <w:t xml:space="preserve"> problema</w:t>
      </w:r>
      <w:r>
        <w:rPr>
          <w:rFonts w:ascii="Verdana" w:eastAsia="Century Gothic" w:hAnsi="Verdana" w:cs="Century Gothic"/>
        </w:rPr>
        <w:t>s</w:t>
      </w:r>
      <w:r w:rsidRPr="001D1DF1">
        <w:rPr>
          <w:rFonts w:ascii="Verdana" w:eastAsia="Century Gothic" w:hAnsi="Verdana" w:cs="Century Gothic"/>
        </w:rPr>
        <w:t xml:space="preserve"> jurídico</w:t>
      </w:r>
      <w:r>
        <w:rPr>
          <w:rFonts w:ascii="Verdana" w:eastAsia="Century Gothic" w:hAnsi="Verdana" w:cs="Century Gothic"/>
        </w:rPr>
        <w:t>s</w:t>
      </w:r>
      <w:r w:rsidRPr="001D1DF1">
        <w:rPr>
          <w:rFonts w:ascii="Verdana" w:eastAsia="Century Gothic" w:hAnsi="Verdana" w:cs="Century Gothic"/>
        </w:rPr>
        <w:t xml:space="preserve">: </w:t>
      </w:r>
      <w:r w:rsidRPr="4A4DC93F">
        <w:rPr>
          <w:rFonts w:ascii="Verdana" w:eastAsia="Calibri" w:hAnsi="Verdana" w:cs="Arial"/>
          <w:lang w:val="es-ES" w:eastAsia="es-ES"/>
        </w:rPr>
        <w:t xml:space="preserve">i) ¿Con los documentos tipo </w:t>
      </w:r>
      <w:r w:rsidRPr="4A4DC93F">
        <w:rPr>
          <w:rFonts w:ascii="Verdana" w:eastAsia="Calibri" w:hAnsi="Verdana" w:cs="Arial"/>
          <w:i/>
          <w:lang w:val="es-ES" w:eastAsia="es-ES"/>
        </w:rPr>
        <w:t>vigentes</w:t>
      </w:r>
      <w:r w:rsidRPr="4A4DC93F">
        <w:rPr>
          <w:rFonts w:ascii="Verdana" w:eastAsia="Calibri" w:hAnsi="Verdana" w:cs="Arial"/>
          <w:lang w:val="es-ES" w:eastAsia="es-ES"/>
        </w:rPr>
        <w:t xml:space="preserve"> del sector de infraestructura social, se puede contratar un proyecto que tenga por objeto “estudios, diseños y construcción de un centro administrativo municipal”?, </w:t>
      </w:r>
      <w:proofErr w:type="spellStart"/>
      <w:r w:rsidRPr="4A4DC93F">
        <w:rPr>
          <w:rFonts w:ascii="Verdana" w:eastAsia="Calibri" w:hAnsi="Verdana" w:cs="Arial"/>
          <w:lang w:val="es-ES" w:eastAsia="es-ES"/>
        </w:rPr>
        <w:t>ii</w:t>
      </w:r>
      <w:proofErr w:type="spellEnd"/>
      <w:r w:rsidRPr="4A4DC93F">
        <w:rPr>
          <w:rFonts w:ascii="Verdana" w:eastAsia="Calibri" w:hAnsi="Verdana" w:cs="Arial"/>
          <w:lang w:val="es-ES" w:eastAsia="es-ES"/>
        </w:rPr>
        <w:t xml:space="preserve">) ¿Cuál es el alcance del artículo 4 de la Resolución 219 de 2021?, </w:t>
      </w:r>
      <w:proofErr w:type="spellStart"/>
      <w:r w:rsidRPr="4A4DC93F">
        <w:rPr>
          <w:rFonts w:ascii="Verdana" w:eastAsia="Calibri" w:hAnsi="Verdana" w:cs="Arial"/>
          <w:lang w:val="es-ES" w:eastAsia="es-ES"/>
        </w:rPr>
        <w:t>iii</w:t>
      </w:r>
      <w:proofErr w:type="spellEnd"/>
      <w:r w:rsidRPr="4A4DC93F">
        <w:rPr>
          <w:rFonts w:ascii="Verdana" w:eastAsia="Calibri" w:hAnsi="Verdana" w:cs="Arial"/>
          <w:lang w:val="es-ES" w:eastAsia="es-ES"/>
        </w:rPr>
        <w:t>) ¿Con los nuevos documentos tipo del sector social adoptados por medio de las Resoluciones 539,</w:t>
      </w:r>
      <w:r w:rsidR="1D95CCBC" w:rsidRPr="4A4DC93F">
        <w:rPr>
          <w:rFonts w:ascii="Verdana" w:eastAsia="Calibri" w:hAnsi="Verdana" w:cs="Arial"/>
          <w:lang w:val="es-ES" w:eastAsia="es-ES"/>
        </w:rPr>
        <w:t xml:space="preserve"> </w:t>
      </w:r>
      <w:r w:rsidRPr="4A4DC93F">
        <w:rPr>
          <w:rFonts w:ascii="Verdana" w:eastAsia="Calibri" w:hAnsi="Verdana" w:cs="Arial"/>
          <w:lang w:val="es-ES" w:eastAsia="es-ES"/>
        </w:rPr>
        <w:t xml:space="preserve">540 y 541 de 2025, se puede contratar un proyecto que tenga por objeto “estudios, diseños y construcción de un centro administrativo municipal” ?, </w:t>
      </w:r>
      <w:proofErr w:type="spellStart"/>
      <w:r w:rsidRPr="4A4DC93F">
        <w:rPr>
          <w:rFonts w:ascii="Verdana" w:eastAsia="Calibri" w:hAnsi="Verdana" w:cs="Arial"/>
          <w:lang w:val="es-ES" w:eastAsia="es-ES"/>
        </w:rPr>
        <w:t>iv</w:t>
      </w:r>
      <w:proofErr w:type="spellEnd"/>
      <w:r w:rsidRPr="4A4DC93F">
        <w:rPr>
          <w:rFonts w:ascii="Verdana" w:eastAsia="Calibri" w:hAnsi="Verdana" w:cs="Arial"/>
          <w:lang w:val="es-ES" w:eastAsia="es-ES"/>
        </w:rPr>
        <w:t>) ¿Qué es el contrato llave en mano? y v) ¿puede pactarse anticipo y/o pago anticipado en contratos llave en mano?</w:t>
      </w:r>
    </w:p>
    <w:p w14:paraId="2CCC3912" w14:textId="77777777" w:rsidR="00EC4560" w:rsidRPr="001D1DF1" w:rsidRDefault="00EC4560" w:rsidP="00EC4560">
      <w:pPr>
        <w:spacing w:after="0" w:line="276" w:lineRule="auto"/>
        <w:jc w:val="both"/>
        <w:rPr>
          <w:rFonts w:ascii="Verdana" w:eastAsia="Century Gothic" w:hAnsi="Verdana" w:cs="Century Gothic"/>
        </w:rPr>
      </w:pPr>
    </w:p>
    <w:p w14:paraId="31B62A74" w14:textId="0AECEC1E" w:rsidR="00EC4560" w:rsidRPr="001D1DF1" w:rsidRDefault="00E93A07" w:rsidP="00E93A07">
      <w:p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 xml:space="preserve">2. </w:t>
      </w:r>
      <w:r w:rsidR="00EC4560" w:rsidRPr="001D1DF1">
        <w:rPr>
          <w:rFonts w:ascii="Verdana" w:eastAsia="Century Gothic" w:hAnsi="Verdana" w:cs="Century Gothic"/>
          <w:b/>
          <w:bCs/>
          <w:lang w:val="es-ES"/>
        </w:rPr>
        <w:t>Respuestas:</w:t>
      </w:r>
    </w:p>
    <w:p w14:paraId="34875F7C" w14:textId="77777777" w:rsidR="00EC4560" w:rsidRPr="001D1DF1" w:rsidRDefault="00EC4560" w:rsidP="00EC4560">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4560" w:rsidRPr="001D1DF1" w14:paraId="52D5BDC0" w14:textId="77777777" w:rsidTr="00DA5914">
        <w:trPr>
          <w:trHeight w:val="40"/>
        </w:trPr>
        <w:tc>
          <w:tcPr>
            <w:tcW w:w="8828" w:type="dxa"/>
            <w:tcBorders>
              <w:top w:val="dotted" w:sz="4" w:space="0" w:color="auto"/>
              <w:left w:val="dotted" w:sz="4" w:space="0" w:color="auto"/>
              <w:bottom w:val="dotted" w:sz="4" w:space="0" w:color="auto"/>
              <w:right w:val="dotted" w:sz="4" w:space="0" w:color="auto"/>
            </w:tcBorders>
          </w:tcPr>
          <w:p w14:paraId="4866EC7E" w14:textId="3572D5E4" w:rsidR="00EC4560" w:rsidRPr="00087D7B" w:rsidRDefault="00EC4560" w:rsidP="00DA5914">
            <w:pPr>
              <w:spacing w:after="120" w:line="276" w:lineRule="auto"/>
              <w:jc w:val="both"/>
              <w:textAlignment w:val="baseline"/>
              <w:rPr>
                <w:rFonts w:ascii="Verdana" w:eastAsia="Times New Roman" w:hAnsi="Verdana" w:cs="Times New Roman"/>
                <w:color w:val="000000"/>
                <w:lang w:eastAsia="es-CO"/>
              </w:rPr>
            </w:pPr>
            <w:r>
              <w:rPr>
                <w:rFonts w:ascii="Verdana" w:eastAsia="Calibri" w:hAnsi="Verdana" w:cs="Times New Roman"/>
                <w:lang w:val="es-ES"/>
              </w:rPr>
              <w:t>i)</w:t>
            </w:r>
            <w:r w:rsidRPr="00087D7B">
              <w:rPr>
                <w:rFonts w:ascii="Verdana" w:eastAsia="Calibri" w:hAnsi="Verdana" w:cs="Times New Roman"/>
                <w:lang w:val="es-ES"/>
              </w:rPr>
              <w:t xml:space="preserve"> </w:t>
            </w:r>
            <w:r>
              <w:rPr>
                <w:rFonts w:ascii="Verdana" w:eastAsia="Calibri" w:hAnsi="Verdana" w:cs="Times New Roman"/>
                <w:lang w:val="es-ES"/>
              </w:rPr>
              <w:t xml:space="preserve">No. Considerando que, </w:t>
            </w:r>
            <w:r w:rsidRPr="4A4DC93F">
              <w:rPr>
                <w:rFonts w:ascii="Verdana" w:eastAsia="Times New Roman" w:hAnsi="Verdana" w:cs="Times New Roman"/>
                <w:color w:val="000000" w:themeColor="text1"/>
                <w:lang w:eastAsia="es-CO"/>
              </w:rPr>
              <w:t>revisadas las actividades previstas en los documentos tipo de infraestructura social</w:t>
            </w:r>
            <w:r w:rsidR="0022562D" w:rsidRPr="4A4DC93F">
              <w:rPr>
                <w:rFonts w:ascii="Verdana" w:eastAsia="Times New Roman" w:hAnsi="Verdana" w:cs="Times New Roman"/>
                <w:color w:val="000000" w:themeColor="text1"/>
                <w:lang w:eastAsia="es-CO"/>
              </w:rPr>
              <w:t xml:space="preserve"> vigentes en la actualidad y</w:t>
            </w:r>
            <w:r w:rsidRPr="4A4DC93F">
              <w:rPr>
                <w:rFonts w:ascii="Verdana" w:eastAsia="Times New Roman" w:hAnsi="Verdana" w:cs="Times New Roman"/>
                <w:color w:val="000000" w:themeColor="text1"/>
                <w:lang w:eastAsia="es-CO"/>
              </w:rPr>
              <w:t xml:space="preserve"> adoptados por medio de las Resoluciones </w:t>
            </w:r>
            <w:r w:rsidR="74F4B994" w:rsidRPr="4A4DC93F">
              <w:rPr>
                <w:rFonts w:ascii="Verdana" w:eastAsia="Times New Roman" w:hAnsi="Verdana" w:cs="Times New Roman"/>
                <w:color w:val="000000" w:themeColor="text1"/>
                <w:lang w:eastAsia="es-CO"/>
              </w:rPr>
              <w:t xml:space="preserve">219, </w:t>
            </w:r>
            <w:r w:rsidRPr="4A4DC93F">
              <w:rPr>
                <w:rFonts w:ascii="Verdana" w:eastAsia="Times New Roman" w:hAnsi="Verdana" w:cs="Times New Roman"/>
                <w:color w:val="000000" w:themeColor="text1"/>
                <w:lang w:eastAsia="es-CO"/>
              </w:rPr>
              <w:t xml:space="preserve">220, 392 у 454 de 2021, aplicables respectivamente a los  sectores educativo, salud, cultura, recreación y deporte, en la modalidad de licitación pública, se observa que, en los casos en que los servicios que se prestan en estos centros sean exclusivamente para el desarrollo de actividades administrativas, los documentos mencionados no contemplan actividades para su construcción. En el mismo sentido, debe señalarse que, en el sector de infraestructura social, a la fecha, no existen documentos tipo para realizar estudios y diseños en dicho ámbito. </w:t>
            </w:r>
          </w:p>
          <w:p w14:paraId="2F8B6C73" w14:textId="77777777" w:rsidR="00EC4560" w:rsidRDefault="00EC4560" w:rsidP="00DA5914">
            <w:pPr>
              <w:tabs>
                <w:tab w:val="left" w:pos="2977"/>
              </w:tabs>
              <w:spacing w:after="120" w:line="276" w:lineRule="auto"/>
              <w:ind w:firstLine="708"/>
              <w:jc w:val="both"/>
              <w:rPr>
                <w:rFonts w:ascii="Verdana" w:eastAsia="Calibri" w:hAnsi="Verdana" w:cs="Times New Roman"/>
                <w:lang w:val="es-ES"/>
              </w:rPr>
            </w:pPr>
            <w:r>
              <w:rPr>
                <w:rFonts w:ascii="Verdana" w:eastAsia="Calibri" w:hAnsi="Verdana" w:cs="Times New Roman"/>
                <w:lang w:val="es-ES"/>
              </w:rPr>
              <w:t>Sin perjuicio de lo anterior</w:t>
            </w:r>
            <w:r w:rsidRPr="00AC37F0">
              <w:rPr>
                <w:rFonts w:ascii="Verdana" w:eastAsia="Calibri" w:hAnsi="Verdana" w:cs="Times New Roman"/>
                <w:lang w:val="es-ES"/>
              </w:rPr>
              <w:t xml:space="preserve">, </w:t>
            </w:r>
            <w:r>
              <w:rPr>
                <w:rFonts w:ascii="Verdana" w:eastAsia="Calibri" w:hAnsi="Verdana" w:cs="Times New Roman"/>
                <w:lang w:val="es-ES"/>
              </w:rPr>
              <w:t xml:space="preserve">le indicamos que, </w:t>
            </w:r>
            <w:r w:rsidRPr="00AC37F0">
              <w:rPr>
                <w:rFonts w:ascii="Verdana" w:eastAsia="Calibri" w:hAnsi="Verdana" w:cs="Times New Roman"/>
                <w:lang w:val="es-ES"/>
              </w:rPr>
              <w:t xml:space="preserve">la entidad contratante definirá en cada caso concreto lo relacionado con </w:t>
            </w:r>
            <w:r>
              <w:rPr>
                <w:rFonts w:ascii="Verdana" w:eastAsia="Calibri" w:hAnsi="Verdana" w:cs="Times New Roman"/>
                <w:lang w:val="es-ES"/>
              </w:rPr>
              <w:t xml:space="preserve">la aplicación de los documentos tipo expedidos por esta Agencia para adelantar los estudios, diseños y construcción de un centro administrativo municipal, atendiendo a las particularidades del proyecto que pretende adelantar. </w:t>
            </w:r>
          </w:p>
          <w:p w14:paraId="12CC46FB" w14:textId="32080C3D" w:rsidR="00EC4560" w:rsidRDefault="00EC4560" w:rsidP="00DA5914">
            <w:pPr>
              <w:tabs>
                <w:tab w:val="left" w:pos="2977"/>
              </w:tabs>
              <w:spacing w:after="120" w:line="276" w:lineRule="auto"/>
              <w:jc w:val="both"/>
              <w:rPr>
                <w:rFonts w:ascii="Verdana" w:eastAsia="Calibri" w:hAnsi="Verdana" w:cs="Times New Roman"/>
                <w:lang w:val="es-ES"/>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w:t>
            </w:r>
            <w:r>
              <w:rPr>
                <w:rFonts w:ascii="Verdana" w:eastAsia="Aptos" w:hAnsi="Verdana" w:cs="Times New Roman"/>
              </w:rPr>
              <w:t>C</w:t>
            </w:r>
            <w:r w:rsidRPr="00700909">
              <w:rPr>
                <w:rFonts w:ascii="Verdana" w:eastAsia="Aptos" w:hAnsi="Verdana" w:cs="Times New Roman"/>
              </w:rPr>
              <w:t xml:space="preserve">uando la entidad requiere bienes y servicios que no se encuentran incluidos como obra de infraestructura social en la “Matriz – Experiencia” y considera necesario exigir experiencia adicional, se </w:t>
            </w:r>
            <w:r w:rsidR="083714D9" w:rsidRPr="4A4DC93F">
              <w:rPr>
                <w:rFonts w:ascii="Verdana" w:eastAsia="Aptos" w:hAnsi="Verdana" w:cs="Times New Roman"/>
              </w:rPr>
              <w:t>puede optar por</w:t>
            </w:r>
            <w:r w:rsidRPr="00700909">
              <w:rPr>
                <w:rFonts w:ascii="Verdana" w:eastAsia="Aptos" w:hAnsi="Verdana" w:cs="Times New Roman"/>
              </w:rPr>
              <w:t xml:space="preserve"> aplicar el artículo 4 de la Resolución No. 219 de 2021. Esta norma dispone los eventos en los que el objeto contractual incluye bienes o servicios adicionales a la obra </w:t>
            </w:r>
            <w:r w:rsidRPr="00700909">
              <w:rPr>
                <w:rFonts w:ascii="Verdana" w:eastAsia="Aptos" w:hAnsi="Verdana" w:cs="Times New Roman"/>
              </w:rPr>
              <w:lastRenderedPageBreak/>
              <w:t>pública de infraestructura social. En este caso, la entidad puede incluir experiencia adicional para evaluar la idoneidad respecto de los bienes o servicios ajenos a la obra pública de infraestructura social</w:t>
            </w:r>
            <w:r>
              <w:rPr>
                <w:rFonts w:ascii="Verdana" w:eastAsia="Aptos" w:hAnsi="Verdana" w:cs="Times New Roman"/>
              </w:rPr>
              <w:t xml:space="preserve">. </w:t>
            </w:r>
            <w:r w:rsidRPr="4A4DC93F">
              <w:rPr>
                <w:rFonts w:ascii="Verdana" w:eastAsia="Times New Roman" w:hAnsi="Verdana" w:cs="Times New Roman"/>
                <w:color w:val="000000" w:themeColor="text1"/>
                <w:lang w:eastAsia="es-CO"/>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4A4DC93F">
              <w:rPr>
                <w:rFonts w:ascii="Verdana" w:eastAsia="Times New Roman" w:hAnsi="Verdana" w:cs="Times New Roman"/>
                <w:color w:val="000000" w:themeColor="text1"/>
                <w:lang w:eastAsia="es-CO"/>
              </w:rPr>
              <w:t>ii</w:t>
            </w:r>
            <w:proofErr w:type="spellEnd"/>
            <w:r w:rsidRPr="4A4DC93F">
              <w:rPr>
                <w:rFonts w:ascii="Verdana" w:eastAsia="Times New Roman" w:hAnsi="Verdana" w:cs="Times New Roman"/>
                <w:color w:val="000000" w:themeColor="text1"/>
                <w:lang w:eastAsia="es-CO"/>
              </w:rPr>
              <w:t xml:space="preserve">) conservar los requisitos exigidos en los documentos tipo, </w:t>
            </w:r>
            <w:proofErr w:type="spellStart"/>
            <w:r w:rsidRPr="4A4DC93F">
              <w:rPr>
                <w:rFonts w:ascii="Verdana" w:eastAsia="Times New Roman" w:hAnsi="Verdana" w:cs="Times New Roman"/>
                <w:color w:val="000000" w:themeColor="text1"/>
                <w:lang w:eastAsia="es-CO"/>
              </w:rPr>
              <w:t>iii</w:t>
            </w:r>
            <w:proofErr w:type="spellEnd"/>
            <w:r w:rsidRPr="4A4DC93F">
              <w:rPr>
                <w:rFonts w:ascii="Verdana" w:eastAsia="Times New Roman" w:hAnsi="Verdana" w:cs="Times New Roman"/>
                <w:color w:val="000000" w:themeColor="text1"/>
                <w:lang w:eastAsia="es-CO"/>
              </w:rPr>
              <w:t xml:space="preserve">) abstenerse de pedir experiencia exclusiva con entidades de cualquier naturaleza, experiencia previa en un territorio específico, limitada en el tiempo o que incluya volúmenes o cantidades de obra específica, </w:t>
            </w:r>
            <w:proofErr w:type="spellStart"/>
            <w:r w:rsidRPr="4A4DC93F">
              <w:rPr>
                <w:rFonts w:ascii="Verdana" w:eastAsia="Times New Roman" w:hAnsi="Verdana" w:cs="Times New Roman"/>
                <w:color w:val="000000" w:themeColor="text1"/>
                <w:lang w:eastAsia="es-CO"/>
              </w:rPr>
              <w:t>iv</w:t>
            </w:r>
            <w:proofErr w:type="spellEnd"/>
            <w:r w:rsidRPr="4A4DC93F">
              <w:rPr>
                <w:rFonts w:ascii="Verdana" w:eastAsia="Times New Roman" w:hAnsi="Verdana" w:cs="Times New Roman"/>
                <w:color w:val="000000" w:themeColor="text1"/>
                <w:lang w:eastAsia="es-CO"/>
              </w:rPr>
              <w:t>) clasificar la experiencia requerida solo hasta el tercer nivel del clasificador de bienes y servicios e incluir exclusivamente los códigos que estén relacionados directamente con el objeto a contratar.</w:t>
            </w:r>
          </w:p>
          <w:p w14:paraId="41CBBE6F" w14:textId="12F51B26" w:rsidR="00EC4560" w:rsidRDefault="00EC4560" w:rsidP="00DA5914">
            <w:pPr>
              <w:spacing w:after="120" w:line="276" w:lineRule="auto"/>
              <w:ind w:firstLine="708"/>
              <w:jc w:val="both"/>
              <w:textAlignment w:val="baseline"/>
              <w:rPr>
                <w:rFonts w:ascii="Verdana" w:eastAsia="Times New Roman" w:hAnsi="Verdana" w:cs="Times New Roman"/>
                <w:color w:val="000000"/>
                <w:lang w:eastAsia="es-CO"/>
              </w:rPr>
            </w:pPr>
            <w:r w:rsidRPr="4A4DC93F">
              <w:rPr>
                <w:rFonts w:ascii="Verdana" w:eastAsia="Times New Roman" w:hAnsi="Verdana" w:cs="Times New Roman"/>
                <w:color w:val="000000" w:themeColor="text1"/>
                <w:lang w:eastAsia="es-CO"/>
              </w:rPr>
              <w:t xml:space="preserve">La </w:t>
            </w:r>
            <w:r w:rsidR="7E35EF3E" w:rsidRPr="4A4DC93F">
              <w:rPr>
                <w:rFonts w:ascii="Verdana" w:eastAsia="Times New Roman" w:hAnsi="Verdana" w:cs="Times New Roman"/>
                <w:color w:val="000000" w:themeColor="text1"/>
                <w:lang w:eastAsia="es-CO"/>
              </w:rPr>
              <w:t>E</w:t>
            </w:r>
            <w:r w:rsidRPr="4A4DC93F">
              <w:rPr>
                <w:rFonts w:ascii="Verdana" w:eastAsia="Times New Roman" w:hAnsi="Verdana" w:cs="Times New Roman"/>
                <w:color w:val="000000" w:themeColor="text1"/>
                <w:lang w:eastAsia="es-CO"/>
              </w:rPr>
              <w:t>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los bienes o servicios no afecta significativamente la pluralidad de oferentes. Es decir, la entidad debe revisar que al solicitar esta experiencia existen suficientes potenciales proponentes que puedan acreditar estas condiciones.</w:t>
            </w:r>
          </w:p>
          <w:p w14:paraId="40558B74" w14:textId="77777777" w:rsidR="00EC4560" w:rsidRDefault="00EC4560" w:rsidP="00DA5914">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Times New Roman" w:hAnsi="Verdana" w:cs="Times New Roman"/>
                <w:color w:val="000000"/>
                <w:lang w:eastAsia="es-CO"/>
              </w:rPr>
              <w:t>En segundo lugar, la solicitud de esta experiencia no permite que la entidad modifique los requisitos habilitantes y de ponderación de la propuesta, por lo cual se deben mantener los establecidos en los documentos tipo.</w:t>
            </w:r>
          </w:p>
          <w:p w14:paraId="2CD3C6E5" w14:textId="77777777" w:rsidR="00EC4560" w:rsidRDefault="00EC4560" w:rsidP="00DA5914">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Times New Roman" w:hAnsi="Verdana" w:cs="Times New Roman"/>
                <w:color w:val="000000"/>
                <w:lang w:eastAsia="es-CO"/>
              </w:rPr>
              <w:t>En tercer lugar, la experiencia adicional solicitada debe relacionarse con los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r>
              <w:rPr>
                <w:rFonts w:ascii="Verdana" w:eastAsia="Times New Roman" w:hAnsi="Verdana" w:cs="Times New Roman"/>
                <w:color w:val="000000"/>
                <w:lang w:eastAsia="es-CO"/>
              </w:rPr>
              <w:t xml:space="preserve"> </w:t>
            </w:r>
            <w:r w:rsidRPr="00700909">
              <w:rPr>
                <w:rFonts w:ascii="Verdana" w:eastAsia="Times New Roman" w:hAnsi="Verdana" w:cs="Times New Roman"/>
                <w:color w:val="000000"/>
                <w:lang w:eastAsia="es-CO"/>
              </w:rPr>
              <w:t xml:space="preserve">Por último, la experiencia requerida debe clasificarse hasta el tercer nivel del clasificador de </w:t>
            </w:r>
            <w:r w:rsidRPr="00700909">
              <w:rPr>
                <w:rFonts w:ascii="Verdana" w:eastAsia="Times New Roman" w:hAnsi="Verdana" w:cs="Times New Roman"/>
                <w:color w:val="000000"/>
                <w:lang w:eastAsia="es-CO"/>
              </w:rPr>
              <w:lastRenderedPageBreak/>
              <w:t>bienes y servicios. Por lo tanto, la entidad no puede requerir que se acredite el “producto” de este clasificador.</w:t>
            </w:r>
          </w:p>
          <w:p w14:paraId="53820C4B" w14:textId="34F2CBC3" w:rsidR="00EC4560" w:rsidRDefault="00EC4560" w:rsidP="00DA5914">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Aptos" w:hAnsi="Verdana" w:cs="Times New Roman"/>
              </w:rPr>
              <w:t xml:space="preserve">La posibilidad de solicitar experiencia adicional solo ocurre cuando el objeto contractual incluye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w:t>
            </w:r>
            <w:r w:rsidR="60BAD169" w:rsidRPr="4A4DC93F">
              <w:rPr>
                <w:rFonts w:ascii="Verdana" w:eastAsia="Aptos" w:hAnsi="Verdana" w:cs="Times New Roman"/>
              </w:rPr>
              <w:t>está</w:t>
            </w:r>
            <w:r w:rsidRPr="00700909">
              <w:rPr>
                <w:rFonts w:ascii="Verdana" w:eastAsia="Aptos" w:hAnsi="Verdana" w:cs="Times New Roman"/>
              </w:rPr>
              <w:t xml:space="preserve"> relacionada con el contrato a ejecutar, por ejemplo, la construcción de un edificio de administración en un parque Metropolitano o </w:t>
            </w:r>
            <w:proofErr w:type="spellStart"/>
            <w:r w:rsidRPr="00700909">
              <w:rPr>
                <w:rFonts w:ascii="Verdana" w:eastAsia="Aptos" w:hAnsi="Verdana" w:cs="Times New Roman"/>
              </w:rPr>
              <w:t>ii</w:t>
            </w:r>
            <w:proofErr w:type="spellEnd"/>
            <w:r w:rsidRPr="00700909">
              <w:rPr>
                <w:rFonts w:ascii="Verdana" w:eastAsia="Aptos" w:hAnsi="Verdana" w:cs="Times New Roman"/>
              </w:rPr>
              <w:t>) el bien o servicio que se requiere es adicional a la actividad principal, aun cuando se relaciona con la infraestructura social, por ejemplo la elaboración de los estudios y diseños para la construcción de un parque. En supuestos como los indicados es posible que la entidad exija experiencia adicional para acreditar la idoneidad del contratista en la ejecución de estos bienes o servicios adicionales a la obra de infraestructura social.</w:t>
            </w:r>
          </w:p>
          <w:p w14:paraId="3F1E6F90" w14:textId="77777777" w:rsidR="00EC4560" w:rsidRDefault="00EC4560" w:rsidP="00DA5914">
            <w:pPr>
              <w:spacing w:after="120" w:line="276" w:lineRule="auto"/>
              <w:ind w:firstLine="708"/>
              <w:jc w:val="both"/>
              <w:textAlignment w:val="baseline"/>
              <w:rPr>
                <w:rFonts w:ascii="Verdana" w:eastAsia="Arial" w:hAnsi="Verdana" w:cs="Arial"/>
                <w:lang w:val="es-ES"/>
              </w:rPr>
            </w:pPr>
            <w:r>
              <w:rPr>
                <w:rFonts w:ascii="Verdana" w:eastAsia="Aptos" w:hAnsi="Verdana" w:cs="Times New Roman"/>
              </w:rPr>
              <w:t>P</w:t>
            </w:r>
            <w:r w:rsidRPr="00700909">
              <w:rPr>
                <w:rFonts w:ascii="Verdana" w:eastAsia="Aptos" w:hAnsi="Verdana" w:cs="Times New Roman"/>
              </w:rPr>
              <w:t xml:space="preserve">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w:t>
            </w:r>
          </w:p>
          <w:p w14:paraId="0DAACABF" w14:textId="77777777" w:rsidR="00EC4560" w:rsidRPr="00284199" w:rsidRDefault="00EC4560" w:rsidP="00DA5914">
            <w:pPr>
              <w:spacing w:after="120" w:line="276" w:lineRule="auto"/>
              <w:jc w:val="both"/>
              <w:rPr>
                <w:rFonts w:ascii="Verdana" w:eastAsia="Calibri" w:hAnsi="Verdana" w:cs="Arial"/>
              </w:rPr>
            </w:pPr>
            <w:proofErr w:type="spellStart"/>
            <w:r>
              <w:rPr>
                <w:rFonts w:ascii="Verdana" w:eastAsia="Aptos" w:hAnsi="Verdana" w:cs="Times New Roman"/>
              </w:rPr>
              <w:t>iii</w:t>
            </w:r>
            <w:proofErr w:type="spellEnd"/>
            <w:r>
              <w:rPr>
                <w:rFonts w:ascii="Verdana" w:eastAsia="Aptos" w:hAnsi="Verdana" w:cs="Times New Roman"/>
              </w:rPr>
              <w:t xml:space="preserve">) </w:t>
            </w:r>
            <w:r>
              <w:rPr>
                <w:rFonts w:ascii="Verdana" w:eastAsia="Times New Roman" w:hAnsi="Verdana" w:cs="Times New Roman"/>
                <w:color w:val="000000"/>
                <w:lang w:eastAsia="es-CO"/>
              </w:rPr>
              <w:t>L</w:t>
            </w:r>
            <w:r w:rsidRPr="00284199">
              <w:rPr>
                <w:rFonts w:ascii="Verdana" w:eastAsia="Times New Roman" w:hAnsi="Verdana" w:cs="Times New Roman"/>
                <w:color w:val="000000"/>
                <w:lang w:eastAsia="es-CO"/>
              </w:rPr>
              <w:t xml:space="preserve">a Agencia Nacional de Contratación Pública – Colombia Compra Eficiente el pasado 21 de agosto de 2025 adoptó las </w:t>
            </w:r>
            <w:r w:rsidRPr="00284199">
              <w:rPr>
                <w:rFonts w:ascii="Verdana" w:eastAsia="Calibri" w:hAnsi="Verdana" w:cs="Arial"/>
              </w:rPr>
              <w:t>Resoluciones 539, 540 y 541 del 21 de agosto de 2025</w:t>
            </w:r>
            <w:r>
              <w:rPr>
                <w:rFonts w:ascii="Verdana" w:eastAsia="Calibri" w:hAnsi="Verdana" w:cs="Arial"/>
              </w:rPr>
              <w:t xml:space="preserve">. Estas </w:t>
            </w:r>
            <w:r w:rsidRPr="00284199">
              <w:rPr>
                <w:rFonts w:ascii="Verdana" w:eastAsia="Calibri" w:hAnsi="Verdana" w:cs="Arial"/>
              </w:rPr>
              <w:t>ap</w:t>
            </w:r>
            <w:r>
              <w:rPr>
                <w:rFonts w:ascii="Verdana" w:eastAsia="Calibri" w:hAnsi="Verdana" w:cs="Arial"/>
              </w:rPr>
              <w:t xml:space="preserve">lican </w:t>
            </w:r>
            <w:r w:rsidRPr="00284199">
              <w:rPr>
                <w:rFonts w:ascii="Verdana" w:eastAsia="Calibri" w:hAnsi="Verdana" w:cs="Arial"/>
              </w:rPr>
              <w:t xml:space="preserve">de forma transversal </w:t>
            </w:r>
            <w:r>
              <w:rPr>
                <w:rFonts w:ascii="Verdana" w:eastAsia="Calibri" w:hAnsi="Verdana" w:cs="Arial"/>
              </w:rPr>
              <w:t xml:space="preserve">-respectivamente- </w:t>
            </w:r>
            <w:r w:rsidRPr="00284199">
              <w:rPr>
                <w:rFonts w:ascii="Verdana" w:eastAsia="Calibri" w:hAnsi="Verdana" w:cs="Arial"/>
              </w:rPr>
              <w:t xml:space="preserve">en las modalidades de selección </w:t>
            </w:r>
            <w:r>
              <w:rPr>
                <w:rFonts w:ascii="Verdana" w:eastAsia="Calibri" w:hAnsi="Verdana" w:cs="Arial"/>
              </w:rPr>
              <w:t xml:space="preserve">de licitación pública, selección abreviada de menor cuantía y mínima cuantía, </w:t>
            </w:r>
            <w:r w:rsidRPr="00284199">
              <w:rPr>
                <w:rFonts w:ascii="Verdana" w:eastAsia="Calibri" w:hAnsi="Verdana" w:cs="Arial"/>
              </w:rPr>
              <w:t xml:space="preserve">y a los proyectos de infraestructura social enmarcados dentro del sector educativo, salud, cultura, recreación y deporte, institucional y vivienda, </w:t>
            </w:r>
            <w:r w:rsidRPr="005E3873">
              <w:rPr>
                <w:rFonts w:ascii="Verdana" w:eastAsia="Calibri" w:hAnsi="Verdana" w:cs="Arial"/>
                <w:i/>
                <w:iCs/>
              </w:rPr>
              <w:t>en los procesos de selección cuyo aviso de convocatoria se publique a partir del 16 de febrero de 2026</w:t>
            </w:r>
            <w:r w:rsidRPr="00284199">
              <w:rPr>
                <w:rFonts w:ascii="Verdana" w:eastAsia="Calibri" w:hAnsi="Verdana" w:cs="Arial"/>
              </w:rPr>
              <w:t>.</w:t>
            </w:r>
          </w:p>
          <w:p w14:paraId="6C30B649" w14:textId="77777777" w:rsidR="00EC4560" w:rsidRPr="00284199" w:rsidRDefault="00EC4560" w:rsidP="00DA5914">
            <w:pPr>
              <w:spacing w:after="120" w:line="276" w:lineRule="auto"/>
              <w:ind w:firstLine="708"/>
              <w:jc w:val="both"/>
              <w:rPr>
                <w:rFonts w:ascii="Verdana" w:eastAsia="Calibri" w:hAnsi="Verdana" w:cs="Calibri"/>
              </w:rPr>
            </w:pPr>
            <w:r>
              <w:rPr>
                <w:rFonts w:ascii="Verdana" w:eastAsia="Calibri" w:hAnsi="Verdana" w:cs="Calibri"/>
              </w:rPr>
              <w:t xml:space="preserve">Debe señalarse que, </w:t>
            </w:r>
            <w:r w:rsidRPr="00284199">
              <w:rPr>
                <w:rFonts w:ascii="Verdana" w:eastAsia="Calibri" w:hAnsi="Verdana" w:cs="Calibri"/>
              </w:rPr>
              <w:t xml:space="preserve">las entidades si pueden optar por adelantar procesos de selección bajo la modalidad de “llave en mano” utilizando las </w:t>
            </w:r>
            <w:r w:rsidRPr="00284199">
              <w:rPr>
                <w:rFonts w:ascii="Verdana" w:eastAsia="Calibri" w:hAnsi="Verdana" w:cs="Calibri"/>
              </w:rPr>
              <w:lastRenderedPageBreak/>
              <w:t xml:space="preserve">matrices de experiencia contenidas en los documentos tipo para los diferentes sectores </w:t>
            </w:r>
            <w:r>
              <w:rPr>
                <w:rFonts w:ascii="Verdana" w:eastAsia="Calibri" w:hAnsi="Verdana" w:cs="Calibri"/>
              </w:rPr>
              <w:t xml:space="preserve">adoptados por la Agencia Nacional de Contratación Pública – Colombia Compra Eficiente </w:t>
            </w:r>
            <w:r w:rsidRPr="00284199">
              <w:rPr>
                <w:rFonts w:ascii="Verdana" w:eastAsia="Calibri" w:hAnsi="Verdana" w:cs="Calibri"/>
              </w:rPr>
              <w:t xml:space="preserve">y adicionalmente podrán aplicar las reglas de combinación de experiencia indicadas en el numeral </w:t>
            </w:r>
            <w:r>
              <w:rPr>
                <w:rFonts w:ascii="Verdana" w:eastAsia="Calibri" w:hAnsi="Verdana" w:cs="Calibri"/>
              </w:rPr>
              <w:t>“</w:t>
            </w:r>
            <w:r w:rsidRPr="00284199">
              <w:rPr>
                <w:rFonts w:ascii="Verdana" w:eastAsia="Calibri" w:hAnsi="Verdana" w:cs="Calibri"/>
                <w:i/>
                <w:iCs/>
              </w:rPr>
              <w:t>3.5.1 CARACTERÍSTICAS DE LOS CONTRATOS PRESENTADOS PARA ACREDITAR LA EXPERIENCIA EXIGIDA</w:t>
            </w:r>
            <w:r>
              <w:rPr>
                <w:rFonts w:ascii="Verdana" w:eastAsia="Calibri" w:hAnsi="Verdana" w:cs="Calibri"/>
                <w:i/>
                <w:iCs/>
              </w:rPr>
              <w:t>”</w:t>
            </w:r>
            <w:r w:rsidRPr="00284199">
              <w:rPr>
                <w:rFonts w:ascii="Verdana" w:eastAsia="Calibri" w:hAnsi="Verdana" w:cs="Calibri"/>
              </w:rPr>
              <w:t xml:space="preserve"> del documento base o aplicando lo contenido en el artículo 4 de la </w:t>
            </w:r>
            <w:r>
              <w:rPr>
                <w:rFonts w:ascii="Verdana" w:eastAsia="Calibri" w:hAnsi="Verdana" w:cs="Calibri"/>
              </w:rPr>
              <w:t>R</w:t>
            </w:r>
            <w:r w:rsidRPr="00284199">
              <w:rPr>
                <w:rFonts w:ascii="Verdana" w:eastAsia="Calibri" w:hAnsi="Verdana" w:cs="Calibri"/>
              </w:rPr>
              <w:t xml:space="preserve">esolución </w:t>
            </w:r>
            <w:r>
              <w:rPr>
                <w:rFonts w:ascii="Verdana" w:eastAsia="Calibri" w:hAnsi="Verdana" w:cs="Calibri"/>
              </w:rPr>
              <w:t xml:space="preserve">539 del 21 de agosto de 2024, en donde se señala lo relacionada con la posibilidad que tiene la Entidad de incluir </w:t>
            </w:r>
            <w:r w:rsidRPr="00284199">
              <w:rPr>
                <w:rFonts w:ascii="Verdana" w:eastAsia="Calibri" w:hAnsi="Verdana" w:cs="Calibri"/>
              </w:rPr>
              <w:t>“</w:t>
            </w:r>
            <w:r w:rsidRPr="00284199">
              <w:rPr>
                <w:rFonts w:ascii="Verdana" w:eastAsia="Calibri" w:hAnsi="Verdana" w:cs="Calibri"/>
                <w:i/>
                <w:iCs/>
              </w:rPr>
              <w:t>Obras, bienes o servicios adicionales a la obra pública de infraestructura socia</w:t>
            </w:r>
            <w:r w:rsidRPr="00927A37">
              <w:rPr>
                <w:rFonts w:ascii="Verdana" w:eastAsia="Calibri" w:hAnsi="Verdana" w:cs="Calibri"/>
                <w:i/>
                <w:iCs/>
              </w:rPr>
              <w:t>l</w:t>
            </w:r>
            <w:r w:rsidRPr="00284199">
              <w:rPr>
                <w:rFonts w:ascii="Verdana" w:eastAsia="Calibri" w:hAnsi="Verdana" w:cs="Calibri"/>
              </w:rPr>
              <w:t>”.</w:t>
            </w:r>
          </w:p>
          <w:p w14:paraId="23CDF180" w14:textId="77777777" w:rsidR="00EC4560" w:rsidRPr="00866AC5" w:rsidRDefault="00EC4560" w:rsidP="00DA5914">
            <w:pPr>
              <w:spacing w:after="120" w:line="276" w:lineRule="auto"/>
              <w:ind w:firstLine="708"/>
              <w:jc w:val="both"/>
              <w:rPr>
                <w:rFonts w:ascii="Verdana" w:eastAsia="Calibri" w:hAnsi="Verdana" w:cs="Arial"/>
              </w:rPr>
            </w:pPr>
            <w:r>
              <w:rPr>
                <w:rFonts w:ascii="Verdana" w:eastAsia="Calibri" w:hAnsi="Verdana" w:cs="Calibri"/>
              </w:rPr>
              <w:t xml:space="preserve">En relación con el objeto indicado en su solicitud, en el capítulo IV de las Resoluciones </w:t>
            </w:r>
            <w:r w:rsidRPr="00284199">
              <w:rPr>
                <w:rFonts w:ascii="Verdana" w:eastAsia="Calibri" w:hAnsi="Verdana" w:cs="Arial"/>
              </w:rPr>
              <w:t>539, 540 y 541 del 21 de agosto de 2025</w:t>
            </w:r>
            <w:r>
              <w:rPr>
                <w:rFonts w:ascii="Verdana" w:eastAsia="Calibri" w:hAnsi="Verdana" w:cs="Arial"/>
              </w:rPr>
              <w:t xml:space="preserve">, se acogieron los documentos tipo complementarios del sector institucional, en las modalidades de licitación pública, selección abreviada de menor cuantía y mínima cuantía. </w:t>
            </w:r>
            <w:r w:rsidRPr="00866AC5">
              <w:rPr>
                <w:rFonts w:ascii="Verdana" w:eastAsia="Times New Roman" w:hAnsi="Verdana" w:cs="Times New Roman"/>
                <w:color w:val="000000"/>
                <w:lang w:eastAsia="es-CO"/>
              </w:rPr>
              <w:t xml:space="preserve">En </w:t>
            </w:r>
            <w:r>
              <w:rPr>
                <w:rFonts w:ascii="Verdana" w:eastAsia="Times New Roman" w:hAnsi="Verdana" w:cs="Times New Roman"/>
                <w:color w:val="000000"/>
                <w:lang w:eastAsia="es-CO"/>
              </w:rPr>
              <w:t xml:space="preserve">este sector, </w:t>
            </w:r>
            <w:r w:rsidRPr="00866AC5">
              <w:rPr>
                <w:rFonts w:ascii="Verdana" w:eastAsia="Times New Roman" w:hAnsi="Verdana" w:cs="Times New Roman"/>
                <w:color w:val="000000"/>
                <w:lang w:eastAsia="es-CO"/>
              </w:rPr>
              <w:t>se incluyen de conformidad con la norma NSR-10 los siguientes subgrupos de ocupación: </w:t>
            </w:r>
          </w:p>
          <w:p w14:paraId="2EB69364" w14:textId="77777777" w:rsidR="00EC4560" w:rsidRPr="00866AC5" w:rsidRDefault="00EC4560" w:rsidP="00DA5914">
            <w:pPr>
              <w:ind w:firstLine="708"/>
              <w:jc w:val="both"/>
              <w:textAlignment w:val="baseline"/>
              <w:rPr>
                <w:rFonts w:ascii="Verdana" w:eastAsia="Times New Roman" w:hAnsi="Verdana" w:cs="Times New Roman"/>
                <w:color w:val="000000"/>
                <w:lang w:eastAsia="es-CO"/>
              </w:rPr>
            </w:pPr>
          </w:p>
          <w:p w14:paraId="2D413FA4" w14:textId="77777777" w:rsidR="00EC4560" w:rsidRPr="00866AC5" w:rsidRDefault="00EC4560" w:rsidP="00EC4560">
            <w:pPr>
              <w:numPr>
                <w:ilvl w:val="2"/>
                <w:numId w:val="22"/>
              </w:numPr>
              <w:spacing w:after="120"/>
              <w:ind w:left="1069" w:right="709"/>
              <w:contextualSpacing/>
              <w:jc w:val="both"/>
              <w:textAlignment w:val="baseline"/>
              <w:rPr>
                <w:rFonts w:ascii="Verdana" w:eastAsia="Times New Roman" w:hAnsi="Verdana" w:cs="Times New Roman"/>
                <w:color w:val="000000"/>
                <w:lang w:eastAsia="es-CO"/>
              </w:rPr>
            </w:pPr>
            <w:r w:rsidRPr="00866AC5">
              <w:rPr>
                <w:rFonts w:ascii="Verdana" w:eastAsia="Times New Roman" w:hAnsi="Verdana" w:cs="Times New Roman"/>
                <w:b/>
                <w:bCs/>
                <w:color w:val="000000"/>
                <w:lang w:eastAsia="es-CO"/>
              </w:rPr>
              <w:t>Subgrupo de Ocupación institucional de reclusión (I-1):</w:t>
            </w:r>
            <w:r w:rsidRPr="00866AC5">
              <w:rPr>
                <w:rFonts w:ascii="Verdana" w:eastAsia="Times New Roman" w:hAnsi="Verdana" w:cs="Times New Roman"/>
                <w:color w:val="000000"/>
                <w:lang w:eastAsia="es-CO"/>
              </w:rPr>
              <w:t xml:space="preserve"> Prisiones, reformatorios, cárceles, manicomios, asilos, otros similares.  </w:t>
            </w:r>
          </w:p>
          <w:p w14:paraId="3B334807" w14:textId="77777777" w:rsidR="00EC4560" w:rsidRPr="00866AC5" w:rsidRDefault="00EC4560" w:rsidP="00EC4560">
            <w:pPr>
              <w:numPr>
                <w:ilvl w:val="2"/>
                <w:numId w:val="22"/>
              </w:numPr>
              <w:spacing w:after="120"/>
              <w:ind w:left="1069" w:right="709"/>
              <w:contextualSpacing/>
              <w:jc w:val="both"/>
              <w:textAlignment w:val="baseline"/>
              <w:rPr>
                <w:rFonts w:ascii="Verdana" w:eastAsia="Times New Roman" w:hAnsi="Verdana" w:cs="Times New Roman"/>
                <w:color w:val="000000"/>
                <w:lang w:eastAsia="es-CO"/>
              </w:rPr>
            </w:pPr>
            <w:r w:rsidRPr="00866AC5">
              <w:rPr>
                <w:rFonts w:ascii="Verdana" w:eastAsia="Times New Roman" w:hAnsi="Verdana" w:cs="Times New Roman"/>
                <w:b/>
                <w:bCs/>
                <w:color w:val="000000"/>
                <w:lang w:eastAsia="es-CO"/>
              </w:rPr>
              <w:t>Subgrupo de Ocupación institucional de seguridad pública (I-4):</w:t>
            </w:r>
            <w:r w:rsidRPr="00866AC5">
              <w:rPr>
                <w:rFonts w:ascii="Verdana" w:eastAsia="Times New Roman" w:hAnsi="Verdana" w:cs="Times New Roman"/>
                <w:color w:val="000000"/>
                <w:lang w:eastAsia="es-CO"/>
              </w:rPr>
              <w:t xml:space="preserve"> Estaciones de policía, bomberos, defensa civil, instituciones militares y otros similares. </w:t>
            </w:r>
          </w:p>
          <w:p w14:paraId="395EF907" w14:textId="1EEC3416" w:rsidR="00EC4560" w:rsidRPr="00866AC5" w:rsidRDefault="00EC4560" w:rsidP="00EC4560">
            <w:pPr>
              <w:numPr>
                <w:ilvl w:val="2"/>
                <w:numId w:val="22"/>
              </w:numPr>
              <w:ind w:left="1069" w:right="709"/>
              <w:contextualSpacing/>
              <w:jc w:val="both"/>
              <w:textAlignment w:val="baseline"/>
              <w:rPr>
                <w:rFonts w:ascii="Verdana" w:eastAsia="Times New Roman" w:hAnsi="Verdana" w:cs="Times New Roman"/>
                <w:color w:val="000000"/>
                <w:lang w:eastAsia="es-CO"/>
              </w:rPr>
            </w:pPr>
            <w:r w:rsidRPr="4A4DC93F">
              <w:rPr>
                <w:rFonts w:ascii="Verdana" w:eastAsia="Times New Roman" w:hAnsi="Verdana" w:cs="Times New Roman"/>
                <w:b/>
                <w:color w:val="000000" w:themeColor="text1"/>
                <w:lang w:eastAsia="es-CO"/>
              </w:rPr>
              <w:t xml:space="preserve">Subgrupo de Ocupación institucional de servicio público (I-5): </w:t>
            </w:r>
            <w:r w:rsidRPr="4A4DC93F">
              <w:rPr>
                <w:rFonts w:ascii="Verdana" w:eastAsia="Times New Roman" w:hAnsi="Verdana" w:cs="Times New Roman"/>
                <w:color w:val="000000" w:themeColor="text1"/>
                <w:lang w:eastAsia="es-CO"/>
              </w:rPr>
              <w:t xml:space="preserve">Centros de comunicación o administrativos </w:t>
            </w:r>
            <w:r w:rsidRPr="4A4DC93F">
              <w:rPr>
                <w:rFonts w:ascii="Verdana" w:eastAsia="Times New Roman" w:hAnsi="Verdana" w:cs="Times New Roman"/>
                <w:b/>
                <w:color w:val="000000" w:themeColor="text1"/>
                <w:u w:val="single"/>
                <w:lang w:eastAsia="es-CO"/>
              </w:rPr>
              <w:t>o administrativos de servicios municipales,</w:t>
            </w:r>
            <w:r w:rsidRPr="4A4DC93F">
              <w:rPr>
                <w:rFonts w:ascii="Verdana" w:eastAsia="Times New Roman" w:hAnsi="Verdana" w:cs="Times New Roman"/>
                <w:color w:val="000000" w:themeColor="text1"/>
                <w:lang w:eastAsia="es-CO"/>
              </w:rPr>
              <w:t xml:space="preserve"> distritales o gubernamentales, juzgados y otros similares.  </w:t>
            </w:r>
          </w:p>
          <w:p w14:paraId="0B845C23" w14:textId="77777777" w:rsidR="00EC4560" w:rsidRPr="00866AC5" w:rsidRDefault="00EC4560" w:rsidP="00DA5914">
            <w:pPr>
              <w:ind w:left="1069" w:right="709"/>
              <w:contextualSpacing/>
              <w:jc w:val="both"/>
              <w:textAlignment w:val="baseline"/>
              <w:rPr>
                <w:rFonts w:ascii="Verdana" w:eastAsia="Times New Roman" w:hAnsi="Verdana" w:cs="Times New Roman"/>
                <w:color w:val="000000"/>
                <w:lang w:eastAsia="es-CO"/>
              </w:rPr>
            </w:pPr>
          </w:p>
          <w:p w14:paraId="6FCF4EFA" w14:textId="77777777" w:rsidR="00EC4560" w:rsidRDefault="00EC4560" w:rsidP="00DA5914">
            <w:pPr>
              <w:spacing w:after="120" w:line="276" w:lineRule="auto"/>
              <w:ind w:firstLine="709"/>
              <w:jc w:val="both"/>
              <w:rPr>
                <w:rFonts w:ascii="Verdana" w:eastAsia="Calibri" w:hAnsi="Verdana" w:cs="Arial"/>
              </w:rPr>
            </w:pPr>
            <w:r w:rsidRPr="00866AC5">
              <w:rPr>
                <w:rFonts w:ascii="Verdana" w:eastAsia="Calibri" w:hAnsi="Verdana" w:cs="Arial"/>
              </w:rPr>
              <w:t>En estos documentos tipo</w:t>
            </w:r>
            <w:r>
              <w:rPr>
                <w:rFonts w:ascii="Verdana" w:eastAsia="Calibri" w:hAnsi="Verdana" w:cs="Arial"/>
              </w:rPr>
              <w:t xml:space="preserve"> del sector de infraestructura institucional</w:t>
            </w:r>
            <w:r w:rsidRPr="00866AC5">
              <w:rPr>
                <w:rFonts w:ascii="Verdana" w:eastAsia="Calibri" w:hAnsi="Verdana" w:cs="Arial"/>
              </w:rPr>
              <w:t>, eventualmente podría enmarcarse el objeto del proceso por el que se indaga</w:t>
            </w:r>
            <w:r>
              <w:rPr>
                <w:rFonts w:ascii="Verdana" w:eastAsia="Calibri" w:hAnsi="Verdana" w:cs="Arial"/>
              </w:rPr>
              <w:t>, esto es, la construcción de un centro de administración municipal.</w:t>
            </w:r>
            <w:r w:rsidRPr="00866AC5">
              <w:rPr>
                <w:rFonts w:ascii="Verdana" w:eastAsia="Calibri" w:hAnsi="Verdana" w:cs="Arial"/>
              </w:rPr>
              <w:t xml:space="preserve"> No obstante,</w:t>
            </w:r>
            <w:r>
              <w:rPr>
                <w:rFonts w:ascii="Verdana" w:eastAsia="Calibri" w:hAnsi="Verdana" w:cs="Arial"/>
              </w:rPr>
              <w:t xml:space="preserve"> tal como se señaló,</w:t>
            </w:r>
            <w:r w:rsidRPr="00866AC5">
              <w:rPr>
                <w:rFonts w:ascii="Verdana" w:eastAsia="Calibri" w:hAnsi="Verdana" w:cs="Arial"/>
              </w:rPr>
              <w:t xml:space="preserve"> los documentos tipo </w:t>
            </w:r>
            <w:r>
              <w:rPr>
                <w:rFonts w:ascii="Verdana" w:eastAsia="Calibri" w:hAnsi="Verdana" w:cs="Arial"/>
              </w:rPr>
              <w:t xml:space="preserve">indicados, </w:t>
            </w:r>
            <w:r w:rsidRPr="00866AC5">
              <w:rPr>
                <w:rFonts w:ascii="Verdana" w:eastAsia="Calibri" w:hAnsi="Verdana" w:cs="Arial"/>
              </w:rPr>
              <w:t xml:space="preserve">aplicaran a las modalidades y sectores </w:t>
            </w:r>
            <w:r>
              <w:rPr>
                <w:rFonts w:ascii="Verdana" w:eastAsia="Calibri" w:hAnsi="Verdana" w:cs="Arial"/>
              </w:rPr>
              <w:t>mencionados,</w:t>
            </w:r>
            <w:r w:rsidRPr="00866AC5">
              <w:rPr>
                <w:rFonts w:ascii="Verdana" w:eastAsia="Calibri" w:hAnsi="Verdana" w:cs="Arial"/>
              </w:rPr>
              <w:t xml:space="preserve"> en los procesos de selección cuyo aviso de convocatoria se publique a partir del 16 de febrero de 2026.</w:t>
            </w:r>
          </w:p>
          <w:p w14:paraId="7F15C9B9" w14:textId="77777777" w:rsidR="00EC4560" w:rsidRPr="00284199" w:rsidRDefault="00EC4560" w:rsidP="00DA5914">
            <w:pPr>
              <w:spacing w:after="120" w:line="276" w:lineRule="auto"/>
              <w:ind w:firstLine="709"/>
              <w:jc w:val="both"/>
              <w:rPr>
                <w:rFonts w:ascii="Verdana" w:eastAsia="Calibri" w:hAnsi="Verdana" w:cs="Calibri"/>
              </w:rPr>
            </w:pPr>
            <w:r>
              <w:rPr>
                <w:rFonts w:ascii="Verdana" w:eastAsia="Calibri" w:hAnsi="Verdana" w:cs="Arial"/>
              </w:rPr>
              <w:t xml:space="preserve">Ahora bien, revisando los documentos tipo del sector institucional, se encuentra que la “Matriz 1 – Experiencia sector institucional” </w:t>
            </w:r>
            <w:r>
              <w:rPr>
                <w:rFonts w:ascii="Verdana" w:eastAsia="Calibri" w:hAnsi="Verdana" w:cs="Calibri"/>
              </w:rPr>
              <w:t>el tipo de obras contenido en el</w:t>
            </w:r>
            <w:r w:rsidRPr="00284199">
              <w:rPr>
                <w:rFonts w:ascii="Verdana" w:eastAsia="Calibri" w:hAnsi="Verdana" w:cs="Calibri"/>
              </w:rPr>
              <w:t xml:space="preserve"> capítulo </w:t>
            </w:r>
            <w:r w:rsidRPr="00284199">
              <w:rPr>
                <w:rFonts w:ascii="Verdana" w:eastAsia="Calibri" w:hAnsi="Verdana" w:cs="Calibri"/>
                <w:i/>
                <w:iCs/>
              </w:rPr>
              <w:t xml:space="preserve">“2. OBRAS EN PROYECTOS DE INFRAESTRUCTURA </w:t>
            </w:r>
            <w:r w:rsidRPr="00284199">
              <w:rPr>
                <w:rFonts w:ascii="Verdana" w:eastAsia="Calibri" w:hAnsi="Verdana" w:cs="Calibri"/>
                <w:i/>
                <w:iCs/>
              </w:rPr>
              <w:lastRenderedPageBreak/>
              <w:t xml:space="preserve">INSTITUCIONAL DE SERVICIO PUBLICO”, </w:t>
            </w:r>
            <w:r w:rsidRPr="00284199">
              <w:rPr>
                <w:rFonts w:ascii="Verdana" w:eastAsia="Calibri" w:hAnsi="Verdana" w:cs="Calibri"/>
              </w:rPr>
              <w:t>que incluye</w:t>
            </w:r>
            <w:r>
              <w:rPr>
                <w:rFonts w:ascii="Verdana" w:eastAsia="Calibri" w:hAnsi="Verdana" w:cs="Calibri"/>
              </w:rPr>
              <w:t>, entre otras,</w:t>
            </w:r>
            <w:r w:rsidRPr="00284199">
              <w:rPr>
                <w:rFonts w:ascii="Verdana" w:eastAsia="Calibri" w:hAnsi="Verdana" w:cs="Calibri"/>
              </w:rPr>
              <w:t xml:space="preserve"> la </w:t>
            </w:r>
            <w:r>
              <w:rPr>
                <w:rFonts w:ascii="Verdana" w:eastAsia="Calibri" w:hAnsi="Verdana" w:cs="Calibri"/>
              </w:rPr>
              <w:t xml:space="preserve">siguiente </w:t>
            </w:r>
            <w:r w:rsidRPr="00284199">
              <w:rPr>
                <w:rFonts w:ascii="Verdana" w:eastAsia="Calibri" w:hAnsi="Verdana" w:cs="Calibri"/>
              </w:rPr>
              <w:t>actividad:</w:t>
            </w:r>
          </w:p>
          <w:p w14:paraId="01E8B69F" w14:textId="77777777" w:rsidR="00EC4560" w:rsidRPr="00284199" w:rsidRDefault="00EC4560" w:rsidP="00DA5914">
            <w:pPr>
              <w:jc w:val="both"/>
              <w:rPr>
                <w:rFonts w:ascii="Verdana" w:eastAsia="Calibri" w:hAnsi="Verdana" w:cs="Calibri"/>
              </w:rPr>
            </w:pPr>
          </w:p>
          <w:p w14:paraId="57B2A157" w14:textId="77777777" w:rsidR="00EC4560" w:rsidRPr="00284199" w:rsidRDefault="00EC4560" w:rsidP="00DA5914">
            <w:pPr>
              <w:ind w:left="708" w:right="709"/>
              <w:jc w:val="both"/>
              <w:rPr>
                <w:rFonts w:ascii="Verdana" w:eastAsia="Calibri" w:hAnsi="Verdana" w:cs="Calibri"/>
                <w:sz w:val="21"/>
                <w:szCs w:val="21"/>
              </w:rPr>
            </w:pPr>
            <w:r w:rsidRPr="00284199">
              <w:rPr>
                <w:rFonts w:ascii="Verdana" w:eastAsia="Calibri" w:hAnsi="Verdana" w:cs="Calibri"/>
                <w:sz w:val="21"/>
                <w:szCs w:val="21"/>
              </w:rPr>
              <w:t>“2.1. PROYECTOS DE CONSTRUCCIÓN Y/O AMPLIACIÓN Y/O RECONSTRUCCIÓN DE INFRAESTRUCTURA DE SERVICIO PUBLICO”</w:t>
            </w:r>
            <w:r>
              <w:rPr>
                <w:rFonts w:ascii="Verdana" w:eastAsia="Calibri" w:hAnsi="Verdana" w:cs="Calibri"/>
                <w:sz w:val="21"/>
                <w:szCs w:val="21"/>
              </w:rPr>
              <w:t>.</w:t>
            </w:r>
          </w:p>
          <w:p w14:paraId="7AE46D8E" w14:textId="77777777" w:rsidR="00EC4560" w:rsidRPr="00284199" w:rsidRDefault="00EC4560" w:rsidP="00DA5914">
            <w:pPr>
              <w:jc w:val="both"/>
              <w:rPr>
                <w:rFonts w:ascii="Verdana" w:eastAsia="Calibri" w:hAnsi="Verdana" w:cs="Calibri"/>
                <w:i/>
                <w:iCs/>
              </w:rPr>
            </w:pPr>
          </w:p>
          <w:p w14:paraId="284BE775" w14:textId="77777777" w:rsidR="00EC4560" w:rsidRDefault="00EC4560" w:rsidP="00DA5914">
            <w:pPr>
              <w:spacing w:after="120" w:line="276" w:lineRule="auto"/>
              <w:ind w:firstLine="708"/>
              <w:jc w:val="both"/>
              <w:rPr>
                <w:rFonts w:ascii="Verdana" w:eastAsia="Calibri" w:hAnsi="Verdana" w:cs="Calibri"/>
              </w:rPr>
            </w:pPr>
            <w:r>
              <w:rPr>
                <w:rFonts w:ascii="Verdana" w:eastAsia="Calibri" w:hAnsi="Verdana" w:cs="Calibri"/>
              </w:rPr>
              <w:t xml:space="preserve">Teniendo en cuenta lo anterior, para realizar la construcción de una infraestructura de servicio público, como eventualmente sería un centro administrativo municipal, la entidad podrá optar por la actividad señalada previamente. Sin embargo, teniendo en cuenta que según indica el proyecto implica estudios y diseños, le informamos que, </w:t>
            </w:r>
            <w:r w:rsidRPr="00284199">
              <w:rPr>
                <w:rFonts w:ascii="Verdana" w:eastAsia="Calibri" w:hAnsi="Verdana" w:cs="Calibri"/>
              </w:rPr>
              <w:t>actualmente los documentos tipo del sector social, no incluyen la modalidad de Concurso de Méritos para consultoría de estudios y diseños</w:t>
            </w:r>
            <w:r>
              <w:rPr>
                <w:rFonts w:ascii="Verdana" w:eastAsia="Calibri" w:hAnsi="Verdana" w:cs="Calibri"/>
              </w:rPr>
              <w:t>. Sin perjuicio de lo anterior</w:t>
            </w:r>
            <w:r w:rsidRPr="00284199">
              <w:rPr>
                <w:rFonts w:ascii="Verdana" w:eastAsia="Calibri" w:hAnsi="Verdana" w:cs="Calibri"/>
              </w:rPr>
              <w:t xml:space="preserve">, la entidad podría </w:t>
            </w:r>
            <w:r>
              <w:rPr>
                <w:rFonts w:ascii="Verdana" w:eastAsia="Calibri" w:hAnsi="Verdana" w:cs="Calibri"/>
              </w:rPr>
              <w:t>aplicar lo dispuesto en el artículo 4 de la Resolución 539 de 2025 en el que se dispone sobre</w:t>
            </w:r>
            <w:r w:rsidRPr="00284199">
              <w:rPr>
                <w:rFonts w:ascii="Verdana" w:eastAsia="Calibri" w:hAnsi="Verdana" w:cs="Calibri"/>
              </w:rPr>
              <w:t xml:space="preserve"> las “</w:t>
            </w:r>
            <w:r w:rsidRPr="00284199">
              <w:rPr>
                <w:rFonts w:ascii="Verdana" w:eastAsia="Calibri" w:hAnsi="Verdana" w:cs="Calibri"/>
                <w:i/>
                <w:iCs/>
              </w:rPr>
              <w:t>Obras, bienes o servicios adicionales a la obra pública de infraestructura soci</w:t>
            </w:r>
            <w:r w:rsidRPr="00876FCF">
              <w:rPr>
                <w:rFonts w:ascii="Verdana" w:eastAsia="Calibri" w:hAnsi="Verdana" w:cs="Calibri"/>
                <w:i/>
                <w:iCs/>
              </w:rPr>
              <w:t>al”</w:t>
            </w:r>
            <w:r w:rsidRPr="00284199">
              <w:rPr>
                <w:rFonts w:ascii="Verdana" w:eastAsia="Calibri" w:hAnsi="Verdana" w:cs="Calibri"/>
              </w:rPr>
              <w:t xml:space="preserve"> para </w:t>
            </w:r>
            <w:r>
              <w:rPr>
                <w:rFonts w:ascii="Verdana" w:eastAsia="Calibri" w:hAnsi="Verdana" w:cs="Calibri"/>
              </w:rPr>
              <w:t xml:space="preserve">solicitar experiencia en </w:t>
            </w:r>
            <w:r w:rsidRPr="00284199">
              <w:rPr>
                <w:rFonts w:ascii="Verdana" w:eastAsia="Calibri" w:hAnsi="Verdana" w:cs="Calibri"/>
              </w:rPr>
              <w:t>las actividades relacionadas con los “</w:t>
            </w:r>
            <w:r w:rsidRPr="00284199">
              <w:rPr>
                <w:rFonts w:ascii="Verdana" w:eastAsia="Calibri" w:hAnsi="Verdana" w:cs="Calibri"/>
                <w:i/>
                <w:iCs/>
              </w:rPr>
              <w:t>Estudios, diseños del centro administrativo municipal”,</w:t>
            </w:r>
            <w:r w:rsidRPr="00284199">
              <w:rPr>
                <w:rFonts w:ascii="Verdana" w:eastAsia="Calibri" w:hAnsi="Verdana" w:cs="Calibri"/>
              </w:rPr>
              <w:t xml:space="preserve"> siguiendo de manera estricta las directrices señaladas en el documento base y en </w:t>
            </w:r>
            <w:r>
              <w:rPr>
                <w:rFonts w:ascii="Verdana" w:eastAsia="Calibri" w:hAnsi="Verdana" w:cs="Calibri"/>
              </w:rPr>
              <w:t xml:space="preserve">el artículo señalado. </w:t>
            </w:r>
          </w:p>
          <w:p w14:paraId="02FB4B8C" w14:textId="77777777" w:rsidR="00EC4560" w:rsidRPr="00A55F67" w:rsidRDefault="00EC4560" w:rsidP="00DA5914">
            <w:pPr>
              <w:spacing w:after="120" w:line="276" w:lineRule="auto"/>
              <w:ind w:firstLine="708"/>
              <w:jc w:val="both"/>
              <w:rPr>
                <w:rFonts w:ascii="Verdana" w:eastAsia="Calibri" w:hAnsi="Verdana" w:cs="Calibri"/>
              </w:rPr>
            </w:pPr>
            <w:r>
              <w:rPr>
                <w:rFonts w:ascii="Verdana" w:eastAsia="Calibri" w:hAnsi="Verdana" w:cs="Calibri"/>
              </w:rPr>
              <w:t xml:space="preserve">No obstante, le indicamos que, actualmente la Agencia Nacional de Contratación Pública – Colombia Compra Eficiente se encuentra trabajando en la </w:t>
            </w:r>
            <w:r w:rsidRPr="00284199">
              <w:rPr>
                <w:rFonts w:ascii="Verdana" w:eastAsia="Calibri" w:hAnsi="Verdana" w:cs="Calibri"/>
              </w:rPr>
              <w:t xml:space="preserve">adopción de los documentos tipo de </w:t>
            </w:r>
            <w:r>
              <w:rPr>
                <w:rFonts w:ascii="Verdana" w:eastAsia="Calibri" w:hAnsi="Verdana" w:cs="Calibri"/>
              </w:rPr>
              <w:t>c</w:t>
            </w:r>
            <w:r w:rsidRPr="00284199">
              <w:rPr>
                <w:rFonts w:ascii="Verdana" w:eastAsia="Calibri" w:hAnsi="Verdana" w:cs="Calibri"/>
              </w:rPr>
              <w:t xml:space="preserve">oncurso de </w:t>
            </w:r>
            <w:r>
              <w:rPr>
                <w:rFonts w:ascii="Verdana" w:eastAsia="Calibri" w:hAnsi="Verdana" w:cs="Calibri"/>
              </w:rPr>
              <w:t>m</w:t>
            </w:r>
            <w:r w:rsidRPr="00284199">
              <w:rPr>
                <w:rFonts w:ascii="Verdana" w:eastAsia="Calibri" w:hAnsi="Verdana" w:cs="Calibri"/>
              </w:rPr>
              <w:t xml:space="preserve">éritos para </w:t>
            </w:r>
            <w:r>
              <w:rPr>
                <w:rFonts w:ascii="Verdana" w:eastAsia="Calibri" w:hAnsi="Verdana" w:cs="Calibri"/>
              </w:rPr>
              <w:t xml:space="preserve">contratar la </w:t>
            </w:r>
            <w:r w:rsidRPr="00284199">
              <w:rPr>
                <w:rFonts w:ascii="Verdana" w:eastAsia="Calibri" w:hAnsi="Verdana" w:cs="Calibri"/>
              </w:rPr>
              <w:t xml:space="preserve">consultoría de estudios </w:t>
            </w:r>
            <w:r>
              <w:rPr>
                <w:rFonts w:ascii="Verdana" w:eastAsia="Calibri" w:hAnsi="Verdana" w:cs="Calibri"/>
              </w:rPr>
              <w:t xml:space="preserve">de ingeniería de infraestructura </w:t>
            </w:r>
            <w:r w:rsidRPr="00284199">
              <w:rPr>
                <w:rFonts w:ascii="Verdana" w:eastAsia="Calibri" w:hAnsi="Verdana" w:cs="Calibri"/>
              </w:rPr>
              <w:t>social</w:t>
            </w:r>
            <w:r>
              <w:rPr>
                <w:rFonts w:ascii="Verdana" w:eastAsia="Calibri" w:hAnsi="Verdana" w:cs="Calibri"/>
              </w:rPr>
              <w:t xml:space="preserve">. En estos documentos </w:t>
            </w:r>
            <w:r w:rsidRPr="00284199">
              <w:rPr>
                <w:rFonts w:ascii="Verdana" w:eastAsia="Calibri" w:hAnsi="Verdana" w:cs="Calibri"/>
              </w:rPr>
              <w:t xml:space="preserve">los procesos relacionados con estudios y diseños del subsector Institucional que se pretendan adelantar por la modalidad de “llave en mano”, se podrían realizar utilizando las reglas de combinación de experiencia contenidas en el numeral </w:t>
            </w:r>
            <w:r w:rsidRPr="00284199">
              <w:rPr>
                <w:rFonts w:ascii="Verdana" w:eastAsia="Calibri" w:hAnsi="Verdana" w:cs="Calibri"/>
                <w:i/>
                <w:iCs/>
              </w:rPr>
              <w:t>3.5.1 CARACTERÍSTICAS DE LOS CONTRATOS PRESENTADOS PARA ACREDITAR LA EXPERIENCIA EXIGIDA</w:t>
            </w:r>
            <w:r w:rsidRPr="00284199">
              <w:rPr>
                <w:rFonts w:ascii="Verdana" w:eastAsia="Calibri" w:hAnsi="Verdana" w:cs="Calibri"/>
              </w:rPr>
              <w:t xml:space="preserve"> del documento base que es transversal a los diferentes subsectores del sector social. </w:t>
            </w:r>
          </w:p>
          <w:p w14:paraId="7D8DFDBE" w14:textId="77777777" w:rsidR="00EC4560" w:rsidRDefault="00EC4560" w:rsidP="00DA5914">
            <w:pPr>
              <w:widowControl w:val="0"/>
              <w:autoSpaceDE w:val="0"/>
              <w:autoSpaceDN w:val="0"/>
              <w:spacing w:after="120" w:line="276" w:lineRule="auto"/>
              <w:jc w:val="both"/>
              <w:rPr>
                <w:rFonts w:ascii="Verdana" w:eastAsia="Verdana" w:hAnsi="Verdana" w:cs="Verdana"/>
                <w:lang w:val="es-ES"/>
              </w:rPr>
            </w:pPr>
            <w:proofErr w:type="spellStart"/>
            <w:r>
              <w:rPr>
                <w:rFonts w:ascii="Verdana" w:eastAsia="Calibri" w:hAnsi="Verdana" w:cs="Times New Roman"/>
                <w:lang w:val="es-ES"/>
              </w:rPr>
              <w:t>iv</w:t>
            </w:r>
            <w:proofErr w:type="spellEnd"/>
            <w:r>
              <w:rPr>
                <w:rFonts w:ascii="Verdana" w:eastAsia="Calibri" w:hAnsi="Verdana" w:cs="Times New Roman"/>
                <w:lang w:val="es-ES"/>
              </w:rPr>
              <w:t xml:space="preserve">) </w:t>
            </w:r>
            <w:r w:rsidRPr="008D191C">
              <w:rPr>
                <w:rFonts w:ascii="Verdana" w:eastAsia="Calibri" w:hAnsi="Verdana"/>
                <w:color w:val="000000" w:themeColor="text1"/>
                <w:lang w:val="es-ES_tradnl"/>
              </w:rPr>
              <w:t xml:space="preserve">El modelo de negocio de </w:t>
            </w:r>
            <w:r w:rsidRPr="00E01A7B">
              <w:rPr>
                <w:rFonts w:ascii="Verdana" w:eastAsia="Calibri" w:hAnsi="Verdana"/>
                <w:i/>
                <w:iCs/>
                <w:color w:val="000000" w:themeColor="text1"/>
                <w:lang w:val="es-ES_tradnl"/>
              </w:rPr>
              <w:t>“llave en mano”</w:t>
            </w:r>
            <w:r w:rsidRPr="008D191C">
              <w:rPr>
                <w:rFonts w:ascii="Verdana" w:eastAsia="Calibri" w:hAnsi="Verdana"/>
                <w:color w:val="000000" w:themeColor="text1"/>
                <w:lang w:val="es-ES_tradnl"/>
              </w:rPr>
              <w:t xml:space="preserve"> es una modalidad de</w:t>
            </w:r>
            <w:r w:rsidRPr="008D191C">
              <w:rPr>
                <w:rFonts w:ascii="Verdana" w:eastAsia="Verdana" w:hAnsi="Verdana" w:cs="Verdana"/>
                <w:lang w:val="es-ES"/>
              </w:rPr>
              <w:t xml:space="preserve">l contrato de obra que no se agota en la labor constructiva típica, pues incluye tanto la elaboración de los diseños como la puesta en funcionamiento de la obra contratada, lo que justifica una contraprestación a precio global y alzado. En esta forma de contratación, la obra </w:t>
            </w:r>
            <w:r w:rsidRPr="00E01A7B">
              <w:rPr>
                <w:rFonts w:ascii="Verdana" w:eastAsia="Verdana" w:hAnsi="Verdana" w:cs="Verdana"/>
                <w:i/>
                <w:iCs/>
                <w:lang w:val="es-ES"/>
              </w:rPr>
              <w:t xml:space="preserve">“[…] debe estar provista de todo lo que fuere necesario, según las normas técnicas aplicables, para operar en </w:t>
            </w:r>
            <w:r w:rsidRPr="00E01A7B">
              <w:rPr>
                <w:rFonts w:ascii="Verdana" w:eastAsia="Verdana" w:hAnsi="Verdana" w:cs="Verdana"/>
                <w:i/>
                <w:iCs/>
                <w:lang w:val="es-ES"/>
              </w:rPr>
              <w:lastRenderedPageBreak/>
              <w:t>condiciones de eficiencia y seguridad […]”</w:t>
            </w:r>
            <w:r w:rsidRPr="00E01A7B">
              <w:rPr>
                <w:rStyle w:val="Refdenotaalpie"/>
                <w:rFonts w:ascii="Verdana" w:eastAsia="Verdana" w:hAnsi="Verdana" w:cs="Verdana"/>
                <w:i/>
                <w:iCs/>
                <w:lang w:val="es-ES"/>
              </w:rPr>
              <w:footnoteReference w:id="2"/>
            </w:r>
            <w:r w:rsidRPr="00E01A7B">
              <w:rPr>
                <w:rFonts w:ascii="Verdana" w:eastAsia="Verdana" w:hAnsi="Verdana" w:cs="Verdana"/>
                <w:i/>
                <w:iCs/>
                <w:lang w:val="es-ES"/>
              </w:rPr>
              <w:t xml:space="preserve">. </w:t>
            </w:r>
            <w:r w:rsidRPr="008D191C">
              <w:rPr>
                <w:rFonts w:ascii="Verdana" w:eastAsia="Verdana" w:hAnsi="Verdana" w:cs="Verdana"/>
                <w:lang w:val="es-ES"/>
              </w:rPr>
              <w:t xml:space="preserve">Además, </w:t>
            </w:r>
            <w:r w:rsidRPr="00E01A7B">
              <w:rPr>
                <w:rFonts w:ascii="Verdana" w:eastAsia="Verdana" w:hAnsi="Verdana" w:cs="Verdana"/>
                <w:i/>
                <w:iCs/>
                <w:lang w:val="es-ES"/>
              </w:rPr>
              <w:t>“[…]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8D191C">
              <w:rPr>
                <w:rFonts w:ascii="Verdana" w:eastAsia="Verdana" w:hAnsi="Verdana" w:cs="Verdana"/>
                <w:lang w:val="es-ES"/>
              </w:rPr>
              <w:t xml:space="preserve">. </w:t>
            </w:r>
          </w:p>
          <w:p w14:paraId="4B4C5198" w14:textId="77777777" w:rsidR="00EC4560" w:rsidRDefault="00EC4560" w:rsidP="00DA5914">
            <w:pPr>
              <w:widowControl w:val="0"/>
              <w:autoSpaceDE w:val="0"/>
              <w:autoSpaceDN w:val="0"/>
              <w:spacing w:after="120" w:line="276" w:lineRule="auto"/>
              <w:ind w:firstLine="709"/>
              <w:jc w:val="both"/>
              <w:rPr>
                <w:rFonts w:ascii="Verdana" w:eastAsia="Verdana" w:hAnsi="Verdana" w:cs="Verdana"/>
                <w:lang w:val="es-ES"/>
              </w:rPr>
            </w:pPr>
            <w:r>
              <w:rPr>
                <w:rFonts w:ascii="Verdana" w:eastAsia="Calibri" w:hAnsi="Verdana" w:cs="Arial"/>
                <w:color w:val="000000"/>
                <w:lang w:eastAsia="es-ES"/>
              </w:rPr>
              <w:t xml:space="preserve">Estos contratos </w:t>
            </w:r>
            <w:r>
              <w:rPr>
                <w:rFonts w:ascii="Verdana" w:eastAsia="Verdana" w:hAnsi="Verdana" w:cs="Verdana"/>
              </w:rPr>
              <w:t>“[...] están</w:t>
            </w:r>
            <w:r w:rsidRPr="002B657F">
              <w:rPr>
                <w:rFonts w:ascii="Verdana" w:eastAsia="Verdana" w:hAnsi="Verdana" w:cs="Verdana"/>
              </w:rPr>
              <w:t xml:space="preserve"> concebidos para su utilización</w:t>
            </w:r>
            <w:r>
              <w:rPr>
                <w:rFonts w:ascii="Verdana" w:eastAsia="Verdana" w:hAnsi="Verdana" w:cs="Verdana"/>
              </w:rPr>
              <w:t xml:space="preserve"> </w:t>
            </w:r>
            <w:r w:rsidRPr="002B657F">
              <w:rPr>
                <w:rFonts w:ascii="Verdana" w:eastAsia="Verdana" w:hAnsi="Verdana" w:cs="Verdana"/>
              </w:rPr>
              <w:t>en grandes proyectos, en los cuales la certidumbre</w:t>
            </w:r>
            <w:r>
              <w:rPr>
                <w:rFonts w:ascii="Verdana" w:eastAsia="Verdana" w:hAnsi="Verdana" w:cs="Verdana"/>
              </w:rPr>
              <w:t xml:space="preserve"> </w:t>
            </w:r>
            <w:r w:rsidRPr="002B657F">
              <w:rPr>
                <w:rFonts w:ascii="Verdana" w:eastAsia="Verdana" w:hAnsi="Verdana" w:cs="Verdana"/>
              </w:rPr>
              <w:t>sobre el precio final y sobre el plazo de terminación de la</w:t>
            </w:r>
            <w:r>
              <w:rPr>
                <w:rFonts w:ascii="Verdana" w:eastAsia="Verdana" w:hAnsi="Verdana" w:cs="Verdana"/>
              </w:rPr>
              <w:t xml:space="preserve"> </w:t>
            </w:r>
            <w:r w:rsidRPr="002B657F">
              <w:rPr>
                <w:rFonts w:ascii="Verdana" w:eastAsia="Verdana" w:hAnsi="Verdana" w:cs="Verdana"/>
              </w:rPr>
              <w:t>obra es esencial, en la medida en que suelen ser elementos</w:t>
            </w:r>
            <w:r>
              <w:rPr>
                <w:rFonts w:ascii="Verdana" w:eastAsia="Verdana" w:hAnsi="Verdana" w:cs="Verdana"/>
              </w:rPr>
              <w:t xml:space="preserve"> </w:t>
            </w:r>
            <w:r w:rsidRPr="002B657F">
              <w:rPr>
                <w:rFonts w:ascii="Verdana" w:eastAsia="Verdana" w:hAnsi="Verdana" w:cs="Verdana"/>
              </w:rPr>
              <w:t>clave para la obtención de financiación de los proyectos</w:t>
            </w:r>
            <w:r>
              <w:rPr>
                <w:rFonts w:ascii="Verdana" w:eastAsia="Verdana" w:hAnsi="Verdana" w:cs="Verdana"/>
              </w:rPr>
              <w:t>”</w:t>
            </w:r>
            <w:r>
              <w:rPr>
                <w:rStyle w:val="Refdenotaalpie"/>
                <w:rFonts w:ascii="Verdana" w:eastAsia="Verdana" w:hAnsi="Verdana" w:cs="Verdana"/>
              </w:rPr>
              <w:footnoteReference w:id="3"/>
            </w:r>
            <w:r w:rsidRPr="002B657F">
              <w:rPr>
                <w:rFonts w:ascii="Verdana" w:eastAsia="Verdana" w:hAnsi="Verdana" w:cs="Verdana"/>
              </w:rPr>
              <w:t>.</w:t>
            </w:r>
            <w:r>
              <w:rPr>
                <w:rFonts w:ascii="Verdana" w:eastAsia="Verdana" w:hAnsi="Verdana" w:cs="Verdana"/>
              </w:rPr>
              <w:t xml:space="preserve"> Es por esto por lo que este tipo de contratos se caracterizan por atribuir un mayor volumen de riesgos al contratista, por lo que l</w:t>
            </w:r>
            <w:r>
              <w:rPr>
                <w:rFonts w:ascii="Verdana" w:eastAsia="Verdana" w:hAnsi="Verdana" w:cs="Verdana"/>
                <w:lang w:val="es-ES"/>
              </w:rPr>
              <w:t xml:space="preserve">a doctrina recomienda su implementación en situaciones en las que existe suficiente información en cuanto sus costos, de tal manera que pueden ser razonablemente estimados, hasta el punto de comprometer la producción </w:t>
            </w:r>
            <w:r w:rsidRPr="006E5F67">
              <w:rPr>
                <w:rFonts w:ascii="Verdana" w:eastAsia="Verdana" w:hAnsi="Verdana" w:cs="Verdana"/>
              </w:rPr>
              <w:t>de un resultado</w:t>
            </w:r>
            <w:r>
              <w:rPr>
                <w:rStyle w:val="Refdenotaalpie"/>
                <w:rFonts w:ascii="Verdana" w:eastAsia="Verdana" w:hAnsi="Verdana" w:cs="Verdana"/>
              </w:rPr>
              <w:footnoteReference w:id="4"/>
            </w:r>
            <w:r w:rsidRPr="006E5F67">
              <w:rPr>
                <w:rFonts w:ascii="Verdana" w:eastAsia="Verdana" w:hAnsi="Verdana" w:cs="Verdana"/>
              </w:rPr>
              <w:t>.</w:t>
            </w:r>
            <w:r>
              <w:rPr>
                <w:rFonts w:ascii="Verdana" w:eastAsia="Verdana" w:hAnsi="Verdana" w:cs="Verdana"/>
              </w:rPr>
              <w:t xml:space="preserve"> Esto en la medida en que, en este tipo de contratos, salvo estipulación en contrario, el</w:t>
            </w:r>
            <w:r>
              <w:rPr>
                <w:rFonts w:ascii="Verdana" w:eastAsia="Verdana" w:hAnsi="Verdana" w:cs="Verdana"/>
                <w:lang w:val="es-ES"/>
              </w:rPr>
              <w:t xml:space="preserve"> </w:t>
            </w:r>
            <w:r w:rsidRPr="008130DF">
              <w:rPr>
                <w:rFonts w:ascii="Verdana" w:eastAsia="Verdana" w:hAnsi="Verdana" w:cs="Verdana"/>
              </w:rPr>
              <w:t>contratista acepta total responsabilidad</w:t>
            </w:r>
            <w:r>
              <w:rPr>
                <w:rFonts w:ascii="Verdana" w:eastAsia="Verdana" w:hAnsi="Verdana" w:cs="Verdana"/>
              </w:rPr>
              <w:t xml:space="preserve"> </w:t>
            </w:r>
            <w:r w:rsidRPr="008130DF">
              <w:rPr>
                <w:rFonts w:ascii="Verdana" w:eastAsia="Verdana" w:hAnsi="Verdana" w:cs="Verdana"/>
              </w:rPr>
              <w:t>por haber previsto todas las dificultades y costos</w:t>
            </w:r>
            <w:r>
              <w:rPr>
                <w:rFonts w:ascii="Verdana" w:eastAsia="Verdana" w:hAnsi="Verdana" w:cs="Verdana"/>
              </w:rPr>
              <w:t xml:space="preserve"> </w:t>
            </w:r>
            <w:r w:rsidRPr="008130DF">
              <w:rPr>
                <w:rFonts w:ascii="Verdana" w:eastAsia="Verdana" w:hAnsi="Verdana" w:cs="Verdana"/>
              </w:rPr>
              <w:t>asociados a la terminación exitosa de la obra</w:t>
            </w:r>
            <w:r>
              <w:rPr>
                <w:rFonts w:ascii="Verdana" w:eastAsia="Verdana" w:hAnsi="Verdana" w:cs="Verdana"/>
              </w:rPr>
              <w:t xml:space="preserve">. </w:t>
            </w:r>
          </w:p>
          <w:p w14:paraId="49E31075" w14:textId="77777777" w:rsidR="00EC4560" w:rsidRPr="004118AF" w:rsidRDefault="00EC4560" w:rsidP="00DA5914">
            <w:pPr>
              <w:widowControl w:val="0"/>
              <w:autoSpaceDE w:val="0"/>
              <w:autoSpaceDN w:val="0"/>
              <w:spacing w:after="120" w:line="276" w:lineRule="auto"/>
              <w:ind w:firstLine="709"/>
              <w:jc w:val="both"/>
              <w:rPr>
                <w:rFonts w:ascii="Verdana" w:eastAsia="Calibri" w:hAnsi="Verdana" w:cs="Arial"/>
                <w:color w:val="000000"/>
                <w:lang w:eastAsia="es-ES"/>
              </w:rPr>
            </w:pPr>
            <w:r w:rsidRPr="00786797">
              <w:rPr>
                <w:rFonts w:ascii="Verdana" w:eastAsia="Calibri" w:hAnsi="Verdana" w:cs="Arial"/>
                <w:color w:val="000000"/>
                <w:lang w:eastAsia="es-ES"/>
              </w:rPr>
              <w:t xml:space="preserve">En todo caso, dicho contrato implica que el presupuesto corresponde a un valor previamente establecido que aplica como remuneración por todas las gestiones que adelanta el contratista. De tal modo, en dicha modalidad se requiere que el contratista: a) cumpla las obligaciones que hacen parte de cada una de las fases de ejecución del contrato, asumiendo los riesgos asociados a cada una de ellas; b) se haga cargo de verificar todas las interferencias que puedan presentarse entre las diferentes disciplinas a luz de las cuales se elaboran los estudios y diseños para la ejecución del proyecto; c) constituya garantías que amparen todas fases del contrato. Por otro lado, es necesario que la entidad contratante: a) revise la estructuración, con el fin de que la ejecución de este tipo de contratos traiga consigo ventajas como la reducción de tiempos y la optimización de costos; b) revise el término de </w:t>
            </w:r>
            <w:r w:rsidRPr="00786797">
              <w:rPr>
                <w:rFonts w:ascii="Verdana" w:eastAsia="Calibri" w:hAnsi="Verdana" w:cs="Arial"/>
                <w:color w:val="000000"/>
                <w:lang w:eastAsia="es-ES"/>
              </w:rPr>
              <w:lastRenderedPageBreak/>
              <w:t>ejecución de la obra, y determinar la forma de pago más adecuada, conforme al proyecto a desarrollar.</w:t>
            </w:r>
          </w:p>
          <w:p w14:paraId="26FB22FC" w14:textId="77777777" w:rsidR="00EC4560" w:rsidRPr="0062549D" w:rsidRDefault="00EC4560" w:rsidP="00DA5914">
            <w:pPr>
              <w:spacing w:after="120" w:line="276" w:lineRule="auto"/>
              <w:jc w:val="both"/>
              <w:rPr>
                <w:rFonts w:ascii="Verdana" w:eastAsia="Calibri" w:hAnsi="Verdana" w:cs="Arial"/>
                <w:lang w:val="es-ES"/>
              </w:rPr>
            </w:pPr>
            <w:r>
              <w:rPr>
                <w:rFonts w:ascii="Verdana" w:eastAsia="Calibri" w:hAnsi="Verdana" w:cs="Times New Roman"/>
              </w:rPr>
              <w:t xml:space="preserve">v) </w:t>
            </w:r>
            <w:r w:rsidRPr="0062549D">
              <w:rPr>
                <w:rFonts w:ascii="Verdana" w:eastAsia="Calibri" w:hAnsi="Verdana" w:cs="Arial"/>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w:t>
            </w:r>
            <w:r w:rsidRPr="006C25F3">
              <w:rPr>
                <w:rFonts w:ascii="Verdana" w:eastAsia="Calibri" w:hAnsi="Verdana" w:cs="Arial"/>
                <w:lang w:val="es-ES"/>
              </w:rPr>
              <w:t xml:space="preserve">“En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0B79E628" w14:textId="77777777" w:rsidR="00EC4560" w:rsidRPr="00786797" w:rsidRDefault="00EC4560" w:rsidP="00DA5914">
            <w:pPr>
              <w:widowControl w:val="0"/>
              <w:autoSpaceDE w:val="0"/>
              <w:autoSpaceDN w:val="0"/>
              <w:spacing w:after="120" w:line="276" w:lineRule="auto"/>
              <w:ind w:firstLine="709"/>
              <w:jc w:val="both"/>
              <w:rPr>
                <w:rFonts w:ascii="Verdana" w:eastAsia="Calibri" w:hAnsi="Verdana" w:cs="Arial"/>
                <w:color w:val="000000"/>
                <w:lang w:eastAsia="es-ES"/>
              </w:rPr>
            </w:pPr>
            <w:r w:rsidRPr="00786797">
              <w:rPr>
                <w:rFonts w:ascii="Verdana" w:eastAsia="Calibri" w:hAnsi="Verdana" w:cs="Arial"/>
                <w:color w:val="000000"/>
                <w:lang w:eastAsia="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-como serían los contratos llave en mano- o la modalidad de selección del contratista.</w:t>
            </w:r>
          </w:p>
          <w:p w14:paraId="5E7F4061" w14:textId="77777777" w:rsidR="00EC4560" w:rsidRPr="001D1DF1" w:rsidRDefault="00EC4560" w:rsidP="00DA5914">
            <w:pPr>
              <w:widowControl w:val="0"/>
              <w:autoSpaceDE w:val="0"/>
              <w:autoSpaceDN w:val="0"/>
              <w:spacing w:after="120" w:line="276" w:lineRule="auto"/>
              <w:ind w:firstLine="709"/>
              <w:jc w:val="both"/>
              <w:rPr>
                <w:rFonts w:ascii="Verdana" w:eastAsia="Calibri" w:hAnsi="Verdana" w:cs="Times New Roman"/>
              </w:rPr>
            </w:pPr>
            <w:r w:rsidRPr="00786797">
              <w:rPr>
                <w:rFonts w:ascii="Verdana" w:eastAsia="Calibri" w:hAnsi="Verdana" w:cs="Arial"/>
                <w:color w:val="000000"/>
                <w:lang w:eastAsia="es-ES"/>
              </w:rPr>
              <w:t>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w:t>
            </w:r>
          </w:p>
        </w:tc>
      </w:tr>
    </w:tbl>
    <w:p w14:paraId="6CDD59E5" w14:textId="77777777" w:rsidR="00EC4560" w:rsidRPr="001D1DF1" w:rsidRDefault="00EC4560" w:rsidP="00EC4560">
      <w:pPr>
        <w:tabs>
          <w:tab w:val="left" w:pos="142"/>
          <w:tab w:val="left" w:pos="284"/>
        </w:tabs>
        <w:spacing w:after="0" w:line="276" w:lineRule="auto"/>
        <w:jc w:val="both"/>
        <w:rPr>
          <w:rFonts w:ascii="Verdana" w:eastAsia="Century Gothic" w:hAnsi="Verdana" w:cs="Century Gothic"/>
          <w:b/>
          <w:bCs/>
          <w:lang w:val="es-ES"/>
        </w:rPr>
      </w:pPr>
    </w:p>
    <w:p w14:paraId="02CE9CA8" w14:textId="5BE7A3F5" w:rsidR="00EC4560" w:rsidRPr="001D1DF1" w:rsidRDefault="00E93A07" w:rsidP="00E93A07">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3. </w:t>
      </w:r>
      <w:r w:rsidR="00EC4560" w:rsidRPr="001D1DF1">
        <w:rPr>
          <w:rFonts w:ascii="Verdana" w:eastAsia="Century Gothic" w:hAnsi="Verdana" w:cs="Century Gothic"/>
          <w:b/>
          <w:bCs/>
          <w:lang w:val="es-ES"/>
        </w:rPr>
        <w:t>Razones de la respuesta:</w:t>
      </w:r>
    </w:p>
    <w:p w14:paraId="4B5C9340" w14:textId="77777777" w:rsidR="00EC4560" w:rsidRPr="001D1DF1" w:rsidRDefault="00EC4560" w:rsidP="00EC4560">
      <w:pPr>
        <w:spacing w:after="0" w:line="276" w:lineRule="auto"/>
        <w:jc w:val="both"/>
        <w:rPr>
          <w:rFonts w:ascii="Verdana" w:eastAsia="Calibri" w:hAnsi="Verdana" w:cs="Arial"/>
          <w:lang w:val="es-ES"/>
        </w:rPr>
      </w:pPr>
    </w:p>
    <w:p w14:paraId="3989DD43" w14:textId="77777777" w:rsidR="00EC4560" w:rsidRPr="001D1DF1" w:rsidRDefault="00EC4560" w:rsidP="00EC4560">
      <w:pPr>
        <w:spacing w:after="0" w:line="276" w:lineRule="auto"/>
        <w:jc w:val="both"/>
        <w:rPr>
          <w:rFonts w:ascii="Verdana" w:eastAsia="Calibri" w:hAnsi="Verdana" w:cs="Arial"/>
          <w:lang w:val="es-ES"/>
        </w:rPr>
      </w:pPr>
      <w:r w:rsidRPr="001D1DF1">
        <w:rPr>
          <w:rFonts w:ascii="Verdana" w:eastAsia="Calibri" w:hAnsi="Verdana" w:cs="Arial"/>
          <w:lang w:val="es-ES"/>
        </w:rPr>
        <w:t xml:space="preserve">Lo anterior se sustenta en las siguientes consideraciones: </w:t>
      </w:r>
    </w:p>
    <w:p w14:paraId="78FA2A1B" w14:textId="77777777" w:rsidR="00EC4560" w:rsidRPr="001D1DF1" w:rsidRDefault="00EC4560" w:rsidP="00EC4560">
      <w:pPr>
        <w:spacing w:after="0" w:line="276" w:lineRule="auto"/>
        <w:jc w:val="both"/>
        <w:rPr>
          <w:rFonts w:ascii="Verdana" w:eastAsia="Calibri" w:hAnsi="Verdana" w:cs="Arial"/>
          <w:lang w:val="es-ES"/>
        </w:rPr>
      </w:pPr>
    </w:p>
    <w:p w14:paraId="302E34B0" w14:textId="77777777" w:rsidR="00EC4560" w:rsidRPr="00087D7B" w:rsidRDefault="00EC4560" w:rsidP="00EC4560">
      <w:pPr>
        <w:spacing w:after="120" w:line="276" w:lineRule="auto"/>
        <w:jc w:val="both"/>
        <w:rPr>
          <w:rFonts w:ascii="Verdana" w:eastAsia="Aptos" w:hAnsi="Verdana" w:cs="Arial"/>
        </w:rPr>
      </w:pPr>
      <w:r w:rsidRPr="00087D7B">
        <w:rPr>
          <w:rFonts w:ascii="Verdana" w:eastAsia="Aptos" w:hAnsi="Verdana" w:cs="Arial"/>
        </w:rPr>
        <w:t xml:space="preserve">El artículo 1 de la Ley 2022 de 2020 “Por la cual modifica el artículo 4 de la Ley 1882 de 2018 y se dictan otras disposiciones” otorga a la Agencia Nacional de </w:t>
      </w:r>
      <w:r w:rsidRPr="00087D7B">
        <w:rPr>
          <w:rFonts w:ascii="Verdana" w:eastAsia="Aptos" w:hAnsi="Verdana" w:cs="Arial"/>
        </w:rPr>
        <w:lastRenderedPageBreak/>
        <w:t>Contratación Pública – Colombia Compra Eficiente la competencia para adoptar los documentos tipo que serán de obligatorio cumplimiento en la actividad contractual de todas las entidades sometidas al Estatuto General de la Administración Pública.</w:t>
      </w:r>
    </w:p>
    <w:p w14:paraId="77A8068C" w14:textId="62A8E843" w:rsidR="00EC4560" w:rsidRPr="00087D7B" w:rsidRDefault="00EC4560" w:rsidP="00EC4560">
      <w:pPr>
        <w:spacing w:after="120" w:line="276" w:lineRule="auto"/>
        <w:ind w:firstLine="708"/>
        <w:jc w:val="both"/>
        <w:rPr>
          <w:rFonts w:ascii="Verdana" w:eastAsia="Aptos" w:hAnsi="Verdana" w:cs="Arial"/>
        </w:rPr>
      </w:pPr>
      <w:r w:rsidRPr="00087D7B">
        <w:rPr>
          <w:rFonts w:ascii="Verdana" w:eastAsia="Aptos" w:hAnsi="Verdana" w:cs="Arial"/>
          <w:lang w:val="es-ES"/>
        </w:rPr>
        <w:t xml:space="preserve">Con sustento en esta competencia, esta Agencia expidió diversos grupos de documentos tipo aplicables principalmente a la contratación de obras públicas de infraestructura de transporte, </w:t>
      </w:r>
      <w:r w:rsidR="00741D1E">
        <w:rPr>
          <w:rFonts w:ascii="Verdana" w:eastAsia="Aptos" w:hAnsi="Verdana" w:cs="Arial"/>
          <w:lang w:val="es-ES"/>
        </w:rPr>
        <w:t xml:space="preserve">de </w:t>
      </w:r>
      <w:r w:rsidRPr="00087D7B">
        <w:rPr>
          <w:rFonts w:ascii="Verdana" w:eastAsia="Aptos" w:hAnsi="Verdana" w:cs="Arial"/>
          <w:lang w:val="es-ES"/>
        </w:rPr>
        <w:t>agua potable</w:t>
      </w:r>
      <w:r w:rsidR="00B26B97">
        <w:rPr>
          <w:rFonts w:ascii="Verdana" w:eastAsia="Aptos" w:hAnsi="Verdana" w:cs="Arial"/>
          <w:lang w:val="es-ES"/>
        </w:rPr>
        <w:t xml:space="preserve"> y</w:t>
      </w:r>
      <w:r w:rsidRPr="00087D7B">
        <w:rPr>
          <w:rFonts w:ascii="Verdana" w:eastAsia="Aptos" w:hAnsi="Verdana" w:cs="Arial"/>
          <w:lang w:val="es-ES"/>
        </w:rPr>
        <w:t xml:space="preserv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410150F" w14:textId="77777777" w:rsidR="00EC4560" w:rsidRPr="00087D7B" w:rsidRDefault="00EC4560" w:rsidP="00EC4560">
      <w:pPr>
        <w:spacing w:after="120" w:line="276" w:lineRule="auto"/>
        <w:ind w:firstLine="708"/>
        <w:jc w:val="both"/>
        <w:rPr>
          <w:rFonts w:ascii="Verdana" w:eastAsia="Aptos" w:hAnsi="Verdana" w:cs="Arial"/>
        </w:rPr>
      </w:pPr>
      <w:r w:rsidRPr="00087D7B">
        <w:rPr>
          <w:rFonts w:ascii="Verdana" w:eastAsia="Aptos" w:hAnsi="Verdana" w:cs="Arial"/>
        </w:rPr>
        <w:t xml:space="preserve">En relación con su solicitud, debe indicarse que, </w:t>
      </w:r>
      <w:r w:rsidRPr="00087D7B">
        <w:rPr>
          <w:rFonts w:ascii="Verdana" w:eastAsia="Calibri" w:hAnsi="Verdana" w:cs="Arial"/>
          <w:lang w:val="es-MX"/>
        </w:rPr>
        <w:t xml:space="preserve">la Agencia Nacional de Contratación Pública – Colombia Compra </w:t>
      </w:r>
      <w:r w:rsidRPr="00087D7B">
        <w:rPr>
          <w:rFonts w:ascii="Verdana" w:eastAsia="Calibri" w:hAnsi="Verdana" w:cs="Arial"/>
        </w:rPr>
        <w:t xml:space="preserve">Eficiente expidió la Resolución 219 </w:t>
      </w:r>
      <w:r w:rsidRPr="00087D7B">
        <w:rPr>
          <w:rFonts w:ascii="Verdana" w:eastAsia="Calibri" w:hAnsi="Verdana" w:cs="Arial"/>
          <w:bCs/>
        </w:rPr>
        <w:t xml:space="preserve">del 6 de agosto </w:t>
      </w:r>
      <w:r w:rsidRPr="00087D7B">
        <w:rPr>
          <w:rFonts w:ascii="Verdana" w:eastAsia="Calibri" w:hAnsi="Verdana" w:cs="Arial"/>
        </w:rPr>
        <w:t xml:space="preserve">de 2021, </w:t>
      </w:r>
      <w:r w:rsidRPr="00087D7B">
        <w:rPr>
          <w:rFonts w:ascii="Verdana" w:eastAsia="Calibri" w:hAnsi="Verdana" w:cs="Arial"/>
          <w:i/>
          <w:iCs/>
        </w:rPr>
        <w:t xml:space="preserve">“Por la cual se adoptan los documentos tipo para los procesos de licitación de obra pública de infraestructura social”. </w:t>
      </w:r>
      <w:r w:rsidRPr="00087D7B">
        <w:rPr>
          <w:rFonts w:ascii="Verdana" w:eastAsia="Calibri" w:hAnsi="Verdana" w:cs="Arial"/>
        </w:rPr>
        <w:t xml:space="preserve">Mediante esa Resolución, </w:t>
      </w:r>
      <w:r w:rsidRPr="00087D7B">
        <w:rPr>
          <w:rFonts w:ascii="Verdana" w:eastAsia="Calibri" w:hAnsi="Verdana" w:cs="Arial"/>
          <w:bCs/>
        </w:rPr>
        <w:t xml:space="preserve">se adoptaron los documentos tipo que aplican </w:t>
      </w:r>
      <w:r w:rsidRPr="00087D7B">
        <w:rPr>
          <w:rFonts w:ascii="Verdana" w:eastAsia="Calibri" w:hAnsi="Verdana" w:cs="Ari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78049F03" w14:textId="77777777" w:rsidR="00EC4560" w:rsidRPr="00087D7B" w:rsidRDefault="00EC4560" w:rsidP="00EC4560">
      <w:pPr>
        <w:spacing w:after="120" w:line="276" w:lineRule="auto"/>
        <w:ind w:firstLine="708"/>
        <w:jc w:val="both"/>
        <w:rPr>
          <w:rFonts w:ascii="Verdana" w:eastAsia="Aptos" w:hAnsi="Verdana" w:cs="Arial"/>
        </w:rPr>
      </w:pPr>
      <w:r w:rsidRPr="00087D7B">
        <w:rPr>
          <w:rFonts w:ascii="Verdana" w:eastAsia="Calibri" w:hAnsi="Verdana" w:cs="Arial"/>
        </w:rPr>
        <w:t xml:space="preserve">En consecuencia, en materia de infraestructura social debe tenerse en cuenta que existen dos (2) clases de documentos tipo que se integran en cada proceso: i) los documentos </w:t>
      </w:r>
      <w:r w:rsidRPr="00087D7B">
        <w:rPr>
          <w:rFonts w:ascii="Verdana" w:eastAsia="Calibri" w:hAnsi="Verdana" w:cs="Arial"/>
          <w:i/>
        </w:rPr>
        <w:t>transversales</w:t>
      </w:r>
      <w:r w:rsidRPr="00087D7B">
        <w:rPr>
          <w:rFonts w:ascii="Verdana" w:eastAsia="Calibri" w:hAnsi="Verdana" w:cs="Arial"/>
        </w:rPr>
        <w:t xml:space="preserve"> a todos los sectores de infraestructura social, es decir, el documento base, los anexos, los formatos, los formularios y las matrices adoptados mediante la Resolución No. 219 de 2021; y </w:t>
      </w:r>
      <w:proofErr w:type="spellStart"/>
      <w:r w:rsidRPr="00087D7B">
        <w:rPr>
          <w:rFonts w:ascii="Verdana" w:eastAsia="Calibri" w:hAnsi="Verdana" w:cs="Arial"/>
        </w:rPr>
        <w:t>ii</w:t>
      </w:r>
      <w:proofErr w:type="spellEnd"/>
      <w:r w:rsidRPr="00087D7B">
        <w:rPr>
          <w:rFonts w:ascii="Verdana" w:eastAsia="Calibri" w:hAnsi="Verdana" w:cs="Arial"/>
        </w:rPr>
        <w:t xml:space="preserve">) los documentos tipo </w:t>
      </w:r>
      <w:r w:rsidRPr="00087D7B">
        <w:rPr>
          <w:rFonts w:ascii="Verdana" w:eastAsia="Calibri" w:hAnsi="Verdana" w:cs="Arial"/>
          <w:i/>
        </w:rPr>
        <w:t>complementarios</w:t>
      </w:r>
      <w:r w:rsidRPr="00087D7B">
        <w:rPr>
          <w:rFonts w:ascii="Verdana" w:eastAsia="Calibri" w:hAnsi="Verdana" w:cs="Arial"/>
          <w:iCs/>
        </w:rPr>
        <w:t>,</w:t>
      </w:r>
      <w:r w:rsidRPr="00087D7B">
        <w:rPr>
          <w:rFonts w:ascii="Verdana" w:eastAsia="Calibri" w:hAnsi="Verdana" w:cs="Arial"/>
          <w:i/>
        </w:rPr>
        <w:t xml:space="preserve"> </w:t>
      </w:r>
      <w:r w:rsidRPr="00087D7B">
        <w:rPr>
          <w:rFonts w:ascii="Verdana" w:eastAsia="Calibri" w:hAnsi="Verdana" w:cs="Arial"/>
        </w:rPr>
        <w:t xml:space="preserve">referentes a la matriz de experiencia y el glosario, los cuales han sido adoptados en la resolución para cada sector específico. </w:t>
      </w:r>
    </w:p>
    <w:p w14:paraId="645529A1" w14:textId="77777777" w:rsidR="00EC4560" w:rsidRPr="00087D7B" w:rsidRDefault="00EC4560" w:rsidP="00EC4560">
      <w:pPr>
        <w:spacing w:after="120" w:line="276" w:lineRule="auto"/>
        <w:ind w:firstLine="708"/>
        <w:jc w:val="both"/>
        <w:rPr>
          <w:rFonts w:ascii="Verdana" w:eastAsia="Aptos" w:hAnsi="Verdana" w:cs="Arial"/>
        </w:rPr>
      </w:pPr>
      <w:r w:rsidRPr="00087D7B">
        <w:rPr>
          <w:rFonts w:ascii="Verdana" w:eastAsia="Calibri" w:hAnsi="Verdana" w:cs="Arial"/>
        </w:rPr>
        <w:t xml:space="preserve">En este orden de ideas, la Agencia expidió Resolución 220 del 6 de agosto de 2021, mediante la cual, adoptó los documentos tipo complementarios para los procesos de licitación de obra pública de infraestructura social relacionados </w:t>
      </w:r>
      <w:r w:rsidRPr="00087D7B">
        <w:rPr>
          <w:rFonts w:ascii="Verdana" w:eastAsia="Calibri" w:hAnsi="Verdana" w:cs="Arial"/>
        </w:rPr>
        <w:lastRenderedPageBreak/>
        <w:t xml:space="preserve">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087D7B">
        <w:rPr>
          <w:rFonts w:ascii="Verdana" w:eastAsia="Aptos" w:hAnsi="Verdana" w:cs="Times New Roman"/>
        </w:rPr>
        <w:t>Estas Resolución, en el artículo 2, adoptan el "</w:t>
      </w:r>
      <w:r w:rsidRPr="00087D7B">
        <w:rPr>
          <w:rFonts w:ascii="Verdana" w:eastAsia="Aptos" w:hAnsi="Verdana" w:cs="Times New Roman"/>
          <w:i/>
          <w:iCs/>
        </w:rPr>
        <w:t xml:space="preserve">Anexo -Glosario" y la "Matriz – Experiencia” </w:t>
      </w:r>
      <w:r w:rsidRPr="00087D7B">
        <w:rPr>
          <w:rFonts w:ascii="Verdana" w:eastAsia="Aptos" w:hAnsi="Verdana" w:cs="Times New Roman"/>
        </w:rPr>
        <w:t>para proyectos de infraestructura social en cada uno de los sectores señalados</w:t>
      </w:r>
      <w:r w:rsidRPr="00087D7B">
        <w:rPr>
          <w:rFonts w:ascii="Verdana" w:eastAsia="Aptos" w:hAnsi="Verdana" w:cs="Times New Roman"/>
          <w:bCs/>
        </w:rPr>
        <w:t xml:space="preserve">. </w:t>
      </w:r>
      <w:r w:rsidRPr="00087D7B">
        <w:rPr>
          <w:rFonts w:ascii="Verdana" w:eastAsia="Aptos" w:hAnsi="Verdana" w:cs="Times New Roman"/>
        </w:rPr>
        <w:t xml:space="preserve">Estos dos (2) documentos definen el alcance para cada sector específicamente. </w:t>
      </w:r>
    </w:p>
    <w:p w14:paraId="322AE2C6"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087D7B">
        <w:rPr>
          <w:rFonts w:ascii="Verdana" w:eastAsia="Calibri" w:hAnsi="Verdana" w:cs="Times New Roman"/>
          <w:shd w:val="clear" w:color="auto" w:fill="E8E8E8"/>
          <w:lang w:val="es-ES"/>
        </w:rPr>
        <w:t>–[texto]–,</w:t>
      </w:r>
      <w:r w:rsidRPr="00087D7B">
        <w:rPr>
          <w:rFonts w:ascii="Verdana" w:eastAsia="Calibri" w:hAnsi="Verdana" w:cs="Times New Roman"/>
          <w:lang w:val="es-ES"/>
        </w:rPr>
        <w:t xml:space="preserve"> para lo cual deberán observarse las instrucciones contenidas en los mismos para su diligenciamiento.</w:t>
      </w:r>
    </w:p>
    <w:p w14:paraId="324AA53D"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4B1F0CB"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96FA191"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A96213F"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lastRenderedPageBreak/>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C866B77" w14:textId="77777777" w:rsidR="00EC4560" w:rsidRPr="00087D7B" w:rsidRDefault="00EC4560" w:rsidP="00EC4560">
      <w:pPr>
        <w:widowControl w:val="0"/>
        <w:autoSpaceDE w:val="0"/>
        <w:autoSpaceDN w:val="0"/>
        <w:spacing w:after="120" w:line="276" w:lineRule="auto"/>
        <w:ind w:firstLine="708"/>
        <w:jc w:val="both"/>
        <w:rPr>
          <w:rFonts w:ascii="Verdana" w:eastAsia="Calibri" w:hAnsi="Verdana" w:cs="Times New Roman"/>
          <w:lang w:val="es-ES"/>
        </w:rPr>
      </w:pPr>
      <w:r w:rsidRPr="00087D7B">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09D63A6" w14:textId="456A3A8A" w:rsidR="4A4DC93F" w:rsidRPr="00B2211F" w:rsidRDefault="00EC4560" w:rsidP="00B2211F">
      <w:pPr>
        <w:spacing w:after="120"/>
        <w:ind w:firstLine="708"/>
        <w:jc w:val="both"/>
        <w:textAlignment w:val="baseline"/>
        <w:rPr>
          <w:rFonts w:ascii="Verdana" w:eastAsia="Times New Roman" w:hAnsi="Verdana" w:cs="Times New Roman"/>
          <w:color w:val="000000" w:themeColor="text1"/>
          <w:vertAlign w:val="superscript"/>
          <w:lang w:eastAsia="es-CO"/>
        </w:rPr>
      </w:pPr>
      <w:r w:rsidRPr="00087D7B">
        <w:rPr>
          <w:rFonts w:ascii="Verdana" w:eastAsia="Calibri" w:hAnsi="Verdana" w:cs="Times New Roman"/>
          <w:lang w:val="es-ES"/>
        </w:rPr>
        <w:t xml:space="preserve">Teniendo en cuenta </w:t>
      </w:r>
      <w:r>
        <w:rPr>
          <w:rFonts w:ascii="Verdana" w:eastAsia="Calibri" w:hAnsi="Verdana" w:cs="Times New Roman"/>
          <w:lang w:val="es-ES"/>
        </w:rPr>
        <w:t xml:space="preserve">su solicitud, en primer lugar, debe precisarse si, para la </w:t>
      </w:r>
      <w:r w:rsidRPr="4A4DC93F">
        <w:rPr>
          <w:rFonts w:ascii="Verdana" w:eastAsia="Calibri" w:hAnsi="Verdana" w:cs="Times New Roman"/>
          <w:i/>
          <w:iCs/>
          <w:lang w:val="es-ES"/>
        </w:rPr>
        <w:t>construcción</w:t>
      </w:r>
      <w:r>
        <w:rPr>
          <w:rFonts w:ascii="Verdana" w:eastAsia="Calibri" w:hAnsi="Verdana" w:cs="Times New Roman"/>
          <w:lang w:val="es-ES"/>
        </w:rPr>
        <w:t xml:space="preserve"> de </w:t>
      </w:r>
      <w:r w:rsidRPr="4A4DC93F">
        <w:rPr>
          <w:rFonts w:ascii="Verdana" w:eastAsia="Calibri" w:hAnsi="Verdana" w:cs="Times New Roman"/>
          <w:i/>
          <w:iCs/>
          <w:lang w:val="es-ES"/>
        </w:rPr>
        <w:t>un centro administrativo municipal</w:t>
      </w:r>
      <w:r>
        <w:rPr>
          <w:rFonts w:ascii="Verdana" w:eastAsia="Calibri" w:hAnsi="Verdana" w:cs="Times New Roman"/>
          <w:lang w:val="es-ES"/>
        </w:rPr>
        <w:t xml:space="preserve">, deben aplicarse los documentos tipo del sector de infraestructura social expedidos por esta Agencia. Sobre el particular le informamos que, un centro administrativo puede definirse como, </w:t>
      </w:r>
      <w:r w:rsidRPr="00087D7B">
        <w:rPr>
          <w:rFonts w:ascii="Verdana" w:eastAsia="Times New Roman" w:hAnsi="Verdana" w:cs="Times New Roman"/>
          <w:color w:val="000000"/>
          <w:lang w:eastAsia="es-CO"/>
        </w:rPr>
        <w:t>las sedes de la Administración Pública destinad</w:t>
      </w:r>
      <w:r>
        <w:rPr>
          <w:rFonts w:ascii="Verdana" w:eastAsia="Times New Roman" w:hAnsi="Verdana" w:cs="Times New Roman"/>
          <w:color w:val="000000"/>
          <w:lang w:eastAsia="es-CO"/>
        </w:rPr>
        <w:t>a</w:t>
      </w:r>
      <w:r w:rsidRPr="00087D7B">
        <w:rPr>
          <w:rFonts w:ascii="Verdana" w:eastAsia="Times New Roman" w:hAnsi="Verdana" w:cs="Times New Roman"/>
          <w:color w:val="000000"/>
          <w:lang w:eastAsia="es-CO"/>
        </w:rPr>
        <w:t>s al desarrollo de actividades de naturaleza administrativa, gubernamental y de representación, tanto a nivel nacional, departamental, municipal y diplomático, como también para sedes de organismos internacionales. Estos incluyen, entre otros, las sedes de entidades públicas municipales y departamentales, las sedes administrativas de servicios públicos con operación a nivel regional, las sedes de institutos descentralizados, los centros administrativos municipales, e incluyen igualmente los Centros de Administración Local Integrada (CALI).</w:t>
      </w:r>
    </w:p>
    <w:p w14:paraId="4D307DD5" w14:textId="77777777" w:rsidR="00EC4560" w:rsidRPr="008634DD"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8634DD">
        <w:rPr>
          <w:rFonts w:ascii="Verdana" w:eastAsia="Times New Roman" w:hAnsi="Verdana" w:cs="Times New Roman"/>
          <w:color w:val="000000"/>
          <w:lang w:eastAsia="es-CO"/>
        </w:rPr>
        <w:t xml:space="preserve">En este sentido, revisadas las actividades previstas en los documentos tipo de infraestructura social, adoptados por medio de las Resoluciones 220, 392 у 454 de 2021, aplicables respectivamente a los  sectores educativo, salud, cultura, recreación y deporte, en la modalidad de licitación pública, se observa que, en los casos en que los servicios que se prestan en estos centros sean exclusivamente para el desarrollo de actividades administrativas, los documentos mencionados no contemplan actividades para su construcción. En el mismo sentido, debe señalarse que, en el sector de infraestructura social, a </w:t>
      </w:r>
      <w:r w:rsidRPr="008634DD">
        <w:rPr>
          <w:rFonts w:ascii="Verdana" w:eastAsia="Times New Roman" w:hAnsi="Verdana" w:cs="Times New Roman"/>
          <w:color w:val="000000"/>
          <w:lang w:eastAsia="es-CO"/>
        </w:rPr>
        <w:lastRenderedPageBreak/>
        <w:t>la fecha, no existen documentos tipo para realizar estudios y diseños en dicho ámbito.</w:t>
      </w:r>
    </w:p>
    <w:p w14:paraId="585842E6" w14:textId="77777777" w:rsidR="00EC4560" w:rsidRDefault="00EC4560" w:rsidP="00EC4560">
      <w:pPr>
        <w:tabs>
          <w:tab w:val="left" w:pos="2977"/>
        </w:tabs>
        <w:spacing w:after="120" w:line="276" w:lineRule="auto"/>
        <w:ind w:firstLine="708"/>
        <w:jc w:val="both"/>
        <w:rPr>
          <w:rFonts w:ascii="Verdana" w:eastAsia="Calibri" w:hAnsi="Verdana" w:cs="Times New Roman"/>
          <w:lang w:val="es-ES"/>
        </w:rPr>
      </w:pPr>
      <w:r>
        <w:rPr>
          <w:rFonts w:ascii="Verdana" w:eastAsia="Calibri" w:hAnsi="Verdana" w:cs="Times New Roman"/>
          <w:lang w:val="es-ES"/>
        </w:rPr>
        <w:t>Sin perjuicio de lo anterior</w:t>
      </w:r>
      <w:r w:rsidRPr="00AC37F0">
        <w:rPr>
          <w:rFonts w:ascii="Verdana" w:eastAsia="Calibri" w:hAnsi="Verdana" w:cs="Times New Roman"/>
          <w:lang w:val="es-ES"/>
        </w:rPr>
        <w:t xml:space="preserve">, </w:t>
      </w:r>
      <w:r>
        <w:rPr>
          <w:rFonts w:ascii="Verdana" w:eastAsia="Calibri" w:hAnsi="Verdana" w:cs="Times New Roman"/>
          <w:lang w:val="es-ES"/>
        </w:rPr>
        <w:t xml:space="preserve">le indicamos que, </w:t>
      </w:r>
      <w:r w:rsidRPr="00AC37F0">
        <w:rPr>
          <w:rFonts w:ascii="Verdana" w:eastAsia="Calibri" w:hAnsi="Verdana" w:cs="Times New Roman"/>
          <w:lang w:val="es-ES"/>
        </w:rPr>
        <w:t xml:space="preserve">la entidad contratante definirá en cada caso concreto lo relacionado con </w:t>
      </w:r>
      <w:r>
        <w:rPr>
          <w:rFonts w:ascii="Verdana" w:eastAsia="Calibri" w:hAnsi="Verdana" w:cs="Times New Roman"/>
          <w:lang w:val="es-ES"/>
        </w:rPr>
        <w:t xml:space="preserve">la aplicación de los documentos tipo expedidos por esta Agencia para adelantar los estudios, diseños y construcción de un centro administrativo municipal, atendiendo a las particularidades del proyecto que pretende adelantar. </w:t>
      </w:r>
    </w:p>
    <w:p w14:paraId="4D0B4852" w14:textId="77777777" w:rsidR="00EC4560" w:rsidRDefault="00EC4560" w:rsidP="00EC4560">
      <w:pPr>
        <w:tabs>
          <w:tab w:val="left" w:pos="2977"/>
        </w:tabs>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Ahora bien, teniendo en cuenta que usted indaga sobre la posibilidad de que una Entidad pueda solicitar experiencia en bienes, obras o servicios adicionales a la obra pública de infraestructura social, y menciona el artículo 4 de la Resolución 219 de 2021 expedidos por esta Agencia, a continuación, se abordará este aspecto. </w:t>
      </w:r>
    </w:p>
    <w:p w14:paraId="44E258AA" w14:textId="77777777" w:rsidR="00EC4560" w:rsidRDefault="00EC4560" w:rsidP="00EC4560">
      <w:pPr>
        <w:tabs>
          <w:tab w:val="left" w:pos="2977"/>
        </w:tabs>
        <w:spacing w:after="120" w:line="276" w:lineRule="auto"/>
        <w:jc w:val="both"/>
        <w:rPr>
          <w:rFonts w:ascii="Verdana" w:eastAsia="Calibri" w:hAnsi="Verdana" w:cs="Times New Roman"/>
          <w:lang w:val="es-ES"/>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w:t>
      </w:r>
      <w:r>
        <w:rPr>
          <w:rFonts w:ascii="Verdana" w:eastAsia="Aptos" w:hAnsi="Verdana" w:cs="Times New Roman"/>
        </w:rPr>
        <w:t>C</w:t>
      </w:r>
      <w:r w:rsidRPr="00700909">
        <w:rPr>
          <w:rFonts w:ascii="Verdana" w:eastAsia="Aptos" w:hAnsi="Verdana" w:cs="Times New Roman"/>
        </w:rPr>
        <w:t>uando la entidad requiere bienes y servicios que no se encuentran incluidos como obra de infraestructura social en la “Matriz – Experiencia” y considera necesario exigir experiencia adicional, se debe aplicar el artículo 4 de la Resolución No. 219 de 2021</w:t>
      </w:r>
      <w:r w:rsidRPr="00700909">
        <w:rPr>
          <w:rFonts w:ascii="Verdana" w:eastAsia="Aptos" w:hAnsi="Verdana" w:cs="Times New Roman"/>
          <w:vertAlign w:val="superscript"/>
        </w:rPr>
        <w:footnoteReference w:id="5"/>
      </w:r>
      <w:r w:rsidRPr="00700909">
        <w:rPr>
          <w:rFonts w:ascii="Verdana" w:eastAsia="Aptos" w:hAnsi="Verdana" w:cs="Times New Roman"/>
        </w:rPr>
        <w:t xml:space="preserve">. Esta norma dispone los eventos en los que el </w:t>
      </w:r>
      <w:r w:rsidRPr="00700909">
        <w:rPr>
          <w:rFonts w:ascii="Verdana" w:eastAsia="Aptos" w:hAnsi="Verdana" w:cs="Times New Roman"/>
        </w:rPr>
        <w:lastRenderedPageBreak/>
        <w:t>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r>
        <w:rPr>
          <w:rFonts w:ascii="Verdana" w:eastAsia="Aptos" w:hAnsi="Verdana" w:cs="Times New Roman"/>
        </w:rPr>
        <w:t xml:space="preserve">. </w:t>
      </w:r>
      <w:r w:rsidRPr="00700909">
        <w:rPr>
          <w:rFonts w:ascii="Verdana" w:eastAsia="Times New Roman" w:hAnsi="Verdana" w:cs="Times New Roman"/>
          <w:color w:val="000000"/>
          <w:lang w:eastAsia="es-CO"/>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700909">
        <w:rPr>
          <w:rFonts w:ascii="Verdana" w:eastAsia="Times New Roman" w:hAnsi="Verdana" w:cs="Times New Roman"/>
          <w:color w:val="000000"/>
          <w:lang w:eastAsia="es-CO"/>
        </w:rPr>
        <w:t>ii</w:t>
      </w:r>
      <w:proofErr w:type="spellEnd"/>
      <w:r w:rsidRPr="00700909">
        <w:rPr>
          <w:rFonts w:ascii="Verdana" w:eastAsia="Times New Roman" w:hAnsi="Verdana" w:cs="Times New Roman"/>
          <w:color w:val="000000"/>
          <w:lang w:eastAsia="es-CO"/>
        </w:rPr>
        <w:t xml:space="preserve">) conservar los requisitos exigidos en los documentos tipo, </w:t>
      </w:r>
      <w:proofErr w:type="spellStart"/>
      <w:r w:rsidRPr="00700909">
        <w:rPr>
          <w:rFonts w:ascii="Verdana" w:eastAsia="Times New Roman" w:hAnsi="Verdana" w:cs="Times New Roman"/>
          <w:color w:val="000000"/>
          <w:lang w:eastAsia="es-CO"/>
        </w:rPr>
        <w:t>iii</w:t>
      </w:r>
      <w:proofErr w:type="spellEnd"/>
      <w:r w:rsidRPr="00700909">
        <w:rPr>
          <w:rFonts w:ascii="Verdana" w:eastAsia="Times New Roman" w:hAnsi="Verdana" w:cs="Times New Roman"/>
          <w:color w:val="000000"/>
          <w:lang w:eastAsia="es-CO"/>
        </w:rPr>
        <w:t xml:space="preserve">) abstenerse de pedir experiencia exclusiva con entidades de cualquier naturaleza, experiencia previa en un territorio específico, limitada en el tiempo o que incluya volúmenes o cantidades de obra específica, </w:t>
      </w:r>
      <w:proofErr w:type="spellStart"/>
      <w:r w:rsidRPr="00700909">
        <w:rPr>
          <w:rFonts w:ascii="Verdana" w:eastAsia="Times New Roman" w:hAnsi="Verdana" w:cs="Times New Roman"/>
          <w:color w:val="000000"/>
          <w:lang w:eastAsia="es-CO"/>
        </w:rPr>
        <w:t>iv</w:t>
      </w:r>
      <w:proofErr w:type="spellEnd"/>
      <w:r w:rsidRPr="00700909">
        <w:rPr>
          <w:rFonts w:ascii="Verdana" w:eastAsia="Times New Roman" w:hAnsi="Verdana" w:cs="Times New Roman"/>
          <w:color w:val="000000"/>
          <w:lang w:eastAsia="es-CO"/>
        </w:rPr>
        <w:t>) clasificar la experiencia requerida solo hasta el tercer nivel del clasificador de bienes y servicios e incluir exclusivamente los códigos que estén relacionados directamente con el objeto a contratar.</w:t>
      </w:r>
    </w:p>
    <w:p w14:paraId="3A705AA8" w14:textId="77777777" w:rsidR="00EC4560"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Times New Roman" w:hAnsi="Verdana" w:cs="Times New Roman"/>
          <w:color w:val="000000"/>
          <w:lang w:eastAsia="es-CO"/>
        </w:rPr>
        <w:t xml:space="preserve">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los bienes o servicios no afecta significativamente la pluralidad de oferentes. Es decir, la entidad debe revisar </w:t>
      </w:r>
      <w:r w:rsidRPr="00700909">
        <w:rPr>
          <w:rFonts w:ascii="Verdana" w:eastAsia="Times New Roman" w:hAnsi="Verdana" w:cs="Times New Roman"/>
          <w:color w:val="000000"/>
          <w:lang w:eastAsia="es-CO"/>
        </w:rPr>
        <w:lastRenderedPageBreak/>
        <w:t>que al solicitar esta experiencia existen suficientes potenciales proponentes que puedan acreditar estas condiciones.</w:t>
      </w:r>
    </w:p>
    <w:p w14:paraId="0352C443" w14:textId="77777777" w:rsidR="00EC4560"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Times New Roman" w:hAnsi="Verdana" w:cs="Times New Roman"/>
          <w:color w:val="000000"/>
          <w:lang w:eastAsia="es-CO"/>
        </w:rPr>
        <w:t>En segundo lugar, la solicitud de esta experiencia no permite que la entidad modifique los requisitos habilitantes y de ponderación de la propuesta, por lo cual se deben mantener los establecidos en los documentos tipo.</w:t>
      </w:r>
    </w:p>
    <w:p w14:paraId="19400107" w14:textId="77777777" w:rsidR="00EC4560"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Times New Roman" w:hAnsi="Verdana" w:cs="Times New Roman"/>
          <w:color w:val="000000"/>
          <w:lang w:eastAsia="es-CO"/>
        </w:rPr>
        <w:t>En tercer lugar, la experiencia adicional solicitada debe relacionarse con los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r>
        <w:rPr>
          <w:rFonts w:ascii="Verdana" w:eastAsia="Times New Roman" w:hAnsi="Verdana" w:cs="Times New Roman"/>
          <w:color w:val="000000"/>
          <w:lang w:eastAsia="es-CO"/>
        </w:rPr>
        <w:t xml:space="preserve"> </w:t>
      </w:r>
      <w:r w:rsidRPr="00700909">
        <w:rPr>
          <w:rFonts w:ascii="Verdana" w:eastAsia="Times New Roman" w:hAnsi="Verdana" w:cs="Times New Roman"/>
          <w:color w:val="000000"/>
          <w:lang w:eastAsia="es-CO"/>
        </w:rPr>
        <w:t>Por último, la experiencia requerida debe clasificarse hasta el tercer nivel del clasificador de bienes y servicios. Por lo tanto, la entidad no puede requerir que se acredite el “producto” de este clasificador.</w:t>
      </w:r>
    </w:p>
    <w:p w14:paraId="47743659" w14:textId="37FFDB5C" w:rsidR="00EC4560"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Aptos" w:hAnsi="Verdana" w:cs="Times New Roman"/>
        </w:rPr>
        <w:t xml:space="preserve">La posibilidad de solicitar experiencia adicional solo ocurre cuando el objeto contractual incluye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w:t>
      </w:r>
      <w:r w:rsidR="00EC6C23" w:rsidRPr="00700909">
        <w:rPr>
          <w:rFonts w:ascii="Verdana" w:eastAsia="Aptos" w:hAnsi="Verdana" w:cs="Times New Roman"/>
        </w:rPr>
        <w:t>está</w:t>
      </w:r>
      <w:r w:rsidRPr="00700909">
        <w:rPr>
          <w:rFonts w:ascii="Verdana" w:eastAsia="Aptos" w:hAnsi="Verdana" w:cs="Times New Roman"/>
        </w:rPr>
        <w:t xml:space="preserve"> relacionada con el contrato a ejecutar, por ejemplo, la construcción de un edificio de administración en un parque Metropolitano o </w:t>
      </w:r>
      <w:proofErr w:type="spellStart"/>
      <w:r w:rsidRPr="00700909">
        <w:rPr>
          <w:rFonts w:ascii="Verdana" w:eastAsia="Aptos" w:hAnsi="Verdana" w:cs="Times New Roman"/>
        </w:rPr>
        <w:t>ii</w:t>
      </w:r>
      <w:proofErr w:type="spellEnd"/>
      <w:r w:rsidRPr="00700909">
        <w:rPr>
          <w:rFonts w:ascii="Verdana" w:eastAsia="Aptos" w:hAnsi="Verdana" w:cs="Times New Roman"/>
        </w:rPr>
        <w:t>) el bien o servicio que se requiere es adicional a la actividad principal, aun cuando se relaciona con la infraestructura social, por ejemplo la elaboración de los estudios y diseños para la construcción de un parque. En supuestos como los indicados es posible que la entidad exija experiencia adicional para acreditar la idoneidad del contratista en la ejecución de estos bienes o servicios adicionales a la obra de infraestructura social.</w:t>
      </w:r>
    </w:p>
    <w:p w14:paraId="5055C5C7" w14:textId="77777777" w:rsidR="00EC4560"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Aptos" w:hAnsi="Verdana" w:cs="Times New Roman"/>
        </w:rPr>
        <w:t xml:space="preserve">Adicionalmente, debe tenerse presente la regla de la inalterabilidad de los documentos tipo, que se fundamenta en los artículos 2 y 3 de la Resolución No. 219 </w:t>
      </w:r>
      <w:r>
        <w:rPr>
          <w:rFonts w:ascii="Verdana" w:eastAsia="Aptos" w:hAnsi="Verdana" w:cs="Times New Roman"/>
        </w:rPr>
        <w:t xml:space="preserve">de </w:t>
      </w:r>
      <w:r w:rsidRPr="00700909">
        <w:rPr>
          <w:rFonts w:ascii="Verdana" w:eastAsia="Aptos" w:hAnsi="Verdana" w:cs="Times New Roman"/>
        </w:rPr>
        <w:t xml:space="preserve">2021, que disponen que las entidades contratantes no podrán incluir o modificar dentro de los documentos del proceso las condiciones habilitantes, los </w:t>
      </w:r>
      <w:r w:rsidRPr="00700909">
        <w:rPr>
          <w:rFonts w:ascii="Verdana" w:eastAsia="Aptos" w:hAnsi="Verdana" w:cs="Times New Roman"/>
        </w:rPr>
        <w:lastRenderedPageBreak/>
        <w:t>factores técnicos y económicos de escogencia y los sistemas de ponderación señalados en los documentos tipo.</w:t>
      </w:r>
    </w:p>
    <w:p w14:paraId="05914E25" w14:textId="77777777" w:rsidR="00EC4560" w:rsidRPr="00700909" w:rsidRDefault="00EC4560" w:rsidP="00EC4560">
      <w:pPr>
        <w:spacing w:after="120" w:line="276" w:lineRule="auto"/>
        <w:ind w:firstLine="708"/>
        <w:jc w:val="both"/>
        <w:textAlignment w:val="baseline"/>
        <w:rPr>
          <w:rFonts w:ascii="Verdana" w:eastAsia="Times New Roman" w:hAnsi="Verdana" w:cs="Times New Roman"/>
          <w:color w:val="000000"/>
          <w:lang w:eastAsia="es-CO"/>
        </w:rPr>
      </w:pPr>
      <w:r w:rsidRPr="00700909">
        <w:rPr>
          <w:rFonts w:ascii="Verdana" w:eastAsia="Aptos" w:hAnsi="Verdana" w:cs="Times New Roman"/>
        </w:rPr>
        <w:t>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Por consiguiente, 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Al respecto el documento señala lo siguiente:</w:t>
      </w:r>
    </w:p>
    <w:p w14:paraId="326F95AB" w14:textId="77777777" w:rsidR="00EC4560" w:rsidRPr="00700909" w:rsidRDefault="00EC4560" w:rsidP="00EC4560">
      <w:pPr>
        <w:ind w:left="720"/>
        <w:contextualSpacing/>
        <w:rPr>
          <w:rFonts w:ascii="Verdana" w:eastAsia="Aptos" w:hAnsi="Verdana" w:cs="Times New Roman"/>
        </w:rPr>
      </w:pPr>
    </w:p>
    <w:p w14:paraId="7DCD8BBF" w14:textId="77777777" w:rsidR="00EC4560" w:rsidRPr="00700909" w:rsidRDefault="00EC4560" w:rsidP="00EC4560">
      <w:pPr>
        <w:numPr>
          <w:ilvl w:val="0"/>
          <w:numId w:val="21"/>
        </w:numPr>
        <w:spacing w:after="120" w:line="240" w:lineRule="auto"/>
        <w:ind w:left="1069" w:right="709"/>
        <w:contextualSpacing/>
        <w:jc w:val="both"/>
        <w:rPr>
          <w:rFonts w:ascii="Verdana" w:eastAsia="Calibri" w:hAnsi="Verdana" w:cs="Arial"/>
          <w:iCs/>
          <w:color w:val="000000"/>
          <w:sz w:val="21"/>
          <w:szCs w:val="21"/>
          <w:lang w:val="es-MX"/>
        </w:rPr>
      </w:pPr>
      <w:r w:rsidRPr="00700909">
        <w:rPr>
          <w:rFonts w:ascii="Verdana" w:eastAsia="Calibri" w:hAnsi="Verdana" w:cs="Arial"/>
          <w:iCs/>
          <w:color w:val="000000"/>
          <w:sz w:val="21"/>
          <w:szCs w:val="21"/>
          <w:lang w:val="es-MX"/>
        </w:rPr>
        <w:t>[</w:t>
      </w:r>
      <w:r w:rsidRPr="00700909">
        <w:rPr>
          <w:rFonts w:ascii="Verdana" w:eastAsia="Calibri" w:hAnsi="Verdana" w:cs="Arial"/>
          <w:iCs/>
          <w:color w:val="000000"/>
          <w:sz w:val="21"/>
          <w:szCs w:val="21"/>
          <w:highlight w:val="lightGray"/>
          <w:lang w:val="es-MX"/>
        </w:rPr>
        <w:t>Cuando el objeto contractual incluya bienes o servicios ajenos a la obra pública de infraestructura social y de manera excepcional se requiere incluir experiencia adicional para evaluar la idoneidad respecto de dichos bienes o servicios, la Entidad 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 En todo caso, si el objeto contractual contempla bienes o servicios ajenos que no están regulados en los Documentos Tipo, la Entidad Estatal observará los parámetros del artículo 4 de la Resolución 219 de 2021.</w:t>
      </w:r>
      <w:r w:rsidRPr="00700909">
        <w:rPr>
          <w:rFonts w:ascii="Verdana" w:eastAsia="Calibri" w:hAnsi="Verdana" w:cs="Arial"/>
          <w:iCs/>
          <w:color w:val="000000"/>
          <w:sz w:val="21"/>
          <w:szCs w:val="21"/>
          <w:lang w:val="es-MX"/>
        </w:rPr>
        <w:t xml:space="preserve"> </w:t>
      </w:r>
    </w:p>
    <w:p w14:paraId="51771B4B" w14:textId="77777777" w:rsidR="00EC4560" w:rsidRPr="00700909" w:rsidRDefault="00EC4560" w:rsidP="00EC4560">
      <w:pPr>
        <w:spacing w:after="120" w:line="240" w:lineRule="auto"/>
        <w:ind w:left="1069" w:right="709"/>
        <w:jc w:val="both"/>
        <w:rPr>
          <w:rFonts w:ascii="Verdana" w:eastAsia="Calibri" w:hAnsi="Verdana" w:cs="Arial"/>
          <w:iCs/>
          <w:color w:val="000000"/>
          <w:sz w:val="21"/>
          <w:szCs w:val="21"/>
          <w:highlight w:val="lightGray"/>
          <w:lang w:val="es-MX"/>
        </w:rPr>
      </w:pPr>
      <w:r w:rsidRPr="00700909">
        <w:rPr>
          <w:rFonts w:ascii="Verdana" w:eastAsia="Calibri" w:hAnsi="Verdana" w:cs="Arial"/>
          <w:iCs/>
          <w:color w:val="000000"/>
          <w:sz w:val="21"/>
          <w:szCs w:val="21"/>
          <w:highlight w:val="lightGray"/>
          <w:lang w:val="es-MX"/>
        </w:rPr>
        <w:t>Conforme con esta disposición, la Entidad no puede requerir experiencia adicional que incluya volúmenes o cantidades de obra específica expresada en SMMLV.</w:t>
      </w:r>
    </w:p>
    <w:p w14:paraId="615EDE4A" w14:textId="77777777" w:rsidR="00EC4560" w:rsidRPr="00700909" w:rsidRDefault="00EC4560" w:rsidP="00EC4560">
      <w:pPr>
        <w:spacing w:after="120" w:line="240" w:lineRule="auto"/>
        <w:ind w:left="1069" w:right="709"/>
        <w:jc w:val="both"/>
        <w:rPr>
          <w:rFonts w:ascii="Verdana" w:eastAsia="Calibri" w:hAnsi="Verdana" w:cs="Arial"/>
          <w:iCs/>
          <w:color w:val="000000"/>
          <w:sz w:val="21"/>
          <w:szCs w:val="21"/>
          <w:lang w:val="es-MX"/>
        </w:rPr>
      </w:pPr>
      <w:r w:rsidRPr="00700909">
        <w:rPr>
          <w:rFonts w:ascii="Verdana" w:eastAsia="Calibri" w:hAnsi="Verdana" w:cs="Arial"/>
          <w:iCs/>
          <w:color w:val="000000"/>
          <w:sz w:val="21"/>
          <w:szCs w:val="21"/>
          <w:highlight w:val="lightGray"/>
          <w:lang w:val="es-MX"/>
        </w:rPr>
        <w:t>En el escenario en el cual la Entidad Estatal requiera la dotación e instalación de mobiliario y considere adecuado y proporcional exigir experiencia relacionada con esta, según su etapa previa de planeación, deberá exigirla como un bien o servicio adicional a la obra pública de infraestructura social, según las actividades a contratar de la matriz de experiencia aplicable</w:t>
      </w:r>
      <w:r w:rsidRPr="00700909">
        <w:rPr>
          <w:rFonts w:ascii="Verdana" w:eastAsia="Calibri" w:hAnsi="Verdana" w:cs="Arial"/>
          <w:iCs/>
          <w:color w:val="000000"/>
          <w:sz w:val="21"/>
          <w:szCs w:val="21"/>
          <w:lang w:val="es-MX"/>
        </w:rPr>
        <w:t>]</w:t>
      </w:r>
    </w:p>
    <w:p w14:paraId="0F82B91E" w14:textId="77777777" w:rsidR="00EC4560" w:rsidRPr="00700909" w:rsidRDefault="00EC4560" w:rsidP="00EC4560">
      <w:pPr>
        <w:numPr>
          <w:ilvl w:val="0"/>
          <w:numId w:val="21"/>
        </w:numPr>
        <w:spacing w:after="120" w:line="240" w:lineRule="auto"/>
        <w:ind w:left="1069" w:right="709"/>
        <w:jc w:val="both"/>
        <w:rPr>
          <w:rFonts w:ascii="Verdana" w:eastAsia="Aptos" w:hAnsi="Verdana" w:cs="Times New Roman"/>
          <w:sz w:val="21"/>
          <w:szCs w:val="21"/>
          <w:highlight w:val="lightGray"/>
        </w:rPr>
      </w:pPr>
      <w:r w:rsidRPr="00700909">
        <w:rPr>
          <w:rFonts w:ascii="Verdana" w:eastAsia="Aptos" w:hAnsi="Verdana" w:cs="Times New Roman"/>
          <w:sz w:val="21"/>
          <w:szCs w:val="21"/>
          <w:highlight w:val="lightGray"/>
        </w:rPr>
        <w:lastRenderedPageBreak/>
        <w:t>[La Entidad no puede establecer requisitos de experiencia general o específica, adicionales a los establecidos en la matriz de experiencia aplicable en el proyecto de infraestructura social, relacionados con el cumplimiento de Planes de Manejo Ambiental, Planes de Manejo de Tránsito o el Plan de Adaptación de la Guía Ambiental, porque estas actividades no son ajenas a la obra pública de infraestructura social. Por esto, cuando el objeto contractual incluya bienes y/o servicios adicionales a la obra pública de infraestructura social la Entidad deberá incluir el presente literal con el siguiente texto, que en caso contrario deberá eliminarse]</w:t>
      </w:r>
    </w:p>
    <w:p w14:paraId="25046D85" w14:textId="77777777" w:rsidR="00EC4560" w:rsidRPr="00700909" w:rsidRDefault="00EC4560" w:rsidP="00EC4560">
      <w:pPr>
        <w:spacing w:after="0" w:line="240" w:lineRule="auto"/>
        <w:ind w:left="1069" w:right="709"/>
        <w:jc w:val="both"/>
        <w:rPr>
          <w:rFonts w:ascii="Verdana" w:eastAsia="Calibri" w:hAnsi="Verdana" w:cs="Arial"/>
          <w:color w:val="000000"/>
          <w:sz w:val="21"/>
          <w:szCs w:val="21"/>
          <w:lang w:val="es-MX"/>
        </w:rPr>
      </w:pPr>
      <w:r w:rsidRPr="00700909">
        <w:rPr>
          <w:rFonts w:ascii="Verdana" w:eastAsia="Calibri" w:hAnsi="Verdana" w:cs="Arial"/>
          <w:color w:val="000000"/>
          <w:sz w:val="21"/>
          <w:szCs w:val="21"/>
          <w:lang w:val="es-MX"/>
        </w:rPr>
        <w:t>Respecto de la experiencia requerida para los bienes y/o servicios adicionales a la obra pública de infraestructura social, no se podrán acreditar actividades exclusivamente asociadas al cumplimiento de Planes de Manejo Ambiental, Planes de Manejo de Tránsito o el Plan de Adaptación de la Guía Ambiental, puesto que estas actividades no son ajenas a la obra pública de infraestructura social”.</w:t>
      </w:r>
    </w:p>
    <w:p w14:paraId="35EA54F1" w14:textId="77777777" w:rsidR="00EC4560" w:rsidRPr="00700909" w:rsidRDefault="00EC4560" w:rsidP="00EC4560">
      <w:pPr>
        <w:spacing w:after="0"/>
        <w:ind w:left="1069" w:right="709"/>
        <w:jc w:val="both"/>
        <w:rPr>
          <w:rFonts w:ascii="Verdana" w:eastAsia="Calibri" w:hAnsi="Verdana" w:cs="Arial"/>
          <w:color w:val="000000"/>
          <w:sz w:val="21"/>
          <w:szCs w:val="21"/>
          <w:lang w:val="es-MX"/>
        </w:rPr>
      </w:pPr>
    </w:p>
    <w:p w14:paraId="79C98248" w14:textId="77777777" w:rsidR="00EC4560" w:rsidRDefault="00EC4560" w:rsidP="00EC4560">
      <w:pPr>
        <w:widowControl w:val="0"/>
        <w:autoSpaceDE w:val="0"/>
        <w:autoSpaceDN w:val="0"/>
        <w:spacing w:after="120" w:line="276" w:lineRule="auto"/>
        <w:ind w:firstLine="708"/>
        <w:jc w:val="both"/>
        <w:rPr>
          <w:rFonts w:ascii="Verdana" w:eastAsia="Arial" w:hAnsi="Verdana" w:cs="Arial"/>
          <w:lang w:val="es-ES"/>
        </w:rPr>
      </w:pPr>
      <w:r w:rsidRPr="00700909">
        <w:rPr>
          <w:rFonts w:ascii="Verdana" w:eastAsia="Arial" w:hAnsi="Verdana" w:cs="Arial"/>
          <w:lang w:val="es-ES"/>
        </w:rPr>
        <w:t>De</w:t>
      </w:r>
      <w:r w:rsidRPr="00700909">
        <w:rPr>
          <w:rFonts w:ascii="Verdana" w:eastAsia="Arial" w:hAnsi="Verdana" w:cs="Arial"/>
          <w:spacing w:val="-12"/>
          <w:lang w:val="es-ES"/>
        </w:rPr>
        <w:t xml:space="preserve"> </w:t>
      </w:r>
      <w:r w:rsidRPr="00700909">
        <w:rPr>
          <w:rFonts w:ascii="Verdana" w:eastAsia="Arial" w:hAnsi="Verdana" w:cs="Arial"/>
          <w:lang w:val="es-ES"/>
        </w:rPr>
        <w:t>esta</w:t>
      </w:r>
      <w:r w:rsidRPr="00700909">
        <w:rPr>
          <w:rFonts w:ascii="Verdana" w:eastAsia="Arial" w:hAnsi="Verdana" w:cs="Arial"/>
          <w:spacing w:val="-12"/>
          <w:lang w:val="es-ES"/>
        </w:rPr>
        <w:t xml:space="preserve"> </w:t>
      </w:r>
      <w:r w:rsidRPr="00700909">
        <w:rPr>
          <w:rFonts w:ascii="Verdana" w:eastAsia="Arial" w:hAnsi="Verdana" w:cs="Arial"/>
          <w:lang w:val="es-ES"/>
        </w:rPr>
        <w:t>manera,</w:t>
      </w:r>
      <w:r w:rsidRPr="00700909">
        <w:rPr>
          <w:rFonts w:ascii="Verdana" w:eastAsia="Arial" w:hAnsi="Verdana" w:cs="Arial"/>
          <w:spacing w:val="-11"/>
          <w:lang w:val="es-ES"/>
        </w:rPr>
        <w:t xml:space="preserve"> </w:t>
      </w:r>
      <w:bookmarkStart w:id="1" w:name="_Hlk100312268"/>
      <w:r w:rsidRPr="00700909">
        <w:rPr>
          <w:rFonts w:ascii="Verdana" w:eastAsia="Arial" w:hAnsi="Verdana" w:cs="Arial"/>
          <w:lang w:val="es-ES"/>
        </w:rPr>
        <w:t>la</w:t>
      </w:r>
      <w:r w:rsidRPr="00700909">
        <w:rPr>
          <w:rFonts w:ascii="Verdana" w:eastAsia="Arial" w:hAnsi="Verdana" w:cs="Arial"/>
          <w:spacing w:val="-12"/>
          <w:lang w:val="es-ES"/>
        </w:rPr>
        <w:t xml:space="preserve"> </w:t>
      </w:r>
      <w:r w:rsidRPr="00700909">
        <w:rPr>
          <w:rFonts w:ascii="Verdana" w:eastAsia="Arial" w:hAnsi="Verdana" w:cs="Arial"/>
          <w:lang w:val="es-ES"/>
        </w:rPr>
        <w:t>regla</w:t>
      </w:r>
      <w:r w:rsidRPr="00700909">
        <w:rPr>
          <w:rFonts w:ascii="Verdana" w:eastAsia="Arial" w:hAnsi="Verdana" w:cs="Arial"/>
          <w:spacing w:val="-12"/>
          <w:lang w:val="es-ES"/>
        </w:rPr>
        <w:t xml:space="preserve"> </w:t>
      </w:r>
      <w:r w:rsidRPr="00700909">
        <w:rPr>
          <w:rFonts w:ascii="Verdana" w:eastAsia="Arial" w:hAnsi="Verdana" w:cs="Arial"/>
          <w:lang w:val="es-ES"/>
        </w:rPr>
        <w:t>general</w:t>
      </w:r>
      <w:r w:rsidRPr="00700909">
        <w:rPr>
          <w:rFonts w:ascii="Verdana" w:eastAsia="Arial" w:hAnsi="Verdana" w:cs="Arial"/>
          <w:spacing w:val="-11"/>
          <w:lang w:val="es-ES"/>
        </w:rPr>
        <w:t xml:space="preserve"> </w:t>
      </w:r>
      <w:r w:rsidRPr="00700909">
        <w:rPr>
          <w:rFonts w:ascii="Verdana" w:eastAsia="Arial" w:hAnsi="Verdana" w:cs="Arial"/>
          <w:lang w:val="es-ES"/>
        </w:rPr>
        <w:t>frente</w:t>
      </w:r>
      <w:r w:rsidRPr="00700909">
        <w:rPr>
          <w:rFonts w:ascii="Verdana" w:eastAsia="Arial" w:hAnsi="Verdana" w:cs="Arial"/>
          <w:spacing w:val="-11"/>
          <w:lang w:val="es-ES"/>
        </w:rPr>
        <w:t xml:space="preserve"> </w:t>
      </w:r>
      <w:r w:rsidRPr="00700909">
        <w:rPr>
          <w:rFonts w:ascii="Verdana" w:eastAsia="Arial" w:hAnsi="Verdana" w:cs="Arial"/>
          <w:lang w:val="es-ES"/>
        </w:rPr>
        <w:t>a</w:t>
      </w:r>
      <w:r w:rsidRPr="00700909">
        <w:rPr>
          <w:rFonts w:ascii="Verdana" w:eastAsia="Arial" w:hAnsi="Verdana" w:cs="Arial"/>
          <w:spacing w:val="-12"/>
          <w:lang w:val="es-ES"/>
        </w:rPr>
        <w:t xml:space="preserve"> </w:t>
      </w:r>
      <w:r w:rsidRPr="00700909">
        <w:rPr>
          <w:rFonts w:ascii="Verdana" w:eastAsia="Arial" w:hAnsi="Verdana" w:cs="Arial"/>
          <w:lang w:val="es-ES"/>
        </w:rPr>
        <w:t>la</w:t>
      </w:r>
      <w:r w:rsidRPr="00700909">
        <w:rPr>
          <w:rFonts w:ascii="Verdana" w:eastAsia="Arial" w:hAnsi="Verdana" w:cs="Arial"/>
          <w:spacing w:val="-12"/>
          <w:lang w:val="es-ES"/>
        </w:rPr>
        <w:t xml:space="preserve"> </w:t>
      </w:r>
      <w:r w:rsidRPr="00700909">
        <w:rPr>
          <w:rFonts w:ascii="Verdana" w:eastAsia="Arial" w:hAnsi="Verdana" w:cs="Arial"/>
          <w:lang w:val="es-ES"/>
        </w:rPr>
        <w:t>aplicación</w:t>
      </w:r>
      <w:r w:rsidRPr="00700909">
        <w:rPr>
          <w:rFonts w:ascii="Verdana" w:eastAsia="Arial" w:hAnsi="Verdana" w:cs="Arial"/>
          <w:spacing w:val="-11"/>
          <w:lang w:val="es-ES"/>
        </w:rPr>
        <w:t xml:space="preserve"> </w:t>
      </w:r>
      <w:r w:rsidRPr="00700909">
        <w:rPr>
          <w:rFonts w:ascii="Verdana" w:eastAsia="Arial" w:hAnsi="Verdana" w:cs="Arial"/>
          <w:lang w:val="es-ES"/>
        </w:rPr>
        <w:t>del</w:t>
      </w:r>
      <w:r w:rsidRPr="00700909">
        <w:rPr>
          <w:rFonts w:ascii="Verdana" w:eastAsia="Arial" w:hAnsi="Verdana" w:cs="Arial"/>
          <w:spacing w:val="-12"/>
          <w:lang w:val="es-ES"/>
        </w:rPr>
        <w:t xml:space="preserve"> </w:t>
      </w:r>
      <w:r w:rsidRPr="00700909">
        <w:rPr>
          <w:rFonts w:ascii="Verdana" w:eastAsia="Arial" w:hAnsi="Verdana" w:cs="Arial"/>
          <w:lang w:val="es-ES"/>
        </w:rPr>
        <w:t>documento</w:t>
      </w:r>
      <w:r w:rsidRPr="00700909">
        <w:rPr>
          <w:rFonts w:ascii="Verdana" w:eastAsia="Arial" w:hAnsi="Verdana" w:cs="Arial"/>
          <w:spacing w:val="-12"/>
          <w:lang w:val="es-ES"/>
        </w:rPr>
        <w:t xml:space="preserve"> </w:t>
      </w:r>
      <w:r w:rsidRPr="00700909">
        <w:rPr>
          <w:rFonts w:ascii="Verdana" w:eastAsia="Arial" w:hAnsi="Verdana" w:cs="Arial"/>
          <w:lang w:val="es-ES"/>
        </w:rPr>
        <w:t>base</w:t>
      </w:r>
      <w:r w:rsidRPr="00700909">
        <w:rPr>
          <w:rFonts w:ascii="Verdana" w:eastAsia="Arial" w:hAnsi="Verdana" w:cs="Arial"/>
          <w:spacing w:val="-11"/>
          <w:lang w:val="es-ES"/>
        </w:rPr>
        <w:t xml:space="preserve"> </w:t>
      </w:r>
      <w:r w:rsidRPr="00700909">
        <w:rPr>
          <w:rFonts w:ascii="Verdana" w:eastAsia="Arial" w:hAnsi="Verdana" w:cs="Arial"/>
          <w:lang w:val="es-ES"/>
        </w:rPr>
        <w:t>es</w:t>
      </w:r>
      <w:r w:rsidRPr="00700909">
        <w:rPr>
          <w:rFonts w:ascii="Verdana" w:eastAsia="Arial" w:hAnsi="Verdana" w:cs="Arial"/>
          <w:spacing w:val="-12"/>
          <w:lang w:val="es-ES"/>
        </w:rPr>
        <w:t xml:space="preserve"> </w:t>
      </w:r>
      <w:r w:rsidRPr="00700909">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700909">
        <w:rPr>
          <w:rFonts w:ascii="Verdana" w:eastAsia="Arial" w:hAnsi="Verdana" w:cs="Arial"/>
          <w:spacing w:val="-15"/>
          <w:lang w:val="es-ES"/>
        </w:rPr>
        <w:t xml:space="preserve"> </w:t>
      </w:r>
      <w:r w:rsidRPr="00700909">
        <w:rPr>
          <w:rFonts w:ascii="Verdana" w:eastAsia="Arial" w:hAnsi="Verdana" w:cs="Arial"/>
          <w:lang w:val="es-ES"/>
        </w:rPr>
        <w:t>4</w:t>
      </w:r>
      <w:r w:rsidRPr="00700909">
        <w:rPr>
          <w:rFonts w:ascii="Verdana" w:eastAsia="Arial" w:hAnsi="Verdana" w:cs="Arial"/>
          <w:spacing w:val="-14"/>
          <w:lang w:val="es-ES"/>
        </w:rPr>
        <w:t xml:space="preserve"> </w:t>
      </w:r>
      <w:r w:rsidRPr="00700909">
        <w:rPr>
          <w:rFonts w:ascii="Verdana" w:eastAsia="Arial" w:hAnsi="Verdana" w:cs="Arial"/>
          <w:lang w:val="es-ES"/>
        </w:rPr>
        <w:t>de</w:t>
      </w:r>
      <w:r w:rsidRPr="00700909">
        <w:rPr>
          <w:rFonts w:ascii="Verdana" w:eastAsia="Arial" w:hAnsi="Verdana" w:cs="Arial"/>
          <w:spacing w:val="-14"/>
          <w:lang w:val="es-ES"/>
        </w:rPr>
        <w:t xml:space="preserve"> </w:t>
      </w:r>
      <w:r w:rsidRPr="00700909">
        <w:rPr>
          <w:rFonts w:ascii="Verdana" w:eastAsia="Arial" w:hAnsi="Verdana" w:cs="Arial"/>
          <w:lang w:val="es-ES"/>
        </w:rPr>
        <w:t>la</w:t>
      </w:r>
      <w:r w:rsidRPr="00700909">
        <w:rPr>
          <w:rFonts w:ascii="Verdana" w:eastAsia="Arial" w:hAnsi="Verdana" w:cs="Arial"/>
          <w:spacing w:val="-14"/>
          <w:lang w:val="es-ES"/>
        </w:rPr>
        <w:t xml:space="preserve"> </w:t>
      </w:r>
      <w:r w:rsidRPr="00700909">
        <w:rPr>
          <w:rFonts w:ascii="Verdana" w:eastAsia="Arial" w:hAnsi="Verdana" w:cs="Arial"/>
          <w:lang w:val="es-ES"/>
        </w:rPr>
        <w:t>Resolución</w:t>
      </w:r>
      <w:r w:rsidRPr="00700909">
        <w:rPr>
          <w:rFonts w:ascii="Verdana" w:eastAsia="Arial" w:hAnsi="Verdana" w:cs="Arial"/>
          <w:spacing w:val="-13"/>
          <w:lang w:val="es-ES"/>
        </w:rPr>
        <w:t xml:space="preserve"> No. </w:t>
      </w:r>
      <w:r w:rsidRPr="00700909">
        <w:rPr>
          <w:rFonts w:ascii="Verdana" w:eastAsia="Arial" w:hAnsi="Verdana" w:cs="Arial"/>
          <w:lang w:val="es-ES"/>
        </w:rPr>
        <w:t>219</w:t>
      </w:r>
      <w:r w:rsidRPr="00700909">
        <w:rPr>
          <w:rFonts w:ascii="Verdana" w:eastAsia="Arial" w:hAnsi="Verdana" w:cs="Arial"/>
          <w:spacing w:val="-14"/>
          <w:lang w:val="es-ES"/>
        </w:rPr>
        <w:t xml:space="preserve"> </w:t>
      </w:r>
      <w:r w:rsidRPr="00700909">
        <w:rPr>
          <w:rFonts w:ascii="Verdana" w:eastAsia="Arial" w:hAnsi="Verdana" w:cs="Arial"/>
          <w:lang w:val="es-ES"/>
        </w:rPr>
        <w:t>de</w:t>
      </w:r>
      <w:r w:rsidRPr="00700909">
        <w:rPr>
          <w:rFonts w:ascii="Verdana" w:eastAsia="Arial" w:hAnsi="Verdana" w:cs="Arial"/>
          <w:spacing w:val="-14"/>
          <w:lang w:val="es-ES"/>
        </w:rPr>
        <w:t xml:space="preserve"> </w:t>
      </w:r>
      <w:r w:rsidRPr="00700909">
        <w:rPr>
          <w:rFonts w:ascii="Verdana" w:eastAsia="Arial" w:hAnsi="Verdana" w:cs="Arial"/>
          <w:lang w:val="es-ES"/>
        </w:rPr>
        <w:t>2021.</w:t>
      </w:r>
      <w:r w:rsidRPr="00700909">
        <w:rPr>
          <w:rFonts w:ascii="Verdana" w:eastAsia="Arial" w:hAnsi="Verdana" w:cs="Arial"/>
          <w:spacing w:val="-14"/>
          <w:lang w:val="es-ES"/>
        </w:rPr>
        <w:t xml:space="preserve"> </w:t>
      </w:r>
      <w:r w:rsidRPr="00700909">
        <w:rPr>
          <w:rFonts w:ascii="Verdana" w:eastAsia="Arial" w:hAnsi="Verdana" w:cs="Arial"/>
          <w:lang w:val="es-ES"/>
        </w:rPr>
        <w:t>Por</w:t>
      </w:r>
      <w:r w:rsidRPr="00700909">
        <w:rPr>
          <w:rFonts w:ascii="Verdana" w:eastAsia="Arial" w:hAnsi="Verdana" w:cs="Arial"/>
          <w:spacing w:val="-13"/>
          <w:lang w:val="es-ES"/>
        </w:rPr>
        <w:t xml:space="preserve"> </w:t>
      </w:r>
      <w:r w:rsidRPr="00700909">
        <w:rPr>
          <w:rFonts w:ascii="Verdana" w:eastAsia="Arial" w:hAnsi="Verdana" w:cs="Arial"/>
          <w:lang w:val="es-ES"/>
        </w:rPr>
        <w:t>tanto,</w:t>
      </w:r>
      <w:r w:rsidRPr="00700909">
        <w:rPr>
          <w:rFonts w:ascii="Verdana" w:eastAsia="Arial" w:hAnsi="Verdana" w:cs="Arial"/>
          <w:spacing w:val="-13"/>
          <w:lang w:val="es-ES"/>
        </w:rPr>
        <w:t xml:space="preserve"> </w:t>
      </w:r>
      <w:r w:rsidRPr="00700909">
        <w:rPr>
          <w:rFonts w:ascii="Verdana" w:eastAsia="Arial" w:hAnsi="Verdana" w:cs="Arial"/>
          <w:lang w:val="es-ES"/>
        </w:rPr>
        <w:t>si</w:t>
      </w:r>
      <w:r w:rsidRPr="00700909">
        <w:rPr>
          <w:rFonts w:ascii="Verdana" w:eastAsia="Arial" w:hAnsi="Verdana" w:cs="Arial"/>
          <w:spacing w:val="-14"/>
          <w:lang w:val="es-ES"/>
        </w:rPr>
        <w:t xml:space="preserve"> </w:t>
      </w:r>
      <w:r w:rsidRPr="00700909">
        <w:rPr>
          <w:rFonts w:ascii="Verdana" w:eastAsia="Arial" w:hAnsi="Verdana" w:cs="Arial"/>
          <w:lang w:val="es-ES"/>
        </w:rPr>
        <w:t>el</w:t>
      </w:r>
      <w:r w:rsidRPr="00700909">
        <w:rPr>
          <w:rFonts w:ascii="Verdana" w:eastAsia="Arial" w:hAnsi="Verdana" w:cs="Arial"/>
          <w:spacing w:val="-15"/>
          <w:lang w:val="es-ES"/>
        </w:rPr>
        <w:t xml:space="preserve"> </w:t>
      </w:r>
      <w:r w:rsidRPr="00700909">
        <w:rPr>
          <w:rFonts w:ascii="Verdana" w:eastAsia="Arial" w:hAnsi="Verdana" w:cs="Arial"/>
          <w:lang w:val="es-ES"/>
        </w:rPr>
        <w:t>objeto</w:t>
      </w:r>
      <w:r w:rsidRPr="00700909">
        <w:rPr>
          <w:rFonts w:ascii="Verdana" w:eastAsia="Arial" w:hAnsi="Verdana" w:cs="Arial"/>
          <w:spacing w:val="-14"/>
          <w:lang w:val="es-ES"/>
        </w:rPr>
        <w:t xml:space="preserve"> </w:t>
      </w:r>
      <w:r w:rsidRPr="00700909">
        <w:rPr>
          <w:rFonts w:ascii="Verdana" w:eastAsia="Arial" w:hAnsi="Verdana" w:cs="Arial"/>
          <w:lang w:val="es-ES"/>
        </w:rPr>
        <w:t>contractual</w:t>
      </w:r>
      <w:r w:rsidRPr="00700909">
        <w:rPr>
          <w:rFonts w:ascii="Verdana" w:eastAsia="Arial" w:hAnsi="Verdana" w:cs="Arial"/>
          <w:spacing w:val="-14"/>
          <w:lang w:val="es-ES"/>
        </w:rPr>
        <w:t xml:space="preserve"> </w:t>
      </w:r>
      <w:r w:rsidRPr="00700909">
        <w:rPr>
          <w:rFonts w:ascii="Verdana" w:eastAsia="Arial" w:hAnsi="Verdana" w:cs="Arial"/>
          <w:lang w:val="es-ES"/>
        </w:rPr>
        <w:t>incluye</w:t>
      </w:r>
      <w:r w:rsidRPr="00700909">
        <w:rPr>
          <w:rFonts w:ascii="Verdana" w:eastAsia="Arial" w:hAnsi="Verdana" w:cs="Arial"/>
          <w:spacing w:val="-14"/>
          <w:lang w:val="es-ES"/>
        </w:rPr>
        <w:t xml:space="preserve"> </w:t>
      </w:r>
      <w:r w:rsidRPr="00700909">
        <w:rPr>
          <w:rFonts w:ascii="Verdana" w:eastAsia="Arial" w:hAnsi="Verdana" w:cs="Arial"/>
          <w:lang w:val="es-ES"/>
        </w:rPr>
        <w:t>bienes o</w:t>
      </w:r>
      <w:r w:rsidRPr="00700909">
        <w:rPr>
          <w:rFonts w:ascii="Verdana" w:eastAsia="Arial" w:hAnsi="Verdana" w:cs="Arial"/>
          <w:spacing w:val="-16"/>
          <w:lang w:val="es-ES"/>
        </w:rPr>
        <w:t xml:space="preserve"> </w:t>
      </w:r>
      <w:r w:rsidRPr="00700909">
        <w:rPr>
          <w:rFonts w:ascii="Verdana" w:eastAsia="Arial" w:hAnsi="Verdana" w:cs="Arial"/>
          <w:lang w:val="es-ES"/>
        </w:rPr>
        <w:t>servicios</w:t>
      </w:r>
      <w:r w:rsidRPr="00700909">
        <w:rPr>
          <w:rFonts w:ascii="Verdana" w:eastAsia="Arial" w:hAnsi="Verdana" w:cs="Arial"/>
          <w:spacing w:val="-15"/>
          <w:lang w:val="es-ES"/>
        </w:rPr>
        <w:t xml:space="preserve"> </w:t>
      </w:r>
      <w:r w:rsidRPr="00700909">
        <w:rPr>
          <w:rFonts w:ascii="Verdana" w:eastAsia="Arial" w:hAnsi="Verdana" w:cs="Arial"/>
          <w:lang w:val="es-ES"/>
        </w:rPr>
        <w:t>ajenos</w:t>
      </w:r>
      <w:r w:rsidRPr="00700909">
        <w:rPr>
          <w:rFonts w:ascii="Verdana" w:eastAsia="Arial" w:hAnsi="Verdana" w:cs="Arial"/>
          <w:spacing w:val="-15"/>
          <w:lang w:val="es-ES"/>
        </w:rPr>
        <w:t xml:space="preserve"> </w:t>
      </w:r>
      <w:r w:rsidRPr="00700909">
        <w:rPr>
          <w:rFonts w:ascii="Verdana" w:eastAsia="Arial" w:hAnsi="Verdana" w:cs="Arial"/>
          <w:lang w:val="es-ES"/>
        </w:rPr>
        <w:t>a</w:t>
      </w:r>
      <w:r w:rsidRPr="00700909">
        <w:rPr>
          <w:rFonts w:ascii="Verdana" w:eastAsia="Arial" w:hAnsi="Verdana" w:cs="Arial"/>
          <w:spacing w:val="-15"/>
          <w:lang w:val="es-ES"/>
        </w:rPr>
        <w:t xml:space="preserve"> </w:t>
      </w:r>
      <w:r w:rsidRPr="00700909">
        <w:rPr>
          <w:rFonts w:ascii="Verdana" w:eastAsia="Arial" w:hAnsi="Verdana" w:cs="Arial"/>
          <w:lang w:val="es-ES"/>
        </w:rPr>
        <w:t>la</w:t>
      </w:r>
      <w:r w:rsidRPr="00700909">
        <w:rPr>
          <w:rFonts w:ascii="Verdana" w:eastAsia="Arial" w:hAnsi="Verdana" w:cs="Arial"/>
          <w:spacing w:val="-15"/>
          <w:lang w:val="es-ES"/>
        </w:rPr>
        <w:t xml:space="preserve"> </w:t>
      </w:r>
      <w:r w:rsidRPr="00700909">
        <w:rPr>
          <w:rFonts w:ascii="Verdana" w:eastAsia="Arial" w:hAnsi="Verdana" w:cs="Arial"/>
          <w:lang w:val="es-ES"/>
        </w:rPr>
        <w:t>obra</w:t>
      </w:r>
      <w:r w:rsidRPr="00700909">
        <w:rPr>
          <w:rFonts w:ascii="Verdana" w:eastAsia="Arial" w:hAnsi="Verdana" w:cs="Arial"/>
          <w:spacing w:val="-15"/>
          <w:lang w:val="es-ES"/>
        </w:rPr>
        <w:t xml:space="preserve"> </w:t>
      </w:r>
      <w:r w:rsidRPr="00700909">
        <w:rPr>
          <w:rFonts w:ascii="Verdana" w:eastAsia="Arial" w:hAnsi="Verdana" w:cs="Arial"/>
          <w:lang w:val="es-ES"/>
        </w:rPr>
        <w:t>pública</w:t>
      </w:r>
      <w:r w:rsidRPr="00700909">
        <w:rPr>
          <w:rFonts w:ascii="Verdana" w:eastAsia="Arial" w:hAnsi="Verdana" w:cs="Arial"/>
          <w:spacing w:val="-16"/>
          <w:lang w:val="es-ES"/>
        </w:rPr>
        <w:t xml:space="preserve"> </w:t>
      </w:r>
      <w:r w:rsidRPr="00700909">
        <w:rPr>
          <w:rFonts w:ascii="Verdana" w:eastAsia="Arial" w:hAnsi="Verdana" w:cs="Arial"/>
          <w:lang w:val="es-ES"/>
        </w:rPr>
        <w:t>de</w:t>
      </w:r>
      <w:r w:rsidRPr="00700909">
        <w:rPr>
          <w:rFonts w:ascii="Verdana" w:eastAsia="Arial" w:hAnsi="Verdana" w:cs="Arial"/>
          <w:spacing w:val="-15"/>
          <w:lang w:val="es-ES"/>
        </w:rPr>
        <w:t xml:space="preserve"> </w:t>
      </w:r>
      <w:r w:rsidRPr="00700909">
        <w:rPr>
          <w:rFonts w:ascii="Verdana" w:eastAsia="Arial" w:hAnsi="Verdana" w:cs="Arial"/>
          <w:lang w:val="es-ES"/>
        </w:rPr>
        <w:t>infraestructura social,</w:t>
      </w:r>
      <w:r w:rsidRPr="00700909">
        <w:rPr>
          <w:rFonts w:ascii="Verdana" w:eastAsia="Arial" w:hAnsi="Verdana" w:cs="Arial"/>
          <w:spacing w:val="-14"/>
          <w:lang w:val="es-ES"/>
        </w:rPr>
        <w:t xml:space="preserve"> </w:t>
      </w:r>
      <w:r w:rsidRPr="00700909">
        <w:rPr>
          <w:rFonts w:ascii="Verdana" w:eastAsia="Arial" w:hAnsi="Verdana" w:cs="Arial"/>
          <w:lang w:val="es-ES"/>
        </w:rPr>
        <w:t>de</w:t>
      </w:r>
      <w:r w:rsidRPr="00700909">
        <w:rPr>
          <w:rFonts w:ascii="Verdana" w:eastAsia="Arial" w:hAnsi="Verdana" w:cs="Arial"/>
          <w:spacing w:val="-16"/>
          <w:lang w:val="es-ES"/>
        </w:rPr>
        <w:t xml:space="preserve"> </w:t>
      </w:r>
      <w:r w:rsidRPr="00700909">
        <w:rPr>
          <w:rFonts w:ascii="Verdana" w:eastAsia="Arial" w:hAnsi="Verdana" w:cs="Arial"/>
          <w:lang w:val="es-ES"/>
        </w:rPr>
        <w:t>allí</w:t>
      </w:r>
      <w:r w:rsidRPr="00700909">
        <w:rPr>
          <w:rFonts w:ascii="Verdana" w:eastAsia="Arial" w:hAnsi="Verdana" w:cs="Arial"/>
          <w:spacing w:val="-15"/>
          <w:lang w:val="es-ES"/>
        </w:rPr>
        <w:t xml:space="preserve"> </w:t>
      </w:r>
      <w:r w:rsidRPr="00700909">
        <w:rPr>
          <w:rFonts w:ascii="Verdana" w:eastAsia="Arial" w:hAnsi="Verdana" w:cs="Arial"/>
          <w:lang w:val="es-ES"/>
        </w:rPr>
        <w:t>solo</w:t>
      </w:r>
      <w:r w:rsidRPr="00700909">
        <w:rPr>
          <w:rFonts w:ascii="Verdana" w:eastAsia="Arial" w:hAnsi="Verdana" w:cs="Arial"/>
          <w:spacing w:val="-15"/>
          <w:lang w:val="es-ES"/>
        </w:rPr>
        <w:t xml:space="preserve"> </w:t>
      </w:r>
      <w:r w:rsidRPr="00700909">
        <w:rPr>
          <w:rFonts w:ascii="Verdana" w:eastAsia="Arial" w:hAnsi="Verdana" w:cs="Arial"/>
          <w:lang w:val="es-ES"/>
        </w:rPr>
        <w:t>se</w:t>
      </w:r>
      <w:r w:rsidRPr="00700909">
        <w:rPr>
          <w:rFonts w:ascii="Verdana" w:eastAsia="Arial" w:hAnsi="Verdana" w:cs="Arial"/>
          <w:spacing w:val="-15"/>
          <w:lang w:val="es-ES"/>
        </w:rPr>
        <w:t xml:space="preserve"> </w:t>
      </w:r>
      <w:r w:rsidRPr="00700909">
        <w:rPr>
          <w:rFonts w:ascii="Verdana" w:eastAsia="Arial" w:hAnsi="Verdana" w:cs="Arial"/>
          <w:lang w:val="es-ES"/>
        </w:rPr>
        <w:t>deriva que podrá incluirse la experiencia adicional que se considere conveniente, atendiendo a las reglas explicadas con</w:t>
      </w:r>
      <w:r w:rsidRPr="00700909">
        <w:rPr>
          <w:rFonts w:ascii="Verdana" w:eastAsia="Arial" w:hAnsi="Verdana" w:cs="Arial"/>
          <w:spacing w:val="-7"/>
          <w:lang w:val="es-ES"/>
        </w:rPr>
        <w:t xml:space="preserve"> </w:t>
      </w:r>
      <w:r w:rsidRPr="00700909">
        <w:rPr>
          <w:rFonts w:ascii="Verdana" w:eastAsia="Arial" w:hAnsi="Verdana" w:cs="Arial"/>
          <w:lang w:val="es-ES"/>
        </w:rPr>
        <w:t>anterioridad.</w:t>
      </w:r>
      <w:bookmarkEnd w:id="1"/>
    </w:p>
    <w:p w14:paraId="4297F11A" w14:textId="77777777" w:rsidR="00EC4560" w:rsidRDefault="00EC4560" w:rsidP="00EC4560">
      <w:pPr>
        <w:widowControl w:val="0"/>
        <w:autoSpaceDE w:val="0"/>
        <w:autoSpaceDN w:val="0"/>
        <w:spacing w:after="120" w:line="276" w:lineRule="auto"/>
        <w:ind w:firstLine="708"/>
        <w:jc w:val="both"/>
        <w:rPr>
          <w:rFonts w:ascii="Verdana" w:eastAsia="Arial" w:hAnsi="Verdana" w:cs="Arial"/>
          <w:lang w:val="es-ES"/>
        </w:rPr>
      </w:pPr>
      <w:r w:rsidRPr="00700909">
        <w:rPr>
          <w:rFonts w:ascii="Verdana" w:eastAsia="Arial" w:hAnsi="Verdana" w:cs="Arial"/>
          <w:lang w:val="es-ES"/>
        </w:rPr>
        <w:t>En este sentido, cuando se pretenda ejecutar una de las actividades establecidas en la “Matriz – Experiencia” de los documentos tipo adoptados en el sector social y adicionalmente se requiera contratar otro tipo de bienes y servicios adicionales a la obra pública de infraestructura social, los documentos tipo adoptados son obligatorios.</w:t>
      </w:r>
    </w:p>
    <w:p w14:paraId="5A095054" w14:textId="77777777" w:rsidR="00EC4560" w:rsidRPr="00284199" w:rsidRDefault="00EC4560" w:rsidP="00EC4560">
      <w:pPr>
        <w:spacing w:after="120" w:line="276" w:lineRule="auto"/>
        <w:jc w:val="both"/>
        <w:rPr>
          <w:rFonts w:ascii="Verdana" w:eastAsia="Calibri" w:hAnsi="Verdana" w:cs="Arial"/>
          <w:color w:val="0D0D0D"/>
          <w:lang w:val="es-MX"/>
        </w:rPr>
      </w:pPr>
      <w:proofErr w:type="spellStart"/>
      <w:r>
        <w:rPr>
          <w:rFonts w:ascii="Verdana" w:eastAsia="Aptos" w:hAnsi="Verdana" w:cs="Times New Roman"/>
        </w:rPr>
        <w:t>iii</w:t>
      </w:r>
      <w:proofErr w:type="spellEnd"/>
      <w:r>
        <w:rPr>
          <w:rFonts w:ascii="Verdana" w:eastAsia="Aptos" w:hAnsi="Verdana" w:cs="Times New Roman"/>
        </w:rPr>
        <w:t xml:space="preserve">) </w:t>
      </w:r>
      <w:r w:rsidRPr="00284199">
        <w:rPr>
          <w:rFonts w:ascii="Verdana" w:eastAsia="Times New Roman" w:hAnsi="Verdana" w:cs="Times New Roman"/>
          <w:color w:val="000000"/>
          <w:lang w:eastAsia="es-CO"/>
        </w:rPr>
        <w:t xml:space="preserve">Sin perjuicio de lo anterior, debe indicarse que, 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w:t>
      </w:r>
      <w:r w:rsidRPr="00284199">
        <w:rPr>
          <w:rFonts w:ascii="Verdana" w:eastAsia="Times New Roman" w:hAnsi="Verdana" w:cs="Times New Roman"/>
          <w:color w:val="000000"/>
          <w:lang w:eastAsia="es-CO"/>
        </w:rPr>
        <w:lastRenderedPageBreak/>
        <w:t xml:space="preserve">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w:t>
      </w:r>
      <w:proofErr w:type="spellStart"/>
      <w:r w:rsidRPr="00284199">
        <w:rPr>
          <w:rFonts w:ascii="Verdana" w:eastAsia="Times New Roman" w:hAnsi="Verdana" w:cs="Times New Roman"/>
          <w:color w:val="000000"/>
          <w:lang w:eastAsia="es-CO"/>
        </w:rPr>
        <w:t>ii</w:t>
      </w:r>
      <w:proofErr w:type="spellEnd"/>
      <w:r w:rsidRPr="00284199">
        <w:rPr>
          <w:rFonts w:ascii="Verdana" w:eastAsia="Times New Roman" w:hAnsi="Verdana" w:cs="Times New Roman"/>
          <w:color w:val="000000"/>
          <w:lang w:eastAsia="es-CO"/>
        </w:rPr>
        <w:t xml:space="preserve">) Resolución 540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w:t>
      </w:r>
      <w:proofErr w:type="spellStart"/>
      <w:r w:rsidRPr="00284199">
        <w:rPr>
          <w:rFonts w:ascii="Verdana" w:eastAsia="Times New Roman" w:hAnsi="Verdana" w:cs="Times New Roman"/>
          <w:color w:val="000000"/>
          <w:lang w:eastAsia="es-CO"/>
        </w:rPr>
        <w:t>iii</w:t>
      </w:r>
      <w:proofErr w:type="spellEnd"/>
      <w:r w:rsidRPr="00284199">
        <w:rPr>
          <w:rFonts w:ascii="Verdana" w:eastAsia="Times New Roman" w:hAnsi="Verdana" w:cs="Times New Roman"/>
          <w:color w:val="000000"/>
          <w:lang w:eastAsia="es-CO"/>
        </w:rPr>
        <w:t xml:space="preserve">) Resolución 541 de 2025 </w:t>
      </w:r>
      <w:r>
        <w:rPr>
          <w:rFonts w:ascii="Verdana" w:eastAsia="Times New Roman" w:hAnsi="Verdana" w:cs="Times New Roman"/>
          <w:color w:val="000000"/>
          <w:lang w:eastAsia="es-CO"/>
        </w:rPr>
        <w:t>“</w:t>
      </w:r>
      <w:r w:rsidRPr="00284199">
        <w:rPr>
          <w:rFonts w:ascii="Verdana" w:eastAsia="Times New Roman" w:hAnsi="Verdana" w:cs="Times New Roman"/>
          <w:color w:val="000000"/>
          <w:lang w:eastAsia="es-CO"/>
        </w:rPr>
        <w:t>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w:t>
      </w:r>
      <w:r w:rsidRPr="00284199">
        <w:rPr>
          <w:rFonts w:ascii="Verdana" w:eastAsia="Times New Roman" w:hAnsi="Verdana" w:cs="Times New Roman"/>
          <w:color w:val="000000"/>
          <w:lang w:eastAsia="es-CO"/>
        </w:rPr>
        <w:t xml:space="preserve">. </w:t>
      </w:r>
    </w:p>
    <w:p w14:paraId="325B9735" w14:textId="77777777" w:rsidR="00EC4560" w:rsidRPr="00284199" w:rsidRDefault="00EC4560" w:rsidP="00EC4560">
      <w:pPr>
        <w:spacing w:after="120" w:line="276" w:lineRule="auto"/>
        <w:ind w:firstLine="708"/>
        <w:jc w:val="both"/>
        <w:textAlignment w:val="baseline"/>
        <w:rPr>
          <w:rFonts w:ascii="Verdana" w:eastAsia="Calibri" w:hAnsi="Verdana" w:cs="Arial"/>
        </w:rPr>
      </w:pPr>
      <w:r w:rsidRPr="00284199">
        <w:rPr>
          <w:rFonts w:ascii="Verdana" w:eastAsia="Times New Roman" w:hAnsi="Verdana" w:cs="Times New Roman"/>
          <w:color w:val="000000"/>
          <w:lang w:eastAsia="es-CO"/>
        </w:rPr>
        <w:t xml:space="preserve">Las </w:t>
      </w:r>
      <w:r w:rsidRPr="00284199">
        <w:rPr>
          <w:rFonts w:ascii="Verdana" w:eastAsia="Calibri" w:hAnsi="Verdana" w:cs="Arial"/>
        </w:rPr>
        <w:t xml:space="preserve">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w:t>
      </w:r>
      <w:r w:rsidRPr="005E3873">
        <w:rPr>
          <w:rFonts w:ascii="Verdana" w:eastAsia="Calibri" w:hAnsi="Verdana" w:cs="Arial"/>
          <w:i/>
          <w:iCs/>
        </w:rPr>
        <w:t>en los procesos de selección cuyo aviso de convocatoria se publique a partir del 16 de febrero de 2026</w:t>
      </w:r>
      <w:r w:rsidRPr="00284199">
        <w:rPr>
          <w:rFonts w:ascii="Verdana" w:eastAsia="Calibri" w:hAnsi="Verdana" w:cs="Arial"/>
          <w:vertAlign w:val="superscript"/>
        </w:rPr>
        <w:footnoteReference w:id="6"/>
      </w:r>
      <w:r w:rsidRPr="00284199">
        <w:rPr>
          <w:rFonts w:ascii="Verdana" w:eastAsia="Calibri" w:hAnsi="Verdana" w:cs="Arial"/>
        </w:rPr>
        <w:t>.</w:t>
      </w:r>
    </w:p>
    <w:p w14:paraId="7EC4AD48" w14:textId="77777777" w:rsidR="00EC4560" w:rsidRDefault="00EC4560" w:rsidP="00EC4560">
      <w:pPr>
        <w:spacing w:after="120" w:line="276" w:lineRule="auto"/>
        <w:ind w:firstLine="708"/>
        <w:jc w:val="both"/>
        <w:rPr>
          <w:rFonts w:ascii="Verdana" w:eastAsia="Calibri" w:hAnsi="Verdana" w:cs="Calibri"/>
        </w:rPr>
      </w:pPr>
      <w:r>
        <w:rPr>
          <w:rFonts w:ascii="Verdana" w:eastAsia="Calibri" w:hAnsi="Verdana" w:cs="Calibri"/>
        </w:rPr>
        <w:lastRenderedPageBreak/>
        <w:t>P</w:t>
      </w:r>
      <w:r w:rsidRPr="00284199">
        <w:rPr>
          <w:rFonts w:ascii="Verdana" w:eastAsia="Calibri" w:hAnsi="Verdana" w:cs="Calibri"/>
        </w:rPr>
        <w:t xml:space="preserve">ara responder de manera particular </w:t>
      </w:r>
      <w:r>
        <w:rPr>
          <w:rFonts w:ascii="Verdana" w:eastAsia="Calibri" w:hAnsi="Verdana" w:cs="Calibri"/>
        </w:rPr>
        <w:t xml:space="preserve">a </w:t>
      </w:r>
      <w:r w:rsidRPr="00284199">
        <w:rPr>
          <w:rFonts w:ascii="Verdana" w:eastAsia="Calibri" w:hAnsi="Verdana" w:cs="Calibri"/>
        </w:rPr>
        <w:t xml:space="preserve">la pregunta: </w:t>
      </w:r>
      <w:r>
        <w:rPr>
          <w:rFonts w:ascii="Verdana" w:eastAsia="Calibri" w:hAnsi="Verdana" w:cs="Calibri"/>
        </w:rPr>
        <w:t>“</w:t>
      </w:r>
      <w:r w:rsidRPr="00284199">
        <w:rPr>
          <w:rFonts w:ascii="Verdana" w:eastAsia="Calibri" w:hAnsi="Verdana" w:cs="Calibri"/>
          <w:i/>
          <w:iCs/>
        </w:rPr>
        <w:t>si una entidad pude adelantar una licitación pública cuyo objeto es  estudio, diseños y construcción del centro administrativo municipal,  utilizando pliegos tipo, y además de exigir experiencia general y especifica según la matriz de experiencia para infraestructura del sector institucional</w:t>
      </w:r>
      <w:r>
        <w:rPr>
          <w:rFonts w:ascii="Verdana" w:eastAsia="Calibri" w:hAnsi="Verdana" w:cs="Calibri"/>
          <w:i/>
          <w:iCs/>
        </w:rPr>
        <w:t>”</w:t>
      </w:r>
      <w:r>
        <w:rPr>
          <w:rFonts w:ascii="Verdana" w:eastAsia="Calibri" w:hAnsi="Verdana" w:cs="Calibri"/>
        </w:rPr>
        <w:t>, sobre el particular se realizan las siguientes consideraciones:</w:t>
      </w:r>
    </w:p>
    <w:p w14:paraId="5A38ABF9" w14:textId="77777777" w:rsidR="00EC4560" w:rsidRPr="00284199" w:rsidRDefault="00EC4560" w:rsidP="00EC4560">
      <w:pPr>
        <w:spacing w:after="120" w:line="276" w:lineRule="auto"/>
        <w:ind w:firstLine="708"/>
        <w:jc w:val="both"/>
        <w:rPr>
          <w:rFonts w:ascii="Verdana" w:eastAsia="Calibri" w:hAnsi="Verdana" w:cs="Calibri"/>
        </w:rPr>
      </w:pPr>
      <w:r>
        <w:rPr>
          <w:rFonts w:ascii="Verdana" w:eastAsia="Calibri" w:hAnsi="Verdana" w:cs="Calibri"/>
        </w:rPr>
        <w:t xml:space="preserve">En primer lugar, debe señalarse que, </w:t>
      </w:r>
      <w:r w:rsidRPr="00284199">
        <w:rPr>
          <w:rFonts w:ascii="Verdana" w:eastAsia="Calibri" w:hAnsi="Verdana" w:cs="Calibri"/>
        </w:rPr>
        <w:t xml:space="preserve">las entidades si pueden optar por adelantar procesos de selección bajo la modalidad de “llave en mano” utilizando las matrices de experiencia contenidas en los documentos tipo para los diferentes sectores </w:t>
      </w:r>
      <w:r>
        <w:rPr>
          <w:rFonts w:ascii="Verdana" w:eastAsia="Calibri" w:hAnsi="Verdana" w:cs="Calibri"/>
        </w:rPr>
        <w:t xml:space="preserve">adoptados por la Agencia Nacional de Contratación Pública – Colombia Compra Eficiente </w:t>
      </w:r>
      <w:r w:rsidRPr="00284199">
        <w:rPr>
          <w:rFonts w:ascii="Verdana" w:eastAsia="Calibri" w:hAnsi="Verdana" w:cs="Calibri"/>
        </w:rPr>
        <w:t xml:space="preserve">y adicionalmente podrán aplicar las reglas de combinación de experiencia indicadas en el numeral </w:t>
      </w:r>
      <w:r>
        <w:rPr>
          <w:rFonts w:ascii="Verdana" w:eastAsia="Calibri" w:hAnsi="Verdana" w:cs="Calibri"/>
        </w:rPr>
        <w:t>“</w:t>
      </w:r>
      <w:r w:rsidRPr="00284199">
        <w:rPr>
          <w:rFonts w:ascii="Verdana" w:eastAsia="Calibri" w:hAnsi="Verdana" w:cs="Calibri"/>
          <w:i/>
          <w:iCs/>
        </w:rPr>
        <w:t>3.5.1 CARACTERÍSTICAS DE LOS CONTRATOS PRESENTADOS PARA ACREDITAR LA EXPERIENCIA EXIGIDA</w:t>
      </w:r>
      <w:r>
        <w:rPr>
          <w:rFonts w:ascii="Verdana" w:eastAsia="Calibri" w:hAnsi="Verdana" w:cs="Calibri"/>
          <w:i/>
          <w:iCs/>
        </w:rPr>
        <w:t>”</w:t>
      </w:r>
      <w:r w:rsidRPr="00284199">
        <w:rPr>
          <w:rFonts w:ascii="Verdana" w:eastAsia="Calibri" w:hAnsi="Verdana" w:cs="Calibri"/>
        </w:rPr>
        <w:t xml:space="preserve"> del documento base o aplicando lo contenido en el artículo 4</w:t>
      </w:r>
      <w:r>
        <w:rPr>
          <w:rStyle w:val="Refdenotaalpie"/>
          <w:rFonts w:ascii="Verdana" w:eastAsia="Calibri" w:hAnsi="Verdana" w:cs="Calibri"/>
        </w:rPr>
        <w:footnoteReference w:id="7"/>
      </w:r>
      <w:r w:rsidRPr="00284199">
        <w:rPr>
          <w:rFonts w:ascii="Verdana" w:eastAsia="Calibri" w:hAnsi="Verdana" w:cs="Calibri"/>
        </w:rPr>
        <w:t xml:space="preserve"> de la </w:t>
      </w:r>
      <w:r>
        <w:rPr>
          <w:rFonts w:ascii="Verdana" w:eastAsia="Calibri" w:hAnsi="Verdana" w:cs="Calibri"/>
        </w:rPr>
        <w:lastRenderedPageBreak/>
        <w:t>R</w:t>
      </w:r>
      <w:r w:rsidRPr="00284199">
        <w:rPr>
          <w:rFonts w:ascii="Verdana" w:eastAsia="Calibri" w:hAnsi="Verdana" w:cs="Calibri"/>
        </w:rPr>
        <w:t xml:space="preserve">esolución </w:t>
      </w:r>
      <w:r>
        <w:rPr>
          <w:rFonts w:ascii="Verdana" w:eastAsia="Calibri" w:hAnsi="Verdana" w:cs="Calibri"/>
        </w:rPr>
        <w:t xml:space="preserve">539 del 21 de agosto de 2024, en donde se señala lo relacionada con la posibilidad que tiene la Entidad de incluir </w:t>
      </w:r>
      <w:r w:rsidRPr="00284199">
        <w:rPr>
          <w:rFonts w:ascii="Verdana" w:eastAsia="Calibri" w:hAnsi="Verdana" w:cs="Calibri"/>
        </w:rPr>
        <w:t>“</w:t>
      </w:r>
      <w:r w:rsidRPr="00284199">
        <w:rPr>
          <w:rFonts w:ascii="Verdana" w:eastAsia="Calibri" w:hAnsi="Verdana" w:cs="Calibri"/>
          <w:i/>
          <w:iCs/>
        </w:rPr>
        <w:t>Obras, bienes o servicios adicionales a la obra pública de infraestructura socia</w:t>
      </w:r>
      <w:r w:rsidRPr="00284199">
        <w:rPr>
          <w:rFonts w:ascii="Verdana" w:eastAsia="Calibri" w:hAnsi="Verdana" w:cs="Calibri"/>
        </w:rPr>
        <w:t>l”.</w:t>
      </w:r>
    </w:p>
    <w:p w14:paraId="4B2A6339" w14:textId="77777777" w:rsidR="00EC4560" w:rsidRPr="00866AC5" w:rsidRDefault="00EC4560" w:rsidP="00EC4560">
      <w:pPr>
        <w:spacing w:after="120" w:line="276" w:lineRule="auto"/>
        <w:ind w:firstLine="708"/>
        <w:jc w:val="both"/>
        <w:rPr>
          <w:rFonts w:ascii="Verdana" w:eastAsia="Calibri" w:hAnsi="Verdana" w:cs="Arial"/>
        </w:rPr>
      </w:pPr>
      <w:r>
        <w:rPr>
          <w:rFonts w:ascii="Verdana" w:eastAsia="Calibri" w:hAnsi="Verdana" w:cs="Calibri"/>
        </w:rPr>
        <w:t xml:space="preserve">En relación con el objeto indicado en su solicitud, en el capítulo IV de las Resoluciones </w:t>
      </w:r>
      <w:r w:rsidRPr="00284199">
        <w:rPr>
          <w:rFonts w:ascii="Verdana" w:eastAsia="Calibri" w:hAnsi="Verdana" w:cs="Arial"/>
        </w:rPr>
        <w:t>539, 540 y 541 del 21 de agosto de 2025</w:t>
      </w:r>
      <w:r>
        <w:rPr>
          <w:rFonts w:ascii="Verdana" w:eastAsia="Calibri" w:hAnsi="Verdana" w:cs="Arial"/>
        </w:rPr>
        <w:t xml:space="preserve">, se acogieron los documentos tipo complementarios del sector institucional, en las modalidades de licitación pública, selección abreviada de menor cuantía y mínima cuantía. </w:t>
      </w:r>
      <w:r w:rsidRPr="00866AC5">
        <w:rPr>
          <w:rFonts w:ascii="Verdana" w:eastAsia="Times New Roman" w:hAnsi="Verdana" w:cs="Times New Roman"/>
          <w:color w:val="000000"/>
          <w:lang w:eastAsia="es-CO"/>
        </w:rPr>
        <w:t xml:space="preserve">En </w:t>
      </w:r>
      <w:r>
        <w:rPr>
          <w:rFonts w:ascii="Verdana" w:eastAsia="Times New Roman" w:hAnsi="Verdana" w:cs="Times New Roman"/>
          <w:color w:val="000000"/>
          <w:lang w:eastAsia="es-CO"/>
        </w:rPr>
        <w:t xml:space="preserve">este sector, </w:t>
      </w:r>
      <w:r w:rsidRPr="00866AC5">
        <w:rPr>
          <w:rFonts w:ascii="Verdana" w:eastAsia="Times New Roman" w:hAnsi="Verdana" w:cs="Times New Roman"/>
          <w:color w:val="000000"/>
          <w:lang w:eastAsia="es-CO"/>
        </w:rPr>
        <w:t>se incluyen de conformidad con la norma NSR-10 los siguientes subgrupos de ocupación: </w:t>
      </w:r>
    </w:p>
    <w:p w14:paraId="342D4D89" w14:textId="77777777" w:rsidR="00EC4560" w:rsidRPr="00866AC5" w:rsidRDefault="00EC4560" w:rsidP="00EC4560">
      <w:pPr>
        <w:spacing w:after="0"/>
        <w:ind w:firstLine="708"/>
        <w:jc w:val="both"/>
        <w:textAlignment w:val="baseline"/>
        <w:rPr>
          <w:rFonts w:ascii="Verdana" w:eastAsia="Times New Roman" w:hAnsi="Verdana" w:cs="Times New Roman"/>
          <w:color w:val="000000"/>
          <w:lang w:eastAsia="es-CO"/>
        </w:rPr>
      </w:pPr>
    </w:p>
    <w:p w14:paraId="490453B7" w14:textId="77777777" w:rsidR="00EC4560" w:rsidRPr="00866AC5" w:rsidRDefault="00EC4560" w:rsidP="00EC4560">
      <w:pPr>
        <w:numPr>
          <w:ilvl w:val="2"/>
          <w:numId w:val="22"/>
        </w:numPr>
        <w:spacing w:after="120" w:line="240" w:lineRule="auto"/>
        <w:ind w:left="1069" w:right="709"/>
        <w:contextualSpacing/>
        <w:jc w:val="both"/>
        <w:textAlignment w:val="baseline"/>
        <w:rPr>
          <w:rFonts w:ascii="Verdana" w:eastAsia="Times New Roman" w:hAnsi="Verdana" w:cs="Times New Roman"/>
          <w:color w:val="000000"/>
          <w:lang w:eastAsia="es-CO"/>
        </w:rPr>
      </w:pPr>
      <w:r w:rsidRPr="00866AC5">
        <w:rPr>
          <w:rFonts w:ascii="Verdana" w:eastAsia="Times New Roman" w:hAnsi="Verdana" w:cs="Times New Roman"/>
          <w:b/>
          <w:bCs/>
          <w:color w:val="000000"/>
          <w:lang w:eastAsia="es-CO"/>
        </w:rPr>
        <w:t>Subgrupo de Ocupación institucional de reclusión (I-1):</w:t>
      </w:r>
      <w:r w:rsidRPr="00866AC5">
        <w:rPr>
          <w:rFonts w:ascii="Verdana" w:eastAsia="Times New Roman" w:hAnsi="Verdana" w:cs="Times New Roman"/>
          <w:color w:val="000000"/>
          <w:lang w:eastAsia="es-CO"/>
        </w:rPr>
        <w:t xml:space="preserve"> Prisiones, reformatorios, cárceles, manicomios, asilos, otros similares.  </w:t>
      </w:r>
    </w:p>
    <w:p w14:paraId="460C703E" w14:textId="77777777" w:rsidR="00EC4560" w:rsidRPr="00866AC5" w:rsidRDefault="00EC4560" w:rsidP="00EC4560">
      <w:pPr>
        <w:numPr>
          <w:ilvl w:val="2"/>
          <w:numId w:val="22"/>
        </w:numPr>
        <w:spacing w:after="120" w:line="240" w:lineRule="auto"/>
        <w:ind w:left="1069" w:right="709"/>
        <w:contextualSpacing/>
        <w:jc w:val="both"/>
        <w:textAlignment w:val="baseline"/>
        <w:rPr>
          <w:rFonts w:ascii="Verdana" w:eastAsia="Times New Roman" w:hAnsi="Verdana" w:cs="Times New Roman"/>
          <w:color w:val="000000"/>
          <w:lang w:eastAsia="es-CO"/>
        </w:rPr>
      </w:pPr>
      <w:r w:rsidRPr="00866AC5">
        <w:rPr>
          <w:rFonts w:ascii="Verdana" w:eastAsia="Times New Roman" w:hAnsi="Verdana" w:cs="Times New Roman"/>
          <w:b/>
          <w:bCs/>
          <w:color w:val="000000"/>
          <w:lang w:eastAsia="es-CO"/>
        </w:rPr>
        <w:lastRenderedPageBreak/>
        <w:t>Subgrupo de Ocupación institucional de seguridad pública (I-4):</w:t>
      </w:r>
      <w:r w:rsidRPr="00866AC5">
        <w:rPr>
          <w:rFonts w:ascii="Verdana" w:eastAsia="Times New Roman" w:hAnsi="Verdana" w:cs="Times New Roman"/>
          <w:color w:val="000000"/>
          <w:lang w:eastAsia="es-CO"/>
        </w:rPr>
        <w:t xml:space="preserve"> Estaciones de policía, bomberos, defensa civil, instituciones militares y otros similares. </w:t>
      </w:r>
    </w:p>
    <w:p w14:paraId="663ACF6A" w14:textId="77777777" w:rsidR="00EC4560" w:rsidRPr="00866AC5" w:rsidRDefault="00EC4560" w:rsidP="00EC4560">
      <w:pPr>
        <w:numPr>
          <w:ilvl w:val="2"/>
          <w:numId w:val="22"/>
        </w:numPr>
        <w:spacing w:after="0" w:line="240" w:lineRule="auto"/>
        <w:ind w:left="1069" w:right="709"/>
        <w:contextualSpacing/>
        <w:jc w:val="both"/>
        <w:textAlignment w:val="baseline"/>
        <w:rPr>
          <w:rFonts w:ascii="Verdana" w:eastAsia="Times New Roman" w:hAnsi="Verdana" w:cs="Times New Roman"/>
          <w:color w:val="000000"/>
          <w:lang w:eastAsia="es-CO"/>
        </w:rPr>
      </w:pPr>
      <w:r w:rsidRPr="00866AC5">
        <w:rPr>
          <w:rFonts w:ascii="Verdana" w:eastAsia="Times New Roman" w:hAnsi="Verdana" w:cs="Times New Roman"/>
          <w:b/>
          <w:bCs/>
          <w:color w:val="000000"/>
          <w:lang w:eastAsia="es-CO"/>
        </w:rPr>
        <w:t xml:space="preserve">Subgrupo de Ocupación institucional de servicio público (I-5): </w:t>
      </w:r>
      <w:r w:rsidRPr="00866AC5">
        <w:rPr>
          <w:rFonts w:ascii="Verdana" w:eastAsia="Times New Roman" w:hAnsi="Verdana" w:cs="Times New Roman"/>
          <w:color w:val="000000"/>
          <w:lang w:eastAsia="es-CO"/>
        </w:rPr>
        <w:t>Centros de comunicación o administrativos o administrativos de servicios municipales, distritales o gubernamentales, juzgados y otros similares.  </w:t>
      </w:r>
    </w:p>
    <w:p w14:paraId="79340DFD" w14:textId="77777777" w:rsidR="00EC4560" w:rsidRPr="00866AC5" w:rsidRDefault="00EC4560" w:rsidP="00EC4560">
      <w:pPr>
        <w:spacing w:after="0" w:line="240" w:lineRule="auto"/>
        <w:ind w:left="1069" w:right="709"/>
        <w:contextualSpacing/>
        <w:jc w:val="both"/>
        <w:textAlignment w:val="baseline"/>
        <w:rPr>
          <w:rFonts w:ascii="Verdana" w:eastAsia="Times New Roman" w:hAnsi="Verdana" w:cs="Times New Roman"/>
          <w:color w:val="000000"/>
          <w:lang w:eastAsia="es-CO"/>
        </w:rPr>
      </w:pPr>
    </w:p>
    <w:p w14:paraId="5D09A61C" w14:textId="77777777" w:rsidR="00EC4560" w:rsidRDefault="00EC4560" w:rsidP="00EC4560">
      <w:pPr>
        <w:spacing w:after="120" w:line="276" w:lineRule="auto"/>
        <w:ind w:firstLine="709"/>
        <w:jc w:val="both"/>
        <w:rPr>
          <w:rFonts w:ascii="Verdana" w:eastAsia="Calibri" w:hAnsi="Verdana" w:cs="Arial"/>
        </w:rPr>
      </w:pPr>
      <w:r w:rsidRPr="00866AC5">
        <w:rPr>
          <w:rFonts w:ascii="Verdana" w:eastAsia="Calibri" w:hAnsi="Verdana" w:cs="Arial"/>
        </w:rPr>
        <w:t>En estos documentos tipo</w:t>
      </w:r>
      <w:r>
        <w:rPr>
          <w:rFonts w:ascii="Verdana" w:eastAsia="Calibri" w:hAnsi="Verdana" w:cs="Arial"/>
        </w:rPr>
        <w:t xml:space="preserve"> del sector de infraestructura institucional</w:t>
      </w:r>
      <w:r w:rsidRPr="00866AC5">
        <w:rPr>
          <w:rFonts w:ascii="Verdana" w:eastAsia="Calibri" w:hAnsi="Verdana" w:cs="Arial"/>
        </w:rPr>
        <w:t>, eventualmente podría enmarcarse el objeto del proceso por el que se indaga</w:t>
      </w:r>
      <w:r>
        <w:rPr>
          <w:rFonts w:ascii="Verdana" w:eastAsia="Calibri" w:hAnsi="Verdana" w:cs="Arial"/>
        </w:rPr>
        <w:t>, esto es, la construcción de un centro de administración municipal.</w:t>
      </w:r>
      <w:r w:rsidRPr="00866AC5">
        <w:rPr>
          <w:rFonts w:ascii="Verdana" w:eastAsia="Calibri" w:hAnsi="Verdana" w:cs="Arial"/>
        </w:rPr>
        <w:t xml:space="preserve"> No obstante,</w:t>
      </w:r>
      <w:r>
        <w:rPr>
          <w:rFonts w:ascii="Verdana" w:eastAsia="Calibri" w:hAnsi="Verdana" w:cs="Arial"/>
        </w:rPr>
        <w:t xml:space="preserve"> tal como se señaló,</w:t>
      </w:r>
      <w:r w:rsidRPr="00866AC5">
        <w:rPr>
          <w:rFonts w:ascii="Verdana" w:eastAsia="Calibri" w:hAnsi="Verdana" w:cs="Arial"/>
        </w:rPr>
        <w:t xml:space="preserve"> los documentos tipo </w:t>
      </w:r>
      <w:r>
        <w:rPr>
          <w:rFonts w:ascii="Verdana" w:eastAsia="Calibri" w:hAnsi="Verdana" w:cs="Arial"/>
        </w:rPr>
        <w:t xml:space="preserve">indicados, </w:t>
      </w:r>
      <w:r w:rsidRPr="00866AC5">
        <w:rPr>
          <w:rFonts w:ascii="Verdana" w:eastAsia="Calibri" w:hAnsi="Verdana" w:cs="Arial"/>
        </w:rPr>
        <w:t xml:space="preserve">aplicaran a las modalidades y sectores </w:t>
      </w:r>
      <w:r>
        <w:rPr>
          <w:rFonts w:ascii="Verdana" w:eastAsia="Calibri" w:hAnsi="Verdana" w:cs="Arial"/>
        </w:rPr>
        <w:t>mencionados,</w:t>
      </w:r>
      <w:r w:rsidRPr="00866AC5">
        <w:rPr>
          <w:rFonts w:ascii="Verdana" w:eastAsia="Calibri" w:hAnsi="Verdana" w:cs="Arial"/>
        </w:rPr>
        <w:t xml:space="preserve"> en los procesos de selección cuyo aviso de convocatoria se publique a partir del 16 de febrero de 2026.</w:t>
      </w:r>
    </w:p>
    <w:p w14:paraId="56365C1C" w14:textId="77777777" w:rsidR="00EC4560" w:rsidRPr="00866AC5" w:rsidRDefault="00EC4560" w:rsidP="00EC4560">
      <w:pPr>
        <w:spacing w:after="120" w:line="276" w:lineRule="auto"/>
        <w:ind w:firstLine="709"/>
        <w:jc w:val="both"/>
        <w:rPr>
          <w:rFonts w:ascii="Verdana" w:eastAsia="Calibri" w:hAnsi="Verdana" w:cs="Arial"/>
        </w:rPr>
      </w:pPr>
      <w:r>
        <w:rPr>
          <w:rFonts w:ascii="Verdana" w:eastAsia="Calibri" w:hAnsi="Verdana" w:cs="Arial"/>
        </w:rPr>
        <w:t xml:space="preserve">Ahora bien, revisando los documentos tipo del sector institucional, se encuentra que la “Matriz 1 – Experiencia sector institucional” contempla 5 tipo de obras en proyectos de infraestructura institucional, que corresponden a: i) </w:t>
      </w:r>
      <w:r w:rsidRPr="00866AC5">
        <w:rPr>
          <w:rFonts w:ascii="Verdana" w:eastAsia="Calibri" w:hAnsi="Verdana" w:cs="Arial"/>
        </w:rPr>
        <w:t>obras en proyectos de infraestructura institucional de seguridad pública</w:t>
      </w:r>
      <w:r>
        <w:rPr>
          <w:rFonts w:ascii="Verdana" w:eastAsia="Calibri" w:hAnsi="Verdana" w:cs="Arial"/>
        </w:rPr>
        <w:t xml:space="preserve">, </w:t>
      </w:r>
      <w:proofErr w:type="spellStart"/>
      <w:r>
        <w:rPr>
          <w:rFonts w:ascii="Verdana" w:eastAsia="Calibri" w:hAnsi="Verdana" w:cs="Arial"/>
        </w:rPr>
        <w:t>ii</w:t>
      </w:r>
      <w:proofErr w:type="spellEnd"/>
      <w:r>
        <w:rPr>
          <w:rFonts w:ascii="Verdana" w:eastAsia="Calibri" w:hAnsi="Verdana" w:cs="Arial"/>
        </w:rPr>
        <w:t xml:space="preserve">) </w:t>
      </w:r>
      <w:r w:rsidRPr="00866AC5">
        <w:rPr>
          <w:rFonts w:ascii="Verdana" w:eastAsia="Calibri" w:hAnsi="Verdana" w:cs="Arial"/>
        </w:rPr>
        <w:t>obras en proyectos de infraestructura institucional de servicio público</w:t>
      </w:r>
      <w:r>
        <w:rPr>
          <w:rFonts w:ascii="Verdana" w:eastAsia="Calibri" w:hAnsi="Verdana" w:cs="Arial"/>
        </w:rPr>
        <w:t xml:space="preserve">, </w:t>
      </w:r>
      <w:proofErr w:type="spellStart"/>
      <w:r>
        <w:rPr>
          <w:rFonts w:ascii="Verdana" w:eastAsia="Calibri" w:hAnsi="Verdana" w:cs="Arial"/>
        </w:rPr>
        <w:t>iii</w:t>
      </w:r>
      <w:proofErr w:type="spellEnd"/>
      <w:r>
        <w:rPr>
          <w:rFonts w:ascii="Verdana" w:eastAsia="Calibri" w:hAnsi="Verdana" w:cs="Arial"/>
        </w:rPr>
        <w:t xml:space="preserve">) </w:t>
      </w:r>
      <w:r w:rsidRPr="00866AC5">
        <w:rPr>
          <w:rFonts w:ascii="Verdana" w:eastAsia="Calibri" w:hAnsi="Verdana" w:cs="Arial"/>
        </w:rPr>
        <w:t>obras en proyectos de infraestructura institucional - sitios de reclusión</w:t>
      </w:r>
      <w:r>
        <w:rPr>
          <w:rFonts w:ascii="Verdana" w:eastAsia="Calibri" w:hAnsi="Verdana" w:cs="Arial"/>
        </w:rPr>
        <w:t xml:space="preserve">, </w:t>
      </w:r>
      <w:proofErr w:type="spellStart"/>
      <w:r>
        <w:rPr>
          <w:rFonts w:ascii="Verdana" w:eastAsia="Calibri" w:hAnsi="Verdana" w:cs="Arial"/>
        </w:rPr>
        <w:t>iv</w:t>
      </w:r>
      <w:proofErr w:type="spellEnd"/>
      <w:r>
        <w:rPr>
          <w:rFonts w:ascii="Verdana" w:eastAsia="Calibri" w:hAnsi="Verdana" w:cs="Arial"/>
        </w:rPr>
        <w:t xml:space="preserve">) </w:t>
      </w:r>
      <w:r w:rsidRPr="00866AC5">
        <w:rPr>
          <w:rFonts w:ascii="Verdana" w:eastAsia="Calibri" w:hAnsi="Verdana" w:cs="Arial"/>
        </w:rPr>
        <w:t>obras en vías de acceso o parqueaderos o zonas de circulación (vehicular o peatonal) o plazuelas o plazas o plazuelas en edificaciones institucionales</w:t>
      </w:r>
      <w:r>
        <w:rPr>
          <w:rFonts w:ascii="Verdana" w:eastAsia="Calibri" w:hAnsi="Verdana" w:cs="Arial"/>
        </w:rPr>
        <w:t xml:space="preserve"> y v) obras para atención, prevención o mitigación de emergencias diferentes a contratación directa para el sector institucional. </w:t>
      </w:r>
    </w:p>
    <w:p w14:paraId="7E787323" w14:textId="77777777" w:rsidR="00EC4560" w:rsidRPr="00284199" w:rsidRDefault="00EC4560" w:rsidP="00EC4560">
      <w:pPr>
        <w:spacing w:after="0" w:line="276" w:lineRule="auto"/>
        <w:ind w:firstLine="708"/>
        <w:jc w:val="both"/>
        <w:rPr>
          <w:rFonts w:ascii="Verdana" w:eastAsia="Calibri" w:hAnsi="Verdana" w:cs="Calibri"/>
        </w:rPr>
      </w:pPr>
      <w:r>
        <w:rPr>
          <w:rFonts w:ascii="Verdana" w:eastAsia="Calibri" w:hAnsi="Verdana" w:cs="Arial"/>
        </w:rPr>
        <w:t xml:space="preserve">En relación con su solicitud, le indicamos que, </w:t>
      </w:r>
      <w:r w:rsidRPr="00284199">
        <w:rPr>
          <w:rFonts w:ascii="Verdana" w:eastAsia="Calibri" w:hAnsi="Verdana" w:cs="Calibri"/>
        </w:rPr>
        <w:t xml:space="preserve">la entidad podrá enmarcar </w:t>
      </w:r>
      <w:r>
        <w:rPr>
          <w:rFonts w:ascii="Verdana" w:eastAsia="Calibri" w:hAnsi="Verdana" w:cs="Calibri"/>
        </w:rPr>
        <w:t xml:space="preserve">el objeto “construcción de un centro de administración municipal” </w:t>
      </w:r>
      <w:r w:rsidRPr="00284199">
        <w:rPr>
          <w:rFonts w:ascii="Verdana" w:eastAsia="Calibri" w:hAnsi="Verdana" w:cs="Calibri"/>
        </w:rPr>
        <w:t xml:space="preserve">en alguna de las actividades contenidas en la </w:t>
      </w:r>
      <w:r>
        <w:rPr>
          <w:rFonts w:ascii="Verdana" w:eastAsia="Calibri" w:hAnsi="Verdana" w:cs="Calibri"/>
        </w:rPr>
        <w:t>“M</w:t>
      </w:r>
      <w:r w:rsidRPr="00284199">
        <w:rPr>
          <w:rFonts w:ascii="Verdana" w:eastAsia="Calibri" w:hAnsi="Verdana" w:cs="Calibri"/>
        </w:rPr>
        <w:t xml:space="preserve">atriz 1 – </w:t>
      </w:r>
      <w:r>
        <w:rPr>
          <w:rFonts w:ascii="Verdana" w:eastAsia="Calibri" w:hAnsi="Verdana" w:cs="Calibri"/>
        </w:rPr>
        <w:t xml:space="preserve">Experiencia </w:t>
      </w:r>
      <w:r w:rsidRPr="00284199">
        <w:rPr>
          <w:rFonts w:ascii="Verdana" w:eastAsia="Calibri" w:hAnsi="Verdana" w:cs="Calibri"/>
        </w:rPr>
        <w:t>sector Institucional</w:t>
      </w:r>
      <w:r>
        <w:rPr>
          <w:rFonts w:ascii="Verdana" w:eastAsia="Calibri" w:hAnsi="Verdana" w:cs="Calibri"/>
        </w:rPr>
        <w:t>”</w:t>
      </w:r>
      <w:r w:rsidRPr="00284199">
        <w:rPr>
          <w:rFonts w:ascii="Verdana" w:eastAsia="Calibri" w:hAnsi="Verdana" w:cs="Calibri"/>
        </w:rPr>
        <w:t>,</w:t>
      </w:r>
      <w:r>
        <w:rPr>
          <w:rFonts w:ascii="Verdana" w:eastAsia="Calibri" w:hAnsi="Verdana" w:cs="Calibri"/>
        </w:rPr>
        <w:t xml:space="preserve"> como por ejemplo, en el tipo de obras contenido en el</w:t>
      </w:r>
      <w:r w:rsidRPr="00284199">
        <w:rPr>
          <w:rFonts w:ascii="Verdana" w:eastAsia="Calibri" w:hAnsi="Verdana" w:cs="Calibri"/>
        </w:rPr>
        <w:t xml:space="preserve"> capítulo </w:t>
      </w:r>
      <w:r w:rsidRPr="00284199">
        <w:rPr>
          <w:rFonts w:ascii="Verdana" w:eastAsia="Calibri" w:hAnsi="Verdana" w:cs="Calibri"/>
          <w:i/>
          <w:iCs/>
        </w:rPr>
        <w:t xml:space="preserve">“2. OBRAS EN PROYECTOS DE INFRAESTRUCTURA INSTITUCIONAL DE SERVICIO PUBLICO”, </w:t>
      </w:r>
      <w:r w:rsidRPr="00284199">
        <w:rPr>
          <w:rFonts w:ascii="Verdana" w:eastAsia="Calibri" w:hAnsi="Verdana" w:cs="Calibri"/>
        </w:rPr>
        <w:t>que incluye</w:t>
      </w:r>
      <w:r>
        <w:rPr>
          <w:rFonts w:ascii="Verdana" w:eastAsia="Calibri" w:hAnsi="Verdana" w:cs="Calibri"/>
        </w:rPr>
        <w:t>, entre otras,</w:t>
      </w:r>
      <w:r w:rsidRPr="00284199">
        <w:rPr>
          <w:rFonts w:ascii="Verdana" w:eastAsia="Calibri" w:hAnsi="Verdana" w:cs="Calibri"/>
        </w:rPr>
        <w:t xml:space="preserve"> la </w:t>
      </w:r>
      <w:r>
        <w:rPr>
          <w:rFonts w:ascii="Verdana" w:eastAsia="Calibri" w:hAnsi="Verdana" w:cs="Calibri"/>
        </w:rPr>
        <w:t xml:space="preserve">siguiente </w:t>
      </w:r>
      <w:r w:rsidRPr="00284199">
        <w:rPr>
          <w:rFonts w:ascii="Verdana" w:eastAsia="Calibri" w:hAnsi="Verdana" w:cs="Calibri"/>
        </w:rPr>
        <w:t>actividad:</w:t>
      </w:r>
    </w:p>
    <w:p w14:paraId="6DE6052A" w14:textId="77777777" w:rsidR="00EC4560" w:rsidRPr="00284199" w:rsidRDefault="00EC4560" w:rsidP="00EC4560">
      <w:pPr>
        <w:spacing w:after="0" w:line="240" w:lineRule="auto"/>
        <w:jc w:val="both"/>
        <w:rPr>
          <w:rFonts w:ascii="Verdana" w:eastAsia="Calibri" w:hAnsi="Verdana" w:cs="Calibri"/>
        </w:rPr>
      </w:pPr>
    </w:p>
    <w:p w14:paraId="2C611B6A" w14:textId="77777777" w:rsidR="00EC4560" w:rsidRPr="00284199" w:rsidRDefault="00EC4560" w:rsidP="00EC4560">
      <w:pPr>
        <w:spacing w:after="0" w:line="240" w:lineRule="auto"/>
        <w:ind w:left="708" w:right="709"/>
        <w:jc w:val="both"/>
        <w:rPr>
          <w:rFonts w:ascii="Verdana" w:eastAsia="Calibri" w:hAnsi="Verdana" w:cs="Calibri"/>
          <w:sz w:val="21"/>
          <w:szCs w:val="21"/>
        </w:rPr>
      </w:pPr>
      <w:r w:rsidRPr="00284199">
        <w:rPr>
          <w:rFonts w:ascii="Verdana" w:eastAsia="Calibri" w:hAnsi="Verdana" w:cs="Calibri"/>
          <w:sz w:val="21"/>
          <w:szCs w:val="21"/>
        </w:rPr>
        <w:t>“2.1. PROYECTOS DE CONSTRUCCIÓN Y/O AMPLIACIÓN Y/O RECONSTRUCCIÓN DE INFRAESTRUCTURA DE SERVICIO PUBLICO”</w:t>
      </w:r>
      <w:r>
        <w:rPr>
          <w:rFonts w:ascii="Verdana" w:eastAsia="Calibri" w:hAnsi="Verdana" w:cs="Calibri"/>
          <w:sz w:val="21"/>
          <w:szCs w:val="21"/>
        </w:rPr>
        <w:t>.</w:t>
      </w:r>
    </w:p>
    <w:p w14:paraId="24656E6D" w14:textId="77777777" w:rsidR="00EC4560" w:rsidRPr="00284199" w:rsidRDefault="00EC4560" w:rsidP="00EC4560">
      <w:pPr>
        <w:spacing w:after="0" w:line="240" w:lineRule="auto"/>
        <w:jc w:val="both"/>
        <w:rPr>
          <w:rFonts w:ascii="Verdana" w:eastAsia="Calibri" w:hAnsi="Verdana" w:cs="Calibri"/>
          <w:i/>
          <w:iCs/>
        </w:rPr>
      </w:pPr>
    </w:p>
    <w:p w14:paraId="624A18EC" w14:textId="77777777" w:rsidR="00EC4560" w:rsidRDefault="00EC4560" w:rsidP="00EC4560">
      <w:pPr>
        <w:spacing w:after="120" w:line="276" w:lineRule="auto"/>
        <w:ind w:firstLine="708"/>
        <w:jc w:val="both"/>
        <w:rPr>
          <w:rFonts w:ascii="Verdana" w:eastAsia="Calibri" w:hAnsi="Verdana" w:cs="Calibri"/>
        </w:rPr>
      </w:pPr>
      <w:r>
        <w:rPr>
          <w:rFonts w:ascii="Verdana" w:eastAsia="Calibri" w:hAnsi="Verdana" w:cs="Calibri"/>
        </w:rPr>
        <w:t xml:space="preserve">Teniendo en cuenta lo anterior, para realizar la construcción de una infraestructura de servicio público, como eventualmente sería un centro administrativo municipal, la entidad podrá optar por la actividad señalada </w:t>
      </w:r>
      <w:r>
        <w:rPr>
          <w:rFonts w:ascii="Verdana" w:eastAsia="Calibri" w:hAnsi="Verdana" w:cs="Calibri"/>
        </w:rPr>
        <w:lastRenderedPageBreak/>
        <w:t xml:space="preserve">previamente. Sin embargo, teniendo en cuenta que según indica el proyecto implica estudios y diseños, le informamos que, </w:t>
      </w:r>
      <w:r w:rsidRPr="00284199">
        <w:rPr>
          <w:rFonts w:ascii="Verdana" w:eastAsia="Calibri" w:hAnsi="Verdana" w:cs="Calibri"/>
        </w:rPr>
        <w:t>actualmente los documentos tipo del sector social, no incluyen la modalidad de Concurso de Méritos para consultoría de estudios y diseños</w:t>
      </w:r>
      <w:r>
        <w:rPr>
          <w:rFonts w:ascii="Verdana" w:eastAsia="Calibri" w:hAnsi="Verdana" w:cs="Calibri"/>
        </w:rPr>
        <w:t>. Sin perjuicio de lo anterior</w:t>
      </w:r>
      <w:r w:rsidRPr="00284199">
        <w:rPr>
          <w:rFonts w:ascii="Verdana" w:eastAsia="Calibri" w:hAnsi="Verdana" w:cs="Calibri"/>
        </w:rPr>
        <w:t xml:space="preserve">, la entidad podría </w:t>
      </w:r>
      <w:r>
        <w:rPr>
          <w:rFonts w:ascii="Verdana" w:eastAsia="Calibri" w:hAnsi="Verdana" w:cs="Calibri"/>
        </w:rPr>
        <w:t>aplicar lo dispuesto en el artículo 4 de la Resolución 539 de 2025 en el que se dispone sobre</w:t>
      </w:r>
      <w:r w:rsidRPr="00284199">
        <w:rPr>
          <w:rFonts w:ascii="Verdana" w:eastAsia="Calibri" w:hAnsi="Verdana" w:cs="Calibri"/>
        </w:rPr>
        <w:t xml:space="preserve"> las “</w:t>
      </w:r>
      <w:r w:rsidRPr="00284199">
        <w:rPr>
          <w:rFonts w:ascii="Verdana" w:eastAsia="Calibri" w:hAnsi="Verdana" w:cs="Calibri"/>
          <w:i/>
          <w:iCs/>
        </w:rPr>
        <w:t>Obras, bienes o servicios adicionales a la obra pública de infraestructura socia</w:t>
      </w:r>
      <w:r w:rsidRPr="00284199">
        <w:rPr>
          <w:rFonts w:ascii="Verdana" w:eastAsia="Calibri" w:hAnsi="Verdana" w:cs="Calibri"/>
        </w:rPr>
        <w:t xml:space="preserve">l” para </w:t>
      </w:r>
      <w:r>
        <w:rPr>
          <w:rFonts w:ascii="Verdana" w:eastAsia="Calibri" w:hAnsi="Verdana" w:cs="Calibri"/>
        </w:rPr>
        <w:t xml:space="preserve">solicitar experiencia en </w:t>
      </w:r>
      <w:r w:rsidRPr="00284199">
        <w:rPr>
          <w:rFonts w:ascii="Verdana" w:eastAsia="Calibri" w:hAnsi="Verdana" w:cs="Calibri"/>
        </w:rPr>
        <w:t>las actividades relacionadas con los “</w:t>
      </w:r>
      <w:r w:rsidRPr="00284199">
        <w:rPr>
          <w:rFonts w:ascii="Verdana" w:eastAsia="Calibri" w:hAnsi="Verdana" w:cs="Calibri"/>
          <w:i/>
          <w:iCs/>
        </w:rPr>
        <w:t>Estudios, diseños del centro administrativo municipal”,</w:t>
      </w:r>
      <w:r w:rsidRPr="00284199">
        <w:rPr>
          <w:rFonts w:ascii="Verdana" w:eastAsia="Calibri" w:hAnsi="Verdana" w:cs="Calibri"/>
        </w:rPr>
        <w:t xml:space="preserve"> siguiendo de manera estricta las directrices señaladas en el documento base y en </w:t>
      </w:r>
      <w:r>
        <w:rPr>
          <w:rFonts w:ascii="Verdana" w:eastAsia="Calibri" w:hAnsi="Verdana" w:cs="Calibri"/>
        </w:rPr>
        <w:t xml:space="preserve">el artículo señalado. </w:t>
      </w:r>
    </w:p>
    <w:p w14:paraId="4FAB00F5" w14:textId="77777777" w:rsidR="00EC4560" w:rsidRDefault="00EC4560" w:rsidP="00EC4560">
      <w:pPr>
        <w:spacing w:after="120" w:line="276" w:lineRule="auto"/>
        <w:ind w:firstLine="708"/>
        <w:jc w:val="both"/>
        <w:rPr>
          <w:rFonts w:ascii="Verdana" w:eastAsia="Calibri" w:hAnsi="Verdana" w:cs="Calibri"/>
        </w:rPr>
      </w:pPr>
      <w:r>
        <w:rPr>
          <w:rFonts w:ascii="Verdana" w:eastAsia="Calibri" w:hAnsi="Verdana" w:cs="Calibri"/>
        </w:rPr>
        <w:t xml:space="preserve">No obstante, le indicamos que, actualmente la Agencia Nacional de Contratación Pública – Colombia Compra Eficiente se encuentra trabajando en la </w:t>
      </w:r>
      <w:r w:rsidRPr="00284199">
        <w:rPr>
          <w:rFonts w:ascii="Verdana" w:eastAsia="Calibri" w:hAnsi="Verdana" w:cs="Calibri"/>
        </w:rPr>
        <w:t xml:space="preserve">adopción de los documentos tipo de </w:t>
      </w:r>
      <w:r>
        <w:rPr>
          <w:rFonts w:ascii="Verdana" w:eastAsia="Calibri" w:hAnsi="Verdana" w:cs="Calibri"/>
        </w:rPr>
        <w:t>c</w:t>
      </w:r>
      <w:r w:rsidRPr="00284199">
        <w:rPr>
          <w:rFonts w:ascii="Verdana" w:eastAsia="Calibri" w:hAnsi="Verdana" w:cs="Calibri"/>
        </w:rPr>
        <w:t xml:space="preserve">oncurso de </w:t>
      </w:r>
      <w:r>
        <w:rPr>
          <w:rFonts w:ascii="Verdana" w:eastAsia="Calibri" w:hAnsi="Verdana" w:cs="Calibri"/>
        </w:rPr>
        <w:t>m</w:t>
      </w:r>
      <w:r w:rsidRPr="00284199">
        <w:rPr>
          <w:rFonts w:ascii="Verdana" w:eastAsia="Calibri" w:hAnsi="Verdana" w:cs="Calibri"/>
        </w:rPr>
        <w:t xml:space="preserve">éritos para </w:t>
      </w:r>
      <w:r>
        <w:rPr>
          <w:rFonts w:ascii="Verdana" w:eastAsia="Calibri" w:hAnsi="Verdana" w:cs="Calibri"/>
        </w:rPr>
        <w:t xml:space="preserve">contratar la </w:t>
      </w:r>
      <w:r w:rsidRPr="00284199">
        <w:rPr>
          <w:rFonts w:ascii="Verdana" w:eastAsia="Calibri" w:hAnsi="Verdana" w:cs="Calibri"/>
        </w:rPr>
        <w:t xml:space="preserve">consultoría de estudios </w:t>
      </w:r>
      <w:r>
        <w:rPr>
          <w:rFonts w:ascii="Verdana" w:eastAsia="Calibri" w:hAnsi="Verdana" w:cs="Calibri"/>
        </w:rPr>
        <w:t xml:space="preserve">de ingeniería de infraestructura </w:t>
      </w:r>
      <w:r w:rsidRPr="00284199">
        <w:rPr>
          <w:rFonts w:ascii="Verdana" w:eastAsia="Calibri" w:hAnsi="Verdana" w:cs="Calibri"/>
        </w:rPr>
        <w:t>social</w:t>
      </w:r>
      <w:r>
        <w:rPr>
          <w:rFonts w:ascii="Verdana" w:eastAsia="Calibri" w:hAnsi="Verdana" w:cs="Calibri"/>
        </w:rPr>
        <w:t xml:space="preserve">. En estos documentos </w:t>
      </w:r>
      <w:r w:rsidRPr="00284199">
        <w:rPr>
          <w:rFonts w:ascii="Verdana" w:eastAsia="Calibri" w:hAnsi="Verdana" w:cs="Calibri"/>
        </w:rPr>
        <w:t xml:space="preserve">los procesos relacionados con estudios y diseños del subsector Institucional que se pretendan adelantar por la modalidad de “llave en mano”, se podrían realizar utilizando las reglas de combinación de experiencia contenidas en el numeral </w:t>
      </w:r>
      <w:r w:rsidRPr="00284199">
        <w:rPr>
          <w:rFonts w:ascii="Verdana" w:eastAsia="Calibri" w:hAnsi="Verdana" w:cs="Calibri"/>
          <w:i/>
          <w:iCs/>
        </w:rPr>
        <w:t>3.5.1 CARACTERÍSTICAS DE LOS CONTRATOS PRESENTADOS PARA ACREDITAR LA EXPERIENCIA EXIGIDA</w:t>
      </w:r>
      <w:r w:rsidRPr="00284199">
        <w:rPr>
          <w:rFonts w:ascii="Verdana" w:eastAsia="Calibri" w:hAnsi="Verdana" w:cs="Calibri"/>
        </w:rPr>
        <w:t xml:space="preserve"> del documento base que es transversal a los diferentes subsectores del sector social. </w:t>
      </w:r>
    </w:p>
    <w:p w14:paraId="6E508E11" w14:textId="77777777" w:rsidR="00EC4560" w:rsidRPr="003B54CB" w:rsidRDefault="00EC4560" w:rsidP="00EC4560">
      <w:pPr>
        <w:spacing w:before="120" w:line="276" w:lineRule="auto"/>
        <w:jc w:val="both"/>
        <w:rPr>
          <w:rFonts w:ascii="Verdana" w:eastAsia="Calibri" w:hAnsi="Verdana" w:cs="Arial"/>
          <w:lang w:val="es-ES_tradnl"/>
        </w:rPr>
      </w:pPr>
      <w:proofErr w:type="spellStart"/>
      <w:r>
        <w:rPr>
          <w:rFonts w:ascii="Verdana" w:eastAsia="Calibri" w:hAnsi="Verdana" w:cs="Calibri"/>
        </w:rPr>
        <w:t>iv</w:t>
      </w:r>
      <w:proofErr w:type="spellEnd"/>
      <w:r>
        <w:rPr>
          <w:rFonts w:ascii="Verdana" w:eastAsia="Calibri" w:hAnsi="Verdana" w:cs="Calibri"/>
        </w:rPr>
        <w:t xml:space="preserve">) </w:t>
      </w:r>
      <w:r w:rsidRPr="4A4DC93F">
        <w:rPr>
          <w:rFonts w:ascii="Verdana" w:eastAsia="Calibri" w:hAnsi="Verdana" w:cs="Arial"/>
          <w:lang w:val="es-ES"/>
        </w:rPr>
        <w:t xml:space="preserve">El Contrato de Obra bajo la modalidad Llave en mano consiste en que </w:t>
      </w:r>
      <w:r w:rsidRPr="00587FBB">
        <w:rPr>
          <w:rFonts w:ascii="Verdana" w:eastAsia="Calibri" w:hAnsi="Verdana" w:cs="Arial"/>
          <w:color w:val="000000"/>
          <w:lang w:eastAsia="es-ES"/>
        </w:rPr>
        <w:t xml:space="preserve">el contratista se obliga a ejecutar la obra desde la fase inicial de diseño y hasta la puesta en marcha, que también puede denominarse contrato de </w:t>
      </w:r>
      <w:bookmarkStart w:id="2" w:name="_Hlk134107595"/>
      <w:proofErr w:type="spellStart"/>
      <w:r w:rsidRPr="00587FBB">
        <w:rPr>
          <w:rFonts w:ascii="Verdana" w:eastAsia="Calibri" w:hAnsi="Verdana" w:cs="Arial"/>
          <w:color w:val="000000"/>
          <w:lang w:eastAsia="es-ES"/>
        </w:rPr>
        <w:t>Engineering</w:t>
      </w:r>
      <w:proofErr w:type="spellEnd"/>
      <w:r w:rsidRPr="00587FBB">
        <w:rPr>
          <w:rFonts w:ascii="Verdana" w:eastAsia="Calibri" w:hAnsi="Verdana" w:cs="Arial"/>
          <w:color w:val="000000"/>
          <w:lang w:eastAsia="es-ES"/>
        </w:rPr>
        <w:t xml:space="preserve">, </w:t>
      </w:r>
      <w:proofErr w:type="spellStart"/>
      <w:r w:rsidRPr="00587FBB">
        <w:rPr>
          <w:rFonts w:ascii="Verdana" w:eastAsia="Calibri" w:hAnsi="Verdana" w:cs="Arial"/>
          <w:color w:val="000000"/>
          <w:lang w:eastAsia="es-ES"/>
        </w:rPr>
        <w:t>Procurement</w:t>
      </w:r>
      <w:proofErr w:type="spellEnd"/>
      <w:r w:rsidRPr="00587FBB">
        <w:rPr>
          <w:rFonts w:ascii="Verdana" w:eastAsia="Calibri" w:hAnsi="Verdana" w:cs="Arial"/>
          <w:color w:val="000000"/>
          <w:lang w:eastAsia="es-ES"/>
        </w:rPr>
        <w:t xml:space="preserve"> and </w:t>
      </w:r>
      <w:proofErr w:type="spellStart"/>
      <w:r w:rsidRPr="00587FBB">
        <w:rPr>
          <w:rFonts w:ascii="Verdana" w:eastAsia="Calibri" w:hAnsi="Verdana" w:cs="Arial"/>
          <w:color w:val="000000"/>
          <w:lang w:eastAsia="es-ES"/>
        </w:rPr>
        <w:t>Construction</w:t>
      </w:r>
      <w:bookmarkEnd w:id="2"/>
      <w:proofErr w:type="spellEnd"/>
      <w:r w:rsidRPr="00587FBB">
        <w:rPr>
          <w:rFonts w:ascii="Verdana" w:eastAsia="Calibri" w:hAnsi="Verdana" w:cs="Arial"/>
          <w:color w:val="000000"/>
          <w:lang w:eastAsia="es-ES"/>
        </w:rPr>
        <w:t xml:space="preserve"> –EPC–</w:t>
      </w:r>
      <w:r w:rsidRPr="00587FBB">
        <w:rPr>
          <w:rFonts w:ascii="Verdana" w:eastAsia="Calibri" w:hAnsi="Verdana" w:cs="Arial"/>
          <w:color w:val="000000"/>
          <w:vertAlign w:val="superscript"/>
          <w:lang w:eastAsia="es-ES"/>
        </w:rPr>
        <w:footnoteReference w:id="8"/>
      </w:r>
      <w:r w:rsidRPr="00587FBB">
        <w:rPr>
          <w:rFonts w:ascii="Verdana" w:eastAsia="Calibri" w:hAnsi="Verdana" w:cs="Arial"/>
          <w:color w:val="000000"/>
          <w:lang w:eastAsia="es-ES"/>
        </w:rPr>
        <w:t xml:space="preserve">. Estos contratos </w:t>
      </w:r>
      <w:r w:rsidRPr="00587FBB">
        <w:rPr>
          <w:rFonts w:ascii="Verdana" w:eastAsia="Verdana" w:hAnsi="Verdana" w:cs="Verdana"/>
        </w:rPr>
        <w:t>“[...] están concebidos para su utilización en grandes proyectos, en los cuales la certidumbre sobre el precio final y sobre el plazo de terminación de la obra es esencial, en la medida en que suelen ser elementos clave para la obtención de financiación de los proyectos”</w:t>
      </w:r>
      <w:r w:rsidRPr="00587FBB">
        <w:rPr>
          <w:rStyle w:val="Refdenotaalpie"/>
          <w:rFonts w:ascii="Verdana" w:eastAsia="Verdana" w:hAnsi="Verdana" w:cs="Verdana"/>
        </w:rPr>
        <w:footnoteReference w:id="9"/>
      </w:r>
      <w:r w:rsidRPr="00587FBB">
        <w:rPr>
          <w:rFonts w:ascii="Verdana" w:eastAsia="Verdana" w:hAnsi="Verdana" w:cs="Verdana"/>
        </w:rPr>
        <w:t xml:space="preserve">. </w:t>
      </w:r>
      <w:r w:rsidRPr="00587FBB">
        <w:rPr>
          <w:rFonts w:ascii="Verdana" w:eastAsia="Calibri" w:hAnsi="Verdana" w:cs="Arial"/>
          <w:color w:val="000000"/>
          <w:lang w:eastAsia="es-ES"/>
        </w:rPr>
        <w:t>En efecto, según la “Guía para Procesos de Contratación de Obra Pública” expedida por la Agencia, esta es una modalidad en la cual “</w:t>
      </w:r>
      <w:bookmarkStart w:id="3" w:name="_Hlk69292474"/>
      <w:r w:rsidRPr="00587FBB">
        <w:rPr>
          <w:rFonts w:ascii="Verdana" w:eastAsia="Calibri" w:hAnsi="Verdana" w:cs="Arial"/>
          <w:color w:val="000000"/>
          <w:lang w:eastAsia="es-ES"/>
        </w:rPr>
        <w:t xml:space="preserve">el contratista </w:t>
      </w:r>
      <w:r w:rsidRPr="00587FBB">
        <w:rPr>
          <w:rFonts w:ascii="Verdana" w:eastAsia="Calibri" w:hAnsi="Verdana" w:cs="Arial"/>
          <w:color w:val="000000"/>
          <w:lang w:eastAsia="es-ES"/>
        </w:rPr>
        <w:lastRenderedPageBreak/>
        <w:t>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bookmarkEnd w:id="3"/>
      <w:r w:rsidRPr="00587FBB">
        <w:rPr>
          <w:rFonts w:ascii="Verdana" w:eastAsia="Calibri" w:hAnsi="Verdana" w:cs="Arial"/>
          <w:color w:val="000000"/>
          <w:lang w:eastAsia="es-ES"/>
        </w:rPr>
        <w:t>”</w:t>
      </w:r>
      <w:r w:rsidRPr="00587FBB">
        <w:rPr>
          <w:rFonts w:ascii="Verdana" w:eastAsia="Calibri" w:hAnsi="Verdana" w:cs="Arial"/>
          <w:color w:val="000000"/>
          <w:vertAlign w:val="superscript"/>
          <w:lang w:eastAsia="es-ES"/>
        </w:rPr>
        <w:footnoteReference w:id="10"/>
      </w:r>
      <w:r w:rsidRPr="00587FBB">
        <w:rPr>
          <w:rFonts w:ascii="Verdana" w:eastAsia="Calibri" w:hAnsi="Verdana" w:cs="Arial"/>
          <w:color w:val="000000"/>
          <w:lang w:eastAsia="es-ES"/>
        </w:rPr>
        <w:t>. 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 entrega”</w:t>
      </w:r>
      <w:r w:rsidRPr="00587FBB">
        <w:rPr>
          <w:rFonts w:ascii="Verdana" w:eastAsia="Calibri" w:hAnsi="Verdana" w:cs="Arial"/>
          <w:color w:val="000000"/>
          <w:vertAlign w:val="superscript"/>
          <w:lang w:eastAsia="es-ES"/>
        </w:rPr>
        <w:footnoteReference w:id="11"/>
      </w:r>
      <w:r w:rsidRPr="00587FBB">
        <w:rPr>
          <w:rFonts w:ascii="Verdana" w:eastAsia="Calibri" w:hAnsi="Verdana" w:cs="Arial"/>
          <w:color w:val="000000"/>
          <w:lang w:eastAsia="es-ES"/>
        </w:rPr>
        <w:t>.</w:t>
      </w:r>
    </w:p>
    <w:p w14:paraId="236724ED" w14:textId="77777777" w:rsidR="00EC4560" w:rsidRPr="00587FBB" w:rsidRDefault="00EC4560" w:rsidP="00EC4560">
      <w:pPr>
        <w:widowControl w:val="0"/>
        <w:autoSpaceDE w:val="0"/>
        <w:autoSpaceDN w:val="0"/>
        <w:spacing w:before="121" w:after="0" w:line="276" w:lineRule="auto"/>
        <w:ind w:firstLine="707"/>
        <w:jc w:val="both"/>
        <w:rPr>
          <w:rFonts w:ascii="Verdana" w:eastAsia="Verdana" w:hAnsi="Verdana" w:cs="Verdana"/>
        </w:rPr>
      </w:pPr>
      <w:r w:rsidRPr="00587FBB">
        <w:rPr>
          <w:rFonts w:ascii="Verdana" w:eastAsia="Verdana" w:hAnsi="Verdana" w:cs="Verdana"/>
          <w:lang w:val="es-ES"/>
        </w:rPr>
        <w:t>Por lo tanto, el contrato de obra bajo la modalidad de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técnicas aplicables, para operar en condiciones de eficiencia y seguridad […]”</w:t>
      </w:r>
      <w:r w:rsidRPr="00587FBB">
        <w:rPr>
          <w:rFonts w:ascii="Verdana" w:eastAsia="Verdana" w:hAnsi="Verdana" w:cs="Verdana"/>
          <w:vertAlign w:val="superscript"/>
          <w:lang w:val="es-ES"/>
        </w:rPr>
        <w:footnoteReference w:id="12"/>
      </w:r>
      <w:r w:rsidRPr="00587FBB">
        <w:rPr>
          <w:rFonts w:ascii="Verdana" w:eastAsia="Verdana" w:hAnsi="Verdana" w:cs="Verdana"/>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587FBB">
        <w:rPr>
          <w:rFonts w:ascii="Verdana" w:eastAsia="Verdana" w:hAnsi="Verdana" w:cs="Verdana"/>
          <w:vertAlign w:val="superscript"/>
          <w:lang w:val="es-ES"/>
        </w:rPr>
        <w:footnoteReference w:id="13"/>
      </w:r>
      <w:r w:rsidRPr="00587FBB">
        <w:rPr>
          <w:rFonts w:ascii="Verdana" w:eastAsia="Verdana" w:hAnsi="Verdana" w:cs="Verdana"/>
          <w:lang w:val="es-ES"/>
        </w:rPr>
        <w:t>. De igual modo, la doctrina expresa: “</w:t>
      </w:r>
      <w:r w:rsidRPr="00587FBB">
        <w:rPr>
          <w:rFonts w:ascii="Verdana" w:hAnsi="Verdana" w:cs="Palatino-Roman"/>
        </w:rPr>
        <w:t>En esta modalidad de contrato el contratista está normalmente obligado a realizar todos los trabajos necesarios para que el comprador reciba una instalación que está lista para ser puesta en operación. Se dice que el contrato es de diseño, construcción y llave en mano cuando el constructor asume también la responsabilidad por el diseño de la infraestructura”</w:t>
      </w:r>
      <w:r w:rsidRPr="00587FBB">
        <w:rPr>
          <w:rFonts w:ascii="Verdana" w:hAnsi="Verdana" w:cs="Palatino-Roman"/>
          <w:vertAlign w:val="superscript"/>
        </w:rPr>
        <w:footnoteReference w:id="14"/>
      </w:r>
      <w:r w:rsidRPr="00587FBB">
        <w:rPr>
          <w:rFonts w:ascii="Verdana" w:hAnsi="Verdana" w:cs="Palatino-Roman"/>
        </w:rPr>
        <w:t>.</w:t>
      </w:r>
    </w:p>
    <w:p w14:paraId="47007096" w14:textId="77777777" w:rsidR="00EC4560" w:rsidRPr="00587FBB" w:rsidRDefault="00EC4560" w:rsidP="00EC4560">
      <w:pPr>
        <w:widowControl w:val="0"/>
        <w:autoSpaceDE w:val="0"/>
        <w:autoSpaceDN w:val="0"/>
        <w:spacing w:before="121" w:after="0" w:line="276" w:lineRule="auto"/>
        <w:ind w:firstLine="707"/>
        <w:jc w:val="both"/>
        <w:rPr>
          <w:rFonts w:ascii="Verdana" w:eastAsia="Verdana" w:hAnsi="Verdana" w:cs="Verdana"/>
        </w:rPr>
      </w:pPr>
      <w:r w:rsidRPr="00587FBB">
        <w:rPr>
          <w:rFonts w:ascii="Verdana" w:eastAsia="Verdana" w:hAnsi="Verdana" w:cs="Verdana"/>
        </w:rPr>
        <w:t xml:space="preserve">Para la Sección Cuarta del Consejo de Estado, “En virtud del contrato llave en mano, el contratista se compromete a llevar a cabo una obra, incluyendo los </w:t>
      </w:r>
      <w:r w:rsidRPr="00587FBB">
        <w:rPr>
          <w:rFonts w:ascii="Verdana" w:eastAsia="Verdana" w:hAnsi="Verdana" w:cs="Verdana"/>
        </w:rPr>
        <w:lastRenderedPageBreak/>
        <w:t>estudios previos, la ejecución de la construcción, el suministro de equipos y la puesta en operación de la obra al momento de su entrega. En general, aunque el contrato llave en mano no se limita a la elaboración de una obra material, se ha considerado como una modalidad especial del contrato de obra pública o de construcción de un bien inmueble”</w:t>
      </w:r>
      <w:r w:rsidRPr="00587FBB">
        <w:rPr>
          <w:rFonts w:ascii="Verdana" w:eastAsia="Verdana" w:hAnsi="Verdana" w:cs="Verdana"/>
          <w:vertAlign w:val="superscript"/>
        </w:rPr>
        <w:footnoteReference w:id="15"/>
      </w:r>
      <w:r w:rsidRPr="00587FBB">
        <w:rPr>
          <w:rFonts w:ascii="Verdana" w:eastAsia="Verdana" w:hAnsi="Verdana" w:cs="Verdana"/>
        </w:rPr>
        <w:t>. Asimismo, la Sala de Consulta y Servicio Civil de esta Corporación, ha señalado que “dentro de las modalidades que puede adoptar el contrato de obra, se encuentra la de “llave en mano”, negocio jurídico que en términos generales consiste en un acuerdo de voluntades en virtud del cual una parte se compromete frente a otra, a cambio de una remuneración, a diseñar, construir y poner en marcha y lista para su funcionamiento una determinada obra”</w:t>
      </w:r>
      <w:r w:rsidRPr="00587FBB">
        <w:rPr>
          <w:rFonts w:ascii="Verdana" w:eastAsia="Verdana" w:hAnsi="Verdana" w:cs="Verdana"/>
          <w:vertAlign w:val="superscript"/>
          <w:lang w:val="es-ES"/>
        </w:rPr>
        <w:footnoteReference w:id="16"/>
      </w:r>
      <w:r w:rsidRPr="00587FBB">
        <w:rPr>
          <w:rFonts w:ascii="Verdana" w:eastAsia="Verdana" w:hAnsi="Verdana" w:cs="Verdana"/>
        </w:rPr>
        <w:t>. La justicia arbitral también concibe el tema de la misma forma, pues tiene el siguiente entendimiento sobre la expresión “llave en mano” como una modalidad del contrato de obra:</w:t>
      </w:r>
    </w:p>
    <w:p w14:paraId="76EC182F" w14:textId="77777777" w:rsidR="00EC4560" w:rsidRPr="00587FBB" w:rsidRDefault="00EC4560" w:rsidP="00EC4560">
      <w:pPr>
        <w:widowControl w:val="0"/>
        <w:autoSpaceDE w:val="0"/>
        <w:autoSpaceDN w:val="0"/>
        <w:spacing w:after="0" w:line="276" w:lineRule="auto"/>
        <w:ind w:firstLine="707"/>
        <w:jc w:val="both"/>
        <w:rPr>
          <w:rFonts w:ascii="Verdana" w:eastAsia="Verdana" w:hAnsi="Verdana" w:cs="Verdana"/>
        </w:rPr>
      </w:pPr>
    </w:p>
    <w:p w14:paraId="5A68C047" w14:textId="77777777" w:rsidR="00EC4560" w:rsidRPr="00587FBB" w:rsidRDefault="00EC4560" w:rsidP="00EC4560">
      <w:pPr>
        <w:widowControl w:val="0"/>
        <w:autoSpaceDE w:val="0"/>
        <w:autoSpaceDN w:val="0"/>
        <w:spacing w:after="0" w:line="240" w:lineRule="auto"/>
        <w:ind w:left="709" w:right="709"/>
        <w:jc w:val="both"/>
        <w:rPr>
          <w:rFonts w:ascii="Verdana" w:eastAsia="Verdana" w:hAnsi="Verdana" w:cs="Verdana"/>
          <w:sz w:val="20"/>
          <w:szCs w:val="20"/>
          <w:vertAlign w:val="superscript"/>
        </w:rPr>
      </w:pPr>
      <w:r w:rsidRPr="00587FBB">
        <w:rPr>
          <w:rFonts w:ascii="Verdana" w:eastAsia="Verdana" w:hAnsi="Verdana" w:cs="Verdana"/>
          <w:sz w:val="21"/>
          <w:szCs w:val="21"/>
        </w:rPr>
        <w:t>“Para evitar confusiones hay que aclarar que "llave en mano" es una modalidad de contratación. El ámbito natural de esta modalidad es el contrato de obras, entonces esa será la clase de contrato: de obra, en oposición a otras clases como suministro, servicios, etc. El contrato "</w:t>
      </w:r>
      <w:proofErr w:type="spellStart"/>
      <w:r w:rsidRPr="00587FBB">
        <w:rPr>
          <w:rFonts w:ascii="Verdana" w:eastAsia="Verdana" w:hAnsi="Verdana" w:cs="Verdana"/>
          <w:sz w:val="21"/>
          <w:szCs w:val="21"/>
        </w:rPr>
        <w:t>clé</w:t>
      </w:r>
      <w:proofErr w:type="spellEnd"/>
      <w:r w:rsidRPr="00587FBB">
        <w:rPr>
          <w:rFonts w:ascii="Verdana" w:eastAsia="Verdana" w:hAnsi="Verdana" w:cs="Verdana"/>
          <w:sz w:val="21"/>
          <w:szCs w:val="21"/>
        </w:rPr>
        <w:t xml:space="preserve"> en </w:t>
      </w:r>
      <w:proofErr w:type="spellStart"/>
      <w:r w:rsidRPr="00587FBB">
        <w:rPr>
          <w:rFonts w:ascii="Verdana" w:eastAsia="Verdana" w:hAnsi="Verdana" w:cs="Verdana"/>
          <w:sz w:val="21"/>
          <w:szCs w:val="21"/>
        </w:rPr>
        <w:t>main</w:t>
      </w:r>
      <w:proofErr w:type="spellEnd"/>
      <w:r w:rsidRPr="00587FBB">
        <w:rPr>
          <w:rFonts w:ascii="Verdana" w:eastAsia="Verdana" w:hAnsi="Verdana" w:cs="Verdana"/>
          <w:sz w:val="21"/>
          <w:szCs w:val="21"/>
        </w:rPr>
        <w:t>”, implica especialización del contratista así como la obligación de este de entregar un producto plenamente terminado y en “marcha”. Para ello asume una obligación global de realizar todas las prestaciones necesarias, coadyuvantes o complementarias de la obra a realizar.</w:t>
      </w:r>
      <w:r w:rsidRPr="4A4DC93F">
        <w:rPr>
          <w:rFonts w:ascii="Verdana" w:eastAsia="Calibri" w:hAnsi="Verdana"/>
          <w:b/>
          <w:i/>
          <w:sz w:val="21"/>
          <w:szCs w:val="21"/>
          <w:lang w:val="es-ES"/>
        </w:rPr>
        <w:t xml:space="preserve"> </w:t>
      </w:r>
      <w:r w:rsidRPr="4A4DC93F">
        <w:rPr>
          <w:rFonts w:ascii="Verdana" w:eastAsia="Verdana" w:hAnsi="Verdana" w:cs="Verdana"/>
          <w:sz w:val="21"/>
          <w:szCs w:val="21"/>
          <w:lang w:val="es-ES"/>
        </w:rPr>
        <w:t xml:space="preserve">Lo anterior, en la mayoría de los casos puede tener como efecto que las ofertas tiendan a ser sumamente complejas por lo que se tiende a formas directas de elección del contratista, esto es, en la búsqueda del contratista especializado que permita poner en funcionamiento el servicio. En virtud de lo anterior se clasifican los contratos llave en mano como: Contratos "llave en mano" mixtos. Cuando una parte del proyecto es tradicional (obra tradicional) y la otra es llave en mano, en cuanto se pone en funcionamiento pleno el servicio. Contratos "llave en mano" parciales. Cuando se contrata de forma tradicional todo el proyecto (obra), pero se subcontrata su puesta plena en funcionamiento. Contratos semi "llave en mano". Cuando el contratante celebra varios contratos siendo uno de ellos llave en mano y encarga a este último contratista la coordinación de los demás contratos. Con base en la diferencia de contenidos en la práctica: Contratos "llave en mano" simples o parciales. Cuando el </w:t>
      </w:r>
      <w:r w:rsidRPr="4A4DC93F">
        <w:rPr>
          <w:rFonts w:ascii="Verdana" w:eastAsia="Verdana" w:hAnsi="Verdana" w:cs="Verdana"/>
          <w:sz w:val="21"/>
          <w:szCs w:val="21"/>
          <w:lang w:val="es-ES"/>
        </w:rPr>
        <w:lastRenderedPageBreak/>
        <w:t>contratista concibe la obra, suministra bienes de equipo y materiales y pone en funcionamiento la obra de conformidad a lo estipulado en el contrato mientras que el contratante realiza la instalación bajo la supervisión y asistencia del primero. Contratos "llave en mano" completos o clásicos. Cuando el contratista concibe, construye y pone en funcionamiento del proyecto. Contratos "llave en mano" de funcionamiento amplio. Cuando junto a las prestaciones clásicas del contrato (</w:t>
      </w:r>
      <w:proofErr w:type="spellStart"/>
      <w:r w:rsidRPr="4A4DC93F">
        <w:rPr>
          <w:rFonts w:ascii="Verdana" w:eastAsia="Verdana" w:hAnsi="Verdana" w:cs="Verdana"/>
          <w:sz w:val="21"/>
          <w:szCs w:val="21"/>
          <w:lang w:val="es-ES"/>
        </w:rPr>
        <w:t>vgr</w:t>
      </w:r>
      <w:proofErr w:type="spellEnd"/>
      <w:r w:rsidRPr="4A4DC93F">
        <w:rPr>
          <w:rFonts w:ascii="Verdana" w:eastAsia="Verdana" w:hAnsi="Verdana" w:cs="Verdana"/>
          <w:sz w:val="21"/>
          <w:szCs w:val="21"/>
          <w:lang w:val="es-ES"/>
        </w:rPr>
        <w:t>. Ejecución de obra) el contratista asume otras obligaciones complementarias relativas a la formación del personal local (capacitación y seguimiento) o asistencia técnica para el funcionamiento</w:t>
      </w:r>
      <w:r w:rsidRPr="00587FBB">
        <w:rPr>
          <w:rFonts w:ascii="Verdana" w:eastAsia="Verdana" w:hAnsi="Verdana" w:cs="Verdana"/>
          <w:sz w:val="21"/>
          <w:szCs w:val="21"/>
        </w:rPr>
        <w:t>”</w:t>
      </w:r>
      <w:r w:rsidRPr="00587FBB">
        <w:rPr>
          <w:rFonts w:ascii="Verdana" w:eastAsia="Verdana" w:hAnsi="Verdana" w:cs="Verdana"/>
          <w:sz w:val="20"/>
          <w:szCs w:val="20"/>
          <w:vertAlign w:val="superscript"/>
        </w:rPr>
        <w:footnoteReference w:id="17"/>
      </w:r>
      <w:r w:rsidRPr="00587FBB">
        <w:rPr>
          <w:rFonts w:ascii="Verdana" w:eastAsia="Verdana" w:hAnsi="Verdana" w:cs="Verdana"/>
          <w:sz w:val="20"/>
          <w:szCs w:val="20"/>
          <w:vertAlign w:val="superscript"/>
        </w:rPr>
        <w:t xml:space="preserve">. </w:t>
      </w:r>
    </w:p>
    <w:p w14:paraId="7FA551B6" w14:textId="77777777" w:rsidR="00EC4560" w:rsidRPr="00587FBB" w:rsidRDefault="00EC4560" w:rsidP="00EC4560">
      <w:pPr>
        <w:widowControl w:val="0"/>
        <w:autoSpaceDE w:val="0"/>
        <w:autoSpaceDN w:val="0"/>
        <w:spacing w:after="0" w:line="240" w:lineRule="auto"/>
        <w:ind w:left="709" w:right="709"/>
        <w:jc w:val="both"/>
        <w:rPr>
          <w:rFonts w:ascii="Verdana" w:eastAsia="Verdana" w:hAnsi="Verdana" w:cs="Verdana"/>
          <w:sz w:val="20"/>
          <w:szCs w:val="20"/>
          <w:vertAlign w:val="superscript"/>
        </w:rPr>
      </w:pPr>
    </w:p>
    <w:p w14:paraId="043C9EDE" w14:textId="77777777" w:rsidR="00EC4560" w:rsidRPr="00587FBB" w:rsidRDefault="00EC4560" w:rsidP="00EC4560">
      <w:pPr>
        <w:widowControl w:val="0"/>
        <w:autoSpaceDE w:val="0"/>
        <w:autoSpaceDN w:val="0"/>
        <w:spacing w:before="121" w:after="120" w:line="276" w:lineRule="auto"/>
        <w:ind w:firstLine="707"/>
        <w:jc w:val="both"/>
        <w:rPr>
          <w:rFonts w:ascii="Verdana" w:eastAsia="Verdana" w:hAnsi="Verdana" w:cs="Verdana"/>
        </w:rPr>
      </w:pPr>
      <w:r w:rsidRPr="00587FBB">
        <w:rPr>
          <w:rFonts w:ascii="Verdana" w:eastAsia="Verdana" w:hAnsi="Verdana" w:cs="Verdana"/>
        </w:rPr>
        <w:t>A partir de lo expuesto, aunque el contrato llave en mano no se limita a la elaboración de una obra material, se ha considerado por parte de la jurisprudencia y de la doctrina como una modalidad especial del contrato de obra pública o de construcción de un bien inmueble</w:t>
      </w:r>
      <w:r w:rsidRPr="00587FBB">
        <w:rPr>
          <w:rFonts w:ascii="Verdana" w:eastAsia="Verdana" w:hAnsi="Verdana" w:cs="Verdana"/>
          <w:vertAlign w:val="superscript"/>
        </w:rPr>
        <w:footnoteReference w:id="18"/>
      </w:r>
      <w:r w:rsidRPr="00587FBB">
        <w:rPr>
          <w:rFonts w:ascii="Verdana" w:eastAsia="Verdana" w:hAnsi="Verdana" w:cs="Verdana"/>
        </w:rPr>
        <w:t>. Igualmente, en la doctrina se concibe como una modalidad de pago del contrato de obra en la que el contratista se compromete a realizar la totalidad de los anteproyectos, proyectos, estudios y diseños de obra requeridos y la ejecución material de las obras, instalaciones y suministros</w:t>
      </w:r>
      <w:r w:rsidRPr="00587FBB">
        <w:rPr>
          <w:rFonts w:ascii="Verdana" w:eastAsia="Verdana" w:hAnsi="Verdana" w:cs="Verdana"/>
          <w:vertAlign w:val="superscript"/>
        </w:rPr>
        <w:footnoteReference w:id="19"/>
      </w:r>
      <w:r w:rsidRPr="00587FBB">
        <w:rPr>
          <w:rFonts w:ascii="Verdana" w:eastAsia="Verdana" w:hAnsi="Verdana" w:cs="Verdana"/>
        </w:rPr>
        <w:t>.</w:t>
      </w:r>
    </w:p>
    <w:p w14:paraId="24A765C5" w14:textId="77777777" w:rsidR="00EC4560" w:rsidRPr="00587FBB" w:rsidRDefault="00EC4560" w:rsidP="00EC4560">
      <w:pPr>
        <w:spacing w:after="120" w:line="276" w:lineRule="auto"/>
        <w:ind w:firstLine="707"/>
        <w:jc w:val="both"/>
        <w:rPr>
          <w:rFonts w:ascii="Verdana" w:eastAsia="Calibri" w:hAnsi="Verdana" w:cs="Calibri"/>
        </w:rPr>
      </w:pPr>
      <w:r w:rsidRPr="00587FBB">
        <w:rPr>
          <w:rFonts w:ascii="Verdana" w:eastAsia="Verdana" w:hAnsi="Verdana" w:cs="Verdana"/>
        </w:rPr>
        <w:t>Como se ha expresado, dicha modalidad se caracteriza porque se incluye los estudios, diseños, ejecución de la obra –en los eventos que aplique- en un solo contrato. En todo caso, dicho contrato implica que el presupuesto corresponde a un valor previamente establecido que aplica como remuneración por todas las gestiones que adelanta el contratista. De tal modo, en dicha modalidad se requiere que el contratista: a) cumpla las obligaciones que hacen parte de cada una de las fases de ejecución del contrato, asumiendo los riesgos asociados a cada una de ellas; b) se haga cargo de verificar todas las interferencias que puedan presentarse entre las diferentes disciplinas a luz de las cuales se elaboran los estudios y diseños para la ejecución del proyecto; c) constituya garantías que amparen todas fases del contrato.  Por otro lado, es necesario que la entidad contratante: a) revise</w:t>
      </w:r>
      <w:r w:rsidRPr="00587FBB">
        <w:rPr>
          <w:rFonts w:ascii="Verdana" w:eastAsia="Verdana" w:hAnsi="Verdana" w:cs="Verdana"/>
          <w:lang w:val="es-ES"/>
        </w:rPr>
        <w:t xml:space="preserve"> la estructuración, con el fin de </w:t>
      </w:r>
      <w:r w:rsidRPr="00587FBB">
        <w:rPr>
          <w:rFonts w:ascii="Verdana" w:eastAsia="Verdana" w:hAnsi="Verdana" w:cs="Verdana"/>
          <w:lang w:val="es-ES"/>
        </w:rPr>
        <w:lastRenderedPageBreak/>
        <w:t xml:space="preserve">que la ejecución de este tipo de contratos traiga consigo ventajas como la reducción de tiempos y la optimización de costos; b) revise </w:t>
      </w:r>
      <w:r w:rsidRPr="00587FBB">
        <w:rPr>
          <w:rFonts w:ascii="Verdana" w:eastAsia="Verdana" w:hAnsi="Verdana" w:cs="Verdana"/>
        </w:rPr>
        <w:t>el término de ejecución de la obra, y determinar la forma de pago más adecuada, conforme al proyecto a desarrollar.</w:t>
      </w:r>
    </w:p>
    <w:p w14:paraId="44F7F61B" w14:textId="77777777" w:rsidR="00EC4560" w:rsidRPr="0062549D" w:rsidRDefault="00EC4560" w:rsidP="00EC4560">
      <w:pPr>
        <w:spacing w:after="120" w:line="276" w:lineRule="auto"/>
        <w:jc w:val="both"/>
        <w:rPr>
          <w:rFonts w:ascii="Verdana" w:eastAsia="Calibri" w:hAnsi="Verdana" w:cs="Arial"/>
          <w:lang w:val="es-ES"/>
        </w:rPr>
      </w:pPr>
      <w:r>
        <w:rPr>
          <w:rFonts w:ascii="Verdana" w:eastAsia="Calibri" w:hAnsi="Verdana" w:cs="Calibri"/>
        </w:rPr>
        <w:t xml:space="preserve">v) </w:t>
      </w:r>
      <w:r w:rsidRPr="0062549D">
        <w:rPr>
          <w:rFonts w:ascii="Verdana" w:eastAsia="Calibri" w:hAnsi="Verdana" w:cs="Arial"/>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w:t>
      </w:r>
      <w:r w:rsidRPr="006C25F3">
        <w:rPr>
          <w:rFonts w:ascii="Verdana" w:eastAsia="Calibri" w:hAnsi="Verdana" w:cs="Arial"/>
          <w:lang w:val="es-ES"/>
        </w:rPr>
        <w:t xml:space="preserve">“En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77A944D8" w14:textId="77777777" w:rsidR="00EC4560" w:rsidRPr="00E26B6A" w:rsidRDefault="00EC4560" w:rsidP="00EC4560">
      <w:pPr>
        <w:spacing w:before="120" w:after="120" w:line="276" w:lineRule="auto"/>
        <w:ind w:firstLine="709"/>
        <w:jc w:val="both"/>
        <w:rPr>
          <w:rFonts w:ascii="Verdana" w:eastAsia="Calibri" w:hAnsi="Verdana" w:cs="Arial"/>
          <w:sz w:val="21"/>
          <w:szCs w:val="21"/>
          <w:lang w:val="es-ES"/>
        </w:rPr>
      </w:pPr>
      <w:r w:rsidRPr="00E26B6A">
        <w:rPr>
          <w:rFonts w:ascii="Verdana" w:eastAsia="Calibri" w:hAnsi="Verdana" w:cs="Arial"/>
          <w:lang w:val="es-ES"/>
        </w:rPr>
        <w:t xml:space="preserve">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w:t>
      </w:r>
      <w:r>
        <w:rPr>
          <w:rFonts w:ascii="Verdana" w:eastAsia="Calibri" w:hAnsi="Verdana" w:cs="Arial"/>
          <w:lang w:val="es-ES"/>
        </w:rPr>
        <w:t xml:space="preserve">-como serían los contratos llave en mano- </w:t>
      </w:r>
      <w:r w:rsidRPr="00E26B6A">
        <w:rPr>
          <w:rFonts w:ascii="Verdana" w:eastAsia="Calibri" w:hAnsi="Verdana" w:cs="Arial"/>
          <w:lang w:val="es-ES"/>
        </w:rPr>
        <w:t>o la modalidad de selección del contratista. Ahora bien, para distinguir o diferenciar el pago anticipado y anticipo, se acude a lo expresado en la Subsección C de la Sección Tercera del Consejo de Estado, que expresó:</w:t>
      </w:r>
    </w:p>
    <w:p w14:paraId="33C306E9" w14:textId="77777777" w:rsidR="00EC4560" w:rsidRPr="00E26B6A" w:rsidRDefault="00EC4560" w:rsidP="00EC4560">
      <w:pPr>
        <w:spacing w:after="0" w:line="240" w:lineRule="auto"/>
        <w:ind w:firstLine="709"/>
        <w:jc w:val="both"/>
        <w:rPr>
          <w:rFonts w:ascii="Verdana" w:eastAsia="Calibri" w:hAnsi="Verdana" w:cs="Arial"/>
          <w:lang w:val="es-ES"/>
        </w:rPr>
      </w:pPr>
    </w:p>
    <w:p w14:paraId="5BECD676" w14:textId="77777777" w:rsidR="00EC4560" w:rsidRPr="00E26B6A" w:rsidRDefault="00EC4560" w:rsidP="00EC4560">
      <w:pPr>
        <w:spacing w:after="0" w:line="240" w:lineRule="auto"/>
        <w:ind w:left="709" w:right="709"/>
        <w:jc w:val="both"/>
        <w:rPr>
          <w:rFonts w:ascii="Verdana" w:eastAsia="Calibri" w:hAnsi="Verdana" w:cs="Arial"/>
          <w:sz w:val="21"/>
          <w:szCs w:val="21"/>
          <w:lang w:val="es-ES"/>
        </w:rPr>
      </w:pPr>
      <w:r w:rsidRPr="00E26B6A">
        <w:rPr>
          <w:rFonts w:ascii="Verdana" w:eastAsia="Calibri" w:hAnsi="Verdana" w:cs="Arial"/>
          <w:sz w:val="21"/>
          <w:szCs w:val="21"/>
          <w:lang w:val="es-ES"/>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26B6A">
        <w:rPr>
          <w:rFonts w:ascii="Verdana" w:eastAsia="Calibri" w:hAnsi="Verdana" w:cs="Arial"/>
          <w:sz w:val="21"/>
          <w:szCs w:val="21"/>
          <w:vertAlign w:val="superscript"/>
          <w:lang w:val="es-ES"/>
        </w:rPr>
        <w:footnoteReference w:id="20"/>
      </w:r>
      <w:r w:rsidRPr="00E26B6A">
        <w:rPr>
          <w:rFonts w:ascii="Verdana" w:eastAsia="Calibri" w:hAnsi="Verdana" w:cs="Arial"/>
          <w:sz w:val="21"/>
          <w:szCs w:val="21"/>
          <w:lang w:val="es-ES"/>
        </w:rPr>
        <w:t>.</w:t>
      </w:r>
    </w:p>
    <w:p w14:paraId="27EC4117" w14:textId="77777777" w:rsidR="00EC4560" w:rsidRPr="00E26B6A" w:rsidRDefault="00EC4560" w:rsidP="00EC4560">
      <w:pPr>
        <w:spacing w:after="0" w:line="276" w:lineRule="auto"/>
        <w:ind w:firstLine="709"/>
        <w:jc w:val="both"/>
        <w:rPr>
          <w:rFonts w:ascii="Verdana" w:eastAsia="Calibri" w:hAnsi="Verdana" w:cs="Arial"/>
          <w:lang w:val="es-ES"/>
        </w:rPr>
      </w:pPr>
    </w:p>
    <w:p w14:paraId="2D89C920" w14:textId="77777777" w:rsidR="00EC4560" w:rsidRPr="00E26B6A" w:rsidRDefault="00EC4560" w:rsidP="00EC4560">
      <w:pPr>
        <w:tabs>
          <w:tab w:val="left" w:pos="0"/>
        </w:tabs>
        <w:spacing w:after="120" w:line="276" w:lineRule="auto"/>
        <w:jc w:val="both"/>
        <w:rPr>
          <w:rFonts w:ascii="Verdana" w:hAnsi="Verdana" w:cs="Arial"/>
        </w:rPr>
      </w:pPr>
      <w:r w:rsidRPr="00E26B6A">
        <w:rPr>
          <w:rFonts w:ascii="Verdana" w:eastAsia="Calibri" w:hAnsi="Verdana" w:cs="Arial"/>
          <w:lang w:val="es-ES"/>
        </w:rPr>
        <w:lastRenderedPageBreak/>
        <w:tab/>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E26B6A">
        <w:rPr>
          <w:rFonts w:ascii="Verdana" w:eastAsia="Calibri" w:hAnsi="Verdana" w:cs="Arial"/>
          <w:lang w:val="es-ES"/>
        </w:rPr>
        <w:t>ii</w:t>
      </w:r>
      <w:proofErr w:type="spellEnd"/>
      <w:r w:rsidRPr="00E26B6A">
        <w:rPr>
          <w:rFonts w:ascii="Verdana" w:eastAsia="Calibri" w:hAnsi="Verdana" w:cs="Arial"/>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26B6A">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26B6A">
        <w:rPr>
          <w:rFonts w:ascii="Verdana" w:hAnsi="Verdana" w:cs="Arial"/>
          <w:vertAlign w:val="superscript"/>
          <w:lang w:bidi="es-ES"/>
        </w:rPr>
        <w:footnoteReference w:id="21"/>
      </w:r>
      <w:r w:rsidRPr="00E26B6A">
        <w:rPr>
          <w:rFonts w:ascii="Verdana" w:hAnsi="Verdana" w:cs="Arial"/>
          <w:lang w:bidi="es-ES"/>
        </w:rPr>
        <w:t>.</w:t>
      </w:r>
    </w:p>
    <w:p w14:paraId="19F5AC31" w14:textId="77777777" w:rsidR="00EC4560" w:rsidRPr="00E26B6A" w:rsidRDefault="00EC4560" w:rsidP="00EC4560">
      <w:pPr>
        <w:tabs>
          <w:tab w:val="left" w:pos="0"/>
        </w:tabs>
        <w:spacing w:after="120" w:line="276" w:lineRule="auto"/>
        <w:jc w:val="both"/>
        <w:rPr>
          <w:rFonts w:ascii="Verdana" w:hAnsi="Verdana" w:cs="Arial"/>
        </w:rPr>
      </w:pPr>
      <w:r>
        <w:rPr>
          <w:rFonts w:ascii="Verdana" w:hAnsi="Verdana" w:cs="Arial"/>
          <w:lang w:eastAsia="en-GB"/>
        </w:rPr>
        <w:tab/>
      </w:r>
      <w:r>
        <w:rPr>
          <w:rFonts w:ascii="Verdana" w:hAnsi="Verdana" w:cs="Arial"/>
        </w:rPr>
        <w:t>D</w:t>
      </w:r>
      <w:r w:rsidRPr="00E26B6A">
        <w:rPr>
          <w:rFonts w:ascii="Verdana" w:hAnsi="Verdana" w:cs="Arial"/>
        </w:rPr>
        <w:t>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26B6A">
        <w:rPr>
          <w:rFonts w:ascii="Verdana" w:hAnsi="Verdana" w:cs="Times New Roman"/>
          <w:lang w:eastAsia="es-CO"/>
        </w:rPr>
        <w:t xml:space="preserve"> </w:t>
      </w:r>
    </w:p>
    <w:p w14:paraId="00DB85EF" w14:textId="77777777" w:rsidR="00EC4560" w:rsidRPr="00E26B6A" w:rsidRDefault="00EC4560" w:rsidP="00EC4560">
      <w:pPr>
        <w:spacing w:after="120" w:line="276" w:lineRule="auto"/>
        <w:ind w:firstLine="708"/>
        <w:jc w:val="both"/>
        <w:rPr>
          <w:rFonts w:ascii="Verdana" w:hAnsi="Verdana" w:cs="Arial"/>
        </w:rPr>
      </w:pPr>
      <w:r w:rsidRPr="00E26B6A">
        <w:rPr>
          <w:rFonts w:ascii="Verdana" w:eastAsia="Calibri" w:hAnsi="Verdana" w:cs="Arial"/>
        </w:rPr>
        <w:t>Por otro lado, la institución jurídica del pago anticipado se concibe como la retribución parcial que el contratista recibe en los contratos estatales. Al respecto, la doctrina expresa:</w:t>
      </w:r>
      <w:r w:rsidRPr="00E26B6A">
        <w:rPr>
          <w:rFonts w:ascii="Verdana" w:hAnsi="Verdana" w:cs="ArialMT"/>
        </w:rPr>
        <w:t xml:space="preserve"> </w:t>
      </w:r>
      <w:r w:rsidRPr="00E26B6A">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26B6A">
        <w:rPr>
          <w:rFonts w:ascii="Verdana" w:eastAsia="Calibri" w:hAnsi="Verdana" w:cs="Arial"/>
          <w:vertAlign w:val="superscript"/>
        </w:rPr>
        <w:footnoteReference w:id="22"/>
      </w:r>
      <w:r w:rsidRPr="00E26B6A">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00ADC2CC" w14:textId="77777777" w:rsidR="00EC4560" w:rsidRPr="00E26B6A" w:rsidRDefault="00EC4560" w:rsidP="00EC4560">
      <w:pPr>
        <w:tabs>
          <w:tab w:val="left" w:pos="0"/>
        </w:tabs>
        <w:spacing w:after="120" w:line="276" w:lineRule="auto"/>
        <w:jc w:val="both"/>
        <w:rPr>
          <w:rFonts w:ascii="Verdana" w:hAnsi="Verdana" w:cs="Arial"/>
        </w:rPr>
      </w:pPr>
      <w:r w:rsidRPr="00E26B6A">
        <w:rPr>
          <w:rFonts w:ascii="Verdana" w:hAnsi="Verdana" w:cs="Arial"/>
        </w:rPr>
        <w:lastRenderedPageBreak/>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2516BC97" w14:textId="77777777" w:rsidR="00EC4560" w:rsidRDefault="00EC4560" w:rsidP="00EC4560">
      <w:pPr>
        <w:spacing w:after="120" w:line="276" w:lineRule="auto"/>
        <w:ind w:firstLine="708"/>
        <w:jc w:val="both"/>
        <w:rPr>
          <w:rFonts w:ascii="Verdana" w:eastAsia="Calibri" w:hAnsi="Verdana" w:cs="Calibri"/>
        </w:rPr>
      </w:pPr>
      <w:r w:rsidRPr="001D1DF1">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1D1DF1">
        <w:rPr>
          <w:rFonts w:ascii="Verdana" w:eastAsia="Aptos" w:hAnsi="Verdana" w:cs="Arial"/>
          <w:color w:val="000000"/>
        </w:rPr>
        <w:t>.</w:t>
      </w:r>
    </w:p>
    <w:p w14:paraId="744DBFD5" w14:textId="77777777" w:rsidR="00EC4560" w:rsidRPr="001D1DF1" w:rsidRDefault="00EC4560" w:rsidP="00EC4560">
      <w:pPr>
        <w:spacing w:after="0" w:line="276" w:lineRule="auto"/>
        <w:ind w:firstLine="708"/>
        <w:jc w:val="both"/>
        <w:rPr>
          <w:rFonts w:ascii="Verdana" w:eastAsia="Calibri" w:hAnsi="Verdana" w:cs="Calibri"/>
        </w:rPr>
      </w:pPr>
      <w:r w:rsidRPr="001D1DF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C5512A" w14:textId="77777777" w:rsidR="00EC4560" w:rsidRPr="001D1DF1" w:rsidRDefault="00EC4560" w:rsidP="00EC4560">
      <w:pPr>
        <w:spacing w:after="0"/>
        <w:jc w:val="both"/>
        <w:rPr>
          <w:rFonts w:ascii="Verdana" w:eastAsia="Calibri" w:hAnsi="Verdana" w:cs="Times New Roman"/>
        </w:rPr>
      </w:pPr>
    </w:p>
    <w:p w14:paraId="5DC7A760" w14:textId="07F78F86" w:rsidR="00EC4560" w:rsidRPr="001D1DF1" w:rsidRDefault="00E93A07" w:rsidP="00E93A07">
      <w:pPr>
        <w:tabs>
          <w:tab w:val="left" w:pos="142"/>
          <w:tab w:val="left" w:pos="284"/>
        </w:tabs>
        <w:spacing w:after="0" w:line="276" w:lineRule="auto"/>
        <w:jc w:val="both"/>
        <w:rPr>
          <w:rFonts w:ascii="Verdana" w:eastAsia="Century Gothic" w:hAnsi="Verdana" w:cs="Century Gothic"/>
          <w:b/>
          <w:bCs/>
          <w:lang w:val="es-ES_tradnl"/>
        </w:rPr>
      </w:pPr>
      <w:r>
        <w:rPr>
          <w:rFonts w:ascii="Verdana" w:eastAsia="Century Gothic" w:hAnsi="Verdana" w:cs="Century Gothic"/>
          <w:b/>
          <w:bCs/>
          <w:lang w:val="es-ES_tradnl"/>
        </w:rPr>
        <w:t xml:space="preserve">4. </w:t>
      </w:r>
      <w:r w:rsidR="00EC4560" w:rsidRPr="001D1DF1">
        <w:rPr>
          <w:rFonts w:ascii="Verdana" w:eastAsia="Century Gothic" w:hAnsi="Verdana" w:cs="Century Gothic"/>
          <w:b/>
          <w:bCs/>
          <w:lang w:val="es-ES_tradnl"/>
        </w:rPr>
        <w:t>Referencias normativas, jurisprudenciales y otras fuentes:</w:t>
      </w:r>
    </w:p>
    <w:p w14:paraId="4F6CF606" w14:textId="77777777" w:rsidR="00EC4560" w:rsidRPr="001D1DF1" w:rsidRDefault="00EC4560" w:rsidP="00EC4560">
      <w:pPr>
        <w:spacing w:after="0"/>
        <w:ind w:left="-15840"/>
        <w:jc w:val="both"/>
        <w:rPr>
          <w:rFonts w:ascii="Verdana" w:eastAsia="Calibri" w:hAnsi="Verdana" w:cs="Arial"/>
          <w:b/>
          <w:bCs/>
        </w:rPr>
      </w:pPr>
      <w:r w:rsidRPr="001D1DF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C4560" w:rsidRPr="001D1DF1" w14:paraId="5906C88D" w14:textId="77777777" w:rsidTr="00DA5914">
        <w:trPr>
          <w:trHeight w:val="870"/>
        </w:trPr>
        <w:tc>
          <w:tcPr>
            <w:tcW w:w="8647" w:type="dxa"/>
            <w:tcBorders>
              <w:top w:val="dotted" w:sz="4" w:space="0" w:color="auto"/>
              <w:left w:val="dotted" w:sz="4" w:space="0" w:color="auto"/>
              <w:bottom w:val="dotted" w:sz="4" w:space="0" w:color="auto"/>
              <w:right w:val="dotted" w:sz="4" w:space="0" w:color="auto"/>
            </w:tcBorders>
          </w:tcPr>
          <w:p w14:paraId="22273074" w14:textId="77777777" w:rsidR="00EC4560" w:rsidRPr="001D1DF1" w:rsidRDefault="00EC4560" w:rsidP="00DA5914">
            <w:pPr>
              <w:ind w:left="720"/>
              <w:contextualSpacing/>
              <w:jc w:val="both"/>
              <w:rPr>
                <w:rFonts w:ascii="Verdana" w:eastAsia="Calibri" w:hAnsi="Verdana" w:cs="Arial"/>
                <w:bCs/>
              </w:rPr>
            </w:pPr>
          </w:p>
          <w:p w14:paraId="547A97AC" w14:textId="77777777" w:rsidR="00EC4560" w:rsidRPr="001D1DF1" w:rsidRDefault="00EC4560" w:rsidP="00EC4560">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1D1DF1">
              <w:rPr>
                <w:rFonts w:ascii="Verdana" w:eastAsia="Calibri" w:hAnsi="Verdana" w:cs="Arial"/>
                <w:lang w:val="es-ES_tradnl"/>
              </w:rPr>
              <w:t xml:space="preserve">Ley 2022 de 2020, artículo 1. </w:t>
            </w:r>
          </w:p>
          <w:p w14:paraId="7E1990E6" w14:textId="77777777" w:rsidR="00EC4560" w:rsidRPr="001D1DF1" w:rsidRDefault="00EC4560" w:rsidP="00EC4560">
            <w:pPr>
              <w:widowControl w:val="0"/>
              <w:numPr>
                <w:ilvl w:val="0"/>
                <w:numId w:val="17"/>
              </w:numPr>
              <w:autoSpaceDE w:val="0"/>
              <w:autoSpaceDN w:val="0"/>
              <w:spacing w:line="276" w:lineRule="auto"/>
              <w:jc w:val="both"/>
              <w:rPr>
                <w:rFonts w:ascii="Verdana" w:eastAsia="Calibri" w:hAnsi="Verdana" w:cs="Arial"/>
              </w:rPr>
            </w:pPr>
            <w:r w:rsidRPr="001D1DF1">
              <w:rPr>
                <w:rFonts w:ascii="Verdana" w:eastAsia="Calibri" w:hAnsi="Verdana" w:cs="Arial"/>
              </w:rPr>
              <w:t>Ley 1150 de 2007, artículo 2.</w:t>
            </w:r>
          </w:p>
          <w:p w14:paraId="35D8CB94" w14:textId="77777777" w:rsidR="00EC4560" w:rsidRPr="001D1DF1" w:rsidRDefault="00EC4560" w:rsidP="00EC4560">
            <w:pPr>
              <w:widowControl w:val="0"/>
              <w:numPr>
                <w:ilvl w:val="0"/>
                <w:numId w:val="17"/>
              </w:numPr>
              <w:autoSpaceDE w:val="0"/>
              <w:autoSpaceDN w:val="0"/>
              <w:spacing w:line="276" w:lineRule="auto"/>
              <w:contextualSpacing/>
              <w:jc w:val="both"/>
              <w:rPr>
                <w:rFonts w:ascii="Verdana" w:eastAsia="Calibri" w:hAnsi="Verdana" w:cs="Arial"/>
              </w:rPr>
            </w:pPr>
            <w:r w:rsidRPr="001D1DF1">
              <w:rPr>
                <w:rFonts w:ascii="Verdana" w:eastAsia="Calibri" w:hAnsi="Verdana" w:cs="Arial"/>
                <w:lang w:val="es-ES_tradnl"/>
              </w:rPr>
              <w:t xml:space="preserve">Documentos Tipo. Disponibles en: </w:t>
            </w:r>
            <w:hyperlink r:id="rId11" w:history="1">
              <w:r w:rsidRPr="001D1DF1">
                <w:rPr>
                  <w:rFonts w:ascii="Verdana" w:eastAsia="Calibri" w:hAnsi="Verdana" w:cs="Arial"/>
                  <w:color w:val="0000FF"/>
                  <w:u w:val="single"/>
                  <w:lang w:val="es-ES_tradnl"/>
                </w:rPr>
                <w:t>https://www.colombiacompra.gov.co/documentos-tipo/documentos-</w:t>
              </w:r>
              <w:r w:rsidRPr="001D1DF1">
                <w:rPr>
                  <w:rFonts w:ascii="Verdana" w:eastAsia="Calibri" w:hAnsi="Verdana" w:cs="Arial"/>
                  <w:color w:val="0000FF"/>
                  <w:u w:val="single"/>
                  <w:lang w:val="es-ES_tradnl"/>
                </w:rPr>
                <w:lastRenderedPageBreak/>
                <w:t>tipo</w:t>
              </w:r>
            </w:hyperlink>
            <w:r w:rsidRPr="001D1DF1">
              <w:rPr>
                <w:rFonts w:ascii="Verdana" w:eastAsia="Calibri" w:hAnsi="Verdana" w:cs="Arial"/>
                <w:lang w:val="es-ES_tradnl"/>
              </w:rPr>
              <w:t>.</w:t>
            </w:r>
          </w:p>
        </w:tc>
      </w:tr>
    </w:tbl>
    <w:p w14:paraId="7448B69D" w14:textId="77777777" w:rsidR="00EC4560" w:rsidRPr="001D1DF1" w:rsidRDefault="00EC4560" w:rsidP="00EC4560">
      <w:pPr>
        <w:tabs>
          <w:tab w:val="left" w:pos="142"/>
          <w:tab w:val="left" w:pos="284"/>
        </w:tabs>
        <w:spacing w:after="0" w:line="276" w:lineRule="auto"/>
        <w:jc w:val="both"/>
        <w:rPr>
          <w:rFonts w:ascii="Verdana" w:eastAsia="Calibri" w:hAnsi="Verdana" w:cs="Arial"/>
        </w:rPr>
      </w:pPr>
    </w:p>
    <w:p w14:paraId="2492ACBB" w14:textId="77777777" w:rsidR="00EC4560" w:rsidRPr="001D1DF1" w:rsidRDefault="00EC4560" w:rsidP="00EC4560">
      <w:pPr>
        <w:tabs>
          <w:tab w:val="left" w:pos="142"/>
          <w:tab w:val="left" w:pos="284"/>
        </w:tabs>
        <w:spacing w:after="0" w:line="276" w:lineRule="auto"/>
        <w:jc w:val="both"/>
        <w:rPr>
          <w:rFonts w:ascii="Verdana" w:eastAsia="Century Gothic" w:hAnsi="Verdana" w:cs="Century Gothic"/>
          <w:b/>
          <w:bCs/>
          <w:lang w:val="es-ES"/>
        </w:rPr>
      </w:pPr>
      <w:r w:rsidRPr="001D1DF1">
        <w:rPr>
          <w:rFonts w:ascii="Verdana" w:eastAsia="Calibri" w:hAnsi="Verdana" w:cs="Arial"/>
          <w:b/>
          <w:bCs/>
        </w:rPr>
        <w:t>5</w:t>
      </w:r>
      <w:r w:rsidRPr="001D1DF1">
        <w:rPr>
          <w:rFonts w:ascii="Verdana" w:eastAsia="Calibri" w:hAnsi="Verdana" w:cs="Arial"/>
        </w:rPr>
        <w:t>.</w:t>
      </w:r>
      <w:r w:rsidRPr="001D1DF1">
        <w:rPr>
          <w:rFonts w:ascii="Verdana" w:eastAsia="Century Gothic" w:hAnsi="Verdana" w:cs="Century Gothic"/>
          <w:b/>
          <w:bCs/>
          <w:lang w:val="es-ES"/>
        </w:rPr>
        <w:t>Doctrina de la Agencia Nacional de Contratación Pública:</w:t>
      </w:r>
    </w:p>
    <w:p w14:paraId="29F959FA" w14:textId="77777777" w:rsidR="00EC4560" w:rsidRPr="001D1DF1" w:rsidRDefault="00EC4560" w:rsidP="00EC4560">
      <w:pPr>
        <w:widowControl w:val="0"/>
        <w:autoSpaceDE w:val="0"/>
        <w:autoSpaceDN w:val="0"/>
        <w:spacing w:after="0" w:line="276" w:lineRule="auto"/>
        <w:jc w:val="both"/>
        <w:rPr>
          <w:rFonts w:ascii="Verdana" w:eastAsia="Calibri" w:hAnsi="Verdana" w:cs="Arial"/>
        </w:rPr>
      </w:pPr>
    </w:p>
    <w:p w14:paraId="5DFD8FB4" w14:textId="77777777" w:rsidR="00EC4560" w:rsidRPr="001D1DF1" w:rsidRDefault="00EC4560" w:rsidP="00EC4560">
      <w:pPr>
        <w:spacing w:after="0" w:line="276" w:lineRule="auto"/>
        <w:jc w:val="both"/>
        <w:rPr>
          <w:rFonts w:ascii="Verdana" w:eastAsia="Calibri" w:hAnsi="Verdana" w:cs="Arial"/>
          <w:lang w:val="es-ES"/>
        </w:rPr>
      </w:pPr>
      <w:r w:rsidRPr="001D1DF1">
        <w:rPr>
          <w:rFonts w:ascii="Verdana" w:eastAsia="Calibri" w:hAnsi="Verdana" w:cs="Arial"/>
          <w:shd w:val="clear" w:color="auto" w:fill="FFFFFF"/>
          <w:lang w:val="es-ES"/>
        </w:rPr>
        <w:t>La Agencia Nacional de Contratación Pública – Colombia Compra Eficiente se pronunció</w:t>
      </w:r>
      <w:r w:rsidRPr="001D1DF1">
        <w:rPr>
          <w:rFonts w:ascii="Verdana" w:eastAsia="Calibri" w:hAnsi="Verdana" w:cs="Times New Roman"/>
        </w:rPr>
        <w:t xml:space="preserve"> </w:t>
      </w:r>
      <w:r w:rsidRPr="001D1DF1">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1D1DF1">
        <w:rPr>
          <w:rFonts w:ascii="Verdana" w:eastAsia="Calibri" w:hAnsi="Verdana" w:cs="Arial"/>
          <w:shd w:val="clear" w:color="auto" w:fill="FFFFFF"/>
          <w:lang w:val="es-ES"/>
        </w:rPr>
        <w:tab/>
        <w:t xml:space="preserve">C-636 del 1 de noviembre de 2024, C-777 del 9 de diciembre de 2024, C-971 del 21 de enero de 2025,  entre otros. </w:t>
      </w:r>
    </w:p>
    <w:p w14:paraId="637EDBF5" w14:textId="77777777" w:rsidR="00EC4560" w:rsidRPr="001D1DF1" w:rsidRDefault="00EC4560" w:rsidP="00EC4560">
      <w:pPr>
        <w:spacing w:after="0" w:line="276" w:lineRule="auto"/>
        <w:jc w:val="both"/>
        <w:rPr>
          <w:rFonts w:ascii="Verdana" w:eastAsia="Times New Roman" w:hAnsi="Verdana" w:cs="Arial"/>
          <w:shd w:val="clear" w:color="auto" w:fill="FFFFFF"/>
          <w:lang w:val="es-ES"/>
        </w:rPr>
      </w:pPr>
    </w:p>
    <w:p w14:paraId="14C9319B" w14:textId="77777777" w:rsidR="00EC4560" w:rsidRPr="002E1A90" w:rsidRDefault="00EC4560" w:rsidP="00EC456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86603">
        <w:rPr>
          <w:rFonts w:ascii="Verdana" w:eastAsia="Calibri" w:hAnsi="Verdana" w:cs="Arial"/>
          <w:shd w:val="clear" w:color="auto" w:fill="FFFFFF"/>
          <w:lang w:val="es-ES_tradnl"/>
        </w:rPr>
        <w:t>Por otra parte, la Agencia Nacional de Contratación Pública – Colombia Compra Eficiente se</w:t>
      </w:r>
      <w:r w:rsidRPr="00F86603">
        <w:rPr>
          <w:rFonts w:ascii="Verdana" w:eastAsia="Aptos" w:hAnsi="Verdana" w:cs="Times New Roman"/>
        </w:rPr>
        <w:t xml:space="preserve"> </w:t>
      </w:r>
      <w:r w:rsidRPr="00F86603">
        <w:rPr>
          <w:rFonts w:ascii="Verdana" w:eastAsia="Calibri" w:hAnsi="Verdana" w:cs="Arial"/>
          <w:shd w:val="clear" w:color="auto" w:fill="FFFFFF"/>
          <w:lang w:val="es-ES_tradnl"/>
        </w:rPr>
        <w:t>pronunció</w:t>
      </w:r>
      <w:r w:rsidRPr="00F86603">
        <w:rPr>
          <w:rFonts w:ascii="Verdana" w:eastAsia="Aptos" w:hAnsi="Verdana" w:cs="Times New Roman"/>
          <w:lang w:val="es-ES_tradnl"/>
        </w:rPr>
        <w:t xml:space="preserve"> </w:t>
      </w:r>
      <w:r w:rsidRPr="00F86603">
        <w:rPr>
          <w:rFonts w:ascii="Verdana" w:eastAsia="Calibri" w:hAnsi="Verdana" w:cs="Arial"/>
          <w:shd w:val="clear" w:color="auto" w:fill="FFFFFF"/>
          <w:lang w:val="es-ES"/>
        </w:rPr>
        <w:t xml:space="preserve">sobre </w:t>
      </w:r>
      <w:r w:rsidRPr="00F86603">
        <w:rPr>
          <w:rFonts w:ascii="Verdana" w:hAnsi="Verdana" w:cs="Arial"/>
          <w:shd w:val="clear" w:color="auto" w:fill="FFFFFF"/>
          <w:lang w:val="es-ES"/>
        </w:rPr>
        <w:t xml:space="preserve">los contratos bajo la modalidad de llave en mano en el concepto C-1162 del 1 de octubre de 2025. Finalmente, sobre el anticipo y pago anticipado esta Agencia se pronunció en los conceptos </w:t>
      </w:r>
      <w:r w:rsidRPr="00F86603">
        <w:rPr>
          <w:rFonts w:ascii="Verdana" w:hAnsi="Verdana" w:cs="Arial"/>
          <w:bCs/>
          <w:shd w:val="clear" w:color="auto" w:fill="FFFFFF"/>
        </w:rPr>
        <w:t>C-037 del 5 de abril de 2023, C-197 del 28 de marzo de 2025, C-341 del 27 de agosto de 2024, C</w:t>
      </w:r>
      <w:r w:rsidRPr="00F86603">
        <w:rPr>
          <w:rFonts w:ascii="Verdana" w:hAnsi="Verdana" w:cs="Arial"/>
          <w:lang w:val="es-MX" w:eastAsia="es-ES" w:bidi="es-ES"/>
        </w:rPr>
        <w:t xml:space="preserve">-557 del 17 de junio de 2025 y C-1299 del 7 de octubre de 2025, </w:t>
      </w:r>
      <w:r w:rsidRPr="00F86603">
        <w:rPr>
          <w:rFonts w:ascii="Verdana" w:hAnsi="Verdana" w:cs="Arial"/>
          <w:bCs/>
          <w:shd w:val="clear" w:color="auto" w:fill="FFFFFF"/>
        </w:rPr>
        <w:t>entre otros</w:t>
      </w:r>
      <w:r w:rsidRPr="00F86603">
        <w:rPr>
          <w:rFonts w:ascii="Verdana" w:hAnsi="Verdana" w:cs="Arial"/>
          <w:shd w:val="clear" w:color="auto" w:fill="FFFFFF"/>
          <w:lang w:val="es-ES"/>
        </w:rPr>
        <w:t xml:space="preserve">.  </w:t>
      </w:r>
    </w:p>
    <w:p w14:paraId="0580B47F" w14:textId="77777777" w:rsidR="00EC4560" w:rsidRPr="001D1DF1" w:rsidRDefault="00EC4560" w:rsidP="00EC4560">
      <w:pPr>
        <w:spacing w:after="0" w:line="240" w:lineRule="auto"/>
        <w:jc w:val="both"/>
        <w:rPr>
          <w:rFonts w:ascii="Verdana" w:eastAsia="Calibri" w:hAnsi="Verdana" w:cs="Arial"/>
          <w:color w:val="000000"/>
          <w:shd w:val="clear" w:color="auto" w:fill="FFFFFF"/>
        </w:rPr>
      </w:pPr>
    </w:p>
    <w:p w14:paraId="35990D8E" w14:textId="77777777" w:rsidR="00EC4560" w:rsidRDefault="00EC4560" w:rsidP="00EC4560">
      <w:pPr>
        <w:widowControl w:val="0"/>
        <w:autoSpaceDE w:val="0"/>
        <w:autoSpaceDN w:val="0"/>
        <w:spacing w:after="0" w:line="276" w:lineRule="auto"/>
        <w:jc w:val="both"/>
        <w:rPr>
          <w:rFonts w:ascii="Verdana" w:eastAsia="Calibri" w:hAnsi="Verdana" w:cs="Arial"/>
          <w:color w:val="0000FF"/>
          <w:u w:val="single"/>
          <w:shd w:val="clear" w:color="auto" w:fill="FFFFFF"/>
        </w:rPr>
      </w:pPr>
      <w:r w:rsidRPr="007B7E63">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B7E63">
          <w:rPr>
            <w:rFonts w:ascii="Verdana" w:eastAsia="Calibri" w:hAnsi="Verdana" w:cs="Arial"/>
            <w:color w:val="0000FF"/>
            <w:u w:val="single"/>
            <w:shd w:val="clear" w:color="auto" w:fill="FFFFFF"/>
          </w:rPr>
          <w:t>https://relatoria.colombiacompra.gov.co/</w:t>
        </w:r>
      </w:hyperlink>
      <w:r w:rsidRPr="007B7E63">
        <w:rPr>
          <w:rFonts w:ascii="Verdana" w:eastAsia="Calibri" w:hAnsi="Verdana" w:cs="Arial"/>
          <w:color w:val="0000FF"/>
          <w:u w:val="single"/>
          <w:shd w:val="clear" w:color="auto" w:fill="FFFFFF"/>
        </w:rPr>
        <w:t> .</w:t>
      </w:r>
    </w:p>
    <w:p w14:paraId="4BA9DAE0" w14:textId="77777777" w:rsidR="00EC4560" w:rsidRPr="007B7E63" w:rsidRDefault="00EC4560" w:rsidP="00EC4560">
      <w:pPr>
        <w:widowControl w:val="0"/>
        <w:autoSpaceDE w:val="0"/>
        <w:autoSpaceDN w:val="0"/>
        <w:spacing w:after="0" w:line="276" w:lineRule="auto"/>
        <w:jc w:val="both"/>
        <w:rPr>
          <w:rFonts w:ascii="Verdana" w:eastAsia="Times New Roman" w:hAnsi="Verdana" w:cs="Arial"/>
          <w:shd w:val="clear" w:color="auto" w:fill="FFFFFF"/>
          <w:lang w:val="es-ES"/>
        </w:rPr>
      </w:pPr>
    </w:p>
    <w:p w14:paraId="4E3E987E" w14:textId="77777777" w:rsidR="00EC4560" w:rsidRPr="007B7E63" w:rsidRDefault="00EC4560" w:rsidP="00EC4560">
      <w:pPr>
        <w:spacing w:after="0" w:line="240" w:lineRule="auto"/>
        <w:jc w:val="both"/>
        <w:rPr>
          <w:rFonts w:ascii="Verdana" w:eastAsia="Calibri" w:hAnsi="Verdana" w:cs="Arial"/>
          <w:color w:val="000000"/>
          <w:shd w:val="clear" w:color="auto" w:fill="FFFFFF"/>
        </w:rPr>
      </w:pPr>
      <w:r w:rsidRPr="007B7E63">
        <w:rPr>
          <w:rFonts w:ascii="Verdana" w:eastAsia="Calibri" w:hAnsi="Verdana" w:cs="Arial"/>
          <w:color w:val="000000"/>
          <w:shd w:val="clear" w:color="auto" w:fill="FFFFFF"/>
        </w:rPr>
        <w:t>La Agencia Nacional de Contratación Pública – Colombia Compra Eficiente le informa que ya se encuentra disponible la </w:t>
      </w:r>
      <w:r w:rsidRPr="007B7E63">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7B7E63">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7B7E63">
        <w:rPr>
          <w:rFonts w:ascii="Verdana" w:eastAsia="Calibri" w:hAnsi="Verdana" w:cs="Arial"/>
          <w:color w:val="000000"/>
          <w:shd w:val="clear" w:color="auto" w:fill="FFFFFF"/>
        </w:rPr>
        <w:lastRenderedPageBreak/>
        <w:t xml:space="preserve">fundamentales de los niños y de las niñas del Pueblo </w:t>
      </w:r>
      <w:proofErr w:type="spellStart"/>
      <w:r w:rsidRPr="007B7E63">
        <w:rPr>
          <w:rFonts w:ascii="Verdana" w:eastAsia="Calibri" w:hAnsi="Verdana" w:cs="Arial"/>
          <w:color w:val="000000"/>
          <w:shd w:val="clear" w:color="auto" w:fill="FFFFFF"/>
        </w:rPr>
        <w:t>Wayúu</w:t>
      </w:r>
      <w:proofErr w:type="spellEnd"/>
      <w:r w:rsidRPr="007B7E63">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7B7E63">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7B7E63">
        <w:rPr>
          <w:rFonts w:ascii="Verdana" w:eastAsia="Calibri" w:hAnsi="Verdana" w:cs="Arial"/>
          <w:color w:val="000000"/>
          <w:u w:val="single"/>
          <w:shd w:val="clear" w:color="auto" w:fill="FFFFFF"/>
        </w:rPr>
        <w:t>"</w:t>
      </w:r>
    </w:p>
    <w:p w14:paraId="526D00CD" w14:textId="77777777" w:rsidR="00EC4560" w:rsidRPr="007B7E63" w:rsidRDefault="00EC4560" w:rsidP="00EC4560">
      <w:pPr>
        <w:spacing w:after="0"/>
        <w:jc w:val="both"/>
        <w:rPr>
          <w:rFonts w:ascii="Verdana" w:eastAsia="Aptos" w:hAnsi="Verdana" w:cs="Times New Roman"/>
          <w:color w:val="212121"/>
        </w:rPr>
      </w:pPr>
    </w:p>
    <w:p w14:paraId="3AC488F2" w14:textId="77777777" w:rsidR="00EC4560" w:rsidRPr="007B7E63" w:rsidRDefault="00EC4560" w:rsidP="00EC4560">
      <w:pPr>
        <w:spacing w:after="0" w:line="240" w:lineRule="auto"/>
        <w:jc w:val="both"/>
        <w:rPr>
          <w:rFonts w:ascii="Verdana" w:eastAsia="Calibri" w:hAnsi="Verdana" w:cs="Times New Roman"/>
        </w:rPr>
      </w:pPr>
      <w:r w:rsidRPr="007B7E63">
        <w:rPr>
          <w:rFonts w:ascii="Verdana" w:eastAsia="Aptos" w:hAnsi="Verdana" w:cs="Times New Roman"/>
        </w:rPr>
        <w:t xml:space="preserve">Por último, lo invitamos a seguirnos en las redes sociales en las cuales se difunde información institucional: </w:t>
      </w:r>
    </w:p>
    <w:p w14:paraId="20C688E7" w14:textId="77777777" w:rsidR="00EC4560" w:rsidRPr="007B7E63" w:rsidRDefault="00EC4560" w:rsidP="00EC4560">
      <w:pPr>
        <w:spacing w:after="0" w:line="240" w:lineRule="auto"/>
        <w:jc w:val="both"/>
        <w:rPr>
          <w:rFonts w:ascii="Verdana" w:eastAsia="Aptos" w:hAnsi="Verdana" w:cs="Times New Roman"/>
        </w:rPr>
      </w:pPr>
    </w:p>
    <w:p w14:paraId="7B7EC95A" w14:textId="77777777" w:rsidR="00EC4560" w:rsidRPr="007B7E63" w:rsidRDefault="00EC4560" w:rsidP="00EC4560">
      <w:pPr>
        <w:spacing w:after="0" w:line="240" w:lineRule="auto"/>
        <w:jc w:val="both"/>
        <w:rPr>
          <w:rFonts w:ascii="Verdana" w:eastAsia="Aptos" w:hAnsi="Verdana" w:cs="Times New Roman"/>
        </w:rPr>
      </w:pPr>
      <w:r w:rsidRPr="007B7E63">
        <w:rPr>
          <w:rFonts w:ascii="Verdana" w:eastAsia="Aptos" w:hAnsi="Verdana" w:cs="Times New Roman"/>
        </w:rPr>
        <w:t xml:space="preserve">Twitter: </w:t>
      </w:r>
      <w:r w:rsidRPr="007B7E63">
        <w:rPr>
          <w:rFonts w:ascii="Verdana" w:eastAsia="Calibri" w:hAnsi="Verdana" w:cs="Times New Roman"/>
          <w:color w:val="156082"/>
          <w:u w:val="single"/>
        </w:rPr>
        <w:t>@colombiacompra</w:t>
      </w:r>
      <w:r w:rsidRPr="007B7E63">
        <w:rPr>
          <w:rFonts w:ascii="Verdana" w:eastAsia="Calibri" w:hAnsi="Verdana" w:cs="Times New Roman"/>
          <w:color w:val="156082"/>
        </w:rPr>
        <w:t xml:space="preserve"> </w:t>
      </w:r>
    </w:p>
    <w:p w14:paraId="49FF6DD1" w14:textId="77777777" w:rsidR="00EC4560" w:rsidRPr="007B7E63" w:rsidRDefault="00EC4560" w:rsidP="00EC4560">
      <w:pPr>
        <w:spacing w:after="0" w:line="240" w:lineRule="auto"/>
        <w:jc w:val="both"/>
        <w:rPr>
          <w:rFonts w:ascii="Verdana" w:eastAsia="Aptos" w:hAnsi="Verdana" w:cs="Times New Roman"/>
        </w:rPr>
      </w:pPr>
      <w:r w:rsidRPr="007B7E63">
        <w:rPr>
          <w:rFonts w:ascii="Verdana" w:eastAsia="Aptos" w:hAnsi="Verdana" w:cs="Times New Roman"/>
        </w:rPr>
        <w:t xml:space="preserve">Facebook: </w:t>
      </w:r>
      <w:proofErr w:type="spellStart"/>
      <w:r w:rsidRPr="007B7E63">
        <w:rPr>
          <w:rFonts w:ascii="Verdana" w:eastAsia="Calibri" w:hAnsi="Verdana" w:cs="Times New Roman"/>
          <w:color w:val="156082"/>
          <w:u w:val="single"/>
        </w:rPr>
        <w:t>ColombiaCompraEficiente</w:t>
      </w:r>
      <w:proofErr w:type="spellEnd"/>
    </w:p>
    <w:p w14:paraId="6724C8F5" w14:textId="77777777" w:rsidR="00EC4560" w:rsidRPr="007B7E63" w:rsidRDefault="00EC4560" w:rsidP="00EC4560">
      <w:pPr>
        <w:spacing w:after="0" w:line="240" w:lineRule="auto"/>
        <w:jc w:val="both"/>
        <w:rPr>
          <w:rFonts w:ascii="Verdana" w:eastAsia="Aptos" w:hAnsi="Verdana" w:cs="Times New Roman"/>
        </w:rPr>
      </w:pPr>
      <w:r w:rsidRPr="007B7E63">
        <w:rPr>
          <w:rFonts w:ascii="Verdana" w:eastAsia="Aptos" w:hAnsi="Verdana" w:cs="Times New Roman"/>
        </w:rPr>
        <w:t xml:space="preserve">LinkedIn: </w:t>
      </w:r>
      <w:r w:rsidRPr="007B7E63">
        <w:rPr>
          <w:rFonts w:ascii="Verdana" w:eastAsia="Calibri" w:hAnsi="Verdana" w:cs="Times New Roman"/>
          <w:color w:val="156082"/>
          <w:u w:val="single"/>
        </w:rPr>
        <w:t>Agencia Nacional de Contratación Pública - Colombia Compra Eficiente</w:t>
      </w:r>
      <w:r w:rsidRPr="007B7E63">
        <w:rPr>
          <w:rFonts w:ascii="Verdana" w:eastAsia="Calibri" w:hAnsi="Verdana" w:cs="Times New Roman"/>
          <w:color w:val="156082"/>
        </w:rPr>
        <w:t xml:space="preserve"> </w:t>
      </w:r>
      <w:r w:rsidRPr="007B7E63">
        <w:rPr>
          <w:rFonts w:ascii="Verdana" w:eastAsia="Aptos" w:hAnsi="Verdana" w:cs="Times New Roman"/>
        </w:rPr>
        <w:t xml:space="preserve">Instagram: </w:t>
      </w:r>
      <w:r w:rsidRPr="007B7E63">
        <w:rPr>
          <w:rFonts w:ascii="Verdana" w:eastAsia="Calibri" w:hAnsi="Verdana" w:cs="Times New Roman"/>
          <w:color w:val="156082"/>
          <w:u w:val="single"/>
        </w:rPr>
        <w:t>@colombiacompraeficiente_cce</w:t>
      </w:r>
    </w:p>
    <w:p w14:paraId="093E5DA3" w14:textId="77777777" w:rsidR="00EC4560" w:rsidRPr="007B7E63" w:rsidRDefault="00EC4560" w:rsidP="00EC4560">
      <w:pPr>
        <w:spacing w:after="0" w:line="276" w:lineRule="auto"/>
        <w:jc w:val="both"/>
        <w:rPr>
          <w:rFonts w:ascii="Verdana" w:eastAsia="Aptos" w:hAnsi="Verdana" w:cs="Times New Roman"/>
        </w:rPr>
      </w:pPr>
    </w:p>
    <w:p w14:paraId="389AE8A4" w14:textId="77777777" w:rsidR="00EC4560" w:rsidRPr="007B7E63" w:rsidRDefault="00EC4560" w:rsidP="00EC4560">
      <w:pPr>
        <w:spacing w:after="0" w:line="276" w:lineRule="auto"/>
        <w:jc w:val="both"/>
        <w:rPr>
          <w:rFonts w:ascii="Verdana" w:eastAsia="Calibri" w:hAnsi="Verdana" w:cs="Times New Roman"/>
          <w:bCs/>
          <w:lang w:val="es-ES_tradnl"/>
        </w:rPr>
      </w:pPr>
      <w:r w:rsidRPr="007B7E6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9DBBEC9" w14:textId="77777777" w:rsidR="00EC4560" w:rsidRPr="007B7E63" w:rsidRDefault="00EC4560" w:rsidP="00EC4560">
      <w:pPr>
        <w:spacing w:after="0" w:line="276" w:lineRule="auto"/>
        <w:jc w:val="both"/>
        <w:rPr>
          <w:rFonts w:ascii="Verdana" w:eastAsia="Calibri" w:hAnsi="Verdana" w:cs="Times New Roman"/>
        </w:rPr>
      </w:pPr>
    </w:p>
    <w:p w14:paraId="6E32EB60" w14:textId="77777777" w:rsidR="00EC4560" w:rsidRPr="007B7E63" w:rsidRDefault="00EC4560" w:rsidP="00EC4560">
      <w:pPr>
        <w:spacing w:after="0" w:line="276" w:lineRule="auto"/>
        <w:jc w:val="both"/>
        <w:rPr>
          <w:rFonts w:ascii="Verdana" w:eastAsia="Calibri" w:hAnsi="Verdana" w:cs="Times New Roman"/>
        </w:rPr>
      </w:pPr>
      <w:r w:rsidRPr="007B7E63">
        <w:rPr>
          <w:rFonts w:ascii="Verdana" w:eastAsia="Calibri" w:hAnsi="Verdana" w:cs="Times New Roman"/>
        </w:rPr>
        <w:t>Atentamente,</w:t>
      </w:r>
    </w:p>
    <w:p w14:paraId="327CB138" w14:textId="7780BE64" w:rsidR="00EC4560" w:rsidRPr="001D1DF1" w:rsidRDefault="00855DD6" w:rsidP="00EC4560">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2114EC5B" wp14:editId="3ABC136F">
            <wp:extent cx="1926219" cy="826936"/>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969598" cy="845559"/>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C4560" w:rsidRPr="001D1DF1" w14:paraId="15198393" w14:textId="77777777" w:rsidTr="00DA5914">
        <w:trPr>
          <w:trHeight w:val="323"/>
        </w:trPr>
        <w:tc>
          <w:tcPr>
            <w:tcW w:w="1041" w:type="dxa"/>
            <w:vAlign w:val="center"/>
            <w:hideMark/>
          </w:tcPr>
          <w:p w14:paraId="74A78808" w14:textId="77777777" w:rsidR="00EC4560" w:rsidRPr="001D1DF1" w:rsidRDefault="00EC4560" w:rsidP="00DA5914">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A1AA12D" w14:textId="77777777" w:rsidR="00EC4560" w:rsidRPr="001D1DF1" w:rsidRDefault="00EC4560" w:rsidP="00DA5914">
            <w:pPr>
              <w:rPr>
                <w:rFonts w:ascii="Verdana" w:eastAsia="Arial" w:hAnsi="Verdana" w:cs="Arial"/>
                <w:sz w:val="16"/>
                <w:szCs w:val="16"/>
                <w:lang w:val="es-ES"/>
              </w:rPr>
            </w:pPr>
            <w:r w:rsidRPr="001D1DF1">
              <w:rPr>
                <w:rFonts w:ascii="Verdana" w:eastAsia="Arial" w:hAnsi="Verdana" w:cs="Arial"/>
                <w:sz w:val="16"/>
                <w:szCs w:val="16"/>
                <w:lang w:val="es-ES"/>
              </w:rPr>
              <w:t xml:space="preserve">Carlos Mario Castrillón Endo </w:t>
            </w:r>
          </w:p>
          <w:p w14:paraId="4AA6285E" w14:textId="77777777" w:rsidR="00EC4560" w:rsidRPr="001D1DF1" w:rsidRDefault="00EC4560" w:rsidP="00DA5914">
            <w:pPr>
              <w:rPr>
                <w:rFonts w:ascii="Verdana" w:eastAsia="Arial" w:hAnsi="Verdana" w:cs="Arial"/>
                <w:sz w:val="16"/>
                <w:szCs w:val="16"/>
                <w:lang w:val="es-ES_tradnl"/>
              </w:rPr>
            </w:pPr>
            <w:r w:rsidRPr="001D1DF1">
              <w:rPr>
                <w:rFonts w:ascii="Verdana" w:eastAsia="Arial" w:hAnsi="Verdana" w:cs="Arial"/>
                <w:sz w:val="16"/>
                <w:szCs w:val="16"/>
                <w:lang w:val="es-ES_tradnl"/>
              </w:rPr>
              <w:t>Contratista de la Subdirección de Gestión Contractual</w:t>
            </w:r>
          </w:p>
          <w:p w14:paraId="63678300" w14:textId="77777777" w:rsidR="00EC4560" w:rsidRPr="001D1DF1" w:rsidRDefault="00EC4560" w:rsidP="00DA5914">
            <w:pPr>
              <w:rPr>
                <w:rFonts w:ascii="Verdana" w:eastAsia="Arial" w:hAnsi="Verdana" w:cs="Arial"/>
                <w:sz w:val="16"/>
                <w:szCs w:val="16"/>
                <w:lang w:val="es-ES_tradnl"/>
              </w:rPr>
            </w:pPr>
          </w:p>
        </w:tc>
      </w:tr>
      <w:tr w:rsidR="00EC4560" w:rsidRPr="001D1DF1" w14:paraId="7B4D9BE0" w14:textId="77777777" w:rsidTr="00DA5914">
        <w:trPr>
          <w:trHeight w:val="338"/>
        </w:trPr>
        <w:tc>
          <w:tcPr>
            <w:tcW w:w="1041" w:type="dxa"/>
            <w:vAlign w:val="center"/>
            <w:hideMark/>
          </w:tcPr>
          <w:p w14:paraId="0ED95973" w14:textId="77777777" w:rsidR="00EC4560" w:rsidRPr="001D1DF1" w:rsidRDefault="00EC4560" w:rsidP="00DA5914">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3494959" w14:textId="77777777" w:rsidR="00EC4560" w:rsidRDefault="00EC4560" w:rsidP="00DA5914">
            <w:pPr>
              <w:jc w:val="both"/>
              <w:rPr>
                <w:rFonts w:ascii="Verdana" w:eastAsia="Calibri" w:hAnsi="Verdana" w:cs="Times New Roman"/>
                <w:sz w:val="16"/>
                <w:szCs w:val="16"/>
                <w:lang w:val="es-ES"/>
              </w:rPr>
            </w:pPr>
            <w:r>
              <w:rPr>
                <w:rFonts w:ascii="Verdana" w:eastAsia="Calibri" w:hAnsi="Verdana" w:cs="Times New Roman"/>
                <w:sz w:val="16"/>
                <w:szCs w:val="16"/>
                <w:lang w:val="es-ES"/>
              </w:rPr>
              <w:t xml:space="preserve">Lida Milena </w:t>
            </w:r>
            <w:proofErr w:type="spellStart"/>
            <w:r>
              <w:rPr>
                <w:rFonts w:ascii="Verdana" w:eastAsia="Calibri" w:hAnsi="Verdana" w:cs="Times New Roman"/>
                <w:sz w:val="16"/>
                <w:szCs w:val="16"/>
                <w:lang w:val="es-ES"/>
              </w:rPr>
              <w:t>Guanumen</w:t>
            </w:r>
            <w:proofErr w:type="spellEnd"/>
            <w:r>
              <w:rPr>
                <w:rFonts w:ascii="Verdana" w:eastAsia="Calibri" w:hAnsi="Verdana" w:cs="Times New Roman"/>
                <w:sz w:val="16"/>
                <w:szCs w:val="16"/>
                <w:lang w:val="es-ES"/>
              </w:rPr>
              <w:t xml:space="preserve"> Pacheco</w:t>
            </w:r>
          </w:p>
          <w:p w14:paraId="6D8FBA7D" w14:textId="77777777" w:rsidR="00EC4560" w:rsidRPr="001D1DF1" w:rsidRDefault="00EC4560" w:rsidP="00DA5914">
            <w:pPr>
              <w:jc w:val="both"/>
              <w:rPr>
                <w:rFonts w:ascii="Verdana" w:eastAsia="Calibri" w:hAnsi="Verdana" w:cs="Times New Roman"/>
                <w:sz w:val="16"/>
                <w:szCs w:val="16"/>
                <w:lang w:val="es-ES"/>
              </w:rPr>
            </w:pPr>
            <w:r w:rsidRPr="001D1DF1">
              <w:rPr>
                <w:rFonts w:ascii="Verdana" w:eastAsia="Calibri" w:hAnsi="Verdana" w:cs="Times New Roman"/>
                <w:sz w:val="16"/>
                <w:szCs w:val="16"/>
                <w:lang w:val="es-ES"/>
              </w:rPr>
              <w:t>Contratista de la Subdirección de Gestión Contractual</w:t>
            </w:r>
          </w:p>
          <w:p w14:paraId="3DF24179" w14:textId="77777777" w:rsidR="00EC4560" w:rsidRPr="001D1DF1" w:rsidRDefault="00EC4560" w:rsidP="00DA5914">
            <w:pPr>
              <w:jc w:val="both"/>
              <w:rPr>
                <w:rFonts w:ascii="Verdana" w:eastAsia="Calibri" w:hAnsi="Verdana" w:cs="Times New Roman"/>
                <w:sz w:val="16"/>
                <w:szCs w:val="16"/>
                <w:lang w:val="es-ES"/>
              </w:rPr>
            </w:pPr>
            <w:r w:rsidRPr="001D1DF1">
              <w:rPr>
                <w:rFonts w:ascii="Verdana" w:eastAsia="Calibri" w:hAnsi="Verdana" w:cs="Times New Roman"/>
                <w:sz w:val="16"/>
                <w:szCs w:val="16"/>
                <w:lang w:val="es-ES"/>
              </w:rPr>
              <w:t>Alexandra Rodríguez Motta</w:t>
            </w:r>
          </w:p>
          <w:p w14:paraId="11C6A6BC" w14:textId="77777777" w:rsidR="00EC4560" w:rsidRPr="001D1DF1" w:rsidRDefault="00EC4560" w:rsidP="00DA5914">
            <w:pPr>
              <w:jc w:val="both"/>
              <w:rPr>
                <w:rFonts w:ascii="Verdana" w:eastAsia="Calibri" w:hAnsi="Verdana" w:cs="Times New Roman"/>
                <w:sz w:val="16"/>
                <w:szCs w:val="16"/>
                <w:lang w:val="es-ES"/>
              </w:rPr>
            </w:pPr>
            <w:r w:rsidRPr="001D1DF1">
              <w:rPr>
                <w:rFonts w:ascii="Verdana" w:eastAsia="Calibri" w:hAnsi="Verdana" w:cs="Times New Roman"/>
                <w:sz w:val="16"/>
                <w:szCs w:val="16"/>
                <w:lang w:val="es-ES"/>
              </w:rPr>
              <w:t>Contratista de la Subdirección de Gestión Contractual</w:t>
            </w:r>
          </w:p>
          <w:p w14:paraId="0CF743BB" w14:textId="77777777" w:rsidR="00EC4560" w:rsidRPr="001D1DF1" w:rsidRDefault="00EC4560" w:rsidP="00DA5914">
            <w:pPr>
              <w:textAlignment w:val="baseline"/>
              <w:rPr>
                <w:rFonts w:ascii="Verdana" w:eastAsia="Times New Roman" w:hAnsi="Verdana" w:cs="Segoe UI"/>
                <w:sz w:val="16"/>
                <w:szCs w:val="16"/>
                <w:lang w:val="es-ES_tradnl" w:eastAsia="es-ES_tradnl"/>
              </w:rPr>
            </w:pPr>
            <w:r w:rsidRPr="001D1DF1">
              <w:rPr>
                <w:rFonts w:ascii="Verdana" w:eastAsia="Times New Roman" w:hAnsi="Verdana" w:cs="Segoe UI"/>
                <w:sz w:val="16"/>
                <w:szCs w:val="16"/>
                <w:lang w:val="es-ES_tradnl" w:eastAsia="es-ES_tradnl"/>
              </w:rPr>
              <w:t xml:space="preserve">Juan David Cárdenas Cabeza </w:t>
            </w:r>
          </w:p>
          <w:p w14:paraId="04EE10B7" w14:textId="77777777" w:rsidR="00EC4560" w:rsidRPr="001D1DF1" w:rsidRDefault="00EC4560" w:rsidP="00DA5914">
            <w:pPr>
              <w:textAlignment w:val="baseline"/>
              <w:rPr>
                <w:rFonts w:ascii="Verdana" w:eastAsia="Times New Roman" w:hAnsi="Verdana" w:cs="Arial"/>
                <w:sz w:val="16"/>
                <w:szCs w:val="16"/>
                <w:lang w:val="es-ES_tradnl" w:eastAsia="es-ES_tradnl"/>
              </w:rPr>
            </w:pPr>
            <w:r w:rsidRPr="001D1DF1">
              <w:rPr>
                <w:rFonts w:ascii="Verdana" w:eastAsia="Times New Roman" w:hAnsi="Verdana" w:cs="Arial"/>
                <w:sz w:val="16"/>
                <w:szCs w:val="16"/>
                <w:lang w:val="es-ES_tradnl" w:eastAsia="es-ES_tradnl"/>
              </w:rPr>
              <w:t>Contratista de la Subdirección de Gestión Contractual </w:t>
            </w:r>
          </w:p>
          <w:p w14:paraId="3C03DD4D" w14:textId="77777777" w:rsidR="00EC4560" w:rsidRPr="001D1DF1" w:rsidRDefault="00EC4560" w:rsidP="00DA5914">
            <w:pPr>
              <w:textAlignment w:val="baseline"/>
              <w:rPr>
                <w:rFonts w:ascii="Verdana" w:eastAsia="Times New Roman" w:hAnsi="Verdana" w:cs="Segoe UI"/>
                <w:sz w:val="16"/>
                <w:szCs w:val="16"/>
                <w:lang w:val="es-ES_tradnl" w:eastAsia="es-ES_tradnl"/>
              </w:rPr>
            </w:pPr>
          </w:p>
        </w:tc>
      </w:tr>
      <w:tr w:rsidR="00EC4560" w:rsidRPr="001D1DF1" w14:paraId="334AD2FD" w14:textId="77777777" w:rsidTr="00DA5914">
        <w:trPr>
          <w:trHeight w:val="308"/>
        </w:trPr>
        <w:tc>
          <w:tcPr>
            <w:tcW w:w="1041" w:type="dxa"/>
            <w:vAlign w:val="center"/>
          </w:tcPr>
          <w:p w14:paraId="6B61D676" w14:textId="77777777" w:rsidR="00EC4560" w:rsidRPr="001D1DF1" w:rsidRDefault="00EC4560" w:rsidP="00DA5914">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236D50E6" w14:textId="77777777" w:rsidR="00EC4560" w:rsidRPr="001D1DF1" w:rsidRDefault="00EC4560" w:rsidP="00DA5914">
            <w:pPr>
              <w:rPr>
                <w:rFonts w:ascii="Verdana" w:eastAsia="Calibri" w:hAnsi="Verdana" w:cs="Arial"/>
                <w:sz w:val="16"/>
                <w:szCs w:val="16"/>
                <w:lang w:val="es-ES" w:eastAsia="es-ES"/>
              </w:rPr>
            </w:pPr>
            <w:r w:rsidRPr="001D1DF1">
              <w:rPr>
                <w:rFonts w:ascii="Verdana" w:eastAsia="Calibri" w:hAnsi="Verdana" w:cs="Arial"/>
                <w:sz w:val="16"/>
                <w:szCs w:val="16"/>
                <w:lang w:val="es-ES" w:eastAsia="es-ES"/>
              </w:rPr>
              <w:t xml:space="preserve">Carolina Quintero </w:t>
            </w:r>
            <w:proofErr w:type="spellStart"/>
            <w:r w:rsidRPr="001D1DF1">
              <w:rPr>
                <w:rFonts w:ascii="Verdana" w:eastAsia="Calibri" w:hAnsi="Verdana" w:cs="Arial"/>
                <w:sz w:val="16"/>
                <w:szCs w:val="16"/>
                <w:lang w:val="es-ES" w:eastAsia="es-ES"/>
              </w:rPr>
              <w:t>Gacharná</w:t>
            </w:r>
            <w:proofErr w:type="spellEnd"/>
          </w:p>
          <w:p w14:paraId="33C54DEA" w14:textId="77777777" w:rsidR="00EC4560" w:rsidRPr="001D1DF1" w:rsidRDefault="00EC4560" w:rsidP="00DA5914">
            <w:pPr>
              <w:rPr>
                <w:rFonts w:ascii="Verdana" w:eastAsia="Calibri" w:hAnsi="Verdana" w:cs="Arial"/>
                <w:sz w:val="16"/>
                <w:szCs w:val="16"/>
                <w:lang w:val="es-ES_tradnl" w:eastAsia="es-ES"/>
              </w:rPr>
            </w:pPr>
            <w:r w:rsidRPr="001D1DF1">
              <w:rPr>
                <w:rFonts w:ascii="Verdana" w:eastAsia="Calibri" w:hAnsi="Verdana" w:cs="Arial"/>
                <w:sz w:val="16"/>
                <w:szCs w:val="16"/>
                <w:lang w:val="es-ES_tradnl" w:eastAsia="es-ES"/>
              </w:rPr>
              <w:t>Subdirectora de Gestión Contractual ANCP – CCE</w:t>
            </w:r>
          </w:p>
        </w:tc>
      </w:tr>
      <w:bookmarkEnd w:id="0"/>
    </w:tbl>
    <w:p w14:paraId="588D0A9A" w14:textId="77777777" w:rsidR="00EC4560" w:rsidRPr="001D1DF1" w:rsidRDefault="00EC4560" w:rsidP="00EC4560">
      <w:pPr>
        <w:rPr>
          <w:rFonts w:ascii="Calibri" w:eastAsia="Calibri" w:hAnsi="Calibri" w:cs="Times New Roman"/>
        </w:rPr>
      </w:pPr>
    </w:p>
    <w:p w14:paraId="35DC95DB" w14:textId="77777777" w:rsidR="00EC4560" w:rsidRPr="001D1DF1" w:rsidRDefault="00EC4560" w:rsidP="00EC4560">
      <w:pPr>
        <w:rPr>
          <w:rFonts w:ascii="Aptos" w:eastAsia="Aptos" w:hAnsi="Aptos" w:cs="Times New Roman"/>
        </w:rPr>
      </w:pPr>
    </w:p>
    <w:p w14:paraId="0F293BF4" w14:textId="7B4CC609" w:rsidR="00127233" w:rsidRPr="00CF0722" w:rsidRDefault="00127233" w:rsidP="00CF0722"/>
    <w:sectPr w:rsidR="00127233" w:rsidRPr="00CF072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518C7" w14:textId="77777777" w:rsidR="00233D2C" w:rsidRDefault="00233D2C" w:rsidP="004A1847">
      <w:pPr>
        <w:spacing w:after="0" w:line="240" w:lineRule="auto"/>
      </w:pPr>
      <w:r>
        <w:separator/>
      </w:r>
    </w:p>
  </w:endnote>
  <w:endnote w:type="continuationSeparator" w:id="0">
    <w:p w14:paraId="0266C4B2" w14:textId="77777777" w:rsidR="00233D2C" w:rsidRDefault="00233D2C" w:rsidP="004A1847">
      <w:pPr>
        <w:spacing w:after="0" w:line="240" w:lineRule="auto"/>
      </w:pPr>
      <w:r>
        <w:continuationSeparator/>
      </w:r>
    </w:p>
  </w:endnote>
  <w:endnote w:type="continuationNotice" w:id="1">
    <w:p w14:paraId="505B4FCA" w14:textId="77777777" w:rsidR="00233D2C" w:rsidRDefault="00233D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Palatino-Roman">
    <w:panose1 w:val="00000000000000000000"/>
    <w:charset w:val="00"/>
    <w:family w:val="roman"/>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A4E6E" w14:textId="77777777" w:rsidR="00233D2C" w:rsidRDefault="00233D2C" w:rsidP="004A1847">
      <w:pPr>
        <w:spacing w:after="0" w:line="240" w:lineRule="auto"/>
      </w:pPr>
      <w:r>
        <w:separator/>
      </w:r>
    </w:p>
  </w:footnote>
  <w:footnote w:type="continuationSeparator" w:id="0">
    <w:p w14:paraId="673944BF" w14:textId="77777777" w:rsidR="00233D2C" w:rsidRDefault="00233D2C" w:rsidP="004A1847">
      <w:pPr>
        <w:spacing w:after="0" w:line="240" w:lineRule="auto"/>
      </w:pPr>
      <w:r>
        <w:continuationSeparator/>
      </w:r>
    </w:p>
  </w:footnote>
  <w:footnote w:type="continuationNotice" w:id="1">
    <w:p w14:paraId="355181AD" w14:textId="77777777" w:rsidR="00233D2C" w:rsidRDefault="00233D2C">
      <w:pPr>
        <w:spacing w:after="0" w:line="240" w:lineRule="auto"/>
      </w:pPr>
    </w:p>
  </w:footnote>
  <w:footnote w:id="2">
    <w:p w14:paraId="601DD982" w14:textId="77777777" w:rsidR="00EC4560" w:rsidRPr="00E01A7B" w:rsidRDefault="00EC4560" w:rsidP="00EC4560">
      <w:pPr>
        <w:spacing w:after="0" w:line="240" w:lineRule="auto"/>
        <w:ind w:firstLine="709"/>
        <w:jc w:val="both"/>
        <w:rPr>
          <w:rFonts w:ascii="Verdana" w:hAnsi="Verdana" w:cs="Arial"/>
          <w:color w:val="000000"/>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E01A7B">
        <w:rPr>
          <w:rFonts w:ascii="Verdana" w:hAnsi="Verdana" w:cs="Arial"/>
          <w:color w:val="000000"/>
          <w:sz w:val="16"/>
          <w:szCs w:val="16"/>
        </w:rPr>
        <w:t>PODETTI, Humberto. El contrato de construcción. Buenos Aires: Editorial Astrea, 2004, p. 248.</w:t>
      </w:r>
    </w:p>
    <w:p w14:paraId="742E2F62" w14:textId="77777777" w:rsidR="00EC4560" w:rsidRPr="00E01A7B" w:rsidRDefault="00EC4560" w:rsidP="00EC4560">
      <w:pPr>
        <w:pStyle w:val="Textonotapie"/>
        <w:rPr>
          <w:rFonts w:ascii="Verdana" w:hAnsi="Verdana"/>
          <w:sz w:val="16"/>
          <w:szCs w:val="16"/>
          <w:lang w:val="es-CO"/>
        </w:rPr>
      </w:pPr>
    </w:p>
  </w:footnote>
  <w:footnote w:id="3">
    <w:p w14:paraId="2ADCB6AB" w14:textId="77777777" w:rsidR="00EC4560" w:rsidRPr="00574B7A" w:rsidRDefault="00EC4560" w:rsidP="00EC4560">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p w14:paraId="70587F88" w14:textId="77777777" w:rsidR="00EC4560" w:rsidRPr="00E01A7B" w:rsidRDefault="00EC4560" w:rsidP="00EC4560">
      <w:pPr>
        <w:pStyle w:val="Textonotapie"/>
        <w:rPr>
          <w:rFonts w:ascii="Verdana" w:hAnsi="Verdana"/>
          <w:sz w:val="16"/>
          <w:szCs w:val="16"/>
        </w:rPr>
      </w:pPr>
    </w:p>
  </w:footnote>
  <w:footnote w:id="4">
    <w:p w14:paraId="0E217434" w14:textId="77777777" w:rsidR="00EC4560" w:rsidRPr="00574B7A" w:rsidRDefault="00EC4560" w:rsidP="00EC4560">
      <w:pPr>
        <w:pStyle w:val="Textonotapie"/>
        <w:ind w:firstLine="709"/>
        <w:jc w:val="both"/>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Ibídem, pp. 103-104</w:t>
      </w:r>
    </w:p>
    <w:p w14:paraId="3473A2AB" w14:textId="77777777" w:rsidR="00EC4560" w:rsidRPr="00574B7A" w:rsidRDefault="00EC4560" w:rsidP="00EC4560">
      <w:pPr>
        <w:pStyle w:val="Textonotapie"/>
        <w:ind w:firstLine="709"/>
        <w:jc w:val="both"/>
        <w:rPr>
          <w:rFonts w:ascii="Verdana" w:hAnsi="Verdana"/>
          <w:sz w:val="16"/>
          <w:szCs w:val="16"/>
        </w:rPr>
      </w:pPr>
    </w:p>
  </w:footnote>
  <w:footnote w:id="5">
    <w:p w14:paraId="16BA163E"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Style w:val="Refdenotaalpie"/>
          <w:rFonts w:ascii="Verdana" w:hAnsi="Verdana"/>
          <w:sz w:val="19"/>
          <w:szCs w:val="19"/>
        </w:rPr>
        <w:footnoteRef/>
      </w:r>
      <w:r w:rsidRPr="00753D0A">
        <w:rPr>
          <w:rFonts w:ascii="Verdana" w:hAnsi="Verdana"/>
          <w:sz w:val="19"/>
          <w:szCs w:val="19"/>
        </w:rPr>
        <w:t xml:space="preserve"> </w:t>
      </w:r>
      <w:r w:rsidRPr="00753D0A">
        <w:rPr>
          <w:rFonts w:ascii="Verdana" w:hAnsi="Verdana" w:cs="Arial"/>
          <w:sz w:val="19"/>
          <w:szCs w:val="19"/>
        </w:rPr>
        <w:t xml:space="preserve">“Artículo 4.  Bienes o servicios adicionales a la obra pública de infraestructura  social. Cuando el objeto contractual incluya bienes o servicios ajenos a la obra pública de infraestructura social,  la entidad estatal deberá aplicar los documentos tipo.  Si de manera excepcional requiere incluir experiencia adicional  para evaluar la idoneidad respecto de los bienes o servicios ajenos a [a obra pública, deberá seguir los siguientes parámetros: </w:t>
      </w:r>
    </w:p>
    <w:p w14:paraId="7BF4183E"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1.  Demostrar en los  estudios previos que  ha  verificado  las  condiciones  de  mercado  para  la adquisición de  los bienes o servicios adicionales al componente de obra pública,  de manera que  la experiencia adicional que se exija  para tales  bienes  o servicios procure  la  pluralidad  de oferentes, y no limite la concurrencia de proponentes al proceso de contratación. Para tal efecto, la entidad realizará el estudio previo y el análisis del sector en los términos de los artículos 2.2.1.1.1.6.1 y  2.2.1.1.1.6.2 del  Decreto  1082  de  2015,  o  la  norma  que  los  adicione, complemente o sustituya. </w:t>
      </w:r>
    </w:p>
    <w:p w14:paraId="5E530CEA"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2.  Conservar los requisitos exigidos en los documentos tipo. </w:t>
      </w:r>
    </w:p>
    <w:p w14:paraId="332359BB"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3. Abstenerse de pedir experiencia exclusiva con entidades de cualquier naturaleza, experiencia previa exclusiva en un territorio específico, limitada en el tiempo o que incluya volúmenes o cantidades de obra específica. </w:t>
      </w:r>
    </w:p>
    <w:p w14:paraId="6E3623E9"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4.  Clasificar la experiencia requerida solo hasta el tercer nivel del Clasificador de Bienes y Servicios e incluir exclusivamente los códigos que estén relacionados directamente con el objeto a contratar. </w:t>
      </w:r>
    </w:p>
    <w:p w14:paraId="2E0C9EB4"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Parágrafo 1.  En los casos que el objeto contractual incluya actividades abarcadas por otros documentos tipo expedidos por la Agencia Nacional de Contratación Pública -Colombia Compra Eficiente-, la entidad estatal podrá aplicar las reglas de combinación de experiencia previstas en el numeral 3.5.1 del documento base. </w:t>
      </w:r>
    </w:p>
    <w:p w14:paraId="35311903" w14:textId="77777777" w:rsidR="00EC4560" w:rsidRPr="00753D0A" w:rsidRDefault="00EC4560" w:rsidP="00EC4560">
      <w:pPr>
        <w:pStyle w:val="Textonotapie"/>
        <w:spacing w:after="120"/>
        <w:ind w:firstLine="708"/>
        <w:jc w:val="both"/>
        <w:rPr>
          <w:rFonts w:ascii="Verdana" w:hAnsi="Verdana" w:cs="Arial"/>
          <w:sz w:val="19"/>
          <w:szCs w:val="19"/>
        </w:rPr>
      </w:pPr>
      <w:r w:rsidRPr="00753D0A">
        <w:rPr>
          <w:rFonts w:ascii="Verdana" w:hAnsi="Verdana" w:cs="Arial"/>
          <w:sz w:val="19"/>
          <w:szCs w:val="19"/>
        </w:rPr>
        <w:t xml:space="preserve">Parágrafo 2.  Para los efectos de este artículo se entiende por "bienes o servicios adicionales" aquellas actividades que no están incluidas en la matriz de experiencia de los documentos tipo de infraestructura social aplicable, pero que están relacionadas con el contrato  a ejecutar.  Por ejemplo, en   caso   de   que   el   proyecto   de   obra   pública   a   ejecutar esté   relacionado   con infraestructura social, como es el sector educativo, pero además, con proyectos de agua potable y saneamiento básico o con proyectos en la construcción de una vía, el servicio adicional serán las actividades  de obra pública en infraestructura de  agua  potable y saneamiento  básico o  las actividades de obra pública de infraestructura de transporte. </w:t>
      </w:r>
    </w:p>
    <w:p w14:paraId="379955B7" w14:textId="77777777" w:rsidR="00EC4560" w:rsidRPr="00753D0A" w:rsidRDefault="00EC4560" w:rsidP="00EC4560">
      <w:pPr>
        <w:pStyle w:val="Textonotapie"/>
        <w:spacing w:after="120"/>
        <w:ind w:firstLine="708"/>
        <w:jc w:val="both"/>
        <w:rPr>
          <w:rFonts w:ascii="Verdana" w:hAnsi="Verdana"/>
          <w:sz w:val="19"/>
          <w:szCs w:val="19"/>
          <w:lang w:val="es-CO"/>
        </w:rPr>
      </w:pPr>
      <w:r w:rsidRPr="00753D0A">
        <w:rPr>
          <w:rFonts w:ascii="Verdana" w:hAnsi="Verdana" w:cs="Arial"/>
          <w:sz w:val="19"/>
          <w:szCs w:val="19"/>
        </w:rPr>
        <w:t>Parágrafo 3.  Para la aplicación  de este artículo, se entiende por experiencia adicional  aquella que no está definida en  la matriz de experiencia de infraestructura social aplicable,  pero que la entidad estatal considera necesaria para garantizar la idoneidad del contratista para la ejecución del proyecto, puesto que está relacionada con el objeto a ejecutar</w:t>
      </w:r>
    </w:p>
    <w:p w14:paraId="107A2E37" w14:textId="77777777" w:rsidR="00EC4560" w:rsidRPr="00753D0A" w:rsidRDefault="00EC4560" w:rsidP="00EC4560">
      <w:pPr>
        <w:pStyle w:val="Textonotapie"/>
        <w:rPr>
          <w:rFonts w:ascii="Verdana" w:hAnsi="Verdana"/>
          <w:sz w:val="19"/>
          <w:szCs w:val="19"/>
          <w:lang w:val="es-CO"/>
        </w:rPr>
      </w:pPr>
    </w:p>
  </w:footnote>
  <w:footnote w:id="6">
    <w:p w14:paraId="3A4BBA90" w14:textId="77777777" w:rsidR="00EC4560" w:rsidRPr="00753D0A" w:rsidRDefault="00EC4560" w:rsidP="00EC4560">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06410434" w14:textId="77777777" w:rsidR="00EC4560" w:rsidRPr="00753D0A" w:rsidRDefault="00EC4560" w:rsidP="00EC4560">
      <w:pPr>
        <w:pStyle w:val="Textonotapie"/>
        <w:ind w:firstLine="708"/>
        <w:jc w:val="both"/>
        <w:rPr>
          <w:rFonts w:ascii="Verdana" w:hAnsi="Verdana"/>
          <w:sz w:val="19"/>
          <w:szCs w:val="19"/>
        </w:rPr>
      </w:pPr>
    </w:p>
    <w:p w14:paraId="074AE2DC" w14:textId="77777777" w:rsidR="00EC4560" w:rsidRPr="00753D0A" w:rsidRDefault="00EC4560" w:rsidP="00EC4560">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EEDCC97" w14:textId="77777777" w:rsidR="00EC4560" w:rsidRPr="00753D0A" w:rsidRDefault="00EC4560" w:rsidP="00EC4560">
      <w:pPr>
        <w:pStyle w:val="Textonotapie"/>
        <w:ind w:firstLine="708"/>
        <w:jc w:val="both"/>
        <w:rPr>
          <w:rFonts w:ascii="Verdana" w:hAnsi="Verdana"/>
          <w:sz w:val="19"/>
          <w:szCs w:val="19"/>
        </w:rPr>
      </w:pPr>
    </w:p>
    <w:p w14:paraId="63CE9F4F" w14:textId="77777777" w:rsidR="00EC4560" w:rsidRPr="00753D0A" w:rsidRDefault="00EC4560" w:rsidP="00EC4560">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 w:id="7">
    <w:p w14:paraId="08C28D78"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Style w:val="Refdenotaalpie"/>
          <w:rFonts w:ascii="Verdana" w:hAnsi="Verdana"/>
          <w:sz w:val="19"/>
          <w:szCs w:val="19"/>
        </w:rPr>
        <w:footnoteRef/>
      </w:r>
      <w:r w:rsidRPr="00753D0A">
        <w:rPr>
          <w:rFonts w:ascii="Verdana" w:hAnsi="Verdana"/>
          <w:sz w:val="19"/>
          <w:szCs w:val="19"/>
        </w:rPr>
        <w:t xml:space="preserve"> “</w:t>
      </w:r>
      <w:r w:rsidRPr="00753D0A">
        <w:rPr>
          <w:rFonts w:ascii="Verdana" w:hAnsi="Verdana" w:cs="Arial"/>
          <w:color w:val="000000" w:themeColor="text1"/>
          <w:sz w:val="19"/>
          <w:szCs w:val="19"/>
        </w:rPr>
        <w:t>Artículo 4.  Obras, bienes o servicios adicionales a la obra pública de infraestructura social. Cuando el objeto contractual incluya obras, bienes o servicios adicionales a la de obra pública de infraestructura social, la entidad estatal deberá aplicar los documentos tipo. Si de manera excepcional requiere incluir experiencia adicional para evaluar la idoneidad respecto de las obras, bienes o servicios adicionales a la obra pública de infraestructura social, deberá seguir los siguientes parámetros:</w:t>
      </w:r>
    </w:p>
    <w:p w14:paraId="2AB9DA0F"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 xml:space="preserve">1. Demostrar en los estudios previos que ha verificado las condiciones de mercado para la adquisición de las obras, bienes o servicios adicionales al componente de obra pública, de tal manera que la experiencia adicional que se exija para tales obras, bienes o servicios procure la pluralidad de oferentes y no limite la concurrencia al proceso de contratación. </w:t>
      </w:r>
    </w:p>
    <w:p w14:paraId="36EF4465"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Para tal efecto, la entidad realizará el estudio previo y el análisis del sector en los términos de los artículos 2.2.1.1.1.6.1 y 2.2.1.1.1.6.2 del Decreto 1082 de 2015, o la norma que los adicione, complemente o sustituya.</w:t>
      </w:r>
    </w:p>
    <w:p w14:paraId="141FB375"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2. Conservar los requisitos exigidos en los documentos tipo.</w:t>
      </w:r>
    </w:p>
    <w:p w14:paraId="1F343E09"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 xml:space="preserve">3. Abstenerse de pedir experiencia exclusiva con entidades estatales, experiencia previa en un territorio específico, limitada en el tiempo o que incluya volúmenes o cantidades de obra específica. </w:t>
      </w:r>
    </w:p>
    <w:p w14:paraId="323CB164"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4. Clasificar la experiencia requerida solo hasta el tercer nivel del Clasificador de Bienes y Servicios e incluir exclusivamente los códigos que estén relacionados directamente con el objeto a contratar.</w:t>
      </w:r>
    </w:p>
    <w:p w14:paraId="5D6E262A"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Parágrafo 1°. En los casos que el objeto contractual incluya actividades abarcadas por otros documentos tipo, la Entidad Estatal aplicará las reglas de combinación de experiencia previstas en el numeral 3.5.1 del documento base.</w:t>
      </w:r>
    </w:p>
    <w:p w14:paraId="65BAF51E"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 xml:space="preserve">Parágrafo 2°. Para los efectos de este artículo se entiende por “obras, bienes o servicios adicionales” aquellas actividades que no están incluidas en la matriz de experiencia de los documentos tipo de infraestructura social aplicable o de otras matrices de experiencia de documentos tipo adoptados por esta Agencia que se encuentren vigentes, pero que están relacionadas con el contrato a ejecutar.  </w:t>
      </w:r>
    </w:p>
    <w:p w14:paraId="505A7443" w14:textId="77777777" w:rsidR="00EC4560" w:rsidRPr="00753D0A" w:rsidRDefault="00EC4560" w:rsidP="00EC4560">
      <w:pPr>
        <w:spacing w:line="240" w:lineRule="auto"/>
        <w:ind w:right="-86" w:firstLine="708"/>
        <w:jc w:val="both"/>
        <w:rPr>
          <w:rFonts w:ascii="Verdana" w:hAnsi="Verdana" w:cs="Arial"/>
          <w:color w:val="000000" w:themeColor="text1"/>
          <w:sz w:val="19"/>
          <w:szCs w:val="19"/>
        </w:rPr>
      </w:pPr>
      <w:r w:rsidRPr="00753D0A">
        <w:rPr>
          <w:rFonts w:ascii="Verdana" w:hAnsi="Verdana" w:cs="Arial"/>
          <w:color w:val="000000" w:themeColor="text1"/>
          <w:sz w:val="19"/>
          <w:szCs w:val="19"/>
        </w:rPr>
        <w:t>Parágrafo 3°. Para la aplicación de este artículo, se entiende por experiencia adicional aquella que no está definida en la matriz de experiencia de infraestructura social aplicable o de otras matrices de experiencia de documentos tipo adoptados por esta Agencia que se encuentren vigentes, pero que la Entidad Estatal considera necesaria para garantizar la idoneidad del contratista para la ejecución del proyecto, puesto que está relacionada con el objeto a ejecutar.</w:t>
      </w:r>
    </w:p>
    <w:p w14:paraId="392B0B8D" w14:textId="77777777" w:rsidR="00EC4560" w:rsidRPr="00753D0A" w:rsidRDefault="00EC4560" w:rsidP="00EC4560">
      <w:pPr>
        <w:spacing w:line="240" w:lineRule="auto"/>
        <w:ind w:right="-86"/>
        <w:jc w:val="both"/>
        <w:rPr>
          <w:rFonts w:ascii="Verdana" w:hAnsi="Verdana"/>
          <w:sz w:val="19"/>
          <w:szCs w:val="19"/>
        </w:rPr>
      </w:pPr>
      <w:r w:rsidRPr="00753D0A">
        <w:rPr>
          <w:rFonts w:ascii="Verdana" w:hAnsi="Verdana" w:cs="Arial"/>
          <w:color w:val="000000" w:themeColor="text1"/>
          <w:sz w:val="19"/>
          <w:szCs w:val="19"/>
        </w:rPr>
        <w:t xml:space="preserve"> </w:t>
      </w:r>
      <w:r w:rsidRPr="00753D0A">
        <w:rPr>
          <w:rFonts w:ascii="Verdana" w:hAnsi="Verdana" w:cs="Arial"/>
          <w:color w:val="000000" w:themeColor="text1"/>
          <w:sz w:val="19"/>
          <w:szCs w:val="19"/>
        </w:rPr>
        <w:tab/>
        <w:t xml:space="preserve">Parágrafo 4°. </w:t>
      </w:r>
      <w:r w:rsidRPr="00753D0A">
        <w:rPr>
          <w:rFonts w:ascii="Verdana" w:hAnsi="Verdana"/>
          <w:sz w:val="19"/>
          <w:szCs w:val="19"/>
        </w:rPr>
        <w:t>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w:t>
      </w:r>
    </w:p>
    <w:p w14:paraId="4366F890" w14:textId="77777777" w:rsidR="00EC4560" w:rsidRPr="00753D0A" w:rsidRDefault="00EC4560" w:rsidP="00EC4560">
      <w:pPr>
        <w:spacing w:line="240" w:lineRule="auto"/>
        <w:ind w:firstLine="708"/>
        <w:jc w:val="both"/>
        <w:rPr>
          <w:rFonts w:ascii="Verdana" w:hAnsi="Verdana"/>
          <w:sz w:val="19"/>
          <w:szCs w:val="19"/>
        </w:rPr>
      </w:pPr>
      <w:r w:rsidRPr="00753D0A">
        <w:rPr>
          <w:rFonts w:ascii="Verdana" w:hAnsi="Verdana"/>
          <w:sz w:val="19"/>
          <w:szCs w:val="19"/>
        </w:rPr>
        <w:t>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footnote>
  <w:footnote w:id="8">
    <w:p w14:paraId="605A8C12" w14:textId="77777777" w:rsidR="00EC4560" w:rsidRPr="00574B7A" w:rsidRDefault="00EC4560" w:rsidP="00EC4560">
      <w:pPr>
        <w:pStyle w:val="Textonotapie"/>
        <w:ind w:firstLine="708"/>
        <w:jc w:val="both"/>
        <w:rPr>
          <w:rFonts w:ascii="Verdana" w:hAnsi="Verdana"/>
          <w:sz w:val="16"/>
          <w:szCs w:val="16"/>
        </w:rPr>
      </w:pPr>
      <w:r w:rsidRPr="00540128">
        <w:rPr>
          <w:rStyle w:val="Refdenotaalpie"/>
          <w:rFonts w:ascii="Verdana" w:hAnsi="Verdana"/>
          <w:sz w:val="16"/>
          <w:szCs w:val="16"/>
        </w:rPr>
        <w:footnoteRef/>
      </w:r>
      <w:r w:rsidRPr="00540128">
        <w:rPr>
          <w:rFonts w:ascii="Verdana" w:hAnsi="Verdana"/>
          <w:sz w:val="16"/>
          <w:szCs w:val="16"/>
        </w:rPr>
        <w:t xml:space="preserve"> </w:t>
      </w:r>
      <w:r w:rsidRPr="00540128">
        <w:rPr>
          <w:rFonts w:ascii="Verdana" w:hAnsi="Verdana" w:cs="Arial"/>
          <w:sz w:val="16"/>
          <w:szCs w:val="16"/>
        </w:rPr>
        <w:t>Al respecto, la doctrina explica lo siguiente: “En la práctica jurídico-empresarial es muy habitual que también se aluda a este contrato utilizando la denominación “</w:t>
      </w:r>
      <w:r w:rsidRPr="00540128">
        <w:rPr>
          <w:rFonts w:ascii="Verdana" w:hAnsi="Verdana" w:cs="Arial"/>
          <w:i/>
          <w:iCs/>
          <w:sz w:val="16"/>
          <w:szCs w:val="16"/>
        </w:rPr>
        <w:t>turnkey contract</w:t>
      </w:r>
      <w:r w:rsidRPr="00540128">
        <w:rPr>
          <w:rFonts w:ascii="Verdana" w:hAnsi="Verdana" w:cs="Arial"/>
          <w:sz w:val="16"/>
          <w:szCs w:val="16"/>
        </w:rPr>
        <w:t xml:space="preserve">” –en referencia al término en inglés que ilustra la esencia del contracto, puesto que el cliente solo tiene que “girar la llave” para disfrutar de su prestación–. En ocasiones, se recurre asimismo a la noción de “contrato EPC”, cuyas siglas corresponden con las del inglés </w:t>
      </w:r>
      <w:r w:rsidRPr="00540128">
        <w:rPr>
          <w:rFonts w:ascii="Verdana" w:hAnsi="Verdana" w:cs="Arial"/>
          <w:i/>
          <w:iCs/>
          <w:sz w:val="16"/>
          <w:szCs w:val="16"/>
        </w:rPr>
        <w:t>Engineering, Procurement, Construction</w:t>
      </w:r>
      <w:r w:rsidRPr="00540128">
        <w:rPr>
          <w:rFonts w:ascii="Verdana" w:hAnsi="Verdana" w:cs="Arial"/>
          <w:sz w:val="16"/>
          <w:szCs w:val="16"/>
        </w:rPr>
        <w:t xml:space="preserve">, en alusión a las múltiples prestaciones que este engloba […]” (Cfr. ABRIL, Antonio. Los contratos mercantiles y su aplicación práctica. Madrid: Bosch, 2017. p 553).  </w:t>
      </w:r>
    </w:p>
  </w:footnote>
  <w:footnote w:id="9">
    <w:p w14:paraId="0CBC6DA0" w14:textId="77777777" w:rsidR="00EC4560" w:rsidRPr="00E01A7B" w:rsidRDefault="00EC4560" w:rsidP="00EC4560">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footnote>
  <w:footnote w:id="10">
    <w:p w14:paraId="33C659DC" w14:textId="77777777" w:rsidR="00EC4560" w:rsidRPr="00591DEA" w:rsidRDefault="00EC4560" w:rsidP="00EC4560">
      <w:pPr>
        <w:pStyle w:val="Textonotapie"/>
        <w:ind w:firstLine="708"/>
        <w:rPr>
          <w:rFonts w:ascii="Verdana" w:hAnsi="Verdana"/>
          <w:sz w:val="16"/>
          <w:szCs w:val="16"/>
          <w:lang w:val="es-ES"/>
        </w:rPr>
      </w:pPr>
      <w:r w:rsidRPr="00574B7A">
        <w:rPr>
          <w:rStyle w:val="Refdenotaalpie"/>
          <w:rFonts w:ascii="Verdana" w:hAnsi="Verdana"/>
          <w:sz w:val="16"/>
          <w:szCs w:val="16"/>
        </w:rPr>
        <w:footnoteRef/>
      </w:r>
      <w:r w:rsidRPr="00574B7A">
        <w:rPr>
          <w:rFonts w:ascii="Verdana" w:hAnsi="Verdana"/>
          <w:sz w:val="16"/>
          <w:szCs w:val="16"/>
        </w:rPr>
        <w:t xml:space="preserve"> AGENCIA NACIONAL DE CONTRATACIÓN PÚBLICA –COLOMBIA COMPRA EFICIENTE. </w:t>
      </w:r>
      <w:r w:rsidRPr="00574B7A">
        <w:rPr>
          <w:rFonts w:ascii="Verdana" w:hAnsi="Verdana"/>
          <w:sz w:val="16"/>
          <w:szCs w:val="16"/>
          <w:lang w:val="es-ES"/>
        </w:rPr>
        <w:t>Guía para los procesos de contratación de obra pública. Pág 9.</w:t>
      </w:r>
    </w:p>
  </w:footnote>
  <w:footnote w:id="11">
    <w:p w14:paraId="5B721261" w14:textId="77777777" w:rsidR="00EC4560" w:rsidRPr="00574B7A" w:rsidRDefault="00EC4560" w:rsidP="00EC4560">
      <w:pPr>
        <w:pStyle w:val="Textonotapie"/>
        <w:ind w:firstLine="709"/>
        <w:jc w:val="both"/>
        <w:rPr>
          <w:rFonts w:ascii="Verdana" w:hAnsi="Verdana" w:cs="Arial"/>
          <w:sz w:val="16"/>
          <w:szCs w:val="16"/>
        </w:rPr>
      </w:pPr>
      <w:r w:rsidRPr="00574B7A">
        <w:rPr>
          <w:rStyle w:val="Refdenotaalpie"/>
          <w:rFonts w:ascii="Verdana" w:hAnsi="Verdana"/>
          <w:sz w:val="16"/>
          <w:szCs w:val="16"/>
        </w:rPr>
        <w:footnoteRef/>
      </w:r>
      <w:r w:rsidRPr="00574B7A">
        <w:rPr>
          <w:rFonts w:ascii="Verdana" w:hAnsi="Verdana"/>
          <w:sz w:val="16"/>
          <w:szCs w:val="16"/>
        </w:rPr>
        <w:t xml:space="preserve"> </w:t>
      </w:r>
      <w:r w:rsidRPr="00574B7A">
        <w:rPr>
          <w:rFonts w:ascii="Verdana" w:hAnsi="Verdana" w:cs="Arial"/>
          <w:sz w:val="16"/>
          <w:szCs w:val="16"/>
          <w:lang w:val="es-CO"/>
        </w:rPr>
        <w:t xml:space="preserve">DIAN. Concepto No. </w:t>
      </w:r>
      <w:r w:rsidRPr="00574B7A">
        <w:rPr>
          <w:rFonts w:ascii="Verdana" w:hAnsi="Verdana" w:cs="Arial"/>
          <w:sz w:val="16"/>
          <w:szCs w:val="16"/>
        </w:rPr>
        <w:t>32082 del 30 de mayo de 2002.</w:t>
      </w:r>
    </w:p>
  </w:footnote>
  <w:footnote w:id="12">
    <w:p w14:paraId="4237FBB0" w14:textId="77777777" w:rsidR="00EC4560" w:rsidRPr="00574B7A" w:rsidRDefault="00EC4560" w:rsidP="00EC4560">
      <w:pPr>
        <w:spacing w:after="0"/>
        <w:ind w:firstLine="709"/>
        <w:jc w:val="both"/>
        <w:rPr>
          <w:rFonts w:ascii="Verdana" w:hAnsi="Verdana" w:cs="Arial"/>
          <w:color w:val="000000" w:themeColor="text1"/>
          <w:sz w:val="16"/>
          <w:szCs w:val="16"/>
          <w:lang w:val="pt-BR"/>
        </w:rPr>
      </w:pPr>
      <w:r w:rsidRPr="00574B7A">
        <w:rPr>
          <w:rStyle w:val="Refdenotaalpie"/>
          <w:rFonts w:ascii="Verdana" w:hAnsi="Verdana" w:cs="Arial"/>
          <w:color w:val="000000" w:themeColor="text1"/>
          <w:sz w:val="16"/>
          <w:szCs w:val="16"/>
        </w:rPr>
        <w:footnoteRef/>
      </w:r>
      <w:r w:rsidRPr="00574B7A">
        <w:rPr>
          <w:rFonts w:ascii="Verdana" w:hAnsi="Verdana" w:cs="Arial"/>
          <w:color w:val="000000" w:themeColor="text1"/>
          <w:sz w:val="16"/>
          <w:szCs w:val="16"/>
        </w:rPr>
        <w:t xml:space="preserve"> PODETTI, Humberto. El contrato de construcción. </w:t>
      </w:r>
      <w:r w:rsidRPr="00574B7A">
        <w:rPr>
          <w:rFonts w:ascii="Verdana" w:hAnsi="Verdana" w:cs="Arial"/>
          <w:color w:val="000000" w:themeColor="text1"/>
          <w:sz w:val="16"/>
          <w:szCs w:val="16"/>
          <w:lang w:val="pt-BR"/>
        </w:rPr>
        <w:t>Buenos Aires: Editorial Astrea, 2004, p. 248.</w:t>
      </w:r>
    </w:p>
  </w:footnote>
  <w:footnote w:id="13">
    <w:p w14:paraId="78BF70B7" w14:textId="77777777" w:rsidR="00EC4560" w:rsidRPr="00574B7A" w:rsidRDefault="00EC4560" w:rsidP="00EC4560">
      <w:pPr>
        <w:spacing w:after="0"/>
        <w:ind w:firstLine="709"/>
        <w:jc w:val="both"/>
        <w:rPr>
          <w:rFonts w:ascii="Verdana" w:hAnsi="Verdana" w:cs="Arial"/>
          <w:color w:val="000000" w:themeColor="text1"/>
          <w:sz w:val="16"/>
          <w:szCs w:val="16"/>
          <w:lang w:val="pt-BR"/>
        </w:rPr>
      </w:pPr>
      <w:r w:rsidRPr="00574B7A">
        <w:rPr>
          <w:rStyle w:val="Refdenotaalpie"/>
          <w:rFonts w:ascii="Verdana" w:hAnsi="Verdana" w:cs="Arial"/>
          <w:color w:val="000000" w:themeColor="text1"/>
          <w:sz w:val="16"/>
          <w:szCs w:val="16"/>
        </w:rPr>
        <w:footnoteRef/>
      </w:r>
      <w:r w:rsidRPr="00574B7A">
        <w:rPr>
          <w:rFonts w:ascii="Verdana" w:hAnsi="Verdana" w:cs="Arial"/>
          <w:color w:val="000000" w:themeColor="text1"/>
          <w:sz w:val="16"/>
          <w:szCs w:val="16"/>
          <w:lang w:val="pt-BR"/>
        </w:rPr>
        <w:t xml:space="preserve"> </w:t>
      </w:r>
      <w:r w:rsidRPr="00574B7A">
        <w:rPr>
          <w:rFonts w:ascii="Verdana" w:hAnsi="Verdana" w:cs="Arial"/>
          <w:i/>
          <w:color w:val="000000" w:themeColor="text1"/>
          <w:sz w:val="16"/>
          <w:szCs w:val="16"/>
          <w:lang w:val="pt-BR"/>
        </w:rPr>
        <w:t>Ibidem</w:t>
      </w:r>
      <w:r w:rsidRPr="00574B7A">
        <w:rPr>
          <w:rFonts w:ascii="Verdana" w:hAnsi="Verdana" w:cs="Arial"/>
          <w:color w:val="000000" w:themeColor="text1"/>
          <w:sz w:val="16"/>
          <w:szCs w:val="16"/>
          <w:lang w:val="pt-BR"/>
        </w:rPr>
        <w:t xml:space="preserve">., pp. 248-249. </w:t>
      </w:r>
    </w:p>
  </w:footnote>
  <w:footnote w:id="14">
    <w:p w14:paraId="63541E41" w14:textId="77777777" w:rsidR="00EC4560" w:rsidRPr="00574B7A" w:rsidRDefault="00EC4560" w:rsidP="00EC4560">
      <w:pPr>
        <w:pStyle w:val="Textonotapie"/>
        <w:ind w:firstLine="708"/>
        <w:jc w:val="both"/>
        <w:rPr>
          <w:rFonts w:ascii="Verdana" w:hAnsi="Verdana"/>
          <w:sz w:val="16"/>
          <w:szCs w:val="16"/>
          <w:lang w:val="es-CO"/>
        </w:rPr>
      </w:pPr>
      <w:r w:rsidRPr="00574B7A">
        <w:rPr>
          <w:rStyle w:val="Refdenotaalpie"/>
          <w:rFonts w:ascii="Verdana" w:hAnsi="Verdana"/>
          <w:sz w:val="16"/>
          <w:szCs w:val="16"/>
        </w:rPr>
        <w:footnoteRef/>
      </w:r>
      <w:r w:rsidRPr="00574B7A">
        <w:rPr>
          <w:rFonts w:ascii="Verdana" w:hAnsi="Verdana"/>
          <w:sz w:val="16"/>
          <w:szCs w:val="16"/>
          <w:lang w:val="en-US"/>
        </w:rPr>
        <w:t xml:space="preserve"> United Nations Commission on International Trade Law, Thirty-First Session, New York, 1-12 June 1998, Privately Financed Infrastructure Projects. Draft chapters of a legislative guide on privately financed infrastructure projects, 2 de marzo de 1998. </w:t>
      </w:r>
      <w:r w:rsidRPr="00574B7A">
        <w:rPr>
          <w:rFonts w:ascii="Verdana" w:hAnsi="Verdana"/>
          <w:sz w:val="16"/>
          <w:szCs w:val="16"/>
          <w:lang w:val="es-CO"/>
        </w:rPr>
        <w:t xml:space="preserve">Disponible en </w:t>
      </w:r>
      <w:hyperlink r:id="rId1" w:history="1">
        <w:r w:rsidRPr="00574B7A">
          <w:rPr>
            <w:rStyle w:val="Hipervnculo"/>
            <w:rFonts w:ascii="Verdana" w:hAnsi="Verdana"/>
            <w:sz w:val="16"/>
            <w:szCs w:val="16"/>
            <w:lang w:val="es-CO"/>
          </w:rPr>
          <w:t>http://daccess-dds-ny.un.org/doc/ undoc/gen/v98/513/54/pdf/V9851354.pdf?OpenElement</w:t>
        </w:r>
      </w:hyperlink>
      <w:r w:rsidRPr="00574B7A">
        <w:rPr>
          <w:rFonts w:ascii="Verdana" w:hAnsi="Verdana"/>
          <w:sz w:val="16"/>
          <w:szCs w:val="16"/>
          <w:lang w:val="es-CO"/>
        </w:rPr>
        <w:t xml:space="preserve">. Citado en: CABARCAS GÓMEZ, Freddy M. Condiciones imprevistas en los contratos de infraestructura. Bogotá: Universidad Externado de Colombia.  </w:t>
      </w:r>
    </w:p>
  </w:footnote>
  <w:footnote w:id="15">
    <w:p w14:paraId="2D199488" w14:textId="77777777" w:rsidR="00EC4560" w:rsidRPr="00540128" w:rsidRDefault="00EC4560" w:rsidP="00EC4560">
      <w:pPr>
        <w:pStyle w:val="Textonotapie"/>
        <w:ind w:firstLine="709"/>
        <w:jc w:val="both"/>
        <w:rPr>
          <w:rFonts w:ascii="Verdana" w:hAnsi="Verdana" w:cs="Arial"/>
          <w:sz w:val="16"/>
          <w:szCs w:val="16"/>
          <w:lang w:val="es-CO"/>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Sección Cuarta. </w:t>
      </w:r>
      <w:r w:rsidRPr="00574B7A">
        <w:rPr>
          <w:rFonts w:ascii="Verdana" w:hAnsi="Verdana" w:cs="Arial"/>
          <w:sz w:val="16"/>
          <w:szCs w:val="16"/>
          <w:lang w:val="es-ES"/>
        </w:rPr>
        <w:t xml:space="preserve">Sentencia del 13 de marzo del 2008. C.P: Hector J. Romero Díaz. </w:t>
      </w:r>
      <w:r w:rsidRPr="00574B7A">
        <w:rPr>
          <w:rFonts w:ascii="Verdana" w:hAnsi="Verdana" w:cs="Arial"/>
          <w:sz w:val="16"/>
          <w:szCs w:val="16"/>
          <w:lang w:val="es-CO"/>
        </w:rPr>
        <w:t>Exp 15009.</w:t>
      </w:r>
    </w:p>
  </w:footnote>
  <w:footnote w:id="16">
    <w:p w14:paraId="4963F4FB" w14:textId="77777777" w:rsidR="00EC4560" w:rsidRPr="00540128" w:rsidRDefault="00EC4560" w:rsidP="00EC4560">
      <w:pPr>
        <w:pStyle w:val="Textonotapie"/>
        <w:ind w:firstLine="709"/>
        <w:jc w:val="both"/>
        <w:rPr>
          <w:rFonts w:ascii="Verdana" w:hAnsi="Verdana" w:cs="Arial"/>
          <w:sz w:val="16"/>
          <w:szCs w:val="16"/>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Sala de Consulta y Servicio Civil. 28 de marzo del 2017. C.P. Edgar González López. Rad.2331.</w:t>
      </w:r>
    </w:p>
  </w:footnote>
  <w:footnote w:id="17">
    <w:p w14:paraId="1ABA1747" w14:textId="77777777" w:rsidR="00EC4560" w:rsidRPr="00591DEA" w:rsidRDefault="00EC4560" w:rsidP="00EC4560">
      <w:pPr>
        <w:pStyle w:val="Textonotapie"/>
        <w:ind w:firstLine="709"/>
        <w:jc w:val="both"/>
        <w:rPr>
          <w:rFonts w:ascii="Verdana" w:hAnsi="Verdana" w:cs="Arial"/>
          <w:sz w:val="16"/>
          <w:szCs w:val="16"/>
        </w:rPr>
      </w:pPr>
      <w:r w:rsidRPr="00574B7A">
        <w:rPr>
          <w:rStyle w:val="Refdenotaalpie"/>
          <w:rFonts w:ascii="Verdana" w:hAnsi="Verdana" w:cs="Arial"/>
          <w:sz w:val="16"/>
          <w:szCs w:val="16"/>
        </w:rPr>
        <w:footnoteRef/>
      </w:r>
      <w:r w:rsidRPr="00574B7A">
        <w:rPr>
          <w:rFonts w:ascii="Verdana" w:hAnsi="Verdana" w:cs="Arial"/>
          <w:sz w:val="16"/>
          <w:szCs w:val="16"/>
          <w:lang w:val="es-CO"/>
        </w:rPr>
        <w:t xml:space="preserve"> </w:t>
      </w:r>
      <w:r w:rsidRPr="00574B7A">
        <w:rPr>
          <w:rFonts w:ascii="Verdana" w:hAnsi="Verdana" w:cs="Arial"/>
          <w:sz w:val="16"/>
          <w:szCs w:val="16"/>
        </w:rPr>
        <w:t>CÁMARA DE COMERCIO DE BOGOTÁ. Laudo TA-CCB-20040531 del 31 de mayo de 2004. Concesión Santa Marta Paraguachón vs. Instituto Nacional de Vías.</w:t>
      </w:r>
    </w:p>
  </w:footnote>
  <w:footnote w:id="18">
    <w:p w14:paraId="701BCD51" w14:textId="77777777" w:rsidR="00EC4560" w:rsidRPr="00591DEA" w:rsidRDefault="00EC4560" w:rsidP="00EC4560">
      <w:pPr>
        <w:spacing w:after="0"/>
        <w:ind w:firstLine="708"/>
        <w:jc w:val="both"/>
        <w:rPr>
          <w:rFonts w:ascii="Verdana" w:hAnsi="Verdana" w:cs="Courier New"/>
          <w:bCs/>
          <w:sz w:val="16"/>
          <w:szCs w:val="16"/>
        </w:rPr>
      </w:pPr>
      <w:r w:rsidRPr="00574B7A">
        <w:rPr>
          <w:rFonts w:ascii="Verdana" w:hAnsi="Verdana"/>
          <w:sz w:val="16"/>
          <w:szCs w:val="16"/>
        </w:rPr>
        <w:t xml:space="preserve"> </w:t>
      </w:r>
      <w:r w:rsidRPr="00574B7A">
        <w:rPr>
          <w:rStyle w:val="Refdenotaalpie"/>
          <w:rFonts w:ascii="Verdana" w:hAnsi="Verdana"/>
          <w:sz w:val="16"/>
          <w:szCs w:val="16"/>
        </w:rPr>
        <w:footnoteRef/>
      </w:r>
      <w:r w:rsidRPr="00574B7A">
        <w:rPr>
          <w:rFonts w:ascii="Verdana" w:hAnsi="Verdana"/>
          <w:sz w:val="16"/>
          <w:szCs w:val="16"/>
        </w:rPr>
        <w:t xml:space="preserve"> CONSEJO DE ESTADO. Sección Cuarta. Sentencia del 3 de marzo de 2008. C.P. Héctor J. Romero Díaz. Exp. 15009; Consejo de Estado. Sección Primera. Sentencia del 19 de septiembre de 2013. C.P. Marco Antonio Velilla Moreno. Rad. </w:t>
      </w:r>
      <w:r w:rsidRPr="00574B7A">
        <w:rPr>
          <w:rFonts w:ascii="Verdana" w:hAnsi="Verdana" w:cs="Courier New"/>
          <w:bCs/>
          <w:sz w:val="16"/>
          <w:szCs w:val="16"/>
        </w:rPr>
        <w:t xml:space="preserve">63001233100020120008901. </w:t>
      </w:r>
    </w:p>
  </w:footnote>
  <w:footnote w:id="19">
    <w:p w14:paraId="75A0840C" w14:textId="77777777" w:rsidR="00EC4560" w:rsidRPr="00574B7A" w:rsidRDefault="00EC4560" w:rsidP="00EC4560">
      <w:pPr>
        <w:pStyle w:val="Textonotapie"/>
        <w:ind w:firstLine="709"/>
        <w:jc w:val="both"/>
        <w:rPr>
          <w:rFonts w:ascii="Verdana" w:hAnsi="Verdana" w:cs="Arial"/>
          <w:sz w:val="16"/>
          <w:szCs w:val="16"/>
          <w:lang w:val="es-ES"/>
        </w:rPr>
      </w:pPr>
      <w:r w:rsidRPr="00540128">
        <w:rPr>
          <w:rStyle w:val="Refdenotaalpie"/>
          <w:rFonts w:ascii="Verdana" w:hAnsi="Verdana" w:cs="Arial"/>
          <w:sz w:val="16"/>
          <w:szCs w:val="16"/>
        </w:rPr>
        <w:footnoteRef/>
      </w:r>
      <w:r w:rsidRPr="00574B7A">
        <w:rPr>
          <w:rFonts w:ascii="Verdana" w:hAnsi="Verdana" w:cs="Arial"/>
          <w:sz w:val="16"/>
          <w:szCs w:val="16"/>
        </w:rPr>
        <w:t xml:space="preserve"> MATALLANA CAMACHO, Ernesto. </w:t>
      </w:r>
      <w:r w:rsidRPr="00574B7A">
        <w:rPr>
          <w:rFonts w:ascii="Verdana" w:hAnsi="Verdana" w:cs="Arial"/>
          <w:sz w:val="16"/>
          <w:szCs w:val="16"/>
          <w:lang w:val="es-ES"/>
        </w:rPr>
        <w:t>Manual de contratación de la administración pública: reforma de la Ley 80 de 1993. Bogotá. Universidad Externado de Colombia, 2015 – 4 edición. p. 957.</w:t>
      </w:r>
    </w:p>
  </w:footnote>
  <w:footnote w:id="20">
    <w:p w14:paraId="29F6C8A8" w14:textId="77777777" w:rsidR="00EC4560" w:rsidRPr="004F3389" w:rsidRDefault="00EC4560" w:rsidP="00EC4560">
      <w:pPr>
        <w:pStyle w:val="Textonotapie"/>
        <w:ind w:firstLine="709"/>
        <w:jc w:val="both"/>
        <w:rPr>
          <w:rFonts w:ascii="Verdana" w:hAnsi="Verdana" w:cs="Vrinda"/>
          <w:sz w:val="16"/>
          <w:szCs w:val="16"/>
        </w:rPr>
      </w:pPr>
      <w:r w:rsidRPr="004F3389">
        <w:rPr>
          <w:rStyle w:val="Refdenotaalpie"/>
          <w:rFonts w:ascii="Verdana" w:hAnsi="Verdana" w:cs="Vrinda"/>
          <w:sz w:val="16"/>
          <w:szCs w:val="16"/>
        </w:rPr>
        <w:footnoteRef/>
      </w:r>
      <w:r w:rsidRPr="004F3389">
        <w:rPr>
          <w:rFonts w:ascii="Verdana" w:hAnsi="Verdana" w:cs="Vrinda"/>
          <w:sz w:val="16"/>
          <w:szCs w:val="16"/>
        </w:rPr>
        <w:t xml:space="preserve"> Consejo de Estado. Sección Tercera. Subsección C. Sentencia del 29 de abril de 2015. Exp. 31.620. Consejera Ponente: Olga Mélida Valle De De La Hoz (E).</w:t>
      </w:r>
    </w:p>
    <w:p w14:paraId="7B7C9817" w14:textId="77777777" w:rsidR="00EC4560" w:rsidRPr="004F3389" w:rsidRDefault="00EC4560" w:rsidP="00EC4560">
      <w:pPr>
        <w:pStyle w:val="Textonotapie"/>
        <w:ind w:firstLine="709"/>
        <w:jc w:val="both"/>
        <w:rPr>
          <w:rFonts w:ascii="Verdana" w:hAnsi="Verdana" w:cs="Vrinda"/>
          <w:sz w:val="16"/>
          <w:szCs w:val="16"/>
          <w:lang w:val="es-CO"/>
        </w:rPr>
      </w:pPr>
    </w:p>
  </w:footnote>
  <w:footnote w:id="21">
    <w:p w14:paraId="75E399FF" w14:textId="77777777" w:rsidR="00EC4560" w:rsidRPr="004F3389" w:rsidRDefault="00EC4560" w:rsidP="00EC4560">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w:t>
      </w:r>
      <w:r w:rsidRPr="004F3389">
        <w:rPr>
          <w:rFonts w:ascii="Verdana" w:hAnsi="Verdana"/>
          <w:sz w:val="16"/>
          <w:szCs w:val="16"/>
          <w:lang w:val="es-ES" w:bidi="es-ES"/>
        </w:rPr>
        <w:t xml:space="preserve">(Cfr. Sección Tercera. Sentencia del 22 de junio de 2001. Radicado 13.436. </w:t>
      </w:r>
      <w:r w:rsidRPr="004F3389">
        <w:rPr>
          <w:rFonts w:ascii="Verdana" w:hAnsi="Verdana"/>
          <w:i/>
          <w:sz w:val="16"/>
          <w:szCs w:val="16"/>
          <w:lang w:val="es-ES" w:bidi="es-ES"/>
        </w:rPr>
        <w:t>Citada en</w:t>
      </w:r>
      <w:r w:rsidRPr="004F3389">
        <w:rPr>
          <w:rFonts w:ascii="Verdana" w:hAnsi="Verdana"/>
          <w:sz w:val="16"/>
          <w:szCs w:val="16"/>
          <w:lang w:val="es-ES" w:bidi="es-ES"/>
        </w:rPr>
        <w:t>: Sección Cuarta. Sentencia del 23 de septiembre de 2013. Radicado 18.752. Consejero Ponente: Jorge Octavio Ramírez Ramírez).</w:t>
      </w:r>
    </w:p>
  </w:footnote>
  <w:footnote w:id="22">
    <w:p w14:paraId="3797BE34" w14:textId="77777777" w:rsidR="00EC4560" w:rsidRPr="004F3389" w:rsidRDefault="00EC4560" w:rsidP="00EC4560">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DÁVILA VINUEZA, Luis Guillermo. Régimen jurídico de la contratación estatal. Bogotá: Legis, 2016. p. 600.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D15298"/>
    <w:multiLevelType w:val="hybridMultilevel"/>
    <w:tmpl w:val="36BAD374"/>
    <w:lvl w:ilvl="0" w:tplc="9FCE4B0A">
      <w:start w:val="13"/>
      <w:numFmt w:val="upperLetter"/>
      <w:lvlText w:val="%1."/>
      <w:lvlJc w:val="left"/>
      <w:pPr>
        <w:ind w:left="1429" w:hanging="360"/>
      </w:pPr>
      <w:rPr>
        <w:rFonts w:hint="default"/>
      </w:rPr>
    </w:lvl>
    <w:lvl w:ilvl="1" w:tplc="240A0019">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A8A22F4"/>
    <w:multiLevelType w:val="multilevel"/>
    <w:tmpl w:val="86DE9B04"/>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rPr>
        <w:rFonts w:ascii="Verdana" w:eastAsia="Times New Roman" w:hAnsi="Verdana" w:cs="Times New Roman"/>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5F708C7"/>
    <w:multiLevelType w:val="hybridMultilevel"/>
    <w:tmpl w:val="5842566E"/>
    <w:lvl w:ilvl="0" w:tplc="791A7C06">
      <w:start w:val="1"/>
      <w:numFmt w:val="decimal"/>
      <w:lvlText w:val="%1."/>
      <w:lvlJc w:val="left"/>
      <w:pPr>
        <w:ind w:left="720" w:hanging="360"/>
      </w:pPr>
      <w:rPr>
        <w:rFonts w:asciiTheme="minorHAnsi" w:hAnsiTheme="minorHAnsi"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EE5754D"/>
    <w:multiLevelType w:val="hybridMultilevel"/>
    <w:tmpl w:val="C58656B4"/>
    <w:lvl w:ilvl="0" w:tplc="53B23544">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1183320839">
    <w:abstractNumId w:val="13"/>
  </w:num>
  <w:num w:numId="20" w16cid:durableId="278076291">
    <w:abstractNumId w:val="18"/>
  </w:num>
  <w:num w:numId="21" w16cid:durableId="720246293">
    <w:abstractNumId w:val="3"/>
  </w:num>
  <w:num w:numId="22" w16cid:durableId="7353177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91E"/>
    <w:rsid w:val="00082362"/>
    <w:rsid w:val="000A683E"/>
    <w:rsid w:val="000B19B9"/>
    <w:rsid w:val="000D0334"/>
    <w:rsid w:val="000D5DA7"/>
    <w:rsid w:val="000F6486"/>
    <w:rsid w:val="00116940"/>
    <w:rsid w:val="00125105"/>
    <w:rsid w:val="00127233"/>
    <w:rsid w:val="0015699B"/>
    <w:rsid w:val="001A201E"/>
    <w:rsid w:val="001A33BF"/>
    <w:rsid w:val="001A4D8B"/>
    <w:rsid w:val="001E4177"/>
    <w:rsid w:val="001F0B24"/>
    <w:rsid w:val="001F7DC6"/>
    <w:rsid w:val="0022400B"/>
    <w:rsid w:val="0022562D"/>
    <w:rsid w:val="00233D2C"/>
    <w:rsid w:val="002421BB"/>
    <w:rsid w:val="0025796E"/>
    <w:rsid w:val="002707A2"/>
    <w:rsid w:val="002951A0"/>
    <w:rsid w:val="002962BC"/>
    <w:rsid w:val="002A093D"/>
    <w:rsid w:val="002A0DD0"/>
    <w:rsid w:val="002A49AC"/>
    <w:rsid w:val="002A64FD"/>
    <w:rsid w:val="002C7A84"/>
    <w:rsid w:val="002E1AC4"/>
    <w:rsid w:val="002E2BF8"/>
    <w:rsid w:val="002E4FD9"/>
    <w:rsid w:val="0030657A"/>
    <w:rsid w:val="00322A85"/>
    <w:rsid w:val="00324168"/>
    <w:rsid w:val="00330834"/>
    <w:rsid w:val="003448F4"/>
    <w:rsid w:val="00374F5E"/>
    <w:rsid w:val="00377E3E"/>
    <w:rsid w:val="00386038"/>
    <w:rsid w:val="003A779E"/>
    <w:rsid w:val="003D0F4D"/>
    <w:rsid w:val="003D5B0D"/>
    <w:rsid w:val="003E0499"/>
    <w:rsid w:val="003E4F80"/>
    <w:rsid w:val="003E6439"/>
    <w:rsid w:val="003E78B6"/>
    <w:rsid w:val="003F3941"/>
    <w:rsid w:val="00406575"/>
    <w:rsid w:val="00414C74"/>
    <w:rsid w:val="0042722E"/>
    <w:rsid w:val="0044528D"/>
    <w:rsid w:val="00460F7D"/>
    <w:rsid w:val="00466E39"/>
    <w:rsid w:val="004A1847"/>
    <w:rsid w:val="004A305D"/>
    <w:rsid w:val="004F21C4"/>
    <w:rsid w:val="004F685F"/>
    <w:rsid w:val="005566E8"/>
    <w:rsid w:val="00574867"/>
    <w:rsid w:val="00591460"/>
    <w:rsid w:val="005A65E0"/>
    <w:rsid w:val="005C13D5"/>
    <w:rsid w:val="005C3777"/>
    <w:rsid w:val="005C5CDC"/>
    <w:rsid w:val="005D476C"/>
    <w:rsid w:val="006200BF"/>
    <w:rsid w:val="006219F8"/>
    <w:rsid w:val="006302F7"/>
    <w:rsid w:val="00646B9F"/>
    <w:rsid w:val="00665D70"/>
    <w:rsid w:val="00684005"/>
    <w:rsid w:val="006900D9"/>
    <w:rsid w:val="00706C16"/>
    <w:rsid w:val="007340C3"/>
    <w:rsid w:val="00740DCB"/>
    <w:rsid w:val="00741D1E"/>
    <w:rsid w:val="0075235A"/>
    <w:rsid w:val="00756841"/>
    <w:rsid w:val="007649AB"/>
    <w:rsid w:val="00771D0C"/>
    <w:rsid w:val="007833AC"/>
    <w:rsid w:val="007B268C"/>
    <w:rsid w:val="007B7171"/>
    <w:rsid w:val="007C0C0F"/>
    <w:rsid w:val="007C3DC2"/>
    <w:rsid w:val="007E5497"/>
    <w:rsid w:val="007F4601"/>
    <w:rsid w:val="00802DC9"/>
    <w:rsid w:val="00806F5F"/>
    <w:rsid w:val="0081246F"/>
    <w:rsid w:val="00820278"/>
    <w:rsid w:val="008258C9"/>
    <w:rsid w:val="00844AE9"/>
    <w:rsid w:val="00855DD6"/>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45E8"/>
    <w:rsid w:val="00B2211F"/>
    <w:rsid w:val="00B26B97"/>
    <w:rsid w:val="00B44A47"/>
    <w:rsid w:val="00B72CD3"/>
    <w:rsid w:val="00B72FFF"/>
    <w:rsid w:val="00BC3D36"/>
    <w:rsid w:val="00BD54A6"/>
    <w:rsid w:val="00BD7F72"/>
    <w:rsid w:val="00BF7425"/>
    <w:rsid w:val="00C04FB3"/>
    <w:rsid w:val="00C11D8B"/>
    <w:rsid w:val="00C15139"/>
    <w:rsid w:val="00C165EF"/>
    <w:rsid w:val="00C330EB"/>
    <w:rsid w:val="00C50D69"/>
    <w:rsid w:val="00C5365C"/>
    <w:rsid w:val="00C754BE"/>
    <w:rsid w:val="00C76B1C"/>
    <w:rsid w:val="00C925AC"/>
    <w:rsid w:val="00CB6357"/>
    <w:rsid w:val="00CC1B26"/>
    <w:rsid w:val="00CF0722"/>
    <w:rsid w:val="00D3322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1EBF"/>
    <w:rsid w:val="00E50AFE"/>
    <w:rsid w:val="00E526D0"/>
    <w:rsid w:val="00E75C92"/>
    <w:rsid w:val="00E771DC"/>
    <w:rsid w:val="00E8772A"/>
    <w:rsid w:val="00E90F6B"/>
    <w:rsid w:val="00E92C27"/>
    <w:rsid w:val="00E93A07"/>
    <w:rsid w:val="00EA0E3D"/>
    <w:rsid w:val="00EC38A7"/>
    <w:rsid w:val="00EC4560"/>
    <w:rsid w:val="00EC6C23"/>
    <w:rsid w:val="00EE1AA8"/>
    <w:rsid w:val="00F23FEA"/>
    <w:rsid w:val="00F31EDC"/>
    <w:rsid w:val="00F462B3"/>
    <w:rsid w:val="00F5543E"/>
    <w:rsid w:val="00F5664F"/>
    <w:rsid w:val="00F666C4"/>
    <w:rsid w:val="00F76AFC"/>
    <w:rsid w:val="00F808E1"/>
    <w:rsid w:val="00F80CFC"/>
    <w:rsid w:val="00FA47C0"/>
    <w:rsid w:val="00FB5DD1"/>
    <w:rsid w:val="00FC2B5D"/>
    <w:rsid w:val="00FE3C05"/>
    <w:rsid w:val="00FF1449"/>
    <w:rsid w:val="00FF7963"/>
    <w:rsid w:val="083714D9"/>
    <w:rsid w:val="09908A09"/>
    <w:rsid w:val="09ED305C"/>
    <w:rsid w:val="13CFC91B"/>
    <w:rsid w:val="15BEE420"/>
    <w:rsid w:val="17226ABE"/>
    <w:rsid w:val="18DE5679"/>
    <w:rsid w:val="19A2EC2C"/>
    <w:rsid w:val="1A1A80A3"/>
    <w:rsid w:val="1AD22C32"/>
    <w:rsid w:val="1C06A710"/>
    <w:rsid w:val="1D5E89A9"/>
    <w:rsid w:val="1D95CCBC"/>
    <w:rsid w:val="22687529"/>
    <w:rsid w:val="279FB252"/>
    <w:rsid w:val="2859CA1B"/>
    <w:rsid w:val="29217B5B"/>
    <w:rsid w:val="2BCB623B"/>
    <w:rsid w:val="32575301"/>
    <w:rsid w:val="32A4F9CF"/>
    <w:rsid w:val="3503484D"/>
    <w:rsid w:val="356CEDFD"/>
    <w:rsid w:val="403A49CF"/>
    <w:rsid w:val="426EBC9C"/>
    <w:rsid w:val="42DA7226"/>
    <w:rsid w:val="4467BD16"/>
    <w:rsid w:val="492DF582"/>
    <w:rsid w:val="4A4DC93F"/>
    <w:rsid w:val="58B72527"/>
    <w:rsid w:val="592699C5"/>
    <w:rsid w:val="5FFA8D8C"/>
    <w:rsid w:val="60BAD169"/>
    <w:rsid w:val="67D6A755"/>
    <w:rsid w:val="69614A15"/>
    <w:rsid w:val="6F792D6F"/>
    <w:rsid w:val="74804444"/>
    <w:rsid w:val="74F4B994"/>
    <w:rsid w:val="77166C68"/>
    <w:rsid w:val="7B7C06EF"/>
    <w:rsid w:val="7BB183BC"/>
    <w:rsid w:val="7C01EE02"/>
    <w:rsid w:val="7E35EF3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C4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C456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daccess-dds-ny.un.org/doc/%20undoc/gen/v98/513/54/pdf/V9851354.pdf?OpenElemen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0FC7631-55A0-457E-A885-539365A1B9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37</Pages>
  <Words>12676</Words>
  <Characters>69846</Characters>
  <Application>Microsoft Office Word</Application>
  <DocSecurity>0</DocSecurity>
  <Lines>1293</Lines>
  <Paragraphs>193</Paragraphs>
  <ScaleCrop>false</ScaleCrop>
  <Company/>
  <LinksUpToDate>false</LinksUpToDate>
  <CharactersWithSpaces>82329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2025-11-27T21:15:00Z</dcterms:created>
  <dcterms:modified xsi:type="dcterms:W3CDTF">2025-12-02T14:14:00Z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