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E26E6" w14:textId="77777777" w:rsidR="00C84DC3" w:rsidRDefault="00C84DC3" w:rsidP="00C84DC3">
      <w:pPr>
        <w:pStyle w:val="Textoindependiente"/>
        <w:spacing w:line="259" w:lineRule="auto"/>
        <w:ind w:right="5683"/>
      </w:pPr>
      <w:bookmarkStart w:id="0" w:name="_Hlk143780582"/>
    </w:p>
    <w:p w14:paraId="223AA573" w14:textId="77777777" w:rsidR="00C84DC3" w:rsidRDefault="00C84DC3" w:rsidP="00C84DC3">
      <w:pPr>
        <w:pStyle w:val="Textoindependiente"/>
        <w:spacing w:line="259" w:lineRule="auto"/>
        <w:ind w:right="5683"/>
      </w:pPr>
    </w:p>
    <w:p w14:paraId="2DABCB05" w14:textId="77777777" w:rsidR="00C84DC3" w:rsidRDefault="00C84DC3" w:rsidP="00C84DC3">
      <w:pPr>
        <w:pStyle w:val="Textoindependiente"/>
        <w:spacing w:line="259" w:lineRule="auto"/>
        <w:ind w:right="5683"/>
      </w:pPr>
    </w:p>
    <w:p w14:paraId="083F9583" w14:textId="77777777" w:rsidR="00C84DC3" w:rsidRPr="00A47E64" w:rsidRDefault="00C84DC3" w:rsidP="00C84DC3">
      <w:pPr>
        <w:spacing w:before="100" w:beforeAutospacing="1" w:after="100" w:afterAutospacing="1" w:line="240" w:lineRule="auto"/>
        <w:jc w:val="both"/>
        <w:rPr>
          <w:rFonts w:ascii="Verdana" w:eastAsia="Times New Roman" w:hAnsi="Verdana" w:cs="Times New Roman"/>
          <w:b/>
          <w:bCs/>
          <w:lang w:eastAsia="es-MX"/>
        </w:rPr>
      </w:pPr>
      <w:bookmarkStart w:id="1" w:name="OLE_LINK3"/>
      <w:r w:rsidRPr="00A47E64">
        <w:rPr>
          <w:rFonts w:ascii="Verdana" w:eastAsia="Times New Roman" w:hAnsi="Verdana" w:cs="Times New Roman"/>
          <w:b/>
          <w:bCs/>
          <w:lang w:eastAsia="es-MX"/>
        </w:rPr>
        <w:t>LEY DE GARANTÍAS ELECTORALES – Restricciones contractuales – Comicios aplicables - Destinatarios</w:t>
      </w:r>
    </w:p>
    <w:p w14:paraId="0A5775FF" w14:textId="77777777" w:rsidR="00C84DC3" w:rsidRPr="00A47E64" w:rsidRDefault="00C84DC3" w:rsidP="00C84DC3">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el artículo 33 de la Ley 996 de 2005 prohíbe “[…] la contratación directa por parte de todos los entes del Estado” durante los cuatro (4) meses anteriores a las elecciones presidenciales ,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EECED18" w14:textId="58565BFA" w:rsidR="00C84DC3" w:rsidRPr="00C84DC3" w:rsidRDefault="00C84DC3" w:rsidP="00C84DC3">
      <w:pPr>
        <w:jc w:val="both"/>
        <w:rPr>
          <w:rFonts w:ascii="Verdana" w:hAnsi="Verdana"/>
        </w:rPr>
      </w:pPr>
      <w:r w:rsidRPr="00C84DC3">
        <w:rPr>
          <w:rFonts w:ascii="Verdana" w:hAnsi="Verdana"/>
          <w:lang w:eastAsia="es-MX"/>
        </w:rPr>
        <w:t>[…],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5927AA59" w14:textId="77777777" w:rsidR="00F962DF" w:rsidRDefault="00F962DF" w:rsidP="00F962DF">
      <w:pPr>
        <w:pStyle w:val="NormalWeb"/>
        <w:spacing w:line="276" w:lineRule="auto"/>
        <w:jc w:val="both"/>
        <w:rPr>
          <w:rStyle w:val="citation-71"/>
          <w:rFonts w:ascii="Verdana" w:hAnsi="Verdana"/>
          <w:sz w:val="22"/>
          <w:szCs w:val="22"/>
        </w:rPr>
      </w:pPr>
      <w:r w:rsidRPr="00F962DF">
        <w:rPr>
          <w:rFonts w:ascii="Verdana" w:hAnsi="Verdana"/>
          <w:b/>
          <w:bCs/>
          <w:sz w:val="22"/>
          <w:szCs w:val="22"/>
        </w:rPr>
        <w:t>LEY DE GARANTÍAS ELECTORALES – Convenios interadministrativos – Ámbito de aplicación temporal – Distinción por nivel territorial</w:t>
      </w:r>
      <w:r w:rsidRPr="00F962DF">
        <w:rPr>
          <w:rFonts w:ascii="Verdana" w:hAnsi="Verdana"/>
          <w:sz w:val="22"/>
          <w:szCs w:val="22"/>
        </w:rPr>
        <w:t xml:space="preserve"> </w:t>
      </w:r>
    </w:p>
    <w:p w14:paraId="556E9315" w14:textId="46FD77CF" w:rsidR="00F962DF" w:rsidRPr="00F962DF" w:rsidRDefault="00F962DF" w:rsidP="00F962DF">
      <w:pPr>
        <w:pStyle w:val="NormalWeb"/>
        <w:jc w:val="both"/>
        <w:rPr>
          <w:rFonts w:ascii="Verdana" w:hAnsi="Verdana"/>
          <w:sz w:val="22"/>
          <w:szCs w:val="22"/>
        </w:rPr>
      </w:pPr>
      <w:r>
        <w:rPr>
          <w:rStyle w:val="citation-71"/>
          <w:rFonts w:ascii="Verdana" w:hAnsi="Verdana"/>
          <w:sz w:val="22"/>
          <w:szCs w:val="22"/>
        </w:rPr>
        <w:t>F</w:t>
      </w:r>
      <w:r w:rsidRPr="00F962DF">
        <w:rPr>
          <w:rStyle w:val="citation-71"/>
          <w:rFonts w:ascii="Verdana" w:hAnsi="Verdana"/>
          <w:sz w:val="22"/>
          <w:szCs w:val="22"/>
        </w:rPr>
        <w:t xml:space="preserve">rente a la inquietud sobre a partir de qué fecha quedan prohibidos los convenios interadministrativos, se debe distinguir el nivel de la entidad, pues si se trata de entidades del orden territorial como gobernaciones, alcaldías o sus descentralizadas, la restricción para celebrar convenios interadministrativos que impliquen la ejecución de recursos públicos entró en vigencia el 8 de noviembre de 2025, es decir, cuatro meses antes de las elecciones al Congreso; por el contrario, para las entidades del orden nacional, esta prohibición específica no aplica desde noviembre, sino que se activa a partir del 31 de enero de 2026, fecha en la cual entra en vigor la restricción general a la contratación directa prevista para los cuatro meses anteriores a la elección presidencial, aunque en la práctica, si el convenio se pretende suscribir con un ente territorial, la </w:t>
      </w:r>
      <w:r w:rsidRPr="00F962DF">
        <w:rPr>
          <w:rStyle w:val="citation-71"/>
          <w:rFonts w:ascii="Verdana" w:hAnsi="Verdana"/>
          <w:sz w:val="22"/>
          <w:szCs w:val="22"/>
        </w:rPr>
        <w:lastRenderedPageBreak/>
        <w:t>inviabilidad jurídica surge desde el momento en que este último queda inhabilitado en noviembre"</w:t>
      </w:r>
      <w:r w:rsidRPr="00F962DF">
        <w:rPr>
          <w:rFonts w:ascii="Verdana" w:hAnsi="Verdana"/>
          <w:sz w:val="22"/>
          <w:szCs w:val="22"/>
        </w:rPr>
        <w:t>.</w:t>
      </w:r>
    </w:p>
    <w:p w14:paraId="0E0D67D2" w14:textId="61F313B4" w:rsidR="00F962DF" w:rsidRPr="00F962DF" w:rsidRDefault="00F962DF" w:rsidP="00F962DF">
      <w:pPr>
        <w:pStyle w:val="NormalWeb"/>
        <w:jc w:val="both"/>
        <w:rPr>
          <w:rFonts w:ascii="Verdana" w:hAnsi="Verdana"/>
          <w:sz w:val="22"/>
          <w:szCs w:val="22"/>
        </w:rPr>
      </w:pPr>
      <w:r w:rsidRPr="00F962DF">
        <w:rPr>
          <w:rStyle w:val="citation-70"/>
          <w:rFonts w:ascii="Verdana" w:hAnsi="Verdana"/>
          <w:sz w:val="22"/>
          <w:szCs w:val="22"/>
        </w:rPr>
        <w:t>"[...] es imperativo acoger el cambio jurisprudencial introducido por la Sentencia del Consejo de Estado del 17 de octubre de 2025, expediente 70.313, la cual aclaró que la restricción del parágrafo del artículo 38 de la Ley 996 de 2005 aplica exclusivamente a los convenios y no a los contratos; en consecuencia, para las entidades del orden territorial, los contratos interadministrativos conmutativos y de contenido patrimonial no están prohibidos desde noviembre, sino que podrán celebrarse válidamente hasta el 30 de enero de 2026, fecha límite antes de que inicie la restricción de la Ley de Garantías Presidenciales que prohíbe la contratación directa a todos los entes del Estado"</w:t>
      </w:r>
      <w:r w:rsidRPr="00F962DF">
        <w:rPr>
          <w:rFonts w:ascii="Verdana" w:hAnsi="Verdana"/>
          <w:sz w:val="22"/>
          <w:szCs w:val="22"/>
        </w:rPr>
        <w:t>.</w:t>
      </w:r>
    </w:p>
    <w:p w14:paraId="30B494F3" w14:textId="4A19377A" w:rsidR="00F962DF" w:rsidRDefault="00F962DF" w:rsidP="00F962DF">
      <w:pPr>
        <w:pStyle w:val="NormalWeb"/>
        <w:spacing w:line="276" w:lineRule="auto"/>
        <w:jc w:val="both"/>
        <w:rPr>
          <w:rFonts w:ascii="Verdana" w:hAnsi="Verdana"/>
          <w:sz w:val="22"/>
          <w:szCs w:val="22"/>
        </w:rPr>
      </w:pPr>
      <w:r w:rsidRPr="00F962DF">
        <w:rPr>
          <w:rFonts w:ascii="Verdana" w:hAnsi="Verdana"/>
          <w:b/>
          <w:bCs/>
          <w:sz w:val="22"/>
          <w:szCs w:val="22"/>
        </w:rPr>
        <w:t>LEY DE GARANTÍAS ELECTORALES – Contratos de prestación de servicios profesionales y de apoyo a la gestión – Modalidad de contratación directa</w:t>
      </w:r>
    </w:p>
    <w:p w14:paraId="335498F0" w14:textId="10769812" w:rsidR="00F962DF" w:rsidRPr="00F962DF" w:rsidRDefault="00F962DF" w:rsidP="00F962DF">
      <w:pPr>
        <w:pStyle w:val="NormalWeb"/>
        <w:spacing w:line="276" w:lineRule="auto"/>
        <w:jc w:val="both"/>
        <w:rPr>
          <w:rFonts w:ascii="Verdana" w:hAnsi="Verdana"/>
          <w:sz w:val="22"/>
          <w:szCs w:val="22"/>
        </w:rPr>
      </w:pPr>
      <w:r w:rsidRPr="00F962DF">
        <w:rPr>
          <w:rStyle w:val="citation-69"/>
          <w:rFonts w:ascii="Verdana" w:hAnsi="Verdana"/>
          <w:sz w:val="22"/>
          <w:szCs w:val="22"/>
        </w:rPr>
        <w:t>"[...] finalmente, en relación con los contratos de prestación de servicios profesionales y de apoyo a la gestión, la regla general indica que, al tramitarse mediante la modalidad de contratación directa, su celebración queda prohibida tanto para entidades del orden nacional como para las del orden territorial a partir del 31 de enero de 2026, fecha que marca el inicio de los cuatro meses anteriores a la primera vuelta presidencial"</w:t>
      </w:r>
    </w:p>
    <w:p w14:paraId="65D8EC33" w14:textId="77777777" w:rsidR="00C84DC3" w:rsidRPr="00F962DF" w:rsidRDefault="00C84DC3" w:rsidP="00C84DC3">
      <w:pPr>
        <w:pStyle w:val="Textoindependiente"/>
        <w:spacing w:line="259" w:lineRule="auto"/>
        <w:ind w:right="5683"/>
        <w:rPr>
          <w:lang w:val="es-CO"/>
        </w:rPr>
      </w:pPr>
    </w:p>
    <w:p w14:paraId="2F57DF1B" w14:textId="77777777" w:rsidR="00C84DC3" w:rsidRDefault="00C84DC3" w:rsidP="00C84DC3">
      <w:pPr>
        <w:pStyle w:val="Textoindependiente"/>
        <w:spacing w:line="259" w:lineRule="auto"/>
        <w:ind w:right="5683"/>
      </w:pPr>
    </w:p>
    <w:bookmarkEnd w:id="1"/>
    <w:p w14:paraId="5F1BB7A6" w14:textId="77777777" w:rsidR="00C84DC3" w:rsidRDefault="00C84DC3" w:rsidP="00C84DC3">
      <w:pPr>
        <w:pStyle w:val="Textoindependiente"/>
        <w:spacing w:line="259" w:lineRule="auto"/>
        <w:ind w:right="5683"/>
      </w:pPr>
    </w:p>
    <w:p w14:paraId="3D911A7E" w14:textId="77777777" w:rsidR="00C84DC3" w:rsidRDefault="00C84DC3" w:rsidP="00C84DC3">
      <w:pPr>
        <w:pStyle w:val="Textoindependiente"/>
        <w:spacing w:line="259" w:lineRule="auto"/>
        <w:ind w:right="5683"/>
      </w:pPr>
    </w:p>
    <w:p w14:paraId="086FF301" w14:textId="77777777" w:rsidR="00C84DC3" w:rsidRDefault="00C84DC3" w:rsidP="00C84DC3">
      <w:pPr>
        <w:pStyle w:val="Textoindependiente"/>
        <w:spacing w:line="259" w:lineRule="auto"/>
        <w:ind w:right="5683"/>
      </w:pPr>
    </w:p>
    <w:p w14:paraId="6AB6BCA1" w14:textId="77777777" w:rsidR="00C84DC3" w:rsidRDefault="00C84DC3" w:rsidP="00C84DC3">
      <w:pPr>
        <w:pStyle w:val="Textoindependiente"/>
        <w:spacing w:line="259" w:lineRule="auto"/>
        <w:ind w:right="5683"/>
      </w:pPr>
    </w:p>
    <w:p w14:paraId="702DF988" w14:textId="77777777" w:rsidR="00C84DC3" w:rsidRDefault="00C84DC3" w:rsidP="00C84DC3">
      <w:pPr>
        <w:pStyle w:val="Textoindependiente"/>
        <w:spacing w:line="259" w:lineRule="auto"/>
        <w:ind w:right="5683"/>
      </w:pPr>
    </w:p>
    <w:p w14:paraId="34590A49" w14:textId="77777777" w:rsidR="00C84DC3" w:rsidRDefault="00C84DC3" w:rsidP="00C84DC3">
      <w:pPr>
        <w:pStyle w:val="Textoindependiente"/>
        <w:spacing w:line="259" w:lineRule="auto"/>
        <w:ind w:right="5683"/>
      </w:pPr>
    </w:p>
    <w:p w14:paraId="45090DFC" w14:textId="77777777" w:rsidR="00C84DC3" w:rsidRDefault="00C84DC3" w:rsidP="00C84DC3">
      <w:pPr>
        <w:pStyle w:val="Textoindependiente"/>
        <w:spacing w:line="259" w:lineRule="auto"/>
        <w:ind w:right="5683"/>
      </w:pPr>
    </w:p>
    <w:p w14:paraId="1583C583" w14:textId="77777777" w:rsidR="00C84DC3" w:rsidRDefault="00C84DC3" w:rsidP="00C84DC3">
      <w:pPr>
        <w:pStyle w:val="Textoindependiente"/>
        <w:spacing w:line="259" w:lineRule="auto"/>
        <w:ind w:right="5683"/>
      </w:pPr>
    </w:p>
    <w:p w14:paraId="69A393BC" w14:textId="77777777" w:rsidR="00C84DC3" w:rsidRDefault="00C84DC3" w:rsidP="00C84DC3">
      <w:pPr>
        <w:pStyle w:val="Textoindependiente"/>
        <w:spacing w:line="259" w:lineRule="auto"/>
        <w:ind w:right="5683"/>
      </w:pPr>
    </w:p>
    <w:p w14:paraId="74F1C56E" w14:textId="77777777" w:rsidR="00C84DC3" w:rsidRDefault="00C84DC3" w:rsidP="00C84DC3">
      <w:pPr>
        <w:pStyle w:val="Textoindependiente"/>
        <w:spacing w:line="259" w:lineRule="auto"/>
        <w:ind w:right="5683"/>
      </w:pPr>
    </w:p>
    <w:p w14:paraId="212DCDBB" w14:textId="77777777" w:rsidR="00C84DC3" w:rsidRDefault="00C84DC3" w:rsidP="00C84DC3">
      <w:pPr>
        <w:pStyle w:val="Textoindependiente"/>
        <w:spacing w:line="259" w:lineRule="auto"/>
        <w:ind w:right="5683"/>
      </w:pPr>
    </w:p>
    <w:p w14:paraId="5661A428" w14:textId="77777777" w:rsidR="00C84DC3" w:rsidRDefault="00C84DC3" w:rsidP="00C84DC3">
      <w:pPr>
        <w:pStyle w:val="Textoindependiente"/>
        <w:spacing w:line="259" w:lineRule="auto"/>
        <w:ind w:right="5683"/>
      </w:pPr>
    </w:p>
    <w:p w14:paraId="058CDE7A" w14:textId="77777777" w:rsidR="00C84DC3" w:rsidRDefault="00C84DC3" w:rsidP="00C84DC3">
      <w:pPr>
        <w:pStyle w:val="Textoindependiente"/>
        <w:spacing w:line="259" w:lineRule="auto"/>
        <w:ind w:right="5683"/>
      </w:pPr>
    </w:p>
    <w:p w14:paraId="4ACDC336" w14:textId="19823367" w:rsidR="00C84DC3" w:rsidRDefault="00C84DC3" w:rsidP="00C84DC3">
      <w:pPr>
        <w:pStyle w:val="Textoindependiente"/>
        <w:spacing w:line="259" w:lineRule="auto"/>
        <w:ind w:right="5683"/>
      </w:pPr>
    </w:p>
    <w:p w14:paraId="52C6C1DD" w14:textId="5AF4A633" w:rsidR="00C84DC3" w:rsidRDefault="00C84DC3" w:rsidP="00C84DC3">
      <w:pPr>
        <w:pStyle w:val="Textoindependiente"/>
        <w:spacing w:before="21"/>
      </w:pPr>
    </w:p>
    <w:p w14:paraId="09061E86" w14:textId="31CDF16C" w:rsidR="00C84DC3" w:rsidRDefault="00F962DF" w:rsidP="00CC6F27">
      <w:pPr>
        <w:spacing w:after="0" w:line="240" w:lineRule="auto"/>
        <w:jc w:val="both"/>
        <w:rPr>
          <w:rFonts w:ascii="Verdana" w:hAnsi="Verdana"/>
        </w:rPr>
      </w:pPr>
      <w:r>
        <w:rPr>
          <w:rFonts w:ascii="Verdana" w:hAnsi="Verdana"/>
        </w:rPr>
        <w:t>Bogotá D.C., 28 Noviembre 2025</w:t>
      </w:r>
    </w:p>
    <w:p w14:paraId="6A08932B" w14:textId="32FAB1FD" w:rsidR="00F962DF" w:rsidRDefault="00F962DF" w:rsidP="00CC6F27">
      <w:pPr>
        <w:spacing w:after="0" w:line="240" w:lineRule="auto"/>
        <w:jc w:val="both"/>
        <w:rPr>
          <w:rFonts w:ascii="Verdana" w:eastAsia="Calibri" w:hAnsi="Verdana" w:cs="Arial"/>
          <w:lang w:val="es-ES" w:eastAsia="es-ES"/>
        </w:rPr>
      </w:pPr>
      <w:r>
        <w:rPr>
          <w:noProof/>
        </w:rPr>
        <w:drawing>
          <wp:anchor distT="0" distB="0" distL="0" distR="0" simplePos="0" relativeHeight="251659264" behindDoc="0" locked="0" layoutInCell="1" allowOverlap="1" wp14:anchorId="05FCEB5D" wp14:editId="3C8E514A">
            <wp:simplePos x="0" y="0"/>
            <wp:positionH relativeFrom="page">
              <wp:posOffset>4003829</wp:posOffset>
            </wp:positionH>
            <wp:positionV relativeFrom="paragraph">
              <wp:posOffset>39777</wp:posOffset>
            </wp:positionV>
            <wp:extent cx="2825781" cy="899663"/>
            <wp:effectExtent l="0" t="0" r="0" b="254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875618" cy="915530"/>
                    </a:xfrm>
                    <a:prstGeom prst="rect">
                      <a:avLst/>
                    </a:prstGeom>
                  </pic:spPr>
                </pic:pic>
              </a:graphicData>
            </a:graphic>
            <wp14:sizeRelH relativeFrom="margin">
              <wp14:pctWidth>0</wp14:pctWidth>
            </wp14:sizeRelH>
          </wp:anchor>
        </w:drawing>
      </w:r>
    </w:p>
    <w:p w14:paraId="02F7C4F7" w14:textId="15FDFE22" w:rsidR="00CC6F27" w:rsidRPr="0023217C" w:rsidRDefault="00CC6F27" w:rsidP="00CC6F27">
      <w:pPr>
        <w:spacing w:after="0" w:line="240" w:lineRule="auto"/>
        <w:jc w:val="both"/>
        <w:rPr>
          <w:rFonts w:ascii="Verdana" w:eastAsia="Calibri" w:hAnsi="Verdana" w:cs="Arial"/>
          <w:lang w:val="es-ES" w:eastAsia="es-ES"/>
        </w:rPr>
      </w:pPr>
      <w:r w:rsidRPr="0023217C">
        <w:rPr>
          <w:rFonts w:ascii="Verdana" w:eastAsia="Calibri" w:hAnsi="Verdana" w:cs="Arial"/>
          <w:lang w:val="es-ES" w:eastAsia="es-ES"/>
        </w:rPr>
        <w:t>Señor</w:t>
      </w:r>
    </w:p>
    <w:p w14:paraId="764BE91B" w14:textId="091FAD85" w:rsidR="00CC6F27" w:rsidRPr="0023217C" w:rsidRDefault="00CC6F27" w:rsidP="00CC6F27">
      <w:pPr>
        <w:spacing w:after="0" w:line="240" w:lineRule="auto"/>
        <w:rPr>
          <w:rFonts w:ascii="Verdana" w:eastAsia="Calibri" w:hAnsi="Verdana" w:cs="Arial"/>
          <w:b/>
          <w:lang w:val="es-ES_tradnl" w:eastAsia="es-ES_tradnl"/>
        </w:rPr>
      </w:pPr>
      <w:r w:rsidRPr="0023217C">
        <w:rPr>
          <w:rFonts w:ascii="Verdana" w:eastAsia="Calibri" w:hAnsi="Verdana" w:cs="Arial"/>
          <w:b/>
          <w:lang w:val="es-ES_tradnl" w:eastAsia="es-ES_tradnl"/>
        </w:rPr>
        <w:t>Carlos Barrio</w:t>
      </w:r>
    </w:p>
    <w:p w14:paraId="593AA58C" w14:textId="77777777" w:rsidR="00CC6F27" w:rsidRPr="0023217C" w:rsidRDefault="00CC6F27" w:rsidP="00CC6F27">
      <w:pPr>
        <w:spacing w:after="0" w:line="240" w:lineRule="auto"/>
        <w:rPr>
          <w:rFonts w:ascii="Verdana" w:eastAsia="Calibri" w:hAnsi="Verdana" w:cs="Arial"/>
          <w:u w:val="single"/>
          <w:lang w:val="es-ES" w:eastAsia="es-ES"/>
        </w:rPr>
      </w:pPr>
      <w:r w:rsidRPr="0023217C">
        <w:rPr>
          <w:rFonts w:ascii="Verdana" w:eastAsia="Calibri" w:hAnsi="Verdana" w:cs="Arial"/>
          <w:u w:val="single"/>
          <w:lang w:val="es-ES" w:eastAsia="es-ES"/>
        </w:rPr>
        <w:t>controlcaribe2018@gmail.com</w:t>
      </w:r>
    </w:p>
    <w:p w14:paraId="39EDDC7A" w14:textId="77777777" w:rsidR="00CC6F27" w:rsidRPr="0023217C" w:rsidRDefault="00CC6F27" w:rsidP="00CC6F27">
      <w:pPr>
        <w:spacing w:after="0" w:line="240" w:lineRule="auto"/>
        <w:rPr>
          <w:rFonts w:ascii="Verdana" w:eastAsia="Calibri" w:hAnsi="Verdana" w:cs="Arial"/>
          <w:b/>
          <w:bCs/>
          <w:lang w:val="es-ES" w:eastAsia="es-ES"/>
        </w:rPr>
      </w:pPr>
      <w:r w:rsidRPr="0023217C">
        <w:rPr>
          <w:rFonts w:ascii="Verdana" w:eastAsia="Calibri" w:hAnsi="Verdana" w:cs="Arial"/>
          <w:lang w:val="es-ES" w:eastAsia="es-ES"/>
        </w:rPr>
        <w:t>Bogotá, D.C</w:t>
      </w:r>
      <w:r w:rsidRPr="0023217C">
        <w:rPr>
          <w:rFonts w:ascii="Verdana" w:eastAsia="Calibri" w:hAnsi="Verdana" w:cs="Arial"/>
          <w:b/>
          <w:bCs/>
          <w:lang w:val="es-ES" w:eastAsia="es-ES"/>
        </w:rPr>
        <w:t xml:space="preserve"> </w:t>
      </w:r>
    </w:p>
    <w:p w14:paraId="75300E62" w14:textId="77777777" w:rsidR="00CC6F27" w:rsidRPr="0023217C" w:rsidRDefault="00CC6F27" w:rsidP="00CC6F27">
      <w:pPr>
        <w:spacing w:after="0" w:line="240" w:lineRule="auto"/>
        <w:rPr>
          <w:rFonts w:ascii="Verdana" w:eastAsia="Calibri" w:hAnsi="Verdana" w:cs="Arial"/>
          <w:b/>
          <w:bCs/>
          <w:color w:val="000000"/>
          <w:lang w:val="es-ES_tradnl" w:eastAsia="es-ES_tradnl"/>
        </w:rPr>
      </w:pPr>
    </w:p>
    <w:p w14:paraId="4FA4AC2E" w14:textId="77777777" w:rsidR="00CC6F27" w:rsidRPr="0023217C" w:rsidRDefault="00CC6F27" w:rsidP="00CC6F2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C6F27" w:rsidRPr="0023217C" w14:paraId="560B4D2B" w14:textId="77777777" w:rsidTr="00C93DCD">
        <w:trPr>
          <w:trHeight w:val="884"/>
        </w:trPr>
        <w:tc>
          <w:tcPr>
            <w:tcW w:w="2689" w:type="dxa"/>
          </w:tcPr>
          <w:p w14:paraId="7B6E2DCF" w14:textId="77777777" w:rsidR="00CC6F27" w:rsidRPr="0023217C" w:rsidRDefault="00CC6F27" w:rsidP="00C93DCD">
            <w:pPr>
              <w:jc w:val="both"/>
              <w:rPr>
                <w:rFonts w:ascii="Verdana" w:eastAsia="Calibri" w:hAnsi="Verdana" w:cs="Arial"/>
                <w:b/>
                <w:bCs/>
                <w:color w:val="7030A0"/>
                <w:lang w:val="es-ES_tradnl" w:eastAsia="es-ES_tradnl"/>
              </w:rPr>
            </w:pPr>
          </w:p>
        </w:tc>
        <w:tc>
          <w:tcPr>
            <w:tcW w:w="6100" w:type="dxa"/>
          </w:tcPr>
          <w:p w14:paraId="4CE05AE1" w14:textId="77777777" w:rsidR="00CC6F27" w:rsidRPr="0023217C" w:rsidRDefault="00CC6F27" w:rsidP="00C93DCD">
            <w:pPr>
              <w:jc w:val="both"/>
              <w:rPr>
                <w:rFonts w:ascii="Verdana" w:eastAsia="Calibri" w:hAnsi="Verdana" w:cs="Arial"/>
                <w:b/>
                <w:bCs/>
                <w:color w:val="7030A0"/>
                <w:lang w:val="es-ES" w:eastAsia="es-ES"/>
              </w:rPr>
            </w:pPr>
            <w:r w:rsidRPr="0023217C">
              <w:rPr>
                <w:rFonts w:ascii="Verdana" w:eastAsia="Calibri" w:hAnsi="Verdana" w:cs="Arial"/>
                <w:b/>
                <w:bCs/>
                <w:lang w:val="es-ES" w:eastAsia="es-ES"/>
              </w:rPr>
              <w:t>Concepto C- 1525 de 2025</w:t>
            </w:r>
          </w:p>
        </w:tc>
      </w:tr>
      <w:tr w:rsidR="00CC6F27" w:rsidRPr="0023217C" w14:paraId="54A2B5C2" w14:textId="77777777" w:rsidTr="00C93DCD">
        <w:trPr>
          <w:trHeight w:val="884"/>
        </w:trPr>
        <w:tc>
          <w:tcPr>
            <w:tcW w:w="2689" w:type="dxa"/>
          </w:tcPr>
          <w:p w14:paraId="0A9C45E3" w14:textId="77777777" w:rsidR="00CC6F27" w:rsidRPr="0023217C" w:rsidRDefault="00CC6F27" w:rsidP="00C93DCD">
            <w:pPr>
              <w:jc w:val="both"/>
              <w:rPr>
                <w:rFonts w:ascii="Verdana" w:eastAsia="Calibri" w:hAnsi="Verdana" w:cs="Arial"/>
                <w:color w:val="000000"/>
                <w:lang w:val="es-ES_tradnl" w:eastAsia="es-ES_tradnl"/>
              </w:rPr>
            </w:pPr>
            <w:r w:rsidRPr="0023217C">
              <w:rPr>
                <w:rFonts w:ascii="Verdana" w:eastAsia="Calibri" w:hAnsi="Verdana" w:cs="Arial"/>
                <w:b/>
                <w:color w:val="000000"/>
                <w:lang w:val="es-ES_tradnl" w:eastAsia="es-ES_tradnl"/>
              </w:rPr>
              <w:t>Temas:</w:t>
            </w:r>
            <w:r w:rsidRPr="0023217C">
              <w:rPr>
                <w:rFonts w:ascii="Verdana" w:eastAsia="Calibri" w:hAnsi="Verdana" w:cs="Arial"/>
                <w:color w:val="000000"/>
                <w:lang w:val="es-ES_tradnl" w:eastAsia="es-ES_tradnl"/>
              </w:rPr>
              <w:t xml:space="preserve">                   </w:t>
            </w:r>
          </w:p>
        </w:tc>
        <w:tc>
          <w:tcPr>
            <w:tcW w:w="6100" w:type="dxa"/>
          </w:tcPr>
          <w:p w14:paraId="2831D215" w14:textId="77777777" w:rsidR="00CC6F27" w:rsidRPr="0023217C" w:rsidRDefault="00CC6F27" w:rsidP="00C93DCD">
            <w:pPr>
              <w:spacing w:line="276" w:lineRule="auto"/>
              <w:jc w:val="both"/>
              <w:rPr>
                <w:rFonts w:ascii="Verdana" w:eastAsia="Calibri" w:hAnsi="Verdana" w:cs="Arial"/>
                <w:color w:val="7030A0"/>
                <w:lang w:val="es-ES" w:eastAsia="es-ES"/>
              </w:rPr>
            </w:pPr>
            <w:r w:rsidRPr="00051A7E">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w:t>
            </w:r>
          </w:p>
          <w:p w14:paraId="1A554773" w14:textId="77777777" w:rsidR="00CC6F27" w:rsidRPr="0023217C" w:rsidRDefault="00CC6F27" w:rsidP="00C93DCD">
            <w:pPr>
              <w:spacing w:line="276" w:lineRule="auto"/>
              <w:jc w:val="both"/>
              <w:rPr>
                <w:rFonts w:ascii="Verdana" w:eastAsia="Calibri" w:hAnsi="Verdana" w:cs="Arial"/>
                <w:lang w:val="es-ES" w:eastAsia="es-ES"/>
              </w:rPr>
            </w:pPr>
          </w:p>
        </w:tc>
      </w:tr>
      <w:tr w:rsidR="00CC6F27" w:rsidRPr="0023217C" w14:paraId="250C1617" w14:textId="77777777" w:rsidTr="00C93DCD">
        <w:tc>
          <w:tcPr>
            <w:tcW w:w="2689" w:type="dxa"/>
          </w:tcPr>
          <w:p w14:paraId="0123A90D" w14:textId="77777777" w:rsidR="00CC6F27" w:rsidRPr="0023217C" w:rsidRDefault="00CC6F27" w:rsidP="00C93DCD">
            <w:pPr>
              <w:jc w:val="both"/>
              <w:rPr>
                <w:rFonts w:ascii="Verdana" w:eastAsia="Calibri" w:hAnsi="Verdana" w:cs="Arial"/>
                <w:b/>
                <w:color w:val="000000" w:themeColor="text1"/>
                <w:lang w:val="es-ES_tradnl" w:eastAsia="es-ES_tradnl"/>
              </w:rPr>
            </w:pPr>
            <w:r w:rsidRPr="0023217C">
              <w:rPr>
                <w:rFonts w:ascii="Verdana" w:eastAsia="Calibri" w:hAnsi="Verdana" w:cs="Arial"/>
                <w:b/>
                <w:color w:val="000000" w:themeColor="text1"/>
                <w:lang w:val="es-ES_tradnl" w:eastAsia="es-ES_tradnl"/>
              </w:rPr>
              <w:t>Radicación:</w:t>
            </w:r>
            <w:r w:rsidRPr="0023217C">
              <w:rPr>
                <w:rFonts w:ascii="Verdana" w:eastAsia="Calibri" w:hAnsi="Verdana" w:cs="Arial"/>
                <w:color w:val="000000" w:themeColor="text1"/>
                <w:lang w:val="es-ES_tradnl" w:eastAsia="es-ES_tradnl"/>
              </w:rPr>
              <w:t xml:space="preserve">               </w:t>
            </w:r>
          </w:p>
        </w:tc>
        <w:tc>
          <w:tcPr>
            <w:tcW w:w="6100" w:type="dxa"/>
          </w:tcPr>
          <w:p w14:paraId="5018F578" w14:textId="77777777" w:rsidR="00CC6F27" w:rsidRPr="0023217C" w:rsidRDefault="00CC6F27" w:rsidP="00C93DCD">
            <w:pPr>
              <w:jc w:val="both"/>
              <w:rPr>
                <w:rFonts w:ascii="Verdana" w:eastAsia="Calibri" w:hAnsi="Verdana" w:cs="Arial"/>
                <w:color w:val="000000" w:themeColor="text1"/>
                <w:lang w:val="es-ES_tradnl" w:eastAsia="es-ES_tradnl"/>
              </w:rPr>
            </w:pPr>
            <w:r w:rsidRPr="0023217C">
              <w:rPr>
                <w:rFonts w:ascii="Verdana" w:eastAsia="Calibri" w:hAnsi="Verdana" w:cs="Arial"/>
                <w:color w:val="000000" w:themeColor="text1"/>
                <w:lang w:val="es-ES_tradnl" w:eastAsia="es-ES_tradnl"/>
              </w:rPr>
              <w:t xml:space="preserve">Respuesta a consulta con radicado No. </w:t>
            </w:r>
            <w:r w:rsidRPr="0023217C">
              <w:rPr>
                <w:rFonts w:ascii="Verdana" w:hAnsi="Verdana" w:cs="Calibri"/>
                <w:color w:val="000000" w:themeColor="text1"/>
              </w:rPr>
              <w:t>1_2025_10_20_011729</w:t>
            </w:r>
          </w:p>
          <w:p w14:paraId="688DDAB4" w14:textId="77777777" w:rsidR="00CC6F27" w:rsidRPr="0023217C" w:rsidRDefault="00CC6F27" w:rsidP="00C93DCD">
            <w:pPr>
              <w:jc w:val="both"/>
              <w:rPr>
                <w:rFonts w:ascii="Verdana" w:eastAsia="Calibri" w:hAnsi="Verdana" w:cs="Arial"/>
                <w:color w:val="000000" w:themeColor="text1"/>
                <w:lang w:val="es-ES_tradnl" w:eastAsia="es-ES_tradnl"/>
              </w:rPr>
            </w:pPr>
          </w:p>
        </w:tc>
      </w:tr>
    </w:tbl>
    <w:p w14:paraId="5BB83D01" w14:textId="77777777" w:rsidR="00CC6F27" w:rsidRPr="0023217C" w:rsidRDefault="00CC6F27" w:rsidP="00CC6F27">
      <w:pPr>
        <w:spacing w:after="0" w:line="240" w:lineRule="auto"/>
        <w:jc w:val="both"/>
        <w:rPr>
          <w:rFonts w:ascii="Verdana" w:eastAsia="Calibri" w:hAnsi="Verdana" w:cs="Arial"/>
          <w:color w:val="000000"/>
          <w:lang w:val="es-ES_tradnl" w:eastAsia="es-ES_tradnl"/>
        </w:rPr>
      </w:pPr>
    </w:p>
    <w:p w14:paraId="46094899" w14:textId="77777777" w:rsidR="00CC6F27" w:rsidRPr="0023217C" w:rsidRDefault="00CC6F27" w:rsidP="00CC6F27">
      <w:pPr>
        <w:spacing w:after="0" w:line="240" w:lineRule="auto"/>
        <w:jc w:val="both"/>
        <w:rPr>
          <w:rFonts w:ascii="Verdana" w:eastAsia="Calibri" w:hAnsi="Verdana" w:cs="Arial"/>
          <w:color w:val="000000"/>
          <w:lang w:val="es-ES_tradnl" w:eastAsia="es-ES_tradnl"/>
        </w:rPr>
      </w:pPr>
    </w:p>
    <w:p w14:paraId="6D32EB5F" w14:textId="77777777" w:rsidR="00CC6F27" w:rsidRPr="0023217C" w:rsidRDefault="00CC6F27" w:rsidP="00CC6F27">
      <w:pPr>
        <w:spacing w:after="0" w:line="276" w:lineRule="auto"/>
        <w:jc w:val="both"/>
        <w:rPr>
          <w:rFonts w:ascii="Verdana" w:eastAsia="Calibri" w:hAnsi="Verdana" w:cs="Arial"/>
          <w:color w:val="000000" w:themeColor="text1"/>
          <w:lang w:val="es-ES" w:eastAsia="es-ES"/>
        </w:rPr>
      </w:pPr>
      <w:r w:rsidRPr="0023217C">
        <w:rPr>
          <w:rFonts w:ascii="Verdana" w:eastAsia="Calibri" w:hAnsi="Verdana" w:cs="Arial"/>
          <w:color w:val="000000" w:themeColor="text1"/>
          <w:lang w:val="es-ES" w:eastAsia="es-ES"/>
        </w:rPr>
        <w:t xml:space="preserve">Estimado señor Barrio: </w:t>
      </w:r>
    </w:p>
    <w:p w14:paraId="557C9AE4" w14:textId="77777777" w:rsidR="00CC6F27" w:rsidRPr="0023217C" w:rsidRDefault="00CC6F27" w:rsidP="00CC6F27">
      <w:pPr>
        <w:tabs>
          <w:tab w:val="left" w:pos="3768"/>
        </w:tabs>
        <w:spacing w:after="0" w:line="276" w:lineRule="auto"/>
        <w:jc w:val="both"/>
        <w:rPr>
          <w:rFonts w:ascii="Verdana" w:eastAsia="Calibri" w:hAnsi="Verdana" w:cs="Arial"/>
          <w:color w:val="000000" w:themeColor="text1"/>
          <w:lang w:val="es-ES" w:eastAsia="es-ES"/>
        </w:rPr>
      </w:pPr>
      <w:r w:rsidRPr="0023217C">
        <w:rPr>
          <w:rFonts w:ascii="Verdana" w:eastAsia="Calibri" w:hAnsi="Verdana" w:cs="Arial"/>
          <w:color w:val="000000" w:themeColor="text1"/>
          <w:lang w:val="es-ES" w:eastAsia="es-ES"/>
        </w:rPr>
        <w:tab/>
      </w:r>
    </w:p>
    <w:p w14:paraId="284EEE94" w14:textId="77777777" w:rsidR="00CC6F27" w:rsidRPr="0023217C" w:rsidRDefault="00CC6F27" w:rsidP="00CC6F27">
      <w:pPr>
        <w:spacing w:after="0" w:line="276" w:lineRule="auto"/>
        <w:jc w:val="both"/>
        <w:rPr>
          <w:rFonts w:ascii="Verdana" w:eastAsia="Calibri" w:hAnsi="Verdana" w:cs="Arial"/>
          <w:color w:val="7030A0"/>
          <w:lang w:val="es-ES" w:eastAsia="es-ES"/>
        </w:rPr>
      </w:pPr>
      <w:r w:rsidRPr="0023217C">
        <w:rPr>
          <w:rFonts w:ascii="Verdana" w:eastAsia="Calibri" w:hAnsi="Verdana" w:cs="Arial"/>
          <w:color w:val="000000" w:themeColor="text1"/>
          <w:lang w:val="es-ES" w:eastAsia="es-ES"/>
        </w:rPr>
        <w:t>En ejercicio de la competencia otorgada por los artículos 3, numeral 5º, y 11, numeral 8º, del Decreto Ley 4170 de 2011,</w:t>
      </w:r>
      <w:r w:rsidRPr="0023217C">
        <w:rPr>
          <w:rFonts w:ascii="Verdana" w:eastAsia="Arial MT" w:hAnsi="Verdana" w:cs="Arial MT"/>
          <w:lang w:val="es-ES" w:eastAsia="es-ES"/>
        </w:rPr>
        <w:t xml:space="preserve"> </w:t>
      </w:r>
      <w:r w:rsidRPr="0023217C">
        <w:rPr>
          <w:rFonts w:ascii="Verdana" w:hAnsi="Verdana" w:cs="Arial"/>
        </w:rPr>
        <w:t xml:space="preserve">así como lo establecido en el artículo 4 de la Resolución 1707 de 2018 expedida por esta Entidad, </w:t>
      </w:r>
      <w:r w:rsidRPr="0023217C">
        <w:rPr>
          <w:rFonts w:ascii="Verdana" w:eastAsia="Calibri" w:hAnsi="Verdana" w:cs="Arial"/>
          <w:color w:val="000000" w:themeColor="text1"/>
          <w:lang w:val="es-ES" w:eastAsia="es-ES"/>
        </w:rPr>
        <w:t xml:space="preserve">la Agencia Nacional de Contratación Pública – Colombia Compra Eficiente– responde su solicitud de consulta de fecha 20 de octubre de 2025, en la cual manifiesta lo siguiente: </w:t>
      </w:r>
    </w:p>
    <w:p w14:paraId="77235DC2" w14:textId="77777777" w:rsidR="00CC6F27" w:rsidRPr="0023217C" w:rsidRDefault="00CC6F27" w:rsidP="00CC6F27">
      <w:pPr>
        <w:pStyle w:val="Prrafodelista"/>
        <w:tabs>
          <w:tab w:val="left" w:pos="142"/>
          <w:tab w:val="left" w:pos="284"/>
        </w:tabs>
        <w:spacing w:line="276" w:lineRule="auto"/>
        <w:ind w:left="0"/>
        <w:jc w:val="both"/>
        <w:rPr>
          <w:rFonts w:ascii="Verdana" w:eastAsia="Century Gothic" w:hAnsi="Verdana" w:cs="Century Gothic"/>
          <w:b/>
          <w:bCs/>
        </w:rPr>
      </w:pPr>
    </w:p>
    <w:p w14:paraId="22D0CBF2" w14:textId="77777777" w:rsidR="00CC6F27" w:rsidRPr="0023217C" w:rsidRDefault="00CC6F27" w:rsidP="00CC6F27">
      <w:pPr>
        <w:pStyle w:val="query-text-line"/>
        <w:spacing w:before="0" w:beforeAutospacing="0" w:after="0" w:afterAutospacing="0"/>
        <w:ind w:left="709" w:right="709"/>
        <w:jc w:val="both"/>
        <w:rPr>
          <w:rFonts w:ascii="Verdana" w:hAnsi="Verdana"/>
          <w:color w:val="000000" w:themeColor="text1"/>
          <w:sz w:val="22"/>
          <w:szCs w:val="22"/>
        </w:rPr>
      </w:pPr>
      <w:bookmarkStart w:id="2" w:name="_Hlk95313578"/>
      <w:r w:rsidRPr="0023217C">
        <w:rPr>
          <w:rFonts w:ascii="Verdana" w:eastAsia="Century Gothic" w:hAnsi="Verdana" w:cs="Century Gothic"/>
          <w:color w:val="000000" w:themeColor="text1"/>
          <w:sz w:val="22"/>
          <w:szCs w:val="22"/>
          <w:lang w:val="es-ES"/>
        </w:rPr>
        <w:t>“</w:t>
      </w:r>
      <w:bookmarkEnd w:id="2"/>
      <w:r w:rsidRPr="0023217C">
        <w:rPr>
          <w:rFonts w:ascii="Verdana" w:eastAsia="Century Gothic" w:hAnsi="Verdana" w:cs="Century Gothic"/>
          <w:color w:val="000000" w:themeColor="text1"/>
          <w:sz w:val="22"/>
          <w:szCs w:val="22"/>
          <w:lang w:val="es-ES"/>
        </w:rPr>
        <w:t>1 ¿</w:t>
      </w:r>
      <w:r w:rsidRPr="0023217C">
        <w:rPr>
          <w:rFonts w:ascii="Verdana" w:hAnsi="Verdana"/>
          <w:color w:val="000000" w:themeColor="text1"/>
          <w:sz w:val="22"/>
          <w:szCs w:val="22"/>
        </w:rPr>
        <w:t xml:space="preserve">A partir de qué fecha quedan prohibido los convenios interadministrativos en entidades públicas de orden nacional y entidad de orden territorial?  2. ¿A partir de qué fecha quedan </w:t>
      </w:r>
      <w:r w:rsidRPr="0023217C">
        <w:rPr>
          <w:rFonts w:ascii="Verdana" w:hAnsi="Verdana"/>
          <w:color w:val="000000" w:themeColor="text1"/>
          <w:sz w:val="22"/>
          <w:szCs w:val="22"/>
        </w:rPr>
        <w:lastRenderedPageBreak/>
        <w:t>prohibido los contratos inter administrativos en entidades públicas del orden nacional y entidades del orden territorial? 3.  ¿A partir de qué fecha quedan prohibido los convenios interadministrativos en entidades públicas del orden territorial? 4. ¿A partir de qué fecha quedan prohibidos los contratos interadministrativo entre entidades públicas de orden territorial? 5. ¿A partir de qué fecha quedan prohibido los contratos de prestación de servicios profesionales de entidades del orden nacional, 6. ¿A partir de qué fecha quedan prohibido los contratos de prestación de servicios profesionales de entidades de orden territorial?”</w:t>
      </w:r>
    </w:p>
    <w:p w14:paraId="3F2CCF1E" w14:textId="77777777" w:rsidR="00CC6F27" w:rsidRPr="0023217C" w:rsidRDefault="00CC6F27" w:rsidP="00CC6F27">
      <w:pPr>
        <w:pStyle w:val="Prrafodelista"/>
        <w:tabs>
          <w:tab w:val="left" w:pos="142"/>
          <w:tab w:val="left" w:pos="284"/>
        </w:tabs>
        <w:spacing w:line="276" w:lineRule="auto"/>
        <w:ind w:left="0"/>
        <w:jc w:val="both"/>
        <w:rPr>
          <w:rFonts w:ascii="Verdana" w:eastAsia="Century Gothic" w:hAnsi="Verdana" w:cs="Century Gothic"/>
          <w:b/>
          <w:bCs/>
        </w:rPr>
      </w:pPr>
    </w:p>
    <w:p w14:paraId="35128153" w14:textId="77777777" w:rsidR="00CC6F27" w:rsidRPr="0023217C" w:rsidRDefault="00CC6F27" w:rsidP="00CC6F27">
      <w:pPr>
        <w:spacing w:after="120" w:line="276" w:lineRule="auto"/>
        <w:ind w:firstLine="709"/>
        <w:jc w:val="both"/>
        <w:rPr>
          <w:rFonts w:ascii="Verdana" w:eastAsia="Calibri" w:hAnsi="Verdana" w:cs="Arial"/>
          <w:color w:val="000000"/>
          <w:lang w:val="es-ES_tradnl" w:eastAsia="es-ES_tradnl"/>
        </w:rPr>
      </w:pPr>
      <w:r w:rsidRPr="0023217C">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3217C">
        <w:rPr>
          <w:rFonts w:ascii="Verdana" w:eastAsia="Calibri" w:hAnsi="Verdana" w:cs="Arial"/>
          <w:color w:val="000000"/>
          <w:lang w:val="es-ES_tradnl" w:eastAsia="es-ES_tradnl"/>
        </w:rPr>
        <w:tab/>
      </w:r>
    </w:p>
    <w:p w14:paraId="21F8154F" w14:textId="77777777" w:rsidR="00CC6F27" w:rsidRPr="0023217C" w:rsidRDefault="00CC6F27" w:rsidP="00CC6F27">
      <w:pPr>
        <w:spacing w:after="0" w:line="276" w:lineRule="auto"/>
        <w:ind w:firstLine="709"/>
        <w:jc w:val="both"/>
        <w:rPr>
          <w:rFonts w:ascii="Verdana" w:eastAsia="Calibri" w:hAnsi="Verdana" w:cs="Arial"/>
          <w:color w:val="000000"/>
          <w:lang w:val="es-ES" w:eastAsia="es-ES"/>
        </w:rPr>
      </w:pPr>
      <w:r w:rsidRPr="0023217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23217C">
        <w:rPr>
          <w:rFonts w:ascii="Verdana" w:eastAsia="Calibri" w:hAnsi="Verdana" w:cs="Arial"/>
          <w:color w:val="7030A0"/>
          <w:lang w:val="es-ES" w:eastAsia="es-ES"/>
        </w:rPr>
        <w:t xml:space="preserve"> </w:t>
      </w:r>
      <w:r w:rsidRPr="0023217C">
        <w:rPr>
          <w:rFonts w:ascii="Verdana" w:eastAsia="Calibri" w:hAnsi="Verdana" w:cs="Arial"/>
          <w:color w:val="000000"/>
          <w:lang w:val="es-ES" w:eastAsia="es-ES"/>
        </w:rPr>
        <w:t>problema</w:t>
      </w:r>
      <w:r w:rsidRPr="0023217C">
        <w:rPr>
          <w:rFonts w:ascii="Verdana" w:eastAsia="Calibri" w:hAnsi="Verdana" w:cs="Arial"/>
          <w:color w:val="7030A0"/>
          <w:lang w:val="es-ES" w:eastAsia="es-ES"/>
        </w:rPr>
        <w:t xml:space="preserve"> </w:t>
      </w:r>
      <w:r w:rsidRPr="0023217C">
        <w:rPr>
          <w:rFonts w:ascii="Verdana" w:eastAsia="Calibri" w:hAnsi="Verdana" w:cs="Arial"/>
          <w:color w:val="000000"/>
          <w:lang w:val="es-ES" w:eastAsia="es-ES"/>
        </w:rPr>
        <w:t>jurídico</w:t>
      </w:r>
      <w:r w:rsidRPr="0023217C">
        <w:rPr>
          <w:rFonts w:ascii="Verdana" w:eastAsia="Calibri" w:hAnsi="Verdana" w:cs="Arial"/>
          <w:color w:val="7030A0"/>
          <w:lang w:val="es-ES" w:eastAsia="es-ES"/>
        </w:rPr>
        <w:t xml:space="preserve"> </w:t>
      </w:r>
      <w:r w:rsidRPr="0023217C">
        <w:rPr>
          <w:rFonts w:ascii="Verdana" w:eastAsia="Calibri" w:hAnsi="Verdana" w:cs="Arial"/>
          <w:color w:val="000000"/>
          <w:lang w:val="es-ES" w:eastAsia="es-ES"/>
        </w:rPr>
        <w:t xml:space="preserve">de su consulta. </w:t>
      </w:r>
    </w:p>
    <w:p w14:paraId="45564E77" w14:textId="77777777" w:rsidR="00CC6F27" w:rsidRPr="0023217C" w:rsidRDefault="00CC6F27" w:rsidP="00CC6F27">
      <w:pPr>
        <w:spacing w:after="0" w:line="276" w:lineRule="auto"/>
        <w:ind w:firstLine="709"/>
        <w:jc w:val="both"/>
        <w:rPr>
          <w:rFonts w:ascii="Verdana" w:eastAsia="Calibri" w:hAnsi="Verdana" w:cs="Arial"/>
          <w:color w:val="000000"/>
          <w:lang w:val="es-ES" w:eastAsia="es-ES"/>
        </w:rPr>
      </w:pPr>
    </w:p>
    <w:p w14:paraId="1B0D121C" w14:textId="77777777" w:rsidR="00CC6F27" w:rsidRPr="0023217C" w:rsidRDefault="00CC6F27" w:rsidP="00CC6F2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3217C">
        <w:rPr>
          <w:rFonts w:ascii="Verdana" w:eastAsia="Century Gothic" w:hAnsi="Verdana" w:cs="Century Gothic"/>
          <w:b/>
          <w:bCs/>
        </w:rPr>
        <w:t>Problema planteado:</w:t>
      </w:r>
    </w:p>
    <w:p w14:paraId="5F7C7EB5" w14:textId="77777777" w:rsidR="00CC6F27" w:rsidRPr="0023217C" w:rsidRDefault="00CC6F27" w:rsidP="00CC6F27">
      <w:pPr>
        <w:tabs>
          <w:tab w:val="left" w:pos="426"/>
        </w:tabs>
        <w:spacing w:after="0" w:line="276" w:lineRule="auto"/>
        <w:jc w:val="both"/>
        <w:rPr>
          <w:rFonts w:ascii="Verdana" w:eastAsia="Century Gothic" w:hAnsi="Verdana" w:cs="Century Gothic"/>
          <w:lang w:val="es-ES"/>
        </w:rPr>
      </w:pPr>
    </w:p>
    <w:p w14:paraId="4615CAFB" w14:textId="77777777" w:rsidR="00CC6F27" w:rsidRPr="0023217C" w:rsidRDefault="00CC6F27" w:rsidP="00CC6F27">
      <w:pPr>
        <w:spacing w:after="0" w:line="276" w:lineRule="auto"/>
        <w:jc w:val="both"/>
        <w:rPr>
          <w:rFonts w:ascii="Verdana" w:eastAsia="Century Gothic" w:hAnsi="Verdana" w:cs="Century Gothic"/>
        </w:rPr>
      </w:pPr>
      <w:r w:rsidRPr="0023217C">
        <w:rPr>
          <w:rFonts w:ascii="Verdana" w:eastAsia="Century Gothic" w:hAnsi="Verdana" w:cs="Century Gothic"/>
        </w:rPr>
        <w:t>De acuerdo con el contenido de su solicitud, esta Agencia resolverá el siguiente problema jurídico: ¿</w:t>
      </w:r>
      <w:r w:rsidRPr="0023217C">
        <w:rPr>
          <w:rFonts w:ascii="Verdana" w:hAnsi="Verdana"/>
        </w:rPr>
        <w:t>A partir de qué fechas inician las restricciones establecidas en los artículos 33 y 38 de la Ley 996 de 2005 para la celebración de convenios interadministrativos y contratos de prestación de servicios profesionales para  las entidades del orden nacional y las del orden territorial en el marco del calendario electoral de 2026?"</w:t>
      </w:r>
    </w:p>
    <w:p w14:paraId="4D18E83C" w14:textId="77777777" w:rsidR="00CC6F27" w:rsidRPr="0023217C" w:rsidRDefault="00CC6F27" w:rsidP="00CC6F27">
      <w:pPr>
        <w:spacing w:after="0" w:line="276" w:lineRule="auto"/>
        <w:jc w:val="both"/>
        <w:rPr>
          <w:rFonts w:ascii="Verdana" w:eastAsia="Calibri" w:hAnsi="Verdana" w:cs="Arial"/>
          <w:color w:val="7030A0"/>
          <w:lang w:val="es-ES"/>
        </w:rPr>
      </w:pPr>
    </w:p>
    <w:p w14:paraId="4F921299" w14:textId="77777777" w:rsidR="00CC6F27" w:rsidRPr="0023217C" w:rsidRDefault="00CC6F27" w:rsidP="00CC6F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3217C">
        <w:rPr>
          <w:rFonts w:ascii="Verdana" w:eastAsia="Century Gothic" w:hAnsi="Verdana" w:cs="Century Gothic"/>
          <w:b/>
          <w:bCs/>
        </w:rPr>
        <w:t>Respuesta:</w:t>
      </w:r>
    </w:p>
    <w:p w14:paraId="31E05864" w14:textId="77777777" w:rsidR="00CC6F27" w:rsidRPr="0023217C" w:rsidRDefault="00CC6F27" w:rsidP="00CC6F2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6F27" w:rsidRPr="0023217C" w14:paraId="05277931" w14:textId="77777777" w:rsidTr="00C93DCD">
        <w:tc>
          <w:tcPr>
            <w:tcW w:w="8828" w:type="dxa"/>
          </w:tcPr>
          <w:p w14:paraId="06ABC1E2" w14:textId="77777777" w:rsidR="00CC6F27" w:rsidRDefault="00CC6F27" w:rsidP="00C93DCD">
            <w:pPr>
              <w:spacing w:after="120" w:line="276" w:lineRule="auto"/>
              <w:jc w:val="both"/>
              <w:rPr>
                <w:rFonts w:ascii="Verdana" w:eastAsia="Times New Roman" w:hAnsi="Verdana" w:cs="Arial"/>
                <w:lang w:eastAsia="x-none"/>
              </w:rPr>
            </w:pPr>
            <w:r w:rsidRPr="0023217C">
              <w:rPr>
                <w:rFonts w:ascii="Verdana" w:eastAsia="Times New Roman" w:hAnsi="Verdana" w:cs="Arial"/>
                <w:lang w:eastAsia="x-none"/>
              </w:rPr>
              <w:t xml:space="preserve">En este sentido, y con el propósito de responder a los planteamientos formulados sobre las restricciones </w:t>
            </w:r>
            <w:r w:rsidRPr="0023217C">
              <w:rPr>
                <w:rFonts w:ascii="Verdana" w:hAnsi="Verdana"/>
              </w:rPr>
              <w:t xml:space="preserve">establecidas en los artículos 33 y 38 de la Ley 996 de 2005 para la celebración de convenios interadministrativos y contratos de prestación de servicios profesionales para  las entidades del orden nacional y las del orden territorial en el marco del calendario electoral de 2026, se tiene que </w:t>
            </w:r>
            <w:r w:rsidRPr="0023217C">
              <w:rPr>
                <w:rFonts w:ascii="Verdana" w:eastAsia="Times New Roman" w:hAnsi="Verdana"/>
                <w:lang w:eastAsia="es-MX"/>
              </w:rPr>
              <w:t>frente a la inquietud sobre a partir de qué fecha quedan prohibidos los convenios interadministrativos, se debe distinguir el nivel de la entidad, pues si se trata de entidades del orden territorial como gobernaciones, alcaldías o sus descentralizadas, la restricción para celebrar convenios interadministrativos que impliquen la ejecución de recursos públicos entró en vigencia el 8 de noviembre de 2025, es decir, cuatro meses antes de las elecciones al Congreso; por el contrario, para las entidades del orden nacional, esta prohibición específica no aplica desde noviembre, sino que se activa a partir del 31 de enero de 2026, fecha en la cual entra en vigor la restricción general a la contratación directa prevista para los cuatro meses anteriores a la elección presidencial, aunque en la práctica, si el convenio se pretende suscribir con un ente territorial, la inviabilidad jurídica surge desde el momento en que este último queda inhabilitado en noviembre.</w:t>
            </w:r>
          </w:p>
          <w:p w14:paraId="6DC7C06D" w14:textId="08BD2867" w:rsidR="005C315E" w:rsidRDefault="00CC6F27" w:rsidP="00C93DCD">
            <w:pPr>
              <w:spacing w:after="120" w:line="276" w:lineRule="auto"/>
              <w:ind w:firstLine="708"/>
              <w:jc w:val="both"/>
              <w:rPr>
                <w:rFonts w:ascii="Verdana" w:eastAsia="Times New Roman" w:hAnsi="Verdana" w:cs="Times New Roman"/>
                <w:lang w:eastAsia="es-MX"/>
              </w:rPr>
            </w:pPr>
            <w:bookmarkStart w:id="3" w:name="OLE_LINK2"/>
            <w:r w:rsidRPr="0023217C">
              <w:rPr>
                <w:rFonts w:ascii="Verdana" w:eastAsia="Times New Roman" w:hAnsi="Verdana" w:cs="Times New Roman"/>
                <w:lang w:eastAsia="es-MX"/>
              </w:rPr>
              <w:t>En lo que respecta a la prohibición de celebrar contratos interadministrativos, es imperativo acoger el cambio jurisprudencial introducido por la Sentencia del Consejo de Estado del 17 de octubre de 2025, expediente 70.313, la cual aclaró que la restricción del parágrafo del artículo 38 de la Ley 996 de 2005 aplica exclusivamente a los convenios y no a los contratos; en consecuencia,</w:t>
            </w:r>
            <w:r w:rsidR="005C315E">
              <w:rPr>
                <w:rFonts w:ascii="Verdana" w:eastAsia="Times New Roman" w:hAnsi="Verdana" w:cs="Times New Roman"/>
                <w:lang w:eastAsia="es-MX"/>
              </w:rPr>
              <w:t xml:space="preserve"> </w:t>
            </w:r>
            <w:r w:rsidRPr="0023217C">
              <w:rPr>
                <w:rFonts w:ascii="Verdana" w:eastAsia="Times New Roman" w:hAnsi="Verdana" w:cs="Times New Roman"/>
                <w:lang w:eastAsia="es-MX"/>
              </w:rPr>
              <w:t xml:space="preserve">para las entidades del orden territorial, los contratos interadministrativos conmutativos y de contenido patrimonial no están prohibidos desde noviembre, sino que podrán celebrarse válidamente hasta el 30 de enero de 2026, fecha límite antes de que inicie la restricción de la Ley de Garantías Presidenciales que prohíbe la contratación directa a todos los entes del Estado. </w:t>
            </w:r>
            <w:r w:rsidR="005C315E">
              <w:rPr>
                <w:rFonts w:ascii="Verdana" w:eastAsia="Times New Roman" w:hAnsi="Verdana" w:cs="Times New Roman"/>
                <w:lang w:eastAsia="es-MX"/>
              </w:rPr>
              <w:t xml:space="preserve">No obstante, </w:t>
            </w:r>
            <w:r w:rsidR="00895253" w:rsidRPr="00895253">
              <w:rPr>
                <w:rStyle w:val="citation-235"/>
                <w:rFonts w:ascii="Verdana" w:hAnsi="Verdana"/>
              </w:rPr>
              <w:t xml:space="preserve">debe precisarse que esta habilitación temporal para las entidades del orden nacional vigente hasta el 30 de enero solo permite la celebración de convenios interadministrativos </w:t>
            </w:r>
            <w:r w:rsidR="00895253">
              <w:rPr>
                <w:rStyle w:val="citation-235"/>
                <w:rFonts w:ascii="Verdana" w:hAnsi="Verdana"/>
              </w:rPr>
              <w:t xml:space="preserve">con entidades del </w:t>
            </w:r>
            <w:r w:rsidR="00895253" w:rsidRPr="00895253">
              <w:rPr>
                <w:rStyle w:val="citation-235"/>
                <w:rFonts w:ascii="Verdana" w:hAnsi="Verdana"/>
              </w:rPr>
              <w:t>mismo nivel (Nación-Nación) esto debido a que</w:t>
            </w:r>
            <w:r w:rsidR="00C64262">
              <w:rPr>
                <w:rStyle w:val="citation-235"/>
                <w:rFonts w:ascii="Verdana" w:hAnsi="Verdana"/>
              </w:rPr>
              <w:t xml:space="preserve"> las </w:t>
            </w:r>
            <w:r w:rsidR="00895253" w:rsidRPr="00895253">
              <w:rPr>
                <w:rStyle w:val="citation-235"/>
                <w:rFonts w:ascii="Verdana" w:hAnsi="Verdana"/>
              </w:rPr>
              <w:t>entidad</w:t>
            </w:r>
            <w:r w:rsidR="00C64262">
              <w:rPr>
                <w:rStyle w:val="citation-235"/>
                <w:rFonts w:ascii="Verdana" w:hAnsi="Verdana"/>
              </w:rPr>
              <w:t xml:space="preserve">es del orden </w:t>
            </w:r>
            <w:r w:rsidR="00895253" w:rsidRPr="00895253">
              <w:rPr>
                <w:rStyle w:val="citation-235"/>
                <w:rFonts w:ascii="Verdana" w:hAnsi="Verdana"/>
              </w:rPr>
              <w:lastRenderedPageBreak/>
              <w:t>territorial, estas inhabilitadas para firmar convenios desde el 8 de noviembre de 2025 por mandato del artículo 38 de la Ley de Garantías</w:t>
            </w:r>
            <w:r w:rsidR="00895253" w:rsidRPr="00895253">
              <w:rPr>
                <w:rFonts w:ascii="Verdana" w:hAnsi="Verdana"/>
              </w:rPr>
              <w:t>.</w:t>
            </w:r>
          </w:p>
          <w:p w14:paraId="0639AE82" w14:textId="778CC0A7" w:rsidR="00CC6F27" w:rsidRDefault="00CC6F27" w:rsidP="00C93DCD">
            <w:pPr>
              <w:spacing w:after="120" w:line="276" w:lineRule="auto"/>
              <w:ind w:firstLine="708"/>
              <w:jc w:val="both"/>
              <w:rPr>
                <w:rFonts w:ascii="Verdana" w:eastAsia="Times New Roman" w:hAnsi="Verdana" w:cs="Arial"/>
                <w:lang w:eastAsia="x-none"/>
              </w:rPr>
            </w:pPr>
            <w:r w:rsidRPr="0023217C">
              <w:rPr>
                <w:rFonts w:ascii="Verdana" w:eastAsia="Times New Roman" w:hAnsi="Verdana" w:cs="Times New Roman"/>
                <w:lang w:eastAsia="es-MX"/>
              </w:rPr>
              <w:t>De igual manera, para las entidades del orden nacional, la prohibición de celebrar estos contratos interadministrativos iniciará el 31 de enero de 2026, bajo el amparo de la restricción del artículo 33 de la mencionada ley.</w:t>
            </w:r>
          </w:p>
          <w:bookmarkEnd w:id="3"/>
          <w:p w14:paraId="6DE85590" w14:textId="77777777" w:rsidR="00CC6F27" w:rsidRPr="00B274B3" w:rsidRDefault="00CC6F27" w:rsidP="00C93DCD">
            <w:pPr>
              <w:spacing w:after="120" w:line="276" w:lineRule="auto"/>
              <w:ind w:firstLine="708"/>
              <w:jc w:val="both"/>
              <w:rPr>
                <w:rFonts w:ascii="Verdana" w:eastAsia="Times New Roman" w:hAnsi="Verdana" w:cs="Arial"/>
                <w:lang w:eastAsia="x-none"/>
              </w:rPr>
            </w:pPr>
            <w:r w:rsidRPr="0023217C">
              <w:rPr>
                <w:rFonts w:ascii="Verdana" w:eastAsia="Times New Roman" w:hAnsi="Verdana" w:cs="Times New Roman"/>
                <w:lang w:eastAsia="es-MX"/>
              </w:rPr>
              <w:t xml:space="preserve">Finalmente, en relación con los contratos de prestación de servicios profesionales y de apoyo a la gestión, la regla general indica que, al tramitarse mediante la modalidad de contratación directa, su celebración queda prohibida tanto para entidades del orden nacional como para las del orden territorial a partir del 31 de enero de 2026, fecha que marca el inicio de los cuatro meses anteriores a la primera vuelta presidencial. </w:t>
            </w:r>
          </w:p>
        </w:tc>
      </w:tr>
    </w:tbl>
    <w:p w14:paraId="5660F449" w14:textId="77777777" w:rsidR="00CC6F27" w:rsidRPr="0023217C" w:rsidRDefault="00CC6F27" w:rsidP="00CC6F27">
      <w:pPr>
        <w:tabs>
          <w:tab w:val="left" w:pos="142"/>
          <w:tab w:val="left" w:pos="284"/>
        </w:tabs>
        <w:spacing w:after="0" w:line="276" w:lineRule="auto"/>
        <w:jc w:val="both"/>
        <w:rPr>
          <w:rFonts w:ascii="Verdana" w:eastAsia="Century Gothic" w:hAnsi="Verdana" w:cs="Century Gothic"/>
          <w:b/>
          <w:bCs/>
          <w:lang w:val="es-ES"/>
        </w:rPr>
      </w:pPr>
    </w:p>
    <w:p w14:paraId="60888A28" w14:textId="77777777" w:rsidR="00CC6F27" w:rsidRPr="0023217C" w:rsidRDefault="00CC6F27" w:rsidP="00CC6F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3217C">
        <w:rPr>
          <w:rFonts w:ascii="Verdana" w:eastAsia="Century Gothic" w:hAnsi="Verdana" w:cs="Century Gothic"/>
          <w:b/>
          <w:bCs/>
        </w:rPr>
        <w:t>Razones de la respuesta:</w:t>
      </w:r>
    </w:p>
    <w:p w14:paraId="7129011C" w14:textId="77777777" w:rsidR="00CC6F27" w:rsidRPr="0023217C" w:rsidRDefault="00CC6F27" w:rsidP="00CC6F27">
      <w:pPr>
        <w:spacing w:after="0" w:line="276" w:lineRule="auto"/>
        <w:jc w:val="both"/>
        <w:rPr>
          <w:rFonts w:ascii="Verdana" w:eastAsia="Calibri" w:hAnsi="Verdana" w:cs="Arial"/>
          <w:color w:val="7030A0"/>
          <w:lang w:val="es-ES"/>
        </w:rPr>
      </w:pPr>
    </w:p>
    <w:p w14:paraId="4D1C948B" w14:textId="77777777" w:rsidR="00CC6F27" w:rsidRPr="0023217C" w:rsidRDefault="00CC6F27" w:rsidP="00CC6F27">
      <w:pPr>
        <w:spacing w:after="0" w:line="276" w:lineRule="auto"/>
        <w:jc w:val="both"/>
        <w:rPr>
          <w:rFonts w:ascii="Verdana" w:eastAsia="Calibri" w:hAnsi="Verdana" w:cs="Arial"/>
          <w:lang w:val="es-ES"/>
        </w:rPr>
      </w:pPr>
      <w:r w:rsidRPr="0023217C">
        <w:rPr>
          <w:rFonts w:ascii="Verdana" w:eastAsia="Calibri" w:hAnsi="Verdana" w:cs="Arial"/>
          <w:lang w:val="es-ES"/>
        </w:rPr>
        <w:t xml:space="preserve">Lo anterior se sustenta en las siguientes consideraciones: </w:t>
      </w:r>
    </w:p>
    <w:p w14:paraId="5C7B7E9F" w14:textId="77777777" w:rsidR="00CC6F27" w:rsidRPr="0023217C" w:rsidRDefault="00CC6F27" w:rsidP="00CC6F27">
      <w:pPr>
        <w:spacing w:after="0" w:line="276" w:lineRule="auto"/>
        <w:jc w:val="both"/>
        <w:rPr>
          <w:rFonts w:ascii="Verdana" w:eastAsia="Calibri" w:hAnsi="Verdana" w:cs="Arial"/>
          <w:color w:val="7030A0"/>
          <w:lang w:val="es-ES"/>
        </w:rPr>
      </w:pPr>
    </w:p>
    <w:p w14:paraId="08B589B5" w14:textId="77777777" w:rsidR="00CC6F27" w:rsidRPr="0023217C" w:rsidRDefault="00CC6F27" w:rsidP="00CC6F27">
      <w:pPr>
        <w:tabs>
          <w:tab w:val="left" w:pos="426"/>
        </w:tabs>
        <w:spacing w:after="120" w:line="276" w:lineRule="auto"/>
        <w:jc w:val="both"/>
        <w:rPr>
          <w:rFonts w:ascii="Verdana" w:eastAsia="Calibri" w:hAnsi="Verdana" w:cs="Arial"/>
        </w:rPr>
      </w:pPr>
      <w:r w:rsidRPr="0023217C">
        <w:rPr>
          <w:rFonts w:ascii="Verdana" w:eastAsia="Calibri" w:hAnsi="Verdana" w:cs="Arial"/>
        </w:rPr>
        <w:t>El ordenamiento jurídico colombiano contempla previsiones claras para evitar la obtención de beneficios personales en asuntos propios de la administración pública</w:t>
      </w:r>
      <w:r w:rsidRPr="0023217C">
        <w:rPr>
          <w:rFonts w:ascii="Verdana" w:eastAsia="Calibri" w:hAnsi="Verdana" w:cs="Arial"/>
          <w:i/>
        </w:rPr>
        <w:t xml:space="preserve">. </w:t>
      </w:r>
      <w:r w:rsidRPr="0023217C">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23217C">
        <w:rPr>
          <w:rFonts w:ascii="Verdana" w:hAnsi="Verdana"/>
          <w:vertAlign w:val="superscript"/>
        </w:rPr>
        <w:footnoteReference w:id="1"/>
      </w:r>
      <w:r w:rsidRPr="0023217C">
        <w:rPr>
          <w:rFonts w:ascii="Verdana" w:eastAsia="Calibri" w:hAnsi="Verdana" w:cs="Arial"/>
        </w:rPr>
        <w:t xml:space="preserve">. </w:t>
      </w:r>
    </w:p>
    <w:p w14:paraId="3770A678" w14:textId="77777777" w:rsidR="00CC6F27" w:rsidRPr="0023217C" w:rsidRDefault="00CC6F27" w:rsidP="00CC6F27">
      <w:pPr>
        <w:tabs>
          <w:tab w:val="left" w:pos="426"/>
        </w:tabs>
        <w:spacing w:after="120" w:line="276" w:lineRule="auto"/>
        <w:ind w:firstLine="709"/>
        <w:jc w:val="both"/>
        <w:rPr>
          <w:rFonts w:ascii="Verdana" w:eastAsia="Calibri" w:hAnsi="Verdana" w:cs="Arial"/>
          <w:lang w:val="es-ES"/>
        </w:rPr>
      </w:pPr>
      <w:r w:rsidRPr="0023217C">
        <w:rPr>
          <w:rFonts w:ascii="Verdana" w:eastAsia="Times New Roman" w:hAnsi="Verdana" w:cs="Arial"/>
          <w:lang w:eastAsia="es-CO"/>
        </w:rPr>
        <w:t>En el mismo sentido</w:t>
      </w:r>
      <w:r w:rsidRPr="0023217C">
        <w:rPr>
          <w:rFonts w:ascii="Verdana" w:eastAsia="Times New Roman" w:hAnsi="Verdana" w:cs="Arial"/>
          <w:lang w:val="es-MX" w:eastAsia="es-CO"/>
        </w:rPr>
        <w:t xml:space="preserve">, </w:t>
      </w:r>
      <w:bookmarkStart w:id="4" w:name="_Hlk99576829"/>
      <w:r w:rsidRPr="0023217C">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23217C">
        <w:rPr>
          <w:rFonts w:ascii="Verdana" w:eastAsia="Times New Roman" w:hAnsi="Verdana" w:cs="Arial"/>
          <w:vertAlign w:val="superscript"/>
          <w:lang w:val="es-MX" w:eastAsia="es-CO"/>
        </w:rPr>
        <w:footnoteReference w:id="2"/>
      </w:r>
      <w:r w:rsidRPr="0023217C">
        <w:rPr>
          <w:rFonts w:ascii="Verdana" w:eastAsia="Times New Roman" w:hAnsi="Verdana" w:cs="Arial"/>
          <w:lang w:val="es-MX" w:eastAsia="es-CO"/>
        </w:rPr>
        <w:t xml:space="preserve">. En esta medida, introduce limitaciones para realizar nombramientos, postulaciones, </w:t>
      </w:r>
      <w:r w:rsidRPr="0023217C">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sidRPr="0023217C">
        <w:rPr>
          <w:rFonts w:ascii="Verdana" w:eastAsia="Calibri" w:hAnsi="Verdana" w:cs="Arial"/>
          <w:lang w:val="es-ES"/>
        </w:rPr>
        <w:t xml:space="preserve"> </w:t>
      </w:r>
      <w:bookmarkEnd w:id="4"/>
    </w:p>
    <w:p w14:paraId="77AF0888" w14:textId="77777777" w:rsidR="00CC6F27" w:rsidRPr="0023217C" w:rsidRDefault="00CC6F27" w:rsidP="00CC6F27">
      <w:pPr>
        <w:tabs>
          <w:tab w:val="left" w:pos="426"/>
        </w:tabs>
        <w:spacing w:after="0" w:line="276" w:lineRule="auto"/>
        <w:ind w:firstLine="709"/>
        <w:jc w:val="both"/>
        <w:rPr>
          <w:rFonts w:ascii="Verdana" w:eastAsia="Calibri" w:hAnsi="Verdana" w:cs="Arial"/>
          <w:lang w:val="es-ES"/>
        </w:rPr>
      </w:pPr>
      <w:r w:rsidRPr="0023217C">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0E7396D" w14:textId="77777777" w:rsidR="00CC6F27" w:rsidRPr="0023217C" w:rsidRDefault="00CC6F27" w:rsidP="00CC6F27">
      <w:pPr>
        <w:spacing w:after="0" w:line="240" w:lineRule="auto"/>
        <w:ind w:right="709"/>
        <w:contextualSpacing/>
        <w:jc w:val="both"/>
        <w:rPr>
          <w:rFonts w:ascii="Verdana" w:eastAsia="Times New Roman" w:hAnsi="Verdana" w:cs="Arial"/>
          <w:lang w:val="es-ES" w:eastAsia="es-CO"/>
        </w:rPr>
      </w:pPr>
    </w:p>
    <w:p w14:paraId="1192D35B" w14:textId="77777777" w:rsidR="00CC6F27" w:rsidRPr="0023217C" w:rsidRDefault="00CC6F27" w:rsidP="00CC6F27">
      <w:pPr>
        <w:spacing w:after="0" w:line="240" w:lineRule="auto"/>
        <w:ind w:left="709" w:right="709"/>
        <w:contextualSpacing/>
        <w:jc w:val="both"/>
        <w:rPr>
          <w:rFonts w:ascii="Verdana" w:eastAsia="Times New Roman" w:hAnsi="Verdana" w:cs="Arial"/>
          <w:lang w:val="es-MX" w:eastAsia="es-CO"/>
        </w:rPr>
      </w:pPr>
      <w:r w:rsidRPr="0023217C">
        <w:rPr>
          <w:rFonts w:ascii="Verdana" w:eastAsia="Times New Roman" w:hAnsi="Verdana" w:cs="Arial"/>
          <w:lang w:val="es-ES" w:eastAsia="es-CO"/>
        </w:rPr>
        <w:t xml:space="preserve">“[…] </w:t>
      </w:r>
      <w:r w:rsidRPr="0023217C">
        <w:rPr>
          <w:rFonts w:ascii="Verdana" w:eastAsia="Times New Roman" w:hAnsi="Verdana" w:cs="Arial"/>
          <w:lang w:val="es-MX" w:eastAsia="es-CO"/>
        </w:rPr>
        <w:t xml:space="preserve">la definición de reglas claras que permitan acceder a los canales de expresión democrática de manera efectiva e igualitaria. El objetivo de una ley de garantías es definir esas reglas. </w:t>
      </w:r>
    </w:p>
    <w:p w14:paraId="48C30BD8" w14:textId="77777777" w:rsidR="00CC6F27" w:rsidRPr="0023217C" w:rsidRDefault="00CC6F27" w:rsidP="00CC6F27">
      <w:pPr>
        <w:spacing w:after="0" w:line="240" w:lineRule="auto"/>
        <w:ind w:left="709" w:right="709"/>
        <w:contextualSpacing/>
        <w:jc w:val="both"/>
        <w:rPr>
          <w:rFonts w:ascii="Verdana" w:eastAsia="Times New Roman" w:hAnsi="Verdana" w:cs="Arial"/>
          <w:lang w:val="es-MX" w:eastAsia="es-CO"/>
        </w:rPr>
      </w:pPr>
      <w:r w:rsidRPr="0023217C">
        <w:rPr>
          <w:rFonts w:ascii="Verdana" w:eastAsia="Times New Roman" w:hAnsi="Verdana" w:cs="Arial"/>
          <w:lang w:val="es-MX" w:eastAsia="es-CO"/>
        </w:rPr>
        <w:t xml:space="preserve">[…] </w:t>
      </w:r>
    </w:p>
    <w:p w14:paraId="7DAA49BD" w14:textId="77777777" w:rsidR="00CC6F27" w:rsidRPr="0023217C" w:rsidRDefault="00CC6F27" w:rsidP="00CC6F27">
      <w:pPr>
        <w:spacing w:after="0" w:line="240" w:lineRule="auto"/>
        <w:ind w:left="709" w:right="709"/>
        <w:contextualSpacing/>
        <w:jc w:val="both"/>
        <w:rPr>
          <w:rFonts w:ascii="Verdana" w:eastAsia="Times New Roman" w:hAnsi="Verdana" w:cs="Arial"/>
          <w:lang w:val="es-MX" w:eastAsia="es-CO"/>
        </w:rPr>
      </w:pPr>
      <w:r w:rsidRPr="0023217C">
        <w:rPr>
          <w:rFonts w:ascii="Verdana" w:eastAsia="Times New Roman" w:hAnsi="Verdana" w:cs="Arial"/>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23217C">
        <w:rPr>
          <w:rFonts w:ascii="Verdana" w:eastAsia="Calibri" w:hAnsi="Verdana" w:cs="Arial"/>
          <w:vertAlign w:val="superscript"/>
          <w:lang w:val="es-MX"/>
        </w:rPr>
        <w:footnoteReference w:id="3"/>
      </w:r>
    </w:p>
    <w:p w14:paraId="08DBC390" w14:textId="77777777" w:rsidR="00CC6F27" w:rsidRPr="0023217C" w:rsidRDefault="00CC6F27" w:rsidP="00CC6F27">
      <w:pPr>
        <w:spacing w:after="0" w:line="276" w:lineRule="auto"/>
        <w:jc w:val="both"/>
        <w:rPr>
          <w:rFonts w:ascii="Verdana" w:eastAsia="Times New Roman" w:hAnsi="Verdana" w:cs="Arial"/>
          <w:lang w:val="es-MX" w:eastAsia="es-CO"/>
        </w:rPr>
      </w:pPr>
      <w:bookmarkStart w:id="5" w:name="_Hlk78818186"/>
    </w:p>
    <w:p w14:paraId="71EA0E00" w14:textId="77777777" w:rsidR="00CC6F27" w:rsidRPr="0023217C" w:rsidRDefault="00CC6F27" w:rsidP="00CC6F27">
      <w:pPr>
        <w:spacing w:after="0" w:line="276" w:lineRule="auto"/>
        <w:ind w:firstLine="709"/>
        <w:jc w:val="both"/>
        <w:rPr>
          <w:rFonts w:ascii="Verdana" w:eastAsia="Times New Roman" w:hAnsi="Verdana" w:cs="Arial"/>
          <w:lang w:val="es-MX" w:eastAsia="es-CO"/>
        </w:rPr>
      </w:pPr>
      <w:r w:rsidRPr="0023217C">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5"/>
      <w:r w:rsidRPr="0023217C">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3B281A06" w14:textId="77777777" w:rsidR="00CC6F27" w:rsidRPr="0023217C" w:rsidRDefault="00CC6F27" w:rsidP="00CC6F27">
      <w:pPr>
        <w:spacing w:after="0" w:line="276" w:lineRule="auto"/>
        <w:ind w:firstLine="709"/>
        <w:jc w:val="both"/>
        <w:rPr>
          <w:rFonts w:ascii="Verdana" w:eastAsia="Times New Roman" w:hAnsi="Verdana" w:cs="Arial"/>
          <w:lang w:val="es-MX" w:eastAsia="es-CO"/>
        </w:rPr>
      </w:pPr>
    </w:p>
    <w:p w14:paraId="0C7B33F8" w14:textId="77777777" w:rsidR="00CC6F27" w:rsidRPr="0023217C" w:rsidRDefault="00CC6F27" w:rsidP="00CC6F27">
      <w:pPr>
        <w:spacing w:after="0" w:line="240" w:lineRule="auto"/>
        <w:ind w:left="709" w:right="709"/>
        <w:contextualSpacing/>
        <w:jc w:val="both"/>
        <w:rPr>
          <w:rFonts w:ascii="Verdana" w:eastAsia="Times New Roman" w:hAnsi="Verdana" w:cs="Arial"/>
          <w:lang w:val="es-MX" w:eastAsia="es-CO"/>
        </w:rPr>
      </w:pPr>
      <w:r w:rsidRPr="0023217C">
        <w:rPr>
          <w:rFonts w:ascii="Verdana" w:eastAsia="Times New Roman" w:hAnsi="Verdana" w:cs="Arial"/>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w:t>
      </w:r>
      <w:r w:rsidRPr="0023217C">
        <w:rPr>
          <w:rFonts w:ascii="Verdana" w:eastAsia="Times New Roman" w:hAnsi="Verdana" w:cs="Arial"/>
          <w:lang w:val="es-MX" w:eastAsia="es-CO"/>
        </w:rPr>
        <w:lastRenderedPageBreak/>
        <w:t>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D857820" w14:textId="77777777" w:rsidR="00CC6F27" w:rsidRPr="0023217C" w:rsidRDefault="00CC6F27" w:rsidP="00CC6F27">
      <w:pPr>
        <w:spacing w:after="0" w:line="240" w:lineRule="auto"/>
        <w:ind w:right="709"/>
        <w:contextualSpacing/>
        <w:jc w:val="both"/>
        <w:rPr>
          <w:rFonts w:ascii="Verdana" w:eastAsia="Times New Roman" w:hAnsi="Verdana" w:cs="Arial"/>
          <w:lang w:val="es-MX" w:eastAsia="es-CO"/>
        </w:rPr>
      </w:pPr>
    </w:p>
    <w:p w14:paraId="345E44F5" w14:textId="77777777" w:rsidR="00CC6F27" w:rsidRPr="0023217C" w:rsidRDefault="00CC6F27" w:rsidP="00CC6F27">
      <w:pPr>
        <w:spacing w:after="0" w:line="240" w:lineRule="auto"/>
        <w:ind w:left="709" w:right="709"/>
        <w:contextualSpacing/>
        <w:jc w:val="both"/>
        <w:rPr>
          <w:rFonts w:ascii="Verdana" w:eastAsia="Times New Roman" w:hAnsi="Verdana" w:cs="Arial"/>
          <w:lang w:val="es-MX" w:eastAsia="es-CO"/>
        </w:rPr>
      </w:pPr>
      <w:r w:rsidRPr="0023217C">
        <w:rPr>
          <w:rFonts w:ascii="Verdana" w:eastAsia="Times New Roman" w:hAnsi="Verdana" w:cs="Arial"/>
          <w:lang w:val="es-MX" w:eastAsia="es-CO"/>
        </w:rPr>
        <w:t>La jurisprudencia de la Corte Constitucional</w:t>
      </w:r>
      <w:r w:rsidRPr="0023217C">
        <w:rPr>
          <w:rFonts w:ascii="Verdana" w:eastAsia="Times New Roman" w:hAnsi="Verdana" w:cs="Arial"/>
          <w:vertAlign w:val="superscript"/>
          <w:lang w:val="es-MX" w:eastAsia="es-CO"/>
        </w:rPr>
        <w:footnoteReference w:id="4"/>
      </w:r>
      <w:r w:rsidRPr="0023217C">
        <w:rPr>
          <w:rFonts w:ascii="Verdana" w:eastAsia="Times New Roman" w:hAnsi="Verdana" w:cs="Arial"/>
          <w:lang w:val="es-MX" w:eastAsia="es-CO"/>
        </w:rPr>
        <w:t> y del Consejo de Estado</w:t>
      </w:r>
      <w:r w:rsidRPr="0023217C">
        <w:rPr>
          <w:rFonts w:ascii="Verdana" w:eastAsia="Times New Roman" w:hAnsi="Verdana" w:cs="Arial"/>
          <w:vertAlign w:val="superscript"/>
          <w:lang w:val="es-MX" w:eastAsia="es-CO"/>
        </w:rPr>
        <w:footnoteReference w:id="5"/>
      </w:r>
      <w:r w:rsidRPr="0023217C">
        <w:rPr>
          <w:rFonts w:ascii="Verdana" w:eastAsia="Times New Roman" w:hAnsi="Verdana" w:cs="Arial"/>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23217C">
        <w:rPr>
          <w:rFonts w:ascii="Verdana" w:eastAsia="Times New Roman" w:hAnsi="Verdana" w:cs="Arial"/>
          <w:vertAlign w:val="superscript"/>
          <w:lang w:val="es-MX" w:eastAsia="es-CO"/>
        </w:rPr>
        <w:footnoteReference w:id="6"/>
      </w:r>
      <w:r w:rsidRPr="0023217C">
        <w:rPr>
          <w:rFonts w:ascii="Verdana" w:eastAsia="Times New Roman" w:hAnsi="Verdana" w:cs="Arial"/>
          <w:lang w:val="es-MX" w:eastAsia="es-CO"/>
        </w:rPr>
        <w:t>.</w:t>
      </w:r>
    </w:p>
    <w:p w14:paraId="1F88430C" w14:textId="77777777" w:rsidR="00CC6F27" w:rsidRPr="0023217C" w:rsidRDefault="00CC6F27" w:rsidP="00CC6F27">
      <w:pPr>
        <w:spacing w:after="0" w:line="276" w:lineRule="auto"/>
        <w:jc w:val="both"/>
        <w:rPr>
          <w:rFonts w:ascii="Verdana" w:eastAsia="Times New Roman" w:hAnsi="Verdana" w:cs="Arial"/>
          <w:lang w:val="es-MX" w:eastAsia="es-CO"/>
        </w:rPr>
      </w:pPr>
    </w:p>
    <w:p w14:paraId="4980E73F" w14:textId="77777777" w:rsidR="00CC6F27" w:rsidRPr="0023217C" w:rsidRDefault="00CC6F27" w:rsidP="00CC6F27">
      <w:pPr>
        <w:spacing w:after="120" w:line="276" w:lineRule="auto"/>
        <w:ind w:firstLine="708"/>
        <w:jc w:val="both"/>
        <w:rPr>
          <w:rFonts w:ascii="Verdana" w:eastAsia="Arial" w:hAnsi="Verdana" w:cs="Arial"/>
          <w:lang w:val="es-ES" w:eastAsia="es-ES" w:bidi="es-ES"/>
        </w:rPr>
      </w:pPr>
      <w:r w:rsidRPr="0023217C">
        <w:rPr>
          <w:rFonts w:ascii="Verdana" w:eastAsia="Times New Roman" w:hAnsi="Verdana" w:cs="Arial"/>
          <w:lang w:val="es-MX" w:eastAsia="es-CO"/>
        </w:rPr>
        <w:t>De</w:t>
      </w:r>
      <w:r w:rsidRPr="0023217C">
        <w:rPr>
          <w:rFonts w:ascii="Verdana" w:eastAsia="Arial" w:hAnsi="Verdana" w:cs="Arial"/>
          <w:lang w:val="es-ES" w:eastAsia="es-ES" w:bidi="es-ES"/>
        </w:rPr>
        <w:t xml:space="preserve"> conformidad con lo anterior, </w:t>
      </w:r>
      <w:bookmarkStart w:id="6" w:name="_Hlk77236098"/>
      <w:r w:rsidRPr="0023217C">
        <w:rPr>
          <w:rFonts w:ascii="Verdana" w:eastAsia="Arial" w:hAnsi="Verdana" w:cs="Arial"/>
          <w:lang w:val="es-ES" w:eastAsia="es-ES" w:bidi="es-ES"/>
        </w:rPr>
        <w:t>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71342517" w14:textId="77777777" w:rsidR="00CC6F27" w:rsidRPr="0023217C" w:rsidRDefault="00CC6F27" w:rsidP="00CC6F27">
      <w:pPr>
        <w:spacing w:after="120" w:line="276" w:lineRule="auto"/>
        <w:ind w:firstLine="708"/>
        <w:jc w:val="both"/>
        <w:rPr>
          <w:rFonts w:ascii="Verdana" w:eastAsia="Arial" w:hAnsi="Verdana" w:cs="Arial"/>
          <w:lang w:val="es-ES" w:eastAsia="es-ES" w:bidi="es-ES"/>
        </w:rPr>
      </w:pPr>
      <w:r w:rsidRPr="0023217C">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787FCEF3" w14:textId="77777777" w:rsidR="00CC6F27" w:rsidRPr="0023217C" w:rsidRDefault="00CC6F27" w:rsidP="00CC6F27">
      <w:pPr>
        <w:spacing w:after="120" w:line="276" w:lineRule="auto"/>
        <w:ind w:firstLine="708"/>
        <w:jc w:val="both"/>
        <w:rPr>
          <w:rFonts w:ascii="Verdana" w:eastAsia="Arial" w:hAnsi="Verdana" w:cs="Arial"/>
          <w:lang w:val="es-ES" w:eastAsia="es-ES" w:bidi="es-ES"/>
        </w:rPr>
      </w:pPr>
      <w:r w:rsidRPr="0023217C">
        <w:rPr>
          <w:rFonts w:ascii="Verdana" w:eastAsia="Calibri" w:hAnsi="Verdana" w:cs="Arial"/>
        </w:rPr>
        <w:lastRenderedPageBreak/>
        <w:t xml:space="preserve">Por un lado, el </w:t>
      </w:r>
      <w:r w:rsidRPr="0023217C">
        <w:rPr>
          <w:rFonts w:ascii="Verdana" w:eastAsia="Calibri" w:hAnsi="Verdana" w:cs="Arial"/>
          <w:i/>
          <w:iCs/>
        </w:rPr>
        <w:t>artículo 33 de la Ley 996 de 2005</w:t>
      </w:r>
      <w:r w:rsidRPr="0023217C">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3217C">
        <w:rPr>
          <w:rFonts w:ascii="Verdana" w:eastAsia="Calibri" w:hAnsi="Verdana" w:cs="Arial"/>
          <w:vertAlign w:val="superscript"/>
        </w:rPr>
        <w:footnoteReference w:id="7"/>
      </w:r>
      <w:r w:rsidRPr="0023217C">
        <w:rPr>
          <w:rFonts w:ascii="Verdana" w:eastAsia="Calibri" w:hAnsi="Verdana" w:cs="Arial"/>
        </w:rPr>
        <w:t>.</w:t>
      </w:r>
    </w:p>
    <w:p w14:paraId="5A333A2F" w14:textId="77777777" w:rsidR="00CC6F27" w:rsidRPr="0023217C" w:rsidRDefault="00CC6F27" w:rsidP="00CC6F27">
      <w:pPr>
        <w:spacing w:after="120" w:line="276" w:lineRule="auto"/>
        <w:ind w:firstLine="708"/>
        <w:jc w:val="both"/>
        <w:rPr>
          <w:rFonts w:ascii="Verdana" w:eastAsia="Arial" w:hAnsi="Verdana" w:cs="Arial"/>
          <w:lang w:val="es-ES" w:eastAsia="es-ES" w:bidi="es-ES"/>
        </w:rPr>
      </w:pPr>
      <w:r w:rsidRPr="0023217C">
        <w:rPr>
          <w:rFonts w:ascii="Verdana" w:eastAsia="Calibri" w:hAnsi="Verdana" w:cs="Arial"/>
        </w:rPr>
        <w:t xml:space="preserve">Por otro lado, </w:t>
      </w:r>
      <w:r w:rsidRPr="0023217C">
        <w:rPr>
          <w:rFonts w:ascii="Verdana" w:eastAsia="Calibri" w:hAnsi="Verdana" w:cs="Arial"/>
          <w:i/>
          <w:iCs/>
        </w:rPr>
        <w:t>el parágrafo del artículo 38 de la Ley 996 de 2005</w:t>
      </w:r>
      <w:r w:rsidRPr="0023217C">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23217C">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3217C">
        <w:rPr>
          <w:rFonts w:ascii="Verdana" w:eastAsia="Calibri" w:hAnsi="Verdana" w:cs="Arial"/>
        </w:rPr>
        <w:t>”</w:t>
      </w:r>
      <w:r w:rsidRPr="0023217C">
        <w:rPr>
          <w:rFonts w:ascii="Verdana" w:eastAsia="Calibri" w:hAnsi="Verdana" w:cs="Arial"/>
          <w:vertAlign w:val="superscript"/>
        </w:rPr>
        <w:footnoteReference w:id="8"/>
      </w:r>
      <w:r w:rsidRPr="0023217C">
        <w:rPr>
          <w:rFonts w:ascii="Verdana" w:eastAsia="Calibri" w:hAnsi="Verdana" w:cs="Arial"/>
          <w:lang w:val="es-MX"/>
        </w:rPr>
        <w:t>.</w:t>
      </w:r>
      <w:r w:rsidRPr="0023217C">
        <w:rPr>
          <w:rFonts w:ascii="Verdana" w:eastAsia="Arial" w:hAnsi="Verdana" w:cs="Arial"/>
          <w:lang w:val="es-ES" w:eastAsia="es-ES" w:bidi="es-ES"/>
        </w:rPr>
        <w:t xml:space="preserve"> </w:t>
      </w:r>
    </w:p>
    <w:p w14:paraId="7A4C0B4A" w14:textId="77777777" w:rsidR="00CC6F27" w:rsidRPr="0023217C" w:rsidRDefault="00CC6F27" w:rsidP="00CC6F2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23217C">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25A1D81" w14:textId="77777777" w:rsidR="00CC6F27" w:rsidRPr="0023217C" w:rsidRDefault="00CC6F27" w:rsidP="00CC6F2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62AAEDC" w14:textId="77777777" w:rsidR="00CC6F27" w:rsidRPr="0023217C" w:rsidRDefault="00CC6F27" w:rsidP="00CC6F27">
      <w:pPr>
        <w:widowControl w:val="0"/>
        <w:autoSpaceDE w:val="0"/>
        <w:autoSpaceDN w:val="0"/>
        <w:spacing w:after="0" w:line="240" w:lineRule="auto"/>
        <w:ind w:left="709" w:right="709"/>
        <w:jc w:val="both"/>
        <w:rPr>
          <w:rFonts w:ascii="Verdana" w:eastAsia="Arial" w:hAnsi="Verdana" w:cs="Arial"/>
          <w:lang w:val="es-ES" w:eastAsia="es-ES" w:bidi="es-ES"/>
        </w:rPr>
      </w:pPr>
      <w:r w:rsidRPr="0023217C">
        <w:rPr>
          <w:rFonts w:ascii="Verdana" w:eastAsia="Arial" w:hAnsi="Verdana" w:cs="Arial"/>
          <w:lang w:val="es-ES" w:eastAsia="es-ES" w:bidi="es-ES"/>
        </w:rPr>
        <w:t xml:space="preserve">“La interpretación sistemática de las disposiciones consagradas en los artículos 32, 33 y el parágrafo del artículo 38 de la ley 996 de 2.005 lleva a concluir que dichas normas contienen restricciones y </w:t>
      </w:r>
      <w:r w:rsidRPr="0023217C">
        <w:rPr>
          <w:rFonts w:ascii="Verdana" w:eastAsia="Arial" w:hAnsi="Verdana" w:cs="Arial"/>
          <w:lang w:val="es-ES" w:eastAsia="es-ES" w:bidi="es-ES"/>
        </w:rPr>
        <w:lastRenderedPageBreak/>
        <w:t xml:space="preserve">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23217C">
        <w:rPr>
          <w:rFonts w:ascii="Verdana" w:eastAsia="Arial" w:hAnsi="Verdana" w:cs="Arial"/>
          <w:lang w:val="es-ES" w:eastAsia="es-ES" w:bidi="es-ES"/>
        </w:rPr>
        <w:t>Presidente</w:t>
      </w:r>
      <w:proofErr w:type="gramEnd"/>
      <w:r w:rsidRPr="0023217C">
        <w:rPr>
          <w:rFonts w:ascii="Verdana" w:eastAsia="Arial" w:hAnsi="Verdana" w:cs="Arial"/>
          <w:lang w:val="es-ES" w:eastAsia="es-ES" w:bidi="es-ES"/>
        </w:rPr>
        <w:t xml:space="preserve"> de la República, a las autoridades territoriales allí mencionadas sólo se aplican las restricciones contenidas en el parágrafo del artículo 38”.</w:t>
      </w:r>
      <w:r w:rsidRPr="0023217C">
        <w:rPr>
          <w:rFonts w:ascii="Verdana" w:eastAsia="Arial" w:hAnsi="Verdana" w:cs="Arial"/>
          <w:vertAlign w:val="superscript"/>
          <w:lang w:val="es-ES" w:eastAsia="es-ES" w:bidi="es-ES"/>
        </w:rPr>
        <w:footnoteReference w:id="9"/>
      </w:r>
    </w:p>
    <w:p w14:paraId="0E831554" w14:textId="77777777" w:rsidR="00CC6F27" w:rsidRPr="0023217C" w:rsidRDefault="00CC6F27" w:rsidP="00CC6F27">
      <w:pPr>
        <w:spacing w:after="0"/>
        <w:jc w:val="both"/>
        <w:rPr>
          <w:rFonts w:ascii="Verdana" w:eastAsia="Calibri" w:hAnsi="Verdana" w:cs="Arial"/>
          <w:lang w:val="es-ES"/>
        </w:rPr>
      </w:pPr>
    </w:p>
    <w:p w14:paraId="55D5DE1A" w14:textId="77777777" w:rsidR="00CC6F27" w:rsidRPr="0023217C" w:rsidRDefault="00CC6F27" w:rsidP="00CC6F27">
      <w:pPr>
        <w:spacing w:after="120" w:line="276" w:lineRule="auto"/>
        <w:ind w:firstLine="709"/>
        <w:jc w:val="both"/>
        <w:rPr>
          <w:rFonts w:ascii="Verdana" w:eastAsia="Arial" w:hAnsi="Verdana" w:cs="Arial"/>
          <w:lang w:val="es-ES" w:eastAsia="es-ES" w:bidi="es-ES"/>
        </w:rPr>
      </w:pPr>
      <w:r w:rsidRPr="0023217C">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23217C">
        <w:rPr>
          <w:rFonts w:ascii="Verdana" w:eastAsia="Arial" w:hAnsi="Verdana" w:cs="Arial"/>
          <w:i/>
          <w:lang w:val="es-ES" w:eastAsia="es-ES" w:bidi="es-ES"/>
        </w:rPr>
        <w:t>En primer lugar</w:t>
      </w:r>
      <w:r w:rsidRPr="0023217C">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3217C">
        <w:rPr>
          <w:rFonts w:ascii="Verdana" w:eastAsia="Arial" w:hAnsi="Verdana" w:cs="Arial"/>
          <w:i/>
          <w:lang w:val="es-ES" w:eastAsia="es-ES" w:bidi="es-ES"/>
        </w:rPr>
        <w:t>En segundo lugar</w:t>
      </w:r>
      <w:r w:rsidRPr="0023217C">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8B67A31" w14:textId="77777777" w:rsidR="00CC6F27" w:rsidRPr="0023217C" w:rsidRDefault="00CC6F27" w:rsidP="00CC6F27">
      <w:pPr>
        <w:spacing w:after="120" w:line="276" w:lineRule="auto"/>
        <w:ind w:firstLine="709"/>
        <w:jc w:val="both"/>
        <w:rPr>
          <w:rFonts w:ascii="Verdana" w:eastAsia="Arial" w:hAnsi="Verdana" w:cs="Arial"/>
          <w:lang w:val="es-ES" w:eastAsia="es-ES" w:bidi="es-ES"/>
        </w:rPr>
      </w:pPr>
      <w:r w:rsidRPr="0023217C">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23217C">
        <w:rPr>
          <w:rFonts w:ascii="Verdana" w:eastAsia="Arial" w:hAnsi="Verdana" w:cs="Arial"/>
          <w:lang w:val="es-ES" w:eastAsia="es-ES" w:bidi="es-ES"/>
        </w:rPr>
        <w:t>Presidente</w:t>
      </w:r>
      <w:proofErr w:type="gramEnd"/>
      <w:r w:rsidRPr="0023217C">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23217C">
        <w:rPr>
          <w:rFonts w:ascii="Verdana" w:eastAsia="Arial" w:hAnsi="Verdana" w:cs="Arial"/>
          <w:lang w:val="es-ES" w:eastAsia="es-ES" w:bidi="es-ES"/>
        </w:rPr>
        <w:t>Presidente</w:t>
      </w:r>
      <w:proofErr w:type="gramEnd"/>
      <w:r w:rsidRPr="0023217C">
        <w:rPr>
          <w:rFonts w:ascii="Verdana" w:eastAsia="Arial" w:hAnsi="Verdana" w:cs="Arial"/>
          <w:lang w:val="es-ES" w:eastAsia="es-ES" w:bidi="es-ES"/>
        </w:rPr>
        <w:t xml:space="preserve"> de la República, las </w:t>
      </w:r>
      <w:r w:rsidRPr="0023217C">
        <w:rPr>
          <w:rFonts w:ascii="Verdana" w:eastAsia="Arial" w:hAnsi="Verdana" w:cs="Arial"/>
          <w:lang w:val="es-ES" w:eastAsia="es-ES" w:bidi="es-ES"/>
        </w:rPr>
        <w:lastRenderedPageBreak/>
        <w:t>autoridades allí mencionadas sólo deben aplicar las restricciones contenidas en el parágrafo del artículo 38.</w:t>
      </w:r>
    </w:p>
    <w:p w14:paraId="5B7A6F1C" w14:textId="77777777" w:rsidR="00CC6F27" w:rsidRPr="0023217C" w:rsidRDefault="00CC6F27" w:rsidP="00CC6F27">
      <w:pPr>
        <w:spacing w:after="120" w:line="276" w:lineRule="auto"/>
        <w:ind w:firstLine="709"/>
        <w:jc w:val="both"/>
        <w:rPr>
          <w:rFonts w:ascii="Verdana" w:eastAsia="Arial" w:hAnsi="Verdana" w:cs="Arial"/>
          <w:lang w:val="es-ES" w:eastAsia="es-ES" w:bidi="es-ES"/>
        </w:rPr>
      </w:pPr>
      <w:r w:rsidRPr="0023217C">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23217C">
        <w:rPr>
          <w:rFonts w:ascii="Verdana" w:eastAsia="Arial" w:hAnsi="Verdana" w:cs="Arial"/>
          <w:lang w:val="es-ES" w:eastAsia="es-ES" w:bidi="es-ES"/>
        </w:rPr>
        <w:t>Presidente</w:t>
      </w:r>
      <w:proofErr w:type="gramEnd"/>
      <w:r w:rsidRPr="0023217C">
        <w:rPr>
          <w:rFonts w:ascii="Verdana" w:eastAsia="Arial" w:hAnsi="Verdana" w:cs="Arial"/>
          <w:lang w:val="es-ES" w:eastAsia="es-ES" w:bidi="es-ES"/>
        </w:rPr>
        <w:t xml:space="preserve"> o el </w:t>
      </w:r>
      <w:proofErr w:type="gramStart"/>
      <w:r w:rsidRPr="0023217C">
        <w:rPr>
          <w:rFonts w:ascii="Verdana" w:eastAsia="Arial" w:hAnsi="Verdana" w:cs="Arial"/>
          <w:lang w:val="es-ES" w:eastAsia="es-ES" w:bidi="es-ES"/>
        </w:rPr>
        <w:t>Vicepresidente</w:t>
      </w:r>
      <w:proofErr w:type="gramEnd"/>
      <w:r w:rsidRPr="0023217C">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23217C">
        <w:rPr>
          <w:rFonts w:ascii="Verdana" w:eastAsia="Arial" w:hAnsi="Verdana" w:cs="Arial"/>
          <w:lang w:val="es-ES" w:eastAsia="es-ES" w:bidi="es-ES"/>
        </w:rPr>
        <w:t>Presidente</w:t>
      </w:r>
      <w:proofErr w:type="gramEnd"/>
      <w:r w:rsidRPr="0023217C">
        <w:rPr>
          <w:rFonts w:ascii="Verdana" w:eastAsia="Arial" w:hAnsi="Verdana" w:cs="Arial"/>
          <w:lang w:val="es-ES" w:eastAsia="es-ES" w:bidi="es-ES"/>
        </w:rPr>
        <w:t xml:space="preserve"> y el </w:t>
      </w:r>
      <w:proofErr w:type="gramStart"/>
      <w:r w:rsidRPr="0023217C">
        <w:rPr>
          <w:rFonts w:ascii="Verdana" w:eastAsia="Arial" w:hAnsi="Verdana" w:cs="Arial"/>
          <w:lang w:val="es-ES" w:eastAsia="es-ES" w:bidi="es-ES"/>
        </w:rPr>
        <w:t>Vicepresidente</w:t>
      </w:r>
      <w:proofErr w:type="gramEnd"/>
      <w:r w:rsidRPr="0023217C">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23217C">
        <w:rPr>
          <w:rFonts w:ascii="Verdana" w:eastAsia="Arial" w:hAnsi="Verdana" w:cs="Arial"/>
          <w:lang w:val="es-ES" w:eastAsia="es-ES" w:bidi="es-ES"/>
        </w:rPr>
        <w:t>Vicepresidente</w:t>
      </w:r>
      <w:proofErr w:type="gramEnd"/>
      <w:r w:rsidRPr="0023217C">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3055FB0" w14:textId="77777777" w:rsidR="00CC6F27" w:rsidRPr="0023217C" w:rsidRDefault="00CC6F27" w:rsidP="00CC6F27">
      <w:pPr>
        <w:spacing w:after="0" w:line="276" w:lineRule="auto"/>
        <w:ind w:firstLine="708"/>
        <w:jc w:val="both"/>
        <w:rPr>
          <w:rFonts w:ascii="Verdana" w:eastAsia="Times New Roman" w:hAnsi="Verdana" w:cs="Arial"/>
          <w:bCs/>
          <w:lang w:val="es-MX" w:eastAsia="es-CO"/>
        </w:rPr>
      </w:pPr>
      <w:r w:rsidRPr="0023217C">
        <w:rPr>
          <w:rFonts w:ascii="Verdana" w:eastAsia="Times New Roman" w:hAnsi="Verdana" w:cs="Arial"/>
          <w:bCs/>
          <w:lang w:val="es-MX" w:eastAsia="x-none"/>
        </w:rPr>
        <w:t xml:space="preserve">Así las cosas, el ámbito material de la prohibición contenida en el artículo 33 de la ley 996 de 2005 está delimitado por la expresión </w:t>
      </w:r>
      <w:r w:rsidRPr="0023217C">
        <w:rPr>
          <w:rFonts w:ascii="Verdana" w:eastAsia="Calibri" w:hAnsi="Verdana" w:cs="Arial"/>
          <w:bCs/>
          <w:lang w:val="es-MX"/>
        </w:rPr>
        <w:t>“</w:t>
      </w:r>
      <w:r w:rsidRPr="0023217C">
        <w:rPr>
          <w:rFonts w:ascii="Verdana" w:eastAsia="Times New Roman" w:hAnsi="Verdana" w:cs="Arial"/>
          <w:bCs/>
          <w:lang w:val="es-MX" w:eastAsia="x-none"/>
        </w:rPr>
        <w:t>queda prohibida la contratación directa</w:t>
      </w:r>
      <w:r w:rsidRPr="0023217C">
        <w:rPr>
          <w:rFonts w:ascii="Verdana" w:eastAsia="Calibri" w:hAnsi="Verdana" w:cs="Arial"/>
          <w:lang w:val="es-MX"/>
        </w:rPr>
        <w:t>”</w:t>
      </w:r>
      <w:r w:rsidRPr="0023217C">
        <w:rPr>
          <w:rFonts w:ascii="Verdana" w:eastAsia="Times New Roman" w:hAnsi="Verdana" w:cs="Arial"/>
          <w:bCs/>
          <w:lang w:val="es-MX" w:eastAsia="x-none"/>
        </w:rPr>
        <w:t xml:space="preserve">. </w:t>
      </w:r>
      <w:r w:rsidRPr="0023217C">
        <w:rPr>
          <w:rFonts w:ascii="Verdana" w:eastAsia="Times New Roman" w:hAnsi="Verdana" w:cs="Arial"/>
          <w:lang w:val="es-MX" w:eastAsia="es-CO"/>
        </w:rPr>
        <w:t xml:space="preserve"> A propósito de </w:t>
      </w:r>
      <w:r w:rsidRPr="0023217C">
        <w:rPr>
          <w:rFonts w:ascii="Verdana" w:eastAsia="Times New Roman" w:hAnsi="Verdana" w:cs="Arial"/>
          <w:lang w:eastAsia="es-CO"/>
        </w:rPr>
        <w:t>esta restricción de la Ley de Garantías Electorales, la Sala de Consulta y Servicio Civil del Consejo de Estado ha considerado que:</w:t>
      </w:r>
    </w:p>
    <w:p w14:paraId="0034A69A" w14:textId="77777777" w:rsidR="00CC6F27" w:rsidRPr="0023217C" w:rsidRDefault="00CC6F27" w:rsidP="00CC6F27">
      <w:pPr>
        <w:spacing w:after="0" w:line="276" w:lineRule="auto"/>
        <w:ind w:left="708" w:right="709"/>
        <w:jc w:val="both"/>
        <w:rPr>
          <w:rFonts w:ascii="Verdana" w:eastAsia="Calibri" w:hAnsi="Verdana" w:cs="Arial"/>
          <w:lang w:val="es-MX"/>
        </w:rPr>
      </w:pPr>
    </w:p>
    <w:p w14:paraId="7EE8163E" w14:textId="77777777" w:rsidR="00CC6F27" w:rsidRPr="0023217C" w:rsidRDefault="00CC6F27" w:rsidP="00CC6F27">
      <w:pPr>
        <w:spacing w:after="120" w:line="240" w:lineRule="auto"/>
        <w:ind w:left="709" w:right="709"/>
        <w:jc w:val="both"/>
        <w:rPr>
          <w:rFonts w:ascii="Verdana" w:eastAsia="Calibri" w:hAnsi="Verdana" w:cs="Arial"/>
          <w:lang w:val="es-MX"/>
        </w:rPr>
      </w:pPr>
      <w:r w:rsidRPr="0023217C">
        <w:rPr>
          <w:rFonts w:ascii="Verdana" w:eastAsia="Calibri" w:hAnsi="Verdana" w:cs="Arial"/>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3217C">
        <w:rPr>
          <w:rFonts w:ascii="Verdana" w:eastAsia="Times New Roman" w:hAnsi="Verdana" w:cs="Arial"/>
          <w:vertAlign w:val="superscript"/>
          <w:lang w:eastAsia="es-CO"/>
        </w:rPr>
        <w:footnoteReference w:id="10"/>
      </w:r>
      <w:r w:rsidRPr="0023217C">
        <w:rPr>
          <w:rFonts w:ascii="Verdana" w:eastAsia="Calibri" w:hAnsi="Verdana" w:cs="Arial"/>
          <w:lang w:val="es-MX"/>
        </w:rPr>
        <w:t>.</w:t>
      </w:r>
    </w:p>
    <w:p w14:paraId="28AA577C" w14:textId="77777777" w:rsidR="00CC6F27" w:rsidRPr="0023217C" w:rsidRDefault="00CC6F27" w:rsidP="00CC6F27">
      <w:pPr>
        <w:spacing w:after="120" w:line="240" w:lineRule="auto"/>
        <w:ind w:left="709" w:right="709"/>
        <w:jc w:val="both"/>
        <w:rPr>
          <w:rFonts w:ascii="Verdana" w:eastAsia="Calibri" w:hAnsi="Verdana" w:cs="Arial"/>
          <w:lang w:val="es-MX"/>
        </w:rPr>
      </w:pPr>
      <w:r w:rsidRPr="0023217C">
        <w:rPr>
          <w:rFonts w:ascii="Verdana" w:eastAsia="Calibri" w:hAnsi="Verdana" w:cs="Arial"/>
          <w:lang w:val="es-MX"/>
        </w:rPr>
        <w:t xml:space="preserve">Esta Sala ha entendido que para los efectos de la ley de garantías, y dada su finalidad, el enunciado “contratación directa” es sinónimo de cualquier sistema que no implique convocatoria pública y posibilidad de pluralidad de oferentes, y que, además, no </w:t>
      </w:r>
      <w:r w:rsidRPr="0023217C">
        <w:rPr>
          <w:rFonts w:ascii="Verdana" w:eastAsia="Calibri" w:hAnsi="Verdana" w:cs="Arial"/>
          <w:lang w:val="es-MX"/>
        </w:rPr>
        <w:lastRenderedPageBreak/>
        <w:t>necesariamente hace referencia al procedimiento especial regulado por la ley de contratación estatal, sino a cualquier otro que prescinda de un proceso de licitación pública o concurso</w:t>
      </w:r>
      <w:r w:rsidRPr="0023217C">
        <w:rPr>
          <w:rFonts w:ascii="Verdana" w:eastAsia="Times New Roman" w:hAnsi="Verdana" w:cs="Arial"/>
          <w:vertAlign w:val="superscript"/>
          <w:lang w:val="es-MX"/>
        </w:rPr>
        <w:footnoteReference w:id="11"/>
      </w:r>
      <w:r w:rsidRPr="0023217C">
        <w:rPr>
          <w:rFonts w:ascii="Verdana" w:eastAsia="Times New Roman" w:hAnsi="Verdana" w:cs="Arial"/>
          <w:vertAlign w:val="superscript"/>
          <w:lang w:val="es-MX"/>
        </w:rPr>
        <w:t>.</w:t>
      </w:r>
      <w:r w:rsidRPr="0023217C">
        <w:rPr>
          <w:rFonts w:ascii="Verdana" w:eastAsia="Calibri" w:hAnsi="Verdana" w:cs="Arial"/>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3217C">
        <w:rPr>
          <w:rFonts w:ascii="Verdana" w:eastAsia="Times New Roman" w:hAnsi="Verdana" w:cs="Arial"/>
          <w:vertAlign w:val="superscript"/>
          <w:lang w:eastAsia="es-CO"/>
        </w:rPr>
        <w:footnoteReference w:id="12"/>
      </w:r>
      <w:r w:rsidRPr="0023217C">
        <w:rPr>
          <w:rFonts w:ascii="Verdana" w:eastAsia="Calibri" w:hAnsi="Verdana" w:cs="Arial"/>
          <w:lang w:val="es-MX"/>
        </w:rPr>
        <w:t>.</w:t>
      </w:r>
    </w:p>
    <w:p w14:paraId="29EAE938" w14:textId="77777777" w:rsidR="00CC6F27" w:rsidRPr="0023217C" w:rsidRDefault="00CC6F27" w:rsidP="00CC6F27">
      <w:pPr>
        <w:shd w:val="clear" w:color="auto" w:fill="FFFFFF"/>
        <w:spacing w:after="0" w:line="276" w:lineRule="auto"/>
        <w:ind w:firstLine="709"/>
        <w:jc w:val="both"/>
        <w:rPr>
          <w:rFonts w:ascii="Verdana" w:eastAsia="Times New Roman" w:hAnsi="Verdana" w:cs="Arial"/>
          <w:lang w:eastAsia="x-none"/>
        </w:rPr>
      </w:pPr>
    </w:p>
    <w:p w14:paraId="3401D386" w14:textId="77777777" w:rsidR="00CC6F27" w:rsidRPr="0023217C" w:rsidRDefault="00CC6F27" w:rsidP="00CC6F27">
      <w:pPr>
        <w:spacing w:after="120" w:line="276" w:lineRule="auto"/>
        <w:ind w:firstLine="708"/>
        <w:jc w:val="both"/>
        <w:rPr>
          <w:rFonts w:ascii="Verdana" w:eastAsia="Times New Roman" w:hAnsi="Verdana" w:cs="Arial"/>
          <w:bCs/>
          <w:lang w:eastAsia="x-none"/>
        </w:rPr>
      </w:pPr>
      <w:r w:rsidRPr="0023217C">
        <w:rPr>
          <w:rFonts w:ascii="Verdana" w:eastAsia="Times New Roman" w:hAnsi="Verdana" w:cs="Arial"/>
          <w:lang w:eastAsia="x-none"/>
        </w:rPr>
        <w:t xml:space="preserve">De acuerdo con el citado concepto, la prohibición del artículo 33 de la Ley de Garantías Electorales se refiere a </w:t>
      </w:r>
      <w:r w:rsidRPr="0023217C">
        <w:rPr>
          <w:rFonts w:ascii="Verdana" w:eastAsia="Times New Roman" w:hAnsi="Verdana" w:cs="Arial"/>
          <w:lang w:eastAsia="en-GB"/>
        </w:rPr>
        <w:t>“</w:t>
      </w:r>
      <w:r w:rsidRPr="0023217C">
        <w:rPr>
          <w:rFonts w:ascii="Verdana" w:eastAsia="Times New Roman" w:hAnsi="Verdana" w:cs="Arial"/>
          <w:lang w:eastAsia="x-none"/>
        </w:rPr>
        <w:t>cualquier sistema que no implique convocatoria pública y posibilidad de pluralidad de oferentes</w:t>
      </w:r>
      <w:r w:rsidRPr="0023217C">
        <w:rPr>
          <w:rFonts w:ascii="Verdana" w:eastAsia="Times New Roman" w:hAnsi="Verdana" w:cs="Arial"/>
          <w:lang w:eastAsia="en-GB"/>
        </w:rPr>
        <w:t>”</w:t>
      </w:r>
      <w:r w:rsidRPr="0023217C">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23217C">
        <w:rPr>
          <w:rFonts w:ascii="Verdana" w:eastAsia="Times New Roman" w:hAnsi="Verdana" w:cs="Arial"/>
          <w:lang w:val="es-ES"/>
        </w:rPr>
        <w:t>y la mínima cuantía</w:t>
      </w:r>
      <w:r w:rsidRPr="0023217C" w:rsidDel="00A85D9F">
        <w:rPr>
          <w:rFonts w:ascii="Verdana" w:eastAsia="Times New Roman" w:hAnsi="Verdana" w:cs="Arial"/>
          <w:lang w:eastAsia="x-none"/>
        </w:rPr>
        <w:t xml:space="preserve"> </w:t>
      </w:r>
      <w:r w:rsidRPr="0023217C">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23217C">
        <w:rPr>
          <w:rFonts w:ascii="Verdana" w:eastAsia="Times New Roman" w:hAnsi="Verdana" w:cs="Arial"/>
          <w:vertAlign w:val="superscript"/>
          <w:lang w:val="en-GB"/>
        </w:rPr>
        <w:footnoteReference w:id="13"/>
      </w:r>
      <w:r w:rsidRPr="0023217C">
        <w:rPr>
          <w:rFonts w:ascii="Verdana" w:eastAsia="Times New Roman" w:hAnsi="Verdana" w:cs="Arial"/>
          <w:lang w:eastAsia="x-none"/>
        </w:rPr>
        <w:t xml:space="preserve"> y sistematizó las causales de contratación directa</w:t>
      </w:r>
      <w:r w:rsidRPr="0023217C">
        <w:rPr>
          <w:rFonts w:ascii="Verdana" w:eastAsia="Times New Roman" w:hAnsi="Verdana" w:cs="Arial"/>
          <w:vertAlign w:val="superscript"/>
          <w:lang w:val="en-GB"/>
        </w:rPr>
        <w:footnoteReference w:id="14"/>
      </w:r>
      <w:r w:rsidRPr="0023217C">
        <w:rPr>
          <w:rFonts w:ascii="Verdana" w:eastAsia="Times New Roman" w:hAnsi="Verdana" w:cs="Arial"/>
          <w:lang w:eastAsia="x-none"/>
        </w:rPr>
        <w:t xml:space="preserve">, </w:t>
      </w:r>
      <w:r w:rsidRPr="0023217C">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451C8EC6" w14:textId="77777777" w:rsidR="00CC6F27" w:rsidRDefault="00CC6F27" w:rsidP="00CC6F27">
      <w:pPr>
        <w:spacing w:after="120" w:line="276" w:lineRule="auto"/>
        <w:ind w:firstLine="708"/>
        <w:jc w:val="both"/>
        <w:rPr>
          <w:rFonts w:ascii="Verdana" w:eastAsia="Times New Roman" w:hAnsi="Verdana" w:cs="Arial"/>
          <w:lang w:eastAsia="x-none"/>
        </w:rPr>
      </w:pPr>
      <w:r w:rsidRPr="0023217C">
        <w:rPr>
          <w:rFonts w:ascii="Verdana" w:eastAsia="Times New Roman" w:hAnsi="Verdana" w:cs="Arial"/>
          <w:lang w:eastAsia="x-none"/>
        </w:rPr>
        <w:t xml:space="preserve">De esta forma, con fundamento en la evolución de la normativa sobre la contratación pública, se ha depurado la noción de </w:t>
      </w:r>
      <w:r w:rsidRPr="0023217C">
        <w:rPr>
          <w:rFonts w:ascii="Verdana" w:eastAsia="Times New Roman" w:hAnsi="Verdana" w:cs="Arial"/>
          <w:i/>
          <w:iCs/>
          <w:lang w:eastAsia="x-none"/>
        </w:rPr>
        <w:t>contratación directa</w:t>
      </w:r>
      <w:r w:rsidRPr="0023217C">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23217C">
        <w:rPr>
          <w:rFonts w:ascii="Verdana" w:eastAsia="Times New Roman" w:hAnsi="Verdana" w:cs="Arial"/>
          <w:lang w:eastAsia="x-none"/>
        </w:rPr>
        <w:lastRenderedPageBreak/>
        <w:t>especiales e, incluso, en el derecho privado</w:t>
      </w:r>
      <w:r w:rsidRPr="0023217C">
        <w:rPr>
          <w:rFonts w:ascii="Verdana" w:eastAsia="Times New Roman" w:hAnsi="Verdana" w:cs="Arial"/>
          <w:vertAlign w:val="superscript"/>
          <w:lang w:val="en-GB" w:eastAsia="x-none"/>
        </w:rPr>
        <w:footnoteReference w:id="15"/>
      </w:r>
      <w:r w:rsidRPr="0023217C">
        <w:rPr>
          <w:rFonts w:ascii="Verdana" w:eastAsia="Times New Roman" w:hAnsi="Verdana" w:cs="Arial"/>
          <w:lang w:eastAsia="x-none"/>
        </w:rPr>
        <w:t>, han establecido sistemas de contratación que implican convocatoria pública y participación de varios oferentes</w:t>
      </w:r>
      <w:r w:rsidRPr="0023217C">
        <w:rPr>
          <w:rFonts w:ascii="Verdana" w:eastAsia="Times New Roman" w:hAnsi="Verdana" w:cs="Arial"/>
          <w:lang w:eastAsia="en-GB"/>
        </w:rPr>
        <w:t>”</w:t>
      </w:r>
      <w:r w:rsidRPr="0023217C">
        <w:rPr>
          <w:rFonts w:ascii="Verdana" w:eastAsia="Times New Roman" w:hAnsi="Verdana" w:cs="Arial"/>
          <w:lang w:eastAsia="x-none"/>
        </w:rPr>
        <w:t xml:space="preserve">. </w:t>
      </w:r>
    </w:p>
    <w:p w14:paraId="739E2CA0" w14:textId="77777777" w:rsidR="00CC6F27" w:rsidRDefault="00CC6F27" w:rsidP="00CC6F27">
      <w:pPr>
        <w:spacing w:after="120" w:line="276" w:lineRule="auto"/>
        <w:ind w:firstLine="708"/>
        <w:jc w:val="both"/>
        <w:rPr>
          <w:rFonts w:ascii="Verdana" w:eastAsia="Times New Roman" w:hAnsi="Verdana" w:cs="Arial"/>
          <w:lang w:eastAsia="x-none"/>
        </w:rPr>
      </w:pPr>
      <w:r w:rsidRPr="0023217C">
        <w:rPr>
          <w:rFonts w:ascii="Verdana" w:eastAsia="Times New Roman" w:hAnsi="Verdana" w:cs="Arial"/>
          <w:lang w:eastAsia="x-none"/>
        </w:rPr>
        <w:t xml:space="preserve">En este sentido, y con el propósito de responder a los planteamientos formulados sobre las restricciones </w:t>
      </w:r>
      <w:r w:rsidRPr="0023217C">
        <w:rPr>
          <w:rFonts w:ascii="Verdana" w:hAnsi="Verdana"/>
        </w:rPr>
        <w:t xml:space="preserve">establecidas en los artículos 33 y 38 de la Ley 996 de 2005 para la celebración de convenios interadministrativos y contratos de prestación de servicios profesionales para  las entidades del orden nacional y las del orden territorial en el marco del calendario electoral de 2026, se tiene que </w:t>
      </w:r>
      <w:r w:rsidRPr="0023217C">
        <w:rPr>
          <w:rFonts w:ascii="Verdana" w:eastAsia="Times New Roman" w:hAnsi="Verdana"/>
          <w:lang w:eastAsia="es-MX"/>
        </w:rPr>
        <w:t>frente a la inquietud sobre a partir de qué fecha quedan prohibidos los convenios interadministrativos, se debe distinguir el nivel de la entidad, pues si se trata de entidades del orden territorial como gobernaciones, alcaldías o sus descentralizadas, la restricción para celebrar convenios interadministrativos que impliquen la ejecución de recursos públicos entró en vigencia el 8 de noviembre de 2025, es decir, cuatro meses antes de las elecciones al Congreso; por el contrario, para las entidades del orden nacional, esta prohibición específica no aplica desde noviembre, sino que se activa a partir del 31 de enero de 2026, fecha en la cual entra en vigor la restricción general a la contratación directa prevista para los cuatro meses anteriores a la elección presidencial, aunque en la práctica, si el convenio se pretende suscribir con un ente territorial, la inviabilidad jurídica surge desde el momento en que este último queda inhabilitado en noviembre.</w:t>
      </w:r>
    </w:p>
    <w:p w14:paraId="08E14C95" w14:textId="0ED2507D" w:rsidR="00C27DE6" w:rsidRDefault="00CC6F27" w:rsidP="00C27DE6">
      <w:pPr>
        <w:spacing w:after="120" w:line="276" w:lineRule="auto"/>
        <w:ind w:firstLine="708"/>
        <w:jc w:val="both"/>
        <w:rPr>
          <w:rFonts w:ascii="Verdana" w:eastAsia="Times New Roman" w:hAnsi="Verdana" w:cs="Times New Roman"/>
          <w:lang w:eastAsia="es-MX"/>
        </w:rPr>
      </w:pPr>
      <w:r w:rsidRPr="0023217C">
        <w:rPr>
          <w:rFonts w:ascii="Verdana" w:eastAsia="Times New Roman" w:hAnsi="Verdana" w:cs="Times New Roman"/>
          <w:lang w:eastAsia="es-MX"/>
        </w:rPr>
        <w:t xml:space="preserve">En lo que respecta a la prohibición de celebrar contratos interadministrativos, es imperativo acoger el cambio jurisprudencial introducido por la Sentencia del Consejo de Estado del 17 de octubre de 2025, expediente 70.313, la cual aclaró que la restricción del parágrafo del artículo 38 de la Ley 996 de 2005 aplica exclusivamente a los convenios y no a los contratos; en consecuencia, para las entidades del orden territorial, los contratos interadministrativos conmutativos y de contenido patrimonial no están prohibidos desde noviembre, sino que podrán celebrarse válidamente hasta el 30 de enero de 2026, fecha límite antes de que inicie la restricción de la Ley de Garantías Presidenciales que prohíbe la contratación directa a todos los entes del Estado. </w:t>
      </w:r>
      <w:r w:rsidR="00C27DE6">
        <w:rPr>
          <w:rFonts w:ascii="Verdana" w:eastAsia="Times New Roman" w:hAnsi="Verdana" w:cs="Times New Roman"/>
          <w:lang w:eastAsia="es-MX"/>
        </w:rPr>
        <w:t xml:space="preserve">No obstante, </w:t>
      </w:r>
      <w:r w:rsidR="00C27DE6" w:rsidRPr="00895253">
        <w:rPr>
          <w:rStyle w:val="citation-235"/>
          <w:rFonts w:ascii="Verdana" w:hAnsi="Verdana"/>
        </w:rPr>
        <w:t xml:space="preserve">debe precisarse que esta habilitación temporal para las entidades del orden nacional vigente hasta el 30 de enero solo permite la </w:t>
      </w:r>
      <w:r w:rsidR="00C27DE6" w:rsidRPr="00895253">
        <w:rPr>
          <w:rStyle w:val="citation-235"/>
          <w:rFonts w:ascii="Verdana" w:hAnsi="Verdana"/>
        </w:rPr>
        <w:lastRenderedPageBreak/>
        <w:t xml:space="preserve">celebración de convenios interadministrativos </w:t>
      </w:r>
      <w:r w:rsidR="00C27DE6">
        <w:rPr>
          <w:rStyle w:val="citation-235"/>
          <w:rFonts w:ascii="Verdana" w:hAnsi="Verdana"/>
        </w:rPr>
        <w:t xml:space="preserve">con entidades del </w:t>
      </w:r>
      <w:r w:rsidR="00C27DE6" w:rsidRPr="00895253">
        <w:rPr>
          <w:rStyle w:val="citation-235"/>
          <w:rFonts w:ascii="Verdana" w:hAnsi="Verdana"/>
        </w:rPr>
        <w:t>mismo nivel (Nación-Nación) esto debido a que</w:t>
      </w:r>
      <w:r w:rsidR="00C27DE6">
        <w:rPr>
          <w:rStyle w:val="citation-235"/>
          <w:rFonts w:ascii="Verdana" w:hAnsi="Verdana"/>
        </w:rPr>
        <w:t xml:space="preserve"> las </w:t>
      </w:r>
      <w:r w:rsidR="00C27DE6" w:rsidRPr="00895253">
        <w:rPr>
          <w:rStyle w:val="citation-235"/>
          <w:rFonts w:ascii="Verdana" w:hAnsi="Verdana"/>
        </w:rPr>
        <w:t>entidad</w:t>
      </w:r>
      <w:r w:rsidR="00C27DE6">
        <w:rPr>
          <w:rStyle w:val="citation-235"/>
          <w:rFonts w:ascii="Verdana" w:hAnsi="Verdana"/>
        </w:rPr>
        <w:t xml:space="preserve">es del orden </w:t>
      </w:r>
      <w:r w:rsidR="00C27DE6" w:rsidRPr="00895253">
        <w:rPr>
          <w:rStyle w:val="citation-235"/>
          <w:rFonts w:ascii="Verdana" w:hAnsi="Verdana"/>
        </w:rPr>
        <w:t>territorial, estas inhabilitadas para firmar convenios desde el 8 de noviembre de 2025 por mandato del artículo 38 de la Ley de Garantías</w:t>
      </w:r>
      <w:r w:rsidR="00C27DE6" w:rsidRPr="00895253">
        <w:rPr>
          <w:rFonts w:ascii="Verdana" w:hAnsi="Verdana"/>
        </w:rPr>
        <w:t>.</w:t>
      </w:r>
    </w:p>
    <w:p w14:paraId="1622E925" w14:textId="7AE39BEA" w:rsidR="00CC6F27" w:rsidRDefault="00CC6F27" w:rsidP="00CC6F27">
      <w:pPr>
        <w:spacing w:after="120" w:line="276" w:lineRule="auto"/>
        <w:ind w:firstLine="708"/>
        <w:jc w:val="both"/>
        <w:rPr>
          <w:rFonts w:ascii="Verdana" w:eastAsia="Times New Roman" w:hAnsi="Verdana" w:cs="Arial"/>
          <w:lang w:eastAsia="x-none"/>
        </w:rPr>
      </w:pPr>
      <w:r w:rsidRPr="0023217C">
        <w:rPr>
          <w:rFonts w:ascii="Verdana" w:eastAsia="Times New Roman" w:hAnsi="Verdana" w:cs="Times New Roman"/>
          <w:lang w:eastAsia="es-MX"/>
        </w:rPr>
        <w:t>De igual manera, para las entidades del orden nacional, la prohibición de celebrar estos contratos interadministrativos iniciará el 31 de enero de 2026, bajo el amparo de la restricción del artículo 33 de la mencionada ley.</w:t>
      </w:r>
    </w:p>
    <w:p w14:paraId="5456DD06" w14:textId="77777777" w:rsidR="00CC6F27" w:rsidRPr="0023217C" w:rsidRDefault="00CC6F27" w:rsidP="00CC6F27">
      <w:pPr>
        <w:spacing w:after="120" w:line="276" w:lineRule="auto"/>
        <w:ind w:firstLine="708"/>
        <w:jc w:val="both"/>
        <w:rPr>
          <w:rFonts w:ascii="Verdana" w:eastAsia="Times New Roman" w:hAnsi="Verdana" w:cs="Arial"/>
          <w:lang w:eastAsia="x-none"/>
        </w:rPr>
      </w:pPr>
      <w:r w:rsidRPr="0023217C">
        <w:rPr>
          <w:rFonts w:ascii="Verdana" w:eastAsia="Times New Roman" w:hAnsi="Verdana" w:cs="Times New Roman"/>
          <w:lang w:eastAsia="es-MX"/>
        </w:rPr>
        <w:t xml:space="preserve">Finalmente, en relación con los contratos de prestación de servicios profesionales y de apoyo a la gestión, la regla general indica que, al tramitarse mediante la modalidad de contratación directa, su celebración queda prohibida tanto para entidades del orden nacional como para las del orden territorial a partir del 31 de enero de 2026, fecha que marca el inicio de los cuatro meses anteriores a la primera vuelta presidencial. </w:t>
      </w:r>
      <w:bookmarkStart w:id="9" w:name="OLE_LINK1"/>
    </w:p>
    <w:bookmarkEnd w:id="9"/>
    <w:p w14:paraId="236A0BF1" w14:textId="77777777" w:rsidR="00CC6F27" w:rsidRPr="0023217C" w:rsidRDefault="00CC6F27" w:rsidP="00CC6F27">
      <w:pPr>
        <w:widowControl w:val="0"/>
        <w:autoSpaceDE w:val="0"/>
        <w:autoSpaceDN w:val="0"/>
        <w:spacing w:after="0" w:line="276" w:lineRule="auto"/>
        <w:jc w:val="both"/>
        <w:rPr>
          <w:rFonts w:ascii="Verdana" w:hAnsi="Verdana" w:cs="Arial"/>
        </w:rPr>
      </w:pPr>
    </w:p>
    <w:p w14:paraId="3658F172" w14:textId="77777777" w:rsidR="00CC6F27" w:rsidRPr="0023217C" w:rsidRDefault="00CC6F27" w:rsidP="00CC6F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3217C">
        <w:rPr>
          <w:rFonts w:ascii="Verdana" w:eastAsia="Century Gothic" w:hAnsi="Verdana" w:cs="Century Gothic"/>
          <w:b/>
          <w:bCs/>
        </w:rPr>
        <w:t>Referencias normativas, jurisprudenciales y otras fuentes:</w:t>
      </w:r>
    </w:p>
    <w:p w14:paraId="0D33748A" w14:textId="77777777" w:rsidR="00CC6F27" w:rsidRPr="0023217C" w:rsidRDefault="00CC6F27" w:rsidP="00CC6F2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C6F27" w:rsidRPr="0023217C" w14:paraId="553B4C09" w14:textId="77777777" w:rsidTr="00C93DCD">
        <w:trPr>
          <w:trHeight w:val="870"/>
        </w:trPr>
        <w:tc>
          <w:tcPr>
            <w:tcW w:w="8647" w:type="dxa"/>
          </w:tcPr>
          <w:p w14:paraId="0A0A889C" w14:textId="77777777" w:rsidR="00CC6F27" w:rsidRDefault="00CC6F27" w:rsidP="00CC6F27">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r>
              <w:rPr>
                <w:rFonts w:ascii="Verdana" w:eastAsia="Arial MT" w:hAnsi="Verdana" w:cs="Arial"/>
                <w:lang w:val="es-ES" w:eastAsia="es-ES" w:bidi="es-ES"/>
              </w:rPr>
              <w:t xml:space="preserve"> y 197</w:t>
            </w:r>
          </w:p>
          <w:p w14:paraId="51277E2C" w14:textId="77777777" w:rsidR="00CC6F27" w:rsidRDefault="00CC6F27" w:rsidP="00CC6F27">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lang w:eastAsia="es-ES" w:bidi="es-ES"/>
              </w:rPr>
              <w:t>Ley 80 de 1993, artículos 39 y 41.</w:t>
            </w:r>
          </w:p>
          <w:p w14:paraId="73202BFB" w14:textId="77777777" w:rsidR="00CC6F27" w:rsidRPr="006C67CA" w:rsidRDefault="00CC6F27" w:rsidP="00CC6F27">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bCs/>
                <w:lang w:val="es-ES" w:eastAsia="es-ES" w:bidi="es-ES"/>
              </w:rPr>
              <w:t>Ley 996 de 2005, artículos 33 y 38.</w:t>
            </w:r>
          </w:p>
          <w:p w14:paraId="34443FC2" w14:textId="77777777" w:rsidR="00CC6F27" w:rsidRPr="007B33FF" w:rsidRDefault="00CC6F27" w:rsidP="00CC6F27">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hAnsi="Verdana" w:cs="Arial"/>
                <w:bCs/>
                <w:color w:val="000000" w:themeColor="text1"/>
                <w:lang w:val="es-ES"/>
              </w:rPr>
              <w:t>Ley 1150 de 2007, artículo 2.</w:t>
            </w:r>
          </w:p>
          <w:p w14:paraId="394ECDD1" w14:textId="77777777" w:rsidR="00CC6F27" w:rsidRPr="002B65C4"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E348E8">
              <w:rPr>
                <w:rFonts w:ascii="Verdana" w:eastAsia="Times New Roman" w:hAnsi="Verdana" w:cs="Times New Roman"/>
                <w:lang w:eastAsia="es-ES_tradnl"/>
              </w:rPr>
              <w:t>Corte Constitucional</w:t>
            </w:r>
            <w:r>
              <w:rPr>
                <w:rFonts w:ascii="Verdana" w:eastAsia="Times New Roman" w:hAnsi="Verdana" w:cs="Times New Roman"/>
                <w:lang w:eastAsia="es-ES_tradnl"/>
              </w:rPr>
              <w:t xml:space="preserve">. </w:t>
            </w:r>
            <w:r w:rsidRPr="00E348E8">
              <w:rPr>
                <w:rFonts w:ascii="Verdana" w:eastAsia="Times New Roman" w:hAnsi="Verdana" w:cs="Times New Roman"/>
                <w:lang w:eastAsia="es-ES_tradnl"/>
              </w:rPr>
              <w:t>Sentencia C- 1153 de 2005</w:t>
            </w:r>
            <w:r>
              <w:rPr>
                <w:rFonts w:ascii="Verdana" w:eastAsia="Times New Roman" w:hAnsi="Verdana" w:cs="Times New Roman"/>
                <w:lang w:eastAsia="es-ES_tradnl"/>
              </w:rPr>
              <w:t xml:space="preserve">. </w:t>
            </w:r>
            <w:r w:rsidRPr="00E348E8">
              <w:rPr>
                <w:rFonts w:ascii="Verdana" w:eastAsia="Times New Roman" w:hAnsi="Verdana" w:cs="Times New Roman"/>
                <w:lang w:eastAsia="es-ES_tradnl"/>
              </w:rPr>
              <w:t>M.P. Marco Gerardo Monroy Cabra</w:t>
            </w:r>
            <w:r w:rsidRPr="00670659">
              <w:rPr>
                <w:rFonts w:ascii="Verdana" w:eastAsia="Times New Roman" w:hAnsi="Verdana" w:cs="Times New Roman"/>
                <w:lang w:eastAsia="es-ES_tradnl"/>
              </w:rPr>
              <w:t xml:space="preserve"> </w:t>
            </w:r>
          </w:p>
          <w:p w14:paraId="1F3AAAB0"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2B65C4">
              <w:rPr>
                <w:rFonts w:ascii="Verdana" w:hAnsi="Verdana" w:cs="Arial"/>
                <w:lang w:val="es-ES"/>
              </w:rPr>
              <w:t>Corte Constitucional. Sentencias: C-233 de 4 de abril de 2002, expediente: D-3704; C-551 de 9 de julio de 2003, expediente: CRF-001 de 9 de julio de 2003</w:t>
            </w:r>
            <w:r>
              <w:t xml:space="preserve">, </w:t>
            </w:r>
            <w:r w:rsidRPr="003D1395">
              <w:rPr>
                <w:rFonts w:ascii="Verdana" w:hAnsi="Verdana" w:cs="Arial"/>
                <w:lang w:val="es-ES"/>
              </w:rPr>
              <w:t>C-652 de 5 de agosto de 2003, expediente: D-4330; C-353 de 20 de mayo de 2009, expediente: D-7518, C-541 de 30 de junio de 2010, expediente: DD7966</w:t>
            </w:r>
          </w:p>
          <w:p w14:paraId="28B2DAA9"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8130B2">
              <w:rPr>
                <w:rFonts w:ascii="Verdana" w:hAnsi="Verdana" w:cs="Arial"/>
                <w:lang w:val="es-ES"/>
              </w:rPr>
              <w:t>Consejo de Estado, Sala de lo Contencioso Administrativo, Sección Primera. Sentencia de 3 de marzo de 2005, expediente número 2004-00823-01(PI).</w:t>
            </w:r>
          </w:p>
          <w:p w14:paraId="707B4C20"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A1584C">
              <w:rPr>
                <w:rFonts w:ascii="Verdana" w:hAnsi="Verdana" w:cs="Arial"/>
                <w:lang w:val="es-ES"/>
              </w:rPr>
              <w:t xml:space="preserve">Consejo de Estado, Sala de Consulta y Servicio Civil de fecha 24 de </w:t>
            </w:r>
            <w:r w:rsidRPr="00A1584C">
              <w:rPr>
                <w:rFonts w:ascii="Verdana" w:hAnsi="Verdana" w:cs="Arial"/>
                <w:lang w:val="es-ES"/>
              </w:rPr>
              <w:lastRenderedPageBreak/>
              <w:t xml:space="preserve">julio de 2013, radicado 2166, C. P. Álvaro </w:t>
            </w:r>
            <w:proofErr w:type="spellStart"/>
            <w:r w:rsidRPr="00A1584C">
              <w:rPr>
                <w:rFonts w:ascii="Verdana" w:hAnsi="Verdana" w:cs="Arial"/>
                <w:lang w:val="es-ES"/>
              </w:rPr>
              <w:t>Namén</w:t>
            </w:r>
            <w:proofErr w:type="spellEnd"/>
            <w:r w:rsidRPr="00A1584C">
              <w:rPr>
                <w:rFonts w:ascii="Verdana" w:hAnsi="Verdana" w:cs="Arial"/>
                <w:lang w:val="es-ES"/>
              </w:rPr>
              <w:t xml:space="preserve"> Vargas.  </w:t>
            </w:r>
          </w:p>
          <w:p w14:paraId="45245372"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1B2705">
              <w:rPr>
                <w:rFonts w:ascii="Verdana" w:hAnsi="Verdana" w:cs="Arial"/>
                <w:lang w:val="es-ES"/>
              </w:rPr>
              <w:t>Consejo de Estado. Sala de Consulta y Servicio Civil. Concepto del 17 de febrero de 2015. C.P. William Zambrano Cetina. Radicación No. 11001-03-06-000-2015-00164-00(2269).</w:t>
            </w:r>
          </w:p>
          <w:p w14:paraId="1DA224F1"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0F506D">
              <w:rPr>
                <w:rFonts w:ascii="Verdana" w:hAnsi="Verdana" w:cs="Arial"/>
                <w:lang w:val="es-ES"/>
              </w:rPr>
              <w:t>Consejo de Estado. Sección Tercera. Sentencia de 3 de diciembre de 2007. Radicados: 24.715, 25.206, 25.409, 24.524, 27.834, 25.410, 26.105, 28.244, 31.447 -acumulados</w:t>
            </w:r>
          </w:p>
          <w:p w14:paraId="706FF3EF"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123B97">
              <w:rPr>
                <w:rFonts w:ascii="Verdana" w:hAnsi="Verdana" w:cs="Arial"/>
                <w:lang w:val="es-ES"/>
              </w:rPr>
              <w:t xml:space="preserve">Consejo de Estado. Sala de Consulta y Servicio Civil. Concepto del 2 de septiembre de 2013. Radicación número: 11001-03-06-000-2013-00412-00 (2168). Consejero Ponente: Álvaro </w:t>
            </w:r>
            <w:proofErr w:type="spellStart"/>
            <w:r w:rsidRPr="00123B97">
              <w:rPr>
                <w:rFonts w:ascii="Verdana" w:hAnsi="Verdana" w:cs="Arial"/>
                <w:lang w:val="es-ES"/>
              </w:rPr>
              <w:t>Namén</w:t>
            </w:r>
            <w:proofErr w:type="spellEnd"/>
            <w:r w:rsidRPr="00123B97">
              <w:rPr>
                <w:rFonts w:ascii="Verdana" w:hAnsi="Verdana" w:cs="Arial"/>
                <w:lang w:val="es-ES"/>
              </w:rPr>
              <w:t xml:space="preserve"> Vargas.</w:t>
            </w:r>
          </w:p>
          <w:p w14:paraId="11EE157B"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442B36">
              <w:rPr>
                <w:rFonts w:ascii="Verdana" w:hAnsi="Verdana" w:cs="Arial"/>
                <w:lang w:val="es-ES"/>
              </w:rPr>
              <w:t xml:space="preserve">Consejo de Estado. Sala de Consulta y Servicio Civil, Concepto de 8 de mayo de 2018. Radicación Número: 11001-03-06-000-2018-00095-00(2382). C.P. Álvaro </w:t>
            </w:r>
            <w:proofErr w:type="spellStart"/>
            <w:r w:rsidRPr="00442B36">
              <w:rPr>
                <w:rFonts w:ascii="Verdana" w:hAnsi="Verdana" w:cs="Arial"/>
                <w:lang w:val="es-ES"/>
              </w:rPr>
              <w:t>Namén</w:t>
            </w:r>
            <w:proofErr w:type="spellEnd"/>
            <w:r w:rsidRPr="00442B36">
              <w:rPr>
                <w:rFonts w:ascii="Verdana" w:hAnsi="Verdana" w:cs="Arial"/>
                <w:lang w:val="es-ES"/>
              </w:rPr>
              <w:t xml:space="preserve"> Vargas.</w:t>
            </w:r>
          </w:p>
          <w:p w14:paraId="75BADAAF"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6D48AE">
              <w:rPr>
                <w:rFonts w:ascii="Verdana" w:hAnsi="Verdana" w:cs="Arial"/>
                <w:lang w:val="es-ES"/>
              </w:rPr>
              <w:t>Corte Constitucional</w:t>
            </w:r>
            <w:r>
              <w:rPr>
                <w:rFonts w:ascii="Verdana" w:hAnsi="Verdana" w:cs="Arial"/>
                <w:lang w:val="es-ES"/>
              </w:rPr>
              <w:t xml:space="preserve">. </w:t>
            </w:r>
            <w:r w:rsidRPr="006D48AE">
              <w:rPr>
                <w:rFonts w:ascii="Verdana" w:hAnsi="Verdana" w:cs="Arial"/>
                <w:lang w:val="es-ES"/>
              </w:rPr>
              <w:t>Sentencia C-1153-05 de 11 de noviembre de 2005</w:t>
            </w:r>
            <w:r>
              <w:rPr>
                <w:rFonts w:ascii="Verdana" w:hAnsi="Verdana" w:cs="Arial"/>
                <w:lang w:val="es-ES"/>
              </w:rPr>
              <w:t xml:space="preserve">. </w:t>
            </w:r>
            <w:r w:rsidRPr="006D48AE">
              <w:rPr>
                <w:rFonts w:ascii="Verdana" w:hAnsi="Verdana" w:cs="Arial"/>
                <w:lang w:val="es-ES"/>
              </w:rPr>
              <w:t>Magistrado Ponente Marco Gerardo Monroy Cabra</w:t>
            </w:r>
            <w:r>
              <w:rPr>
                <w:rFonts w:ascii="Verdana" w:hAnsi="Verdana" w:cs="Arial"/>
                <w:lang w:val="es-ES"/>
              </w:rPr>
              <w:t>.</w:t>
            </w:r>
          </w:p>
          <w:p w14:paraId="1C6464F6"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CF3813">
              <w:rPr>
                <w:rFonts w:ascii="Verdana" w:hAnsi="Verdana" w:cs="Arial"/>
                <w:lang w:val="es-ES"/>
              </w:rPr>
              <w:t>Consejo de Estado. Sala de Consulta y Servicio Civil. Concepto de 20 de febrero de 2006. Radicación Número: 11001-03-06-000-2006-00026-00 (1727). C.P. Enrique José Arboleda Perdomo</w:t>
            </w:r>
            <w:r>
              <w:rPr>
                <w:rFonts w:ascii="Verdana" w:hAnsi="Verdana" w:cs="Arial"/>
                <w:lang w:val="es-ES"/>
              </w:rPr>
              <w:t>.</w:t>
            </w:r>
          </w:p>
          <w:p w14:paraId="5281EEBC" w14:textId="77777777" w:rsidR="00CC6F27"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23217C">
              <w:rPr>
                <w:rFonts w:ascii="Verdana" w:hAnsi="Verdana" w:cs="Arial"/>
                <w:lang w:val="es-ES"/>
              </w:rPr>
              <w:t>Consejo de Estado. Sala de Consulta y Servicio Civil. Concepto de 6 de abril de 2006. Radicación Número: 11001-03-06-000-2006-00038-00 (1738). C.P. Enrique José Arboleda Perdomo.</w:t>
            </w:r>
          </w:p>
          <w:p w14:paraId="5DB07311" w14:textId="77777777" w:rsidR="00CC6F27" w:rsidRPr="0023217C" w:rsidRDefault="00CC6F27" w:rsidP="00CC6F27">
            <w:pPr>
              <w:widowControl w:val="0"/>
              <w:numPr>
                <w:ilvl w:val="0"/>
                <w:numId w:val="17"/>
              </w:numPr>
              <w:autoSpaceDE w:val="0"/>
              <w:autoSpaceDN w:val="0"/>
              <w:spacing w:after="120" w:line="276" w:lineRule="auto"/>
              <w:jc w:val="both"/>
              <w:rPr>
                <w:rFonts w:ascii="Verdana" w:hAnsi="Verdana" w:cs="Arial"/>
                <w:lang w:val="es-ES"/>
              </w:rPr>
            </w:pPr>
            <w:r w:rsidRPr="0023217C">
              <w:rPr>
                <w:rFonts w:ascii="Verdana" w:hAnsi="Verdana" w:cs="Arial"/>
                <w:lang w:val="es-ES"/>
              </w:rPr>
              <w:t>Consejo de Estado. Sala de Consulta y Servicio Civil</w:t>
            </w:r>
            <w:r>
              <w:rPr>
                <w:rFonts w:ascii="Verdana" w:hAnsi="Verdana" w:cs="Arial"/>
                <w:lang w:val="es-ES"/>
              </w:rPr>
              <w:t xml:space="preserve">, Sentencia </w:t>
            </w:r>
            <w:r w:rsidRPr="0023217C">
              <w:rPr>
                <w:rFonts w:ascii="Verdana" w:eastAsia="Times New Roman" w:hAnsi="Verdana" w:cs="Times New Roman"/>
                <w:lang w:eastAsia="es-MX"/>
              </w:rPr>
              <w:t>del 17 de octubre de 2025, expediente 70.313</w:t>
            </w:r>
            <w:r>
              <w:rPr>
                <w:rFonts w:ascii="Verdana" w:eastAsia="Times New Roman" w:hAnsi="Verdana" w:cs="Times New Roman"/>
                <w:lang w:eastAsia="es-MX"/>
              </w:rPr>
              <w:t>. C.P F</w:t>
            </w:r>
            <w:r w:rsidRPr="0023217C">
              <w:rPr>
                <w:rFonts w:ascii="Verdana" w:eastAsia="Times New Roman" w:hAnsi="Verdana" w:cs="Times New Roman"/>
                <w:lang w:eastAsia="es-MX"/>
              </w:rPr>
              <w:t xml:space="preserve">redy </w:t>
            </w:r>
            <w:r>
              <w:rPr>
                <w:rFonts w:ascii="Verdana" w:eastAsia="Times New Roman" w:hAnsi="Verdana" w:cs="Times New Roman"/>
                <w:lang w:eastAsia="es-MX"/>
              </w:rPr>
              <w:t>I</w:t>
            </w:r>
            <w:r w:rsidRPr="0023217C">
              <w:rPr>
                <w:rFonts w:ascii="Verdana" w:eastAsia="Times New Roman" w:hAnsi="Verdana" w:cs="Times New Roman"/>
                <w:lang w:eastAsia="es-MX"/>
              </w:rPr>
              <w:t xml:space="preserve">barra </w:t>
            </w:r>
            <w:r>
              <w:rPr>
                <w:rFonts w:ascii="Verdana" w:eastAsia="Times New Roman" w:hAnsi="Verdana" w:cs="Times New Roman"/>
                <w:lang w:eastAsia="es-MX"/>
              </w:rPr>
              <w:t>M</w:t>
            </w:r>
            <w:r w:rsidRPr="0023217C">
              <w:rPr>
                <w:rFonts w:ascii="Verdana" w:eastAsia="Times New Roman" w:hAnsi="Verdana" w:cs="Times New Roman"/>
                <w:lang w:eastAsia="es-MX"/>
              </w:rPr>
              <w:t>artínez</w:t>
            </w:r>
          </w:p>
        </w:tc>
      </w:tr>
    </w:tbl>
    <w:p w14:paraId="5EE0CE95" w14:textId="77777777" w:rsidR="00CC6F27" w:rsidRPr="0023217C" w:rsidRDefault="00CC6F27" w:rsidP="00CC6F27">
      <w:pPr>
        <w:widowControl w:val="0"/>
        <w:autoSpaceDE w:val="0"/>
        <w:autoSpaceDN w:val="0"/>
        <w:spacing w:after="0" w:line="276" w:lineRule="auto"/>
        <w:jc w:val="both"/>
        <w:rPr>
          <w:rFonts w:ascii="Verdana" w:hAnsi="Verdana" w:cs="Arial"/>
        </w:rPr>
      </w:pPr>
    </w:p>
    <w:p w14:paraId="716217BF" w14:textId="77777777" w:rsidR="00CC6F27" w:rsidRDefault="00CC6F27" w:rsidP="00CC6F2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3217C">
        <w:rPr>
          <w:rFonts w:ascii="Verdana" w:eastAsia="Century Gothic" w:hAnsi="Verdana" w:cs="Century Gothic"/>
          <w:b/>
          <w:bCs/>
        </w:rPr>
        <w:t>Doctrina de la Agencia Nacional de Contratación Pública:</w:t>
      </w:r>
    </w:p>
    <w:p w14:paraId="5B35F09F" w14:textId="77777777" w:rsidR="00CC6F27" w:rsidRDefault="00CC6F27" w:rsidP="00CC6F2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F5CF5BA" w14:textId="77777777" w:rsidR="00CC6F27" w:rsidRPr="00667CD6" w:rsidRDefault="00CC6F27" w:rsidP="00CC6F27">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w:t>
      </w:r>
      <w:r w:rsidRPr="005D334E">
        <w:rPr>
          <w:rFonts w:ascii="Verdana" w:hAnsi="Verdana" w:cs="Arial"/>
          <w:shd w:val="clear" w:color="auto" w:fill="FFFFFF"/>
        </w:rPr>
        <w:lastRenderedPageBreak/>
        <w:t xml:space="preserve">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1"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6C4BC4F9" w14:textId="77777777" w:rsidR="00CC6F27" w:rsidRPr="00667CD6" w:rsidRDefault="00CC6F27" w:rsidP="00CC6F27">
      <w:pPr>
        <w:widowControl w:val="0"/>
        <w:autoSpaceDE w:val="0"/>
        <w:autoSpaceDN w:val="0"/>
        <w:spacing w:after="0" w:line="276" w:lineRule="auto"/>
        <w:jc w:val="both"/>
        <w:rPr>
          <w:rFonts w:ascii="Verdana" w:hAnsi="Verdana" w:cs="Arial"/>
          <w:color w:val="FF0000"/>
          <w:shd w:val="clear" w:color="auto" w:fill="FFFFFF"/>
          <w:lang w:val="es-ES_tradnl"/>
        </w:rPr>
      </w:pPr>
    </w:p>
    <w:p w14:paraId="31D06D95" w14:textId="77777777" w:rsidR="00CC6F27" w:rsidRPr="00667CD6" w:rsidRDefault="00CC6F27" w:rsidP="00CC6F27">
      <w:pPr>
        <w:shd w:val="clear" w:color="auto" w:fill="FFFFFF"/>
        <w:spacing w:after="0" w:line="276" w:lineRule="auto"/>
        <w:jc w:val="both"/>
        <w:rPr>
          <w:rFonts w:ascii="Verdana" w:hAnsi="Verdana"/>
          <w:color w:val="467886"/>
          <w:u w:val="single"/>
        </w:rPr>
      </w:pPr>
      <w:r>
        <w:rPr>
          <w:rFonts w:ascii="Verdana" w:hAnsi="Verdana"/>
          <w:color w:val="000000"/>
          <w:lang w:val="es-ES_tradnl"/>
        </w:rPr>
        <w:t>Informamos</w:t>
      </w:r>
      <w:r>
        <w:rPr>
          <w:rFonts w:ascii="Verdana" w:hAnsi="Verdana"/>
          <w:color w:val="000000"/>
        </w:rPr>
        <w:t xml:space="preserve"> </w:t>
      </w:r>
      <w:r w:rsidRPr="00667CD6">
        <w:rPr>
          <w:rFonts w:ascii="Verdana" w:hAnsi="Verdana"/>
          <w:color w:val="000000"/>
        </w:rPr>
        <w:t>que ya se encuentra disponible la </w:t>
      </w:r>
      <w:r w:rsidRPr="00667CD6">
        <w:rPr>
          <w:rFonts w:ascii="Verdana" w:hAnsi="Verdana"/>
          <w:b/>
          <w:bCs/>
          <w:color w:val="000000"/>
        </w:rPr>
        <w:t>Guía de lineamientos de transparencia y selección objetiva para el departamento de La Guajira – Objetivo sexto constitucional de la Sentencia T-302 del 2017. </w:t>
      </w:r>
      <w:r w:rsidRPr="00667CD6">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67CD6">
        <w:rPr>
          <w:rFonts w:ascii="Verdana" w:hAnsi="Verdana"/>
          <w:color w:val="000000"/>
        </w:rPr>
        <w:t>Wayúu</w:t>
      </w:r>
      <w:proofErr w:type="spellEnd"/>
      <w:r w:rsidRPr="00667CD6">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667CD6">
          <w:rPr>
            <w:rFonts w:ascii="Verdana" w:hAnsi="Verdana"/>
            <w:color w:val="0000FF"/>
            <w:u w:val="single"/>
          </w:rPr>
          <w:t>Guía de lineamientos de transparencia y selección objetiva para el departamento de La Guajira – Objetivo sexto constitucional de la Sentencia T-302 del 2017</w:t>
        </w:r>
      </w:hyperlink>
      <w:r w:rsidRPr="00667CD6">
        <w:rPr>
          <w:rFonts w:ascii="Verdana" w:hAnsi="Verdana"/>
          <w:color w:val="000000"/>
          <w:u w:val="single"/>
        </w:rPr>
        <w:t>.</w:t>
      </w:r>
    </w:p>
    <w:p w14:paraId="2408C0FA" w14:textId="77777777" w:rsidR="00CC6F27" w:rsidRPr="00667CD6" w:rsidRDefault="00CC6F27" w:rsidP="00CC6F27">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67CD6">
        <w:rPr>
          <w:rFonts w:ascii="Verdana" w:hAnsi="Verdana" w:cs="Arial"/>
          <w:color w:val="000000" w:themeColor="text1"/>
          <w:shd w:val="clear" w:color="auto" w:fill="FFFFFF"/>
          <w:lang w:val="es-ES_tradnl"/>
        </w:rPr>
        <w:t xml:space="preserve"> </w:t>
      </w:r>
    </w:p>
    <w:p w14:paraId="7EDFF41C" w14:textId="77777777" w:rsidR="00CC6F27" w:rsidRPr="00667CD6" w:rsidRDefault="00CC6F27" w:rsidP="00CC6F27">
      <w:pPr>
        <w:spacing w:after="0"/>
        <w:jc w:val="both"/>
        <w:rPr>
          <w:rFonts w:ascii="Verdana" w:hAnsi="Verdana"/>
        </w:rPr>
      </w:pPr>
      <w:r w:rsidRPr="00667CD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0A4C656" w14:textId="77777777" w:rsidR="00CC6F27" w:rsidRPr="00667CD6" w:rsidRDefault="00CC6F27" w:rsidP="00CC6F27">
      <w:pPr>
        <w:spacing w:after="0"/>
        <w:jc w:val="both"/>
        <w:rPr>
          <w:rFonts w:ascii="Verdana" w:hAnsi="Verdana"/>
        </w:rPr>
      </w:pPr>
    </w:p>
    <w:p w14:paraId="7C59CE4B" w14:textId="77777777" w:rsidR="00CC6F27" w:rsidRPr="00667CD6" w:rsidRDefault="00CC6F27" w:rsidP="00CC6F27">
      <w:pPr>
        <w:numPr>
          <w:ilvl w:val="0"/>
          <w:numId w:val="15"/>
        </w:numPr>
        <w:spacing w:after="0" w:line="240" w:lineRule="auto"/>
        <w:contextualSpacing/>
        <w:jc w:val="both"/>
        <w:rPr>
          <w:rFonts w:ascii="Verdana" w:eastAsia="Verdana" w:hAnsi="Verdana" w:cs="Verdana"/>
          <w:color w:val="4472C4" w:themeColor="accent1"/>
          <w:u w:val="single"/>
          <w:lang w:val="es-MX"/>
        </w:rPr>
      </w:pPr>
      <w:r w:rsidRPr="00667CD6">
        <w:rPr>
          <w:rFonts w:ascii="Verdana" w:eastAsia="Verdana" w:hAnsi="Verdana" w:cs="Verdana"/>
          <w:lang w:val="es-MX"/>
        </w:rPr>
        <w:t xml:space="preserve">Línea nacional gratuita o servicio a la ciudadanía (Mesa de servicio): </w:t>
      </w:r>
      <w:r w:rsidRPr="00667CD6">
        <w:rPr>
          <w:rFonts w:ascii="Verdana" w:hAnsi="Verdana"/>
          <w:color w:val="0000FF"/>
          <w:u w:val="single"/>
          <w:lang w:val="es-ES"/>
        </w:rPr>
        <w:t>01800 0520808</w:t>
      </w:r>
    </w:p>
    <w:p w14:paraId="1C4C1998" w14:textId="77777777" w:rsidR="00CC6F27" w:rsidRPr="00667CD6" w:rsidRDefault="00CC6F27" w:rsidP="00CC6F27">
      <w:pPr>
        <w:numPr>
          <w:ilvl w:val="0"/>
          <w:numId w:val="15"/>
        </w:numPr>
        <w:spacing w:after="0"/>
        <w:contextualSpacing/>
        <w:rPr>
          <w:rFonts w:ascii="Verdana" w:eastAsia="Verdana" w:hAnsi="Verdana" w:cs="Verdana"/>
          <w:color w:val="4472C4" w:themeColor="accent1"/>
          <w:u w:val="single"/>
          <w:lang w:val="es-MX"/>
        </w:rPr>
      </w:pPr>
      <w:r w:rsidRPr="00667CD6">
        <w:rPr>
          <w:rFonts w:ascii="Verdana" w:eastAsia="Verdana" w:hAnsi="Verdana" w:cs="Verdana"/>
          <w:lang w:val="es-MX"/>
        </w:rPr>
        <w:t>Línea en Bogotá (Mesa de servicio):</w:t>
      </w:r>
      <w:r w:rsidRPr="00667CD6">
        <w:rPr>
          <w:rFonts w:ascii="Verdana" w:hAnsi="Verdana"/>
          <w:color w:val="0000FF"/>
          <w:u w:val="single"/>
          <w:lang w:val="es-ES"/>
        </w:rPr>
        <w:t>+57 601 7456788</w:t>
      </w:r>
    </w:p>
    <w:p w14:paraId="2E7EA9EC" w14:textId="77777777" w:rsidR="00CC6F27" w:rsidRPr="00667CD6" w:rsidRDefault="00CC6F27" w:rsidP="00CC6F27">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MX"/>
        </w:rPr>
        <w:t xml:space="preserve">Correo de radicación de correspondencia: </w:t>
      </w:r>
      <w:hyperlink r:id="rId13" w:history="1">
        <w:r w:rsidRPr="00667CD6">
          <w:rPr>
            <w:rFonts w:ascii="Verdana" w:eastAsia="Verdana" w:hAnsi="Verdana" w:cs="Verdana"/>
            <w:color w:val="0000FF"/>
            <w:u w:val="single"/>
            <w:lang w:val="es-MX"/>
          </w:rPr>
          <w:t>ventanilladeradicacion@colombiacompra.gov.co</w:t>
        </w:r>
      </w:hyperlink>
    </w:p>
    <w:p w14:paraId="4C498412" w14:textId="77777777" w:rsidR="00CC6F27" w:rsidRPr="00667CD6" w:rsidRDefault="00CC6F27" w:rsidP="00CC6F27">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ES"/>
        </w:rPr>
        <w:t xml:space="preserve">Formulario web para PQRSD: </w:t>
      </w:r>
      <w:hyperlink r:id="rId14" w:history="1">
        <w:r w:rsidRPr="00667CD6">
          <w:rPr>
            <w:rFonts w:ascii="Verdana" w:eastAsia="Verdana" w:hAnsi="Verdana" w:cs="Verdana"/>
            <w:color w:val="0000FF"/>
            <w:u w:val="single"/>
            <w:lang w:val="es-MX"/>
          </w:rPr>
          <w:t>https://www.colombiacompra.gov.co/pqrsd/informacion-importante-antes-de-formular-una-pqrsd</w:t>
        </w:r>
      </w:hyperlink>
    </w:p>
    <w:p w14:paraId="3B5C8F5D" w14:textId="77777777" w:rsidR="00CC6F27" w:rsidRPr="00667CD6" w:rsidRDefault="00CC6F27" w:rsidP="00CC6F27">
      <w:pPr>
        <w:spacing w:after="0" w:line="240" w:lineRule="auto"/>
        <w:ind w:left="720"/>
        <w:jc w:val="both"/>
        <w:rPr>
          <w:rFonts w:ascii="Verdana" w:hAnsi="Verdana"/>
        </w:rPr>
      </w:pPr>
    </w:p>
    <w:p w14:paraId="68F4C10B" w14:textId="77777777" w:rsidR="00CC6F27" w:rsidRPr="00667CD6" w:rsidRDefault="00CC6F27" w:rsidP="00CC6F27">
      <w:pPr>
        <w:spacing w:after="0" w:line="240" w:lineRule="auto"/>
        <w:rPr>
          <w:rFonts w:ascii="Verdana" w:hAnsi="Verdana"/>
        </w:rPr>
      </w:pPr>
      <w:r w:rsidRPr="00667CD6">
        <w:rPr>
          <w:rFonts w:ascii="Verdana" w:hAnsi="Verdana"/>
        </w:rPr>
        <w:lastRenderedPageBreak/>
        <w:t>Evalúa el servicio que ofrece la Agencia por el canal de atención de PQRSD en el siguiente enlace:</w:t>
      </w:r>
      <w:r>
        <w:rPr>
          <w:rFonts w:ascii="Verdana" w:hAnsi="Verdana"/>
        </w:rPr>
        <w:t xml:space="preserve"> </w:t>
      </w:r>
      <w:hyperlink r:id="rId15" w:history="1">
        <w:r w:rsidRPr="00E633BD">
          <w:rPr>
            <w:rStyle w:val="Hipervnculo"/>
            <w:rFonts w:ascii="Verdana" w:hAnsi="Verdana"/>
          </w:rPr>
          <w:t>https://forms.office.com/r/pPHyWVs2SZ</w:t>
        </w:r>
      </w:hyperlink>
      <w:r w:rsidRPr="00667CD6">
        <w:rPr>
          <w:rFonts w:ascii="Verdana" w:hAnsi="Verdana"/>
        </w:rPr>
        <w:t xml:space="preserve"> .¡Ayúdanos a mejorar porque el compromiso es de todos!</w:t>
      </w:r>
    </w:p>
    <w:p w14:paraId="109EB02B" w14:textId="77777777" w:rsidR="00CC6F27" w:rsidRPr="00667CD6" w:rsidRDefault="00CC6F27" w:rsidP="00CC6F27">
      <w:pPr>
        <w:spacing w:after="0" w:line="240" w:lineRule="auto"/>
        <w:rPr>
          <w:rFonts w:ascii="Verdana" w:hAnsi="Verdana"/>
        </w:rPr>
      </w:pPr>
    </w:p>
    <w:p w14:paraId="32D92E0D" w14:textId="77777777" w:rsidR="00CC6F27" w:rsidRPr="00667CD6" w:rsidRDefault="00CC6F27" w:rsidP="00CC6F27">
      <w:pPr>
        <w:spacing w:after="0" w:line="240" w:lineRule="auto"/>
        <w:jc w:val="both"/>
        <w:rPr>
          <w:rFonts w:ascii="Verdana" w:hAnsi="Verdana"/>
        </w:rPr>
      </w:pPr>
      <w:r w:rsidRPr="00667CD6">
        <w:rPr>
          <w:rFonts w:ascii="Verdana" w:hAnsi="Verdana"/>
        </w:rPr>
        <w:t xml:space="preserve">Por último, lo invitamos a seguirnos en las redes sociales en las cuales se difunde información institucional: </w:t>
      </w:r>
    </w:p>
    <w:p w14:paraId="50C866B0" w14:textId="77777777" w:rsidR="00CC6F27" w:rsidRPr="00667CD6" w:rsidRDefault="00CC6F27" w:rsidP="00CC6F27">
      <w:pPr>
        <w:spacing w:after="0" w:line="240" w:lineRule="auto"/>
        <w:jc w:val="both"/>
        <w:rPr>
          <w:rFonts w:ascii="Verdana" w:hAnsi="Verdana"/>
        </w:rPr>
      </w:pPr>
    </w:p>
    <w:p w14:paraId="33185018" w14:textId="77777777" w:rsidR="00CC6F27" w:rsidRPr="00667CD6" w:rsidRDefault="00CC6F27" w:rsidP="00CC6F27">
      <w:pPr>
        <w:spacing w:after="0" w:line="240" w:lineRule="auto"/>
        <w:jc w:val="both"/>
        <w:rPr>
          <w:rFonts w:ascii="Verdana" w:hAnsi="Verdana"/>
        </w:rPr>
      </w:pPr>
      <w:r w:rsidRPr="00667CD6">
        <w:rPr>
          <w:rFonts w:ascii="Verdana" w:hAnsi="Verdana"/>
        </w:rPr>
        <w:t xml:space="preserve">Twitter: </w:t>
      </w:r>
      <w:r w:rsidRPr="00667CD6">
        <w:rPr>
          <w:rFonts w:ascii="Verdana" w:hAnsi="Verdana"/>
          <w:color w:val="0000FF"/>
          <w:u w:val="single"/>
        </w:rPr>
        <w:t>@colombiacompra</w:t>
      </w:r>
      <w:r w:rsidRPr="00667CD6">
        <w:rPr>
          <w:rFonts w:ascii="Verdana" w:hAnsi="Verdana"/>
        </w:rPr>
        <w:t xml:space="preserve"> </w:t>
      </w:r>
    </w:p>
    <w:p w14:paraId="46C5809C" w14:textId="77777777" w:rsidR="00CC6F27" w:rsidRPr="00667CD6" w:rsidRDefault="00CC6F27" w:rsidP="00CC6F27">
      <w:pPr>
        <w:spacing w:after="0" w:line="240" w:lineRule="auto"/>
        <w:jc w:val="both"/>
        <w:rPr>
          <w:rFonts w:ascii="Verdana" w:hAnsi="Verdana"/>
        </w:rPr>
      </w:pPr>
      <w:r w:rsidRPr="00667CD6">
        <w:rPr>
          <w:rFonts w:ascii="Verdana" w:hAnsi="Verdana"/>
        </w:rPr>
        <w:t xml:space="preserve">Facebook: </w:t>
      </w:r>
      <w:proofErr w:type="spellStart"/>
      <w:r w:rsidRPr="00667CD6">
        <w:rPr>
          <w:rFonts w:ascii="Verdana" w:hAnsi="Verdana"/>
          <w:color w:val="0000FF"/>
          <w:u w:val="single"/>
        </w:rPr>
        <w:t>ColombiaCompraEficiente</w:t>
      </w:r>
      <w:proofErr w:type="spellEnd"/>
    </w:p>
    <w:p w14:paraId="21E3BCFC" w14:textId="77777777" w:rsidR="00CC6F27" w:rsidRPr="00667CD6" w:rsidRDefault="00CC6F27" w:rsidP="00CC6F27">
      <w:pPr>
        <w:spacing w:after="0" w:line="240" w:lineRule="auto"/>
        <w:jc w:val="both"/>
        <w:rPr>
          <w:rFonts w:ascii="Verdana" w:hAnsi="Verdana"/>
        </w:rPr>
      </w:pPr>
      <w:r w:rsidRPr="00667CD6">
        <w:rPr>
          <w:rFonts w:ascii="Verdana" w:hAnsi="Verdana"/>
        </w:rPr>
        <w:t xml:space="preserve">LinkedIn: </w:t>
      </w:r>
      <w:r w:rsidRPr="00667CD6">
        <w:rPr>
          <w:rFonts w:ascii="Verdana" w:hAnsi="Verdana"/>
          <w:color w:val="0000FF"/>
          <w:u w:val="single"/>
        </w:rPr>
        <w:t>Agencia Nacional de Contratación Pública - Colombia Compra Eficiente</w:t>
      </w:r>
      <w:r w:rsidRPr="00667CD6">
        <w:rPr>
          <w:rFonts w:ascii="Verdana" w:hAnsi="Verdana"/>
        </w:rPr>
        <w:t xml:space="preserve"> Instagram: </w:t>
      </w:r>
      <w:r w:rsidRPr="00667CD6">
        <w:rPr>
          <w:rFonts w:ascii="Verdana" w:hAnsi="Verdana"/>
          <w:color w:val="0000FF"/>
          <w:u w:val="single"/>
        </w:rPr>
        <w:t>@colombiacompraeficiente_cce</w:t>
      </w:r>
    </w:p>
    <w:p w14:paraId="38D5E0FF" w14:textId="77777777" w:rsidR="00CC6F27" w:rsidRPr="00667CD6" w:rsidRDefault="00CC6F27" w:rsidP="00CC6F27">
      <w:pPr>
        <w:widowControl w:val="0"/>
        <w:autoSpaceDE w:val="0"/>
        <w:autoSpaceDN w:val="0"/>
        <w:spacing w:after="120" w:line="276" w:lineRule="auto"/>
        <w:jc w:val="both"/>
        <w:rPr>
          <w:rFonts w:ascii="Verdana" w:hAnsi="Verdana" w:cs="Arial"/>
          <w:color w:val="FF0000"/>
          <w:shd w:val="clear" w:color="auto" w:fill="FFFFFF"/>
          <w:lang w:val="es-ES_tradnl"/>
        </w:rPr>
      </w:pPr>
      <w:r w:rsidRPr="00667CD6">
        <w:rPr>
          <w:rFonts w:ascii="Verdana" w:hAnsi="Verdana" w:cs="Arial"/>
          <w:color w:val="FF0000"/>
          <w:shd w:val="clear" w:color="auto" w:fill="FFFFFF"/>
          <w:lang w:val="es-ES_tradnl"/>
        </w:rPr>
        <w:t xml:space="preserve">        </w:t>
      </w:r>
    </w:p>
    <w:p w14:paraId="00255B20" w14:textId="77777777" w:rsidR="00CC6F27" w:rsidRPr="00667CD6" w:rsidRDefault="00CC6F27" w:rsidP="00CC6F27">
      <w:pPr>
        <w:widowControl w:val="0"/>
        <w:autoSpaceDE w:val="0"/>
        <w:autoSpaceDN w:val="0"/>
        <w:spacing w:after="0" w:line="276" w:lineRule="auto"/>
        <w:jc w:val="both"/>
        <w:rPr>
          <w:rFonts w:ascii="Verdana" w:hAnsi="Verdana" w:cs="Arial"/>
          <w:lang w:val="es-ES_tradnl"/>
        </w:rPr>
      </w:pPr>
      <w:r w:rsidRPr="00667CD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4258EDA" w14:textId="77777777" w:rsidR="00CC6F27" w:rsidRPr="00667CD6" w:rsidRDefault="00CC6F27" w:rsidP="00CC6F27">
      <w:pPr>
        <w:widowControl w:val="0"/>
        <w:autoSpaceDE w:val="0"/>
        <w:autoSpaceDN w:val="0"/>
        <w:spacing w:after="0" w:line="276" w:lineRule="auto"/>
        <w:jc w:val="both"/>
        <w:rPr>
          <w:rFonts w:ascii="Verdana" w:hAnsi="Verdana" w:cs="Arial"/>
          <w:lang w:val="es-ES_tradnl"/>
        </w:rPr>
      </w:pPr>
    </w:p>
    <w:p w14:paraId="1FE60BD4" w14:textId="77777777" w:rsidR="00CC6F27" w:rsidRPr="00667CD6" w:rsidRDefault="00CC6F27" w:rsidP="00CC6F27">
      <w:pPr>
        <w:spacing w:after="0" w:line="240" w:lineRule="auto"/>
        <w:rPr>
          <w:rFonts w:ascii="Verdana" w:hAnsi="Verdana" w:cs="Arial"/>
          <w:lang w:val="es-ES_tradnl" w:eastAsia="es-CO"/>
        </w:rPr>
      </w:pPr>
      <w:r w:rsidRPr="2035D652">
        <w:rPr>
          <w:rFonts w:ascii="Verdana" w:eastAsia="Times New Roman" w:hAnsi="Verdana" w:cs="Arial"/>
          <w:lang w:val="es-ES" w:eastAsia="es-CO"/>
        </w:rPr>
        <w:t>Atentamente,</w:t>
      </w:r>
      <w:r w:rsidRPr="2035D652">
        <w:rPr>
          <w:rFonts w:ascii="Verdana" w:hAnsi="Verdana" w:cs="Arial"/>
          <w:lang w:val="es-ES" w:eastAsia="es-CO"/>
        </w:rPr>
        <w:t xml:space="preserve"> </w:t>
      </w:r>
    </w:p>
    <w:p w14:paraId="57608294" w14:textId="77777777" w:rsidR="00CC6F27" w:rsidRPr="0023217C" w:rsidRDefault="00CC6F27" w:rsidP="00CC6F2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C7E5B4E" w14:textId="5E078A86" w:rsidR="00CC6F27" w:rsidRPr="0023217C" w:rsidRDefault="00F962DF" w:rsidP="00F962DF">
      <w:pPr>
        <w:widowControl w:val="0"/>
        <w:autoSpaceDE w:val="0"/>
        <w:autoSpaceDN w:val="0"/>
        <w:spacing w:after="0" w:line="276" w:lineRule="auto"/>
        <w:jc w:val="center"/>
        <w:rPr>
          <w:rFonts w:ascii="Verdana" w:hAnsi="Verdana" w:cs="Arial"/>
        </w:rPr>
      </w:pPr>
      <w:r>
        <w:rPr>
          <w:noProof/>
        </w:rPr>
        <w:drawing>
          <wp:inline distT="0" distB="0" distL="0" distR="0" wp14:anchorId="625A123E" wp14:editId="347AAD04">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p w14:paraId="06819CA0" w14:textId="5A27ECA5" w:rsidR="00CC6F27" w:rsidRPr="0023217C" w:rsidRDefault="00CC6F27" w:rsidP="00CC6F27">
      <w:pPr>
        <w:spacing w:line="276" w:lineRule="auto"/>
        <w:jc w:val="center"/>
        <w:rPr>
          <w:rFonts w:ascii="Verdana" w:hAnsi="Verdana" w:cs="Arial"/>
          <w:color w:val="000000"/>
          <w:lang w:val="es-ES_tradnl" w:eastAsia="es-CO"/>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6F27" w:rsidRPr="00EA1223" w14:paraId="39CA2A69" w14:textId="77777777" w:rsidTr="00C93DCD">
        <w:trPr>
          <w:trHeight w:val="315"/>
        </w:trPr>
        <w:tc>
          <w:tcPr>
            <w:tcW w:w="893" w:type="dxa"/>
            <w:vAlign w:val="center"/>
            <w:hideMark/>
          </w:tcPr>
          <w:p w14:paraId="35625F12" w14:textId="77777777" w:rsidR="00CC6F27" w:rsidRPr="00EA1223" w:rsidRDefault="00CC6F27" w:rsidP="00C93DCD">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E6112E" w14:textId="77777777" w:rsidR="00CC6F27" w:rsidRPr="00EA1223" w:rsidRDefault="00CC6F27" w:rsidP="00C93DCD">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2A2DCACF" w14:textId="77777777" w:rsidR="00CC6F27" w:rsidRPr="00EA1223" w:rsidRDefault="00CC6F27" w:rsidP="00C93DCD">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CC6F27" w:rsidRPr="00EA1223" w14:paraId="73205C6C" w14:textId="77777777" w:rsidTr="00C93DCD">
        <w:trPr>
          <w:trHeight w:val="330"/>
        </w:trPr>
        <w:tc>
          <w:tcPr>
            <w:tcW w:w="893" w:type="dxa"/>
            <w:vAlign w:val="center"/>
            <w:hideMark/>
          </w:tcPr>
          <w:p w14:paraId="1BC9D55D" w14:textId="77777777" w:rsidR="00CC6F27" w:rsidRPr="00EA1223" w:rsidRDefault="00CC6F27" w:rsidP="00C93DCD">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0B14BF" w14:textId="77777777" w:rsidR="00CC6F27" w:rsidRPr="00EA1223" w:rsidRDefault="00CC6F27" w:rsidP="00C93DCD">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2927B390" w14:textId="77777777" w:rsidR="00CC6F27" w:rsidRPr="00EA1223" w:rsidRDefault="00CC6F27" w:rsidP="00C93DCD">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CC6F27" w:rsidRPr="00EA1223" w14:paraId="020104C6" w14:textId="77777777" w:rsidTr="00C93DCD">
        <w:trPr>
          <w:trHeight w:val="300"/>
        </w:trPr>
        <w:tc>
          <w:tcPr>
            <w:tcW w:w="893" w:type="dxa"/>
            <w:vAlign w:val="center"/>
          </w:tcPr>
          <w:p w14:paraId="3B869585" w14:textId="77777777" w:rsidR="00CC6F27" w:rsidRPr="00EA1223" w:rsidRDefault="00CC6F27" w:rsidP="00C93DCD">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22D394" w14:textId="77777777" w:rsidR="00CC6F27" w:rsidRPr="00EA1223" w:rsidRDefault="00CC6F27" w:rsidP="00C93DCD">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Gacherná</w:t>
            </w:r>
            <w:proofErr w:type="spellEnd"/>
          </w:p>
          <w:p w14:paraId="141B9A74" w14:textId="77777777" w:rsidR="00CC6F27" w:rsidRPr="00EA1223" w:rsidRDefault="00CC6F27" w:rsidP="00C93DCD">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Bye-bye</w:t>
            </w:r>
          </w:p>
        </w:tc>
      </w:tr>
    </w:tbl>
    <w:p w14:paraId="7C20CEFB" w14:textId="77777777" w:rsidR="00CC6F27" w:rsidRPr="0023217C" w:rsidRDefault="00CC6F27" w:rsidP="00CC6F27">
      <w:pPr>
        <w:rPr>
          <w:rFonts w:ascii="Verdana" w:hAnsi="Verdana"/>
        </w:rPr>
      </w:pPr>
    </w:p>
    <w:bookmarkEnd w:id="0"/>
    <w:p w14:paraId="12443EE0" w14:textId="061BABBC"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2FB0E" w14:textId="77777777" w:rsidR="00FB1D67" w:rsidRDefault="00FB1D67" w:rsidP="004A1847">
      <w:pPr>
        <w:spacing w:after="0" w:line="240" w:lineRule="auto"/>
      </w:pPr>
      <w:r>
        <w:separator/>
      </w:r>
    </w:p>
  </w:endnote>
  <w:endnote w:type="continuationSeparator" w:id="0">
    <w:p w14:paraId="227D36EA" w14:textId="77777777" w:rsidR="00FB1D67" w:rsidRDefault="00FB1D6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35FDA" w14:textId="77777777" w:rsidR="00FB1D67" w:rsidRDefault="00FB1D67" w:rsidP="004A1847">
      <w:pPr>
        <w:spacing w:after="0" w:line="240" w:lineRule="auto"/>
      </w:pPr>
      <w:r>
        <w:separator/>
      </w:r>
    </w:p>
  </w:footnote>
  <w:footnote w:type="continuationSeparator" w:id="0">
    <w:p w14:paraId="67F2F0A1" w14:textId="77777777" w:rsidR="00FB1D67" w:rsidRDefault="00FB1D67" w:rsidP="004A1847">
      <w:pPr>
        <w:spacing w:after="0" w:line="240" w:lineRule="auto"/>
      </w:pPr>
      <w:r>
        <w:continuationSeparator/>
      </w:r>
    </w:p>
  </w:footnote>
  <w:footnote w:id="1">
    <w:p w14:paraId="478E98F7" w14:textId="77777777" w:rsidR="00CC6F27" w:rsidRPr="00F4750E" w:rsidRDefault="00CC6F27" w:rsidP="00CC6F27">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48F1844" w14:textId="77777777" w:rsidR="00CC6F27" w:rsidRPr="00F4750E" w:rsidRDefault="00CC6F27" w:rsidP="00CC6F27">
      <w:pPr>
        <w:pStyle w:val="Textonotapie"/>
        <w:ind w:firstLine="709"/>
        <w:jc w:val="both"/>
        <w:rPr>
          <w:rFonts w:ascii="Verdana" w:hAnsi="Verdana" w:cs="Arial"/>
          <w:sz w:val="14"/>
          <w:szCs w:val="14"/>
        </w:rPr>
      </w:pPr>
      <w:r w:rsidRPr="00F4750E">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0A2CF0E" w14:textId="77777777" w:rsidR="00CC6F27" w:rsidRPr="00F4750E" w:rsidRDefault="00CC6F27" w:rsidP="00CC6F27">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Gaceta del Congreso de la República No. 71 del 2005.</w:t>
      </w:r>
    </w:p>
  </w:footnote>
  <w:footnote w:id="3">
    <w:p w14:paraId="40EE2A92" w14:textId="77777777" w:rsidR="00CC6F27" w:rsidRPr="00F4750E" w:rsidRDefault="00CC6F27" w:rsidP="00CC6F27">
      <w:pPr>
        <w:pStyle w:val="Textonotapie"/>
        <w:ind w:firstLine="709"/>
        <w:jc w:val="both"/>
        <w:rPr>
          <w:rFonts w:ascii="Verdana" w:hAnsi="Verdana" w:cs="Arial"/>
          <w:sz w:val="14"/>
          <w:szCs w:val="14"/>
          <w:lang w:val="pt-BR"/>
        </w:rPr>
      </w:pPr>
      <w:r w:rsidRPr="00F4750E">
        <w:rPr>
          <w:rStyle w:val="Refdenotaalpie"/>
          <w:rFonts w:ascii="Verdana" w:hAnsi="Verdana" w:cs="Arial"/>
          <w:sz w:val="14"/>
          <w:szCs w:val="14"/>
        </w:rPr>
        <w:footnoteRef/>
      </w:r>
      <w:r w:rsidRPr="00F4750E">
        <w:rPr>
          <w:rFonts w:ascii="Verdana" w:hAnsi="Verdana" w:cs="Arial"/>
          <w:sz w:val="14"/>
          <w:szCs w:val="14"/>
          <w:lang w:val="pt-BR"/>
        </w:rPr>
        <w:t xml:space="preserve"> Corte Constitucional, Sentencia C- 1153 de 2005, M.P. Marco Gerardo Monroy Cabra.</w:t>
      </w:r>
    </w:p>
    <w:p w14:paraId="0BE3FEC1" w14:textId="77777777" w:rsidR="00CC6F27" w:rsidRPr="00F4750E" w:rsidRDefault="00CC6F27" w:rsidP="00CC6F27">
      <w:pPr>
        <w:pStyle w:val="Textonotapie"/>
        <w:ind w:firstLine="709"/>
        <w:jc w:val="both"/>
        <w:rPr>
          <w:rFonts w:ascii="Verdana" w:hAnsi="Verdana" w:cs="Arial"/>
          <w:sz w:val="14"/>
          <w:szCs w:val="14"/>
          <w:lang w:val="pt-BR"/>
        </w:rPr>
      </w:pPr>
    </w:p>
  </w:footnote>
  <w:footnote w:id="4">
    <w:p w14:paraId="44B0F22D" w14:textId="77777777" w:rsidR="00CC6F27" w:rsidRPr="00F4750E" w:rsidRDefault="00CC6F27" w:rsidP="00CC6F27">
      <w:pPr>
        <w:pStyle w:val="Textonotapie"/>
        <w:ind w:firstLine="709"/>
        <w:jc w:val="both"/>
        <w:rPr>
          <w:rFonts w:ascii="Verdana" w:hAnsi="Verdana" w:cs="Arial"/>
          <w:sz w:val="14"/>
          <w:szCs w:val="14"/>
          <w:lang w:val="pt-BR"/>
        </w:rPr>
      </w:pPr>
      <w:r w:rsidRPr="00F4750E">
        <w:rPr>
          <w:rStyle w:val="Refdenotaalpie"/>
          <w:rFonts w:ascii="Verdana" w:hAnsi="Verdana" w:cs="Arial"/>
          <w:sz w:val="14"/>
          <w:szCs w:val="14"/>
        </w:rPr>
        <w:footnoteRef/>
      </w:r>
      <w:r w:rsidRPr="00F4750E">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3478DCD" w14:textId="77777777" w:rsidR="00CC6F27" w:rsidRPr="00F4750E" w:rsidRDefault="00CC6F27" w:rsidP="00CC6F27">
      <w:pPr>
        <w:pStyle w:val="Textonotapie"/>
        <w:ind w:firstLine="709"/>
        <w:jc w:val="both"/>
        <w:rPr>
          <w:rFonts w:ascii="Verdana" w:hAnsi="Verdana" w:cs="Arial"/>
          <w:sz w:val="14"/>
          <w:szCs w:val="14"/>
          <w:lang w:val="pt-BR"/>
        </w:rPr>
      </w:pPr>
    </w:p>
  </w:footnote>
  <w:footnote w:id="5">
    <w:p w14:paraId="7B17C910" w14:textId="77777777" w:rsidR="00CC6F27" w:rsidRPr="00F4750E" w:rsidRDefault="00CC6F27" w:rsidP="00CC6F27">
      <w:pPr>
        <w:pStyle w:val="Textonotapie"/>
        <w:ind w:firstLine="709"/>
        <w:jc w:val="both"/>
        <w:rPr>
          <w:rFonts w:ascii="Verdana" w:hAnsi="Verdana" w:cs="Arial"/>
          <w:sz w:val="14"/>
          <w:szCs w:val="14"/>
          <w:lang w:val="es-CO"/>
        </w:rPr>
      </w:pPr>
      <w:r w:rsidRPr="00F4750E">
        <w:rPr>
          <w:rStyle w:val="Refdenotaalpie"/>
          <w:rFonts w:ascii="Verdana" w:hAnsi="Verdana" w:cs="Arial"/>
          <w:sz w:val="14"/>
          <w:szCs w:val="14"/>
        </w:rPr>
        <w:footnoteRef/>
      </w:r>
      <w:r w:rsidRPr="00F4750E">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A89519D" w14:textId="77777777" w:rsidR="00CC6F27" w:rsidRPr="00F4750E" w:rsidRDefault="00CC6F27" w:rsidP="00CC6F27">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de fecha 24 de julio de 2013, radicado 2166, C. P. Álvaro Namén Vargas.  </w:t>
      </w:r>
    </w:p>
    <w:p w14:paraId="610CD5F7" w14:textId="77777777" w:rsidR="00CC6F27" w:rsidRPr="00F4750E" w:rsidRDefault="00CC6F27" w:rsidP="00CC6F27">
      <w:pPr>
        <w:pStyle w:val="Textonotapie"/>
        <w:ind w:firstLine="709"/>
        <w:jc w:val="both"/>
        <w:rPr>
          <w:rFonts w:ascii="Verdana" w:hAnsi="Verdana" w:cs="Arial"/>
          <w:sz w:val="14"/>
          <w:szCs w:val="14"/>
        </w:rPr>
      </w:pPr>
    </w:p>
  </w:footnote>
  <w:footnote w:id="7">
    <w:p w14:paraId="44794E14" w14:textId="77777777" w:rsidR="00CC6F27" w:rsidRPr="00F4750E" w:rsidRDefault="00CC6F27" w:rsidP="00CC6F27">
      <w:pPr>
        <w:spacing w:after="0" w:line="240" w:lineRule="auto"/>
        <w:ind w:firstLine="709"/>
        <w:jc w:val="both"/>
        <w:rPr>
          <w:rFonts w:ascii="Verdana" w:eastAsia="Times New Roman"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w:t>
      </w:r>
      <w:bookmarkStart w:id="7" w:name="33"/>
      <w:r w:rsidRPr="00F4750E">
        <w:rPr>
          <w:rFonts w:ascii="Verdana" w:eastAsia="Calibri" w:hAnsi="Verdana" w:cs="Arial"/>
          <w:color w:val="000000"/>
          <w:sz w:val="14"/>
          <w:szCs w:val="14"/>
        </w:rPr>
        <w:t>“</w:t>
      </w:r>
      <w:r w:rsidRPr="00F4750E">
        <w:rPr>
          <w:rFonts w:ascii="Verdana" w:eastAsia="Times New Roman" w:hAnsi="Verdana" w:cs="Arial"/>
          <w:sz w:val="14"/>
          <w:szCs w:val="14"/>
        </w:rPr>
        <w:t>Artículo 33. Restricciones a la contratación pública.</w:t>
      </w:r>
      <w:bookmarkEnd w:id="7"/>
      <w:r w:rsidRPr="00F4750E">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7CB53DF0" w14:textId="77777777" w:rsidR="00CC6F27" w:rsidRPr="00F4750E" w:rsidRDefault="00CC6F27" w:rsidP="00CC6F27">
      <w:pPr>
        <w:spacing w:after="0" w:line="240" w:lineRule="auto"/>
        <w:ind w:firstLine="709"/>
        <w:jc w:val="both"/>
        <w:rPr>
          <w:rFonts w:ascii="Verdana" w:eastAsia="Times New Roman" w:hAnsi="Verdana" w:cs="Arial"/>
          <w:sz w:val="14"/>
          <w:szCs w:val="14"/>
        </w:rPr>
      </w:pPr>
      <w:r w:rsidRPr="00F4750E">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4750E">
        <w:rPr>
          <w:rFonts w:ascii="Verdana" w:eastAsia="Calibri" w:hAnsi="Verdana" w:cs="Arial"/>
          <w:color w:val="000000"/>
          <w:sz w:val="14"/>
          <w:szCs w:val="14"/>
        </w:rPr>
        <w:t>”</w:t>
      </w:r>
      <w:r w:rsidRPr="00F4750E">
        <w:rPr>
          <w:rFonts w:ascii="Verdana" w:eastAsia="Times New Roman" w:hAnsi="Verdana" w:cs="Arial"/>
          <w:sz w:val="14"/>
          <w:szCs w:val="14"/>
        </w:rPr>
        <w:t>.</w:t>
      </w:r>
    </w:p>
  </w:footnote>
  <w:footnote w:id="8">
    <w:p w14:paraId="501616E0" w14:textId="77777777" w:rsidR="00CC6F27" w:rsidRPr="00F4750E" w:rsidRDefault="00CC6F27" w:rsidP="00CC6F27">
      <w:pPr>
        <w:pStyle w:val="NormalWeb"/>
        <w:spacing w:after="0"/>
        <w:ind w:firstLine="709"/>
        <w:jc w:val="both"/>
        <w:rPr>
          <w:rFonts w:ascii="Verdana" w:hAnsi="Verdana" w:cs="Arial"/>
          <w:sz w:val="14"/>
          <w:szCs w:val="14"/>
          <w:lang w:val="es-MX"/>
        </w:rPr>
      </w:pPr>
      <w:r w:rsidRPr="00F4750E">
        <w:rPr>
          <w:rStyle w:val="Refdenotaalpie"/>
          <w:rFonts w:ascii="Verdana" w:hAnsi="Verdana" w:cs="Arial"/>
          <w:sz w:val="14"/>
          <w:szCs w:val="14"/>
        </w:rPr>
        <w:footnoteRef/>
      </w:r>
      <w:r w:rsidRPr="00F4750E">
        <w:rPr>
          <w:rFonts w:ascii="Verdana" w:hAnsi="Verdana" w:cs="Arial"/>
          <w:sz w:val="14"/>
          <w:szCs w:val="14"/>
        </w:rPr>
        <w:t xml:space="preserve"> </w:t>
      </w:r>
      <w:bookmarkStart w:id="8" w:name="38"/>
      <w:r w:rsidRPr="00F4750E">
        <w:rPr>
          <w:rFonts w:ascii="Verdana" w:eastAsia="Calibri" w:hAnsi="Verdana" w:cs="Arial"/>
          <w:color w:val="000000"/>
          <w:sz w:val="14"/>
          <w:szCs w:val="14"/>
        </w:rPr>
        <w:t>“</w:t>
      </w:r>
      <w:r w:rsidRPr="00F4750E">
        <w:rPr>
          <w:rFonts w:ascii="Verdana" w:hAnsi="Verdana" w:cs="Arial"/>
          <w:sz w:val="14"/>
          <w:szCs w:val="14"/>
          <w:lang w:val="es-MX"/>
        </w:rPr>
        <w:t>Artículo 38. Prohibiciones para los servidores públicos. A los empleados del Estado les está prohibido:</w:t>
      </w:r>
      <w:bookmarkEnd w:id="8"/>
      <w:r w:rsidRPr="00F4750E">
        <w:rPr>
          <w:rFonts w:ascii="Verdana" w:hAnsi="Verdana" w:cs="Arial"/>
          <w:sz w:val="14"/>
          <w:szCs w:val="14"/>
          <w:lang w:val="es-MX"/>
        </w:rPr>
        <w:t xml:space="preserve"> […]</w:t>
      </w:r>
    </w:p>
    <w:p w14:paraId="7A785E6C" w14:textId="77777777" w:rsidR="00CC6F27" w:rsidRPr="00F4750E" w:rsidRDefault="00CC6F27" w:rsidP="00CC6F27">
      <w:pPr>
        <w:pStyle w:val="NormalWeb"/>
        <w:spacing w:after="0"/>
        <w:ind w:firstLine="709"/>
        <w:jc w:val="both"/>
        <w:rPr>
          <w:rFonts w:ascii="Verdana" w:hAnsi="Verdana" w:cs="Arial"/>
          <w:sz w:val="14"/>
          <w:szCs w:val="14"/>
          <w:lang w:val="es-MX"/>
        </w:rPr>
      </w:pPr>
      <w:r w:rsidRPr="00F4750E">
        <w:rPr>
          <w:rStyle w:val="baj"/>
          <w:rFonts w:ascii="Verdana" w:hAnsi="Verdana" w:cs="Arial"/>
          <w:sz w:val="14"/>
          <w:szCs w:val="14"/>
          <w:lang w:val="es-MX"/>
        </w:rPr>
        <w:t>Parágrafo.</w:t>
      </w:r>
      <w:r w:rsidRPr="00F4750E">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4750E">
        <w:rPr>
          <w:rFonts w:ascii="Verdana" w:eastAsia="Calibri" w:hAnsi="Verdana" w:cs="Arial"/>
          <w:color w:val="000000"/>
          <w:sz w:val="14"/>
          <w:szCs w:val="14"/>
        </w:rPr>
        <w:t>”</w:t>
      </w:r>
      <w:r w:rsidRPr="00F4750E">
        <w:rPr>
          <w:rFonts w:ascii="Verdana" w:hAnsi="Verdana" w:cs="Arial"/>
          <w:sz w:val="14"/>
          <w:szCs w:val="14"/>
          <w:lang w:val="es-MX"/>
        </w:rPr>
        <w:t>.</w:t>
      </w:r>
    </w:p>
    <w:p w14:paraId="76CB4746" w14:textId="77777777" w:rsidR="00CC6F27" w:rsidRPr="00F4750E" w:rsidRDefault="00CC6F27" w:rsidP="00CC6F27">
      <w:pPr>
        <w:pStyle w:val="NormalWeb"/>
        <w:spacing w:after="0"/>
        <w:ind w:firstLine="709"/>
        <w:jc w:val="both"/>
        <w:rPr>
          <w:rFonts w:ascii="Verdana" w:hAnsi="Verdana" w:cs="Arial"/>
          <w:sz w:val="14"/>
          <w:szCs w:val="14"/>
          <w:lang w:val="es-MX"/>
        </w:rPr>
      </w:pPr>
    </w:p>
  </w:footnote>
  <w:footnote w:id="9">
    <w:p w14:paraId="6F7A33CD" w14:textId="77777777" w:rsidR="00CC6F27" w:rsidRPr="00F4750E" w:rsidRDefault="00CC6F27" w:rsidP="00CC6F27">
      <w:pPr>
        <w:spacing w:after="0" w:line="240" w:lineRule="auto"/>
        <w:ind w:left="100" w:right="244" w:firstLine="709"/>
        <w:contextualSpacing/>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3E22248D" w14:textId="77777777" w:rsidR="00CC6F27" w:rsidRPr="00F4750E" w:rsidRDefault="00CC6F27" w:rsidP="00CC6F27">
      <w:pPr>
        <w:pStyle w:val="Textonotapie"/>
        <w:ind w:right="51"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[25] </w:t>
      </w:r>
      <w:r w:rsidRPr="00F4750E">
        <w:rPr>
          <w:rFonts w:ascii="Verdana" w:hAnsi="Verdana" w:cs="Arial"/>
          <w:sz w:val="14"/>
          <w:szCs w:val="14"/>
        </w:rPr>
        <w:t>Cfr. Consejo de Estado. Sección Tercera. Sentencia de 3 de diciembre de 2007. Radicados: 24.715, 25.206, 25.409, 24.524, 27.834, 25.410, 26.105, 28.244, 31.447 -acumulados-“.</w:t>
      </w:r>
    </w:p>
    <w:p w14:paraId="3EE11069" w14:textId="77777777" w:rsidR="00CC6F27" w:rsidRPr="00F4750E" w:rsidRDefault="00CC6F27" w:rsidP="00CC6F27">
      <w:pPr>
        <w:pStyle w:val="Textonotapie"/>
        <w:ind w:right="51" w:firstLine="709"/>
        <w:jc w:val="both"/>
        <w:rPr>
          <w:rFonts w:ascii="Verdana" w:hAnsi="Verdana" w:cs="Arial"/>
          <w:sz w:val="14"/>
          <w:szCs w:val="14"/>
        </w:rPr>
      </w:pPr>
    </w:p>
  </w:footnote>
  <w:footnote w:id="11">
    <w:p w14:paraId="5B3F6828" w14:textId="77777777" w:rsidR="00CC6F27" w:rsidRPr="00F4750E" w:rsidRDefault="00CC6F27" w:rsidP="00CC6F27">
      <w:pPr>
        <w:pStyle w:val="Textonotapie"/>
        <w:ind w:right="51"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[26] </w:t>
      </w:r>
      <w:r w:rsidRPr="00F4750E">
        <w:rPr>
          <w:rFonts w:ascii="Verdana" w:hAnsi="Verdana" w:cs="Arial"/>
          <w:sz w:val="14"/>
          <w:szCs w:val="14"/>
        </w:rPr>
        <w:t>Al respecto ver el concepto 1712 de 2 de febrero de 2006. Consejo de Estado Sala de Consulta y Servicio Civil”.</w:t>
      </w:r>
    </w:p>
    <w:p w14:paraId="2A8BA278" w14:textId="77777777" w:rsidR="00CC6F27" w:rsidRPr="00F4750E" w:rsidRDefault="00CC6F27" w:rsidP="00CC6F27">
      <w:pPr>
        <w:pStyle w:val="Textonotapie"/>
        <w:ind w:right="51" w:firstLine="709"/>
        <w:jc w:val="both"/>
        <w:rPr>
          <w:rFonts w:ascii="Verdana" w:hAnsi="Verdana" w:cs="Arial"/>
          <w:sz w:val="14"/>
          <w:szCs w:val="14"/>
        </w:rPr>
      </w:pPr>
    </w:p>
  </w:footnote>
  <w:footnote w:id="12">
    <w:p w14:paraId="49E4AA90" w14:textId="77777777" w:rsidR="00CC6F27" w:rsidRPr="00F4750E" w:rsidRDefault="00CC6F27" w:rsidP="00CC6F27">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64702F66" w14:textId="77777777" w:rsidR="00CC6F27" w:rsidRPr="00F4750E" w:rsidRDefault="00CC6F27" w:rsidP="00CC6F27">
      <w:pPr>
        <w:pStyle w:val="Textonotapie"/>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Artículo 2. </w:t>
      </w:r>
    </w:p>
    <w:p w14:paraId="3ED75B22" w14:textId="77777777" w:rsidR="00CC6F27" w:rsidRPr="00F4750E" w:rsidRDefault="00CC6F27" w:rsidP="00CC6F27">
      <w:pPr>
        <w:pStyle w:val="Textonotapie"/>
        <w:ind w:firstLine="709"/>
        <w:jc w:val="both"/>
        <w:rPr>
          <w:rFonts w:ascii="Verdana" w:hAnsi="Verdana" w:cs="Arial"/>
          <w:sz w:val="14"/>
          <w:szCs w:val="14"/>
          <w:lang w:val="es-ES"/>
        </w:rPr>
      </w:pPr>
    </w:p>
  </w:footnote>
  <w:footnote w:id="14">
    <w:p w14:paraId="66D00396" w14:textId="77777777" w:rsidR="00CC6F27" w:rsidRPr="00F4750E" w:rsidRDefault="00CC6F27" w:rsidP="00CC6F27">
      <w:pPr>
        <w:pStyle w:val="Textonotapie"/>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i/>
          <w:sz w:val="14"/>
          <w:szCs w:val="14"/>
          <w:lang w:val="es-ES"/>
        </w:rPr>
        <w:t>Ídem</w:t>
      </w:r>
      <w:r w:rsidRPr="00F4750E">
        <w:rPr>
          <w:rFonts w:ascii="Verdana" w:hAnsi="Verdana" w:cs="Arial"/>
          <w:sz w:val="14"/>
          <w:szCs w:val="14"/>
          <w:lang w:val="es-ES"/>
        </w:rPr>
        <w:t>.</w:t>
      </w:r>
    </w:p>
    <w:p w14:paraId="55268255" w14:textId="77777777" w:rsidR="00CC6F27" w:rsidRPr="00F4750E" w:rsidRDefault="00CC6F27" w:rsidP="00CC6F27">
      <w:pPr>
        <w:pStyle w:val="Textonotapie"/>
        <w:ind w:firstLine="709"/>
        <w:jc w:val="both"/>
        <w:rPr>
          <w:rFonts w:ascii="Verdana" w:hAnsi="Verdana" w:cs="Arial"/>
          <w:sz w:val="14"/>
          <w:szCs w:val="14"/>
          <w:lang w:val="es-ES"/>
        </w:rPr>
      </w:pPr>
    </w:p>
  </w:footnote>
  <w:footnote w:id="15">
    <w:p w14:paraId="4162E5D9" w14:textId="77777777" w:rsidR="00CC6F27" w:rsidRPr="00F4750E" w:rsidRDefault="00CC6F27" w:rsidP="00CC6F27">
      <w:pPr>
        <w:pStyle w:val="Textonotapie"/>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Style w:val="Refdenotaalpie"/>
          <w:rFonts w:ascii="Verdana" w:hAnsi="Verdana" w:cs="Arial"/>
          <w:sz w:val="14"/>
          <w:szCs w:val="14"/>
        </w:rPr>
        <w:t xml:space="preserve"> </w:t>
      </w:r>
      <w:r w:rsidRPr="00F4750E">
        <w:rPr>
          <w:rFonts w:ascii="Verdana" w:hAnsi="Verdana" w:cs="Arial"/>
          <w:sz w:val="14"/>
          <w:szCs w:val="14"/>
          <w:lang w:val="es-ES"/>
        </w:rPr>
        <w:t xml:space="preserve">“[…] A este respecto, cabe recordar que el artículo 860 del Código de Comercio regula la licitación en el derecho privado”. </w:t>
      </w:r>
    </w:p>
    <w:p w14:paraId="0A18900D" w14:textId="77777777" w:rsidR="00CC6F27" w:rsidRPr="00F4750E" w:rsidRDefault="00CC6F27" w:rsidP="00CC6F27">
      <w:pPr>
        <w:pStyle w:val="Textonotapie"/>
        <w:ind w:firstLine="709"/>
        <w:jc w:val="both"/>
        <w:rPr>
          <w:rFonts w:ascii="Verdana" w:hAnsi="Verdana" w:cs="Arial"/>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D54"/>
    <w:rsid w:val="000161E6"/>
    <w:rsid w:val="00016F78"/>
    <w:rsid w:val="00046945"/>
    <w:rsid w:val="00061B2A"/>
    <w:rsid w:val="00082362"/>
    <w:rsid w:val="000A683E"/>
    <w:rsid w:val="000B19B9"/>
    <w:rsid w:val="000D0334"/>
    <w:rsid w:val="000D5DA7"/>
    <w:rsid w:val="000F6486"/>
    <w:rsid w:val="00116940"/>
    <w:rsid w:val="00125105"/>
    <w:rsid w:val="00127233"/>
    <w:rsid w:val="0015699B"/>
    <w:rsid w:val="001879FF"/>
    <w:rsid w:val="001A33BF"/>
    <w:rsid w:val="001E4177"/>
    <w:rsid w:val="001F0B24"/>
    <w:rsid w:val="001F7DC6"/>
    <w:rsid w:val="00205544"/>
    <w:rsid w:val="0022400B"/>
    <w:rsid w:val="002421BB"/>
    <w:rsid w:val="00242E4D"/>
    <w:rsid w:val="0025796E"/>
    <w:rsid w:val="002707A2"/>
    <w:rsid w:val="00275294"/>
    <w:rsid w:val="002951A0"/>
    <w:rsid w:val="002962BC"/>
    <w:rsid w:val="002A093D"/>
    <w:rsid w:val="002A0DD0"/>
    <w:rsid w:val="002A49AC"/>
    <w:rsid w:val="002A64FD"/>
    <w:rsid w:val="002C7A84"/>
    <w:rsid w:val="002E2BF8"/>
    <w:rsid w:val="002E4FD9"/>
    <w:rsid w:val="0030657A"/>
    <w:rsid w:val="00322A85"/>
    <w:rsid w:val="00324168"/>
    <w:rsid w:val="00330834"/>
    <w:rsid w:val="00331D36"/>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3346E"/>
    <w:rsid w:val="005566E8"/>
    <w:rsid w:val="00574867"/>
    <w:rsid w:val="00591460"/>
    <w:rsid w:val="005A65E0"/>
    <w:rsid w:val="005C315E"/>
    <w:rsid w:val="005C3777"/>
    <w:rsid w:val="005C5CDC"/>
    <w:rsid w:val="005D476C"/>
    <w:rsid w:val="006200BF"/>
    <w:rsid w:val="006219F8"/>
    <w:rsid w:val="006302F7"/>
    <w:rsid w:val="00646B9F"/>
    <w:rsid w:val="00665D70"/>
    <w:rsid w:val="006900D9"/>
    <w:rsid w:val="006A49CE"/>
    <w:rsid w:val="006C7821"/>
    <w:rsid w:val="00706C16"/>
    <w:rsid w:val="007340C3"/>
    <w:rsid w:val="0075235A"/>
    <w:rsid w:val="00756841"/>
    <w:rsid w:val="007649AB"/>
    <w:rsid w:val="00771D0C"/>
    <w:rsid w:val="007833AC"/>
    <w:rsid w:val="00786859"/>
    <w:rsid w:val="007B268C"/>
    <w:rsid w:val="007B7171"/>
    <w:rsid w:val="007C0C0F"/>
    <w:rsid w:val="007C3DC2"/>
    <w:rsid w:val="007E5497"/>
    <w:rsid w:val="00806F5F"/>
    <w:rsid w:val="00820278"/>
    <w:rsid w:val="008258C9"/>
    <w:rsid w:val="00844AE9"/>
    <w:rsid w:val="00867F95"/>
    <w:rsid w:val="008843B6"/>
    <w:rsid w:val="00891928"/>
    <w:rsid w:val="00895253"/>
    <w:rsid w:val="008A446D"/>
    <w:rsid w:val="008B25F1"/>
    <w:rsid w:val="008D180B"/>
    <w:rsid w:val="008F0EA7"/>
    <w:rsid w:val="00923EEF"/>
    <w:rsid w:val="00927535"/>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3D26"/>
    <w:rsid w:val="00AD09B9"/>
    <w:rsid w:val="00B00C0E"/>
    <w:rsid w:val="00B01B1A"/>
    <w:rsid w:val="00B0381D"/>
    <w:rsid w:val="00B05ADA"/>
    <w:rsid w:val="00B44A47"/>
    <w:rsid w:val="00B72CD3"/>
    <w:rsid w:val="00B72FFF"/>
    <w:rsid w:val="00B86561"/>
    <w:rsid w:val="00BC3D36"/>
    <w:rsid w:val="00BD54A6"/>
    <w:rsid w:val="00BD7F72"/>
    <w:rsid w:val="00BF7425"/>
    <w:rsid w:val="00C00B67"/>
    <w:rsid w:val="00C04FB3"/>
    <w:rsid w:val="00C11D8B"/>
    <w:rsid w:val="00C140D4"/>
    <w:rsid w:val="00C15139"/>
    <w:rsid w:val="00C27DE6"/>
    <w:rsid w:val="00C330EB"/>
    <w:rsid w:val="00C50D69"/>
    <w:rsid w:val="00C5365C"/>
    <w:rsid w:val="00C64262"/>
    <w:rsid w:val="00C754BE"/>
    <w:rsid w:val="00C76B1C"/>
    <w:rsid w:val="00C84DC3"/>
    <w:rsid w:val="00C925AC"/>
    <w:rsid w:val="00CB6357"/>
    <w:rsid w:val="00CC1B26"/>
    <w:rsid w:val="00CC6F27"/>
    <w:rsid w:val="00CF3A91"/>
    <w:rsid w:val="00CF7194"/>
    <w:rsid w:val="00D361FD"/>
    <w:rsid w:val="00D423A2"/>
    <w:rsid w:val="00D44E26"/>
    <w:rsid w:val="00D520D8"/>
    <w:rsid w:val="00D63AC2"/>
    <w:rsid w:val="00D7383B"/>
    <w:rsid w:val="00D7788A"/>
    <w:rsid w:val="00DA231B"/>
    <w:rsid w:val="00DB5070"/>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9E0"/>
    <w:rsid w:val="00EE1AA8"/>
    <w:rsid w:val="00F23FEA"/>
    <w:rsid w:val="00F31EDC"/>
    <w:rsid w:val="00F462B3"/>
    <w:rsid w:val="00F5664F"/>
    <w:rsid w:val="00F666C4"/>
    <w:rsid w:val="00F76AFC"/>
    <w:rsid w:val="00F962DF"/>
    <w:rsid w:val="00FA47C0"/>
    <w:rsid w:val="00FB1D67"/>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C6F2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C6F27"/>
    <w:rPr>
      <w:rFonts w:ascii="Geomanist Light" w:hAnsi="Geomanist Light"/>
      <w:lang w:val="es-ES"/>
    </w:rPr>
  </w:style>
  <w:style w:type="paragraph" w:customStyle="1" w:styleId="query-text-line">
    <w:name w:val="query-text-line"/>
    <w:basedOn w:val="Normal"/>
    <w:rsid w:val="00CC6F2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link w:val="NormalWeb"/>
    <w:uiPriority w:val="99"/>
    <w:locked/>
    <w:rsid w:val="00CC6F27"/>
    <w:rPr>
      <w:rFonts w:ascii="Times New Roman" w:eastAsia="Times New Roman" w:hAnsi="Times New Roman" w:cs="Times New Roman"/>
      <w:sz w:val="24"/>
      <w:szCs w:val="24"/>
      <w:lang w:eastAsia="es-CO"/>
    </w:rPr>
  </w:style>
  <w:style w:type="character" w:customStyle="1" w:styleId="baj">
    <w:name w:val="b_aj"/>
    <w:basedOn w:val="Fuentedeprrafopredeter"/>
    <w:rsid w:val="00CC6F27"/>
  </w:style>
  <w:style w:type="character" w:customStyle="1" w:styleId="citation-235">
    <w:name w:val="citation-235"/>
    <w:basedOn w:val="Fuentedeprrafopredeter"/>
    <w:rsid w:val="00895253"/>
  </w:style>
  <w:style w:type="paragraph" w:styleId="Textoindependiente">
    <w:name w:val="Body Text"/>
    <w:basedOn w:val="Normal"/>
    <w:link w:val="TextoindependienteCar"/>
    <w:uiPriority w:val="1"/>
    <w:qFormat/>
    <w:rsid w:val="00C84DC3"/>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C84DC3"/>
    <w:rPr>
      <w:rFonts w:ascii="Verdana" w:eastAsia="Verdana" w:hAnsi="Verdana" w:cs="Verdana"/>
      <w:lang w:val="es-ES"/>
    </w:rPr>
  </w:style>
  <w:style w:type="paragraph" w:customStyle="1" w:styleId="Car1">
    <w:name w:val="Car1"/>
    <w:basedOn w:val="Normal"/>
    <w:next w:val="Textonotapie"/>
    <w:uiPriority w:val="99"/>
    <w:unhideWhenUsed/>
    <w:qFormat/>
    <w:rsid w:val="00C84DC3"/>
    <w:pPr>
      <w:spacing w:after="0" w:line="240" w:lineRule="auto"/>
    </w:pPr>
    <w:rPr>
      <w:sz w:val="20"/>
      <w:szCs w:val="20"/>
      <w:lang w:val="es-MX"/>
    </w:rPr>
  </w:style>
  <w:style w:type="character" w:customStyle="1" w:styleId="citation-71">
    <w:name w:val="citation-71"/>
    <w:basedOn w:val="Fuentedeprrafopredeter"/>
    <w:rsid w:val="00F962DF"/>
  </w:style>
  <w:style w:type="character" w:customStyle="1" w:styleId="citation-70">
    <w:name w:val="citation-70"/>
    <w:basedOn w:val="Fuentedeprrafopredeter"/>
    <w:rsid w:val="00F962DF"/>
  </w:style>
  <w:style w:type="character" w:customStyle="1" w:styleId="citation-69">
    <w:name w:val="citation-69"/>
    <w:basedOn w:val="Fuentedeprrafopredeter"/>
    <w:rsid w:val="00F96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78175C-2E08-4D0E-A9A6-28B29D421F5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17</Pages>
  <Words>5611</Words>
  <Characters>28846</Characters>
  <Application>Microsoft Office Word</Application>
  <DocSecurity>0</DocSecurity>
  <Lines>565</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34319</CharactersWithSpaces>
  <SharedDoc>false</SharedDoc>
  <HLinks>
    <vt:vector size="30"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7995518</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2025-12-04T20:36:00Z</dcterms:created>
  <dcterms:modified xsi:type="dcterms:W3CDTF">2025-12-04T20:36:00Z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