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3A6E04" w:rsidR="0058069F" w:rsidP="0058069F" w:rsidRDefault="0058069F" w14:paraId="39B935B7" w14:textId="77777777">
      <w:pPr>
        <w:spacing w:after="0"/>
        <w:jc w:val="both"/>
        <w:rPr>
          <w:rFonts w:ascii="Verdana" w:hAnsi="Verdana"/>
        </w:rPr>
      </w:pPr>
      <w:bookmarkStart w:name="_Hlk143780582" w:id="0"/>
      <w:r w:rsidRPr="003A6E04">
        <w:rPr>
          <w:rFonts w:ascii="Verdana" w:hAnsi="Verdana" w:eastAsia="Calibri" w:cs="Arial"/>
          <w:b/>
          <w:bCs/>
          <w:lang w:val="es-ES_tradnl" w:eastAsia="es-ES"/>
        </w:rPr>
        <w:t xml:space="preserve">DOCUMENTOS TIPO – Generalidades – </w:t>
      </w:r>
      <w:r w:rsidRPr="003A6E04">
        <w:rPr>
          <w:rFonts w:ascii="Verdana" w:hAnsi="Verdana" w:eastAsia="Aptos" w:cs="Times New Roman"/>
          <w:b/>
          <w:bCs/>
          <w:kern w:val="2"/>
          <w:lang w:val="es-ES_tradnl" w:eastAsia="es-ES"/>
          <w14:ligatures w14:val="standardContextual"/>
        </w:rPr>
        <w:t xml:space="preserve">Obligatoriedad </w:t>
      </w:r>
    </w:p>
    <w:p w:rsidRPr="003A6E04" w:rsidR="0058069F" w:rsidP="0058069F" w:rsidRDefault="0058069F" w14:paraId="114E90C3" w14:textId="77777777">
      <w:pPr>
        <w:spacing w:after="0" w:line="276" w:lineRule="auto"/>
        <w:jc w:val="both"/>
        <w:rPr>
          <w:rFonts w:ascii="Verdana" w:hAnsi="Verdana" w:eastAsia="Calibri" w:cs="Arial"/>
          <w:b/>
          <w:bCs/>
          <w:lang w:val="es-ES_tradnl" w:eastAsia="es-ES"/>
        </w:rPr>
      </w:pPr>
    </w:p>
    <w:p w:rsidRPr="003A6E04" w:rsidR="0058069F" w:rsidP="0058069F" w:rsidRDefault="0058069F" w14:paraId="0E14562B" w14:textId="77777777">
      <w:pPr>
        <w:spacing w:after="0" w:line="240" w:lineRule="auto"/>
        <w:jc w:val="both"/>
        <w:rPr>
          <w:rFonts w:ascii="Verdana" w:hAnsi="Verdana" w:eastAsia="Calibri" w:cs="Arial"/>
          <w:sz w:val="20"/>
          <w:szCs w:val="20"/>
          <w:lang w:val="es-ES_tradnl"/>
        </w:rPr>
      </w:pPr>
      <w:r w:rsidRPr="00EC3B8A">
        <w:rPr>
          <w:rFonts w:ascii="Verdana" w:hAnsi="Verdana" w:eastAsia="Calibri"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rsidRPr="00CA4F61" w:rsidR="0058069F" w:rsidP="0058069F" w:rsidRDefault="0058069F" w14:paraId="3D3A747B" w14:textId="77777777">
      <w:pPr>
        <w:spacing w:after="0" w:line="240" w:lineRule="auto"/>
        <w:rPr>
          <w:rFonts w:ascii="Verdana" w:hAnsi="Verdana" w:eastAsia="Geomanist Light" w:cs="Arial"/>
          <w:b/>
          <w:bCs/>
          <w:lang w:val="es-ES_tradnl"/>
        </w:rPr>
      </w:pPr>
    </w:p>
    <w:p w:rsidRPr="00CA4F61" w:rsidR="0058069F" w:rsidP="0058069F" w:rsidRDefault="0058069F" w14:paraId="069369C1" w14:textId="77777777">
      <w:pPr>
        <w:spacing w:after="0" w:line="276" w:lineRule="auto"/>
        <w:jc w:val="both"/>
        <w:rPr>
          <w:rFonts w:ascii="Verdana" w:hAnsi="Verdana" w:eastAsia="Geomanist Light" w:cs="Arial"/>
          <w:b/>
          <w:bCs/>
          <w:lang w:val="es-ES_tradnl"/>
        </w:rPr>
      </w:pPr>
      <w:r w:rsidRPr="00CA4F61">
        <w:rPr>
          <w:rFonts w:ascii="Verdana" w:hAnsi="Verdana" w:eastAsia="Geomanist Light" w:cs="Arial"/>
          <w:b/>
          <w:bCs/>
          <w:lang w:val="es-ES_tradnl"/>
        </w:rPr>
        <w:t xml:space="preserve">DOCUMENTOS TIPO – Infraestructura de transporte – </w:t>
      </w:r>
      <w:r w:rsidRPr="00CA4F61">
        <w:rPr>
          <w:rFonts w:ascii="Verdana" w:hAnsi="Verdana"/>
          <w:b/>
          <w:bCs/>
        </w:rPr>
        <w:t>DETERMINACIÓN DEL MÉTODO PARA LA PONDERACIÓN DE LA PROPUESTA ECONÓMICA</w:t>
      </w:r>
    </w:p>
    <w:p w:rsidRPr="002A5F8C" w:rsidR="0058069F" w:rsidP="0058069F" w:rsidRDefault="0058069F" w14:paraId="604CC723" w14:textId="77777777">
      <w:pPr>
        <w:spacing w:after="0" w:line="240" w:lineRule="auto"/>
        <w:jc w:val="both"/>
        <w:rPr>
          <w:rFonts w:ascii="Verdana" w:hAnsi="Verdana" w:eastAsia="Calibri" w:cs="Arial"/>
          <w:sz w:val="20"/>
          <w:szCs w:val="20"/>
          <w:lang w:val="es-ES_tradnl"/>
        </w:rPr>
      </w:pPr>
    </w:p>
    <w:p w:rsidRPr="002A5F8C" w:rsidR="0058069F" w:rsidP="0058069F" w:rsidRDefault="0058069F" w14:paraId="7C806220" w14:textId="77777777">
      <w:pPr>
        <w:tabs>
          <w:tab w:val="left" w:pos="1860"/>
        </w:tabs>
        <w:spacing w:after="200" w:line="276" w:lineRule="auto"/>
        <w:jc w:val="both"/>
        <w:rPr>
          <w:rFonts w:ascii="Verdana" w:hAnsi="Verdana" w:eastAsia="Calibri" w:cs="Arial"/>
          <w:sz w:val="20"/>
          <w:szCs w:val="20"/>
          <w:lang w:val="es-ES_tradnl"/>
        </w:rPr>
      </w:pPr>
      <w:r w:rsidRPr="002A5F8C">
        <w:rPr>
          <w:rFonts w:ascii="Verdana" w:hAnsi="Verdana" w:eastAsia="Calibri" w:cs="Arial"/>
          <w:sz w:val="20"/>
          <w:szCs w:val="20"/>
          <w:lang w:val="es-ES_tradnl"/>
        </w:rPr>
        <w:t xml:space="preserve">Para determinar el método de ponderación, la entidad tomará los centavos de la Tasa de Cambio Representativa del Mercado (TRM), certificada por la Superintendencia Financiera de Colombia (en su sitio web: </w:t>
      </w:r>
      <w:hyperlink w:history="1" r:id="rId10">
        <w:r w:rsidRPr="009B21BF">
          <w:rPr>
            <w:rStyle w:val="Hipervnculo"/>
            <w:rFonts w:ascii="Verdana" w:hAnsi="Verdana" w:eastAsia="Calibri" w:cs="Arial"/>
            <w:sz w:val="20"/>
            <w:szCs w:val="20"/>
            <w:lang w:val="es-ES_tradnl"/>
          </w:rPr>
          <w:t>https://www.superfinanciera.gov.co/publicacion/60819</w:t>
        </w:r>
      </w:hyperlink>
      <w:r w:rsidRPr="002A5F8C">
        <w:rPr>
          <w:rFonts w:ascii="Verdana" w:hAnsi="Verdana" w:eastAsia="Calibri" w:cs="Arial"/>
          <w:sz w:val="20"/>
          <w:szCs w:val="20"/>
          <w:lang w:val="es-ES_tradnl"/>
        </w:rPr>
        <w:t>).</w:t>
      </w:r>
      <w:r>
        <w:rPr>
          <w:rFonts w:ascii="Verdana" w:hAnsi="Verdana" w:eastAsia="Calibri" w:cs="Arial"/>
          <w:sz w:val="20"/>
          <w:szCs w:val="20"/>
          <w:lang w:val="es-ES_tradnl"/>
        </w:rPr>
        <w:t xml:space="preserve"> </w:t>
      </w:r>
      <w:r w:rsidRPr="002A5F8C">
        <w:rPr>
          <w:rFonts w:ascii="Verdana" w:hAnsi="Verdana" w:eastAsia="Calibri" w:cs="Arial"/>
          <w:sz w:val="20"/>
          <w:szCs w:val="20"/>
          <w:lang w:val="es-ES_tradnl"/>
        </w:rPr>
        <w:t>La TRM que la entidad utilizará para determinar el método de ponderación será la que rija el segundo día hábil después de finalizado el periodo de traslado del informe de evaluación. Esto es, la que la Superintendencia publique en horas de la tarde del día hábil siguiente a la fecha efectiva de finalizado el periodo de traslado del informe de evaluación.</w:t>
      </w:r>
    </w:p>
    <w:p w:rsidRPr="001111D8" w:rsidR="0058069F" w:rsidP="0058069F" w:rsidRDefault="0058069F" w14:paraId="644172B7" w14:textId="77777777">
      <w:pPr>
        <w:spacing w:after="0" w:line="240" w:lineRule="auto"/>
        <w:jc w:val="both"/>
        <w:rPr>
          <w:rFonts w:ascii="Verdana" w:hAnsi="Verdana" w:eastAsia="Times New Roman" w:cs="Arial MT"/>
          <w:b/>
          <w:bCs/>
          <w:lang w:val="es-ES_tradnl"/>
        </w:rPr>
      </w:pPr>
      <w:r w:rsidRPr="001111D8">
        <w:rPr>
          <w:rFonts w:ascii="Verdana" w:hAnsi="Verdana" w:eastAsia="Times New Roman" w:cs="Arial MT"/>
          <w:b/>
          <w:bCs/>
          <w:lang w:val="es-ES_tradnl"/>
        </w:rPr>
        <w:t xml:space="preserve">PRECIOS ARTIFICIALMENTE BAJOS – Noción – Deber de las entidades estatales </w:t>
      </w:r>
    </w:p>
    <w:p w:rsidRPr="001111D8" w:rsidR="0058069F" w:rsidP="0058069F" w:rsidRDefault="0058069F" w14:paraId="3DDAB185" w14:textId="77777777">
      <w:pPr>
        <w:spacing w:after="0" w:line="240" w:lineRule="auto"/>
        <w:jc w:val="both"/>
        <w:rPr>
          <w:rFonts w:ascii="Verdana" w:hAnsi="Verdana" w:eastAsia="Times New Roman" w:cs="Arial MT"/>
          <w:b/>
          <w:bCs/>
          <w:sz w:val="20"/>
          <w:szCs w:val="20"/>
          <w:lang w:val="es-ES_tradnl"/>
        </w:rPr>
      </w:pPr>
    </w:p>
    <w:p w:rsidRPr="001111D8" w:rsidR="0058069F" w:rsidP="0058069F" w:rsidRDefault="0058069F" w14:paraId="09D90965" w14:textId="77777777">
      <w:pPr>
        <w:spacing w:after="0" w:line="240" w:lineRule="auto"/>
        <w:jc w:val="both"/>
        <w:rPr>
          <w:rFonts w:ascii="Verdana" w:hAnsi="Verdana" w:eastAsia="Times New Roman" w:cs="Arial"/>
          <w:sz w:val="20"/>
          <w:szCs w:val="20"/>
          <w:lang w:val="es-ES" w:eastAsia="es-ES"/>
        </w:rPr>
      </w:pPr>
      <w:r w:rsidRPr="001111D8">
        <w:rPr>
          <w:rFonts w:ascii="Verdana" w:hAnsi="Verdana" w:eastAsia="Times New Roman" w:cs="Arial"/>
          <w:sz w:val="20"/>
          <w:szCs w:val="20"/>
          <w:lang w:val="es-ES" w:eastAsia="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rsidRPr="001111D8" w:rsidR="0058069F" w:rsidP="0058069F" w:rsidRDefault="0058069F" w14:paraId="664A2581" w14:textId="77777777">
      <w:pPr>
        <w:spacing w:after="0" w:line="240" w:lineRule="auto"/>
        <w:jc w:val="both"/>
        <w:rPr>
          <w:rFonts w:ascii="Verdana" w:hAnsi="Verdana" w:eastAsia="Times New Roman" w:cs="Arial MT"/>
          <w:bCs/>
          <w:sz w:val="20"/>
          <w:szCs w:val="20"/>
          <w:lang w:val="es-ES"/>
        </w:rPr>
      </w:pPr>
      <w:r w:rsidRPr="001111D8">
        <w:rPr>
          <w:rFonts w:ascii="Verdana" w:hAnsi="Verdana" w:eastAsia="Times New Roman" w:cs="Arial MT"/>
          <w:bCs/>
          <w:sz w:val="20"/>
          <w:szCs w:val="20"/>
          <w:lang w:val="es-ES"/>
        </w:rPr>
        <w:t>[…]</w:t>
      </w:r>
    </w:p>
    <w:p w:rsidRPr="001111D8" w:rsidR="0058069F" w:rsidP="0058069F" w:rsidRDefault="0058069F" w14:paraId="458DC072" w14:textId="77777777">
      <w:pPr>
        <w:spacing w:after="0" w:line="240" w:lineRule="auto"/>
        <w:jc w:val="both"/>
        <w:rPr>
          <w:rFonts w:ascii="Verdana" w:hAnsi="Verdana" w:eastAsia="Times New Roman" w:cs="Arial"/>
          <w:sz w:val="20"/>
          <w:szCs w:val="20"/>
          <w:lang w:val="es-ES"/>
        </w:rPr>
      </w:pPr>
      <w:r w:rsidRPr="001111D8">
        <w:rPr>
          <w:rFonts w:ascii="Verdana" w:hAnsi="Verdana" w:eastAsia="Times New Roman" w:cs="Arial"/>
          <w:sz w:val="20"/>
          <w:szCs w:val="20"/>
          <w:lang w:val="es-MX"/>
        </w:rPr>
        <w:t xml:space="preserve">Así pues, el artículo 2.2.1.1.2.2.4 </w:t>
      </w:r>
      <w:r>
        <w:rPr>
          <w:rFonts w:ascii="Verdana" w:hAnsi="Verdana" w:eastAsia="Times New Roman" w:cs="Arial"/>
          <w:sz w:val="20"/>
          <w:szCs w:val="20"/>
          <w:lang w:val="es-MX"/>
        </w:rPr>
        <w:t>del decreto 1082 de 2015,</w:t>
      </w:r>
      <w:r w:rsidRPr="001111D8">
        <w:rPr>
          <w:rFonts w:ascii="Verdana" w:hAnsi="Verdana" w:eastAsia="Times New Roman" w:cs="Arial"/>
          <w:sz w:val="20"/>
          <w:szCs w:val="20"/>
          <w:lang w:val="es-MX"/>
        </w:rPr>
        <w:t xml:space="preserve"> establece lo que debe hacer la entidad cuando el precio de una oferta parece artificialmente bajo, esto es: i) solicitar explicación al oferente, </w:t>
      </w:r>
      <w:proofErr w:type="spellStart"/>
      <w:r w:rsidRPr="001111D8">
        <w:rPr>
          <w:rFonts w:ascii="Verdana" w:hAnsi="Verdana" w:eastAsia="Times New Roman" w:cs="Arial"/>
          <w:sz w:val="20"/>
          <w:szCs w:val="20"/>
          <w:lang w:val="es-MX"/>
        </w:rPr>
        <w:t>ii</w:t>
      </w:r>
      <w:proofErr w:type="spellEnd"/>
      <w:r w:rsidRPr="001111D8">
        <w:rPr>
          <w:rFonts w:ascii="Verdana" w:hAnsi="Verdana" w:eastAsia="Times New Roman" w:cs="Arial"/>
          <w:sz w:val="20"/>
          <w:szCs w:val="20"/>
          <w:lang w:val="es-MX"/>
        </w:rPr>
        <w:t xml:space="preserve">) analizar las explicaciones del oferente, </w:t>
      </w:r>
      <w:proofErr w:type="spellStart"/>
      <w:r w:rsidRPr="001111D8">
        <w:rPr>
          <w:rFonts w:ascii="Verdana" w:hAnsi="Verdana" w:eastAsia="Times New Roman" w:cs="Arial"/>
          <w:sz w:val="20"/>
          <w:szCs w:val="20"/>
          <w:lang w:val="es-MX"/>
        </w:rPr>
        <w:t>iii</w:t>
      </w:r>
      <w:proofErr w:type="spellEnd"/>
      <w:r w:rsidRPr="001111D8">
        <w:rPr>
          <w:rFonts w:ascii="Verdana" w:hAnsi="Verdana" w:eastAsia="Times New Roman" w:cs="Arial"/>
          <w:sz w:val="20"/>
          <w:szCs w:val="20"/>
          <w:lang w:val="es-MX"/>
        </w:rPr>
        <w:t xml:space="preserve">) el responsable de la evaluación de las ofertas debe recomendar rechazar o continuar la evaluación de la oferta, y </w:t>
      </w:r>
      <w:proofErr w:type="spellStart"/>
      <w:r w:rsidRPr="001111D8">
        <w:rPr>
          <w:rFonts w:ascii="Verdana" w:hAnsi="Verdana" w:eastAsia="Times New Roman" w:cs="Arial"/>
          <w:sz w:val="20"/>
          <w:szCs w:val="20"/>
          <w:lang w:val="es-MX"/>
        </w:rPr>
        <w:t>iv</w:t>
      </w:r>
      <w:proofErr w:type="spellEnd"/>
      <w:r w:rsidRPr="001111D8">
        <w:rPr>
          <w:rFonts w:ascii="Verdana" w:hAnsi="Verdana" w:eastAsia="Times New Roman" w:cs="Arial"/>
          <w:sz w:val="20"/>
          <w:szCs w:val="20"/>
          <w:lang w:val="es-MX"/>
        </w:rPr>
        <w:t>) para la subasta inversa, lo anterior se debe hacer al finalizar el evento.</w:t>
      </w:r>
    </w:p>
    <w:p w:rsidRPr="001111D8" w:rsidR="0058069F" w:rsidP="0058069F" w:rsidRDefault="0058069F" w14:paraId="6A1CB58B" w14:textId="77777777">
      <w:pPr>
        <w:spacing w:after="0" w:line="240" w:lineRule="auto"/>
        <w:jc w:val="both"/>
        <w:rPr>
          <w:rFonts w:ascii="Verdana" w:hAnsi="Verdana" w:eastAsia="Times New Roman" w:cs="Arial MT"/>
          <w:b/>
          <w:bCs/>
          <w:lang w:val="es-ES"/>
        </w:rPr>
      </w:pPr>
    </w:p>
    <w:p w:rsidRPr="001111D8" w:rsidR="0058069F" w:rsidP="0058069F" w:rsidRDefault="0058069F" w14:paraId="6A6D976B" w14:textId="77777777">
      <w:pPr>
        <w:spacing w:after="0" w:line="240" w:lineRule="auto"/>
        <w:jc w:val="both"/>
        <w:rPr>
          <w:rFonts w:ascii="Verdana" w:hAnsi="Verdana" w:eastAsia="Times New Roman" w:cs="Arial MT"/>
          <w:b/>
          <w:bCs/>
          <w:lang w:val="es-ES_tradnl"/>
        </w:rPr>
      </w:pPr>
      <w:r w:rsidRPr="001111D8">
        <w:rPr>
          <w:rFonts w:ascii="Verdana" w:hAnsi="Verdana" w:eastAsia="Times New Roman" w:cs="Arial MT"/>
          <w:b/>
          <w:bCs/>
          <w:lang w:val="es-ES_tradnl"/>
        </w:rPr>
        <w:t xml:space="preserve">EVALUACIÓN DE LAS OFERTAS – Finalidad – Oportunidad </w:t>
      </w:r>
    </w:p>
    <w:p w:rsidRPr="001111D8" w:rsidR="0058069F" w:rsidP="0058069F" w:rsidRDefault="0058069F" w14:paraId="0956E2BA" w14:textId="77777777">
      <w:pPr>
        <w:spacing w:after="0" w:line="240" w:lineRule="auto"/>
        <w:jc w:val="both"/>
        <w:rPr>
          <w:rFonts w:ascii="Verdana" w:hAnsi="Verdana" w:eastAsia="Times New Roman" w:cs="Arial"/>
          <w:lang w:val="es-ES"/>
        </w:rPr>
      </w:pPr>
    </w:p>
    <w:p w:rsidRPr="001111D8" w:rsidR="0058069F" w:rsidP="0058069F" w:rsidRDefault="0058069F" w14:paraId="6544C0E6" w14:textId="77777777">
      <w:pPr>
        <w:spacing w:after="0" w:line="240" w:lineRule="auto"/>
        <w:jc w:val="both"/>
        <w:rPr>
          <w:rFonts w:ascii="Verdana" w:hAnsi="Verdana" w:eastAsia="Times New Roman" w:cs="Arial MT"/>
          <w:bCs/>
          <w:sz w:val="20"/>
          <w:lang w:val="es-MX"/>
        </w:rPr>
      </w:pPr>
      <w:r w:rsidRPr="001111D8">
        <w:rPr>
          <w:rFonts w:ascii="Verdana" w:hAnsi="Verdana" w:eastAsia="Times New Roman" w:cs="Arial MT"/>
          <w:bCs/>
          <w:sz w:val="20"/>
          <w:lang w:val="es-ES"/>
        </w:rPr>
        <w:t>Sin embargo, debe precisarse que el análisis de los precios de una oferta se hace en la fase de evaluación del procedimiento de selección, que es la oportunidad para verificar, a través del comité evaluador</w:t>
      </w:r>
      <w:r w:rsidRPr="001111D8">
        <w:rPr>
          <w:rFonts w:ascii="Verdana" w:hAnsi="Verdana" w:eastAsia="Times New Roman"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w:t>
      </w:r>
      <w:r w:rsidRPr="001111D8">
        <w:rPr>
          <w:rFonts w:ascii="Verdana" w:hAnsi="Verdana" w:eastAsia="Times New Roman" w:cs="Arial MT"/>
          <w:bCs/>
          <w:sz w:val="20"/>
          <w:lang w:val="es-MX"/>
        </w:rPr>
        <w:lastRenderedPageBreak/>
        <w:t>selección y definir si, de acuerdo con la ponderación de los factores de evaluación aplicables, cuál será el que resultará adjudicatario del futuro contrato.</w:t>
      </w:r>
    </w:p>
    <w:p w:rsidRPr="001111D8" w:rsidR="0058069F" w:rsidP="0058069F" w:rsidRDefault="0058069F" w14:paraId="19A934C3" w14:textId="77777777">
      <w:pPr>
        <w:spacing w:after="0" w:line="240" w:lineRule="auto"/>
        <w:jc w:val="both"/>
        <w:rPr>
          <w:rFonts w:ascii="Verdana" w:hAnsi="Verdana" w:eastAsia="Times New Roman" w:cs="Arial MT"/>
          <w:bCs/>
          <w:sz w:val="20"/>
        </w:rPr>
      </w:pPr>
    </w:p>
    <w:p w:rsidRPr="001111D8" w:rsidR="0058069F" w:rsidP="0058069F" w:rsidRDefault="0058069F" w14:paraId="0B59E453" w14:textId="77777777">
      <w:pPr>
        <w:spacing w:after="0" w:line="240" w:lineRule="auto"/>
        <w:jc w:val="both"/>
        <w:rPr>
          <w:rFonts w:ascii="Verdana" w:hAnsi="Verdana" w:eastAsia="Times New Roman" w:cs="Arial MT"/>
          <w:bCs/>
          <w:sz w:val="20"/>
          <w:lang w:val="es-ES"/>
        </w:rPr>
      </w:pPr>
      <w:r w:rsidRPr="001111D8">
        <w:rPr>
          <w:rFonts w:ascii="Verdana" w:hAnsi="Verdana" w:eastAsia="Times New Roman"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rsidRPr="007A718D" w:rsidR="0058069F" w:rsidP="007A718D" w:rsidRDefault="0058069F" w14:paraId="13045A48" w14:textId="24DACFAC">
      <w:pPr>
        <w:rPr>
          <w:rFonts w:ascii="Verdana" w:hAnsi="Verdana" w:eastAsia="Calibri" w:cs="Arial"/>
          <w:sz w:val="20"/>
          <w:szCs w:val="20"/>
          <w:lang w:val="es-ES_tradnl"/>
        </w:rPr>
      </w:pPr>
      <w:r w:rsidRPr="002A5F8C">
        <w:rPr>
          <w:rFonts w:ascii="Verdana" w:hAnsi="Verdana" w:eastAsia="Calibri" w:cs="Arial"/>
          <w:sz w:val="20"/>
          <w:szCs w:val="20"/>
          <w:lang w:val="es-ES_tradnl"/>
        </w:rPr>
        <w:br w:type="page"/>
      </w:r>
      <w:r w:rsidRPr="007A718D" w:rsidR="007A718D">
        <w:rPr>
          <w:rFonts w:ascii="Verdana" w:hAnsi="Verdana"/>
        </w:rPr>
        <w:lastRenderedPageBreak/>
        <w:t xml:space="preserve">Bogotá D.C., 28 </w:t>
      </w:r>
      <w:r w:rsidR="007A718D">
        <w:rPr>
          <w:rFonts w:ascii="Verdana" w:hAnsi="Verdana"/>
        </w:rPr>
        <w:t xml:space="preserve">de </w:t>
      </w:r>
      <w:proofErr w:type="gramStart"/>
      <w:r w:rsidRPr="007A718D" w:rsidR="007A718D">
        <w:rPr>
          <w:rFonts w:ascii="Verdana" w:hAnsi="Verdana"/>
        </w:rPr>
        <w:t>Noviembre</w:t>
      </w:r>
      <w:proofErr w:type="gramEnd"/>
      <w:r w:rsidRPr="007A718D" w:rsidR="007A718D">
        <w:rPr>
          <w:rFonts w:ascii="Verdana" w:hAnsi="Verdana"/>
        </w:rPr>
        <w:t xml:space="preserve"> 2025</w:t>
      </w:r>
    </w:p>
    <w:p w:rsidRPr="003A6E04" w:rsidR="0058069F" w:rsidP="0058069F" w:rsidRDefault="007A718D" w14:paraId="29083B53" w14:textId="6AEC2390">
      <w:pPr>
        <w:spacing w:after="0" w:line="240" w:lineRule="auto"/>
        <w:jc w:val="right"/>
        <w:rPr>
          <w:rFonts w:ascii="Verdana" w:hAnsi="Verdana" w:eastAsia="Calibri" w:cs="Arial"/>
          <w:lang w:val="es-ES_tradnl" w:eastAsia="es-ES"/>
        </w:rPr>
      </w:pPr>
      <w:r>
        <w:rPr>
          <w:noProof/>
        </w:rPr>
        <w:drawing>
          <wp:inline distT="0" distB="0" distL="0" distR="0" wp14:anchorId="001D3FFB" wp14:editId="7D2C2C9D">
            <wp:extent cx="2638425" cy="723900"/>
            <wp:effectExtent l="0" t="0" r="9525" b="0"/>
            <wp:docPr id="17153988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98876" name=""/>
                    <pic:cNvPicPr/>
                  </pic:nvPicPr>
                  <pic:blipFill>
                    <a:blip r:embed="rId11"/>
                    <a:stretch>
                      <a:fillRect/>
                    </a:stretch>
                  </pic:blipFill>
                  <pic:spPr>
                    <a:xfrm>
                      <a:off x="0" y="0"/>
                      <a:ext cx="2638425" cy="723900"/>
                    </a:xfrm>
                    <a:prstGeom prst="rect">
                      <a:avLst/>
                    </a:prstGeom>
                  </pic:spPr>
                </pic:pic>
              </a:graphicData>
            </a:graphic>
          </wp:inline>
        </w:drawing>
      </w:r>
    </w:p>
    <w:p w:rsidRPr="003A6E04" w:rsidR="0058069F" w:rsidP="0058069F" w:rsidRDefault="0058069F" w14:paraId="3BD89759" w14:textId="77777777">
      <w:pPr>
        <w:spacing w:after="0" w:line="240" w:lineRule="auto"/>
        <w:jc w:val="both"/>
        <w:rPr>
          <w:rFonts w:ascii="Verdana" w:hAnsi="Verdana" w:eastAsia="Calibri" w:cs="Arial"/>
          <w:lang w:val="es-ES_tradnl" w:eastAsia="es-ES"/>
        </w:rPr>
      </w:pPr>
    </w:p>
    <w:p w:rsidR="0058069F" w:rsidP="0058069F" w:rsidRDefault="0058069F" w14:paraId="7F331402" w14:textId="77777777">
      <w:pPr>
        <w:spacing w:after="0" w:line="240" w:lineRule="auto"/>
        <w:jc w:val="both"/>
        <w:rPr>
          <w:rFonts w:ascii="Verdana" w:hAnsi="Verdana" w:eastAsia="Calibri" w:cs="Arial"/>
          <w:lang w:val="es-ES_tradnl" w:eastAsia="es-ES"/>
        </w:rPr>
      </w:pPr>
      <w:r w:rsidRPr="003A6E04">
        <w:rPr>
          <w:rFonts w:ascii="Verdana" w:hAnsi="Verdana" w:eastAsia="Calibri" w:cs="Arial"/>
          <w:lang w:val="es-ES_tradnl" w:eastAsia="es-ES"/>
        </w:rPr>
        <w:t>Señor</w:t>
      </w:r>
    </w:p>
    <w:p w:rsidRPr="007F41E7" w:rsidR="0058069F" w:rsidP="0058069F" w:rsidRDefault="0058069F" w14:paraId="65939965" w14:textId="77777777">
      <w:pPr>
        <w:spacing w:after="0" w:line="240" w:lineRule="auto"/>
        <w:jc w:val="both"/>
        <w:rPr>
          <w:rFonts w:ascii="Verdana" w:hAnsi="Verdana" w:eastAsia="Calibri" w:cs="Arial"/>
          <w:b/>
          <w:bCs/>
          <w:lang w:val="es-ES_tradnl" w:eastAsia="es-ES"/>
        </w:rPr>
      </w:pPr>
      <w:r w:rsidRPr="007F41E7">
        <w:rPr>
          <w:rFonts w:ascii="Verdana" w:hAnsi="Verdana" w:eastAsia="Calibri" w:cs="Arial"/>
          <w:b/>
          <w:bCs/>
          <w:lang w:val="es-ES_tradnl" w:eastAsia="es-ES"/>
        </w:rPr>
        <w:t xml:space="preserve">Wilberth Amaury López Blanco </w:t>
      </w:r>
    </w:p>
    <w:p w:rsidR="0058069F" w:rsidP="0058069F" w:rsidRDefault="00000000" w14:paraId="6A709D84" w14:textId="77777777">
      <w:pPr>
        <w:spacing w:after="0" w:line="240" w:lineRule="auto"/>
        <w:jc w:val="both"/>
        <w:rPr>
          <w:rFonts w:ascii="Verdana" w:hAnsi="Verdana" w:eastAsia="Calibri" w:cs="Arial"/>
          <w:lang w:val="es-ES_tradnl" w:eastAsia="es-ES"/>
        </w:rPr>
      </w:pPr>
      <w:hyperlink w:history="1" r:id="rId12">
        <w:r w:rsidRPr="003E3175" w:rsidR="0058069F">
          <w:rPr>
            <w:rStyle w:val="Hipervnculo"/>
            <w:rFonts w:ascii="Verdana" w:hAnsi="Verdana" w:eastAsia="Calibri" w:cs="Arial"/>
            <w:lang w:val="es-ES_tradnl" w:eastAsia="es-ES"/>
          </w:rPr>
          <w:t>ingwalb@gmail.com</w:t>
        </w:r>
      </w:hyperlink>
      <w:r w:rsidR="0058069F">
        <w:rPr>
          <w:rFonts w:ascii="Verdana" w:hAnsi="Verdana" w:eastAsia="Calibri" w:cs="Arial"/>
          <w:lang w:val="es-ES_tradnl" w:eastAsia="es-ES"/>
        </w:rPr>
        <w:t xml:space="preserve"> </w:t>
      </w:r>
    </w:p>
    <w:p w:rsidR="0058069F" w:rsidP="0058069F" w:rsidRDefault="0058069F" w14:paraId="7D57CB62" w14:textId="77777777">
      <w:pPr>
        <w:spacing w:after="0" w:line="240" w:lineRule="auto"/>
        <w:jc w:val="both"/>
        <w:rPr>
          <w:rFonts w:ascii="Verdana" w:hAnsi="Verdana" w:eastAsia="Calibri" w:cs="Arial"/>
          <w:b/>
          <w:lang w:eastAsia="es-ES_tradnl"/>
        </w:rPr>
      </w:pPr>
      <w:r>
        <w:rPr>
          <w:rFonts w:ascii="Verdana" w:hAnsi="Verdana" w:eastAsia="Calibri" w:cs="Arial"/>
          <w:lang w:val="es-ES_tradnl" w:eastAsia="es-ES"/>
        </w:rPr>
        <w:t>Boyacá, Tunja</w:t>
      </w:r>
    </w:p>
    <w:p w:rsidRPr="003A6E04" w:rsidR="0058069F" w:rsidP="0058069F" w:rsidRDefault="0058069F" w14:paraId="2C22672A" w14:textId="77777777">
      <w:pPr>
        <w:spacing w:after="0" w:line="240" w:lineRule="auto"/>
        <w:jc w:val="both"/>
        <w:rPr>
          <w:rFonts w:ascii="Verdana" w:hAnsi="Verdana" w:eastAsia="Calibri" w:cs="Arial"/>
          <w:b/>
          <w:bCs/>
          <w:lang w:val="es-ES_tradnl" w:eastAsia="es-ES_tradnl"/>
        </w:rPr>
      </w:pPr>
    </w:p>
    <w:p w:rsidR="0058069F" w:rsidP="0058069F" w:rsidRDefault="0058069F" w14:paraId="3EDC73C6" w14:textId="77777777">
      <w:pPr>
        <w:spacing w:after="0" w:line="240" w:lineRule="auto"/>
        <w:rPr>
          <w:rFonts w:ascii="Verdana" w:hAnsi="Verdana" w:eastAsia="Calibri" w:cs="Arial"/>
          <w:b/>
          <w:bCs/>
          <w:lang w:val="es-ES_tradnl" w:eastAsia="es-ES_tradnl"/>
        </w:rPr>
      </w:pPr>
    </w:p>
    <w:p w:rsidRPr="003A6E04" w:rsidR="0058069F" w:rsidP="0058069F" w:rsidRDefault="0058069F" w14:paraId="2A5251A4" w14:textId="77777777">
      <w:pPr>
        <w:spacing w:after="0" w:line="240" w:lineRule="auto"/>
        <w:jc w:val="right"/>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3A6E04" w:rsidR="0058069F" w:rsidTr="00986237" w14:paraId="4E8200A1" w14:textId="77777777">
        <w:trPr>
          <w:trHeight w:val="884"/>
        </w:trPr>
        <w:tc>
          <w:tcPr>
            <w:tcW w:w="2689" w:type="dxa"/>
          </w:tcPr>
          <w:p w:rsidRPr="003A6E04" w:rsidR="0058069F" w:rsidP="00986237" w:rsidRDefault="0058069F" w14:paraId="3312CAD5" w14:textId="77777777">
            <w:pPr>
              <w:jc w:val="both"/>
              <w:rPr>
                <w:rFonts w:ascii="Verdana" w:hAnsi="Verdana" w:eastAsia="Calibri" w:cs="Arial"/>
                <w:b/>
                <w:bCs/>
                <w:lang w:val="es-ES_tradnl" w:eastAsia="es-ES_tradnl"/>
              </w:rPr>
            </w:pPr>
          </w:p>
        </w:tc>
        <w:tc>
          <w:tcPr>
            <w:tcW w:w="6100" w:type="dxa"/>
          </w:tcPr>
          <w:p w:rsidRPr="003A6E04" w:rsidR="0058069F" w:rsidP="00986237" w:rsidRDefault="0058069F" w14:paraId="72FC2771" w14:textId="6AF92CE5">
            <w:pPr>
              <w:jc w:val="both"/>
              <w:rPr>
                <w:rFonts w:ascii="Verdana" w:hAnsi="Verdana" w:eastAsia="Calibri" w:cs="Arial"/>
                <w:b/>
                <w:bCs/>
                <w:lang w:val="es-ES_tradnl" w:eastAsia="es-ES"/>
              </w:rPr>
            </w:pPr>
            <w:r w:rsidRPr="003A6E04">
              <w:rPr>
                <w:rFonts w:ascii="Verdana" w:hAnsi="Verdana" w:eastAsia="Calibri" w:cs="Arial"/>
                <w:b/>
                <w:bCs/>
                <w:lang w:val="es-ES_tradnl" w:eastAsia="es-ES"/>
              </w:rPr>
              <w:t xml:space="preserve">Concepto C </w:t>
            </w:r>
            <w:r w:rsidR="007A718D">
              <w:rPr>
                <w:rFonts w:ascii="Verdana" w:hAnsi="Verdana" w:eastAsia="Calibri" w:cs="Arial"/>
                <w:b/>
                <w:bCs/>
                <w:lang w:val="es-ES_tradnl" w:eastAsia="es-ES"/>
              </w:rPr>
              <w:t>-</w:t>
            </w:r>
            <w:r w:rsidR="00D5574A">
              <w:rPr>
                <w:rFonts w:ascii="Verdana" w:hAnsi="Verdana" w:eastAsia="Calibri" w:cs="Arial"/>
                <w:b/>
                <w:bCs/>
                <w:lang w:val="es-ES_tradnl" w:eastAsia="es-ES"/>
              </w:rPr>
              <w:t xml:space="preserve">1528 </w:t>
            </w:r>
            <w:r w:rsidRPr="003A6E04">
              <w:rPr>
                <w:rFonts w:ascii="Verdana" w:hAnsi="Verdana" w:eastAsia="Calibri" w:cs="Arial"/>
                <w:b/>
                <w:bCs/>
                <w:lang w:val="es-ES_tradnl" w:eastAsia="es-ES"/>
              </w:rPr>
              <w:t>de 202</w:t>
            </w:r>
            <w:r>
              <w:rPr>
                <w:rFonts w:ascii="Verdana" w:hAnsi="Verdana" w:eastAsia="Calibri" w:cs="Arial"/>
                <w:b/>
                <w:bCs/>
                <w:lang w:val="es-ES_tradnl" w:eastAsia="es-ES"/>
              </w:rPr>
              <w:t>5</w:t>
            </w:r>
          </w:p>
        </w:tc>
      </w:tr>
      <w:tr w:rsidRPr="003A6E04" w:rsidR="0058069F" w:rsidTr="00986237" w14:paraId="3E47748C" w14:textId="77777777">
        <w:trPr>
          <w:trHeight w:val="884"/>
        </w:trPr>
        <w:tc>
          <w:tcPr>
            <w:tcW w:w="2689" w:type="dxa"/>
          </w:tcPr>
          <w:p w:rsidRPr="003A6E04" w:rsidR="0058069F" w:rsidP="00986237" w:rsidRDefault="0058069F" w14:paraId="6C5EED96" w14:textId="77777777">
            <w:pPr>
              <w:jc w:val="both"/>
              <w:rPr>
                <w:rFonts w:ascii="Verdana" w:hAnsi="Verdana" w:eastAsia="Calibri" w:cs="Arial"/>
                <w:lang w:val="es-ES_tradnl" w:eastAsia="es-ES_tradnl"/>
              </w:rPr>
            </w:pPr>
            <w:r w:rsidRPr="003A6E04">
              <w:rPr>
                <w:rFonts w:ascii="Verdana" w:hAnsi="Verdana" w:eastAsia="Calibri" w:cs="Arial"/>
                <w:b/>
                <w:lang w:val="es-ES_tradnl" w:eastAsia="es-ES_tradnl"/>
              </w:rPr>
              <w:t>Temas:</w:t>
            </w:r>
            <w:r w:rsidRPr="003A6E04">
              <w:rPr>
                <w:rFonts w:ascii="Verdana" w:hAnsi="Verdana" w:eastAsia="Calibri" w:cs="Arial"/>
                <w:lang w:val="es-ES_tradnl" w:eastAsia="es-ES_tradnl"/>
              </w:rPr>
              <w:t xml:space="preserve">                   </w:t>
            </w:r>
          </w:p>
        </w:tc>
        <w:tc>
          <w:tcPr>
            <w:tcW w:w="6100" w:type="dxa"/>
          </w:tcPr>
          <w:p w:rsidRPr="001111D8" w:rsidR="0058069F" w:rsidP="00986237" w:rsidRDefault="0058069F" w14:paraId="10CD902D" w14:textId="77777777">
            <w:pPr>
              <w:jc w:val="both"/>
              <w:rPr>
                <w:rFonts w:ascii="Verdana" w:hAnsi="Verdana" w:eastAsia="Times New Roman" w:cs="Arial MT"/>
                <w:lang w:val="es-ES_tradnl"/>
              </w:rPr>
            </w:pPr>
            <w:r w:rsidRPr="003A6E04">
              <w:rPr>
                <w:rFonts w:ascii="Verdana" w:hAnsi="Verdana" w:eastAsia="Calibri" w:cs="Arial"/>
                <w:lang w:val="es-ES_tradnl" w:eastAsia="es-ES"/>
              </w:rPr>
              <w:t xml:space="preserve">DOCUMENTOS TIPO – Generalidades – </w:t>
            </w:r>
            <w:r w:rsidRPr="003A6E04">
              <w:rPr>
                <w:rFonts w:ascii="Verdana" w:hAnsi="Verdana" w:eastAsia="Aptos" w:cs="Times New Roman"/>
                <w:lang w:val="es-ES_tradnl" w:eastAsia="es-ES"/>
              </w:rPr>
              <w:t xml:space="preserve">Obligatoriedad / </w:t>
            </w:r>
            <w:r w:rsidRPr="003A6E04">
              <w:rPr>
                <w:rFonts w:ascii="Verdana" w:hAnsi="Verdana" w:eastAsia="Geomanist Light" w:cs="Arial"/>
                <w:lang w:val="es-ES_tradnl"/>
              </w:rPr>
              <w:t xml:space="preserve">DOCUMENTOS TIPO – Infraestructura de transporte – </w:t>
            </w:r>
            <w:r w:rsidRPr="003A6E04">
              <w:rPr>
                <w:rFonts w:ascii="Verdana" w:hAnsi="Verdana" w:eastAsia="Calibri" w:cs="Arial"/>
                <w:lang w:val="es-ES_tradnl" w:eastAsia="es-ES"/>
              </w:rPr>
              <w:t>modalidad de selección abreviada de menor cuantía –versión 3</w:t>
            </w:r>
            <w:r>
              <w:rPr>
                <w:rFonts w:ascii="Verdana" w:hAnsi="Verdana" w:eastAsia="Calibri" w:cs="Arial"/>
                <w:lang w:val="es-ES_tradnl" w:eastAsia="es-ES"/>
              </w:rPr>
              <w:t xml:space="preserve"> - </w:t>
            </w:r>
            <w:r w:rsidRPr="00513756">
              <w:rPr>
                <w:rFonts w:ascii="Verdana" w:hAnsi="Verdana"/>
              </w:rPr>
              <w:t>DETERMINACIÓN DEL MÉTODO PARA LA PONDERACIÓN DE LA PROPUESTA ECONÓMICA</w:t>
            </w:r>
            <w:r>
              <w:rPr>
                <w:rFonts w:ascii="Verdana" w:hAnsi="Verdana"/>
              </w:rPr>
              <w:t xml:space="preserve"> / </w:t>
            </w:r>
            <w:r w:rsidRPr="006077FA">
              <w:rPr>
                <w:rFonts w:ascii="Verdana" w:hAnsi="Verdana"/>
              </w:rPr>
              <w:t>PRECIOS ARTIFICIALMENTE BAJOS – Noción – Deber de las entidades estatales</w:t>
            </w:r>
            <w:r>
              <w:rPr>
                <w:rFonts w:ascii="Verdana" w:hAnsi="Verdana"/>
              </w:rPr>
              <w:t xml:space="preserve"> /</w:t>
            </w:r>
            <w:r w:rsidRPr="001111D8">
              <w:rPr>
                <w:rFonts w:ascii="Verdana" w:hAnsi="Verdana" w:eastAsia="Times New Roman" w:cs="Arial MT"/>
                <w:b/>
                <w:bCs/>
                <w:lang w:val="es-ES_tradnl"/>
              </w:rPr>
              <w:t xml:space="preserve"> </w:t>
            </w:r>
            <w:r w:rsidRPr="001111D8">
              <w:rPr>
                <w:rFonts w:ascii="Verdana" w:hAnsi="Verdana" w:eastAsia="Times New Roman" w:cs="Arial MT"/>
                <w:lang w:val="es-ES_tradnl"/>
              </w:rPr>
              <w:t xml:space="preserve">EVALUACIÓN DE LAS OFERTAS – Finalidad – Oportunidad </w:t>
            </w:r>
          </w:p>
          <w:p w:rsidR="0058069F" w:rsidP="00986237" w:rsidRDefault="0058069F" w14:paraId="3920CB6A" w14:textId="77777777">
            <w:pPr>
              <w:spacing w:line="276" w:lineRule="auto"/>
              <w:jc w:val="both"/>
              <w:rPr>
                <w:rFonts w:ascii="Verdana" w:hAnsi="Verdana" w:eastAsia="Geomanist Light" w:cs="Arial"/>
                <w:lang w:val="es-ES_tradnl"/>
              </w:rPr>
            </w:pPr>
          </w:p>
          <w:p w:rsidRPr="003A6E04" w:rsidR="0058069F" w:rsidP="00986237" w:rsidRDefault="0058069F" w14:paraId="3A287CC5" w14:textId="77777777">
            <w:pPr>
              <w:spacing w:line="276" w:lineRule="auto"/>
              <w:jc w:val="both"/>
              <w:rPr>
                <w:rFonts w:ascii="Verdana" w:hAnsi="Verdana" w:eastAsia="Calibri" w:cs="Arial"/>
                <w:highlight w:val="yellow"/>
                <w:lang w:val="es-ES_tradnl" w:eastAsia="es-ES"/>
              </w:rPr>
            </w:pPr>
          </w:p>
        </w:tc>
      </w:tr>
      <w:tr w:rsidRPr="003A6E04" w:rsidR="0058069F" w:rsidTr="00986237" w14:paraId="5291CD5E" w14:textId="77777777">
        <w:tc>
          <w:tcPr>
            <w:tcW w:w="2689" w:type="dxa"/>
          </w:tcPr>
          <w:p w:rsidRPr="003A6E04" w:rsidR="0058069F" w:rsidP="00986237" w:rsidRDefault="0058069F" w14:paraId="564EF6AD" w14:textId="77777777">
            <w:pPr>
              <w:jc w:val="both"/>
              <w:rPr>
                <w:rFonts w:ascii="Verdana" w:hAnsi="Verdana" w:eastAsia="Calibri" w:cs="Arial"/>
                <w:b/>
                <w:lang w:val="es-ES_tradnl" w:eastAsia="es-ES_tradnl"/>
              </w:rPr>
            </w:pPr>
            <w:r w:rsidRPr="003A6E04">
              <w:rPr>
                <w:rFonts w:ascii="Verdana" w:hAnsi="Verdana" w:eastAsia="Calibri" w:cs="Arial"/>
                <w:b/>
                <w:lang w:val="es-ES_tradnl" w:eastAsia="es-ES_tradnl"/>
              </w:rPr>
              <w:t>Radicación:</w:t>
            </w:r>
            <w:r w:rsidRPr="003A6E04">
              <w:rPr>
                <w:rFonts w:ascii="Verdana" w:hAnsi="Verdana" w:eastAsia="Calibri" w:cs="Arial"/>
                <w:lang w:val="es-ES_tradnl" w:eastAsia="es-ES_tradnl"/>
              </w:rPr>
              <w:t xml:space="preserve">               </w:t>
            </w:r>
          </w:p>
        </w:tc>
        <w:tc>
          <w:tcPr>
            <w:tcW w:w="6100" w:type="dxa"/>
          </w:tcPr>
          <w:p w:rsidRPr="003A6E04" w:rsidR="0058069F" w:rsidP="00986237" w:rsidRDefault="0058069F" w14:paraId="2E5A2031" w14:textId="77777777">
            <w:pPr>
              <w:jc w:val="both"/>
              <w:rPr>
                <w:rFonts w:ascii="Verdana" w:hAnsi="Verdana" w:eastAsia="Calibri" w:cs="Arial"/>
                <w:lang w:val="es-ES_tradnl" w:eastAsia="es-ES_tradnl"/>
              </w:rPr>
            </w:pPr>
            <w:r w:rsidRPr="003A6E04">
              <w:rPr>
                <w:rFonts w:ascii="Verdana" w:hAnsi="Verdana" w:eastAsia="Calibri" w:cs="Arial"/>
                <w:lang w:val="es-ES_tradnl" w:eastAsia="es-ES_tradnl"/>
              </w:rPr>
              <w:t xml:space="preserve">Respuesta a consulta con radicado No. </w:t>
            </w:r>
            <w:r>
              <w:rPr>
                <w:rFonts w:ascii="Verdana" w:hAnsi="Verdana" w:eastAsia="Calibri" w:cs="Arial"/>
                <w:lang w:val="es-ES_tradnl" w:eastAsia="es-ES_tradnl"/>
              </w:rPr>
              <w:t>1_2025_10_20_011723</w:t>
            </w:r>
          </w:p>
        </w:tc>
      </w:tr>
    </w:tbl>
    <w:p w:rsidRPr="003A6E04" w:rsidR="0058069F" w:rsidP="0058069F" w:rsidRDefault="0058069F" w14:paraId="3E80799F" w14:textId="77777777">
      <w:pPr>
        <w:spacing w:after="0" w:line="240" w:lineRule="auto"/>
        <w:jc w:val="both"/>
        <w:rPr>
          <w:rFonts w:ascii="Verdana" w:hAnsi="Verdana" w:eastAsia="Calibri" w:cs="Arial"/>
          <w:lang w:val="es-ES_tradnl" w:eastAsia="es-ES_tradnl"/>
        </w:rPr>
      </w:pPr>
    </w:p>
    <w:p w:rsidRPr="003A6E04" w:rsidR="0058069F" w:rsidP="0058069F" w:rsidRDefault="0058069F" w14:paraId="61C6A6DF" w14:textId="77777777">
      <w:pPr>
        <w:spacing w:after="0" w:line="240" w:lineRule="auto"/>
        <w:jc w:val="both"/>
        <w:rPr>
          <w:rFonts w:ascii="Verdana" w:hAnsi="Verdana" w:eastAsia="Calibri" w:cs="Arial"/>
          <w:lang w:val="es-ES_tradnl" w:eastAsia="es-ES_tradnl"/>
        </w:rPr>
      </w:pPr>
    </w:p>
    <w:p w:rsidRPr="003A6E04" w:rsidR="0058069F" w:rsidP="0058069F" w:rsidRDefault="0058069F" w14:paraId="1CFC983F" w14:textId="77777777">
      <w:pPr>
        <w:spacing w:after="0" w:line="276" w:lineRule="auto"/>
        <w:jc w:val="both"/>
        <w:rPr>
          <w:rFonts w:ascii="Verdana" w:hAnsi="Verdana" w:eastAsia="Calibri" w:cs="Arial"/>
          <w:lang w:val="es-ES_tradnl" w:eastAsia="es-ES"/>
        </w:rPr>
      </w:pPr>
      <w:r>
        <w:rPr>
          <w:rFonts w:ascii="Verdana" w:hAnsi="Verdana" w:eastAsia="Calibri" w:cs="Arial"/>
          <w:lang w:val="es-ES_tradnl" w:eastAsia="es-ES"/>
        </w:rPr>
        <w:t xml:space="preserve">Estimado señor Amaury: </w:t>
      </w:r>
      <w:r w:rsidRPr="003A6E04">
        <w:rPr>
          <w:rFonts w:ascii="Verdana" w:hAnsi="Verdana" w:eastAsia="Calibri" w:cs="Arial"/>
          <w:lang w:val="es-ES_tradnl" w:eastAsia="es-ES"/>
        </w:rPr>
        <w:t xml:space="preserve"> </w:t>
      </w:r>
    </w:p>
    <w:p w:rsidRPr="003A6E04" w:rsidR="0058069F" w:rsidP="0058069F" w:rsidRDefault="0058069F" w14:paraId="21697D8F" w14:textId="77777777">
      <w:pPr>
        <w:tabs>
          <w:tab w:val="left" w:pos="3768"/>
        </w:tabs>
        <w:spacing w:after="0" w:line="276" w:lineRule="auto"/>
        <w:jc w:val="both"/>
        <w:rPr>
          <w:rFonts w:ascii="Verdana" w:hAnsi="Verdana" w:eastAsia="Calibri" w:cs="Arial"/>
          <w:lang w:val="es-ES_tradnl" w:eastAsia="es-ES"/>
        </w:rPr>
      </w:pPr>
      <w:r w:rsidRPr="003A6E04">
        <w:rPr>
          <w:rFonts w:ascii="Verdana" w:hAnsi="Verdana" w:eastAsia="Calibri" w:cs="Arial"/>
          <w:lang w:val="es-ES_tradnl" w:eastAsia="es-ES"/>
        </w:rPr>
        <w:tab/>
      </w:r>
    </w:p>
    <w:p w:rsidRPr="003A6E04" w:rsidR="0058069F" w:rsidP="0058069F" w:rsidRDefault="0058069F" w14:paraId="6702942A" w14:textId="77777777">
      <w:pPr>
        <w:snapToGrid w:val="0"/>
        <w:spacing w:after="0" w:line="276" w:lineRule="auto"/>
        <w:jc w:val="both"/>
        <w:rPr>
          <w:rFonts w:ascii="Verdana" w:hAnsi="Verdana" w:eastAsia="Calibri" w:cs="Arial"/>
          <w:lang w:val="es-ES_tradnl" w:eastAsia="es-ES"/>
        </w:rPr>
      </w:pPr>
      <w:r w:rsidRPr="003A6E04">
        <w:rPr>
          <w:rFonts w:ascii="Verdana" w:hAnsi="Verdana" w:eastAsia="Calibri" w:cs="Arial"/>
          <w:lang w:val="es-ES_tradnl" w:eastAsia="es-ES"/>
        </w:rPr>
        <w:t>En ejercicio de la competencia otorgada por los artículos 3, numeral 5º, y 11, numeral 8º, del Decreto Ley 4170 de 2011,</w:t>
      </w:r>
      <w:r w:rsidRPr="003A6E04">
        <w:rPr>
          <w:rFonts w:ascii="Verdana" w:hAnsi="Verdana" w:eastAsia="Arial MT" w:cs="Arial MT"/>
          <w:lang w:val="es-ES_tradnl" w:eastAsia="es-ES"/>
        </w:rPr>
        <w:t xml:space="preserve"> </w:t>
      </w:r>
      <w:r w:rsidRPr="003A6E04">
        <w:rPr>
          <w:rFonts w:ascii="Verdana" w:hAnsi="Verdana" w:eastAsia="Calibri" w:cs="Arial"/>
          <w:lang w:val="es-ES_tradnl"/>
        </w:rPr>
        <w:t xml:space="preserve">así como lo establecido en el artículo 4 de la Resolución 1707 de 2018 expedida por esta Entidad, </w:t>
      </w:r>
      <w:r w:rsidRPr="003A6E04">
        <w:rPr>
          <w:rFonts w:ascii="Verdana" w:hAnsi="Verdana" w:eastAsia="Calibri" w:cs="Arial"/>
          <w:lang w:val="es-ES_tradnl" w:eastAsia="es-ES"/>
        </w:rPr>
        <w:t xml:space="preserve">la Agencia Nacional de Contratación Pública – Colombia Compra Eficiente– responde su solicitud de consulta de fecha </w:t>
      </w:r>
      <w:r>
        <w:rPr>
          <w:rFonts w:ascii="Verdana" w:hAnsi="Verdana" w:eastAsia="Calibri" w:cs="Arial"/>
          <w:lang w:val="es-ES_tradnl" w:eastAsia="es-ES"/>
        </w:rPr>
        <w:t>20 de octubre de 2025 e</w:t>
      </w:r>
      <w:r w:rsidRPr="003A6E04">
        <w:rPr>
          <w:rFonts w:ascii="Verdana" w:hAnsi="Verdana" w:eastAsia="Calibri" w:cs="Arial"/>
          <w:lang w:val="es-ES_tradnl" w:eastAsia="es-ES"/>
        </w:rPr>
        <w:t xml:space="preserve">n relación con </w:t>
      </w:r>
      <w:r>
        <w:rPr>
          <w:rFonts w:ascii="Verdana" w:hAnsi="Verdana" w:eastAsia="Calibri" w:cs="Arial"/>
          <w:lang w:val="es-ES_tradnl" w:eastAsia="es-ES"/>
        </w:rPr>
        <w:t xml:space="preserve">la TRM que la entidad debe utilizar en los  </w:t>
      </w:r>
      <w:r w:rsidRPr="003A6E04">
        <w:rPr>
          <w:rFonts w:ascii="Verdana" w:hAnsi="Verdana" w:eastAsia="Calibri" w:cs="Arial"/>
          <w:lang w:val="es-ES_tradnl" w:eastAsia="es-ES"/>
        </w:rPr>
        <w:t xml:space="preserve">documentos tipo de obra pública de infraestructura de </w:t>
      </w:r>
      <w:r w:rsidRPr="003A6E04">
        <w:rPr>
          <w:rFonts w:ascii="Verdana" w:hAnsi="Verdana" w:eastAsia="Calibri" w:cs="Arial"/>
          <w:lang w:val="es-ES_tradnl" w:eastAsia="es-ES"/>
        </w:rPr>
        <w:lastRenderedPageBreak/>
        <w:t>transporte de selección abreviada de menor cuantía –versión 3–, usted manifiesta lo siguiente:</w:t>
      </w:r>
    </w:p>
    <w:p w:rsidRPr="003A6E04" w:rsidR="0058069F" w:rsidP="0058069F" w:rsidRDefault="0058069F" w14:paraId="68FAF874" w14:textId="77777777">
      <w:pPr>
        <w:tabs>
          <w:tab w:val="left" w:pos="142"/>
          <w:tab w:val="left" w:pos="284"/>
        </w:tabs>
        <w:snapToGrid w:val="0"/>
        <w:spacing w:after="0" w:line="240" w:lineRule="auto"/>
        <w:jc w:val="both"/>
        <w:rPr>
          <w:rFonts w:ascii="Verdana" w:hAnsi="Verdana" w:eastAsia="Century Gothic" w:cs="Century Gothic"/>
          <w:b/>
          <w:bCs/>
          <w:sz w:val="21"/>
          <w:szCs w:val="21"/>
          <w:lang w:val="es-ES_tradnl"/>
        </w:rPr>
      </w:pPr>
    </w:p>
    <w:p w:rsidRPr="003A6E04" w:rsidR="0058069F" w:rsidP="0058069F" w:rsidRDefault="0058069F" w14:paraId="7F1A7B3D" w14:textId="77777777">
      <w:pPr>
        <w:snapToGrid w:val="0"/>
        <w:spacing w:after="0" w:line="240" w:lineRule="auto"/>
        <w:ind w:left="720" w:right="709"/>
        <w:jc w:val="both"/>
        <w:rPr>
          <w:rFonts w:ascii="Verdana" w:hAnsi="Verdana" w:eastAsia="Century Gothic" w:cs="Century Gothic"/>
          <w:sz w:val="21"/>
          <w:szCs w:val="21"/>
          <w:lang w:val="es-ES"/>
        </w:rPr>
      </w:pPr>
      <w:r w:rsidRPr="003A6E04">
        <w:rPr>
          <w:rFonts w:ascii="Verdana" w:hAnsi="Verdana" w:eastAsia="Century Gothic" w:cs="Century Gothic"/>
          <w:sz w:val="21"/>
          <w:szCs w:val="21"/>
          <w:lang w:val="es-ES_tradnl"/>
        </w:rPr>
        <w:t>“</w:t>
      </w:r>
      <w:r>
        <w:rPr>
          <w:rFonts w:ascii="Verdana" w:hAnsi="Verdana" w:eastAsia="Century Gothic" w:cs="Century Gothic"/>
          <w:sz w:val="21"/>
          <w:szCs w:val="21"/>
        </w:rPr>
        <w:t xml:space="preserve">En procesos de selección abreviada de menor cuantía el pliego tipo indica que “ La TRM que la entidad utilizará para determinar el método de ponderación será la que rija el segundo día hábil después de finalizado el periodo de traslado del informe de evaluación? en el caso hay entidades que solicitan aclarar precios artificialmente bajo, y esperan a que pase el segundo día hábil, y ahí si emiten informe de evaluación definitivo, en esca caso ya la entidad conoce la TRM que aplicaba y a conveniencia aceptan o no las aclaraciones de precio artificialmente bajo al oferente. </w:t>
      </w:r>
      <w:proofErr w:type="gramStart"/>
      <w:r>
        <w:rPr>
          <w:rFonts w:ascii="Verdana" w:hAnsi="Verdana" w:eastAsia="Century Gothic" w:cs="Century Gothic"/>
          <w:sz w:val="21"/>
          <w:szCs w:val="21"/>
        </w:rPr>
        <w:t>El segundo día hábil no se supone debe cumplirse después de que culmine el informe final, donde se conozca con anticipación si se aceptó o no el precio artificialmente bajo?</w:t>
      </w:r>
      <w:proofErr w:type="gramEnd"/>
      <w:r w:rsidRPr="003A6E04">
        <w:rPr>
          <w:rFonts w:ascii="Verdana" w:hAnsi="Verdana" w:eastAsia="Century Gothic" w:cs="Century Gothic"/>
          <w:i/>
          <w:iCs/>
          <w:sz w:val="21"/>
          <w:szCs w:val="21"/>
          <w:lang w:val="es-ES"/>
        </w:rPr>
        <w:t>”</w:t>
      </w:r>
    </w:p>
    <w:p w:rsidRPr="003A6E04" w:rsidR="0058069F" w:rsidP="0058069F" w:rsidRDefault="0058069F" w14:paraId="35F6D217" w14:textId="77777777">
      <w:pPr>
        <w:tabs>
          <w:tab w:val="left" w:pos="142"/>
          <w:tab w:val="left" w:pos="284"/>
        </w:tabs>
        <w:spacing w:line="276" w:lineRule="auto"/>
        <w:contextualSpacing/>
        <w:jc w:val="both"/>
        <w:rPr>
          <w:rFonts w:ascii="Verdana" w:hAnsi="Verdana" w:eastAsia="Century Gothic" w:cs="Century Gothic"/>
          <w:b/>
          <w:bCs/>
          <w:lang w:val="es-ES_tradnl"/>
        </w:rPr>
      </w:pPr>
    </w:p>
    <w:p w:rsidRPr="003A6E04" w:rsidR="0058069F" w:rsidP="0058069F" w:rsidRDefault="0058069F" w14:paraId="58E68ACE" w14:textId="77777777">
      <w:pPr>
        <w:spacing w:after="120" w:line="276" w:lineRule="auto"/>
        <w:ind w:firstLine="709"/>
        <w:jc w:val="both"/>
        <w:rPr>
          <w:rFonts w:ascii="Verdana" w:hAnsi="Verdana" w:eastAsia="Calibri" w:cs="Arial"/>
          <w:lang w:val="es-ES" w:eastAsia="es-ES"/>
        </w:rPr>
      </w:pPr>
      <w:r w:rsidRPr="003A6E04">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A6E04">
        <w:rPr>
          <w:rFonts w:ascii="Calibri" w:hAnsi="Calibri" w:eastAsia="Calibri" w:cs="Times New Roman"/>
        </w:rPr>
        <w:tab/>
      </w:r>
    </w:p>
    <w:p w:rsidRPr="003A6E04" w:rsidR="0058069F" w:rsidP="0058069F" w:rsidRDefault="0058069F" w14:paraId="1F67E17F" w14:textId="77777777">
      <w:pPr>
        <w:snapToGrid w:val="0"/>
        <w:spacing w:after="0" w:line="276" w:lineRule="auto"/>
        <w:ind w:firstLine="709"/>
        <w:jc w:val="both"/>
        <w:rPr>
          <w:rFonts w:ascii="Verdana" w:hAnsi="Verdana" w:eastAsia="Calibri" w:cs="Arial"/>
          <w:lang w:val="es-ES_tradnl" w:eastAsia="es-ES"/>
        </w:rPr>
      </w:pPr>
      <w:r w:rsidRPr="003A6E04">
        <w:rPr>
          <w:rFonts w:ascii="Verdana" w:hAnsi="Verdana" w:eastAsia="Calibri"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Pr="003A6E04" w:rsidR="0058069F" w:rsidP="0058069F" w:rsidRDefault="0058069F" w14:paraId="6F4284C0" w14:textId="77777777">
      <w:pPr>
        <w:snapToGrid w:val="0"/>
        <w:spacing w:after="0" w:line="276" w:lineRule="auto"/>
        <w:ind w:firstLine="709"/>
        <w:jc w:val="both"/>
        <w:rPr>
          <w:rFonts w:ascii="Verdana" w:hAnsi="Verdana" w:eastAsia="Calibri" w:cs="Arial"/>
          <w:lang w:val="es-ES_tradnl" w:eastAsia="es-ES"/>
        </w:rPr>
      </w:pPr>
    </w:p>
    <w:p w:rsidRPr="003A6E04" w:rsidR="0058069F" w:rsidP="0058069F" w:rsidRDefault="0058069F" w14:paraId="65EB9BC1"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3A6E04">
        <w:rPr>
          <w:rFonts w:ascii="Verdana" w:hAnsi="Verdana" w:eastAsia="Century Gothic" w:cs="Century Gothic"/>
          <w:b/>
          <w:bCs/>
          <w:lang w:val="es-ES_tradnl"/>
        </w:rPr>
        <w:t>Problema planteado:</w:t>
      </w:r>
    </w:p>
    <w:p w:rsidRPr="003A6E04" w:rsidR="0058069F" w:rsidP="0058069F" w:rsidRDefault="0058069F" w14:paraId="1AC32B6F" w14:textId="77777777">
      <w:pPr>
        <w:tabs>
          <w:tab w:val="left" w:pos="426"/>
        </w:tabs>
        <w:snapToGrid w:val="0"/>
        <w:spacing w:after="0" w:line="276" w:lineRule="auto"/>
        <w:jc w:val="both"/>
        <w:rPr>
          <w:rFonts w:ascii="Verdana" w:hAnsi="Verdana" w:eastAsia="Century Gothic" w:cs="Century Gothic"/>
          <w:lang w:val="es-ES_tradnl"/>
        </w:rPr>
      </w:pPr>
    </w:p>
    <w:p w:rsidRPr="003A6E04" w:rsidR="0058069F" w:rsidP="0058069F" w:rsidRDefault="0058069F" w14:paraId="4C65FF84" w14:textId="77777777">
      <w:pPr>
        <w:snapToGrid w:val="0"/>
        <w:spacing w:after="0" w:line="276" w:lineRule="auto"/>
        <w:jc w:val="both"/>
        <w:rPr>
          <w:rFonts w:ascii="Verdana" w:hAnsi="Verdana" w:eastAsia="Century Gothic" w:cs="Century Gothic"/>
          <w:lang w:val="es-ES"/>
        </w:rPr>
      </w:pPr>
      <w:r w:rsidRPr="003A6E04">
        <w:rPr>
          <w:rFonts w:ascii="Verdana" w:hAnsi="Verdana" w:eastAsia="Century Gothic" w:cs="Century Gothic"/>
          <w:lang w:val="es-ES"/>
        </w:rPr>
        <w:t xml:space="preserve">De acuerdo con el contenido de su solicitud, esta Agencia resolverá </w:t>
      </w:r>
      <w:r>
        <w:rPr>
          <w:rFonts w:ascii="Verdana" w:hAnsi="Verdana" w:eastAsia="Century Gothic" w:cs="Century Gothic"/>
          <w:lang w:val="es-ES"/>
        </w:rPr>
        <w:t xml:space="preserve">los </w:t>
      </w:r>
      <w:r w:rsidRPr="003A6E04">
        <w:rPr>
          <w:rFonts w:ascii="Verdana" w:hAnsi="Verdana" w:eastAsia="Century Gothic" w:cs="Century Gothic"/>
          <w:lang w:val="es-ES"/>
        </w:rPr>
        <w:t>siguiente</w:t>
      </w:r>
      <w:r>
        <w:rPr>
          <w:rFonts w:ascii="Verdana" w:hAnsi="Verdana" w:eastAsia="Century Gothic" w:cs="Century Gothic"/>
          <w:lang w:val="es-ES"/>
        </w:rPr>
        <w:t>s</w:t>
      </w:r>
      <w:r w:rsidRPr="003A6E04">
        <w:rPr>
          <w:rFonts w:ascii="Verdana" w:hAnsi="Verdana" w:eastAsia="Century Gothic" w:cs="Century Gothic"/>
          <w:lang w:val="es-ES"/>
        </w:rPr>
        <w:t xml:space="preserve"> problema</w:t>
      </w:r>
      <w:r>
        <w:rPr>
          <w:rFonts w:ascii="Verdana" w:hAnsi="Verdana" w:eastAsia="Century Gothic" w:cs="Century Gothic"/>
          <w:lang w:val="es-ES"/>
        </w:rPr>
        <w:t>s</w:t>
      </w:r>
      <w:r w:rsidRPr="003A6E04">
        <w:rPr>
          <w:rFonts w:ascii="Verdana" w:hAnsi="Verdana" w:eastAsia="Century Gothic" w:cs="Century Gothic"/>
          <w:lang w:val="es-ES"/>
        </w:rPr>
        <w:t xml:space="preserve"> jurídico</w:t>
      </w:r>
      <w:r>
        <w:rPr>
          <w:rFonts w:ascii="Verdana" w:hAnsi="Verdana" w:eastAsia="Century Gothic" w:cs="Century Gothic"/>
          <w:lang w:val="es-ES"/>
        </w:rPr>
        <w:t>s</w:t>
      </w:r>
      <w:r w:rsidRPr="003A6E04">
        <w:rPr>
          <w:rFonts w:ascii="Verdana" w:hAnsi="Verdana" w:eastAsia="Century Gothic" w:cs="Century Gothic"/>
          <w:lang w:val="es-ES"/>
        </w:rPr>
        <w:t>:</w:t>
      </w:r>
      <w:r>
        <w:rPr>
          <w:rFonts w:ascii="Verdana" w:hAnsi="Verdana" w:eastAsia="Century Gothic" w:cs="Century Gothic"/>
          <w:lang w:val="es-ES"/>
        </w:rPr>
        <w:t xml:space="preserve"> i)</w:t>
      </w:r>
      <w:r w:rsidRPr="003A6E04">
        <w:rPr>
          <w:rFonts w:ascii="Verdana" w:hAnsi="Verdana" w:eastAsia="Century Gothic" w:cs="Century Gothic"/>
          <w:lang w:val="es-ES"/>
        </w:rPr>
        <w:t xml:space="preserve"> ¿cómo </w:t>
      </w:r>
      <w:r>
        <w:rPr>
          <w:rFonts w:ascii="Verdana" w:hAnsi="Verdana" w:eastAsia="Century Gothic" w:cs="Century Gothic"/>
          <w:lang w:val="es-ES"/>
        </w:rPr>
        <w:t xml:space="preserve">se </w:t>
      </w:r>
      <w:r w:rsidRPr="00513756">
        <w:rPr>
          <w:rFonts w:ascii="Verdana" w:hAnsi="Verdana"/>
        </w:rPr>
        <w:t>determina</w:t>
      </w:r>
      <w:r>
        <w:rPr>
          <w:rFonts w:ascii="Verdana" w:hAnsi="Verdana"/>
        </w:rPr>
        <w:t xml:space="preserve"> </w:t>
      </w:r>
      <w:r w:rsidRPr="00513756">
        <w:rPr>
          <w:rFonts w:ascii="Verdana" w:hAnsi="Verdana"/>
        </w:rPr>
        <w:t>el método para la ponderación de la propuesta económica</w:t>
      </w:r>
      <w:r w:rsidRPr="003A6E04">
        <w:rPr>
          <w:rFonts w:ascii="Verdana" w:hAnsi="Verdana" w:eastAsia="Century Gothic" w:cs="Century Gothic"/>
          <w:lang w:val="es-ES"/>
        </w:rPr>
        <w:t xml:space="preserve"> </w:t>
      </w:r>
      <w:r>
        <w:rPr>
          <w:rFonts w:ascii="Verdana" w:hAnsi="Verdana" w:eastAsia="Century Gothic" w:cs="Century Gothic"/>
          <w:lang w:val="es-ES"/>
        </w:rPr>
        <w:t xml:space="preserve">en </w:t>
      </w:r>
      <w:r w:rsidRPr="003A6E04">
        <w:rPr>
          <w:rFonts w:ascii="Verdana" w:hAnsi="Verdana" w:eastAsia="Century Gothic" w:cs="Century Gothic"/>
          <w:lang w:val="es-ES"/>
        </w:rPr>
        <w:t xml:space="preserve">los documentos tipo </w:t>
      </w:r>
      <w:r w:rsidRPr="003A6E04">
        <w:rPr>
          <w:rFonts w:ascii="Verdana" w:hAnsi="Verdana" w:eastAsia="Calibri" w:cs="Arial"/>
          <w:lang w:val="es-ES_tradnl"/>
        </w:rPr>
        <w:t xml:space="preserve">selección abreviada de menor </w:t>
      </w:r>
      <w:r w:rsidRPr="003A6E04">
        <w:rPr>
          <w:rFonts w:ascii="Verdana" w:hAnsi="Verdana" w:eastAsia="Calibri" w:cs="Arial"/>
          <w:lang w:val="es-ES_tradnl"/>
        </w:rPr>
        <w:lastRenderedPageBreak/>
        <w:t>cuantía –versión 3–</w:t>
      </w:r>
      <w:r>
        <w:rPr>
          <w:rFonts w:ascii="Verdana" w:hAnsi="Verdana" w:eastAsia="Calibri" w:cs="Arial"/>
          <w:lang w:val="es-ES_tradnl"/>
        </w:rPr>
        <w:t xml:space="preserve"> y </w:t>
      </w:r>
      <w:proofErr w:type="spellStart"/>
      <w:r>
        <w:rPr>
          <w:rFonts w:ascii="Verdana" w:hAnsi="Verdana" w:eastAsia="Calibri" w:cs="Arial"/>
          <w:lang w:val="es-ES_tradnl"/>
        </w:rPr>
        <w:t>ii</w:t>
      </w:r>
      <w:proofErr w:type="spellEnd"/>
      <w:r>
        <w:rPr>
          <w:rFonts w:ascii="Verdana" w:hAnsi="Verdana" w:eastAsia="Calibri" w:cs="Arial"/>
          <w:lang w:val="es-ES_tradnl"/>
        </w:rPr>
        <w:t>) hasta cuándo se puede presentar las explicaciones a la entidad estatal sobre una supuesta oferta con valor artificialmente bajo</w:t>
      </w:r>
      <w:r w:rsidRPr="003A6E04">
        <w:rPr>
          <w:rFonts w:ascii="Verdana" w:hAnsi="Verdana" w:eastAsia="Century Gothic" w:cs="Century Gothic"/>
          <w:lang w:val="es-ES"/>
        </w:rPr>
        <w:t>?</w:t>
      </w:r>
    </w:p>
    <w:p w:rsidRPr="003A6E04" w:rsidR="0058069F" w:rsidP="0058069F" w:rsidRDefault="0058069F" w14:paraId="00083BA8" w14:textId="77777777">
      <w:pPr>
        <w:snapToGrid w:val="0"/>
        <w:spacing w:after="0" w:line="276" w:lineRule="auto"/>
        <w:jc w:val="both"/>
        <w:rPr>
          <w:rFonts w:ascii="Verdana" w:hAnsi="Verdana" w:eastAsia="Calibri" w:cs="Arial"/>
          <w:lang w:val="es-ES_tradnl"/>
        </w:rPr>
      </w:pPr>
    </w:p>
    <w:p w:rsidRPr="003A6E04" w:rsidR="0058069F" w:rsidP="0058069F" w:rsidRDefault="0058069F" w14:paraId="56E54132"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3A6E04">
        <w:rPr>
          <w:rFonts w:ascii="Verdana" w:hAnsi="Verdana" w:eastAsia="Century Gothic" w:cs="Century Gothic"/>
          <w:b/>
          <w:bCs/>
          <w:lang w:val="es-ES_tradnl"/>
        </w:rPr>
        <w:t>Respuesta:</w:t>
      </w:r>
    </w:p>
    <w:p w:rsidRPr="003A6E04" w:rsidR="0058069F" w:rsidP="0058069F" w:rsidRDefault="0058069F" w14:paraId="3402F89A" w14:textId="77777777">
      <w:pPr>
        <w:tabs>
          <w:tab w:val="left" w:pos="142"/>
          <w:tab w:val="left" w:pos="284"/>
        </w:tabs>
        <w:snapToGrid w:val="0"/>
        <w:spacing w:after="0" w:line="276" w:lineRule="auto"/>
        <w:jc w:val="both"/>
        <w:rPr>
          <w:rFonts w:ascii="Verdana" w:hAnsi="Verdana" w:eastAsia="Century Gothic" w:cs="Century Gothic"/>
          <w:b/>
          <w:bCs/>
          <w:lang w:val="es-ES_tradnl"/>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3A6E04" w:rsidR="0058069F" w:rsidTr="00986237" w14:paraId="30333F4A" w14:textId="77777777">
        <w:tc>
          <w:tcPr>
            <w:tcW w:w="8828" w:type="dxa"/>
          </w:tcPr>
          <w:p w:rsidRPr="003332B6" w:rsidR="0058069F" w:rsidP="0058069F" w:rsidRDefault="0058069F" w14:paraId="71080076" w14:textId="77777777">
            <w:pPr>
              <w:pStyle w:val="Prrafodelista"/>
              <w:numPr>
                <w:ilvl w:val="0"/>
                <w:numId w:val="19"/>
              </w:numPr>
              <w:jc w:val="both"/>
              <w:rPr>
                <w:rFonts w:ascii="Verdana" w:hAnsi="Verdana"/>
              </w:rPr>
            </w:pPr>
            <w:r>
              <w:rPr>
                <w:rFonts w:ascii="Verdana" w:hAnsi="Verdana"/>
                <w:lang w:val="es-ES_tradnl"/>
              </w:rPr>
              <w:t>L</w:t>
            </w:r>
            <w:r w:rsidRPr="003332B6">
              <w:rPr>
                <w:rFonts w:ascii="Verdana" w:hAnsi="Verdana"/>
              </w:rPr>
              <w:t>a versión 3 de los documentos tipo de infraestructura de transporte en la modalidad de Selección Abreviada de Menor Cuantía, la cual fue adoptada mediante la resolución 463 de 2024, incluye varias precisiones en el numeral 4.1.4 DETERMINACIÓN DEL MÉTODO PARA LA PONDERACIÓN DE LA PROPUESTA ECONÓMICA, tal y como se puede evidenciar a continuación:</w:t>
            </w:r>
          </w:p>
          <w:p w:rsidR="0058069F" w:rsidP="00986237" w:rsidRDefault="0058069F" w14:paraId="5B06AADF" w14:textId="77777777">
            <w:pPr>
              <w:jc w:val="both"/>
              <w:rPr>
                <w:rFonts w:ascii="Verdana" w:hAnsi="Verdana"/>
              </w:rPr>
            </w:pPr>
          </w:p>
          <w:p w:rsidR="0058069F" w:rsidP="00986237" w:rsidRDefault="0058069F" w14:paraId="29D61E88" w14:textId="77777777">
            <w:pPr>
              <w:ind w:left="708"/>
              <w:jc w:val="both"/>
              <w:rPr>
                <w:rFonts w:ascii="Verdana" w:hAnsi="Verdana" w:eastAsia="Arial,Calibri" w:cs="Arial"/>
                <w:szCs w:val="20"/>
              </w:rPr>
            </w:pPr>
            <w:r>
              <w:rPr>
                <w:rFonts w:ascii="Verdana" w:hAnsi="Verdana" w:cs="Arial"/>
                <w:szCs w:val="20"/>
              </w:rPr>
              <w:t>“L</w:t>
            </w:r>
            <w:r w:rsidRPr="00513756">
              <w:rPr>
                <w:rFonts w:ascii="Verdana" w:hAnsi="Verdana" w:cs="Arial"/>
                <w:szCs w:val="20"/>
              </w:rPr>
              <w:t>a</w:t>
            </w:r>
            <w:r w:rsidRPr="00513756">
              <w:rPr>
                <w:rFonts w:ascii="Verdana" w:hAnsi="Verdana" w:eastAsia="Arial,Calibri" w:cs="Arial"/>
                <w:szCs w:val="20"/>
              </w:rPr>
              <w:t xml:space="preserve"> </w:t>
            </w:r>
            <w:r w:rsidRPr="00513756">
              <w:rPr>
                <w:rFonts w:ascii="Verdana" w:hAnsi="Verdana" w:cs="Arial"/>
                <w:szCs w:val="20"/>
              </w:rPr>
              <w:t>entidad</w:t>
            </w:r>
            <w:r w:rsidRPr="00513756">
              <w:rPr>
                <w:rFonts w:ascii="Verdana" w:hAnsi="Verdana" w:eastAsia="Arial,Calibri" w:cs="Arial"/>
                <w:szCs w:val="20"/>
              </w:rPr>
              <w:t xml:space="preserve"> </w:t>
            </w:r>
            <w:r w:rsidRPr="00513756">
              <w:rPr>
                <w:rFonts w:ascii="Verdana" w:hAnsi="Verdana" w:cs="Arial"/>
                <w:szCs w:val="20"/>
              </w:rPr>
              <w:t>seleccionará</w:t>
            </w:r>
            <w:r w:rsidRPr="00513756">
              <w:rPr>
                <w:rFonts w:ascii="Verdana" w:hAnsi="Verdana" w:eastAsia="Arial,Calibri" w:cs="Arial"/>
                <w:szCs w:val="20"/>
              </w:rPr>
              <w:t xml:space="preserve"> </w:t>
            </w:r>
            <w:r w:rsidRPr="00513756">
              <w:rPr>
                <w:rFonts w:ascii="Verdana" w:hAnsi="Verdana" w:cs="Arial"/>
                <w:szCs w:val="20"/>
              </w:rPr>
              <w:t>el</w:t>
            </w:r>
            <w:r w:rsidRPr="00513756">
              <w:rPr>
                <w:rFonts w:ascii="Verdana" w:hAnsi="Verdana" w:eastAsia="Arial,Calibri" w:cs="Arial"/>
                <w:szCs w:val="20"/>
              </w:rPr>
              <w:t xml:space="preserve"> </w:t>
            </w:r>
            <w:r w:rsidRPr="00513756">
              <w:rPr>
                <w:rFonts w:ascii="Verdana" w:hAnsi="Verdana" w:cs="Arial"/>
                <w:szCs w:val="20"/>
              </w:rPr>
              <w:t>método</w:t>
            </w:r>
            <w:r w:rsidRPr="00513756">
              <w:rPr>
                <w:rFonts w:ascii="Verdana" w:hAnsi="Verdana" w:eastAsia="Arial,Calibri" w:cs="Arial"/>
                <w:szCs w:val="20"/>
              </w:rPr>
              <w:t xml:space="preserve"> </w:t>
            </w:r>
            <w:r w:rsidRPr="00513756">
              <w:rPr>
                <w:rFonts w:ascii="Verdana" w:hAnsi="Verdana" w:cs="Arial"/>
                <w:szCs w:val="20"/>
              </w:rPr>
              <w:t>de</w:t>
            </w:r>
            <w:r w:rsidRPr="00513756">
              <w:rPr>
                <w:rFonts w:ascii="Verdana" w:hAnsi="Verdana" w:eastAsia="Arial,Calibri" w:cs="Arial"/>
                <w:szCs w:val="20"/>
              </w:rPr>
              <w:t xml:space="preserve"> </w:t>
            </w:r>
            <w:r w:rsidRPr="00513756">
              <w:rPr>
                <w:rFonts w:ascii="Verdana" w:hAnsi="Verdana" w:cs="Arial"/>
                <w:szCs w:val="20"/>
              </w:rPr>
              <w:t>ponderación</w:t>
            </w:r>
            <w:r w:rsidRPr="00513756">
              <w:rPr>
                <w:rFonts w:ascii="Verdana" w:hAnsi="Verdana" w:eastAsia="Arial,Calibri" w:cs="Arial"/>
                <w:szCs w:val="20"/>
              </w:rPr>
              <w:t xml:space="preserve"> </w:t>
            </w:r>
            <w:r w:rsidRPr="00513756">
              <w:rPr>
                <w:rFonts w:ascii="Verdana" w:hAnsi="Verdana" w:cs="Arial"/>
                <w:szCs w:val="20"/>
              </w:rPr>
              <w:t>de</w:t>
            </w:r>
            <w:r w:rsidRPr="00513756">
              <w:rPr>
                <w:rFonts w:ascii="Verdana" w:hAnsi="Verdana" w:eastAsia="Arial,Calibri" w:cs="Arial"/>
                <w:szCs w:val="20"/>
              </w:rPr>
              <w:t xml:space="preserve"> </w:t>
            </w:r>
            <w:r w:rsidRPr="00513756">
              <w:rPr>
                <w:rFonts w:ascii="Verdana" w:hAnsi="Verdana" w:cs="Arial"/>
                <w:szCs w:val="20"/>
              </w:rPr>
              <w:t>la</w:t>
            </w:r>
            <w:r w:rsidRPr="00513756">
              <w:rPr>
                <w:rFonts w:ascii="Verdana" w:hAnsi="Verdana" w:eastAsia="Arial,Calibri" w:cs="Arial"/>
                <w:szCs w:val="20"/>
              </w:rPr>
              <w:t xml:space="preserve"> </w:t>
            </w:r>
            <w:r w:rsidRPr="00513756">
              <w:rPr>
                <w:rFonts w:ascii="Verdana" w:hAnsi="Verdana" w:cs="Arial"/>
                <w:szCs w:val="20"/>
              </w:rPr>
              <w:t>propuesta</w:t>
            </w:r>
            <w:r w:rsidRPr="00513756">
              <w:rPr>
                <w:rFonts w:ascii="Verdana" w:hAnsi="Verdana" w:eastAsia="Arial,Calibri" w:cs="Arial"/>
                <w:szCs w:val="20"/>
              </w:rPr>
              <w:t xml:space="preserve"> </w:t>
            </w:r>
            <w:r w:rsidRPr="00513756">
              <w:rPr>
                <w:rFonts w:ascii="Verdana" w:hAnsi="Verdana" w:cs="Arial"/>
                <w:szCs w:val="20"/>
              </w:rPr>
              <w:t>económica,</w:t>
            </w:r>
            <w:r w:rsidRPr="00513756">
              <w:rPr>
                <w:rFonts w:ascii="Verdana" w:hAnsi="Verdana" w:eastAsia="Arial,Calibri" w:cs="Arial"/>
                <w:szCs w:val="20"/>
              </w:rPr>
              <w:t xml:space="preserve"> </w:t>
            </w:r>
            <w:r w:rsidRPr="00513756">
              <w:rPr>
                <w:rFonts w:ascii="Verdana" w:hAnsi="Verdana" w:cs="Arial"/>
                <w:szCs w:val="20"/>
              </w:rPr>
              <w:t>de</w:t>
            </w:r>
            <w:r w:rsidRPr="00513756">
              <w:rPr>
                <w:rFonts w:ascii="Verdana" w:hAnsi="Verdana" w:eastAsia="Arial,Calibri" w:cs="Arial"/>
                <w:szCs w:val="20"/>
              </w:rPr>
              <w:t xml:space="preserve"> </w:t>
            </w:r>
            <w:r w:rsidRPr="00513756">
              <w:rPr>
                <w:rFonts w:ascii="Verdana" w:hAnsi="Verdana" w:cs="Arial"/>
                <w:szCs w:val="20"/>
              </w:rPr>
              <w:t>acuerdo</w:t>
            </w:r>
            <w:r w:rsidRPr="00513756">
              <w:rPr>
                <w:rFonts w:ascii="Verdana" w:hAnsi="Verdana" w:eastAsia="Arial,Calibri" w:cs="Arial"/>
                <w:szCs w:val="20"/>
              </w:rPr>
              <w:t xml:space="preserve"> </w:t>
            </w:r>
            <w:r w:rsidRPr="00513756">
              <w:rPr>
                <w:rFonts w:ascii="Verdana" w:hAnsi="Verdana" w:cs="Arial"/>
                <w:szCs w:val="20"/>
              </w:rPr>
              <w:t>con</w:t>
            </w:r>
            <w:r w:rsidRPr="00513756">
              <w:rPr>
                <w:rFonts w:ascii="Verdana" w:hAnsi="Verdana" w:eastAsia="Arial,Calibri" w:cs="Arial"/>
                <w:szCs w:val="20"/>
              </w:rPr>
              <w:t xml:space="preserve"> </w:t>
            </w:r>
            <w:r w:rsidRPr="00513756">
              <w:rPr>
                <w:rFonts w:ascii="Verdana" w:hAnsi="Verdana" w:cs="Arial"/>
                <w:szCs w:val="20"/>
              </w:rPr>
              <w:t>las</w:t>
            </w:r>
            <w:r w:rsidRPr="00513756">
              <w:rPr>
                <w:rFonts w:ascii="Verdana" w:hAnsi="Verdana" w:eastAsia="Arial,Calibri" w:cs="Arial"/>
                <w:szCs w:val="20"/>
              </w:rPr>
              <w:t xml:space="preserve"> </w:t>
            </w:r>
            <w:r w:rsidRPr="00513756">
              <w:rPr>
                <w:rFonts w:ascii="Verdana" w:hAnsi="Verdana" w:cs="Arial"/>
                <w:szCs w:val="20"/>
              </w:rPr>
              <w:t>siguientes alternativas:</w:t>
            </w:r>
            <w:r w:rsidRPr="00513756">
              <w:rPr>
                <w:rFonts w:ascii="Verdana" w:hAnsi="Verdana" w:eastAsia="Arial,Calibri" w:cs="Arial"/>
                <w:szCs w:val="20"/>
              </w:rPr>
              <w:t xml:space="preserve"> </w:t>
            </w:r>
          </w:p>
          <w:p w:rsidRPr="00513756" w:rsidR="0058069F" w:rsidP="00986237" w:rsidRDefault="0058069F" w14:paraId="165E0201" w14:textId="77777777">
            <w:pPr>
              <w:ind w:left="708"/>
              <w:jc w:val="both"/>
              <w:rPr>
                <w:rFonts w:ascii="Verdana" w:hAnsi="Verdana" w:eastAsia="Arial,Calibri" w:cs="Arial"/>
                <w:szCs w:val="20"/>
              </w:rPr>
            </w:pPr>
          </w:p>
          <w:tbl>
            <w:tblPr>
              <w:tblStyle w:val="Tablaconcuadrcula"/>
              <w:tblW w:w="0" w:type="auto"/>
              <w:jc w:val="center"/>
              <w:tblLook w:val="04A0" w:firstRow="1" w:lastRow="0" w:firstColumn="1" w:lastColumn="0" w:noHBand="0" w:noVBand="1"/>
            </w:tblPr>
            <w:tblGrid>
              <w:gridCol w:w="1560"/>
              <w:gridCol w:w="2820"/>
            </w:tblGrid>
            <w:tr w:rsidRPr="00513756" w:rsidR="0058069F" w:rsidTr="00986237" w14:paraId="4B9B7547" w14:textId="77777777">
              <w:trPr>
                <w:trHeight w:val="20"/>
                <w:tblHeader/>
                <w:jc w:val="center"/>
              </w:trPr>
              <w:tc>
                <w:tcPr>
                  <w:tcW w:w="1560"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513756" w:rsidR="0058069F" w:rsidP="00986237" w:rsidRDefault="0058069F" w14:paraId="2F7F957D" w14:textId="77777777">
                  <w:pPr>
                    <w:spacing w:line="276" w:lineRule="auto"/>
                    <w:jc w:val="center"/>
                    <w:rPr>
                      <w:rFonts w:ascii="Verdana" w:hAnsi="Verdana" w:cs="Arial"/>
                      <w:b/>
                      <w:color w:val="FFFFFF" w:themeColor="background1"/>
                      <w:szCs w:val="20"/>
                    </w:rPr>
                  </w:pPr>
                  <w:bookmarkStart w:name="_Hlk511666058" w:id="1"/>
                  <w:r w:rsidRPr="00513756">
                    <w:rPr>
                      <w:rFonts w:ascii="Verdana" w:hAnsi="Verdana" w:cs="Arial"/>
                      <w:b/>
                      <w:color w:val="FFFFFF" w:themeColor="background1"/>
                      <w:szCs w:val="20"/>
                    </w:rPr>
                    <w:t>Concepto</w:t>
                  </w:r>
                </w:p>
              </w:tc>
              <w:tc>
                <w:tcPr>
                  <w:tcW w:w="2820"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513756" w:rsidR="0058069F" w:rsidP="00986237" w:rsidRDefault="0058069F" w14:paraId="4C96ADEF" w14:textId="77777777">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Método</w:t>
                  </w:r>
                </w:p>
              </w:tc>
            </w:tr>
            <w:tr w:rsidRPr="00513756" w:rsidR="0058069F" w:rsidTr="00986237" w14:paraId="52F576FD"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tcPr>
                <w:p w:rsidRPr="00513756" w:rsidR="0058069F" w:rsidP="00986237" w:rsidRDefault="0058069F" w14:paraId="25EEFB43" w14:textId="77777777">
                  <w:pPr>
                    <w:spacing w:line="276" w:lineRule="auto"/>
                    <w:jc w:val="center"/>
                    <w:rPr>
                      <w:rFonts w:ascii="Verdana" w:hAnsi="Verdana" w:cs="Arial"/>
                      <w:szCs w:val="20"/>
                      <w:lang w:val="es-ES"/>
                    </w:rPr>
                  </w:pPr>
                  <w:r w:rsidRPr="00513756">
                    <w:rPr>
                      <w:rFonts w:ascii="Verdana" w:hAnsi="Verdana" w:cs="Arial"/>
                      <w:szCs w:val="20"/>
                      <w:lang w:val="es-ES"/>
                    </w:rPr>
                    <w:t>1</w:t>
                  </w:r>
                </w:p>
              </w:tc>
              <w:tc>
                <w:tcPr>
                  <w:tcW w:w="2820" w:type="dxa"/>
                  <w:tcBorders>
                    <w:top w:val="single" w:color="auto" w:sz="4" w:space="0"/>
                    <w:left w:val="single" w:color="auto" w:sz="4" w:space="0"/>
                    <w:bottom w:val="single" w:color="auto" w:sz="4" w:space="0"/>
                    <w:right w:val="double" w:color="auto" w:sz="4" w:space="0"/>
                  </w:tcBorders>
                  <w:vAlign w:val="center"/>
                </w:tcPr>
                <w:p w:rsidRPr="00513756" w:rsidR="0058069F" w:rsidP="00986237" w:rsidRDefault="0058069F" w14:paraId="5C2A0457" w14:textId="77777777">
                  <w:pPr>
                    <w:spacing w:line="276" w:lineRule="auto"/>
                    <w:jc w:val="center"/>
                    <w:rPr>
                      <w:rFonts w:ascii="Verdana" w:hAnsi="Verdana" w:cs="Arial"/>
                      <w:szCs w:val="20"/>
                      <w:lang w:val="es-ES"/>
                    </w:rPr>
                  </w:pPr>
                  <w:r w:rsidRPr="00513756">
                    <w:rPr>
                      <w:rFonts w:ascii="Verdana" w:hAnsi="Verdana" w:cs="Arial"/>
                      <w:szCs w:val="20"/>
                      <w:lang w:val="es-ES"/>
                    </w:rPr>
                    <w:t>Mediana con valor absoluto</w:t>
                  </w:r>
                </w:p>
              </w:tc>
            </w:tr>
            <w:tr w:rsidRPr="00513756" w:rsidR="0058069F" w:rsidTr="00986237" w14:paraId="78BEE630"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tcPr>
                <w:p w:rsidRPr="00513756" w:rsidR="0058069F" w:rsidP="00986237" w:rsidRDefault="0058069F" w14:paraId="2DE2ABA4" w14:textId="77777777">
                  <w:pPr>
                    <w:spacing w:line="276" w:lineRule="auto"/>
                    <w:jc w:val="center"/>
                    <w:rPr>
                      <w:rFonts w:ascii="Verdana" w:hAnsi="Verdana" w:cs="Arial"/>
                      <w:szCs w:val="20"/>
                      <w:lang w:val="es-ES"/>
                    </w:rPr>
                  </w:pPr>
                  <w:r w:rsidRPr="00513756">
                    <w:rPr>
                      <w:rFonts w:ascii="Verdana" w:hAnsi="Verdana" w:cs="Arial"/>
                      <w:szCs w:val="20"/>
                      <w:lang w:val="es-ES"/>
                    </w:rPr>
                    <w:t>2</w:t>
                  </w:r>
                </w:p>
              </w:tc>
              <w:tc>
                <w:tcPr>
                  <w:tcW w:w="2820" w:type="dxa"/>
                  <w:tcBorders>
                    <w:top w:val="single" w:color="auto" w:sz="4" w:space="0"/>
                    <w:left w:val="single" w:color="auto" w:sz="4" w:space="0"/>
                    <w:bottom w:val="single" w:color="auto" w:sz="4" w:space="0"/>
                    <w:right w:val="double" w:color="auto" w:sz="4" w:space="0"/>
                  </w:tcBorders>
                  <w:vAlign w:val="center"/>
                </w:tcPr>
                <w:p w:rsidRPr="00513756" w:rsidR="0058069F" w:rsidP="00986237" w:rsidRDefault="0058069F" w14:paraId="6BDF8359" w14:textId="77777777">
                  <w:pPr>
                    <w:spacing w:line="276" w:lineRule="auto"/>
                    <w:jc w:val="center"/>
                    <w:rPr>
                      <w:rFonts w:ascii="Verdana" w:hAnsi="Verdana" w:cs="Arial"/>
                      <w:szCs w:val="20"/>
                      <w:lang w:val="es-ES"/>
                    </w:rPr>
                  </w:pPr>
                  <w:r w:rsidRPr="00513756">
                    <w:rPr>
                      <w:rFonts w:ascii="Verdana" w:hAnsi="Verdana" w:cs="Arial"/>
                      <w:szCs w:val="20"/>
                      <w:lang w:val="es-ES"/>
                    </w:rPr>
                    <w:t>Media geométrica</w:t>
                  </w:r>
                </w:p>
              </w:tc>
            </w:tr>
            <w:tr w:rsidRPr="00513756" w:rsidR="0058069F" w:rsidTr="00986237" w14:paraId="3A787D2B"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hideMark/>
                </w:tcPr>
                <w:p w:rsidRPr="00513756" w:rsidR="0058069F" w:rsidP="00986237" w:rsidRDefault="0058069F" w14:paraId="4E91BF31" w14:textId="77777777">
                  <w:pPr>
                    <w:spacing w:line="276" w:lineRule="auto"/>
                    <w:jc w:val="center"/>
                    <w:rPr>
                      <w:rFonts w:ascii="Verdana" w:hAnsi="Verdana" w:cs="Arial"/>
                      <w:szCs w:val="20"/>
                      <w:lang w:val="es-ES"/>
                    </w:rPr>
                  </w:pPr>
                  <w:r w:rsidRPr="00513756">
                    <w:rPr>
                      <w:rFonts w:ascii="Verdana" w:hAnsi="Verdana" w:cs="Arial"/>
                      <w:szCs w:val="20"/>
                      <w:lang w:val="es-ES"/>
                    </w:rPr>
                    <w:t>3</w:t>
                  </w:r>
                </w:p>
              </w:tc>
              <w:tc>
                <w:tcPr>
                  <w:tcW w:w="2820" w:type="dxa"/>
                  <w:tcBorders>
                    <w:top w:val="single" w:color="auto" w:sz="4" w:space="0"/>
                    <w:left w:val="single" w:color="auto" w:sz="4" w:space="0"/>
                    <w:bottom w:val="single" w:color="auto" w:sz="4" w:space="0"/>
                    <w:right w:val="double" w:color="auto" w:sz="4" w:space="0"/>
                  </w:tcBorders>
                  <w:vAlign w:val="center"/>
                  <w:hideMark/>
                </w:tcPr>
                <w:p w:rsidRPr="00513756" w:rsidR="0058069F" w:rsidP="00986237" w:rsidRDefault="0058069F" w14:paraId="4860891A" w14:textId="77777777">
                  <w:pPr>
                    <w:spacing w:line="276" w:lineRule="auto"/>
                    <w:jc w:val="center"/>
                    <w:rPr>
                      <w:rFonts w:ascii="Verdana" w:hAnsi="Verdana" w:cs="Arial"/>
                      <w:szCs w:val="20"/>
                      <w:lang w:val="es-ES"/>
                    </w:rPr>
                  </w:pPr>
                  <w:r w:rsidRPr="00513756">
                    <w:rPr>
                      <w:rFonts w:ascii="Verdana" w:hAnsi="Verdana" w:cs="Arial"/>
                      <w:szCs w:val="20"/>
                      <w:lang w:val="es-ES"/>
                    </w:rPr>
                    <w:t>Media aritmética baja</w:t>
                  </w:r>
                </w:p>
              </w:tc>
            </w:tr>
            <w:tr w:rsidRPr="00513756" w:rsidR="0058069F" w:rsidTr="00986237" w14:paraId="5CBA15C3" w14:textId="77777777">
              <w:trPr>
                <w:trHeight w:val="20"/>
                <w:jc w:val="center"/>
              </w:trPr>
              <w:tc>
                <w:tcPr>
                  <w:tcW w:w="1560" w:type="dxa"/>
                  <w:tcBorders>
                    <w:top w:val="single" w:color="auto" w:sz="4" w:space="0"/>
                    <w:left w:val="double" w:color="auto" w:sz="4" w:space="0"/>
                    <w:bottom w:val="double" w:color="auto" w:sz="4" w:space="0"/>
                    <w:right w:val="single" w:color="auto" w:sz="4" w:space="0"/>
                  </w:tcBorders>
                  <w:vAlign w:val="center"/>
                  <w:hideMark/>
                </w:tcPr>
                <w:p w:rsidRPr="00513756" w:rsidR="0058069F" w:rsidP="00986237" w:rsidRDefault="0058069F" w14:paraId="3B66A27A" w14:textId="77777777">
                  <w:pPr>
                    <w:spacing w:line="276" w:lineRule="auto"/>
                    <w:jc w:val="center"/>
                    <w:rPr>
                      <w:rFonts w:ascii="Verdana" w:hAnsi="Verdana" w:cs="Arial"/>
                      <w:szCs w:val="20"/>
                      <w:lang w:val="es-ES"/>
                    </w:rPr>
                  </w:pPr>
                  <w:r w:rsidRPr="00513756">
                    <w:rPr>
                      <w:rFonts w:ascii="Verdana" w:hAnsi="Verdana" w:cs="Arial"/>
                      <w:szCs w:val="20"/>
                      <w:lang w:val="es-ES"/>
                    </w:rPr>
                    <w:t>4</w:t>
                  </w:r>
                </w:p>
              </w:tc>
              <w:tc>
                <w:tcPr>
                  <w:tcW w:w="2820" w:type="dxa"/>
                  <w:tcBorders>
                    <w:top w:val="single" w:color="auto" w:sz="4" w:space="0"/>
                    <w:left w:val="single" w:color="auto" w:sz="4" w:space="0"/>
                    <w:bottom w:val="double" w:color="auto" w:sz="4" w:space="0"/>
                    <w:right w:val="double" w:color="auto" w:sz="4" w:space="0"/>
                  </w:tcBorders>
                  <w:vAlign w:val="center"/>
                  <w:hideMark/>
                </w:tcPr>
                <w:p w:rsidRPr="00513756" w:rsidR="0058069F" w:rsidP="00986237" w:rsidRDefault="0058069F" w14:paraId="6B740393" w14:textId="77777777">
                  <w:pPr>
                    <w:spacing w:line="276" w:lineRule="auto"/>
                    <w:jc w:val="center"/>
                    <w:rPr>
                      <w:rFonts w:ascii="Verdana" w:hAnsi="Verdana" w:cs="Arial"/>
                      <w:szCs w:val="20"/>
                      <w:lang w:val="es-ES"/>
                    </w:rPr>
                  </w:pPr>
                  <w:r w:rsidRPr="00513756">
                    <w:rPr>
                      <w:rFonts w:ascii="Verdana" w:hAnsi="Verdana" w:cs="Arial"/>
                      <w:szCs w:val="20"/>
                      <w:lang w:val="es-ES"/>
                    </w:rPr>
                    <w:t>Menor Valor</w:t>
                  </w:r>
                </w:p>
              </w:tc>
              <w:bookmarkEnd w:id="1"/>
            </w:tr>
          </w:tbl>
          <w:p w:rsidR="0058069F" w:rsidP="00986237" w:rsidRDefault="0058069F" w14:paraId="69E1C150" w14:textId="77777777">
            <w:pPr>
              <w:tabs>
                <w:tab w:val="left" w:pos="1860"/>
              </w:tabs>
              <w:spacing w:after="200" w:line="276" w:lineRule="auto"/>
              <w:ind w:left="708"/>
              <w:jc w:val="both"/>
              <w:rPr>
                <w:rFonts w:ascii="Verdana" w:hAnsi="Verdana" w:cs="Arial"/>
                <w:szCs w:val="20"/>
              </w:rPr>
            </w:pPr>
          </w:p>
          <w:p w:rsidRPr="00513756" w:rsidR="0058069F" w:rsidP="00986237" w:rsidRDefault="0058069F" w14:paraId="14C21459" w14:textId="77777777">
            <w:pPr>
              <w:tabs>
                <w:tab w:val="left" w:pos="1860"/>
              </w:tabs>
              <w:spacing w:after="200" w:line="276" w:lineRule="auto"/>
              <w:ind w:left="708"/>
              <w:jc w:val="both"/>
              <w:rPr>
                <w:rFonts w:ascii="Verdana" w:hAnsi="Verdana" w:cs="Arial"/>
                <w:szCs w:val="20"/>
              </w:rPr>
            </w:pPr>
            <w:r w:rsidRPr="00513756">
              <w:rPr>
                <w:rFonts w:ascii="Verdana" w:hAnsi="Verdana" w:cs="Arial"/>
                <w:szCs w:val="20"/>
              </w:rPr>
              <w:t>Para</w:t>
            </w:r>
            <w:r w:rsidRPr="00513756">
              <w:rPr>
                <w:rFonts w:ascii="Verdana" w:hAnsi="Verdana" w:eastAsia="Arial,Calibri" w:cs="Arial"/>
                <w:szCs w:val="20"/>
              </w:rPr>
              <w:t xml:space="preserve"> </w:t>
            </w:r>
            <w:r w:rsidRPr="00513756">
              <w:rPr>
                <w:rFonts w:ascii="Verdana" w:hAnsi="Verdana" w:cs="Arial"/>
                <w:szCs w:val="20"/>
              </w:rPr>
              <w:t>determinar</w:t>
            </w:r>
            <w:r w:rsidRPr="00513756">
              <w:rPr>
                <w:rFonts w:ascii="Verdana" w:hAnsi="Verdana" w:eastAsia="Arial,Calibri" w:cs="Arial"/>
                <w:szCs w:val="20"/>
              </w:rPr>
              <w:t xml:space="preserve"> </w:t>
            </w:r>
            <w:r w:rsidRPr="00513756">
              <w:rPr>
                <w:rFonts w:ascii="Verdana" w:hAnsi="Verdana" w:cs="Arial"/>
                <w:szCs w:val="20"/>
              </w:rPr>
              <w:t>el</w:t>
            </w:r>
            <w:r w:rsidRPr="00513756">
              <w:rPr>
                <w:rFonts w:ascii="Verdana" w:hAnsi="Verdana" w:eastAsia="Arial,Calibri" w:cs="Arial"/>
                <w:szCs w:val="20"/>
              </w:rPr>
              <w:t xml:space="preserve"> </w:t>
            </w:r>
            <w:r w:rsidRPr="00513756">
              <w:rPr>
                <w:rFonts w:ascii="Verdana" w:hAnsi="Verdana" w:cs="Arial"/>
                <w:szCs w:val="20"/>
              </w:rPr>
              <w:t>método</w:t>
            </w:r>
            <w:r w:rsidRPr="00513756">
              <w:rPr>
                <w:rFonts w:ascii="Verdana" w:hAnsi="Verdana" w:eastAsia="Arial,Calibri" w:cs="Arial"/>
                <w:szCs w:val="20"/>
              </w:rPr>
              <w:t xml:space="preserve"> </w:t>
            </w:r>
            <w:r w:rsidRPr="00513756">
              <w:rPr>
                <w:rFonts w:ascii="Verdana" w:hAnsi="Verdana" w:cs="Arial"/>
                <w:szCs w:val="20"/>
              </w:rPr>
              <w:t>de</w:t>
            </w:r>
            <w:r w:rsidRPr="00513756">
              <w:rPr>
                <w:rFonts w:ascii="Verdana" w:hAnsi="Verdana" w:eastAsia="Arial,Calibri" w:cs="Arial"/>
                <w:szCs w:val="20"/>
              </w:rPr>
              <w:t xml:space="preserve"> </w:t>
            </w:r>
            <w:r w:rsidRPr="00513756">
              <w:rPr>
                <w:rFonts w:ascii="Verdana" w:hAnsi="Verdana" w:cs="Arial"/>
                <w:szCs w:val="20"/>
              </w:rPr>
              <w:t>ponderación,</w:t>
            </w:r>
            <w:r w:rsidRPr="00513756">
              <w:rPr>
                <w:rFonts w:ascii="Verdana" w:hAnsi="Verdana" w:eastAsia="Arial,Calibri" w:cs="Arial"/>
                <w:szCs w:val="20"/>
              </w:rPr>
              <w:t xml:space="preserve"> </w:t>
            </w:r>
            <w:r w:rsidRPr="00513756">
              <w:rPr>
                <w:rFonts w:ascii="Verdana" w:hAnsi="Verdana" w:cs="Arial"/>
                <w:szCs w:val="20"/>
              </w:rPr>
              <w:t>la</w:t>
            </w:r>
            <w:r w:rsidRPr="00513756">
              <w:rPr>
                <w:rFonts w:ascii="Verdana" w:hAnsi="Verdana" w:eastAsia="Arial,Calibri" w:cs="Arial"/>
                <w:szCs w:val="20"/>
              </w:rPr>
              <w:t xml:space="preserve"> </w:t>
            </w:r>
            <w:r w:rsidRPr="00513756">
              <w:rPr>
                <w:rFonts w:ascii="Verdana" w:hAnsi="Verdana" w:cs="Arial"/>
                <w:szCs w:val="20"/>
              </w:rPr>
              <w:t>entidad</w:t>
            </w:r>
            <w:r w:rsidRPr="00513756">
              <w:rPr>
                <w:rFonts w:ascii="Verdana" w:hAnsi="Verdana" w:eastAsia="Arial,Calibri" w:cs="Arial"/>
                <w:szCs w:val="20"/>
              </w:rPr>
              <w:t xml:space="preserve"> </w:t>
            </w:r>
            <w:r w:rsidRPr="00513756">
              <w:rPr>
                <w:rFonts w:ascii="Verdana" w:hAnsi="Verdana" w:cs="Arial"/>
                <w:szCs w:val="20"/>
              </w:rPr>
              <w:t>tomará</w:t>
            </w:r>
            <w:r w:rsidRPr="00513756">
              <w:rPr>
                <w:rFonts w:ascii="Verdana" w:hAnsi="Verdana" w:eastAsia="Arial,Calibri" w:cs="Arial"/>
                <w:szCs w:val="20"/>
              </w:rPr>
              <w:t xml:space="preserve"> </w:t>
            </w:r>
            <w:r w:rsidRPr="00513756">
              <w:rPr>
                <w:rFonts w:ascii="Verdana" w:hAnsi="Verdana" w:cs="Arial"/>
                <w:szCs w:val="20"/>
              </w:rPr>
              <w:t>los centavos</w:t>
            </w:r>
            <w:r w:rsidRPr="00513756">
              <w:rPr>
                <w:rFonts w:ascii="Verdana" w:hAnsi="Verdana" w:eastAsia="Arial,Calibri" w:cs="Arial"/>
                <w:szCs w:val="20"/>
              </w:rPr>
              <w:t xml:space="preserve"> </w:t>
            </w:r>
            <w:r w:rsidRPr="00513756">
              <w:rPr>
                <w:rFonts w:ascii="Verdana" w:hAnsi="Verdana" w:cs="Arial"/>
                <w:szCs w:val="20"/>
              </w:rPr>
              <w:t>de</w:t>
            </w:r>
            <w:r w:rsidRPr="00513756">
              <w:rPr>
                <w:rFonts w:ascii="Verdana" w:hAnsi="Verdana" w:eastAsia="Arial,Calibri" w:cs="Arial"/>
                <w:szCs w:val="20"/>
              </w:rPr>
              <w:t xml:space="preserve"> </w:t>
            </w:r>
            <w:r w:rsidRPr="00513756">
              <w:rPr>
                <w:rFonts w:ascii="Verdana" w:hAnsi="Verdana" w:cs="Arial"/>
                <w:szCs w:val="20"/>
              </w:rPr>
              <w:t>la</w:t>
            </w:r>
            <w:r w:rsidRPr="00513756">
              <w:rPr>
                <w:rFonts w:ascii="Verdana" w:hAnsi="Verdana" w:eastAsia="Arial,Calibri" w:cs="Arial"/>
                <w:szCs w:val="20"/>
              </w:rPr>
              <w:t xml:space="preserve"> </w:t>
            </w:r>
            <w:r w:rsidRPr="00513756">
              <w:rPr>
                <w:rFonts w:ascii="Verdana" w:hAnsi="Verdana" w:cs="Arial"/>
                <w:szCs w:val="20"/>
              </w:rPr>
              <w:t>Tasa</w:t>
            </w:r>
            <w:r w:rsidRPr="00513756">
              <w:rPr>
                <w:rFonts w:ascii="Verdana" w:hAnsi="Verdana" w:eastAsia="Arial,Calibri" w:cs="Arial"/>
                <w:szCs w:val="20"/>
              </w:rPr>
              <w:t xml:space="preserve"> </w:t>
            </w:r>
            <w:r w:rsidRPr="00513756">
              <w:rPr>
                <w:rFonts w:ascii="Verdana" w:hAnsi="Verdana" w:cs="Arial"/>
                <w:szCs w:val="20"/>
              </w:rPr>
              <w:t>de</w:t>
            </w:r>
            <w:r w:rsidRPr="00513756">
              <w:rPr>
                <w:rFonts w:ascii="Verdana" w:hAnsi="Verdana" w:eastAsia="Arial,Calibri" w:cs="Arial"/>
                <w:szCs w:val="20"/>
              </w:rPr>
              <w:t xml:space="preserve"> </w:t>
            </w:r>
            <w:r w:rsidRPr="00513756">
              <w:rPr>
                <w:rFonts w:ascii="Verdana" w:hAnsi="Verdana" w:cs="Arial"/>
                <w:szCs w:val="20"/>
              </w:rPr>
              <w:t>Cambio</w:t>
            </w:r>
            <w:r w:rsidRPr="00513756">
              <w:rPr>
                <w:rFonts w:ascii="Verdana" w:hAnsi="Verdana" w:eastAsia="Arial,Calibri" w:cs="Arial"/>
                <w:szCs w:val="20"/>
              </w:rPr>
              <w:t xml:space="preserve"> </w:t>
            </w:r>
            <w:r w:rsidRPr="00513756">
              <w:rPr>
                <w:rFonts w:ascii="Verdana" w:hAnsi="Verdana" w:cs="Arial"/>
                <w:szCs w:val="20"/>
              </w:rPr>
              <w:t>Representativa</w:t>
            </w:r>
            <w:r w:rsidRPr="00513756">
              <w:rPr>
                <w:rFonts w:ascii="Verdana" w:hAnsi="Verdana" w:eastAsia="Arial,Calibri" w:cs="Arial"/>
                <w:szCs w:val="20"/>
              </w:rPr>
              <w:t xml:space="preserve"> </w:t>
            </w:r>
            <w:r w:rsidRPr="00513756">
              <w:rPr>
                <w:rFonts w:ascii="Verdana" w:hAnsi="Verdana" w:cs="Arial"/>
                <w:szCs w:val="20"/>
              </w:rPr>
              <w:t>del</w:t>
            </w:r>
            <w:r w:rsidRPr="00513756">
              <w:rPr>
                <w:rFonts w:ascii="Verdana" w:hAnsi="Verdana" w:eastAsia="Arial,Calibri" w:cs="Arial"/>
                <w:szCs w:val="20"/>
              </w:rPr>
              <w:t xml:space="preserve"> </w:t>
            </w:r>
            <w:r w:rsidRPr="00513756">
              <w:rPr>
                <w:rFonts w:ascii="Verdana" w:hAnsi="Verdana" w:cs="Arial"/>
                <w:szCs w:val="20"/>
              </w:rPr>
              <w:t>Mercado</w:t>
            </w:r>
            <w:r w:rsidRPr="00513756">
              <w:rPr>
                <w:rFonts w:ascii="Verdana" w:hAnsi="Verdana" w:eastAsia="Arial,Calibri" w:cs="Arial"/>
                <w:szCs w:val="20"/>
              </w:rPr>
              <w:t xml:space="preserve"> (</w:t>
            </w:r>
            <w:r w:rsidRPr="00513756">
              <w:rPr>
                <w:rFonts w:ascii="Verdana" w:hAnsi="Verdana" w:cs="Arial"/>
                <w:szCs w:val="20"/>
              </w:rPr>
              <w:t>TRM), certificada</w:t>
            </w:r>
            <w:r w:rsidRPr="00513756">
              <w:rPr>
                <w:rFonts w:ascii="Verdana" w:hAnsi="Verdana" w:eastAsia="Arial,Calibri" w:cs="Arial"/>
                <w:szCs w:val="20"/>
              </w:rPr>
              <w:t xml:space="preserve"> </w:t>
            </w:r>
            <w:r w:rsidRPr="00513756">
              <w:rPr>
                <w:rFonts w:ascii="Verdana" w:hAnsi="Verdana" w:cs="Arial"/>
                <w:szCs w:val="20"/>
              </w:rPr>
              <w:t>por</w:t>
            </w:r>
            <w:r w:rsidRPr="00513756">
              <w:rPr>
                <w:rFonts w:ascii="Verdana" w:hAnsi="Verdana" w:eastAsia="Arial,Calibri" w:cs="Arial"/>
                <w:szCs w:val="20"/>
              </w:rPr>
              <w:t xml:space="preserve"> </w:t>
            </w:r>
            <w:r w:rsidRPr="00513756">
              <w:rPr>
                <w:rFonts w:ascii="Verdana" w:hAnsi="Verdana" w:cs="Arial"/>
                <w:szCs w:val="20"/>
              </w:rPr>
              <w:t>la Superintendencia Financiera de Colombia (en</w:t>
            </w:r>
            <w:r w:rsidRPr="00513756">
              <w:rPr>
                <w:rFonts w:ascii="Verdana" w:hAnsi="Verdana" w:eastAsia="Arial,Calibri" w:cs="Arial"/>
                <w:szCs w:val="20"/>
              </w:rPr>
              <w:t xml:space="preserve"> </w:t>
            </w:r>
            <w:r w:rsidRPr="00513756">
              <w:rPr>
                <w:rFonts w:ascii="Verdana" w:hAnsi="Verdana" w:cs="Arial"/>
                <w:szCs w:val="20"/>
              </w:rPr>
              <w:t>su</w:t>
            </w:r>
            <w:r w:rsidRPr="00513756">
              <w:rPr>
                <w:rFonts w:ascii="Verdana" w:hAnsi="Verdana" w:eastAsia="Arial,Calibri" w:cs="Arial"/>
                <w:szCs w:val="20"/>
              </w:rPr>
              <w:t xml:space="preserve"> </w:t>
            </w:r>
            <w:r w:rsidRPr="00513756">
              <w:rPr>
                <w:rFonts w:ascii="Verdana" w:hAnsi="Verdana" w:cs="Arial"/>
                <w:szCs w:val="20"/>
              </w:rPr>
              <w:t>sitio web: https://www.superfinanciera.gov.co/publicacion/60819).</w:t>
            </w:r>
          </w:p>
          <w:p w:rsidRPr="00513756" w:rsidR="0058069F" w:rsidP="00986237" w:rsidRDefault="0058069F" w14:paraId="74935E97" w14:textId="77777777">
            <w:pPr>
              <w:tabs>
                <w:tab w:val="left" w:pos="1860"/>
              </w:tabs>
              <w:spacing w:after="200" w:line="276" w:lineRule="auto"/>
              <w:ind w:left="708"/>
              <w:jc w:val="both"/>
              <w:rPr>
                <w:rFonts w:ascii="Verdana" w:hAnsi="Verdana" w:cs="Arial"/>
                <w:szCs w:val="20"/>
              </w:rPr>
            </w:pPr>
            <w:r w:rsidRPr="00513756">
              <w:rPr>
                <w:rFonts w:ascii="Verdana" w:hAnsi="Verdana" w:cs="Arial"/>
                <w:szCs w:val="20"/>
              </w:rPr>
              <w:t xml:space="preserve">La TRM que la entidad utilizará para determinar el método de ponderación será la que </w:t>
            </w:r>
            <w:r w:rsidRPr="00C319D6">
              <w:rPr>
                <w:rFonts w:ascii="Verdana" w:hAnsi="Verdana" w:cs="Arial"/>
                <w:b/>
                <w:bCs/>
                <w:i/>
                <w:szCs w:val="20"/>
              </w:rPr>
              <w:t xml:space="preserve">rija el segundo día hábil </w:t>
            </w:r>
            <w:r w:rsidRPr="00C319D6">
              <w:rPr>
                <w:rFonts w:ascii="Verdana" w:hAnsi="Verdana" w:cs="Arial"/>
                <w:b/>
                <w:bCs/>
                <w:i/>
                <w:color w:val="000000" w:themeColor="text1"/>
                <w:szCs w:val="20"/>
              </w:rPr>
              <w:t>después de finalizado el periodo de traslado del informe de evaluación</w:t>
            </w:r>
            <w:r w:rsidRPr="00513756">
              <w:rPr>
                <w:rFonts w:ascii="Verdana" w:hAnsi="Verdana" w:cs="Arial"/>
                <w:szCs w:val="20"/>
              </w:rPr>
              <w:t xml:space="preserve">. Esto es, la que la Superintendencia publique en horas de la tarde del día hábil siguiente a la fecha </w:t>
            </w:r>
            <w:r w:rsidRPr="00513756">
              <w:rPr>
                <w:rFonts w:ascii="Verdana" w:hAnsi="Verdana" w:cs="Arial"/>
                <w:color w:val="000000" w:themeColor="text1"/>
                <w:szCs w:val="20"/>
              </w:rPr>
              <w:t xml:space="preserve">efectiva de </w:t>
            </w:r>
            <w:r w:rsidRPr="00513756">
              <w:rPr>
                <w:rFonts w:ascii="Verdana" w:hAnsi="Verdana" w:cs="Arial"/>
                <w:i/>
                <w:color w:val="000000" w:themeColor="text1"/>
                <w:szCs w:val="20"/>
              </w:rPr>
              <w:t>finalizado el periodo de traslado del informe de evaluación</w:t>
            </w:r>
            <w:r w:rsidRPr="00513756">
              <w:rPr>
                <w:rFonts w:ascii="Verdana" w:hAnsi="Verdana" w:cs="Arial"/>
                <w:szCs w:val="20"/>
              </w:rPr>
              <w:t xml:space="preserve">. </w:t>
            </w:r>
            <w:r w:rsidRPr="00513756">
              <w:rPr>
                <w:rFonts w:ascii="Verdana" w:hAnsi="Verdana" w:cs="Arial"/>
                <w:szCs w:val="20"/>
                <w:highlight w:val="lightGray"/>
              </w:rPr>
              <w:t xml:space="preserve">[Por ejemplo, si el </w:t>
            </w:r>
            <w:r w:rsidRPr="00513756">
              <w:rPr>
                <w:rFonts w:ascii="Verdana" w:hAnsi="Verdana" w:cs="Arial"/>
                <w:color w:val="000000" w:themeColor="text1"/>
                <w:szCs w:val="20"/>
                <w:highlight w:val="lightGray"/>
              </w:rPr>
              <w:t xml:space="preserve">término de traslado del informe de evaluación finaliza </w:t>
            </w:r>
            <w:r w:rsidRPr="00513756">
              <w:rPr>
                <w:rFonts w:ascii="Verdana" w:hAnsi="Verdana" w:cs="Arial"/>
                <w:szCs w:val="20"/>
                <w:highlight w:val="lightGray"/>
              </w:rPr>
              <w:t>el 10 de febrero, la TRM que se usará para determinar el método de evaluación será la del 12 de febrero, que se publica en la tarde del 11 de febrero]</w:t>
            </w:r>
            <w:r w:rsidRPr="00513756">
              <w:rPr>
                <w:rFonts w:ascii="Verdana" w:hAnsi="Verdana" w:cs="Arial"/>
                <w:szCs w:val="20"/>
              </w:rPr>
              <w:t xml:space="preserve"> </w:t>
            </w:r>
          </w:p>
          <w:p w:rsidR="0058069F" w:rsidP="00986237" w:rsidRDefault="0058069F" w14:paraId="54A0B2E7" w14:textId="77777777">
            <w:pPr>
              <w:tabs>
                <w:tab w:val="left" w:pos="1860"/>
              </w:tabs>
              <w:spacing w:after="200" w:line="276" w:lineRule="auto"/>
              <w:ind w:left="708"/>
              <w:jc w:val="both"/>
              <w:rPr>
                <w:rFonts w:ascii="Verdana" w:hAnsi="Verdana" w:cs="Arial"/>
                <w:color w:val="000000" w:themeColor="text1"/>
                <w:szCs w:val="20"/>
              </w:rPr>
            </w:pPr>
            <w:r w:rsidRPr="00513756">
              <w:rPr>
                <w:rFonts w:ascii="Verdana" w:hAnsi="Verdana" w:cs="Arial"/>
                <w:color w:val="000000" w:themeColor="text1"/>
                <w:szCs w:val="20"/>
                <w:highlight w:val="lightGray"/>
              </w:rPr>
              <w:lastRenderedPageBreak/>
              <w:t>[Al momento de definir o modificar el cronograma del proceso la entidad deberá verificar que el segundo día hábil siguiente a la finalización del periodo de traslado del informe de evaluación, no corresponda a un día festivo en Estados Unidos, con el objetivo de no afectar el proceso de definición del método de ponderación de las propuestas.]</w:t>
            </w:r>
            <w:r>
              <w:rPr>
                <w:rFonts w:ascii="Verdana" w:hAnsi="Verdana" w:cs="Arial"/>
                <w:color w:val="000000" w:themeColor="text1"/>
                <w:szCs w:val="20"/>
                <w:highlight w:val="lightGray"/>
              </w:rPr>
              <w:t>”</w:t>
            </w:r>
          </w:p>
          <w:p w:rsidR="0058069F" w:rsidP="00986237" w:rsidRDefault="0058069F" w14:paraId="33FC1F10" w14:textId="77777777">
            <w:pPr>
              <w:tabs>
                <w:tab w:val="left" w:pos="1860"/>
              </w:tabs>
              <w:spacing w:after="200" w:line="276" w:lineRule="auto"/>
              <w:ind w:left="708"/>
              <w:jc w:val="both"/>
              <w:rPr>
                <w:rFonts w:ascii="Verdana" w:hAnsi="Verdana" w:cs="Arial"/>
                <w:szCs w:val="20"/>
              </w:rPr>
            </w:pPr>
          </w:p>
          <w:p w:rsidRPr="00634CBC" w:rsidR="0058069F" w:rsidP="0058069F" w:rsidRDefault="0058069F" w14:paraId="6A4065CD" w14:textId="77777777">
            <w:pPr>
              <w:pStyle w:val="Prrafodelista"/>
              <w:numPr>
                <w:ilvl w:val="0"/>
                <w:numId w:val="19"/>
              </w:numPr>
              <w:jc w:val="both"/>
              <w:rPr>
                <w:rFonts w:ascii="Verdana" w:hAnsi="Verdana" w:cs="Arial"/>
                <w:szCs w:val="20"/>
                <w:lang w:val="es-CO"/>
              </w:rPr>
            </w:pPr>
            <w:r w:rsidRPr="00634CBC">
              <w:rPr>
                <w:rFonts w:ascii="Verdana" w:hAnsi="Verdana" w:cs="Arial"/>
                <w:szCs w:val="20"/>
                <w:lang w:val="es-CO"/>
              </w:rPr>
              <w:t xml:space="preserve">Las entidades estatales tienen la potestad de solicitar la justificación de precios artificialmente bajos cuando considere que la oferta no parezca suficiente para garantizar una correcta ejecución del contrato, esto, conforme a la información recogida durante la etapa de planeación y particularmente durante el estudio del sector. </w:t>
            </w:r>
          </w:p>
          <w:p w:rsidRPr="00634CBC" w:rsidR="0058069F" w:rsidP="00986237" w:rsidRDefault="0058069F" w14:paraId="438E6421" w14:textId="77777777">
            <w:pPr>
              <w:jc w:val="both"/>
              <w:rPr>
                <w:rFonts w:ascii="Verdana" w:hAnsi="Verdana" w:cs="Arial"/>
                <w:szCs w:val="20"/>
              </w:rPr>
            </w:pPr>
            <w:r w:rsidRPr="00634CBC">
              <w:rPr>
                <w:rFonts w:ascii="Verdana" w:hAnsi="Verdana" w:cs="Arial"/>
                <w:szCs w:val="20"/>
              </w:rPr>
              <w:t xml:space="preserve">La solicitud que se realice debe surtirse una vez la entidad realice la apertura del sobre económico y con anterioridad a la definición del orden de elegibilidad. Por lo anterior, para la revisión del aspecto económico y definición del orden de elegibilidad, no se considerarán aquellas propuestas que, con posterioridad al análisis realizado por la entidad se configuran como artificialmente bajas. </w:t>
            </w:r>
          </w:p>
          <w:p w:rsidRPr="00634CBC" w:rsidR="0058069F" w:rsidP="00986237" w:rsidRDefault="0058069F" w14:paraId="48A42D17" w14:textId="77777777">
            <w:pPr>
              <w:jc w:val="both"/>
              <w:rPr>
                <w:rFonts w:ascii="Verdana" w:hAnsi="Verdana" w:cs="Arial"/>
                <w:szCs w:val="20"/>
              </w:rPr>
            </w:pPr>
          </w:p>
          <w:p w:rsidRPr="00634CBC" w:rsidR="0058069F" w:rsidP="00986237" w:rsidRDefault="0058069F" w14:paraId="5D62A2CC" w14:textId="77777777">
            <w:pPr>
              <w:jc w:val="both"/>
              <w:rPr>
                <w:rFonts w:ascii="Verdana" w:hAnsi="Verdana" w:cs="Arial"/>
                <w:szCs w:val="20"/>
              </w:rPr>
            </w:pPr>
            <w:r w:rsidRPr="00634CBC">
              <w:rPr>
                <w:rFonts w:ascii="Verdana" w:hAnsi="Verdana" w:cs="Arial"/>
                <w:szCs w:val="20"/>
              </w:rPr>
              <w:t>Es importante resaltar conforme al objeto y  caso situacional planteado en su escrito, que, lo que requiere la entidad estatal es una justificación de los precios planteados en la oferta y por consiguiente lo que procede es una aclaración y/o explicación</w:t>
            </w:r>
            <w:r>
              <w:rPr>
                <w:rFonts w:ascii="Verdana" w:hAnsi="Verdana" w:cs="Arial"/>
                <w:szCs w:val="20"/>
              </w:rPr>
              <w:t xml:space="preserve"> el cual no mejorará la oferta y </w:t>
            </w:r>
            <w:r w:rsidRPr="00634CBC">
              <w:rPr>
                <w:rFonts w:ascii="Verdana" w:hAnsi="Verdana" w:cs="Arial"/>
                <w:szCs w:val="20"/>
              </w:rPr>
              <w:t xml:space="preserve"> los cuales se deben presentar en el momento solicitado por la entidad y /o  durante la etapa de evaluación, y a </w:t>
            </w:r>
            <w:proofErr w:type="spellStart"/>
            <w:r w:rsidRPr="00634CBC">
              <w:rPr>
                <w:rFonts w:ascii="Verdana" w:hAnsi="Verdana" w:cs="Arial"/>
                <w:szCs w:val="20"/>
              </w:rPr>
              <w:t>mas</w:t>
            </w:r>
            <w:proofErr w:type="spellEnd"/>
            <w:r w:rsidRPr="00634CBC">
              <w:rPr>
                <w:rFonts w:ascii="Verdana" w:hAnsi="Verdana" w:cs="Arial"/>
                <w:szCs w:val="20"/>
              </w:rPr>
              <w:t xml:space="preserve"> tardar hasta el t</w:t>
            </w:r>
            <w:r>
              <w:rPr>
                <w:rFonts w:ascii="Verdana" w:hAnsi="Verdana" w:cs="Arial"/>
                <w:szCs w:val="20"/>
              </w:rPr>
              <w:t>é</w:t>
            </w:r>
            <w:r w:rsidRPr="00634CBC">
              <w:rPr>
                <w:rFonts w:ascii="Verdana" w:hAnsi="Verdana" w:cs="Arial"/>
                <w:szCs w:val="20"/>
              </w:rPr>
              <w:t xml:space="preserve">rmino de traslado del informe de evaluación, es decir, dentro de los tres (3) días hábiles siguientes  contados a partir del día hábil siguiente a la expedición del informe de evaluación. </w:t>
            </w:r>
          </w:p>
          <w:p w:rsidRPr="00634CBC" w:rsidR="0058069F" w:rsidP="00986237" w:rsidRDefault="0058069F" w14:paraId="2C0C44FA" w14:textId="77777777">
            <w:pPr>
              <w:jc w:val="both"/>
              <w:rPr>
                <w:rFonts w:ascii="Verdana" w:hAnsi="Verdana" w:cs="Arial"/>
                <w:szCs w:val="20"/>
              </w:rPr>
            </w:pPr>
          </w:p>
          <w:p w:rsidRPr="00634CBC" w:rsidR="0058069F" w:rsidP="00986237" w:rsidRDefault="0058069F" w14:paraId="6DBEEEA1" w14:textId="77777777">
            <w:pPr>
              <w:jc w:val="both"/>
              <w:rPr>
                <w:rFonts w:ascii="Verdana" w:hAnsi="Verdana" w:cs="Arial"/>
                <w:szCs w:val="20"/>
              </w:rPr>
            </w:pPr>
            <w:r w:rsidRPr="00634CBC">
              <w:rPr>
                <w:rFonts w:ascii="Verdana" w:hAnsi="Verdana" w:cs="Arial"/>
                <w:szCs w:val="20"/>
              </w:rPr>
              <w:t>Así las cosas y para complementar, se reitera</w:t>
            </w:r>
            <w:r>
              <w:rPr>
                <w:rFonts w:ascii="Verdana" w:hAnsi="Verdana" w:cs="Arial"/>
                <w:szCs w:val="20"/>
              </w:rPr>
              <w:t xml:space="preserve"> que </w:t>
            </w:r>
            <w:r w:rsidRPr="00634CBC">
              <w:rPr>
                <w:rFonts w:ascii="Verdana" w:hAnsi="Verdana" w:cs="Arial"/>
                <w:szCs w:val="20"/>
              </w:rPr>
              <w:t>el</w:t>
            </w:r>
            <w:r>
              <w:rPr>
                <w:rFonts w:ascii="Verdana" w:hAnsi="Verdana" w:cs="Arial"/>
                <w:szCs w:val="20"/>
              </w:rPr>
              <w:t xml:space="preserve"> plazo para presentar las explicaciones sobre una oferta con posibles precios artificialmente bajos es hasta el término del traslado del informe de evaluación y </w:t>
            </w:r>
            <w:r w:rsidRPr="00634CBC">
              <w:rPr>
                <w:rFonts w:ascii="Verdana" w:hAnsi="Verdana" w:cs="Arial"/>
                <w:szCs w:val="20"/>
              </w:rPr>
              <w:t>la TRM que</w:t>
            </w:r>
            <w:r w:rsidRPr="00513756">
              <w:rPr>
                <w:rFonts w:ascii="Verdana" w:hAnsi="Verdana" w:cs="Arial"/>
                <w:szCs w:val="20"/>
              </w:rPr>
              <w:t xml:space="preserve"> la entidad utilizará para determinar el método de ponderación será la que </w:t>
            </w:r>
            <w:r w:rsidRPr="00634CBC">
              <w:rPr>
                <w:rFonts w:ascii="Verdana" w:hAnsi="Verdana" w:cs="Arial"/>
                <w:szCs w:val="20"/>
              </w:rPr>
              <w:t xml:space="preserve">rija el segundo día hábil después de finalizado el periodo de traslado del informe de evaluación. Para cuando finalice el traslado del informe de evaluación la entidad estatal ya debe haber </w:t>
            </w:r>
            <w:proofErr w:type="spellStart"/>
            <w:r w:rsidRPr="00634CBC">
              <w:rPr>
                <w:rFonts w:ascii="Verdana" w:hAnsi="Verdana" w:cs="Arial"/>
                <w:szCs w:val="20"/>
              </w:rPr>
              <w:t>recepcionado</w:t>
            </w:r>
            <w:proofErr w:type="spellEnd"/>
            <w:r w:rsidRPr="00634CBC">
              <w:rPr>
                <w:rFonts w:ascii="Verdana" w:hAnsi="Verdana" w:cs="Arial"/>
                <w:szCs w:val="20"/>
              </w:rPr>
              <w:t xml:space="preserve"> los argumentos del respectivo oferente y conforme al análisis del mismo ya debe tener respuesta si la oferta es o no artificialmente baja. </w:t>
            </w:r>
          </w:p>
          <w:p w:rsidR="0058069F" w:rsidP="00986237" w:rsidRDefault="0058069F" w14:paraId="50D57F16" w14:textId="77777777">
            <w:pPr>
              <w:rPr>
                <w:rFonts w:ascii="Verdana" w:hAnsi="Verdana" w:cs="Arial"/>
                <w:iCs/>
                <w:color w:val="000000" w:themeColor="text1"/>
                <w:szCs w:val="20"/>
              </w:rPr>
            </w:pPr>
          </w:p>
          <w:p w:rsidRPr="003A6E04" w:rsidR="0058069F" w:rsidP="00986237" w:rsidRDefault="0058069F" w14:paraId="29795EB6" w14:textId="77777777">
            <w:pPr>
              <w:snapToGrid w:val="0"/>
              <w:spacing w:line="276" w:lineRule="auto"/>
              <w:jc w:val="both"/>
              <w:rPr>
                <w:rFonts w:ascii="Verdana" w:hAnsi="Verdana" w:eastAsia="Calibri" w:cs="Arial"/>
                <w:lang w:val="es-ES_tradnl"/>
              </w:rPr>
            </w:pPr>
          </w:p>
        </w:tc>
      </w:tr>
    </w:tbl>
    <w:p w:rsidRPr="003A6E04" w:rsidR="0058069F" w:rsidP="0058069F" w:rsidRDefault="0058069F" w14:paraId="390FC530" w14:textId="77777777">
      <w:pPr>
        <w:tabs>
          <w:tab w:val="left" w:pos="142"/>
          <w:tab w:val="left" w:pos="284"/>
        </w:tabs>
        <w:snapToGrid w:val="0"/>
        <w:spacing w:after="0" w:line="276" w:lineRule="auto"/>
        <w:jc w:val="both"/>
        <w:rPr>
          <w:rFonts w:ascii="Verdana" w:hAnsi="Verdana" w:eastAsia="Century Gothic" w:cs="Century Gothic"/>
          <w:b/>
          <w:bCs/>
          <w:lang w:val="es-ES_tradnl"/>
        </w:rPr>
      </w:pPr>
    </w:p>
    <w:p w:rsidRPr="003A6E04" w:rsidR="0058069F" w:rsidP="0058069F" w:rsidRDefault="0058069F" w14:paraId="2D0C8AF8"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3A6E04">
        <w:rPr>
          <w:rFonts w:ascii="Verdana" w:hAnsi="Verdana" w:eastAsia="Century Gothic" w:cs="Century Gothic"/>
          <w:b/>
          <w:bCs/>
          <w:lang w:val="es-ES_tradnl"/>
        </w:rPr>
        <w:t>Razones de la respuesta:</w:t>
      </w:r>
    </w:p>
    <w:p w:rsidRPr="003A6E04" w:rsidR="0058069F" w:rsidP="0058069F" w:rsidRDefault="0058069F" w14:paraId="553C1F57" w14:textId="77777777">
      <w:pPr>
        <w:snapToGrid w:val="0"/>
        <w:spacing w:after="0" w:line="276" w:lineRule="auto"/>
        <w:jc w:val="both"/>
        <w:rPr>
          <w:rFonts w:ascii="Verdana" w:hAnsi="Verdana" w:eastAsia="Calibri" w:cs="Arial"/>
          <w:lang w:val="es-ES_tradnl"/>
        </w:rPr>
      </w:pPr>
    </w:p>
    <w:p w:rsidRPr="003A6E04" w:rsidR="0058069F" w:rsidP="0058069F" w:rsidRDefault="0058069F" w14:paraId="7E8B1EE0" w14:textId="77777777">
      <w:pPr>
        <w:snapToGrid w:val="0"/>
        <w:spacing w:after="0" w:line="276" w:lineRule="auto"/>
        <w:jc w:val="both"/>
        <w:rPr>
          <w:rFonts w:ascii="Verdana" w:hAnsi="Verdana" w:eastAsia="Calibri" w:cs="Arial"/>
          <w:lang w:val="es-ES_tradnl"/>
        </w:rPr>
      </w:pPr>
      <w:r w:rsidRPr="003A6E04">
        <w:rPr>
          <w:rFonts w:ascii="Verdana" w:hAnsi="Verdana" w:eastAsia="Calibri" w:cs="Arial"/>
          <w:lang w:val="es-ES_tradnl"/>
        </w:rPr>
        <w:t xml:space="preserve">Lo anterior se sustenta en las siguientes consideraciones: </w:t>
      </w:r>
    </w:p>
    <w:p w:rsidRPr="003A6E04" w:rsidR="0058069F" w:rsidP="0058069F" w:rsidRDefault="0058069F" w14:paraId="3A2C6226" w14:textId="77777777">
      <w:pPr>
        <w:snapToGrid w:val="0"/>
        <w:spacing w:after="0" w:line="276" w:lineRule="auto"/>
        <w:jc w:val="both"/>
        <w:rPr>
          <w:rFonts w:ascii="Verdana" w:hAnsi="Verdana" w:eastAsia="Calibri" w:cs="Arial"/>
          <w:lang w:val="es-ES_tradnl"/>
        </w:rPr>
      </w:pPr>
    </w:p>
    <w:p w:rsidRPr="003A6E04" w:rsidR="0058069F" w:rsidP="0058069F" w:rsidRDefault="0058069F" w14:paraId="53BE1F80" w14:textId="77777777">
      <w:pPr>
        <w:numPr>
          <w:ilvl w:val="0"/>
          <w:numId w:val="17"/>
        </w:numPr>
        <w:snapToGrid w:val="0"/>
        <w:spacing w:after="0" w:line="276" w:lineRule="auto"/>
        <w:jc w:val="both"/>
        <w:rPr>
          <w:rFonts w:ascii="Verdana" w:hAnsi="Verdana" w:eastAsia="Calibri" w:cs="Arial"/>
          <w:lang w:val="es-ES_tradnl"/>
        </w:rPr>
      </w:pPr>
      <w:r w:rsidRPr="003A6E04">
        <w:rPr>
          <w:rFonts w:ascii="Verdana" w:hAnsi="Verdana" w:eastAsia="Calibri"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rsidRPr="003A6E04" w:rsidR="0058069F" w:rsidP="0058069F" w:rsidRDefault="0058069F" w14:paraId="3FCB4738" w14:textId="77777777">
      <w:pPr>
        <w:snapToGrid w:val="0"/>
        <w:spacing w:after="0" w:line="276" w:lineRule="auto"/>
        <w:ind w:left="720"/>
        <w:jc w:val="both"/>
        <w:rPr>
          <w:rFonts w:ascii="Verdana" w:hAnsi="Verdana" w:eastAsia="Calibri" w:cs="Arial"/>
          <w:lang w:val="es-ES_tradnl"/>
        </w:rPr>
      </w:pPr>
    </w:p>
    <w:p w:rsidRPr="003A6E04" w:rsidR="0058069F" w:rsidP="0058069F" w:rsidRDefault="0058069F" w14:paraId="74780163" w14:textId="77777777">
      <w:pPr>
        <w:snapToGrid w:val="0"/>
        <w:spacing w:after="0" w:line="276" w:lineRule="auto"/>
        <w:ind w:left="720"/>
        <w:jc w:val="both"/>
        <w:rPr>
          <w:rFonts w:ascii="Verdana" w:hAnsi="Verdana" w:eastAsia="Calibri" w:cs="Times New Roman"/>
          <w:lang w:val="es-ES_tradnl"/>
        </w:rPr>
      </w:pPr>
    </w:p>
    <w:p w:rsidRPr="003A6E04" w:rsidR="0058069F" w:rsidP="0058069F" w:rsidRDefault="0058069F" w14:paraId="3ADA2F32" w14:textId="77777777">
      <w:pPr>
        <w:numPr>
          <w:ilvl w:val="0"/>
          <w:numId w:val="17"/>
        </w:numPr>
        <w:snapToGrid w:val="0"/>
        <w:spacing w:after="0" w:line="276" w:lineRule="auto"/>
        <w:jc w:val="both"/>
        <w:rPr>
          <w:rFonts w:ascii="Verdana" w:hAnsi="Verdana" w:eastAsia="Calibri" w:cs="Arial"/>
          <w:lang w:val="es-ES_tradnl"/>
        </w:rPr>
      </w:pPr>
      <w:r w:rsidRPr="003A6E04">
        <w:rPr>
          <w:rFonts w:ascii="Verdana" w:hAnsi="Verdana" w:eastAsia="Calibri" w:cs="Times New Roman"/>
          <w:lang w:val="es-ES_tradnl"/>
        </w:rPr>
        <w:t>Para el sector de infraestructura de transporte, la Agencia Nacional de Contratación Pública – Colombia Compra Eficiente ha expedido Documentos Tipo</w:t>
      </w:r>
      <w:r w:rsidRPr="003A6E04">
        <w:rPr>
          <w:rFonts w:ascii="Verdana" w:hAnsi="Verdana" w:eastAsia="Calibri" w:cs="Times New Roman"/>
          <w:vertAlign w:val="superscript"/>
          <w:lang w:val="es-ES_tradnl"/>
        </w:rPr>
        <w:footnoteReference w:id="1"/>
      </w:r>
      <w:r w:rsidRPr="003A6E04">
        <w:rPr>
          <w:rFonts w:ascii="Verdana" w:hAnsi="Verdana" w:eastAsia="Calibri" w:cs="Times New Roman"/>
          <w:lang w:val="es-ES_tradnl"/>
        </w:rPr>
        <w:t xml:space="preserve"> para contratar obras públicas de infraestructura de transporte bajo las modalidades de selección de licitación pública, selección abreviada de menor cuantía y mínima cuantía. Así mismo, esta Agencia ha expedido documentos tipo de concurso de méritos para contratar la interventoría y la consultoría de estudios de ingeniería de infraestructura de transporte. </w:t>
      </w:r>
    </w:p>
    <w:p w:rsidRPr="003A6E04" w:rsidR="0058069F" w:rsidP="0058069F" w:rsidRDefault="0058069F" w14:paraId="5F51714C" w14:textId="77777777">
      <w:pPr>
        <w:snapToGrid w:val="0"/>
        <w:spacing w:after="0" w:line="276" w:lineRule="auto"/>
        <w:ind w:left="720"/>
        <w:jc w:val="both"/>
        <w:rPr>
          <w:rFonts w:ascii="Verdana" w:hAnsi="Verdana" w:eastAsia="Calibri" w:cs="Arial"/>
          <w:lang w:val="es-ES_tradnl"/>
        </w:rPr>
      </w:pPr>
    </w:p>
    <w:p w:rsidR="0058069F" w:rsidP="28A3C0C6" w:rsidRDefault="0058069F" w14:paraId="52744C2C" w14:textId="77777777">
      <w:pPr>
        <w:numPr>
          <w:ilvl w:val="0"/>
          <w:numId w:val="17"/>
        </w:numPr>
        <w:snapToGrid w:val="0"/>
        <w:spacing w:after="0" w:line="276" w:lineRule="auto"/>
        <w:jc w:val="both"/>
        <w:rPr>
          <w:rFonts w:ascii="Verdana" w:hAnsi="Verdana" w:eastAsia="Calibri" w:cs="Arial"/>
          <w:lang w:val="es-ES"/>
        </w:rPr>
      </w:pPr>
      <w:r w:rsidRPr="28A3C0C6" w:rsidR="0058069F">
        <w:rPr>
          <w:rFonts w:ascii="Verdana" w:hAnsi="Verdana" w:eastAsia="Calibri" w:cs="Arial"/>
          <w:lang w:val="es-ES"/>
        </w:rPr>
        <w:t>E</w:t>
      </w:r>
      <w:r w:rsidRPr="28A3C0C6" w:rsidR="0058069F">
        <w:rPr>
          <w:rFonts w:ascii="Verdana" w:hAnsi="Verdana" w:eastAsia="Calibri" w:cs="Arial"/>
          <w:lang w:val="es-ES"/>
        </w:rPr>
        <w:t>sta Agencia expidió (i) la Resolución No. 465 de 2024 “Por la cual se adopta la versión -4- de los Documentos Tipo para los procesos de selección de licitación de obra pública del sector de infraestructura de transporte y se deroga la Resolución 240 de 2020”; (</w:t>
      </w:r>
      <w:r w:rsidRPr="28A3C0C6" w:rsidR="0058069F">
        <w:rPr>
          <w:rFonts w:ascii="Verdana" w:hAnsi="Verdana" w:eastAsia="Calibri" w:cs="Arial"/>
          <w:lang w:val="es-ES"/>
        </w:rPr>
        <w:t>ii</w:t>
      </w:r>
      <w:r w:rsidRPr="28A3C0C6" w:rsidR="0058069F">
        <w:rPr>
          <w:rFonts w:ascii="Verdana" w:hAnsi="Verdana" w:eastAsia="Calibri" w:cs="Arial"/>
          <w:lang w:val="es-ES"/>
        </w:rPr>
        <w:t>) la Resolución No. 463 de 2024 “Por la cual se adopta la versión -3- de los Documentos Tipo para los procesos de selección abreviada de menor cuantía de obra pública de infraestructura de transporte y se deroga la Resolución 241 de 2020”, y (</w:t>
      </w:r>
      <w:r w:rsidRPr="28A3C0C6" w:rsidR="0058069F">
        <w:rPr>
          <w:rFonts w:ascii="Verdana" w:hAnsi="Verdana" w:eastAsia="Calibri" w:cs="Arial"/>
          <w:lang w:val="es-ES"/>
        </w:rPr>
        <w:t>iii</w:t>
      </w:r>
      <w:r w:rsidRPr="28A3C0C6" w:rsidR="0058069F">
        <w:rPr>
          <w:rFonts w:ascii="Verdana" w:hAnsi="Verdana" w:eastAsia="Calibri" w:cs="Arial"/>
          <w:lang w:val="es-ES"/>
        </w:rPr>
        <w:t xml:space="preserve">) la Resolución No. 464 de 2024 “Por la cual se actualizan los Documentos Tipo para los procesos de obra pública de infraestructura de transporte adelantados bajo la modalidad de mínima cuantía”. Estos documentos aplican a los procesos de selección cuyo aviso de </w:t>
      </w:r>
      <w:r w:rsidRPr="28A3C0C6" w:rsidR="0058069F">
        <w:rPr>
          <w:rFonts w:ascii="Verdana" w:hAnsi="Verdana" w:eastAsia="Calibri" w:cs="Arial"/>
          <w:lang w:val="es-ES"/>
        </w:rPr>
        <w:t>convocatoria o invitación –según corresponda– se publique a partir del 3 de febrero de 2025.</w:t>
      </w:r>
    </w:p>
    <w:p w:rsidR="0058069F" w:rsidP="0058069F" w:rsidRDefault="0058069F" w14:paraId="529B0C79" w14:textId="77777777">
      <w:pPr>
        <w:pStyle w:val="Prrafodelista"/>
        <w:rPr>
          <w:rFonts w:ascii="Verdana" w:hAnsi="Verdana" w:eastAsia="Calibri" w:cs="Arial"/>
          <w:lang w:val="es-ES_tradnl"/>
        </w:rPr>
      </w:pPr>
    </w:p>
    <w:p w:rsidRPr="00DE6472" w:rsidR="0058069F" w:rsidP="0058069F" w:rsidRDefault="0058069F" w14:paraId="213A6BA7" w14:textId="77777777">
      <w:pPr>
        <w:pStyle w:val="Prrafodelista"/>
        <w:numPr>
          <w:ilvl w:val="0"/>
          <w:numId w:val="17"/>
        </w:numPr>
        <w:jc w:val="both"/>
        <w:rPr>
          <w:rFonts w:ascii="Verdana" w:hAnsi="Verdana"/>
        </w:rPr>
      </w:pPr>
      <w:r>
        <w:rPr>
          <w:rFonts w:ascii="Verdana" w:hAnsi="Verdana"/>
        </w:rPr>
        <w:t>L</w:t>
      </w:r>
      <w:r w:rsidRPr="00DE6472">
        <w:rPr>
          <w:rFonts w:ascii="Verdana" w:hAnsi="Verdana"/>
        </w:rPr>
        <w:t>a versión 3 de los documentos tipo de infraestructura de transporte en la modalidad de Selección Abreviada de Menor Cuantía, la cual fue adoptada mediante la resolución 463 de 2024, incluye varias precisiones en el numeral 4.1.4 DETERMINACIÓN DEL MÉTODO PARA LA PONDERACIÓN DE LA PROPUESTA ECONÓMICA, tal y como se puede evidenciar a continuación:</w:t>
      </w:r>
    </w:p>
    <w:p w:rsidRPr="00DE6472" w:rsidR="0058069F" w:rsidP="0058069F" w:rsidRDefault="0058069F" w14:paraId="5940BC82" w14:textId="77777777">
      <w:pPr>
        <w:pStyle w:val="Prrafodelista"/>
        <w:jc w:val="both"/>
        <w:rPr>
          <w:rFonts w:ascii="Verdana" w:hAnsi="Verdana"/>
        </w:rPr>
      </w:pPr>
    </w:p>
    <w:p w:rsidRPr="00DE6472" w:rsidR="0058069F" w:rsidP="0058069F" w:rsidRDefault="0058069F" w14:paraId="238CB513" w14:textId="77777777">
      <w:pPr>
        <w:pStyle w:val="Prrafodelista"/>
        <w:jc w:val="both"/>
        <w:rPr>
          <w:rFonts w:ascii="Verdana" w:hAnsi="Verdana" w:eastAsia="Arial,Calibri" w:cs="Arial"/>
          <w:szCs w:val="20"/>
        </w:rPr>
      </w:pPr>
      <w:r w:rsidRPr="00DE6472">
        <w:rPr>
          <w:rFonts w:ascii="Verdana" w:hAnsi="Verdana" w:cs="Arial"/>
          <w:szCs w:val="20"/>
        </w:rPr>
        <w:t>“La</w:t>
      </w:r>
      <w:r w:rsidRPr="00DE6472">
        <w:rPr>
          <w:rFonts w:ascii="Verdana" w:hAnsi="Verdana" w:eastAsia="Arial,Calibri" w:cs="Arial"/>
          <w:szCs w:val="20"/>
        </w:rPr>
        <w:t xml:space="preserve"> </w:t>
      </w:r>
      <w:r w:rsidRPr="00DE6472">
        <w:rPr>
          <w:rFonts w:ascii="Verdana" w:hAnsi="Verdana" w:cs="Arial"/>
          <w:szCs w:val="20"/>
        </w:rPr>
        <w:t>entidad</w:t>
      </w:r>
      <w:r w:rsidRPr="00DE6472">
        <w:rPr>
          <w:rFonts w:ascii="Verdana" w:hAnsi="Verdana" w:eastAsia="Arial,Calibri" w:cs="Arial"/>
          <w:szCs w:val="20"/>
        </w:rPr>
        <w:t xml:space="preserve"> </w:t>
      </w:r>
      <w:r w:rsidRPr="00DE6472">
        <w:rPr>
          <w:rFonts w:ascii="Verdana" w:hAnsi="Verdana" w:cs="Arial"/>
          <w:szCs w:val="20"/>
        </w:rPr>
        <w:t>seleccionará</w:t>
      </w:r>
      <w:r w:rsidRPr="00DE6472">
        <w:rPr>
          <w:rFonts w:ascii="Verdana" w:hAnsi="Verdana" w:eastAsia="Arial,Calibri" w:cs="Arial"/>
          <w:szCs w:val="20"/>
        </w:rPr>
        <w:t xml:space="preserve"> </w:t>
      </w:r>
      <w:r w:rsidRPr="00DE6472">
        <w:rPr>
          <w:rFonts w:ascii="Verdana" w:hAnsi="Verdana" w:cs="Arial"/>
          <w:szCs w:val="20"/>
        </w:rPr>
        <w:t>el</w:t>
      </w:r>
      <w:r w:rsidRPr="00DE6472">
        <w:rPr>
          <w:rFonts w:ascii="Verdana" w:hAnsi="Verdana" w:eastAsia="Arial,Calibri" w:cs="Arial"/>
          <w:szCs w:val="20"/>
        </w:rPr>
        <w:t xml:space="preserve"> </w:t>
      </w:r>
      <w:r w:rsidRPr="00DE6472">
        <w:rPr>
          <w:rFonts w:ascii="Verdana" w:hAnsi="Verdana" w:cs="Arial"/>
          <w:szCs w:val="20"/>
        </w:rPr>
        <w:t>método</w:t>
      </w:r>
      <w:r w:rsidRPr="00DE6472">
        <w:rPr>
          <w:rFonts w:ascii="Verdana" w:hAnsi="Verdana" w:eastAsia="Arial,Calibri" w:cs="Arial"/>
          <w:szCs w:val="20"/>
        </w:rPr>
        <w:t xml:space="preserve"> </w:t>
      </w:r>
      <w:r w:rsidRPr="00DE6472">
        <w:rPr>
          <w:rFonts w:ascii="Verdana" w:hAnsi="Verdana" w:cs="Arial"/>
          <w:szCs w:val="20"/>
        </w:rPr>
        <w:t>de</w:t>
      </w:r>
      <w:r w:rsidRPr="00DE6472">
        <w:rPr>
          <w:rFonts w:ascii="Verdana" w:hAnsi="Verdana" w:eastAsia="Arial,Calibri" w:cs="Arial"/>
          <w:szCs w:val="20"/>
        </w:rPr>
        <w:t xml:space="preserve"> </w:t>
      </w:r>
      <w:r w:rsidRPr="00DE6472">
        <w:rPr>
          <w:rFonts w:ascii="Verdana" w:hAnsi="Verdana" w:cs="Arial"/>
          <w:szCs w:val="20"/>
        </w:rPr>
        <w:t>ponderación</w:t>
      </w:r>
      <w:r w:rsidRPr="00DE6472">
        <w:rPr>
          <w:rFonts w:ascii="Verdana" w:hAnsi="Verdana" w:eastAsia="Arial,Calibri" w:cs="Arial"/>
          <w:szCs w:val="20"/>
        </w:rPr>
        <w:t xml:space="preserve"> </w:t>
      </w:r>
      <w:r w:rsidRPr="00DE6472">
        <w:rPr>
          <w:rFonts w:ascii="Verdana" w:hAnsi="Verdana" w:cs="Arial"/>
          <w:szCs w:val="20"/>
        </w:rPr>
        <w:t>de</w:t>
      </w:r>
      <w:r w:rsidRPr="00DE6472">
        <w:rPr>
          <w:rFonts w:ascii="Verdana" w:hAnsi="Verdana" w:eastAsia="Arial,Calibri" w:cs="Arial"/>
          <w:szCs w:val="20"/>
        </w:rPr>
        <w:t xml:space="preserve"> </w:t>
      </w:r>
      <w:r w:rsidRPr="00DE6472">
        <w:rPr>
          <w:rFonts w:ascii="Verdana" w:hAnsi="Verdana" w:cs="Arial"/>
          <w:szCs w:val="20"/>
        </w:rPr>
        <w:t>la</w:t>
      </w:r>
      <w:r w:rsidRPr="00DE6472">
        <w:rPr>
          <w:rFonts w:ascii="Verdana" w:hAnsi="Verdana" w:eastAsia="Arial,Calibri" w:cs="Arial"/>
          <w:szCs w:val="20"/>
        </w:rPr>
        <w:t xml:space="preserve"> </w:t>
      </w:r>
      <w:r w:rsidRPr="00DE6472">
        <w:rPr>
          <w:rFonts w:ascii="Verdana" w:hAnsi="Verdana" w:cs="Arial"/>
          <w:szCs w:val="20"/>
        </w:rPr>
        <w:t>propuesta</w:t>
      </w:r>
      <w:r w:rsidRPr="00DE6472">
        <w:rPr>
          <w:rFonts w:ascii="Verdana" w:hAnsi="Verdana" w:eastAsia="Arial,Calibri" w:cs="Arial"/>
          <w:szCs w:val="20"/>
        </w:rPr>
        <w:t xml:space="preserve"> </w:t>
      </w:r>
      <w:r w:rsidRPr="00DE6472">
        <w:rPr>
          <w:rFonts w:ascii="Verdana" w:hAnsi="Verdana" w:cs="Arial"/>
          <w:szCs w:val="20"/>
        </w:rPr>
        <w:t>económica,</w:t>
      </w:r>
      <w:r w:rsidRPr="00DE6472">
        <w:rPr>
          <w:rFonts w:ascii="Verdana" w:hAnsi="Verdana" w:eastAsia="Arial,Calibri" w:cs="Arial"/>
          <w:szCs w:val="20"/>
        </w:rPr>
        <w:t xml:space="preserve"> </w:t>
      </w:r>
      <w:r w:rsidRPr="00DE6472">
        <w:rPr>
          <w:rFonts w:ascii="Verdana" w:hAnsi="Verdana" w:cs="Arial"/>
          <w:szCs w:val="20"/>
        </w:rPr>
        <w:t>de</w:t>
      </w:r>
      <w:r w:rsidRPr="00DE6472">
        <w:rPr>
          <w:rFonts w:ascii="Verdana" w:hAnsi="Verdana" w:eastAsia="Arial,Calibri" w:cs="Arial"/>
          <w:szCs w:val="20"/>
        </w:rPr>
        <w:t xml:space="preserve"> </w:t>
      </w:r>
      <w:r w:rsidRPr="00DE6472">
        <w:rPr>
          <w:rFonts w:ascii="Verdana" w:hAnsi="Verdana" w:cs="Arial"/>
          <w:szCs w:val="20"/>
        </w:rPr>
        <w:t>acuerdo</w:t>
      </w:r>
      <w:r w:rsidRPr="00DE6472">
        <w:rPr>
          <w:rFonts w:ascii="Verdana" w:hAnsi="Verdana" w:eastAsia="Arial,Calibri" w:cs="Arial"/>
          <w:szCs w:val="20"/>
        </w:rPr>
        <w:t xml:space="preserve"> </w:t>
      </w:r>
      <w:r w:rsidRPr="00DE6472">
        <w:rPr>
          <w:rFonts w:ascii="Verdana" w:hAnsi="Verdana" w:cs="Arial"/>
          <w:szCs w:val="20"/>
        </w:rPr>
        <w:t>con</w:t>
      </w:r>
      <w:r w:rsidRPr="00DE6472">
        <w:rPr>
          <w:rFonts w:ascii="Verdana" w:hAnsi="Verdana" w:eastAsia="Arial,Calibri" w:cs="Arial"/>
          <w:szCs w:val="20"/>
        </w:rPr>
        <w:t xml:space="preserve"> </w:t>
      </w:r>
      <w:r w:rsidRPr="00DE6472">
        <w:rPr>
          <w:rFonts w:ascii="Verdana" w:hAnsi="Verdana" w:cs="Arial"/>
          <w:szCs w:val="20"/>
        </w:rPr>
        <w:t>las</w:t>
      </w:r>
      <w:r w:rsidRPr="00DE6472">
        <w:rPr>
          <w:rFonts w:ascii="Verdana" w:hAnsi="Verdana" w:eastAsia="Arial,Calibri" w:cs="Arial"/>
          <w:szCs w:val="20"/>
        </w:rPr>
        <w:t xml:space="preserve"> </w:t>
      </w:r>
      <w:r w:rsidRPr="00DE6472">
        <w:rPr>
          <w:rFonts w:ascii="Verdana" w:hAnsi="Verdana" w:cs="Arial"/>
          <w:szCs w:val="20"/>
        </w:rPr>
        <w:t>siguientes alternativas:</w:t>
      </w:r>
      <w:r w:rsidRPr="00DE6472">
        <w:rPr>
          <w:rFonts w:ascii="Verdana" w:hAnsi="Verdana" w:eastAsia="Arial,Calibri" w:cs="Arial"/>
          <w:szCs w:val="20"/>
        </w:rPr>
        <w:t xml:space="preserve"> </w:t>
      </w:r>
    </w:p>
    <w:tbl>
      <w:tblPr>
        <w:tblStyle w:val="Tablaconcuadrcula"/>
        <w:tblW w:w="0" w:type="auto"/>
        <w:jc w:val="center"/>
        <w:tblLook w:val="04A0" w:firstRow="1" w:lastRow="0" w:firstColumn="1" w:lastColumn="0" w:noHBand="0" w:noVBand="1"/>
      </w:tblPr>
      <w:tblGrid>
        <w:gridCol w:w="1560"/>
        <w:gridCol w:w="2820"/>
      </w:tblGrid>
      <w:tr w:rsidRPr="00513756" w:rsidR="0058069F" w:rsidTr="00986237" w14:paraId="635C4F12" w14:textId="77777777">
        <w:trPr>
          <w:trHeight w:val="20"/>
          <w:tblHeader/>
          <w:jc w:val="center"/>
        </w:trPr>
        <w:tc>
          <w:tcPr>
            <w:tcW w:w="1560" w:type="dxa"/>
            <w:tcBorders>
              <w:top w:val="double" w:color="auto" w:sz="4" w:space="0"/>
              <w:left w:val="double" w:color="auto" w:sz="4" w:space="0"/>
              <w:bottom w:val="single" w:color="auto" w:sz="4" w:space="0"/>
              <w:right w:val="single" w:color="auto" w:sz="4" w:space="0"/>
            </w:tcBorders>
            <w:shd w:val="clear" w:color="auto" w:fill="404040" w:themeFill="text1" w:themeFillTint="BF"/>
            <w:vAlign w:val="center"/>
            <w:hideMark/>
          </w:tcPr>
          <w:p w:rsidRPr="00513756" w:rsidR="0058069F" w:rsidP="00986237" w:rsidRDefault="0058069F" w14:paraId="680B5851" w14:textId="77777777">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Concepto</w:t>
            </w:r>
          </w:p>
        </w:tc>
        <w:tc>
          <w:tcPr>
            <w:tcW w:w="2820" w:type="dxa"/>
            <w:tcBorders>
              <w:top w:val="double" w:color="auto" w:sz="4" w:space="0"/>
              <w:left w:val="single" w:color="auto" w:sz="4" w:space="0"/>
              <w:bottom w:val="single" w:color="auto" w:sz="4" w:space="0"/>
              <w:right w:val="double" w:color="auto" w:sz="4" w:space="0"/>
            </w:tcBorders>
            <w:shd w:val="clear" w:color="auto" w:fill="404040" w:themeFill="text1" w:themeFillTint="BF"/>
            <w:vAlign w:val="center"/>
            <w:hideMark/>
          </w:tcPr>
          <w:p w:rsidRPr="00513756" w:rsidR="0058069F" w:rsidP="00986237" w:rsidRDefault="0058069F" w14:paraId="16480108" w14:textId="77777777">
            <w:pPr>
              <w:spacing w:line="276" w:lineRule="auto"/>
              <w:jc w:val="center"/>
              <w:rPr>
                <w:rFonts w:ascii="Verdana" w:hAnsi="Verdana" w:cs="Arial"/>
                <w:b/>
                <w:color w:val="FFFFFF" w:themeColor="background1"/>
                <w:szCs w:val="20"/>
              </w:rPr>
            </w:pPr>
            <w:r w:rsidRPr="00513756">
              <w:rPr>
                <w:rFonts w:ascii="Verdana" w:hAnsi="Verdana" w:cs="Arial"/>
                <w:b/>
                <w:color w:val="FFFFFF" w:themeColor="background1"/>
                <w:szCs w:val="20"/>
              </w:rPr>
              <w:t>Método</w:t>
            </w:r>
          </w:p>
        </w:tc>
      </w:tr>
      <w:tr w:rsidRPr="00513756" w:rsidR="0058069F" w:rsidTr="00986237" w14:paraId="7FE5FC24"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tcPr>
          <w:p w:rsidRPr="00513756" w:rsidR="0058069F" w:rsidP="00986237" w:rsidRDefault="0058069F" w14:paraId="67524419" w14:textId="77777777">
            <w:pPr>
              <w:spacing w:line="276" w:lineRule="auto"/>
              <w:jc w:val="center"/>
              <w:rPr>
                <w:rFonts w:ascii="Verdana" w:hAnsi="Verdana" w:cs="Arial"/>
                <w:szCs w:val="20"/>
                <w:lang w:val="es-ES"/>
              </w:rPr>
            </w:pPr>
            <w:r w:rsidRPr="00513756">
              <w:rPr>
                <w:rFonts w:ascii="Verdana" w:hAnsi="Verdana" w:cs="Arial"/>
                <w:szCs w:val="20"/>
                <w:lang w:val="es-ES"/>
              </w:rPr>
              <w:t>1</w:t>
            </w:r>
          </w:p>
        </w:tc>
        <w:tc>
          <w:tcPr>
            <w:tcW w:w="2820" w:type="dxa"/>
            <w:tcBorders>
              <w:top w:val="single" w:color="auto" w:sz="4" w:space="0"/>
              <w:left w:val="single" w:color="auto" w:sz="4" w:space="0"/>
              <w:bottom w:val="single" w:color="auto" w:sz="4" w:space="0"/>
              <w:right w:val="double" w:color="auto" w:sz="4" w:space="0"/>
            </w:tcBorders>
            <w:vAlign w:val="center"/>
          </w:tcPr>
          <w:p w:rsidRPr="00513756" w:rsidR="0058069F" w:rsidP="00986237" w:rsidRDefault="0058069F" w14:paraId="5A0B55C3" w14:textId="77777777">
            <w:pPr>
              <w:spacing w:line="276" w:lineRule="auto"/>
              <w:jc w:val="center"/>
              <w:rPr>
                <w:rFonts w:ascii="Verdana" w:hAnsi="Verdana" w:cs="Arial"/>
                <w:szCs w:val="20"/>
                <w:lang w:val="es-ES"/>
              </w:rPr>
            </w:pPr>
            <w:r w:rsidRPr="00513756">
              <w:rPr>
                <w:rFonts w:ascii="Verdana" w:hAnsi="Verdana" w:cs="Arial"/>
                <w:szCs w:val="20"/>
                <w:lang w:val="es-ES"/>
              </w:rPr>
              <w:t>Mediana con valor absoluto</w:t>
            </w:r>
          </w:p>
        </w:tc>
      </w:tr>
      <w:tr w:rsidRPr="00513756" w:rsidR="0058069F" w:rsidTr="00986237" w14:paraId="712734C7"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tcPr>
          <w:p w:rsidRPr="00513756" w:rsidR="0058069F" w:rsidP="00986237" w:rsidRDefault="0058069F" w14:paraId="3506FD45" w14:textId="77777777">
            <w:pPr>
              <w:spacing w:line="276" w:lineRule="auto"/>
              <w:jc w:val="center"/>
              <w:rPr>
                <w:rFonts w:ascii="Verdana" w:hAnsi="Verdana" w:cs="Arial"/>
                <w:szCs w:val="20"/>
                <w:lang w:val="es-ES"/>
              </w:rPr>
            </w:pPr>
            <w:r w:rsidRPr="00513756">
              <w:rPr>
                <w:rFonts w:ascii="Verdana" w:hAnsi="Verdana" w:cs="Arial"/>
                <w:szCs w:val="20"/>
                <w:lang w:val="es-ES"/>
              </w:rPr>
              <w:t>2</w:t>
            </w:r>
          </w:p>
        </w:tc>
        <w:tc>
          <w:tcPr>
            <w:tcW w:w="2820" w:type="dxa"/>
            <w:tcBorders>
              <w:top w:val="single" w:color="auto" w:sz="4" w:space="0"/>
              <w:left w:val="single" w:color="auto" w:sz="4" w:space="0"/>
              <w:bottom w:val="single" w:color="auto" w:sz="4" w:space="0"/>
              <w:right w:val="double" w:color="auto" w:sz="4" w:space="0"/>
            </w:tcBorders>
            <w:vAlign w:val="center"/>
          </w:tcPr>
          <w:p w:rsidRPr="00513756" w:rsidR="0058069F" w:rsidP="00986237" w:rsidRDefault="0058069F" w14:paraId="682F1435" w14:textId="77777777">
            <w:pPr>
              <w:spacing w:line="276" w:lineRule="auto"/>
              <w:jc w:val="center"/>
              <w:rPr>
                <w:rFonts w:ascii="Verdana" w:hAnsi="Verdana" w:cs="Arial"/>
                <w:szCs w:val="20"/>
                <w:lang w:val="es-ES"/>
              </w:rPr>
            </w:pPr>
            <w:r w:rsidRPr="00513756">
              <w:rPr>
                <w:rFonts w:ascii="Verdana" w:hAnsi="Verdana" w:cs="Arial"/>
                <w:szCs w:val="20"/>
                <w:lang w:val="es-ES"/>
              </w:rPr>
              <w:t>Media geométrica</w:t>
            </w:r>
          </w:p>
        </w:tc>
      </w:tr>
      <w:tr w:rsidRPr="00513756" w:rsidR="0058069F" w:rsidTr="00986237" w14:paraId="1B77BCEF" w14:textId="77777777">
        <w:trPr>
          <w:trHeight w:val="20"/>
          <w:jc w:val="center"/>
        </w:trPr>
        <w:tc>
          <w:tcPr>
            <w:tcW w:w="1560" w:type="dxa"/>
            <w:tcBorders>
              <w:top w:val="single" w:color="auto" w:sz="4" w:space="0"/>
              <w:left w:val="double" w:color="auto" w:sz="4" w:space="0"/>
              <w:bottom w:val="single" w:color="auto" w:sz="4" w:space="0"/>
              <w:right w:val="single" w:color="auto" w:sz="4" w:space="0"/>
            </w:tcBorders>
            <w:vAlign w:val="center"/>
            <w:hideMark/>
          </w:tcPr>
          <w:p w:rsidRPr="00513756" w:rsidR="0058069F" w:rsidP="00986237" w:rsidRDefault="0058069F" w14:paraId="0820BC58" w14:textId="77777777">
            <w:pPr>
              <w:spacing w:line="276" w:lineRule="auto"/>
              <w:jc w:val="center"/>
              <w:rPr>
                <w:rFonts w:ascii="Verdana" w:hAnsi="Verdana" w:cs="Arial"/>
                <w:szCs w:val="20"/>
                <w:lang w:val="es-ES"/>
              </w:rPr>
            </w:pPr>
            <w:r w:rsidRPr="00513756">
              <w:rPr>
                <w:rFonts w:ascii="Verdana" w:hAnsi="Verdana" w:cs="Arial"/>
                <w:szCs w:val="20"/>
                <w:lang w:val="es-ES"/>
              </w:rPr>
              <w:t>3</w:t>
            </w:r>
          </w:p>
        </w:tc>
        <w:tc>
          <w:tcPr>
            <w:tcW w:w="2820" w:type="dxa"/>
            <w:tcBorders>
              <w:top w:val="single" w:color="auto" w:sz="4" w:space="0"/>
              <w:left w:val="single" w:color="auto" w:sz="4" w:space="0"/>
              <w:bottom w:val="single" w:color="auto" w:sz="4" w:space="0"/>
              <w:right w:val="double" w:color="auto" w:sz="4" w:space="0"/>
            </w:tcBorders>
            <w:vAlign w:val="center"/>
            <w:hideMark/>
          </w:tcPr>
          <w:p w:rsidRPr="00513756" w:rsidR="0058069F" w:rsidP="00986237" w:rsidRDefault="0058069F" w14:paraId="6AE62DCB" w14:textId="77777777">
            <w:pPr>
              <w:spacing w:line="276" w:lineRule="auto"/>
              <w:jc w:val="center"/>
              <w:rPr>
                <w:rFonts w:ascii="Verdana" w:hAnsi="Verdana" w:cs="Arial"/>
                <w:szCs w:val="20"/>
                <w:lang w:val="es-ES"/>
              </w:rPr>
            </w:pPr>
            <w:r w:rsidRPr="00513756">
              <w:rPr>
                <w:rFonts w:ascii="Verdana" w:hAnsi="Verdana" w:cs="Arial"/>
                <w:szCs w:val="20"/>
                <w:lang w:val="es-ES"/>
              </w:rPr>
              <w:t>Media aritmética baja</w:t>
            </w:r>
          </w:p>
        </w:tc>
      </w:tr>
      <w:tr w:rsidRPr="00513756" w:rsidR="0058069F" w:rsidTr="00986237" w14:paraId="48C566A6" w14:textId="77777777">
        <w:trPr>
          <w:trHeight w:val="20"/>
          <w:jc w:val="center"/>
        </w:trPr>
        <w:tc>
          <w:tcPr>
            <w:tcW w:w="1560" w:type="dxa"/>
            <w:tcBorders>
              <w:top w:val="single" w:color="auto" w:sz="4" w:space="0"/>
              <w:left w:val="double" w:color="auto" w:sz="4" w:space="0"/>
              <w:bottom w:val="double" w:color="auto" w:sz="4" w:space="0"/>
              <w:right w:val="single" w:color="auto" w:sz="4" w:space="0"/>
            </w:tcBorders>
            <w:vAlign w:val="center"/>
            <w:hideMark/>
          </w:tcPr>
          <w:p w:rsidRPr="00513756" w:rsidR="0058069F" w:rsidP="00986237" w:rsidRDefault="0058069F" w14:paraId="5B97DDC9" w14:textId="77777777">
            <w:pPr>
              <w:spacing w:line="276" w:lineRule="auto"/>
              <w:jc w:val="center"/>
              <w:rPr>
                <w:rFonts w:ascii="Verdana" w:hAnsi="Verdana" w:cs="Arial"/>
                <w:szCs w:val="20"/>
                <w:lang w:val="es-ES"/>
              </w:rPr>
            </w:pPr>
            <w:r w:rsidRPr="00513756">
              <w:rPr>
                <w:rFonts w:ascii="Verdana" w:hAnsi="Verdana" w:cs="Arial"/>
                <w:szCs w:val="20"/>
                <w:lang w:val="es-ES"/>
              </w:rPr>
              <w:t>4</w:t>
            </w:r>
          </w:p>
        </w:tc>
        <w:tc>
          <w:tcPr>
            <w:tcW w:w="2820" w:type="dxa"/>
            <w:tcBorders>
              <w:top w:val="single" w:color="auto" w:sz="4" w:space="0"/>
              <w:left w:val="single" w:color="auto" w:sz="4" w:space="0"/>
              <w:bottom w:val="double" w:color="auto" w:sz="4" w:space="0"/>
              <w:right w:val="double" w:color="auto" w:sz="4" w:space="0"/>
            </w:tcBorders>
            <w:vAlign w:val="center"/>
            <w:hideMark/>
          </w:tcPr>
          <w:p w:rsidRPr="00513756" w:rsidR="0058069F" w:rsidP="00986237" w:rsidRDefault="0058069F" w14:paraId="6C24545D" w14:textId="77777777">
            <w:pPr>
              <w:spacing w:line="276" w:lineRule="auto"/>
              <w:jc w:val="center"/>
              <w:rPr>
                <w:rFonts w:ascii="Verdana" w:hAnsi="Verdana" w:cs="Arial"/>
                <w:szCs w:val="20"/>
                <w:lang w:val="es-ES"/>
              </w:rPr>
            </w:pPr>
            <w:r w:rsidRPr="00513756">
              <w:rPr>
                <w:rFonts w:ascii="Verdana" w:hAnsi="Verdana" w:cs="Arial"/>
                <w:szCs w:val="20"/>
                <w:lang w:val="es-ES"/>
              </w:rPr>
              <w:t>Menor Valor</w:t>
            </w:r>
          </w:p>
        </w:tc>
      </w:tr>
    </w:tbl>
    <w:p w:rsidRPr="00DE6472" w:rsidR="0058069F" w:rsidP="0058069F" w:rsidRDefault="0058069F" w14:paraId="57FFD9AD" w14:textId="77777777">
      <w:pPr>
        <w:pStyle w:val="Prrafodelista"/>
        <w:tabs>
          <w:tab w:val="left" w:pos="1860"/>
        </w:tabs>
        <w:spacing w:after="200" w:line="276" w:lineRule="auto"/>
        <w:jc w:val="both"/>
        <w:rPr>
          <w:rFonts w:ascii="Verdana" w:hAnsi="Verdana" w:cs="Arial"/>
          <w:szCs w:val="20"/>
        </w:rPr>
      </w:pPr>
    </w:p>
    <w:p w:rsidRPr="00DE6472" w:rsidR="0058069F" w:rsidP="0058069F" w:rsidRDefault="0058069F" w14:paraId="0D4EA6DB" w14:textId="77777777">
      <w:pPr>
        <w:pStyle w:val="Prrafodelista"/>
        <w:tabs>
          <w:tab w:val="left" w:pos="1860"/>
        </w:tabs>
        <w:spacing w:after="200" w:line="276" w:lineRule="auto"/>
        <w:jc w:val="both"/>
        <w:rPr>
          <w:rFonts w:ascii="Verdana" w:hAnsi="Verdana" w:cs="Arial"/>
          <w:szCs w:val="20"/>
        </w:rPr>
      </w:pPr>
      <w:r w:rsidRPr="00DE6472">
        <w:rPr>
          <w:rFonts w:ascii="Verdana" w:hAnsi="Verdana" w:cs="Arial"/>
          <w:szCs w:val="20"/>
        </w:rPr>
        <w:t>Para</w:t>
      </w:r>
      <w:r w:rsidRPr="00DE6472">
        <w:rPr>
          <w:rFonts w:ascii="Verdana" w:hAnsi="Verdana" w:eastAsia="Arial,Calibri" w:cs="Arial"/>
          <w:szCs w:val="20"/>
        </w:rPr>
        <w:t xml:space="preserve"> </w:t>
      </w:r>
      <w:r w:rsidRPr="00DE6472">
        <w:rPr>
          <w:rFonts w:ascii="Verdana" w:hAnsi="Verdana" w:cs="Arial"/>
          <w:szCs w:val="20"/>
        </w:rPr>
        <w:t>determinar</w:t>
      </w:r>
      <w:r w:rsidRPr="00DE6472">
        <w:rPr>
          <w:rFonts w:ascii="Verdana" w:hAnsi="Verdana" w:eastAsia="Arial,Calibri" w:cs="Arial"/>
          <w:szCs w:val="20"/>
        </w:rPr>
        <w:t xml:space="preserve"> </w:t>
      </w:r>
      <w:r w:rsidRPr="00DE6472">
        <w:rPr>
          <w:rFonts w:ascii="Verdana" w:hAnsi="Verdana" w:cs="Arial"/>
          <w:szCs w:val="20"/>
        </w:rPr>
        <w:t>el</w:t>
      </w:r>
      <w:r w:rsidRPr="00DE6472">
        <w:rPr>
          <w:rFonts w:ascii="Verdana" w:hAnsi="Verdana" w:eastAsia="Arial,Calibri" w:cs="Arial"/>
          <w:szCs w:val="20"/>
        </w:rPr>
        <w:t xml:space="preserve"> </w:t>
      </w:r>
      <w:r w:rsidRPr="00DE6472">
        <w:rPr>
          <w:rFonts w:ascii="Verdana" w:hAnsi="Verdana" w:cs="Arial"/>
          <w:szCs w:val="20"/>
        </w:rPr>
        <w:t>método</w:t>
      </w:r>
      <w:r w:rsidRPr="00DE6472">
        <w:rPr>
          <w:rFonts w:ascii="Verdana" w:hAnsi="Verdana" w:eastAsia="Arial,Calibri" w:cs="Arial"/>
          <w:szCs w:val="20"/>
        </w:rPr>
        <w:t xml:space="preserve"> </w:t>
      </w:r>
      <w:r w:rsidRPr="00DE6472">
        <w:rPr>
          <w:rFonts w:ascii="Verdana" w:hAnsi="Verdana" w:cs="Arial"/>
          <w:szCs w:val="20"/>
        </w:rPr>
        <w:t>de</w:t>
      </w:r>
      <w:r w:rsidRPr="00DE6472">
        <w:rPr>
          <w:rFonts w:ascii="Verdana" w:hAnsi="Verdana" w:eastAsia="Arial,Calibri" w:cs="Arial"/>
          <w:szCs w:val="20"/>
        </w:rPr>
        <w:t xml:space="preserve"> </w:t>
      </w:r>
      <w:r w:rsidRPr="00DE6472">
        <w:rPr>
          <w:rFonts w:ascii="Verdana" w:hAnsi="Verdana" w:cs="Arial"/>
          <w:szCs w:val="20"/>
        </w:rPr>
        <w:t>ponderación,</w:t>
      </w:r>
      <w:r w:rsidRPr="00DE6472">
        <w:rPr>
          <w:rFonts w:ascii="Verdana" w:hAnsi="Verdana" w:eastAsia="Arial,Calibri" w:cs="Arial"/>
          <w:szCs w:val="20"/>
        </w:rPr>
        <w:t xml:space="preserve"> </w:t>
      </w:r>
      <w:r w:rsidRPr="00DE6472">
        <w:rPr>
          <w:rFonts w:ascii="Verdana" w:hAnsi="Verdana" w:cs="Arial"/>
          <w:szCs w:val="20"/>
        </w:rPr>
        <w:t>la</w:t>
      </w:r>
      <w:r w:rsidRPr="00DE6472">
        <w:rPr>
          <w:rFonts w:ascii="Verdana" w:hAnsi="Verdana" w:eastAsia="Arial,Calibri" w:cs="Arial"/>
          <w:szCs w:val="20"/>
        </w:rPr>
        <w:t xml:space="preserve"> </w:t>
      </w:r>
      <w:r w:rsidRPr="00DE6472">
        <w:rPr>
          <w:rFonts w:ascii="Verdana" w:hAnsi="Verdana" w:cs="Arial"/>
          <w:szCs w:val="20"/>
        </w:rPr>
        <w:t>entidad</w:t>
      </w:r>
      <w:r w:rsidRPr="00DE6472">
        <w:rPr>
          <w:rFonts w:ascii="Verdana" w:hAnsi="Verdana" w:eastAsia="Arial,Calibri" w:cs="Arial"/>
          <w:szCs w:val="20"/>
        </w:rPr>
        <w:t xml:space="preserve"> </w:t>
      </w:r>
      <w:r w:rsidRPr="00DE6472">
        <w:rPr>
          <w:rFonts w:ascii="Verdana" w:hAnsi="Verdana" w:cs="Arial"/>
          <w:szCs w:val="20"/>
        </w:rPr>
        <w:t>tomará</w:t>
      </w:r>
      <w:r w:rsidRPr="00DE6472">
        <w:rPr>
          <w:rFonts w:ascii="Verdana" w:hAnsi="Verdana" w:eastAsia="Arial,Calibri" w:cs="Arial"/>
          <w:szCs w:val="20"/>
        </w:rPr>
        <w:t xml:space="preserve"> </w:t>
      </w:r>
      <w:r w:rsidRPr="00DE6472">
        <w:rPr>
          <w:rFonts w:ascii="Verdana" w:hAnsi="Verdana" w:cs="Arial"/>
          <w:szCs w:val="20"/>
        </w:rPr>
        <w:t>los centavos</w:t>
      </w:r>
      <w:r w:rsidRPr="00DE6472">
        <w:rPr>
          <w:rFonts w:ascii="Verdana" w:hAnsi="Verdana" w:eastAsia="Arial,Calibri" w:cs="Arial"/>
          <w:szCs w:val="20"/>
        </w:rPr>
        <w:t xml:space="preserve"> </w:t>
      </w:r>
      <w:r w:rsidRPr="00DE6472">
        <w:rPr>
          <w:rFonts w:ascii="Verdana" w:hAnsi="Verdana" w:cs="Arial"/>
          <w:szCs w:val="20"/>
        </w:rPr>
        <w:t>de</w:t>
      </w:r>
      <w:r w:rsidRPr="00DE6472">
        <w:rPr>
          <w:rFonts w:ascii="Verdana" w:hAnsi="Verdana" w:eastAsia="Arial,Calibri" w:cs="Arial"/>
          <w:szCs w:val="20"/>
        </w:rPr>
        <w:t xml:space="preserve"> </w:t>
      </w:r>
      <w:r w:rsidRPr="00DE6472">
        <w:rPr>
          <w:rFonts w:ascii="Verdana" w:hAnsi="Verdana" w:cs="Arial"/>
          <w:szCs w:val="20"/>
        </w:rPr>
        <w:t>la</w:t>
      </w:r>
      <w:r w:rsidRPr="00DE6472">
        <w:rPr>
          <w:rFonts w:ascii="Verdana" w:hAnsi="Verdana" w:eastAsia="Arial,Calibri" w:cs="Arial"/>
          <w:szCs w:val="20"/>
        </w:rPr>
        <w:t xml:space="preserve"> </w:t>
      </w:r>
      <w:r w:rsidRPr="00DE6472">
        <w:rPr>
          <w:rFonts w:ascii="Verdana" w:hAnsi="Verdana" w:cs="Arial"/>
          <w:szCs w:val="20"/>
        </w:rPr>
        <w:t>Tasa</w:t>
      </w:r>
      <w:r w:rsidRPr="00DE6472">
        <w:rPr>
          <w:rFonts w:ascii="Verdana" w:hAnsi="Verdana" w:eastAsia="Arial,Calibri" w:cs="Arial"/>
          <w:szCs w:val="20"/>
        </w:rPr>
        <w:t xml:space="preserve"> </w:t>
      </w:r>
      <w:r w:rsidRPr="00DE6472">
        <w:rPr>
          <w:rFonts w:ascii="Verdana" w:hAnsi="Verdana" w:cs="Arial"/>
          <w:szCs w:val="20"/>
        </w:rPr>
        <w:t>de</w:t>
      </w:r>
      <w:r w:rsidRPr="00DE6472">
        <w:rPr>
          <w:rFonts w:ascii="Verdana" w:hAnsi="Verdana" w:eastAsia="Arial,Calibri" w:cs="Arial"/>
          <w:szCs w:val="20"/>
        </w:rPr>
        <w:t xml:space="preserve"> </w:t>
      </w:r>
      <w:r w:rsidRPr="00DE6472">
        <w:rPr>
          <w:rFonts w:ascii="Verdana" w:hAnsi="Verdana" w:cs="Arial"/>
          <w:szCs w:val="20"/>
        </w:rPr>
        <w:t>Cambio</w:t>
      </w:r>
      <w:r w:rsidRPr="00DE6472">
        <w:rPr>
          <w:rFonts w:ascii="Verdana" w:hAnsi="Verdana" w:eastAsia="Arial,Calibri" w:cs="Arial"/>
          <w:szCs w:val="20"/>
        </w:rPr>
        <w:t xml:space="preserve"> </w:t>
      </w:r>
      <w:r w:rsidRPr="00DE6472">
        <w:rPr>
          <w:rFonts w:ascii="Verdana" w:hAnsi="Verdana" w:cs="Arial"/>
          <w:szCs w:val="20"/>
        </w:rPr>
        <w:t>Representativa</w:t>
      </w:r>
      <w:r w:rsidRPr="00DE6472">
        <w:rPr>
          <w:rFonts w:ascii="Verdana" w:hAnsi="Verdana" w:eastAsia="Arial,Calibri" w:cs="Arial"/>
          <w:szCs w:val="20"/>
        </w:rPr>
        <w:t xml:space="preserve"> </w:t>
      </w:r>
      <w:r w:rsidRPr="00DE6472">
        <w:rPr>
          <w:rFonts w:ascii="Verdana" w:hAnsi="Verdana" w:cs="Arial"/>
          <w:szCs w:val="20"/>
        </w:rPr>
        <w:t>del</w:t>
      </w:r>
      <w:r w:rsidRPr="00DE6472">
        <w:rPr>
          <w:rFonts w:ascii="Verdana" w:hAnsi="Verdana" w:eastAsia="Arial,Calibri" w:cs="Arial"/>
          <w:szCs w:val="20"/>
        </w:rPr>
        <w:t xml:space="preserve"> </w:t>
      </w:r>
      <w:r w:rsidRPr="00DE6472">
        <w:rPr>
          <w:rFonts w:ascii="Verdana" w:hAnsi="Verdana" w:cs="Arial"/>
          <w:szCs w:val="20"/>
        </w:rPr>
        <w:t>Mercado</w:t>
      </w:r>
      <w:r w:rsidRPr="00DE6472">
        <w:rPr>
          <w:rFonts w:ascii="Verdana" w:hAnsi="Verdana" w:eastAsia="Arial,Calibri" w:cs="Arial"/>
          <w:szCs w:val="20"/>
        </w:rPr>
        <w:t xml:space="preserve"> (</w:t>
      </w:r>
      <w:r w:rsidRPr="00DE6472">
        <w:rPr>
          <w:rFonts w:ascii="Verdana" w:hAnsi="Verdana" w:cs="Arial"/>
          <w:szCs w:val="20"/>
        </w:rPr>
        <w:t>TRM), certificada</w:t>
      </w:r>
      <w:r w:rsidRPr="00DE6472">
        <w:rPr>
          <w:rFonts w:ascii="Verdana" w:hAnsi="Verdana" w:eastAsia="Arial,Calibri" w:cs="Arial"/>
          <w:szCs w:val="20"/>
        </w:rPr>
        <w:t xml:space="preserve"> </w:t>
      </w:r>
      <w:r w:rsidRPr="00DE6472">
        <w:rPr>
          <w:rFonts w:ascii="Verdana" w:hAnsi="Verdana" w:cs="Arial"/>
          <w:szCs w:val="20"/>
        </w:rPr>
        <w:t>por</w:t>
      </w:r>
      <w:r w:rsidRPr="00DE6472">
        <w:rPr>
          <w:rFonts w:ascii="Verdana" w:hAnsi="Verdana" w:eastAsia="Arial,Calibri" w:cs="Arial"/>
          <w:szCs w:val="20"/>
        </w:rPr>
        <w:t xml:space="preserve"> </w:t>
      </w:r>
      <w:r w:rsidRPr="00DE6472">
        <w:rPr>
          <w:rFonts w:ascii="Verdana" w:hAnsi="Verdana" w:cs="Arial"/>
          <w:szCs w:val="20"/>
        </w:rPr>
        <w:t>la Superintendencia Financiera de Colombia (en</w:t>
      </w:r>
      <w:r w:rsidRPr="00DE6472">
        <w:rPr>
          <w:rFonts w:ascii="Verdana" w:hAnsi="Verdana" w:eastAsia="Arial,Calibri" w:cs="Arial"/>
          <w:szCs w:val="20"/>
        </w:rPr>
        <w:t xml:space="preserve"> </w:t>
      </w:r>
      <w:r w:rsidRPr="00DE6472">
        <w:rPr>
          <w:rFonts w:ascii="Verdana" w:hAnsi="Verdana" w:cs="Arial"/>
          <w:szCs w:val="20"/>
        </w:rPr>
        <w:t>su</w:t>
      </w:r>
      <w:r w:rsidRPr="00DE6472">
        <w:rPr>
          <w:rFonts w:ascii="Verdana" w:hAnsi="Verdana" w:eastAsia="Arial,Calibri" w:cs="Arial"/>
          <w:szCs w:val="20"/>
        </w:rPr>
        <w:t xml:space="preserve"> </w:t>
      </w:r>
      <w:r w:rsidRPr="00DE6472">
        <w:rPr>
          <w:rFonts w:ascii="Verdana" w:hAnsi="Verdana" w:cs="Arial"/>
          <w:szCs w:val="20"/>
        </w:rPr>
        <w:t>sitio web: https://www.superfinanciera.gov.co/publicacion/60819).</w:t>
      </w:r>
    </w:p>
    <w:p w:rsidR="0058069F" w:rsidP="0058069F" w:rsidRDefault="0058069F" w14:paraId="1D63CD58" w14:textId="77777777">
      <w:pPr>
        <w:pStyle w:val="Prrafodelista"/>
        <w:tabs>
          <w:tab w:val="left" w:pos="1860"/>
        </w:tabs>
        <w:spacing w:after="200" w:line="276" w:lineRule="auto"/>
        <w:jc w:val="both"/>
        <w:rPr>
          <w:rFonts w:ascii="Verdana" w:hAnsi="Verdana" w:cs="Arial"/>
          <w:szCs w:val="20"/>
        </w:rPr>
      </w:pPr>
    </w:p>
    <w:p w:rsidRPr="00DE6472" w:rsidR="0058069F" w:rsidP="0058069F" w:rsidRDefault="0058069F" w14:paraId="18C95BC6" w14:textId="77777777">
      <w:pPr>
        <w:pStyle w:val="Prrafodelista"/>
        <w:tabs>
          <w:tab w:val="left" w:pos="1860"/>
        </w:tabs>
        <w:spacing w:after="200" w:line="276" w:lineRule="auto"/>
        <w:jc w:val="both"/>
        <w:rPr>
          <w:rFonts w:ascii="Verdana" w:hAnsi="Verdana" w:cs="Arial"/>
          <w:szCs w:val="20"/>
        </w:rPr>
      </w:pPr>
      <w:r w:rsidRPr="00DE6472">
        <w:rPr>
          <w:rFonts w:ascii="Verdana" w:hAnsi="Verdana" w:cs="Arial"/>
          <w:szCs w:val="20"/>
        </w:rPr>
        <w:t xml:space="preserve">La TRM que la entidad utilizará para determinar el método de ponderación será la que </w:t>
      </w:r>
      <w:r w:rsidRPr="00DE6472">
        <w:rPr>
          <w:rFonts w:ascii="Verdana" w:hAnsi="Verdana" w:cs="Arial"/>
          <w:b/>
          <w:bCs/>
          <w:i/>
          <w:szCs w:val="20"/>
        </w:rPr>
        <w:t xml:space="preserve">rija el segundo día hábil </w:t>
      </w:r>
      <w:r w:rsidRPr="00DE6472">
        <w:rPr>
          <w:rFonts w:ascii="Verdana" w:hAnsi="Verdana" w:cs="Arial"/>
          <w:b/>
          <w:bCs/>
          <w:i/>
          <w:color w:val="000000" w:themeColor="text1"/>
          <w:szCs w:val="20"/>
        </w:rPr>
        <w:t>después de finalizado el periodo de traslado del informe de evaluación</w:t>
      </w:r>
      <w:r w:rsidRPr="00DE6472">
        <w:rPr>
          <w:rFonts w:ascii="Verdana" w:hAnsi="Verdana" w:cs="Arial"/>
          <w:szCs w:val="20"/>
        </w:rPr>
        <w:t xml:space="preserve">. Esto es, la que la Superintendencia publique en horas de la tarde del día hábil siguiente a la fecha </w:t>
      </w:r>
      <w:r w:rsidRPr="00DE6472">
        <w:rPr>
          <w:rFonts w:ascii="Verdana" w:hAnsi="Verdana" w:cs="Arial"/>
          <w:color w:val="000000" w:themeColor="text1"/>
          <w:szCs w:val="20"/>
        </w:rPr>
        <w:t xml:space="preserve">efectiva de </w:t>
      </w:r>
      <w:r w:rsidRPr="00DE6472">
        <w:rPr>
          <w:rFonts w:ascii="Verdana" w:hAnsi="Verdana" w:cs="Arial"/>
          <w:i/>
          <w:color w:val="000000" w:themeColor="text1"/>
          <w:szCs w:val="20"/>
        </w:rPr>
        <w:t>finalizado el periodo de traslado del informe de evaluación</w:t>
      </w:r>
      <w:r w:rsidRPr="00DE6472">
        <w:rPr>
          <w:rFonts w:ascii="Verdana" w:hAnsi="Verdana" w:cs="Arial"/>
          <w:szCs w:val="20"/>
        </w:rPr>
        <w:t xml:space="preserve">. </w:t>
      </w:r>
      <w:r w:rsidRPr="00DE6472">
        <w:rPr>
          <w:rFonts w:ascii="Verdana" w:hAnsi="Verdana" w:cs="Arial"/>
          <w:szCs w:val="20"/>
          <w:highlight w:val="lightGray"/>
        </w:rPr>
        <w:t xml:space="preserve">[Por ejemplo, si el </w:t>
      </w:r>
      <w:r w:rsidRPr="00DE6472">
        <w:rPr>
          <w:rFonts w:ascii="Verdana" w:hAnsi="Verdana" w:cs="Arial"/>
          <w:color w:val="000000" w:themeColor="text1"/>
          <w:szCs w:val="20"/>
          <w:highlight w:val="lightGray"/>
        </w:rPr>
        <w:t xml:space="preserve">término de traslado del informe de evaluación finaliza </w:t>
      </w:r>
      <w:r w:rsidRPr="00DE6472">
        <w:rPr>
          <w:rFonts w:ascii="Verdana" w:hAnsi="Verdana" w:cs="Arial"/>
          <w:szCs w:val="20"/>
          <w:highlight w:val="lightGray"/>
        </w:rPr>
        <w:t>el 10 de febrero, la TRM que se usará para determinar el método de evaluación será la del 12 de febrero, que se publica en la tarde del 11 de febrero]</w:t>
      </w:r>
      <w:r w:rsidRPr="00DE6472">
        <w:rPr>
          <w:rFonts w:ascii="Verdana" w:hAnsi="Verdana" w:cs="Arial"/>
          <w:szCs w:val="20"/>
        </w:rPr>
        <w:t xml:space="preserve"> </w:t>
      </w:r>
    </w:p>
    <w:p w:rsidR="0058069F" w:rsidP="0058069F" w:rsidRDefault="0058069F" w14:paraId="7FD2743F" w14:textId="77777777">
      <w:pPr>
        <w:pStyle w:val="Prrafodelista"/>
        <w:tabs>
          <w:tab w:val="left" w:pos="1860"/>
        </w:tabs>
        <w:spacing w:after="200" w:line="276" w:lineRule="auto"/>
        <w:jc w:val="both"/>
        <w:rPr>
          <w:rFonts w:ascii="Verdana" w:hAnsi="Verdana" w:cs="Arial"/>
          <w:color w:val="000000" w:themeColor="text1"/>
          <w:szCs w:val="20"/>
          <w:highlight w:val="lightGray"/>
        </w:rPr>
      </w:pPr>
    </w:p>
    <w:p w:rsidR="0058069F" w:rsidP="0058069F" w:rsidRDefault="0058069F" w14:paraId="47C2935E" w14:textId="77777777">
      <w:pPr>
        <w:pStyle w:val="Prrafodelista"/>
        <w:tabs>
          <w:tab w:val="left" w:pos="1860"/>
        </w:tabs>
        <w:spacing w:after="200" w:line="276" w:lineRule="auto"/>
        <w:jc w:val="both"/>
        <w:rPr>
          <w:rFonts w:ascii="Verdana" w:hAnsi="Verdana" w:cs="Arial"/>
          <w:color w:val="000000" w:themeColor="text1"/>
          <w:szCs w:val="20"/>
          <w:highlight w:val="lightGray"/>
        </w:rPr>
      </w:pPr>
      <w:r w:rsidRPr="00DE6472">
        <w:rPr>
          <w:rFonts w:ascii="Verdana" w:hAnsi="Verdana" w:cs="Arial"/>
          <w:color w:val="000000" w:themeColor="text1"/>
          <w:szCs w:val="20"/>
          <w:highlight w:val="lightGray"/>
        </w:rPr>
        <w:t xml:space="preserve">[Al momento de definir o modificar el cronograma del proceso la entidad deberá verificar que el segundo día hábil siguiente a la finalización del </w:t>
      </w:r>
      <w:r w:rsidRPr="00DE6472">
        <w:rPr>
          <w:rFonts w:ascii="Verdana" w:hAnsi="Verdana" w:cs="Arial"/>
          <w:color w:val="000000" w:themeColor="text1"/>
          <w:szCs w:val="20"/>
          <w:highlight w:val="lightGray"/>
        </w:rPr>
        <w:lastRenderedPageBreak/>
        <w:t>periodo de traslado del informe de evaluación, no corresponda a un día festivo en Estados Unidos, con el objetivo de no afectar el proceso de definición del método de ponderación de las propuestas.]”</w:t>
      </w:r>
    </w:p>
    <w:p w:rsidR="0058069F" w:rsidP="0058069F" w:rsidRDefault="0058069F" w14:paraId="0E9C4801" w14:textId="77777777">
      <w:pPr>
        <w:pStyle w:val="Prrafodelista"/>
        <w:tabs>
          <w:tab w:val="left" w:pos="1860"/>
        </w:tabs>
        <w:spacing w:after="200" w:line="276" w:lineRule="auto"/>
        <w:jc w:val="both"/>
        <w:rPr>
          <w:rFonts w:ascii="Verdana" w:hAnsi="Verdana" w:cs="Arial"/>
          <w:color w:val="000000" w:themeColor="text1"/>
          <w:szCs w:val="20"/>
          <w:highlight w:val="lightGray"/>
        </w:rPr>
      </w:pPr>
    </w:p>
    <w:p w:rsidRPr="009711F8" w:rsidR="0058069F" w:rsidP="0058069F" w:rsidRDefault="0058069F" w14:paraId="1C831373" w14:textId="77777777">
      <w:pPr>
        <w:widowControl w:val="0"/>
        <w:autoSpaceDE w:val="0"/>
        <w:autoSpaceDN w:val="0"/>
        <w:snapToGrid w:val="0"/>
        <w:spacing w:after="0" w:line="276" w:lineRule="auto"/>
        <w:jc w:val="both"/>
        <w:rPr>
          <w:rFonts w:ascii="Verdana" w:hAnsi="Verdana" w:eastAsia="Times New Roman" w:cs="Arial"/>
          <w:bCs/>
          <w:lang w:val="es-ES_tradnl"/>
        </w:rPr>
      </w:pPr>
      <w:r w:rsidRPr="009711F8">
        <w:rPr>
          <w:rFonts w:ascii="Verdana" w:hAnsi="Verdana" w:eastAsia="Times New Roman" w:cs="Arial"/>
          <w:lang w:val="es-ES" w:eastAsia="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Pr="009711F8">
        <w:rPr>
          <w:rFonts w:ascii="Verdana" w:hAnsi="Verdana" w:eastAsia="Times New Roman" w:cs="Arial"/>
          <w:vertAlign w:val="superscript"/>
          <w:lang w:val="es-ES" w:eastAsia="es-ES"/>
        </w:rPr>
        <w:footnoteReference w:id="2"/>
      </w:r>
      <w:r w:rsidRPr="009711F8">
        <w:rPr>
          <w:rFonts w:ascii="Verdana" w:hAnsi="Verdana" w:eastAsia="Times New Roman" w:cs="Arial"/>
          <w:lang w:val="es-ES" w:eastAsia="es-ES"/>
        </w:rPr>
        <w:t>. Al respecto, el Consejo de Estado, Sección Tercera, sentencia 4 de junio de 2008, radicado No. 17.783, M.P. Myriam Guerrero de Escobar, define el precio artificialmente bajo como aquel que no tiene sustento o fundamento en su</w:t>
      </w:r>
      <w:r w:rsidRPr="009711F8">
        <w:rPr>
          <w:rFonts w:ascii="Verdana" w:hAnsi="Verdana" w:eastAsia="Times New Roman" w:cs="Arial"/>
          <w:spacing w:val="-45"/>
          <w:lang w:val="es-ES" w:eastAsia="es-ES"/>
        </w:rPr>
        <w:t xml:space="preserve"> </w:t>
      </w:r>
      <w:r w:rsidRPr="009711F8">
        <w:rPr>
          <w:rFonts w:ascii="Verdana" w:hAnsi="Verdana" w:eastAsia="Times New Roman" w:cs="Arial"/>
          <w:lang w:val="es-ES" w:eastAsia="es-ES"/>
        </w:rPr>
        <w:t>estructuración dentro del tráfico comercial:</w:t>
      </w:r>
    </w:p>
    <w:p w:rsidRPr="009711F8" w:rsidR="0058069F" w:rsidP="0058069F" w:rsidRDefault="0058069F" w14:paraId="6B8DE862" w14:textId="77777777">
      <w:pPr>
        <w:widowControl w:val="0"/>
        <w:autoSpaceDE w:val="0"/>
        <w:autoSpaceDN w:val="0"/>
        <w:spacing w:after="0" w:line="276" w:lineRule="auto"/>
        <w:ind w:left="720"/>
        <w:rPr>
          <w:rFonts w:ascii="Verdana" w:hAnsi="Verdana" w:eastAsia="Times New Roman" w:cs="Arial"/>
          <w:lang w:val="es-ES" w:eastAsia="es-ES"/>
        </w:rPr>
      </w:pPr>
    </w:p>
    <w:p w:rsidRPr="009711F8" w:rsidR="0058069F" w:rsidP="0058069F" w:rsidRDefault="0058069F" w14:paraId="3E18EDFD" w14:textId="77777777">
      <w:pPr>
        <w:spacing w:after="0" w:line="240" w:lineRule="auto"/>
        <w:ind w:left="709" w:right="709"/>
        <w:jc w:val="both"/>
        <w:rPr>
          <w:rFonts w:ascii="Verdana" w:hAnsi="Verdana" w:eastAsia="Times New Roman" w:cs="Times New Roman"/>
          <w:kern w:val="2"/>
          <w:sz w:val="20"/>
          <w:szCs w:val="20"/>
        </w:rPr>
      </w:pPr>
      <w:r w:rsidRPr="009711F8">
        <w:rPr>
          <w:rFonts w:ascii="Verdana" w:hAnsi="Verdana" w:eastAsia="Times New Roman" w:cs="Times New Roman"/>
          <w:kern w:val="2"/>
          <w:sz w:val="20"/>
          <w:szCs w:val="20"/>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9711F8">
        <w:rPr>
          <w:rFonts w:ascii="Verdana" w:hAnsi="Verdana" w:eastAsia="Times New Roman" w:cs="Times New Roman"/>
          <w:spacing w:val="-8"/>
          <w:kern w:val="2"/>
          <w:sz w:val="20"/>
          <w:szCs w:val="20"/>
        </w:rPr>
        <w:t xml:space="preserve"> </w:t>
      </w:r>
      <w:r w:rsidRPr="009711F8">
        <w:rPr>
          <w:rFonts w:ascii="Verdana" w:hAnsi="Verdana" w:eastAsia="Times New Roman" w:cs="Times New Roman"/>
          <w:kern w:val="2"/>
          <w:sz w:val="20"/>
          <w:szCs w:val="20"/>
        </w:rPr>
        <w:t>[…]”.</w:t>
      </w:r>
    </w:p>
    <w:p w:rsidRPr="009711F8" w:rsidR="0058069F" w:rsidP="0058069F" w:rsidRDefault="0058069F" w14:paraId="5D6EDC73" w14:textId="77777777">
      <w:pPr>
        <w:widowControl w:val="0"/>
        <w:autoSpaceDE w:val="0"/>
        <w:autoSpaceDN w:val="0"/>
        <w:spacing w:after="0" w:line="276" w:lineRule="auto"/>
        <w:ind w:left="720"/>
        <w:jc w:val="both"/>
        <w:rPr>
          <w:rFonts w:ascii="Verdana" w:hAnsi="Verdana" w:eastAsia="Times New Roman" w:cs="Arial"/>
          <w:lang w:val="es-ES" w:eastAsia="es-ES"/>
        </w:rPr>
      </w:pPr>
    </w:p>
    <w:p w:rsidRPr="009711F8" w:rsidR="0058069F" w:rsidP="0058069F" w:rsidRDefault="0058069F" w14:paraId="010C03F1" w14:textId="77777777">
      <w:pPr>
        <w:widowControl w:val="0"/>
        <w:autoSpaceDE w:val="0"/>
        <w:autoSpaceDN w:val="0"/>
        <w:spacing w:after="0" w:line="276" w:lineRule="auto"/>
        <w:ind w:firstLine="709"/>
        <w:jc w:val="both"/>
        <w:rPr>
          <w:rFonts w:ascii="Verdana" w:hAnsi="Verdana" w:eastAsia="Times New Roman" w:cs="Arial"/>
          <w:lang w:val="es-ES" w:eastAsia="es-ES"/>
        </w:rPr>
      </w:pPr>
      <w:r w:rsidRPr="009711F8">
        <w:rPr>
          <w:rFonts w:ascii="Verdana" w:hAnsi="Verdana" w:eastAsia="Times New Roman" w:cs="Arial"/>
          <w:lang w:val="es-ES" w:eastAsia="es-ES"/>
        </w:rPr>
        <w:t>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analizarlas y recomendar si debe rechazar la oferta o continuar con el análisis de la oferta durante la evaluación de las ofertas:</w:t>
      </w:r>
    </w:p>
    <w:p w:rsidRPr="009711F8" w:rsidR="0058069F" w:rsidP="0058069F" w:rsidRDefault="0058069F" w14:paraId="44FFF810" w14:textId="77777777">
      <w:pPr>
        <w:spacing w:after="0" w:line="240" w:lineRule="auto"/>
        <w:ind w:left="708" w:right="616" w:firstLine="1"/>
        <w:jc w:val="both"/>
        <w:rPr>
          <w:rFonts w:ascii="Verdana" w:hAnsi="Verdana" w:eastAsia="Times New Roman" w:cs="Times New Roman"/>
          <w:sz w:val="21"/>
          <w:szCs w:val="21"/>
        </w:rPr>
      </w:pPr>
    </w:p>
    <w:p w:rsidRPr="009711F8" w:rsidR="0058069F" w:rsidP="0058069F" w:rsidRDefault="0058069F" w14:paraId="2ADC4A8B" w14:textId="77777777">
      <w:pPr>
        <w:spacing w:after="0" w:line="240" w:lineRule="auto"/>
        <w:ind w:left="708" w:right="616" w:firstLine="1"/>
        <w:jc w:val="both"/>
        <w:rPr>
          <w:rFonts w:ascii="Verdana" w:hAnsi="Verdana" w:eastAsia="Times New Roman" w:cs="Times New Roman"/>
          <w:sz w:val="20"/>
          <w:szCs w:val="20"/>
        </w:rPr>
      </w:pPr>
      <w:r w:rsidRPr="009711F8">
        <w:rPr>
          <w:rFonts w:ascii="Verdana" w:hAnsi="Verdana" w:eastAsia="Times New Roman" w:cs="Times New Roman"/>
          <w:bCs/>
          <w:sz w:val="20"/>
          <w:szCs w:val="20"/>
        </w:rPr>
        <w:t>“Artículo 2.2.1.1.2.2.4. </w:t>
      </w:r>
      <w:r w:rsidRPr="009711F8">
        <w:rPr>
          <w:rFonts w:ascii="Verdana" w:hAnsi="Verdana" w:eastAsia="Times New Roman" w:cs="Times New Roman"/>
          <w:bCs/>
          <w:i/>
          <w:iCs/>
          <w:sz w:val="20"/>
          <w:szCs w:val="20"/>
        </w:rPr>
        <w:t>Oferta con valor artificialmente bajo.</w:t>
      </w:r>
      <w:r w:rsidRPr="009711F8">
        <w:rPr>
          <w:rFonts w:ascii="Verdana" w:hAnsi="Verdana" w:eastAsia="Times New Roman" w:cs="Times New Roman"/>
          <w:i/>
          <w:iCs/>
          <w:sz w:val="20"/>
          <w:szCs w:val="20"/>
        </w:rPr>
        <w:t> </w:t>
      </w:r>
      <w:r w:rsidRPr="009711F8">
        <w:rPr>
          <w:rFonts w:ascii="Verdana" w:hAnsi="Verdana" w:eastAsia="Times New Roman" w:cs="Times New Roman"/>
          <w:sz w:val="20"/>
          <w:szCs w:val="20"/>
        </w:rPr>
        <w:t xml:space="preserve">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w:t>
      </w:r>
      <w:r w:rsidRPr="009711F8">
        <w:rPr>
          <w:rFonts w:ascii="Verdana" w:hAnsi="Verdana" w:eastAsia="Times New Roman" w:cs="Times New Roman"/>
          <w:sz w:val="20"/>
          <w:szCs w:val="20"/>
        </w:rPr>
        <w:lastRenderedPageBreak/>
        <w:t>Analizadas las explicaciones, el comité evaluador de que trata el artículo anterior, o quien haga la evaluación de las ofertas, debe recomendar rechazar la oferta o continuar con el análisis de la misma en la evaluación de las ofertas.</w:t>
      </w:r>
    </w:p>
    <w:p w:rsidRPr="009711F8" w:rsidR="0058069F" w:rsidP="0058069F" w:rsidRDefault="0058069F" w14:paraId="6024756F" w14:textId="77777777">
      <w:pPr>
        <w:spacing w:after="0" w:line="240" w:lineRule="auto"/>
        <w:ind w:left="708" w:right="616" w:firstLine="1"/>
        <w:jc w:val="both"/>
        <w:rPr>
          <w:rFonts w:ascii="Verdana" w:hAnsi="Verdana" w:eastAsia="Times New Roman" w:cs="Times New Roman"/>
          <w:sz w:val="20"/>
          <w:szCs w:val="20"/>
        </w:rPr>
      </w:pPr>
    </w:p>
    <w:p w:rsidRPr="009711F8" w:rsidR="0058069F" w:rsidP="0058069F" w:rsidRDefault="0058069F" w14:paraId="71BA1357" w14:textId="77777777">
      <w:pPr>
        <w:spacing w:after="0" w:line="240" w:lineRule="auto"/>
        <w:ind w:left="708" w:right="616" w:firstLine="1"/>
        <w:jc w:val="both"/>
        <w:rPr>
          <w:rFonts w:ascii="Verdana" w:hAnsi="Verdana" w:eastAsia="Times New Roman" w:cs="Times New Roman"/>
          <w:sz w:val="20"/>
          <w:szCs w:val="20"/>
        </w:rPr>
      </w:pPr>
      <w:r w:rsidRPr="009711F8">
        <w:rPr>
          <w:rFonts w:ascii="Verdana" w:hAnsi="Verdana" w:eastAsia="Times New Roman" w:cs="Times New Roman"/>
          <w:sz w:val="20"/>
          <w:szCs w:val="20"/>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rsidRPr="009711F8" w:rsidR="0058069F" w:rsidP="0058069F" w:rsidRDefault="0058069F" w14:paraId="0A84DFA7" w14:textId="77777777">
      <w:pPr>
        <w:spacing w:after="0" w:line="240" w:lineRule="auto"/>
        <w:ind w:left="708" w:right="616" w:firstLine="1"/>
        <w:jc w:val="both"/>
        <w:rPr>
          <w:rFonts w:ascii="Verdana" w:hAnsi="Verdana" w:eastAsia="Times New Roman" w:cs="Times New Roman"/>
          <w:sz w:val="20"/>
          <w:szCs w:val="20"/>
        </w:rPr>
      </w:pPr>
      <w:r w:rsidRPr="009711F8">
        <w:rPr>
          <w:rFonts w:ascii="Verdana" w:hAnsi="Verdana" w:eastAsia="Times New Roman" w:cs="Times New Roman"/>
          <w:sz w:val="20"/>
          <w:szCs w:val="20"/>
        </w:rPr>
        <w:t>En la subasta inversa esta disposición es aplicable sobre el precio obtenido al final de la misma”.</w:t>
      </w:r>
    </w:p>
    <w:p w:rsidRPr="009711F8" w:rsidR="0058069F" w:rsidP="0058069F" w:rsidRDefault="0058069F" w14:paraId="2684C4A3" w14:textId="77777777">
      <w:pPr>
        <w:spacing w:after="0" w:line="240" w:lineRule="auto"/>
        <w:ind w:left="708" w:right="616" w:firstLine="1"/>
        <w:jc w:val="both"/>
        <w:rPr>
          <w:rFonts w:ascii="Verdana" w:hAnsi="Verdana" w:eastAsia="Times New Roman" w:cs="Times New Roman"/>
          <w:sz w:val="21"/>
          <w:szCs w:val="21"/>
        </w:rPr>
      </w:pPr>
    </w:p>
    <w:p w:rsidRPr="009711F8" w:rsidR="0058069F" w:rsidP="0058069F" w:rsidRDefault="0058069F" w14:paraId="4E78792E" w14:textId="77777777">
      <w:pPr>
        <w:spacing w:after="120" w:line="276" w:lineRule="auto"/>
        <w:ind w:firstLine="708"/>
        <w:jc w:val="both"/>
        <w:rPr>
          <w:rFonts w:ascii="Verdana" w:hAnsi="Verdana" w:eastAsia="Times New Roman" w:cs="Arial"/>
          <w:lang w:val="es-ES"/>
        </w:rPr>
      </w:pPr>
      <w:r w:rsidRPr="009711F8">
        <w:rPr>
          <w:rFonts w:ascii="Verdana" w:hAnsi="Verdana" w:eastAsia="Times New Roman" w:cs="Arial"/>
          <w:lang w:val="es-MX"/>
        </w:rPr>
        <w:t xml:space="preserve">Así pues, el artículo 2.2.1.1.2.2.4 ibidem, establece lo que debe hacer la entidad cuando el precio de una oferta parece artificialmente bajo, esto es: i) solicitar explicación al oferente, </w:t>
      </w:r>
      <w:proofErr w:type="spellStart"/>
      <w:r w:rsidRPr="009711F8">
        <w:rPr>
          <w:rFonts w:ascii="Verdana" w:hAnsi="Verdana" w:eastAsia="Times New Roman" w:cs="Arial"/>
          <w:lang w:val="es-MX"/>
        </w:rPr>
        <w:t>ii</w:t>
      </w:r>
      <w:proofErr w:type="spellEnd"/>
      <w:r w:rsidRPr="009711F8">
        <w:rPr>
          <w:rFonts w:ascii="Verdana" w:hAnsi="Verdana" w:eastAsia="Times New Roman" w:cs="Arial"/>
          <w:lang w:val="es-MX"/>
        </w:rPr>
        <w:t xml:space="preserve">) analizar las explicaciones del oferente, </w:t>
      </w:r>
      <w:proofErr w:type="spellStart"/>
      <w:r w:rsidRPr="009711F8">
        <w:rPr>
          <w:rFonts w:ascii="Verdana" w:hAnsi="Verdana" w:eastAsia="Times New Roman" w:cs="Arial"/>
          <w:lang w:val="es-MX"/>
        </w:rPr>
        <w:t>iii</w:t>
      </w:r>
      <w:proofErr w:type="spellEnd"/>
      <w:r w:rsidRPr="009711F8">
        <w:rPr>
          <w:rFonts w:ascii="Verdana" w:hAnsi="Verdana" w:eastAsia="Times New Roman" w:cs="Arial"/>
          <w:lang w:val="es-MX"/>
        </w:rPr>
        <w:t xml:space="preserve">) el responsable de la evaluación de las ofertas debe recomendar rechazar o continuar la evaluación de la oferta, y </w:t>
      </w:r>
      <w:proofErr w:type="spellStart"/>
      <w:r w:rsidRPr="009711F8">
        <w:rPr>
          <w:rFonts w:ascii="Verdana" w:hAnsi="Verdana" w:eastAsia="Times New Roman" w:cs="Arial"/>
          <w:lang w:val="es-MX"/>
        </w:rPr>
        <w:t>iv</w:t>
      </w:r>
      <w:proofErr w:type="spellEnd"/>
      <w:r w:rsidRPr="009711F8">
        <w:rPr>
          <w:rFonts w:ascii="Verdana" w:hAnsi="Verdana" w:eastAsia="Times New Roman" w:cs="Arial"/>
          <w:lang w:val="es-MX"/>
        </w:rPr>
        <w:t>) para la subasta inversa, lo anterior se debe hacer al finalizar el evento.</w:t>
      </w:r>
    </w:p>
    <w:p w:rsidRPr="009711F8" w:rsidR="0058069F" w:rsidP="0058069F" w:rsidRDefault="0058069F" w14:paraId="7ECDBCFD" w14:textId="77777777">
      <w:pPr>
        <w:spacing w:before="120" w:line="276" w:lineRule="auto"/>
        <w:ind w:firstLine="708"/>
        <w:jc w:val="both"/>
        <w:rPr>
          <w:rFonts w:ascii="Verdana" w:hAnsi="Verdana" w:eastAsia="Times New Roman" w:cs="Arial"/>
        </w:rPr>
      </w:pPr>
      <w:r w:rsidRPr="009711F8">
        <w:rPr>
          <w:rFonts w:ascii="Verdana" w:hAnsi="Verdana" w:eastAsia="Times New Roman" w:cs="Arial"/>
          <w:lang w:val="es-ES"/>
        </w:rPr>
        <w:t>Sin embargo, debe precisarse que el análisis de los precios de una oferta se hace en la fase de evaluación del procedimiento de selección, que es la oportunidad para verificar, a través del comité evaluador</w:t>
      </w:r>
      <w:r w:rsidRPr="009711F8">
        <w:rPr>
          <w:rFonts w:ascii="Verdana" w:hAnsi="Verdana" w:eastAsia="Times New Roman" w:cs="Times New Roman"/>
          <w:kern w:val="2"/>
          <w:vertAlign w:val="superscript"/>
          <w:lang w:val="es-MX"/>
        </w:rPr>
        <w:footnoteReference w:id="3"/>
      </w:r>
      <w:r w:rsidRPr="009711F8">
        <w:rPr>
          <w:rFonts w:ascii="Verdana" w:hAnsi="Verdana" w:eastAsia="Times New Roman" w:cs="Arial"/>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rsidR="0058069F" w:rsidP="0058069F" w:rsidRDefault="0058069F" w14:paraId="35D8299A" w14:textId="77777777">
      <w:pPr>
        <w:spacing w:after="120" w:line="276" w:lineRule="auto"/>
        <w:ind w:firstLine="708"/>
        <w:jc w:val="both"/>
        <w:rPr>
          <w:rFonts w:ascii="Verdana" w:hAnsi="Verdana" w:eastAsia="Times New Roman" w:cs="Arial"/>
          <w:lang w:val="es-ES"/>
        </w:rPr>
      </w:pPr>
      <w:r w:rsidRPr="009711F8">
        <w:rPr>
          <w:rFonts w:ascii="Verdana" w:hAnsi="Verdana" w:eastAsia="Times New Roman" w:cs="Arial"/>
          <w:lang w:val="es-ES"/>
        </w:rPr>
        <w:t xml:space="preserve">En ese sentido, en la evaluación que se realiza antes de la adjudicación del contrato la entidad debe verificar la oferta y su componente económico, para determinar si corresponde con el resultado del análisis de la oferta en el estudio </w:t>
      </w:r>
      <w:r w:rsidRPr="009711F8">
        <w:rPr>
          <w:rFonts w:ascii="Verdana" w:hAnsi="Verdana" w:eastAsia="Times New Roman" w:cs="Arial"/>
          <w:lang w:val="es-ES"/>
        </w:rPr>
        <w:lastRenderedPageBreak/>
        <w:t>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rsidRPr="009711F8" w:rsidR="0058069F" w:rsidP="0058069F" w:rsidRDefault="0058069F" w14:paraId="40C0BDCE" w14:textId="77777777">
      <w:pPr>
        <w:spacing w:after="120" w:line="276" w:lineRule="auto"/>
        <w:ind w:firstLine="708"/>
        <w:jc w:val="both"/>
        <w:rPr>
          <w:rFonts w:ascii="Verdana" w:hAnsi="Verdana" w:eastAsia="Times New Roman" w:cs="Arial"/>
          <w:highlight w:val="yellow"/>
          <w:lang w:val="es-ES"/>
        </w:rPr>
      </w:pPr>
      <w:r>
        <w:rPr>
          <w:rFonts w:ascii="Verdana" w:hAnsi="Verdana" w:eastAsia="Times New Roman" w:cs="Arial"/>
          <w:lang w:val="es-ES"/>
        </w:rPr>
        <w:t xml:space="preserve">Conforme al objeto de esta consulta, resulta imperioso puntualizar que tal y cual como se establece en el Decreto 1082 de 2015 el oferente debe brindar las aclaraciones solicitadas por la entidad estatal y estas deben brindarse hasta el traslado del </w:t>
      </w:r>
      <w:proofErr w:type="spellStart"/>
      <w:r>
        <w:rPr>
          <w:rFonts w:ascii="Verdana" w:hAnsi="Verdana" w:eastAsia="Times New Roman" w:cs="Arial"/>
          <w:lang w:val="es-ES"/>
        </w:rPr>
        <w:t>termino</w:t>
      </w:r>
      <w:proofErr w:type="spellEnd"/>
      <w:r>
        <w:rPr>
          <w:rFonts w:ascii="Verdana" w:hAnsi="Verdana" w:eastAsia="Times New Roman" w:cs="Arial"/>
          <w:lang w:val="es-ES"/>
        </w:rPr>
        <w:t xml:space="preserve"> del informe de evaluación, esto, con el objetivo de brindar imparcialidad y transparencia en el proceso toda vez que antes de establecer el método de ponderación de las ofertas se debe tener claridad sobre las ofertas habilitadas. </w:t>
      </w:r>
    </w:p>
    <w:p w:rsidRPr="009711F8" w:rsidR="0058069F" w:rsidP="0058069F" w:rsidRDefault="0058069F" w14:paraId="3D3E5EE7" w14:textId="77777777">
      <w:pPr>
        <w:spacing w:after="120" w:line="276" w:lineRule="auto"/>
        <w:ind w:firstLine="708"/>
        <w:jc w:val="both"/>
        <w:rPr>
          <w:rFonts w:ascii="Verdana" w:hAnsi="Verdana" w:eastAsia="Times New Roman" w:cs="Arial"/>
          <w:lang w:val="es-ES"/>
        </w:rPr>
      </w:pPr>
      <w:r w:rsidRPr="009711F8">
        <w:rPr>
          <w:rFonts w:ascii="Verdana" w:hAnsi="Verdana" w:eastAsia="Times New Roman" w:cs="Arial"/>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w:t>
      </w:r>
      <w:proofErr w:type="spellStart"/>
      <w:r w:rsidRPr="009711F8">
        <w:rPr>
          <w:rFonts w:ascii="Verdana" w:hAnsi="Verdana" w:eastAsia="Times New Roman" w:cs="Arial"/>
          <w:lang w:val="es-ES"/>
        </w:rPr>
        <w:t>ii</w:t>
      </w:r>
      <w:proofErr w:type="spellEnd"/>
      <w:r w:rsidRPr="009711F8">
        <w:rPr>
          <w:rFonts w:ascii="Verdana" w:hAnsi="Verdana" w:eastAsia="Times New Roman" w:cs="Arial"/>
          <w:lang w:val="es-ES"/>
        </w:rPr>
        <w:t xml:space="preserve">) la comparación relativa. </w:t>
      </w:r>
    </w:p>
    <w:p w:rsidRPr="00DE6472" w:rsidR="0058069F" w:rsidP="0058069F" w:rsidRDefault="0058069F" w14:paraId="1CCBA04F" w14:textId="77777777">
      <w:pPr>
        <w:pStyle w:val="Prrafodelista"/>
        <w:tabs>
          <w:tab w:val="left" w:pos="1860"/>
        </w:tabs>
        <w:spacing w:after="200" w:line="276" w:lineRule="auto"/>
        <w:jc w:val="both"/>
        <w:rPr>
          <w:rFonts w:ascii="Verdana" w:hAnsi="Verdana" w:cs="Arial"/>
          <w:color w:val="000000" w:themeColor="text1"/>
          <w:szCs w:val="20"/>
          <w:highlight w:val="lightGray"/>
        </w:rPr>
      </w:pPr>
    </w:p>
    <w:p w:rsidRPr="003A6E04" w:rsidR="0058069F" w:rsidP="0058069F" w:rsidRDefault="0058069F" w14:paraId="4AD1A8C0" w14:textId="77777777">
      <w:pPr>
        <w:snapToGrid w:val="0"/>
        <w:spacing w:after="0" w:line="276" w:lineRule="auto"/>
        <w:ind w:left="720"/>
        <w:jc w:val="both"/>
        <w:rPr>
          <w:rFonts w:ascii="Verdana" w:hAnsi="Verdana" w:eastAsia="Calibri" w:cs="Arial"/>
          <w:lang w:val="es-ES_tradnl"/>
        </w:rPr>
      </w:pPr>
    </w:p>
    <w:p w:rsidRPr="003A6E04" w:rsidR="0058069F" w:rsidP="0058069F" w:rsidRDefault="0058069F" w14:paraId="6843B479"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3A6E04">
        <w:rPr>
          <w:rFonts w:ascii="Verdana" w:hAnsi="Verdana" w:eastAsia="Century Gothic" w:cs="Century Gothic"/>
          <w:b/>
          <w:bCs/>
          <w:lang w:val="es-ES_tradnl"/>
        </w:rPr>
        <w:t>Referencias normativas, jurisprudenciales y otras fuentes:</w:t>
      </w:r>
    </w:p>
    <w:p w:rsidRPr="003A6E04" w:rsidR="0058069F" w:rsidP="0058069F" w:rsidRDefault="0058069F" w14:paraId="086F8749" w14:textId="77777777">
      <w:pPr>
        <w:widowControl w:val="0"/>
        <w:autoSpaceDE w:val="0"/>
        <w:autoSpaceDN w:val="0"/>
        <w:snapToGrid w:val="0"/>
        <w:spacing w:after="0" w:line="276" w:lineRule="auto"/>
        <w:jc w:val="both"/>
        <w:rPr>
          <w:rFonts w:ascii="Verdana" w:hAnsi="Verdana" w:eastAsia="Calibri" w:cs="Arial"/>
          <w:lang w:val="es-ES_tradn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Look w:val="04A0" w:firstRow="1" w:lastRow="0" w:firstColumn="1" w:lastColumn="0" w:noHBand="0" w:noVBand="1"/>
      </w:tblPr>
      <w:tblGrid>
        <w:gridCol w:w="8647"/>
      </w:tblGrid>
      <w:tr w:rsidRPr="003A6E04" w:rsidR="0058069F" w:rsidTr="00986237" w14:paraId="526E9571" w14:textId="77777777">
        <w:trPr>
          <w:trHeight w:val="870"/>
        </w:trPr>
        <w:tc>
          <w:tcPr>
            <w:tcW w:w="8647" w:type="dxa"/>
          </w:tcPr>
          <w:p w:rsidRPr="003A6E04" w:rsidR="0058069F" w:rsidP="00986237" w:rsidRDefault="0058069F" w14:paraId="39A5C2A1" w14:textId="77777777">
            <w:pPr>
              <w:widowControl w:val="0"/>
              <w:numPr>
                <w:ilvl w:val="0"/>
                <w:numId w:val="18"/>
              </w:numPr>
              <w:autoSpaceDE w:val="0"/>
              <w:autoSpaceDN w:val="0"/>
              <w:snapToGrid w:val="0"/>
              <w:spacing w:after="120" w:line="276" w:lineRule="auto"/>
              <w:ind w:left="714" w:hanging="357"/>
              <w:jc w:val="both"/>
              <w:rPr>
                <w:rFonts w:ascii="Verdana" w:hAnsi="Verdana" w:eastAsia="Calibri" w:cs="Arial"/>
                <w:lang w:val="es-ES_tradnl"/>
              </w:rPr>
            </w:pPr>
            <w:r w:rsidRPr="003A6E04">
              <w:rPr>
                <w:rFonts w:ascii="Verdana" w:hAnsi="Verdana" w:eastAsia="Calibri" w:cs="Arial"/>
                <w:lang w:val="es-ES_tradnl"/>
              </w:rPr>
              <w:t xml:space="preserve">Ley 2022 de 2020, artículo 1. </w:t>
            </w:r>
          </w:p>
          <w:p w:rsidRPr="003A6E04" w:rsidR="0058069F" w:rsidP="00986237" w:rsidRDefault="0058069F" w14:paraId="27285C6D" w14:textId="77777777">
            <w:pPr>
              <w:widowControl w:val="0"/>
              <w:numPr>
                <w:ilvl w:val="0"/>
                <w:numId w:val="18"/>
              </w:numPr>
              <w:autoSpaceDE w:val="0"/>
              <w:autoSpaceDN w:val="0"/>
              <w:snapToGrid w:val="0"/>
              <w:spacing w:line="276" w:lineRule="auto"/>
              <w:ind w:left="714" w:hanging="357"/>
              <w:jc w:val="both"/>
              <w:rPr>
                <w:rFonts w:ascii="Verdana" w:hAnsi="Verdana" w:eastAsia="Calibri" w:cs="Arial"/>
                <w:lang w:val="es-ES_tradnl"/>
              </w:rPr>
            </w:pPr>
            <w:r w:rsidRPr="003A6E04">
              <w:rPr>
                <w:rFonts w:ascii="Verdana" w:hAnsi="Verdana" w:eastAsia="Calibri" w:cs="Arial"/>
                <w:lang w:val="es-ES_tradnl"/>
              </w:rPr>
              <w:t xml:space="preserve">Documentos Tipo de infraestructura de transporte. Disponibles en: </w:t>
            </w:r>
            <w:hyperlink w:history="1" r:id="rId13">
              <w:r w:rsidRPr="003A6E04">
                <w:rPr>
                  <w:rFonts w:ascii="Verdana" w:hAnsi="Verdana" w:eastAsia="Calibri" w:cs="Arial"/>
                  <w:color w:val="0000FF"/>
                  <w:u w:val="single"/>
                  <w:lang w:val="es-ES_tradnl"/>
                </w:rPr>
                <w:t>https://www.colombiacompra.gov.co/content/documentos-tipo-de-infraestructura-de-transporte</w:t>
              </w:r>
            </w:hyperlink>
            <w:r w:rsidRPr="003A6E04">
              <w:rPr>
                <w:rFonts w:ascii="Verdana" w:hAnsi="Verdana" w:eastAsia="Calibri" w:cs="Arial"/>
                <w:lang w:val="es-ES_tradnl"/>
              </w:rPr>
              <w:t xml:space="preserve">. </w:t>
            </w:r>
          </w:p>
        </w:tc>
      </w:tr>
    </w:tbl>
    <w:p w:rsidRPr="003A6E04" w:rsidR="0058069F" w:rsidP="0058069F" w:rsidRDefault="0058069F" w14:paraId="7767F3B4" w14:textId="77777777">
      <w:pPr>
        <w:widowControl w:val="0"/>
        <w:autoSpaceDE w:val="0"/>
        <w:autoSpaceDN w:val="0"/>
        <w:snapToGrid w:val="0"/>
        <w:spacing w:after="0" w:line="276" w:lineRule="auto"/>
        <w:jc w:val="both"/>
        <w:rPr>
          <w:rFonts w:ascii="Verdana" w:hAnsi="Verdana" w:eastAsia="Calibri" w:cs="Arial"/>
          <w:lang w:val="es-ES_tradnl"/>
        </w:rPr>
      </w:pPr>
    </w:p>
    <w:p w:rsidRPr="003A6E04" w:rsidR="0058069F" w:rsidP="0058069F" w:rsidRDefault="0058069F" w14:paraId="69FD308E"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3A6E04">
        <w:rPr>
          <w:rFonts w:ascii="Verdana" w:hAnsi="Verdana" w:eastAsia="Century Gothic" w:cs="Century Gothic"/>
          <w:b/>
          <w:bCs/>
          <w:lang w:val="es-ES_tradnl"/>
        </w:rPr>
        <w:lastRenderedPageBreak/>
        <w:t>Doctrina de la Agencia Nacional de Contratación Pública:</w:t>
      </w:r>
    </w:p>
    <w:p w:rsidRPr="003A6E04" w:rsidR="0058069F" w:rsidP="0058069F" w:rsidRDefault="0058069F" w14:paraId="313CB4A4" w14:textId="77777777">
      <w:pPr>
        <w:widowControl w:val="0"/>
        <w:autoSpaceDE w:val="0"/>
        <w:autoSpaceDN w:val="0"/>
        <w:snapToGrid w:val="0"/>
        <w:spacing w:after="0" w:line="276" w:lineRule="auto"/>
        <w:jc w:val="both"/>
        <w:rPr>
          <w:rFonts w:ascii="Verdana" w:hAnsi="Verdana" w:eastAsia="Calibri" w:cs="Arial"/>
          <w:lang w:val="es-ES_tradnl"/>
        </w:rPr>
      </w:pPr>
    </w:p>
    <w:p w:rsidRPr="003A6E04" w:rsidR="0058069F" w:rsidP="0058069F" w:rsidRDefault="0058069F" w14:paraId="00EAD77E" w14:textId="77777777">
      <w:pPr>
        <w:widowControl w:val="0"/>
        <w:autoSpaceDE w:val="0"/>
        <w:autoSpaceDN w:val="0"/>
        <w:snapToGrid w:val="0"/>
        <w:spacing w:after="0" w:line="276" w:lineRule="auto"/>
        <w:jc w:val="both"/>
        <w:rPr>
          <w:rFonts w:ascii="Verdana" w:hAnsi="Verdana" w:eastAsia="Calibri" w:cs="Arial"/>
          <w:kern w:val="2"/>
          <w:shd w:val="clear" w:color="auto" w:fill="FFFFFF"/>
          <w:lang w:val="es-ES"/>
          <w14:ligatures w14:val="standardContextual"/>
        </w:rPr>
      </w:pPr>
      <w:r w:rsidRPr="003A6E04">
        <w:rPr>
          <w:rFonts w:ascii="Verdana" w:hAnsi="Verdana" w:eastAsia="Calibri" w:cs="Arial"/>
          <w:kern w:val="2"/>
          <w:shd w:val="clear" w:color="auto" w:fill="FFFFFF"/>
          <w:lang w:val="es-ES"/>
          <w14:ligatures w14:val="standardContextual"/>
        </w:rPr>
        <w:t>La Agencia Nacional de Contratación Pública − Colombia Compra Eficiente</w:t>
      </w:r>
      <w:r w:rsidRPr="003A6E04">
        <w:rPr>
          <w:rFonts w:ascii="Verdana" w:hAnsi="Verdana" w:eastAsia="Aptos" w:cs="Times New Roman"/>
          <w:kern w:val="2"/>
          <w:lang w:val="es-ES_tradnl"/>
          <w14:ligatures w14:val="standardContextual"/>
        </w:rPr>
        <w:t xml:space="preserve"> se pronunció sobre</w:t>
      </w:r>
      <w:r>
        <w:rPr>
          <w:rFonts w:ascii="Verdana" w:hAnsi="Verdana" w:eastAsia="Aptos" w:cs="Times New Roman"/>
          <w:kern w:val="2"/>
          <w:lang w:val="es-ES_tradnl"/>
          <w14:ligatures w14:val="standardContextual"/>
        </w:rPr>
        <w:t xml:space="preserve"> el método de ponderación de las ofertas económicas y los precios artificialmente bajos</w:t>
      </w:r>
      <w:r w:rsidRPr="003A6E04">
        <w:rPr>
          <w:rFonts w:ascii="Verdana" w:hAnsi="Verdana" w:eastAsia="Calibri" w:cs="Arial"/>
          <w:kern w:val="2"/>
          <w:shd w:val="clear" w:color="auto" w:fill="FFFFFF"/>
          <w:lang w:val="es-ES"/>
          <w14:ligatures w14:val="standardContextual"/>
        </w:rPr>
        <w:t xml:space="preserve">, en los conceptos </w:t>
      </w:r>
      <w:r>
        <w:rPr>
          <w:rFonts w:ascii="Verdana" w:hAnsi="Verdana" w:eastAsia="Calibri" w:cs="Arial"/>
          <w:kern w:val="2"/>
          <w:shd w:val="clear" w:color="auto" w:fill="FFFFFF"/>
          <w:lang w:val="es-ES"/>
          <w14:ligatures w14:val="standardContextual"/>
        </w:rPr>
        <w:t>C- 1395 del 25 de septiembre de 2025, C- 1299 del 10 de septiembre de 2025, C- 1378 del 22 de septiembre de 2025, C- 1235 del 07 de octubre de 2025, C- 1237 del 01 de septiembre de 2025, C- 1069 del 12 de septiembre de 2025, C- 1042 del 28 de julio de 2025, C- 1001 del 22 de julio de 2025, C- 982 del 18 de julio de 2025, C- 850 del 26 de junio de 2025, C- 769 del 25 de julio de 2025, C- 573 del 19 de junio de 2025, C- 409 del 17 de junio de 2025, C- 594 del 16 de mayo de 2025, C- 408 del 13 de mayo de 2025, C- 329 del 25 de abril de 2025, C- 860 del 27 de diciembre de 2024, C- 1031 del 18 de diciembre de 2024, C- 716 del 21 de noviembre de 2024, C- 669 del 13 de noviembre de 2024, C- 268 del 02 de octubre de 2024, C- 507 del 23 de agosto de 2024, C- 220 del 25 de junio de 2024, C- 952 del 20 de enero de 2023</w:t>
      </w:r>
      <w:r w:rsidRPr="003A6E04">
        <w:rPr>
          <w:rFonts w:ascii="Verdana" w:hAnsi="Verdana" w:eastAsia="Calibri" w:cs="Arial"/>
          <w:kern w:val="2"/>
          <w:shd w:val="clear" w:color="auto" w:fill="FFFFFF"/>
          <w:lang w:val="es-ES"/>
          <w14:ligatures w14:val="standardContextual"/>
        </w:rPr>
        <w:t xml:space="preserve">, etc.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rsidRPr="003A6E04" w:rsidR="0058069F" w:rsidP="0058069F" w:rsidRDefault="0058069F" w14:paraId="4C599D11" w14:textId="77777777">
      <w:pPr>
        <w:widowControl w:val="0"/>
        <w:autoSpaceDE w:val="0"/>
        <w:autoSpaceDN w:val="0"/>
        <w:spacing w:after="0" w:line="276" w:lineRule="auto"/>
        <w:jc w:val="both"/>
        <w:rPr>
          <w:rFonts w:ascii="Verdana" w:hAnsi="Verdana" w:eastAsia="Calibri" w:cs="Arial"/>
          <w:shd w:val="clear" w:color="auto" w:fill="FFFFFF"/>
          <w:lang w:val="es-ES_tradnl"/>
        </w:rPr>
      </w:pPr>
    </w:p>
    <w:p w:rsidRPr="003A6E04" w:rsidR="0058069F" w:rsidP="0058069F" w:rsidRDefault="0058069F" w14:paraId="24EB7A08" w14:textId="77777777">
      <w:pPr>
        <w:widowControl w:val="0"/>
        <w:autoSpaceDE w:val="0"/>
        <w:autoSpaceDN w:val="0"/>
        <w:spacing w:after="0" w:line="276" w:lineRule="auto"/>
        <w:jc w:val="both"/>
        <w:rPr>
          <w:rFonts w:ascii="Verdana" w:hAnsi="Verdana" w:eastAsia="Calibri" w:cs="Arial"/>
          <w:shd w:val="clear" w:color="auto" w:fill="FFFFFF"/>
          <w:lang w:val="es-ES_tradnl"/>
        </w:rPr>
      </w:pPr>
      <w:r w:rsidRPr="003A6E04">
        <w:rPr>
          <w:rFonts w:ascii="Verdana" w:hAnsi="Verdana" w:eastAsia="Calibri" w:cs="Arial"/>
          <w:shd w:val="clear" w:color="auto" w:fill="FFFFFF"/>
          <w:lang w:val="es-ES_tradnl"/>
        </w:rPr>
        <w:t>De otra parte, te contamos que ya publicamos el borrador de la nueva Guía de Contratación Pública Sostenible y Socialmente Responsable. Conoce el documento y realiza tus comentarios hasta el 14 de noviembre de 2024 a través del siguiente enlace: </w:t>
      </w:r>
      <w:hyperlink w:tooltip="Original URL:&#10;https://www.sucop.gov.co/entidades/colombiacompra/Normativa?IDNorma=18320&#10;&#10;Click to follow link." w:history="1" r:id="rId14">
        <w:r w:rsidRPr="003A6E04">
          <w:rPr>
            <w:rFonts w:ascii="Verdana" w:hAnsi="Verdana" w:eastAsia="Calibri" w:cs="Arial"/>
            <w:color w:val="0000FF"/>
            <w:u w:val="single"/>
            <w:shd w:val="clear" w:color="auto" w:fill="FFFFFF"/>
            <w:lang w:val="es-ES_tradnl"/>
          </w:rPr>
          <w:t>https://www.sucop.gov.co/entidades/colombiacompra/Normativa?IDNorma=18320</w:t>
        </w:r>
      </w:hyperlink>
      <w:r w:rsidRPr="003A6E04">
        <w:rPr>
          <w:rFonts w:ascii="Verdana" w:hAnsi="Verdana" w:eastAsia="Calibri" w:cs="Arial"/>
          <w:shd w:val="clear" w:color="auto" w:fill="FFFFFF"/>
          <w:lang w:val="es-ES_tradnl"/>
        </w:rPr>
        <w:t>.</w:t>
      </w:r>
    </w:p>
    <w:p w:rsidRPr="003A6E04" w:rsidR="0058069F" w:rsidP="0058069F" w:rsidRDefault="0058069F" w14:paraId="78B55693" w14:textId="77777777">
      <w:pPr>
        <w:widowControl w:val="0"/>
        <w:autoSpaceDE w:val="0"/>
        <w:autoSpaceDN w:val="0"/>
        <w:spacing w:after="0" w:line="276" w:lineRule="auto"/>
        <w:jc w:val="both"/>
        <w:rPr>
          <w:rFonts w:ascii="Verdana" w:hAnsi="Verdana" w:eastAsia="Calibri" w:cs="Arial"/>
          <w:shd w:val="clear" w:color="auto" w:fill="FFFFFF"/>
          <w:lang w:val="es-ES_tradnl"/>
        </w:rPr>
      </w:pPr>
    </w:p>
    <w:p w:rsidRPr="003A6E04" w:rsidR="0058069F" w:rsidP="0058069F" w:rsidRDefault="0058069F" w14:paraId="5FC74527" w14:textId="77777777">
      <w:pPr>
        <w:widowControl w:val="0"/>
        <w:autoSpaceDE w:val="0"/>
        <w:autoSpaceDN w:val="0"/>
        <w:spacing w:after="0" w:line="276" w:lineRule="auto"/>
        <w:jc w:val="both"/>
        <w:rPr>
          <w:rFonts w:ascii="Verdana" w:hAnsi="Verdana" w:eastAsia="Calibri" w:cs="Arial"/>
          <w:shd w:val="clear" w:color="auto" w:fill="FFFFFF"/>
          <w:lang w:val="es-ES"/>
        </w:rPr>
      </w:pPr>
      <w:r w:rsidRPr="003A6E04">
        <w:rPr>
          <w:rFonts w:ascii="Verdana" w:hAnsi="Verdana" w:eastAsia="Calibri" w:cs="Arial"/>
          <w:shd w:val="clear" w:color="auto" w:fill="FFFFFF"/>
          <w:lang w:val="es-ES"/>
        </w:rPr>
        <w:t>También le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Agencia: </w:t>
      </w:r>
      <w:hyperlink w:tgtFrame="_blank" w:tooltip="Original URL:&#10;https://www.colombiacompra.gov.co/sala-de-prensa/boletin-digital&#10;&#10;Click to follow link." w:history="1" r:id="rId15">
        <w:r w:rsidRPr="003A6E04">
          <w:rPr>
            <w:rFonts w:ascii="Verdana" w:hAnsi="Verdana" w:eastAsia="Calibri" w:cs="Arial"/>
            <w:color w:val="0000FF"/>
            <w:u w:val="single"/>
            <w:shd w:val="clear" w:color="auto" w:fill="FFFFFF"/>
            <w:lang w:val="es-ES"/>
          </w:rPr>
          <w:t>https://www.colombiacompra.gov.co/sala-de-prensa/boletin-digital</w:t>
        </w:r>
      </w:hyperlink>
      <w:r w:rsidRPr="003A6E04">
        <w:rPr>
          <w:rFonts w:ascii="Verdana" w:hAnsi="Verdana" w:eastAsia="Calibri" w:cs="Arial"/>
          <w:shd w:val="clear" w:color="auto" w:fill="FFFFFF"/>
          <w:lang w:val="es-ES"/>
        </w:rPr>
        <w:t>.   </w:t>
      </w:r>
    </w:p>
    <w:p w:rsidRPr="003A6E04" w:rsidR="0058069F" w:rsidP="0058069F" w:rsidRDefault="0058069F" w14:paraId="7AB4DDD4" w14:textId="77777777">
      <w:pPr>
        <w:widowControl w:val="0"/>
        <w:autoSpaceDE w:val="0"/>
        <w:autoSpaceDN w:val="0"/>
        <w:spacing w:after="0" w:line="276" w:lineRule="auto"/>
        <w:jc w:val="both"/>
        <w:rPr>
          <w:rFonts w:ascii="Verdana" w:hAnsi="Verdana" w:eastAsia="Calibri" w:cs="Arial"/>
          <w:shd w:val="clear" w:color="auto" w:fill="FFFFFF"/>
          <w:lang w:val="es-ES_tradnl"/>
        </w:rPr>
      </w:pPr>
    </w:p>
    <w:p w:rsidRPr="003A6E04" w:rsidR="0058069F" w:rsidP="0058069F" w:rsidRDefault="0058069F" w14:paraId="07AF071A" w14:textId="77777777">
      <w:pPr>
        <w:spacing w:after="0" w:line="276" w:lineRule="auto"/>
        <w:jc w:val="both"/>
        <w:rPr>
          <w:rFonts w:ascii="Verdana" w:hAnsi="Verdana" w:eastAsia="Calibri" w:cs="Times New Roman"/>
          <w:lang w:val="es-ES_tradnl"/>
        </w:rPr>
      </w:pPr>
      <w:r w:rsidRPr="003A6E04">
        <w:rPr>
          <w:rFonts w:ascii="Verdana" w:hAnsi="Verdana" w:eastAsia="Calibri" w:cs="Times New Roman"/>
          <w:lang w:val="es-ES_tradnl"/>
        </w:rPr>
        <w:t xml:space="preserve">Por último, los invitamos a seguirnos en las redes sociales, en las cuales se difunde información institucional: </w:t>
      </w:r>
    </w:p>
    <w:p w:rsidRPr="003A6E04" w:rsidR="0058069F" w:rsidP="0058069F" w:rsidRDefault="0058069F" w14:paraId="60B0384D" w14:textId="77777777">
      <w:pPr>
        <w:spacing w:after="0" w:line="240" w:lineRule="auto"/>
        <w:jc w:val="both"/>
        <w:rPr>
          <w:rFonts w:ascii="Verdana" w:hAnsi="Verdana" w:eastAsia="Calibri" w:cs="Times New Roman"/>
          <w:lang w:val="es-ES_tradnl"/>
        </w:rPr>
      </w:pPr>
    </w:p>
    <w:p w:rsidRPr="003A6E04" w:rsidR="0058069F" w:rsidP="0058069F" w:rsidRDefault="0058069F" w14:paraId="636CC33A" w14:textId="77777777">
      <w:pPr>
        <w:spacing w:after="0" w:line="240" w:lineRule="auto"/>
        <w:jc w:val="both"/>
        <w:rPr>
          <w:rFonts w:ascii="Verdana" w:hAnsi="Verdana" w:eastAsia="Calibri" w:cs="Times New Roman"/>
          <w:lang w:val="es-ES_tradnl"/>
        </w:rPr>
      </w:pPr>
      <w:r w:rsidRPr="003A6E04">
        <w:rPr>
          <w:rFonts w:ascii="Verdana" w:hAnsi="Verdana" w:eastAsia="Calibri" w:cs="Times New Roman"/>
          <w:lang w:val="es-ES_tradnl"/>
        </w:rPr>
        <w:t xml:space="preserve">Twitter: </w:t>
      </w:r>
      <w:r w:rsidRPr="003A6E04">
        <w:rPr>
          <w:rFonts w:ascii="Verdana" w:hAnsi="Verdana" w:eastAsia="Calibri" w:cs="Times New Roman"/>
          <w:u w:val="single"/>
          <w:lang w:val="es-ES_tradnl"/>
        </w:rPr>
        <w:t>@colombiacompra</w:t>
      </w:r>
      <w:r w:rsidRPr="003A6E04">
        <w:rPr>
          <w:rFonts w:ascii="Verdana" w:hAnsi="Verdana" w:eastAsia="Calibri" w:cs="Times New Roman"/>
          <w:lang w:val="es-ES_tradnl"/>
        </w:rPr>
        <w:t xml:space="preserve"> </w:t>
      </w:r>
    </w:p>
    <w:p w:rsidRPr="003A6E04" w:rsidR="0058069F" w:rsidP="0058069F" w:rsidRDefault="0058069F" w14:paraId="5E8A7F6E" w14:textId="77777777">
      <w:pPr>
        <w:spacing w:after="0" w:line="240" w:lineRule="auto"/>
        <w:jc w:val="both"/>
        <w:rPr>
          <w:rFonts w:ascii="Verdana" w:hAnsi="Verdana" w:eastAsia="Calibri" w:cs="Times New Roman"/>
          <w:lang w:val="es-ES"/>
        </w:rPr>
      </w:pPr>
      <w:r w:rsidRPr="003A6E04">
        <w:rPr>
          <w:rFonts w:ascii="Verdana" w:hAnsi="Verdana" w:eastAsia="Calibri" w:cs="Times New Roman"/>
          <w:lang w:val="es-ES"/>
        </w:rPr>
        <w:t xml:space="preserve">Facebook: </w:t>
      </w:r>
      <w:proofErr w:type="spellStart"/>
      <w:r w:rsidRPr="003A6E04">
        <w:rPr>
          <w:rFonts w:ascii="Verdana" w:hAnsi="Verdana" w:eastAsia="Calibri" w:cs="Times New Roman"/>
          <w:u w:val="single"/>
          <w:lang w:val="es-ES"/>
        </w:rPr>
        <w:t>ColombiaCompraEficiente</w:t>
      </w:r>
      <w:proofErr w:type="spellEnd"/>
    </w:p>
    <w:p w:rsidRPr="003A6E04" w:rsidR="0058069F" w:rsidP="0058069F" w:rsidRDefault="0058069F" w14:paraId="0247865E" w14:textId="77777777">
      <w:pPr>
        <w:spacing w:after="0" w:line="240" w:lineRule="auto"/>
        <w:jc w:val="both"/>
        <w:rPr>
          <w:rFonts w:ascii="Verdana" w:hAnsi="Verdana" w:eastAsia="Calibri" w:cs="Times New Roman"/>
          <w:lang w:val="es-ES_tradnl"/>
        </w:rPr>
      </w:pPr>
      <w:r w:rsidRPr="003A6E04">
        <w:rPr>
          <w:rFonts w:ascii="Verdana" w:hAnsi="Verdana" w:eastAsia="Calibri" w:cs="Times New Roman"/>
          <w:lang w:val="es-ES_tradnl"/>
        </w:rPr>
        <w:t xml:space="preserve">LinkedIn: </w:t>
      </w:r>
      <w:r w:rsidRPr="003A6E04">
        <w:rPr>
          <w:rFonts w:ascii="Verdana" w:hAnsi="Verdana" w:eastAsia="Calibri" w:cs="Times New Roman"/>
          <w:u w:val="single"/>
          <w:lang w:val="es-ES_tradnl"/>
        </w:rPr>
        <w:t>Agencia Nacional de Contratación Pública - Colombia Compra Eficiente</w:t>
      </w:r>
      <w:r w:rsidRPr="003A6E04">
        <w:rPr>
          <w:rFonts w:ascii="Verdana" w:hAnsi="Verdana" w:eastAsia="Calibri" w:cs="Times New Roman"/>
          <w:lang w:val="es-ES_tradnl"/>
        </w:rPr>
        <w:t xml:space="preserve"> Instagram: </w:t>
      </w:r>
      <w:r w:rsidRPr="003A6E04">
        <w:rPr>
          <w:rFonts w:ascii="Verdana" w:hAnsi="Verdana" w:eastAsia="Calibri" w:cs="Times New Roman"/>
          <w:u w:val="single"/>
          <w:lang w:val="es-ES_tradnl"/>
        </w:rPr>
        <w:t>@colombiacompraeficiente_cce</w:t>
      </w:r>
    </w:p>
    <w:p w:rsidRPr="003A6E04" w:rsidR="0058069F" w:rsidP="0058069F" w:rsidRDefault="0058069F" w14:paraId="0CFA6ABD" w14:textId="77777777">
      <w:pPr>
        <w:widowControl w:val="0"/>
        <w:autoSpaceDE w:val="0"/>
        <w:autoSpaceDN w:val="0"/>
        <w:spacing w:after="0" w:line="276" w:lineRule="auto"/>
        <w:jc w:val="both"/>
        <w:rPr>
          <w:rFonts w:ascii="Verdana" w:hAnsi="Verdana" w:eastAsia="Calibri" w:cs="Arial"/>
          <w:lang w:val="es-ES_tradnl"/>
        </w:rPr>
      </w:pPr>
    </w:p>
    <w:p w:rsidRPr="003A6E04" w:rsidR="0058069F" w:rsidP="0058069F" w:rsidRDefault="0058069F" w14:paraId="7DDD9D0A" w14:textId="77777777">
      <w:pPr>
        <w:widowControl w:val="0"/>
        <w:autoSpaceDE w:val="0"/>
        <w:autoSpaceDN w:val="0"/>
        <w:spacing w:after="0" w:line="276" w:lineRule="auto"/>
        <w:jc w:val="both"/>
        <w:rPr>
          <w:rFonts w:ascii="Verdana" w:hAnsi="Verdana" w:eastAsia="Calibri" w:cs="Arial"/>
          <w:lang w:val="es-ES_tradnl"/>
        </w:rPr>
      </w:pPr>
      <w:r w:rsidRPr="003A6E04">
        <w:rPr>
          <w:rFonts w:ascii="Verdana" w:hAnsi="Verdana" w:eastAsia="Calibri"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3A6E04" w:rsidR="0058069F" w:rsidP="0058069F" w:rsidRDefault="0058069F" w14:paraId="39DE8B4D" w14:textId="77777777">
      <w:pPr>
        <w:widowControl w:val="0"/>
        <w:autoSpaceDE w:val="0"/>
        <w:autoSpaceDN w:val="0"/>
        <w:spacing w:after="0" w:line="276" w:lineRule="auto"/>
        <w:jc w:val="both"/>
        <w:rPr>
          <w:rFonts w:ascii="Verdana" w:hAnsi="Verdana" w:eastAsia="Calibri" w:cs="Arial"/>
          <w:lang w:val="es-ES_tradnl"/>
        </w:rPr>
      </w:pPr>
    </w:p>
    <w:p w:rsidR="0058069F" w:rsidP="0058069F" w:rsidRDefault="0058069F" w14:paraId="2992CB49" w14:textId="77777777">
      <w:pPr>
        <w:spacing w:after="0" w:line="240" w:lineRule="auto"/>
        <w:rPr>
          <w:rFonts w:ascii="Verdana" w:hAnsi="Verdana" w:eastAsia="Calibri" w:cs="Arial"/>
          <w:lang w:val="es-ES_tradnl" w:eastAsia="es-CO"/>
        </w:rPr>
      </w:pPr>
      <w:r w:rsidRPr="003A6E04">
        <w:rPr>
          <w:rFonts w:ascii="Verdana" w:hAnsi="Verdana" w:eastAsia="Times New Roman" w:cs="Arial"/>
          <w:lang w:val="es-ES_tradnl" w:eastAsia="es-CO"/>
        </w:rPr>
        <w:t>Atentamente,</w:t>
      </w:r>
      <w:r w:rsidRPr="003A6E04">
        <w:rPr>
          <w:rFonts w:ascii="Verdana" w:hAnsi="Verdana" w:eastAsia="Calibri" w:cs="Arial"/>
          <w:lang w:val="es-ES_tradnl" w:eastAsia="es-CO"/>
        </w:rPr>
        <w:t xml:space="preserve"> </w:t>
      </w:r>
    </w:p>
    <w:p w:rsidRPr="009F1C4B" w:rsidR="007A718D" w:rsidP="0058069F" w:rsidRDefault="007A718D" w14:paraId="1E382F5A" w14:textId="77777777">
      <w:pPr>
        <w:spacing w:after="0" w:line="240" w:lineRule="auto"/>
        <w:rPr>
          <w:rFonts w:ascii="Verdana" w:hAnsi="Verdana" w:eastAsia="Calibri" w:cs="Arial"/>
          <w:lang w:val="es-ES_tradnl" w:eastAsia="es-CO"/>
        </w:rPr>
      </w:pPr>
    </w:p>
    <w:p w:rsidR="0058069F" w:rsidP="0058069F" w:rsidRDefault="007A718D" w14:paraId="7F8D7FD7" w14:textId="639B1EAE">
      <w:pPr>
        <w:spacing w:line="276" w:lineRule="auto"/>
        <w:jc w:val="center"/>
        <w:rPr>
          <w:rFonts w:ascii="Century Gothic" w:hAnsi="Century Gothic" w:eastAsia="Calibri" w:cs="Arial"/>
          <w:noProof/>
          <w:lang w:val="es-ES_tradnl" w:eastAsia="es-CO"/>
        </w:rPr>
      </w:pPr>
      <w:r>
        <w:rPr>
          <w:rFonts w:ascii="Century Gothic" w:hAnsi="Century Gothic" w:eastAsia="Calibri" w:cs="Arial"/>
          <w:noProof/>
          <w:lang w:val="es-ES_tradnl" w:eastAsia="es-CO"/>
        </w:rPr>
        <w:drawing>
          <wp:inline distT="0" distB="0" distL="0" distR="0" wp14:anchorId="50F4E721" wp14:editId="11A7EC80">
            <wp:extent cx="4307205" cy="1851932"/>
            <wp:effectExtent l="0" t="0" r="0" b="0"/>
            <wp:docPr id="3497708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770861" name="Imagen 349770861"/>
                    <pic:cNvPicPr/>
                  </pic:nvPicPr>
                  <pic:blipFill>
                    <a:blip r:embed="rId16">
                      <a:extLst>
                        <a:ext uri="{28A0092B-C50C-407E-A947-70E740481C1C}">
                          <a14:useLocalDpi xmlns:a14="http://schemas.microsoft.com/office/drawing/2010/main" val="0"/>
                        </a:ext>
                      </a:extLst>
                    </a:blip>
                    <a:stretch>
                      <a:fillRect/>
                    </a:stretch>
                  </pic:blipFill>
                  <pic:spPr>
                    <a:xfrm>
                      <a:off x="0" y="0"/>
                      <a:ext cx="4311050" cy="1853585"/>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3A6E04" w:rsidR="0058069F" w:rsidTr="00986237" w14:paraId="5323E8B5" w14:textId="77777777">
        <w:trPr>
          <w:trHeight w:val="315"/>
        </w:trPr>
        <w:tc>
          <w:tcPr>
            <w:tcW w:w="893" w:type="dxa"/>
            <w:vAlign w:val="center"/>
            <w:hideMark/>
          </w:tcPr>
          <w:p w:rsidRPr="003A6E04" w:rsidR="0058069F" w:rsidP="00986237" w:rsidRDefault="0058069F" w14:paraId="726E5084" w14:textId="77777777">
            <w:pPr>
              <w:rPr>
                <w:rFonts w:ascii="Verdana" w:hAnsi="Verdana" w:eastAsia="Calibri" w:cs="Arial"/>
                <w:sz w:val="16"/>
                <w:szCs w:val="16"/>
                <w:lang w:val="es-ES_tradnl" w:eastAsia="es-ES"/>
              </w:rPr>
            </w:pPr>
            <w:r w:rsidRPr="003A6E04">
              <w:rPr>
                <w:rFonts w:ascii="Verdana" w:hAnsi="Verdana" w:eastAsia="Calibri" w:cs="Arial"/>
                <w:sz w:val="16"/>
                <w:szCs w:val="16"/>
                <w:lang w:val="es-ES_tradnl" w:eastAsia="es-ES"/>
              </w:rPr>
              <w:t>Elaboró:</w:t>
            </w:r>
          </w:p>
        </w:tc>
        <w:tc>
          <w:tcPr>
            <w:tcW w:w="5628" w:type="dxa"/>
            <w:tcBorders>
              <w:top w:val="nil"/>
              <w:left w:val="nil"/>
              <w:bottom w:val="dotted" w:color="7F7F7F" w:sz="4" w:space="0"/>
              <w:right w:val="nil"/>
            </w:tcBorders>
            <w:vAlign w:val="center"/>
            <w:hideMark/>
          </w:tcPr>
          <w:p w:rsidRPr="003A6E04" w:rsidR="0058069F" w:rsidP="0058069F" w:rsidRDefault="0058069F" w14:paraId="315A8535" w14:textId="312DEEFD">
            <w:pPr>
              <w:textAlignment w:val="baseline"/>
              <w:rPr>
                <w:rFonts w:ascii="Verdana" w:hAnsi="Verdana" w:eastAsia="Times New Roman" w:cs="Segoe UI"/>
                <w:sz w:val="16"/>
                <w:szCs w:val="16"/>
                <w:lang w:val="es-ES_tradnl" w:eastAsia="es-ES_tradnl"/>
              </w:rPr>
            </w:pPr>
            <w:r>
              <w:rPr>
                <w:rFonts w:ascii="Verdana" w:hAnsi="Verdana" w:eastAsia="Times New Roman" w:cs="Segoe UI"/>
                <w:sz w:val="16"/>
                <w:szCs w:val="16"/>
                <w:lang w:val="es-ES_tradnl" w:eastAsia="es-ES_tradnl"/>
              </w:rPr>
              <w:t xml:space="preserve">Karol Andrea Gonzalez Marin </w:t>
            </w:r>
          </w:p>
          <w:p w:rsidRPr="003A6E04" w:rsidR="0058069F" w:rsidP="0058069F" w:rsidRDefault="0058069F" w14:paraId="4B3BE097" w14:textId="78B4FECB">
            <w:pPr>
              <w:rPr>
                <w:rFonts w:ascii="Verdana" w:hAnsi="Verdana" w:eastAsia="Arial" w:cs="Arial"/>
                <w:sz w:val="16"/>
                <w:szCs w:val="16"/>
                <w:lang w:val="es-ES_tradnl"/>
              </w:rPr>
            </w:pPr>
            <w:r w:rsidRPr="003A6E04">
              <w:rPr>
                <w:rFonts w:ascii="Verdana" w:hAnsi="Verdana" w:eastAsia="Times New Roman" w:cs="Arial"/>
                <w:sz w:val="16"/>
                <w:szCs w:val="16"/>
                <w:lang w:val="es-ES_tradnl" w:eastAsia="es-ES_tradnl"/>
              </w:rPr>
              <w:t>Contratista de la Subdirección de Gestión Contractual</w:t>
            </w:r>
          </w:p>
        </w:tc>
      </w:tr>
      <w:tr w:rsidRPr="003A6E04" w:rsidR="0058069F" w:rsidTr="00986237" w14:paraId="2454CA06" w14:textId="77777777">
        <w:trPr>
          <w:trHeight w:val="330"/>
        </w:trPr>
        <w:tc>
          <w:tcPr>
            <w:tcW w:w="893" w:type="dxa"/>
            <w:vAlign w:val="center"/>
            <w:hideMark/>
          </w:tcPr>
          <w:p w:rsidRPr="003A6E04" w:rsidR="0058069F" w:rsidP="00986237" w:rsidRDefault="0058069F" w14:paraId="23A33827" w14:textId="77777777">
            <w:pPr>
              <w:rPr>
                <w:rFonts w:ascii="Verdana" w:hAnsi="Verdana" w:eastAsia="Calibri" w:cs="Arial"/>
                <w:sz w:val="16"/>
                <w:szCs w:val="16"/>
                <w:lang w:val="es-ES_tradnl" w:eastAsia="es-ES"/>
              </w:rPr>
            </w:pPr>
            <w:r w:rsidRPr="003A6E04">
              <w:rPr>
                <w:rFonts w:ascii="Verdana" w:hAnsi="Verdana" w:eastAsia="Calibri" w:cs="Arial"/>
                <w:sz w:val="16"/>
                <w:szCs w:val="16"/>
                <w:lang w:val="es-ES_tradnl" w:eastAsia="es-ES"/>
              </w:rPr>
              <w:t>Revisó:</w:t>
            </w:r>
          </w:p>
        </w:tc>
        <w:tc>
          <w:tcPr>
            <w:tcW w:w="5628" w:type="dxa"/>
            <w:tcBorders>
              <w:top w:val="dotted" w:color="7F7F7F" w:sz="4" w:space="0"/>
              <w:left w:val="nil"/>
              <w:bottom w:val="dotted" w:color="7F7F7F" w:sz="4" w:space="0"/>
              <w:right w:val="nil"/>
            </w:tcBorders>
            <w:vAlign w:val="center"/>
            <w:hideMark/>
          </w:tcPr>
          <w:p w:rsidRPr="003A6E04" w:rsidR="0058069F" w:rsidP="00986237" w:rsidRDefault="0058069F" w14:paraId="47AE062F" w14:textId="77777777">
            <w:pPr>
              <w:textAlignment w:val="baseline"/>
              <w:rPr>
                <w:rFonts w:ascii="Verdana" w:hAnsi="Verdana" w:eastAsia="Times New Roman" w:cs="Segoe UI"/>
                <w:sz w:val="16"/>
                <w:szCs w:val="16"/>
                <w:lang w:val="es-ES_tradnl" w:eastAsia="es-ES_tradnl"/>
              </w:rPr>
            </w:pPr>
            <w:r>
              <w:rPr>
                <w:rFonts w:ascii="Verdana" w:hAnsi="Verdana" w:eastAsia="Times New Roman" w:cs="Segoe UI"/>
                <w:sz w:val="16"/>
                <w:szCs w:val="16"/>
                <w:lang w:val="es-ES_tradnl" w:eastAsia="es-ES_tradnl"/>
              </w:rPr>
              <w:t>Juan David Cárdenas Cabeza</w:t>
            </w:r>
          </w:p>
          <w:p w:rsidRPr="003A6E04" w:rsidR="0058069F" w:rsidP="00986237" w:rsidRDefault="0058069F" w14:paraId="7A3026FE" w14:textId="77777777">
            <w:pPr>
              <w:textAlignment w:val="baseline"/>
              <w:rPr>
                <w:rFonts w:ascii="Verdana" w:hAnsi="Verdana" w:eastAsia="Times New Roman" w:cs="Segoe UI"/>
                <w:sz w:val="16"/>
                <w:szCs w:val="16"/>
                <w:lang w:val="es-ES_tradnl" w:eastAsia="es-ES_tradnl"/>
              </w:rPr>
            </w:pPr>
            <w:r w:rsidRPr="003A6E04">
              <w:rPr>
                <w:rFonts w:ascii="Verdana" w:hAnsi="Verdana" w:eastAsia="Times New Roman" w:cs="Arial"/>
                <w:sz w:val="16"/>
                <w:szCs w:val="16"/>
                <w:lang w:val="es-ES_tradnl" w:eastAsia="es-ES_tradnl"/>
              </w:rPr>
              <w:t>Contratista de la Subdirección de Gestión Contractual </w:t>
            </w:r>
          </w:p>
        </w:tc>
      </w:tr>
      <w:tr w:rsidRPr="003A6E04" w:rsidR="0058069F" w:rsidTr="00986237" w14:paraId="6073FAF8" w14:textId="77777777">
        <w:trPr>
          <w:trHeight w:val="300"/>
        </w:trPr>
        <w:tc>
          <w:tcPr>
            <w:tcW w:w="893" w:type="dxa"/>
            <w:vAlign w:val="center"/>
          </w:tcPr>
          <w:p w:rsidRPr="003A6E04" w:rsidR="0058069F" w:rsidP="00986237" w:rsidRDefault="0058069F" w14:paraId="63D70372" w14:textId="77777777">
            <w:pPr>
              <w:rPr>
                <w:rFonts w:ascii="Verdana" w:hAnsi="Verdana" w:eastAsia="Calibri" w:cs="Arial"/>
                <w:sz w:val="16"/>
                <w:szCs w:val="16"/>
                <w:lang w:val="es-ES_tradnl" w:eastAsia="es-ES"/>
              </w:rPr>
            </w:pPr>
            <w:r w:rsidRPr="003A6E04">
              <w:rPr>
                <w:rFonts w:ascii="Verdana" w:hAnsi="Verdana" w:eastAsia="Calibri" w:cs="Arial"/>
                <w:sz w:val="16"/>
                <w:szCs w:val="16"/>
                <w:lang w:val="es-ES_tradnl" w:eastAsia="es-ES"/>
              </w:rPr>
              <w:t>Aprobó:</w:t>
            </w:r>
          </w:p>
        </w:tc>
        <w:tc>
          <w:tcPr>
            <w:tcW w:w="5628" w:type="dxa"/>
            <w:tcBorders>
              <w:top w:val="dotted" w:color="7F7F7F" w:sz="4" w:space="0"/>
              <w:left w:val="nil"/>
              <w:bottom w:val="dotted" w:color="7F7F7F" w:sz="4" w:space="0"/>
              <w:right w:val="nil"/>
            </w:tcBorders>
            <w:vAlign w:val="center"/>
          </w:tcPr>
          <w:p w:rsidRPr="003A6E04" w:rsidR="0058069F" w:rsidP="00986237" w:rsidRDefault="0058069F" w14:paraId="4AAC2041" w14:textId="77777777">
            <w:pPr>
              <w:rPr>
                <w:rFonts w:ascii="Verdana" w:hAnsi="Verdana" w:eastAsia="Calibri" w:cs="Arial"/>
                <w:sz w:val="16"/>
                <w:szCs w:val="16"/>
                <w:lang w:val="es-ES" w:eastAsia="es-ES"/>
              </w:rPr>
            </w:pPr>
            <w:r w:rsidRPr="003A6E04">
              <w:rPr>
                <w:rFonts w:ascii="Verdana" w:hAnsi="Verdana" w:eastAsia="Calibri" w:cs="Arial"/>
                <w:sz w:val="16"/>
                <w:szCs w:val="16"/>
                <w:lang w:val="es-ES" w:eastAsia="es-ES"/>
              </w:rPr>
              <w:t xml:space="preserve">Carolina Quintero </w:t>
            </w:r>
            <w:proofErr w:type="spellStart"/>
            <w:r w:rsidRPr="003A6E04">
              <w:rPr>
                <w:rFonts w:ascii="Verdana" w:hAnsi="Verdana" w:eastAsia="Calibri" w:cs="Arial"/>
                <w:sz w:val="16"/>
                <w:szCs w:val="16"/>
                <w:lang w:val="es-ES" w:eastAsia="es-ES"/>
              </w:rPr>
              <w:t>Gacharná</w:t>
            </w:r>
            <w:proofErr w:type="spellEnd"/>
          </w:p>
          <w:p w:rsidRPr="003A6E04" w:rsidR="0058069F" w:rsidP="00986237" w:rsidRDefault="0058069F" w14:paraId="485E3069" w14:textId="77777777">
            <w:pPr>
              <w:rPr>
                <w:rFonts w:ascii="Verdana" w:hAnsi="Verdana" w:eastAsia="Calibri" w:cs="Arial"/>
                <w:sz w:val="16"/>
                <w:szCs w:val="16"/>
                <w:lang w:val="es-ES_tradnl" w:eastAsia="es-ES"/>
              </w:rPr>
            </w:pPr>
            <w:r w:rsidRPr="003A6E04">
              <w:rPr>
                <w:rFonts w:ascii="Verdana" w:hAnsi="Verdana" w:eastAsia="Calibri" w:cs="Arial"/>
                <w:sz w:val="16"/>
                <w:szCs w:val="16"/>
                <w:lang w:val="es-ES_tradnl" w:eastAsia="es-ES"/>
              </w:rPr>
              <w:t>Subdirectora de Gestión Contractual ANCP – CCE</w:t>
            </w:r>
          </w:p>
        </w:tc>
      </w:tr>
    </w:tbl>
    <w:p w:rsidRPr="003A6E04" w:rsidR="0058069F" w:rsidP="0058069F" w:rsidRDefault="0058069F" w14:paraId="5C6FD93A" w14:textId="77777777">
      <w:pPr>
        <w:spacing w:after="0" w:line="240" w:lineRule="auto"/>
        <w:rPr>
          <w:rFonts w:ascii="Aptos" w:hAnsi="Aptos" w:eastAsia="Aptos" w:cs="Times New Roman"/>
          <w:kern w:val="2"/>
          <w:sz w:val="24"/>
          <w:szCs w:val="24"/>
          <w:lang w:val="es-ES_tradnl"/>
          <w14:ligatures w14:val="standardContextual"/>
        </w:rPr>
      </w:pPr>
    </w:p>
    <w:p w:rsidRPr="003A6E04" w:rsidR="0058069F" w:rsidP="0058069F" w:rsidRDefault="0058069F" w14:paraId="49ED7DCE" w14:textId="77777777">
      <w:pPr>
        <w:spacing w:after="0"/>
        <w:rPr>
          <w:rFonts w:ascii="Verdana" w:hAnsi="Verdana" w:eastAsia="Calibri" w:cs="Times New Roman"/>
        </w:rPr>
      </w:pPr>
    </w:p>
    <w:bookmarkEnd w:id="0"/>
    <w:p w:rsidRPr="0044528D" w:rsidR="0058069F" w:rsidP="0058069F" w:rsidRDefault="0058069F" w14:paraId="37002BB7" w14:textId="77777777">
      <w:pPr>
        <w:spacing w:after="0"/>
        <w:rPr>
          <w:rFonts w:ascii="Verdana" w:hAnsi="Verdana"/>
        </w:rPr>
      </w:pPr>
    </w:p>
    <w:p w:rsidRPr="0058069F" w:rsidR="00127233" w:rsidP="0058069F" w:rsidRDefault="00127233" w14:paraId="0F293BF4" w14:textId="4729C7FD"/>
    <w:sectPr w:rsidRPr="0058069F" w:rsidR="00127233" w:rsidSect="007C0C0F">
      <w:headerReference w:type="default" r:id="rId17"/>
      <w:footerReference w:type="default" r:id="rId18"/>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F5197" w:rsidP="004A1847" w:rsidRDefault="003F5197" w14:paraId="2919EC03" w14:textId="77777777">
      <w:pPr>
        <w:spacing w:after="0" w:line="240" w:lineRule="auto"/>
      </w:pPr>
      <w:r>
        <w:separator/>
      </w:r>
    </w:p>
  </w:endnote>
  <w:endnote w:type="continuationSeparator" w:id="0">
    <w:p w:rsidR="003F5197" w:rsidP="004A1847" w:rsidRDefault="003F5197" w14:paraId="5FB91F9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sig w:usb0="00000001" w:usb1="00000000" w:usb2="0000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Arial,Calibri">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Pr="0058069F" w:rsidR="006219F8" w:rsidP="356CEDFD" w:rsidRDefault="356CEDFD" w14:paraId="744661F5" w14:textId="22B9E88F">
    <w:pPr>
      <w:pBdr>
        <w:top w:val="nil"/>
        <w:left w:val="nil"/>
        <w:bottom w:val="nil"/>
        <w:right w:val="nil"/>
        <w:between w:val="nil"/>
      </w:pBdr>
      <w:tabs>
        <w:tab w:val="center" w:pos="4419"/>
        <w:tab w:val="right" w:pos="8838"/>
        <w:tab w:val="center" w:pos="5400"/>
      </w:tabs>
      <w:spacing w:after="0"/>
      <w:jc w:val="right"/>
      <w:rPr>
        <w:lang w:val="pt-PT"/>
      </w:rPr>
    </w:pPr>
    <w:r w:rsidRPr="0058069F">
      <w:rPr>
        <w:rFonts w:ascii="Century Gothic" w:hAnsi="Century Gothic" w:eastAsia="Geo" w:cs="Geo"/>
        <w:b/>
        <w:bCs/>
        <w:color w:val="000000" w:themeColor="text1"/>
        <w:sz w:val="16"/>
        <w:szCs w:val="16"/>
        <w:lang w:val="pt-PT" w:eastAsia="es-CO"/>
      </w:rPr>
      <w:t xml:space="preserve">Código: </w:t>
    </w:r>
    <w:r w:rsidRPr="0058069F">
      <w:rPr>
        <w:rFonts w:ascii="Century Gothic" w:hAnsi="Century Gothic" w:eastAsia="Geo" w:cs="Geo"/>
        <w:color w:val="000000" w:themeColor="text1"/>
        <w:sz w:val="16"/>
        <w:szCs w:val="16"/>
        <w:lang w:val="pt-PT" w:eastAsia="es-CO"/>
      </w:rPr>
      <w:t xml:space="preserve">CCE-REC-FM-17 </w:t>
    </w:r>
    <w:r w:rsidRPr="0058069F">
      <w:rPr>
        <w:rFonts w:ascii="Century Gothic" w:hAnsi="Century Gothic" w:eastAsia="Geo" w:cs="Geo"/>
        <w:b/>
        <w:bCs/>
        <w:color w:val="000000" w:themeColor="text1"/>
        <w:sz w:val="16"/>
        <w:szCs w:val="16"/>
        <w:lang w:val="pt-PT" w:eastAsia="es-CO"/>
      </w:rPr>
      <w:t>V</w:t>
    </w:r>
    <w:r w:rsidRPr="0058069F">
      <w:rPr>
        <w:rFonts w:ascii="Century Gothic" w:hAnsi="Century Gothic" w:eastAsia="Arial Nova" w:cs="Arial Nova"/>
        <w:b/>
        <w:bCs/>
        <w:color w:val="000000" w:themeColor="text1"/>
        <w:sz w:val="16"/>
        <w:szCs w:val="16"/>
        <w:lang w:val="pt-PT" w:eastAsia="es-CO"/>
      </w:rPr>
      <w:t xml:space="preserve">: </w:t>
    </w:r>
    <w:r w:rsidRPr="0058069F">
      <w:rPr>
        <w:rFonts w:ascii="Century Gothic" w:hAnsi="Century Gothic" w:eastAsia="Geo"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F5197" w:rsidP="004A1847" w:rsidRDefault="003F5197" w14:paraId="4E7E2434" w14:textId="77777777">
      <w:pPr>
        <w:spacing w:after="0" w:line="240" w:lineRule="auto"/>
      </w:pPr>
      <w:r>
        <w:separator/>
      </w:r>
    </w:p>
  </w:footnote>
  <w:footnote w:type="continuationSeparator" w:id="0">
    <w:p w:rsidR="003F5197" w:rsidP="004A1847" w:rsidRDefault="003F5197" w14:paraId="1F70B1AD" w14:textId="77777777">
      <w:pPr>
        <w:spacing w:after="0" w:line="240" w:lineRule="auto"/>
      </w:pPr>
      <w:r>
        <w:continuationSeparator/>
      </w:r>
    </w:p>
  </w:footnote>
  <w:footnote w:id="1">
    <w:p w:rsidRPr="00590BB7" w:rsidR="0058069F" w:rsidP="0058069F" w:rsidRDefault="0058069F" w14:paraId="1B060727" w14:textId="77777777">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w:history="1" r:id="rId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 w:id="2">
    <w:p w:rsidRPr="00666BAC" w:rsidR="0058069F" w:rsidP="0058069F" w:rsidRDefault="0058069F" w14:paraId="514D2361" w14:textId="77777777">
      <w:pPr>
        <w:spacing w:after="0" w:line="240" w:lineRule="auto"/>
        <w:ind w:firstLine="709"/>
        <w:jc w:val="both"/>
        <w:rPr>
          <w:rFonts w:ascii="Verdana" w:hAnsi="Verdana"/>
          <w:sz w:val="16"/>
          <w:szCs w:val="16"/>
        </w:rPr>
      </w:pPr>
      <w:r w:rsidRPr="00666BAC">
        <w:rPr>
          <w:rFonts w:ascii="Verdana" w:hAnsi="Verdana"/>
          <w:sz w:val="16"/>
          <w:szCs w:val="16"/>
          <w:vertAlign w:val="superscript"/>
        </w:rPr>
        <w:footnoteRef/>
      </w:r>
      <w:r w:rsidRPr="00666BAC">
        <w:rPr>
          <w:rFonts w:ascii="Verdana" w:hAnsi="Verdana"/>
          <w:sz w:val="16"/>
          <w:szCs w:val="16"/>
        </w:rPr>
        <w:t xml:space="preserve"> Ley 80 de 1993: “Artículo 26. Del Principio de Responsabilidad. En virtud de este principio:</w:t>
      </w:r>
    </w:p>
    <w:p w:rsidRPr="00666BAC" w:rsidR="0058069F" w:rsidP="0058069F" w:rsidRDefault="0058069F" w14:paraId="175333A1" w14:textId="77777777">
      <w:pPr>
        <w:spacing w:after="0" w:line="240" w:lineRule="auto"/>
        <w:ind w:firstLine="709"/>
        <w:jc w:val="both"/>
        <w:rPr>
          <w:rFonts w:ascii="Verdana" w:hAnsi="Verdana"/>
          <w:sz w:val="16"/>
          <w:szCs w:val="16"/>
        </w:rPr>
      </w:pPr>
      <w:r w:rsidRPr="00666BAC">
        <w:rPr>
          <w:rFonts w:ascii="Verdana" w:hAnsi="Verdana"/>
          <w:sz w:val="16"/>
          <w:szCs w:val="16"/>
        </w:rPr>
        <w:t>[…]</w:t>
      </w:r>
    </w:p>
    <w:p w:rsidR="0058069F" w:rsidP="0058069F" w:rsidRDefault="0058069F" w14:paraId="6DF076D6" w14:textId="77777777">
      <w:pPr>
        <w:spacing w:after="0" w:line="240" w:lineRule="auto"/>
        <w:ind w:firstLine="709"/>
        <w:jc w:val="both"/>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3">
    <w:p w:rsidRPr="00666BAC" w:rsidR="0058069F" w:rsidP="0058069F" w:rsidRDefault="0058069F" w14:paraId="3D0BD74B" w14:textId="77777777">
      <w:pPr>
        <w:pStyle w:val="Textonotapie"/>
        <w:ind w:firstLine="709"/>
        <w:jc w:val="both"/>
        <w:rPr>
          <w:rFonts w:ascii="Verdana" w:hAnsi="Verdana" w:cs="Arial"/>
          <w:sz w:val="16"/>
          <w:szCs w:val="16"/>
        </w:rPr>
      </w:pPr>
      <w:r w:rsidRPr="00666BAC">
        <w:rPr>
          <w:rFonts w:ascii="Verdana" w:hAnsi="Verdana" w:cs="Arial"/>
          <w:sz w:val="16"/>
          <w:szCs w:val="16"/>
          <w:vertAlign w:val="superscript"/>
        </w:rPr>
        <w:footnoteRef/>
      </w:r>
      <w:r w:rsidRPr="00666BAC">
        <w:rPr>
          <w:rFonts w:ascii="Verdana" w:hAnsi="Verdana" w:cs="Arial"/>
          <w:sz w:val="16"/>
          <w:szCs w:val="16"/>
        </w:rPr>
        <w:t xml:space="preserve"> Decreto 1082 de 2015: </w:t>
      </w:r>
      <w:r w:rsidRPr="00666BAC">
        <w:rPr>
          <w:rFonts w:ascii="Verdana"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rsidRPr="00666BAC" w:rsidR="0058069F" w:rsidP="0058069F" w:rsidRDefault="0058069F" w14:paraId="0A4F334A" w14:textId="77777777">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rsidR="0058069F" w:rsidP="0058069F" w:rsidRDefault="0058069F" w14:paraId="1B6F4599" w14:textId="77777777">
      <w:pPr>
        <w:pStyle w:val="Textonotapie"/>
        <w:ind w:firstLine="709"/>
        <w:jc w:val="both"/>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44" style="width:12pt;height:12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1953D3A"/>
    <w:multiLevelType w:val="hybridMultilevel"/>
    <w:tmpl w:val="A3EE6686"/>
    <w:lvl w:ilvl="0" w:tplc="6A4EC164">
      <w:start w:val="1"/>
      <w:numFmt w:val="lowerRoman"/>
      <w:lvlText w:val="%1)"/>
      <w:lvlJc w:val="left"/>
      <w:pPr>
        <w:ind w:left="720" w:hanging="72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5C802C4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1492209491">
    <w:abstractNumId w:val="6"/>
  </w:num>
  <w:num w:numId="18" w16cid:durableId="679089576">
    <w:abstractNumId w:val="11"/>
  </w:num>
  <w:num w:numId="19" w16cid:durableId="1083543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5197"/>
    <w:rsid w:val="00406575"/>
    <w:rsid w:val="00414C74"/>
    <w:rsid w:val="0042722E"/>
    <w:rsid w:val="0044528D"/>
    <w:rsid w:val="00466E39"/>
    <w:rsid w:val="004A1847"/>
    <w:rsid w:val="004A305D"/>
    <w:rsid w:val="004F21C4"/>
    <w:rsid w:val="004F685F"/>
    <w:rsid w:val="005566E8"/>
    <w:rsid w:val="00574867"/>
    <w:rsid w:val="00576ADC"/>
    <w:rsid w:val="0058069F"/>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718D"/>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5574A"/>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28A3C0C6"/>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58069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colombiacompra.gov.co/content/documentos-tipo-de-infraestructura-de-transporte"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ingwalb@gmail.com"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3.jpeg"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hyperlink" Target="https://nam02.safelinks.protection.outlook.com/?url=https%3A%2F%2Fwww.colombiacompra.gov.co%2Fsala-de-prensa%2Fboletin-digital&amp;data=05%7C02%7Ckevin.herrera%40colombiacompra.gov.co%7C096eca3fdcca424ff1c708dcf932f947%7C7b09041e245149d08cb179d5e3d8c1be%7C0%7C0%7C638659244551636688%7CUnknown%7CTWFpbGZsb3d8eyJWIjoiMC4wLjAwMDAiLCJQIjoiV2luMzIiLCJBTiI6Ik1haWwiLCJXVCI6Mn0%3D%7C0%7C%7C%7C&amp;sdata=LaZ7bwO%2Ff2Yqrf%2BPk6mWxRZIUvBgGLgkBu6Y4JUnOLs%3D&amp;reserved=0" TargetMode="External" Id="rId15" /><Relationship Type="http://schemas.openxmlformats.org/officeDocument/2006/relationships/hyperlink" Target="https://www.superfinanciera.gov.co/publicacion/60819" TargetMode="External" Id="rId10" /><Relationship Type="http://schemas.openxmlformats.org/officeDocument/2006/relationships/fontTable" Target="fontTable.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nam02.safelinks.protection.outlook.com/?url=https%3A%2F%2Fwww.sucop.gov.co%2Fentidades%2Fcolombiacompra%2FNormativa%3FIDNorma%3D18320&amp;data=05%7C02%7Ckevin.herrera%40colombiacompra.gov.co%7C096eca3fdcca424ff1c708dcf932f947%7C7b09041e245149d08cb179d5e3d8c1be%7C0%7C0%7C638659244551618609%7CUnknown%7CTWFpbGZsb3d8eyJWIjoiMC4wLjAwMDAiLCJQIjoiV2luMzIiLCJBTiI6Ik1haWwiLCJXVCI6Mn0%3D%7C0%7C%7C%7C&amp;sdata=0LtE4nWA%2FtymYwuE9u52bCCXGl6jM%2FU4dy5rldSEpHs%3D&amp;reserved=0" TargetMode="External" Id="rId14" /></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553FDF5-C033-48AD-B2A1-2278B480F986}"/>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Karol Andrea Gonzalez Marin</lastModifiedBy>
  <revision>3</revision>
  <lastPrinted>2023-01-10T21:18:00.0000000Z</lastPrinted>
  <dcterms:created xsi:type="dcterms:W3CDTF">2025-12-02T16:46:00.0000000Z</dcterms:created>
  <dcterms:modified xsi:type="dcterms:W3CDTF">2025-12-02T16:47:25.6227040Z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