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B4D2B" w14:textId="77777777" w:rsidR="002934C4" w:rsidRPr="00AF1555" w:rsidRDefault="002934C4" w:rsidP="002934C4">
      <w:pPr>
        <w:spacing w:after="0" w:line="240" w:lineRule="auto"/>
        <w:jc w:val="both"/>
        <w:rPr>
          <w:rFonts w:ascii="Verdana" w:eastAsia="Calibri" w:hAnsi="Verdana" w:cs="Arial"/>
          <w:b/>
          <w:color w:val="000000" w:themeColor="text1"/>
          <w:lang w:val="es-ES"/>
        </w:rPr>
      </w:pPr>
      <w:bookmarkStart w:id="0" w:name="_Hlk181166130"/>
      <w:bookmarkStart w:id="1" w:name="_Hlk209714638"/>
      <w:r w:rsidRPr="00292198">
        <w:rPr>
          <w:rFonts w:ascii="Verdana" w:eastAsia="Calibri" w:hAnsi="Verdana" w:cs="Arial"/>
          <w:b/>
          <w:color w:val="000000" w:themeColor="text1"/>
          <w:lang w:val="es-ES"/>
        </w:rPr>
        <w:t>PRECIOS UNITARIOS – APU – AIU – Diferencias</w:t>
      </w:r>
      <w:r w:rsidRPr="00AF1555">
        <w:rPr>
          <w:rFonts w:ascii="Verdana" w:eastAsia="Calibri" w:hAnsi="Verdana" w:cs="Arial"/>
          <w:b/>
          <w:color w:val="000000" w:themeColor="text1"/>
          <w:lang w:val="es-ES"/>
        </w:rPr>
        <w:t xml:space="preserve"> </w:t>
      </w:r>
    </w:p>
    <w:p w14:paraId="015C41FE" w14:textId="77777777" w:rsidR="002934C4" w:rsidRPr="00AF1555" w:rsidRDefault="002934C4" w:rsidP="002934C4">
      <w:pPr>
        <w:spacing w:after="0" w:line="240" w:lineRule="auto"/>
        <w:jc w:val="both"/>
        <w:rPr>
          <w:rFonts w:ascii="Verdana" w:eastAsia="Calibri" w:hAnsi="Verdana" w:cs="Arial"/>
          <w:bCs/>
          <w:color w:val="000000" w:themeColor="text1"/>
          <w:sz w:val="20"/>
          <w:szCs w:val="20"/>
          <w:lang w:val="es-ES"/>
        </w:rPr>
      </w:pPr>
    </w:p>
    <w:p w14:paraId="4B5C58CE" w14:textId="77777777" w:rsidR="002934C4" w:rsidRPr="00EB0B5F" w:rsidRDefault="002934C4" w:rsidP="002934C4">
      <w:pPr>
        <w:spacing w:after="0" w:line="240" w:lineRule="auto"/>
        <w:jc w:val="both"/>
        <w:rPr>
          <w:rFonts w:ascii="Verdana" w:eastAsia="Calibri" w:hAnsi="Verdana" w:cs="Arial"/>
          <w:iCs/>
          <w:color w:val="000000" w:themeColor="text1"/>
          <w:sz w:val="20"/>
          <w:szCs w:val="20"/>
          <w:lang w:eastAsia="es-ES_tradnl"/>
        </w:rPr>
      </w:pPr>
      <w:r>
        <w:rPr>
          <w:rFonts w:ascii="Verdana" w:eastAsia="Calibri" w:hAnsi="Verdana" w:cs="Arial"/>
          <w:bCs/>
          <w:color w:val="000000" w:themeColor="text1"/>
          <w:sz w:val="20"/>
          <w:szCs w:val="20"/>
          <w:lang w:val="es-ES" w:eastAsia="es-ES_tradnl"/>
        </w:rPr>
        <w:t xml:space="preserve">[…] </w:t>
      </w:r>
      <w:r w:rsidRPr="00683260">
        <w:rPr>
          <w:rFonts w:ascii="Verdana" w:eastAsia="Calibri" w:hAnsi="Verdana" w:cs="Arial"/>
          <w:bCs/>
          <w:color w:val="000000" w:themeColor="text1"/>
          <w:sz w:val="20"/>
          <w:szCs w:val="20"/>
          <w:lang w:val="es-ES" w:eastAsia="es-ES_tradnl"/>
        </w:rPr>
        <w:t xml:space="preserve">en los contratos cuyo precio se estructura a partir del sistema de precios unitarios, ha hecho parte de la práctica de los negocios que el contratante le solicite al potencial contratista que separe en su propuesta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683260">
        <w:rPr>
          <w:rFonts w:ascii="Verdana" w:eastAsia="Calibri" w:hAnsi="Verdana" w:cs="Arial"/>
          <w:bCs/>
          <w:i/>
          <w:iCs/>
          <w:color w:val="000000" w:themeColor="text1"/>
          <w:sz w:val="20"/>
          <w:szCs w:val="20"/>
          <w:lang w:val="es-ES" w:eastAsia="es-ES_tradnl"/>
        </w:rPr>
        <w:t>ítems</w:t>
      </w:r>
      <w:r w:rsidRPr="00683260">
        <w:rPr>
          <w:rFonts w:ascii="Verdana" w:eastAsia="Calibri" w:hAnsi="Verdana" w:cs="Arial"/>
          <w:bCs/>
          <w:color w:val="000000" w:themeColor="text1"/>
          <w:sz w:val="20"/>
          <w:szCs w:val="20"/>
          <w:lang w:val="es-ES" w:eastAsia="es-ES_tradnl"/>
        </w:rPr>
        <w:t xml:space="preserve"> según su unidad de medida,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F1555">
        <w:rPr>
          <w:rFonts w:ascii="Verdana" w:eastAsia="Calibri" w:hAnsi="Verdana" w:cs="Arial"/>
          <w:color w:val="000000" w:themeColor="text1"/>
          <w:sz w:val="20"/>
          <w:szCs w:val="20"/>
          <w:lang w:val="es-ES_tradnl"/>
        </w:rPr>
        <w:t>.</w:t>
      </w:r>
    </w:p>
    <w:p w14:paraId="30C7C522" w14:textId="77777777" w:rsidR="002934C4" w:rsidRPr="00AF1555" w:rsidRDefault="002934C4" w:rsidP="002934C4">
      <w:pPr>
        <w:spacing w:after="0" w:line="240" w:lineRule="auto"/>
        <w:jc w:val="both"/>
        <w:rPr>
          <w:rFonts w:ascii="Verdana" w:eastAsia="Geomanist Light" w:hAnsi="Verdana" w:cs="Arial"/>
          <w:color w:val="000000" w:themeColor="text1"/>
          <w:sz w:val="20"/>
          <w:szCs w:val="20"/>
          <w:lang w:val="es-ES_tradnl"/>
        </w:rPr>
      </w:pPr>
    </w:p>
    <w:p w14:paraId="7AE276AD" w14:textId="77777777" w:rsidR="002934C4" w:rsidRPr="00AF1555" w:rsidRDefault="002934C4" w:rsidP="002934C4">
      <w:pPr>
        <w:spacing w:after="0" w:line="240" w:lineRule="auto"/>
        <w:jc w:val="both"/>
        <w:rPr>
          <w:rFonts w:ascii="Verdana" w:eastAsia="Calibri" w:hAnsi="Verdana" w:cs="Arial"/>
          <w:b/>
          <w:lang w:val="es-ES"/>
        </w:rPr>
      </w:pPr>
      <w:r w:rsidRPr="00292198">
        <w:rPr>
          <w:rFonts w:ascii="Verdana" w:eastAsia="Calibri" w:hAnsi="Verdana" w:cs="Arial"/>
          <w:b/>
          <w:lang w:val="es-ES"/>
        </w:rPr>
        <w:t>AIU – Costos indirectos – Finalidad – Ejecución del contrato</w:t>
      </w:r>
    </w:p>
    <w:p w14:paraId="5CEFB612" w14:textId="77777777" w:rsidR="002934C4" w:rsidRPr="00AF1555" w:rsidRDefault="002934C4" w:rsidP="002934C4">
      <w:pPr>
        <w:spacing w:after="0" w:line="240" w:lineRule="auto"/>
        <w:jc w:val="both"/>
        <w:rPr>
          <w:rFonts w:ascii="Verdana" w:eastAsia="Calibri" w:hAnsi="Verdana" w:cs="Arial"/>
          <w:b/>
          <w:sz w:val="20"/>
          <w:szCs w:val="20"/>
          <w:lang w:val="es-ES"/>
        </w:rPr>
      </w:pPr>
    </w:p>
    <w:p w14:paraId="7328A7AE" w14:textId="77777777" w:rsidR="002934C4" w:rsidRPr="00683260" w:rsidRDefault="002934C4" w:rsidP="002934C4">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áleas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79B5A190" w14:textId="77777777" w:rsidR="002934C4" w:rsidRPr="00AF1555" w:rsidRDefault="002934C4" w:rsidP="002934C4">
      <w:pPr>
        <w:spacing w:after="0" w:line="240" w:lineRule="auto"/>
        <w:jc w:val="both"/>
        <w:rPr>
          <w:rFonts w:ascii="Verdana" w:eastAsia="Geomanist Light" w:hAnsi="Verdana" w:cs="Arial"/>
          <w:color w:val="000000" w:themeColor="text1"/>
          <w:sz w:val="20"/>
          <w:szCs w:val="20"/>
          <w:lang w:val="es-ES_tradnl"/>
        </w:rPr>
      </w:pPr>
    </w:p>
    <w:p w14:paraId="48040C1F" w14:textId="77777777" w:rsidR="002934C4" w:rsidRPr="00AF1555" w:rsidRDefault="002934C4" w:rsidP="002934C4">
      <w:pPr>
        <w:tabs>
          <w:tab w:val="left" w:pos="426"/>
        </w:tabs>
        <w:spacing w:after="0" w:line="240" w:lineRule="auto"/>
        <w:jc w:val="both"/>
        <w:rPr>
          <w:rFonts w:ascii="Verdana" w:hAnsi="Verdana" w:cs="Arial"/>
          <w:b/>
          <w:lang w:eastAsia="es-CO"/>
        </w:rPr>
      </w:pPr>
      <w:r>
        <w:rPr>
          <w:rFonts w:ascii="Verdana" w:hAnsi="Verdana" w:cs="Arial"/>
          <w:b/>
          <w:lang w:eastAsia="es-CO"/>
        </w:rPr>
        <w:t>AIU – Componentes – Discrecionalidad</w:t>
      </w:r>
    </w:p>
    <w:p w14:paraId="5E51D003" w14:textId="77777777" w:rsidR="002934C4" w:rsidRPr="00AF1555" w:rsidRDefault="002934C4" w:rsidP="002934C4">
      <w:pPr>
        <w:tabs>
          <w:tab w:val="left" w:pos="426"/>
        </w:tabs>
        <w:spacing w:after="0" w:line="240" w:lineRule="auto"/>
        <w:jc w:val="both"/>
        <w:rPr>
          <w:rFonts w:ascii="Verdana" w:hAnsi="Verdana" w:cs="Arial"/>
          <w:b/>
          <w:sz w:val="20"/>
          <w:szCs w:val="20"/>
          <w:lang w:eastAsia="es-CO"/>
        </w:rPr>
      </w:pPr>
    </w:p>
    <w:p w14:paraId="03A5D943" w14:textId="77777777" w:rsidR="002934C4" w:rsidRDefault="002934C4" w:rsidP="002934C4">
      <w:pPr>
        <w:spacing w:after="0" w:line="240" w:lineRule="auto"/>
        <w:jc w:val="both"/>
        <w:rPr>
          <w:rFonts w:ascii="Verdana" w:hAnsi="Verdana" w:cs="Arial"/>
          <w:bCs/>
          <w:sz w:val="20"/>
          <w:szCs w:val="20"/>
          <w:lang w:val="es-ES" w:eastAsia="es-CO"/>
        </w:rPr>
      </w:pPr>
      <w:r>
        <w:rPr>
          <w:rFonts w:ascii="Verdana" w:hAnsi="Verdana" w:cs="Arial"/>
          <w:bCs/>
          <w:sz w:val="20"/>
          <w:szCs w:val="20"/>
          <w:lang w:val="es-ES" w:eastAsia="es-CO"/>
        </w:rPr>
        <w:t xml:space="preserve">[…] </w:t>
      </w:r>
      <w:r w:rsidRPr="00683260">
        <w:rPr>
          <w:rFonts w:ascii="Verdana" w:hAnsi="Verdana" w:cs="Arial"/>
          <w:bCs/>
          <w:sz w:val="20"/>
          <w:szCs w:val="20"/>
          <w:lang w:val="es-ES" w:eastAsia="es-CO"/>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0C8C8E79" w14:textId="77777777" w:rsidR="002934C4" w:rsidRPr="00683260" w:rsidRDefault="002934C4" w:rsidP="002934C4">
      <w:pPr>
        <w:spacing w:after="0" w:line="240" w:lineRule="auto"/>
        <w:jc w:val="both"/>
        <w:rPr>
          <w:rFonts w:ascii="Verdana" w:hAnsi="Verdana" w:cs="Arial"/>
          <w:bCs/>
          <w:sz w:val="20"/>
          <w:szCs w:val="20"/>
          <w:lang w:val="es-ES" w:eastAsia="es-CO"/>
        </w:rPr>
      </w:pPr>
    </w:p>
    <w:p w14:paraId="0742751A" w14:textId="77777777" w:rsidR="002934C4" w:rsidRDefault="002934C4" w:rsidP="002934C4">
      <w:pPr>
        <w:spacing w:after="0" w:line="240" w:lineRule="auto"/>
        <w:jc w:val="both"/>
        <w:rPr>
          <w:rFonts w:ascii="Verdana" w:eastAsia="Geomanist Light" w:hAnsi="Verdana" w:cs="Arial"/>
          <w:color w:val="000000" w:themeColor="text1"/>
          <w:lang w:val="es-MX"/>
        </w:rPr>
      </w:pPr>
      <w:r w:rsidRPr="00683260">
        <w:rPr>
          <w:rFonts w:ascii="Verdana" w:hAnsi="Verdana" w:cs="Arial"/>
          <w:bCs/>
          <w:sz w:val="20"/>
          <w:szCs w:val="20"/>
          <w:lang w:val="es-ES" w:eastAsia="es-CO"/>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w:t>
      </w:r>
      <w:r w:rsidRPr="00683260">
        <w:rPr>
          <w:rFonts w:ascii="Verdana" w:hAnsi="Verdana" w:cs="Arial"/>
          <w:bCs/>
          <w:sz w:val="20"/>
          <w:szCs w:val="20"/>
          <w:lang w:val="es-ES" w:eastAsia="es-CO"/>
        </w:rPr>
        <w:lastRenderedPageBreak/>
        <w:t>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1B932251" w14:textId="77777777" w:rsidR="002934C4" w:rsidRPr="00AF1555" w:rsidRDefault="002934C4" w:rsidP="002934C4">
      <w:pPr>
        <w:spacing w:after="0" w:line="240" w:lineRule="auto"/>
        <w:rPr>
          <w:rFonts w:ascii="Verdana" w:eastAsia="Geomanist Light" w:hAnsi="Verdana" w:cs="Arial"/>
          <w:color w:val="000000" w:themeColor="text1"/>
          <w:sz w:val="20"/>
          <w:szCs w:val="20"/>
          <w:lang w:val="es-ES_tradnl"/>
        </w:rPr>
      </w:pPr>
    </w:p>
    <w:p w14:paraId="769835EB" w14:textId="77777777" w:rsidR="002934C4" w:rsidRPr="00AF1555" w:rsidRDefault="002934C4" w:rsidP="002934C4">
      <w:pPr>
        <w:spacing w:after="0" w:line="240" w:lineRule="auto"/>
        <w:jc w:val="both"/>
        <w:rPr>
          <w:rFonts w:ascii="Verdana" w:eastAsia="Calibri" w:hAnsi="Verdana" w:cs="Arial"/>
          <w:b/>
          <w:sz w:val="20"/>
          <w:szCs w:val="20"/>
          <w:lang w:val="es-ES"/>
        </w:rPr>
      </w:pPr>
      <w:r>
        <w:rPr>
          <w:rFonts w:ascii="Verdana" w:eastAsia="Calibri" w:hAnsi="Verdana" w:cs="Arial"/>
          <w:b/>
          <w:lang w:val="es-ES"/>
        </w:rPr>
        <w:t>E</w:t>
      </w:r>
      <w:r w:rsidRPr="00A94C7E">
        <w:rPr>
          <w:rFonts w:ascii="Verdana" w:eastAsia="Calibri" w:hAnsi="Verdana" w:cs="Arial"/>
          <w:b/>
          <w:lang w:val="es-ES"/>
        </w:rPr>
        <w:t xml:space="preserve">VALUACIÓN DEL PRECIO ‒ Costo real – </w:t>
      </w:r>
      <w:r>
        <w:rPr>
          <w:rFonts w:ascii="Verdana" w:eastAsia="Calibri" w:hAnsi="Verdana" w:cs="Arial"/>
          <w:b/>
          <w:lang w:val="es-ES"/>
        </w:rPr>
        <w:t>I</w:t>
      </w:r>
      <w:r w:rsidRPr="00A94C7E">
        <w:rPr>
          <w:rFonts w:ascii="Verdana" w:eastAsia="Calibri" w:hAnsi="Verdana" w:cs="Arial"/>
          <w:b/>
          <w:lang w:val="es-ES"/>
        </w:rPr>
        <w:t xml:space="preserve">ncluye </w:t>
      </w:r>
      <w:r>
        <w:rPr>
          <w:rFonts w:ascii="Verdana" w:eastAsia="Calibri" w:hAnsi="Verdana" w:cs="Arial"/>
          <w:b/>
          <w:lang w:val="es-ES"/>
        </w:rPr>
        <w:t xml:space="preserve">la carga impositiva </w:t>
      </w:r>
    </w:p>
    <w:p w14:paraId="485976ED" w14:textId="77777777" w:rsidR="002934C4" w:rsidRDefault="002934C4" w:rsidP="002934C4">
      <w:pPr>
        <w:spacing w:after="0" w:line="240" w:lineRule="auto"/>
        <w:jc w:val="both"/>
        <w:rPr>
          <w:rFonts w:ascii="Verdana" w:eastAsia="Calibri" w:hAnsi="Verdana" w:cs="Arial"/>
          <w:bCs/>
          <w:sz w:val="20"/>
          <w:szCs w:val="20"/>
          <w:lang w:val="es-ES"/>
        </w:rPr>
      </w:pPr>
    </w:p>
    <w:p w14:paraId="2B3433FF" w14:textId="77777777" w:rsidR="002934C4" w:rsidRDefault="002934C4" w:rsidP="002934C4">
      <w:pPr>
        <w:spacing w:after="0" w:line="240" w:lineRule="auto"/>
        <w:jc w:val="both"/>
        <w:rPr>
          <w:rFonts w:ascii="Verdana" w:eastAsia="Calibri" w:hAnsi="Verdana" w:cs="Arial"/>
          <w:bCs/>
          <w:sz w:val="20"/>
          <w:szCs w:val="20"/>
          <w:lang w:val="es-ES"/>
        </w:rPr>
      </w:pPr>
      <w:r>
        <w:rPr>
          <w:rFonts w:ascii="Verdana" w:eastAsia="Calibri" w:hAnsi="Verdana" w:cs="Arial"/>
          <w:bCs/>
          <w:sz w:val="20"/>
          <w:szCs w:val="20"/>
          <w:lang w:val="es-ES"/>
        </w:rPr>
        <w:t>T</w:t>
      </w:r>
      <w:r w:rsidRPr="00F102CB">
        <w:rPr>
          <w:rFonts w:ascii="Verdana" w:eastAsia="Calibri" w:hAnsi="Verdana" w:cs="Arial"/>
          <w:bCs/>
          <w:sz w:val="20"/>
          <w:szCs w:val="20"/>
          <w:lang w:val="es-ES"/>
        </w:rPr>
        <w:t>anto para elaborar el presupuesto oficial como para la presentación de las ofertas, el precio debe considerar los costos en que incurrirá el contratista para cumplir sus obligaciones, lo cual incluye la carga tributaria que afecta el negocio jurídico. La definición del régimen tributario aplicable a los proponentes que se presentan al procedimiento de selección no es realizada por la entidad estatal, sino que es un tema definido por el legislador, quien optó por establecer ciertas cargas a algunos sujetos y a otros no.</w:t>
      </w:r>
    </w:p>
    <w:p w14:paraId="0CBB8592" w14:textId="77777777" w:rsidR="002934C4" w:rsidRPr="00F102CB" w:rsidRDefault="002934C4" w:rsidP="002934C4">
      <w:pPr>
        <w:spacing w:after="0" w:line="240" w:lineRule="auto"/>
        <w:jc w:val="both"/>
        <w:rPr>
          <w:rFonts w:ascii="Verdana" w:eastAsia="Calibri" w:hAnsi="Verdana" w:cs="Arial"/>
          <w:bCs/>
          <w:sz w:val="20"/>
          <w:szCs w:val="20"/>
          <w:lang w:val="es-ES"/>
        </w:rPr>
      </w:pPr>
    </w:p>
    <w:p w14:paraId="10FFF3E7" w14:textId="77777777" w:rsidR="002934C4" w:rsidRPr="00F102CB" w:rsidRDefault="002934C4" w:rsidP="002934C4">
      <w:pPr>
        <w:spacing w:after="0" w:line="240" w:lineRule="auto"/>
        <w:jc w:val="both"/>
        <w:rPr>
          <w:rFonts w:ascii="Verdana" w:eastAsia="Calibri" w:hAnsi="Verdana" w:cs="Arial"/>
          <w:bCs/>
          <w:sz w:val="20"/>
          <w:szCs w:val="20"/>
          <w:lang w:val="es-ES"/>
        </w:rPr>
      </w:pPr>
      <w:r w:rsidRPr="00F102CB">
        <w:rPr>
          <w:rFonts w:ascii="Verdana" w:eastAsia="Calibri" w:hAnsi="Verdana" w:cs="Arial"/>
          <w:bCs/>
          <w:sz w:val="20"/>
          <w:szCs w:val="20"/>
          <w:lang w:val="es-ES"/>
        </w:rPr>
        <w:t xml:space="preserve">Los impuestos son parte integral del precio, pues es lo que finalmente terminará pagando la entidad cuando adjudique el contrato, por lo cual en aplicación de los principios de selección objetiva y de igualdad, la entidad contratante debe evaluar las ofertas con base en el precio final o real que ofrezca cada proponente, toda vez que de esa comparación es que surgirá la oferta más favorable o ventajosa para el Estado. </w:t>
      </w:r>
      <w:r w:rsidRPr="008979BE">
        <w:rPr>
          <w:rFonts w:ascii="Verdana" w:eastAsia="Calibri" w:hAnsi="Verdana" w:cs="Arial"/>
          <w:bCs/>
          <w:sz w:val="20"/>
          <w:szCs w:val="20"/>
          <w:lang w:val="es-ES"/>
        </w:rPr>
        <w:t>Esta carga hace parte del comp</w:t>
      </w:r>
      <w:r>
        <w:rPr>
          <w:rFonts w:ascii="Verdana" w:eastAsia="Calibri" w:hAnsi="Verdana" w:cs="Arial"/>
          <w:bCs/>
          <w:sz w:val="20"/>
          <w:szCs w:val="20"/>
          <w:lang w:val="es-ES"/>
        </w:rPr>
        <w:t>on</w:t>
      </w:r>
      <w:r w:rsidRPr="008979BE">
        <w:rPr>
          <w:rFonts w:ascii="Verdana" w:eastAsia="Calibri" w:hAnsi="Verdana" w:cs="Arial"/>
          <w:bCs/>
          <w:sz w:val="20"/>
          <w:szCs w:val="20"/>
          <w:lang w:val="es-ES"/>
        </w:rPr>
        <w:t xml:space="preserve">ente de Administración del AIU por ser un costo indirecto del negocio, y está a cargo del sujeto pasivo que </w:t>
      </w:r>
      <w:r>
        <w:rPr>
          <w:rFonts w:ascii="Verdana" w:eastAsia="Calibri" w:hAnsi="Verdana" w:cs="Arial"/>
          <w:bCs/>
          <w:sz w:val="20"/>
          <w:szCs w:val="20"/>
          <w:lang w:val="es-ES"/>
        </w:rPr>
        <w:t xml:space="preserve">dé </w:t>
      </w:r>
      <w:r w:rsidRPr="008979BE">
        <w:rPr>
          <w:rFonts w:ascii="Verdana" w:eastAsia="Calibri" w:hAnsi="Verdana" w:cs="Arial"/>
          <w:bCs/>
          <w:sz w:val="20"/>
          <w:szCs w:val="20"/>
          <w:lang w:val="es-ES"/>
        </w:rPr>
        <w:t>lugar al hecho generador conforme a las normas tributarias. No obstante, la Agencia no se ha pronunciado sobre los impuestos locales en los proyectos de inversión pública</w:t>
      </w:r>
      <w:r>
        <w:rPr>
          <w:rFonts w:ascii="Verdana" w:eastAsia="Calibri" w:hAnsi="Verdana" w:cs="Arial"/>
          <w:bCs/>
          <w:sz w:val="20"/>
          <w:szCs w:val="20"/>
          <w:lang w:val="es-ES"/>
        </w:rPr>
        <w:t>.</w:t>
      </w:r>
    </w:p>
    <w:p w14:paraId="463CB1CB" w14:textId="77777777" w:rsidR="002934C4" w:rsidRPr="00A41F79" w:rsidRDefault="002934C4" w:rsidP="002934C4">
      <w:pPr>
        <w:spacing w:after="0" w:line="240" w:lineRule="auto"/>
        <w:rPr>
          <w:rFonts w:ascii="Verdana" w:eastAsia="Geomanist Light" w:hAnsi="Verdana" w:cs="Arial"/>
          <w:color w:val="000000" w:themeColor="text1"/>
          <w:lang w:val="es-ES_tradnl"/>
        </w:rPr>
      </w:pPr>
    </w:p>
    <w:p w14:paraId="217DA086" w14:textId="77777777" w:rsidR="002934C4" w:rsidRDefault="002934C4" w:rsidP="002934C4">
      <w:pPr>
        <w:spacing w:after="0" w:line="240" w:lineRule="auto"/>
        <w:rPr>
          <w:rFonts w:ascii="Verdana" w:eastAsia="Geomanist Light" w:hAnsi="Verdana" w:cs="Arial"/>
          <w:color w:val="000000" w:themeColor="text1"/>
          <w:lang w:val="es-MX"/>
        </w:rPr>
      </w:pPr>
    </w:p>
    <w:p w14:paraId="6B83FE1B" w14:textId="77777777" w:rsidR="002934C4" w:rsidRDefault="002934C4" w:rsidP="002934C4">
      <w:pPr>
        <w:spacing w:after="0" w:line="240" w:lineRule="auto"/>
        <w:rPr>
          <w:rFonts w:ascii="Verdana" w:eastAsia="Geomanist Light" w:hAnsi="Verdana" w:cs="Arial"/>
          <w:color w:val="000000" w:themeColor="text1"/>
          <w:lang w:val="es-MX"/>
        </w:rPr>
      </w:pPr>
    </w:p>
    <w:p w14:paraId="41B85250" w14:textId="77777777" w:rsidR="002934C4" w:rsidRDefault="002934C4" w:rsidP="002934C4">
      <w:pPr>
        <w:spacing w:after="0" w:line="240" w:lineRule="auto"/>
        <w:rPr>
          <w:rFonts w:ascii="Verdana" w:eastAsia="Geomanist Light" w:hAnsi="Verdana" w:cs="Arial"/>
          <w:color w:val="000000" w:themeColor="text1"/>
          <w:lang w:val="es-MX"/>
        </w:rPr>
      </w:pPr>
    </w:p>
    <w:p w14:paraId="573A8E51" w14:textId="77777777" w:rsidR="002934C4" w:rsidRDefault="002934C4" w:rsidP="002934C4">
      <w:pPr>
        <w:spacing w:after="0" w:line="240" w:lineRule="auto"/>
        <w:rPr>
          <w:rFonts w:ascii="Verdana" w:eastAsia="Geomanist Light" w:hAnsi="Verdana" w:cs="Arial"/>
          <w:color w:val="000000" w:themeColor="text1"/>
          <w:lang w:val="es-MX"/>
        </w:rPr>
      </w:pPr>
    </w:p>
    <w:p w14:paraId="7C72AFA9" w14:textId="77777777" w:rsidR="002934C4" w:rsidRDefault="002934C4" w:rsidP="002934C4">
      <w:pPr>
        <w:spacing w:after="0" w:line="240" w:lineRule="auto"/>
        <w:rPr>
          <w:rFonts w:ascii="Verdana" w:eastAsia="Geomanist Light" w:hAnsi="Verdana" w:cs="Arial"/>
          <w:color w:val="000000" w:themeColor="text1"/>
          <w:lang w:val="es-MX"/>
        </w:rPr>
      </w:pPr>
    </w:p>
    <w:p w14:paraId="32C7222D" w14:textId="77777777" w:rsidR="002934C4" w:rsidRDefault="002934C4" w:rsidP="00103B90">
      <w:pPr>
        <w:spacing w:after="0" w:line="240" w:lineRule="auto"/>
        <w:rPr>
          <w:rFonts w:ascii="Verdana" w:hAnsi="Verdana"/>
        </w:rPr>
      </w:pPr>
    </w:p>
    <w:p w14:paraId="1675D84F" w14:textId="77777777" w:rsidR="002934C4" w:rsidRDefault="002934C4" w:rsidP="00103B90">
      <w:pPr>
        <w:spacing w:after="0" w:line="240" w:lineRule="auto"/>
        <w:rPr>
          <w:rFonts w:ascii="Verdana" w:hAnsi="Verdana"/>
        </w:rPr>
      </w:pPr>
    </w:p>
    <w:p w14:paraId="61B4D2D0" w14:textId="77777777" w:rsidR="002934C4" w:rsidRDefault="002934C4" w:rsidP="00103B90">
      <w:pPr>
        <w:spacing w:after="0" w:line="240" w:lineRule="auto"/>
        <w:rPr>
          <w:rFonts w:ascii="Verdana" w:hAnsi="Verdana"/>
        </w:rPr>
      </w:pPr>
    </w:p>
    <w:p w14:paraId="688A20B0" w14:textId="77777777" w:rsidR="002934C4" w:rsidRDefault="002934C4" w:rsidP="00103B90">
      <w:pPr>
        <w:spacing w:after="0" w:line="240" w:lineRule="auto"/>
        <w:rPr>
          <w:rFonts w:ascii="Verdana" w:hAnsi="Verdana"/>
        </w:rPr>
      </w:pPr>
    </w:p>
    <w:p w14:paraId="3DFB3F07" w14:textId="77777777" w:rsidR="002934C4" w:rsidRDefault="002934C4" w:rsidP="00103B90">
      <w:pPr>
        <w:spacing w:after="0" w:line="240" w:lineRule="auto"/>
        <w:rPr>
          <w:rFonts w:ascii="Verdana" w:hAnsi="Verdana"/>
        </w:rPr>
      </w:pPr>
    </w:p>
    <w:p w14:paraId="274A4F54" w14:textId="77777777" w:rsidR="002934C4" w:rsidRDefault="002934C4" w:rsidP="00103B90">
      <w:pPr>
        <w:spacing w:after="0" w:line="240" w:lineRule="auto"/>
        <w:rPr>
          <w:rFonts w:ascii="Verdana" w:hAnsi="Verdana"/>
        </w:rPr>
      </w:pPr>
    </w:p>
    <w:p w14:paraId="5DCECC52" w14:textId="77777777" w:rsidR="002934C4" w:rsidRDefault="002934C4" w:rsidP="00103B90">
      <w:pPr>
        <w:spacing w:after="0" w:line="240" w:lineRule="auto"/>
        <w:rPr>
          <w:rFonts w:ascii="Verdana" w:hAnsi="Verdana"/>
        </w:rPr>
      </w:pPr>
    </w:p>
    <w:p w14:paraId="36C91148" w14:textId="77777777" w:rsidR="002934C4" w:rsidRDefault="002934C4" w:rsidP="00103B90">
      <w:pPr>
        <w:spacing w:after="0" w:line="240" w:lineRule="auto"/>
        <w:rPr>
          <w:rFonts w:ascii="Verdana" w:hAnsi="Verdana"/>
        </w:rPr>
      </w:pPr>
    </w:p>
    <w:p w14:paraId="180DA7D5" w14:textId="77777777" w:rsidR="002934C4" w:rsidRDefault="002934C4" w:rsidP="00103B90">
      <w:pPr>
        <w:spacing w:after="0" w:line="240" w:lineRule="auto"/>
        <w:rPr>
          <w:rFonts w:ascii="Verdana" w:hAnsi="Verdana"/>
        </w:rPr>
      </w:pPr>
    </w:p>
    <w:p w14:paraId="2927F040" w14:textId="77777777" w:rsidR="002934C4" w:rsidRDefault="002934C4" w:rsidP="00103B90">
      <w:pPr>
        <w:spacing w:after="0" w:line="240" w:lineRule="auto"/>
        <w:rPr>
          <w:rFonts w:ascii="Verdana" w:hAnsi="Verdana"/>
        </w:rPr>
      </w:pPr>
    </w:p>
    <w:p w14:paraId="2183584F" w14:textId="77777777" w:rsidR="002934C4" w:rsidRDefault="002934C4" w:rsidP="00103B90">
      <w:pPr>
        <w:spacing w:after="0" w:line="240" w:lineRule="auto"/>
        <w:rPr>
          <w:rFonts w:ascii="Verdana" w:hAnsi="Verdana"/>
        </w:rPr>
      </w:pPr>
    </w:p>
    <w:p w14:paraId="0974B44C" w14:textId="77777777" w:rsidR="002934C4" w:rsidRDefault="002934C4" w:rsidP="00103B90">
      <w:pPr>
        <w:spacing w:after="0" w:line="240" w:lineRule="auto"/>
        <w:rPr>
          <w:rFonts w:ascii="Verdana" w:hAnsi="Verdana"/>
        </w:rPr>
      </w:pPr>
    </w:p>
    <w:p w14:paraId="6769908B" w14:textId="77777777" w:rsidR="002934C4" w:rsidRDefault="002934C4" w:rsidP="00103B90">
      <w:pPr>
        <w:spacing w:after="0" w:line="240" w:lineRule="auto"/>
        <w:rPr>
          <w:rFonts w:ascii="Verdana" w:hAnsi="Verdana"/>
        </w:rPr>
      </w:pPr>
    </w:p>
    <w:p w14:paraId="734BF481" w14:textId="0EC79D0D"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0C00C1">
        <w:rPr>
          <w:rFonts w:ascii="Verdana" w:hAnsi="Verdana"/>
        </w:rPr>
        <w:t xml:space="preserve">01 </w:t>
      </w:r>
      <w:r w:rsidR="00763E4A">
        <w:rPr>
          <w:rFonts w:ascii="Verdana" w:hAnsi="Verdana"/>
        </w:rPr>
        <w:t xml:space="preserve">de </w:t>
      </w:r>
      <w:r w:rsidR="000C00C1">
        <w:rPr>
          <w:rFonts w:ascii="Verdana" w:hAnsi="Verdana"/>
        </w:rPr>
        <w:t>diciembre</w:t>
      </w:r>
      <w:r w:rsidR="00763E4A">
        <w:rPr>
          <w:rFonts w:ascii="Verdana" w:hAnsi="Verdana"/>
        </w:rPr>
        <w:t xml:space="preserve"> de </w:t>
      </w:r>
      <w:r w:rsidR="000C00C1">
        <w:rPr>
          <w:rFonts w:ascii="Verdana" w:hAnsi="Verdana"/>
        </w:rPr>
        <w:t>2025</w:t>
      </w:r>
      <w:r w:rsidR="00324E0B">
        <w:rPr>
          <w:rFonts w:ascii="Verdana" w:hAnsi="Verdana"/>
        </w:rPr>
        <w:t xml:space="preserve"> </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68F08A63" w14:textId="77777777" w:rsidR="00A64017" w:rsidRDefault="00A64017" w:rsidP="00103B90">
      <w:pPr>
        <w:spacing w:after="0" w:line="240" w:lineRule="auto"/>
        <w:rPr>
          <w:rFonts w:ascii="Verdana" w:hAnsi="Verdana"/>
        </w:rPr>
      </w:pPr>
    </w:p>
    <w:p w14:paraId="2C50F1A2" w14:textId="31806538" w:rsidR="000C00C1" w:rsidRDefault="000C00C1" w:rsidP="000C00C1">
      <w:pPr>
        <w:spacing w:after="0" w:line="240" w:lineRule="auto"/>
        <w:jc w:val="right"/>
        <w:rPr>
          <w:rFonts w:ascii="Verdana" w:hAnsi="Verdana"/>
        </w:rPr>
      </w:pPr>
      <w:r>
        <w:rPr>
          <w:rFonts w:ascii="Verdana" w:hAnsi="Verdana"/>
          <w:noProof/>
        </w:rPr>
        <w:drawing>
          <wp:inline distT="0" distB="0" distL="0" distR="0" wp14:anchorId="2E11F45D" wp14:editId="0C158AF4">
            <wp:extent cx="2428875" cy="752475"/>
            <wp:effectExtent l="0" t="0" r="9525" b="9525"/>
            <wp:docPr id="13961096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752475"/>
                    </a:xfrm>
                    <a:prstGeom prst="rect">
                      <a:avLst/>
                    </a:prstGeom>
                    <a:noFill/>
                    <a:ln>
                      <a:noFill/>
                    </a:ln>
                  </pic:spPr>
                </pic:pic>
              </a:graphicData>
            </a:graphic>
          </wp:inline>
        </w:drawing>
      </w:r>
    </w:p>
    <w:p w14:paraId="52AE0136" w14:textId="77777777" w:rsidR="000C00C1" w:rsidRDefault="000C00C1" w:rsidP="00103B90">
      <w:pPr>
        <w:spacing w:after="0" w:line="240" w:lineRule="auto"/>
        <w:rPr>
          <w:rFonts w:ascii="Verdana" w:hAnsi="Verdana"/>
        </w:rPr>
      </w:pPr>
    </w:p>
    <w:p w14:paraId="2E2F0C6D" w14:textId="77777777" w:rsidR="000C00C1" w:rsidRDefault="000C00C1" w:rsidP="00103B90">
      <w:pPr>
        <w:spacing w:after="0" w:line="240" w:lineRule="auto"/>
        <w:rPr>
          <w:rFonts w:ascii="Verdana" w:hAnsi="Verdana"/>
        </w:rPr>
      </w:pPr>
    </w:p>
    <w:p w14:paraId="45BB7B4D" w14:textId="5FC353BA" w:rsidR="0097146B"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p>
    <w:p w14:paraId="6EF9D4E0" w14:textId="315DB3BC" w:rsidR="00A64017" w:rsidRPr="00877A02" w:rsidRDefault="0008683E" w:rsidP="00A64017">
      <w:pPr>
        <w:spacing w:after="0" w:line="240" w:lineRule="auto"/>
        <w:jc w:val="both"/>
        <w:rPr>
          <w:rFonts w:ascii="Verdana" w:eastAsia="Calibri" w:hAnsi="Verdana" w:cs="Arial"/>
          <w:lang w:eastAsia="es-ES"/>
        </w:rPr>
      </w:pPr>
      <w:r>
        <w:rPr>
          <w:rFonts w:ascii="Verdana" w:eastAsia="Calibri" w:hAnsi="Verdana" w:cs="Arial"/>
          <w:b/>
          <w:bCs/>
          <w:lang w:eastAsia="es-ES"/>
        </w:rPr>
        <w:t>CAMILO ANDRES GARCIA</w:t>
      </w:r>
      <w:r w:rsidR="00A64017" w:rsidRPr="00877A02">
        <w:rPr>
          <w:rFonts w:ascii="Verdana" w:eastAsia="Calibri" w:hAnsi="Verdana" w:cs="Arial"/>
          <w:lang w:eastAsia="es-ES"/>
        </w:rPr>
        <w:tab/>
      </w:r>
    </w:p>
    <w:p w14:paraId="7AB6255F" w14:textId="5F4B5023" w:rsidR="008323CA" w:rsidRPr="00877A02" w:rsidRDefault="0008683E" w:rsidP="00A64017">
      <w:pPr>
        <w:spacing w:after="0" w:line="240" w:lineRule="auto"/>
        <w:rPr>
          <w:rFonts w:ascii="Verdana" w:eastAsia="Calibri" w:hAnsi="Verdana" w:cs="Arial"/>
          <w:lang w:eastAsia="es-ES"/>
        </w:rPr>
      </w:pPr>
      <w:hyperlink r:id="rId12" w:history="1">
        <w:r w:rsidRPr="009E376E">
          <w:rPr>
            <w:rStyle w:val="Hipervnculo"/>
            <w:rFonts w:ascii="Verdana" w:eastAsia="Calibri" w:hAnsi="Verdana" w:cs="Arial"/>
            <w:lang w:eastAsia="es-ES"/>
          </w:rPr>
          <w:t>dible.quinf@policia.gov.co</w:t>
        </w:r>
      </w:hyperlink>
      <w:r>
        <w:rPr>
          <w:rFonts w:ascii="Verdana" w:eastAsia="Calibri" w:hAnsi="Verdana" w:cs="Arial"/>
          <w:lang w:eastAsia="es-ES"/>
        </w:rPr>
        <w:t xml:space="preserve"> </w:t>
      </w:r>
    </w:p>
    <w:p w14:paraId="6E2CC3AD" w14:textId="77777777" w:rsidR="00CB7B40" w:rsidRPr="00FE3DEC"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6228252A"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A91377">
              <w:rPr>
                <w:rFonts w:ascii="Verdana" w:eastAsia="Calibri" w:hAnsi="Verdana" w:cs="Arial"/>
                <w:b/>
                <w:bCs/>
                <w:lang w:val="es-ES" w:eastAsia="es-ES"/>
              </w:rPr>
              <w:t>1530</w:t>
            </w:r>
            <w:r w:rsidR="00D26D63">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9E1F4F5" w14:textId="77777777" w:rsidR="002934C4" w:rsidRPr="00A11406" w:rsidRDefault="002934C4" w:rsidP="002934C4">
            <w:pPr>
              <w:spacing w:line="276" w:lineRule="auto"/>
              <w:jc w:val="both"/>
              <w:rPr>
                <w:rFonts w:ascii="Verdana" w:eastAsia="Calibri" w:hAnsi="Verdana" w:cs="Arial"/>
                <w:lang w:val="es-ES" w:eastAsia="es-ES"/>
              </w:rPr>
            </w:pPr>
            <w:r w:rsidRPr="00DD2A75">
              <w:rPr>
                <w:rFonts w:ascii="Verdana" w:eastAsia="Calibri" w:hAnsi="Verdana" w:cs="Arial"/>
                <w:lang w:val="es-ES" w:eastAsia="es-ES"/>
              </w:rPr>
              <w:t>PRECIOS UNITARIOS – APU – AIU – Diferencias – Configuración / AIU – Costos indirectos – Finalidad – Ejecución del contrato</w:t>
            </w:r>
            <w:r>
              <w:rPr>
                <w:rFonts w:ascii="Verdana" w:eastAsia="Calibri" w:hAnsi="Verdana" w:cs="Arial"/>
                <w:lang w:val="es-ES" w:eastAsia="es-ES"/>
              </w:rPr>
              <w:t xml:space="preserve"> / </w:t>
            </w:r>
            <w:r w:rsidRPr="00683260">
              <w:rPr>
                <w:rFonts w:ascii="Verdana" w:eastAsia="Calibri" w:hAnsi="Verdana" w:cs="Arial"/>
                <w:lang w:val="es-ES" w:eastAsia="es-ES"/>
              </w:rPr>
              <w:t>AIU – Componentes – Discrecionalidad</w:t>
            </w:r>
            <w:r w:rsidRPr="009E03E6">
              <w:rPr>
                <w:rFonts w:ascii="Verdana" w:eastAsia="Calibri" w:hAnsi="Verdana" w:cs="Arial"/>
                <w:lang w:val="es-ES" w:eastAsia="es-ES"/>
              </w:rPr>
              <w:t xml:space="preserve"> </w:t>
            </w:r>
            <w:r>
              <w:rPr>
                <w:rFonts w:ascii="Verdana" w:eastAsia="Calibri" w:hAnsi="Verdana" w:cs="Arial"/>
                <w:lang w:val="es-ES" w:eastAsia="es-ES"/>
              </w:rPr>
              <w:t xml:space="preserve">/ </w:t>
            </w:r>
            <w:r w:rsidRPr="00E15CF2">
              <w:rPr>
                <w:rFonts w:ascii="Verdana" w:eastAsia="Calibri" w:hAnsi="Verdana" w:cs="Arial"/>
                <w:lang w:val="es-ES" w:eastAsia="es-ES"/>
              </w:rPr>
              <w:t>EVALUACIÓN DEL PRECIO ‒ Costo real – Incluye la carga impositiva</w:t>
            </w:r>
          </w:p>
          <w:p w14:paraId="2A049EB1" w14:textId="54C44509" w:rsidR="00867581" w:rsidRPr="00280D79" w:rsidRDefault="00867581" w:rsidP="00C14BFF">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193F1D97"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A91377" w:rsidRPr="00A91377">
              <w:rPr>
                <w:rFonts w:ascii="Verdana" w:eastAsia="Calibri" w:hAnsi="Verdana" w:cs="Arial"/>
                <w:lang w:val="es-ES_tradnl" w:eastAsia="es-ES_tradnl"/>
              </w:rPr>
              <w:t>1_2025_10_21_011759</w:t>
            </w:r>
            <w:r w:rsidR="002D4A66" w:rsidRPr="00A91377">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5E05630B"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08683E">
        <w:rPr>
          <w:rFonts w:ascii="Verdana" w:eastAsia="Calibri" w:hAnsi="Verdana" w:cs="Arial"/>
          <w:lang w:val="es-ES" w:eastAsia="es-ES"/>
        </w:rPr>
        <w:t>o</w:t>
      </w:r>
      <w:r w:rsidR="00D36635">
        <w:rPr>
          <w:rFonts w:ascii="Verdana" w:eastAsia="Calibri" w:hAnsi="Verdana" w:cs="Arial"/>
          <w:lang w:val="es-ES" w:eastAsia="es-ES"/>
        </w:rPr>
        <w:t xml:space="preserve"> </w:t>
      </w:r>
      <w:r w:rsidRPr="006730E9">
        <w:rPr>
          <w:rFonts w:ascii="Verdana" w:eastAsia="Calibri" w:hAnsi="Verdana" w:cs="Arial"/>
          <w:lang w:val="es-ES" w:eastAsia="es-ES"/>
        </w:rPr>
        <w:t>señor</w:t>
      </w:r>
      <w:r w:rsidR="0097146B">
        <w:rPr>
          <w:rFonts w:ascii="Verdana" w:eastAsia="Calibri" w:hAnsi="Verdana" w:cs="Arial"/>
          <w:lang w:val="es-ES" w:eastAsia="es-ES"/>
        </w:rPr>
        <w:t xml:space="preserve"> </w:t>
      </w:r>
      <w:r w:rsidR="0008683E">
        <w:rPr>
          <w:rFonts w:ascii="Verdana" w:eastAsia="Calibri" w:hAnsi="Verdana" w:cs="Arial"/>
          <w:lang w:val="es-ES" w:eastAsia="es-ES"/>
        </w:rPr>
        <w:t>Garcia</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58194F55"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0F20B4">
        <w:rPr>
          <w:rFonts w:ascii="Verdana" w:eastAsia="Calibri" w:hAnsi="Verdana" w:cs="Arial"/>
          <w:lang w:val="es-ES" w:eastAsia="es-ES"/>
        </w:rPr>
        <w:t>21</w:t>
      </w:r>
      <w:r w:rsidR="00E445EC">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0F20B4">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4F15BAFA" w14:textId="77777777" w:rsidR="005B4680" w:rsidRDefault="00CB7B40" w:rsidP="005B468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192979C4" w14:textId="02FB59A1" w:rsidR="00A91377" w:rsidRDefault="00C90A7D" w:rsidP="00D36635">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M</w:t>
      </w:r>
      <w:r w:rsidRPr="00C90A7D">
        <w:rPr>
          <w:rFonts w:ascii="Verdana" w:eastAsia="Century Gothic" w:hAnsi="Verdana" w:cs="Century Gothic"/>
          <w:i/>
          <w:iCs/>
          <w:sz w:val="20"/>
          <w:szCs w:val="20"/>
        </w:rPr>
        <w:t>e permito solicitar a esa reconocida entidad la emisión de un concepto técnico y jurídico respecto a la estructuración y aplicabilidad del componente AIU ( Administración, Imprevistos y Utilidad) en los contratos de obra que contemplen la ejecución de instalaciones desmontables</w:t>
      </w:r>
      <w:r>
        <w:rPr>
          <w:rFonts w:ascii="Verdana" w:eastAsia="Century Gothic" w:hAnsi="Verdana" w:cs="Century Gothic"/>
          <w:i/>
          <w:iCs/>
          <w:sz w:val="20"/>
          <w:szCs w:val="20"/>
        </w:rPr>
        <w:t>.</w:t>
      </w:r>
    </w:p>
    <w:p w14:paraId="2CDDC996" w14:textId="293E0C54" w:rsidR="00A64017" w:rsidRPr="00EA70F7" w:rsidRDefault="00A64017" w:rsidP="00D36635">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40BFA632" w14:textId="4F84821F" w:rsidR="00A91377" w:rsidRDefault="00A64017" w:rsidP="00746DF7">
      <w:pPr>
        <w:spacing w:after="0" w:line="276" w:lineRule="auto"/>
        <w:jc w:val="both"/>
        <w:rPr>
          <w:rFonts w:ascii="Verdana" w:hAnsi="Verdana"/>
        </w:rPr>
      </w:pPr>
      <w:r w:rsidRPr="00E21BD1">
        <w:rPr>
          <w:rFonts w:ascii="Verdana" w:eastAsia="Calibri" w:hAnsi="Verdana" w:cs="Arial"/>
          <w:lang w:eastAsia="es-ES"/>
        </w:rPr>
        <w:t xml:space="preserve">De acuerdo con el contenido de su solicitud, esta Agencia resolverá </w:t>
      </w:r>
      <w:r w:rsidR="00E976F8">
        <w:rPr>
          <w:rFonts w:ascii="Verdana" w:eastAsia="Calibri" w:hAnsi="Verdana" w:cs="Arial"/>
          <w:lang w:eastAsia="es-ES"/>
        </w:rPr>
        <w:t>el</w:t>
      </w:r>
      <w:r w:rsidR="00D237B8">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sidR="000E52CD">
        <w:rPr>
          <w:rFonts w:ascii="Verdana" w:eastAsia="Century Gothic" w:hAnsi="Verdana" w:cs="Century Gothic"/>
        </w:rPr>
        <w:t xml:space="preserve"> </w:t>
      </w:r>
      <w:r w:rsidR="00746DF7">
        <w:rPr>
          <w:rFonts w:ascii="Verdana" w:eastAsia="Century Gothic" w:hAnsi="Verdana" w:cs="Century Gothic"/>
        </w:rPr>
        <w:t>¿</w:t>
      </w:r>
      <w:r w:rsidR="00746DF7" w:rsidRPr="00746DF7">
        <w:rPr>
          <w:rFonts w:ascii="Verdana" w:hAnsi="Verdana"/>
        </w:rPr>
        <w:t>Resulta jurídicamente procedente y adecuada la inclusión y estructuración del componente AIU (Administración, Imprevistos y Utilidad) en los contratos de obra</w:t>
      </w:r>
      <w:r w:rsidR="00746DF7">
        <w:rPr>
          <w:rFonts w:ascii="Verdana" w:hAnsi="Verdana"/>
        </w:rPr>
        <w:t>?</w:t>
      </w:r>
    </w:p>
    <w:p w14:paraId="168ABEE7" w14:textId="77777777" w:rsidR="006420DB" w:rsidRDefault="006420DB" w:rsidP="001B319A">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26E857ED" w14:textId="0C59A0AC" w:rsidR="00E12170" w:rsidRDefault="00933CFF" w:rsidP="00E12170">
            <w:pPr>
              <w:spacing w:before="120" w:line="276" w:lineRule="auto"/>
              <w:jc w:val="both"/>
              <w:rPr>
                <w:rFonts w:ascii="Verdana" w:eastAsia="Calibri" w:hAnsi="Verdana" w:cs="Arial"/>
                <w:bCs/>
                <w:color w:val="000000" w:themeColor="text1"/>
              </w:rPr>
            </w:pPr>
            <w:r>
              <w:rPr>
                <w:rFonts w:ascii="Verdana" w:hAnsi="Verdana"/>
                <w:bCs/>
                <w:lang w:val="es-MX" w:eastAsia="es-CO"/>
              </w:rPr>
              <w:t xml:space="preserve">           </w:t>
            </w:r>
            <w:r w:rsidR="00E12170">
              <w:rPr>
                <w:rFonts w:ascii="Verdana" w:hAnsi="Verdana"/>
                <w:bCs/>
                <w:lang w:val="es-MX" w:eastAsia="es-CO"/>
              </w:rPr>
              <w:t>De manera preliminar es pertinente indicar que e</w:t>
            </w:r>
            <w:r w:rsidR="00E12170" w:rsidRPr="00E12170">
              <w:rPr>
                <w:rFonts w:ascii="Verdana" w:eastAsia="Calibri" w:hAnsi="Verdana" w:cs="Arial"/>
                <w:bCs/>
                <w:color w:val="000000" w:themeColor="text1"/>
              </w:rPr>
              <w:t>l concepto de AIU (Administración, Imprevistos y Utilidad) es jurídicamente viable en los contratos de obra pública en Colombia, si bien no está regulado de manera directa en el Estatuto General de Contratación de la Administración Pública. Su estipulación se sustenta en el principio de la autonomía de la voluntad de las partes y es un componente usualmente integrado en el precio del contrato para cubrir los costos indirectos y la ganancia del contratista.</w:t>
            </w:r>
          </w:p>
          <w:p w14:paraId="2BBA814B" w14:textId="046D23CF" w:rsidR="00E12170" w:rsidRDefault="00E12170" w:rsidP="00E12170">
            <w:pPr>
              <w:spacing w:before="120" w:line="276" w:lineRule="auto"/>
              <w:jc w:val="both"/>
              <w:rPr>
                <w:rFonts w:ascii="Verdana" w:hAnsi="Verdana" w:cs="Arial"/>
                <w:bCs/>
                <w:szCs w:val="24"/>
                <w:lang w:val="es-ES_tradnl" w:eastAsia="es-ES_tradnl"/>
              </w:rPr>
            </w:pPr>
            <w:r>
              <w:rPr>
                <w:rFonts w:ascii="Verdana" w:eastAsia="Times New Roman" w:hAnsi="Verdana" w:cs="Arial"/>
                <w:color w:val="000000" w:themeColor="text1"/>
                <w:lang w:val="es-ES" w:eastAsia="es-ES"/>
              </w:rPr>
              <w:t xml:space="preserve">           </w:t>
            </w:r>
            <w:r w:rsidRPr="00E12170">
              <w:rPr>
                <w:rFonts w:ascii="Verdana" w:eastAsia="Times New Roman" w:hAnsi="Verdana" w:cs="Arial"/>
                <w:color w:val="000000" w:themeColor="text1"/>
                <w:lang w:val="es-ES" w:eastAsia="es-ES"/>
              </w:rPr>
              <w:t>Ahora bien</w:t>
            </w:r>
            <w:r>
              <w:rPr>
                <w:rFonts w:ascii="Verdana" w:eastAsia="Times New Roman" w:hAnsi="Verdana" w:cs="Arial"/>
                <w:color w:val="000000" w:themeColor="text1"/>
                <w:lang w:val="es-ES" w:eastAsia="es-ES"/>
              </w:rPr>
              <w:t xml:space="preserve">, </w:t>
            </w:r>
            <w:r w:rsidRPr="00104C20">
              <w:rPr>
                <w:rFonts w:ascii="Verdana" w:hAnsi="Verdana" w:cs="Arial"/>
                <w:bCs/>
                <w:szCs w:val="24"/>
                <w:lang w:val="es-ES_tradnl" w:eastAsia="es-ES_tradnl"/>
              </w:rPr>
              <w:t>cuando las entidades estatales incluyen esta forma de desglosar el precio, al realizar el estudio de mercado elaboran un presupuesto estimado del valor de la ejecución del contrato</w:t>
            </w:r>
            <w:r>
              <w:rPr>
                <w:rFonts w:ascii="Verdana" w:hAnsi="Verdana" w:cs="Arial"/>
                <w:bCs/>
                <w:szCs w:val="24"/>
                <w:lang w:val="es-ES_tradnl" w:eastAsia="es-ES_tradnl"/>
              </w:rPr>
              <w:t>, el cual supone un análisis técnico de los costos</w:t>
            </w:r>
            <w:r w:rsidRPr="00104C20">
              <w:rPr>
                <w:rFonts w:ascii="Verdana" w:hAnsi="Verdana" w:cs="Arial"/>
                <w:bCs/>
                <w:szCs w:val="24"/>
                <w:lang w:val="es-ES_tradnl" w:eastAsia="es-ES_tradnl"/>
              </w:rPr>
              <w:t xml:space="preserve">.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lang w:val="es-ES_tradnl" w:eastAsia="es-ES_tradnl"/>
              </w:rPr>
              <w:t xml:space="preserve">. </w:t>
            </w:r>
            <w:r>
              <w:rPr>
                <w:rFonts w:ascii="Verdana" w:hAnsi="Verdana" w:cs="Arial"/>
                <w:bCs/>
                <w:szCs w:val="24"/>
                <w:lang w:val="es-ES_tradnl" w:eastAsia="es-ES_tradnl"/>
              </w:rPr>
              <w:t>Por tanto, en abstracto, no existe un límite mínimo ni máximo respecto al porcentaje.</w:t>
            </w:r>
          </w:p>
          <w:p w14:paraId="661AA01A" w14:textId="77777777" w:rsidR="00E12170" w:rsidRDefault="00E12170" w:rsidP="00E12170">
            <w:pPr>
              <w:spacing w:before="120" w:line="276" w:lineRule="auto"/>
              <w:jc w:val="both"/>
              <w:rPr>
                <w:rFonts w:ascii="Verdana" w:eastAsia="Times New Roman" w:hAnsi="Verdana" w:cs="Arial"/>
                <w:color w:val="000000" w:themeColor="text1"/>
                <w:lang w:val="es-ES" w:eastAsia="es-ES"/>
              </w:rPr>
            </w:pPr>
            <w:r>
              <w:rPr>
                <w:rFonts w:ascii="Verdana" w:eastAsia="Times New Roman" w:hAnsi="Verdana" w:cs="Arial"/>
                <w:color w:val="000000" w:themeColor="text1"/>
                <w:lang w:val="es-ES" w:eastAsia="es-ES"/>
              </w:rPr>
              <w:t xml:space="preserve">         Así, </w:t>
            </w:r>
            <w:r w:rsidRPr="68ED2B87">
              <w:rPr>
                <w:rFonts w:ascii="Verdana" w:eastAsia="Times New Roman" w:hAnsi="Verdana" w:cs="Arial"/>
                <w:color w:val="000000" w:themeColor="text1"/>
                <w:lang w:val="es-ES" w:eastAsia="es-ES"/>
              </w:rPr>
              <w:t xml:space="preserve">el AIU hace parte del precio de los contratos, cuando se ha pactado esta metodología de cálculo de los costos indirectos, que resulta más común, sobre todo, en los contratos de tracto sucesivo, como los de obra pública a precios unitarios. Al ser un elemento que integra el precio que se paga al contratista, </w:t>
            </w:r>
            <w:r>
              <w:rPr>
                <w:rFonts w:ascii="Verdana" w:eastAsia="Times New Roman" w:hAnsi="Verdana" w:cs="Arial"/>
                <w:color w:val="000000" w:themeColor="text1"/>
                <w:lang w:val="es-ES" w:eastAsia="es-ES"/>
              </w:rPr>
              <w:t>é</w:t>
            </w:r>
            <w:r w:rsidRPr="68ED2B87">
              <w:rPr>
                <w:rFonts w:ascii="Verdana" w:eastAsia="Times New Roman" w:hAnsi="Verdana" w:cs="Arial"/>
                <w:color w:val="000000" w:themeColor="text1"/>
                <w:lang w:val="es-ES" w:eastAsia="es-ES"/>
              </w:rPr>
              <w:t>ste goza, en principio, de libertad en la fijación de sus componentes, salvo que las partes hayan acordado una metodología especial en el contrato, que le imponga al contratista algunas restricciones, en virtud de la autonomía de la voluntad.</w:t>
            </w:r>
          </w:p>
          <w:p w14:paraId="6CECAFF1" w14:textId="77777777" w:rsidR="00E12170" w:rsidRDefault="00E12170" w:rsidP="00E12170">
            <w:pPr>
              <w:spacing w:before="120" w:line="276" w:lineRule="auto"/>
              <w:jc w:val="both"/>
              <w:rPr>
                <w:rFonts w:ascii="Verdana" w:eastAsia="Arial" w:hAnsi="Verdana" w:cs="Arial"/>
                <w:color w:val="000000"/>
              </w:rPr>
            </w:pPr>
            <w:r>
              <w:rPr>
                <w:rFonts w:ascii="Verdana" w:eastAsia="Arial" w:hAnsi="Verdana" w:cs="Arial"/>
                <w:color w:val="000000"/>
              </w:rPr>
              <w:t xml:space="preserve">          </w:t>
            </w: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496449AD" w14:textId="4F68AE84" w:rsidR="00E12170" w:rsidRPr="00E12170" w:rsidRDefault="00E12170" w:rsidP="00E12170">
            <w:pPr>
              <w:spacing w:before="120" w:line="276" w:lineRule="auto"/>
              <w:jc w:val="both"/>
              <w:rPr>
                <w:rFonts w:ascii="Verdana" w:eastAsia="Arial" w:hAnsi="Verdana" w:cs="Arial"/>
                <w:color w:val="000000"/>
              </w:rPr>
            </w:pPr>
            <w:r>
              <w:rPr>
                <w:rFonts w:ascii="Verdana" w:hAnsi="Verdana" w:cs="Arial"/>
                <w:lang w:val="es-ES" w:eastAsia="es-ES"/>
              </w:rPr>
              <w:t xml:space="preserve">           Por su parte, al no existir valores fijos de referencia regulados en la ley o el reglamento</w:t>
            </w:r>
            <w:r w:rsidRPr="00104C20">
              <w:rPr>
                <w:rFonts w:ascii="Verdana" w:hAnsi="Verdana" w:cs="Arial"/>
                <w:lang w:val="es-ES" w:eastAsia="es-ES"/>
              </w:rPr>
              <w:t>,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605AD4B6" w14:textId="77777777" w:rsidR="00B31174" w:rsidRDefault="00B31174" w:rsidP="006420DB">
            <w:pPr>
              <w:spacing w:line="276" w:lineRule="auto"/>
              <w:contextualSpacing/>
              <w:jc w:val="both"/>
              <w:rPr>
                <w:rFonts w:ascii="Verdana" w:eastAsia="Calibri" w:hAnsi="Verdana" w:cs="Arial"/>
                <w:bCs/>
                <w:color w:val="000000" w:themeColor="text1"/>
              </w:rPr>
            </w:pPr>
          </w:p>
          <w:p w14:paraId="05BF1378" w14:textId="1A3AE473" w:rsidR="006420DB" w:rsidRPr="00DB4737" w:rsidRDefault="009C3C72" w:rsidP="006420DB">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sidR="006420DB">
              <w:rPr>
                <w:rFonts w:ascii="Verdana" w:eastAsia="Calibri" w:hAnsi="Verdana" w:cs="Arial"/>
                <w:bCs/>
                <w:color w:val="000000" w:themeColor="text1"/>
              </w:rPr>
              <w:t>Finalmente</w:t>
            </w:r>
            <w:r w:rsidR="006420DB">
              <w:rPr>
                <w:rFonts w:ascii="Verdana" w:eastAsia="Calibri" w:hAnsi="Verdana" w:cs="Times New Roman"/>
                <w:lang w:val="es-ES"/>
              </w:rPr>
              <w:t>,</w:t>
            </w:r>
            <w:r w:rsidR="006420DB" w:rsidRPr="00DB4737">
              <w:rPr>
                <w:rFonts w:ascii="Verdana" w:eastAsia="Calibri" w:hAnsi="Verdana" w:cs="Times New Roman"/>
                <w:lang w:val="es-ES"/>
              </w:rPr>
              <w:t xml:space="preserve"> debe advertirse que el análisis en torno </w:t>
            </w:r>
            <w:r w:rsidR="006420DB">
              <w:rPr>
                <w:rFonts w:ascii="Verdana" w:eastAsia="Calibri" w:hAnsi="Verdana" w:cs="Times New Roman"/>
                <w:lang w:val="es-ES"/>
              </w:rPr>
              <w:t>a un proceso de contratación especifico debe</w:t>
            </w:r>
            <w:r w:rsidR="006420DB" w:rsidRPr="0012388D">
              <w:rPr>
                <w:rFonts w:ascii="Verdana" w:eastAsia="Calibri" w:hAnsi="Verdana" w:cs="Times New Roman"/>
                <w:lang w:val="es-ES"/>
              </w:rPr>
              <w:t xml:space="preserve"> ser realizado por quienes tengan interés en ello.</w:t>
            </w:r>
            <w:r w:rsidR="006420DB"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6420DB">
              <w:t xml:space="preserve"> </w:t>
            </w:r>
          </w:p>
          <w:p w14:paraId="5EA94571" w14:textId="21834752" w:rsidR="00A51CB5" w:rsidRPr="00E529C2" w:rsidRDefault="009C3C72" w:rsidP="006420DB">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6420DB"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A6627C4" w14:textId="77777777" w:rsidR="00C31B11" w:rsidRDefault="00C31B11" w:rsidP="00C31B1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E5E3128" w14:textId="77777777" w:rsidR="000F20B4" w:rsidRPr="001278F6" w:rsidRDefault="00070BF0" w:rsidP="000F20B4">
      <w:pPr>
        <w:spacing w:after="0" w:line="276" w:lineRule="auto"/>
        <w:jc w:val="both"/>
        <w:rPr>
          <w:rFonts w:ascii="Verdana" w:eastAsia="Calibri" w:hAnsi="Verdana" w:cs="Arial"/>
          <w:lang w:val="es-ES" w:eastAsia="es-ES"/>
        </w:rPr>
      </w:pPr>
      <w:r>
        <w:rPr>
          <w:rFonts w:ascii="Verdana" w:eastAsia="Calibri" w:hAnsi="Verdana" w:cs="Arial"/>
          <w:bCs/>
        </w:rPr>
        <w:tab/>
        <w:t xml:space="preserve">   </w:t>
      </w:r>
      <w:r w:rsidR="00B31174" w:rsidRPr="00981BF5">
        <w:rPr>
          <w:rFonts w:ascii="Verdana" w:eastAsia="Calibri" w:hAnsi="Verdana" w:cs="Arial"/>
          <w:lang w:val="es-MX"/>
        </w:rPr>
        <w:t xml:space="preserve">La contratación estatal tiene como propósito el cumplimiento de los fines estatales, </w:t>
      </w:r>
      <w:r w:rsidR="000F20B4" w:rsidRPr="001278F6">
        <w:rPr>
          <w:rFonts w:ascii="Verdana" w:eastAsia="Calibri" w:hAnsi="Verdana" w:cs="Arial"/>
          <w:bCs/>
          <w:szCs w:val="24"/>
          <w:lang w:val="es-ES_tradnl" w:eastAsia="es-ES_tradnl"/>
        </w:rPr>
        <w:t>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w:t>
      </w:r>
      <w:r w:rsidR="000F20B4" w:rsidRPr="001278F6">
        <w:rPr>
          <w:rFonts w:ascii="Verdana" w:eastAsia="Calibri" w:hAnsi="Verdana" w:cs="Arial"/>
          <w:lang w:val="es-ES" w:eastAsia="es-ES"/>
        </w:rPr>
        <w:t xml:space="preserve"> contractual.</w:t>
      </w:r>
    </w:p>
    <w:p w14:paraId="2E90C943" w14:textId="77777777" w:rsidR="000F20B4" w:rsidRPr="001278F6" w:rsidRDefault="000F20B4" w:rsidP="000F20B4">
      <w:pPr>
        <w:spacing w:before="120" w:after="12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278F6">
        <w:rPr>
          <w:rFonts w:ascii="Verdana" w:eastAsia="Calibri" w:hAnsi="Verdana" w:cs="Arial"/>
          <w:vertAlign w:val="superscript"/>
          <w:lang w:val="es-ES" w:eastAsia="es-ES"/>
        </w:rPr>
        <w:footnoteReference w:id="1"/>
      </w:r>
      <w:r w:rsidRPr="001278F6">
        <w:rPr>
          <w:rFonts w:ascii="Verdana" w:eastAsia="Calibri" w:hAnsi="Verdana" w:cs="Arial"/>
          <w:lang w:val="es-ES" w:eastAsia="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0385E164" w14:textId="77777777" w:rsidR="000F20B4" w:rsidRPr="001278F6" w:rsidRDefault="000F20B4" w:rsidP="000F20B4">
      <w:pPr>
        <w:spacing w:before="120" w:after="12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1278F6">
        <w:rPr>
          <w:rFonts w:ascii="Verdana" w:eastAsia="Calibri" w:hAnsi="Verdana" w:cs="Arial"/>
          <w:i/>
          <w:iCs/>
          <w:lang w:val="es-ES" w:eastAsia="es-ES"/>
        </w:rPr>
        <w:t>costos directos</w:t>
      </w:r>
      <w:r w:rsidRPr="001278F6">
        <w:rPr>
          <w:rFonts w:ascii="Verdana" w:eastAsia="Calibri" w:hAnsi="Verdana" w:cs="Arial"/>
          <w:lang w:val="es-ES" w:eastAsia="es-ES"/>
        </w:rPr>
        <w:t xml:space="preserve"> –es decir, los que están directamente implicados en la ejecución del objeto–, de los </w:t>
      </w:r>
      <w:r w:rsidRPr="001278F6">
        <w:rPr>
          <w:rFonts w:ascii="Verdana" w:eastAsia="Calibri" w:hAnsi="Verdana" w:cs="Arial"/>
          <w:i/>
          <w:iCs/>
          <w:lang w:val="es-ES" w:eastAsia="es-ES"/>
        </w:rPr>
        <w:t>costos indirectos</w:t>
      </w:r>
      <w:r w:rsidRPr="001278F6">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1278F6">
        <w:rPr>
          <w:rFonts w:ascii="Verdana" w:eastAsia="Calibri" w:hAnsi="Verdana" w:cs="Arial"/>
          <w:i/>
          <w:iCs/>
          <w:lang w:val="es-ES" w:eastAsia="es-ES"/>
        </w:rPr>
        <w:t>costos directos</w:t>
      </w:r>
      <w:r w:rsidRPr="001278F6">
        <w:rPr>
          <w:rFonts w:ascii="Verdana" w:eastAsia="Calibri" w:hAnsi="Verdana" w:cs="Arial"/>
          <w:lang w:val="es-ES" w:eastAsia="es-ES"/>
        </w:rPr>
        <w:t xml:space="preserve"> se evidencian en el análisis de precios unitarios –APU–, como la sumatoria de los valores de los </w:t>
      </w:r>
      <w:r w:rsidRPr="001278F6">
        <w:rPr>
          <w:rFonts w:ascii="Verdana" w:eastAsia="Calibri" w:hAnsi="Verdana" w:cs="Arial"/>
          <w:i/>
          <w:iCs/>
          <w:lang w:val="es-ES" w:eastAsia="es-ES"/>
        </w:rPr>
        <w:t>ítems</w:t>
      </w:r>
      <w:r w:rsidRPr="001278F6">
        <w:rPr>
          <w:rFonts w:ascii="Verdana" w:eastAsia="Calibri" w:hAnsi="Verdana" w:cs="Arial"/>
          <w:lang w:val="es-ES" w:eastAsia="es-ES"/>
        </w:rPr>
        <w:t xml:space="preserve"> según su unidad de medida, los </w:t>
      </w:r>
      <w:r w:rsidRPr="001278F6">
        <w:rPr>
          <w:rFonts w:ascii="Verdana" w:eastAsia="Calibri" w:hAnsi="Verdana" w:cs="Arial"/>
          <w:i/>
          <w:iCs/>
          <w:lang w:val="es-ES" w:eastAsia="es-ES"/>
        </w:rPr>
        <w:t>costos indirectos</w:t>
      </w:r>
      <w:r w:rsidRPr="001278F6">
        <w:rPr>
          <w:rFonts w:ascii="Verdana" w:eastAsia="Calibri" w:hAnsi="Verdana" w:cs="Arial"/>
          <w:lang w:val="es-ES" w:eastAsia="es-ES"/>
        </w:rPr>
        <w:t xml:space="preserve"> se suelen abreviar en las variables que integran el acrónimo AIU –Administración, Imprevistos y Utilidad–. </w:t>
      </w:r>
    </w:p>
    <w:p w14:paraId="422468D5" w14:textId="77777777" w:rsidR="000F20B4" w:rsidRPr="001278F6" w:rsidRDefault="000F20B4" w:rsidP="000F20B4">
      <w:pPr>
        <w:spacing w:before="120" w:after="0" w:line="276" w:lineRule="auto"/>
        <w:ind w:firstLine="709"/>
        <w:jc w:val="both"/>
        <w:rPr>
          <w:rFonts w:ascii="Verdana" w:eastAsia="Calibri" w:hAnsi="Verdana" w:cs="Arial"/>
          <w:bCs/>
          <w:szCs w:val="24"/>
          <w:lang w:eastAsia="es-ES_tradnl"/>
        </w:rPr>
      </w:pPr>
      <w:r w:rsidRPr="54D29886">
        <w:rPr>
          <w:rFonts w:ascii="Verdana" w:eastAsia="Calibri" w:hAnsi="Verdana" w:cs="Arial"/>
          <w:lang w:val="es-ES" w:eastAsia="es-ES"/>
        </w:rPr>
        <w:t xml:space="preserve">La jurisprudencia ha señalado que “[…] </w:t>
      </w:r>
      <w:r w:rsidRPr="54D29886">
        <w:rPr>
          <w:rFonts w:ascii="Verdana" w:eastAsia="Calibri" w:hAnsi="Verdana" w:cs="Arial"/>
          <w:lang w:eastAsia="es-ES"/>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54D29886">
        <w:rPr>
          <w:rFonts w:ascii="Verdana" w:eastAsia="Calibri" w:hAnsi="Verdana" w:cs="Arial"/>
          <w:lang w:val="es-ES" w:eastAsia="es-ES"/>
        </w:rPr>
        <w:t>”</w:t>
      </w:r>
      <w:r w:rsidRPr="54D29886">
        <w:rPr>
          <w:rFonts w:ascii="Verdana" w:eastAsia="Calibri" w:hAnsi="Verdana" w:cs="Arial"/>
          <w:vertAlign w:val="superscript"/>
          <w:lang w:val="es-ES" w:eastAsia="es-ES"/>
        </w:rPr>
        <w:footnoteReference w:id="2"/>
      </w:r>
      <w:r w:rsidRPr="54D29886">
        <w:rPr>
          <w:rFonts w:ascii="Verdana" w:eastAsia="Calibri" w:hAnsi="Verdana" w:cs="Arial"/>
          <w:lang w:eastAsia="es-ES"/>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09D6935E" w14:textId="77777777" w:rsidR="000F20B4" w:rsidRPr="001278F6" w:rsidRDefault="000F20B4" w:rsidP="000F20B4">
      <w:pPr>
        <w:spacing w:after="0" w:line="276" w:lineRule="auto"/>
        <w:ind w:firstLine="709"/>
        <w:jc w:val="both"/>
        <w:rPr>
          <w:rFonts w:ascii="Verdana" w:eastAsia="Calibri" w:hAnsi="Verdana" w:cs="Arial"/>
          <w:bCs/>
          <w:szCs w:val="24"/>
          <w:lang w:eastAsia="es-ES_tradnl"/>
        </w:rPr>
      </w:pPr>
    </w:p>
    <w:p w14:paraId="07E0246A" w14:textId="77777777" w:rsidR="000F20B4" w:rsidRPr="001278F6" w:rsidRDefault="000F20B4" w:rsidP="000F20B4">
      <w:pPr>
        <w:tabs>
          <w:tab w:val="left" w:pos="709"/>
        </w:tabs>
        <w:spacing w:after="120" w:line="240" w:lineRule="auto"/>
        <w:ind w:left="709" w:right="709"/>
        <w:jc w:val="both"/>
        <w:rPr>
          <w:rFonts w:ascii="Verdana" w:eastAsia="Calibri" w:hAnsi="Verdana" w:cs="Arial"/>
          <w:sz w:val="21"/>
          <w:szCs w:val="21"/>
          <w:lang w:val="es-ES" w:eastAsia="es-ES"/>
        </w:rPr>
      </w:pPr>
      <w:r w:rsidRPr="001278F6">
        <w:rPr>
          <w:rFonts w:ascii="Verdana" w:eastAsia="Calibri" w:hAnsi="Verdana" w:cs="Arial"/>
          <w:sz w:val="21"/>
          <w:szCs w:val="21"/>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3CE1B0E1" w14:textId="77777777" w:rsidR="000F20B4" w:rsidRPr="001278F6" w:rsidRDefault="000F20B4" w:rsidP="000F20B4">
      <w:pPr>
        <w:tabs>
          <w:tab w:val="left" w:pos="709"/>
        </w:tabs>
        <w:spacing w:after="0" w:line="240" w:lineRule="auto"/>
        <w:ind w:left="709" w:right="709"/>
        <w:jc w:val="both"/>
        <w:rPr>
          <w:rFonts w:ascii="Verdana" w:eastAsia="Calibri" w:hAnsi="Verdana" w:cs="Arial"/>
          <w:sz w:val="21"/>
          <w:szCs w:val="21"/>
          <w:lang w:val="es-ES_tradnl" w:eastAsia="es-ES_tradnl"/>
        </w:rPr>
      </w:pPr>
      <w:r w:rsidRPr="54D29886">
        <w:rPr>
          <w:rFonts w:ascii="Verdana" w:eastAsia="Calibri" w:hAnsi="Verdana" w:cs="Arial"/>
          <w:sz w:val="21"/>
          <w:szCs w:val="21"/>
          <w:lang w:val="es-ES" w:eastAsia="es-ES"/>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54D29886">
        <w:rPr>
          <w:rFonts w:ascii="Verdana" w:eastAsia="Calibri" w:hAnsi="Verdana" w:cs="Arial"/>
          <w:sz w:val="21"/>
          <w:szCs w:val="21"/>
          <w:vertAlign w:val="superscript"/>
          <w:lang w:val="es-ES" w:eastAsia="es-ES"/>
        </w:rPr>
        <w:footnoteReference w:id="3"/>
      </w:r>
      <w:r w:rsidRPr="54D29886">
        <w:rPr>
          <w:rFonts w:ascii="Verdana" w:eastAsia="Calibri" w:hAnsi="Verdana" w:cs="Arial"/>
          <w:sz w:val="21"/>
          <w:szCs w:val="21"/>
          <w:lang w:val="es-ES" w:eastAsia="es-ES"/>
        </w:rPr>
        <w:t xml:space="preserve">. </w:t>
      </w:r>
    </w:p>
    <w:p w14:paraId="394B6E52" w14:textId="77777777" w:rsidR="000F20B4" w:rsidRPr="001278F6" w:rsidRDefault="000F20B4" w:rsidP="000F20B4">
      <w:pPr>
        <w:tabs>
          <w:tab w:val="left" w:pos="709"/>
        </w:tabs>
        <w:spacing w:after="0" w:line="276" w:lineRule="auto"/>
        <w:ind w:left="709" w:right="760"/>
        <w:jc w:val="both"/>
        <w:rPr>
          <w:rFonts w:ascii="Verdana" w:eastAsia="Calibri" w:hAnsi="Verdana" w:cs="Arial"/>
          <w:szCs w:val="24"/>
          <w:lang w:val="es-ES_tradnl" w:eastAsia="es-ES_tradnl"/>
        </w:rPr>
      </w:pPr>
    </w:p>
    <w:p w14:paraId="1DD41DAD" w14:textId="77777777" w:rsidR="000F20B4" w:rsidRPr="001278F6" w:rsidRDefault="000F20B4" w:rsidP="000F20B4">
      <w:pPr>
        <w:spacing w:after="0" w:line="276" w:lineRule="auto"/>
        <w:ind w:firstLine="709"/>
        <w:jc w:val="both"/>
        <w:rPr>
          <w:rFonts w:ascii="Verdana" w:eastAsia="Calibri" w:hAnsi="Verdana" w:cs="Arial"/>
          <w:szCs w:val="24"/>
          <w:lang w:val="es-ES_tradnl" w:eastAsia="es-ES_tradnl"/>
        </w:rPr>
      </w:pPr>
      <w:r w:rsidRPr="001278F6">
        <w:rPr>
          <w:rFonts w:ascii="Verdana" w:eastAsia="Calibri"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6D83402D" w14:textId="77777777" w:rsidR="000F20B4" w:rsidRPr="001278F6" w:rsidRDefault="000F20B4" w:rsidP="000F20B4">
      <w:pPr>
        <w:spacing w:after="0" w:line="276" w:lineRule="auto"/>
        <w:ind w:firstLine="709"/>
        <w:jc w:val="both"/>
        <w:rPr>
          <w:rFonts w:ascii="Verdana" w:eastAsia="Calibri" w:hAnsi="Verdana" w:cs="Arial"/>
          <w:szCs w:val="24"/>
          <w:lang w:val="es-ES_tradnl" w:eastAsia="es-ES_tradnl"/>
        </w:rPr>
      </w:pPr>
    </w:p>
    <w:p w14:paraId="5F41DF61" w14:textId="77777777" w:rsidR="000F20B4" w:rsidRPr="001278F6" w:rsidRDefault="000F20B4" w:rsidP="000F20B4">
      <w:pPr>
        <w:tabs>
          <w:tab w:val="left" w:pos="709"/>
        </w:tabs>
        <w:spacing w:after="12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 xml:space="preserve">“[…] el AIU propuesto para el contrato, corresponde a: </w:t>
      </w:r>
    </w:p>
    <w:p w14:paraId="7D236EC4" w14:textId="77777777" w:rsidR="000F20B4" w:rsidRPr="001278F6" w:rsidRDefault="000F20B4" w:rsidP="000F20B4">
      <w:pPr>
        <w:tabs>
          <w:tab w:val="left" w:pos="709"/>
        </w:tabs>
        <w:spacing w:after="12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535D4FEF" w14:textId="77777777" w:rsidR="000F20B4" w:rsidRPr="001278F6" w:rsidRDefault="000F20B4" w:rsidP="000F20B4">
      <w:pPr>
        <w:tabs>
          <w:tab w:val="left" w:pos="709"/>
        </w:tabs>
        <w:spacing w:after="120" w:line="240" w:lineRule="auto"/>
        <w:ind w:left="709" w:right="709"/>
        <w:jc w:val="both"/>
        <w:rPr>
          <w:rFonts w:ascii="Verdana" w:eastAsia="Calibri" w:hAnsi="Verdana" w:cs="Arial"/>
          <w:sz w:val="21"/>
          <w:szCs w:val="21"/>
          <w:lang w:val="es-ES" w:eastAsia="es-ES"/>
        </w:rPr>
      </w:pPr>
      <w:r w:rsidRPr="001278F6">
        <w:rPr>
          <w:rFonts w:ascii="Verdana" w:eastAsia="Calibri" w:hAnsi="Verdana" w:cs="Arial"/>
          <w:sz w:val="21"/>
          <w:szCs w:val="21"/>
          <w:lang w:val="es-ES" w:eastAsia="es-ES"/>
        </w:rPr>
        <w:t xml:space="preserve">ii) los imprevistos, que es el porcentaje destinado a cubrir los gastos con los que no se contaba y que se presenten durante la ejecución del contrato, esto es, el álea normal del contrato: I; </w:t>
      </w:r>
    </w:p>
    <w:p w14:paraId="3DD0720B" w14:textId="77777777" w:rsidR="000F20B4" w:rsidRPr="001278F6" w:rsidRDefault="000F20B4" w:rsidP="000F20B4">
      <w:pPr>
        <w:tabs>
          <w:tab w:val="left" w:pos="709"/>
        </w:tabs>
        <w:spacing w:after="120" w:line="240" w:lineRule="auto"/>
        <w:ind w:left="709" w:right="709"/>
        <w:jc w:val="both"/>
        <w:rPr>
          <w:rFonts w:ascii="Verdana" w:eastAsia="Calibri" w:hAnsi="Verdana" w:cs="Arial"/>
          <w:sz w:val="21"/>
          <w:szCs w:val="21"/>
          <w:lang w:val="es-ES" w:eastAsia="es-ES"/>
        </w:rPr>
      </w:pPr>
      <w:r w:rsidRPr="001278F6">
        <w:rPr>
          <w:rFonts w:ascii="Verdana" w:eastAsia="Calibri" w:hAnsi="Verdana" w:cs="Arial"/>
          <w:sz w:val="21"/>
          <w:szCs w:val="21"/>
          <w:lang w:val="es-ES" w:eastAsia="es-ES"/>
        </w:rPr>
        <w:t xml:space="preserve">iii) la utilidad o el beneficio económico que pretende percibir el contratista por la ejecución del contrato, esto es: U. </w:t>
      </w:r>
    </w:p>
    <w:p w14:paraId="00B3F142" w14:textId="77777777" w:rsidR="000F20B4" w:rsidRPr="001278F6" w:rsidRDefault="000F20B4" w:rsidP="000F20B4">
      <w:pPr>
        <w:tabs>
          <w:tab w:val="left" w:pos="709"/>
        </w:tabs>
        <w:spacing w:after="0" w:line="240" w:lineRule="auto"/>
        <w:ind w:left="709" w:right="709"/>
        <w:jc w:val="both"/>
        <w:rPr>
          <w:rFonts w:ascii="Verdana" w:eastAsia="Calibri" w:hAnsi="Verdana" w:cs="Arial"/>
          <w:sz w:val="21"/>
          <w:szCs w:val="21"/>
          <w:lang w:val="es-ES_tradnl" w:eastAsia="es-ES_tradnl"/>
        </w:rPr>
      </w:pPr>
      <w:r w:rsidRPr="54D29886">
        <w:rPr>
          <w:rFonts w:ascii="Verdana" w:eastAsia="Calibri" w:hAnsi="Verdana" w:cs="Arial"/>
          <w:sz w:val="21"/>
          <w:szCs w:val="21"/>
          <w:lang w:val="es-ES" w:eastAsia="es-ES"/>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54D29886">
        <w:rPr>
          <w:rFonts w:ascii="Verdana" w:eastAsia="Calibri" w:hAnsi="Verdana" w:cs="Arial"/>
          <w:sz w:val="21"/>
          <w:szCs w:val="21"/>
          <w:vertAlign w:val="superscript"/>
          <w:lang w:val="es-ES" w:eastAsia="es-ES"/>
        </w:rPr>
        <w:footnoteReference w:id="4"/>
      </w:r>
      <w:r w:rsidRPr="54D29886">
        <w:rPr>
          <w:rFonts w:ascii="Verdana" w:eastAsia="Calibri" w:hAnsi="Verdana" w:cs="Arial"/>
          <w:sz w:val="21"/>
          <w:szCs w:val="21"/>
          <w:lang w:val="es-ES" w:eastAsia="es-ES"/>
        </w:rPr>
        <w:t>.</w:t>
      </w:r>
    </w:p>
    <w:p w14:paraId="123B1B9D" w14:textId="77777777" w:rsidR="000F20B4" w:rsidRPr="001278F6" w:rsidRDefault="000F20B4" w:rsidP="000F20B4">
      <w:pPr>
        <w:tabs>
          <w:tab w:val="left" w:pos="709"/>
        </w:tabs>
        <w:spacing w:after="0" w:line="276" w:lineRule="auto"/>
        <w:ind w:left="709" w:right="760"/>
        <w:jc w:val="both"/>
        <w:rPr>
          <w:rFonts w:ascii="Verdana" w:eastAsia="Calibri" w:hAnsi="Verdana" w:cs="Arial"/>
          <w:szCs w:val="24"/>
          <w:lang w:val="es-ES_tradnl" w:eastAsia="es-ES_tradnl"/>
        </w:rPr>
      </w:pPr>
    </w:p>
    <w:p w14:paraId="009F1714" w14:textId="77777777" w:rsidR="000F20B4" w:rsidRPr="001278F6" w:rsidRDefault="000F20B4" w:rsidP="000F20B4">
      <w:pPr>
        <w:spacing w:after="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A su turno, la Sala de Consulta y Servicio Civil del Consejo de Estado sostuvo en concepto del 5 de septiembre de 2018</w:t>
      </w:r>
      <w:r w:rsidRPr="001278F6">
        <w:rPr>
          <w:rFonts w:ascii="Verdana" w:eastAsia="Calibri" w:hAnsi="Verdana" w:cs="Arial"/>
          <w:vertAlign w:val="superscript"/>
          <w:lang w:val="es-ES" w:eastAsia="es-ES"/>
        </w:rPr>
        <w:footnoteReference w:id="5"/>
      </w:r>
      <w:r w:rsidRPr="001278F6">
        <w:rPr>
          <w:rFonts w:ascii="Verdana" w:eastAsia="Calibri"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1278F6">
        <w:rPr>
          <w:rFonts w:ascii="Verdana" w:eastAsia="Calibri" w:hAnsi="Verdana" w:cs="Arial"/>
          <w:vertAlign w:val="superscript"/>
          <w:lang w:val="es-ES" w:eastAsia="es-ES"/>
        </w:rPr>
        <w:footnoteReference w:id="6"/>
      </w:r>
      <w:r w:rsidRPr="001278F6">
        <w:rPr>
          <w:rFonts w:ascii="Verdana" w:eastAsia="Calibri" w:hAnsi="Verdana" w:cs="Arial"/>
          <w:lang w:val="es-ES" w:eastAsia="es-ES"/>
        </w:rPr>
        <w:t>, sin perjuicio que en otros contratos este valor no aparezca discriminado y se incorpore en el valor de los precios unitarios”</w:t>
      </w:r>
      <w:r w:rsidRPr="001278F6">
        <w:rPr>
          <w:rFonts w:ascii="Verdana" w:eastAsia="Calibri" w:hAnsi="Verdana" w:cs="Arial"/>
          <w:vertAlign w:val="superscript"/>
          <w:lang w:val="es-ES" w:eastAsia="es-ES"/>
        </w:rPr>
        <w:footnoteReference w:id="7"/>
      </w:r>
      <w:r w:rsidRPr="001278F6">
        <w:rPr>
          <w:rFonts w:ascii="Verdana" w:eastAsia="Calibri" w:hAnsi="Verdana" w:cs="Arial"/>
          <w:lang w:val="es-ES" w:eastAsia="es-ES"/>
        </w:rPr>
        <w:t xml:space="preserve">. </w:t>
      </w:r>
    </w:p>
    <w:p w14:paraId="72450C5A" w14:textId="77777777" w:rsidR="000F20B4" w:rsidRPr="001278F6" w:rsidRDefault="000F20B4" w:rsidP="000F20B4">
      <w:pPr>
        <w:spacing w:before="120" w:after="0" w:line="276" w:lineRule="auto"/>
        <w:ind w:firstLine="709"/>
        <w:jc w:val="both"/>
        <w:rPr>
          <w:rFonts w:ascii="Verdana" w:eastAsia="Calibri" w:hAnsi="Verdana" w:cs="Arial"/>
          <w:bCs/>
          <w:szCs w:val="24"/>
          <w:lang w:val="es-ES_tradnl" w:eastAsia="es-ES_tradnl"/>
        </w:rPr>
      </w:pPr>
      <w:r w:rsidRPr="54D29886">
        <w:rPr>
          <w:rFonts w:ascii="Verdana" w:eastAsia="Calibri" w:hAnsi="Verdana" w:cs="Arial"/>
          <w:lang w:val="es-ES" w:eastAsia="es-ES"/>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54D29886">
        <w:rPr>
          <w:rFonts w:ascii="Verdana" w:eastAsia="Calibri" w:hAnsi="Verdana" w:cs="Arial"/>
          <w:vertAlign w:val="superscript"/>
          <w:lang w:val="es-ES" w:eastAsia="es-ES"/>
        </w:rPr>
        <w:footnoteReference w:id="8"/>
      </w:r>
      <w:r w:rsidRPr="54D29886">
        <w:rPr>
          <w:rFonts w:ascii="Verdana" w:eastAsia="Calibri" w:hAnsi="Verdana" w:cs="Arial"/>
          <w:lang w:val="es-ES" w:eastAsia="es-ES"/>
        </w:rPr>
        <w:t xml:space="preserve">. De otro lado, quien define el valor de cada </w:t>
      </w:r>
      <w:r w:rsidRPr="54D29886">
        <w:rPr>
          <w:rFonts w:ascii="Verdana" w:eastAsia="Calibri" w:hAnsi="Verdana" w:cs="Arial"/>
          <w:i/>
          <w:lang w:val="es-ES" w:eastAsia="es-ES"/>
        </w:rPr>
        <w:t>letra</w:t>
      </w:r>
      <w:r w:rsidRPr="54D29886">
        <w:rPr>
          <w:rFonts w:ascii="Verdana" w:eastAsia="Calibri" w:hAnsi="Verdana" w:cs="Arial"/>
          <w:lang w:val="es-ES" w:eastAsia="es-ES"/>
        </w:rPr>
        <w:t xml:space="preserve"> –AIU– es el proponente, pues goza de libertad empresarial para hacerlo en la elaboración de su oferta</w:t>
      </w:r>
      <w:r w:rsidRPr="54D29886">
        <w:rPr>
          <w:rFonts w:ascii="Verdana" w:eastAsia="Calibri" w:hAnsi="Verdana" w:cs="Arial"/>
          <w:vertAlign w:val="superscript"/>
          <w:lang w:val="es-ES" w:eastAsia="es-ES"/>
        </w:rPr>
        <w:footnoteReference w:id="9"/>
      </w:r>
      <w:r w:rsidRPr="54D29886">
        <w:rPr>
          <w:rFonts w:ascii="Verdana" w:eastAsia="Calibri" w:hAnsi="Verdana" w:cs="Arial"/>
          <w:lang w:val="es-ES" w:eastAsia="es-ES"/>
        </w:rPr>
        <w:t>.</w:t>
      </w:r>
    </w:p>
    <w:p w14:paraId="5DF7D616" w14:textId="77777777" w:rsidR="000F20B4" w:rsidRPr="001278F6" w:rsidRDefault="000F20B4" w:rsidP="000F20B4">
      <w:pPr>
        <w:spacing w:before="120" w:after="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p>
    <w:p w14:paraId="07DD01A8" w14:textId="77777777" w:rsidR="000F20B4" w:rsidRPr="001278F6" w:rsidRDefault="000F20B4" w:rsidP="000F20B4">
      <w:pPr>
        <w:spacing w:before="120" w:after="0" w:line="276" w:lineRule="auto"/>
        <w:ind w:firstLine="709"/>
        <w:jc w:val="both"/>
        <w:rPr>
          <w:rFonts w:ascii="Verdana" w:eastAsia="Calibri" w:hAnsi="Verdana" w:cs="Arial"/>
          <w:lang w:val="es-ES" w:eastAsia="es-ES"/>
        </w:rPr>
      </w:pPr>
      <w:r w:rsidRPr="001278F6">
        <w:rPr>
          <w:rFonts w:ascii="Verdana" w:eastAsia="Aptos" w:hAnsi="Verdana" w:cs="Arial"/>
          <w:kern w:val="2"/>
          <w:lang w:val="es-ES" w:eastAsia="es-ES"/>
          <w14:ligatures w14:val="standardContextual"/>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44954094" w14:textId="77777777" w:rsidR="000F20B4" w:rsidRPr="001278F6" w:rsidRDefault="000F20B4" w:rsidP="000F20B4">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Arial"/>
          <w:kern w:val="2"/>
          <w:lang w:val="es-ES" w:eastAsia="es-ES"/>
          <w14:ligatures w14:val="standardContextual"/>
        </w:rPr>
        <w:t xml:space="preserve">En este contexto, es pertinente señalar que, en caso de que los precios unitarios establecidos en los pliegos de condiciones presenten alguna inconsistencia, el proponente podrá realizar las observaciones correspondientes en los plazos señalados para el efecto. </w:t>
      </w:r>
    </w:p>
    <w:p w14:paraId="2CDB5099" w14:textId="77777777" w:rsidR="000F20B4" w:rsidRPr="000C1B9E" w:rsidRDefault="000F20B4" w:rsidP="000F20B4">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Arial"/>
          <w:kern w:val="2"/>
          <w:lang w:val="es-ES" w:eastAsia="es-ES"/>
          <w14:ligatures w14:val="standardContextual"/>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37C00C53" w14:textId="4F7D2694" w:rsidR="00B31174" w:rsidRDefault="000F20B4" w:rsidP="000F20B4">
      <w:pPr>
        <w:spacing w:after="0" w:line="276" w:lineRule="auto"/>
        <w:jc w:val="both"/>
        <w:rPr>
          <w:rFonts w:ascii="Verdana" w:eastAsia="Calibri" w:hAnsi="Verdana" w:cs="Arial"/>
          <w:lang w:val="es-MX"/>
        </w:rPr>
      </w:pPr>
      <w:r w:rsidRPr="001278F6">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r>
        <w:rPr>
          <w:rFonts w:ascii="Verdana" w:eastAsia="Calibri" w:hAnsi="Verdana" w:cs="Arial"/>
          <w:lang w:eastAsia="es-ES"/>
        </w:rPr>
        <w:t>.</w:t>
      </w:r>
    </w:p>
    <w:p w14:paraId="41F29BE7" w14:textId="77777777" w:rsidR="000F20B4" w:rsidRDefault="000F20B4" w:rsidP="00C90A7D">
      <w:pPr>
        <w:spacing w:after="0" w:line="276" w:lineRule="auto"/>
        <w:jc w:val="both"/>
        <w:rPr>
          <w:rFonts w:ascii="Verdana" w:eastAsia="Calibri" w:hAnsi="Verdana" w:cs="Arial"/>
          <w:lang w:val="es-MX"/>
        </w:rPr>
      </w:pPr>
    </w:p>
    <w:p w14:paraId="681C3476" w14:textId="77777777" w:rsidR="00B31174" w:rsidRPr="003A380F" w:rsidRDefault="00B31174" w:rsidP="00B31174">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2615192" w14:textId="41D15108" w:rsidR="00E41707" w:rsidRDefault="00E41707" w:rsidP="00E41707">
      <w:pPr>
        <w:spacing w:after="12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18102CB6" w14:textId="77777777" w:rsidR="00E41707" w:rsidRDefault="00E41707" w:rsidP="00E41707">
      <w:pPr>
        <w:spacing w:after="120" w:line="276" w:lineRule="auto"/>
        <w:jc w:val="both"/>
        <w:rPr>
          <w:rFonts w:ascii="Verdana" w:hAnsi="Verdana" w:cs="Arial"/>
          <w:color w:val="000000" w:themeColor="text1"/>
          <w:lang w:val="es-ES_tradnl"/>
        </w:rPr>
      </w:pPr>
    </w:p>
    <w:p w14:paraId="3C1B09FA" w14:textId="57710401" w:rsidR="00A64017" w:rsidRPr="0060676F" w:rsidRDefault="00A64017" w:rsidP="00E41707">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5CB4DC79" w14:textId="77777777" w:rsidR="000F20B4" w:rsidRDefault="000F20B4" w:rsidP="000F20B4">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Constitución Política de 1991, artículos 13 y 209.</w:t>
            </w:r>
          </w:p>
          <w:p w14:paraId="217AF762" w14:textId="77777777" w:rsidR="000F20B4" w:rsidRPr="00453ED8" w:rsidRDefault="000F20B4" w:rsidP="000F20B4">
            <w:pPr>
              <w:pStyle w:val="Prrafodelista"/>
              <w:widowControl w:val="0"/>
              <w:autoSpaceDE w:val="0"/>
              <w:autoSpaceDN w:val="0"/>
              <w:spacing w:line="276" w:lineRule="auto"/>
              <w:jc w:val="both"/>
              <w:rPr>
                <w:rFonts w:ascii="Verdana" w:hAnsi="Verdana" w:cs="Arial"/>
                <w:sz w:val="12"/>
                <w:szCs w:val="12"/>
              </w:rPr>
            </w:pPr>
          </w:p>
          <w:p w14:paraId="057133E3" w14:textId="77777777" w:rsidR="000F20B4" w:rsidRDefault="000F20B4" w:rsidP="000F20B4">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Ley 80 de 1993, artículos </w:t>
            </w:r>
            <w:r w:rsidRPr="00E278D2">
              <w:rPr>
                <w:rFonts w:ascii="Verdana" w:hAnsi="Verdana" w:cs="Arial"/>
              </w:rPr>
              <w:t xml:space="preserve">13, </w:t>
            </w:r>
            <w:r>
              <w:rPr>
                <w:rFonts w:ascii="Verdana" w:hAnsi="Verdana" w:cs="Arial"/>
              </w:rPr>
              <w:t xml:space="preserve">24, 25, 26, </w:t>
            </w:r>
            <w:r w:rsidRPr="00E278D2">
              <w:rPr>
                <w:rFonts w:ascii="Verdana" w:hAnsi="Verdana" w:cs="Arial"/>
              </w:rPr>
              <w:t>32 y 40</w:t>
            </w:r>
            <w:r>
              <w:rPr>
                <w:rFonts w:ascii="Verdana" w:hAnsi="Verdana" w:cs="Arial"/>
              </w:rPr>
              <w:t xml:space="preserve">. </w:t>
            </w:r>
          </w:p>
          <w:p w14:paraId="62E0314D" w14:textId="77777777" w:rsidR="000F20B4" w:rsidRPr="00453ED8" w:rsidRDefault="000F20B4" w:rsidP="000F20B4">
            <w:pPr>
              <w:widowControl w:val="0"/>
              <w:autoSpaceDE w:val="0"/>
              <w:autoSpaceDN w:val="0"/>
              <w:spacing w:line="276" w:lineRule="auto"/>
              <w:jc w:val="both"/>
              <w:rPr>
                <w:rFonts w:ascii="Verdana" w:hAnsi="Verdana" w:cs="Arial"/>
                <w:sz w:val="12"/>
                <w:szCs w:val="12"/>
              </w:rPr>
            </w:pPr>
          </w:p>
          <w:p w14:paraId="54A3E2DF" w14:textId="77777777" w:rsidR="000F20B4" w:rsidRDefault="000F20B4" w:rsidP="000F20B4">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1150 de 2007, artículo 7.</w:t>
            </w:r>
          </w:p>
          <w:p w14:paraId="2E4369A4" w14:textId="77777777" w:rsidR="000F20B4" w:rsidRPr="000F20B4" w:rsidRDefault="000F20B4" w:rsidP="000F20B4">
            <w:pPr>
              <w:pStyle w:val="Prrafodelista"/>
              <w:rPr>
                <w:rFonts w:ascii="Verdana" w:hAnsi="Verdana" w:cs="Arial"/>
              </w:rPr>
            </w:pPr>
          </w:p>
          <w:p w14:paraId="60CC6EC9" w14:textId="48D2A8D6" w:rsidR="00CC5B4B" w:rsidRPr="000F20B4" w:rsidRDefault="000F20B4" w:rsidP="000F20B4">
            <w:pPr>
              <w:pStyle w:val="Prrafodelista"/>
              <w:widowControl w:val="0"/>
              <w:numPr>
                <w:ilvl w:val="0"/>
                <w:numId w:val="17"/>
              </w:numPr>
              <w:autoSpaceDE w:val="0"/>
              <w:autoSpaceDN w:val="0"/>
              <w:spacing w:line="276" w:lineRule="auto"/>
              <w:jc w:val="both"/>
              <w:rPr>
                <w:rFonts w:ascii="Verdana" w:hAnsi="Verdana" w:cs="Arial"/>
              </w:rPr>
            </w:pPr>
            <w:r w:rsidRPr="000F20B4">
              <w:rPr>
                <w:rFonts w:ascii="Verdana" w:hAnsi="Verdana" w:cs="Arial"/>
              </w:rPr>
              <w:t>Decreto 1082 de 2015, artículos 2.2.1.1.2.1.1 y 2.2.1.1.1.6.1.</w:t>
            </w: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6147CF74" w:rsidR="00A64017" w:rsidRPr="00AE7E03" w:rsidRDefault="002934C4" w:rsidP="00877A02">
      <w:pPr>
        <w:widowControl w:val="0"/>
        <w:autoSpaceDE w:val="0"/>
        <w:autoSpaceDN w:val="0"/>
        <w:spacing w:after="120" w:line="276" w:lineRule="auto"/>
        <w:jc w:val="both"/>
        <w:rPr>
          <w:rFonts w:ascii="Verdana" w:eastAsia="Arial" w:hAnsi="Verdana" w:cs="Arial"/>
          <w:lang w:val="es-MX" w:eastAsia="es-ES"/>
        </w:rPr>
      </w:pPr>
      <w:r w:rsidRPr="002934C4">
        <w:rPr>
          <w:rFonts w:ascii="Verdana" w:hAnsi="Verdana" w:cs="Arial"/>
          <w:shd w:val="clear" w:color="auto" w:fill="FFFFFF"/>
        </w:rPr>
        <w:t>La Agencia Nacional de Contratación Pública – Colombia Compra Eficiente se ha pronunciado en varias ocasiones 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y C-455 del 18 de septiembre de 2024, C-248 del 3 de abril de 2025</w:t>
      </w:r>
      <w:r>
        <w:rPr>
          <w:rFonts w:ascii="Verdana" w:hAnsi="Verdana" w:cs="Arial"/>
          <w:shd w:val="clear" w:color="auto" w:fill="FFFFFF"/>
        </w:rPr>
        <w:t>,</w:t>
      </w:r>
      <w:r w:rsidRPr="002934C4">
        <w:rPr>
          <w:rFonts w:ascii="Verdana" w:hAnsi="Verdana" w:cs="Arial"/>
          <w:shd w:val="clear" w:color="auto" w:fill="FFFFFF"/>
        </w:rPr>
        <w:t xml:space="preserve"> C-460 del 18 de junio de 2025</w:t>
      </w:r>
      <w:r>
        <w:rPr>
          <w:rFonts w:ascii="Verdana" w:hAnsi="Verdana" w:cs="Arial"/>
          <w:shd w:val="clear" w:color="auto" w:fill="FFFFFF"/>
        </w:rPr>
        <w:t xml:space="preserve"> y C-1571 del 12 de noviembre de 2025</w:t>
      </w:r>
      <w:r w:rsidR="009A5D6C" w:rsidRPr="002934C4">
        <w:rPr>
          <w:rFonts w:ascii="Verdana" w:hAnsi="Verdana" w:cs="Arial"/>
          <w:shd w:val="clear" w:color="auto" w:fill="FFFFFF"/>
        </w:rPr>
        <w:t xml:space="preserve">. </w:t>
      </w:r>
      <w:r w:rsidR="00A64017" w:rsidRPr="002934C4">
        <w:rPr>
          <w:rFonts w:ascii="Verdana" w:eastAsia="Calibri" w:hAnsi="Verdana" w:cs="Times New Roman"/>
        </w:rPr>
        <w:t>Estos se encuentran disponibles</w:t>
      </w:r>
      <w:r w:rsidR="00A64017" w:rsidRPr="00185EE9">
        <w:rPr>
          <w:rFonts w:ascii="Verdana" w:eastAsia="Calibri" w:hAnsi="Verdana" w:cs="Times New Roman"/>
        </w:rPr>
        <w:t xml:space="preserve">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75457726" w:rsidR="0073141C" w:rsidRDefault="0073141C" w:rsidP="00A64017">
      <w:pPr>
        <w:spacing w:line="276" w:lineRule="auto"/>
        <w:jc w:val="center"/>
        <w:rPr>
          <w:noProof/>
        </w:rPr>
      </w:pPr>
    </w:p>
    <w:p w14:paraId="5895C658" w14:textId="77777777" w:rsidR="008007AF" w:rsidRDefault="008007AF" w:rsidP="00A64017">
      <w:pPr>
        <w:spacing w:line="276" w:lineRule="auto"/>
        <w:jc w:val="center"/>
        <w:rPr>
          <w:noProof/>
        </w:rPr>
      </w:pPr>
    </w:p>
    <w:p w14:paraId="724E4E13" w14:textId="6A6690CC" w:rsidR="008007AF" w:rsidRDefault="008007AF" w:rsidP="00A64017">
      <w:pPr>
        <w:spacing w:line="276" w:lineRule="auto"/>
        <w:jc w:val="center"/>
        <w:rPr>
          <w:noProof/>
        </w:rPr>
      </w:pPr>
      <w:r>
        <w:rPr>
          <w:noProof/>
        </w:rPr>
        <w:drawing>
          <wp:inline distT="0" distB="0" distL="0" distR="0" wp14:anchorId="76DDB06A" wp14:editId="2DAF9D16">
            <wp:extent cx="3268980" cy="1403316"/>
            <wp:effectExtent l="0" t="0" r="7620" b="6985"/>
            <wp:docPr id="13216982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9560" cy="1407858"/>
                    </a:xfrm>
                    <a:prstGeom prst="rect">
                      <a:avLst/>
                    </a:prstGeom>
                    <a:noFill/>
                    <a:ln>
                      <a:noFill/>
                    </a:ln>
                  </pic:spPr>
                </pic:pic>
              </a:graphicData>
            </a:graphic>
          </wp:inline>
        </w:drawing>
      </w:r>
    </w:p>
    <w:p w14:paraId="0B730CA0" w14:textId="77777777" w:rsidR="008007AF" w:rsidRDefault="008007AF" w:rsidP="00A64017">
      <w:pPr>
        <w:spacing w:line="276" w:lineRule="auto"/>
        <w:jc w:val="center"/>
        <w:rPr>
          <w:noProof/>
        </w:rPr>
      </w:pPr>
    </w:p>
    <w:p w14:paraId="4A74C932" w14:textId="77777777" w:rsidR="008007AF" w:rsidRDefault="008007AF"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0F44ABD5" w:rsidR="00CC5B4B" w:rsidRDefault="002934C4" w:rsidP="00A15B1F">
            <w:pPr>
              <w:spacing w:line="276" w:lineRule="auto"/>
              <w:contextualSpacing/>
              <w:jc w:val="both"/>
              <w:rPr>
                <w:rFonts w:ascii="Verdana" w:hAnsi="Verdana"/>
                <w:sz w:val="16"/>
                <w:szCs w:val="16"/>
              </w:rPr>
            </w:pPr>
            <w:r w:rsidRPr="002934C4">
              <w:rPr>
                <w:rFonts w:ascii="Verdana" w:hAnsi="Verdana"/>
                <w:sz w:val="16"/>
                <w:szCs w:val="16"/>
              </w:rPr>
              <w:t xml:space="preserve">Diana </w:t>
            </w:r>
            <w:r>
              <w:rPr>
                <w:rFonts w:ascii="Verdana" w:hAnsi="Verdana"/>
                <w:sz w:val="16"/>
                <w:szCs w:val="16"/>
              </w:rPr>
              <w:t xml:space="preserve">Lucia </w:t>
            </w:r>
            <w:r w:rsidRPr="002934C4">
              <w:rPr>
                <w:rFonts w:ascii="Verdana" w:hAnsi="Verdana"/>
                <w:sz w:val="16"/>
                <w:szCs w:val="16"/>
              </w:rPr>
              <w:t>Saavedra</w:t>
            </w:r>
            <w:r w:rsidR="00CC5B4B">
              <w:rPr>
                <w:rFonts w:ascii="Verdana" w:hAnsi="Verdana"/>
                <w:sz w:val="16"/>
                <w:szCs w:val="16"/>
              </w:rPr>
              <w:t>.</w:t>
            </w:r>
          </w:p>
          <w:p w14:paraId="72046261" w14:textId="6A56B4B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A8C5E" w14:textId="77777777" w:rsidR="00F7327F" w:rsidRDefault="00F7327F" w:rsidP="004A1847">
      <w:pPr>
        <w:spacing w:after="0" w:line="240" w:lineRule="auto"/>
      </w:pPr>
      <w:r>
        <w:separator/>
      </w:r>
    </w:p>
  </w:endnote>
  <w:endnote w:type="continuationSeparator" w:id="0">
    <w:p w14:paraId="68AA289F" w14:textId="77777777" w:rsidR="00F7327F" w:rsidRDefault="00F7327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F4D1C" w14:textId="77777777" w:rsidR="00F7327F" w:rsidRDefault="00F7327F" w:rsidP="004A1847">
      <w:pPr>
        <w:spacing w:after="0" w:line="240" w:lineRule="auto"/>
      </w:pPr>
      <w:r>
        <w:separator/>
      </w:r>
    </w:p>
  </w:footnote>
  <w:footnote w:type="continuationSeparator" w:id="0">
    <w:p w14:paraId="683FD8B8" w14:textId="77777777" w:rsidR="00F7327F" w:rsidRDefault="00F7327F" w:rsidP="004A1847">
      <w:pPr>
        <w:spacing w:after="0" w:line="240" w:lineRule="auto"/>
      </w:pPr>
      <w:r>
        <w:continuationSeparator/>
      </w:r>
    </w:p>
  </w:footnote>
  <w:footnote w:id="1">
    <w:p w14:paraId="1683D775" w14:textId="77777777" w:rsidR="000F20B4" w:rsidRDefault="000F20B4" w:rsidP="000F20B4">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xml:space="preserve">“La manera como las ofertas presentan el precio varía demasiado, incluso por razón de la costumbre que se impone en determinados negocios. Por ejemplo, tratándose de la compraventa, del </w:t>
      </w:r>
      <w:r w:rsidRPr="00D366A3">
        <w:rPr>
          <w:rFonts w:ascii="Verdana" w:eastAsia="Calibri" w:hAnsi="Verdana" w:cs="Arial"/>
          <w:sz w:val="19"/>
          <w:szCs w:val="19"/>
          <w:lang w:val="es-ES_tradnl" w:eastAsia="es-ES_tradnl"/>
        </w:rPr>
        <w:t>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5AED5208" w14:textId="77777777" w:rsidR="000F20B4" w:rsidRPr="00D366A3" w:rsidRDefault="000F20B4" w:rsidP="000F20B4">
      <w:pPr>
        <w:pStyle w:val="Textonotapie"/>
        <w:ind w:firstLine="709"/>
        <w:jc w:val="both"/>
        <w:rPr>
          <w:rFonts w:ascii="Verdana" w:eastAsia="Calibri" w:hAnsi="Verdana" w:cs="Arial"/>
          <w:sz w:val="19"/>
          <w:szCs w:val="19"/>
          <w:lang w:val="es-ES_tradnl" w:eastAsia="es-ES_tradnl"/>
        </w:rPr>
      </w:pPr>
    </w:p>
    <w:p w14:paraId="5D70F564" w14:textId="77777777" w:rsidR="000F20B4" w:rsidRPr="002A1F9C" w:rsidRDefault="000F20B4" w:rsidP="000F20B4">
      <w:pPr>
        <w:pStyle w:val="Textonotapie"/>
        <w:ind w:firstLine="709"/>
        <w:jc w:val="both"/>
        <w:rPr>
          <w:rFonts w:ascii="Verdana" w:hAnsi="Verdana" w:cs="Arial"/>
          <w:sz w:val="19"/>
          <w:szCs w:val="19"/>
          <w:lang w:val="es-ES"/>
        </w:rPr>
      </w:pPr>
      <w:r w:rsidRPr="00D366A3">
        <w:rPr>
          <w:rFonts w:ascii="Verdana" w:eastAsia="Calibri" w:hAnsi="Verdana" w:cs="Arial"/>
          <w:sz w:val="19"/>
          <w:szCs w:val="19"/>
          <w:lang w:val="es-ES_tradnl" w:eastAsia="es-ES_tradnl"/>
        </w:rPr>
        <w:t>Sin embargo, en otros negocios, como la obra pública, la concesión y la consultoría</w:t>
      </w:r>
      <w:r w:rsidRPr="002A1F9C">
        <w:rPr>
          <w:rFonts w:ascii="Verdana" w:eastAsia="Calibri" w:hAnsi="Verdana" w:cs="Arial"/>
          <w:sz w:val="19"/>
          <w:szCs w:val="19"/>
          <w:lang w:val="es-ES_tradnl" w:eastAsia="es-ES_tradnl"/>
        </w:rPr>
        <w:t>,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5182DA2A" w14:textId="77777777" w:rsidR="000F20B4" w:rsidRPr="002A1F9C" w:rsidRDefault="000F20B4" w:rsidP="000F20B4">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29 de febrero de 2012. Exp. 16371, C.P. Danilo Rojas Betancourth.</w:t>
      </w:r>
    </w:p>
  </w:footnote>
  <w:footnote w:id="3">
    <w:p w14:paraId="23F8591F" w14:textId="77777777" w:rsidR="000F20B4" w:rsidRPr="002A1F9C" w:rsidRDefault="000F20B4" w:rsidP="000F20B4">
      <w:pPr>
        <w:pStyle w:val="Textonotapie"/>
        <w:ind w:firstLine="709"/>
        <w:jc w:val="both"/>
        <w:rPr>
          <w:rFonts w:ascii="Verdana" w:hAnsi="Verdana" w:cs="Arial"/>
          <w:sz w:val="19"/>
          <w:szCs w:val="19"/>
          <w:lang w:val="es-CO"/>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PINO RICCI, Jorge. El régimen jurídico de los contratos estatales. Universidad Externado de Colombia. Bogotá, 2005. pp. 416.</w:t>
      </w:r>
    </w:p>
  </w:footnote>
  <w:footnote w:id="4">
    <w:p w14:paraId="097FC844" w14:textId="77777777" w:rsidR="000F20B4" w:rsidRDefault="000F20B4" w:rsidP="000F20B4">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14 de octubre de 2011. Exp. 20811, C.P. Ruth Stella Correa Palacio.</w:t>
      </w:r>
    </w:p>
    <w:p w14:paraId="06328F8E" w14:textId="77777777" w:rsidR="000F20B4" w:rsidRPr="002A1F9C" w:rsidRDefault="000F20B4" w:rsidP="000F20B4">
      <w:pPr>
        <w:pStyle w:val="Textonotapie"/>
        <w:ind w:firstLine="708"/>
        <w:jc w:val="both"/>
        <w:rPr>
          <w:rFonts w:ascii="Verdana" w:hAnsi="Verdana" w:cs="Arial"/>
          <w:sz w:val="19"/>
          <w:szCs w:val="19"/>
        </w:rPr>
      </w:pPr>
    </w:p>
  </w:footnote>
  <w:footnote w:id="5">
    <w:p w14:paraId="5CB9EC90" w14:textId="77777777" w:rsidR="000F20B4" w:rsidRDefault="000F20B4" w:rsidP="000F20B4">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Sala de Consulta y Servicio Civil. Concepto del 5 de septiembre de 2018, radicado No. 11001-03-06-000-2018-00124-00 C.P. Édgar González López.</w:t>
      </w:r>
    </w:p>
    <w:p w14:paraId="63B53012" w14:textId="77777777" w:rsidR="000F20B4" w:rsidRPr="002A1F9C" w:rsidRDefault="000F20B4" w:rsidP="000F20B4">
      <w:pPr>
        <w:pStyle w:val="Textonotapie"/>
        <w:ind w:firstLine="708"/>
        <w:jc w:val="both"/>
        <w:rPr>
          <w:rFonts w:ascii="Verdana" w:hAnsi="Verdana" w:cs="Arial"/>
          <w:sz w:val="19"/>
          <w:szCs w:val="19"/>
        </w:rPr>
      </w:pPr>
    </w:p>
  </w:footnote>
  <w:footnote w:id="6">
    <w:p w14:paraId="390201A0" w14:textId="77777777" w:rsidR="000F20B4" w:rsidRDefault="000F20B4" w:rsidP="000F20B4">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1D051DDC" w14:textId="77777777" w:rsidR="000F20B4" w:rsidRPr="002A1F9C" w:rsidRDefault="000F20B4" w:rsidP="000F20B4">
      <w:pPr>
        <w:pStyle w:val="Textonotapie"/>
        <w:ind w:firstLine="708"/>
        <w:jc w:val="both"/>
        <w:rPr>
          <w:rFonts w:ascii="Verdana" w:hAnsi="Verdana" w:cs="Arial"/>
          <w:sz w:val="19"/>
          <w:szCs w:val="19"/>
        </w:rPr>
      </w:pPr>
    </w:p>
  </w:footnote>
  <w:footnote w:id="7">
    <w:p w14:paraId="68574661" w14:textId="77777777" w:rsidR="000F20B4" w:rsidRPr="002A1F9C" w:rsidRDefault="000F20B4" w:rsidP="000F20B4">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2A1F9C">
        <w:rPr>
          <w:rFonts w:ascii="Verdana" w:hAnsi="Verdana" w:cs="Arial"/>
          <w:sz w:val="19"/>
          <w:szCs w:val="19"/>
        </w:rPr>
        <w:t xml:space="preserve"> </w:t>
      </w:r>
    </w:p>
  </w:footnote>
  <w:footnote w:id="8">
    <w:p w14:paraId="7733DFAF" w14:textId="77777777" w:rsidR="000F20B4" w:rsidRPr="002A1F9C" w:rsidRDefault="000F20B4" w:rsidP="000F20B4">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MARÍN, Op. Cit., pp. 64-65.</w:t>
      </w:r>
    </w:p>
  </w:footnote>
  <w:footnote w:id="9">
    <w:p w14:paraId="1C1944B9" w14:textId="77777777" w:rsidR="000F20B4" w:rsidRPr="002A1F9C" w:rsidRDefault="000F20B4" w:rsidP="000F20B4">
      <w:pPr>
        <w:pStyle w:val="Textonotapie"/>
        <w:ind w:firstLine="709"/>
        <w:jc w:val="both"/>
        <w:rPr>
          <w:rFonts w:ascii="Verdana" w:hAnsi="Verdana" w:cs="Arial"/>
          <w:sz w:val="19"/>
          <w:szCs w:val="19"/>
          <w:lang w:val="es-ES"/>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Ibíd., p. 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90F4B"/>
    <w:multiLevelType w:val="hybridMultilevel"/>
    <w:tmpl w:val="CB563672"/>
    <w:lvl w:ilvl="0" w:tplc="E17CFDE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1F1443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3" w15:restartNumberingAfterBreak="0">
    <w:nsid w:val="4C8A41D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9835DA4"/>
    <w:multiLevelType w:val="hybridMultilevel"/>
    <w:tmpl w:val="6DA268A0"/>
    <w:lvl w:ilvl="0" w:tplc="0BB80C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F70B8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48779781">
    <w:abstractNumId w:val="13"/>
  </w:num>
  <w:num w:numId="2" w16cid:durableId="19822139">
    <w:abstractNumId w:val="2"/>
  </w:num>
  <w:num w:numId="3" w16cid:durableId="876742304">
    <w:abstractNumId w:val="9"/>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0"/>
  </w:num>
  <w:num w:numId="7" w16cid:durableId="1946422806">
    <w:abstractNumId w:val="11"/>
  </w:num>
  <w:num w:numId="8" w16cid:durableId="152644682">
    <w:abstractNumId w:val="29"/>
  </w:num>
  <w:num w:numId="9" w16cid:durableId="1317221377">
    <w:abstractNumId w:val="15"/>
  </w:num>
  <w:num w:numId="10" w16cid:durableId="1471245386">
    <w:abstractNumId w:val="28"/>
  </w:num>
  <w:num w:numId="11" w16cid:durableId="289172385">
    <w:abstractNumId w:val="17"/>
  </w:num>
  <w:num w:numId="12" w16cid:durableId="1470781324">
    <w:abstractNumId w:val="1"/>
  </w:num>
  <w:num w:numId="13" w16cid:durableId="1512908409">
    <w:abstractNumId w:val="8"/>
  </w:num>
  <w:num w:numId="14" w16cid:durableId="895897244">
    <w:abstractNumId w:val="31"/>
  </w:num>
  <w:num w:numId="15" w16cid:durableId="390349800">
    <w:abstractNumId w:val="26"/>
  </w:num>
  <w:num w:numId="16" w16cid:durableId="1380713882">
    <w:abstractNumId w:val="0"/>
  </w:num>
  <w:num w:numId="17" w16cid:durableId="691802391">
    <w:abstractNumId w:val="18"/>
  </w:num>
  <w:num w:numId="18" w16cid:durableId="1290623316">
    <w:abstractNumId w:val="4"/>
  </w:num>
  <w:num w:numId="19" w16cid:durableId="562327327">
    <w:abstractNumId w:val="14"/>
  </w:num>
  <w:num w:numId="20" w16cid:durableId="135807285">
    <w:abstractNumId w:val="16"/>
  </w:num>
  <w:num w:numId="21" w16cid:durableId="1816873601">
    <w:abstractNumId w:val="10"/>
  </w:num>
  <w:num w:numId="22" w16cid:durableId="1012342571">
    <w:abstractNumId w:val="27"/>
  </w:num>
  <w:num w:numId="23" w16cid:durableId="13794342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2972689">
    <w:abstractNumId w:val="5"/>
  </w:num>
  <w:num w:numId="25" w16cid:durableId="1553424327">
    <w:abstractNumId w:val="24"/>
  </w:num>
  <w:num w:numId="26" w16cid:durableId="1611006927">
    <w:abstractNumId w:val="19"/>
  </w:num>
  <w:num w:numId="27" w16cid:durableId="142738409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9418375">
    <w:abstractNumId w:val="3"/>
  </w:num>
  <w:num w:numId="29" w16cid:durableId="222720132">
    <w:abstractNumId w:val="12"/>
  </w:num>
  <w:num w:numId="30" w16cid:durableId="2072921521">
    <w:abstractNumId w:val="35"/>
  </w:num>
  <w:num w:numId="31" w16cid:durableId="676464647">
    <w:abstractNumId w:val="22"/>
  </w:num>
  <w:num w:numId="32" w16cid:durableId="1218249738">
    <w:abstractNumId w:val="25"/>
  </w:num>
  <w:num w:numId="33" w16cid:durableId="1294098688">
    <w:abstractNumId w:val="34"/>
  </w:num>
  <w:num w:numId="34" w16cid:durableId="752504844">
    <w:abstractNumId w:val="7"/>
  </w:num>
  <w:num w:numId="35" w16cid:durableId="405495661">
    <w:abstractNumId w:val="36"/>
  </w:num>
  <w:num w:numId="36" w16cid:durableId="653417341">
    <w:abstractNumId w:val="23"/>
  </w:num>
  <w:num w:numId="37" w16cid:durableId="780296754">
    <w:abstractNumId w:val="6"/>
  </w:num>
  <w:num w:numId="38" w16cid:durableId="153255849">
    <w:abstractNumId w:val="21"/>
  </w:num>
  <w:num w:numId="39" w16cid:durableId="78403917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61B2A"/>
    <w:rsid w:val="000653A1"/>
    <w:rsid w:val="000662CB"/>
    <w:rsid w:val="00070BF0"/>
    <w:rsid w:val="00082362"/>
    <w:rsid w:val="0008683E"/>
    <w:rsid w:val="000907FF"/>
    <w:rsid w:val="000A683E"/>
    <w:rsid w:val="000B19B9"/>
    <w:rsid w:val="000B4FA5"/>
    <w:rsid w:val="000C00C1"/>
    <w:rsid w:val="000C762A"/>
    <w:rsid w:val="000D0334"/>
    <w:rsid w:val="000D2FED"/>
    <w:rsid w:val="000E1C46"/>
    <w:rsid w:val="000E52CD"/>
    <w:rsid w:val="000E7AA1"/>
    <w:rsid w:val="000F07EB"/>
    <w:rsid w:val="000F20B4"/>
    <w:rsid w:val="000F2222"/>
    <w:rsid w:val="000F6486"/>
    <w:rsid w:val="00103B90"/>
    <w:rsid w:val="00125105"/>
    <w:rsid w:val="00127233"/>
    <w:rsid w:val="0013630D"/>
    <w:rsid w:val="001511A0"/>
    <w:rsid w:val="0015444C"/>
    <w:rsid w:val="00156F3F"/>
    <w:rsid w:val="00183336"/>
    <w:rsid w:val="001939CB"/>
    <w:rsid w:val="00194937"/>
    <w:rsid w:val="001A21CB"/>
    <w:rsid w:val="001A6583"/>
    <w:rsid w:val="001B319A"/>
    <w:rsid w:val="001B6B96"/>
    <w:rsid w:val="001C174F"/>
    <w:rsid w:val="001D1756"/>
    <w:rsid w:val="001E1C00"/>
    <w:rsid w:val="001E4177"/>
    <w:rsid w:val="001F663F"/>
    <w:rsid w:val="001F7DC6"/>
    <w:rsid w:val="002009FB"/>
    <w:rsid w:val="00203E0B"/>
    <w:rsid w:val="00205479"/>
    <w:rsid w:val="00212642"/>
    <w:rsid w:val="00215206"/>
    <w:rsid w:val="00217F3A"/>
    <w:rsid w:val="00222AE3"/>
    <w:rsid w:val="002421BB"/>
    <w:rsid w:val="00242FED"/>
    <w:rsid w:val="00243DFC"/>
    <w:rsid w:val="00245A1E"/>
    <w:rsid w:val="0025796E"/>
    <w:rsid w:val="002707A2"/>
    <w:rsid w:val="0028106D"/>
    <w:rsid w:val="00282E11"/>
    <w:rsid w:val="00286F68"/>
    <w:rsid w:val="002934C4"/>
    <w:rsid w:val="002951A0"/>
    <w:rsid w:val="002962BC"/>
    <w:rsid w:val="002A093D"/>
    <w:rsid w:val="002A0DD0"/>
    <w:rsid w:val="002A49AC"/>
    <w:rsid w:val="002A64FD"/>
    <w:rsid w:val="002A7DD8"/>
    <w:rsid w:val="002C0393"/>
    <w:rsid w:val="002C7A84"/>
    <w:rsid w:val="002D48E8"/>
    <w:rsid w:val="002D4A66"/>
    <w:rsid w:val="002E4FD9"/>
    <w:rsid w:val="002F2B7D"/>
    <w:rsid w:val="003007B5"/>
    <w:rsid w:val="00302C65"/>
    <w:rsid w:val="003037F8"/>
    <w:rsid w:val="00310DA4"/>
    <w:rsid w:val="003210BD"/>
    <w:rsid w:val="00321E84"/>
    <w:rsid w:val="00322A85"/>
    <w:rsid w:val="00323054"/>
    <w:rsid w:val="00324168"/>
    <w:rsid w:val="00324E0B"/>
    <w:rsid w:val="003448F4"/>
    <w:rsid w:val="00346217"/>
    <w:rsid w:val="00356999"/>
    <w:rsid w:val="003639A5"/>
    <w:rsid w:val="00374F5E"/>
    <w:rsid w:val="00375A69"/>
    <w:rsid w:val="00377E3E"/>
    <w:rsid w:val="00380918"/>
    <w:rsid w:val="003971DC"/>
    <w:rsid w:val="003A2E2D"/>
    <w:rsid w:val="003A779E"/>
    <w:rsid w:val="003B1736"/>
    <w:rsid w:val="003D0F4D"/>
    <w:rsid w:val="003D2678"/>
    <w:rsid w:val="003D5B0D"/>
    <w:rsid w:val="003E0499"/>
    <w:rsid w:val="003E2F6B"/>
    <w:rsid w:val="003F3941"/>
    <w:rsid w:val="00406575"/>
    <w:rsid w:val="00407E88"/>
    <w:rsid w:val="004138FA"/>
    <w:rsid w:val="00414C74"/>
    <w:rsid w:val="0041525F"/>
    <w:rsid w:val="00415D34"/>
    <w:rsid w:val="00426213"/>
    <w:rsid w:val="0042722E"/>
    <w:rsid w:val="0044528D"/>
    <w:rsid w:val="0045001C"/>
    <w:rsid w:val="00473696"/>
    <w:rsid w:val="00475AA4"/>
    <w:rsid w:val="00480E56"/>
    <w:rsid w:val="00487F18"/>
    <w:rsid w:val="0049089A"/>
    <w:rsid w:val="00493AF3"/>
    <w:rsid w:val="004A1847"/>
    <w:rsid w:val="004A305D"/>
    <w:rsid w:val="004B36AC"/>
    <w:rsid w:val="004B50C2"/>
    <w:rsid w:val="004B682E"/>
    <w:rsid w:val="004B6A47"/>
    <w:rsid w:val="004C63BA"/>
    <w:rsid w:val="004C7829"/>
    <w:rsid w:val="004F06EF"/>
    <w:rsid w:val="004F21C4"/>
    <w:rsid w:val="004F462A"/>
    <w:rsid w:val="004F685F"/>
    <w:rsid w:val="0050790C"/>
    <w:rsid w:val="0053223E"/>
    <w:rsid w:val="005359FF"/>
    <w:rsid w:val="00537729"/>
    <w:rsid w:val="005566E8"/>
    <w:rsid w:val="0056164A"/>
    <w:rsid w:val="00567040"/>
    <w:rsid w:val="00574867"/>
    <w:rsid w:val="00574F32"/>
    <w:rsid w:val="005760D5"/>
    <w:rsid w:val="005764F6"/>
    <w:rsid w:val="00577954"/>
    <w:rsid w:val="005806A6"/>
    <w:rsid w:val="00591460"/>
    <w:rsid w:val="005948AC"/>
    <w:rsid w:val="005B3816"/>
    <w:rsid w:val="005B4680"/>
    <w:rsid w:val="005B65F1"/>
    <w:rsid w:val="005C294B"/>
    <w:rsid w:val="005C3777"/>
    <w:rsid w:val="005C4991"/>
    <w:rsid w:val="005C5CDC"/>
    <w:rsid w:val="005C7DAB"/>
    <w:rsid w:val="005D476C"/>
    <w:rsid w:val="005D6FC4"/>
    <w:rsid w:val="005E69AD"/>
    <w:rsid w:val="00602354"/>
    <w:rsid w:val="0061329B"/>
    <w:rsid w:val="006219F8"/>
    <w:rsid w:val="00631045"/>
    <w:rsid w:val="00637BBF"/>
    <w:rsid w:val="006420DB"/>
    <w:rsid w:val="006437E3"/>
    <w:rsid w:val="00653D1E"/>
    <w:rsid w:val="00656A22"/>
    <w:rsid w:val="00665D70"/>
    <w:rsid w:val="00675FED"/>
    <w:rsid w:val="00685502"/>
    <w:rsid w:val="006874D3"/>
    <w:rsid w:val="006900D9"/>
    <w:rsid w:val="006A0288"/>
    <w:rsid w:val="006A7425"/>
    <w:rsid w:val="006B2C02"/>
    <w:rsid w:val="006C1039"/>
    <w:rsid w:val="006D7121"/>
    <w:rsid w:val="006F60F9"/>
    <w:rsid w:val="00706C16"/>
    <w:rsid w:val="007108E5"/>
    <w:rsid w:val="0072552A"/>
    <w:rsid w:val="0073141C"/>
    <w:rsid w:val="00746DF7"/>
    <w:rsid w:val="00747A2A"/>
    <w:rsid w:val="00756841"/>
    <w:rsid w:val="00763E4A"/>
    <w:rsid w:val="007649AB"/>
    <w:rsid w:val="00771D0C"/>
    <w:rsid w:val="00773148"/>
    <w:rsid w:val="007733E9"/>
    <w:rsid w:val="007833AC"/>
    <w:rsid w:val="00794CF0"/>
    <w:rsid w:val="007A08A9"/>
    <w:rsid w:val="007A16C2"/>
    <w:rsid w:val="007B268C"/>
    <w:rsid w:val="007B7171"/>
    <w:rsid w:val="007C0C0F"/>
    <w:rsid w:val="007C3DC2"/>
    <w:rsid w:val="007E5497"/>
    <w:rsid w:val="008007AF"/>
    <w:rsid w:val="00806F5F"/>
    <w:rsid w:val="00810CF4"/>
    <w:rsid w:val="00820278"/>
    <w:rsid w:val="00826A46"/>
    <w:rsid w:val="008303DD"/>
    <w:rsid w:val="008323CA"/>
    <w:rsid w:val="008336AA"/>
    <w:rsid w:val="00854443"/>
    <w:rsid w:val="00867581"/>
    <w:rsid w:val="00867F95"/>
    <w:rsid w:val="00877A02"/>
    <w:rsid w:val="008843B6"/>
    <w:rsid w:val="00885EDB"/>
    <w:rsid w:val="00891928"/>
    <w:rsid w:val="00894D4F"/>
    <w:rsid w:val="008A217A"/>
    <w:rsid w:val="008A30DF"/>
    <w:rsid w:val="008A446D"/>
    <w:rsid w:val="008A5CDB"/>
    <w:rsid w:val="008A65FF"/>
    <w:rsid w:val="008B22D4"/>
    <w:rsid w:val="008B5BD4"/>
    <w:rsid w:val="008C784E"/>
    <w:rsid w:val="008D180B"/>
    <w:rsid w:val="008E2432"/>
    <w:rsid w:val="008F0EA7"/>
    <w:rsid w:val="008F7110"/>
    <w:rsid w:val="009015F2"/>
    <w:rsid w:val="0090373B"/>
    <w:rsid w:val="009144A7"/>
    <w:rsid w:val="009144FE"/>
    <w:rsid w:val="00916515"/>
    <w:rsid w:val="00923EEF"/>
    <w:rsid w:val="00926872"/>
    <w:rsid w:val="00933CFF"/>
    <w:rsid w:val="009419F9"/>
    <w:rsid w:val="00943E42"/>
    <w:rsid w:val="00951BE3"/>
    <w:rsid w:val="009552F8"/>
    <w:rsid w:val="0095685E"/>
    <w:rsid w:val="00961B09"/>
    <w:rsid w:val="00965334"/>
    <w:rsid w:val="0097093E"/>
    <w:rsid w:val="0097146B"/>
    <w:rsid w:val="00972BE4"/>
    <w:rsid w:val="009763D2"/>
    <w:rsid w:val="00980385"/>
    <w:rsid w:val="00986AC5"/>
    <w:rsid w:val="009A0DFA"/>
    <w:rsid w:val="009A2609"/>
    <w:rsid w:val="009A5D6C"/>
    <w:rsid w:val="009B2D26"/>
    <w:rsid w:val="009C3C72"/>
    <w:rsid w:val="009C71FA"/>
    <w:rsid w:val="009C72E7"/>
    <w:rsid w:val="009D0270"/>
    <w:rsid w:val="009D3058"/>
    <w:rsid w:val="009E066B"/>
    <w:rsid w:val="009E7558"/>
    <w:rsid w:val="009F3A13"/>
    <w:rsid w:val="009F52CB"/>
    <w:rsid w:val="00A01384"/>
    <w:rsid w:val="00A122D3"/>
    <w:rsid w:val="00A17F13"/>
    <w:rsid w:val="00A20739"/>
    <w:rsid w:val="00A2105A"/>
    <w:rsid w:val="00A24C35"/>
    <w:rsid w:val="00A33C78"/>
    <w:rsid w:val="00A46BDF"/>
    <w:rsid w:val="00A51CB5"/>
    <w:rsid w:val="00A52834"/>
    <w:rsid w:val="00A54961"/>
    <w:rsid w:val="00A64017"/>
    <w:rsid w:val="00A67421"/>
    <w:rsid w:val="00A800B4"/>
    <w:rsid w:val="00A91377"/>
    <w:rsid w:val="00AA1AB8"/>
    <w:rsid w:val="00AB0ADB"/>
    <w:rsid w:val="00AC032B"/>
    <w:rsid w:val="00AC19F6"/>
    <w:rsid w:val="00AD1D1F"/>
    <w:rsid w:val="00AF5AD6"/>
    <w:rsid w:val="00AF6E4E"/>
    <w:rsid w:val="00B01B1A"/>
    <w:rsid w:val="00B023E1"/>
    <w:rsid w:val="00B0362B"/>
    <w:rsid w:val="00B0429C"/>
    <w:rsid w:val="00B10334"/>
    <w:rsid w:val="00B13ACF"/>
    <w:rsid w:val="00B13F9B"/>
    <w:rsid w:val="00B23BA1"/>
    <w:rsid w:val="00B2560E"/>
    <w:rsid w:val="00B31174"/>
    <w:rsid w:val="00B31D93"/>
    <w:rsid w:val="00B403F3"/>
    <w:rsid w:val="00B41E30"/>
    <w:rsid w:val="00B45CE8"/>
    <w:rsid w:val="00B460A5"/>
    <w:rsid w:val="00B54B1C"/>
    <w:rsid w:val="00B66319"/>
    <w:rsid w:val="00B72CD3"/>
    <w:rsid w:val="00B72F80"/>
    <w:rsid w:val="00B72FFF"/>
    <w:rsid w:val="00B74C13"/>
    <w:rsid w:val="00B97F61"/>
    <w:rsid w:val="00BA29CE"/>
    <w:rsid w:val="00BA7AA4"/>
    <w:rsid w:val="00BB5A06"/>
    <w:rsid w:val="00BB6CF9"/>
    <w:rsid w:val="00BB7180"/>
    <w:rsid w:val="00BB7335"/>
    <w:rsid w:val="00BB7ECF"/>
    <w:rsid w:val="00BC3D36"/>
    <w:rsid w:val="00BD7F72"/>
    <w:rsid w:val="00BE36F8"/>
    <w:rsid w:val="00BF416B"/>
    <w:rsid w:val="00C04FB3"/>
    <w:rsid w:val="00C14BFF"/>
    <w:rsid w:val="00C17C49"/>
    <w:rsid w:val="00C203C3"/>
    <w:rsid w:val="00C21F3A"/>
    <w:rsid w:val="00C22001"/>
    <w:rsid w:val="00C31B11"/>
    <w:rsid w:val="00C330EB"/>
    <w:rsid w:val="00C41061"/>
    <w:rsid w:val="00C47954"/>
    <w:rsid w:val="00C47F96"/>
    <w:rsid w:val="00C63058"/>
    <w:rsid w:val="00C721CD"/>
    <w:rsid w:val="00C754BE"/>
    <w:rsid w:val="00C76B1C"/>
    <w:rsid w:val="00C84124"/>
    <w:rsid w:val="00C8467B"/>
    <w:rsid w:val="00C846DC"/>
    <w:rsid w:val="00C90A7D"/>
    <w:rsid w:val="00C90C14"/>
    <w:rsid w:val="00C91AF4"/>
    <w:rsid w:val="00C9219A"/>
    <w:rsid w:val="00CA01D8"/>
    <w:rsid w:val="00CA184F"/>
    <w:rsid w:val="00CA6159"/>
    <w:rsid w:val="00CB6357"/>
    <w:rsid w:val="00CB7B40"/>
    <w:rsid w:val="00CC1B26"/>
    <w:rsid w:val="00CC4186"/>
    <w:rsid w:val="00CC5B4B"/>
    <w:rsid w:val="00CD0A5B"/>
    <w:rsid w:val="00CE4121"/>
    <w:rsid w:val="00CE429E"/>
    <w:rsid w:val="00CE66CC"/>
    <w:rsid w:val="00CE685E"/>
    <w:rsid w:val="00D10C3B"/>
    <w:rsid w:val="00D10FFF"/>
    <w:rsid w:val="00D237B8"/>
    <w:rsid w:val="00D26D63"/>
    <w:rsid w:val="00D32BBA"/>
    <w:rsid w:val="00D36635"/>
    <w:rsid w:val="00D423A2"/>
    <w:rsid w:val="00D431A3"/>
    <w:rsid w:val="00D44DAC"/>
    <w:rsid w:val="00D51274"/>
    <w:rsid w:val="00D520D8"/>
    <w:rsid w:val="00D52AEA"/>
    <w:rsid w:val="00D63AC2"/>
    <w:rsid w:val="00D7383B"/>
    <w:rsid w:val="00D73921"/>
    <w:rsid w:val="00D75DA2"/>
    <w:rsid w:val="00D807CA"/>
    <w:rsid w:val="00D80C98"/>
    <w:rsid w:val="00DA231B"/>
    <w:rsid w:val="00DB1CDB"/>
    <w:rsid w:val="00DC366F"/>
    <w:rsid w:val="00DC39FC"/>
    <w:rsid w:val="00DF5254"/>
    <w:rsid w:val="00E10F5E"/>
    <w:rsid w:val="00E12170"/>
    <w:rsid w:val="00E16408"/>
    <w:rsid w:val="00E1659F"/>
    <w:rsid w:val="00E20894"/>
    <w:rsid w:val="00E245AB"/>
    <w:rsid w:val="00E25A6A"/>
    <w:rsid w:val="00E2764C"/>
    <w:rsid w:val="00E27F2E"/>
    <w:rsid w:val="00E41707"/>
    <w:rsid w:val="00E445EC"/>
    <w:rsid w:val="00E50AFE"/>
    <w:rsid w:val="00E53417"/>
    <w:rsid w:val="00E75C92"/>
    <w:rsid w:val="00E771DC"/>
    <w:rsid w:val="00E8182D"/>
    <w:rsid w:val="00E8772A"/>
    <w:rsid w:val="00E90F6B"/>
    <w:rsid w:val="00E92C27"/>
    <w:rsid w:val="00E96AE3"/>
    <w:rsid w:val="00E976F8"/>
    <w:rsid w:val="00EA0E3D"/>
    <w:rsid w:val="00EA3856"/>
    <w:rsid w:val="00EA70F7"/>
    <w:rsid w:val="00EB76B6"/>
    <w:rsid w:val="00EC197C"/>
    <w:rsid w:val="00EC38A7"/>
    <w:rsid w:val="00ED706A"/>
    <w:rsid w:val="00ED7384"/>
    <w:rsid w:val="00EE1AA8"/>
    <w:rsid w:val="00EF204B"/>
    <w:rsid w:val="00EF736C"/>
    <w:rsid w:val="00F04945"/>
    <w:rsid w:val="00F05362"/>
    <w:rsid w:val="00F124F7"/>
    <w:rsid w:val="00F16E96"/>
    <w:rsid w:val="00F2696E"/>
    <w:rsid w:val="00F2789C"/>
    <w:rsid w:val="00F30C63"/>
    <w:rsid w:val="00F31EDC"/>
    <w:rsid w:val="00F33245"/>
    <w:rsid w:val="00F416A1"/>
    <w:rsid w:val="00F418EF"/>
    <w:rsid w:val="00F462B3"/>
    <w:rsid w:val="00F47338"/>
    <w:rsid w:val="00F5664F"/>
    <w:rsid w:val="00F666C4"/>
    <w:rsid w:val="00F7327F"/>
    <w:rsid w:val="00F76AFC"/>
    <w:rsid w:val="00F90546"/>
    <w:rsid w:val="00F9591F"/>
    <w:rsid w:val="00F95D89"/>
    <w:rsid w:val="00FA3CFE"/>
    <w:rsid w:val="00FA47C0"/>
    <w:rsid w:val="00FB5DD1"/>
    <w:rsid w:val="00FC13EB"/>
    <w:rsid w:val="00FC2B5D"/>
    <w:rsid w:val="00FC6FA1"/>
    <w:rsid w:val="00FF1449"/>
    <w:rsid w:val="00FF395A"/>
    <w:rsid w:val="00FF49D7"/>
    <w:rsid w:val="00FF5A9D"/>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 w:type="paragraph" w:customStyle="1" w:styleId="TableParagraph">
    <w:name w:val="Table Paragraph"/>
    <w:basedOn w:val="Normal"/>
    <w:uiPriority w:val="1"/>
    <w:qFormat/>
    <w:rsid w:val="00C31B11"/>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31B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superscript">
    <w:name w:val="superscript"/>
    <w:basedOn w:val="Fuentedeprrafopredeter"/>
    <w:rsid w:val="00A54961"/>
  </w:style>
  <w:style w:type="character" w:customStyle="1" w:styleId="spellingerror">
    <w:name w:val="spellingerror"/>
    <w:basedOn w:val="Fuentedeprrafopredeter"/>
    <w:rsid w:val="00933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ble.quinf@polici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0936959-4F67-4811-A3B3-3E00655764E3}"/>
</file>

<file path=docProps/app.xml><?xml version="1.0" encoding="utf-8"?>
<Properties xmlns="http://schemas.openxmlformats.org/officeDocument/2006/extended-properties" xmlns:vt="http://schemas.openxmlformats.org/officeDocument/2006/docPropsVTypes">
  <Template>Normal</Template>
  <TotalTime>3615</TotalTime>
  <Pages>13</Pages>
  <Words>4498</Words>
  <Characters>23843</Characters>
  <Application>Microsoft Office Word</Application>
  <DocSecurity>0</DocSecurity>
  <Lines>476</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124</cp:revision>
  <cp:lastPrinted>2023-01-10T21:18:00Z</cp:lastPrinted>
  <dcterms:created xsi:type="dcterms:W3CDTF">2025-08-19T14:54:00Z</dcterms:created>
  <dcterms:modified xsi:type="dcterms:W3CDTF">2025-12-05T14:49:00Z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