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2F531F" w14:textId="77777777" w:rsidR="00EE2CB1" w:rsidRPr="00EE2CB1" w:rsidRDefault="00EE2CB1" w:rsidP="00EE2CB1">
      <w:pPr>
        <w:snapToGrid w:val="0"/>
        <w:spacing w:after="0" w:line="240" w:lineRule="auto"/>
        <w:contextualSpacing/>
        <w:jc w:val="both"/>
        <w:rPr>
          <w:rFonts w:ascii="Verdana" w:eastAsia="Calibri" w:hAnsi="Verdana" w:cs="Arial"/>
          <w:b/>
          <w:bCs/>
          <w:lang w:val="es-ES" w:eastAsia="es-ES"/>
        </w:rPr>
      </w:pPr>
      <w:r w:rsidRPr="00EE2CB1">
        <w:rPr>
          <w:rFonts w:ascii="Verdana" w:eastAsia="Calibri" w:hAnsi="Verdana" w:cs="Arial"/>
          <w:b/>
          <w:bCs/>
          <w:lang w:val="es-ES" w:eastAsia="es-ES"/>
        </w:rPr>
        <w:t>LEY DE GARANTÍAS ELECTORALES – Finalidad</w:t>
      </w:r>
    </w:p>
    <w:p w14:paraId="1B1D002D"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409F6456" w14:textId="70FB2A84" w:rsidR="00EE2CB1" w:rsidRPr="00EE2CB1" w:rsidRDefault="00EE2CB1" w:rsidP="00EE2CB1">
      <w:pPr>
        <w:tabs>
          <w:tab w:val="left" w:pos="426"/>
        </w:tabs>
        <w:snapToGrid w:val="0"/>
        <w:spacing w:after="0" w:line="240" w:lineRule="auto"/>
        <w:contextualSpacing/>
        <w:jc w:val="both"/>
        <w:rPr>
          <w:rFonts w:ascii="Verdana" w:eastAsia="Calibri" w:hAnsi="Verdana" w:cs="Arial"/>
          <w:sz w:val="20"/>
          <w:szCs w:val="20"/>
          <w:lang w:val="es-ES"/>
        </w:rPr>
      </w:pPr>
      <w:r w:rsidRPr="00EE2CB1">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E2CB1">
        <w:rPr>
          <w:rFonts w:ascii="Verdana" w:eastAsia="Calibri" w:hAnsi="Verdana" w:cs="Arial"/>
          <w:sz w:val="20"/>
          <w:szCs w:val="20"/>
          <w:lang w:val="es-ES"/>
        </w:rPr>
        <w:t xml:space="preserve"> </w:t>
      </w:r>
    </w:p>
    <w:p w14:paraId="0631D404"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3AE14C18" w14:textId="77777777" w:rsidR="00EE2CB1" w:rsidRPr="00EE2CB1" w:rsidRDefault="00EE2CB1" w:rsidP="00EE2CB1">
      <w:pPr>
        <w:snapToGrid w:val="0"/>
        <w:spacing w:after="0" w:line="240" w:lineRule="auto"/>
        <w:contextualSpacing/>
        <w:jc w:val="both"/>
        <w:rPr>
          <w:rFonts w:ascii="Verdana" w:eastAsia="Calibri" w:hAnsi="Verdana" w:cs="Arial"/>
          <w:b/>
          <w:bCs/>
          <w:lang w:val="es-ES" w:eastAsia="es-ES"/>
        </w:rPr>
      </w:pPr>
      <w:r w:rsidRPr="00EE2CB1">
        <w:rPr>
          <w:rFonts w:ascii="Verdana" w:eastAsia="Calibri" w:hAnsi="Verdana" w:cs="Arial"/>
          <w:b/>
          <w:bCs/>
          <w:lang w:val="es-ES" w:eastAsia="es-ES"/>
        </w:rPr>
        <w:t>LEY DE GARANTÍAS ELECTORALES ‒ Restricciones ‒ Contratación ‒ Tipos de elección</w:t>
      </w:r>
    </w:p>
    <w:p w14:paraId="2FDEBD8E" w14:textId="77777777" w:rsidR="00EE2CB1" w:rsidRPr="00EE2CB1" w:rsidRDefault="00EE2CB1" w:rsidP="00EE2CB1">
      <w:pPr>
        <w:snapToGrid w:val="0"/>
        <w:spacing w:after="0" w:line="240" w:lineRule="auto"/>
        <w:contextualSpacing/>
        <w:jc w:val="both"/>
        <w:rPr>
          <w:rFonts w:ascii="Verdana" w:eastAsia="Arial" w:hAnsi="Verdana" w:cs="Arial"/>
          <w:sz w:val="20"/>
          <w:szCs w:val="20"/>
          <w:lang w:val="es-ES" w:eastAsia="es-ES" w:bidi="es-ES"/>
        </w:rPr>
      </w:pPr>
    </w:p>
    <w:p w14:paraId="571D795E" w14:textId="41E45E1C" w:rsidR="00EE2CB1" w:rsidRPr="00EE2CB1" w:rsidRDefault="00EE2CB1" w:rsidP="00EE2CB1">
      <w:pPr>
        <w:snapToGrid w:val="0"/>
        <w:spacing w:after="0" w:line="240" w:lineRule="auto"/>
        <w:contextualSpacing/>
        <w:jc w:val="both"/>
        <w:rPr>
          <w:rFonts w:ascii="Verdana" w:eastAsia="Arial" w:hAnsi="Verdana" w:cs="Arial"/>
          <w:sz w:val="20"/>
          <w:szCs w:val="20"/>
          <w:lang w:val="es-ES" w:eastAsia="es-ES" w:bidi="es-ES"/>
        </w:rPr>
      </w:pPr>
      <w:r w:rsidRPr="00EE2CB1">
        <w:rPr>
          <w:rFonts w:ascii="Verdana" w:eastAsia="Arial" w:hAnsi="Verdana" w:cs="Arial"/>
          <w:sz w:val="20"/>
          <w:szCs w:val="20"/>
          <w:lang w:val="es-ES" w:eastAsia="es-ES" w:bidi="es-ES"/>
        </w:rPr>
        <w:t xml:space="preserve">En suma, las restricciones consagradas en la Ley de Garantías se dirigen a dos (2) tipos de campañas electorales diferenciadas: las presidenciales y las que se adelanten para la elección de los demás cargos de elección popular, tanto a nivel nacional como territorial. </w:t>
      </w:r>
      <w:r w:rsidRPr="00EE2CB1">
        <w:rPr>
          <w:rFonts w:ascii="Verdana" w:eastAsia="Calibri" w:hAnsi="Verdana" w:cs="Arial"/>
          <w:sz w:val="20"/>
          <w:szCs w:val="20"/>
          <w:lang w:val="es-ES"/>
        </w:rPr>
        <w:t xml:space="preserve">Por un lado, el </w:t>
      </w:r>
      <w:r w:rsidRPr="00EE2CB1">
        <w:rPr>
          <w:rFonts w:ascii="Verdana" w:eastAsia="Calibri" w:hAnsi="Verdana" w:cs="Arial"/>
          <w:i/>
          <w:iCs/>
          <w:sz w:val="20"/>
          <w:szCs w:val="20"/>
          <w:lang w:val="es-ES"/>
        </w:rPr>
        <w:t xml:space="preserve">artículo 33 </w:t>
      </w:r>
      <w:r w:rsidRPr="00EE2CB1">
        <w:rPr>
          <w:rFonts w:ascii="Verdana" w:eastAsia="Calibri" w:hAnsi="Verdana" w:cs="Arial"/>
          <w:sz w:val="20"/>
          <w:szCs w:val="20"/>
          <w:lang w:val="es-ES"/>
        </w:rPr>
        <w:t xml:space="preserve">de la Ley 996 de 2005 prohíbe “[…] la contratación directa por parte de </w:t>
      </w:r>
      <w:r w:rsidRPr="00EE2CB1">
        <w:rPr>
          <w:rFonts w:ascii="Verdana" w:eastAsia="Calibri" w:hAnsi="Verdana" w:cs="Arial"/>
          <w:i/>
          <w:iCs/>
          <w:sz w:val="20"/>
          <w:szCs w:val="20"/>
          <w:lang w:val="es-ES"/>
        </w:rPr>
        <w:t>todos los entes del Estado</w:t>
      </w:r>
      <w:r w:rsidRPr="00EE2CB1">
        <w:rPr>
          <w:rFonts w:ascii="Verdana" w:eastAsia="Calibri" w:hAnsi="Verdana" w:cs="Arial"/>
          <w:sz w:val="20"/>
          <w:szCs w:val="20"/>
          <w:lang w:val="es-ES"/>
        </w:rPr>
        <w:t xml:space="preserve">” durante los cuatro (4) meses anteriores a las </w:t>
      </w:r>
      <w:r w:rsidRPr="00EE2CB1">
        <w:rPr>
          <w:rFonts w:ascii="Verdana" w:eastAsia="Calibri" w:hAnsi="Verdana" w:cs="Arial"/>
          <w:i/>
          <w:iCs/>
          <w:sz w:val="20"/>
          <w:szCs w:val="20"/>
          <w:lang w:val="es-ES"/>
        </w:rPr>
        <w:t>elecciones presidenciales</w:t>
      </w:r>
      <w:r w:rsidRPr="00EE2CB1">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58BD6A" w14:textId="77777777" w:rsidR="00EE2CB1" w:rsidRPr="00EE2CB1" w:rsidRDefault="00EE2CB1" w:rsidP="00EE2CB1">
      <w:pPr>
        <w:widowControl w:val="0"/>
        <w:autoSpaceDE w:val="0"/>
        <w:autoSpaceDN w:val="0"/>
        <w:snapToGrid w:val="0"/>
        <w:spacing w:after="0" w:line="240" w:lineRule="auto"/>
        <w:ind w:right="113"/>
        <w:contextualSpacing/>
        <w:jc w:val="both"/>
        <w:rPr>
          <w:rFonts w:ascii="Verdana" w:eastAsia="Calibri" w:hAnsi="Verdana" w:cs="Arial"/>
          <w:sz w:val="20"/>
          <w:szCs w:val="20"/>
          <w:lang w:val="es-ES"/>
        </w:rPr>
      </w:pPr>
    </w:p>
    <w:p w14:paraId="20C5FCF7" w14:textId="6E9AFBB1" w:rsidR="00EE2CB1" w:rsidRPr="00EE2CB1" w:rsidRDefault="00EE2CB1" w:rsidP="00EE2CB1">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EE2CB1">
        <w:rPr>
          <w:rFonts w:ascii="Verdana" w:eastAsia="Calibri" w:hAnsi="Verdana" w:cs="Arial"/>
          <w:sz w:val="20"/>
          <w:szCs w:val="20"/>
          <w:lang w:val="es-ES"/>
        </w:rPr>
        <w:t xml:space="preserve">Por otro lado, </w:t>
      </w:r>
      <w:r w:rsidRPr="00EE2CB1">
        <w:rPr>
          <w:rFonts w:ascii="Verdana" w:eastAsia="Calibri" w:hAnsi="Verdana" w:cs="Arial"/>
          <w:i/>
          <w:iCs/>
          <w:sz w:val="20"/>
          <w:szCs w:val="20"/>
          <w:lang w:val="es-ES"/>
        </w:rPr>
        <w:t xml:space="preserve">el parágrafo del artículo 38 </w:t>
      </w:r>
      <w:r w:rsidRPr="00EE2CB1">
        <w:rPr>
          <w:rFonts w:ascii="Verdana" w:eastAsia="Calibri" w:hAnsi="Verdana" w:cs="Arial"/>
          <w:sz w:val="20"/>
          <w:szCs w:val="20"/>
          <w:lang w:val="es-ES"/>
        </w:rPr>
        <w:t xml:space="preserve">de la Ley 996 de 2005 prevé una restricción, aplicable respecto de </w:t>
      </w:r>
      <w:r w:rsidRPr="00EE2CB1">
        <w:rPr>
          <w:rFonts w:ascii="Verdana" w:eastAsia="Calibri" w:hAnsi="Verdana" w:cs="Arial"/>
          <w:i/>
          <w:iCs/>
          <w:sz w:val="20"/>
          <w:szCs w:val="20"/>
          <w:lang w:val="es-ES"/>
        </w:rPr>
        <w:t>cualquier tipo de contienda electoral</w:t>
      </w:r>
      <w:r w:rsidRPr="00EE2CB1">
        <w:rPr>
          <w:rFonts w:ascii="Verdana" w:eastAsia="Calibri"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EE2CB1">
        <w:rPr>
          <w:rFonts w:ascii="Verdana" w:eastAsia="Calibri" w:hAnsi="Verdana" w:cs="Arial"/>
          <w:i/>
          <w:iCs/>
          <w:sz w:val="20"/>
          <w:szCs w:val="20"/>
          <w:lang w:val="es-ES"/>
        </w:rPr>
        <w:t>convenios interadministrativos</w:t>
      </w:r>
      <w:r w:rsidRPr="00EE2CB1">
        <w:rPr>
          <w:rFonts w:ascii="Verdana" w:eastAsia="Calibri" w:hAnsi="Verdana" w:cs="Arial"/>
          <w:sz w:val="20"/>
          <w:szCs w:val="20"/>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EE2CB1">
        <w:rPr>
          <w:rFonts w:ascii="Verdana" w:eastAsia="Arial" w:hAnsi="Verdana" w:cs="Arial"/>
          <w:sz w:val="20"/>
          <w:szCs w:val="20"/>
          <w:lang w:val="es-ES" w:eastAsia="es-ES" w:bidi="es-ES"/>
        </w:rPr>
        <w:t xml:space="preserve"> </w:t>
      </w:r>
    </w:p>
    <w:p w14:paraId="773C15CE"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7F5033BA" w14:textId="77777777" w:rsidR="00EE2CB1" w:rsidRPr="00EE2CB1" w:rsidRDefault="00EE2CB1" w:rsidP="00EE2CB1">
      <w:pPr>
        <w:snapToGrid w:val="0"/>
        <w:spacing w:after="0" w:line="240" w:lineRule="auto"/>
        <w:contextualSpacing/>
        <w:jc w:val="both"/>
        <w:rPr>
          <w:rFonts w:ascii="Verdana" w:eastAsia="Calibri" w:hAnsi="Verdana" w:cs="Arial"/>
          <w:b/>
          <w:bCs/>
          <w:lang w:val="es-ES" w:eastAsia="es-ES"/>
        </w:rPr>
      </w:pPr>
      <w:r w:rsidRPr="00EE2CB1">
        <w:rPr>
          <w:rFonts w:ascii="Verdana" w:eastAsia="Calibri" w:hAnsi="Verdana" w:cs="Arial"/>
          <w:b/>
          <w:bCs/>
          <w:lang w:val="es-ES" w:eastAsia="es-ES"/>
        </w:rPr>
        <w:t>LEY DE GARANTÍAS ELECTORALES ‒ Artículo 33 ‒ Ámbito material</w:t>
      </w:r>
    </w:p>
    <w:p w14:paraId="72EE308D"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77947F70" w14:textId="77777777" w:rsidR="00EE2CB1" w:rsidRPr="00EE2CB1" w:rsidRDefault="00EE2CB1" w:rsidP="00EE2CB1">
      <w:pPr>
        <w:snapToGrid w:val="0"/>
        <w:spacing w:after="0" w:line="240" w:lineRule="auto"/>
        <w:contextualSpacing/>
        <w:jc w:val="both"/>
        <w:rPr>
          <w:rFonts w:ascii="Verdana" w:eastAsia="Times New Roman" w:hAnsi="Verdana" w:cs="Arial"/>
          <w:sz w:val="20"/>
          <w:szCs w:val="20"/>
          <w:lang w:val="es-ES"/>
        </w:rPr>
      </w:pPr>
      <w:r w:rsidRPr="00EE2CB1">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E2CB1">
        <w:rPr>
          <w:rFonts w:ascii="Verdana" w:eastAsia="Times New Roman" w:hAnsi="Verdana" w:cs="Arial"/>
          <w:i/>
          <w:iCs/>
          <w:sz w:val="20"/>
          <w:szCs w:val="20"/>
          <w:lang w:val="es-ES"/>
        </w:rPr>
        <w:t>cualquier contrato de forma directa</w:t>
      </w:r>
      <w:r w:rsidRPr="00EE2CB1">
        <w:rPr>
          <w:rFonts w:ascii="Verdana" w:eastAsia="Times New Roman" w:hAnsi="Verdana" w:cs="Arial"/>
          <w:sz w:val="20"/>
          <w:szCs w:val="20"/>
          <w:lang w:val="es-ES"/>
        </w:rPr>
        <w:t>, esto es, sin que exista un proceso abierto y competitivo. Por tanto,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w:t>
      </w:r>
      <w:r w:rsidRPr="00EE2CB1">
        <w:rPr>
          <w:rFonts w:ascii="Verdana" w:eastAsia="Times New Roman" w:hAnsi="Verdana" w:cs="Arial"/>
          <w:sz w:val="20"/>
          <w:szCs w:val="20"/>
        </w:rPr>
        <w:t>.</w:t>
      </w:r>
      <w:r w:rsidRPr="00EE2CB1">
        <w:rPr>
          <w:rFonts w:ascii="Verdana" w:eastAsia="Times New Roman" w:hAnsi="Verdana" w:cs="Arial"/>
          <w:sz w:val="20"/>
          <w:szCs w:val="20"/>
          <w:lang w:val="es-ES"/>
        </w:rPr>
        <w:t xml:space="preserve"> En cualquier caso, no serán materia de la prohibición las demás modalidades de selección previstas en la Ley 1150 de 2007, es decir, la licitación pública, </w:t>
      </w:r>
      <w:r w:rsidRPr="00EE2CB1">
        <w:rPr>
          <w:rFonts w:ascii="Verdana" w:eastAsia="Times New Roman" w:hAnsi="Verdana" w:cs="Arial"/>
          <w:sz w:val="20"/>
          <w:szCs w:val="20"/>
          <w:lang w:val="es-ES"/>
        </w:rPr>
        <w:lastRenderedPageBreak/>
        <w:t>el concurso de méritos, la selección abreviada y la mínima cuantía, razón por la cual en ese período preelectoral de que trata la disposición las entidades públicas pueden seguir contratando bajo estos sistemas para la satisfacción y atención de sus necesidades.</w:t>
      </w:r>
    </w:p>
    <w:p w14:paraId="6B13F46A"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65AC61E1" w14:textId="77777777" w:rsidR="00EE2CB1" w:rsidRPr="00EE2CB1" w:rsidRDefault="00EE2CB1" w:rsidP="00EE2CB1">
      <w:pPr>
        <w:snapToGrid w:val="0"/>
        <w:spacing w:after="0" w:line="240" w:lineRule="auto"/>
        <w:contextualSpacing/>
        <w:jc w:val="both"/>
        <w:rPr>
          <w:rFonts w:ascii="Verdana" w:eastAsia="Calibri" w:hAnsi="Verdana" w:cs="Arial"/>
          <w:b/>
          <w:bCs/>
          <w:lang w:val="es-ES" w:eastAsia="es-ES"/>
        </w:rPr>
      </w:pPr>
      <w:r w:rsidRPr="00EE2CB1">
        <w:rPr>
          <w:rFonts w:ascii="Verdana" w:eastAsia="Calibri" w:hAnsi="Verdana" w:cs="Arial"/>
          <w:b/>
          <w:bCs/>
          <w:lang w:val="es-ES" w:eastAsia="es-ES"/>
        </w:rPr>
        <w:t xml:space="preserve">LEY DE GARANTÍAS ELECTORALES – Aplicación – Organismos internacionales </w:t>
      </w:r>
    </w:p>
    <w:p w14:paraId="229C350E"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24A2316B" w14:textId="289C4847"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r w:rsidRPr="00EE2CB1">
        <w:rPr>
          <w:rFonts w:ascii="Verdana" w:eastAsia="Times New Roman" w:hAnsi="Verdana" w:cs="Arial"/>
          <w:sz w:val="20"/>
          <w:szCs w:val="20"/>
          <w:lang w:val="es-MX"/>
        </w:rPr>
        <w:t xml:space="preserve">En consecuencia, la restricción contemplada en la Ley de Garantías Electorales </w:t>
      </w:r>
      <w:r w:rsidRPr="00EE2CB1">
        <w:rPr>
          <w:rFonts w:ascii="Verdana" w:eastAsia="Times New Roman" w:hAnsi="Verdana" w:cs="Arial"/>
          <w:i/>
          <w:iCs/>
          <w:sz w:val="20"/>
          <w:szCs w:val="20"/>
          <w:lang w:val="es-MX"/>
        </w:rPr>
        <w:t>no</w:t>
      </w:r>
      <w:r w:rsidRPr="00EE2CB1">
        <w:rPr>
          <w:rFonts w:ascii="Verdana" w:eastAsia="Times New Roman" w:hAnsi="Verdana" w:cs="Arial"/>
          <w:sz w:val="20"/>
          <w:szCs w:val="20"/>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 la aplicación “integral”  de los reglamentos de dichos organismos. </w:t>
      </w:r>
    </w:p>
    <w:p w14:paraId="374ABBBC" w14:textId="77777777"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p>
    <w:p w14:paraId="41BA7530" w14:textId="4910E7E0"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r w:rsidRPr="00EE2CB1">
        <w:rPr>
          <w:rFonts w:ascii="Verdana" w:eastAsia="Times New Roman" w:hAnsi="Verdana" w:cs="Arial"/>
          <w:sz w:val="20"/>
          <w:szCs w:val="20"/>
          <w:lang w:val="es-MX"/>
        </w:rPr>
        <w:t xml:space="preserve">[…] </w:t>
      </w:r>
      <w:r w:rsidRPr="00EE2CB1">
        <w:rPr>
          <w:rFonts w:ascii="Verdana" w:eastAsia="Times New Roman" w:hAnsi="Verdana" w:cs="Arial"/>
          <w:sz w:val="20"/>
          <w:szCs w:val="20"/>
          <w:lang w:val="es-MX"/>
        </w:rPr>
        <w:t xml:space="preserve">la restricción contemplada en la Ley de Garantías Electorales </w:t>
      </w:r>
      <w:r w:rsidRPr="00EE2CB1">
        <w:rPr>
          <w:rFonts w:ascii="Verdana" w:eastAsia="Times New Roman" w:hAnsi="Verdana" w:cs="Arial"/>
          <w:i/>
          <w:iCs/>
          <w:sz w:val="20"/>
          <w:szCs w:val="20"/>
          <w:lang w:val="es-MX"/>
        </w:rPr>
        <w:t>tampoco</w:t>
      </w:r>
      <w:r w:rsidRPr="00EE2CB1">
        <w:rPr>
          <w:rFonts w:ascii="Verdana" w:eastAsia="Times New Roman" w:hAnsi="Verdana" w:cs="Arial"/>
          <w:sz w:val="20"/>
          <w:szCs w:val="20"/>
          <w:lang w:val="es-MX"/>
        </w:rPr>
        <w:t xml:space="preserve"> aplica a los contratos o convenios a los que se refiere el inciso segundo y el parágrafo primero del artículo 20 de la Ley 1150 de 2007 cuando se sometan a los reglamentos de dichos organismos, incluyendo aquellos financiados </w:t>
      </w:r>
      <w:r w:rsidRPr="00EE2CB1">
        <w:rPr>
          <w:rFonts w:ascii="Verdana" w:eastAsia="Times New Roman" w:hAnsi="Verdana" w:cs="Arial"/>
          <w:sz w:val="20"/>
          <w:szCs w:val="20"/>
          <w:lang w:eastAsia="x-none"/>
        </w:rPr>
        <w:t>con fondos de los organismos multilaterales de crédito y entes gubernamentales extranjeros</w:t>
      </w:r>
      <w:r w:rsidRPr="00EE2CB1">
        <w:rPr>
          <w:rFonts w:ascii="Verdana" w:eastAsia="Times New Roman" w:hAnsi="Verdana" w:cs="Arial"/>
          <w:sz w:val="20"/>
          <w:szCs w:val="20"/>
          <w:lang w:val="es-MX"/>
        </w:rPr>
        <w:t>, sin importar el porcentaje de financiación.</w:t>
      </w:r>
    </w:p>
    <w:p w14:paraId="2F993C11" w14:textId="77777777" w:rsidR="00EE2CB1" w:rsidRPr="00EE2CB1" w:rsidRDefault="00EE2CB1" w:rsidP="00EE2CB1">
      <w:pPr>
        <w:snapToGrid w:val="0"/>
        <w:spacing w:after="0" w:line="240" w:lineRule="auto"/>
        <w:contextualSpacing/>
        <w:jc w:val="both"/>
        <w:rPr>
          <w:rFonts w:ascii="Verdana" w:eastAsia="Calibri" w:hAnsi="Verdana" w:cs="Arial"/>
          <w:b/>
          <w:bCs/>
          <w:sz w:val="20"/>
          <w:szCs w:val="20"/>
          <w:lang w:val="es-ES" w:eastAsia="es-ES"/>
        </w:rPr>
      </w:pPr>
    </w:p>
    <w:p w14:paraId="7E6410D5" w14:textId="1D627843" w:rsidR="00EE2CB1" w:rsidRPr="00EE2CB1" w:rsidRDefault="00EE2CB1" w:rsidP="00EE2CB1">
      <w:pPr>
        <w:snapToGrid w:val="0"/>
        <w:spacing w:after="0" w:line="240" w:lineRule="auto"/>
        <w:contextualSpacing/>
        <w:jc w:val="both"/>
        <w:rPr>
          <w:rFonts w:ascii="Verdana" w:eastAsia="Calibri" w:hAnsi="Verdana" w:cs="Arial"/>
          <w:b/>
          <w:bCs/>
          <w:color w:val="000000" w:themeColor="text1"/>
          <w:lang w:val="es-ES" w:eastAsia="es-ES"/>
        </w:rPr>
      </w:pPr>
      <w:r w:rsidRPr="00EE2CB1">
        <w:rPr>
          <w:rFonts w:ascii="Verdana" w:eastAsia="Calibri" w:hAnsi="Verdana" w:cs="Arial"/>
          <w:b/>
          <w:bCs/>
          <w:color w:val="000000" w:themeColor="text1"/>
          <w:lang w:val="es-ES" w:eastAsia="es-ES"/>
        </w:rPr>
        <w:t>CONTRATOS DERIVADOS – Ley 1150 de 2007 – Artículo 20</w:t>
      </w:r>
    </w:p>
    <w:p w14:paraId="5D4D08F5" w14:textId="77777777" w:rsidR="00EE2CB1" w:rsidRPr="00EE2CB1" w:rsidRDefault="00EE2CB1" w:rsidP="00EE2CB1">
      <w:pPr>
        <w:snapToGrid w:val="0"/>
        <w:spacing w:after="0" w:line="240" w:lineRule="auto"/>
        <w:contextualSpacing/>
        <w:jc w:val="both"/>
        <w:rPr>
          <w:rFonts w:ascii="Verdana" w:eastAsia="Calibri" w:hAnsi="Verdana" w:cs="Arial"/>
          <w:sz w:val="20"/>
          <w:szCs w:val="20"/>
          <w:lang w:val="es-ES"/>
        </w:rPr>
      </w:pPr>
    </w:p>
    <w:p w14:paraId="29EFCE69" w14:textId="6240FE68"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r w:rsidRPr="00EE2CB1">
        <w:rPr>
          <w:rFonts w:ascii="Verdana" w:eastAsia="Calibri" w:hAnsi="Verdana" w:cs="Arial"/>
          <w:sz w:val="20"/>
          <w:szCs w:val="20"/>
          <w:lang w:val="es-ES"/>
        </w:rPr>
        <w:t xml:space="preserve">[…] </w:t>
      </w:r>
      <w:r w:rsidRPr="00EE2CB1">
        <w:rPr>
          <w:rFonts w:ascii="Verdana" w:eastAsia="Calibri" w:hAnsi="Verdana" w:cs="Arial"/>
          <w:sz w:val="20"/>
          <w:szCs w:val="20"/>
          <w:lang w:val="es-ES"/>
        </w:rPr>
        <w:t>el artículo 20 de la Ley 1150 de 2007 no hace mención expresa sobre el régimen contractual aplicable a los contratos que posteriormente se suscriban con ocasión a dichos acuerdos. En este contexto, la determinación del régimen contractual podrá variar según los supuestos del caso concreto. Como no es dable a esta Agencia referirse a reglas aplicables a casos particulares, a continuación se exponen parámetros de carácter general que, según la normativa del sistema de compras públicas, pueden resultar aplicables en los supuestos señalados en su consulta.</w:t>
      </w:r>
    </w:p>
    <w:p w14:paraId="6FCE63AA" w14:textId="77777777"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r w:rsidRPr="00EE2CB1">
        <w:rPr>
          <w:rFonts w:ascii="Verdana" w:eastAsia="Calibri" w:hAnsi="Verdana" w:cs="Arial"/>
          <w:sz w:val="20"/>
          <w:szCs w:val="20"/>
          <w:lang w:val="es-ES"/>
        </w:rPr>
        <w:t>Debido a que</w:t>
      </w:r>
      <w:r w:rsidRPr="00EE2CB1">
        <w:rPr>
          <w:rFonts w:ascii="Verdana" w:hAnsi="Verdana" w:cs="Arial"/>
          <w:color w:val="000000" w:themeColor="text1"/>
          <w:sz w:val="20"/>
          <w:szCs w:val="20"/>
          <w:lang w:val="es-ES"/>
        </w:rPr>
        <w:t xml:space="preserve"> el legislador no distinguió los aspectos sobre los cuales es factible aplicar los reglamentos de los organismos internacionales, debe entenderse que dentro de la remisión cabe el procedimiento de celebración y todo lo relacionado con la ejecución del contrato o convenio. Esto significa que las Entidades Estatales pueden pactar que la celebración de contratos derivados siga los procedimientos establecidos en los reglamentos de los organismos internacionales a los que alude el citado artículo 20 y no los previstos en el EGCAP.  </w:t>
      </w:r>
    </w:p>
    <w:p w14:paraId="305437DC" w14:textId="77777777" w:rsidR="00EE2CB1" w:rsidRPr="00EE2CB1" w:rsidRDefault="00EE2CB1" w:rsidP="00EE2CB1">
      <w:pPr>
        <w:snapToGrid w:val="0"/>
        <w:spacing w:after="0" w:line="240" w:lineRule="auto"/>
        <w:contextualSpacing/>
        <w:jc w:val="both"/>
        <w:rPr>
          <w:rFonts w:ascii="Verdana" w:hAnsi="Verdana" w:cs="Arial"/>
          <w:b/>
          <w:bCs/>
          <w:color w:val="000000" w:themeColor="text1"/>
          <w:sz w:val="20"/>
          <w:szCs w:val="20"/>
          <w:lang w:val="es-ES"/>
        </w:rPr>
      </w:pPr>
    </w:p>
    <w:p w14:paraId="14B0A7E8" w14:textId="77777777" w:rsidR="00EE2CB1" w:rsidRPr="00EE2CB1" w:rsidRDefault="00EE2CB1" w:rsidP="00EE2CB1">
      <w:pPr>
        <w:snapToGrid w:val="0"/>
        <w:spacing w:after="0" w:line="240" w:lineRule="auto"/>
        <w:contextualSpacing/>
        <w:jc w:val="both"/>
        <w:rPr>
          <w:rFonts w:ascii="Verdana" w:eastAsia="Times New Roman" w:hAnsi="Verdana" w:cs="Arial"/>
          <w:sz w:val="20"/>
          <w:szCs w:val="20"/>
          <w:lang w:val="es-MX"/>
        </w:rPr>
      </w:pPr>
      <w:r w:rsidRPr="00EE2CB1">
        <w:rPr>
          <w:rFonts w:ascii="Verdana" w:hAnsi="Verdana" w:cs="Arial"/>
          <w:color w:val="000000" w:themeColor="text1"/>
          <w:sz w:val="20"/>
          <w:szCs w:val="20"/>
          <w:lang w:val="es-ES"/>
        </w:rPr>
        <w:t xml:space="preserve">[…] </w:t>
      </w:r>
      <w:r w:rsidRPr="00EE2CB1">
        <w:rPr>
          <w:rFonts w:ascii="Verdana" w:eastAsia="Times New Roman" w:hAnsi="Verdana" w:cs="Arial"/>
          <w:sz w:val="20"/>
          <w:szCs w:val="20"/>
          <w:lang w:val="es-MX"/>
        </w:rPr>
        <w:t>En virtud de lo anterior, cuando se trate de un convenio o contrato celebrado con fondos multilaterales de crédito, las partes podrán someter este y los convenios o contratos derivados a los reglamentos de dichos organismos. Cuando este sea el caso, no estarán sujetos al EGCAP y no les será aplicable la restricción contemplada en la Ley de Garantías Electorales por tatarse de convenios o contratos derivados de los referidos en el inciso segundo del artículo 20 de la Ley 1150 de 2007 que se someten a la normativa de organismos.</w:t>
      </w:r>
    </w:p>
    <w:p w14:paraId="5429DBC3" w14:textId="5539B2C1" w:rsidR="00ED10F8" w:rsidRPr="00FC6F34" w:rsidRDefault="00ED10F8" w:rsidP="00ED10F8">
      <w:pPr>
        <w:spacing w:after="0"/>
        <w:rPr>
          <w:rFonts w:ascii="Verdana" w:hAnsi="Verdana"/>
          <w:lang w:val="es-ES"/>
        </w:rPr>
      </w:pPr>
      <w:r w:rsidRPr="00FC6F34">
        <w:rPr>
          <w:rFonts w:ascii="Verdana" w:hAnsi="Verdana"/>
          <w:lang w:val="es-ES"/>
        </w:rPr>
        <w:lastRenderedPageBreak/>
        <w:t xml:space="preserve">Bogotá D.C., </w:t>
      </w:r>
      <w:r w:rsidR="00EE2CB1">
        <w:rPr>
          <w:rFonts w:ascii="Verdana" w:hAnsi="Verdana"/>
          <w:lang w:val="es-ES"/>
        </w:rPr>
        <w:t>01 de diciembre de 2025</w:t>
      </w:r>
      <w:r w:rsidRPr="00FC6F34">
        <w:rPr>
          <w:rFonts w:ascii="Verdana" w:hAnsi="Verdana"/>
          <w:lang w:val="es-ES"/>
        </w:rPr>
        <w:tab/>
      </w:r>
    </w:p>
    <w:p w14:paraId="64E0A0EE" w14:textId="77777777" w:rsidR="00ED10F8" w:rsidRPr="00FC6F34" w:rsidRDefault="00ED10F8" w:rsidP="00ED10F8">
      <w:pPr>
        <w:spacing w:after="0"/>
        <w:rPr>
          <w:rFonts w:ascii="Verdana" w:hAnsi="Verdana"/>
          <w:lang w:val="es-ES"/>
        </w:rPr>
      </w:pPr>
    </w:p>
    <w:p w14:paraId="188AAEA5" w14:textId="29437AAC" w:rsidR="00ED10F8" w:rsidRDefault="00EE2CB1" w:rsidP="00ED10F8">
      <w:pPr>
        <w:spacing w:after="0" w:line="240" w:lineRule="auto"/>
        <w:rPr>
          <w:rFonts w:ascii="Verdana" w:eastAsia="Calibri" w:hAnsi="Verdana" w:cs="Arial"/>
          <w:color w:val="000000" w:themeColor="text1"/>
          <w:lang w:val="es-ES" w:eastAsia="es-ES"/>
        </w:rPr>
      </w:pPr>
      <w:bookmarkStart w:id="0" w:name="_Hlk143780582"/>
      <w:r>
        <w:rPr>
          <w:rFonts w:ascii="Verdana" w:hAnsi="Verdana"/>
          <w:noProof/>
        </w:rPr>
        <w:drawing>
          <wp:anchor distT="0" distB="0" distL="114300" distR="114300" simplePos="0" relativeHeight="251660288" behindDoc="0" locked="0" layoutInCell="1" allowOverlap="1" wp14:anchorId="6FDB2DF4" wp14:editId="0D0BCCEF">
            <wp:simplePos x="0" y="0"/>
            <wp:positionH relativeFrom="column">
              <wp:posOffset>3280410</wp:posOffset>
            </wp:positionH>
            <wp:positionV relativeFrom="page">
              <wp:posOffset>1949450</wp:posOffset>
            </wp:positionV>
            <wp:extent cx="2399665" cy="709930"/>
            <wp:effectExtent l="0" t="0" r="635" b="1270"/>
            <wp:wrapSquare wrapText="bothSides"/>
            <wp:docPr id="1966421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421365" name="Picture 1966421365"/>
                    <pic:cNvPicPr/>
                  </pic:nvPicPr>
                  <pic:blipFill>
                    <a:blip r:embed="rId11">
                      <a:extLst>
                        <a:ext uri="{28A0092B-C50C-407E-A947-70E740481C1C}">
                          <a14:useLocalDpi xmlns:a14="http://schemas.microsoft.com/office/drawing/2010/main" val="0"/>
                        </a:ext>
                      </a:extLst>
                    </a:blip>
                    <a:stretch>
                      <a:fillRect/>
                    </a:stretch>
                  </pic:blipFill>
                  <pic:spPr>
                    <a:xfrm>
                      <a:off x="0" y="0"/>
                      <a:ext cx="2399665" cy="709930"/>
                    </a:xfrm>
                    <a:prstGeom prst="rect">
                      <a:avLst/>
                    </a:prstGeom>
                  </pic:spPr>
                </pic:pic>
              </a:graphicData>
            </a:graphic>
            <wp14:sizeRelH relativeFrom="page">
              <wp14:pctWidth>0</wp14:pctWidth>
            </wp14:sizeRelH>
            <wp14:sizeRelV relativeFrom="page">
              <wp14:pctHeight>0</wp14:pctHeight>
            </wp14:sizeRelV>
          </wp:anchor>
        </w:drawing>
      </w:r>
      <w:r w:rsidR="00ED10F8">
        <w:rPr>
          <w:rFonts w:ascii="Verdana" w:eastAsia="Calibri" w:hAnsi="Verdana" w:cs="Arial"/>
          <w:color w:val="000000" w:themeColor="text1"/>
          <w:lang w:val="es-ES" w:eastAsia="es-ES"/>
        </w:rPr>
        <w:t>Doctora</w:t>
      </w:r>
    </w:p>
    <w:p w14:paraId="1B5A9DCD" w14:textId="3A2B46AF" w:rsidR="00ED10F8" w:rsidRDefault="00ED10F8" w:rsidP="00ED10F8">
      <w:pPr>
        <w:spacing w:after="0" w:line="240" w:lineRule="auto"/>
        <w:rPr>
          <w:rFonts w:ascii="Verdana" w:hAnsi="Verdana"/>
        </w:rPr>
      </w:pPr>
      <w:r w:rsidRPr="00CC379B">
        <w:rPr>
          <w:rFonts w:ascii="Verdana" w:hAnsi="Verdana"/>
          <w:b/>
        </w:rPr>
        <w:t>Jenny Carolina Velandia Mart</w:t>
      </w:r>
      <w:r>
        <w:rPr>
          <w:rFonts w:ascii="Verdana" w:hAnsi="Verdana"/>
          <w:b/>
        </w:rPr>
        <w:t>í</w:t>
      </w:r>
      <w:r w:rsidRPr="00CC379B">
        <w:rPr>
          <w:rFonts w:ascii="Verdana" w:hAnsi="Verdana"/>
          <w:b/>
        </w:rPr>
        <w:t xml:space="preserve">nez </w:t>
      </w:r>
    </w:p>
    <w:p w14:paraId="7E647B3D" w14:textId="77777777" w:rsidR="00ED10F8" w:rsidRDefault="00ED10F8" w:rsidP="00ED10F8">
      <w:pPr>
        <w:spacing w:after="0" w:line="240" w:lineRule="auto"/>
        <w:rPr>
          <w:rFonts w:ascii="Verdana" w:hAnsi="Verdana"/>
        </w:rPr>
      </w:pPr>
      <w:r w:rsidRPr="00CC379B">
        <w:rPr>
          <w:rFonts w:ascii="Verdana" w:hAnsi="Verdana"/>
        </w:rPr>
        <w:t>Coordinadora del GIT Contratos y Convenios</w:t>
      </w:r>
    </w:p>
    <w:p w14:paraId="6FD8D515" w14:textId="77777777" w:rsidR="00ED10F8" w:rsidRPr="00CC379B" w:rsidRDefault="00ED10F8" w:rsidP="00ED10F8">
      <w:pPr>
        <w:spacing w:after="0" w:line="240" w:lineRule="auto"/>
        <w:rPr>
          <w:rFonts w:ascii="Verdana" w:hAnsi="Verdana"/>
        </w:rPr>
      </w:pPr>
      <w:r w:rsidRPr="00CC379B">
        <w:rPr>
          <w:rFonts w:ascii="Verdana" w:hAnsi="Verdana"/>
        </w:rPr>
        <w:t xml:space="preserve">Ministerio de las Culturas, las Artes y los Saberes </w:t>
      </w:r>
    </w:p>
    <w:p w14:paraId="6C7385A1" w14:textId="77777777" w:rsidR="00ED10F8" w:rsidRPr="00F45408" w:rsidRDefault="00ED10F8" w:rsidP="00ED10F8">
      <w:pPr>
        <w:spacing w:after="0"/>
        <w:rPr>
          <w:rFonts w:ascii="Verdana" w:eastAsia="Calibri" w:hAnsi="Verdana" w:cs="Arial"/>
          <w:b/>
          <w:color w:val="000000" w:themeColor="text1"/>
          <w:lang w:eastAsia="es-ES"/>
        </w:rPr>
      </w:pPr>
      <w:r w:rsidRPr="00FC6F34">
        <w:rPr>
          <w:rFonts w:ascii="Verdana" w:hAnsi="Verdana"/>
          <w:lang w:val="es-ES"/>
        </w:rPr>
        <w:t>Bogotá D.C.</w:t>
      </w:r>
    </w:p>
    <w:p w14:paraId="26DA6D32" w14:textId="77777777" w:rsidR="00ED10F8" w:rsidRPr="00FC6F34" w:rsidRDefault="00ED10F8" w:rsidP="00ED10F8">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D10F8" w:rsidRPr="00FC6F34" w14:paraId="58A32D43" w14:textId="77777777">
        <w:trPr>
          <w:trHeight w:val="300"/>
        </w:trPr>
        <w:tc>
          <w:tcPr>
            <w:tcW w:w="2410" w:type="dxa"/>
          </w:tcPr>
          <w:p w14:paraId="249BECCF" w14:textId="77777777" w:rsidR="00ED10F8" w:rsidRPr="00FC6F34" w:rsidRDefault="00ED10F8">
            <w:pPr>
              <w:ind w:left="-142"/>
              <w:jc w:val="both"/>
              <w:rPr>
                <w:rFonts w:ascii="Verdana" w:eastAsia="Calibri" w:hAnsi="Verdana" w:cs="Arial"/>
                <w:b/>
                <w:bCs/>
                <w:color w:val="000000" w:themeColor="text1"/>
                <w:lang w:val="es-ES" w:eastAsia="es-ES_tradnl"/>
              </w:rPr>
            </w:pPr>
          </w:p>
        </w:tc>
        <w:tc>
          <w:tcPr>
            <w:tcW w:w="6100" w:type="dxa"/>
          </w:tcPr>
          <w:p w14:paraId="7F83573B" w14:textId="77777777" w:rsidR="001063C7" w:rsidRDefault="001063C7" w:rsidP="00C7620C">
            <w:pPr>
              <w:ind w:left="3"/>
              <w:jc w:val="both"/>
              <w:rPr>
                <w:rFonts w:ascii="Verdana" w:eastAsia="Calibri" w:hAnsi="Verdana" w:cs="Arial"/>
                <w:b/>
                <w:bCs/>
                <w:color w:val="000000" w:themeColor="text1"/>
                <w:lang w:val="es-ES" w:eastAsia="es-ES"/>
              </w:rPr>
            </w:pPr>
          </w:p>
          <w:p w14:paraId="0CD88C48" w14:textId="420BD162" w:rsidR="00ED10F8" w:rsidRPr="00FC6F34" w:rsidRDefault="00ED10F8">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5F3138">
              <w:rPr>
                <w:rFonts w:ascii="Verdana" w:eastAsia="Calibri" w:hAnsi="Verdana" w:cs="Arial"/>
                <w:b/>
                <w:bCs/>
                <w:color w:val="000000" w:themeColor="text1"/>
                <w:lang w:val="es-ES" w:eastAsia="es-ES"/>
              </w:rPr>
              <w:t>1534</w:t>
            </w:r>
            <w:r>
              <w:t xml:space="preserve"> </w:t>
            </w:r>
            <w:r w:rsidRPr="00FC6F34">
              <w:rPr>
                <w:rFonts w:ascii="Verdana" w:eastAsia="Calibri" w:hAnsi="Verdana" w:cs="Arial"/>
                <w:b/>
                <w:bCs/>
                <w:color w:val="000000" w:themeColor="text1"/>
                <w:lang w:val="es-ES" w:eastAsia="es-ES"/>
              </w:rPr>
              <w:t xml:space="preserve"> de 2025</w:t>
            </w:r>
          </w:p>
          <w:p w14:paraId="6A8A59C8" w14:textId="77777777" w:rsidR="00ED10F8" w:rsidRPr="00FC6F34" w:rsidRDefault="00ED10F8">
            <w:pPr>
              <w:ind w:left="3"/>
              <w:jc w:val="both"/>
              <w:rPr>
                <w:rFonts w:ascii="Verdana" w:eastAsia="Calibri" w:hAnsi="Verdana" w:cs="Arial"/>
                <w:b/>
                <w:bCs/>
                <w:color w:val="000000" w:themeColor="text1"/>
                <w:lang w:val="es-ES" w:eastAsia="es-ES"/>
              </w:rPr>
            </w:pPr>
          </w:p>
        </w:tc>
      </w:tr>
      <w:tr w:rsidR="00ED10F8" w:rsidRPr="00FC6F34" w14:paraId="382C6DCC" w14:textId="77777777">
        <w:trPr>
          <w:trHeight w:val="300"/>
        </w:trPr>
        <w:tc>
          <w:tcPr>
            <w:tcW w:w="2410" w:type="dxa"/>
          </w:tcPr>
          <w:p w14:paraId="070C5ADB" w14:textId="77777777" w:rsidR="00ED10F8" w:rsidRPr="00E84C4E" w:rsidRDefault="00ED10F8">
            <w:pPr>
              <w:ind w:left="424" w:firstLine="142"/>
              <w:jc w:val="both"/>
              <w:rPr>
                <w:rFonts w:ascii="Verdana" w:eastAsia="Calibri" w:hAnsi="Verdana" w:cs="Arial"/>
                <w:color w:val="000000" w:themeColor="text1"/>
                <w:lang w:val="es-ES" w:eastAsia="es-ES_tradnl"/>
              </w:rPr>
            </w:pPr>
            <w:r w:rsidRPr="00E84C4E">
              <w:rPr>
                <w:rFonts w:ascii="Verdana" w:eastAsia="Calibri" w:hAnsi="Verdana" w:cs="Arial"/>
                <w:b/>
                <w:color w:val="000000" w:themeColor="text1"/>
                <w:lang w:val="es-ES" w:eastAsia="es-ES_tradnl"/>
              </w:rPr>
              <w:t>Temas:</w:t>
            </w:r>
            <w:r w:rsidRPr="00E84C4E">
              <w:rPr>
                <w:rFonts w:ascii="Verdana" w:eastAsia="Calibri" w:hAnsi="Verdana" w:cs="Arial"/>
                <w:color w:val="000000" w:themeColor="text1"/>
                <w:lang w:val="es-ES" w:eastAsia="es-ES_tradnl"/>
              </w:rPr>
              <w:t xml:space="preserve">                  </w:t>
            </w:r>
          </w:p>
        </w:tc>
        <w:tc>
          <w:tcPr>
            <w:tcW w:w="6100" w:type="dxa"/>
          </w:tcPr>
          <w:p w14:paraId="00062C2D" w14:textId="5EDDDE7B" w:rsidR="00ED10F8" w:rsidRPr="00E84C4E" w:rsidRDefault="00ED10F8">
            <w:pPr>
              <w:spacing w:line="276" w:lineRule="auto"/>
              <w:jc w:val="both"/>
              <w:rPr>
                <w:rFonts w:ascii="Verdana" w:hAnsi="Verdana" w:cs="Arial"/>
                <w:color w:val="000000" w:themeColor="text1"/>
                <w:lang w:val="es-ES"/>
              </w:rPr>
            </w:pPr>
            <w:r w:rsidRPr="00E84C4E">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material/ LEY DE GARANTÍAS ELECTORALES – Aplicación – </w:t>
            </w:r>
            <w:r>
              <w:rPr>
                <w:rFonts w:ascii="Verdana" w:eastAsia="Calibri" w:hAnsi="Verdana" w:cs="Arial"/>
                <w:lang w:val="es-ES" w:eastAsia="es-ES"/>
              </w:rPr>
              <w:t xml:space="preserve">Organismos internacionales / </w:t>
            </w:r>
            <w:r>
              <w:rPr>
                <w:rFonts w:ascii="Verdana" w:eastAsia="Calibri" w:hAnsi="Verdana" w:cs="Arial"/>
                <w:color w:val="000000" w:themeColor="text1"/>
                <w:lang w:val="es-ES" w:eastAsia="es-ES"/>
              </w:rPr>
              <w:t xml:space="preserve">CONTRATOS DERIVADOS – </w:t>
            </w:r>
            <w:r w:rsidRPr="001B5B78">
              <w:rPr>
                <w:rFonts w:ascii="Verdana" w:eastAsia="Calibri" w:hAnsi="Verdana" w:cs="Arial"/>
                <w:color w:val="000000" w:themeColor="text1"/>
                <w:lang w:val="es-ES" w:eastAsia="es-ES"/>
              </w:rPr>
              <w:t>Ley 1150 de 2007 – Artículo 20</w:t>
            </w:r>
          </w:p>
          <w:p w14:paraId="07D958B3" w14:textId="77777777" w:rsidR="00ED10F8" w:rsidRPr="00E84C4E" w:rsidRDefault="00ED10F8">
            <w:pPr>
              <w:spacing w:line="276" w:lineRule="auto"/>
              <w:jc w:val="both"/>
              <w:rPr>
                <w:rFonts w:ascii="Verdana" w:eastAsia="Calibri" w:hAnsi="Verdana" w:cs="Arial"/>
                <w:color w:val="000000" w:themeColor="text1"/>
                <w:lang w:val="es-ES" w:eastAsia="es-ES"/>
              </w:rPr>
            </w:pPr>
          </w:p>
        </w:tc>
      </w:tr>
      <w:tr w:rsidR="00ED10F8" w:rsidRPr="00FC6F34" w14:paraId="2459C983" w14:textId="77777777">
        <w:tc>
          <w:tcPr>
            <w:tcW w:w="2410" w:type="dxa"/>
          </w:tcPr>
          <w:p w14:paraId="1B7CF708" w14:textId="77777777" w:rsidR="00ED10F8" w:rsidRPr="00FC6F34" w:rsidRDefault="00ED10F8">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241DBFF4" w14:textId="77777777" w:rsidR="00ED10F8" w:rsidRPr="00FC6F34" w:rsidRDefault="00ED10F8">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CC379B">
              <w:rPr>
                <w:rFonts w:ascii="Verdana" w:eastAsia="Calibri" w:hAnsi="Verdana" w:cs="Arial"/>
                <w:color w:val="000000" w:themeColor="text1"/>
                <w:lang w:val="es-ES" w:eastAsia="es-ES"/>
              </w:rPr>
              <w:t>1_2025_10_21_011760</w:t>
            </w:r>
          </w:p>
        </w:tc>
      </w:tr>
    </w:tbl>
    <w:p w14:paraId="23946036" w14:textId="77777777" w:rsidR="00ED10F8" w:rsidRPr="00FC6F34" w:rsidRDefault="00ED10F8" w:rsidP="00ED10F8">
      <w:pPr>
        <w:spacing w:after="0" w:line="276" w:lineRule="auto"/>
        <w:jc w:val="both"/>
        <w:rPr>
          <w:rFonts w:ascii="Verdana" w:eastAsia="Calibri" w:hAnsi="Verdana" w:cs="Arial"/>
          <w:color w:val="000000" w:themeColor="text1"/>
          <w:lang w:val="es-ES" w:eastAsia="es-ES"/>
        </w:rPr>
      </w:pPr>
    </w:p>
    <w:p w14:paraId="0E3BC53F" w14:textId="77777777" w:rsidR="00ED10F8" w:rsidRPr="00FC6F34" w:rsidRDefault="00ED10F8" w:rsidP="00ED10F8">
      <w:pPr>
        <w:spacing w:after="0" w:line="276" w:lineRule="auto"/>
        <w:jc w:val="both"/>
        <w:rPr>
          <w:rFonts w:ascii="Verdana" w:eastAsia="Calibri" w:hAnsi="Verdana" w:cs="Arial"/>
          <w:color w:val="000000" w:themeColor="text1"/>
          <w:lang w:val="es-ES" w:eastAsia="es-ES"/>
        </w:rPr>
      </w:pPr>
    </w:p>
    <w:p w14:paraId="260ABC42" w14:textId="77777777" w:rsidR="00ED10F8" w:rsidRPr="00FC6F34" w:rsidRDefault="00ED10F8" w:rsidP="00ED10F8">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 doctora Velandia</w:t>
      </w:r>
      <w:r w:rsidRPr="00FC6F34">
        <w:rPr>
          <w:rFonts w:ascii="Verdana" w:eastAsia="Calibri" w:hAnsi="Verdana" w:cs="Arial"/>
          <w:color w:val="000000" w:themeColor="text1"/>
          <w:lang w:val="es-ES" w:eastAsia="es-ES"/>
        </w:rPr>
        <w:t xml:space="preserve">: </w:t>
      </w:r>
    </w:p>
    <w:p w14:paraId="04E4F690" w14:textId="77777777" w:rsidR="00ED10F8" w:rsidRPr="00FC6F34" w:rsidRDefault="00ED10F8" w:rsidP="00ED10F8">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5ED3A9D5" w14:textId="77777777" w:rsidR="00ED10F8" w:rsidRPr="00FC6F34" w:rsidRDefault="00ED10F8" w:rsidP="00ED10F8">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21 </w:t>
      </w:r>
      <w:r w:rsidRPr="00FC6F34">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octubre </w:t>
      </w:r>
      <w:r w:rsidRPr="00FC6F34">
        <w:rPr>
          <w:rFonts w:ascii="Verdana" w:eastAsia="Calibri" w:hAnsi="Verdana" w:cs="Arial"/>
          <w:color w:val="000000" w:themeColor="text1"/>
          <w:lang w:val="es-ES" w:eastAsia="es-ES"/>
        </w:rPr>
        <w:t xml:space="preserve">de 2025, en la cual manifiesta lo siguiente: </w:t>
      </w:r>
    </w:p>
    <w:p w14:paraId="79274111" w14:textId="77777777" w:rsidR="00ED10F8" w:rsidRPr="00FC6F34" w:rsidRDefault="00ED10F8" w:rsidP="00ED10F8">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71F83092" w14:textId="77777777" w:rsidR="00ED10F8" w:rsidRPr="006546A7" w:rsidRDefault="00ED10F8" w:rsidP="00ED10F8">
      <w:pPr>
        <w:spacing w:before="120" w:after="120"/>
        <w:ind w:left="709" w:right="709"/>
        <w:contextualSpacing/>
        <w:jc w:val="both"/>
        <w:rPr>
          <w:rFonts w:ascii="Verdana" w:eastAsia="Century Gothic" w:hAnsi="Verdana" w:cs="Century Gothic"/>
          <w:i/>
          <w:color w:val="000000" w:themeColor="text1"/>
          <w:sz w:val="20"/>
          <w:szCs w:val="20"/>
        </w:rPr>
      </w:pPr>
      <w:r w:rsidRPr="00FC6F34">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w:t>
      </w:r>
      <w:r w:rsidRPr="00E84C4E">
        <w:rPr>
          <w:rFonts w:ascii="Verdana" w:eastAsia="Century Gothic" w:hAnsi="Verdana" w:cs="Century Gothic"/>
          <w:i/>
          <w:color w:val="000000" w:themeColor="text1"/>
          <w:sz w:val="20"/>
          <w:szCs w:val="20"/>
        </w:rPr>
        <w:t xml:space="preserve"> </w:t>
      </w:r>
      <w:r w:rsidRPr="006546A7">
        <w:rPr>
          <w:rFonts w:ascii="Verdana" w:eastAsia="Century Gothic" w:hAnsi="Verdana" w:cs="Century Gothic"/>
          <w:i/>
          <w:color w:val="000000" w:themeColor="text1"/>
          <w:sz w:val="20"/>
          <w:szCs w:val="20"/>
        </w:rPr>
        <w:t xml:space="preserve">1. ¿Aplica la restricción contemplada en el artículo 38 de la Ley 996 de 2005 a un acuerdo celebrado de manera directa entre el Ministerio de las Culturas, las Artes y los Saberes y la Escuela Taller de Cartagena? Teniendo en cuenta que: </w:t>
      </w:r>
    </w:p>
    <w:p w14:paraId="596C3392" w14:textId="77777777" w:rsidR="00ED10F8" w:rsidRPr="006546A7"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w:t>
      </w:r>
      <w:r w:rsidRPr="006546A7">
        <w:rPr>
          <w:rFonts w:ascii="Verdana" w:eastAsia="Century Gothic" w:hAnsi="Verdana" w:cs="Century Gothic"/>
          <w:i/>
          <w:color w:val="000000" w:themeColor="text1"/>
          <w:sz w:val="20"/>
          <w:szCs w:val="20"/>
        </w:rPr>
        <w:t xml:space="preserve">El acuerdo se celebraría dando aplicación al método de selección directa contenido en las Políticas para la Selección y Contratación de Consultores Financiados por el Banco Interamericano de Desarrollo; y </w:t>
      </w:r>
    </w:p>
    <w:p w14:paraId="27033C7C"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lastRenderedPageBreak/>
        <w:t>-</w:t>
      </w:r>
      <w:r w:rsidRPr="006546A7">
        <w:rPr>
          <w:rFonts w:ascii="Verdana" w:eastAsia="Century Gothic" w:hAnsi="Verdana" w:cs="Century Gothic"/>
          <w:i/>
          <w:color w:val="000000" w:themeColor="text1"/>
          <w:sz w:val="20"/>
          <w:szCs w:val="20"/>
        </w:rPr>
        <w:t>El 100% de los recursos que financiarán el acuerdo provienen de la Unión Europea (LAIF) y son administrados por el BID</w:t>
      </w:r>
    </w:p>
    <w:p w14:paraId="42342FB9" w14:textId="77777777" w:rsidR="00ED10F8" w:rsidRPr="006546A7"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sidRPr="006546A7">
        <w:rPr>
          <w:rFonts w:ascii="Verdana" w:eastAsia="Century Gothic" w:hAnsi="Verdana" w:cs="Century Gothic"/>
          <w:i/>
          <w:color w:val="000000" w:themeColor="text1"/>
          <w:sz w:val="20"/>
          <w:szCs w:val="20"/>
        </w:rPr>
        <w:t xml:space="preserve"> </w:t>
      </w:r>
    </w:p>
    <w:p w14:paraId="67179B67" w14:textId="77777777" w:rsidR="00ED10F8" w:rsidRPr="006546A7" w:rsidRDefault="00ED10F8" w:rsidP="00ED10F8">
      <w:pPr>
        <w:spacing w:before="120" w:after="120"/>
        <w:ind w:left="709" w:right="709"/>
        <w:contextualSpacing/>
        <w:jc w:val="both"/>
        <w:rPr>
          <w:rFonts w:ascii="Verdana" w:eastAsia="Century Gothic" w:hAnsi="Verdana" w:cs="Century Gothic"/>
          <w:i/>
          <w:color w:val="000000" w:themeColor="text1"/>
          <w:sz w:val="20"/>
          <w:szCs w:val="20"/>
        </w:rPr>
      </w:pPr>
      <w:r w:rsidRPr="006546A7">
        <w:rPr>
          <w:rFonts w:ascii="Verdana" w:eastAsia="Century Gothic" w:hAnsi="Verdana" w:cs="Century Gothic"/>
          <w:i/>
          <w:color w:val="000000" w:themeColor="text1"/>
          <w:sz w:val="20"/>
          <w:szCs w:val="20"/>
        </w:rPr>
        <w:t xml:space="preserve">2. ¿Aplica la restricción contemplada en el artículo 33 de la Ley 996 de 2005 a un acuerdo celebrado de manera directa entre el Ministerio de las Culturas, las Artes y los Saberes y la Escuela Taller de Cartagena? Teniendo en cuenta que: </w:t>
      </w:r>
    </w:p>
    <w:p w14:paraId="0FB1BE66" w14:textId="77777777" w:rsidR="00ED10F8" w:rsidRPr="006546A7"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w:t>
      </w:r>
      <w:r w:rsidRPr="006546A7">
        <w:rPr>
          <w:rFonts w:ascii="Verdana" w:eastAsia="Century Gothic" w:hAnsi="Verdana" w:cs="Century Gothic"/>
          <w:i/>
          <w:color w:val="000000" w:themeColor="text1"/>
          <w:sz w:val="20"/>
          <w:szCs w:val="20"/>
        </w:rPr>
        <w:t xml:space="preserve">El acuerdo se celebraría dando aplicación al método de selección directa contenido en las Políticas para la Selección y Contratación de Consultores Financiados por el Banco Interamericano de Desarrollo; y </w:t>
      </w:r>
    </w:p>
    <w:p w14:paraId="30E20BD3"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w:t>
      </w:r>
      <w:r w:rsidRPr="006546A7">
        <w:rPr>
          <w:rFonts w:ascii="Verdana" w:eastAsia="Century Gothic" w:hAnsi="Verdana" w:cs="Century Gothic"/>
          <w:i/>
          <w:color w:val="000000" w:themeColor="text1"/>
          <w:sz w:val="20"/>
          <w:szCs w:val="20"/>
        </w:rPr>
        <w:t xml:space="preserve">El 100% de los recursos que financiarán el acuerdo provienen de la Unión Europea (LAIF) y son administrados por el BID </w:t>
      </w:r>
    </w:p>
    <w:p w14:paraId="6AEC5D0A"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p>
    <w:p w14:paraId="08BA3C1A"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3</w:t>
      </w:r>
      <w:r w:rsidRPr="006546A7">
        <w:rPr>
          <w:rFonts w:ascii="Verdana" w:eastAsia="Century Gothic" w:hAnsi="Verdana" w:cs="Century Gothic"/>
          <w:i/>
          <w:color w:val="000000" w:themeColor="text1"/>
          <w:sz w:val="20"/>
          <w:szCs w:val="20"/>
        </w:rPr>
        <w:t xml:space="preserve">.¿Son aplicables las prohibiciones del artículo 38 de la Ley 996 de 2005 a los contratos o convenios derivados, suscritos entre entidades públicas de orden territorial con ocasión de recursos recibidos a través de convenios de cooperación internacional a título de financiamiento no reembolsable para inversión? </w:t>
      </w:r>
    </w:p>
    <w:p w14:paraId="6BA06179"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p>
    <w:p w14:paraId="02C8495C" w14:textId="77777777" w:rsidR="00ED10F8"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r>
        <w:rPr>
          <w:rFonts w:ascii="Verdana" w:eastAsia="Century Gothic" w:hAnsi="Verdana" w:cs="Century Gothic"/>
          <w:i/>
          <w:color w:val="000000" w:themeColor="text1"/>
          <w:sz w:val="20"/>
          <w:szCs w:val="20"/>
        </w:rPr>
        <w:t xml:space="preserve">4. </w:t>
      </w:r>
      <w:r w:rsidRPr="006546A7">
        <w:rPr>
          <w:rFonts w:ascii="Verdana" w:eastAsia="Century Gothic" w:hAnsi="Verdana" w:cs="Century Gothic"/>
          <w:i/>
          <w:color w:val="000000" w:themeColor="text1"/>
          <w:sz w:val="20"/>
          <w:szCs w:val="20"/>
        </w:rPr>
        <w:t>¿Son aplicables las prohibiciones del artículo 33 de la Ley 996 de 2005 a los contratos o convenios derivados, suscritos entre entidades públicas de orden nacional y territorial con ocasión de recursos recibidos a través de convenios de cooperación internacional a título de financiamiento no reembolsable para inversión?</w:t>
      </w:r>
      <w:r>
        <w:rPr>
          <w:rFonts w:ascii="Verdana" w:eastAsia="Century Gothic" w:hAnsi="Verdana" w:cs="Century Gothic"/>
          <w:i/>
          <w:color w:val="000000" w:themeColor="text1"/>
          <w:sz w:val="20"/>
          <w:szCs w:val="20"/>
        </w:rPr>
        <w:t>”</w:t>
      </w:r>
    </w:p>
    <w:p w14:paraId="58B2FF33" w14:textId="77777777" w:rsidR="00ED10F8" w:rsidRPr="00AF0056" w:rsidRDefault="00ED10F8" w:rsidP="00ED10F8">
      <w:pPr>
        <w:spacing w:before="120" w:after="120"/>
        <w:ind w:left="720" w:right="709"/>
        <w:contextualSpacing/>
        <w:jc w:val="both"/>
        <w:rPr>
          <w:rFonts w:ascii="Verdana" w:eastAsia="Century Gothic" w:hAnsi="Verdana" w:cs="Century Gothic"/>
          <w:i/>
          <w:color w:val="000000" w:themeColor="text1"/>
          <w:sz w:val="20"/>
          <w:szCs w:val="20"/>
        </w:rPr>
      </w:pPr>
    </w:p>
    <w:p w14:paraId="65F52AE2" w14:textId="77777777" w:rsidR="00ED10F8" w:rsidRPr="00FC6F34" w:rsidRDefault="00ED10F8" w:rsidP="00ED10F8">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097B0B67" w14:textId="77777777" w:rsidR="00ED10F8" w:rsidRPr="00FC6F34" w:rsidRDefault="00ED10F8" w:rsidP="00ED10F8">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w:t>
      </w:r>
      <w:r w:rsidRPr="00FC6F34">
        <w:rPr>
          <w:rFonts w:ascii="Verdana" w:eastAsia="Calibri" w:hAnsi="Verdana" w:cs="Arial"/>
          <w:color w:val="000000" w:themeColor="text1"/>
          <w:lang w:val="es-ES" w:eastAsia="es-ES"/>
        </w:rPr>
        <w:lastRenderedPageBreak/>
        <w:t xml:space="preserve">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el</w:t>
      </w:r>
      <w:r w:rsidRPr="00FC6F34">
        <w:rPr>
          <w:rFonts w:ascii="Verdana" w:eastAsia="Calibri" w:hAnsi="Verdana" w:cs="Arial"/>
          <w:color w:val="000000" w:themeColor="text1"/>
          <w:lang w:val="es-ES" w:eastAsia="es-ES"/>
        </w:rPr>
        <w:t xml:space="preserve"> problema jurídico de su consulta. </w:t>
      </w:r>
    </w:p>
    <w:p w14:paraId="50712617" w14:textId="77777777" w:rsidR="00ED10F8" w:rsidRPr="00FC6F34" w:rsidRDefault="00ED10F8" w:rsidP="00ED10F8">
      <w:pPr>
        <w:spacing w:after="0" w:line="276" w:lineRule="auto"/>
        <w:ind w:firstLine="709"/>
        <w:jc w:val="both"/>
        <w:rPr>
          <w:rFonts w:ascii="Verdana" w:eastAsia="Calibri" w:hAnsi="Verdana" w:cs="Arial"/>
          <w:color w:val="000000" w:themeColor="text1"/>
          <w:lang w:val="es-ES" w:eastAsia="es-ES"/>
        </w:rPr>
      </w:pPr>
    </w:p>
    <w:p w14:paraId="1FCF18A0" w14:textId="77777777" w:rsidR="00ED10F8" w:rsidRPr="00FC6F34" w:rsidRDefault="00ED10F8" w:rsidP="00ED10F8">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66F0648D" w14:textId="77777777" w:rsidR="00ED10F8" w:rsidRPr="00FC6F34" w:rsidRDefault="00ED10F8" w:rsidP="00ED10F8">
      <w:pPr>
        <w:tabs>
          <w:tab w:val="left" w:pos="426"/>
        </w:tabs>
        <w:spacing w:after="0" w:line="276" w:lineRule="auto"/>
        <w:jc w:val="both"/>
        <w:rPr>
          <w:rFonts w:ascii="Verdana" w:eastAsia="Century Gothic" w:hAnsi="Verdana" w:cs="Century Gothic"/>
          <w:color w:val="000000" w:themeColor="text1"/>
          <w:lang w:val="es-ES"/>
        </w:rPr>
      </w:pPr>
    </w:p>
    <w:p w14:paraId="2F4E586E" w14:textId="5A712DDB" w:rsidR="00ED10F8" w:rsidRPr="00FC6F34" w:rsidRDefault="00ED10F8" w:rsidP="00ED10F8">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sidR="00537B1F">
        <w:rPr>
          <w:rFonts w:ascii="Verdana" w:eastAsia="Century Gothic" w:hAnsi="Verdana" w:cs="Century Gothic"/>
          <w:color w:val="000000" w:themeColor="text1"/>
          <w:lang w:val="es-ES"/>
        </w:rPr>
        <w:t>el</w:t>
      </w:r>
      <w:r w:rsidRPr="00FC6F34">
        <w:rPr>
          <w:rFonts w:ascii="Verdana" w:eastAsia="Century Gothic" w:hAnsi="Verdana" w:cs="Century Gothic"/>
          <w:color w:val="000000" w:themeColor="text1"/>
          <w:lang w:val="es-ES"/>
        </w:rPr>
        <w:t xml:space="preserve"> siguiente problema jurídico:</w:t>
      </w:r>
      <w:r w:rsidRPr="00AF0056">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¿Cuál es el ámbito de aplicación de las restricciones de la Ley de Garantías Electorales a los contratos o convenios financiados por </w:t>
      </w:r>
      <w:r w:rsidRPr="00E84C4E">
        <w:rPr>
          <w:rFonts w:ascii="Verdana" w:eastAsia="Century Gothic" w:hAnsi="Verdana" w:cs="Century Gothic"/>
          <w:color w:val="000000" w:themeColor="text1"/>
          <w:lang w:val="es-ES"/>
        </w:rPr>
        <w:t>organismos</w:t>
      </w:r>
      <w:r>
        <w:rPr>
          <w:rFonts w:ascii="Verdana" w:eastAsia="Century Gothic" w:hAnsi="Verdana" w:cs="Century Gothic"/>
          <w:color w:val="000000" w:themeColor="text1"/>
          <w:lang w:val="es-ES"/>
        </w:rPr>
        <w:t xml:space="preserve"> </w:t>
      </w:r>
      <w:r w:rsidRPr="00E84C4E">
        <w:rPr>
          <w:rFonts w:ascii="Verdana" w:eastAsia="Century Gothic" w:hAnsi="Verdana" w:cs="Century Gothic"/>
          <w:color w:val="000000" w:themeColor="text1"/>
          <w:lang w:val="es-ES"/>
        </w:rPr>
        <w:t>multilaterales de crédito?</w:t>
      </w:r>
    </w:p>
    <w:p w14:paraId="6BA33A51" w14:textId="77777777" w:rsidR="00ED10F8" w:rsidRPr="00FC6F34" w:rsidRDefault="00ED10F8" w:rsidP="00ED10F8">
      <w:pPr>
        <w:spacing w:after="0" w:line="276" w:lineRule="auto"/>
        <w:jc w:val="both"/>
        <w:rPr>
          <w:rFonts w:ascii="Verdana" w:eastAsia="Calibri" w:hAnsi="Verdana" w:cs="Arial"/>
          <w:color w:val="000000" w:themeColor="text1"/>
          <w:lang w:val="es-ES"/>
        </w:rPr>
      </w:pPr>
    </w:p>
    <w:p w14:paraId="700124C4"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76EC7068"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D10F8" w:rsidRPr="00FC6F34" w14:paraId="265FFFF4" w14:textId="77777777">
        <w:tc>
          <w:tcPr>
            <w:tcW w:w="8828" w:type="dxa"/>
          </w:tcPr>
          <w:p w14:paraId="233E71F1" w14:textId="28A65540" w:rsidR="00ED10F8" w:rsidRDefault="00582D72" w:rsidP="00582D72">
            <w:pPr>
              <w:spacing w:before="120" w:after="120" w:line="276" w:lineRule="auto"/>
              <w:jc w:val="both"/>
              <w:rPr>
                <w:rFonts w:ascii="Verdana" w:eastAsia="Times New Roman" w:hAnsi="Verdana" w:cs="Arial"/>
                <w:lang w:val="es-MX" w:eastAsia="x-none"/>
              </w:rPr>
            </w:pPr>
            <w:r>
              <w:rPr>
                <w:rFonts w:ascii="Verdana" w:eastAsia="Times New Roman" w:hAnsi="Verdana" w:cs="Arial"/>
                <w:lang w:val="es-MX" w:eastAsia="x-none"/>
              </w:rPr>
              <w:t>E</w:t>
            </w:r>
            <w:r w:rsidR="00ED10F8" w:rsidRPr="00B73308">
              <w:rPr>
                <w:rFonts w:ascii="Verdana" w:eastAsia="Times New Roman" w:hAnsi="Verdana" w:cs="Arial"/>
                <w:lang w:val="es-MX" w:eastAsia="x-none"/>
              </w:rPr>
              <w:t xml:space="preserve">l </w:t>
            </w:r>
            <w:r w:rsidR="00ED10F8" w:rsidRPr="00DF1455">
              <w:rPr>
                <w:rFonts w:ascii="Verdana" w:eastAsia="Times New Roman" w:hAnsi="Verdana" w:cs="Arial"/>
                <w:i/>
                <w:iCs/>
                <w:lang w:val="es-MX" w:eastAsia="x-none"/>
              </w:rPr>
              <w:t>inciso primero</w:t>
            </w:r>
            <w:r w:rsidR="00ED10F8" w:rsidRPr="00B73308">
              <w:rPr>
                <w:rFonts w:ascii="Verdana" w:eastAsia="Times New Roman" w:hAnsi="Verdana" w:cs="Arial"/>
                <w:lang w:val="es-MX" w:eastAsia="x-none"/>
              </w:rPr>
              <w:t xml:space="preserve"> del artículo 20 de la Ley 1150 de 2007 establece que</w:t>
            </w:r>
            <w:r w:rsidR="00ED10F8">
              <w:rPr>
                <w:rFonts w:ascii="Verdana" w:eastAsia="Times New Roman" w:hAnsi="Verdana" w:cs="Arial"/>
                <w:lang w:val="es-MX" w:eastAsia="x-none"/>
              </w:rPr>
              <w:t xml:space="preserve"> los </w:t>
            </w:r>
            <w:r w:rsidR="00ED10F8" w:rsidRPr="00B73308">
              <w:rPr>
                <w:rFonts w:ascii="Verdana" w:eastAsia="Times New Roman" w:hAnsi="Verdana" w:cs="Arial"/>
                <w:lang w:val="es-MX" w:eastAsia="x-none"/>
              </w:rPr>
              <w:t xml:space="preserve">contratos </w:t>
            </w:r>
            <w:r w:rsidR="00ED10F8">
              <w:rPr>
                <w:rFonts w:ascii="Verdana" w:eastAsia="Times New Roman" w:hAnsi="Verdana" w:cs="Arial"/>
                <w:lang w:val="es-MX" w:eastAsia="x-none"/>
              </w:rPr>
              <w:t xml:space="preserve">o convenios </w:t>
            </w:r>
            <w:r w:rsidR="00ED10F8" w:rsidRPr="00B73308">
              <w:rPr>
                <w:rFonts w:ascii="Verdana" w:eastAsia="Times New Roman" w:hAnsi="Verdana" w:cs="Arial"/>
                <w:lang w:val="es-MX" w:eastAsia="x-none"/>
              </w:rPr>
              <w:t>se financi</w:t>
            </w:r>
            <w:r w:rsidR="00ED10F8">
              <w:rPr>
                <w:rFonts w:ascii="Verdana" w:eastAsia="Times New Roman" w:hAnsi="Verdana" w:cs="Arial"/>
                <w:lang w:val="es-MX" w:eastAsia="x-none"/>
              </w:rPr>
              <w:t>e</w:t>
            </w:r>
            <w:r w:rsidR="00ED10F8" w:rsidRPr="00B73308">
              <w:rPr>
                <w:rFonts w:ascii="Verdana" w:eastAsia="Times New Roman" w:hAnsi="Verdana" w:cs="Arial"/>
                <w:lang w:val="es-MX" w:eastAsia="x-none"/>
              </w:rPr>
              <w:t xml:space="preserve">n en su totalidad o en sumas iguales o superiores al cincuenta por ciento con fondos de </w:t>
            </w:r>
            <w:r w:rsidR="00ED10F8">
              <w:rPr>
                <w:rFonts w:ascii="Verdana" w:eastAsia="Times New Roman" w:hAnsi="Verdana" w:cs="Arial"/>
                <w:lang w:val="es-MX" w:eastAsia="x-none"/>
              </w:rPr>
              <w:t>dichos</w:t>
            </w:r>
            <w:r w:rsidR="00ED10F8" w:rsidRPr="00B73308">
              <w:rPr>
                <w:rFonts w:ascii="Verdana" w:eastAsia="Times New Roman" w:hAnsi="Verdana" w:cs="Arial"/>
                <w:lang w:val="es-MX" w:eastAsia="x-none"/>
              </w:rPr>
              <w:t xml:space="preserve"> organismos, </w:t>
            </w:r>
            <w:r w:rsidR="00ED10F8" w:rsidRPr="00DF1455">
              <w:rPr>
                <w:rFonts w:ascii="Verdana" w:eastAsia="Times New Roman" w:hAnsi="Verdana" w:cs="Arial"/>
                <w:i/>
                <w:iCs/>
                <w:lang w:val="es-MX" w:eastAsia="x-none"/>
              </w:rPr>
              <w:t>pueden</w:t>
            </w:r>
            <w:r w:rsidR="00ED10F8" w:rsidRPr="00B73308">
              <w:rPr>
                <w:rFonts w:ascii="Verdana" w:eastAsia="Times New Roman" w:hAnsi="Verdana" w:cs="Arial"/>
                <w:lang w:val="es-MX" w:eastAsia="x-none"/>
              </w:rPr>
              <w:t xml:space="preserve"> someterse a</w:t>
            </w:r>
            <w:r w:rsidR="00ED10F8">
              <w:rPr>
                <w:rFonts w:ascii="Verdana" w:eastAsia="Times New Roman" w:hAnsi="Verdana" w:cs="Arial"/>
                <w:lang w:val="es-MX" w:eastAsia="x-none"/>
              </w:rPr>
              <w:t xml:space="preserve"> sus reglamentos</w:t>
            </w:r>
            <w:r w:rsidR="00ED10F8" w:rsidRPr="00B73308">
              <w:rPr>
                <w:rFonts w:ascii="Verdana" w:eastAsia="Times New Roman" w:hAnsi="Verdana" w:cs="Arial"/>
                <w:lang w:val="es-MX" w:eastAsia="x-none"/>
              </w:rPr>
              <w:t>.</w:t>
            </w:r>
            <w:r w:rsidR="00ED10F8">
              <w:rPr>
                <w:rFonts w:ascii="Verdana" w:eastAsia="Times New Roman" w:hAnsi="Verdana" w:cs="Arial"/>
                <w:lang w:val="es-MX" w:eastAsia="x-none"/>
              </w:rPr>
              <w:t xml:space="preserve"> Por el contrario</w:t>
            </w:r>
            <w:r w:rsidR="00ED10F8" w:rsidRPr="00B73308">
              <w:rPr>
                <w:rFonts w:ascii="Verdana" w:eastAsia="Times New Roman" w:hAnsi="Verdana" w:cs="Arial"/>
                <w:lang w:val="es-MX" w:eastAsia="x-none"/>
              </w:rPr>
              <w:t>,</w:t>
            </w:r>
            <w:r w:rsidR="00ED10F8">
              <w:rPr>
                <w:rFonts w:ascii="Verdana" w:eastAsia="Times New Roman" w:hAnsi="Verdana" w:cs="Arial"/>
                <w:lang w:val="es-MX" w:eastAsia="x-none"/>
              </w:rPr>
              <w:t xml:space="preserve"> </w:t>
            </w:r>
            <w:r w:rsidR="00ED10F8" w:rsidRPr="00B73308">
              <w:rPr>
                <w:rFonts w:ascii="Verdana" w:eastAsia="Times New Roman" w:hAnsi="Verdana" w:cs="Arial"/>
                <w:lang w:val="es-MX" w:eastAsia="x-none"/>
              </w:rPr>
              <w:t xml:space="preserve">cuando se trate de contratos que se financian con recursos del presupuesto general de la nación, </w:t>
            </w:r>
            <w:r w:rsidR="00ED10F8">
              <w:rPr>
                <w:rFonts w:ascii="Verdana" w:eastAsia="Times New Roman" w:hAnsi="Verdana" w:cs="Arial"/>
                <w:lang w:val="es-MX" w:eastAsia="x-none"/>
              </w:rPr>
              <w:t xml:space="preserve">las entidades </w:t>
            </w:r>
            <w:r w:rsidR="00ED10F8" w:rsidRPr="00F66EEE">
              <w:rPr>
                <w:rFonts w:ascii="Verdana" w:eastAsia="Times New Roman" w:hAnsi="Verdana" w:cs="Arial"/>
                <w:i/>
                <w:iCs/>
                <w:lang w:val="es-MX" w:eastAsia="x-none"/>
              </w:rPr>
              <w:t>deberán</w:t>
            </w:r>
            <w:r w:rsidR="00ED10F8">
              <w:rPr>
                <w:rFonts w:ascii="Verdana" w:eastAsia="Times New Roman" w:hAnsi="Verdana" w:cs="Arial"/>
                <w:lang w:val="es-MX" w:eastAsia="x-none"/>
              </w:rPr>
              <w:t xml:space="preserve"> necesariamente </w:t>
            </w:r>
            <w:r w:rsidR="00ED10F8" w:rsidRPr="00B73308">
              <w:rPr>
                <w:rFonts w:ascii="Verdana" w:eastAsia="Times New Roman" w:hAnsi="Verdana" w:cs="Arial"/>
                <w:lang w:val="es-MX" w:eastAsia="x-none"/>
              </w:rPr>
              <w:t>aplicar el Estatuto General de Contratación</w:t>
            </w:r>
            <w:r w:rsidR="00ED10F8">
              <w:rPr>
                <w:rFonts w:ascii="Verdana" w:eastAsia="Times New Roman" w:hAnsi="Verdana" w:cs="Arial"/>
                <w:lang w:val="es-MX" w:eastAsia="x-none"/>
              </w:rPr>
              <w:t xml:space="preserve"> de la Administración</w:t>
            </w:r>
            <w:r w:rsidR="00ED10F8" w:rsidRPr="00B73308">
              <w:rPr>
                <w:rFonts w:ascii="Verdana" w:eastAsia="Times New Roman" w:hAnsi="Verdana" w:cs="Arial"/>
                <w:lang w:val="es-MX" w:eastAsia="x-none"/>
              </w:rPr>
              <w:t xml:space="preserve"> Pública.</w:t>
            </w:r>
          </w:p>
          <w:p w14:paraId="2DA5DF9A" w14:textId="77777777" w:rsidR="00ED10F8" w:rsidRDefault="00ED10F8">
            <w:pPr>
              <w:spacing w:before="12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xml:space="preserve">, la restricción contemplada en </w:t>
            </w:r>
            <w:r>
              <w:rPr>
                <w:rFonts w:ascii="Verdana" w:eastAsia="Times New Roman" w:hAnsi="Verdana" w:cs="Arial"/>
                <w:lang w:val="es-MX"/>
              </w:rPr>
              <w:t>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 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Pr>
                <w:rFonts w:ascii="Verdana" w:eastAsia="Times New Roman" w:hAnsi="Verdana" w:cs="Arial"/>
                <w:lang w:val="es-MX"/>
              </w:rPr>
              <w:t xml:space="preserve"> </w:t>
            </w:r>
          </w:p>
          <w:p w14:paraId="4F7FE180" w14:textId="77777777" w:rsidR="00ED10F8" w:rsidRPr="005C6C4D" w:rsidRDefault="00ED10F8">
            <w:pPr>
              <w:spacing w:before="120" w:line="276" w:lineRule="auto"/>
              <w:ind w:firstLine="694"/>
              <w:jc w:val="both"/>
              <w:rPr>
                <w:rFonts w:ascii="Verdana" w:eastAsia="Times New Roman" w:hAnsi="Verdana" w:cs="Arial"/>
                <w:lang w:val="es-MX"/>
              </w:rPr>
            </w:pPr>
            <w:r w:rsidRPr="005C6C4D">
              <w:rPr>
                <w:rFonts w:ascii="Verdana" w:eastAsia="Times New Roman" w:hAnsi="Verdana" w:cs="Arial"/>
                <w:lang w:val="es-MX"/>
              </w:rPr>
              <w:t xml:space="preserve">Por otra parte, </w:t>
            </w:r>
            <w:r w:rsidRPr="005C6C4D">
              <w:rPr>
                <w:rFonts w:ascii="Verdana" w:eastAsia="Calibri" w:hAnsi="Verdana" w:cs="Arial"/>
                <w:lang w:val="es-ES"/>
              </w:rPr>
              <w:t xml:space="preserve">el </w:t>
            </w:r>
            <w:r w:rsidRPr="005C6C4D">
              <w:rPr>
                <w:rFonts w:ascii="Verdana" w:eastAsia="Calibri" w:hAnsi="Verdana" w:cs="Arial"/>
                <w:i/>
                <w:iCs/>
                <w:lang w:val="es-ES"/>
              </w:rPr>
              <w:t>inciso segundo</w:t>
            </w:r>
            <w:r w:rsidRPr="005C6C4D">
              <w:rPr>
                <w:rFonts w:ascii="Verdana" w:eastAsia="Calibri" w:hAnsi="Verdana" w:cs="Arial"/>
                <w:lang w:val="es-ES"/>
              </w:rPr>
              <w:t xml:space="preserve"> y el parágrafo primero </w:t>
            </w:r>
            <w:r w:rsidRPr="005C6C4D">
              <w:rPr>
                <w:rFonts w:ascii="Verdana" w:eastAsia="Times New Roman" w:hAnsi="Verdana" w:cs="Arial"/>
                <w:lang w:val="es-MX" w:eastAsia="x-none"/>
              </w:rPr>
              <w:t>del artículo 20 de la Ley 1150 de 2007 señalan que</w:t>
            </w:r>
            <w:r w:rsidRPr="006B249E">
              <w:rPr>
                <w:rFonts w:ascii="Verdana" w:eastAsia="Times New Roman" w:hAnsi="Verdana" w:cs="Arial"/>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w:t>
            </w:r>
            <w:r w:rsidRPr="005C6C4D">
              <w:rPr>
                <w:rFonts w:ascii="Verdana" w:eastAsia="Times New Roman" w:hAnsi="Verdana" w:cs="Arial"/>
                <w:lang w:eastAsia="x-none"/>
              </w:rPr>
              <w:t xml:space="preserve">que se ejecuten en desarrollo del sistema integrado de monitoreo de cultivos ilícitos; contratos y convenios para la operación del programa mundial de alimentos; contratos y convenios para </w:t>
            </w:r>
            <w:r w:rsidRPr="005C6C4D">
              <w:rPr>
                <w:rFonts w:ascii="Verdana" w:eastAsia="Times New Roman" w:hAnsi="Verdana" w:cs="Arial"/>
                <w:lang w:eastAsia="x-none"/>
              </w:rPr>
              <w:lastRenderedPageBreak/>
              <w:t xml:space="preserve">el desarrollo de programas de apoyo educativo a población desplazada y vulnerable adelantados por la Unesco y la OIM; los contratos o convenios financiados con </w:t>
            </w:r>
            <w:r w:rsidRPr="005C6C4D">
              <w:rPr>
                <w:rFonts w:ascii="Verdana" w:eastAsia="Times New Roman" w:hAnsi="Verdana" w:cs="Arial"/>
                <w:i/>
                <w:iCs/>
                <w:lang w:eastAsia="x-none"/>
              </w:rPr>
              <w:t>fondos de los organismos multilaterales de crédito</w:t>
            </w:r>
            <w:r w:rsidRPr="005C6C4D">
              <w:rPr>
                <w:rFonts w:ascii="Verdana" w:eastAsia="Times New Roman" w:hAnsi="Verdana" w:cs="Arial"/>
                <w:lang w:eastAsia="x-none"/>
              </w:rPr>
              <w:t xml:space="preserve"> y entes gubernamentales extranjeros, podrán someterse a los reglamentos de tales entidades. De igual manera, los contratos o acuerdos celebrados con personas extranjeras de derecho público, podrán someterse a las reglas de tales organismos.</w:t>
            </w:r>
          </w:p>
          <w:p w14:paraId="77FABB12" w14:textId="77777777" w:rsidR="00ED10F8" w:rsidRPr="00FF364F" w:rsidRDefault="00ED10F8">
            <w:pPr>
              <w:spacing w:before="120" w:line="276" w:lineRule="auto"/>
              <w:ind w:firstLine="694"/>
              <w:jc w:val="both"/>
              <w:rPr>
                <w:rFonts w:ascii="Verdana" w:hAnsi="Verdana" w:cs="Arial"/>
                <w:lang w:val="es-ES"/>
              </w:rPr>
            </w:pPr>
            <w:r w:rsidRPr="00E92347">
              <w:rPr>
                <w:rFonts w:ascii="Verdana" w:eastAsia="Times New Roman" w:hAnsi="Verdana" w:cs="Arial"/>
                <w:lang w:val="es-MX"/>
              </w:rPr>
              <w:t xml:space="preserve">En línea con lo </w:t>
            </w:r>
            <w:r w:rsidRPr="00E92347">
              <w:rPr>
                <w:rFonts w:ascii="Verdana" w:hAnsi="Verdana" w:cs="Arial"/>
                <w:lang w:val="es-ES"/>
              </w:rPr>
              <w:t xml:space="preserve">anterior, el artículo 2.2.1.2.4.4.1. del Decreto 1082 de 2015 establece que </w:t>
            </w:r>
            <w:r w:rsidRPr="00E92347">
              <w:rPr>
                <w:rFonts w:ascii="Verdana" w:hAnsi="Verdana" w:cs="Arial"/>
              </w:rPr>
              <w:t>los contratos o convenios financiados con fondos de los organismos multilaterales de crédito, entes gubernamentales extranjeros o personas extranjeras de</w:t>
            </w:r>
            <w:r w:rsidRPr="00FF364F">
              <w:rPr>
                <w:rFonts w:ascii="Verdana" w:hAnsi="Verdana" w:cs="Arial"/>
              </w:rPr>
              <w:t xml:space="preserv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68E79DFE" w14:textId="77777777" w:rsidR="00ED10F8" w:rsidRDefault="00ED10F8">
            <w:pPr>
              <w:spacing w:before="12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w:t>
            </w:r>
            <w:r>
              <w:rPr>
                <w:rFonts w:ascii="Verdana" w:eastAsia="Times New Roman" w:hAnsi="Verdana" w:cs="Arial"/>
                <w:lang w:val="es-MX"/>
              </w:rPr>
              <w:t>la Ley de Garantías Electorales tampoco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18A50E3D" w14:textId="77777777" w:rsidR="00ED10F8" w:rsidRDefault="00ED10F8">
            <w:pPr>
              <w:spacing w:after="120" w:line="276" w:lineRule="auto"/>
              <w:ind w:firstLine="735"/>
              <w:jc w:val="both"/>
              <w:rPr>
                <w:rFonts w:ascii="Verdana" w:hAnsi="Verdana" w:cs="Arial"/>
                <w:color w:val="000000" w:themeColor="text1"/>
                <w:lang w:val="es-ES"/>
              </w:rPr>
            </w:pPr>
            <w:r>
              <w:rPr>
                <w:rFonts w:ascii="Verdana" w:eastAsia="Calibri" w:hAnsi="Verdana" w:cs="Arial"/>
                <w:lang w:val="es-ES"/>
              </w:rPr>
              <w:t>Por otra parte, d</w:t>
            </w:r>
            <w:r w:rsidRPr="001B5B78">
              <w:rPr>
                <w:rFonts w:ascii="Verdana" w:eastAsia="Calibri" w:hAnsi="Verdana" w:cs="Arial"/>
                <w:lang w:val="es-ES"/>
              </w:rPr>
              <w:t>ebido a que</w:t>
            </w:r>
            <w:r w:rsidRPr="001B5B78">
              <w:rPr>
                <w:rFonts w:ascii="Verdana" w:hAnsi="Verdana" w:cs="Arial"/>
                <w:color w:val="000000" w:themeColor="text1"/>
                <w:lang w:val="es-ES"/>
              </w:rPr>
              <w:t xml:space="preserve"> el legislador no distinguió los aspectos sobre los cuales es factible aplicar los reglamentos de</w:t>
            </w:r>
            <w:r>
              <w:rPr>
                <w:rFonts w:ascii="Verdana" w:hAnsi="Verdana" w:cs="Arial"/>
                <w:color w:val="000000" w:themeColor="text1"/>
                <w:lang w:val="es-ES"/>
              </w:rPr>
              <w:t xml:space="preserve"> los organismos internacionales</w:t>
            </w:r>
            <w:r w:rsidRPr="001B5B78">
              <w:rPr>
                <w:rFonts w:ascii="Verdana" w:hAnsi="Verdana" w:cs="Arial"/>
                <w:color w:val="000000" w:themeColor="text1"/>
                <w:lang w:val="es-ES"/>
              </w:rPr>
              <w:t xml:space="preserve">, debe entenderse que dentro de la remisión cabe el procedimiento de celebración y todo lo relacionado con la ejecución del contrato o convenio. Esto significa que las Entidades Estatales pueden </w:t>
            </w:r>
            <w:r>
              <w:rPr>
                <w:rFonts w:ascii="Verdana" w:hAnsi="Verdana" w:cs="Arial"/>
                <w:color w:val="000000" w:themeColor="text1"/>
                <w:lang w:val="es-ES"/>
              </w:rPr>
              <w:t>pactar que la celebración de contratos derivados</w:t>
            </w:r>
            <w:r w:rsidRPr="001B5B78">
              <w:rPr>
                <w:rFonts w:ascii="Verdana" w:hAnsi="Verdana" w:cs="Arial"/>
                <w:color w:val="000000" w:themeColor="text1"/>
                <w:lang w:val="es-ES"/>
              </w:rPr>
              <w:t xml:space="preserve"> </w:t>
            </w:r>
            <w:r>
              <w:rPr>
                <w:rFonts w:ascii="Verdana" w:hAnsi="Verdana" w:cs="Arial"/>
                <w:color w:val="000000" w:themeColor="text1"/>
                <w:lang w:val="es-ES"/>
              </w:rPr>
              <w:t xml:space="preserve">siga </w:t>
            </w:r>
            <w:r w:rsidRPr="001B5B78">
              <w:rPr>
                <w:rFonts w:ascii="Verdana" w:hAnsi="Verdana" w:cs="Arial"/>
                <w:color w:val="000000" w:themeColor="text1"/>
                <w:lang w:val="es-ES"/>
              </w:rPr>
              <w:t xml:space="preserve">los procedimientos establecidos en los reglamentos de los organismos internacionales a los que alude el citado artículo 20 y no los previstos en el EGCAP. </w:t>
            </w:r>
          </w:p>
          <w:p w14:paraId="0F200265" w14:textId="77777777" w:rsidR="00ED10F8" w:rsidRDefault="00ED10F8">
            <w:pPr>
              <w:spacing w:after="120" w:line="276" w:lineRule="auto"/>
              <w:ind w:firstLine="708"/>
              <w:jc w:val="both"/>
              <w:rPr>
                <w:rFonts w:ascii="Verdana" w:eastAsia="Calibri" w:hAnsi="Verdana" w:cs="Arial"/>
                <w:lang w:val="es-ES"/>
              </w:rPr>
            </w:pPr>
            <w:r>
              <w:rPr>
                <w:rFonts w:ascii="Verdana" w:hAnsi="Verdana" w:cs="Arial"/>
                <w:color w:val="000000" w:themeColor="text1"/>
                <w:lang w:val="es-ES"/>
              </w:rPr>
              <w:t xml:space="preserve">En efecto, cuando se configure alguno de los supuestos establecidos en el artículo 20 de la Ley 1150 de 2007 que permiten que las Entidades Estatales pacten con los organismos internacionales la aplicación de sus reglamentos, el convenio o contrato podrá incluir cláusulas específicas mediante las cuales </w:t>
            </w:r>
            <w:r>
              <w:rPr>
                <w:rFonts w:ascii="Verdana" w:hAnsi="Verdana" w:cs="Arial"/>
                <w:color w:val="000000" w:themeColor="text1"/>
                <w:lang w:val="es-ES"/>
              </w:rPr>
              <w:lastRenderedPageBreak/>
              <w:t xml:space="preserve">se determine el régimen aplicable a los contratos derivados que se celebren para la ejecución del acuerdo “principal”. Por ejemplo, cuando las entidades sometidas al EGCAP celebren un acuerdo con un </w:t>
            </w:r>
            <w:r w:rsidRPr="001B5B78">
              <w:rPr>
                <w:rFonts w:ascii="Verdana" w:eastAsia="Calibri" w:hAnsi="Verdana" w:cs="Arial"/>
                <w:i/>
                <w:iCs/>
                <w:lang w:val="es-ES"/>
              </w:rPr>
              <w:t>organismo de cooperación, asistencia o ayuda internacional</w:t>
            </w:r>
            <w:r w:rsidRPr="001B5B78">
              <w:rPr>
                <w:rFonts w:ascii="Verdana" w:eastAsia="Calibri" w:hAnsi="Verdana" w:cs="Arial"/>
                <w:lang w:val="es-ES"/>
              </w:rPr>
              <w:t xml:space="preserve"> </w:t>
            </w:r>
            <w:r>
              <w:rPr>
                <w:rFonts w:ascii="Verdana" w:eastAsia="Calibri" w:hAnsi="Verdana" w:cs="Arial"/>
                <w:lang w:val="es-ES"/>
              </w:rPr>
              <w:t xml:space="preserve">en el que este </w:t>
            </w:r>
            <w:r w:rsidRPr="001B5B78">
              <w:rPr>
                <w:rFonts w:ascii="Verdana" w:eastAsia="Calibri" w:hAnsi="Verdana" w:cs="Arial"/>
                <w:lang w:val="es-ES"/>
              </w:rPr>
              <w:t xml:space="preserve">financie </w:t>
            </w:r>
            <w:r>
              <w:rPr>
                <w:rFonts w:ascii="Verdana" w:eastAsia="Calibri" w:hAnsi="Verdana" w:cs="Arial"/>
                <w:lang w:val="es-ES"/>
              </w:rPr>
              <w:t xml:space="preserve">el contrato o convenio </w:t>
            </w:r>
            <w:r w:rsidRPr="001B5B78">
              <w:rPr>
                <w:rFonts w:ascii="Verdana" w:eastAsia="Calibri" w:hAnsi="Verdana" w:cs="Arial"/>
                <w:lang w:val="es-ES"/>
              </w:rPr>
              <w:t>en su totalidad o en sumas iguales o superiores al cincuenta por ciento (50%),</w:t>
            </w:r>
            <w:r>
              <w:rPr>
                <w:rFonts w:ascii="Verdana" w:eastAsia="Calibri" w:hAnsi="Verdana" w:cs="Arial"/>
                <w:lang w:val="es-ES"/>
              </w:rPr>
              <w:t xml:space="preserve"> las partes podrán pactar someterse en la celebración y ejecución del acuerdo al reglamento del organismo. Lo anterior, supone la facultad de incluir cláusulas específicas que, en ejercicio de la autonomía de la voluntad, establezcan que los contratos derivados se rijan también por dichos reglamentos. Sin embargo, es claro que la potestad de incluir cláusulas que determinen que los contratos derivados se rijan por los reglamentos de los organismos de cooperación no existirá cuando no se configuren los supuestos determinados en el artículo 20 frente al contrato principal.</w:t>
            </w:r>
          </w:p>
          <w:p w14:paraId="5A089410" w14:textId="77777777" w:rsidR="00ED10F8" w:rsidRDefault="00ED10F8">
            <w:pPr>
              <w:spacing w:before="120" w:after="120" w:line="276" w:lineRule="auto"/>
              <w:ind w:firstLine="708"/>
              <w:jc w:val="both"/>
              <w:rPr>
                <w:rFonts w:ascii="Verdana" w:eastAsia="Times New Roman" w:hAnsi="Verdana" w:cs="Arial"/>
                <w:lang w:val="es-MX"/>
              </w:rPr>
            </w:pPr>
            <w:r>
              <w:rPr>
                <w:rFonts w:ascii="Verdana" w:eastAsia="Arial" w:hAnsi="Verdana" w:cs="Arial"/>
                <w:bCs/>
                <w:color w:val="000000" w:themeColor="text1"/>
                <w:lang w:val="es-ES"/>
              </w:rPr>
              <w:t>En suma, cuando se trate de un contrato o convenio que cumpla con los presupuestos establecidos en los incisos primero, inciso segundo o parágrafo primero del artículo 20 de la Ley 1150 de 2007, y las partes hayan optado por someterlo a los reglamentos de dichos sujetos internacionales, el contrato no se encontrará sometido a la normativa nacional, ni le serán aplicables las prohibiciones establecidas en la Ley de Garantías Electorales</w:t>
            </w:r>
            <w:r w:rsidRPr="44B3FB22">
              <w:rPr>
                <w:rFonts w:ascii="Verdana" w:eastAsia="Times New Roman" w:hAnsi="Verdana" w:cs="Arial"/>
                <w:lang w:val="es-MX"/>
              </w:rPr>
              <w:t xml:space="preserve">. </w:t>
            </w:r>
            <w:r>
              <w:rPr>
                <w:rFonts w:ascii="Verdana" w:eastAsia="Times New Roman" w:hAnsi="Verdana" w:cs="Arial"/>
                <w:lang w:val="es-MX"/>
              </w:rPr>
              <w:t xml:space="preserve">Lo mismo ocurrirá cuando se trate de </w:t>
            </w:r>
            <w:r w:rsidRPr="004C2D9E">
              <w:rPr>
                <w:rFonts w:ascii="Verdana" w:eastAsia="Times New Roman" w:hAnsi="Verdana" w:cs="Arial"/>
                <w:i/>
                <w:iCs/>
                <w:lang w:val="es-MX"/>
              </w:rPr>
              <w:t>convenios o contratos derivados</w:t>
            </w:r>
            <w:r>
              <w:rPr>
                <w:rFonts w:ascii="Verdana" w:eastAsia="Times New Roman" w:hAnsi="Verdana" w:cs="Arial"/>
                <w:lang w:val="es-MX"/>
              </w:rPr>
              <w:t xml:space="preserve"> de aquellos, frente a los cuales las partes hayan convenido que se rijan por la normativa del ente u organismo internacional. En virtud de lo anterior, cuando se trate de un convenio o contrato celebrado con fondos multilaterales de crédito, las partes podrán someter este y los convenios o contratos derivados a los reglamentos de dichos organismos. Cuando este sea el caso, no estarán sujetos al EGCAP y no les será aplicable </w:t>
            </w:r>
            <w:r w:rsidRPr="44B3FB22">
              <w:rPr>
                <w:rFonts w:ascii="Verdana" w:eastAsia="Times New Roman" w:hAnsi="Verdana" w:cs="Arial"/>
                <w:lang w:val="es-MX"/>
              </w:rPr>
              <w:t xml:space="preserve">la restricción contemplada en </w:t>
            </w:r>
            <w:r>
              <w:rPr>
                <w:rFonts w:ascii="Verdana" w:eastAsia="Times New Roman" w:hAnsi="Verdana" w:cs="Arial"/>
                <w:lang w:val="es-MX"/>
              </w:rPr>
              <w:t xml:space="preserve">la Ley de Garantías </w:t>
            </w:r>
            <w:r w:rsidRPr="00613EB7">
              <w:rPr>
                <w:rFonts w:ascii="Verdana" w:eastAsia="Times New Roman" w:hAnsi="Verdana" w:cs="Arial"/>
                <w:lang w:val="es-MX"/>
              </w:rPr>
              <w:t>Electorales</w:t>
            </w:r>
            <w:r>
              <w:rPr>
                <w:rFonts w:ascii="Verdana" w:eastAsia="Times New Roman" w:hAnsi="Verdana" w:cs="Arial"/>
                <w:lang w:val="es-MX"/>
              </w:rPr>
              <w:t>.</w:t>
            </w:r>
          </w:p>
          <w:p w14:paraId="16250C92" w14:textId="77777777" w:rsidR="00ED10F8" w:rsidRPr="00635B8D" w:rsidRDefault="00ED10F8">
            <w:pPr>
              <w:spacing w:before="120" w:after="120" w:line="276" w:lineRule="auto"/>
              <w:ind w:firstLine="708"/>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w:t>
            </w:r>
            <w:r w:rsidRPr="00FC6F34">
              <w:rPr>
                <w:rFonts w:ascii="Verdana" w:eastAsia="Times New Roman" w:hAnsi="Verdana" w:cs="Arial"/>
                <w:color w:val="000000" w:themeColor="text1"/>
                <w:lang w:val="es-ES" w:eastAsia="es-ES"/>
              </w:rPr>
              <w:lastRenderedPageBreak/>
              <w:t xml:space="preserve">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4BEAEEFC"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EDF0DFF"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1E2897F3" w14:textId="77777777" w:rsidR="00ED10F8" w:rsidRPr="00FC6F34" w:rsidRDefault="00ED10F8" w:rsidP="00ED10F8">
      <w:pPr>
        <w:spacing w:after="0" w:line="276" w:lineRule="auto"/>
        <w:jc w:val="both"/>
        <w:rPr>
          <w:rFonts w:ascii="Verdana" w:eastAsia="Calibri" w:hAnsi="Verdana" w:cs="Arial"/>
          <w:color w:val="000000" w:themeColor="text1"/>
          <w:lang w:val="es-ES"/>
        </w:rPr>
      </w:pPr>
    </w:p>
    <w:p w14:paraId="165A147B" w14:textId="77777777" w:rsidR="00ED10F8" w:rsidRPr="00FC6F34" w:rsidRDefault="00ED10F8" w:rsidP="00ED10F8">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18D065F0" w14:textId="77777777" w:rsidR="00ED10F8" w:rsidRPr="00FC6F34" w:rsidRDefault="00ED10F8" w:rsidP="00ED10F8">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0DE364F5" w14:textId="77777777" w:rsidR="00ED10F8" w:rsidRPr="00FC6F34" w:rsidRDefault="00ED10F8" w:rsidP="00ED10F8">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67A4CA64" w14:textId="77777777" w:rsidR="00ED10F8" w:rsidRPr="00FC6F34" w:rsidRDefault="00ED10F8" w:rsidP="00ED10F8">
      <w:pPr>
        <w:spacing w:after="0" w:line="276" w:lineRule="auto"/>
        <w:ind w:right="709"/>
        <w:jc w:val="both"/>
        <w:rPr>
          <w:rFonts w:ascii="Verdana" w:eastAsia="Times New Roman" w:hAnsi="Verdana" w:cs="Arial"/>
          <w:lang w:val="es-ES" w:eastAsia="es-CO"/>
        </w:rPr>
      </w:pPr>
    </w:p>
    <w:p w14:paraId="37F551CB" w14:textId="77777777" w:rsidR="00ED10F8" w:rsidRPr="006A67F3" w:rsidRDefault="00ED10F8" w:rsidP="00ED10F8">
      <w:pPr>
        <w:spacing w:after="0" w:line="240" w:lineRule="auto"/>
        <w:ind w:left="709" w:right="709"/>
        <w:contextualSpacing/>
        <w:jc w:val="both"/>
        <w:rPr>
          <w:rFonts w:ascii="Verdana" w:eastAsia="Times New Roman" w:hAnsi="Verdana" w:cs="Arial"/>
          <w:sz w:val="21"/>
          <w:szCs w:val="21"/>
          <w:lang w:val="es-ES" w:eastAsia="es-CO"/>
        </w:rPr>
      </w:pPr>
      <w:r w:rsidRPr="006A67F3">
        <w:rPr>
          <w:rFonts w:ascii="Verdana" w:eastAsia="Times New Roman" w:hAnsi="Verdana" w:cs="Arial"/>
          <w:sz w:val="21"/>
          <w:szCs w:val="21"/>
          <w:lang w:val="es-ES" w:eastAsia="es-CO"/>
        </w:rPr>
        <w:lastRenderedPageBreak/>
        <w:t>“[…] la definición de reglas claras que permitan acceder a los canales de expresión democrática de manera efectiva e igualitaria. El objetivo de una ley de garantías es definir esas reglas.</w:t>
      </w:r>
    </w:p>
    <w:p w14:paraId="594FAF10" w14:textId="77777777" w:rsidR="00ED10F8" w:rsidRPr="006A67F3" w:rsidRDefault="00ED10F8" w:rsidP="00ED10F8">
      <w:pPr>
        <w:spacing w:after="0" w:line="240" w:lineRule="auto"/>
        <w:ind w:left="709" w:right="709"/>
        <w:contextualSpacing/>
        <w:jc w:val="both"/>
        <w:rPr>
          <w:rFonts w:ascii="Verdana" w:eastAsia="Times New Roman" w:hAnsi="Verdana" w:cs="Arial"/>
          <w:sz w:val="21"/>
          <w:szCs w:val="21"/>
          <w:lang w:val="es-ES" w:eastAsia="es-CO"/>
        </w:rPr>
      </w:pPr>
      <w:r w:rsidRPr="006A67F3">
        <w:rPr>
          <w:rFonts w:ascii="Verdana" w:eastAsia="Times New Roman" w:hAnsi="Verdana" w:cs="Arial"/>
          <w:sz w:val="21"/>
          <w:szCs w:val="21"/>
          <w:lang w:val="es-ES" w:eastAsia="es-CO"/>
        </w:rPr>
        <w:t xml:space="preserve">[…] </w:t>
      </w:r>
    </w:p>
    <w:p w14:paraId="60FBDC3E" w14:textId="77777777" w:rsidR="00ED10F8" w:rsidRPr="006A67F3" w:rsidRDefault="00ED10F8" w:rsidP="00ED10F8">
      <w:pPr>
        <w:spacing w:after="0" w:line="240" w:lineRule="auto"/>
        <w:ind w:left="709" w:right="709"/>
        <w:contextualSpacing/>
        <w:jc w:val="both"/>
        <w:rPr>
          <w:rFonts w:ascii="Verdana" w:eastAsia="Times New Roman" w:hAnsi="Verdana" w:cs="Arial"/>
          <w:sz w:val="21"/>
          <w:szCs w:val="21"/>
          <w:lang w:val="es-ES" w:eastAsia="es-CO"/>
        </w:rPr>
      </w:pPr>
      <w:r w:rsidRPr="006A67F3">
        <w:rPr>
          <w:rFonts w:ascii="Verdana" w:eastAsia="Times New Roman" w:hAnsi="Verdana" w:cs="Arial"/>
          <w:sz w:val="21"/>
          <w:szCs w:val="21"/>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A67F3">
        <w:rPr>
          <w:rFonts w:ascii="Verdana" w:eastAsia="Calibri" w:hAnsi="Verdana" w:cs="Arial"/>
          <w:sz w:val="21"/>
          <w:szCs w:val="21"/>
          <w:vertAlign w:val="superscript"/>
          <w:lang w:val="es-ES"/>
        </w:rPr>
        <w:footnoteReference w:id="4"/>
      </w:r>
    </w:p>
    <w:p w14:paraId="393D11C9" w14:textId="77777777" w:rsidR="00ED10F8" w:rsidRPr="00FC6F34" w:rsidRDefault="00ED10F8" w:rsidP="00ED10F8">
      <w:pPr>
        <w:spacing w:after="0" w:line="276" w:lineRule="auto"/>
        <w:ind w:firstLine="709"/>
        <w:jc w:val="both"/>
        <w:rPr>
          <w:rFonts w:ascii="Verdana" w:eastAsia="Times New Roman" w:hAnsi="Verdana" w:cs="Arial"/>
          <w:lang w:val="es-ES" w:eastAsia="es-CO"/>
        </w:rPr>
      </w:pPr>
    </w:p>
    <w:p w14:paraId="76E02EFF" w14:textId="77777777" w:rsidR="00ED10F8" w:rsidRPr="00FC6F34" w:rsidRDefault="00ED10F8" w:rsidP="00ED10F8">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177EAD2" w14:textId="77777777" w:rsidR="00ED10F8" w:rsidRPr="00FC6F34" w:rsidRDefault="00ED10F8" w:rsidP="00ED10F8">
      <w:pPr>
        <w:spacing w:after="0" w:line="276" w:lineRule="auto"/>
        <w:ind w:firstLine="709"/>
        <w:jc w:val="both"/>
        <w:rPr>
          <w:rFonts w:ascii="Verdana" w:eastAsia="Times New Roman" w:hAnsi="Verdana" w:cs="Arial"/>
          <w:lang w:val="es-ES" w:eastAsia="es-CO"/>
        </w:rPr>
      </w:pPr>
    </w:p>
    <w:p w14:paraId="40782945" w14:textId="77777777" w:rsidR="00ED10F8" w:rsidRPr="006A67F3" w:rsidRDefault="00ED10F8" w:rsidP="00ED10F8">
      <w:pPr>
        <w:spacing w:after="0" w:line="240" w:lineRule="auto"/>
        <w:ind w:left="709" w:right="709"/>
        <w:jc w:val="both"/>
        <w:rPr>
          <w:rFonts w:ascii="Verdana" w:eastAsia="Times New Roman" w:hAnsi="Verdana" w:cs="Arial"/>
          <w:sz w:val="21"/>
          <w:szCs w:val="21"/>
          <w:lang w:val="es-ES" w:eastAsia="es-CO"/>
        </w:rPr>
      </w:pPr>
      <w:r w:rsidRPr="006A67F3">
        <w:rPr>
          <w:rFonts w:ascii="Verdana" w:eastAsia="Times New Roman" w:hAnsi="Verdana" w:cs="Arial"/>
          <w:sz w:val="21"/>
          <w:szCs w:val="21"/>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6A67F3">
        <w:rPr>
          <w:rFonts w:ascii="Verdana" w:eastAsia="Times New Roman" w:hAnsi="Verdana" w:cs="Arial"/>
          <w:sz w:val="21"/>
          <w:szCs w:val="21"/>
          <w:lang w:val="es-ES" w:eastAsia="es-CO"/>
        </w:rPr>
        <w:t>legis</w:t>
      </w:r>
      <w:proofErr w:type="spellEnd"/>
      <w:r w:rsidRPr="006A67F3">
        <w:rPr>
          <w:rFonts w:ascii="Verdana" w:eastAsia="Times New Roman" w:hAnsi="Verdana" w:cs="Arial"/>
          <w:sz w:val="21"/>
          <w:szCs w:val="21"/>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D411A2" w14:textId="77777777" w:rsidR="00ED10F8" w:rsidRPr="006A67F3" w:rsidRDefault="00ED10F8" w:rsidP="00ED10F8">
      <w:pPr>
        <w:spacing w:after="0" w:line="240" w:lineRule="auto"/>
        <w:ind w:right="709"/>
        <w:jc w:val="both"/>
        <w:rPr>
          <w:rFonts w:ascii="Verdana" w:eastAsia="Times New Roman" w:hAnsi="Verdana" w:cs="Arial"/>
          <w:sz w:val="24"/>
          <w:szCs w:val="24"/>
          <w:lang w:val="es-ES" w:eastAsia="es-CO"/>
        </w:rPr>
      </w:pPr>
    </w:p>
    <w:p w14:paraId="4EB55E53" w14:textId="77777777" w:rsidR="00ED10F8" w:rsidRPr="006A67F3" w:rsidRDefault="00ED10F8" w:rsidP="00ED10F8">
      <w:pPr>
        <w:spacing w:after="0" w:line="240" w:lineRule="auto"/>
        <w:ind w:left="709" w:right="709"/>
        <w:jc w:val="both"/>
        <w:rPr>
          <w:rFonts w:ascii="Verdana" w:eastAsia="Times New Roman" w:hAnsi="Verdana" w:cs="Arial"/>
          <w:sz w:val="21"/>
          <w:szCs w:val="21"/>
          <w:lang w:val="es-ES" w:eastAsia="es-CO"/>
        </w:rPr>
      </w:pPr>
      <w:r w:rsidRPr="006A67F3">
        <w:rPr>
          <w:rFonts w:ascii="Verdana" w:eastAsia="Times New Roman" w:hAnsi="Verdana" w:cs="Arial"/>
          <w:sz w:val="21"/>
          <w:szCs w:val="21"/>
          <w:lang w:val="es-ES" w:eastAsia="es-CO"/>
        </w:rPr>
        <w:lastRenderedPageBreak/>
        <w:t>La jurisprudencia de la Corte Constitucional</w:t>
      </w:r>
      <w:r w:rsidRPr="006A67F3">
        <w:rPr>
          <w:rFonts w:ascii="Verdana" w:eastAsia="Times New Roman" w:hAnsi="Verdana" w:cs="Arial"/>
          <w:sz w:val="21"/>
          <w:szCs w:val="21"/>
          <w:vertAlign w:val="superscript"/>
          <w:lang w:val="es-ES" w:eastAsia="es-CO"/>
        </w:rPr>
        <w:footnoteReference w:id="5"/>
      </w:r>
      <w:r w:rsidRPr="006A67F3">
        <w:rPr>
          <w:rFonts w:ascii="Verdana" w:eastAsia="Times New Roman" w:hAnsi="Verdana" w:cs="Arial"/>
          <w:sz w:val="21"/>
          <w:szCs w:val="21"/>
          <w:lang w:val="es-ES" w:eastAsia="es-CO"/>
        </w:rPr>
        <w:t> y del Consejo de Estado</w:t>
      </w:r>
      <w:r w:rsidRPr="006A67F3">
        <w:rPr>
          <w:rFonts w:ascii="Verdana" w:eastAsia="Times New Roman" w:hAnsi="Verdana" w:cs="Arial"/>
          <w:sz w:val="21"/>
          <w:szCs w:val="21"/>
          <w:vertAlign w:val="superscript"/>
          <w:lang w:val="es-ES" w:eastAsia="es-CO"/>
        </w:rPr>
        <w:footnoteReference w:id="6"/>
      </w:r>
      <w:r w:rsidRPr="006A67F3">
        <w:rPr>
          <w:rFonts w:ascii="Verdana" w:eastAsia="Times New Roman" w:hAnsi="Verdana" w:cs="Arial"/>
          <w:sz w:val="21"/>
          <w:szCs w:val="21"/>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6A67F3">
        <w:rPr>
          <w:rFonts w:ascii="Verdana" w:eastAsia="Times New Roman" w:hAnsi="Verdana" w:cs="Arial"/>
          <w:sz w:val="21"/>
          <w:szCs w:val="21"/>
          <w:vertAlign w:val="superscript"/>
          <w:lang w:val="es-ES" w:eastAsia="es-CO"/>
        </w:rPr>
        <w:footnoteReference w:id="7"/>
      </w:r>
      <w:r w:rsidRPr="006A67F3">
        <w:rPr>
          <w:rFonts w:ascii="Verdana" w:eastAsia="Times New Roman" w:hAnsi="Verdana" w:cs="Arial"/>
          <w:sz w:val="21"/>
          <w:szCs w:val="21"/>
          <w:lang w:val="es-ES" w:eastAsia="es-CO"/>
        </w:rPr>
        <w:t>.</w:t>
      </w:r>
    </w:p>
    <w:p w14:paraId="1EF07444" w14:textId="77777777" w:rsidR="00ED10F8" w:rsidRPr="00FC6F34" w:rsidRDefault="00ED10F8" w:rsidP="00ED10F8">
      <w:pPr>
        <w:spacing w:after="0" w:line="276" w:lineRule="auto"/>
        <w:jc w:val="both"/>
        <w:rPr>
          <w:rFonts w:ascii="Verdana" w:eastAsia="Calibri" w:hAnsi="Verdana" w:cs="Arial"/>
          <w:bCs/>
          <w:lang w:val="es-ES"/>
        </w:rPr>
      </w:pPr>
    </w:p>
    <w:p w14:paraId="09A90D94" w14:textId="77777777" w:rsidR="00ED10F8" w:rsidRPr="00FC6F34" w:rsidRDefault="00ED10F8" w:rsidP="00ED10F8">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57A9513" w14:textId="77777777" w:rsidR="00ED10F8" w:rsidRPr="006A67F3" w:rsidRDefault="00ED10F8" w:rsidP="00ED10F8">
      <w:pPr>
        <w:spacing w:before="120" w:after="12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En suma,</w:t>
      </w:r>
      <w:r w:rsidRPr="00FC6F34">
        <w:rPr>
          <w:rFonts w:ascii="Verdana" w:eastAsia="Arial" w:hAnsi="Verdana" w:cs="Arial"/>
          <w:lang w:val="es-ES" w:eastAsia="es-ES" w:bidi="es-ES"/>
        </w:rPr>
        <w:t xml:space="preserve"> </w:t>
      </w:r>
      <w:r>
        <w:rPr>
          <w:rFonts w:ascii="Verdana" w:eastAsia="Arial" w:hAnsi="Verdana" w:cs="Arial"/>
          <w:lang w:val="es-ES" w:eastAsia="es-ES" w:bidi="es-ES"/>
        </w:rPr>
        <w:t>l</w:t>
      </w:r>
      <w:r w:rsidRPr="00FC6F34">
        <w:rPr>
          <w:rFonts w:ascii="Verdana" w:eastAsia="Arial" w:hAnsi="Verdana" w:cs="Arial"/>
          <w:lang w:val="es-ES" w:eastAsia="es-ES" w:bidi="es-ES"/>
        </w:rPr>
        <w:t>as restricciones consagradas en la Ley de Garantías se dirigen a dos (2) tipos de campañas electorales diferenciadas: las presidenciales y las que se adelanten para la elección de los demás cargos de elección popular, tanto a nivel nacional como territorial.</w:t>
      </w:r>
      <w:r>
        <w:rPr>
          <w:rFonts w:ascii="Verdana" w:eastAsia="Arial" w:hAnsi="Verdana" w:cs="Arial"/>
          <w:lang w:val="es-ES" w:eastAsia="es-ES" w:bidi="es-ES"/>
        </w:rPr>
        <w:t xml:space="preserve"> </w:t>
      </w: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w:t>
      </w:r>
      <w:r w:rsidRPr="00FC6F34">
        <w:rPr>
          <w:rFonts w:ascii="Verdana" w:eastAsia="Calibri" w:hAnsi="Verdana" w:cs="Arial"/>
          <w:lang w:val="es-ES"/>
        </w:rPr>
        <w:lastRenderedPageBreak/>
        <w:t>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3AB5B71F" w14:textId="77777777" w:rsidR="00ED10F8" w:rsidRPr="00FC6F34" w:rsidRDefault="00ED10F8" w:rsidP="00ED10F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FD1F46">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83EE318" w14:textId="77777777" w:rsidR="00ED10F8" w:rsidRPr="00FC6F34" w:rsidRDefault="00ED10F8" w:rsidP="00ED10F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F9B10D2" w14:textId="77777777" w:rsidR="00ED10F8" w:rsidRPr="00FC6F34" w:rsidRDefault="00ED10F8" w:rsidP="00ED10F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AE120DC" w14:textId="77777777" w:rsidR="00ED10F8" w:rsidRPr="006A67F3" w:rsidRDefault="00ED10F8" w:rsidP="00ED10F8">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r w:rsidRPr="006A67F3">
        <w:rPr>
          <w:rFonts w:ascii="Verdana" w:eastAsia="Arial" w:hAnsi="Verdana"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w:t>
      </w:r>
      <w:r w:rsidRPr="006A67F3">
        <w:rPr>
          <w:rFonts w:ascii="Verdana" w:eastAsia="Arial" w:hAnsi="Verdana" w:cs="Arial"/>
          <w:sz w:val="21"/>
          <w:szCs w:val="21"/>
          <w:lang w:val="es-ES" w:eastAsia="es-ES" w:bidi="es-ES"/>
        </w:rPr>
        <w:lastRenderedPageBreak/>
        <w:t>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6A67F3">
        <w:rPr>
          <w:rFonts w:ascii="Verdana" w:eastAsia="Arial" w:hAnsi="Verdana" w:cs="Arial"/>
          <w:sz w:val="21"/>
          <w:szCs w:val="21"/>
          <w:vertAlign w:val="superscript"/>
          <w:lang w:val="es-ES" w:eastAsia="es-ES" w:bidi="es-ES"/>
        </w:rPr>
        <w:footnoteReference w:id="10"/>
      </w:r>
    </w:p>
    <w:p w14:paraId="79B63FDB" w14:textId="77777777" w:rsidR="00ED10F8" w:rsidRPr="00FC6F34" w:rsidRDefault="00ED10F8" w:rsidP="00ED10F8">
      <w:pPr>
        <w:widowControl w:val="0"/>
        <w:autoSpaceDE w:val="0"/>
        <w:autoSpaceDN w:val="0"/>
        <w:spacing w:after="0" w:line="276" w:lineRule="auto"/>
        <w:contextualSpacing/>
        <w:rPr>
          <w:rFonts w:ascii="Verdana" w:eastAsia="Arial" w:hAnsi="Verdana" w:cs="Arial"/>
          <w:lang w:val="es-ES" w:eastAsia="es-ES" w:bidi="es-ES"/>
        </w:rPr>
      </w:pPr>
    </w:p>
    <w:p w14:paraId="5FBCADA4" w14:textId="77777777" w:rsidR="00ED10F8" w:rsidRPr="00FC6F34" w:rsidRDefault="00ED10F8" w:rsidP="00ED10F8">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45E5ACC" w14:textId="77777777" w:rsidR="00ED10F8" w:rsidRPr="00FC6F34" w:rsidRDefault="00ED10F8" w:rsidP="00ED10F8">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w:t>
      </w:r>
      <w:r>
        <w:rPr>
          <w:rFonts w:ascii="Verdana" w:eastAsia="Arial" w:hAnsi="Verdana" w:cs="Arial"/>
          <w:lang w:val="es-ES" w:eastAsia="es-ES" w:bidi="es-ES"/>
        </w:rPr>
        <w:t>previo a la</w:t>
      </w:r>
      <w:r w:rsidRPr="00FC6F34">
        <w:rPr>
          <w:rFonts w:ascii="Verdana" w:eastAsia="Arial" w:hAnsi="Verdana" w:cs="Arial"/>
          <w:lang w:val="es-ES" w:eastAsia="es-ES" w:bidi="es-ES"/>
        </w:rPr>
        <w:t xml:space="preserve">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12CE255F" w14:textId="77777777" w:rsidR="00ED10F8" w:rsidRPr="00FC6F34" w:rsidRDefault="00ED10F8" w:rsidP="00ED10F8">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w:t>
      </w:r>
      <w:r w:rsidRPr="00FC6F34">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97C5826" w14:textId="77777777" w:rsidR="00ED10F8" w:rsidRPr="00FC6F34" w:rsidRDefault="00ED10F8" w:rsidP="00ED10F8">
      <w:pPr>
        <w:spacing w:after="0" w:line="276" w:lineRule="auto"/>
        <w:ind w:firstLine="709"/>
        <w:jc w:val="both"/>
        <w:rPr>
          <w:rFonts w:ascii="Verdana" w:eastAsia="Arial" w:hAnsi="Verdana" w:cs="Arial"/>
          <w:lang w:val="es-ES" w:eastAsia="es-ES" w:bidi="es-ES"/>
        </w:rPr>
      </w:pPr>
    </w:p>
    <w:p w14:paraId="024E6AD9" w14:textId="77777777" w:rsidR="00ED10F8" w:rsidRDefault="00ED10F8" w:rsidP="00ED10F8">
      <w:pPr>
        <w:spacing w:after="0" w:line="276" w:lineRule="auto"/>
        <w:jc w:val="both"/>
        <w:rPr>
          <w:rFonts w:ascii="Verdana" w:eastAsia="Times New Roman" w:hAnsi="Verdana" w:cs="Arial"/>
          <w:lang w:val="es-ES" w:eastAsia="es-CO"/>
        </w:rPr>
      </w:pPr>
      <w:proofErr w:type="spellStart"/>
      <w:r w:rsidRPr="00FC6F34">
        <w:rPr>
          <w:rFonts w:ascii="Verdana" w:eastAsia="Calibri" w:hAnsi="Verdana" w:cs="Arial"/>
          <w:lang w:val="es-ES"/>
        </w:rPr>
        <w:t>ii</w:t>
      </w:r>
      <w:proofErr w:type="spellEnd"/>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1565AD6C" w14:textId="77777777" w:rsidR="00ED10F8" w:rsidRPr="00FC6F34" w:rsidRDefault="00ED10F8" w:rsidP="00ED10F8">
      <w:pPr>
        <w:spacing w:after="0" w:line="276" w:lineRule="auto"/>
        <w:jc w:val="both"/>
        <w:rPr>
          <w:rFonts w:ascii="Verdana" w:eastAsia="Times New Roman" w:hAnsi="Verdana" w:cs="Arial"/>
          <w:bCs/>
          <w:lang w:val="es-ES" w:eastAsia="es-CO"/>
        </w:rPr>
      </w:pPr>
    </w:p>
    <w:p w14:paraId="78BAD09D" w14:textId="77777777" w:rsidR="00ED10F8" w:rsidRPr="006A67F3" w:rsidRDefault="00ED10F8" w:rsidP="00ED10F8">
      <w:pPr>
        <w:spacing w:after="0" w:line="240" w:lineRule="auto"/>
        <w:ind w:left="709" w:right="709"/>
        <w:jc w:val="both"/>
        <w:rPr>
          <w:rFonts w:ascii="Verdana" w:eastAsia="Calibri" w:hAnsi="Verdana" w:cs="Arial"/>
          <w:sz w:val="21"/>
          <w:szCs w:val="21"/>
          <w:lang w:val="es-ES"/>
        </w:rPr>
      </w:pPr>
      <w:r w:rsidRPr="006A67F3">
        <w:rPr>
          <w:rFonts w:ascii="Verdana" w:eastAsia="Calibri" w:hAnsi="Verdana" w:cs="Arial"/>
          <w:sz w:val="21"/>
          <w:szCs w:val="21"/>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A67F3">
        <w:rPr>
          <w:rFonts w:ascii="Verdana" w:eastAsia="Times New Roman" w:hAnsi="Verdana" w:cs="Arial"/>
          <w:sz w:val="21"/>
          <w:szCs w:val="21"/>
          <w:vertAlign w:val="superscript"/>
          <w:lang w:val="es-ES"/>
        </w:rPr>
        <w:footnoteReference w:id="11"/>
      </w:r>
      <w:r w:rsidRPr="006A67F3">
        <w:rPr>
          <w:rFonts w:ascii="Verdana" w:eastAsia="Times New Roman" w:hAnsi="Verdana" w:cs="Arial"/>
          <w:sz w:val="21"/>
          <w:szCs w:val="21"/>
          <w:vertAlign w:val="superscript"/>
          <w:lang w:val="es-ES"/>
        </w:rPr>
        <w:t>.</w:t>
      </w:r>
      <w:r w:rsidRPr="006A67F3">
        <w:rPr>
          <w:rFonts w:ascii="Verdana" w:eastAsia="Calibri" w:hAnsi="Verdana" w:cs="Arial"/>
          <w:sz w:val="21"/>
          <w:szCs w:val="21"/>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6A67F3">
        <w:rPr>
          <w:rFonts w:ascii="Verdana" w:eastAsia="Times New Roman" w:hAnsi="Verdana" w:cs="Arial"/>
          <w:sz w:val="21"/>
          <w:szCs w:val="21"/>
          <w:vertAlign w:val="superscript"/>
          <w:lang w:val="es-ES" w:eastAsia="es-CO"/>
        </w:rPr>
        <w:footnoteReference w:id="12"/>
      </w:r>
      <w:r w:rsidRPr="006A67F3">
        <w:rPr>
          <w:rFonts w:ascii="Verdana" w:eastAsia="Calibri" w:hAnsi="Verdana" w:cs="Arial"/>
          <w:sz w:val="21"/>
          <w:szCs w:val="21"/>
          <w:lang w:val="es-ES"/>
        </w:rPr>
        <w:t xml:space="preserve"> .</w:t>
      </w:r>
    </w:p>
    <w:p w14:paraId="31E219B6" w14:textId="77777777" w:rsidR="00ED10F8" w:rsidRPr="006A67F3" w:rsidRDefault="00ED10F8" w:rsidP="00ED10F8">
      <w:pPr>
        <w:shd w:val="clear" w:color="auto" w:fill="FFFFFF" w:themeFill="background1"/>
        <w:spacing w:after="0" w:line="276" w:lineRule="auto"/>
        <w:ind w:firstLine="709"/>
        <w:jc w:val="both"/>
        <w:rPr>
          <w:rFonts w:ascii="Verdana" w:eastAsia="Times New Roman" w:hAnsi="Verdana" w:cs="Arial"/>
          <w:sz w:val="24"/>
          <w:szCs w:val="24"/>
          <w:lang w:val="es-ES" w:eastAsia="x-none"/>
        </w:rPr>
      </w:pPr>
    </w:p>
    <w:p w14:paraId="4A012C90" w14:textId="77777777" w:rsidR="00ED10F8" w:rsidRPr="00FC6F34" w:rsidRDefault="00ED10F8" w:rsidP="00ED10F8">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 xml:space="preserve">y la </w:t>
      </w:r>
      <w:r w:rsidRPr="00FC6F34">
        <w:rPr>
          <w:rFonts w:ascii="Verdana" w:eastAsia="Times New Roman" w:hAnsi="Verdana" w:cs="Arial"/>
          <w:lang w:val="es-ES"/>
        </w:rPr>
        <w:lastRenderedPageBreak/>
        <w:t>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2A177B29" w14:textId="77777777" w:rsidR="00ED10F8" w:rsidRPr="00FC6F34" w:rsidRDefault="00ED10F8" w:rsidP="00ED10F8">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61DCAE7B" w14:textId="77777777" w:rsidR="00ED10F8" w:rsidRPr="00FC6F34" w:rsidRDefault="00ED10F8" w:rsidP="00ED10F8">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p>
    <w:p w14:paraId="6A1E95AC" w14:textId="77777777" w:rsidR="00ED10F8" w:rsidRPr="00FC6F34" w:rsidRDefault="00ED10F8" w:rsidP="00ED10F8">
      <w:pPr>
        <w:spacing w:after="0" w:line="276" w:lineRule="auto"/>
        <w:ind w:firstLine="708"/>
        <w:jc w:val="both"/>
        <w:rPr>
          <w:rFonts w:ascii="Verdana" w:eastAsia="Times New Roman" w:hAnsi="Verdana" w:cs="Arial"/>
          <w:lang w:val="es-ES"/>
        </w:rPr>
      </w:pPr>
    </w:p>
    <w:p w14:paraId="3260E464" w14:textId="77777777" w:rsidR="00ED10F8" w:rsidRPr="00FC6F34" w:rsidRDefault="00ED10F8" w:rsidP="00ED10F8">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w:t>
      </w:r>
      <w:r>
        <w:rPr>
          <w:rFonts w:ascii="Verdana" w:eastAsia="Times New Roman" w:hAnsi="Verdana" w:cs="Arial"/>
          <w:bCs/>
          <w:lang w:val="es-ES" w:eastAsia="es-CO"/>
        </w:rPr>
        <w:t>ii</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4A26A24D" w14:textId="77777777" w:rsidR="00ED10F8" w:rsidRPr="00FC6F34" w:rsidRDefault="00ED10F8" w:rsidP="00ED10F8">
      <w:pPr>
        <w:spacing w:after="0" w:line="276" w:lineRule="auto"/>
        <w:ind w:firstLine="708"/>
        <w:jc w:val="both"/>
        <w:rPr>
          <w:rFonts w:ascii="Verdana" w:eastAsia="Times New Roman" w:hAnsi="Verdana" w:cs="Arial"/>
          <w:lang w:val="es-ES"/>
        </w:rPr>
      </w:pPr>
    </w:p>
    <w:p w14:paraId="472D32DF" w14:textId="77777777" w:rsidR="00ED10F8" w:rsidRDefault="00ED10F8" w:rsidP="00ED10F8">
      <w:pPr>
        <w:spacing w:after="0" w:line="240" w:lineRule="auto"/>
        <w:ind w:left="709" w:right="709"/>
        <w:jc w:val="both"/>
        <w:rPr>
          <w:rFonts w:ascii="Verdana" w:eastAsia="Times New Roman" w:hAnsi="Verdana" w:cs="Arial"/>
          <w:bCs/>
          <w:sz w:val="21"/>
          <w:szCs w:val="21"/>
          <w:lang w:val="es-ES" w:eastAsia="es-CO"/>
        </w:rPr>
      </w:pPr>
      <w:r w:rsidRPr="00C34134">
        <w:rPr>
          <w:rFonts w:ascii="Verdana" w:eastAsia="Times New Roman" w:hAnsi="Verdana" w:cs="Arial"/>
          <w:bCs/>
          <w:sz w:val="21"/>
          <w:szCs w:val="21"/>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C34134">
        <w:rPr>
          <w:rStyle w:val="FootnoteReference"/>
          <w:rFonts w:ascii="Verdana" w:eastAsia="Times New Roman" w:hAnsi="Verdana" w:cs="Arial"/>
          <w:bCs/>
          <w:sz w:val="21"/>
          <w:szCs w:val="21"/>
          <w:lang w:val="es-ES" w:eastAsia="es-CO"/>
        </w:rPr>
        <w:footnoteReference w:id="16"/>
      </w:r>
      <w:r w:rsidRPr="00C34134">
        <w:rPr>
          <w:rFonts w:ascii="Verdana" w:eastAsia="Times New Roman" w:hAnsi="Verdana" w:cs="Arial"/>
          <w:bCs/>
          <w:sz w:val="21"/>
          <w:szCs w:val="21"/>
          <w:lang w:val="es-ES" w:eastAsia="es-CO"/>
        </w:rPr>
        <w:t>.</w:t>
      </w:r>
    </w:p>
    <w:p w14:paraId="32C11FC3" w14:textId="77777777" w:rsidR="008C53E3" w:rsidRPr="00C34134" w:rsidRDefault="008C53E3" w:rsidP="00ED10F8">
      <w:pPr>
        <w:spacing w:after="0" w:line="240" w:lineRule="auto"/>
        <w:ind w:left="709" w:right="709"/>
        <w:jc w:val="both"/>
        <w:rPr>
          <w:rFonts w:ascii="Verdana" w:eastAsia="Times New Roman" w:hAnsi="Verdana" w:cs="Arial"/>
          <w:bCs/>
          <w:sz w:val="24"/>
          <w:szCs w:val="24"/>
          <w:lang w:val="es-ES" w:eastAsia="es-CO"/>
        </w:rPr>
      </w:pPr>
    </w:p>
    <w:p w14:paraId="2C05791E" w14:textId="77777777" w:rsidR="00ED10F8" w:rsidRPr="00FC6F34" w:rsidRDefault="00ED10F8" w:rsidP="008C53E3">
      <w:pPr>
        <w:spacing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w:t>
      </w:r>
      <w:r w:rsidRPr="001C2322">
        <w:rPr>
          <w:rFonts w:ascii="Verdana" w:hAnsi="Verdana" w:cs="Arial"/>
          <w:bCs/>
          <w:i/>
          <w:iCs/>
          <w:lang w:val="es-ES" w:eastAsia="x-none"/>
        </w:rPr>
        <w:t>la totalidad de los entes del Estado</w:t>
      </w:r>
      <w:r w:rsidRPr="00FC6F34">
        <w:rPr>
          <w:rFonts w:ascii="Verdana" w:hAnsi="Verdana" w:cs="Arial"/>
          <w:bCs/>
          <w:lang w:val="es-ES" w:eastAsia="x-none"/>
        </w:rPr>
        <w:t>,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69044126" w14:textId="77777777" w:rsidR="00ED10F8" w:rsidRDefault="00ED10F8" w:rsidP="00ED10F8">
      <w:pPr>
        <w:spacing w:after="0" w:line="276" w:lineRule="auto"/>
        <w:ind w:firstLine="709"/>
        <w:jc w:val="both"/>
        <w:rPr>
          <w:rFonts w:ascii="Verdana" w:eastAsia="Arial" w:hAnsi="Verdana" w:cs="Arial"/>
          <w:color w:val="000000" w:themeColor="text1"/>
          <w:lang w:val="es-ES"/>
        </w:rPr>
      </w:pPr>
      <w:r w:rsidRPr="00FC6F34">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w:t>
      </w:r>
      <w:r w:rsidRPr="00FD1F46">
        <w:rPr>
          <w:rFonts w:ascii="Verdana" w:eastAsia="Arial" w:hAnsi="Verdana" w:cs="Arial"/>
          <w:i/>
          <w:iCs/>
          <w:color w:val="000000" w:themeColor="text1"/>
          <w:lang w:val="es-ES"/>
        </w:rPr>
        <w:t>cualquier ente público</w:t>
      </w:r>
      <w:r w:rsidRPr="00FC6F34">
        <w:rPr>
          <w:rFonts w:ascii="Verdana" w:eastAsia="Arial" w:hAnsi="Verdana" w:cs="Arial"/>
          <w:color w:val="000000" w:themeColor="text1"/>
          <w:lang w:val="es-ES"/>
        </w:rPr>
        <w:t xml:space="preserve">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w:t>
      </w:r>
      <w:r w:rsidRPr="00FC6F34">
        <w:rPr>
          <w:rFonts w:ascii="Verdana" w:eastAsia="Arial" w:hAnsi="Verdana" w:cs="Arial"/>
          <w:color w:val="000000" w:themeColor="text1"/>
          <w:lang w:val="es-ES"/>
        </w:rPr>
        <w:lastRenderedPageBreak/>
        <w:t>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344330F" w14:textId="77777777" w:rsidR="00ED10F8" w:rsidRPr="00FC6F34" w:rsidRDefault="00ED10F8" w:rsidP="00ED10F8">
      <w:pPr>
        <w:spacing w:after="0" w:line="276" w:lineRule="auto"/>
        <w:ind w:firstLine="709"/>
        <w:jc w:val="both"/>
        <w:rPr>
          <w:rFonts w:ascii="Verdana" w:eastAsia="Arial" w:hAnsi="Verdana" w:cs="Arial"/>
          <w:bCs/>
          <w:color w:val="000000" w:themeColor="text1"/>
          <w:lang w:val="es-ES"/>
        </w:rPr>
      </w:pPr>
    </w:p>
    <w:p w14:paraId="4A67A1A3" w14:textId="77777777" w:rsidR="00ED10F8" w:rsidRPr="00FC6F34" w:rsidRDefault="00ED10F8" w:rsidP="00ED10F8">
      <w:pPr>
        <w:spacing w:line="276" w:lineRule="auto"/>
        <w:ind w:firstLine="708"/>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w:t>
      </w:r>
      <w:r>
        <w:rPr>
          <w:rFonts w:ascii="Verdana" w:eastAsia="Arial" w:hAnsi="Verdana" w:cs="Arial"/>
          <w:bCs/>
          <w:color w:val="000000" w:themeColor="text1"/>
          <w:lang w:val="es-ES"/>
        </w:rPr>
        <w:t>es importante resaltar que</w:t>
      </w:r>
      <w:r w:rsidRPr="00FC6F34">
        <w:rPr>
          <w:rFonts w:ascii="Verdana" w:eastAsia="Arial" w:hAnsi="Verdana" w:cs="Arial"/>
          <w:bCs/>
          <w:color w:val="000000" w:themeColor="text1"/>
          <w:lang w:val="es-ES"/>
        </w:rPr>
        <w:t xml:space="preserv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el segundo inciso de la misma disposición consagró las excepciones aplicables a la prohibición de contratación directa</w:t>
      </w:r>
      <w:r>
        <w:rPr>
          <w:rFonts w:ascii="Verdana" w:hAnsi="Verdana" w:cs="Arial"/>
          <w:bCs/>
          <w:color w:val="000000" w:themeColor="text1"/>
          <w:lang w:val="es-ES"/>
        </w:rPr>
        <w:t xml:space="preserve"> allí establecida</w:t>
      </w:r>
      <w:r w:rsidRPr="00FC6F34">
        <w:rPr>
          <w:rFonts w:ascii="Verdana" w:hAnsi="Verdana" w:cs="Arial"/>
          <w:bCs/>
          <w:color w:val="000000" w:themeColor="text1"/>
          <w:lang w:val="es-ES"/>
        </w:rPr>
        <w:t xml:space="preserve">.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p>
    <w:p w14:paraId="04B0C63B" w14:textId="77777777" w:rsidR="00ED10F8" w:rsidRPr="00FC6F34" w:rsidRDefault="00ED10F8" w:rsidP="00ED10F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 xml:space="preserve">1) </w:t>
      </w:r>
      <w:r w:rsidRPr="00FC6F34">
        <w:rPr>
          <w:rFonts w:ascii="Verdana" w:hAnsi="Verdana" w:cs="Arial"/>
          <w:bCs/>
          <w:color w:val="000000" w:themeColor="text1"/>
          <w:lang w:val="es-ES"/>
        </w:rPr>
        <w:t>La contratación referente a la defensa y seguridad del Estado;</w:t>
      </w:r>
    </w:p>
    <w:p w14:paraId="0CB17B03" w14:textId="77777777" w:rsidR="00ED10F8" w:rsidRPr="00FC6F34" w:rsidRDefault="00ED10F8" w:rsidP="00ED10F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0FC8D0B3" w14:textId="77777777" w:rsidR="00ED10F8" w:rsidRPr="00FC6F34" w:rsidRDefault="00ED10F8" w:rsidP="00ED10F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25FB15C1" w14:textId="77777777" w:rsidR="00ED10F8" w:rsidRPr="00FC6F34" w:rsidRDefault="00ED10F8" w:rsidP="00ED10F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2C7E65D4" w14:textId="77777777" w:rsidR="00ED10F8" w:rsidRPr="00FC6F34" w:rsidRDefault="00ED10F8" w:rsidP="00ED10F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08155242" w14:textId="77777777" w:rsidR="00ED10F8" w:rsidRPr="00FC6F34" w:rsidRDefault="00ED10F8" w:rsidP="00ED10F8">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5015218" w14:textId="77777777" w:rsidR="00ED10F8" w:rsidRPr="00FC6F34" w:rsidRDefault="00ED10F8" w:rsidP="00ED10F8">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EB72B54" w14:textId="77777777" w:rsidR="00ED10F8" w:rsidRDefault="00ED10F8" w:rsidP="008C53E3">
      <w:pPr>
        <w:shd w:val="clear" w:color="auto" w:fill="FFFFFF"/>
        <w:spacing w:after="0"/>
        <w:ind w:left="709" w:right="709"/>
        <w:jc w:val="both"/>
        <w:rPr>
          <w:rFonts w:ascii="Verdana" w:hAnsi="Verdana" w:cs="Arial"/>
          <w:color w:val="000000" w:themeColor="text1"/>
          <w:sz w:val="21"/>
          <w:szCs w:val="21"/>
          <w:lang w:val="es-ES" w:eastAsia="es-CO"/>
        </w:rPr>
      </w:pPr>
      <w:r w:rsidRPr="0037524F">
        <w:rPr>
          <w:rFonts w:ascii="Verdana" w:hAnsi="Verdana" w:cs="Arial"/>
          <w:color w:val="000000" w:themeColor="text1"/>
          <w:sz w:val="21"/>
          <w:szCs w:val="21"/>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37524F">
        <w:rPr>
          <w:rFonts w:ascii="Verdana" w:hAnsi="Verdana" w:cs="Arial"/>
          <w:color w:val="000000" w:themeColor="text1"/>
          <w:sz w:val="21"/>
          <w:szCs w:val="21"/>
          <w:vertAlign w:val="superscript"/>
          <w:lang w:val="es-ES" w:eastAsia="es-CO"/>
        </w:rPr>
        <w:footnoteReference w:id="19"/>
      </w:r>
      <w:r w:rsidRPr="0037524F">
        <w:rPr>
          <w:rFonts w:ascii="Verdana" w:hAnsi="Verdana" w:cs="Arial"/>
          <w:color w:val="000000" w:themeColor="text1"/>
          <w:sz w:val="21"/>
          <w:szCs w:val="21"/>
          <w:lang w:val="es-ES" w:eastAsia="es-CO"/>
        </w:rPr>
        <w:t xml:space="preserve">”. </w:t>
      </w:r>
    </w:p>
    <w:p w14:paraId="3CF404C2" w14:textId="77777777" w:rsidR="008C53E3" w:rsidRPr="0037524F" w:rsidRDefault="008C53E3" w:rsidP="008C53E3">
      <w:pPr>
        <w:shd w:val="clear" w:color="auto" w:fill="FFFFFF"/>
        <w:spacing w:after="0"/>
        <w:ind w:left="709" w:right="709"/>
        <w:jc w:val="both"/>
        <w:rPr>
          <w:rFonts w:ascii="Verdana" w:hAnsi="Verdana" w:cs="Arial"/>
          <w:color w:val="000000" w:themeColor="text1"/>
          <w:sz w:val="21"/>
          <w:szCs w:val="21"/>
          <w:lang w:val="es-ES" w:eastAsia="es-CO"/>
        </w:rPr>
      </w:pPr>
    </w:p>
    <w:p w14:paraId="2405E95E" w14:textId="77777777" w:rsidR="00ED10F8" w:rsidRPr="00FC6F34" w:rsidRDefault="00ED10F8" w:rsidP="008C53E3">
      <w:pPr>
        <w:tabs>
          <w:tab w:val="left" w:pos="426"/>
        </w:tabs>
        <w:spacing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11D6894D" w14:textId="77777777" w:rsidR="00ED10F8" w:rsidRPr="00FC6F34" w:rsidRDefault="00ED10F8" w:rsidP="00ED10F8">
      <w:pPr>
        <w:tabs>
          <w:tab w:val="left" w:pos="426"/>
        </w:tabs>
        <w:spacing w:after="0" w:line="276" w:lineRule="auto"/>
        <w:ind w:firstLine="709"/>
        <w:jc w:val="both"/>
        <w:rPr>
          <w:rFonts w:ascii="Verdana" w:hAnsi="Verdana" w:cs="Arial"/>
          <w:color w:val="000000" w:themeColor="text1"/>
          <w:lang w:val="es-ES"/>
        </w:rPr>
      </w:pPr>
    </w:p>
    <w:p w14:paraId="6E5E13C1" w14:textId="77777777" w:rsidR="00ED10F8" w:rsidRPr="0037524F" w:rsidRDefault="00ED10F8" w:rsidP="00ED10F8">
      <w:pPr>
        <w:tabs>
          <w:tab w:val="left" w:pos="426"/>
        </w:tabs>
        <w:spacing w:after="0"/>
        <w:ind w:right="709"/>
        <w:jc w:val="both"/>
        <w:rPr>
          <w:rFonts w:ascii="Verdana" w:hAnsi="Verdana" w:cs="Arial"/>
          <w:color w:val="000000" w:themeColor="text1"/>
          <w:sz w:val="21"/>
          <w:szCs w:val="21"/>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r>
      <w:r w:rsidRPr="0037524F">
        <w:rPr>
          <w:rFonts w:ascii="Arial" w:hAnsi="Arial" w:cs="Arial"/>
          <w:color w:val="000000" w:themeColor="text1"/>
          <w:sz w:val="21"/>
          <w:szCs w:val="21"/>
          <w:lang w:val="es-ES"/>
        </w:rPr>
        <w:t>“</w:t>
      </w:r>
      <w:r w:rsidRPr="0037524F">
        <w:rPr>
          <w:rFonts w:ascii="Verdana" w:hAnsi="Verdana" w:cs="Arial"/>
          <w:color w:val="000000" w:themeColor="text1"/>
          <w:sz w:val="21"/>
          <w:szCs w:val="21"/>
          <w:lang w:val="es-ES"/>
        </w:rPr>
        <w:t xml:space="preserve">[…] </w:t>
      </w:r>
      <w:r w:rsidRPr="0037524F">
        <w:rPr>
          <w:rFonts w:ascii="Verdana" w:hAnsi="Verdana" w:cs="Arial"/>
          <w:i/>
          <w:color w:val="000000" w:themeColor="text1"/>
          <w:sz w:val="21"/>
          <w:szCs w:val="21"/>
          <w:lang w:val="es-ES"/>
        </w:rPr>
        <w:t>Las excepciones aplicables a la restricción de contratación pública</w:t>
      </w:r>
    </w:p>
    <w:p w14:paraId="2A28C994" w14:textId="77777777" w:rsidR="00ED10F8" w:rsidRPr="0037524F" w:rsidRDefault="00ED10F8" w:rsidP="00ED10F8">
      <w:pPr>
        <w:spacing w:after="0"/>
        <w:ind w:left="709" w:right="709"/>
        <w:jc w:val="both"/>
        <w:rPr>
          <w:rFonts w:ascii="Verdana" w:hAnsi="Verdana" w:cs="Arial"/>
          <w:color w:val="000000" w:themeColor="text1"/>
          <w:sz w:val="21"/>
          <w:szCs w:val="21"/>
          <w:shd w:val="clear" w:color="auto" w:fill="FFFFFF"/>
          <w:lang w:val="es-ES"/>
        </w:rPr>
      </w:pPr>
      <w:r w:rsidRPr="0037524F">
        <w:rPr>
          <w:rFonts w:ascii="Verdana" w:hAnsi="Verdana" w:cs="Arial"/>
          <w:color w:val="000000" w:themeColor="text1"/>
          <w:sz w:val="21"/>
          <w:szCs w:val="21"/>
          <w:shd w:val="clear" w:color="auto" w:fill="FFFFFF"/>
          <w:lang w:val="es-ES"/>
        </w:rPr>
        <w:t>Ahora bien, las únicas excepciones a las disposiciones previstas en la Ley de Garantías se encuentran numeradas taxativamente en el último inciso del artículo 33 de la ley 996 de 2005[…]</w:t>
      </w:r>
      <w:r w:rsidRPr="0037524F">
        <w:rPr>
          <w:rFonts w:ascii="Verdana" w:hAnsi="Verdana" w:cs="Arial"/>
          <w:color w:val="000000" w:themeColor="text1"/>
          <w:sz w:val="21"/>
          <w:szCs w:val="21"/>
          <w:shd w:val="clear" w:color="auto" w:fill="FFFFFF"/>
          <w:vertAlign w:val="superscript"/>
          <w:lang w:val="es-ES"/>
        </w:rPr>
        <w:footnoteReference w:id="20"/>
      </w:r>
      <w:r w:rsidRPr="0037524F">
        <w:rPr>
          <w:rFonts w:ascii="Verdana" w:hAnsi="Verdana" w:cs="Arial"/>
          <w:color w:val="000000" w:themeColor="text1"/>
          <w:sz w:val="21"/>
          <w:szCs w:val="21"/>
          <w:shd w:val="clear" w:color="auto" w:fill="FFFFFF"/>
          <w:lang w:val="es-ES"/>
        </w:rPr>
        <w:t>.</w:t>
      </w:r>
    </w:p>
    <w:p w14:paraId="79C9ECFB" w14:textId="77777777" w:rsidR="00ED10F8" w:rsidRPr="00FC6F34" w:rsidRDefault="00ED10F8" w:rsidP="00ED10F8">
      <w:pPr>
        <w:spacing w:after="0"/>
        <w:ind w:left="709" w:right="709"/>
        <w:jc w:val="both"/>
        <w:rPr>
          <w:rFonts w:ascii="Verdana" w:hAnsi="Verdana" w:cs="Arial"/>
          <w:color w:val="000000" w:themeColor="text1"/>
          <w:sz w:val="20"/>
          <w:szCs w:val="20"/>
          <w:shd w:val="clear" w:color="auto" w:fill="FFFFFF"/>
          <w:lang w:val="es-ES"/>
        </w:rPr>
      </w:pPr>
    </w:p>
    <w:p w14:paraId="52955E8E" w14:textId="77777777" w:rsidR="00ED10F8" w:rsidRDefault="00ED10F8" w:rsidP="00ED10F8">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37524F">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w:t>
      </w:r>
      <w:r w:rsidRPr="0037524F">
        <w:rPr>
          <w:rFonts w:ascii="Verdana" w:hAnsi="Verdana" w:cs="Arial"/>
          <w:bCs/>
          <w:i/>
          <w:iCs/>
          <w:color w:val="000000" w:themeColor="text1"/>
          <w:lang w:val="es-ES"/>
        </w:rPr>
        <w:t>taxativo</w:t>
      </w:r>
      <w:r w:rsidRPr="00FC6F34">
        <w:rPr>
          <w:rFonts w:ascii="Verdana" w:hAnsi="Verdana" w:cs="Arial"/>
          <w:bCs/>
          <w:color w:val="000000" w:themeColor="text1"/>
          <w:lang w:val="es-ES"/>
        </w:rPr>
        <w:t xml:space="preserve"> implica que solo en los eventos consagrados expresamente en la norma permiten que ciertas entidades estatales se vean exceptuadas de la prohibición. </w:t>
      </w:r>
      <w:r>
        <w:rPr>
          <w:rFonts w:ascii="Verdana" w:hAnsi="Verdana" w:cs="Arial"/>
          <w:bCs/>
          <w:color w:val="000000" w:themeColor="text1"/>
          <w:lang w:val="es-ES"/>
        </w:rPr>
        <w:t xml:space="preserve">Corresponderá a cada entidad analizar y justificar en cada caso concreto si se configura alguna de las excepciones referidas. Cuando esto ocurra, podrá adelantar el proceso de contratación aunque se encuentre en curso el periodo de la prohibición. </w:t>
      </w:r>
    </w:p>
    <w:p w14:paraId="475953B7" w14:textId="77777777" w:rsidR="00ED10F8" w:rsidRPr="00FC6F34" w:rsidRDefault="00ED10F8" w:rsidP="00ED10F8">
      <w:pPr>
        <w:tabs>
          <w:tab w:val="left" w:pos="426"/>
        </w:tabs>
        <w:spacing w:after="0" w:line="276" w:lineRule="auto"/>
        <w:ind w:firstLine="709"/>
        <w:jc w:val="both"/>
        <w:rPr>
          <w:rFonts w:ascii="Verdana" w:hAnsi="Verdana" w:cs="Arial"/>
          <w:bCs/>
          <w:color w:val="000000" w:themeColor="text1"/>
          <w:lang w:val="es-ES"/>
        </w:rPr>
      </w:pPr>
    </w:p>
    <w:p w14:paraId="48ED5D0F" w14:textId="77777777" w:rsidR="00ED10F8" w:rsidRPr="00926A18" w:rsidRDefault="00ED10F8" w:rsidP="00ED10F8">
      <w:pPr>
        <w:spacing w:after="0" w:line="276" w:lineRule="auto"/>
        <w:jc w:val="both"/>
        <w:rPr>
          <w:rFonts w:ascii="Verdana" w:eastAsia="Arial" w:hAnsi="Verdana" w:cs="Arial"/>
          <w:bCs/>
          <w:color w:val="000000" w:themeColor="text1"/>
          <w:lang w:val="es-ES"/>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xml:space="preserve">) Con respecto a la aplicación de la Ley de Garantías Electorales a los contratos o convenios financiados con recursos de organismos de cooperación o aquellos multilaterales de crédito,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w:t>
      </w:r>
    </w:p>
    <w:p w14:paraId="5517F086" w14:textId="77777777" w:rsidR="00ED10F8" w:rsidRDefault="00ED10F8" w:rsidP="00ED10F8">
      <w:pPr>
        <w:spacing w:after="0" w:line="276" w:lineRule="auto"/>
        <w:jc w:val="both"/>
        <w:rPr>
          <w:rFonts w:ascii="Verdana" w:eastAsia="Times New Roman" w:hAnsi="Verdana" w:cs="Arial"/>
          <w:lang w:val="es-MX" w:eastAsia="x-none"/>
        </w:rPr>
      </w:pPr>
    </w:p>
    <w:p w14:paraId="127329FC" w14:textId="77777777" w:rsidR="00ED10F8" w:rsidRDefault="00ED10F8" w:rsidP="0041287C">
      <w:pPr>
        <w:spacing w:after="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80 de 1993. Los recursos de contrapartida vinculados a estas operaciones podrán tener el mismo tratamiento</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1F3D6E4B" w14:textId="77777777" w:rsidR="0041287C" w:rsidRPr="00F66EEE" w:rsidRDefault="0041287C" w:rsidP="0041287C">
      <w:pPr>
        <w:spacing w:after="0" w:line="240" w:lineRule="auto"/>
        <w:ind w:left="709" w:right="709"/>
        <w:jc w:val="both"/>
        <w:rPr>
          <w:rFonts w:ascii="Verdana" w:eastAsia="Times New Roman" w:hAnsi="Verdana" w:cs="Arial"/>
          <w:sz w:val="21"/>
          <w:szCs w:val="21"/>
          <w:lang w:eastAsia="x-none"/>
        </w:rPr>
      </w:pPr>
    </w:p>
    <w:p w14:paraId="671E7233" w14:textId="77777777" w:rsidR="00ED10F8" w:rsidRDefault="00ED10F8" w:rsidP="00ED10F8">
      <w:pPr>
        <w:spacing w:after="120" w:line="276" w:lineRule="auto"/>
        <w:ind w:firstLine="694"/>
        <w:jc w:val="both"/>
        <w:rPr>
          <w:rFonts w:ascii="Verdana" w:eastAsia="Times New Roman" w:hAnsi="Verdana" w:cs="Arial"/>
          <w:lang w:val="es-MX" w:eastAsia="x-none"/>
        </w:rPr>
      </w:pPr>
      <w:r>
        <w:rPr>
          <w:rFonts w:ascii="Verdana" w:eastAsia="Times New Roman" w:hAnsi="Verdana" w:cs="Arial"/>
          <w:lang w:val="es-MX" w:eastAsia="x-none"/>
        </w:rPr>
        <w:t xml:space="preserve">En virtud de esta norma, </w:t>
      </w:r>
      <w:r w:rsidRPr="00B73308">
        <w:rPr>
          <w:rFonts w:ascii="Verdana" w:eastAsia="Times New Roman" w:hAnsi="Verdana" w:cs="Arial"/>
          <w:lang w:val="es-MX" w:eastAsia="x-none"/>
        </w:rPr>
        <w:t xml:space="preserve">siempre que </w:t>
      </w:r>
      <w:r>
        <w:rPr>
          <w:rFonts w:ascii="Verdana" w:eastAsia="Times New Roman" w:hAnsi="Verdana" w:cs="Arial"/>
          <w:lang w:val="es-MX" w:eastAsia="x-none"/>
        </w:rPr>
        <w:t xml:space="preserve">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160FFD93" w14:textId="77777777" w:rsidR="00ED10F8" w:rsidRDefault="00ED10F8" w:rsidP="00ED10F8">
      <w:pPr>
        <w:spacing w:before="120" w:after="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xml:space="preserve">, la restricción contemplada en </w:t>
      </w:r>
      <w:r>
        <w:rPr>
          <w:rFonts w:ascii="Verdana" w:eastAsia="Times New Roman" w:hAnsi="Verdana" w:cs="Arial"/>
          <w:lang w:val="es-MX"/>
        </w:rPr>
        <w:t>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 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sidRPr="44B3FB22">
        <w:rPr>
          <w:rStyle w:val="FootnoteReference"/>
          <w:rFonts w:ascii="Verdana" w:eastAsia="Times New Roman" w:hAnsi="Verdana" w:cs="Arial"/>
          <w:lang w:val="es-MX"/>
        </w:rPr>
        <w:footnoteReference w:id="21"/>
      </w:r>
      <w:r w:rsidRPr="44B3FB22">
        <w:rPr>
          <w:rFonts w:ascii="Verdana" w:eastAsia="Times New Roman" w:hAnsi="Verdana" w:cs="Arial"/>
          <w:lang w:val="es-MX"/>
        </w:rPr>
        <w:t>.</w:t>
      </w:r>
      <w:bookmarkStart w:id="3" w:name="2.2.1.2.4.4.1"/>
      <w:bookmarkEnd w:id="3"/>
      <w:r>
        <w:rPr>
          <w:rFonts w:ascii="Verdana" w:eastAsia="Times New Roman" w:hAnsi="Verdana" w:cs="Arial"/>
          <w:lang w:val="es-MX"/>
        </w:rPr>
        <w:t xml:space="preserve"> </w:t>
      </w:r>
    </w:p>
    <w:p w14:paraId="02D873BE" w14:textId="2F26A20D" w:rsidR="00ED10F8" w:rsidRDefault="00ED10F8" w:rsidP="0041287C">
      <w:pPr>
        <w:spacing w:before="120" w:after="0" w:line="276" w:lineRule="auto"/>
        <w:ind w:firstLine="694"/>
        <w:jc w:val="both"/>
        <w:rPr>
          <w:rFonts w:ascii="Verdana" w:eastAsia="Times New Roman" w:hAnsi="Verdana" w:cs="Arial"/>
          <w:lang w:val="es-MX" w:eastAsia="x-none"/>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Pr>
          <w:rFonts w:ascii="Verdana" w:eastAsia="Times New Roman" w:hAnsi="Verdana" w:cs="Arial"/>
          <w:lang w:val="es-MX" w:eastAsia="x-none"/>
        </w:rPr>
        <w:t>:</w:t>
      </w:r>
    </w:p>
    <w:p w14:paraId="0669E5A6" w14:textId="77777777" w:rsidR="0041287C" w:rsidRDefault="0041287C" w:rsidP="0041287C">
      <w:pPr>
        <w:spacing w:after="0" w:line="276" w:lineRule="auto"/>
        <w:ind w:firstLine="694"/>
        <w:jc w:val="both"/>
        <w:rPr>
          <w:rFonts w:ascii="Verdana" w:eastAsia="Times New Roman" w:hAnsi="Verdana" w:cs="Arial"/>
          <w:lang w:val="es-MX" w:eastAsia="x-none"/>
        </w:rPr>
      </w:pPr>
    </w:p>
    <w:p w14:paraId="44DCDED2" w14:textId="77777777" w:rsidR="00ED10F8" w:rsidRDefault="00ED10F8" w:rsidP="00ED10F8">
      <w:pPr>
        <w:spacing w:after="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 xml:space="preserve">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w:t>
      </w:r>
      <w:r w:rsidRPr="00F66EEE">
        <w:rPr>
          <w:rFonts w:ascii="Verdana" w:eastAsia="Times New Roman" w:hAnsi="Verdana" w:cs="Arial"/>
          <w:sz w:val="21"/>
          <w:szCs w:val="21"/>
          <w:lang w:eastAsia="x-none"/>
        </w:rPr>
        <w:lastRenderedPageBreak/>
        <w:t xml:space="preserve">la operación del programa mundial de alimentos; contratos y convenios para el desarrollo de programas de apoyo educativo a población desplazada y vulnerable adelantados por la Unesco y la OIM; los contratos o convenios financiados con fondos de los </w:t>
      </w:r>
      <w:r w:rsidRPr="00DD7805">
        <w:rPr>
          <w:rFonts w:ascii="Verdana" w:eastAsia="Times New Roman" w:hAnsi="Verdana" w:cs="Arial"/>
          <w:i/>
          <w:iCs/>
          <w:sz w:val="21"/>
          <w:szCs w:val="21"/>
          <w:lang w:eastAsia="x-none"/>
        </w:rPr>
        <w:t>organismos multilaterales de crédito</w:t>
      </w:r>
      <w:r w:rsidRPr="00F66EEE">
        <w:rPr>
          <w:rFonts w:ascii="Verdana" w:eastAsia="Times New Roman" w:hAnsi="Verdana" w:cs="Arial"/>
          <w:sz w:val="21"/>
          <w:szCs w:val="21"/>
          <w:lang w:eastAsia="x-none"/>
        </w:rPr>
        <w:t xml:space="preserve"> y entes gubernamentales extranjeros, podrán someterse a los reglamentos de tales entidades.</w:t>
      </w:r>
    </w:p>
    <w:p w14:paraId="685CEADE" w14:textId="77777777" w:rsidR="00ED10F8" w:rsidRPr="00F66EEE" w:rsidRDefault="00ED10F8" w:rsidP="00ED10F8">
      <w:pPr>
        <w:spacing w:before="120" w:after="0" w:line="240" w:lineRule="auto"/>
        <w:ind w:left="709" w:right="709"/>
        <w:jc w:val="both"/>
        <w:rPr>
          <w:rFonts w:ascii="Verdana" w:eastAsia="Times New Roman" w:hAnsi="Verdana" w:cs="Arial"/>
          <w:sz w:val="21"/>
          <w:szCs w:val="21"/>
          <w:lang w:val="es-MX" w:eastAsia="x-none"/>
        </w:rPr>
      </w:pPr>
      <w:r>
        <w:rPr>
          <w:rFonts w:ascii="Verdana" w:eastAsia="Times New Roman" w:hAnsi="Verdana" w:cs="Arial"/>
          <w:sz w:val="21"/>
          <w:szCs w:val="21"/>
          <w:lang w:eastAsia="x-none"/>
        </w:rPr>
        <w:t>[…]</w:t>
      </w:r>
    </w:p>
    <w:p w14:paraId="4FAB298E" w14:textId="77777777" w:rsidR="00ED10F8" w:rsidRDefault="00ED10F8" w:rsidP="00ED10F8">
      <w:pPr>
        <w:spacing w:before="120" w:after="0" w:line="240" w:lineRule="auto"/>
        <w:ind w:left="709" w:right="709"/>
        <w:jc w:val="both"/>
        <w:rPr>
          <w:rFonts w:ascii="Verdana" w:eastAsia="Times New Roman" w:hAnsi="Verdana" w:cs="Arial"/>
          <w:sz w:val="21"/>
          <w:szCs w:val="21"/>
          <w:lang w:eastAsia="x-none"/>
        </w:rPr>
      </w:pPr>
      <w:r w:rsidRPr="00F66EEE">
        <w:rPr>
          <w:rFonts w:ascii="Verdana" w:eastAsia="Times New Roman" w:hAnsi="Verdana" w:cs="Arial"/>
          <w:sz w:val="21"/>
          <w:szCs w:val="21"/>
          <w:lang w:eastAsia="x-none"/>
        </w:rPr>
        <w:t>Parágrafo 1. Los contratos o acuerdos celebrados con personas extranjeras de derecho público, podrán someterse a las reglas de tales organismos</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7465FD6E" w14:textId="77777777" w:rsidR="00ED10F8" w:rsidRPr="00F66EEE" w:rsidRDefault="00ED10F8" w:rsidP="00ED10F8">
      <w:pPr>
        <w:spacing w:after="0" w:line="240" w:lineRule="auto"/>
        <w:ind w:left="709" w:right="709"/>
        <w:jc w:val="both"/>
        <w:rPr>
          <w:rFonts w:ascii="Verdana" w:eastAsia="Times New Roman" w:hAnsi="Verdana" w:cs="Arial"/>
          <w:sz w:val="21"/>
          <w:szCs w:val="21"/>
          <w:lang w:eastAsia="x-none"/>
        </w:rPr>
      </w:pPr>
    </w:p>
    <w:p w14:paraId="07B864CB" w14:textId="77777777" w:rsidR="00ED10F8" w:rsidRDefault="00ED10F8" w:rsidP="00ED10F8">
      <w:pPr>
        <w:spacing w:after="0" w:line="276" w:lineRule="auto"/>
        <w:ind w:firstLine="694"/>
        <w:jc w:val="both"/>
        <w:rPr>
          <w:rFonts w:ascii="Verdana" w:eastAsia="Calibri" w:hAnsi="Verdana" w:cs="Arial"/>
          <w:lang w:val="es-ES"/>
        </w:rPr>
      </w:pPr>
      <w:r>
        <w:rPr>
          <w:rFonts w:ascii="Verdana" w:eastAsia="Times New Roman" w:hAnsi="Verdana" w:cs="Arial"/>
          <w:lang w:val="es-MX" w:eastAsia="x-none"/>
        </w:rPr>
        <w:t xml:space="preserve">Según lo expuesto, </w:t>
      </w:r>
      <w:r>
        <w:rPr>
          <w:rFonts w:ascii="Verdana" w:eastAsia="Calibri" w:hAnsi="Verdana" w:cs="Arial"/>
          <w:lang w:val="es-ES"/>
        </w:rPr>
        <w:t>las entidades pueden optar por someter los siguientes</w:t>
      </w:r>
      <w:r w:rsidRPr="00AA020D">
        <w:rPr>
          <w:rFonts w:ascii="Verdana" w:eastAsia="Calibri" w:hAnsi="Verdana" w:cs="Arial"/>
          <w:lang w:val="es-ES"/>
        </w:rPr>
        <w:t xml:space="preserve"> contrato</w:t>
      </w:r>
      <w:r>
        <w:rPr>
          <w:rFonts w:ascii="Verdana" w:eastAsia="Calibri" w:hAnsi="Verdana" w:cs="Arial"/>
          <w:lang w:val="es-ES"/>
        </w:rPr>
        <w:t>s</w:t>
      </w:r>
      <w:r w:rsidRPr="00AA020D">
        <w:rPr>
          <w:rFonts w:ascii="Verdana" w:eastAsia="Calibri" w:hAnsi="Verdana" w:cs="Arial"/>
          <w:lang w:val="es-ES"/>
        </w:rPr>
        <w:t xml:space="preserve"> o convenio</w:t>
      </w:r>
      <w:r>
        <w:rPr>
          <w:rFonts w:ascii="Verdana" w:eastAsia="Calibri" w:hAnsi="Verdana" w:cs="Arial"/>
          <w:lang w:val="es-ES"/>
        </w:rPr>
        <w:t>s</w:t>
      </w:r>
      <w:r w:rsidRPr="00AA020D">
        <w:rPr>
          <w:rFonts w:ascii="Verdana" w:eastAsia="Calibri" w:hAnsi="Verdana" w:cs="Arial"/>
          <w:lang w:val="es-ES"/>
        </w:rPr>
        <w:t xml:space="preserve"> a los reglamentos de </w:t>
      </w:r>
      <w:r>
        <w:rPr>
          <w:rFonts w:ascii="Verdana" w:eastAsia="Calibri" w:hAnsi="Verdana" w:cs="Arial"/>
          <w:lang w:val="es-ES"/>
        </w:rPr>
        <w:t xml:space="preserve">los </w:t>
      </w:r>
      <w:r w:rsidRPr="00AA020D">
        <w:rPr>
          <w:rFonts w:ascii="Verdana" w:eastAsia="Calibri" w:hAnsi="Verdana" w:cs="Arial"/>
          <w:lang w:val="es-ES"/>
        </w:rPr>
        <w:t>organismos</w:t>
      </w:r>
      <w:r>
        <w:rPr>
          <w:rFonts w:ascii="Verdana" w:eastAsia="Calibri" w:hAnsi="Verdana" w:cs="Arial"/>
          <w:lang w:val="es-ES"/>
        </w:rPr>
        <w:t xml:space="preserve"> o entes internacionales</w:t>
      </w:r>
      <w:r w:rsidRPr="00AA020D">
        <w:rPr>
          <w:rFonts w:ascii="Verdana" w:eastAsia="Calibri" w:hAnsi="Verdana" w:cs="Arial"/>
          <w:lang w:val="es-ES"/>
        </w:rPr>
        <w:t>, independientemente del monto o porcentaje de los aportes de las partes</w:t>
      </w:r>
      <w:r w:rsidRPr="00750B7D">
        <w:rPr>
          <w:rFonts w:ascii="Verdana" w:eastAsia="Calibri" w:hAnsi="Verdana" w:cs="Arial"/>
          <w:lang w:val="es-ES"/>
        </w:rPr>
        <w:t>:</w:t>
      </w:r>
    </w:p>
    <w:p w14:paraId="47FF6EBA" w14:textId="77777777" w:rsidR="00ED10F8" w:rsidRPr="00DF1455" w:rsidRDefault="00ED10F8" w:rsidP="00ED10F8">
      <w:pPr>
        <w:spacing w:after="0" w:line="276" w:lineRule="auto"/>
        <w:jc w:val="both"/>
        <w:rPr>
          <w:rFonts w:ascii="Verdana" w:eastAsia="Times New Roman" w:hAnsi="Verdana" w:cs="Arial"/>
          <w:lang w:val="es-MX"/>
        </w:rPr>
      </w:pPr>
    </w:p>
    <w:p w14:paraId="2D47AB24"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celebrados con personas extranjeras de derecho público u organismos de derecho internacional cuyo objeto sea el desarrollo de programas de promoción, prevención y atención en salud;</w:t>
      </w:r>
    </w:p>
    <w:p w14:paraId="317D4830"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necesarios para la operación de la Organización Internacional del Trabajo; </w:t>
      </w:r>
    </w:p>
    <w:p w14:paraId="2E47378D"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que se ejecuten en desarrollo del sistema integrado de monitoreo de cultivos ilícitos; </w:t>
      </w:r>
    </w:p>
    <w:p w14:paraId="7D2AD517"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la operación del programa mundial de alimentos; </w:t>
      </w:r>
    </w:p>
    <w:p w14:paraId="6F3DCE63"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el desarrollo de programas de apoyo educativo a población desplazada y vulnerable adelantados por la Unesco y la OIM; </w:t>
      </w:r>
    </w:p>
    <w:p w14:paraId="31238FB2" w14:textId="77777777" w:rsidR="00ED10F8" w:rsidRDefault="00ED10F8" w:rsidP="00ED10F8">
      <w:pPr>
        <w:pStyle w:val="ListParagraph"/>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financiados con fondos de los organismos multilaterales de crédito y entes gubernamentales extranjeros.</w:t>
      </w:r>
    </w:p>
    <w:p w14:paraId="3C4C7083" w14:textId="77777777" w:rsidR="00ED10F8" w:rsidRPr="00750B7D" w:rsidRDefault="00ED10F8" w:rsidP="00ED10F8">
      <w:pPr>
        <w:pStyle w:val="ListParagraph"/>
        <w:spacing w:after="0" w:line="276" w:lineRule="auto"/>
        <w:jc w:val="both"/>
        <w:rPr>
          <w:rFonts w:ascii="Verdana" w:hAnsi="Verdana"/>
        </w:rPr>
      </w:pPr>
    </w:p>
    <w:p w14:paraId="5B852B0E" w14:textId="77777777" w:rsidR="00ED10F8" w:rsidRPr="00FF364F" w:rsidRDefault="00ED10F8" w:rsidP="00ED10F8">
      <w:pPr>
        <w:spacing w:after="0" w:line="276" w:lineRule="auto"/>
        <w:ind w:firstLine="694"/>
        <w:jc w:val="both"/>
        <w:rPr>
          <w:rFonts w:ascii="Verdana" w:hAnsi="Verdana" w:cs="Arial"/>
          <w:lang w:val="es-ES"/>
        </w:rPr>
      </w:pPr>
      <w:r>
        <w:rPr>
          <w:rFonts w:ascii="Verdana" w:eastAsia="Times New Roman" w:hAnsi="Verdana" w:cs="Arial"/>
          <w:lang w:val="es-MX"/>
        </w:rPr>
        <w:t xml:space="preserve">En línea </w:t>
      </w:r>
      <w:r w:rsidRPr="00FF364F">
        <w:rPr>
          <w:rFonts w:ascii="Verdana" w:eastAsia="Times New Roman" w:hAnsi="Verdana" w:cs="Arial"/>
          <w:lang w:val="es-MX"/>
        </w:rPr>
        <w:t xml:space="preserve">con lo </w:t>
      </w:r>
      <w:r w:rsidRPr="00FF364F">
        <w:rPr>
          <w:rFonts w:ascii="Verdana" w:hAnsi="Verdana" w:cs="Arial"/>
          <w:lang w:val="es-ES"/>
        </w:rPr>
        <w:t xml:space="preserve">anterior, el artículo 2.2.1.2.4.4.1. del Decreto 1082 de 2015 establece que </w:t>
      </w:r>
      <w:r w:rsidRPr="00FF364F">
        <w:rPr>
          <w:rFonts w:ascii="Verdana" w:hAnsi="Verdana" w:cs="Arial"/>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w:t>
      </w:r>
      <w:r w:rsidRPr="00FF364F">
        <w:rPr>
          <w:rFonts w:ascii="Verdana" w:hAnsi="Verdana" w:cs="Arial"/>
        </w:rPr>
        <w:lastRenderedPageBreak/>
        <w:t xml:space="preserve">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1ED18D48" w14:textId="77777777" w:rsidR="00ED10F8" w:rsidRDefault="00ED10F8" w:rsidP="00ED10F8">
      <w:pPr>
        <w:spacing w:before="120" w:after="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w:t>
      </w:r>
      <w:r>
        <w:rPr>
          <w:rFonts w:ascii="Verdana" w:eastAsia="Times New Roman" w:hAnsi="Verdana" w:cs="Arial"/>
          <w:lang w:val="es-MX"/>
        </w:rPr>
        <w:t xml:space="preserve">la Ley de Garantías Electorales </w:t>
      </w:r>
      <w:r>
        <w:rPr>
          <w:rFonts w:ascii="Verdana" w:eastAsia="Times New Roman" w:hAnsi="Verdana" w:cs="Arial"/>
          <w:i/>
          <w:iCs/>
          <w:lang w:val="es-MX"/>
        </w:rPr>
        <w:t>tampoco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6825CAC9" w14:textId="77777777" w:rsidR="00ED10F8" w:rsidRDefault="00ED10F8" w:rsidP="00ED10F8">
      <w:pPr>
        <w:spacing w:before="120" w:after="0" w:line="276" w:lineRule="auto"/>
        <w:ind w:firstLine="694"/>
        <w:jc w:val="both"/>
        <w:rPr>
          <w:rFonts w:ascii="Verdana" w:eastAsia="Times New Roman" w:hAnsi="Verdana" w:cs="Arial"/>
          <w:lang w:val="es-MX"/>
        </w:rPr>
      </w:pPr>
      <w:r>
        <w:rPr>
          <w:rFonts w:ascii="Verdana" w:eastAsia="Calibri" w:hAnsi="Verdana" w:cs="Arial"/>
          <w:lang w:val="es-ES"/>
        </w:rPr>
        <w:t>Las reglas antes expuestas se refieren a los contratos o convenios que celebren las Entidades Estatales sometidas al EGCAP con Organismos Internacionales u organismos multilaterales de crédito. De esta forma, el artículo 20 de la Ley 1150 de 2007 no hace mención expresa sobre el régimen contractual aplicable a los contratos que posteriormente se suscriban con ocasión a dichos acuerdos. En este contexto, la determinación del régimen contractual podrá variar según los supuestos del caso concreto. Como no es dable a esta Agencia referirse a reglas aplicables a casos particulares, a continuación se exponen parámetros de carácter general que, según la normativa del sistema de compras públicas, pueden resultar aplicables en los supuestos señalados en su consulta.</w:t>
      </w:r>
    </w:p>
    <w:p w14:paraId="0CE173BD" w14:textId="77777777" w:rsidR="00ED10F8" w:rsidRPr="00F05D34" w:rsidRDefault="00ED10F8" w:rsidP="00ED10F8">
      <w:pPr>
        <w:spacing w:before="120" w:after="0" w:line="276" w:lineRule="auto"/>
        <w:ind w:firstLine="694"/>
        <w:jc w:val="both"/>
        <w:rPr>
          <w:rFonts w:ascii="Verdana" w:eastAsia="Times New Roman" w:hAnsi="Verdana" w:cs="Arial"/>
          <w:lang w:val="es-MX"/>
        </w:rPr>
      </w:pPr>
      <w:r>
        <w:rPr>
          <w:rFonts w:ascii="Verdana" w:eastAsia="Calibri" w:hAnsi="Verdana" w:cs="Arial"/>
          <w:lang w:val="es-ES"/>
        </w:rPr>
        <w:t>D</w:t>
      </w:r>
      <w:r w:rsidRPr="001B5B78">
        <w:rPr>
          <w:rFonts w:ascii="Verdana" w:eastAsia="Calibri" w:hAnsi="Verdana" w:cs="Arial"/>
          <w:lang w:val="es-ES"/>
        </w:rPr>
        <w:t>ebido a que</w:t>
      </w:r>
      <w:r w:rsidRPr="001B5B78">
        <w:rPr>
          <w:rFonts w:ascii="Verdana" w:hAnsi="Verdana" w:cs="Arial"/>
          <w:color w:val="000000" w:themeColor="text1"/>
          <w:lang w:val="es-ES"/>
        </w:rPr>
        <w:t xml:space="preserve"> el legislador no distinguió los aspectos sobre los cuales es factible aplicar los reglamentos de</w:t>
      </w:r>
      <w:r>
        <w:rPr>
          <w:rFonts w:ascii="Verdana" w:hAnsi="Verdana" w:cs="Arial"/>
          <w:color w:val="000000" w:themeColor="text1"/>
          <w:lang w:val="es-ES"/>
        </w:rPr>
        <w:t xml:space="preserve"> los organismos internacionales</w:t>
      </w:r>
      <w:r w:rsidRPr="001B5B78">
        <w:rPr>
          <w:rFonts w:ascii="Verdana" w:hAnsi="Verdana" w:cs="Arial"/>
          <w:color w:val="000000" w:themeColor="text1"/>
          <w:lang w:val="es-ES"/>
        </w:rPr>
        <w:t>, debe entenderse que dentro de la remisión cabe el procedimiento de celebración y todo lo relacionado con la ejecución del contrato o convenio</w:t>
      </w:r>
      <w:r>
        <w:rPr>
          <w:rFonts w:ascii="Verdana" w:hAnsi="Verdana" w:cs="Arial"/>
          <w:color w:val="000000" w:themeColor="text1"/>
          <w:lang w:val="es-ES"/>
        </w:rPr>
        <w:t>.</w:t>
      </w:r>
      <w:r w:rsidRPr="00542551">
        <w:rPr>
          <w:rFonts w:ascii="Verdana" w:hAnsi="Verdana" w:cs="Arial"/>
          <w:color w:val="000000" w:themeColor="text1"/>
          <w:lang w:val="es-ES"/>
        </w:rPr>
        <w:t xml:space="preserve"> </w:t>
      </w:r>
      <w:r w:rsidRPr="001B5B78">
        <w:rPr>
          <w:rFonts w:ascii="Verdana" w:hAnsi="Verdana" w:cs="Arial"/>
          <w:color w:val="000000" w:themeColor="text1"/>
          <w:lang w:val="es-ES"/>
        </w:rPr>
        <w:t xml:space="preserve">Esto significa que las Entidades Estatales pueden </w:t>
      </w:r>
      <w:r>
        <w:rPr>
          <w:rFonts w:ascii="Verdana" w:hAnsi="Verdana" w:cs="Arial"/>
          <w:color w:val="000000" w:themeColor="text1"/>
          <w:lang w:val="es-ES"/>
        </w:rPr>
        <w:t>pactar que la celebración de contratos derivados</w:t>
      </w:r>
      <w:r w:rsidRPr="001B5B78">
        <w:rPr>
          <w:rFonts w:ascii="Verdana" w:hAnsi="Verdana" w:cs="Arial"/>
          <w:color w:val="000000" w:themeColor="text1"/>
          <w:lang w:val="es-ES"/>
        </w:rPr>
        <w:t xml:space="preserve"> </w:t>
      </w:r>
      <w:r>
        <w:rPr>
          <w:rFonts w:ascii="Verdana" w:hAnsi="Verdana" w:cs="Arial"/>
          <w:color w:val="000000" w:themeColor="text1"/>
          <w:lang w:val="es-ES"/>
        </w:rPr>
        <w:t xml:space="preserve">siga </w:t>
      </w:r>
      <w:r w:rsidRPr="001B5B78">
        <w:rPr>
          <w:rFonts w:ascii="Verdana" w:hAnsi="Verdana" w:cs="Arial"/>
          <w:color w:val="000000" w:themeColor="text1"/>
          <w:lang w:val="es-ES"/>
        </w:rPr>
        <w:t xml:space="preserve">los procedimientos establecidos en los reglamentos de los organismos internacionales a los que alude el citado artículo 20 y no los previstos en el EGCAP.  </w:t>
      </w:r>
    </w:p>
    <w:p w14:paraId="4021D0A8" w14:textId="77777777" w:rsidR="00ED10F8" w:rsidRDefault="00ED10F8" w:rsidP="00ED10F8">
      <w:pPr>
        <w:spacing w:after="120" w:line="276" w:lineRule="auto"/>
        <w:ind w:firstLine="708"/>
        <w:jc w:val="both"/>
        <w:rPr>
          <w:rFonts w:ascii="Verdana" w:eastAsia="Calibri" w:hAnsi="Verdana" w:cs="Arial"/>
          <w:lang w:val="es-ES"/>
        </w:rPr>
      </w:pPr>
      <w:r>
        <w:rPr>
          <w:rFonts w:ascii="Verdana" w:hAnsi="Verdana" w:cs="Arial"/>
          <w:color w:val="000000" w:themeColor="text1"/>
          <w:lang w:val="es-ES"/>
        </w:rPr>
        <w:t xml:space="preserve">En efecto, cuando se configure alguno de los supuestos establecidos en el artículo 20 de la Ley 1150 de 2007 que permiten que las entidades estatales pacten con los organismos internacionales la aplicación de sus reglamentos, el convenio o contrato podrá incluir cláusulas específicas mediante las cuales se determine el régimen aplicable a los contratos derivados que se celebren para la ejecución del acuerdo “principal”. Por ejemplo, cuando las entidades sometidas al EGCAP celebren un acuerdo con un </w:t>
      </w:r>
      <w:r w:rsidRPr="001B5B78">
        <w:rPr>
          <w:rFonts w:ascii="Verdana" w:eastAsia="Calibri" w:hAnsi="Verdana" w:cs="Arial"/>
          <w:i/>
          <w:iCs/>
          <w:lang w:val="es-ES"/>
        </w:rPr>
        <w:t xml:space="preserve">organismo de cooperación, </w:t>
      </w:r>
      <w:r w:rsidRPr="001B5B78">
        <w:rPr>
          <w:rFonts w:ascii="Verdana" w:eastAsia="Calibri" w:hAnsi="Verdana" w:cs="Arial"/>
          <w:i/>
          <w:iCs/>
          <w:lang w:val="es-ES"/>
        </w:rPr>
        <w:lastRenderedPageBreak/>
        <w:t>asistencia o ayuda internacional</w:t>
      </w:r>
      <w:r w:rsidRPr="001B5B78">
        <w:rPr>
          <w:rFonts w:ascii="Verdana" w:eastAsia="Calibri" w:hAnsi="Verdana" w:cs="Arial"/>
          <w:lang w:val="es-ES"/>
        </w:rPr>
        <w:t xml:space="preserve"> </w:t>
      </w:r>
      <w:r>
        <w:rPr>
          <w:rFonts w:ascii="Verdana" w:eastAsia="Calibri" w:hAnsi="Verdana" w:cs="Arial"/>
          <w:lang w:val="es-ES"/>
        </w:rPr>
        <w:t xml:space="preserve">en el que este </w:t>
      </w:r>
      <w:r w:rsidRPr="001B5B78">
        <w:rPr>
          <w:rFonts w:ascii="Verdana" w:eastAsia="Calibri" w:hAnsi="Verdana" w:cs="Arial"/>
          <w:lang w:val="es-ES"/>
        </w:rPr>
        <w:t xml:space="preserve">financie </w:t>
      </w:r>
      <w:r>
        <w:rPr>
          <w:rFonts w:ascii="Verdana" w:eastAsia="Calibri" w:hAnsi="Verdana" w:cs="Arial"/>
          <w:lang w:val="es-ES"/>
        </w:rPr>
        <w:t xml:space="preserve">el contrato o convenio </w:t>
      </w:r>
      <w:r w:rsidRPr="001B5B78">
        <w:rPr>
          <w:rFonts w:ascii="Verdana" w:eastAsia="Calibri" w:hAnsi="Verdana" w:cs="Arial"/>
          <w:lang w:val="es-ES"/>
        </w:rPr>
        <w:t>en su totalidad o en sumas iguales o superiores al cincuenta por ciento (50%),</w:t>
      </w:r>
      <w:r>
        <w:rPr>
          <w:rFonts w:ascii="Verdana" w:eastAsia="Calibri" w:hAnsi="Verdana" w:cs="Arial"/>
          <w:lang w:val="es-ES"/>
        </w:rPr>
        <w:t xml:space="preserve"> las partes podrán pactar someterse en la celebración y ejecución del acuerdo al reglamento del organismo. Lo anterior, supone la facultad de incluir cláusulas específicas que, en ejercicio de la autonomía de la voluntad, establezcan que los contratos derivados se rijan también por dichos reglamentos. </w:t>
      </w:r>
    </w:p>
    <w:p w14:paraId="6C4EA34E" w14:textId="77777777" w:rsidR="00ED10F8" w:rsidRDefault="00ED10F8" w:rsidP="00ED10F8">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Sin embargo, es claro que la potestad de incluir cláusulas que determinen que los contratos derivados se rijan por los reglamentos de los organismos de cooperación no existirá cuando no se configuren los supuestos determinados en el artículo 20 frente al contrato principal. Es decir, si de acuerdo con esta norma, el régimen aplicable al convenio o contrato principal es el EGCAP, y el legislador no ha otorgado a la entidad la potestad de someterse a los reglamentos de los organismos internacionales, la entidad no podrá pactar que los contratos derivados se rijan por una normativa distinta al Estatuto. Así, si una Entidad Estatal celebra convenio o contrato con un </w:t>
      </w:r>
      <w:r w:rsidRPr="001B5B78">
        <w:rPr>
          <w:rFonts w:ascii="Verdana" w:eastAsia="Calibri" w:hAnsi="Verdana" w:cs="Arial"/>
          <w:i/>
          <w:iCs/>
          <w:lang w:val="es-ES"/>
        </w:rPr>
        <w:t>organismo de cooperación, asistencia o ayuda internacional</w:t>
      </w:r>
      <w:r w:rsidRPr="001B5B78">
        <w:rPr>
          <w:rFonts w:ascii="Verdana" w:eastAsia="Calibri" w:hAnsi="Verdana" w:cs="Arial"/>
          <w:lang w:val="es-ES"/>
        </w:rPr>
        <w:t xml:space="preserve"> </w:t>
      </w:r>
      <w:r>
        <w:rPr>
          <w:rFonts w:ascii="Verdana" w:eastAsia="Calibri" w:hAnsi="Verdana" w:cs="Arial"/>
          <w:lang w:val="es-ES"/>
        </w:rPr>
        <w:t xml:space="preserve">en el que este financia menos del </w:t>
      </w:r>
      <w:r w:rsidRPr="001B5B78">
        <w:rPr>
          <w:rFonts w:ascii="Verdana" w:eastAsia="Calibri" w:hAnsi="Verdana" w:cs="Arial"/>
          <w:lang w:val="es-ES"/>
        </w:rPr>
        <w:t>cincuenta por ciento (50%)</w:t>
      </w:r>
      <w:r>
        <w:rPr>
          <w:rFonts w:ascii="Verdana" w:eastAsia="Calibri" w:hAnsi="Verdana" w:cs="Arial"/>
          <w:lang w:val="es-ES"/>
        </w:rPr>
        <w:t>, no será posible que las partes incluyan cláusulas que determinen un régimen distinto al EGCAP para los contratos que se deriven del acuerdo inicial.</w:t>
      </w:r>
    </w:p>
    <w:p w14:paraId="1FDBE538" w14:textId="77777777" w:rsidR="00ED10F8" w:rsidRDefault="00ED10F8" w:rsidP="0041287C">
      <w:pPr>
        <w:spacing w:after="0" w:line="276" w:lineRule="auto"/>
        <w:ind w:firstLine="708"/>
        <w:jc w:val="both"/>
        <w:rPr>
          <w:rFonts w:ascii="Verdana" w:hAnsi="Verdana" w:cs="Arial"/>
          <w:color w:val="000000" w:themeColor="text1"/>
          <w:lang w:val="es-ES"/>
        </w:rPr>
      </w:pPr>
      <w:r>
        <w:rPr>
          <w:rFonts w:ascii="Verdana" w:eastAsia="Calibri" w:hAnsi="Verdana" w:cs="Arial"/>
          <w:lang w:val="es-ES"/>
        </w:rPr>
        <w:t xml:space="preserve">La facultad de pactar cláusulas de este tipo cuando el contrato o el convenio se somete al reglamento del organismo internacional se evidencia del cambio normativo del artículo 13 de la Ley 80 de 1993 al actual artículo 20 de la Ley 1150 de 2007. </w:t>
      </w:r>
      <w:r>
        <w:rPr>
          <w:rFonts w:ascii="Verdana" w:hAnsi="Verdana" w:cs="Arial"/>
          <w:color w:val="000000" w:themeColor="text1"/>
          <w:lang w:val="es-ES"/>
        </w:rPr>
        <w:t xml:space="preserve">Así lo estableció </w:t>
      </w:r>
      <w:r w:rsidRPr="001B5B78">
        <w:rPr>
          <w:rFonts w:ascii="Verdana" w:hAnsi="Verdana" w:cs="Arial"/>
          <w:color w:val="000000" w:themeColor="text1"/>
          <w:lang w:val="es-ES"/>
        </w:rPr>
        <w:t xml:space="preserve">el Consejo de Estado en sentencia del 12 de junio de 2014 </w:t>
      </w:r>
      <w:r>
        <w:rPr>
          <w:rFonts w:ascii="Verdana" w:hAnsi="Verdana" w:cs="Arial"/>
          <w:color w:val="000000" w:themeColor="text1"/>
          <w:lang w:val="es-ES"/>
        </w:rPr>
        <w:t xml:space="preserve">al señalar </w:t>
      </w:r>
      <w:r w:rsidRPr="001B5B78">
        <w:rPr>
          <w:rFonts w:ascii="Verdana" w:hAnsi="Verdana" w:cs="Arial"/>
          <w:color w:val="000000" w:themeColor="text1"/>
          <w:lang w:val="es-ES"/>
        </w:rPr>
        <w:t xml:space="preserve">que: </w:t>
      </w:r>
    </w:p>
    <w:p w14:paraId="1F08E8C1" w14:textId="77777777" w:rsidR="0041287C" w:rsidRPr="00D663AD" w:rsidRDefault="0041287C" w:rsidP="0041287C">
      <w:pPr>
        <w:spacing w:after="0" w:line="276" w:lineRule="auto"/>
        <w:ind w:firstLine="708"/>
        <w:jc w:val="both"/>
        <w:rPr>
          <w:rFonts w:ascii="Verdana" w:eastAsia="Calibri" w:hAnsi="Verdana" w:cs="Arial"/>
          <w:lang w:val="es-ES"/>
        </w:rPr>
      </w:pPr>
    </w:p>
    <w:p w14:paraId="51F54ED0" w14:textId="5F9D7EEB" w:rsidR="00ED10F8" w:rsidRPr="00F05D34" w:rsidRDefault="00ED10F8" w:rsidP="0041287C">
      <w:pPr>
        <w:spacing w:after="0" w:line="240" w:lineRule="auto"/>
        <w:ind w:left="709" w:right="709"/>
        <w:jc w:val="both"/>
        <w:rPr>
          <w:rFonts w:ascii="Verdana" w:eastAsia="Calibri" w:hAnsi="Verdana" w:cs="Arial"/>
          <w:sz w:val="21"/>
          <w:szCs w:val="21"/>
          <w:lang w:val="es-ES"/>
        </w:rPr>
      </w:pPr>
      <w:r w:rsidRPr="001B5B78">
        <w:rPr>
          <w:rFonts w:ascii="Verdana" w:hAnsi="Verdana" w:cs="Arial"/>
          <w:color w:val="000000" w:themeColor="text1"/>
          <w:sz w:val="21"/>
          <w:szCs w:val="21"/>
          <w:lang w:val="es-ES"/>
        </w:rPr>
        <w:t>“</w:t>
      </w:r>
      <w:r w:rsidR="00B2047F">
        <w:rPr>
          <w:rFonts w:ascii="Verdana" w:hAnsi="Verdana" w:cs="Arial"/>
          <w:color w:val="000000" w:themeColor="text1"/>
          <w:sz w:val="21"/>
          <w:szCs w:val="21"/>
          <w:lang w:val="es-ES"/>
        </w:rPr>
        <w:t xml:space="preserve">[…] </w:t>
      </w:r>
      <w:r w:rsidRPr="001B5B78">
        <w:rPr>
          <w:rFonts w:ascii="Verdana" w:hAnsi="Verdana" w:cs="Arial"/>
          <w:color w:val="000000" w:themeColor="text1"/>
          <w:sz w:val="21"/>
          <w:szCs w:val="21"/>
          <w:lang w:val="es-ES"/>
        </w:rPr>
        <w:t xml:space="preserve">se produjo un cambio importante frente a la normativa preexistente, porque según el art. 20 lo que se rige por los estatutos internos de esos organismos es todo el proceso selección y el contrato; mientras que en el inciso cuarto del art. 13 de la Ley 80 eran dos aspectos: i) el procedimiento de selección del contratista, que incluye la adjudicación, y </w:t>
      </w:r>
      <w:proofErr w:type="spellStart"/>
      <w:r w:rsidRPr="001B5B78">
        <w:rPr>
          <w:rFonts w:ascii="Verdana" w:hAnsi="Verdana" w:cs="Arial"/>
          <w:color w:val="000000" w:themeColor="text1"/>
          <w:sz w:val="21"/>
          <w:szCs w:val="21"/>
          <w:lang w:val="es-ES"/>
        </w:rPr>
        <w:t>ii</w:t>
      </w:r>
      <w:proofErr w:type="spellEnd"/>
      <w:r w:rsidRPr="001B5B78">
        <w:rPr>
          <w:rFonts w:ascii="Verdana" w:hAnsi="Verdana" w:cs="Arial"/>
          <w:color w:val="000000" w:themeColor="text1"/>
          <w:sz w:val="21"/>
          <w:szCs w:val="21"/>
          <w:lang w:val="es-ES"/>
        </w:rPr>
        <w:t>) algunas cláusulas especiales del contrato, relacionadas con la ejecución, el cumplimiento, el pago y los ajustes. El cambio</w:t>
      </w:r>
      <w:r>
        <w:rPr>
          <w:rFonts w:ascii="Verdana" w:hAnsi="Verdana" w:cs="Arial"/>
          <w:color w:val="000000" w:themeColor="text1"/>
          <w:sz w:val="21"/>
          <w:szCs w:val="21"/>
          <w:lang w:val="es-ES"/>
        </w:rPr>
        <w:t xml:space="preserve"> </w:t>
      </w:r>
      <w:r w:rsidRPr="001B5B78">
        <w:rPr>
          <w:rFonts w:ascii="Verdana" w:hAnsi="Verdana" w:cs="Arial"/>
          <w:color w:val="000000" w:themeColor="text1"/>
          <w:sz w:val="21"/>
          <w:szCs w:val="21"/>
          <w:lang w:val="es-ES"/>
        </w:rPr>
        <w:t>es sustancial, porque pasó de tener limitaciones a no tenerlas</w:t>
      </w:r>
      <w:r w:rsidRPr="001B5B78">
        <w:rPr>
          <w:rStyle w:val="FootnoteReference"/>
          <w:rFonts w:ascii="Verdana" w:hAnsi="Verdana" w:cs="Arial"/>
          <w:color w:val="000000" w:themeColor="text1"/>
          <w:sz w:val="21"/>
          <w:szCs w:val="21"/>
          <w:lang w:val="es-ES"/>
        </w:rPr>
        <w:footnoteReference w:id="22"/>
      </w:r>
      <w:r w:rsidRPr="001B5B78">
        <w:rPr>
          <w:rFonts w:ascii="Verdana" w:hAnsi="Verdana" w:cs="Arial"/>
          <w:color w:val="000000" w:themeColor="text1"/>
          <w:sz w:val="21"/>
          <w:szCs w:val="21"/>
          <w:lang w:val="es-ES"/>
        </w:rPr>
        <w:t>”.</w:t>
      </w:r>
    </w:p>
    <w:p w14:paraId="4ADD679D" w14:textId="77777777" w:rsidR="00ED10F8" w:rsidRDefault="00ED10F8" w:rsidP="00ED10F8">
      <w:pPr>
        <w:spacing w:after="0" w:line="276" w:lineRule="auto"/>
        <w:ind w:firstLine="694"/>
        <w:jc w:val="both"/>
        <w:rPr>
          <w:rFonts w:ascii="Verdana" w:eastAsia="Times New Roman" w:hAnsi="Verdana" w:cs="Arial"/>
          <w:lang w:val="es-MX"/>
        </w:rPr>
      </w:pPr>
    </w:p>
    <w:p w14:paraId="2ADCDB03" w14:textId="77777777" w:rsidR="00ED10F8" w:rsidRDefault="00ED10F8" w:rsidP="00ED10F8">
      <w:pPr>
        <w:spacing w:after="0" w:line="276" w:lineRule="auto"/>
        <w:ind w:firstLine="694"/>
        <w:jc w:val="both"/>
        <w:rPr>
          <w:rFonts w:ascii="Verdana" w:eastAsia="Times New Roman" w:hAnsi="Verdana" w:cs="Arial"/>
          <w:lang w:val="es-MX"/>
        </w:rPr>
      </w:pPr>
      <w:r>
        <w:rPr>
          <w:rFonts w:ascii="Verdana" w:eastAsia="Times New Roman" w:hAnsi="Verdana" w:cs="Arial"/>
          <w:lang w:val="es-MX"/>
        </w:rPr>
        <w:lastRenderedPageBreak/>
        <w:t xml:space="preserve">En virtud de lo anterior, cuando se trate de un convenio o contrato celebrado con fondos multilaterales de crédito, las partes podrán someter este y los convenios o contratos derivados a los reglamentos de dichos organismos. Cuando este sea el caso, no estarán sujetos al EGCAP y no les será aplicable </w:t>
      </w:r>
      <w:r w:rsidRPr="44B3FB22">
        <w:rPr>
          <w:rFonts w:ascii="Verdana" w:eastAsia="Times New Roman" w:hAnsi="Verdana" w:cs="Arial"/>
          <w:lang w:val="es-MX"/>
        </w:rPr>
        <w:t xml:space="preserve">la restricción contemplada en </w:t>
      </w:r>
      <w:r>
        <w:rPr>
          <w:rFonts w:ascii="Verdana" w:eastAsia="Times New Roman" w:hAnsi="Verdana" w:cs="Arial"/>
          <w:lang w:val="es-MX"/>
        </w:rPr>
        <w:t xml:space="preserve">la Ley de Garantías </w:t>
      </w:r>
      <w:r w:rsidRPr="00613EB7">
        <w:rPr>
          <w:rFonts w:ascii="Verdana" w:eastAsia="Times New Roman" w:hAnsi="Verdana" w:cs="Arial"/>
          <w:lang w:val="es-MX"/>
        </w:rPr>
        <w:t>Electorales por tatarse de convenios o contratos derivados de los referidos en el inciso segundo del artículo</w:t>
      </w:r>
      <w:r>
        <w:rPr>
          <w:rFonts w:ascii="Verdana" w:eastAsia="Times New Roman" w:hAnsi="Verdana" w:cs="Arial"/>
          <w:lang w:val="es-MX"/>
        </w:rPr>
        <w:t xml:space="preserve"> 20 de la Ley 1150 de 2007 que se someten a la normativa de organismos.</w:t>
      </w:r>
    </w:p>
    <w:p w14:paraId="75CAC7EC" w14:textId="77777777" w:rsidR="00ED10F8" w:rsidRPr="00DF1455" w:rsidRDefault="00ED10F8" w:rsidP="00ED10F8">
      <w:pPr>
        <w:spacing w:after="0" w:line="276" w:lineRule="auto"/>
        <w:ind w:firstLine="694"/>
        <w:jc w:val="both"/>
        <w:rPr>
          <w:rFonts w:ascii="Verdana" w:hAnsi="Verdana" w:cs="Arial"/>
          <w:lang w:val="es-ES"/>
        </w:rPr>
      </w:pPr>
    </w:p>
    <w:p w14:paraId="7F648DA9" w14:textId="6C24E145" w:rsidR="00ED10F8" w:rsidRDefault="00ED10F8" w:rsidP="00ED10F8">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v)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De ser así, la entidad podrá llevar a cabo la contratación directa, a pesar de que haya iniciado el periodo de garantías electorales correspondiente al artículo 33 de la Ley 996 de 2005.</w:t>
      </w:r>
    </w:p>
    <w:p w14:paraId="4F9B8002" w14:textId="77777777" w:rsidR="00ED10F8" w:rsidRDefault="00ED10F8" w:rsidP="00ED10F8">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así 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 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Para este supuesto la norma no dispuso excepción alguna.</w:t>
      </w:r>
    </w:p>
    <w:p w14:paraId="1B8AB10F" w14:textId="77777777" w:rsidR="00ED10F8" w:rsidRDefault="00ED10F8" w:rsidP="00ED10F8">
      <w:pPr>
        <w:spacing w:before="120" w:after="120" w:line="276" w:lineRule="auto"/>
        <w:ind w:firstLine="708"/>
        <w:jc w:val="both"/>
        <w:rPr>
          <w:rFonts w:ascii="Verdana" w:eastAsia="Arial" w:hAnsi="Verdana" w:cs="Arial"/>
          <w:bCs/>
          <w:color w:val="000000" w:themeColor="text1"/>
          <w:lang w:val="es-ES"/>
        </w:rPr>
      </w:pPr>
      <w:r>
        <w:rPr>
          <w:rFonts w:ascii="Verdana" w:eastAsia="Arial" w:hAnsi="Verdana" w:cs="Arial"/>
          <w:bCs/>
          <w:color w:val="000000" w:themeColor="text1"/>
          <w:lang w:val="es-ES"/>
        </w:rPr>
        <w:t>En suma, cuando se trate de un contrato o convenio que cumpla con los presupuestos establecidos en los incisos primero, inciso segundo o parágrafo primero del artículo 20 de la Ley 1150 de 2007, y las partes hayan optado por someterlo a los reglamentos de dichos sujetos internacionales, el contrato no se encontrará sometido a la normativa nacional, ni le serán aplicables las prohibiciones establecidas en la Ley de Garantías Electorales</w:t>
      </w:r>
      <w:r w:rsidRPr="44B3FB22">
        <w:rPr>
          <w:rFonts w:ascii="Verdana" w:eastAsia="Times New Roman" w:hAnsi="Verdana" w:cs="Arial"/>
          <w:lang w:val="es-MX"/>
        </w:rPr>
        <w:t xml:space="preserve">. </w:t>
      </w:r>
      <w:r>
        <w:rPr>
          <w:rFonts w:ascii="Verdana" w:eastAsia="Times New Roman" w:hAnsi="Verdana" w:cs="Arial"/>
          <w:lang w:val="es-MX"/>
        </w:rPr>
        <w:t xml:space="preserve">Lo mismo ocurrirá cuando se trate de convenios o contratos derivados de aquellos, frente a los cuales las partes hayan convenido que se rijan por la normativa del ente u organismo internacional. </w:t>
      </w:r>
    </w:p>
    <w:p w14:paraId="32B7483E" w14:textId="77777777" w:rsidR="00ED10F8" w:rsidRPr="00F66EEE" w:rsidRDefault="00ED10F8" w:rsidP="00ED10F8">
      <w:pPr>
        <w:spacing w:before="120" w:after="120" w:line="276" w:lineRule="auto"/>
        <w:ind w:firstLine="708"/>
        <w:jc w:val="both"/>
        <w:rPr>
          <w:rFonts w:ascii="Verdana" w:eastAsia="Arial" w:hAnsi="Verdana" w:cs="Arial"/>
          <w:bCs/>
          <w:color w:val="000000" w:themeColor="text1"/>
          <w:lang w:val="es-ES"/>
        </w:rPr>
      </w:pPr>
      <w:r>
        <w:rPr>
          <w:rFonts w:ascii="Verdana" w:eastAsia="Calibri" w:hAnsi="Verdana" w:cs="Arial"/>
          <w:lang w:val="es-ES"/>
        </w:rPr>
        <w:lastRenderedPageBreak/>
        <w:t>C</w:t>
      </w:r>
      <w:r w:rsidRPr="00584759">
        <w:rPr>
          <w:rFonts w:ascii="Verdana" w:eastAsia="Calibri" w:hAnsi="Verdana" w:cs="Arial"/>
          <w:lang w:val="es-ES"/>
        </w:rPr>
        <w:t xml:space="preserve">orresponderá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w:t>
      </w:r>
      <w:r>
        <w:rPr>
          <w:rFonts w:ascii="Verdana" w:eastAsia="Calibri" w:hAnsi="Verdana" w:cs="Arial"/>
          <w:lang w:val="es-ES"/>
        </w:rPr>
        <w:t xml:space="preserve"> </w:t>
      </w:r>
      <w:r w:rsidRPr="00584759">
        <w:rPr>
          <w:rFonts w:ascii="Verdana" w:eastAsia="Calibri" w:hAnsi="Verdana" w:cs="Arial"/>
          <w:lang w:val="es-ES"/>
        </w:rPr>
        <w:t xml:space="preserve">determinar la procedencia de celebrar un contrato </w:t>
      </w:r>
      <w:r>
        <w:rPr>
          <w:rFonts w:ascii="Verdana" w:eastAsia="Calibri" w:hAnsi="Verdana" w:cs="Arial"/>
          <w:lang w:val="es-ES"/>
        </w:rPr>
        <w:t xml:space="preserve">o convenio </w:t>
      </w:r>
      <w:r w:rsidRPr="00584759">
        <w:rPr>
          <w:rFonts w:ascii="Verdana" w:eastAsia="Calibri" w:hAnsi="Verdana" w:cs="Arial"/>
          <w:lang w:val="es-ES"/>
        </w:rPr>
        <w:t>estatal específico, para lo cual deberán tener en cuenta las prohibiciones establecidas en materia contractual en la Ley de Garantías Electorales, así como las excepciones que resulten procedentes, de acuerdo con lo explicado en las consideraciones de este concepto.</w:t>
      </w:r>
      <w:r>
        <w:rPr>
          <w:rFonts w:ascii="Verdana" w:eastAsia="Arial" w:hAnsi="Verdana" w:cs="Arial"/>
          <w:bCs/>
          <w:color w:val="000000" w:themeColor="text1"/>
          <w:lang w:val="es-ES"/>
        </w:rPr>
        <w:t xml:space="preserve">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procedimientos de selección mediante modalidades distintas a la contratación directa o implementar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podrán adelantar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1542A0D3" w14:textId="72D07606" w:rsidR="00ED10F8" w:rsidRPr="0041287C" w:rsidRDefault="00ED10F8" w:rsidP="0041287C">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
    <w:bookmarkEnd w:id="2"/>
    <w:p w14:paraId="382069BD"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4E853C25" w14:textId="77777777" w:rsidR="00ED10F8" w:rsidRPr="00FC6F34" w:rsidRDefault="00ED10F8" w:rsidP="00ED10F8">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10F8" w:rsidRPr="00FC6F34" w14:paraId="65DA907A" w14:textId="77777777">
        <w:trPr>
          <w:trHeight w:val="870"/>
        </w:trPr>
        <w:tc>
          <w:tcPr>
            <w:tcW w:w="8647" w:type="dxa"/>
          </w:tcPr>
          <w:p w14:paraId="68613207" w14:textId="77777777" w:rsidR="00ED10F8" w:rsidRPr="00FC6F34" w:rsidRDefault="00ED10F8" w:rsidP="001063C7">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73C92788" w14:textId="77777777" w:rsidR="00ED10F8" w:rsidRPr="00FC6F34" w:rsidRDefault="00ED10F8">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06FE8951" w14:textId="77777777" w:rsidR="00ED10F8" w:rsidRPr="00FC6F34" w:rsidRDefault="00ED10F8">
            <w:pPr>
              <w:pStyle w:val="ListParagraph"/>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Ley 813 de 2003: artículos 8, 10, 11 y 12.</w:t>
            </w:r>
          </w:p>
          <w:p w14:paraId="6DE6941B" w14:textId="77777777" w:rsidR="00ED10F8" w:rsidRDefault="00ED10F8">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 2</w:t>
            </w:r>
            <w:r>
              <w:rPr>
                <w:rFonts w:ascii="Verdana" w:eastAsia="Arial MT" w:hAnsi="Verdana" w:cs="Arial"/>
                <w:lang w:val="es-ES" w:eastAsia="es-ES" w:bidi="es-ES"/>
              </w:rPr>
              <w:t xml:space="preserve"> y 20.</w:t>
            </w:r>
          </w:p>
          <w:p w14:paraId="41CCCC0A" w14:textId="77777777" w:rsidR="00ED10F8" w:rsidRPr="00E92347" w:rsidRDefault="00ED10F8">
            <w:pPr>
              <w:widowControl w:val="0"/>
              <w:numPr>
                <w:ilvl w:val="0"/>
                <w:numId w:val="16"/>
              </w:numPr>
              <w:autoSpaceDE w:val="0"/>
              <w:autoSpaceDN w:val="0"/>
              <w:spacing w:after="120"/>
              <w:jc w:val="both"/>
              <w:rPr>
                <w:rFonts w:ascii="Verdana" w:eastAsia="Arial MT" w:hAnsi="Verdana" w:cs="Arial"/>
                <w:lang w:eastAsia="es-ES" w:bidi="es-ES"/>
              </w:rPr>
            </w:pPr>
            <w:r w:rsidRPr="00E92347">
              <w:rPr>
                <w:rFonts w:ascii="Verdana" w:eastAsia="Arial MT" w:hAnsi="Verdana" w:cs="Arial"/>
                <w:lang w:eastAsia="es-ES" w:bidi="es-ES"/>
              </w:rPr>
              <w:t>Agencia Nacional de Contratación </w:t>
            </w:r>
            <w:r>
              <w:rPr>
                <w:rFonts w:ascii="Verdana" w:eastAsia="Arial MT" w:hAnsi="Verdana" w:cs="Arial"/>
                <w:lang w:eastAsia="es-ES" w:bidi="es-ES"/>
              </w:rPr>
              <w:t xml:space="preserve">Pública – Colombia Compra Eficiente, </w:t>
            </w:r>
            <w:r w:rsidRPr="00E92347">
              <w:rPr>
                <w:rFonts w:ascii="Verdana" w:eastAsia="Arial MT" w:hAnsi="Verdana" w:cs="Arial"/>
                <w:lang w:eastAsia="es-ES" w:bidi="es-ES"/>
              </w:rPr>
              <w:t>Circular Externa 006 de 2025</w:t>
            </w:r>
            <w:r>
              <w:rPr>
                <w:rFonts w:ascii="Verdana" w:eastAsia="Arial MT" w:hAnsi="Verdana" w:cs="Arial"/>
                <w:lang w:eastAsia="es-ES" w:bidi="es-ES"/>
              </w:rPr>
              <w:t xml:space="preserve"> sobre la Ley de Garantías Electorales. Disponible en:</w:t>
            </w:r>
            <w:r>
              <w:t xml:space="preserve"> </w:t>
            </w:r>
            <w:hyperlink r:id="rId12" w:history="1">
              <w:r w:rsidRPr="007D3EA5">
                <w:rPr>
                  <w:rStyle w:val="Hyperlink"/>
                  <w:rFonts w:ascii="Verdana" w:eastAsia="Arial MT" w:hAnsi="Verdana" w:cs="Arial"/>
                  <w:lang w:eastAsia="es-ES" w:bidi="es-ES"/>
                </w:rPr>
                <w:t>https://www.colombiacompra.gov.co/archivos/circular/circular-externa-006-de-2025</w:t>
              </w:r>
            </w:hyperlink>
            <w:r>
              <w:rPr>
                <w:rFonts w:ascii="Verdana" w:eastAsia="Arial MT" w:hAnsi="Verdana" w:cs="Arial"/>
                <w:lang w:eastAsia="es-ES" w:bidi="es-ES"/>
              </w:rPr>
              <w:t xml:space="preserve"> </w:t>
            </w:r>
          </w:p>
          <w:p w14:paraId="68BC7BC3" w14:textId="77777777" w:rsidR="00ED10F8" w:rsidRPr="00FC6F34" w:rsidRDefault="00ED10F8">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21E4E9C5" w14:textId="77777777" w:rsidR="00ED10F8" w:rsidRPr="00FC6F34" w:rsidRDefault="00ED10F8">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65E8DCB1" w14:textId="77777777" w:rsidR="00ED10F8" w:rsidRPr="00FC6F34" w:rsidRDefault="00ED10F8">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lastRenderedPageBreak/>
              <w:t>Consejo de Estado. Sala de Consulta y Servicio Civil. Concepto del 17 de febrero de 2015. C.P. William Zambrano Cetina. Radicación No. 11001-03-06-000-2015-00164-00(2269).</w:t>
            </w:r>
          </w:p>
          <w:p w14:paraId="31675FFF" w14:textId="77777777" w:rsidR="00ED10F8" w:rsidRPr="00FC6F34" w:rsidRDefault="00ED10F8">
            <w:pPr>
              <w:pStyle w:val="ListParagraph"/>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0CE5862B" w14:textId="77777777" w:rsidR="00ED10F8" w:rsidRPr="00FC6F34" w:rsidRDefault="00ED10F8" w:rsidP="00ED10F8">
      <w:pPr>
        <w:widowControl w:val="0"/>
        <w:autoSpaceDE w:val="0"/>
        <w:autoSpaceDN w:val="0"/>
        <w:spacing w:after="0" w:line="276" w:lineRule="auto"/>
        <w:jc w:val="both"/>
        <w:rPr>
          <w:rFonts w:ascii="Verdana" w:hAnsi="Verdana" w:cs="Arial"/>
          <w:color w:val="000000" w:themeColor="text1"/>
          <w:lang w:val="es-ES"/>
        </w:rPr>
      </w:pPr>
    </w:p>
    <w:p w14:paraId="5C58DE09" w14:textId="77777777" w:rsidR="00ED10F8" w:rsidRPr="00FC6F34" w:rsidRDefault="00ED10F8" w:rsidP="00ED10F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584AE4DF" w14:textId="77777777" w:rsidR="00ED10F8" w:rsidRPr="00FC6F34" w:rsidRDefault="00ED10F8" w:rsidP="00ED10F8">
      <w:pPr>
        <w:widowControl w:val="0"/>
        <w:autoSpaceDE w:val="0"/>
        <w:autoSpaceDN w:val="0"/>
        <w:spacing w:after="0" w:line="276" w:lineRule="auto"/>
        <w:jc w:val="both"/>
        <w:rPr>
          <w:rFonts w:ascii="Verdana" w:hAnsi="Verdana" w:cs="Arial"/>
          <w:color w:val="000000" w:themeColor="text1"/>
          <w:lang w:val="es-ES"/>
        </w:rPr>
      </w:pPr>
    </w:p>
    <w:p w14:paraId="4C3B248A" w14:textId="6B8C7B81" w:rsidR="00ED10F8" w:rsidRPr="007F6BC1" w:rsidRDefault="00ED10F8" w:rsidP="0041287C">
      <w:pPr>
        <w:spacing w:after="0"/>
        <w:jc w:val="both"/>
        <w:rPr>
          <w:rFonts w:ascii="Verdana" w:eastAsia="Calibri" w:hAnsi="Verdana" w:cs="Arial"/>
          <w:b/>
          <w:bCs/>
          <w:color w:val="000000" w:themeColor="text1"/>
          <w:lang w:val="es-ES" w:eastAsia="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xml:space="preserve">. </w:t>
      </w:r>
      <w:r w:rsidR="007D7AF2">
        <w:rPr>
          <w:rFonts w:ascii="Verdana" w:hAnsi="Verdana" w:cs="Arial"/>
          <w:shd w:val="clear" w:color="auto" w:fill="FFFFFF"/>
          <w:lang w:val="es-ES"/>
        </w:rPr>
        <w:t>Sobre el régimen contractual aplicable a los contratos y convenios derivados a los referidos en el artículo 20 de la Ley 1150 de 2007 se refirió en el concepto C</w:t>
      </w:r>
      <w:r w:rsidR="007F6BC1" w:rsidRPr="007F6BC1">
        <w:rPr>
          <w:rFonts w:ascii="Verdana" w:eastAsia="Calibri" w:hAnsi="Verdana" w:cs="Arial"/>
          <w:color w:val="000000" w:themeColor="text1"/>
          <w:lang w:val="es-ES" w:eastAsia="es-ES"/>
        </w:rPr>
        <w:t>-440 de 2025</w:t>
      </w:r>
      <w:r w:rsidR="007F6BC1" w:rsidRPr="00415EF4">
        <w:rPr>
          <w:rFonts w:ascii="Verdana" w:eastAsia="Calibri" w:hAnsi="Verdana" w:cs="Arial"/>
          <w:color w:val="000000" w:themeColor="text1"/>
          <w:lang w:val="es-ES" w:eastAsia="es-ES"/>
        </w:rPr>
        <w:t xml:space="preserve">.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DE1DF9D" w14:textId="77777777" w:rsidR="0041287C" w:rsidRDefault="0041287C" w:rsidP="00ED10F8">
      <w:pPr>
        <w:widowControl w:val="0"/>
        <w:autoSpaceDE w:val="0"/>
        <w:autoSpaceDN w:val="0"/>
        <w:spacing w:after="0" w:line="276" w:lineRule="auto"/>
        <w:jc w:val="both"/>
        <w:rPr>
          <w:rFonts w:ascii="Verdana" w:hAnsi="Verdana" w:cs="Arial"/>
          <w:lang w:val="es-ES"/>
        </w:rPr>
      </w:pPr>
    </w:p>
    <w:p w14:paraId="13F5A0B2" w14:textId="6055927E" w:rsidR="00ED10F8" w:rsidRPr="00FC6F34" w:rsidRDefault="00ED10F8" w:rsidP="00ED10F8">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12288FB" w14:textId="77777777" w:rsidR="00ED10F8" w:rsidRPr="00FC6F34" w:rsidRDefault="00ED10F8" w:rsidP="00ED10F8">
      <w:pPr>
        <w:widowControl w:val="0"/>
        <w:autoSpaceDE w:val="0"/>
        <w:autoSpaceDN w:val="0"/>
        <w:spacing w:after="0" w:line="276" w:lineRule="auto"/>
        <w:jc w:val="both"/>
        <w:rPr>
          <w:rFonts w:ascii="Verdana" w:hAnsi="Verdana" w:cs="Arial"/>
          <w:lang w:val="es-ES"/>
        </w:rPr>
      </w:pPr>
    </w:p>
    <w:p w14:paraId="34EDE77E" w14:textId="18DE8A27" w:rsidR="00ED10F8" w:rsidRPr="00FC6F34" w:rsidRDefault="00ED10F8" w:rsidP="00ED10F8">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25D68C3D" w14:textId="2C66AADF" w:rsidR="00ED10F8" w:rsidRPr="00FC6F34" w:rsidRDefault="00EE2CB1" w:rsidP="00ED10F8">
      <w:pPr>
        <w:spacing w:after="0" w:line="276" w:lineRule="auto"/>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59264" behindDoc="0" locked="0" layoutInCell="1" allowOverlap="1" wp14:anchorId="46D3CFD6" wp14:editId="18C1B116">
            <wp:simplePos x="0" y="0"/>
            <wp:positionH relativeFrom="column">
              <wp:posOffset>1287194</wp:posOffset>
            </wp:positionH>
            <wp:positionV relativeFrom="page">
              <wp:posOffset>1544955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32CED43B" w14:textId="77777777" w:rsidR="00ED10F8" w:rsidRPr="00FC6F34" w:rsidRDefault="00ED10F8" w:rsidP="00ED10F8">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D10F8" w:rsidRPr="008D6F3C" w14:paraId="1689815D" w14:textId="77777777">
        <w:trPr>
          <w:trHeight w:val="315"/>
        </w:trPr>
        <w:tc>
          <w:tcPr>
            <w:tcW w:w="893" w:type="dxa"/>
            <w:vAlign w:val="center"/>
            <w:hideMark/>
          </w:tcPr>
          <w:p w14:paraId="43B0ADA1" w14:textId="77777777" w:rsidR="00ED10F8" w:rsidRPr="008D6F3C" w:rsidRDefault="00ED10F8">
            <w:pPr>
              <w:contextualSpacing/>
              <w:rPr>
                <w:rFonts w:ascii="Verdana" w:hAnsi="Verdana" w:cs="Arial"/>
                <w:sz w:val="13"/>
                <w:szCs w:val="13"/>
                <w:lang w:val="es-ES" w:eastAsia="es-ES"/>
              </w:rPr>
            </w:pPr>
            <w:r w:rsidRPr="008D6F3C">
              <w:rPr>
                <w:rFonts w:ascii="Verdana" w:hAnsi="Verdana" w:cs="Arial"/>
                <w:sz w:val="13"/>
                <w:szCs w:val="13"/>
                <w:lang w:val="es-ES" w:eastAsia="es-ES"/>
              </w:rPr>
              <w:t>Elaboró:</w:t>
            </w:r>
          </w:p>
        </w:tc>
        <w:tc>
          <w:tcPr>
            <w:tcW w:w="5628" w:type="dxa"/>
            <w:tcBorders>
              <w:top w:val="nil"/>
              <w:left w:val="nil"/>
              <w:bottom w:val="dotted" w:sz="4" w:space="0" w:color="7F7F7F" w:themeColor="text1" w:themeTint="80"/>
              <w:right w:val="nil"/>
            </w:tcBorders>
            <w:vAlign w:val="center"/>
            <w:hideMark/>
          </w:tcPr>
          <w:p w14:paraId="6C01DD4A" w14:textId="77777777" w:rsidR="00ED10F8" w:rsidRPr="008D6F3C" w:rsidRDefault="00ED10F8">
            <w:pPr>
              <w:contextualSpacing/>
              <w:rPr>
                <w:rFonts w:ascii="Verdana" w:eastAsia="Arial" w:hAnsi="Verdana" w:cs="Arial"/>
                <w:color w:val="000000" w:themeColor="text1"/>
                <w:sz w:val="13"/>
                <w:szCs w:val="13"/>
                <w:lang w:val="es-ES"/>
              </w:rPr>
            </w:pPr>
            <w:r w:rsidRPr="008D6F3C">
              <w:rPr>
                <w:rFonts w:ascii="Verdana" w:eastAsia="Arial" w:hAnsi="Verdana" w:cs="Arial"/>
                <w:color w:val="000000" w:themeColor="text1"/>
                <w:sz w:val="13"/>
                <w:szCs w:val="13"/>
                <w:lang w:val="es-ES"/>
              </w:rPr>
              <w:t>Anamaría Bonilla Prieto</w:t>
            </w:r>
          </w:p>
          <w:p w14:paraId="1E935DFD" w14:textId="77777777" w:rsidR="00ED10F8" w:rsidRPr="008D6F3C" w:rsidRDefault="00ED10F8">
            <w:pPr>
              <w:contextualSpacing/>
              <w:rPr>
                <w:rFonts w:ascii="Verdana" w:eastAsia="Arial" w:hAnsi="Verdana" w:cs="Arial"/>
                <w:sz w:val="13"/>
                <w:szCs w:val="13"/>
                <w:lang w:val="es-ES"/>
              </w:rPr>
            </w:pPr>
            <w:r w:rsidRPr="008D6F3C">
              <w:rPr>
                <w:rStyle w:val="normaltextrun"/>
                <w:rFonts w:ascii="Verdana" w:eastAsia="Arial" w:hAnsi="Verdana" w:cs="Arial"/>
                <w:color w:val="000000" w:themeColor="text1"/>
                <w:sz w:val="13"/>
                <w:szCs w:val="13"/>
                <w:lang w:val="es-ES"/>
              </w:rPr>
              <w:t xml:space="preserve">Contratista de la Subdirección </w:t>
            </w:r>
            <w:r w:rsidRPr="008D6F3C">
              <w:rPr>
                <w:rStyle w:val="normaltextrun"/>
                <w:rFonts w:ascii="Verdana" w:eastAsia="Arial" w:hAnsi="Verdana" w:cs="Arial"/>
                <w:sz w:val="13"/>
                <w:szCs w:val="13"/>
                <w:lang w:val="es-ES"/>
              </w:rPr>
              <w:t>de Gestión Contractual</w:t>
            </w:r>
          </w:p>
        </w:tc>
      </w:tr>
      <w:tr w:rsidR="00ED10F8" w:rsidRPr="008D6F3C" w14:paraId="66C1975C" w14:textId="77777777">
        <w:trPr>
          <w:trHeight w:val="330"/>
        </w:trPr>
        <w:tc>
          <w:tcPr>
            <w:tcW w:w="893" w:type="dxa"/>
            <w:vAlign w:val="center"/>
            <w:hideMark/>
          </w:tcPr>
          <w:p w14:paraId="34348715" w14:textId="77777777" w:rsidR="00ED10F8" w:rsidRPr="008D6F3C" w:rsidRDefault="00ED10F8">
            <w:pPr>
              <w:contextualSpacing/>
              <w:rPr>
                <w:rFonts w:ascii="Verdana" w:hAnsi="Verdana" w:cs="Arial"/>
                <w:sz w:val="13"/>
                <w:szCs w:val="13"/>
                <w:lang w:val="es-ES" w:eastAsia="es-ES"/>
              </w:rPr>
            </w:pPr>
            <w:r w:rsidRPr="008D6F3C">
              <w:rPr>
                <w:rFonts w:ascii="Verdana" w:hAnsi="Verdana" w:cs="Arial"/>
                <w:sz w:val="13"/>
                <w:szCs w:val="13"/>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2EF03E" w14:textId="77777777" w:rsidR="00ED10F8" w:rsidRPr="008D6F3C" w:rsidRDefault="00ED10F8">
            <w:pPr>
              <w:spacing w:line="276" w:lineRule="auto"/>
              <w:contextualSpacing/>
              <w:textAlignment w:val="baseline"/>
              <w:rPr>
                <w:rFonts w:ascii="Verdana" w:eastAsia="Times New Roman" w:hAnsi="Verdana" w:cs="Arial"/>
                <w:sz w:val="13"/>
                <w:szCs w:val="13"/>
                <w:lang w:val="es-ES" w:eastAsia="es-ES_tradnl"/>
              </w:rPr>
            </w:pPr>
            <w:r w:rsidRPr="008D6F3C">
              <w:rPr>
                <w:rFonts w:ascii="Verdana" w:eastAsia="Times New Roman" w:hAnsi="Verdana" w:cs="Arial"/>
                <w:sz w:val="13"/>
                <w:szCs w:val="13"/>
                <w:lang w:val="es-ES" w:eastAsia="es-ES_tradnl"/>
              </w:rPr>
              <w:t>Alejandro Sarmiento Cantillo</w:t>
            </w:r>
          </w:p>
          <w:p w14:paraId="49C35C88" w14:textId="77777777" w:rsidR="00ED10F8" w:rsidRPr="008D6F3C" w:rsidRDefault="00ED10F8">
            <w:pPr>
              <w:pStyle w:val="paragraph"/>
              <w:spacing w:before="0" w:beforeAutospacing="0" w:after="0" w:afterAutospacing="0"/>
              <w:contextualSpacing/>
              <w:textAlignment w:val="baseline"/>
              <w:rPr>
                <w:rFonts w:ascii="Verdana" w:hAnsi="Verdana" w:cs="Segoe UI"/>
                <w:sz w:val="13"/>
                <w:szCs w:val="13"/>
                <w:lang w:val="es-ES"/>
              </w:rPr>
            </w:pPr>
            <w:r w:rsidRPr="008D6F3C">
              <w:rPr>
                <w:rFonts w:ascii="Verdana" w:hAnsi="Verdana" w:cs="Arial"/>
                <w:sz w:val="13"/>
                <w:szCs w:val="13"/>
                <w:lang w:val="es-ES"/>
              </w:rPr>
              <w:t xml:space="preserve">Gestor T1 – 15 </w:t>
            </w:r>
            <w:r w:rsidRPr="008D6F3C">
              <w:rPr>
                <w:rStyle w:val="normaltextrun"/>
                <w:rFonts w:ascii="Verdana" w:hAnsi="Verdana" w:cs="Arial"/>
                <w:sz w:val="13"/>
                <w:szCs w:val="13"/>
                <w:lang w:val="es-ES"/>
              </w:rPr>
              <w:t>de la Subdirección de Gestión Contractual</w:t>
            </w:r>
            <w:r w:rsidRPr="008D6F3C">
              <w:rPr>
                <w:rStyle w:val="eop"/>
                <w:rFonts w:ascii="Verdana" w:hAnsi="Verdana" w:cs="Arial"/>
                <w:sz w:val="13"/>
                <w:szCs w:val="13"/>
                <w:lang w:val="es-ES"/>
              </w:rPr>
              <w:t> </w:t>
            </w:r>
          </w:p>
        </w:tc>
      </w:tr>
      <w:tr w:rsidR="00ED10F8" w:rsidRPr="008D6F3C" w14:paraId="60E5D7E7" w14:textId="77777777">
        <w:trPr>
          <w:trHeight w:val="300"/>
        </w:trPr>
        <w:tc>
          <w:tcPr>
            <w:tcW w:w="893" w:type="dxa"/>
            <w:vAlign w:val="center"/>
          </w:tcPr>
          <w:p w14:paraId="2BD888FA" w14:textId="77777777" w:rsidR="00ED10F8" w:rsidRPr="008D6F3C" w:rsidRDefault="00ED10F8">
            <w:pPr>
              <w:contextualSpacing/>
              <w:rPr>
                <w:rFonts w:ascii="Verdana" w:hAnsi="Verdana" w:cs="Arial"/>
                <w:sz w:val="13"/>
                <w:szCs w:val="13"/>
                <w:lang w:val="es-ES" w:eastAsia="es-ES"/>
              </w:rPr>
            </w:pPr>
            <w:r w:rsidRPr="008D6F3C">
              <w:rPr>
                <w:rFonts w:ascii="Verdana" w:hAnsi="Verdana" w:cs="Arial"/>
                <w:sz w:val="13"/>
                <w:szCs w:val="13"/>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0BAF85" w14:textId="77777777" w:rsidR="00ED10F8" w:rsidRPr="008D6F3C" w:rsidRDefault="00ED10F8">
            <w:pPr>
              <w:contextualSpacing/>
              <w:rPr>
                <w:rFonts w:ascii="Verdana" w:eastAsia="Calibri" w:hAnsi="Verdana" w:cs="Arial"/>
                <w:sz w:val="13"/>
                <w:szCs w:val="13"/>
                <w:lang w:val="es-ES" w:eastAsia="es-ES"/>
              </w:rPr>
            </w:pPr>
            <w:r w:rsidRPr="008D6F3C">
              <w:rPr>
                <w:rFonts w:ascii="Verdana" w:eastAsia="Calibri" w:hAnsi="Verdana" w:cs="Arial"/>
                <w:sz w:val="13"/>
                <w:szCs w:val="13"/>
                <w:lang w:val="es-ES" w:eastAsia="es-ES"/>
              </w:rPr>
              <w:t>Carolina Quintero Gacharná</w:t>
            </w:r>
          </w:p>
          <w:p w14:paraId="34594CD8" w14:textId="77777777" w:rsidR="00ED10F8" w:rsidRPr="008D6F3C" w:rsidRDefault="00ED10F8">
            <w:pPr>
              <w:contextualSpacing/>
              <w:rPr>
                <w:rFonts w:ascii="Verdana" w:eastAsia="Calibri" w:hAnsi="Verdana" w:cs="Arial"/>
                <w:sz w:val="13"/>
                <w:szCs w:val="13"/>
                <w:lang w:val="es-ES" w:eastAsia="es-ES"/>
              </w:rPr>
            </w:pPr>
            <w:r w:rsidRPr="008D6F3C">
              <w:rPr>
                <w:rFonts w:ascii="Verdana" w:eastAsia="Calibri" w:hAnsi="Verdana" w:cs="Arial"/>
                <w:sz w:val="13"/>
                <w:szCs w:val="13"/>
                <w:lang w:val="es-ES" w:eastAsia="es-ES"/>
              </w:rPr>
              <w:t>Subdirectora de Gestión Contractual ANCP – CCE</w:t>
            </w:r>
          </w:p>
        </w:tc>
      </w:tr>
      <w:bookmarkEnd w:id="0"/>
    </w:tbl>
    <w:p w14:paraId="0F293BF4" w14:textId="231F9E10" w:rsidR="00127233" w:rsidRPr="00ED10F8" w:rsidRDefault="00127233" w:rsidP="00ED10F8"/>
    <w:sectPr w:rsidR="00127233" w:rsidRPr="00ED10F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5520B" w14:textId="77777777" w:rsidR="00D27BDC" w:rsidRDefault="00D27BDC" w:rsidP="004A1847">
      <w:pPr>
        <w:spacing w:after="0" w:line="240" w:lineRule="auto"/>
      </w:pPr>
      <w:r>
        <w:separator/>
      </w:r>
    </w:p>
  </w:endnote>
  <w:endnote w:type="continuationSeparator" w:id="0">
    <w:p w14:paraId="2DB8E6C0" w14:textId="77777777" w:rsidR="00D27BDC" w:rsidRDefault="00D27BDC" w:rsidP="004A1847">
      <w:pPr>
        <w:spacing w:after="0" w:line="240" w:lineRule="auto"/>
      </w:pPr>
      <w:r>
        <w:continuationSeparator/>
      </w:r>
    </w:p>
  </w:endnote>
  <w:endnote w:type="continuationNotice" w:id="1">
    <w:p w14:paraId="277DDB0C" w14:textId="77777777" w:rsidR="00D27BDC" w:rsidRDefault="00D27B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DF76CC" w14:textId="77777777" w:rsidR="00D27BDC" w:rsidRDefault="00D27BDC" w:rsidP="004A1847">
      <w:pPr>
        <w:spacing w:after="0" w:line="240" w:lineRule="auto"/>
      </w:pPr>
      <w:r>
        <w:separator/>
      </w:r>
    </w:p>
  </w:footnote>
  <w:footnote w:type="continuationSeparator" w:id="0">
    <w:p w14:paraId="7F4A9FEA" w14:textId="77777777" w:rsidR="00D27BDC" w:rsidRDefault="00D27BDC" w:rsidP="004A1847">
      <w:pPr>
        <w:spacing w:after="0" w:line="240" w:lineRule="auto"/>
      </w:pPr>
      <w:r>
        <w:continuationSeparator/>
      </w:r>
    </w:p>
  </w:footnote>
  <w:footnote w:type="continuationNotice" w:id="1">
    <w:p w14:paraId="4625234B" w14:textId="77777777" w:rsidR="00D27BDC" w:rsidRDefault="00D27BDC">
      <w:pPr>
        <w:spacing w:after="0" w:line="240" w:lineRule="auto"/>
      </w:pPr>
    </w:p>
  </w:footnote>
  <w:footnote w:id="2">
    <w:p w14:paraId="0BEDADC8"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8307B8B"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7004B94"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rPr>
        <w:t>Gaceta del Congreso de la República No. 71 del 2005.</w:t>
      </w:r>
    </w:p>
  </w:footnote>
  <w:footnote w:id="4">
    <w:p w14:paraId="21603C91" w14:textId="77777777" w:rsidR="00ED10F8" w:rsidRPr="0016660C" w:rsidRDefault="00ED10F8" w:rsidP="00ED10F8">
      <w:pPr>
        <w:pStyle w:val="FootnoteText"/>
        <w:ind w:firstLine="709"/>
        <w:contextualSpacing/>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w:t>
      </w:r>
      <w:proofErr w:type="spellStart"/>
      <w:r w:rsidRPr="0016660C">
        <w:rPr>
          <w:rFonts w:ascii="Verdana" w:hAnsi="Verdana" w:cs="Arial"/>
          <w:sz w:val="16"/>
          <w:szCs w:val="16"/>
          <w:lang w:val="pt-BR"/>
        </w:rPr>
        <w:t>Monroy</w:t>
      </w:r>
      <w:proofErr w:type="spellEnd"/>
      <w:r w:rsidRPr="0016660C">
        <w:rPr>
          <w:rFonts w:ascii="Verdana" w:hAnsi="Verdana" w:cs="Arial"/>
          <w:sz w:val="16"/>
          <w:szCs w:val="16"/>
          <w:lang w:val="pt-BR"/>
        </w:rPr>
        <w:t xml:space="preserve"> Cabra.</w:t>
      </w:r>
    </w:p>
  </w:footnote>
  <w:footnote w:id="5">
    <w:p w14:paraId="04004B50" w14:textId="77777777" w:rsidR="00ED10F8" w:rsidRPr="0016660C" w:rsidRDefault="00ED10F8" w:rsidP="00ED10F8">
      <w:pPr>
        <w:pStyle w:val="FootnoteText"/>
        <w:ind w:firstLine="709"/>
        <w:contextualSpacing/>
        <w:jc w:val="both"/>
        <w:rPr>
          <w:rFonts w:ascii="Verdana" w:hAnsi="Verdana" w:cs="Arial"/>
          <w:sz w:val="16"/>
          <w:szCs w:val="16"/>
          <w:lang w:val="pt-BR"/>
        </w:rPr>
      </w:pPr>
      <w:r w:rsidRPr="0016660C">
        <w:rPr>
          <w:rStyle w:val="FootnoteReferenc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proofErr w:type="spellStart"/>
      <w:r w:rsidRPr="0016660C">
        <w:rPr>
          <w:rFonts w:ascii="Verdana" w:hAnsi="Verdana" w:cs="Arial"/>
          <w:sz w:val="16"/>
          <w:szCs w:val="16"/>
          <w:lang w:val="pt-BR"/>
        </w:rPr>
        <w:t>julio</w:t>
      </w:r>
      <w:proofErr w:type="spellEnd"/>
      <w:r w:rsidRPr="0016660C">
        <w:rPr>
          <w:rFonts w:ascii="Verdana" w:hAnsi="Verdana" w:cs="Arial"/>
          <w:sz w:val="16"/>
          <w:szCs w:val="16"/>
          <w:lang w:val="pt-BR"/>
        </w:rPr>
        <w:t xml:space="preserve"> de 2003, expediente: CRF-001 de 9 de </w:t>
      </w:r>
      <w:proofErr w:type="spellStart"/>
      <w:r w:rsidRPr="0016660C">
        <w:rPr>
          <w:rFonts w:ascii="Verdana" w:hAnsi="Verdana" w:cs="Arial"/>
          <w:sz w:val="16"/>
          <w:szCs w:val="16"/>
          <w:lang w:val="pt-BR"/>
        </w:rPr>
        <w:t>julio</w:t>
      </w:r>
      <w:proofErr w:type="spellEnd"/>
      <w:r w:rsidRPr="0016660C">
        <w:rPr>
          <w:rFonts w:ascii="Verdana" w:hAnsi="Verdana" w:cs="Arial"/>
          <w:sz w:val="16"/>
          <w:szCs w:val="16"/>
          <w:lang w:val="pt-BR"/>
        </w:rPr>
        <w:t xml:space="preserve"> de 2003; C-652 de 5 de agosto de 2003, expediente: D-4330; C-353 de 20 de </w:t>
      </w:r>
      <w:proofErr w:type="spellStart"/>
      <w:r w:rsidRPr="0016660C">
        <w:rPr>
          <w:rFonts w:ascii="Verdana" w:hAnsi="Verdana" w:cs="Arial"/>
          <w:sz w:val="16"/>
          <w:szCs w:val="16"/>
          <w:lang w:val="pt-BR"/>
        </w:rPr>
        <w:t>mayo</w:t>
      </w:r>
      <w:proofErr w:type="spellEnd"/>
      <w:r w:rsidRPr="0016660C">
        <w:rPr>
          <w:rFonts w:ascii="Verdana" w:hAnsi="Verdana" w:cs="Arial"/>
          <w:sz w:val="16"/>
          <w:szCs w:val="16"/>
          <w:lang w:val="pt-BR"/>
        </w:rPr>
        <w:t xml:space="preserve"> de 2009, expediente: D-7518, C-541 de 30 de </w:t>
      </w:r>
      <w:proofErr w:type="spellStart"/>
      <w:r w:rsidRPr="0016660C">
        <w:rPr>
          <w:rFonts w:ascii="Verdana" w:hAnsi="Verdana" w:cs="Arial"/>
          <w:sz w:val="16"/>
          <w:szCs w:val="16"/>
          <w:lang w:val="pt-BR"/>
        </w:rPr>
        <w:t>junio</w:t>
      </w:r>
      <w:proofErr w:type="spellEnd"/>
      <w:r w:rsidRPr="0016660C">
        <w:rPr>
          <w:rFonts w:ascii="Verdana" w:hAnsi="Verdana" w:cs="Arial"/>
          <w:sz w:val="16"/>
          <w:szCs w:val="16"/>
          <w:lang w:val="pt-BR"/>
        </w:rPr>
        <w:t xml:space="preserve"> de 2010, expediente: DD7966; entre </w:t>
      </w:r>
      <w:proofErr w:type="spellStart"/>
      <w:r w:rsidRPr="0016660C">
        <w:rPr>
          <w:rFonts w:ascii="Verdana" w:hAnsi="Verdana" w:cs="Arial"/>
          <w:sz w:val="16"/>
          <w:szCs w:val="16"/>
          <w:lang w:val="pt-BR"/>
        </w:rPr>
        <w:t>otras</w:t>
      </w:r>
      <w:proofErr w:type="spellEnd"/>
      <w:r w:rsidRPr="0016660C">
        <w:rPr>
          <w:rFonts w:ascii="Verdana" w:hAnsi="Verdana" w:cs="Arial"/>
          <w:sz w:val="16"/>
          <w:szCs w:val="16"/>
          <w:lang w:val="pt-BR"/>
        </w:rPr>
        <w:t>.</w:t>
      </w:r>
    </w:p>
  </w:footnote>
  <w:footnote w:id="6">
    <w:p w14:paraId="1A55FE3A" w14:textId="77777777" w:rsidR="00ED10F8" w:rsidRPr="0016660C" w:rsidRDefault="00ED10F8" w:rsidP="00ED10F8">
      <w:pPr>
        <w:pStyle w:val="FootnoteText"/>
        <w:ind w:firstLine="709"/>
        <w:contextualSpacing/>
        <w:jc w:val="both"/>
        <w:rPr>
          <w:rFonts w:ascii="Verdana" w:hAnsi="Verdana" w:cs="Arial"/>
          <w:sz w:val="16"/>
          <w:szCs w:val="16"/>
          <w:lang w:val="es-CO"/>
        </w:rPr>
      </w:pPr>
      <w:r w:rsidRPr="0016660C">
        <w:rPr>
          <w:rStyle w:val="FootnoteReferenc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006B974"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4D0594CB" w14:textId="77777777" w:rsidR="00ED10F8" w:rsidRPr="0016660C" w:rsidRDefault="00ED10F8" w:rsidP="00ED10F8">
      <w:pPr>
        <w:spacing w:after="0" w:line="240" w:lineRule="auto"/>
        <w:ind w:firstLine="709"/>
        <w:contextualSpacing/>
        <w:jc w:val="both"/>
        <w:rPr>
          <w:rFonts w:ascii="Verdana" w:eastAsia="Times New Roman"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A2A211C" w14:textId="77777777" w:rsidR="00ED10F8" w:rsidRPr="0016660C" w:rsidRDefault="00ED10F8" w:rsidP="00ED10F8">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6D45288E" w14:textId="77777777" w:rsidR="00ED10F8" w:rsidRPr="0016660C" w:rsidRDefault="00ED10F8" w:rsidP="00ED10F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1131B352" w14:textId="77777777" w:rsidR="00ED10F8" w:rsidRPr="0016660C" w:rsidRDefault="00ED10F8" w:rsidP="00ED10F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3AB8FB46" w14:textId="77777777" w:rsidR="00ED10F8" w:rsidRPr="0016660C" w:rsidRDefault="00ED10F8" w:rsidP="00ED10F8">
      <w:pPr>
        <w:spacing w:after="0" w:line="240" w:lineRule="auto"/>
        <w:ind w:left="100" w:right="244"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58C85E4" w14:textId="77777777" w:rsidR="00ED10F8" w:rsidRPr="0016660C" w:rsidRDefault="00ED10F8" w:rsidP="00ED10F8">
      <w:pPr>
        <w:pStyle w:val="FootnoteText"/>
        <w:ind w:right="51"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5AF97762"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2F65D899" w14:textId="77777777" w:rsidR="00ED10F8" w:rsidRPr="0016660C" w:rsidRDefault="00ED10F8" w:rsidP="00ED10F8">
      <w:pPr>
        <w:pStyle w:val="FootnoteText"/>
        <w:ind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713331EE" w14:textId="77777777" w:rsidR="00ED10F8" w:rsidRPr="0016660C" w:rsidRDefault="00ED10F8" w:rsidP="00ED10F8">
      <w:pPr>
        <w:pStyle w:val="FootnoteText"/>
        <w:ind w:firstLine="709"/>
        <w:contextualSpacing/>
        <w:jc w:val="both"/>
        <w:rPr>
          <w:rFonts w:ascii="Verdana" w:hAnsi="Verdana" w:cs="Arial"/>
          <w:sz w:val="16"/>
          <w:szCs w:val="16"/>
          <w:lang w:val="es-ES"/>
        </w:rPr>
      </w:pPr>
      <w:r w:rsidRPr="0016660C">
        <w:rPr>
          <w:rStyle w:val="FootnoteReferenc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540F7B2F" w14:textId="77777777" w:rsidR="00ED10F8" w:rsidRPr="0016660C" w:rsidRDefault="00ED10F8" w:rsidP="00ED10F8">
      <w:pPr>
        <w:pStyle w:val="FootnoteText"/>
        <w:ind w:firstLine="709"/>
        <w:contextualSpacing/>
        <w:jc w:val="both"/>
        <w:rPr>
          <w:rFonts w:ascii="Verdana" w:hAnsi="Verdana" w:cs="Arial"/>
          <w:sz w:val="16"/>
          <w:szCs w:val="16"/>
        </w:rPr>
      </w:pPr>
      <w:r w:rsidRPr="0016660C">
        <w:rPr>
          <w:rStyle w:val="FootnoteReferenc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6">
    <w:p w14:paraId="70F5A080" w14:textId="77777777" w:rsidR="00ED10F8" w:rsidRPr="0016660C" w:rsidRDefault="00ED10F8" w:rsidP="00ED10F8">
      <w:pPr>
        <w:pStyle w:val="FootnoteText"/>
        <w:ind w:firstLine="708"/>
        <w:contextualSpacing/>
        <w:jc w:val="both"/>
        <w:rPr>
          <w:rFonts w:ascii="Verdana" w:hAnsi="Verdana"/>
          <w:sz w:val="16"/>
          <w:szCs w:val="16"/>
          <w:lang w:val="es-ES"/>
        </w:rPr>
      </w:pPr>
      <w:r w:rsidRPr="0016660C">
        <w:rPr>
          <w:rStyle w:val="FootnoteReferenc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1A1B33F5" w14:textId="77777777" w:rsidR="00ED10F8" w:rsidRPr="0016660C" w:rsidRDefault="00ED10F8" w:rsidP="00ED10F8">
      <w:pPr>
        <w:spacing w:after="0" w:line="240" w:lineRule="auto"/>
        <w:ind w:firstLine="709"/>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20A4EF62" w14:textId="77777777" w:rsidR="00ED10F8" w:rsidRPr="0016660C" w:rsidRDefault="00ED10F8" w:rsidP="00ED10F8">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9">
    <w:p w14:paraId="728050F9" w14:textId="77777777" w:rsidR="00ED10F8" w:rsidRPr="0016660C" w:rsidRDefault="00ED10F8" w:rsidP="00ED10F8">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3FAF6083" w14:textId="77777777" w:rsidR="00ED10F8" w:rsidRPr="0016660C" w:rsidRDefault="00ED10F8" w:rsidP="00ED10F8">
      <w:pPr>
        <w:pStyle w:val="FootnoteText"/>
        <w:ind w:firstLine="708"/>
        <w:contextualSpacing/>
        <w:jc w:val="both"/>
        <w:rPr>
          <w:rFonts w:ascii="Verdana" w:hAnsi="Verdana" w:cs="Arial"/>
          <w:color w:val="000000" w:themeColor="text1"/>
          <w:sz w:val="16"/>
          <w:szCs w:val="16"/>
        </w:rPr>
      </w:pPr>
      <w:r w:rsidRPr="0016660C">
        <w:rPr>
          <w:rStyle w:val="FootnoteReferenc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46164566" w14:textId="77777777" w:rsidR="00ED10F8" w:rsidRPr="00F521A9" w:rsidRDefault="00ED10F8" w:rsidP="00ED10F8">
      <w:pPr>
        <w:pStyle w:val="FootnoteText"/>
        <w:ind w:firstLine="708"/>
        <w:jc w:val="both"/>
        <w:rPr>
          <w:rFonts w:ascii="Verdana" w:hAnsi="Verdana"/>
          <w:sz w:val="16"/>
          <w:szCs w:val="16"/>
        </w:rPr>
      </w:pPr>
      <w:r w:rsidRPr="00F521A9">
        <w:rPr>
          <w:rStyle w:val="FootnoteReference"/>
          <w:rFonts w:ascii="Verdana" w:hAnsi="Verdana"/>
          <w:sz w:val="16"/>
          <w:szCs w:val="16"/>
        </w:rPr>
        <w:footnoteRef/>
      </w:r>
      <w:r w:rsidRPr="00F521A9">
        <w:rPr>
          <w:rFonts w:ascii="Verdana" w:hAnsi="Verdana"/>
          <w:sz w:val="16"/>
          <w:szCs w:val="16"/>
        </w:rPr>
        <w:t xml:space="preserve"> </w:t>
      </w:r>
      <w:r w:rsidRPr="00F521A9">
        <w:rPr>
          <w:rFonts w:ascii="Verdana" w:hAnsi="Verdana"/>
          <w:sz w:val="16"/>
          <w:szCs w:val="16"/>
          <w:lang w:val="es-ES"/>
        </w:rPr>
        <w:t xml:space="preserve">Para mayor información consulta el concepto </w:t>
      </w:r>
      <w:r w:rsidRPr="00F521A9">
        <w:rPr>
          <w:rFonts w:ascii="Verdana" w:hAnsi="Verdana"/>
          <w:sz w:val="16"/>
          <w:szCs w:val="16"/>
        </w:rPr>
        <w:t xml:space="preserve">C‒559 de 2021 en el siguiente </w:t>
      </w:r>
      <w:r w:rsidRPr="00F521A9">
        <w:rPr>
          <w:rFonts w:ascii="Verdana" w:hAnsi="Verdana"/>
          <w:sz w:val="16"/>
          <w:szCs w:val="16"/>
        </w:rPr>
        <w:t xml:space="preserve">enlace: </w:t>
      </w:r>
      <w:r>
        <w:fldChar w:fldCharType="begin"/>
      </w:r>
      <w:r>
        <w:instrText>HYPERLINK "https://relatoria.colombiacompra.gov.co/conceptos/c-559-de-2021/"</w:instrText>
      </w:r>
      <w:r>
        <w:fldChar w:fldCharType="separate"/>
      </w:r>
      <w:r w:rsidRPr="00F521A9">
        <w:rPr>
          <w:rStyle w:val="Hyperlink"/>
          <w:rFonts w:ascii="Verdana" w:hAnsi="Verdana"/>
          <w:sz w:val="16"/>
          <w:szCs w:val="16"/>
        </w:rPr>
        <w:t>https://relatoria.colombiacompra.gov.co/conceptos/c-559-de-2021/</w:t>
      </w:r>
      <w:r>
        <w:fldChar w:fldCharType="end"/>
      </w:r>
      <w:r w:rsidRPr="00F521A9">
        <w:rPr>
          <w:rFonts w:ascii="Verdana" w:hAnsi="Verdana"/>
          <w:sz w:val="16"/>
          <w:szCs w:val="16"/>
        </w:rPr>
        <w:t xml:space="preserve"> </w:t>
      </w:r>
    </w:p>
  </w:footnote>
  <w:footnote w:id="22">
    <w:p w14:paraId="5F7142A7" w14:textId="77777777" w:rsidR="00ED10F8" w:rsidRPr="003546B2" w:rsidRDefault="00ED10F8" w:rsidP="00ED10F8">
      <w:pPr>
        <w:pStyle w:val="FootnoteText"/>
        <w:ind w:firstLine="709"/>
        <w:jc w:val="both"/>
        <w:rPr>
          <w:rFonts w:ascii="Verdana" w:hAnsi="Verdana" w:cs="Arial"/>
          <w:color w:val="000000" w:themeColor="text1"/>
          <w:sz w:val="15"/>
          <w:szCs w:val="15"/>
          <w:lang w:val="es-ES_tradnl"/>
        </w:rPr>
      </w:pPr>
      <w:r w:rsidRPr="003546B2">
        <w:rPr>
          <w:rStyle w:val="FootnoteReference"/>
          <w:rFonts w:ascii="Verdana" w:hAnsi="Verdana"/>
          <w:sz w:val="15"/>
          <w:szCs w:val="15"/>
        </w:rPr>
        <w:footnoteRef/>
      </w:r>
      <w:r w:rsidRPr="003546B2">
        <w:rPr>
          <w:rFonts w:ascii="Verdana" w:hAnsi="Verdana"/>
          <w:sz w:val="15"/>
          <w:szCs w:val="15"/>
        </w:rPr>
        <w:t xml:space="preserve"> </w:t>
      </w:r>
      <w:r w:rsidRPr="003546B2">
        <w:rPr>
          <w:rFonts w:ascii="Verdana" w:hAnsi="Verdana" w:cs="Arial"/>
          <w:color w:val="000000" w:themeColor="text1"/>
          <w:sz w:val="15"/>
          <w:szCs w:val="15"/>
        </w:rPr>
        <w:t xml:space="preserve">Consejo de Estado. Sección Tercera, Subsección C. Sentencia del 12 de junio de 2014. </w:t>
      </w:r>
      <w:proofErr w:type="spellStart"/>
      <w:r w:rsidRPr="003546B2">
        <w:rPr>
          <w:rFonts w:ascii="Verdana" w:hAnsi="Verdana" w:cs="Arial"/>
          <w:color w:val="000000" w:themeColor="text1"/>
          <w:sz w:val="15"/>
          <w:szCs w:val="15"/>
          <w:lang w:val="es-ES_tradnl"/>
        </w:rPr>
        <w:t>Exp</w:t>
      </w:r>
      <w:proofErr w:type="spellEnd"/>
      <w:r w:rsidRPr="003546B2">
        <w:rPr>
          <w:rFonts w:ascii="Verdana" w:hAnsi="Verdana" w:cs="Arial"/>
          <w:color w:val="000000" w:themeColor="text1"/>
          <w:sz w:val="15"/>
          <w:szCs w:val="15"/>
          <w:lang w:val="es-ES_tradnl"/>
        </w:rPr>
        <w:t>. 28.279</w:t>
      </w:r>
      <w:r w:rsidRPr="003546B2">
        <w:rPr>
          <w:rFonts w:ascii="Verdana" w:hAnsi="Verdana" w:cs="Arial"/>
          <w:color w:val="000000" w:themeColor="text1"/>
          <w:sz w:val="15"/>
          <w:szCs w:val="15"/>
          <w:lang w:val="es-CO"/>
        </w:rPr>
        <w:t xml:space="preserve">. C.P Enrique Gil Botero.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6"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2439DD"/>
    <w:multiLevelType w:val="hybridMultilevel"/>
    <w:tmpl w:val="EF621908"/>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195238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D08"/>
    <w:rsid w:val="00016F78"/>
    <w:rsid w:val="00046945"/>
    <w:rsid w:val="00061B2A"/>
    <w:rsid w:val="00082362"/>
    <w:rsid w:val="000A3A6D"/>
    <w:rsid w:val="000A683E"/>
    <w:rsid w:val="000B19B9"/>
    <w:rsid w:val="000D0334"/>
    <w:rsid w:val="000D5DA7"/>
    <w:rsid w:val="000E0B3D"/>
    <w:rsid w:val="000E5D42"/>
    <w:rsid w:val="000F6486"/>
    <w:rsid w:val="001063C7"/>
    <w:rsid w:val="00116940"/>
    <w:rsid w:val="00125105"/>
    <w:rsid w:val="00127233"/>
    <w:rsid w:val="0015699B"/>
    <w:rsid w:val="001A33BF"/>
    <w:rsid w:val="001E4177"/>
    <w:rsid w:val="001F0B24"/>
    <w:rsid w:val="001F294B"/>
    <w:rsid w:val="001F7DC6"/>
    <w:rsid w:val="0022400B"/>
    <w:rsid w:val="002421BB"/>
    <w:rsid w:val="0025796E"/>
    <w:rsid w:val="002707A2"/>
    <w:rsid w:val="002951A0"/>
    <w:rsid w:val="002962BC"/>
    <w:rsid w:val="002A093D"/>
    <w:rsid w:val="002A0DD0"/>
    <w:rsid w:val="002A49AC"/>
    <w:rsid w:val="002A64FD"/>
    <w:rsid w:val="002B7608"/>
    <w:rsid w:val="002C7A84"/>
    <w:rsid w:val="002E2BF8"/>
    <w:rsid w:val="002E4FD9"/>
    <w:rsid w:val="0030657A"/>
    <w:rsid w:val="00322A85"/>
    <w:rsid w:val="00324168"/>
    <w:rsid w:val="00330834"/>
    <w:rsid w:val="003448F4"/>
    <w:rsid w:val="00374F5E"/>
    <w:rsid w:val="00377E3E"/>
    <w:rsid w:val="003A779E"/>
    <w:rsid w:val="003B090E"/>
    <w:rsid w:val="003D0F4D"/>
    <w:rsid w:val="003D5B0D"/>
    <w:rsid w:val="003E0499"/>
    <w:rsid w:val="003E4F80"/>
    <w:rsid w:val="003E6439"/>
    <w:rsid w:val="003F3941"/>
    <w:rsid w:val="00406575"/>
    <w:rsid w:val="0041287C"/>
    <w:rsid w:val="00414C74"/>
    <w:rsid w:val="00415EF4"/>
    <w:rsid w:val="0042722E"/>
    <w:rsid w:val="0044528D"/>
    <w:rsid w:val="00466E39"/>
    <w:rsid w:val="004A1847"/>
    <w:rsid w:val="004A305D"/>
    <w:rsid w:val="004C2D9E"/>
    <w:rsid w:val="004C40F7"/>
    <w:rsid w:val="004F21C4"/>
    <w:rsid w:val="004F685F"/>
    <w:rsid w:val="00527EAD"/>
    <w:rsid w:val="00537B1F"/>
    <w:rsid w:val="005566E8"/>
    <w:rsid w:val="00574867"/>
    <w:rsid w:val="00582D72"/>
    <w:rsid w:val="00591460"/>
    <w:rsid w:val="005A65E0"/>
    <w:rsid w:val="005C3777"/>
    <w:rsid w:val="005C5CDC"/>
    <w:rsid w:val="005C6C4D"/>
    <w:rsid w:val="005D476C"/>
    <w:rsid w:val="005F3138"/>
    <w:rsid w:val="005F76C8"/>
    <w:rsid w:val="006200BF"/>
    <w:rsid w:val="006219F8"/>
    <w:rsid w:val="006302F7"/>
    <w:rsid w:val="00641B7B"/>
    <w:rsid w:val="00646B9F"/>
    <w:rsid w:val="00665D70"/>
    <w:rsid w:val="006900D9"/>
    <w:rsid w:val="006B249E"/>
    <w:rsid w:val="00706C16"/>
    <w:rsid w:val="007340C3"/>
    <w:rsid w:val="0075235A"/>
    <w:rsid w:val="00756841"/>
    <w:rsid w:val="007649AB"/>
    <w:rsid w:val="00771D0C"/>
    <w:rsid w:val="007833AC"/>
    <w:rsid w:val="007B1297"/>
    <w:rsid w:val="007B268C"/>
    <w:rsid w:val="007B7171"/>
    <w:rsid w:val="007C0C0F"/>
    <w:rsid w:val="007C3DC2"/>
    <w:rsid w:val="007D7AF2"/>
    <w:rsid w:val="007E5497"/>
    <w:rsid w:val="007F6BC1"/>
    <w:rsid w:val="00806F5F"/>
    <w:rsid w:val="00813A02"/>
    <w:rsid w:val="00820278"/>
    <w:rsid w:val="008258C9"/>
    <w:rsid w:val="00844AE9"/>
    <w:rsid w:val="00867F95"/>
    <w:rsid w:val="008843B6"/>
    <w:rsid w:val="00891928"/>
    <w:rsid w:val="008A446D"/>
    <w:rsid w:val="008B0AD0"/>
    <w:rsid w:val="008B25F1"/>
    <w:rsid w:val="008C53E3"/>
    <w:rsid w:val="008D180B"/>
    <w:rsid w:val="008F0EA7"/>
    <w:rsid w:val="00923EEF"/>
    <w:rsid w:val="009303FC"/>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10F5"/>
    <w:rsid w:val="00A33C78"/>
    <w:rsid w:val="00AB0ADB"/>
    <w:rsid w:val="00B00C0E"/>
    <w:rsid w:val="00B01B1A"/>
    <w:rsid w:val="00B0381D"/>
    <w:rsid w:val="00B2047F"/>
    <w:rsid w:val="00B44A47"/>
    <w:rsid w:val="00B46647"/>
    <w:rsid w:val="00B72CD3"/>
    <w:rsid w:val="00B72FFF"/>
    <w:rsid w:val="00BB0A3C"/>
    <w:rsid w:val="00BC3D36"/>
    <w:rsid w:val="00BD54A6"/>
    <w:rsid w:val="00BD7F72"/>
    <w:rsid w:val="00BF653B"/>
    <w:rsid w:val="00BF7425"/>
    <w:rsid w:val="00C04FB3"/>
    <w:rsid w:val="00C11D8B"/>
    <w:rsid w:val="00C15139"/>
    <w:rsid w:val="00C330EB"/>
    <w:rsid w:val="00C50D69"/>
    <w:rsid w:val="00C5365C"/>
    <w:rsid w:val="00C754BE"/>
    <w:rsid w:val="00C7620C"/>
    <w:rsid w:val="00C76B1C"/>
    <w:rsid w:val="00C81790"/>
    <w:rsid w:val="00C925AC"/>
    <w:rsid w:val="00CA45BC"/>
    <w:rsid w:val="00CB6357"/>
    <w:rsid w:val="00CC1B26"/>
    <w:rsid w:val="00CF2C16"/>
    <w:rsid w:val="00D07BF3"/>
    <w:rsid w:val="00D14B8C"/>
    <w:rsid w:val="00D27BDC"/>
    <w:rsid w:val="00D361FD"/>
    <w:rsid w:val="00D423A2"/>
    <w:rsid w:val="00D44E26"/>
    <w:rsid w:val="00D520D8"/>
    <w:rsid w:val="00D63AC2"/>
    <w:rsid w:val="00D7383B"/>
    <w:rsid w:val="00D7788A"/>
    <w:rsid w:val="00D94D40"/>
    <w:rsid w:val="00DA231B"/>
    <w:rsid w:val="00DC39FC"/>
    <w:rsid w:val="00DF5254"/>
    <w:rsid w:val="00E02524"/>
    <w:rsid w:val="00E11F06"/>
    <w:rsid w:val="00E16408"/>
    <w:rsid w:val="00E20894"/>
    <w:rsid w:val="00E245AB"/>
    <w:rsid w:val="00E2764C"/>
    <w:rsid w:val="00E27F2E"/>
    <w:rsid w:val="00E50AFE"/>
    <w:rsid w:val="00E740B2"/>
    <w:rsid w:val="00E75C92"/>
    <w:rsid w:val="00E771DC"/>
    <w:rsid w:val="00E83104"/>
    <w:rsid w:val="00E8772A"/>
    <w:rsid w:val="00E90F6B"/>
    <w:rsid w:val="00E92C27"/>
    <w:rsid w:val="00EA0E3D"/>
    <w:rsid w:val="00EC38A7"/>
    <w:rsid w:val="00ED10F8"/>
    <w:rsid w:val="00EE1AA8"/>
    <w:rsid w:val="00EE2CB1"/>
    <w:rsid w:val="00F23FEA"/>
    <w:rsid w:val="00F31EDC"/>
    <w:rsid w:val="00F462B3"/>
    <w:rsid w:val="00F5664F"/>
    <w:rsid w:val="00F666C4"/>
    <w:rsid w:val="00F76AFC"/>
    <w:rsid w:val="00F802CF"/>
    <w:rsid w:val="00F9695E"/>
    <w:rsid w:val="00FA47C0"/>
    <w:rsid w:val="00FB5DD1"/>
    <w:rsid w:val="00FC2B5D"/>
    <w:rsid w:val="00FE59DF"/>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D461589-23EF-E348-A8EC-92CBAD09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1F294B"/>
    <w:pPr>
      <w:spacing w:line="240" w:lineRule="exact"/>
    </w:pPr>
    <w:rPr>
      <w:vertAlign w:val="superscript"/>
    </w:rPr>
  </w:style>
  <w:style w:type="character" w:customStyle="1" w:styleId="baj">
    <w:name w:val="b_aj"/>
    <w:basedOn w:val="DefaultParagraphFont"/>
    <w:rsid w:val="001F294B"/>
  </w:style>
  <w:style w:type="character" w:customStyle="1" w:styleId="NormalWebChar">
    <w:name w:val="Normal (Web) Char"/>
    <w:link w:val="NormalWeb"/>
    <w:uiPriority w:val="99"/>
    <w:locked/>
    <w:rsid w:val="001F294B"/>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A310F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693C60E1-3EF7-4F3A-ADB2-8CB58C6E4836}"/>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E4F668B-8E24-4149-8477-05B66309F56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10</TotalTime>
  <Pages>25</Pages>
  <Words>8042</Words>
  <Characters>45846</Characters>
  <Application>Microsoft Office Word</Application>
  <DocSecurity>0</DocSecurity>
  <Lines>382</Lines>
  <Paragraphs>107</Paragraphs>
  <ScaleCrop>false</ScaleCrop>
  <Company/>
  <LinksUpToDate>false</LinksUpToDate>
  <CharactersWithSpaces>53781</CharactersWithSpaces>
  <SharedDoc>false</SharedDoc>
  <HLinks>
    <vt:vector size="18" baseType="variant">
      <vt:variant>
        <vt:i4>7209021</vt:i4>
      </vt:variant>
      <vt:variant>
        <vt:i4>3</vt:i4>
      </vt:variant>
      <vt:variant>
        <vt:i4>0</vt:i4>
      </vt:variant>
      <vt:variant>
        <vt:i4>5</vt:i4>
      </vt:variant>
      <vt:variant>
        <vt:lpwstr>https://relatoria.colombiacompra.gov.co/busqueda/concept os</vt:lpwstr>
      </vt:variant>
      <vt:variant>
        <vt:lpwstr/>
      </vt:variant>
      <vt:variant>
        <vt:i4>65542</vt:i4>
      </vt:variant>
      <vt:variant>
        <vt:i4>0</vt:i4>
      </vt:variant>
      <vt:variant>
        <vt:i4>0</vt:i4>
      </vt:variant>
      <vt:variant>
        <vt:i4>5</vt:i4>
      </vt:variant>
      <vt:variant>
        <vt:lpwstr>https://www.colombiacompra.gov.co/archivos/circular/circular-externa-006-de-2025</vt:lpwstr>
      </vt:variant>
      <vt:variant>
        <vt:lpwstr/>
      </vt:variant>
      <vt:variant>
        <vt:i4>6160390</vt:i4>
      </vt:variant>
      <vt:variant>
        <vt:i4>0</vt:i4>
      </vt:variant>
      <vt:variant>
        <vt:i4>0</vt:i4>
      </vt:variant>
      <vt:variant>
        <vt:i4>5</vt:i4>
      </vt:variant>
      <vt:variant>
        <vt:lpwstr>https://relatoria.colombiacompra.gov.co/conceptos/c-559-de-2021/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3</cp:revision>
  <cp:lastPrinted>2023-01-10T21:18:00Z</cp:lastPrinted>
  <dcterms:created xsi:type="dcterms:W3CDTF">2025-12-04T20:53:00Z</dcterms:created>
  <dcterms:modified xsi:type="dcterms:W3CDTF">2025-12-04T21:05:00Z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