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D4BFA" w14:textId="77777777" w:rsidR="0088688C" w:rsidRPr="001E5AD4" w:rsidRDefault="0088688C" w:rsidP="001E5AD4">
      <w:pPr>
        <w:snapToGrid w:val="0"/>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Finalidad</w:t>
      </w:r>
    </w:p>
    <w:p w14:paraId="1792DDF6"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eastAsia="es-ES"/>
        </w:rPr>
      </w:pPr>
    </w:p>
    <w:p w14:paraId="2D5909A2" w14:textId="721C2E28" w:rsidR="0088688C" w:rsidRPr="001E5AD4" w:rsidRDefault="0088688C" w:rsidP="001E5AD4">
      <w:pPr>
        <w:tabs>
          <w:tab w:val="left" w:pos="426"/>
        </w:tabs>
        <w:snapToGrid w:val="0"/>
        <w:spacing w:after="0" w:line="240" w:lineRule="auto"/>
        <w:contextualSpacing/>
        <w:jc w:val="both"/>
        <w:rPr>
          <w:rFonts w:ascii="Verdana" w:eastAsia="Calibri" w:hAnsi="Verdana" w:cs="Arial"/>
          <w:sz w:val="20"/>
          <w:szCs w:val="20"/>
          <w:lang w:val="es-ES"/>
        </w:rPr>
      </w:pPr>
      <w:r w:rsidRPr="001E5AD4">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E5AD4">
        <w:rPr>
          <w:rFonts w:ascii="Verdana" w:eastAsia="Calibri" w:hAnsi="Verdana" w:cs="Arial"/>
          <w:sz w:val="20"/>
          <w:szCs w:val="20"/>
          <w:lang w:val="es-ES"/>
        </w:rPr>
        <w:t xml:space="preserve"> </w:t>
      </w:r>
    </w:p>
    <w:p w14:paraId="27EABF83"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31BC7B38" w14:textId="77777777" w:rsidR="0088688C" w:rsidRPr="001E5AD4" w:rsidRDefault="0088688C" w:rsidP="001E5AD4">
      <w:pPr>
        <w:snapToGrid w:val="0"/>
        <w:contextualSpacing/>
        <w:jc w:val="both"/>
        <w:rPr>
          <w:rFonts w:ascii="Verdana" w:eastAsia="Calibri" w:hAnsi="Verdana" w:cs="Arial"/>
          <w:b/>
          <w:bCs/>
          <w:sz w:val="20"/>
          <w:szCs w:val="20"/>
          <w:lang w:val="es-ES" w:eastAsia="es-ES"/>
        </w:rPr>
      </w:pPr>
      <w:r w:rsidRPr="001E5AD4">
        <w:rPr>
          <w:rFonts w:ascii="Verdana" w:eastAsia="Calibri" w:hAnsi="Verdana" w:cs="Arial"/>
          <w:b/>
          <w:bCs/>
          <w:lang w:val="es-ES" w:eastAsia="es-ES"/>
        </w:rPr>
        <w:t>LEY DE GARANTÍAS ELECTORALES ‒ Restricciones ‒ Contratación ‒ Tipos de elección</w:t>
      </w:r>
    </w:p>
    <w:p w14:paraId="40041FB1"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eastAsia="es-ES"/>
        </w:rPr>
      </w:pPr>
    </w:p>
    <w:p w14:paraId="36E03940" w14:textId="54D896FC" w:rsidR="0088688C" w:rsidRDefault="0088688C" w:rsidP="001E5AD4">
      <w:pPr>
        <w:snapToGrid w:val="0"/>
        <w:spacing w:after="0" w:line="240" w:lineRule="auto"/>
        <w:contextualSpacing/>
        <w:jc w:val="both"/>
        <w:rPr>
          <w:rFonts w:ascii="Verdana" w:eastAsia="Calibri" w:hAnsi="Verdana" w:cs="Arial"/>
          <w:sz w:val="20"/>
          <w:szCs w:val="20"/>
          <w:lang w:val="es-ES"/>
        </w:rPr>
      </w:pPr>
      <w:r w:rsidRPr="001E5AD4">
        <w:rPr>
          <w:rFonts w:ascii="Verdana" w:eastAsia="Calibri" w:hAnsi="Verdana" w:cs="Arial"/>
          <w:sz w:val="20"/>
          <w:szCs w:val="20"/>
          <w:lang w:val="es-ES"/>
        </w:rPr>
        <w:t xml:space="preserve">Por un lado, el </w:t>
      </w:r>
      <w:r w:rsidRPr="001E5AD4">
        <w:rPr>
          <w:rFonts w:ascii="Verdana" w:eastAsia="Calibri" w:hAnsi="Verdana" w:cs="Arial"/>
          <w:i/>
          <w:iCs/>
          <w:sz w:val="20"/>
          <w:szCs w:val="20"/>
          <w:lang w:val="es-ES"/>
        </w:rPr>
        <w:t xml:space="preserve">artículo 33 </w:t>
      </w:r>
      <w:r w:rsidRPr="001E5AD4">
        <w:rPr>
          <w:rFonts w:ascii="Verdana" w:eastAsia="Calibri" w:hAnsi="Verdana" w:cs="Arial"/>
          <w:sz w:val="20"/>
          <w:szCs w:val="20"/>
          <w:lang w:val="es-ES"/>
        </w:rPr>
        <w:t xml:space="preserve">de la Ley 996 de 2005 prohíbe “[…] la contratación directa por parte de </w:t>
      </w:r>
      <w:r w:rsidRPr="001E5AD4">
        <w:rPr>
          <w:rFonts w:ascii="Verdana" w:eastAsia="Calibri" w:hAnsi="Verdana" w:cs="Arial"/>
          <w:i/>
          <w:iCs/>
          <w:sz w:val="20"/>
          <w:szCs w:val="20"/>
          <w:lang w:val="es-ES"/>
        </w:rPr>
        <w:t>todos los entes del Estado</w:t>
      </w:r>
      <w:r w:rsidRPr="001E5AD4">
        <w:rPr>
          <w:rFonts w:ascii="Verdana" w:eastAsia="Calibri" w:hAnsi="Verdana" w:cs="Arial"/>
          <w:sz w:val="20"/>
          <w:szCs w:val="20"/>
          <w:lang w:val="es-ES"/>
        </w:rPr>
        <w:t xml:space="preserve">” durante los cuatro (4) meses anteriores a las </w:t>
      </w:r>
      <w:r w:rsidRPr="001E5AD4">
        <w:rPr>
          <w:rFonts w:ascii="Verdana" w:eastAsia="Calibri" w:hAnsi="Verdana" w:cs="Arial"/>
          <w:i/>
          <w:iCs/>
          <w:sz w:val="20"/>
          <w:szCs w:val="20"/>
          <w:lang w:val="es-ES"/>
        </w:rPr>
        <w:t>elecciones presidenciales</w:t>
      </w:r>
      <w:r w:rsidRPr="001E5AD4">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CA84248"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rPr>
      </w:pPr>
    </w:p>
    <w:p w14:paraId="5301165A" w14:textId="142532D7" w:rsidR="0088688C" w:rsidRPr="001E5AD4" w:rsidRDefault="0088688C" w:rsidP="001E5AD4">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1E5AD4">
        <w:rPr>
          <w:rFonts w:ascii="Verdana" w:eastAsia="Calibri" w:hAnsi="Verdana" w:cs="Arial"/>
          <w:sz w:val="20"/>
          <w:szCs w:val="20"/>
          <w:lang w:val="es-ES"/>
        </w:rPr>
        <w:t xml:space="preserve">Por otro lado, </w:t>
      </w:r>
      <w:r w:rsidRPr="001E5AD4">
        <w:rPr>
          <w:rFonts w:ascii="Verdana" w:eastAsia="Calibri" w:hAnsi="Verdana" w:cs="Arial"/>
          <w:i/>
          <w:iCs/>
          <w:sz w:val="20"/>
          <w:szCs w:val="20"/>
          <w:lang w:val="es-ES"/>
        </w:rPr>
        <w:t xml:space="preserve">el parágrafo del artículo 38 </w:t>
      </w:r>
      <w:r w:rsidRPr="001E5AD4">
        <w:rPr>
          <w:rFonts w:ascii="Verdana" w:eastAsia="Calibri" w:hAnsi="Verdana" w:cs="Arial"/>
          <w:sz w:val="20"/>
          <w:szCs w:val="20"/>
          <w:lang w:val="es-ES"/>
        </w:rPr>
        <w:t xml:space="preserve">de la Ley 996 de 2005 prevé una restricción, aplicable respecto de </w:t>
      </w:r>
      <w:r w:rsidRPr="001E5AD4">
        <w:rPr>
          <w:rFonts w:ascii="Verdana" w:eastAsia="Calibri" w:hAnsi="Verdana" w:cs="Arial"/>
          <w:i/>
          <w:iCs/>
          <w:sz w:val="20"/>
          <w:szCs w:val="20"/>
          <w:lang w:val="es-ES"/>
        </w:rPr>
        <w:t>cualquier tipo de contienda electoral</w:t>
      </w:r>
      <w:r w:rsidRPr="001E5AD4">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E5AD4">
        <w:rPr>
          <w:rFonts w:ascii="Verdana" w:eastAsia="Arial" w:hAnsi="Verdana" w:cs="Arial"/>
          <w:sz w:val="20"/>
          <w:szCs w:val="20"/>
          <w:lang w:val="es-ES" w:eastAsia="es-ES" w:bidi="es-ES"/>
        </w:rPr>
        <w:t xml:space="preserve"> </w:t>
      </w:r>
    </w:p>
    <w:p w14:paraId="2164E635"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6C7581FA" w14:textId="77777777" w:rsidR="0088688C" w:rsidRPr="001E5AD4" w:rsidRDefault="0088688C" w:rsidP="001E5AD4">
      <w:pPr>
        <w:snapToGrid w:val="0"/>
        <w:spacing w:after="0" w:line="240" w:lineRule="auto"/>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Artículo 33 ‒ Ámbito material</w:t>
      </w:r>
    </w:p>
    <w:p w14:paraId="236BD93D" w14:textId="77777777" w:rsidR="001E5AD4" w:rsidRDefault="001E5AD4" w:rsidP="001E5AD4">
      <w:pPr>
        <w:snapToGrid w:val="0"/>
        <w:spacing w:after="0" w:line="240" w:lineRule="auto"/>
        <w:contextualSpacing/>
        <w:jc w:val="both"/>
        <w:rPr>
          <w:rFonts w:ascii="Verdana" w:eastAsia="Times New Roman" w:hAnsi="Verdana" w:cs="Arial"/>
          <w:sz w:val="20"/>
          <w:szCs w:val="20"/>
          <w:lang w:val="es-ES"/>
        </w:rPr>
      </w:pPr>
    </w:p>
    <w:p w14:paraId="6D17E240" w14:textId="30681149" w:rsidR="0088688C" w:rsidRPr="001E5AD4" w:rsidRDefault="0088688C" w:rsidP="001E5AD4">
      <w:pPr>
        <w:snapToGrid w:val="0"/>
        <w:spacing w:after="0" w:line="240" w:lineRule="auto"/>
        <w:contextualSpacing/>
        <w:jc w:val="both"/>
        <w:rPr>
          <w:rFonts w:ascii="Verdana" w:eastAsia="Times New Roman" w:hAnsi="Verdana" w:cs="Arial"/>
          <w:sz w:val="20"/>
          <w:szCs w:val="20"/>
          <w:lang w:val="es-ES"/>
        </w:rPr>
      </w:pPr>
      <w:r w:rsidRPr="001E5AD4">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1E5AD4">
        <w:rPr>
          <w:rFonts w:ascii="Verdana" w:eastAsia="Times New Roman" w:hAnsi="Verdana" w:cs="Arial"/>
          <w:i/>
          <w:iCs/>
          <w:sz w:val="20"/>
          <w:szCs w:val="20"/>
          <w:lang w:val="es-ES"/>
        </w:rPr>
        <w:t>cualquier contrato o convenio de forma directa</w:t>
      </w:r>
      <w:r w:rsidRPr="001E5AD4">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20E63D0"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39352611" w14:textId="77777777" w:rsidR="007D795B" w:rsidRDefault="0088688C" w:rsidP="007D795B">
      <w:pPr>
        <w:spacing w:line="276" w:lineRule="auto"/>
        <w:jc w:val="both"/>
        <w:rPr>
          <w:rFonts w:ascii="Verdana" w:eastAsia="Arial" w:hAnsi="Verdana" w:cs="Arial"/>
          <w:bCs/>
          <w:color w:val="000000" w:themeColor="text1"/>
        </w:rPr>
      </w:pPr>
      <w:r w:rsidRPr="001E5AD4">
        <w:rPr>
          <w:rFonts w:ascii="Verdana" w:eastAsia="Calibri" w:hAnsi="Verdana" w:cs="Arial"/>
          <w:b/>
          <w:bCs/>
          <w:lang w:val="es-ES" w:eastAsia="es-ES"/>
        </w:rPr>
        <w:t xml:space="preserve">LEY DE GARANTÍAS ELECTORALES </w:t>
      </w:r>
      <w:r w:rsidRPr="00F752BC">
        <w:rPr>
          <w:rFonts w:ascii="Verdana" w:eastAsia="Calibri" w:hAnsi="Verdana" w:cs="Arial"/>
          <w:b/>
          <w:bCs/>
          <w:lang w:val="es-ES" w:eastAsia="es-ES"/>
        </w:rPr>
        <w:t xml:space="preserve">‒ </w:t>
      </w:r>
      <w:r w:rsidR="007D795B" w:rsidRPr="00F752BC">
        <w:rPr>
          <w:rFonts w:ascii="Verdana" w:eastAsia="Calibri" w:hAnsi="Verdana" w:cs="Arial"/>
          <w:b/>
          <w:bCs/>
          <w:lang w:val="es-ES" w:eastAsia="es-ES"/>
        </w:rPr>
        <w:t>Aplicación ‒ Convenios Marco ‒Contratación derivada</w:t>
      </w:r>
      <w:r w:rsidR="007D795B">
        <w:rPr>
          <w:rFonts w:ascii="Verdana" w:eastAsia="Calibri" w:hAnsi="Verdana" w:cs="Arial"/>
          <w:lang w:val="es-ES" w:eastAsia="es-ES"/>
        </w:rPr>
        <w:t xml:space="preserve"> </w:t>
      </w:r>
    </w:p>
    <w:p w14:paraId="6D7EE861" w14:textId="77777777" w:rsidR="00F752BC" w:rsidRPr="00F752BC" w:rsidRDefault="00F752BC" w:rsidP="00F752BC">
      <w:pPr>
        <w:widowControl w:val="0"/>
        <w:autoSpaceDE w:val="0"/>
        <w:autoSpaceDN w:val="0"/>
        <w:spacing w:after="0" w:line="240" w:lineRule="auto"/>
        <w:jc w:val="both"/>
        <w:rPr>
          <w:rFonts w:ascii="Verdana" w:eastAsia="Arial" w:hAnsi="Verdana" w:cs="Arial"/>
          <w:bCs/>
          <w:sz w:val="20"/>
          <w:szCs w:val="20"/>
          <w:lang w:eastAsia="es-ES" w:bidi="es-ES"/>
        </w:rPr>
      </w:pPr>
      <w:r w:rsidRPr="00F752BC">
        <w:rPr>
          <w:rFonts w:ascii="Verdana" w:hAnsi="Verdana"/>
          <w:sz w:val="20"/>
          <w:szCs w:val="20"/>
        </w:rPr>
        <w:t xml:space="preserve">Los contratos que se deriven del convenio marco mantienen una relación de </w:t>
      </w:r>
      <w:r w:rsidRPr="00F752BC">
        <w:rPr>
          <w:rFonts w:ascii="Verdana" w:hAnsi="Verdana"/>
          <w:sz w:val="20"/>
          <w:szCs w:val="20"/>
        </w:rPr>
        <w:lastRenderedPageBreak/>
        <w:t xml:space="preserve">subordinación respecto del instrumento principal.  No obstante, dado que el contenido y alcance del convenio marco suelen tener un carácter general, abstracto e indeterminado, su concreción se produce con la suscripción de los acuerdos o contratos específicos que lo desarrollan, los cuales </w:t>
      </w:r>
      <w:r w:rsidRPr="00F752BC">
        <w:rPr>
          <w:rFonts w:ascii="Verdana" w:eastAsia="Arial" w:hAnsi="Verdana" w:cs="Arial"/>
          <w:bCs/>
          <w:sz w:val="20"/>
          <w:szCs w:val="20"/>
          <w:lang w:eastAsia="es-ES" w:bidi="es-ES"/>
        </w:rPr>
        <w:t>deberán cumplir las normas aplicables en la materia.</w:t>
      </w:r>
      <w:r w:rsidRPr="00F752BC">
        <w:rPr>
          <w:sz w:val="20"/>
          <w:szCs w:val="20"/>
        </w:rPr>
        <w:t xml:space="preserve"> </w:t>
      </w:r>
      <w:r w:rsidRPr="00F752BC">
        <w:rPr>
          <w:rFonts w:ascii="Verdana" w:eastAsia="Arial" w:hAnsi="Verdana" w:cs="Arial"/>
          <w:bCs/>
          <w:sz w:val="20"/>
          <w:szCs w:val="20"/>
          <w:lang w:eastAsia="es-ES" w:bidi="es-ES"/>
        </w:rPr>
        <w:t>Esto implica que su celebración no se agota en la sola remisión al convenio marco, sino que exige observar las normas aplicables conforme al ordenamiento jurídico.</w:t>
      </w:r>
    </w:p>
    <w:p w14:paraId="0A198E5E" w14:textId="77777777" w:rsidR="00F752BC" w:rsidRDefault="00F752BC" w:rsidP="00F752BC">
      <w:pPr>
        <w:widowControl w:val="0"/>
        <w:autoSpaceDE w:val="0"/>
        <w:autoSpaceDN w:val="0"/>
        <w:jc w:val="both"/>
        <w:rPr>
          <w:rFonts w:ascii="Verdana" w:eastAsia="Arial" w:hAnsi="Verdana" w:cs="Arial"/>
          <w:bCs/>
          <w:sz w:val="20"/>
          <w:szCs w:val="20"/>
          <w:lang w:eastAsia="es-ES" w:bidi="es-ES"/>
        </w:rPr>
      </w:pPr>
    </w:p>
    <w:p w14:paraId="38A5B5B8" w14:textId="3EA99082" w:rsidR="00F752BC" w:rsidRPr="00F752BC" w:rsidRDefault="00F752BC" w:rsidP="00F752BC">
      <w:pPr>
        <w:widowControl w:val="0"/>
        <w:autoSpaceDE w:val="0"/>
        <w:autoSpaceDN w:val="0"/>
        <w:spacing w:after="0" w:line="240" w:lineRule="auto"/>
        <w:jc w:val="both"/>
        <w:rPr>
          <w:rFonts w:ascii="Verdana" w:hAnsi="Verdana"/>
          <w:sz w:val="20"/>
          <w:szCs w:val="20"/>
        </w:rPr>
      </w:pPr>
      <w:r w:rsidRPr="00F752BC">
        <w:rPr>
          <w:rFonts w:ascii="Verdana" w:eastAsia="Arial" w:hAnsi="Verdana" w:cs="Arial"/>
          <w:bCs/>
          <w:sz w:val="20"/>
          <w:szCs w:val="20"/>
          <w:lang w:eastAsia="es-ES" w:bidi="es-ES"/>
        </w:rPr>
        <w:t xml:space="preserve">En este contexto, si bien el contenido obligacional de los contratos derivados está subordinados al convenio marco y </w:t>
      </w:r>
      <w:r w:rsidRPr="00F752BC">
        <w:rPr>
          <w:rFonts w:ascii="Verdana" w:hAnsi="Verdana"/>
          <w:sz w:val="20"/>
          <w:szCs w:val="20"/>
        </w:rPr>
        <w:t xml:space="preserve">deben ajustarse a los lineamientos técnicos, jurídicos, financieros y administrativos definidos en este, se trata de negocios jurídicos autónomos e independientes, lo que implica que su celebración deberá tener en cuenta las normas aplicables en cada caso concreto. </w:t>
      </w:r>
      <w:r w:rsidRPr="00F752BC">
        <w:rPr>
          <w:rFonts w:ascii="Verdana" w:eastAsia="Arial" w:hAnsi="Verdana" w:cs="Arial"/>
          <w:bCs/>
          <w:sz w:val="20"/>
          <w:szCs w:val="20"/>
          <w:lang w:eastAsia="es-ES" w:bidi="es-ES"/>
        </w:rPr>
        <w:t xml:space="preserve">Así, cuando la contratación derivada implique una contratación directa, en la medida en que su celebración no contemple un proceso competitivo, no incluya etapas de convocatoria pública ni permita la participación de una pluralidad de oferentes, el negocio jurídico queda comprendido dentro del ámbito material de aplicación establecido en el artículo 33 de la Ley de Garantías Electorales. </w:t>
      </w:r>
    </w:p>
    <w:p w14:paraId="0A4F531E" w14:textId="77777777" w:rsidR="0088688C" w:rsidRDefault="0088688C" w:rsidP="00927895">
      <w:pPr>
        <w:spacing w:after="0"/>
        <w:rPr>
          <w:rFonts w:ascii="Verdana" w:hAnsi="Verdana"/>
          <w:lang w:val="es-ES"/>
        </w:rPr>
      </w:pPr>
    </w:p>
    <w:p w14:paraId="6028760F" w14:textId="77777777" w:rsidR="001E5AD4" w:rsidRDefault="001E5AD4" w:rsidP="00927895">
      <w:pPr>
        <w:spacing w:after="0"/>
        <w:rPr>
          <w:rFonts w:ascii="Verdana" w:hAnsi="Verdana"/>
          <w:lang w:val="es-ES"/>
        </w:rPr>
      </w:pPr>
    </w:p>
    <w:p w14:paraId="17409724" w14:textId="77777777" w:rsidR="001E5AD4" w:rsidRDefault="001E5AD4" w:rsidP="00927895">
      <w:pPr>
        <w:spacing w:after="0"/>
        <w:rPr>
          <w:rFonts w:ascii="Verdana" w:hAnsi="Verdana"/>
          <w:lang w:val="es-ES"/>
        </w:rPr>
      </w:pPr>
    </w:p>
    <w:p w14:paraId="3E58F383" w14:textId="77777777" w:rsidR="001E5AD4" w:rsidRDefault="001E5AD4" w:rsidP="00927895">
      <w:pPr>
        <w:spacing w:after="0"/>
        <w:rPr>
          <w:rFonts w:ascii="Verdana" w:hAnsi="Verdana"/>
          <w:lang w:val="es-ES"/>
        </w:rPr>
      </w:pPr>
    </w:p>
    <w:p w14:paraId="33615388" w14:textId="77777777" w:rsidR="001E5AD4" w:rsidRDefault="001E5AD4" w:rsidP="00927895">
      <w:pPr>
        <w:spacing w:after="0"/>
        <w:rPr>
          <w:rFonts w:ascii="Verdana" w:hAnsi="Verdana"/>
          <w:lang w:val="es-ES"/>
        </w:rPr>
      </w:pPr>
    </w:p>
    <w:p w14:paraId="0DAB5BF9" w14:textId="77777777" w:rsidR="001E5AD4" w:rsidRDefault="001E5AD4" w:rsidP="00927895">
      <w:pPr>
        <w:spacing w:after="0"/>
        <w:rPr>
          <w:rFonts w:ascii="Verdana" w:hAnsi="Verdana"/>
          <w:lang w:val="es-ES"/>
        </w:rPr>
      </w:pPr>
    </w:p>
    <w:p w14:paraId="0D0B3B0A" w14:textId="77777777" w:rsidR="001E5AD4" w:rsidRDefault="001E5AD4" w:rsidP="00927895">
      <w:pPr>
        <w:spacing w:after="0"/>
        <w:rPr>
          <w:rFonts w:ascii="Verdana" w:hAnsi="Verdana"/>
          <w:lang w:val="es-ES"/>
        </w:rPr>
      </w:pPr>
    </w:p>
    <w:p w14:paraId="1AF7B4A3" w14:textId="77777777" w:rsidR="001E5AD4" w:rsidRDefault="001E5AD4" w:rsidP="00927895">
      <w:pPr>
        <w:spacing w:after="0"/>
        <w:rPr>
          <w:rFonts w:ascii="Verdana" w:hAnsi="Verdana"/>
          <w:lang w:val="es-ES"/>
        </w:rPr>
      </w:pPr>
    </w:p>
    <w:p w14:paraId="56408ED8" w14:textId="77777777" w:rsidR="001E5AD4" w:rsidRDefault="001E5AD4" w:rsidP="00927895">
      <w:pPr>
        <w:spacing w:after="0"/>
        <w:rPr>
          <w:rFonts w:ascii="Verdana" w:hAnsi="Verdana"/>
          <w:lang w:val="es-ES"/>
        </w:rPr>
      </w:pPr>
    </w:p>
    <w:p w14:paraId="06D9A1AA" w14:textId="77777777" w:rsidR="001E5AD4" w:rsidRDefault="001E5AD4" w:rsidP="00927895">
      <w:pPr>
        <w:spacing w:after="0"/>
        <w:rPr>
          <w:rFonts w:ascii="Verdana" w:hAnsi="Verdana"/>
          <w:lang w:val="es-ES"/>
        </w:rPr>
      </w:pPr>
    </w:p>
    <w:p w14:paraId="4F2D8828" w14:textId="77777777" w:rsidR="001E5AD4" w:rsidRDefault="001E5AD4" w:rsidP="00927895">
      <w:pPr>
        <w:spacing w:after="0"/>
        <w:rPr>
          <w:rFonts w:ascii="Verdana" w:hAnsi="Verdana"/>
          <w:lang w:val="es-ES"/>
        </w:rPr>
      </w:pPr>
    </w:p>
    <w:p w14:paraId="7EA0FD5E" w14:textId="77777777" w:rsidR="001E5AD4" w:rsidRDefault="001E5AD4" w:rsidP="00927895">
      <w:pPr>
        <w:spacing w:after="0"/>
        <w:rPr>
          <w:rFonts w:ascii="Verdana" w:hAnsi="Verdana"/>
          <w:lang w:val="es-ES"/>
        </w:rPr>
      </w:pPr>
    </w:p>
    <w:p w14:paraId="03876FE5" w14:textId="77777777" w:rsidR="001E5AD4" w:rsidRDefault="001E5AD4" w:rsidP="00927895">
      <w:pPr>
        <w:spacing w:after="0"/>
        <w:rPr>
          <w:rFonts w:ascii="Verdana" w:hAnsi="Verdana"/>
          <w:lang w:val="es-ES"/>
        </w:rPr>
      </w:pPr>
    </w:p>
    <w:p w14:paraId="086CC02F" w14:textId="77777777" w:rsidR="001E5AD4" w:rsidRDefault="001E5AD4" w:rsidP="00927895">
      <w:pPr>
        <w:spacing w:after="0"/>
        <w:rPr>
          <w:rFonts w:ascii="Verdana" w:hAnsi="Verdana"/>
          <w:lang w:val="es-ES"/>
        </w:rPr>
      </w:pPr>
    </w:p>
    <w:p w14:paraId="05124B01" w14:textId="77777777" w:rsidR="001E5AD4" w:rsidRDefault="001E5AD4" w:rsidP="00927895">
      <w:pPr>
        <w:spacing w:after="0"/>
        <w:rPr>
          <w:rFonts w:ascii="Verdana" w:hAnsi="Verdana"/>
          <w:lang w:val="es-ES"/>
        </w:rPr>
      </w:pPr>
    </w:p>
    <w:p w14:paraId="48F1FFF7" w14:textId="77777777" w:rsidR="001E5AD4" w:rsidRDefault="001E5AD4" w:rsidP="00927895">
      <w:pPr>
        <w:spacing w:after="0"/>
        <w:rPr>
          <w:rFonts w:ascii="Verdana" w:hAnsi="Verdana"/>
          <w:lang w:val="es-ES"/>
        </w:rPr>
      </w:pPr>
    </w:p>
    <w:p w14:paraId="161B12A4" w14:textId="77777777" w:rsidR="001E5AD4" w:rsidRDefault="001E5AD4" w:rsidP="00927895">
      <w:pPr>
        <w:spacing w:after="0"/>
        <w:rPr>
          <w:rFonts w:ascii="Verdana" w:hAnsi="Verdana"/>
          <w:lang w:val="es-ES"/>
        </w:rPr>
      </w:pPr>
    </w:p>
    <w:p w14:paraId="47AE80BD" w14:textId="77777777" w:rsidR="001E5AD4" w:rsidRDefault="001E5AD4" w:rsidP="00927895">
      <w:pPr>
        <w:spacing w:after="0"/>
        <w:rPr>
          <w:rFonts w:ascii="Verdana" w:hAnsi="Verdana"/>
          <w:lang w:val="es-ES"/>
        </w:rPr>
      </w:pPr>
    </w:p>
    <w:p w14:paraId="315C04F8" w14:textId="77777777" w:rsidR="001E5AD4" w:rsidRDefault="001E5AD4" w:rsidP="00927895">
      <w:pPr>
        <w:spacing w:after="0"/>
        <w:rPr>
          <w:rFonts w:ascii="Verdana" w:hAnsi="Verdana"/>
          <w:lang w:val="es-ES"/>
        </w:rPr>
      </w:pPr>
    </w:p>
    <w:p w14:paraId="10F04C51" w14:textId="77777777" w:rsidR="001E5AD4" w:rsidRDefault="001E5AD4" w:rsidP="00927895">
      <w:pPr>
        <w:spacing w:after="0"/>
        <w:rPr>
          <w:rFonts w:ascii="Verdana" w:hAnsi="Verdana"/>
          <w:lang w:val="es-ES"/>
        </w:rPr>
      </w:pPr>
    </w:p>
    <w:p w14:paraId="0B08E1DF" w14:textId="77777777" w:rsidR="001E5AD4" w:rsidRDefault="001E5AD4" w:rsidP="00927895">
      <w:pPr>
        <w:spacing w:after="0"/>
        <w:rPr>
          <w:rFonts w:ascii="Verdana" w:hAnsi="Verdana"/>
          <w:lang w:val="es-ES"/>
        </w:rPr>
      </w:pPr>
    </w:p>
    <w:p w14:paraId="69A6A4E0" w14:textId="77777777" w:rsidR="001E5AD4" w:rsidRDefault="001E5AD4" w:rsidP="00927895">
      <w:pPr>
        <w:spacing w:after="0"/>
        <w:rPr>
          <w:rFonts w:ascii="Verdana" w:hAnsi="Verdana"/>
          <w:lang w:val="es-ES"/>
        </w:rPr>
      </w:pPr>
    </w:p>
    <w:p w14:paraId="37739EFF" w14:textId="77777777" w:rsidR="001E5AD4" w:rsidRDefault="001E5AD4" w:rsidP="00927895">
      <w:pPr>
        <w:spacing w:after="0"/>
        <w:rPr>
          <w:rFonts w:ascii="Verdana" w:hAnsi="Verdana"/>
          <w:lang w:val="es-ES"/>
        </w:rPr>
      </w:pPr>
    </w:p>
    <w:p w14:paraId="5684CE7E" w14:textId="77777777" w:rsidR="001E5AD4" w:rsidRDefault="001E5AD4" w:rsidP="00927895">
      <w:pPr>
        <w:spacing w:after="0"/>
        <w:rPr>
          <w:rFonts w:ascii="Verdana" w:hAnsi="Verdana"/>
          <w:lang w:val="es-ES"/>
        </w:rPr>
      </w:pPr>
    </w:p>
    <w:p w14:paraId="5BB158B3" w14:textId="77777777" w:rsidR="001E5AD4" w:rsidRDefault="001E5AD4" w:rsidP="00927895">
      <w:pPr>
        <w:spacing w:after="0"/>
        <w:rPr>
          <w:rFonts w:ascii="Verdana" w:hAnsi="Verdana"/>
          <w:lang w:val="es-ES"/>
        </w:rPr>
      </w:pPr>
    </w:p>
    <w:p w14:paraId="4893134D" w14:textId="2D16C1E1" w:rsidR="00F728DC" w:rsidRPr="00A27102" w:rsidRDefault="00F728DC" w:rsidP="00F728DC">
      <w:pPr>
        <w:spacing w:after="0" w:line="240" w:lineRule="auto"/>
        <w:rPr>
          <w:rFonts w:ascii="Verdana" w:eastAsia="Geomanist Light" w:hAnsi="Verdana" w:cs="Arial"/>
          <w:color w:val="201F1E"/>
          <w:lang w:val="es-MX"/>
        </w:rPr>
      </w:pPr>
      <w:r w:rsidRPr="00A27102">
        <w:rPr>
          <w:rFonts w:ascii="Verdana" w:eastAsia="Geomanist Light" w:hAnsi="Verdana" w:cs="Arial"/>
          <w:color w:val="000000" w:themeColor="text1"/>
          <w:lang w:val="es-MX"/>
        </w:rPr>
        <w:lastRenderedPageBreak/>
        <w:t>Bogotá D.C., </w:t>
      </w:r>
      <w:r w:rsidR="005F45D7">
        <w:rPr>
          <w:rFonts w:ascii="Verdana" w:eastAsia="Geomanist Light" w:hAnsi="Verdana" w:cs="Arial"/>
          <w:color w:val="201F1E"/>
          <w:lang w:val="es-MX"/>
        </w:rPr>
        <w:t>1 de diciembre de 2025</w:t>
      </w:r>
    </w:p>
    <w:p w14:paraId="4D5857D9" w14:textId="77777777" w:rsidR="00F728DC" w:rsidRDefault="00F728DC" w:rsidP="00F728DC">
      <w:pPr>
        <w:spacing w:after="0"/>
        <w:rPr>
          <w:rFonts w:ascii="Verdana" w:hAnsi="Verdana"/>
          <w:lang w:val="es-ES"/>
        </w:rPr>
      </w:pPr>
    </w:p>
    <w:p w14:paraId="512F08BB" w14:textId="166B42D2" w:rsidR="00F728DC" w:rsidRPr="00FC6F34" w:rsidRDefault="006B063C" w:rsidP="006B063C">
      <w:pPr>
        <w:spacing w:after="0"/>
        <w:jc w:val="right"/>
        <w:rPr>
          <w:rFonts w:ascii="Verdana" w:hAnsi="Verdana"/>
          <w:lang w:val="es-ES"/>
        </w:rPr>
      </w:pPr>
      <w:r w:rsidRPr="006B063C">
        <w:rPr>
          <w:rFonts w:ascii="Verdana" w:hAnsi="Verdana"/>
          <w:noProof/>
          <w:lang w:val="es-ES"/>
        </w:rPr>
        <w:drawing>
          <wp:inline distT="0" distB="0" distL="0" distR="0" wp14:anchorId="73706B1F" wp14:editId="6E57D999">
            <wp:extent cx="2621280" cy="899160"/>
            <wp:effectExtent l="0" t="0" r="7620" b="0"/>
            <wp:docPr id="3308440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21280" cy="899160"/>
                    </a:xfrm>
                    <a:prstGeom prst="rect">
                      <a:avLst/>
                    </a:prstGeom>
                    <a:noFill/>
                    <a:ln>
                      <a:noFill/>
                    </a:ln>
                  </pic:spPr>
                </pic:pic>
              </a:graphicData>
            </a:graphic>
          </wp:inline>
        </w:drawing>
      </w:r>
    </w:p>
    <w:p w14:paraId="146ED32A" w14:textId="77777777" w:rsidR="00F728DC" w:rsidRDefault="00F728DC" w:rsidP="00F728DC">
      <w:pPr>
        <w:spacing w:after="0" w:line="240" w:lineRule="auto"/>
        <w:rPr>
          <w:rFonts w:ascii="Verdana" w:eastAsia="Calibri" w:hAnsi="Verdana" w:cs="Arial"/>
          <w:color w:val="000000" w:themeColor="text1"/>
          <w:lang w:val="es-ES" w:eastAsia="es-ES"/>
        </w:rPr>
      </w:pPr>
      <w:bookmarkStart w:id="0" w:name="_Hlk143780582"/>
      <w:r>
        <w:rPr>
          <w:rFonts w:ascii="Verdana" w:eastAsia="Calibri" w:hAnsi="Verdana" w:cs="Arial"/>
          <w:color w:val="000000" w:themeColor="text1"/>
          <w:lang w:val="es-ES" w:eastAsia="es-ES"/>
        </w:rPr>
        <w:t>Señor</w:t>
      </w:r>
    </w:p>
    <w:p w14:paraId="7AA7B4F1" w14:textId="77777777" w:rsidR="00F728DC" w:rsidRPr="006713F3" w:rsidRDefault="00F728DC" w:rsidP="00F728DC">
      <w:pPr>
        <w:spacing w:after="0" w:line="240" w:lineRule="auto"/>
        <w:rPr>
          <w:rFonts w:ascii="Verdana" w:eastAsia="Calibri" w:hAnsi="Verdana" w:cs="Arial"/>
          <w:b/>
          <w:bCs/>
          <w:color w:val="000000" w:themeColor="text1"/>
          <w:lang w:val="es-ES" w:eastAsia="es-ES"/>
        </w:rPr>
      </w:pPr>
      <w:r w:rsidRPr="006713F3">
        <w:rPr>
          <w:rFonts w:ascii="Verdana" w:eastAsia="Calibri" w:hAnsi="Verdana" w:cs="Arial"/>
          <w:b/>
          <w:bCs/>
          <w:color w:val="000000" w:themeColor="text1"/>
          <w:lang w:val="es-ES" w:eastAsia="es-ES"/>
        </w:rPr>
        <w:t xml:space="preserve">Víctor Manual Soto López </w:t>
      </w:r>
    </w:p>
    <w:p w14:paraId="0ED574B8" w14:textId="77777777" w:rsidR="00F728DC" w:rsidRPr="006713F3" w:rsidRDefault="00F728DC" w:rsidP="00F728DC">
      <w:pPr>
        <w:spacing w:after="0" w:line="240" w:lineRule="auto"/>
        <w:rPr>
          <w:rFonts w:ascii="Verdana" w:eastAsia="Calibri" w:hAnsi="Verdana" w:cs="Arial"/>
          <w:b/>
          <w:bCs/>
          <w:color w:val="000000" w:themeColor="text1"/>
          <w:lang w:val="es-ES" w:eastAsia="es-ES"/>
        </w:rPr>
      </w:pPr>
      <w:r w:rsidRPr="006713F3">
        <w:rPr>
          <w:rFonts w:ascii="Verdana" w:eastAsia="Calibri" w:hAnsi="Verdana" w:cs="Arial"/>
          <w:b/>
          <w:bCs/>
          <w:color w:val="000000" w:themeColor="text1"/>
          <w:lang w:val="es-ES" w:eastAsia="es-ES"/>
        </w:rPr>
        <w:t xml:space="preserve">Dirección Jurídica </w:t>
      </w:r>
    </w:p>
    <w:p w14:paraId="2DEB715D" w14:textId="77777777" w:rsidR="00F728DC" w:rsidRPr="006713F3" w:rsidRDefault="00F728DC" w:rsidP="00F728DC">
      <w:pPr>
        <w:spacing w:after="0" w:line="240" w:lineRule="auto"/>
        <w:rPr>
          <w:rFonts w:ascii="Verdana" w:eastAsia="Calibri" w:hAnsi="Verdana" w:cs="Arial"/>
          <w:b/>
          <w:bCs/>
          <w:color w:val="000000" w:themeColor="text1"/>
          <w:lang w:val="es-ES" w:eastAsia="es-ES"/>
        </w:rPr>
      </w:pPr>
      <w:r w:rsidRPr="006713F3">
        <w:rPr>
          <w:rFonts w:ascii="Verdana" w:eastAsia="Calibri" w:hAnsi="Verdana" w:cs="Arial"/>
          <w:b/>
          <w:bCs/>
          <w:color w:val="000000" w:themeColor="text1"/>
          <w:lang w:val="es-ES" w:eastAsia="es-ES"/>
        </w:rPr>
        <w:t>Central de Inversiones S.A - CISA</w:t>
      </w:r>
    </w:p>
    <w:p w14:paraId="3C68D14E" w14:textId="77777777" w:rsidR="00F728DC" w:rsidRPr="006713F3" w:rsidRDefault="00F728DC" w:rsidP="00F728DC">
      <w:pPr>
        <w:spacing w:after="0" w:line="240" w:lineRule="auto"/>
        <w:rPr>
          <w:rFonts w:ascii="Verdana" w:hAnsi="Verdana"/>
          <w:lang w:val="es-ES"/>
        </w:rPr>
      </w:pPr>
      <w:hyperlink r:id="rId12" w:history="1">
        <w:r w:rsidRPr="006713F3">
          <w:rPr>
            <w:rStyle w:val="Hipervnculo"/>
            <w:rFonts w:ascii="Verdana" w:hAnsi="Verdana"/>
          </w:rPr>
          <w:t>cisa@cisa.gov.co</w:t>
        </w:r>
      </w:hyperlink>
      <w:r w:rsidRPr="006713F3">
        <w:rPr>
          <w:rFonts w:ascii="Verdana" w:hAnsi="Verdana"/>
        </w:rPr>
        <w:t xml:space="preserve"> </w:t>
      </w:r>
    </w:p>
    <w:p w14:paraId="1C3272FB" w14:textId="77777777" w:rsidR="00F728DC" w:rsidRPr="00BC4697" w:rsidRDefault="00F728DC" w:rsidP="00F728DC">
      <w:pPr>
        <w:spacing w:after="0" w:line="240" w:lineRule="auto"/>
        <w:rPr>
          <w:rFonts w:ascii="Verdana" w:eastAsia="Calibri" w:hAnsi="Verdana" w:cs="Arial"/>
          <w:color w:val="000000" w:themeColor="text1"/>
          <w:lang w:eastAsia="es-ES"/>
        </w:rPr>
      </w:pPr>
      <w:r w:rsidRPr="00FC6F34">
        <w:rPr>
          <w:rFonts w:ascii="Verdana" w:hAnsi="Verdana"/>
          <w:lang w:val="es-ES"/>
        </w:rPr>
        <w:t>Bogotá D.C.</w:t>
      </w:r>
    </w:p>
    <w:p w14:paraId="5671D243" w14:textId="77777777" w:rsidR="00F728DC" w:rsidRPr="00FC6F34" w:rsidRDefault="00F728DC" w:rsidP="00F728DC">
      <w:pPr>
        <w:spacing w:after="0" w:line="240" w:lineRule="auto"/>
        <w:rPr>
          <w:rFonts w:ascii="Verdana" w:eastAsia="Calibri" w:hAnsi="Verdana" w:cs="Arial"/>
          <w:b/>
          <w:bCs/>
          <w:color w:val="000000" w:themeColor="text1"/>
          <w:lang w:val="es-ES" w:eastAsia="es-ES"/>
        </w:rPr>
      </w:pPr>
    </w:p>
    <w:tbl>
      <w:tblPr>
        <w:tblStyle w:val="Tablaconcuadrcula"/>
        <w:tblW w:w="9062"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66"/>
        <w:gridCol w:w="6496"/>
      </w:tblGrid>
      <w:tr w:rsidR="00F728DC" w:rsidRPr="00FC6F34" w14:paraId="476F12DC" w14:textId="77777777" w:rsidTr="00A5204D">
        <w:trPr>
          <w:trHeight w:val="304"/>
        </w:trPr>
        <w:tc>
          <w:tcPr>
            <w:tcW w:w="2566" w:type="dxa"/>
          </w:tcPr>
          <w:p w14:paraId="679C2E54" w14:textId="77777777" w:rsidR="00F728DC" w:rsidRPr="00FC6F34" w:rsidRDefault="00F728DC" w:rsidP="00A5204D">
            <w:pPr>
              <w:ind w:left="-142"/>
              <w:jc w:val="both"/>
              <w:rPr>
                <w:rFonts w:ascii="Verdana" w:eastAsia="Calibri" w:hAnsi="Verdana" w:cs="Arial"/>
                <w:b/>
                <w:bCs/>
                <w:color w:val="000000" w:themeColor="text1"/>
                <w:lang w:val="es-ES" w:eastAsia="es-ES_tradnl"/>
              </w:rPr>
            </w:pPr>
          </w:p>
        </w:tc>
        <w:tc>
          <w:tcPr>
            <w:tcW w:w="6496" w:type="dxa"/>
          </w:tcPr>
          <w:p w14:paraId="6DAA2C1F" w14:textId="77777777" w:rsidR="00F728DC" w:rsidRDefault="00F728DC" w:rsidP="00A5204D">
            <w:pPr>
              <w:ind w:left="3"/>
              <w:jc w:val="both"/>
              <w:rPr>
                <w:rFonts w:ascii="Verdana" w:eastAsia="Calibri" w:hAnsi="Verdana" w:cs="Arial"/>
                <w:b/>
                <w:bCs/>
                <w:color w:val="000000" w:themeColor="text1"/>
                <w:lang w:val="es-ES" w:eastAsia="es-ES"/>
              </w:rPr>
            </w:pPr>
          </w:p>
          <w:p w14:paraId="346B98C6" w14:textId="41107F70" w:rsidR="00F728DC" w:rsidRPr="00FC6F34" w:rsidRDefault="00F728DC" w:rsidP="00A5204D">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15</w:t>
            </w:r>
            <w:r w:rsidR="00160E5D">
              <w:rPr>
                <w:rFonts w:ascii="Verdana" w:eastAsia="Calibri" w:hAnsi="Verdana" w:cs="Arial"/>
                <w:b/>
                <w:bCs/>
                <w:color w:val="000000" w:themeColor="text1"/>
                <w:lang w:val="es-ES" w:eastAsia="es-ES"/>
              </w:rPr>
              <w:t>43</w:t>
            </w:r>
            <w:r w:rsidRPr="00FC6F34">
              <w:rPr>
                <w:rFonts w:ascii="Verdana" w:eastAsia="Calibri" w:hAnsi="Verdana" w:cs="Arial"/>
                <w:b/>
                <w:bCs/>
                <w:color w:val="000000" w:themeColor="text1"/>
                <w:lang w:val="es-ES" w:eastAsia="es-ES"/>
              </w:rPr>
              <w:t xml:space="preserve"> de 2025</w:t>
            </w:r>
          </w:p>
          <w:p w14:paraId="1ED0B2FB" w14:textId="77777777" w:rsidR="00F728DC" w:rsidRPr="00FC6F34" w:rsidRDefault="00F728DC" w:rsidP="00A5204D">
            <w:pPr>
              <w:ind w:left="3"/>
              <w:jc w:val="both"/>
              <w:rPr>
                <w:rFonts w:ascii="Verdana" w:eastAsia="Calibri" w:hAnsi="Verdana" w:cs="Arial"/>
                <w:b/>
                <w:bCs/>
                <w:color w:val="000000" w:themeColor="text1"/>
                <w:lang w:val="es-ES" w:eastAsia="es-ES"/>
              </w:rPr>
            </w:pPr>
          </w:p>
        </w:tc>
      </w:tr>
      <w:tr w:rsidR="00F728DC" w:rsidRPr="00FC6F34" w14:paraId="7758ADDA" w14:textId="77777777" w:rsidTr="00A5204D">
        <w:trPr>
          <w:trHeight w:val="304"/>
        </w:trPr>
        <w:tc>
          <w:tcPr>
            <w:tcW w:w="2566" w:type="dxa"/>
          </w:tcPr>
          <w:p w14:paraId="0B336D4C" w14:textId="77777777" w:rsidR="00F728DC" w:rsidRPr="00FC6F34" w:rsidRDefault="00F728DC" w:rsidP="00A5204D">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496" w:type="dxa"/>
          </w:tcPr>
          <w:p w14:paraId="4EF4BB40" w14:textId="77777777" w:rsidR="00F728DC" w:rsidRDefault="00F728DC" w:rsidP="00A5204D">
            <w:pPr>
              <w:spacing w:line="276" w:lineRule="auto"/>
              <w:jc w:val="both"/>
              <w:rPr>
                <w:rFonts w:ascii="Verdana" w:eastAsia="Arial" w:hAnsi="Verdana" w:cs="Arial"/>
                <w:bCs/>
                <w:color w:val="000000" w:themeColor="text1"/>
              </w:rPr>
            </w:pPr>
            <w:r w:rsidRPr="00FC6F34">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eastAsia="Calibri" w:hAnsi="Verdana" w:cs="Arial"/>
                <w:lang w:val="es-ES" w:eastAsia="es-ES"/>
              </w:rPr>
              <w:t xml:space="preserve"> / </w:t>
            </w:r>
            <w:r w:rsidRPr="00FC6F34">
              <w:rPr>
                <w:rFonts w:ascii="Verdana" w:eastAsia="Calibri" w:hAnsi="Verdana" w:cs="Arial"/>
                <w:lang w:val="es-ES" w:eastAsia="es-ES"/>
              </w:rPr>
              <w:t xml:space="preserve">LEY DE GARANTÍAS ELECTORALES ‒ </w:t>
            </w:r>
            <w:r>
              <w:rPr>
                <w:rFonts w:ascii="Verdana" w:eastAsia="Calibri" w:hAnsi="Verdana" w:cs="Arial"/>
                <w:lang w:val="es-ES" w:eastAsia="es-ES"/>
              </w:rPr>
              <w:t xml:space="preserve">Aplicación </w:t>
            </w:r>
            <w:r w:rsidRPr="00FC6F34">
              <w:rPr>
                <w:rFonts w:ascii="Verdana" w:eastAsia="Calibri" w:hAnsi="Verdana" w:cs="Arial"/>
                <w:lang w:val="es-ES" w:eastAsia="es-ES"/>
              </w:rPr>
              <w:t>‒</w:t>
            </w:r>
            <w:r>
              <w:rPr>
                <w:rFonts w:ascii="Verdana" w:eastAsia="Calibri" w:hAnsi="Verdana" w:cs="Arial"/>
                <w:lang w:val="es-ES" w:eastAsia="es-ES"/>
              </w:rPr>
              <w:t xml:space="preserve"> Convenios Marco </w:t>
            </w:r>
            <w:r w:rsidRPr="00FC6F34">
              <w:rPr>
                <w:rFonts w:ascii="Verdana" w:eastAsia="Calibri" w:hAnsi="Verdana" w:cs="Arial"/>
                <w:lang w:val="es-ES" w:eastAsia="es-ES"/>
              </w:rPr>
              <w:t>‒</w:t>
            </w:r>
            <w:r>
              <w:rPr>
                <w:rFonts w:ascii="Verdana" w:eastAsia="Calibri" w:hAnsi="Verdana" w:cs="Arial"/>
                <w:lang w:val="es-ES" w:eastAsia="es-ES"/>
              </w:rPr>
              <w:t xml:space="preserve">Contratación derivada </w:t>
            </w:r>
          </w:p>
          <w:p w14:paraId="1DC05A66" w14:textId="77777777" w:rsidR="00F728DC" w:rsidRPr="00FC6F34" w:rsidRDefault="00F728DC" w:rsidP="00A5204D">
            <w:pPr>
              <w:spacing w:line="276" w:lineRule="auto"/>
              <w:jc w:val="both"/>
              <w:rPr>
                <w:rFonts w:ascii="Verdana" w:eastAsia="Calibri" w:hAnsi="Verdana" w:cs="Arial"/>
                <w:color w:val="000000" w:themeColor="text1"/>
                <w:lang w:val="es-ES" w:eastAsia="es-ES"/>
              </w:rPr>
            </w:pPr>
          </w:p>
        </w:tc>
      </w:tr>
      <w:tr w:rsidR="00F728DC" w:rsidRPr="00FC6F34" w14:paraId="0FAEF24E" w14:textId="77777777" w:rsidTr="00A5204D">
        <w:trPr>
          <w:trHeight w:val="770"/>
        </w:trPr>
        <w:tc>
          <w:tcPr>
            <w:tcW w:w="2566" w:type="dxa"/>
          </w:tcPr>
          <w:p w14:paraId="20128A3F" w14:textId="77777777" w:rsidR="00F728DC" w:rsidRPr="00FC6F34" w:rsidRDefault="00F728DC" w:rsidP="00A5204D">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496" w:type="dxa"/>
          </w:tcPr>
          <w:p w14:paraId="024E44B8" w14:textId="77777777" w:rsidR="00F728DC" w:rsidRPr="00FC6F34" w:rsidRDefault="00F728DC" w:rsidP="00A5204D">
            <w:pPr>
              <w:ind w:left="3"/>
              <w:jc w:val="both"/>
              <w:rPr>
                <w:rFonts w:ascii="Verdana" w:hAnsi="Verdana"/>
                <w:color w:val="000000"/>
                <w:lang w:val="es-ES"/>
              </w:rPr>
            </w:pPr>
            <w:r w:rsidRPr="00FC6F34">
              <w:rPr>
                <w:rFonts w:ascii="Verdana" w:eastAsia="Calibri" w:hAnsi="Verdana" w:cs="Arial"/>
                <w:color w:val="000000" w:themeColor="text1"/>
                <w:lang w:val="es-ES" w:eastAsia="es-ES"/>
              </w:rPr>
              <w:t>Respuesta a consulta con radicado No.</w:t>
            </w:r>
            <w:r>
              <w:rPr>
                <w:rFonts w:ascii="Verdana" w:eastAsia="Calibri" w:hAnsi="Verdana" w:cs="Arial"/>
                <w:color w:val="000000" w:themeColor="text1"/>
                <w:lang w:val="es-ES" w:eastAsia="es-ES"/>
              </w:rPr>
              <w:t xml:space="preserve"> </w:t>
            </w:r>
            <w:r w:rsidRPr="00E1179D">
              <w:rPr>
                <w:rFonts w:ascii="Verdana" w:eastAsia="Calibri" w:hAnsi="Verdana" w:cs="Arial"/>
                <w:color w:val="000000" w:themeColor="text1"/>
                <w:lang w:val="es-ES" w:eastAsia="es-ES"/>
              </w:rPr>
              <w:t>1_2025_10_22_011818</w:t>
            </w:r>
          </w:p>
        </w:tc>
      </w:tr>
    </w:tbl>
    <w:p w14:paraId="45925B4D" w14:textId="77777777" w:rsidR="00F728DC" w:rsidRDefault="00F728DC" w:rsidP="00F728DC">
      <w:pPr>
        <w:spacing w:after="0" w:line="276" w:lineRule="auto"/>
        <w:jc w:val="both"/>
        <w:rPr>
          <w:rFonts w:ascii="Verdana" w:eastAsia="Calibri" w:hAnsi="Verdana" w:cs="Arial"/>
          <w:color w:val="000000" w:themeColor="text1"/>
          <w:lang w:val="es-ES" w:eastAsia="es-ES"/>
        </w:rPr>
      </w:pPr>
    </w:p>
    <w:p w14:paraId="1AC575F6" w14:textId="77777777" w:rsidR="00F728DC" w:rsidRPr="00FC6F34" w:rsidRDefault="00F728DC" w:rsidP="00F728DC">
      <w:pPr>
        <w:spacing w:after="0" w:line="276" w:lineRule="auto"/>
        <w:jc w:val="both"/>
        <w:rPr>
          <w:rFonts w:ascii="Verdana" w:eastAsia="Calibri" w:hAnsi="Verdana" w:cs="Arial"/>
          <w:color w:val="000000" w:themeColor="text1"/>
          <w:lang w:val="es-ES" w:eastAsia="es-ES"/>
        </w:rPr>
      </w:pPr>
    </w:p>
    <w:p w14:paraId="244B21CE" w14:textId="77777777" w:rsidR="00F728DC" w:rsidRPr="00FC6F34" w:rsidRDefault="00F728DC" w:rsidP="00F728DC">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os</w:t>
      </w:r>
      <w:r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señor Soto</w:t>
      </w:r>
      <w:r w:rsidRPr="00FC6F34">
        <w:rPr>
          <w:rFonts w:ascii="Verdana" w:eastAsia="Calibri" w:hAnsi="Verdana" w:cs="Arial"/>
          <w:color w:val="000000" w:themeColor="text1"/>
          <w:lang w:val="es-ES" w:eastAsia="es-ES"/>
        </w:rPr>
        <w:t>:</w:t>
      </w:r>
    </w:p>
    <w:p w14:paraId="715CA197" w14:textId="77777777" w:rsidR="00F728DC" w:rsidRPr="00FC6F34" w:rsidRDefault="00F728DC" w:rsidP="00F728DC">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09B0222F" w14:textId="77777777" w:rsidR="00F728DC" w:rsidRPr="00FC6F34" w:rsidRDefault="00F728DC" w:rsidP="00F728DC">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así como lo establecido</w:t>
      </w:r>
      <w:r>
        <w:rPr>
          <w:rFonts w:ascii="Verdana" w:hAnsi="Verdana" w:cs="Arial"/>
          <w:color w:val="000000" w:themeColor="text1"/>
          <w:lang w:val="es-ES"/>
        </w:rPr>
        <w:t xml:space="preserve"> por la</w:t>
      </w:r>
      <w:r w:rsidRPr="00FC6F34">
        <w:rPr>
          <w:rFonts w:ascii="Verdana" w:hAnsi="Verdana" w:cs="Arial"/>
          <w:color w:val="000000" w:themeColor="text1"/>
          <w:lang w:val="es-ES"/>
        </w:rPr>
        <w:t xml:space="preserve"> </w:t>
      </w:r>
      <w:r w:rsidRPr="00A27102">
        <w:rPr>
          <w:rFonts w:ascii="Verdana" w:hAnsi="Verdana" w:cs="Arial"/>
        </w:rPr>
        <w:t>Resolución 469 de 2025 expedida por esta Entidad</w:t>
      </w:r>
      <w:r w:rsidRPr="00FC6F34">
        <w:rPr>
          <w:rFonts w:ascii="Verdana" w:hAnsi="Verdana" w:cs="Arial"/>
          <w:color w:val="000000" w:themeColor="text1"/>
          <w:lang w:val="es-ES"/>
        </w:rPr>
        <w:t xml:space="preserve">,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 xml:space="preserve">20 </w:t>
      </w:r>
      <w:r w:rsidRPr="00FC6F34">
        <w:rPr>
          <w:rFonts w:ascii="Verdana" w:eastAsia="Calibri" w:hAnsi="Verdana" w:cs="Arial"/>
          <w:color w:val="000000" w:themeColor="text1"/>
          <w:lang w:val="es-ES" w:eastAsia="es-ES"/>
        </w:rPr>
        <w:t xml:space="preserve">de </w:t>
      </w:r>
      <w:r>
        <w:rPr>
          <w:rFonts w:ascii="Verdana" w:eastAsia="Calibri" w:hAnsi="Verdana" w:cs="Arial"/>
          <w:color w:val="000000" w:themeColor="text1"/>
          <w:lang w:val="es-ES" w:eastAsia="es-ES"/>
        </w:rPr>
        <w:t>octubre</w:t>
      </w:r>
      <w:r w:rsidRPr="00FC6F34">
        <w:rPr>
          <w:rFonts w:ascii="Verdana" w:eastAsia="Calibri" w:hAnsi="Verdana" w:cs="Arial"/>
          <w:color w:val="000000" w:themeColor="text1"/>
          <w:lang w:val="es-ES" w:eastAsia="es-ES"/>
        </w:rPr>
        <w:t xml:space="preserve"> de 2025, en la</w:t>
      </w:r>
      <w:r>
        <w:rPr>
          <w:rFonts w:ascii="Verdana" w:eastAsia="Calibri" w:hAnsi="Verdana" w:cs="Arial"/>
          <w:color w:val="000000" w:themeColor="text1"/>
          <w:lang w:val="es-ES" w:eastAsia="es-ES"/>
        </w:rPr>
        <w:t xml:space="preserve"> cual pregunta</w:t>
      </w:r>
      <w:r w:rsidRPr="00FC6F34">
        <w:rPr>
          <w:rFonts w:ascii="Verdana" w:eastAsia="Calibri" w:hAnsi="Verdana" w:cs="Arial"/>
          <w:color w:val="000000" w:themeColor="text1"/>
          <w:lang w:val="es-ES" w:eastAsia="es-ES"/>
        </w:rPr>
        <w:t xml:space="preserve"> lo siguiente: </w:t>
      </w:r>
    </w:p>
    <w:p w14:paraId="451C1028" w14:textId="77777777" w:rsidR="00F728DC" w:rsidRPr="00BF306B" w:rsidRDefault="00F728DC" w:rsidP="00F728DC">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60A4B961" w14:textId="77777777" w:rsidR="00F728DC" w:rsidRDefault="00F728DC" w:rsidP="00F728DC">
      <w:pPr>
        <w:spacing w:after="0" w:line="240" w:lineRule="auto"/>
        <w:ind w:left="709" w:right="709"/>
        <w:jc w:val="both"/>
        <w:rPr>
          <w:rFonts w:ascii="Verdana" w:hAnsi="Verdana"/>
          <w:sz w:val="20"/>
          <w:szCs w:val="20"/>
        </w:rPr>
      </w:pPr>
      <w:r w:rsidRPr="001A70DA">
        <w:rPr>
          <w:rFonts w:ascii="Verdana" w:eastAsia="Century Gothic" w:hAnsi="Verdana" w:cs="Century Gothic"/>
          <w:i/>
          <w:color w:val="000000" w:themeColor="text1"/>
          <w:sz w:val="20"/>
          <w:szCs w:val="20"/>
          <w:lang w:val="es-ES"/>
        </w:rPr>
        <w:t>“</w:t>
      </w:r>
      <w:r w:rsidRPr="00825F17">
        <w:rPr>
          <w:rFonts w:ascii="Verdana" w:hAnsi="Verdana"/>
          <w:sz w:val="20"/>
          <w:szCs w:val="20"/>
        </w:rPr>
        <w:t xml:space="preserve">i. Si durante los periodos en los que rige la prohibición prevista en el artículo 33 de la Ley 996 de 2005 es jurídicamente viable la suscripción de contratos derivados o cualquier otro instrumento contractual (Actas de </w:t>
      </w:r>
      <w:r w:rsidRPr="00825F17">
        <w:rPr>
          <w:rFonts w:ascii="Verdana" w:hAnsi="Verdana"/>
          <w:sz w:val="20"/>
          <w:szCs w:val="20"/>
        </w:rPr>
        <w:lastRenderedPageBreak/>
        <w:t xml:space="preserve">Venta, Actas de Incorporación) que se orienten a desarrollar o garantizar la ejecución de un </w:t>
      </w:r>
      <w:r w:rsidRPr="004A30C9">
        <w:rPr>
          <w:rFonts w:ascii="Verdana" w:hAnsi="Verdana"/>
          <w:sz w:val="20"/>
          <w:szCs w:val="20"/>
        </w:rPr>
        <w:t>contrato marco o principal celebrado antes del inicio del periodo de restricciones.</w:t>
      </w:r>
    </w:p>
    <w:p w14:paraId="2A6898D4" w14:textId="77777777" w:rsidR="00F728DC" w:rsidRPr="00825F17" w:rsidRDefault="00F728DC" w:rsidP="00F728DC">
      <w:pPr>
        <w:spacing w:after="0" w:line="240" w:lineRule="auto"/>
        <w:ind w:left="709" w:right="709"/>
        <w:jc w:val="both"/>
        <w:rPr>
          <w:rFonts w:ascii="Verdana" w:eastAsia="Century Gothic" w:hAnsi="Verdana" w:cs="Century Gothic"/>
          <w:i/>
          <w:color w:val="000000" w:themeColor="text1"/>
          <w:sz w:val="20"/>
          <w:szCs w:val="20"/>
          <w:lang w:val="es-ES"/>
        </w:rPr>
      </w:pPr>
    </w:p>
    <w:p w14:paraId="09BBC7A6" w14:textId="77777777" w:rsidR="00F728DC" w:rsidRDefault="00F728DC" w:rsidP="00F728DC">
      <w:pPr>
        <w:spacing w:after="0" w:line="240" w:lineRule="auto"/>
        <w:ind w:left="709" w:right="709"/>
        <w:jc w:val="both"/>
        <w:rPr>
          <w:rFonts w:ascii="Verdana" w:hAnsi="Verdana"/>
          <w:sz w:val="20"/>
          <w:szCs w:val="20"/>
        </w:rPr>
      </w:pPr>
      <w:r w:rsidRPr="004A30C9">
        <w:rPr>
          <w:rFonts w:ascii="Verdana" w:hAnsi="Verdana"/>
          <w:sz w:val="20"/>
          <w:szCs w:val="20"/>
        </w:rPr>
        <w:t>ii. En caso de considerarse viable, se solicita indicar los criterios o condiciones generales que deben observar las entidades estatales para garantizar que dichos instrumentos no se enmarquen en la prohibición de contratación directa establecida en el artículo 33 de la Ley 996 de 2005</w:t>
      </w:r>
      <w:r>
        <w:rPr>
          <w:rFonts w:ascii="Verdana" w:hAnsi="Verdana"/>
          <w:sz w:val="20"/>
          <w:szCs w:val="20"/>
        </w:rPr>
        <w:t>”</w:t>
      </w:r>
      <w:r w:rsidRPr="004A30C9">
        <w:rPr>
          <w:rFonts w:ascii="Verdana" w:hAnsi="Verdana"/>
          <w:sz w:val="20"/>
          <w:szCs w:val="20"/>
        </w:rPr>
        <w:t>.</w:t>
      </w:r>
    </w:p>
    <w:p w14:paraId="03E6DB7D" w14:textId="77777777" w:rsidR="00F728DC" w:rsidRPr="00FC6F34" w:rsidRDefault="00F728DC" w:rsidP="00F728DC">
      <w:pPr>
        <w:spacing w:after="0" w:line="276" w:lineRule="auto"/>
        <w:ind w:right="709"/>
        <w:jc w:val="both"/>
        <w:rPr>
          <w:rFonts w:ascii="Verdana" w:eastAsia="Calibri" w:hAnsi="Verdana" w:cs="Arial"/>
          <w:lang w:val="es-ES"/>
        </w:rPr>
      </w:pPr>
    </w:p>
    <w:p w14:paraId="4A7EF605" w14:textId="77777777" w:rsidR="00F728DC" w:rsidRPr="00FC6F34" w:rsidRDefault="00F728DC" w:rsidP="00F728DC">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03B0ECB8" w14:textId="77777777" w:rsidR="00F728DC" w:rsidRPr="00FC6F34" w:rsidRDefault="00F728DC" w:rsidP="00F728DC">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los</w:t>
      </w:r>
      <w:r w:rsidRPr="00FC6F34">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de su consulta. </w:t>
      </w:r>
    </w:p>
    <w:p w14:paraId="35760C96" w14:textId="77777777" w:rsidR="00F728DC" w:rsidRPr="00FC6F34" w:rsidRDefault="00F728DC" w:rsidP="00F728DC">
      <w:pPr>
        <w:spacing w:after="0" w:line="276" w:lineRule="auto"/>
        <w:ind w:firstLine="709"/>
        <w:jc w:val="both"/>
        <w:rPr>
          <w:rFonts w:ascii="Verdana" w:eastAsia="Calibri" w:hAnsi="Verdana" w:cs="Arial"/>
          <w:color w:val="000000" w:themeColor="text1"/>
          <w:lang w:val="es-ES" w:eastAsia="es-ES"/>
        </w:rPr>
      </w:pPr>
    </w:p>
    <w:p w14:paraId="0CCDA3BF" w14:textId="77777777" w:rsidR="00F728DC" w:rsidRPr="00FC6F34" w:rsidRDefault="00F728DC" w:rsidP="00F728D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480F9447" w14:textId="77777777" w:rsidR="00F728DC" w:rsidRPr="00FC6F34" w:rsidRDefault="00F728DC" w:rsidP="00F728DC">
      <w:pPr>
        <w:tabs>
          <w:tab w:val="left" w:pos="426"/>
        </w:tabs>
        <w:spacing w:after="0" w:line="276" w:lineRule="auto"/>
        <w:jc w:val="both"/>
        <w:rPr>
          <w:rFonts w:ascii="Verdana" w:eastAsia="Century Gothic" w:hAnsi="Verdana" w:cs="Century Gothic"/>
          <w:color w:val="000000" w:themeColor="text1"/>
          <w:lang w:val="es-ES"/>
        </w:rPr>
      </w:pPr>
    </w:p>
    <w:p w14:paraId="18B842FC" w14:textId="07F89348" w:rsidR="00F728DC" w:rsidRPr="00FC6F34" w:rsidRDefault="00F728DC" w:rsidP="00F728DC">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el</w:t>
      </w:r>
      <w:r w:rsidRPr="00FC6F34">
        <w:rPr>
          <w:rFonts w:ascii="Verdana" w:eastAsia="Century Gothic" w:hAnsi="Verdana" w:cs="Century Gothic"/>
          <w:color w:val="000000" w:themeColor="text1"/>
          <w:lang w:val="es-ES"/>
        </w:rPr>
        <w:t xml:space="preserve"> siguiente problema jurídico:</w:t>
      </w:r>
      <w:r>
        <w:rPr>
          <w:rFonts w:ascii="Verdana" w:eastAsia="Century Gothic" w:hAnsi="Verdana" w:cs="Century Gothic"/>
          <w:color w:val="000000" w:themeColor="text1"/>
          <w:lang w:val="es-ES"/>
        </w:rPr>
        <w:t xml:space="preserve"> </w:t>
      </w:r>
      <w:r w:rsidRPr="004D22F7">
        <w:rPr>
          <w:rFonts w:ascii="Verdana" w:eastAsia="Century Gothic" w:hAnsi="Verdana" w:cs="Century Gothic"/>
          <w:iCs/>
          <w:color w:val="000000" w:themeColor="text1"/>
          <w:lang w:val="es-ES"/>
        </w:rPr>
        <w:t>¿</w:t>
      </w:r>
      <w:r>
        <w:rPr>
          <w:rFonts w:ascii="Verdana" w:eastAsia="Century Gothic" w:hAnsi="Verdana" w:cs="Century Gothic"/>
          <w:iCs/>
          <w:color w:val="000000" w:themeColor="text1"/>
          <w:lang w:val="es-ES"/>
        </w:rPr>
        <w:t>aplica</w:t>
      </w:r>
      <w:r w:rsidR="00AB3F13">
        <w:rPr>
          <w:rFonts w:ascii="Verdana" w:eastAsia="Century Gothic" w:hAnsi="Verdana" w:cs="Century Gothic"/>
          <w:iCs/>
          <w:color w:val="000000" w:themeColor="text1"/>
          <w:lang w:val="es-ES"/>
        </w:rPr>
        <w:t>n</w:t>
      </w:r>
      <w:r>
        <w:rPr>
          <w:rFonts w:ascii="Verdana" w:eastAsia="Century Gothic" w:hAnsi="Verdana" w:cs="Century Gothic"/>
          <w:iCs/>
          <w:color w:val="000000" w:themeColor="text1"/>
          <w:lang w:val="es-ES"/>
        </w:rPr>
        <w:t xml:space="preserve"> las restricciones establecidas </w:t>
      </w:r>
      <w:r w:rsidRPr="004D22F7">
        <w:rPr>
          <w:rFonts w:ascii="Verdana" w:eastAsia="Century Gothic" w:hAnsi="Verdana" w:cs="Century Gothic"/>
          <w:iCs/>
          <w:color w:val="000000" w:themeColor="text1"/>
          <w:lang w:val="es-ES"/>
        </w:rPr>
        <w:t xml:space="preserve">en el artículo 33 de la Ley 996 de </w:t>
      </w:r>
      <w:r>
        <w:rPr>
          <w:rFonts w:ascii="Verdana" w:eastAsia="Century Gothic" w:hAnsi="Verdana" w:cs="Century Gothic"/>
          <w:iCs/>
          <w:color w:val="000000" w:themeColor="text1"/>
          <w:lang w:val="es-ES"/>
        </w:rPr>
        <w:t>2005</w:t>
      </w:r>
      <w:r w:rsidRPr="004D22F7">
        <w:rPr>
          <w:rFonts w:ascii="Verdana" w:eastAsia="Century Gothic" w:hAnsi="Verdana" w:cs="Century Gothic"/>
          <w:iCs/>
          <w:color w:val="000000" w:themeColor="text1"/>
          <w:lang w:val="es-ES"/>
        </w:rPr>
        <w:t xml:space="preserve"> </w:t>
      </w:r>
      <w:r>
        <w:rPr>
          <w:rFonts w:ascii="Verdana" w:eastAsia="Century Gothic" w:hAnsi="Verdana" w:cs="Century Gothic"/>
          <w:iCs/>
          <w:color w:val="000000" w:themeColor="text1"/>
          <w:lang w:val="es-ES"/>
        </w:rPr>
        <w:t xml:space="preserve">a la contratación derivada de los convenios marcos? </w:t>
      </w:r>
    </w:p>
    <w:p w14:paraId="6FEE7331" w14:textId="77777777" w:rsidR="00F728DC" w:rsidRPr="00FC6F34" w:rsidRDefault="00F728DC" w:rsidP="00F728DC">
      <w:pPr>
        <w:spacing w:after="0" w:line="276" w:lineRule="auto"/>
        <w:jc w:val="both"/>
        <w:rPr>
          <w:rFonts w:ascii="Verdana" w:eastAsia="Calibri" w:hAnsi="Verdana" w:cs="Arial"/>
          <w:color w:val="000000" w:themeColor="text1"/>
          <w:lang w:val="es-ES"/>
        </w:rPr>
      </w:pPr>
    </w:p>
    <w:p w14:paraId="29C6211A" w14:textId="77777777" w:rsidR="00F728DC" w:rsidRPr="00FC6F34" w:rsidRDefault="00F728DC" w:rsidP="00F728D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30F0B77D" w14:textId="77777777" w:rsidR="00F728DC" w:rsidRPr="00FC6F34" w:rsidRDefault="00F728DC" w:rsidP="00F728D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728DC" w:rsidRPr="00FC6F34" w14:paraId="5F8D2693" w14:textId="77777777" w:rsidTr="00A5204D">
        <w:tc>
          <w:tcPr>
            <w:tcW w:w="8828" w:type="dxa"/>
          </w:tcPr>
          <w:p w14:paraId="1DBC1678" w14:textId="77777777" w:rsidR="00F728DC" w:rsidRDefault="00F728DC" w:rsidP="00A5204D">
            <w:pPr>
              <w:widowControl w:val="0"/>
              <w:autoSpaceDE w:val="0"/>
              <w:autoSpaceDN w:val="0"/>
              <w:spacing w:after="120" w:line="276" w:lineRule="auto"/>
              <w:jc w:val="both"/>
              <w:rPr>
                <w:rFonts w:ascii="Verdana" w:eastAsia="Arial" w:hAnsi="Verdana" w:cs="Arial"/>
                <w:bCs/>
                <w:lang w:eastAsia="es-ES" w:bidi="es-ES"/>
              </w:rPr>
            </w:pPr>
            <w:r>
              <w:rPr>
                <w:rFonts w:ascii="Verdana" w:hAnsi="Verdana"/>
              </w:rPr>
              <w:t>L</w:t>
            </w:r>
            <w:r w:rsidRPr="00BD6CEC">
              <w:rPr>
                <w:rFonts w:ascii="Verdana" w:hAnsi="Verdana"/>
              </w:rPr>
              <w:t>os contratos que se deriven del convenio marco mantienen una relación de subordinación respecto del instrumento principal</w:t>
            </w:r>
            <w:r>
              <w:rPr>
                <w:rFonts w:ascii="Verdana" w:hAnsi="Verdana"/>
              </w:rPr>
              <w:t xml:space="preserve">. </w:t>
            </w:r>
            <w:r w:rsidRPr="00BD6CEC">
              <w:rPr>
                <w:rFonts w:ascii="Verdana" w:hAnsi="Verdana"/>
              </w:rPr>
              <w:t xml:space="preserve"> No obstante, dado que el </w:t>
            </w:r>
            <w:r w:rsidRPr="00BD6CEC">
              <w:rPr>
                <w:rFonts w:ascii="Verdana" w:hAnsi="Verdana"/>
              </w:rPr>
              <w:lastRenderedPageBreak/>
              <w:t xml:space="preserve">contenido y alcance del convenio marco suelen tener un carácter general, abstracto </w:t>
            </w:r>
            <w:r>
              <w:rPr>
                <w:rFonts w:ascii="Verdana" w:hAnsi="Verdana"/>
              </w:rPr>
              <w:t xml:space="preserve">e </w:t>
            </w:r>
            <w:r w:rsidRPr="00BD6CEC">
              <w:rPr>
                <w:rFonts w:ascii="Verdana" w:hAnsi="Verdana"/>
              </w:rPr>
              <w:t xml:space="preserve">indeterminado, su </w:t>
            </w:r>
            <w:r>
              <w:rPr>
                <w:rFonts w:ascii="Verdana" w:hAnsi="Verdana"/>
              </w:rPr>
              <w:t>concreción</w:t>
            </w:r>
            <w:r w:rsidRPr="00BD6CEC">
              <w:rPr>
                <w:rFonts w:ascii="Verdana" w:hAnsi="Verdana"/>
              </w:rPr>
              <w:t xml:space="preserve"> se produce con la suscripción de los acuerdos o contratos específicos que lo desarrollan</w:t>
            </w:r>
            <w:r>
              <w:rPr>
                <w:rFonts w:ascii="Verdana" w:hAnsi="Verdana"/>
              </w:rPr>
              <w:t xml:space="preserve">, los cuales </w:t>
            </w:r>
            <w:r w:rsidRPr="00825B70">
              <w:rPr>
                <w:rFonts w:ascii="Verdana" w:eastAsia="Arial" w:hAnsi="Verdana" w:cs="Arial"/>
                <w:bCs/>
                <w:lang w:eastAsia="es-ES" w:bidi="es-ES"/>
              </w:rPr>
              <w:t>deberán cumplir las normas aplicables en la materia</w:t>
            </w:r>
            <w:r>
              <w:rPr>
                <w:rFonts w:ascii="Verdana" w:eastAsia="Arial" w:hAnsi="Verdana" w:cs="Arial"/>
                <w:bCs/>
                <w:lang w:eastAsia="es-ES" w:bidi="es-ES"/>
              </w:rPr>
              <w:t>.</w:t>
            </w:r>
            <w:r w:rsidRPr="00260785">
              <w:t xml:space="preserve"> </w:t>
            </w:r>
            <w:r w:rsidRPr="00260785">
              <w:rPr>
                <w:rFonts w:ascii="Verdana" w:eastAsia="Arial" w:hAnsi="Verdana" w:cs="Arial"/>
                <w:bCs/>
                <w:lang w:eastAsia="es-ES" w:bidi="es-ES"/>
              </w:rPr>
              <w:t>Esto implica que su celebración no se agota en la sola remisión al convenio marco, sino que exige observar las normas aplicables conforme al ordenamiento jurídico</w:t>
            </w:r>
            <w:r>
              <w:rPr>
                <w:rFonts w:ascii="Verdana" w:eastAsia="Arial" w:hAnsi="Verdana" w:cs="Arial"/>
                <w:bCs/>
                <w:lang w:eastAsia="es-ES" w:bidi="es-ES"/>
              </w:rPr>
              <w:t>.</w:t>
            </w:r>
          </w:p>
          <w:p w14:paraId="53B6CE30" w14:textId="77777777" w:rsidR="00F728DC" w:rsidRPr="009D273D" w:rsidRDefault="00F728DC" w:rsidP="00A5204D">
            <w:pPr>
              <w:widowControl w:val="0"/>
              <w:autoSpaceDE w:val="0"/>
              <w:autoSpaceDN w:val="0"/>
              <w:spacing w:after="120" w:line="276" w:lineRule="auto"/>
              <w:ind w:firstLine="709"/>
              <w:jc w:val="both"/>
              <w:rPr>
                <w:rFonts w:ascii="Verdana" w:hAnsi="Verdana"/>
              </w:rPr>
            </w:pPr>
            <w:r>
              <w:rPr>
                <w:rFonts w:ascii="Verdana" w:eastAsia="Arial" w:hAnsi="Verdana" w:cs="Arial"/>
                <w:bCs/>
                <w:lang w:eastAsia="es-ES" w:bidi="es-ES"/>
              </w:rPr>
              <w:t xml:space="preserve">En este contexto, si bien el contenido obligacional de los contratos derivados está subordinados al convenio marco y </w:t>
            </w:r>
            <w:r w:rsidRPr="00BD6CEC">
              <w:rPr>
                <w:rFonts w:ascii="Verdana" w:hAnsi="Verdana"/>
              </w:rPr>
              <w:t xml:space="preserve">deben ajustarse a los lineamientos técnicos, jurídicos, financieros y administrativos definidos en </w:t>
            </w:r>
            <w:r>
              <w:rPr>
                <w:rFonts w:ascii="Verdana" w:hAnsi="Verdana"/>
              </w:rPr>
              <w:t xml:space="preserve">este, se trata de negocios jurídicos autónomos e independientes, lo que implica que su celebración deberá tener en cuenta las normas aplicables en cada caso concreto. </w:t>
            </w:r>
            <w:r w:rsidRPr="001D3A49">
              <w:rPr>
                <w:rFonts w:ascii="Verdana" w:eastAsia="Arial" w:hAnsi="Verdana" w:cs="Arial"/>
                <w:bCs/>
                <w:lang w:eastAsia="es-ES" w:bidi="es-ES"/>
              </w:rPr>
              <w:t xml:space="preserve">Así, cuando la contratación derivada </w:t>
            </w:r>
            <w:r>
              <w:rPr>
                <w:rFonts w:ascii="Verdana" w:eastAsia="Arial" w:hAnsi="Verdana" w:cs="Arial"/>
                <w:bCs/>
                <w:lang w:eastAsia="es-ES" w:bidi="es-ES"/>
              </w:rPr>
              <w:t xml:space="preserve">implique </w:t>
            </w:r>
            <w:r w:rsidRPr="001D3A49">
              <w:rPr>
                <w:rFonts w:ascii="Verdana" w:eastAsia="Arial" w:hAnsi="Verdana" w:cs="Arial"/>
                <w:bCs/>
                <w:lang w:eastAsia="es-ES" w:bidi="es-ES"/>
              </w:rPr>
              <w:t>una contratación directa</w:t>
            </w:r>
            <w:r>
              <w:rPr>
                <w:rFonts w:ascii="Verdana" w:eastAsia="Arial" w:hAnsi="Verdana" w:cs="Arial"/>
                <w:bCs/>
                <w:lang w:eastAsia="es-ES" w:bidi="es-ES"/>
              </w:rPr>
              <w:t xml:space="preserve">, </w:t>
            </w:r>
            <w:r w:rsidRPr="001D3A49">
              <w:rPr>
                <w:rFonts w:ascii="Verdana" w:eastAsia="Arial" w:hAnsi="Verdana" w:cs="Arial"/>
                <w:bCs/>
                <w:lang w:eastAsia="es-ES" w:bidi="es-ES"/>
              </w:rPr>
              <w:t>en la medida en que su celebración no contemple un proceso competitivo, no incluya etapas de convocatoria pública ni permita la participación de una pluralidad de oferentes</w:t>
            </w:r>
            <w:r>
              <w:rPr>
                <w:rFonts w:ascii="Verdana" w:eastAsia="Arial" w:hAnsi="Verdana" w:cs="Arial"/>
                <w:bCs/>
                <w:lang w:eastAsia="es-ES" w:bidi="es-ES"/>
              </w:rPr>
              <w:t>,</w:t>
            </w:r>
            <w:r w:rsidRPr="001D3A49">
              <w:rPr>
                <w:rFonts w:ascii="Verdana" w:eastAsia="Arial" w:hAnsi="Verdana" w:cs="Arial"/>
                <w:bCs/>
                <w:lang w:eastAsia="es-ES" w:bidi="es-ES"/>
              </w:rPr>
              <w:t xml:space="preserve"> el negocio jurídico queda comprendido dentro del ámbito material de aplicación establecid</w:t>
            </w:r>
            <w:r>
              <w:rPr>
                <w:rFonts w:ascii="Verdana" w:eastAsia="Arial" w:hAnsi="Verdana" w:cs="Arial"/>
                <w:bCs/>
                <w:lang w:eastAsia="es-ES" w:bidi="es-ES"/>
              </w:rPr>
              <w:t>o</w:t>
            </w:r>
            <w:r w:rsidRPr="001D3A49">
              <w:rPr>
                <w:rFonts w:ascii="Verdana" w:eastAsia="Arial" w:hAnsi="Verdana" w:cs="Arial"/>
                <w:bCs/>
                <w:lang w:eastAsia="es-ES" w:bidi="es-ES"/>
              </w:rPr>
              <w:t xml:space="preserve"> en el artículo 33 </w:t>
            </w:r>
            <w:r>
              <w:rPr>
                <w:rFonts w:ascii="Verdana" w:eastAsia="Arial" w:hAnsi="Verdana" w:cs="Arial"/>
                <w:bCs/>
                <w:lang w:eastAsia="es-ES" w:bidi="es-ES"/>
              </w:rPr>
              <w:t xml:space="preserve">de la Ley de Garantías Electorales. </w:t>
            </w:r>
          </w:p>
          <w:p w14:paraId="2710E40D" w14:textId="77777777" w:rsidR="00F728DC" w:rsidRDefault="00F728DC" w:rsidP="00A5204D">
            <w:pPr>
              <w:spacing w:after="120" w:line="276" w:lineRule="auto"/>
              <w:ind w:firstLine="709"/>
              <w:jc w:val="both"/>
              <w:rPr>
                <w:rFonts w:ascii="Verdana" w:hAnsi="Verdana" w:cs="Arial"/>
                <w:bCs/>
                <w:lang w:val="es-ES_tradnl" w:eastAsia="es-CO"/>
              </w:rPr>
            </w:pPr>
            <w:r>
              <w:rPr>
                <w:rFonts w:ascii="Verdana" w:eastAsia="Times New Roman" w:hAnsi="Verdana" w:cs="Arial"/>
                <w:lang w:val="es-ES"/>
              </w:rPr>
              <w:t xml:space="preserve">Ahora bien, respecto de la celebración de otros instrumentos jurídicos derivados de las actividades contempladas en el convenio marco, como podrían ser las transferencias directas de recursos o bienes, es importante que la entidad analice la naturaleza jurídica de dichos instrumentos, puesto que del contenido del artículo 33 </w:t>
            </w:r>
            <w:r w:rsidRPr="007F24DD">
              <w:rPr>
                <w:rFonts w:ascii="Verdana" w:eastAsia="Times New Roman" w:hAnsi="Verdana" w:cs="Arial"/>
                <w:i/>
                <w:iCs/>
                <w:lang w:val="es-ES"/>
              </w:rPr>
              <w:t>ibidem</w:t>
            </w:r>
            <w:r>
              <w:rPr>
                <w:rFonts w:ascii="Verdana" w:eastAsia="Times New Roman" w:hAnsi="Verdana" w:cs="Arial"/>
                <w:lang w:val="es-ES"/>
              </w:rPr>
              <w:t xml:space="preserve"> </w:t>
            </w:r>
            <w:r>
              <w:rPr>
                <w:rFonts w:ascii="Verdana" w:hAnsi="Verdana" w:cs="Arial"/>
                <w:bCs/>
                <w:lang w:val="es-ES_tradnl" w:eastAsia="es-CO"/>
              </w:rPr>
              <w:t xml:space="preserve">no se sigue que cualquier forma de transferencia directa ingrese en el radio de las prohibiciones previstas en la ley de garantías electorales. </w:t>
            </w:r>
          </w:p>
          <w:p w14:paraId="4E098DAE" w14:textId="77777777" w:rsidR="00F728DC" w:rsidRPr="00C3283C" w:rsidRDefault="00F728DC" w:rsidP="00A5204D">
            <w:pPr>
              <w:spacing w:after="120" w:line="276" w:lineRule="auto"/>
              <w:ind w:firstLine="708"/>
              <w:jc w:val="both"/>
              <w:rPr>
                <w:rFonts w:ascii="Verdana" w:eastAsia="Arial" w:hAnsi="Verdana" w:cs="Arial"/>
                <w:bCs/>
                <w:color w:val="000000" w:themeColor="text1"/>
                <w:lang w:val="es-ES"/>
              </w:rPr>
            </w:pPr>
            <w:r w:rsidRPr="001C7B22">
              <w:rPr>
                <w:rFonts w:ascii="Verdana" w:eastAsia="Times New Roman" w:hAnsi="Verdana" w:cs="Arial"/>
                <w:lang w:val="es-ES"/>
              </w:rPr>
              <w:t xml:space="preserve">En esa medida, la entidad debe verificar si la actuación que pretende adelantar constituye realmente </w:t>
            </w:r>
            <w:r>
              <w:rPr>
                <w:rFonts w:ascii="Verdana" w:eastAsia="Times New Roman" w:hAnsi="Verdana" w:cs="Arial"/>
                <w:lang w:val="es-ES"/>
              </w:rPr>
              <w:t>la celebración de un</w:t>
            </w:r>
            <w:r w:rsidRPr="001C7B22">
              <w:rPr>
                <w:rFonts w:ascii="Verdana" w:eastAsia="Times New Roman" w:hAnsi="Verdana" w:cs="Arial"/>
                <w:lang w:val="es-ES"/>
              </w:rPr>
              <w:t xml:space="preserve"> contrato </w:t>
            </w:r>
            <w:r>
              <w:rPr>
                <w:rFonts w:ascii="Verdana" w:eastAsia="Times New Roman" w:hAnsi="Verdana" w:cs="Arial"/>
                <w:lang w:val="es-ES"/>
              </w:rPr>
              <w:t>directo</w:t>
            </w:r>
            <w:r w:rsidRPr="001C7B22">
              <w:rPr>
                <w:rFonts w:ascii="Verdana" w:eastAsia="Times New Roman" w:hAnsi="Verdana" w:cs="Arial"/>
                <w:lang w:val="es-ES"/>
              </w:rPr>
              <w:t xml:space="preserve"> o si, por el contrario, se trata de una actividad de gestión o ejecución necesaria para el cumplimiento de las obligaciones previamente pactadas en el convenio marco, actividad que no implica </w:t>
            </w:r>
            <w:r>
              <w:rPr>
                <w:rFonts w:ascii="Verdana" w:eastAsia="Times New Roman" w:hAnsi="Verdana" w:cs="Arial"/>
                <w:lang w:val="es-ES"/>
              </w:rPr>
              <w:t xml:space="preserve">necesariamente </w:t>
            </w:r>
            <w:r w:rsidRPr="001C7B22">
              <w:rPr>
                <w:rFonts w:ascii="Verdana" w:eastAsia="Times New Roman" w:hAnsi="Verdana" w:cs="Arial"/>
                <w:lang w:val="es-ES"/>
              </w:rPr>
              <w:t xml:space="preserve">la celebración de un nuevo negocio jurídico. Esta distinción es fundamental, pues solo cuando exista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 podría </w:t>
            </w:r>
            <w:r>
              <w:rPr>
                <w:rFonts w:ascii="Verdana" w:eastAsia="Times New Roman" w:hAnsi="Verdana" w:cs="Arial"/>
                <w:lang w:val="es-ES"/>
              </w:rPr>
              <w:t xml:space="preserve">configurarse </w:t>
            </w:r>
            <w:r w:rsidRPr="001C7B22">
              <w:rPr>
                <w:rFonts w:ascii="Verdana" w:eastAsia="Times New Roman" w:hAnsi="Verdana" w:cs="Arial"/>
                <w:lang w:val="es-ES"/>
              </w:rPr>
              <w:t>la prohibición del artículo 33</w:t>
            </w:r>
            <w:r>
              <w:rPr>
                <w:rFonts w:ascii="Verdana" w:eastAsia="Times New Roman" w:hAnsi="Verdana" w:cs="Arial"/>
                <w:lang w:val="es-ES"/>
              </w:rPr>
              <w:t>.</w:t>
            </w:r>
            <w:r w:rsidRPr="001C7B22">
              <w:rPr>
                <w:rFonts w:ascii="Verdana" w:eastAsia="Times New Roman" w:hAnsi="Verdana" w:cs="Arial"/>
                <w:lang w:val="es-ES"/>
              </w:rPr>
              <w:t xml:space="preserve"> </w:t>
            </w:r>
            <w:r>
              <w:rPr>
                <w:rFonts w:ascii="Verdana" w:eastAsia="Times New Roman" w:hAnsi="Verdana" w:cs="Arial"/>
                <w:lang w:val="es-ES"/>
              </w:rPr>
              <w:t>T</w:t>
            </w:r>
            <w:r w:rsidRPr="001C7B22">
              <w:rPr>
                <w:rFonts w:ascii="Verdana" w:eastAsia="Times New Roman" w:hAnsi="Verdana" w:cs="Arial"/>
                <w:lang w:val="es-ES"/>
              </w:rPr>
              <w:t xml:space="preserve">ratándose de actos de ejecución, operaciones internas, movimientos contables o transferencias derivadas del cumplimiento del convenio, la restricción no resulta aplicable por no configurarse un </w:t>
            </w:r>
            <w:r>
              <w:rPr>
                <w:rFonts w:ascii="Verdana" w:eastAsia="Times New Roman" w:hAnsi="Verdana" w:cs="Arial"/>
                <w:lang w:val="es-ES"/>
              </w:rPr>
              <w:t xml:space="preserve">contrato </w:t>
            </w:r>
            <w:r w:rsidRPr="001C7B22">
              <w:rPr>
                <w:rFonts w:ascii="Verdana" w:eastAsia="Times New Roman" w:hAnsi="Verdana" w:cs="Arial"/>
                <w:lang w:val="es-ES"/>
              </w:rPr>
              <w:t>autónomo.</w:t>
            </w:r>
          </w:p>
        </w:tc>
      </w:tr>
    </w:tbl>
    <w:p w14:paraId="450DB17D" w14:textId="77777777" w:rsidR="00F728DC" w:rsidRPr="00FC6F34" w:rsidRDefault="00F728DC" w:rsidP="00F728D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95EEB51" w14:textId="77777777" w:rsidR="00F728DC" w:rsidRPr="00FC6F34" w:rsidRDefault="00F728DC" w:rsidP="00F728D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lastRenderedPageBreak/>
        <w:t>Razones de la respuesta:</w:t>
      </w:r>
    </w:p>
    <w:p w14:paraId="09765347" w14:textId="77777777" w:rsidR="00F728DC" w:rsidRPr="00FC6F34" w:rsidRDefault="00F728DC" w:rsidP="00F728DC">
      <w:pPr>
        <w:spacing w:after="0" w:line="276" w:lineRule="auto"/>
        <w:jc w:val="both"/>
        <w:rPr>
          <w:rFonts w:ascii="Verdana" w:eastAsia="Calibri" w:hAnsi="Verdana" w:cs="Arial"/>
          <w:color w:val="000000" w:themeColor="text1"/>
          <w:lang w:val="es-ES"/>
        </w:rPr>
      </w:pPr>
    </w:p>
    <w:p w14:paraId="1B657DE6" w14:textId="77777777" w:rsidR="00F728DC" w:rsidRPr="00FC6F34" w:rsidRDefault="00F728DC" w:rsidP="00F728DC">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C6F34">
        <w:rPr>
          <w:rFonts w:ascii="Verdana" w:hAnsi="Verdana"/>
          <w:vertAlign w:val="superscript"/>
          <w:lang w:val="es-ES"/>
        </w:rPr>
        <w:footnoteReference w:id="2"/>
      </w:r>
      <w:r w:rsidRPr="00FC6F34">
        <w:rPr>
          <w:rFonts w:ascii="Verdana" w:eastAsia="Calibri" w:hAnsi="Verdana" w:cs="Arial"/>
          <w:lang w:val="es-ES"/>
        </w:rPr>
        <w:t xml:space="preserve">. </w:t>
      </w:r>
    </w:p>
    <w:p w14:paraId="1F9B8F63" w14:textId="77777777" w:rsidR="00F728DC" w:rsidRPr="00FC6F34" w:rsidRDefault="00F728DC" w:rsidP="00F728DC">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3"/>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2DD89099" w14:textId="77777777" w:rsidR="00F728DC" w:rsidRPr="00FC6F34" w:rsidRDefault="00F728DC" w:rsidP="00F728DC">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683009EF" w14:textId="77777777" w:rsidR="00F728DC" w:rsidRPr="00FC6F34" w:rsidRDefault="00F728DC" w:rsidP="00F728DC">
      <w:pPr>
        <w:spacing w:after="0" w:line="276" w:lineRule="auto"/>
        <w:ind w:right="709"/>
        <w:jc w:val="both"/>
        <w:rPr>
          <w:rFonts w:ascii="Verdana" w:eastAsia="Times New Roman" w:hAnsi="Verdana" w:cs="Arial"/>
          <w:lang w:val="es-ES" w:eastAsia="es-CO"/>
        </w:rPr>
      </w:pPr>
    </w:p>
    <w:p w14:paraId="15F9F330" w14:textId="77777777" w:rsidR="00F728DC" w:rsidRPr="00FC6F34" w:rsidRDefault="00F728DC" w:rsidP="00F728DC">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30F3385A" w14:textId="77777777" w:rsidR="00F728DC" w:rsidRPr="00FC6F34" w:rsidRDefault="00F728DC" w:rsidP="00F728DC">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7DC5AC35" w14:textId="77777777" w:rsidR="00F728DC" w:rsidRPr="00FC6F34" w:rsidRDefault="00F728DC" w:rsidP="00F728DC">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w:t>
      </w:r>
      <w:r w:rsidRPr="00FC6F34">
        <w:rPr>
          <w:rFonts w:ascii="Verdana" w:eastAsia="Times New Roman" w:hAnsi="Verdana" w:cs="Arial"/>
          <w:sz w:val="20"/>
          <w:szCs w:val="20"/>
          <w:lang w:val="es-ES" w:eastAsia="es-CO"/>
        </w:rPr>
        <w:lastRenderedPageBreak/>
        <w:t>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4"/>
      </w:r>
    </w:p>
    <w:p w14:paraId="236C7374" w14:textId="77777777" w:rsidR="00F728DC" w:rsidRPr="00FC6F34" w:rsidRDefault="00F728DC" w:rsidP="00F728DC">
      <w:pPr>
        <w:spacing w:after="0" w:line="276" w:lineRule="auto"/>
        <w:ind w:firstLine="709"/>
        <w:jc w:val="both"/>
        <w:rPr>
          <w:rFonts w:ascii="Verdana" w:eastAsia="Times New Roman" w:hAnsi="Verdana" w:cs="Arial"/>
          <w:lang w:val="es-ES" w:eastAsia="es-CO"/>
        </w:rPr>
      </w:pPr>
    </w:p>
    <w:p w14:paraId="1295E8E8" w14:textId="77777777" w:rsidR="00F728DC" w:rsidRPr="00FC6F34" w:rsidRDefault="00F728DC" w:rsidP="00F728DC">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1C14D5DD" w14:textId="77777777" w:rsidR="00F728DC" w:rsidRPr="00FC6F34" w:rsidRDefault="00F728DC" w:rsidP="00F728DC">
      <w:pPr>
        <w:spacing w:after="0" w:line="276" w:lineRule="auto"/>
        <w:ind w:firstLine="709"/>
        <w:jc w:val="both"/>
        <w:rPr>
          <w:rFonts w:ascii="Verdana" w:eastAsia="Times New Roman" w:hAnsi="Verdana" w:cs="Arial"/>
          <w:lang w:val="es-ES" w:eastAsia="es-CO"/>
        </w:rPr>
      </w:pPr>
    </w:p>
    <w:p w14:paraId="665D40FF" w14:textId="77777777" w:rsidR="00F728DC" w:rsidRPr="00FC6F34" w:rsidRDefault="00F728DC" w:rsidP="00F728DC">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2935BF1" w14:textId="77777777" w:rsidR="00F728DC" w:rsidRPr="00FC6F34" w:rsidRDefault="00F728DC" w:rsidP="00F728DC">
      <w:pPr>
        <w:spacing w:after="0" w:line="240" w:lineRule="auto"/>
        <w:ind w:right="709"/>
        <w:jc w:val="both"/>
        <w:rPr>
          <w:rFonts w:ascii="Verdana" w:eastAsia="Times New Roman" w:hAnsi="Verdana" w:cs="Arial"/>
          <w:lang w:val="es-ES" w:eastAsia="es-CO"/>
        </w:rPr>
      </w:pPr>
    </w:p>
    <w:p w14:paraId="0A3AF635" w14:textId="77777777" w:rsidR="00F728DC" w:rsidRPr="00FC6F34" w:rsidRDefault="00F728DC" w:rsidP="00F728DC">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FC6F34">
        <w:rPr>
          <w:rFonts w:ascii="Verdana" w:eastAsia="Times New Roman" w:hAnsi="Verdana" w:cs="Arial"/>
          <w:sz w:val="20"/>
          <w:szCs w:val="20"/>
          <w:lang w:val="es-ES" w:eastAsia="es-CO"/>
        </w:rPr>
        <w:lastRenderedPageBreak/>
        <w:t>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w:t>
      </w:r>
    </w:p>
    <w:p w14:paraId="130417F0" w14:textId="77777777" w:rsidR="00F728DC" w:rsidRPr="00FC6F34" w:rsidRDefault="00F728DC" w:rsidP="00F728DC">
      <w:pPr>
        <w:spacing w:after="0" w:line="276" w:lineRule="auto"/>
        <w:jc w:val="both"/>
        <w:rPr>
          <w:rFonts w:ascii="Verdana" w:eastAsia="Calibri" w:hAnsi="Verdana" w:cs="Arial"/>
          <w:bCs/>
          <w:lang w:val="es-ES"/>
        </w:rPr>
      </w:pPr>
    </w:p>
    <w:p w14:paraId="1F170D02" w14:textId="77777777" w:rsidR="00F728DC" w:rsidRDefault="00F728DC" w:rsidP="00F728DC">
      <w:pPr>
        <w:spacing w:after="12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525ACFC1" w14:textId="77777777" w:rsidR="00F728DC" w:rsidRPr="00FC6F34" w:rsidRDefault="00F728DC" w:rsidP="00F728DC">
      <w:pPr>
        <w:spacing w:after="120" w:line="276" w:lineRule="auto"/>
        <w:jc w:val="both"/>
        <w:rPr>
          <w:rFonts w:ascii="Verdana" w:eastAsia="Arial" w:hAnsi="Verdana" w:cs="Arial"/>
          <w:lang w:val="es-ES" w:eastAsia="es-ES" w:bidi="es-ES"/>
        </w:rPr>
      </w:pPr>
      <w:r w:rsidRPr="00FC6F34">
        <w:rPr>
          <w:rFonts w:ascii="Verdana" w:eastAsia="Arial" w:hAnsi="Verdana" w:cs="Arial"/>
          <w:lang w:val="es-ES" w:eastAsia="es-ES" w:bidi="es-ES"/>
        </w:rPr>
        <w:t>ii)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00E10AA4" w14:textId="77777777" w:rsidR="00F728DC" w:rsidRPr="00FC6F34" w:rsidRDefault="00F728DC" w:rsidP="00F728DC">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5461DBCA" w14:textId="77777777" w:rsidR="00F728DC" w:rsidRPr="00FC6F34" w:rsidRDefault="00F728DC" w:rsidP="00F728DC">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w:t>
      </w:r>
      <w:r w:rsidRPr="00FC6F34">
        <w:rPr>
          <w:rFonts w:ascii="Verdana" w:eastAsia="Calibri" w:hAnsi="Verdana" w:cs="Arial"/>
          <w:lang w:val="es-ES"/>
        </w:rPr>
        <w:lastRenderedPageBreak/>
        <w:t>miembros de sus juntas directivas, en o para reuniones de carácter proselitista”</w:t>
      </w:r>
      <w:r w:rsidRPr="00FC6F34">
        <w:rPr>
          <w:rFonts w:ascii="Verdana" w:eastAsia="Calibri" w:hAnsi="Verdana" w:cs="Arial"/>
          <w:vertAlign w:val="superscript"/>
          <w:lang w:val="es-ES"/>
        </w:rPr>
        <w:footnoteReference w:id="9"/>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4939C6A6" w14:textId="77777777" w:rsidR="00F728DC" w:rsidRPr="00FC6F34" w:rsidRDefault="00F728DC" w:rsidP="00F728DC">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4886B3AF" w14:textId="77777777" w:rsidR="00F728DC" w:rsidRPr="00FC6F34" w:rsidRDefault="00F728DC" w:rsidP="00F728DC">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2A81132" w14:textId="77777777" w:rsidR="00F728DC" w:rsidRPr="00FC6F34" w:rsidRDefault="00F728DC" w:rsidP="00F728DC">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0"/>
      </w:r>
    </w:p>
    <w:p w14:paraId="34A89616" w14:textId="77777777" w:rsidR="00F728DC" w:rsidRPr="00FC6F34" w:rsidRDefault="00F728DC" w:rsidP="00F728DC">
      <w:pPr>
        <w:widowControl w:val="0"/>
        <w:autoSpaceDE w:val="0"/>
        <w:autoSpaceDN w:val="0"/>
        <w:spacing w:after="0" w:line="276" w:lineRule="auto"/>
        <w:contextualSpacing/>
        <w:rPr>
          <w:rFonts w:ascii="Verdana" w:eastAsia="Arial" w:hAnsi="Verdana" w:cs="Arial"/>
          <w:lang w:val="es-ES" w:eastAsia="es-ES" w:bidi="es-ES"/>
        </w:rPr>
      </w:pPr>
    </w:p>
    <w:p w14:paraId="4292ABA0" w14:textId="77777777" w:rsidR="00F728DC" w:rsidRPr="00FC6F34" w:rsidRDefault="00F728DC" w:rsidP="00F728DC">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w:t>
      </w:r>
      <w:r w:rsidRPr="00FC6F34">
        <w:rPr>
          <w:rFonts w:ascii="Verdana" w:eastAsia="Arial" w:hAnsi="Verdana" w:cs="Arial"/>
          <w:lang w:val="es-ES" w:eastAsia="es-ES" w:bidi="es-ES"/>
        </w:rPr>
        <w:lastRenderedPageBreak/>
        <w:t xml:space="preserve">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FCEE69B" w14:textId="77777777" w:rsidR="00F728DC" w:rsidRPr="00FC6F34" w:rsidRDefault="00F728DC" w:rsidP="00F728DC">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0F7174BF" w14:textId="77777777" w:rsidR="00F728DC" w:rsidRDefault="00F728DC" w:rsidP="00F728DC">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0E986BDA" w14:textId="77777777" w:rsidR="00F728DC" w:rsidRPr="00FC6F34" w:rsidRDefault="00F728DC" w:rsidP="00F728DC">
      <w:pPr>
        <w:spacing w:after="120" w:line="276" w:lineRule="auto"/>
        <w:jc w:val="both"/>
        <w:rPr>
          <w:rFonts w:ascii="Verdana" w:eastAsia="Times New Roman" w:hAnsi="Verdana" w:cs="Arial"/>
          <w:lang w:val="es-ES"/>
        </w:rPr>
      </w:pPr>
      <w:r w:rsidRPr="00FC6F34">
        <w:rPr>
          <w:rFonts w:ascii="Verdana" w:eastAsia="Calibri" w:hAnsi="Verdana" w:cs="Arial"/>
          <w:lang w:val="es-ES"/>
        </w:rPr>
        <w:t xml:space="preserve">iii) </w:t>
      </w:r>
      <w:r>
        <w:rPr>
          <w:rFonts w:ascii="Verdana" w:eastAsia="Calibri" w:hAnsi="Verdana" w:cs="Arial"/>
          <w:lang w:val="es-ES" w:eastAsia="es-ES" w:bidi="es-ES"/>
        </w:rPr>
        <w:t>P</w:t>
      </w:r>
      <w:r w:rsidRPr="00FC6F34">
        <w:rPr>
          <w:rFonts w:ascii="Verdana" w:eastAsia="Calibri" w:hAnsi="Verdana" w:cs="Arial"/>
          <w:lang w:val="es-ES" w:eastAsia="es-ES" w:bidi="es-ES"/>
        </w:rPr>
        <w:t xml:space="preserve">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w:t>
      </w:r>
      <w:r w:rsidRPr="00FC6F34">
        <w:rPr>
          <w:rFonts w:ascii="Verdana" w:eastAsia="Times New Roman" w:hAnsi="Verdana" w:cs="Arial"/>
          <w:bCs/>
          <w:lang w:val="es-ES" w:eastAsia="es-CO"/>
        </w:rPr>
        <w:t xml:space="preserve">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086E40F9" w14:textId="77777777" w:rsidR="00F728DC" w:rsidRPr="00FC6F34" w:rsidRDefault="00F728DC" w:rsidP="00F728DC">
      <w:pPr>
        <w:spacing w:after="0" w:line="276" w:lineRule="auto"/>
        <w:ind w:firstLine="708"/>
        <w:jc w:val="both"/>
        <w:rPr>
          <w:rFonts w:ascii="Verdana" w:eastAsia="Times New Roman" w:hAnsi="Verdana" w:cs="Arial"/>
          <w:lang w:val="es-ES"/>
        </w:rPr>
      </w:pPr>
    </w:p>
    <w:p w14:paraId="08BF3B78" w14:textId="77777777" w:rsidR="00F728DC" w:rsidRDefault="00F728DC" w:rsidP="00F728DC">
      <w:pPr>
        <w:spacing w:after="0" w:line="240" w:lineRule="auto"/>
        <w:ind w:left="709" w:right="709"/>
        <w:jc w:val="both"/>
        <w:rPr>
          <w:rFonts w:ascii="Verdana" w:eastAsia="Times New Roman" w:hAnsi="Verdana" w:cs="Arial"/>
          <w:bCs/>
          <w:sz w:val="20"/>
          <w:szCs w:val="20"/>
          <w:lang w:val="es-ES" w:eastAsia="es-CO"/>
        </w:rPr>
      </w:pPr>
      <w:r w:rsidRPr="00FC6F34">
        <w:rPr>
          <w:rFonts w:ascii="Verdana" w:eastAsia="Times New Roman" w:hAnsi="Verdana" w:cs="Arial"/>
          <w:bCs/>
          <w:sz w:val="20"/>
          <w:szCs w:val="20"/>
          <w:lang w:val="es-ES" w:eastAsia="es-CO"/>
        </w:rPr>
        <w:t xml:space="preserve">“El vocablo "todos" que utilizó el legislador, comprende, en consecuencia, sin distinción del "régimen jurídico, forma de organización o naturaleza, su pertenencia a una u otra rama del poder público o su autonomía, a la </w:t>
      </w:r>
      <w:r w:rsidRPr="00FC6F34">
        <w:rPr>
          <w:rFonts w:ascii="Verdana" w:eastAsia="Times New Roman" w:hAnsi="Verdana" w:cs="Arial"/>
          <w:bCs/>
          <w:sz w:val="20"/>
          <w:szCs w:val="20"/>
          <w:lang w:val="es-ES" w:eastAsia="es-CO"/>
        </w:rPr>
        <w:lastRenderedPageBreak/>
        <w:t>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Refdenotaalpie"/>
          <w:rFonts w:ascii="Verdana" w:eastAsia="Times New Roman" w:hAnsi="Verdana" w:cs="Arial"/>
          <w:bCs/>
          <w:sz w:val="20"/>
          <w:szCs w:val="20"/>
          <w:lang w:val="es-ES" w:eastAsia="es-CO"/>
        </w:rPr>
        <w:footnoteReference w:id="11"/>
      </w:r>
      <w:r w:rsidRPr="00FC6F34">
        <w:rPr>
          <w:rFonts w:ascii="Verdana" w:eastAsia="Times New Roman" w:hAnsi="Verdana" w:cs="Arial"/>
          <w:bCs/>
          <w:sz w:val="20"/>
          <w:szCs w:val="20"/>
          <w:lang w:val="es-ES" w:eastAsia="es-CO"/>
        </w:rPr>
        <w:t>.</w:t>
      </w:r>
    </w:p>
    <w:p w14:paraId="2B59281D" w14:textId="77777777" w:rsidR="00F728DC" w:rsidRPr="00FC6F34" w:rsidRDefault="00F728DC" w:rsidP="00F728DC">
      <w:pPr>
        <w:spacing w:after="0" w:line="240" w:lineRule="auto"/>
        <w:ind w:left="709" w:right="709"/>
        <w:jc w:val="both"/>
        <w:rPr>
          <w:rFonts w:ascii="Verdana" w:eastAsia="Times New Roman" w:hAnsi="Verdana" w:cs="Arial"/>
          <w:bCs/>
          <w:lang w:val="es-ES" w:eastAsia="es-CO"/>
        </w:rPr>
      </w:pPr>
    </w:p>
    <w:p w14:paraId="166498E2" w14:textId="77777777" w:rsidR="00F728DC" w:rsidRPr="00FC6F34" w:rsidRDefault="00F728DC" w:rsidP="00F728DC">
      <w:pPr>
        <w:spacing w:after="12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Refdenotaalpie"/>
          <w:rFonts w:ascii="Verdana" w:hAnsi="Verdana" w:cs="Arial"/>
          <w:bCs/>
          <w:sz w:val="20"/>
          <w:szCs w:val="20"/>
          <w:lang w:val="es-ES" w:eastAsia="x-none"/>
        </w:rPr>
        <w:footnoteReference w:id="12"/>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2C49E05B" w14:textId="77777777" w:rsidR="00F728DC" w:rsidRPr="00FC6F34" w:rsidRDefault="00F728DC" w:rsidP="00F728DC">
      <w:pPr>
        <w:spacing w:after="120"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2930DD20" w14:textId="77777777" w:rsidR="00F728DC" w:rsidRDefault="00F728DC" w:rsidP="00F728DC">
      <w:pPr>
        <w:spacing w:after="120" w:line="276" w:lineRule="auto"/>
        <w:ind w:firstLine="708"/>
        <w:jc w:val="both"/>
        <w:rPr>
          <w:rFonts w:ascii="Verdana" w:hAnsi="Verdana" w:cs="Arial"/>
          <w:bCs/>
          <w:lang w:val="es-MX" w:eastAsia="es-CO"/>
        </w:rPr>
      </w:pPr>
      <w:r w:rsidRPr="00FC6F34">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 xml:space="preserve">el segundo inciso de la misma disposición consagró las excepciones aplicables a la prohibición de contratación directa establecida en el mismo artículo. Como se indicó, las excepciones a la prohibición del artículo 33 </w:t>
      </w:r>
      <w:r w:rsidRPr="00FC6F34">
        <w:rPr>
          <w:rFonts w:ascii="Verdana" w:hAnsi="Verdana" w:cs="Arial"/>
          <w:bCs/>
          <w:color w:val="000000" w:themeColor="text1"/>
          <w:lang w:val="es-ES"/>
        </w:rPr>
        <w:lastRenderedPageBreak/>
        <w:t>de la norma mencionada son las siguientes:</w:t>
      </w:r>
      <w:r w:rsidRPr="00380E25">
        <w:rPr>
          <w:rFonts w:ascii="Verdana" w:hAnsi="Verdana" w:cs="Arial"/>
          <w:bCs/>
          <w:lang w:val="es-MX" w:eastAsia="x-none"/>
        </w:rPr>
        <w:t xml:space="preserve"> </w:t>
      </w:r>
      <w:r>
        <w:rPr>
          <w:rFonts w:ascii="Verdana"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29FD4D6" w14:textId="77777777" w:rsidR="00F728DC" w:rsidRDefault="00F728DC" w:rsidP="00F728DC">
      <w:pPr>
        <w:spacing w:after="120" w:line="276" w:lineRule="auto"/>
        <w:ind w:firstLine="708"/>
        <w:jc w:val="both"/>
        <w:rPr>
          <w:rFonts w:ascii="Verdana" w:hAnsi="Verdana" w:cs="Arial"/>
          <w:bCs/>
          <w:lang w:val="es-MX" w:eastAsia="x-none"/>
        </w:rPr>
      </w:pPr>
      <w:r>
        <w:rPr>
          <w:rFonts w:ascii="Verdana" w:hAnsi="Verdana" w:cs="Arial"/>
          <w:bCs/>
          <w:lang w:val="es-MX" w:eastAsia="x-none"/>
        </w:rPr>
        <w:t xml:space="preserve">En esta labor es importante tener en cuenta, como lo anotó la Corte Constitucional, en Sentencia C-1153 de noviembre 11 de 2005 </w:t>
      </w:r>
      <w:bookmarkStart w:id="3" w:name="_Hlk74309042"/>
      <w:r>
        <w:rPr>
          <w:rFonts w:ascii="Verdana" w:hAnsi="Verdana" w:cs="Arial"/>
          <w:bCs/>
          <w:lang w:val="es-MX" w:eastAsia="x-none"/>
        </w:rPr>
        <w:t>que “</w:t>
      </w:r>
      <w:bookmarkEnd w:id="3"/>
      <w:r>
        <w:rPr>
          <w:rFonts w:ascii="Verdana" w:hAnsi="Verdana" w:cs="Arial"/>
          <w:bCs/>
          <w:lang w:val="es-MX" w:eastAsia="x-none"/>
        </w:rPr>
        <w:t xml:space="preserve">si bien la limitación garantiza la igualdad de condiciones, también es necesario que tal limitación que pretende la igualdad </w:t>
      </w:r>
      <w:bookmarkStart w:id="4" w:name="_Hlk75768308"/>
      <w:r>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vertAlign w:val="superscript"/>
          <w:lang w:val="es-MX"/>
        </w:rPr>
        <w:footnoteReference w:id="13"/>
      </w:r>
      <w:r>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4"/>
    </w:p>
    <w:p w14:paraId="58B50921" w14:textId="77777777" w:rsidR="00F728DC" w:rsidRDefault="00F728DC" w:rsidP="00F728DC">
      <w:pPr>
        <w:spacing w:after="120" w:line="276" w:lineRule="auto"/>
        <w:jc w:val="both"/>
        <w:rPr>
          <w:rFonts w:ascii="Verdana" w:eastAsia="Times New Roman" w:hAnsi="Verdana" w:cs="Arial"/>
          <w:lang w:val="es-ES"/>
        </w:rPr>
      </w:pPr>
      <w:r>
        <w:rPr>
          <w:rFonts w:ascii="Verdana" w:eastAsia="Times New Roman" w:hAnsi="Verdana" w:cs="Arial"/>
          <w:lang w:val="es-ES"/>
        </w:rPr>
        <w:t>iv. En relación con e</w:t>
      </w:r>
      <w:r w:rsidRPr="00FC6F34">
        <w:rPr>
          <w:rFonts w:ascii="Verdana" w:eastAsia="Times New Roman" w:hAnsi="Verdana" w:cs="Arial"/>
          <w:lang w:val="es-ES"/>
        </w:rPr>
        <w:t xml:space="preserve">l </w:t>
      </w:r>
      <w:r w:rsidRPr="00CD0948">
        <w:rPr>
          <w:rFonts w:ascii="Verdana" w:eastAsia="Times New Roman" w:hAnsi="Verdana" w:cs="Arial"/>
          <w:i/>
          <w:iCs/>
          <w:lang w:val="es-ES"/>
        </w:rPr>
        <w:t>ámbito material</w:t>
      </w:r>
      <w:r w:rsidRPr="00FC6F34">
        <w:rPr>
          <w:rFonts w:ascii="Verdana" w:eastAsia="Times New Roman" w:hAnsi="Verdana" w:cs="Arial"/>
          <w:lang w:val="es-ES"/>
        </w:rPr>
        <w:t xml:space="preserve"> de esta prohibición</w:t>
      </w:r>
      <w:r>
        <w:rPr>
          <w:rFonts w:ascii="Verdana" w:eastAsia="Times New Roman" w:hAnsi="Verdana" w:cs="Arial"/>
          <w:lang w:val="es-ES"/>
        </w:rPr>
        <w:t xml:space="preserve"> se precisa que</w:t>
      </w:r>
      <w:r w:rsidRPr="00FC6F34">
        <w:rPr>
          <w:rFonts w:ascii="Verdana" w:eastAsia="Times New Roman" w:hAnsi="Verdana" w:cs="Arial"/>
          <w:lang w:val="es-ES"/>
        </w:rPr>
        <w:t xml:space="preserve">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342C2CB4" w14:textId="77777777" w:rsidR="00F728DC" w:rsidRPr="00ED66F4" w:rsidRDefault="00F728DC" w:rsidP="00F728DC">
      <w:pPr>
        <w:spacing w:after="0" w:line="276" w:lineRule="auto"/>
        <w:jc w:val="both"/>
        <w:rPr>
          <w:rFonts w:ascii="Verdana" w:eastAsia="Arial" w:hAnsi="Verdana" w:cs="Arial"/>
          <w:lang w:val="es-ES" w:eastAsia="es-ES" w:bidi="es-ES"/>
        </w:rPr>
      </w:pPr>
    </w:p>
    <w:p w14:paraId="1DBBB695" w14:textId="77777777" w:rsidR="00F728DC" w:rsidRPr="00FC6F34" w:rsidRDefault="00F728DC" w:rsidP="00F728DC">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xml:space="preserve">“[…]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w:t>
      </w:r>
      <w:r w:rsidRPr="00FC6F34">
        <w:rPr>
          <w:rFonts w:ascii="Verdana" w:eastAsia="Calibri" w:hAnsi="Verdana" w:cs="Arial"/>
          <w:sz w:val="20"/>
          <w:szCs w:val="20"/>
          <w:lang w:val="es-ES"/>
        </w:rPr>
        <w:lastRenderedPageBreak/>
        <w:t>pública o concurso</w:t>
      </w:r>
      <w:r w:rsidRPr="00FC6F34">
        <w:rPr>
          <w:rFonts w:ascii="Verdana" w:eastAsia="Times New Roman" w:hAnsi="Verdana" w:cs="Arial"/>
          <w:sz w:val="20"/>
          <w:szCs w:val="20"/>
          <w:vertAlign w:val="superscript"/>
          <w:lang w:val="es-ES"/>
        </w:rPr>
        <w:footnoteReference w:id="14"/>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5"/>
      </w:r>
      <w:r w:rsidRPr="00FC6F34">
        <w:rPr>
          <w:rFonts w:ascii="Verdana" w:eastAsia="Calibri" w:hAnsi="Verdana" w:cs="Arial"/>
          <w:sz w:val="20"/>
          <w:szCs w:val="20"/>
          <w:lang w:val="es-ES"/>
        </w:rPr>
        <w:t xml:space="preserve"> .</w:t>
      </w:r>
    </w:p>
    <w:p w14:paraId="455826A7" w14:textId="77777777" w:rsidR="00F728DC" w:rsidRPr="00FC6F34" w:rsidRDefault="00F728DC" w:rsidP="00F728DC">
      <w:pPr>
        <w:shd w:val="clear" w:color="auto" w:fill="FFFFFF" w:themeFill="background1"/>
        <w:spacing w:after="0" w:line="276" w:lineRule="auto"/>
        <w:ind w:firstLine="709"/>
        <w:jc w:val="both"/>
        <w:rPr>
          <w:rFonts w:ascii="Verdana" w:eastAsia="Times New Roman" w:hAnsi="Verdana" w:cs="Arial"/>
          <w:lang w:val="es-ES" w:eastAsia="x-none"/>
        </w:rPr>
      </w:pPr>
    </w:p>
    <w:p w14:paraId="61CFBB2B" w14:textId="77777777" w:rsidR="00F728DC" w:rsidRPr="00FC6F34" w:rsidRDefault="00F728DC" w:rsidP="00F728DC">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C6F34">
        <w:rPr>
          <w:rFonts w:ascii="Verdana" w:eastAsia="Times New Roman" w:hAnsi="Verdana" w:cs="Arial"/>
          <w:lang w:val="es-ES" w:eastAsia="x-none"/>
        </w:rPr>
        <w:t>cualquier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6"/>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7"/>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794C4D0A" w14:textId="77777777" w:rsidR="00F728DC" w:rsidRPr="00FC6F34" w:rsidRDefault="00F728DC" w:rsidP="00F728DC">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w:t>
      </w:r>
      <w:r w:rsidRPr="00CD0948">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8"/>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7F347276" w14:textId="77777777" w:rsidR="00F728DC" w:rsidRDefault="00F728DC" w:rsidP="00F728DC">
      <w:pPr>
        <w:spacing w:after="120" w:line="276" w:lineRule="auto"/>
        <w:ind w:firstLine="708"/>
        <w:jc w:val="both"/>
        <w:rPr>
          <w:rFonts w:ascii="Verdana" w:eastAsia="Times New Roman" w:hAnsi="Verdana" w:cs="Arial"/>
          <w:lang w:val="es-ES"/>
        </w:rPr>
      </w:pPr>
      <w:r w:rsidRPr="00FC6F34">
        <w:rPr>
          <w:rFonts w:ascii="Verdana" w:eastAsia="Times New Roman" w:hAnsi="Verdana" w:cs="Arial"/>
          <w:lang w:val="es-ES"/>
        </w:rPr>
        <w:lastRenderedPageBreak/>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w:t>
      </w:r>
      <w:r>
        <w:rPr>
          <w:rFonts w:ascii="Verdana" w:eastAsia="Times New Roman" w:hAnsi="Verdana" w:cs="Arial"/>
          <w:i/>
          <w:iCs/>
          <w:lang w:val="es-ES"/>
        </w:rPr>
        <w:t xml:space="preserve"> o convenio</w:t>
      </w:r>
      <w:r w:rsidRPr="00FC6F34">
        <w:rPr>
          <w:rFonts w:ascii="Verdana" w:eastAsia="Times New Roman" w:hAnsi="Verdana" w:cs="Arial"/>
          <w:i/>
          <w:iCs/>
          <w:lang w:val="es-ES"/>
        </w:rPr>
        <w:t xml:space="preserve"> de forma directa</w:t>
      </w:r>
      <w:r w:rsidRPr="00FC6F34">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1A18268F" w14:textId="77777777" w:rsidR="00F728DC" w:rsidRDefault="00F728DC" w:rsidP="00F728DC">
      <w:pPr>
        <w:spacing w:after="120" w:line="276" w:lineRule="auto"/>
        <w:ind w:firstLine="708"/>
        <w:jc w:val="both"/>
        <w:rPr>
          <w:rFonts w:ascii="Verdana" w:eastAsia="Times New Roman" w:hAnsi="Verdana" w:cs="Arial"/>
        </w:rPr>
      </w:pPr>
      <w:r>
        <w:rPr>
          <w:rFonts w:ascii="Verdana" w:eastAsia="Times New Roman" w:hAnsi="Verdana" w:cs="Arial"/>
          <w:lang w:val="es-ES"/>
        </w:rPr>
        <w:t xml:space="preserve">De conformidad con lo expuesto, se evidencia que </w:t>
      </w:r>
      <w:r w:rsidRPr="00493D36">
        <w:rPr>
          <w:rFonts w:ascii="Verdana" w:eastAsia="Times New Roman" w:hAnsi="Verdana" w:cs="Arial"/>
        </w:rPr>
        <w:t>la restricción aplica para celebrar cualquier contrato de forma directa, sin que exista un proceso abierto y competitivo.</w:t>
      </w:r>
      <w:r>
        <w:rPr>
          <w:rFonts w:ascii="Verdana" w:eastAsia="Times New Roman" w:hAnsi="Verdana" w:cs="Arial"/>
        </w:rPr>
        <w:t xml:space="preserve"> Lo anterior adquiere especial relevancia de cara a la consulta planteada, toda vez que si la contratación derivada de un convenio marco se contempla realizar de manera directa por los destinatarios, resulta aplicable la restricción del artículo 33.</w:t>
      </w:r>
    </w:p>
    <w:p w14:paraId="2B8C0202" w14:textId="77777777" w:rsidR="00F728DC" w:rsidRDefault="00F728DC" w:rsidP="00F728DC">
      <w:pPr>
        <w:snapToGrid w:val="0"/>
        <w:spacing w:after="120" w:line="276" w:lineRule="auto"/>
        <w:ind w:firstLine="709"/>
        <w:jc w:val="both"/>
        <w:rPr>
          <w:rFonts w:ascii="Verdana" w:eastAsia="Arial" w:hAnsi="Verdana" w:cs="Arial"/>
          <w:bCs/>
          <w:lang w:eastAsia="es-ES" w:bidi="es-ES"/>
        </w:rPr>
      </w:pPr>
      <w:r>
        <w:rPr>
          <w:rFonts w:ascii="Verdana" w:eastAsia="Times New Roman" w:hAnsi="Verdana" w:cs="Arial"/>
        </w:rPr>
        <w:t xml:space="preserve">En efecto, </w:t>
      </w:r>
      <w:r>
        <w:rPr>
          <w:rFonts w:ascii="Verdana" w:eastAsia="Arial" w:hAnsi="Verdana" w:cs="Arial"/>
          <w:bCs/>
          <w:lang w:eastAsia="es-ES" w:bidi="es-ES"/>
        </w:rPr>
        <w:t>los convenios marcos s</w:t>
      </w:r>
      <w:r w:rsidRPr="00825B70">
        <w:rPr>
          <w:rFonts w:ascii="Verdana" w:eastAsia="Arial" w:hAnsi="Verdana" w:cs="Arial"/>
          <w:bCs/>
          <w:lang w:eastAsia="es-ES" w:bidi="es-ES"/>
        </w:rPr>
        <w:t>on comunes en la práctica administrativa de las entidades públicas cuando estas requieren celebrar acuerdos entre sí, con compromisos recíprocos e intenciones generales, con la finalidad de cumplir los fines estatales, que posteriormente podrán concretarse en convenios o acuerdos específicos y, tienen como característica principal que no generan erogación presupuestal por sí mismos</w:t>
      </w:r>
      <w:r w:rsidRPr="00825B70">
        <w:rPr>
          <w:rFonts w:ascii="Verdana" w:eastAsia="Arial" w:hAnsi="Verdana" w:cs="Arial"/>
          <w:vertAlign w:val="superscript"/>
          <w:lang w:eastAsia="es-ES_tradnl"/>
        </w:rPr>
        <w:footnoteReference w:id="19"/>
      </w:r>
      <w:r w:rsidRPr="00825B70">
        <w:rPr>
          <w:rFonts w:ascii="Verdana" w:eastAsia="Arial" w:hAnsi="Verdana" w:cs="Arial"/>
          <w:bCs/>
          <w:lang w:eastAsia="es-ES" w:bidi="es-ES"/>
        </w:rPr>
        <w:t>.</w:t>
      </w:r>
    </w:p>
    <w:p w14:paraId="3535DA33" w14:textId="77777777" w:rsidR="00F728DC" w:rsidRDefault="00F728DC" w:rsidP="00F728DC">
      <w:pPr>
        <w:widowControl w:val="0"/>
        <w:autoSpaceDE w:val="0"/>
        <w:autoSpaceDN w:val="0"/>
        <w:spacing w:after="120" w:line="276" w:lineRule="auto"/>
        <w:ind w:firstLine="709"/>
        <w:jc w:val="both"/>
        <w:rPr>
          <w:rFonts w:ascii="Verdana" w:eastAsia="Arial" w:hAnsi="Verdana" w:cs="Arial"/>
          <w:bCs/>
          <w:lang w:eastAsia="es-ES" w:bidi="es-ES"/>
        </w:rPr>
      </w:pPr>
      <w:r>
        <w:rPr>
          <w:rFonts w:ascii="Verdana" w:eastAsia="Arial" w:hAnsi="Verdana" w:cs="Arial"/>
          <w:bCs/>
          <w:lang w:eastAsia="es-ES" w:bidi="es-ES"/>
        </w:rPr>
        <w:t>Sobre el particular, en sentencia del 11 de julio del 2025 el Consejo de Estado se pronunció sobre los convenios marco e indicó que “</w:t>
      </w:r>
      <w:r w:rsidRPr="00C35F97">
        <w:rPr>
          <w:rFonts w:ascii="Verdana" w:eastAsia="Arial" w:hAnsi="Verdana" w:cs="Arial"/>
          <w:bCs/>
          <w:lang w:eastAsia="es-ES" w:bidi="es-ES"/>
        </w:rPr>
        <w:t>constituye un negocio jurídico atípico, en la medida en que no existe una regulación</w:t>
      </w:r>
      <w:r>
        <w:rPr>
          <w:rFonts w:ascii="Verdana" w:eastAsia="Arial" w:hAnsi="Verdana" w:cs="Arial"/>
          <w:bCs/>
          <w:lang w:eastAsia="es-ES" w:bidi="es-ES"/>
        </w:rPr>
        <w:t xml:space="preserve"> </w:t>
      </w:r>
      <w:r w:rsidRPr="00C35F97">
        <w:rPr>
          <w:rFonts w:ascii="Verdana" w:eastAsia="Arial" w:hAnsi="Verdana" w:cs="Arial"/>
          <w:bCs/>
          <w:lang w:eastAsia="es-ES" w:bidi="es-ES"/>
        </w:rPr>
        <w:t>legal específica que discipline su contenido. Su celebración respondió al ejercicio de</w:t>
      </w:r>
      <w:r>
        <w:rPr>
          <w:rFonts w:ascii="Verdana" w:eastAsia="Arial" w:hAnsi="Verdana" w:cs="Arial"/>
          <w:bCs/>
          <w:lang w:eastAsia="es-ES" w:bidi="es-ES"/>
        </w:rPr>
        <w:t xml:space="preserve"> </w:t>
      </w:r>
      <w:r w:rsidRPr="00C35F97">
        <w:rPr>
          <w:rFonts w:ascii="Verdana" w:eastAsia="Arial" w:hAnsi="Verdana" w:cs="Arial"/>
          <w:bCs/>
          <w:lang w:eastAsia="es-ES" w:bidi="es-ES"/>
        </w:rPr>
        <w:t>la autonomía de la voluntad y presenta los rasgos característicos de lo que se ha</w:t>
      </w:r>
      <w:r>
        <w:rPr>
          <w:rFonts w:ascii="Verdana" w:eastAsia="Arial" w:hAnsi="Verdana" w:cs="Arial"/>
          <w:bCs/>
          <w:lang w:eastAsia="es-ES" w:bidi="es-ES"/>
        </w:rPr>
        <w:t xml:space="preserve"> </w:t>
      </w:r>
      <w:r w:rsidRPr="00C35F97">
        <w:rPr>
          <w:rFonts w:ascii="Verdana" w:eastAsia="Arial" w:hAnsi="Verdana" w:cs="Arial"/>
          <w:bCs/>
          <w:lang w:eastAsia="es-ES" w:bidi="es-ES"/>
        </w:rPr>
        <w:t>denominado contrato marco: un acuerdo que no regula intereses actuales, sino que</w:t>
      </w:r>
      <w:r>
        <w:rPr>
          <w:rFonts w:ascii="Verdana" w:eastAsia="Arial" w:hAnsi="Verdana" w:cs="Arial"/>
          <w:bCs/>
          <w:lang w:eastAsia="es-ES" w:bidi="es-ES"/>
        </w:rPr>
        <w:t xml:space="preserve"> </w:t>
      </w:r>
      <w:r w:rsidRPr="00C35F97">
        <w:rPr>
          <w:rFonts w:ascii="Verdana" w:eastAsia="Arial" w:hAnsi="Verdana" w:cs="Arial"/>
          <w:bCs/>
          <w:lang w:eastAsia="es-ES" w:bidi="es-ES"/>
        </w:rPr>
        <w:t>establece los lineamientos generales para futuras relaciones jurídicas entre las partes</w:t>
      </w:r>
      <w:r>
        <w:rPr>
          <w:rFonts w:ascii="Verdana" w:eastAsia="Arial" w:hAnsi="Verdana" w:cs="Arial"/>
          <w:bCs/>
          <w:lang w:eastAsia="es-ES" w:bidi="es-ES"/>
        </w:rPr>
        <w:t>”</w:t>
      </w:r>
      <w:r w:rsidRPr="00C35F97">
        <w:rPr>
          <w:rFonts w:ascii="Verdana" w:eastAsia="Arial" w:hAnsi="Verdana" w:cs="Arial"/>
          <w:bCs/>
          <w:lang w:eastAsia="es-ES" w:bidi="es-ES"/>
        </w:rPr>
        <w:t>.</w:t>
      </w:r>
      <w:r>
        <w:rPr>
          <w:rFonts w:ascii="Verdana" w:eastAsia="Arial" w:hAnsi="Verdana" w:cs="Arial"/>
          <w:bCs/>
          <w:lang w:eastAsia="es-ES" w:bidi="es-ES"/>
        </w:rPr>
        <w:t xml:space="preserve"> Respecto de sus características principales señaló que e</w:t>
      </w:r>
      <w:r w:rsidRPr="00261BCA">
        <w:rPr>
          <w:rFonts w:ascii="Verdana" w:eastAsia="Arial" w:hAnsi="Verdana" w:cs="Arial"/>
          <w:bCs/>
          <w:lang w:eastAsia="es-ES" w:bidi="es-ES"/>
        </w:rPr>
        <w:t xml:space="preserve">sta clase de instrumentos negociales presenta los siguientes rasgos: </w:t>
      </w:r>
    </w:p>
    <w:p w14:paraId="6E009756" w14:textId="77777777" w:rsidR="00F728DC" w:rsidRDefault="00F728DC" w:rsidP="00F728DC">
      <w:pPr>
        <w:widowControl w:val="0"/>
        <w:autoSpaceDE w:val="0"/>
        <w:autoSpaceDN w:val="0"/>
        <w:spacing w:after="0" w:line="276" w:lineRule="auto"/>
        <w:ind w:firstLine="709"/>
        <w:jc w:val="both"/>
        <w:rPr>
          <w:rFonts w:ascii="Verdana" w:eastAsia="Arial" w:hAnsi="Verdana" w:cs="Arial"/>
          <w:bCs/>
          <w:lang w:eastAsia="es-ES" w:bidi="es-ES"/>
        </w:rPr>
      </w:pPr>
    </w:p>
    <w:p w14:paraId="27BAC304" w14:textId="77777777" w:rsidR="00F728DC" w:rsidRPr="00261BCA" w:rsidRDefault="00F728DC" w:rsidP="00F728DC">
      <w:pPr>
        <w:widowControl w:val="0"/>
        <w:autoSpaceDE w:val="0"/>
        <w:autoSpaceDN w:val="0"/>
        <w:spacing w:after="0" w:line="240" w:lineRule="auto"/>
        <w:ind w:left="709" w:right="760"/>
        <w:jc w:val="both"/>
        <w:rPr>
          <w:rFonts w:ascii="Verdana" w:eastAsia="Arial" w:hAnsi="Verdana" w:cs="Arial"/>
          <w:bCs/>
          <w:sz w:val="20"/>
          <w:szCs w:val="20"/>
          <w:lang w:eastAsia="es-ES" w:bidi="es-ES"/>
        </w:rPr>
      </w:pPr>
      <w:r w:rsidRPr="00261BCA">
        <w:rPr>
          <w:rFonts w:ascii="Verdana" w:eastAsia="Arial" w:hAnsi="Verdana" w:cs="Arial"/>
          <w:bCs/>
          <w:sz w:val="20"/>
          <w:szCs w:val="20"/>
          <w:lang w:eastAsia="es-ES" w:bidi="es-ES"/>
        </w:rPr>
        <w:t xml:space="preserve">“(i) su vocación de permanencia en el tiempo; (ii) su carácter regulatorio de la relación entre las partes, lo cual permite simplificar la celebración de negocios subordinados o actos de ejecución; y (iii) la circunstancia de que, al momento de su suscripción, el objeto contractual no se encuentra </w:t>
      </w:r>
      <w:r w:rsidRPr="00261BCA">
        <w:rPr>
          <w:rFonts w:ascii="Verdana" w:eastAsia="Arial" w:hAnsi="Verdana" w:cs="Arial"/>
          <w:bCs/>
          <w:sz w:val="20"/>
          <w:szCs w:val="20"/>
          <w:lang w:eastAsia="es-ES" w:bidi="es-ES"/>
        </w:rPr>
        <w:lastRenderedPageBreak/>
        <w:t>determinado con precisión, sino que su contenido y alcance solo se definen en desarrollos posteriores (órdenes de servicio, actas de ejecución, etc.). Esta modalidad contractual permite pactar anticipadamente, con efectos extensivos a los negocios futuros que se suscriban bajo su amparo, las estipulaciones comunes a todos ellos. Su función económica, por tanto, no consiste en viabilizar de forma inmediata un intercambio de bienes o servicios, sino en establecer un marco general de cooperación entre las partes, que reduce los costos de transacción y facilita la ejecución de negocios jurídicos posteriores</w:t>
      </w:r>
      <w:r>
        <w:rPr>
          <w:rStyle w:val="Refdenotaalpie"/>
          <w:rFonts w:ascii="Verdana" w:eastAsia="Arial" w:hAnsi="Verdana" w:cs="Arial"/>
          <w:bCs/>
          <w:sz w:val="20"/>
          <w:szCs w:val="20"/>
          <w:lang w:eastAsia="es-ES" w:bidi="es-ES"/>
        </w:rPr>
        <w:footnoteReference w:id="20"/>
      </w:r>
      <w:r w:rsidRPr="00261BCA">
        <w:rPr>
          <w:rFonts w:ascii="Verdana" w:eastAsia="Arial" w:hAnsi="Verdana" w:cs="Arial"/>
          <w:bCs/>
          <w:sz w:val="20"/>
          <w:szCs w:val="20"/>
          <w:lang w:eastAsia="es-ES" w:bidi="es-ES"/>
        </w:rPr>
        <w:t>”.</w:t>
      </w:r>
    </w:p>
    <w:p w14:paraId="42D84532" w14:textId="77777777" w:rsidR="00F728DC" w:rsidRPr="00825B70" w:rsidRDefault="00F728DC" w:rsidP="00F728DC">
      <w:pPr>
        <w:widowControl w:val="0"/>
        <w:autoSpaceDE w:val="0"/>
        <w:autoSpaceDN w:val="0"/>
        <w:spacing w:after="0" w:line="276" w:lineRule="auto"/>
        <w:ind w:left="709" w:right="760"/>
        <w:jc w:val="both"/>
        <w:rPr>
          <w:rFonts w:ascii="Verdana" w:eastAsia="Arial" w:hAnsi="Verdana" w:cs="Arial"/>
          <w:bCs/>
          <w:lang w:eastAsia="es-ES" w:bidi="es-ES"/>
        </w:rPr>
      </w:pPr>
    </w:p>
    <w:p w14:paraId="7DE379B5" w14:textId="77777777" w:rsidR="00F728DC" w:rsidRDefault="00F728DC" w:rsidP="00F728DC">
      <w:pPr>
        <w:snapToGrid w:val="0"/>
        <w:spacing w:after="120" w:line="276" w:lineRule="auto"/>
        <w:ind w:firstLine="709"/>
        <w:jc w:val="both"/>
        <w:rPr>
          <w:rFonts w:ascii="Verdana" w:eastAsia="Arial" w:hAnsi="Verdana" w:cs="Arial"/>
          <w:bCs/>
          <w:lang w:eastAsia="es-ES" w:bidi="es-ES"/>
        </w:rPr>
      </w:pPr>
      <w:r w:rsidRPr="00C055BD">
        <w:rPr>
          <w:rFonts w:ascii="Verdana" w:eastAsia="Arial" w:hAnsi="Verdana" w:cs="Arial"/>
          <w:bCs/>
          <w:lang w:eastAsia="es-ES" w:bidi="es-ES"/>
        </w:rPr>
        <w:t>Teniendo en cuenta lo anterior, los convenios marco</w:t>
      </w:r>
      <w:r w:rsidRPr="00825B70">
        <w:rPr>
          <w:rFonts w:ascii="Verdana" w:eastAsia="Arial" w:hAnsi="Verdana" w:cs="Arial"/>
          <w:bCs/>
          <w:lang w:eastAsia="es-ES" w:bidi="es-ES"/>
        </w:rPr>
        <w:t xml:space="preserve"> </w:t>
      </w:r>
      <w:r>
        <w:rPr>
          <w:rFonts w:ascii="Verdana" w:eastAsia="Arial" w:hAnsi="Verdana" w:cs="Arial"/>
          <w:bCs/>
          <w:lang w:eastAsia="es-ES" w:bidi="es-ES"/>
        </w:rPr>
        <w:t>p</w:t>
      </w:r>
      <w:r w:rsidRPr="00825B70">
        <w:rPr>
          <w:rFonts w:ascii="Verdana" w:eastAsia="Arial" w:hAnsi="Verdana" w:cs="Arial"/>
          <w:bCs/>
          <w:lang w:eastAsia="es-ES" w:bidi="es-ES"/>
        </w:rPr>
        <w:t>ueden definirse como acuerdos de voluntades entre las entidades públicas que fijan compromisos generales para el cumplimiento de los fines estatales, que serán concretados en uno o más convenios</w:t>
      </w:r>
      <w:r>
        <w:rPr>
          <w:rFonts w:ascii="Verdana" w:eastAsia="Arial" w:hAnsi="Verdana" w:cs="Arial"/>
          <w:bCs/>
          <w:lang w:eastAsia="es-ES" w:bidi="es-ES"/>
        </w:rPr>
        <w:t xml:space="preserve"> o contratos</w:t>
      </w:r>
      <w:r w:rsidRPr="00825B70">
        <w:rPr>
          <w:rFonts w:ascii="Verdana" w:eastAsia="Arial" w:hAnsi="Verdana" w:cs="Arial"/>
          <w:bCs/>
          <w:lang w:eastAsia="es-ES" w:bidi="es-ES"/>
        </w:rPr>
        <w:t xml:space="preserve"> específicos o derivados en los que se determinan condiciones especiales de ejecución atendiendo a las actividades a desarrollar. </w:t>
      </w:r>
    </w:p>
    <w:p w14:paraId="1AC12033" w14:textId="77777777" w:rsidR="00F728DC" w:rsidRDefault="00F728DC" w:rsidP="00F728DC">
      <w:pPr>
        <w:widowControl w:val="0"/>
        <w:autoSpaceDE w:val="0"/>
        <w:autoSpaceDN w:val="0"/>
        <w:spacing w:after="120" w:line="276" w:lineRule="auto"/>
        <w:ind w:firstLine="709"/>
        <w:jc w:val="both"/>
        <w:rPr>
          <w:rFonts w:ascii="Verdana" w:eastAsia="Arial" w:hAnsi="Verdana" w:cs="Arial"/>
          <w:bCs/>
          <w:lang w:eastAsia="es-ES" w:bidi="es-ES"/>
        </w:rPr>
      </w:pPr>
      <w:r>
        <w:rPr>
          <w:rFonts w:ascii="Verdana" w:eastAsia="Arial" w:hAnsi="Verdana" w:cs="Arial"/>
          <w:bCs/>
          <w:lang w:eastAsia="es-ES" w:bidi="es-ES"/>
        </w:rPr>
        <w:t xml:space="preserve">En este sentido, </w:t>
      </w:r>
      <w:r>
        <w:rPr>
          <w:rFonts w:ascii="Verdana" w:hAnsi="Verdana"/>
        </w:rPr>
        <w:t>la finalidad de estos convenios es</w:t>
      </w:r>
      <w:r w:rsidRPr="00B8733A">
        <w:rPr>
          <w:rFonts w:ascii="Verdana" w:eastAsia="Arial" w:hAnsi="Verdana" w:cs="Arial"/>
          <w:bCs/>
          <w:lang w:eastAsia="es-ES" w:bidi="es-ES"/>
        </w:rPr>
        <w:t xml:space="preserve"> </w:t>
      </w:r>
      <w:r w:rsidRPr="00825B70">
        <w:rPr>
          <w:rFonts w:ascii="Verdana" w:eastAsia="Arial" w:hAnsi="Verdana" w:cs="Arial"/>
          <w:bCs/>
          <w:lang w:eastAsia="es-ES" w:bidi="es-ES"/>
        </w:rPr>
        <w:t>regular el contenido mínimo de las relaciones contractuales de las partes bajo un esquema general, que luego se concretarán en futuros acuerdo o contratos en los cuales es obligatorio el contenido preestablecido.</w:t>
      </w:r>
      <w:r>
        <w:rPr>
          <w:rFonts w:ascii="Verdana" w:eastAsia="Arial" w:hAnsi="Verdana" w:cs="Arial"/>
          <w:bCs/>
          <w:lang w:eastAsia="es-ES" w:bidi="es-ES"/>
        </w:rPr>
        <w:t xml:space="preserve"> Por tanto, en el convenio marco se acuerda de manera general y preliminar algunos aspectos de los futuros contratos</w:t>
      </w:r>
      <w:r w:rsidRPr="00825B70">
        <w:rPr>
          <w:rFonts w:ascii="Verdana" w:eastAsia="Arial" w:hAnsi="Verdana" w:cs="Arial"/>
          <w:bCs/>
          <w:sz w:val="20"/>
          <w:szCs w:val="20"/>
          <w:lang w:eastAsia="es-ES" w:bidi="es-ES"/>
        </w:rPr>
        <w:t>,</w:t>
      </w:r>
      <w:r w:rsidRPr="00DE1268">
        <w:rPr>
          <w:rFonts w:ascii="Verdana" w:eastAsia="Arial" w:hAnsi="Verdana" w:cs="Arial"/>
          <w:bCs/>
          <w:lang w:eastAsia="es-ES" w:bidi="es-ES"/>
        </w:rPr>
        <w:t xml:space="preserve"> los cuales quedan subordinados a su específica determinación una vez se precise el alcance y valoración de las actividades, bienes o servicios que se requieran en el curso de su vigencia</w:t>
      </w:r>
      <w:r w:rsidRPr="00DE1268">
        <w:rPr>
          <w:rFonts w:ascii="Verdana" w:eastAsia="Arial" w:hAnsi="Verdana" w:cs="Arial"/>
          <w:bCs/>
          <w:vertAlign w:val="superscript"/>
          <w:lang w:eastAsia="es-ES" w:bidi="es-ES"/>
        </w:rPr>
        <w:footnoteReference w:id="21"/>
      </w:r>
      <w:r w:rsidRPr="00DE1268">
        <w:rPr>
          <w:rFonts w:ascii="Verdana" w:eastAsia="Arial" w:hAnsi="Verdana" w:cs="Arial"/>
          <w:bCs/>
          <w:lang w:eastAsia="es-ES" w:bidi="es-ES"/>
        </w:rPr>
        <w:t>.</w:t>
      </w:r>
    </w:p>
    <w:p w14:paraId="7DFCF959" w14:textId="77777777" w:rsidR="00F728DC" w:rsidRDefault="00F728DC" w:rsidP="00F728DC">
      <w:pPr>
        <w:widowControl w:val="0"/>
        <w:autoSpaceDE w:val="0"/>
        <w:autoSpaceDN w:val="0"/>
        <w:spacing w:after="120" w:line="276" w:lineRule="auto"/>
        <w:ind w:firstLine="709"/>
        <w:jc w:val="both"/>
        <w:rPr>
          <w:rFonts w:ascii="Verdana" w:eastAsia="Arial" w:hAnsi="Verdana" w:cs="Arial"/>
          <w:bCs/>
          <w:lang w:eastAsia="es-ES" w:bidi="es-ES"/>
        </w:rPr>
      </w:pPr>
      <w:r w:rsidRPr="00BD6CEC">
        <w:rPr>
          <w:rFonts w:ascii="Verdana" w:hAnsi="Verdana"/>
        </w:rPr>
        <w:t>Bajo esta perspectiva, los contratos que se deriven del convenio marco mantienen una relación de subordinación respecto del instrumento principal</w:t>
      </w:r>
      <w:r>
        <w:rPr>
          <w:rFonts w:ascii="Verdana" w:hAnsi="Verdana"/>
        </w:rPr>
        <w:t xml:space="preserve">. </w:t>
      </w:r>
      <w:r w:rsidRPr="00BD6CEC">
        <w:rPr>
          <w:rFonts w:ascii="Verdana" w:hAnsi="Verdana"/>
        </w:rPr>
        <w:t xml:space="preserve"> No obstante, dado que el contenido y alcance del convenio marco suelen tener un carácter general, abstracto </w:t>
      </w:r>
      <w:r>
        <w:rPr>
          <w:rFonts w:ascii="Verdana" w:hAnsi="Verdana"/>
        </w:rPr>
        <w:t xml:space="preserve">e </w:t>
      </w:r>
      <w:r w:rsidRPr="00BD6CEC">
        <w:rPr>
          <w:rFonts w:ascii="Verdana" w:hAnsi="Verdana"/>
        </w:rPr>
        <w:t xml:space="preserve">indeterminado, su </w:t>
      </w:r>
      <w:r>
        <w:rPr>
          <w:rFonts w:ascii="Verdana" w:hAnsi="Verdana"/>
        </w:rPr>
        <w:t>concreción</w:t>
      </w:r>
      <w:r w:rsidRPr="00BD6CEC">
        <w:rPr>
          <w:rFonts w:ascii="Verdana" w:hAnsi="Verdana"/>
        </w:rPr>
        <w:t xml:space="preserve"> se produce con la suscripción de los acuerdos o contratos específicos que lo desarrollan</w:t>
      </w:r>
      <w:r>
        <w:rPr>
          <w:rFonts w:ascii="Verdana" w:hAnsi="Verdana"/>
        </w:rPr>
        <w:t xml:space="preserve">, los cuales </w:t>
      </w:r>
      <w:r w:rsidRPr="00825B70">
        <w:rPr>
          <w:rFonts w:ascii="Verdana" w:eastAsia="Arial" w:hAnsi="Verdana" w:cs="Arial"/>
          <w:bCs/>
          <w:lang w:eastAsia="es-ES" w:bidi="es-ES"/>
        </w:rPr>
        <w:t>deberán cumplir las normas aplicables en la materia</w:t>
      </w:r>
      <w:r>
        <w:rPr>
          <w:rFonts w:ascii="Verdana" w:eastAsia="Arial" w:hAnsi="Verdana" w:cs="Arial"/>
          <w:bCs/>
          <w:lang w:eastAsia="es-ES" w:bidi="es-ES"/>
        </w:rPr>
        <w:t>.</w:t>
      </w:r>
      <w:r w:rsidRPr="00260785">
        <w:t xml:space="preserve"> </w:t>
      </w:r>
      <w:r w:rsidRPr="00260785">
        <w:rPr>
          <w:rFonts w:ascii="Verdana" w:eastAsia="Arial" w:hAnsi="Verdana" w:cs="Arial"/>
          <w:bCs/>
          <w:lang w:eastAsia="es-ES" w:bidi="es-ES"/>
        </w:rPr>
        <w:t>Esto implica que su celebración no se agota en la sola remisión al convenio marco, sino que exige observar las normas aplicables conforme al ordenamiento jurídico</w:t>
      </w:r>
      <w:r>
        <w:rPr>
          <w:rFonts w:ascii="Verdana" w:eastAsia="Arial" w:hAnsi="Verdana" w:cs="Arial"/>
          <w:bCs/>
          <w:lang w:eastAsia="es-ES" w:bidi="es-ES"/>
        </w:rPr>
        <w:t>.</w:t>
      </w:r>
    </w:p>
    <w:p w14:paraId="6CF6CDB4" w14:textId="77777777" w:rsidR="00F728DC" w:rsidRPr="009D273D" w:rsidRDefault="00F728DC" w:rsidP="00F728DC">
      <w:pPr>
        <w:widowControl w:val="0"/>
        <w:autoSpaceDE w:val="0"/>
        <w:autoSpaceDN w:val="0"/>
        <w:spacing w:after="120" w:line="276" w:lineRule="auto"/>
        <w:ind w:firstLine="709"/>
        <w:jc w:val="both"/>
        <w:rPr>
          <w:rFonts w:ascii="Verdana" w:hAnsi="Verdana"/>
        </w:rPr>
      </w:pPr>
      <w:r>
        <w:rPr>
          <w:rFonts w:ascii="Verdana" w:eastAsia="Arial" w:hAnsi="Verdana" w:cs="Arial"/>
          <w:bCs/>
          <w:lang w:eastAsia="es-ES" w:bidi="es-ES"/>
        </w:rPr>
        <w:t xml:space="preserve">En este contexto, si bien el contenido obligacional de los contratos derivados está subordinados al convenio marco y </w:t>
      </w:r>
      <w:r w:rsidRPr="00BD6CEC">
        <w:rPr>
          <w:rFonts w:ascii="Verdana" w:hAnsi="Verdana"/>
        </w:rPr>
        <w:t xml:space="preserve">deben ajustarse a los lineamientos técnicos, jurídicos, financieros y administrativos definidos en </w:t>
      </w:r>
      <w:r>
        <w:rPr>
          <w:rFonts w:ascii="Verdana" w:hAnsi="Verdana"/>
        </w:rPr>
        <w:t xml:space="preserve">este, </w:t>
      </w:r>
      <w:r>
        <w:rPr>
          <w:rFonts w:ascii="Verdana" w:hAnsi="Verdana"/>
        </w:rPr>
        <w:lastRenderedPageBreak/>
        <w:t xml:space="preserve">se trata de negocios jurídicos autónomos e independientes, lo que implica que su celebración deberá tener en cuenta las normas aplicables en cada caso concreto. </w:t>
      </w:r>
      <w:r w:rsidRPr="001D3A49">
        <w:rPr>
          <w:rFonts w:ascii="Verdana" w:eastAsia="Arial" w:hAnsi="Verdana" w:cs="Arial"/>
          <w:bCs/>
          <w:lang w:eastAsia="es-ES" w:bidi="es-ES"/>
        </w:rPr>
        <w:t xml:space="preserve">Así, cuando la contratación derivada </w:t>
      </w:r>
      <w:r>
        <w:rPr>
          <w:rFonts w:ascii="Verdana" w:eastAsia="Arial" w:hAnsi="Verdana" w:cs="Arial"/>
          <w:bCs/>
          <w:lang w:eastAsia="es-ES" w:bidi="es-ES"/>
        </w:rPr>
        <w:t xml:space="preserve">implique </w:t>
      </w:r>
      <w:r w:rsidRPr="001D3A49">
        <w:rPr>
          <w:rFonts w:ascii="Verdana" w:eastAsia="Arial" w:hAnsi="Verdana" w:cs="Arial"/>
          <w:bCs/>
          <w:lang w:eastAsia="es-ES" w:bidi="es-ES"/>
        </w:rPr>
        <w:t>una contratación directa</w:t>
      </w:r>
      <w:r>
        <w:rPr>
          <w:rFonts w:ascii="Verdana" w:eastAsia="Arial" w:hAnsi="Verdana" w:cs="Arial"/>
          <w:bCs/>
          <w:lang w:eastAsia="es-ES" w:bidi="es-ES"/>
        </w:rPr>
        <w:t xml:space="preserve">, </w:t>
      </w:r>
      <w:r w:rsidRPr="001D3A49">
        <w:rPr>
          <w:rFonts w:ascii="Verdana" w:eastAsia="Arial" w:hAnsi="Verdana" w:cs="Arial"/>
          <w:bCs/>
          <w:lang w:eastAsia="es-ES" w:bidi="es-ES"/>
        </w:rPr>
        <w:t>en la medida en que su celebración no contemple un proceso competitivo, no incluya etapas de convocatoria pública ni permita la participación de una pluralidad de oferentes</w:t>
      </w:r>
      <w:r>
        <w:rPr>
          <w:rFonts w:ascii="Verdana" w:eastAsia="Arial" w:hAnsi="Verdana" w:cs="Arial"/>
          <w:bCs/>
          <w:lang w:eastAsia="es-ES" w:bidi="es-ES"/>
        </w:rPr>
        <w:t>,</w:t>
      </w:r>
      <w:r w:rsidRPr="001D3A49">
        <w:rPr>
          <w:rFonts w:ascii="Verdana" w:eastAsia="Arial" w:hAnsi="Verdana" w:cs="Arial"/>
          <w:bCs/>
          <w:lang w:eastAsia="es-ES" w:bidi="es-ES"/>
        </w:rPr>
        <w:t xml:space="preserve"> el negocio jurídico queda comprendido dentro del ámbito material de aplicación establecid</w:t>
      </w:r>
      <w:r>
        <w:rPr>
          <w:rFonts w:ascii="Verdana" w:eastAsia="Arial" w:hAnsi="Verdana" w:cs="Arial"/>
          <w:bCs/>
          <w:lang w:eastAsia="es-ES" w:bidi="es-ES"/>
        </w:rPr>
        <w:t>o</w:t>
      </w:r>
      <w:r w:rsidRPr="001D3A49">
        <w:rPr>
          <w:rFonts w:ascii="Verdana" w:eastAsia="Arial" w:hAnsi="Verdana" w:cs="Arial"/>
          <w:bCs/>
          <w:lang w:eastAsia="es-ES" w:bidi="es-ES"/>
        </w:rPr>
        <w:t xml:space="preserve"> en el artículo 33 </w:t>
      </w:r>
      <w:r>
        <w:rPr>
          <w:rFonts w:ascii="Verdana" w:eastAsia="Arial" w:hAnsi="Verdana" w:cs="Arial"/>
          <w:bCs/>
          <w:lang w:eastAsia="es-ES" w:bidi="es-ES"/>
        </w:rPr>
        <w:t xml:space="preserve">de la Ley de Garantías Electorales. </w:t>
      </w:r>
    </w:p>
    <w:p w14:paraId="533E74B1" w14:textId="77777777" w:rsidR="00F728DC" w:rsidRPr="00B55D09" w:rsidRDefault="00F728DC" w:rsidP="00F728DC">
      <w:pPr>
        <w:spacing w:after="120" w:line="276" w:lineRule="auto"/>
        <w:ind w:firstLine="708"/>
        <w:jc w:val="both"/>
        <w:rPr>
          <w:rFonts w:ascii="Verdana" w:eastAsia="Times New Roman" w:hAnsi="Verdana" w:cs="Arial"/>
        </w:rPr>
      </w:pPr>
      <w:r w:rsidRPr="00B55D09">
        <w:rPr>
          <w:rFonts w:ascii="Verdana" w:eastAsia="Times New Roman" w:hAnsi="Verdana" w:cs="Arial"/>
        </w:rPr>
        <w:t>En otras palabras, el hecho de que un contrato se derive de un convenio marco no lo exime del cumplimiento de las normas que regulan su perfeccionamiento y ejecución. Aunque su contenido obligacional se encuentre subordinado al convenio marco, el contrato derivado constituye un negocio jurídico independiente, con identidad y efectos propios. En consecuencia, debe sujetarse a las reglas aplicables a la modalidad de selección y a la naturaleza contractual que le corresponda.</w:t>
      </w:r>
    </w:p>
    <w:p w14:paraId="1E0F7F59" w14:textId="77777777" w:rsidR="00F728DC" w:rsidRPr="00B55D09" w:rsidRDefault="00F728DC" w:rsidP="00F728DC">
      <w:pPr>
        <w:widowControl w:val="0"/>
        <w:autoSpaceDE w:val="0"/>
        <w:autoSpaceDN w:val="0"/>
        <w:spacing w:after="120" w:line="276" w:lineRule="auto"/>
        <w:ind w:firstLine="709"/>
        <w:jc w:val="both"/>
        <w:rPr>
          <w:rFonts w:ascii="Verdana" w:hAnsi="Verdana"/>
        </w:rPr>
      </w:pPr>
      <w:r w:rsidRPr="00B55D09">
        <w:rPr>
          <w:rFonts w:ascii="Verdana" w:eastAsia="Times New Roman" w:hAnsi="Verdana" w:cs="Arial"/>
        </w:rPr>
        <w:t>Por lo anterior, si la entidad proyecta celebrar el contrato derivado mediante una modalidad de contratación directa, dicho proceso queda sometido a las restricciones y prohibiciones previstas para esta forma de selección, incluida la limitación establecida en el artículo 33</w:t>
      </w:r>
      <w:r w:rsidRPr="007D4A91">
        <w:rPr>
          <w:rFonts w:ascii="Verdana" w:eastAsia="Arial" w:hAnsi="Verdana" w:cs="Arial"/>
          <w:bCs/>
          <w:lang w:eastAsia="es-ES" w:bidi="es-ES"/>
        </w:rPr>
        <w:t xml:space="preserve"> </w:t>
      </w:r>
      <w:r>
        <w:rPr>
          <w:rFonts w:ascii="Verdana" w:eastAsia="Arial" w:hAnsi="Verdana" w:cs="Arial"/>
          <w:bCs/>
          <w:lang w:eastAsia="es-ES" w:bidi="es-ES"/>
        </w:rPr>
        <w:t>de la Ley de Garantías Electorales</w:t>
      </w:r>
      <w:r w:rsidRPr="00B55D09">
        <w:rPr>
          <w:rFonts w:ascii="Verdana" w:eastAsia="Times New Roman" w:hAnsi="Verdana" w:cs="Arial"/>
        </w:rPr>
        <w:t xml:space="preserve">. </w:t>
      </w:r>
    </w:p>
    <w:p w14:paraId="53953307" w14:textId="77777777" w:rsidR="00F728DC" w:rsidRDefault="00F728DC" w:rsidP="00F728DC">
      <w:pPr>
        <w:spacing w:after="120" w:line="276" w:lineRule="auto"/>
        <w:ind w:firstLine="709"/>
        <w:jc w:val="both"/>
        <w:rPr>
          <w:rFonts w:ascii="Verdana" w:hAnsi="Verdana" w:cs="Arial"/>
          <w:bCs/>
          <w:lang w:val="es-ES_tradnl" w:eastAsia="es-CO"/>
        </w:rPr>
      </w:pPr>
      <w:r>
        <w:rPr>
          <w:rFonts w:ascii="Verdana" w:eastAsia="Times New Roman" w:hAnsi="Verdana" w:cs="Arial"/>
          <w:lang w:val="es-ES"/>
        </w:rPr>
        <w:t xml:space="preserve">Ahora bien, respecto de la celebración de otros instrumentos jurídicos derivados de las actividades contempladas en el convenio marco, como podrían ser las transferencias directas de recursos o bienes, es importante que la entidad analice la naturaleza jurídica de dichos instrumentos, puesto que del contenido del artículo 33 </w:t>
      </w:r>
      <w:r w:rsidRPr="007F24DD">
        <w:rPr>
          <w:rFonts w:ascii="Verdana" w:eastAsia="Times New Roman" w:hAnsi="Verdana" w:cs="Arial"/>
          <w:i/>
          <w:iCs/>
          <w:lang w:val="es-ES"/>
        </w:rPr>
        <w:t>ibidem</w:t>
      </w:r>
      <w:r>
        <w:rPr>
          <w:rFonts w:ascii="Verdana" w:eastAsia="Times New Roman" w:hAnsi="Verdana" w:cs="Arial"/>
          <w:lang w:val="es-ES"/>
        </w:rPr>
        <w:t xml:space="preserve"> </w:t>
      </w:r>
      <w:r>
        <w:rPr>
          <w:rFonts w:ascii="Verdana" w:hAnsi="Verdana" w:cs="Arial"/>
          <w:bCs/>
          <w:lang w:val="es-ES_tradnl" w:eastAsia="es-CO"/>
        </w:rPr>
        <w:t xml:space="preserve">no se sigue que cualquier forma de transferencia directa ingrese en el radio de las prohibiciones previstas en la ley de garantías electorales. </w:t>
      </w:r>
    </w:p>
    <w:p w14:paraId="1DD36824" w14:textId="77777777" w:rsidR="00F728DC" w:rsidRDefault="00F728DC" w:rsidP="00F728DC">
      <w:pPr>
        <w:spacing w:after="120" w:line="276" w:lineRule="auto"/>
        <w:ind w:firstLine="708"/>
        <w:jc w:val="both"/>
        <w:rPr>
          <w:rFonts w:ascii="Verdana" w:eastAsia="Times New Roman" w:hAnsi="Verdana" w:cs="Arial"/>
          <w:lang w:val="es-ES"/>
        </w:rPr>
      </w:pPr>
      <w:r w:rsidRPr="001C7B22">
        <w:rPr>
          <w:rFonts w:ascii="Verdana" w:eastAsia="Times New Roman" w:hAnsi="Verdana" w:cs="Arial"/>
          <w:lang w:val="es-ES"/>
        </w:rPr>
        <w:t xml:space="preserve">En esa medida, la entidad debe verificar si la actuación que pretende adelantar constituye realmente </w:t>
      </w:r>
      <w:r>
        <w:rPr>
          <w:rFonts w:ascii="Verdana" w:eastAsia="Times New Roman" w:hAnsi="Verdana" w:cs="Arial"/>
          <w:lang w:val="es-ES"/>
        </w:rPr>
        <w:t>la celebración de un</w:t>
      </w:r>
      <w:r w:rsidRPr="001C7B22">
        <w:rPr>
          <w:rFonts w:ascii="Verdana" w:eastAsia="Times New Roman" w:hAnsi="Verdana" w:cs="Arial"/>
          <w:lang w:val="es-ES"/>
        </w:rPr>
        <w:t xml:space="preserve"> contrato </w:t>
      </w:r>
      <w:r>
        <w:rPr>
          <w:rFonts w:ascii="Verdana" w:eastAsia="Times New Roman" w:hAnsi="Verdana" w:cs="Arial"/>
          <w:lang w:val="es-ES"/>
        </w:rPr>
        <w:t>directo</w:t>
      </w:r>
      <w:r w:rsidRPr="001C7B22">
        <w:rPr>
          <w:rFonts w:ascii="Verdana" w:eastAsia="Times New Roman" w:hAnsi="Verdana" w:cs="Arial"/>
          <w:lang w:val="es-ES"/>
        </w:rPr>
        <w:t xml:space="preserve"> o si, por el contrario, se trata de una actividad de gestión o ejecución necesaria para el cumplimiento de las obligaciones previamente pactadas en el convenio marco, actividad que no implica la celebración de un nuevo negocio jurídico. Esta distinción es fundamental, pues solo cuando exista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 podría </w:t>
      </w:r>
      <w:r>
        <w:rPr>
          <w:rFonts w:ascii="Verdana" w:eastAsia="Times New Roman" w:hAnsi="Verdana" w:cs="Arial"/>
          <w:lang w:val="es-ES"/>
        </w:rPr>
        <w:t xml:space="preserve">configurarse </w:t>
      </w:r>
      <w:r w:rsidRPr="001C7B22">
        <w:rPr>
          <w:rFonts w:ascii="Verdana" w:eastAsia="Times New Roman" w:hAnsi="Verdana" w:cs="Arial"/>
          <w:lang w:val="es-ES"/>
        </w:rPr>
        <w:t>la prohibición del artículo 33</w:t>
      </w:r>
      <w:r>
        <w:rPr>
          <w:rFonts w:ascii="Verdana" w:eastAsia="Times New Roman" w:hAnsi="Verdana" w:cs="Arial"/>
          <w:lang w:val="es-ES"/>
        </w:rPr>
        <w:t>.</w:t>
      </w:r>
      <w:r w:rsidRPr="001C7B22">
        <w:rPr>
          <w:rFonts w:ascii="Verdana" w:eastAsia="Times New Roman" w:hAnsi="Verdana" w:cs="Arial"/>
          <w:lang w:val="es-ES"/>
        </w:rPr>
        <w:t xml:space="preserve"> </w:t>
      </w:r>
      <w:r>
        <w:rPr>
          <w:rFonts w:ascii="Verdana" w:eastAsia="Times New Roman" w:hAnsi="Verdana" w:cs="Arial"/>
          <w:lang w:val="es-ES"/>
        </w:rPr>
        <w:t>T</w:t>
      </w:r>
      <w:r w:rsidRPr="001C7B22">
        <w:rPr>
          <w:rFonts w:ascii="Verdana" w:eastAsia="Times New Roman" w:hAnsi="Verdana" w:cs="Arial"/>
          <w:lang w:val="es-ES"/>
        </w:rPr>
        <w:t xml:space="preserve">ratándose de actos de ejecución, operaciones internas, movimientos contables </w:t>
      </w:r>
      <w:r w:rsidRPr="001C7B22">
        <w:rPr>
          <w:rFonts w:ascii="Verdana" w:eastAsia="Times New Roman" w:hAnsi="Verdana" w:cs="Arial"/>
          <w:lang w:val="es-ES"/>
        </w:rPr>
        <w:lastRenderedPageBreak/>
        <w:t xml:space="preserve">o transferencias derivadas del cumplimiento del convenio, la restricción no resulta aplicable por no configurarse un </w:t>
      </w:r>
      <w:r>
        <w:rPr>
          <w:rFonts w:ascii="Verdana" w:eastAsia="Times New Roman" w:hAnsi="Verdana" w:cs="Arial"/>
          <w:lang w:val="es-ES"/>
        </w:rPr>
        <w:t xml:space="preserve">contrato </w:t>
      </w:r>
      <w:r w:rsidRPr="001C7B22">
        <w:rPr>
          <w:rFonts w:ascii="Verdana" w:eastAsia="Times New Roman" w:hAnsi="Verdana" w:cs="Arial"/>
          <w:lang w:val="es-ES"/>
        </w:rPr>
        <w:t>autónomo.</w:t>
      </w:r>
    </w:p>
    <w:p w14:paraId="524EE353" w14:textId="77777777" w:rsidR="00F728DC" w:rsidRPr="007562F6" w:rsidRDefault="00F728DC" w:rsidP="00F728DC">
      <w:pPr>
        <w:spacing w:after="120" w:line="276" w:lineRule="auto"/>
        <w:ind w:firstLine="709"/>
        <w:jc w:val="both"/>
        <w:rPr>
          <w:rFonts w:ascii="Verdana" w:hAnsi="Verdana" w:cs="Arial"/>
          <w:bCs/>
          <w:lang w:val="es-ES_tradnl" w:eastAsia="es-CO"/>
        </w:rPr>
      </w:pPr>
      <w:r>
        <w:rPr>
          <w:rFonts w:ascii="Verdana" w:eastAsia="Times New Roman" w:hAnsi="Verdana" w:cs="Arial"/>
          <w:lang w:val="es-ES"/>
        </w:rPr>
        <w:t xml:space="preserve">De esta manera, aquellos instrumentos que no impliquen la celebración contrato que deba efectuarse por contratación directa </w:t>
      </w:r>
      <w:r>
        <w:rPr>
          <w:rFonts w:ascii="Verdana" w:hAnsi="Verdana" w:cs="Arial"/>
          <w:bCs/>
          <w:lang w:val="es-ES_tradnl" w:eastAsia="es-CO"/>
        </w:rPr>
        <w:t>no se encuentran previstos dentro del radio de las prohibiciones establecidas en la Ley de Garantías Electorales. Debe destacarse que las disposiciones normativas que establecen prohibiciones deben interpretarse restrictivamente, para no ampliar de manera injustificada sus supuestos de hecho a circunstancias que, en sentido lógico, no caben en aquellos. La Sala de Consulta y Servicio Civil del Consejo de Estado así lo sostuvo, refiriéndose, precisamente, al alcance de las limitaciones contractuales contenidas en la ley de garantías electorales. Al respecto, afirmó:</w:t>
      </w:r>
    </w:p>
    <w:p w14:paraId="3773D479" w14:textId="77777777" w:rsidR="00F728DC" w:rsidRDefault="00F728DC" w:rsidP="00F728DC">
      <w:pPr>
        <w:pStyle w:val="NormalWeb"/>
        <w:shd w:val="clear" w:color="auto" w:fill="FFFFFF"/>
        <w:spacing w:before="0" w:beforeAutospacing="0" w:after="0" w:afterAutospacing="0" w:line="276" w:lineRule="auto"/>
        <w:ind w:left="709" w:right="709"/>
        <w:jc w:val="both"/>
        <w:rPr>
          <w:rFonts w:ascii="Verdana" w:hAnsi="Verdana" w:cs="Arial"/>
          <w:color w:val="333333"/>
          <w:sz w:val="21"/>
          <w:szCs w:val="21"/>
          <w:lang w:val="es-ES_tradnl"/>
        </w:rPr>
      </w:pPr>
    </w:p>
    <w:p w14:paraId="71AB0051" w14:textId="77777777" w:rsidR="00F728DC" w:rsidRDefault="00F728DC" w:rsidP="00F728DC">
      <w:pPr>
        <w:shd w:val="clear" w:color="auto" w:fill="FFFFFF"/>
        <w:spacing w:after="0" w:line="240" w:lineRule="auto"/>
        <w:ind w:left="709" w:right="709"/>
        <w:jc w:val="both"/>
        <w:rPr>
          <w:rFonts w:ascii="Verdana" w:eastAsia="Times New Roman" w:hAnsi="Verdana" w:cs="Arial"/>
          <w:color w:val="000000"/>
          <w:sz w:val="20"/>
          <w:szCs w:val="20"/>
          <w:lang w:val="es-ES" w:eastAsia="es-CO"/>
        </w:rPr>
      </w:pPr>
      <w:r>
        <w:rPr>
          <w:rFonts w:ascii="Verdana" w:eastAsia="Times New Roman" w:hAnsi="Verdana" w:cs="Arial"/>
          <w:color w:val="000000"/>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r>
        <w:rPr>
          <w:rFonts w:ascii="Verdana" w:eastAsia="Times New Roman" w:hAnsi="Verdana" w:cs="Arial"/>
          <w:i/>
          <w:iCs/>
          <w:color w:val="000000"/>
          <w:sz w:val="20"/>
          <w:szCs w:val="20"/>
          <w:lang w:val="es-ES" w:eastAsia="es-CO"/>
        </w:rPr>
        <w:t>legis </w:t>
      </w:r>
      <w:r>
        <w:rPr>
          <w:rFonts w:ascii="Verdana" w:eastAsia="Times New Roman" w:hAnsi="Verdana" w:cs="Arial"/>
          <w:color w:val="000000"/>
          <w:sz w:val="20"/>
          <w:szCs w:val="20"/>
          <w:lang w:val="es-ES" w:eastAsia="es-CO"/>
        </w:rPr>
        <w:t>o </w:t>
      </w:r>
      <w:r>
        <w:rPr>
          <w:rFonts w:ascii="Verdana" w:eastAsia="Times New Roman" w:hAnsi="Verdana" w:cs="Arial"/>
          <w:i/>
          <w:iCs/>
          <w:color w:val="000000"/>
          <w:sz w:val="20"/>
          <w:szCs w:val="20"/>
          <w:lang w:val="es-ES" w:eastAsia="es-CO"/>
        </w:rPr>
        <w:t>iuris</w:t>
      </w:r>
      <w:r>
        <w:rPr>
          <w:rFonts w:ascii="Verdana" w:eastAsia="Times New Roman" w:hAnsi="Verdana" w:cs="Arial"/>
          <w:color w:val="000000"/>
          <w:sz w:val="20"/>
          <w:szCs w:val="20"/>
          <w:lang w:val="es-ES" w:eastAsia="es-CO"/>
        </w:rPr>
        <w:t>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83825E0" w14:textId="77777777" w:rsidR="00F728DC" w:rsidRDefault="00F728DC" w:rsidP="00F728DC">
      <w:pPr>
        <w:shd w:val="clear" w:color="auto" w:fill="FFFFFF"/>
        <w:spacing w:after="0" w:line="240" w:lineRule="auto"/>
        <w:ind w:left="709" w:right="709"/>
        <w:jc w:val="both"/>
        <w:rPr>
          <w:rFonts w:ascii="Verdana" w:eastAsia="Times New Roman" w:hAnsi="Verdana" w:cs="Arial"/>
          <w:color w:val="000000"/>
          <w:sz w:val="20"/>
          <w:szCs w:val="20"/>
          <w:lang w:val="es-ES_tradnl" w:eastAsia="es-CO"/>
        </w:rPr>
      </w:pPr>
      <w:r>
        <w:rPr>
          <w:rFonts w:ascii="Verdana" w:eastAsia="Times New Roman" w:hAnsi="Verdana" w:cs="Arial"/>
          <w:color w:val="000000"/>
          <w:sz w:val="20"/>
          <w:szCs w:val="20"/>
          <w:lang w:val="es-ES_tradnl" w:eastAsia="es-CO"/>
        </w:rPr>
        <w:t>[…]</w:t>
      </w:r>
    </w:p>
    <w:p w14:paraId="2D11E55B" w14:textId="77777777" w:rsidR="00F728DC" w:rsidRDefault="00F728DC" w:rsidP="00F728DC">
      <w:pPr>
        <w:shd w:val="clear" w:color="auto" w:fill="FFFFFF"/>
        <w:spacing w:before="120" w:after="0" w:line="240" w:lineRule="auto"/>
        <w:ind w:left="709" w:right="709"/>
        <w:jc w:val="both"/>
        <w:rPr>
          <w:rFonts w:ascii="Verdana" w:eastAsia="Times New Roman" w:hAnsi="Verdana" w:cs="Arial"/>
          <w:color w:val="000000"/>
          <w:sz w:val="20"/>
          <w:szCs w:val="20"/>
          <w:lang w:val="es-ES" w:eastAsia="es-CO"/>
        </w:rPr>
      </w:pPr>
      <w:r>
        <w:rPr>
          <w:rFonts w:ascii="Verdana" w:eastAsia="Times New Roman" w:hAnsi="Verdana" w:cs="Arial"/>
          <w:color w:val="000000"/>
          <w:sz w:val="20"/>
          <w:szCs w:val="20"/>
          <w:lang w:val="es-ES" w:eastAsia="es-CO"/>
        </w:rPr>
        <w:t>Así, en esta materia cobra importancia la regla de hermenéutica consagrada en el artículo 31 del Código Civil, según la cual, </w:t>
      </w:r>
      <w:r>
        <w:rPr>
          <w:rFonts w:ascii="Verdana" w:eastAsia="Times New Roman" w:hAnsi="Verdana" w:cs="Arial"/>
          <w:i/>
          <w:iCs/>
          <w:color w:val="000000"/>
          <w:sz w:val="20"/>
          <w:szCs w:val="20"/>
          <w:lang w:val="es-ES" w:eastAsia="es-CO"/>
        </w:rPr>
        <w:t>‘[l]o favorable u odioso de una disposición no se tomará en cuenta para ampliar o restringir su interpretación. La extensión que deba darse a toda ley se determinará por su genuino sentido, y según las reglas de interpretación…’ (‘favorabilia sunt amplianda, odiosa sunt restringenda’); </w:t>
      </w:r>
      <w:r>
        <w:rPr>
          <w:rFonts w:ascii="Verdana" w:eastAsia="Times New Roman" w:hAnsi="Verdana" w:cs="Arial"/>
          <w:color w:val="000000"/>
          <w:sz w:val="20"/>
          <w:szCs w:val="20"/>
          <w:lang w:val="es-ES" w:eastAsia="es-CO"/>
        </w:rPr>
        <w:t>y de ahí la proscripción de las interpretaciones extensivas de las normas prohibitivas, tal y como lo precisó la Corte Suprema de Justicia, al señalar que </w:t>
      </w:r>
      <w:r>
        <w:rPr>
          <w:rFonts w:ascii="Verdana" w:eastAsia="Times New Roman" w:hAnsi="Verdana" w:cs="Arial"/>
          <w:i/>
          <w:iCs/>
          <w:color w:val="000000"/>
          <w:sz w:val="20"/>
          <w:szCs w:val="20"/>
          <w:lang w:val="es-ES" w:eastAsia="es-CO"/>
        </w:rPr>
        <w:t>‘[e]n la interpretación de las leyes prohibitivas no deben buscarse analogías o razones para hacerlas extensivas a casos no comprendidos claramente en la prohibición’.</w:t>
      </w:r>
      <w:r>
        <w:rPr>
          <w:rFonts w:ascii="Verdana" w:eastAsia="Times New Roman" w:hAnsi="Verdana" w:cs="Arial"/>
          <w:color w:val="000000"/>
          <w:sz w:val="20"/>
          <w:szCs w:val="20"/>
          <w:lang w:val="es-ES" w:eastAsia="es-CO"/>
        </w:rPr>
        <w:t> </w:t>
      </w:r>
    </w:p>
    <w:p w14:paraId="2298ABE0" w14:textId="77777777" w:rsidR="00F728DC" w:rsidRDefault="00F728DC" w:rsidP="00F728DC">
      <w:pPr>
        <w:pStyle w:val="NormalWeb"/>
        <w:shd w:val="clear" w:color="auto" w:fill="FFFFFF"/>
        <w:spacing w:before="120" w:beforeAutospacing="0" w:after="0" w:afterAutospacing="0"/>
        <w:ind w:left="709" w:right="709"/>
        <w:jc w:val="both"/>
        <w:rPr>
          <w:rFonts w:ascii="Verdana" w:hAnsi="Verdana" w:cs="Arial"/>
          <w:color w:val="000000" w:themeColor="text1"/>
          <w:sz w:val="20"/>
          <w:szCs w:val="20"/>
          <w:lang w:val="es-ES_tradnl"/>
        </w:rPr>
      </w:pPr>
      <w:r>
        <w:rPr>
          <w:rFonts w:ascii="Verdana" w:hAnsi="Verdana" w:cs="Arial"/>
          <w:color w:val="000000"/>
          <w:sz w:val="20"/>
          <w:szCs w:val="20"/>
          <w:lang w:val="es-ES_tradnl" w:eastAsia="es-ES_tradnl"/>
        </w:rPr>
        <w:t>En consecuencia, la interpretación y aplicación restrictiva es una regla que rige tratándose de normas prohibitivas, dado que consagran limitaciones al ejercicio de un derecho o de competencias señaladas en la ley, criterio hermenéutico que responde al principio de taxatividad, de acuerdo con el cual solo operan las prohibiciones que en forma precisa establece el legislador”</w:t>
      </w:r>
      <w:r>
        <w:rPr>
          <w:rStyle w:val="Refdenotaalpie"/>
          <w:rFonts w:ascii="Verdana" w:hAnsi="Verdana" w:cs="Arial"/>
          <w:color w:val="000000" w:themeColor="text1"/>
          <w:sz w:val="20"/>
          <w:szCs w:val="20"/>
          <w:lang w:val="es-ES_tradnl"/>
        </w:rPr>
        <w:footnoteReference w:id="22"/>
      </w:r>
      <w:r>
        <w:rPr>
          <w:rFonts w:ascii="Verdana" w:hAnsi="Verdana" w:cs="Arial"/>
          <w:color w:val="000000" w:themeColor="text1"/>
          <w:sz w:val="20"/>
          <w:szCs w:val="20"/>
          <w:lang w:val="es-ES_tradnl"/>
        </w:rPr>
        <w:t>.</w:t>
      </w:r>
    </w:p>
    <w:p w14:paraId="560685B8" w14:textId="77777777" w:rsidR="00F728DC" w:rsidRDefault="00F728DC" w:rsidP="00F728DC">
      <w:pPr>
        <w:pStyle w:val="NormalWeb"/>
        <w:shd w:val="clear" w:color="auto" w:fill="FFFFFF"/>
        <w:spacing w:before="0" w:beforeAutospacing="0" w:after="0" w:afterAutospacing="0" w:line="276" w:lineRule="auto"/>
        <w:ind w:left="709" w:right="709"/>
        <w:jc w:val="both"/>
        <w:rPr>
          <w:rFonts w:ascii="Verdana" w:hAnsi="Verdana" w:cs="Arial"/>
          <w:color w:val="333333"/>
          <w:sz w:val="21"/>
          <w:szCs w:val="21"/>
          <w:lang w:val="es-ES_tradnl"/>
        </w:rPr>
      </w:pPr>
    </w:p>
    <w:p w14:paraId="5344B969" w14:textId="77777777" w:rsidR="00F728DC" w:rsidRPr="00584759" w:rsidRDefault="00F728DC" w:rsidP="00F728DC">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0E89DB9F" w14:textId="77777777" w:rsidR="00F728DC" w:rsidRPr="00FC6F34" w:rsidRDefault="00F728DC" w:rsidP="00F728DC">
      <w:pPr>
        <w:spacing w:after="0" w:line="276" w:lineRule="auto"/>
        <w:ind w:firstLine="708"/>
        <w:jc w:val="both"/>
        <w:rPr>
          <w:rFonts w:ascii="Verdana" w:eastAsia="Calibri" w:hAnsi="Verdana" w:cs="Arial"/>
          <w:lang w:val="es-ES"/>
        </w:rPr>
      </w:pPr>
    </w:p>
    <w:bookmarkEnd w:id="1"/>
    <w:bookmarkEnd w:id="2"/>
    <w:p w14:paraId="59BB1A82" w14:textId="77777777" w:rsidR="00F728DC" w:rsidRPr="00FC6F34" w:rsidRDefault="00F728DC" w:rsidP="00F728D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D04763">
        <w:rPr>
          <w:rFonts w:ascii="Verdana" w:eastAsia="Century Gothic" w:hAnsi="Verdana" w:cs="Century Gothic"/>
          <w:b/>
          <w:color w:val="000000" w:themeColor="text1"/>
        </w:rPr>
        <w:t>Referencias normativas, jurisprudenciales y otras fuentes:</w:t>
      </w:r>
    </w:p>
    <w:p w14:paraId="79F4CC75" w14:textId="77777777" w:rsidR="00F728DC" w:rsidRPr="00FC6F34" w:rsidRDefault="00F728DC" w:rsidP="00F728DC">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728DC" w:rsidRPr="00FC6F34" w14:paraId="3D256FDE" w14:textId="77777777" w:rsidTr="00A5204D">
        <w:trPr>
          <w:trHeight w:val="870"/>
        </w:trPr>
        <w:tc>
          <w:tcPr>
            <w:tcW w:w="8647" w:type="dxa"/>
          </w:tcPr>
          <w:p w14:paraId="3F549F89" w14:textId="77777777" w:rsidR="00F728DC" w:rsidRPr="00FC6F34" w:rsidRDefault="00F728DC" w:rsidP="00A5204D">
            <w:pPr>
              <w:widowControl w:val="0"/>
              <w:numPr>
                <w:ilvl w:val="0"/>
                <w:numId w:val="16"/>
              </w:numPr>
              <w:autoSpaceDE w:val="0"/>
              <w:autoSpaceDN w:val="0"/>
              <w:spacing w:before="120" w:after="120"/>
              <w:jc w:val="both"/>
              <w:rPr>
                <w:rFonts w:ascii="Verdana" w:eastAsia="Arial MT" w:hAnsi="Verdana" w:cs="Arial"/>
                <w:lang w:val="es-ES" w:eastAsia="es-ES" w:bidi="es-ES"/>
              </w:rPr>
            </w:pPr>
            <w:r w:rsidRPr="00FC6F34">
              <w:rPr>
                <w:rFonts w:ascii="Verdana" w:eastAsia="Arial MT" w:hAnsi="Verdana" w:cs="Arial"/>
                <w:lang w:val="es-ES" w:eastAsia="es-ES" w:bidi="es-ES"/>
              </w:rPr>
              <w:t>Constitución Política, artículo 127.</w:t>
            </w:r>
          </w:p>
          <w:p w14:paraId="2C792E80" w14:textId="77777777" w:rsidR="00F728DC" w:rsidRPr="00FC6F34" w:rsidRDefault="00F728DC" w:rsidP="00A5204D">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 artículos 33 y 38.</w:t>
            </w:r>
          </w:p>
          <w:p w14:paraId="3FF9B546" w14:textId="77777777" w:rsidR="00F728DC" w:rsidRPr="00FC6F34" w:rsidRDefault="00F728DC" w:rsidP="00A5204D">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Times New Roman" w:hAnsi="Verdana" w:cs="Times New Roman"/>
                <w:lang w:val="es-ES" w:eastAsia="es-MX"/>
              </w:rPr>
              <w:t xml:space="preserve">Ley 1150 de 2007, </w:t>
            </w:r>
            <w:r w:rsidRPr="00FC6F34">
              <w:rPr>
                <w:rFonts w:ascii="Verdana" w:eastAsia="Arial MT" w:hAnsi="Verdana" w:cs="Arial"/>
                <w:lang w:val="es-ES" w:eastAsia="es-ES" w:bidi="es-ES"/>
              </w:rPr>
              <w:t>Artículo 2</w:t>
            </w:r>
            <w:r>
              <w:rPr>
                <w:rFonts w:ascii="Verdana" w:eastAsia="Arial MT" w:hAnsi="Verdana" w:cs="Arial"/>
                <w:lang w:val="es-ES" w:eastAsia="es-ES" w:bidi="es-ES"/>
              </w:rPr>
              <w:t>0</w:t>
            </w:r>
            <w:r w:rsidRPr="00FC6F34">
              <w:rPr>
                <w:rFonts w:ascii="Verdana" w:eastAsia="Arial MT" w:hAnsi="Verdana" w:cs="Arial"/>
                <w:lang w:val="es-ES" w:eastAsia="es-ES" w:bidi="es-ES"/>
              </w:rPr>
              <w:t xml:space="preserve"> </w:t>
            </w:r>
          </w:p>
          <w:p w14:paraId="69AC10EC" w14:textId="77777777" w:rsidR="00F728DC" w:rsidRPr="00FC6F34" w:rsidRDefault="00F728DC" w:rsidP="00A5204D">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Sección Primera. Sentencia de 3 de marzo de 2005, Exp. 2004-00823-01(PI). </w:t>
            </w:r>
          </w:p>
          <w:p w14:paraId="09122D6A" w14:textId="77777777" w:rsidR="00F728DC" w:rsidRPr="00FC6F34" w:rsidRDefault="00F728DC" w:rsidP="00A5204D">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Sala de Consulta y Servicio Civil, Concepto de fecha 24 de julio de 2013, Rad. 2166, C. P. Álvaro Namén Vargas. </w:t>
            </w:r>
          </w:p>
          <w:p w14:paraId="196502C4" w14:textId="77777777" w:rsidR="00F728DC" w:rsidRPr="00FC6F34" w:rsidRDefault="00F728DC" w:rsidP="00A5204D">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del 17 de febrero de 2015. C.P. William Zambrano Cetina. Radicación No. 11001-03-06-000-2015-00164-00(2269).</w:t>
            </w:r>
          </w:p>
          <w:p w14:paraId="5327E913" w14:textId="77777777" w:rsidR="00F728DC" w:rsidRPr="00997373" w:rsidRDefault="00F728DC" w:rsidP="00A5204D">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 fecha 8 de mayo de 2018, No. 2382. C. P. Álvaro Namén Vargas</w:t>
            </w:r>
            <w:r w:rsidRPr="00997373">
              <w:rPr>
                <w:rFonts w:ascii="Verdana" w:hAnsi="Verdana" w:cs="Arial"/>
              </w:rPr>
              <w:t>.</w:t>
            </w:r>
          </w:p>
        </w:tc>
      </w:tr>
    </w:tbl>
    <w:p w14:paraId="60417C0D" w14:textId="77777777" w:rsidR="00F728DC" w:rsidRPr="00FC6F34" w:rsidRDefault="00F728DC" w:rsidP="00F728DC">
      <w:pPr>
        <w:widowControl w:val="0"/>
        <w:autoSpaceDE w:val="0"/>
        <w:autoSpaceDN w:val="0"/>
        <w:spacing w:after="0" w:line="276" w:lineRule="auto"/>
        <w:jc w:val="both"/>
        <w:rPr>
          <w:rFonts w:ascii="Verdana" w:hAnsi="Verdana" w:cs="Arial"/>
          <w:color w:val="000000" w:themeColor="text1"/>
          <w:lang w:val="es-ES"/>
        </w:rPr>
      </w:pPr>
    </w:p>
    <w:p w14:paraId="4B40E7D9" w14:textId="77777777" w:rsidR="00F728DC" w:rsidRPr="00FC6F34" w:rsidRDefault="00F728DC" w:rsidP="00F728DC">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140B439B" w14:textId="77777777" w:rsidR="00F728DC" w:rsidRPr="00FC6F34" w:rsidRDefault="00F728DC" w:rsidP="00F728DC">
      <w:pPr>
        <w:widowControl w:val="0"/>
        <w:autoSpaceDE w:val="0"/>
        <w:autoSpaceDN w:val="0"/>
        <w:spacing w:after="0" w:line="276" w:lineRule="auto"/>
        <w:jc w:val="both"/>
        <w:rPr>
          <w:rFonts w:ascii="Verdana" w:hAnsi="Verdana" w:cs="Arial"/>
          <w:color w:val="000000" w:themeColor="text1"/>
          <w:lang w:val="es-ES"/>
        </w:rPr>
      </w:pPr>
    </w:p>
    <w:p w14:paraId="0F2D47A3" w14:textId="77777777" w:rsidR="00F728DC" w:rsidRPr="00982071" w:rsidRDefault="00F728DC" w:rsidP="00F728DC">
      <w:pPr>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 xml:space="preserve">sobre la Ley de Garantías Electorales en los conceptos con radicado 4201913000006306 del 21 de octubre de 2019, 4201912000006552 del 07 de noviembre de 2019, 4201913000006604 del 17 de diciembre de 2019,  C-227 </w:t>
      </w:r>
      <w:r w:rsidRPr="00FC6F34">
        <w:rPr>
          <w:rFonts w:ascii="Verdana" w:hAnsi="Verdana" w:cs="Arial"/>
          <w:shd w:val="clear" w:color="auto" w:fill="FFFFFF"/>
          <w:lang w:val="es-ES"/>
        </w:rPr>
        <w:lastRenderedPageBreak/>
        <w:t>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w:t>
      </w:r>
      <w:r>
        <w:rPr>
          <w:rFonts w:ascii="Verdana" w:hAnsi="Verdana" w:cs="Arial"/>
          <w:shd w:val="clear" w:color="auto" w:fill="FFFFFF"/>
          <w:lang w:val="es-ES"/>
        </w:rPr>
        <w:t>,</w:t>
      </w:r>
      <w:r w:rsidRPr="00FC6F34">
        <w:rPr>
          <w:rFonts w:ascii="Verdana" w:hAnsi="Verdana" w:cs="Arial"/>
          <w:shd w:val="clear" w:color="auto" w:fill="FFFFFF"/>
          <w:lang w:val="es-ES"/>
        </w:rPr>
        <w:t xml:space="preserve"> C-273-A de 2025</w:t>
      </w:r>
      <w:r>
        <w:rPr>
          <w:rFonts w:ascii="Verdana" w:hAnsi="Verdana" w:cs="Arial"/>
          <w:shd w:val="clear" w:color="auto" w:fill="FFFFFF"/>
          <w:lang w:val="es-ES"/>
        </w:rPr>
        <w:t>,  C-1274 de 2025, C-1488 de 2025 entre otros</w:t>
      </w:r>
      <w:r w:rsidRPr="00FC6F34">
        <w:rPr>
          <w:rFonts w:ascii="Verdana" w:hAnsi="Verdana" w:cs="Arial"/>
          <w:shd w:val="clear" w:color="auto" w:fill="FFFFFF"/>
          <w:lang w:val="es-ES"/>
        </w:rPr>
        <w:t>. 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3"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5721DFC7" w14:textId="77777777" w:rsidR="00F728DC" w:rsidRPr="00FC6F34" w:rsidRDefault="00F728DC" w:rsidP="00F728DC">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992AB89" w14:textId="77777777" w:rsidR="00F728DC" w:rsidRPr="00FC6F34" w:rsidRDefault="00F728DC" w:rsidP="00F728DC">
      <w:pPr>
        <w:widowControl w:val="0"/>
        <w:autoSpaceDE w:val="0"/>
        <w:autoSpaceDN w:val="0"/>
        <w:spacing w:after="0" w:line="276" w:lineRule="auto"/>
        <w:jc w:val="both"/>
        <w:rPr>
          <w:rFonts w:ascii="Verdana" w:hAnsi="Verdana" w:cs="Arial"/>
          <w:lang w:val="es-ES"/>
        </w:rPr>
      </w:pPr>
    </w:p>
    <w:p w14:paraId="1ACB833C" w14:textId="77777777" w:rsidR="00F728DC" w:rsidRPr="00FC6F34" w:rsidRDefault="00F728DC" w:rsidP="00F728DC">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bookmarkEnd w:id="0"/>
    <w:p w14:paraId="0C764DD2" w14:textId="77777777" w:rsidR="00F728DC" w:rsidRPr="00FC6F34" w:rsidRDefault="00F728DC" w:rsidP="00F728DC">
      <w:pPr>
        <w:rPr>
          <w:lang w:val="es-ES"/>
        </w:rPr>
      </w:pPr>
    </w:p>
    <w:p w14:paraId="31942D88" w14:textId="190E7D5C" w:rsidR="00F728DC" w:rsidRPr="00A27102" w:rsidRDefault="002D504E" w:rsidP="00F728DC">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5BEBFACD" wp14:editId="07017626">
            <wp:extent cx="3670300" cy="1423554"/>
            <wp:effectExtent l="0" t="0" r="6350" b="571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891299" cy="15092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728DC" w:rsidRPr="00A27102" w14:paraId="17139CE4" w14:textId="77777777" w:rsidTr="00A5204D">
        <w:trPr>
          <w:trHeight w:val="315"/>
        </w:trPr>
        <w:tc>
          <w:tcPr>
            <w:tcW w:w="893" w:type="dxa"/>
            <w:vAlign w:val="center"/>
            <w:hideMark/>
          </w:tcPr>
          <w:p w14:paraId="1CA395BF" w14:textId="77777777" w:rsidR="00F728DC" w:rsidRPr="00A27102" w:rsidRDefault="00F728DC" w:rsidP="00A5204D">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AB483F9" w14:textId="77777777" w:rsidR="00F728DC" w:rsidRPr="00A27102" w:rsidRDefault="00F728DC" w:rsidP="00A5204D">
            <w:pPr>
              <w:contextualSpacing/>
              <w:rPr>
                <w:rFonts w:ascii="Verdana" w:hAnsi="Verdana"/>
                <w:sz w:val="16"/>
                <w:szCs w:val="16"/>
              </w:rPr>
            </w:pPr>
            <w:r w:rsidRPr="00A27102">
              <w:rPr>
                <w:rFonts w:ascii="Verdana" w:hAnsi="Verdana"/>
                <w:sz w:val="16"/>
                <w:szCs w:val="16"/>
              </w:rPr>
              <w:t>Tatiana Baquero Iguarán</w:t>
            </w:r>
          </w:p>
          <w:p w14:paraId="0A37BB28" w14:textId="77777777" w:rsidR="00F728DC" w:rsidRPr="00A27102" w:rsidRDefault="00F728DC" w:rsidP="00A5204D">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F728DC" w:rsidRPr="00A27102" w14:paraId="41D44A1C" w14:textId="77777777" w:rsidTr="00A5204D">
        <w:trPr>
          <w:trHeight w:val="330"/>
        </w:trPr>
        <w:tc>
          <w:tcPr>
            <w:tcW w:w="893" w:type="dxa"/>
            <w:vAlign w:val="center"/>
            <w:hideMark/>
          </w:tcPr>
          <w:p w14:paraId="66768282" w14:textId="77777777" w:rsidR="00F728DC" w:rsidRPr="00A27102" w:rsidRDefault="00F728DC" w:rsidP="00A5204D">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B79B175" w14:textId="77777777" w:rsidR="00F728DC" w:rsidRPr="00A27102" w:rsidRDefault="00F728DC" w:rsidP="00A5204D">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3699B57D" w14:textId="77777777" w:rsidR="00F728DC" w:rsidRPr="00A27102" w:rsidRDefault="00F728DC" w:rsidP="00A5204D">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F728DC" w:rsidRPr="00A27102" w14:paraId="039A2F2D" w14:textId="77777777" w:rsidTr="00A5204D">
        <w:trPr>
          <w:trHeight w:val="300"/>
        </w:trPr>
        <w:tc>
          <w:tcPr>
            <w:tcW w:w="893" w:type="dxa"/>
            <w:vAlign w:val="center"/>
          </w:tcPr>
          <w:p w14:paraId="082BFBE0" w14:textId="77777777" w:rsidR="00F728DC" w:rsidRPr="00A27102" w:rsidRDefault="00F728DC" w:rsidP="00A5204D">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A6A82D7" w14:textId="77777777" w:rsidR="00F728DC" w:rsidRPr="00A27102" w:rsidRDefault="00F728DC" w:rsidP="00A5204D">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Carolina Quintero Gacharná</w:t>
            </w:r>
          </w:p>
          <w:p w14:paraId="032A2A02" w14:textId="77777777" w:rsidR="00F728DC" w:rsidRPr="00A27102" w:rsidRDefault="00F728DC" w:rsidP="00A5204D">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4D10776A" w14:textId="77777777" w:rsidR="00F728DC" w:rsidRPr="00A27102" w:rsidRDefault="00F728DC" w:rsidP="00F728DC"/>
    <w:p w14:paraId="0BC1F278" w14:textId="77777777" w:rsidR="00F728DC" w:rsidRPr="00927895" w:rsidRDefault="00F728DC" w:rsidP="00F728DC"/>
    <w:sectPr w:rsidR="00F728DC" w:rsidRPr="0092789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37192" w14:textId="77777777" w:rsidR="009E0141" w:rsidRDefault="009E0141" w:rsidP="004A1847">
      <w:pPr>
        <w:spacing w:after="0" w:line="240" w:lineRule="auto"/>
      </w:pPr>
      <w:r>
        <w:separator/>
      </w:r>
    </w:p>
  </w:endnote>
  <w:endnote w:type="continuationSeparator" w:id="0">
    <w:p w14:paraId="390417D4" w14:textId="77777777" w:rsidR="009E0141" w:rsidRDefault="009E0141" w:rsidP="004A1847">
      <w:pPr>
        <w:spacing w:after="0" w:line="240" w:lineRule="auto"/>
      </w:pPr>
      <w:r>
        <w:continuationSeparator/>
      </w:r>
    </w:p>
  </w:endnote>
  <w:endnote w:type="continuationNotice" w:id="1">
    <w:p w14:paraId="0D7527CF" w14:textId="77777777" w:rsidR="009E0141" w:rsidRDefault="009E01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B55F9" w14:textId="77777777" w:rsidR="009E0141" w:rsidRDefault="009E0141" w:rsidP="004A1847">
      <w:pPr>
        <w:spacing w:after="0" w:line="240" w:lineRule="auto"/>
      </w:pPr>
      <w:r>
        <w:separator/>
      </w:r>
    </w:p>
  </w:footnote>
  <w:footnote w:type="continuationSeparator" w:id="0">
    <w:p w14:paraId="340ABC2F" w14:textId="77777777" w:rsidR="009E0141" w:rsidRDefault="009E0141" w:rsidP="004A1847">
      <w:pPr>
        <w:spacing w:after="0" w:line="240" w:lineRule="auto"/>
      </w:pPr>
      <w:r>
        <w:continuationSeparator/>
      </w:r>
    </w:p>
  </w:footnote>
  <w:footnote w:type="continuationNotice" w:id="1">
    <w:p w14:paraId="6E2004DB" w14:textId="77777777" w:rsidR="009E0141" w:rsidRDefault="009E0141">
      <w:pPr>
        <w:spacing w:after="0" w:line="240" w:lineRule="auto"/>
      </w:pPr>
    </w:p>
  </w:footnote>
  <w:footnote w:id="2">
    <w:p w14:paraId="2675993C" w14:textId="77777777" w:rsidR="00F728DC" w:rsidRPr="0016660C" w:rsidRDefault="00F728DC" w:rsidP="00F728DC">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8846C57" w14:textId="77777777" w:rsidR="00F728DC" w:rsidRPr="0016660C" w:rsidRDefault="00F728DC" w:rsidP="00F728DC">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5B3CFB67" w14:textId="77777777" w:rsidR="00F728DC" w:rsidRPr="0016660C" w:rsidRDefault="00F728DC" w:rsidP="00F728DC">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4">
    <w:p w14:paraId="4D85884B" w14:textId="77777777" w:rsidR="00F728DC" w:rsidRPr="0016660C" w:rsidRDefault="00F728DC" w:rsidP="00F728DC">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Monroy Cabra.</w:t>
      </w:r>
    </w:p>
  </w:footnote>
  <w:footnote w:id="5">
    <w:p w14:paraId="16CA71FA" w14:textId="77777777" w:rsidR="00F728DC" w:rsidRPr="0016660C" w:rsidRDefault="00F728DC" w:rsidP="00F728DC">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6F83374B" w14:textId="77777777" w:rsidR="00F728DC" w:rsidRPr="0016660C" w:rsidRDefault="00F728DC" w:rsidP="00F728DC">
      <w:pPr>
        <w:pStyle w:val="Textonotapie"/>
        <w:ind w:firstLine="709"/>
        <w:contextualSpacing/>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17ED3049" w14:textId="77777777" w:rsidR="00F728DC" w:rsidRPr="0016660C" w:rsidRDefault="00F728DC" w:rsidP="00F728DC">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8">
    <w:p w14:paraId="016213B3" w14:textId="77777777" w:rsidR="00F728DC" w:rsidRPr="0016660C" w:rsidRDefault="00F728DC" w:rsidP="00F728DC">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A9A6FD4" w14:textId="77777777" w:rsidR="00F728DC" w:rsidRPr="0016660C" w:rsidRDefault="00F728DC" w:rsidP="00F728DC">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9">
    <w:p w14:paraId="01C0DB88" w14:textId="77777777" w:rsidR="00F728DC" w:rsidRPr="0016660C" w:rsidRDefault="00F728DC" w:rsidP="00F728DC">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5EB2A245" w14:textId="77777777" w:rsidR="00F728DC" w:rsidRPr="0016660C" w:rsidRDefault="00F728DC" w:rsidP="00F728DC">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10">
    <w:p w14:paraId="0608198F" w14:textId="77777777" w:rsidR="00F728DC" w:rsidRPr="0016660C" w:rsidRDefault="00F728DC" w:rsidP="00F728DC">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7FC945A2" w14:textId="77777777" w:rsidR="00F728DC" w:rsidRPr="0016660C" w:rsidRDefault="00F728DC" w:rsidP="00F728DC">
      <w:pPr>
        <w:pStyle w:val="Textonotapie"/>
        <w:ind w:firstLine="708"/>
        <w:contextualSpacing/>
        <w:jc w:val="both"/>
        <w:rPr>
          <w:rFonts w:ascii="Verdana" w:hAnsi="Verdana"/>
          <w:sz w:val="16"/>
          <w:szCs w:val="16"/>
          <w:lang w:val="es-ES"/>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eastAsia="Calibri" w:hAnsi="Verdana" w:cs="Arial"/>
          <w:sz w:val="16"/>
          <w:szCs w:val="16"/>
          <w:lang w:val="es-ES"/>
        </w:rPr>
        <w:t xml:space="preserve">Consejo de Estado, Sala de Consulta y Servicio Civil, Concepto de fecha 8 de mayo de 2018, No. </w:t>
      </w:r>
      <w:r w:rsidRPr="0016660C">
        <w:rPr>
          <w:rFonts w:ascii="Verdana" w:hAnsi="Verdana"/>
          <w:sz w:val="16"/>
          <w:szCs w:val="16"/>
          <w:lang w:val="es-CO"/>
        </w:rPr>
        <w:t>2382.</w:t>
      </w:r>
      <w:r w:rsidRPr="0016660C">
        <w:rPr>
          <w:rFonts w:ascii="Verdana" w:hAnsi="Verdana"/>
          <w:sz w:val="16"/>
          <w:szCs w:val="16"/>
        </w:rPr>
        <w:t xml:space="preserve"> </w:t>
      </w:r>
      <w:r w:rsidRPr="0016660C">
        <w:rPr>
          <w:rFonts w:ascii="Verdana" w:hAnsi="Verdana"/>
          <w:sz w:val="16"/>
          <w:szCs w:val="16"/>
          <w:lang w:val="es-CO"/>
        </w:rPr>
        <w:t>C. P. Álvaro Namén Vargas.</w:t>
      </w:r>
    </w:p>
  </w:footnote>
  <w:footnote w:id="12">
    <w:p w14:paraId="67814B04" w14:textId="77777777" w:rsidR="00F728DC" w:rsidRPr="0016660C" w:rsidRDefault="00F728DC" w:rsidP="00F728DC">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3">
    <w:p w14:paraId="6627B955" w14:textId="77777777" w:rsidR="00F728DC" w:rsidRDefault="00F728DC" w:rsidP="00F728DC">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4">
    <w:p w14:paraId="1CFDECC4" w14:textId="77777777" w:rsidR="00F728DC" w:rsidRPr="0016660C" w:rsidRDefault="00F728DC" w:rsidP="00F728DC">
      <w:pPr>
        <w:pStyle w:val="Textonotapie"/>
        <w:ind w:right="51"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5">
    <w:p w14:paraId="5470CA7B" w14:textId="77777777" w:rsidR="00F728DC" w:rsidRPr="0016660C" w:rsidRDefault="00F728DC" w:rsidP="00F728DC">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6">
    <w:p w14:paraId="0614C221" w14:textId="77777777" w:rsidR="00F728DC" w:rsidRPr="0016660C" w:rsidRDefault="00F728DC" w:rsidP="00F728DC">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7">
    <w:p w14:paraId="65681F9D" w14:textId="77777777" w:rsidR="00F728DC" w:rsidRPr="0016660C" w:rsidRDefault="00F728DC" w:rsidP="00F728DC">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8">
    <w:p w14:paraId="6691A9A4" w14:textId="77777777" w:rsidR="00F728DC" w:rsidRPr="0016660C" w:rsidRDefault="00F728DC" w:rsidP="00F728DC">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footnote>
  <w:footnote w:id="19">
    <w:p w14:paraId="7D25F016" w14:textId="77777777" w:rsidR="00F728DC" w:rsidRPr="00383494" w:rsidRDefault="00F728DC" w:rsidP="00F728DC">
      <w:pPr>
        <w:pStyle w:val="Textonotapie"/>
        <w:ind w:firstLine="709"/>
        <w:jc w:val="both"/>
        <w:rPr>
          <w:rFonts w:ascii="Verdana" w:eastAsia="Calibri" w:hAnsi="Verdana" w:cs="Arial"/>
          <w:bCs/>
          <w:color w:val="000000"/>
          <w:sz w:val="14"/>
          <w:szCs w:val="14"/>
          <w:lang w:val="es-CO"/>
        </w:rPr>
      </w:pPr>
      <w:r w:rsidRPr="00383494">
        <w:rPr>
          <w:rStyle w:val="Refdenotaalpie"/>
          <w:rFonts w:ascii="Verdana" w:hAnsi="Verdana"/>
          <w:sz w:val="14"/>
          <w:szCs w:val="14"/>
        </w:rPr>
        <w:footnoteRef/>
      </w:r>
      <w:r w:rsidRPr="00383494">
        <w:rPr>
          <w:rFonts w:ascii="Verdana" w:hAnsi="Verdana"/>
          <w:sz w:val="14"/>
          <w:szCs w:val="14"/>
        </w:rPr>
        <w:t xml:space="preserve"> </w:t>
      </w:r>
      <w:r w:rsidRPr="00383494">
        <w:rPr>
          <w:rFonts w:ascii="Verdana" w:hAnsi="Verdana"/>
          <w:bCs/>
          <w:color w:val="000000"/>
          <w:sz w:val="14"/>
          <w:szCs w:val="14"/>
          <w:lang w:val="es-CO"/>
        </w:rPr>
        <w:t>Es pertinente señalar que, aunque son más comunes en la contratación entre entidades</w:t>
      </w:r>
      <w:r w:rsidRPr="00383494">
        <w:rPr>
          <w:rFonts w:ascii="Verdana" w:hAnsi="Verdana"/>
          <w:bCs/>
          <w:strike/>
          <w:color w:val="000000"/>
          <w:sz w:val="14"/>
          <w:szCs w:val="14"/>
          <w:lang w:val="es-CO"/>
        </w:rPr>
        <w:t xml:space="preserve"> </w:t>
      </w:r>
      <w:r w:rsidRPr="00383494">
        <w:rPr>
          <w:rFonts w:ascii="Verdana" w:hAnsi="Verdana"/>
          <w:bCs/>
          <w:color w:val="000000"/>
          <w:sz w:val="14"/>
          <w:szCs w:val="14"/>
          <w:lang w:val="es-CO"/>
        </w:rPr>
        <w:t xml:space="preserve">públicas, no se descarta esta noción como aplicable a otros convenios que realice la entidad en el marco de sus atribuciones legales y de conformidad con lo establecido en la Ley. </w:t>
      </w:r>
    </w:p>
  </w:footnote>
  <w:footnote w:id="20">
    <w:p w14:paraId="33787155" w14:textId="77777777" w:rsidR="00F728DC" w:rsidRPr="00383494" w:rsidRDefault="00F728DC" w:rsidP="00F728DC">
      <w:pPr>
        <w:pStyle w:val="Textonotapie"/>
        <w:ind w:firstLine="709"/>
        <w:rPr>
          <w:sz w:val="14"/>
          <w:szCs w:val="14"/>
          <w:lang w:val="es-CO"/>
        </w:rPr>
      </w:pPr>
      <w:r w:rsidRPr="00383494">
        <w:rPr>
          <w:rStyle w:val="Refdenotaalpie"/>
          <w:sz w:val="14"/>
          <w:szCs w:val="14"/>
        </w:rPr>
        <w:footnoteRef/>
      </w:r>
      <w:r w:rsidRPr="00383494">
        <w:rPr>
          <w:sz w:val="14"/>
          <w:szCs w:val="14"/>
        </w:rPr>
        <w:t xml:space="preserve"> </w:t>
      </w:r>
      <w:r w:rsidRPr="00383494">
        <w:rPr>
          <w:rFonts w:ascii="Verdana" w:hAnsi="Verdana" w:cs="Arial"/>
          <w:sz w:val="14"/>
          <w:szCs w:val="14"/>
        </w:rPr>
        <w:t xml:space="preserve">Consejo de Estado -Sección Tercera-. Sentencia del </w:t>
      </w:r>
      <w:r w:rsidRPr="00383494">
        <w:rPr>
          <w:rFonts w:ascii="Verdana" w:hAnsi="Verdana" w:cs="Arial"/>
          <w:bCs/>
          <w:iCs/>
          <w:sz w:val="14"/>
          <w:szCs w:val="14"/>
        </w:rPr>
        <w:t>11 de julio de 2025. Radicación Número: 72.252. CP: José Roberto Sáchica Méndez.</w:t>
      </w:r>
    </w:p>
  </w:footnote>
  <w:footnote w:id="21">
    <w:p w14:paraId="2EA08EBD" w14:textId="77777777" w:rsidR="00F728DC" w:rsidRPr="00383494" w:rsidRDefault="00F728DC" w:rsidP="00F728DC">
      <w:pPr>
        <w:pStyle w:val="Textonotapie"/>
        <w:ind w:firstLine="709"/>
        <w:jc w:val="both"/>
        <w:rPr>
          <w:rFonts w:ascii="Verdana" w:hAnsi="Verdana"/>
          <w:sz w:val="14"/>
          <w:szCs w:val="14"/>
          <w:lang w:val="es-CO"/>
        </w:rPr>
      </w:pPr>
      <w:r w:rsidRPr="00383494">
        <w:rPr>
          <w:rStyle w:val="Refdenotaalpie"/>
          <w:rFonts w:ascii="Verdana" w:hAnsi="Verdana"/>
          <w:sz w:val="14"/>
          <w:szCs w:val="14"/>
        </w:rPr>
        <w:footnoteRef/>
      </w:r>
      <w:r w:rsidRPr="00383494">
        <w:rPr>
          <w:rFonts w:ascii="Verdana" w:hAnsi="Verdana"/>
          <w:sz w:val="14"/>
          <w:szCs w:val="14"/>
        </w:rPr>
        <w:t xml:space="preserve"> </w:t>
      </w:r>
      <w:r w:rsidRPr="00383494">
        <w:rPr>
          <w:rFonts w:ascii="Verdana" w:hAnsi="Verdana"/>
          <w:sz w:val="14"/>
          <w:szCs w:val="14"/>
          <w:lang w:val="es-CO"/>
        </w:rPr>
        <w:t>Laudo arbitral del 8 de febrero de 2016. A.S. Ingenieria Puntual S.A.S. Vs. Perenco Oil And Gas Colombia Limited.</w:t>
      </w:r>
    </w:p>
    <w:p w14:paraId="6090BFBA" w14:textId="77777777" w:rsidR="00F728DC" w:rsidRPr="00383494" w:rsidRDefault="00F728DC" w:rsidP="00F728DC">
      <w:pPr>
        <w:pStyle w:val="Textonotapie"/>
        <w:rPr>
          <w:rFonts w:ascii="Verdana" w:hAnsi="Verdana"/>
          <w:sz w:val="14"/>
          <w:szCs w:val="14"/>
          <w:lang w:val="es-CO"/>
        </w:rPr>
      </w:pPr>
    </w:p>
  </w:footnote>
  <w:footnote w:id="22">
    <w:p w14:paraId="2C181EF5" w14:textId="77777777" w:rsidR="00F728DC" w:rsidRDefault="00F728DC" w:rsidP="00F728DC">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Consejo de Estado. Sala de Consulta y Servicio Civil. Concepto del 24 de julio de 2013. Consejero Ponente: Álvaro Namén Vargas. Número interno: 2166.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5B2"/>
    <w:rsid w:val="000037FA"/>
    <w:rsid w:val="0000638F"/>
    <w:rsid w:val="00012144"/>
    <w:rsid w:val="00014CF2"/>
    <w:rsid w:val="00016F78"/>
    <w:rsid w:val="00022D0A"/>
    <w:rsid w:val="00025859"/>
    <w:rsid w:val="00032636"/>
    <w:rsid w:val="00034F14"/>
    <w:rsid w:val="00037D0B"/>
    <w:rsid w:val="00044408"/>
    <w:rsid w:val="00046945"/>
    <w:rsid w:val="00061B2A"/>
    <w:rsid w:val="00073BF5"/>
    <w:rsid w:val="000771F0"/>
    <w:rsid w:val="000800AC"/>
    <w:rsid w:val="00082362"/>
    <w:rsid w:val="0008513D"/>
    <w:rsid w:val="00085D81"/>
    <w:rsid w:val="00086D90"/>
    <w:rsid w:val="00095522"/>
    <w:rsid w:val="000A683E"/>
    <w:rsid w:val="000B19B9"/>
    <w:rsid w:val="000B3801"/>
    <w:rsid w:val="000C6630"/>
    <w:rsid w:val="000D0334"/>
    <w:rsid w:val="000D092C"/>
    <w:rsid w:val="000D3BF9"/>
    <w:rsid w:val="000E1B4F"/>
    <w:rsid w:val="000E2D1A"/>
    <w:rsid w:val="000E4620"/>
    <w:rsid w:val="000F6486"/>
    <w:rsid w:val="00104697"/>
    <w:rsid w:val="00110454"/>
    <w:rsid w:val="00114F95"/>
    <w:rsid w:val="00116EDE"/>
    <w:rsid w:val="00124CBC"/>
    <w:rsid w:val="00125105"/>
    <w:rsid w:val="00127233"/>
    <w:rsid w:val="0014165C"/>
    <w:rsid w:val="001454C6"/>
    <w:rsid w:val="00150BFF"/>
    <w:rsid w:val="001512F4"/>
    <w:rsid w:val="00153204"/>
    <w:rsid w:val="00160E5D"/>
    <w:rsid w:val="001622F7"/>
    <w:rsid w:val="00167B36"/>
    <w:rsid w:val="00193FFF"/>
    <w:rsid w:val="00194B53"/>
    <w:rsid w:val="001A326C"/>
    <w:rsid w:val="001A70DA"/>
    <w:rsid w:val="001A79A5"/>
    <w:rsid w:val="001C27C7"/>
    <w:rsid w:val="001C3B9A"/>
    <w:rsid w:val="001C4ADB"/>
    <w:rsid w:val="001C7B22"/>
    <w:rsid w:val="001D3A49"/>
    <w:rsid w:val="001E39A2"/>
    <w:rsid w:val="001E3D06"/>
    <w:rsid w:val="001E4177"/>
    <w:rsid w:val="001E5236"/>
    <w:rsid w:val="001E5A46"/>
    <w:rsid w:val="001E5AD4"/>
    <w:rsid w:val="001F002F"/>
    <w:rsid w:val="001F0253"/>
    <w:rsid w:val="001F5A10"/>
    <w:rsid w:val="001F7DC6"/>
    <w:rsid w:val="002067F5"/>
    <w:rsid w:val="00210741"/>
    <w:rsid w:val="002125C8"/>
    <w:rsid w:val="002146D6"/>
    <w:rsid w:val="0022048C"/>
    <w:rsid w:val="002227FB"/>
    <w:rsid w:val="00222B1F"/>
    <w:rsid w:val="00222B46"/>
    <w:rsid w:val="0022574A"/>
    <w:rsid w:val="002421BB"/>
    <w:rsid w:val="00243685"/>
    <w:rsid w:val="00257118"/>
    <w:rsid w:val="0025796E"/>
    <w:rsid w:val="00260785"/>
    <w:rsid w:val="002705E0"/>
    <w:rsid w:val="002707A2"/>
    <w:rsid w:val="00273A02"/>
    <w:rsid w:val="002740FF"/>
    <w:rsid w:val="00274A9E"/>
    <w:rsid w:val="00275581"/>
    <w:rsid w:val="00280EFB"/>
    <w:rsid w:val="00283F8C"/>
    <w:rsid w:val="0028677B"/>
    <w:rsid w:val="00287CFF"/>
    <w:rsid w:val="0029347E"/>
    <w:rsid w:val="002951A0"/>
    <w:rsid w:val="002962BC"/>
    <w:rsid w:val="002A093D"/>
    <w:rsid w:val="002A0DD0"/>
    <w:rsid w:val="002A49AC"/>
    <w:rsid w:val="002A64FD"/>
    <w:rsid w:val="002B205C"/>
    <w:rsid w:val="002B25E0"/>
    <w:rsid w:val="002B2AB8"/>
    <w:rsid w:val="002C7A84"/>
    <w:rsid w:val="002D0559"/>
    <w:rsid w:val="002D504E"/>
    <w:rsid w:val="002D66EC"/>
    <w:rsid w:val="002E4FD9"/>
    <w:rsid w:val="002E740E"/>
    <w:rsid w:val="002F1143"/>
    <w:rsid w:val="00317467"/>
    <w:rsid w:val="00322A85"/>
    <w:rsid w:val="00324168"/>
    <w:rsid w:val="003242C3"/>
    <w:rsid w:val="00330994"/>
    <w:rsid w:val="00340517"/>
    <w:rsid w:val="003448F4"/>
    <w:rsid w:val="003518DE"/>
    <w:rsid w:val="00352506"/>
    <w:rsid w:val="00363F80"/>
    <w:rsid w:val="0037004C"/>
    <w:rsid w:val="00373094"/>
    <w:rsid w:val="00374F5E"/>
    <w:rsid w:val="00377E3E"/>
    <w:rsid w:val="00380CCD"/>
    <w:rsid w:val="00380E25"/>
    <w:rsid w:val="003A10B0"/>
    <w:rsid w:val="003A779E"/>
    <w:rsid w:val="003B6ABF"/>
    <w:rsid w:val="003C1AA8"/>
    <w:rsid w:val="003C7700"/>
    <w:rsid w:val="003D0F4D"/>
    <w:rsid w:val="003D180E"/>
    <w:rsid w:val="003D5B0D"/>
    <w:rsid w:val="003D7039"/>
    <w:rsid w:val="003E0499"/>
    <w:rsid w:val="003F3941"/>
    <w:rsid w:val="00402BA2"/>
    <w:rsid w:val="00406575"/>
    <w:rsid w:val="00411102"/>
    <w:rsid w:val="00414C74"/>
    <w:rsid w:val="00426310"/>
    <w:rsid w:val="0042722E"/>
    <w:rsid w:val="00430AEE"/>
    <w:rsid w:val="00440D75"/>
    <w:rsid w:val="00441B42"/>
    <w:rsid w:val="00442E6D"/>
    <w:rsid w:val="0044528D"/>
    <w:rsid w:val="00452F94"/>
    <w:rsid w:val="004550CD"/>
    <w:rsid w:val="00463393"/>
    <w:rsid w:val="0046511B"/>
    <w:rsid w:val="004739C7"/>
    <w:rsid w:val="0047421D"/>
    <w:rsid w:val="00486687"/>
    <w:rsid w:val="0049167A"/>
    <w:rsid w:val="00493D36"/>
    <w:rsid w:val="004A0628"/>
    <w:rsid w:val="004A1847"/>
    <w:rsid w:val="004A305D"/>
    <w:rsid w:val="004A30C9"/>
    <w:rsid w:val="004A4952"/>
    <w:rsid w:val="004C040C"/>
    <w:rsid w:val="004C751A"/>
    <w:rsid w:val="004D22F7"/>
    <w:rsid w:val="004E4C40"/>
    <w:rsid w:val="004E7FAE"/>
    <w:rsid w:val="004F21C4"/>
    <w:rsid w:val="004F364D"/>
    <w:rsid w:val="004F6478"/>
    <w:rsid w:val="004F685F"/>
    <w:rsid w:val="00503786"/>
    <w:rsid w:val="00516129"/>
    <w:rsid w:val="005169C2"/>
    <w:rsid w:val="005301FB"/>
    <w:rsid w:val="005317FE"/>
    <w:rsid w:val="00535EC6"/>
    <w:rsid w:val="005566E8"/>
    <w:rsid w:val="005576FC"/>
    <w:rsid w:val="00560352"/>
    <w:rsid w:val="00574867"/>
    <w:rsid w:val="005830F1"/>
    <w:rsid w:val="00591460"/>
    <w:rsid w:val="0059160A"/>
    <w:rsid w:val="00596962"/>
    <w:rsid w:val="005972A9"/>
    <w:rsid w:val="005A36ED"/>
    <w:rsid w:val="005A4205"/>
    <w:rsid w:val="005C1345"/>
    <w:rsid w:val="005C3777"/>
    <w:rsid w:val="005C409D"/>
    <w:rsid w:val="005C5CDC"/>
    <w:rsid w:val="005C692A"/>
    <w:rsid w:val="005D1521"/>
    <w:rsid w:val="005D476C"/>
    <w:rsid w:val="005D6497"/>
    <w:rsid w:val="005E4DF7"/>
    <w:rsid w:val="005E7883"/>
    <w:rsid w:val="005F45D7"/>
    <w:rsid w:val="005F6411"/>
    <w:rsid w:val="006123C9"/>
    <w:rsid w:val="006157C1"/>
    <w:rsid w:val="00615AA5"/>
    <w:rsid w:val="00620D70"/>
    <w:rsid w:val="006219F8"/>
    <w:rsid w:val="006253D4"/>
    <w:rsid w:val="00625A56"/>
    <w:rsid w:val="006302F7"/>
    <w:rsid w:val="00640803"/>
    <w:rsid w:val="0064149B"/>
    <w:rsid w:val="0066305C"/>
    <w:rsid w:val="00665D70"/>
    <w:rsid w:val="006713F3"/>
    <w:rsid w:val="00675C09"/>
    <w:rsid w:val="00680407"/>
    <w:rsid w:val="00680E31"/>
    <w:rsid w:val="00682D45"/>
    <w:rsid w:val="006900D9"/>
    <w:rsid w:val="00690228"/>
    <w:rsid w:val="006A60AE"/>
    <w:rsid w:val="006A760C"/>
    <w:rsid w:val="006B063C"/>
    <w:rsid w:val="006B54D1"/>
    <w:rsid w:val="006B7447"/>
    <w:rsid w:val="006E051E"/>
    <w:rsid w:val="006E1FD3"/>
    <w:rsid w:val="006F33E3"/>
    <w:rsid w:val="006F4526"/>
    <w:rsid w:val="0070052E"/>
    <w:rsid w:val="00706C16"/>
    <w:rsid w:val="00722D0F"/>
    <w:rsid w:val="00730C53"/>
    <w:rsid w:val="007327A0"/>
    <w:rsid w:val="00737252"/>
    <w:rsid w:val="00742264"/>
    <w:rsid w:val="00751D89"/>
    <w:rsid w:val="007562F6"/>
    <w:rsid w:val="00756841"/>
    <w:rsid w:val="00756ADB"/>
    <w:rsid w:val="007649AB"/>
    <w:rsid w:val="00771D0C"/>
    <w:rsid w:val="0077551B"/>
    <w:rsid w:val="007813F7"/>
    <w:rsid w:val="007833AC"/>
    <w:rsid w:val="007967DC"/>
    <w:rsid w:val="007A0E99"/>
    <w:rsid w:val="007A347D"/>
    <w:rsid w:val="007A4265"/>
    <w:rsid w:val="007A4B29"/>
    <w:rsid w:val="007A7952"/>
    <w:rsid w:val="007B268C"/>
    <w:rsid w:val="007B7171"/>
    <w:rsid w:val="007C0C0F"/>
    <w:rsid w:val="007C3DC2"/>
    <w:rsid w:val="007C6AE0"/>
    <w:rsid w:val="007D4A91"/>
    <w:rsid w:val="007D6FE2"/>
    <w:rsid w:val="007D795B"/>
    <w:rsid w:val="007E5497"/>
    <w:rsid w:val="007E5BB4"/>
    <w:rsid w:val="007F10FB"/>
    <w:rsid w:val="007F24DD"/>
    <w:rsid w:val="007F33F9"/>
    <w:rsid w:val="007F4A1F"/>
    <w:rsid w:val="00806F5F"/>
    <w:rsid w:val="00820278"/>
    <w:rsid w:val="00823AC6"/>
    <w:rsid w:val="008259CF"/>
    <w:rsid w:val="00825F17"/>
    <w:rsid w:val="008339F3"/>
    <w:rsid w:val="0083573A"/>
    <w:rsid w:val="00842812"/>
    <w:rsid w:val="00842E4F"/>
    <w:rsid w:val="00844717"/>
    <w:rsid w:val="00852168"/>
    <w:rsid w:val="00854D37"/>
    <w:rsid w:val="00867F95"/>
    <w:rsid w:val="00875B07"/>
    <w:rsid w:val="008843B6"/>
    <w:rsid w:val="0088442B"/>
    <w:rsid w:val="0088688C"/>
    <w:rsid w:val="00886D64"/>
    <w:rsid w:val="00891928"/>
    <w:rsid w:val="008937A4"/>
    <w:rsid w:val="00897A3A"/>
    <w:rsid w:val="008A446D"/>
    <w:rsid w:val="008B3B0A"/>
    <w:rsid w:val="008C4E48"/>
    <w:rsid w:val="008D180B"/>
    <w:rsid w:val="008D4A0E"/>
    <w:rsid w:val="008D7289"/>
    <w:rsid w:val="008E4A24"/>
    <w:rsid w:val="008F0EA7"/>
    <w:rsid w:val="008F4A45"/>
    <w:rsid w:val="008F7B5D"/>
    <w:rsid w:val="00901B4F"/>
    <w:rsid w:val="00903345"/>
    <w:rsid w:val="00923EEF"/>
    <w:rsid w:val="00923EFF"/>
    <w:rsid w:val="00927895"/>
    <w:rsid w:val="00937849"/>
    <w:rsid w:val="009419F9"/>
    <w:rsid w:val="00942490"/>
    <w:rsid w:val="009448A1"/>
    <w:rsid w:val="00944C59"/>
    <w:rsid w:val="0095685E"/>
    <w:rsid w:val="00961B09"/>
    <w:rsid w:val="00965334"/>
    <w:rsid w:val="0097093E"/>
    <w:rsid w:val="0097371E"/>
    <w:rsid w:val="0097674C"/>
    <w:rsid w:val="00980D80"/>
    <w:rsid w:val="0098326D"/>
    <w:rsid w:val="00985C60"/>
    <w:rsid w:val="009877E9"/>
    <w:rsid w:val="009879EA"/>
    <w:rsid w:val="0099029B"/>
    <w:rsid w:val="00993CBB"/>
    <w:rsid w:val="00997373"/>
    <w:rsid w:val="009A0DFA"/>
    <w:rsid w:val="009A6E12"/>
    <w:rsid w:val="009B25A8"/>
    <w:rsid w:val="009B2D26"/>
    <w:rsid w:val="009C1DAD"/>
    <w:rsid w:val="009C71FA"/>
    <w:rsid w:val="009C72E7"/>
    <w:rsid w:val="009D273D"/>
    <w:rsid w:val="009D3058"/>
    <w:rsid w:val="009D774D"/>
    <w:rsid w:val="009E0141"/>
    <w:rsid w:val="009E4BFA"/>
    <w:rsid w:val="009F3A13"/>
    <w:rsid w:val="00A0159D"/>
    <w:rsid w:val="00A01788"/>
    <w:rsid w:val="00A03407"/>
    <w:rsid w:val="00A07365"/>
    <w:rsid w:val="00A1080A"/>
    <w:rsid w:val="00A119E3"/>
    <w:rsid w:val="00A11BEB"/>
    <w:rsid w:val="00A122D3"/>
    <w:rsid w:val="00A12B5E"/>
    <w:rsid w:val="00A1443D"/>
    <w:rsid w:val="00A17F13"/>
    <w:rsid w:val="00A20739"/>
    <w:rsid w:val="00A20CB1"/>
    <w:rsid w:val="00A26574"/>
    <w:rsid w:val="00A33C78"/>
    <w:rsid w:val="00A43251"/>
    <w:rsid w:val="00A46FA6"/>
    <w:rsid w:val="00A56975"/>
    <w:rsid w:val="00A76106"/>
    <w:rsid w:val="00A869CD"/>
    <w:rsid w:val="00AA4151"/>
    <w:rsid w:val="00AB0ADB"/>
    <w:rsid w:val="00AB3F13"/>
    <w:rsid w:val="00AC7D5A"/>
    <w:rsid w:val="00AC7E32"/>
    <w:rsid w:val="00AE3BAD"/>
    <w:rsid w:val="00AE7D7A"/>
    <w:rsid w:val="00AF133B"/>
    <w:rsid w:val="00AF33D9"/>
    <w:rsid w:val="00AF5434"/>
    <w:rsid w:val="00AF7609"/>
    <w:rsid w:val="00B00C0E"/>
    <w:rsid w:val="00B01B1A"/>
    <w:rsid w:val="00B13179"/>
    <w:rsid w:val="00B44A47"/>
    <w:rsid w:val="00B44B98"/>
    <w:rsid w:val="00B55D09"/>
    <w:rsid w:val="00B64A68"/>
    <w:rsid w:val="00B72CD3"/>
    <w:rsid w:val="00B72FFF"/>
    <w:rsid w:val="00B801E0"/>
    <w:rsid w:val="00BB4946"/>
    <w:rsid w:val="00BC3586"/>
    <w:rsid w:val="00BC3D36"/>
    <w:rsid w:val="00BC67D4"/>
    <w:rsid w:val="00BC6BD6"/>
    <w:rsid w:val="00BD218B"/>
    <w:rsid w:val="00BD7F72"/>
    <w:rsid w:val="00BF306B"/>
    <w:rsid w:val="00BF367C"/>
    <w:rsid w:val="00BF408C"/>
    <w:rsid w:val="00C00508"/>
    <w:rsid w:val="00C04FB3"/>
    <w:rsid w:val="00C14B99"/>
    <w:rsid w:val="00C27077"/>
    <w:rsid w:val="00C3283C"/>
    <w:rsid w:val="00C330EB"/>
    <w:rsid w:val="00C45727"/>
    <w:rsid w:val="00C65BAD"/>
    <w:rsid w:val="00C66CFF"/>
    <w:rsid w:val="00C73141"/>
    <w:rsid w:val="00C748B3"/>
    <w:rsid w:val="00C754BE"/>
    <w:rsid w:val="00C76B1C"/>
    <w:rsid w:val="00C77EA5"/>
    <w:rsid w:val="00C8362E"/>
    <w:rsid w:val="00C961B8"/>
    <w:rsid w:val="00CB6357"/>
    <w:rsid w:val="00CC1B26"/>
    <w:rsid w:val="00CC3A0C"/>
    <w:rsid w:val="00CD3419"/>
    <w:rsid w:val="00CD39C7"/>
    <w:rsid w:val="00CD4B40"/>
    <w:rsid w:val="00CE3D2F"/>
    <w:rsid w:val="00CF0E56"/>
    <w:rsid w:val="00CF4F4C"/>
    <w:rsid w:val="00D15328"/>
    <w:rsid w:val="00D24803"/>
    <w:rsid w:val="00D369A0"/>
    <w:rsid w:val="00D423A2"/>
    <w:rsid w:val="00D47D3D"/>
    <w:rsid w:val="00D520CE"/>
    <w:rsid w:val="00D520D8"/>
    <w:rsid w:val="00D53A36"/>
    <w:rsid w:val="00D60BA2"/>
    <w:rsid w:val="00D62DB1"/>
    <w:rsid w:val="00D63AC2"/>
    <w:rsid w:val="00D7163F"/>
    <w:rsid w:val="00D71DB7"/>
    <w:rsid w:val="00D7383B"/>
    <w:rsid w:val="00D87836"/>
    <w:rsid w:val="00D912B2"/>
    <w:rsid w:val="00D94438"/>
    <w:rsid w:val="00D946B0"/>
    <w:rsid w:val="00DA1601"/>
    <w:rsid w:val="00DA231B"/>
    <w:rsid w:val="00DA4565"/>
    <w:rsid w:val="00DB3980"/>
    <w:rsid w:val="00DC39FC"/>
    <w:rsid w:val="00DD1135"/>
    <w:rsid w:val="00DD566D"/>
    <w:rsid w:val="00DD5702"/>
    <w:rsid w:val="00DE22E1"/>
    <w:rsid w:val="00DE72C0"/>
    <w:rsid w:val="00DF00B7"/>
    <w:rsid w:val="00DF5254"/>
    <w:rsid w:val="00E0661A"/>
    <w:rsid w:val="00E07945"/>
    <w:rsid w:val="00E1179D"/>
    <w:rsid w:val="00E16408"/>
    <w:rsid w:val="00E20894"/>
    <w:rsid w:val="00E245AB"/>
    <w:rsid w:val="00E2764C"/>
    <w:rsid w:val="00E27F2E"/>
    <w:rsid w:val="00E34BEA"/>
    <w:rsid w:val="00E40B3B"/>
    <w:rsid w:val="00E50AFE"/>
    <w:rsid w:val="00E52901"/>
    <w:rsid w:val="00E652CA"/>
    <w:rsid w:val="00E66717"/>
    <w:rsid w:val="00E66AD4"/>
    <w:rsid w:val="00E75C92"/>
    <w:rsid w:val="00E771DC"/>
    <w:rsid w:val="00E82811"/>
    <w:rsid w:val="00E87434"/>
    <w:rsid w:val="00E8772A"/>
    <w:rsid w:val="00E90495"/>
    <w:rsid w:val="00E90F6B"/>
    <w:rsid w:val="00E92C27"/>
    <w:rsid w:val="00E94C79"/>
    <w:rsid w:val="00E96322"/>
    <w:rsid w:val="00EA0C68"/>
    <w:rsid w:val="00EA0E3D"/>
    <w:rsid w:val="00EB0AA1"/>
    <w:rsid w:val="00EB3E46"/>
    <w:rsid w:val="00EC227B"/>
    <w:rsid w:val="00EC38A7"/>
    <w:rsid w:val="00EC679A"/>
    <w:rsid w:val="00ED20B8"/>
    <w:rsid w:val="00ED5FD4"/>
    <w:rsid w:val="00ED66F4"/>
    <w:rsid w:val="00EE17D8"/>
    <w:rsid w:val="00EE1AA8"/>
    <w:rsid w:val="00EE44AA"/>
    <w:rsid w:val="00EF1EE0"/>
    <w:rsid w:val="00EF2181"/>
    <w:rsid w:val="00F00473"/>
    <w:rsid w:val="00F146F4"/>
    <w:rsid w:val="00F1796B"/>
    <w:rsid w:val="00F20EBE"/>
    <w:rsid w:val="00F2346B"/>
    <w:rsid w:val="00F31EDC"/>
    <w:rsid w:val="00F36228"/>
    <w:rsid w:val="00F41A63"/>
    <w:rsid w:val="00F41CF9"/>
    <w:rsid w:val="00F462B3"/>
    <w:rsid w:val="00F502D3"/>
    <w:rsid w:val="00F52FD5"/>
    <w:rsid w:val="00F5664F"/>
    <w:rsid w:val="00F60A2F"/>
    <w:rsid w:val="00F628BB"/>
    <w:rsid w:val="00F629B6"/>
    <w:rsid w:val="00F663FB"/>
    <w:rsid w:val="00F666C4"/>
    <w:rsid w:val="00F728DC"/>
    <w:rsid w:val="00F752BC"/>
    <w:rsid w:val="00F76AFC"/>
    <w:rsid w:val="00F923E5"/>
    <w:rsid w:val="00F95342"/>
    <w:rsid w:val="00F97A4F"/>
    <w:rsid w:val="00FA47C0"/>
    <w:rsid w:val="00FA74F9"/>
    <w:rsid w:val="00FB5DD1"/>
    <w:rsid w:val="00FB76DE"/>
    <w:rsid w:val="00FC2B5D"/>
    <w:rsid w:val="00FD2AE6"/>
    <w:rsid w:val="00FE6593"/>
    <w:rsid w:val="00FF1449"/>
    <w:rsid w:val="00FF6E5B"/>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8F43A54-EBE6-E045-BD46-C5AD2082C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2B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27895"/>
    <w:pPr>
      <w:spacing w:line="240" w:lineRule="exact"/>
    </w:pPr>
    <w:rPr>
      <w:vertAlign w:val="superscript"/>
    </w:rPr>
  </w:style>
  <w:style w:type="character" w:customStyle="1" w:styleId="baj">
    <w:name w:val="b_aj"/>
    <w:basedOn w:val="Fuentedeprrafopredeter"/>
    <w:rsid w:val="00927895"/>
  </w:style>
  <w:style w:type="character" w:customStyle="1" w:styleId="NormalWebCar">
    <w:name w:val="Normal (Web) Car"/>
    <w:link w:val="NormalWeb"/>
    <w:uiPriority w:val="99"/>
    <w:locked/>
    <w:rsid w:val="00927895"/>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2789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20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isa@cis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8AA3217-32F5-4050-8A97-63B507DA8025}">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66C43499-8034-4C1C-8698-B5CAFEA29D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19</Pages>
  <Words>6370</Words>
  <Characters>34846</Characters>
  <Application>Microsoft Office Word</Application>
  <DocSecurity>0</DocSecurity>
  <Lines>670</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11</cp:revision>
  <cp:lastPrinted>2023-01-10T18:18:00Z</cp:lastPrinted>
  <dcterms:created xsi:type="dcterms:W3CDTF">2025-12-02T04:17:00Z</dcterms:created>
  <dcterms:modified xsi:type="dcterms:W3CDTF">2025-12-02T14:23:00Z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