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B5C2B" w14:textId="77777777" w:rsidR="00636B5B" w:rsidRPr="00073A28" w:rsidRDefault="00636B5B" w:rsidP="00636B5B">
      <w:pPr>
        <w:jc w:val="both"/>
        <w:rPr>
          <w:rFonts w:ascii="Verdana" w:eastAsia="Geomanist Light" w:hAnsi="Verdana" w:cs="Arial"/>
          <w:b/>
          <w:bCs/>
        </w:rPr>
      </w:pPr>
      <w:r w:rsidRPr="00073A28">
        <w:rPr>
          <w:rFonts w:ascii="Verdana" w:eastAsia="Geomanist Light" w:hAnsi="Verdana" w:cs="Arial"/>
          <w:b/>
          <w:bCs/>
        </w:rPr>
        <w:t>INTERVENTORÍA – Características</w:t>
      </w:r>
    </w:p>
    <w:p w14:paraId="538BBBCE" w14:textId="77777777" w:rsidR="00636B5B" w:rsidRPr="00301457" w:rsidRDefault="00636B5B" w:rsidP="00636B5B">
      <w:pPr>
        <w:jc w:val="both"/>
        <w:rPr>
          <w:rFonts w:ascii="Verdana" w:eastAsia="Geomanist Light" w:hAnsi="Verdana" w:cs="Arial"/>
          <w:sz w:val="20"/>
          <w:szCs w:val="20"/>
        </w:rPr>
      </w:pPr>
      <w:r w:rsidRPr="00301457">
        <w:rPr>
          <w:rFonts w:ascii="Verdana" w:eastAsia="Geomanist Light" w:hAnsi="Verdana" w:cs="Arial"/>
          <w:sz w:val="20"/>
          <w:szCs w:val="20"/>
        </w:rPr>
        <w:t xml:space="preserve">La interventoría: i) será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301457">
        <w:rPr>
          <w:rFonts w:ascii="Verdana" w:eastAsia="Geomanist Light" w:hAnsi="Verdana" w:cs="Arial"/>
          <w:sz w:val="20"/>
          <w:szCs w:val="20"/>
        </w:rPr>
        <w:t>del mismo</w:t>
      </w:r>
      <w:proofErr w:type="gramEnd"/>
      <w:r w:rsidRPr="00301457">
        <w:rPr>
          <w:rFonts w:ascii="Verdana" w:eastAsia="Geomanist Light" w:hAnsi="Verdana" w:cs="Arial"/>
          <w:sz w:val="20"/>
          <w:szCs w:val="20"/>
        </w:rPr>
        <w:t xml:space="preserve"> lo justifiquen” ‒art. 83, Ley 1474 de 2011‒. </w:t>
      </w:r>
      <w:proofErr w:type="spellStart"/>
      <w:r w:rsidRPr="00301457">
        <w:rPr>
          <w:rFonts w:ascii="Verdana" w:eastAsia="Geomanist Light" w:hAnsi="Verdana" w:cs="Arial"/>
          <w:sz w:val="20"/>
          <w:szCs w:val="20"/>
        </w:rPr>
        <w:t>ii</w:t>
      </w:r>
      <w:proofErr w:type="spellEnd"/>
      <w:r w:rsidRPr="00301457">
        <w:rPr>
          <w:rFonts w:ascii="Verdana" w:eastAsia="Geomanist Light" w:hAnsi="Verdana" w:cs="Arial"/>
          <w:sz w:val="20"/>
          <w:szCs w:val="20"/>
        </w:rPr>
        <w:t xml:space="preserve">) Este mecanismo de vigilancia exige, en su ejecución, la utilización de conocimientos especializados. </w:t>
      </w:r>
      <w:proofErr w:type="spellStart"/>
      <w:r w:rsidRPr="00301457">
        <w:rPr>
          <w:rFonts w:ascii="Verdana" w:eastAsia="Geomanist Light" w:hAnsi="Verdana" w:cs="Arial"/>
          <w:sz w:val="20"/>
          <w:szCs w:val="20"/>
        </w:rPr>
        <w:t>iii</w:t>
      </w:r>
      <w:proofErr w:type="spellEnd"/>
      <w:r w:rsidRPr="00301457">
        <w:rPr>
          <w:rFonts w:ascii="Verdana" w:eastAsia="Geomanist Light" w:hAnsi="Verdana" w:cs="Arial"/>
          <w:sz w:val="20"/>
          <w:szCs w:val="20"/>
        </w:rPr>
        <w:t xml:space="preserve">) Por lo anterior, la entidad contrata un experto a través de un concurso de méritos, al tratarse la interventoría de una especie del contrato de consultoría ‒art. 32, numeral 2, inciso 2, Ley 80 de 1993 ‒, de manera que la interventoría es realizada por una “persona natural o jurídica contratada para tal fin por la Entidad Estatal” ‒art. 83, Ley 1474‒. </w:t>
      </w:r>
      <w:proofErr w:type="spellStart"/>
      <w:r w:rsidRPr="00301457">
        <w:rPr>
          <w:rFonts w:ascii="Verdana" w:eastAsia="Geomanist Light" w:hAnsi="Verdana" w:cs="Arial"/>
          <w:sz w:val="20"/>
          <w:szCs w:val="20"/>
        </w:rPr>
        <w:t>iv</w:t>
      </w:r>
      <w:proofErr w:type="spellEnd"/>
      <w:r w:rsidRPr="00301457">
        <w:rPr>
          <w:rFonts w:ascii="Verdana" w:eastAsia="Geomanist Light" w:hAnsi="Verdana" w:cs="Arial"/>
          <w:sz w:val="20"/>
          <w:szCs w:val="20"/>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32B0B41D" w14:textId="77777777" w:rsidR="00636B5B" w:rsidRDefault="00636B5B" w:rsidP="00636B5B">
      <w:pPr>
        <w:jc w:val="both"/>
        <w:rPr>
          <w:rFonts w:ascii="Verdana" w:eastAsia="Geomanist Light" w:hAnsi="Verdana" w:cs="Arial"/>
          <w:b/>
          <w:bCs/>
        </w:rPr>
      </w:pPr>
      <w:r>
        <w:rPr>
          <w:rFonts w:ascii="Verdana" w:eastAsia="Geomanist Light" w:hAnsi="Verdana" w:cs="Arial"/>
          <w:b/>
          <w:bCs/>
        </w:rPr>
        <w:t xml:space="preserve">PLAZO DEL CONTRATO DE INTERVENTORÍA </w:t>
      </w:r>
      <w:r w:rsidRPr="00301457">
        <w:rPr>
          <w:rFonts w:ascii="Verdana" w:eastAsia="Geomanist Light" w:hAnsi="Verdana" w:cs="Arial"/>
          <w:b/>
          <w:bCs/>
          <w:lang w:val="es-ES"/>
        </w:rPr>
        <w:t>–</w:t>
      </w:r>
      <w:r>
        <w:rPr>
          <w:rFonts w:ascii="Verdana" w:eastAsia="Geomanist Light" w:hAnsi="Verdana" w:cs="Arial"/>
          <w:b/>
          <w:bCs/>
        </w:rPr>
        <w:t xml:space="preserve"> Duración del término del contrato de obra</w:t>
      </w:r>
    </w:p>
    <w:p w14:paraId="3FFA940D" w14:textId="77777777" w:rsidR="00636B5B" w:rsidRDefault="00636B5B" w:rsidP="00636B5B">
      <w:pPr>
        <w:spacing w:after="0" w:line="276" w:lineRule="auto"/>
        <w:jc w:val="both"/>
        <w:rPr>
          <w:rFonts w:ascii="Verdana" w:hAnsi="Verdana" w:cs="Arial"/>
          <w:color w:val="000000" w:themeColor="text1"/>
          <w:sz w:val="20"/>
          <w:szCs w:val="20"/>
          <w:lang w:val="es-ES"/>
        </w:rPr>
      </w:pPr>
      <w:r w:rsidRPr="000266DF">
        <w:rPr>
          <w:rFonts w:ascii="Verdana" w:hAnsi="Verdana" w:cs="Arial"/>
          <w:color w:val="000000" w:themeColor="text1"/>
          <w:sz w:val="20"/>
          <w:szCs w:val="20"/>
          <w:lang w:val="es-ES"/>
        </w:rPr>
        <w:t>De conformidad con el artículo 32 de la Ley 80 de 1993, los contratos de interventoría constituyen una modalidad de contrato de consultoría, cuyo objeto consiste en realizar el seguimiento técnico, administrativo, financiero, contable y jurídico de la ejecución de un contrato estatal. A su vez, el artículo 83 de la Ley 1474 de 2011 dispone que las entidades públicas están obligadas a vigilar permanentemente la correcta ejecución del objeto contratado, y que dicha vigilancia deberá ejercerse mediante supervisión o interventoría, según corresponda.</w:t>
      </w:r>
    </w:p>
    <w:p w14:paraId="0B0E968F" w14:textId="77777777" w:rsidR="00636B5B" w:rsidRPr="000266DF" w:rsidRDefault="00636B5B" w:rsidP="00636B5B">
      <w:pPr>
        <w:spacing w:after="0" w:line="276" w:lineRule="auto"/>
        <w:jc w:val="both"/>
        <w:rPr>
          <w:rFonts w:ascii="Verdana" w:hAnsi="Verdana" w:cs="Arial"/>
          <w:color w:val="000000" w:themeColor="text1"/>
          <w:sz w:val="20"/>
          <w:szCs w:val="20"/>
          <w:lang w:val="es-ES"/>
        </w:rPr>
      </w:pPr>
    </w:p>
    <w:p w14:paraId="49B2ABA3" w14:textId="77777777" w:rsidR="00636B5B" w:rsidRDefault="00636B5B" w:rsidP="00636B5B">
      <w:pPr>
        <w:spacing w:after="0" w:line="276" w:lineRule="auto"/>
        <w:jc w:val="both"/>
        <w:rPr>
          <w:rFonts w:ascii="Verdana" w:hAnsi="Verdana" w:cs="Arial"/>
          <w:color w:val="000000" w:themeColor="text1"/>
          <w:sz w:val="20"/>
          <w:szCs w:val="20"/>
          <w:lang w:val="es-ES"/>
        </w:rPr>
      </w:pPr>
      <w:r w:rsidRPr="000266DF">
        <w:rPr>
          <w:rFonts w:ascii="Verdana" w:hAnsi="Verdana" w:cs="Arial"/>
          <w:color w:val="000000" w:themeColor="text1"/>
          <w:sz w:val="20"/>
          <w:szCs w:val="20"/>
          <w:lang w:val="es-ES"/>
        </w:rPr>
        <w:t>Por su parte, el artículo 53 de la Ley 80 de 1993 dispone que los consultores, asesores e interventores responderán civil, fiscal y penalmente por los hechos y omisiones que les sean imputables. Esta disposición delimita con claridad que el deber de vigilancia y control se ejerce durante la ejecución del contrato objeto de interventoría, es decir, mientras el contrato principal se encuentra en curso.</w:t>
      </w:r>
    </w:p>
    <w:p w14:paraId="666F7530" w14:textId="77777777" w:rsidR="00636B5B" w:rsidRPr="000266DF" w:rsidRDefault="00636B5B" w:rsidP="00636B5B">
      <w:pPr>
        <w:spacing w:after="0" w:line="276" w:lineRule="auto"/>
        <w:jc w:val="both"/>
        <w:rPr>
          <w:rFonts w:ascii="Verdana" w:hAnsi="Verdana" w:cs="Arial"/>
          <w:color w:val="000000" w:themeColor="text1"/>
          <w:sz w:val="20"/>
          <w:szCs w:val="20"/>
          <w:lang w:val="es-ES"/>
        </w:rPr>
      </w:pPr>
    </w:p>
    <w:p w14:paraId="5CEF9EA2" w14:textId="77777777" w:rsidR="00636B5B" w:rsidRDefault="00636B5B" w:rsidP="00636B5B">
      <w:pPr>
        <w:spacing w:after="0" w:line="276" w:lineRule="auto"/>
        <w:jc w:val="both"/>
        <w:rPr>
          <w:rFonts w:ascii="Verdana" w:hAnsi="Verdana" w:cs="Arial"/>
          <w:color w:val="000000" w:themeColor="text1"/>
          <w:sz w:val="20"/>
          <w:szCs w:val="20"/>
          <w:lang w:val="es-ES"/>
        </w:rPr>
      </w:pPr>
      <w:r w:rsidRPr="000266DF">
        <w:rPr>
          <w:rFonts w:ascii="Verdana" w:hAnsi="Verdana" w:cs="Arial"/>
          <w:color w:val="000000" w:themeColor="text1"/>
          <w:sz w:val="20"/>
          <w:szCs w:val="20"/>
          <w:lang w:val="es-ES"/>
        </w:rPr>
        <w:t xml:space="preserve">En consecuencia, no se precisa que la interventoría se extienda más allá del período de ejecución del contrato de obra, por cuanto la ley delimita su objeto y alcance a la vigilancia durante la ejecución contractual. En efecto, el artículo 32 de la Ley 80 de 1993 define la interventoría como una modalidad de consultoría orientada al seguimiento </w:t>
      </w:r>
      <w:r w:rsidRPr="000266DF">
        <w:rPr>
          <w:rFonts w:ascii="Verdana" w:hAnsi="Verdana" w:cs="Arial"/>
          <w:color w:val="000000" w:themeColor="text1"/>
          <w:sz w:val="20"/>
          <w:szCs w:val="20"/>
          <w:lang w:val="es-ES"/>
        </w:rPr>
        <w:lastRenderedPageBreak/>
        <w:t>técnico, administrativo, financiero, contable y jurídico de la ejecución del contrato estatal.</w:t>
      </w:r>
    </w:p>
    <w:p w14:paraId="6FA591C7" w14:textId="77777777" w:rsidR="00636B5B" w:rsidRPr="000266DF" w:rsidRDefault="00636B5B" w:rsidP="00636B5B">
      <w:pPr>
        <w:spacing w:after="0" w:line="276" w:lineRule="auto"/>
        <w:jc w:val="both"/>
        <w:rPr>
          <w:rFonts w:ascii="Verdana" w:hAnsi="Verdana" w:cs="Arial"/>
          <w:color w:val="000000" w:themeColor="text1"/>
          <w:sz w:val="20"/>
          <w:szCs w:val="20"/>
          <w:lang w:val="es-ES"/>
        </w:rPr>
      </w:pPr>
    </w:p>
    <w:p w14:paraId="3DD672D5" w14:textId="77777777" w:rsidR="00636B5B" w:rsidRPr="000266DF" w:rsidRDefault="00636B5B" w:rsidP="00636B5B">
      <w:pPr>
        <w:spacing w:after="0" w:line="276" w:lineRule="auto"/>
        <w:jc w:val="both"/>
        <w:rPr>
          <w:rFonts w:ascii="Verdana" w:hAnsi="Verdana" w:cs="Arial"/>
          <w:color w:val="000000" w:themeColor="text1"/>
          <w:sz w:val="20"/>
          <w:szCs w:val="20"/>
          <w:lang w:val="es-ES"/>
        </w:rPr>
      </w:pPr>
      <w:r w:rsidRPr="000266DF">
        <w:rPr>
          <w:rFonts w:ascii="Verdana" w:hAnsi="Verdana" w:cs="Arial"/>
          <w:color w:val="000000" w:themeColor="text1"/>
          <w:sz w:val="20"/>
          <w:szCs w:val="20"/>
          <w:lang w:val="es-ES"/>
        </w:rPr>
        <w:t>En el evento en que se presente la liquidación del  contrato de interventoría sin haberse logrado la liquidación del contrato de obra, corresponderá a la entidad estatal determinar, conforme a las particularidades del caso concreto y a los principios de planeación y responsabilidad, los mecanismos alternativos que permitan garantizar el cumplimiento del deber legal de vigilancia y control para garantizar la liquidación del contrato vigilado, bien sea a través de un supervisor designado para tal efecto.</w:t>
      </w:r>
    </w:p>
    <w:p w14:paraId="670032D0" w14:textId="77777777" w:rsidR="00636B5B" w:rsidRDefault="00636B5B" w:rsidP="00636B5B">
      <w:pPr>
        <w:spacing w:after="0" w:line="276" w:lineRule="auto"/>
        <w:jc w:val="both"/>
        <w:rPr>
          <w:rFonts w:ascii="Verdana" w:hAnsi="Verdana" w:cs="Arial"/>
          <w:color w:val="000000" w:themeColor="text1"/>
          <w:sz w:val="20"/>
          <w:szCs w:val="20"/>
          <w:lang w:val="es-ES"/>
        </w:rPr>
      </w:pPr>
      <w:r w:rsidRPr="000266DF">
        <w:rPr>
          <w:rFonts w:ascii="Verdana" w:hAnsi="Verdana" w:cs="Arial"/>
          <w:color w:val="000000" w:themeColor="text1"/>
          <w:sz w:val="20"/>
          <w:szCs w:val="20"/>
          <w:lang w:val="es-ES"/>
        </w:rPr>
        <w:t>En todo caso, debe recordarse que todo contrato de obra cuenta con un supervisor designado por la entidad, quien, en virtud de lo dispuesto en el artículo 83 de la Ley 1474 de 2011, es responsable de ejercer el seguimiento de ley sobre dicho contrato y velar porque se mantenga el control técnico, financiero y administrativo que exige la normativa.</w:t>
      </w:r>
    </w:p>
    <w:p w14:paraId="0DAA42D0" w14:textId="77777777" w:rsidR="00636B5B" w:rsidRPr="000266DF" w:rsidRDefault="00636B5B" w:rsidP="00636B5B">
      <w:pPr>
        <w:spacing w:after="0" w:line="276" w:lineRule="auto"/>
        <w:jc w:val="both"/>
        <w:rPr>
          <w:rFonts w:ascii="Verdana" w:hAnsi="Verdana" w:cs="Arial"/>
          <w:color w:val="000000" w:themeColor="text1"/>
          <w:sz w:val="20"/>
          <w:szCs w:val="20"/>
          <w:lang w:val="es-ES"/>
        </w:rPr>
      </w:pPr>
    </w:p>
    <w:p w14:paraId="57D1D298" w14:textId="77777777" w:rsidR="00636B5B" w:rsidRDefault="00636B5B" w:rsidP="00636B5B">
      <w:pPr>
        <w:spacing w:after="0" w:line="276" w:lineRule="auto"/>
        <w:jc w:val="both"/>
        <w:rPr>
          <w:rFonts w:ascii="Verdana" w:hAnsi="Verdana" w:cs="Arial"/>
          <w:color w:val="000000" w:themeColor="text1"/>
          <w:sz w:val="20"/>
          <w:szCs w:val="20"/>
          <w:lang w:val="es-ES"/>
        </w:rPr>
      </w:pPr>
      <w:r w:rsidRPr="000266DF">
        <w:rPr>
          <w:rFonts w:ascii="Verdana" w:hAnsi="Verdana" w:cs="Arial"/>
          <w:color w:val="000000" w:themeColor="text1"/>
          <w:sz w:val="20"/>
          <w:szCs w:val="20"/>
          <w:lang w:val="es-ES"/>
        </w:rPr>
        <w:t>En consecuencia, será responsabilidad de la entidad estatal adoptar las medidas necesarias para cumplir las disposiciones legales que ordenan mantener la vigilancia permanente sobre la ejecución del contrato de obra, evitando vacíos en el control contractual y posibles riesgos de detrimento patrimonial o hallazgos fiscales.</w:t>
      </w:r>
    </w:p>
    <w:p w14:paraId="2788F16E" w14:textId="77777777" w:rsidR="00636B5B" w:rsidRPr="00301457" w:rsidRDefault="00636B5B" w:rsidP="00636B5B">
      <w:pPr>
        <w:spacing w:after="0" w:line="276" w:lineRule="auto"/>
        <w:jc w:val="both"/>
        <w:rPr>
          <w:rFonts w:ascii="Verdana" w:hAnsi="Verdana" w:cs="Arial"/>
          <w:color w:val="000000" w:themeColor="text1"/>
          <w:sz w:val="20"/>
          <w:szCs w:val="20"/>
          <w:lang w:val="es-ES"/>
        </w:rPr>
      </w:pPr>
    </w:p>
    <w:p w14:paraId="4BA2C521" w14:textId="77777777" w:rsidR="00636B5B" w:rsidRPr="00073A28" w:rsidRDefault="00636B5B" w:rsidP="00636B5B">
      <w:pPr>
        <w:jc w:val="both"/>
        <w:rPr>
          <w:rFonts w:ascii="Verdana" w:eastAsia="Geomanist Light" w:hAnsi="Verdana" w:cs="Arial"/>
          <w:b/>
          <w:bCs/>
        </w:rPr>
      </w:pPr>
      <w:r w:rsidRPr="00073A28">
        <w:rPr>
          <w:rFonts w:ascii="Verdana" w:eastAsia="Geomanist Light" w:hAnsi="Verdana" w:cs="Arial"/>
          <w:b/>
          <w:bCs/>
        </w:rPr>
        <w:t xml:space="preserve">LIQUIDACIÓN DEL CONTRATO – Definición – Objetivo </w:t>
      </w:r>
    </w:p>
    <w:p w14:paraId="3E71575C" w14:textId="77777777" w:rsidR="00636B5B" w:rsidRPr="00301457" w:rsidRDefault="00636B5B" w:rsidP="00636B5B">
      <w:pPr>
        <w:jc w:val="both"/>
        <w:rPr>
          <w:rFonts w:ascii="Verdana" w:eastAsia="Geomanist Light" w:hAnsi="Verdana" w:cs="Arial"/>
          <w:sz w:val="20"/>
          <w:szCs w:val="20"/>
        </w:rPr>
      </w:pPr>
      <w:r w:rsidRPr="00301457">
        <w:rPr>
          <w:rFonts w:ascii="Verdana" w:eastAsia="Geomanist Light" w:hAnsi="Verdana" w:cs="Arial"/>
          <w:sz w:val="20"/>
          <w:szCs w:val="20"/>
        </w:rPr>
        <w:t xml:space="preserve">La liquidación es el momento en el cual, una vez concluido el contrato estatal, las partes cruzan cuentas respecto de sus obligaciones. El objetivo de la liquidación es determinar si las partes pueden declararse a paz y salvo mutuo, o si existen obligaciones por cumplir, y con ocasión de aquella se puede acordar la forma en que deben ser cumplidas. </w:t>
      </w:r>
    </w:p>
    <w:p w14:paraId="1D312C21" w14:textId="77777777" w:rsidR="00636B5B" w:rsidRPr="00073A28" w:rsidRDefault="00636B5B" w:rsidP="00636B5B">
      <w:pPr>
        <w:jc w:val="both"/>
        <w:rPr>
          <w:rFonts w:ascii="Verdana" w:eastAsia="Geomanist Light" w:hAnsi="Verdana" w:cs="Arial"/>
          <w:b/>
          <w:bCs/>
        </w:rPr>
      </w:pPr>
      <w:r w:rsidRPr="00073A28">
        <w:rPr>
          <w:rFonts w:ascii="Verdana" w:eastAsia="Geomanist Light" w:hAnsi="Verdana" w:cs="Arial"/>
          <w:b/>
          <w:bCs/>
        </w:rPr>
        <w:t xml:space="preserve">LIQUIDACIÓN DEL CONTRATO – </w:t>
      </w:r>
      <w:r>
        <w:rPr>
          <w:rFonts w:ascii="Verdana" w:eastAsia="Geomanist Light" w:hAnsi="Verdana" w:cs="Arial"/>
          <w:b/>
          <w:bCs/>
        </w:rPr>
        <w:t>Judicial</w:t>
      </w:r>
      <w:r w:rsidRPr="00073A28">
        <w:rPr>
          <w:rFonts w:ascii="Verdana" w:eastAsia="Geomanist Light" w:hAnsi="Verdana" w:cs="Arial"/>
          <w:b/>
          <w:bCs/>
        </w:rPr>
        <w:t xml:space="preserve"> </w:t>
      </w:r>
    </w:p>
    <w:p w14:paraId="0276C150" w14:textId="77777777" w:rsidR="00636B5B" w:rsidRPr="00B2527D" w:rsidRDefault="00636B5B" w:rsidP="00636B5B">
      <w:pPr>
        <w:jc w:val="both"/>
        <w:rPr>
          <w:rFonts w:ascii="Verdana" w:eastAsia="Geomanist Light" w:hAnsi="Verdana" w:cs="Arial"/>
          <w:b/>
          <w:bCs/>
          <w:sz w:val="20"/>
          <w:szCs w:val="20"/>
        </w:rPr>
      </w:pPr>
      <w:r w:rsidRPr="00B2527D">
        <w:rPr>
          <w:rFonts w:ascii="Verdana" w:eastAsia="Calibri" w:hAnsi="Verdana" w:cs="Arial"/>
          <w:sz w:val="20"/>
          <w:szCs w:val="20"/>
        </w:rPr>
        <w:t>La liquidación judicial hace parte de una de las pretensiones que admite el medio de control de controversias contractuales. Al respecto, el artículo 141 de la Ley 1437 de 2011 dispone que “[…] el interesado podrá solicitar la liquidación judicial del contrato cuando esta no se haya logrado de mutuo acuerdo y la entidad estatal no lo haya liquidado unilateralmente dentro de los dos (2) meses siguientes al vencimiento del plazo convenido para liquidar de mutuo acuerdo o, en su defecto, del término establecido por la ley”. Bajo esta perspectiva, para la entidad cesa la facultad de liquidar bilateral o unilateralmente, ya que el tema pasa de la administración a la jurisdicción.</w:t>
      </w:r>
    </w:p>
    <w:p w14:paraId="20E2CCF1" w14:textId="77777777" w:rsidR="00636B5B" w:rsidRPr="00073A28" w:rsidRDefault="00636B5B" w:rsidP="00636B5B">
      <w:pPr>
        <w:jc w:val="both"/>
        <w:rPr>
          <w:rFonts w:ascii="Verdana" w:eastAsia="Geomanist Light" w:hAnsi="Verdana" w:cs="Arial"/>
        </w:rPr>
      </w:pPr>
    </w:p>
    <w:p w14:paraId="37DCF9D8" w14:textId="77777777" w:rsidR="00636B5B" w:rsidRPr="00073A28" w:rsidRDefault="00636B5B" w:rsidP="00636B5B">
      <w:pPr>
        <w:jc w:val="both"/>
        <w:rPr>
          <w:rFonts w:ascii="Verdana" w:eastAsia="Geomanist Light" w:hAnsi="Verdana" w:cs="Arial"/>
        </w:rPr>
      </w:pPr>
    </w:p>
    <w:p w14:paraId="773259A8" w14:textId="77777777" w:rsidR="00B2527D" w:rsidRDefault="00B2527D" w:rsidP="00636B5B">
      <w:pPr>
        <w:jc w:val="both"/>
        <w:rPr>
          <w:rFonts w:ascii="Verdana" w:eastAsia="Geomanist Light" w:hAnsi="Verdana" w:cs="Arial"/>
        </w:rPr>
      </w:pPr>
    </w:p>
    <w:p w14:paraId="3369981B" w14:textId="6A73CAA7" w:rsidR="00636B5B" w:rsidRDefault="00636B5B" w:rsidP="00636B5B">
      <w:pPr>
        <w:jc w:val="both"/>
        <w:rPr>
          <w:rFonts w:ascii="Verdana" w:eastAsia="Geomanist Light" w:hAnsi="Verdana" w:cs="Arial"/>
        </w:rPr>
      </w:pPr>
      <w:r w:rsidRPr="00073A28">
        <w:rPr>
          <w:rFonts w:ascii="Verdana" w:eastAsia="Geomanist Light" w:hAnsi="Verdana" w:cs="Arial"/>
        </w:rPr>
        <w:lastRenderedPageBreak/>
        <w:t>Bogotá D.C., </w:t>
      </w:r>
      <w:r w:rsidR="003D789D">
        <w:rPr>
          <w:rFonts w:ascii="Verdana" w:eastAsia="Geomanist Light" w:hAnsi="Verdana" w:cs="Arial"/>
        </w:rPr>
        <w:t>2 de diciembre de 2025</w:t>
      </w:r>
    </w:p>
    <w:p w14:paraId="100C8438" w14:textId="2A02817E" w:rsidR="003D789D" w:rsidRDefault="003D789D" w:rsidP="00636B5B">
      <w:pPr>
        <w:jc w:val="both"/>
        <w:rPr>
          <w:rFonts w:ascii="Verdana" w:eastAsia="Geomanist Light" w:hAnsi="Verdana" w:cs="Arial"/>
        </w:rPr>
      </w:pPr>
    </w:p>
    <w:p w14:paraId="699AE586" w14:textId="3D2E85BB" w:rsidR="003D789D" w:rsidRPr="00073A28" w:rsidRDefault="00B2527D" w:rsidP="003D789D">
      <w:pPr>
        <w:jc w:val="right"/>
        <w:rPr>
          <w:rFonts w:ascii="Verdana" w:eastAsia="Calibri" w:hAnsi="Verdana" w:cs="Arial"/>
          <w:lang w:eastAsia="es-ES"/>
        </w:rPr>
      </w:pPr>
      <w:r w:rsidRPr="003D789D">
        <w:rPr>
          <w:rFonts w:ascii="Verdana" w:eastAsia="Calibri" w:hAnsi="Verdana" w:cs="Arial"/>
          <w:noProof/>
          <w:lang w:eastAsia="es-ES"/>
        </w:rPr>
        <w:drawing>
          <wp:anchor distT="0" distB="0" distL="114300" distR="114300" simplePos="0" relativeHeight="251658240" behindDoc="0" locked="0" layoutInCell="1" allowOverlap="1" wp14:anchorId="0CE2571E" wp14:editId="145D9622">
            <wp:simplePos x="0" y="0"/>
            <wp:positionH relativeFrom="margin">
              <wp:align>right</wp:align>
            </wp:positionH>
            <wp:positionV relativeFrom="paragraph">
              <wp:posOffset>96271</wp:posOffset>
            </wp:positionV>
            <wp:extent cx="2682875" cy="751840"/>
            <wp:effectExtent l="0" t="0" r="3175" b="0"/>
            <wp:wrapSquare wrapText="bothSides"/>
            <wp:docPr id="140438973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389739"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682875" cy="751840"/>
                    </a:xfrm>
                    <a:prstGeom prst="rect">
                      <a:avLst/>
                    </a:prstGeom>
                  </pic:spPr>
                </pic:pic>
              </a:graphicData>
            </a:graphic>
            <wp14:sizeRelH relativeFrom="margin">
              <wp14:pctWidth>0</wp14:pctWidth>
            </wp14:sizeRelH>
            <wp14:sizeRelV relativeFrom="margin">
              <wp14:pctHeight>0</wp14:pctHeight>
            </wp14:sizeRelV>
          </wp:anchor>
        </w:drawing>
      </w:r>
    </w:p>
    <w:p w14:paraId="74FD05F8" w14:textId="77777777" w:rsidR="00636B5B" w:rsidRPr="00073A28" w:rsidRDefault="00636B5B" w:rsidP="00636B5B">
      <w:pPr>
        <w:spacing w:after="0" w:line="240" w:lineRule="auto"/>
        <w:jc w:val="both"/>
        <w:rPr>
          <w:rFonts w:ascii="Verdana" w:eastAsia="Calibri" w:hAnsi="Verdana" w:cs="Arial"/>
        </w:rPr>
      </w:pPr>
    </w:p>
    <w:p w14:paraId="29DAE3D8" w14:textId="77777777" w:rsidR="00636B5B" w:rsidRPr="00073A28" w:rsidRDefault="00636B5B" w:rsidP="00636B5B">
      <w:pPr>
        <w:spacing w:after="0" w:line="240" w:lineRule="auto"/>
        <w:jc w:val="both"/>
        <w:rPr>
          <w:rFonts w:ascii="Verdana" w:eastAsia="Calibri" w:hAnsi="Verdana" w:cs="Arial"/>
          <w:lang w:eastAsia="es-ES"/>
        </w:rPr>
      </w:pPr>
      <w:r w:rsidRPr="00073A28">
        <w:rPr>
          <w:rFonts w:ascii="Verdana" w:eastAsia="Calibri" w:hAnsi="Verdana" w:cs="Arial"/>
          <w:lang w:eastAsia="es-ES"/>
        </w:rPr>
        <w:t>Señor</w:t>
      </w:r>
    </w:p>
    <w:p w14:paraId="4D63ACE9" w14:textId="77777777" w:rsidR="00636B5B" w:rsidRPr="00073A28" w:rsidRDefault="00636B5B" w:rsidP="00636B5B">
      <w:pPr>
        <w:spacing w:after="0" w:line="240" w:lineRule="auto"/>
        <w:jc w:val="both"/>
        <w:rPr>
          <w:rFonts w:ascii="Verdana" w:eastAsia="Calibri" w:hAnsi="Verdana" w:cs="Arial"/>
          <w:b/>
          <w:bCs/>
          <w:lang w:eastAsia="es-ES"/>
        </w:rPr>
      </w:pPr>
      <w:r>
        <w:rPr>
          <w:rFonts w:ascii="Verdana" w:eastAsia="Calibri" w:hAnsi="Verdana" w:cs="Arial"/>
          <w:b/>
          <w:bCs/>
          <w:lang w:eastAsia="es-ES"/>
        </w:rPr>
        <w:t>Anónimo</w:t>
      </w:r>
    </w:p>
    <w:p w14:paraId="03ED3F83" w14:textId="77777777" w:rsidR="00636B5B" w:rsidRPr="00073A28" w:rsidRDefault="00636B5B" w:rsidP="00636B5B">
      <w:pPr>
        <w:spacing w:after="0" w:line="240" w:lineRule="auto"/>
        <w:jc w:val="both"/>
        <w:rPr>
          <w:rFonts w:ascii="Verdana" w:eastAsia="Calibri" w:hAnsi="Verdana" w:cs="Arial"/>
          <w:b/>
          <w:bCs/>
          <w:lang w:eastAsia="es-ES"/>
        </w:rPr>
      </w:pPr>
      <w:r>
        <w:rPr>
          <w:rFonts w:ascii="Verdana" w:eastAsia="Calibri" w:hAnsi="Verdana" w:cs="Arial"/>
          <w:lang w:eastAsia="es-ES"/>
        </w:rPr>
        <w:t xml:space="preserve">Ciudad </w:t>
      </w:r>
    </w:p>
    <w:p w14:paraId="02A859A9" w14:textId="77777777" w:rsidR="00636B5B" w:rsidRPr="00073A28" w:rsidRDefault="00636B5B" w:rsidP="00636B5B">
      <w:pPr>
        <w:spacing w:after="0" w:line="240" w:lineRule="auto"/>
        <w:jc w:val="both"/>
        <w:rPr>
          <w:rFonts w:ascii="Verdana" w:eastAsia="Calibri" w:hAnsi="Verdana" w:cs="Arial"/>
          <w:b/>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36B5B" w:rsidRPr="00073A28" w14:paraId="6633CAA4" w14:textId="77777777" w:rsidTr="00A71800">
        <w:trPr>
          <w:trHeight w:val="300"/>
        </w:trPr>
        <w:tc>
          <w:tcPr>
            <w:tcW w:w="2689" w:type="dxa"/>
          </w:tcPr>
          <w:p w14:paraId="0F844B64" w14:textId="77777777" w:rsidR="00636B5B" w:rsidRPr="00073A28" w:rsidRDefault="00636B5B" w:rsidP="00353963">
            <w:pPr>
              <w:jc w:val="both"/>
              <w:rPr>
                <w:rFonts w:ascii="Verdana" w:eastAsia="Calibri" w:hAnsi="Verdana" w:cs="Arial"/>
                <w:b/>
                <w:lang w:eastAsia="es-ES"/>
              </w:rPr>
            </w:pPr>
          </w:p>
        </w:tc>
        <w:tc>
          <w:tcPr>
            <w:tcW w:w="6100" w:type="dxa"/>
          </w:tcPr>
          <w:p w14:paraId="614CE823" w14:textId="77777777" w:rsidR="00636B5B" w:rsidRPr="00073A28" w:rsidRDefault="00636B5B" w:rsidP="00353963">
            <w:pPr>
              <w:jc w:val="both"/>
              <w:rPr>
                <w:rFonts w:ascii="Verdana" w:eastAsia="Calibri" w:hAnsi="Verdana" w:cs="Arial"/>
                <w:b/>
                <w:bCs/>
                <w:lang w:eastAsia="es-ES"/>
              </w:rPr>
            </w:pPr>
            <w:r w:rsidRPr="00073A28">
              <w:rPr>
                <w:rFonts w:ascii="Verdana" w:eastAsia="Calibri" w:hAnsi="Verdana" w:cs="Arial"/>
                <w:b/>
                <w:bCs/>
                <w:lang w:eastAsia="es-ES"/>
              </w:rPr>
              <w:t>Concepto C- 1</w:t>
            </w:r>
            <w:r>
              <w:rPr>
                <w:rFonts w:ascii="Verdana" w:eastAsia="Calibri" w:hAnsi="Verdana" w:cs="Arial"/>
                <w:b/>
                <w:bCs/>
                <w:lang w:eastAsia="es-ES"/>
              </w:rPr>
              <w:t>544</w:t>
            </w:r>
            <w:r w:rsidRPr="00073A28">
              <w:rPr>
                <w:rFonts w:ascii="Verdana" w:eastAsia="Calibri" w:hAnsi="Verdana" w:cs="Arial"/>
                <w:b/>
                <w:bCs/>
                <w:lang w:eastAsia="es-ES"/>
              </w:rPr>
              <w:t xml:space="preserve"> de 2025</w:t>
            </w:r>
          </w:p>
          <w:p w14:paraId="5E726905" w14:textId="77777777" w:rsidR="00636B5B" w:rsidRPr="00073A28" w:rsidRDefault="00636B5B" w:rsidP="00353963">
            <w:pPr>
              <w:jc w:val="both"/>
              <w:rPr>
                <w:rFonts w:ascii="Verdana" w:eastAsia="Calibri" w:hAnsi="Verdana" w:cs="Arial"/>
                <w:b/>
                <w:bCs/>
                <w:lang w:eastAsia="es-ES"/>
              </w:rPr>
            </w:pPr>
          </w:p>
        </w:tc>
      </w:tr>
      <w:tr w:rsidR="00636B5B" w:rsidRPr="00073A28" w14:paraId="6FD208C3" w14:textId="77777777" w:rsidTr="00A71800">
        <w:trPr>
          <w:trHeight w:val="300"/>
        </w:trPr>
        <w:tc>
          <w:tcPr>
            <w:tcW w:w="2689" w:type="dxa"/>
          </w:tcPr>
          <w:p w14:paraId="6BF1F002" w14:textId="77777777" w:rsidR="00636B5B" w:rsidRPr="00073A28" w:rsidRDefault="00636B5B" w:rsidP="00353963">
            <w:pPr>
              <w:jc w:val="both"/>
              <w:rPr>
                <w:rFonts w:ascii="Verdana" w:eastAsia="Calibri" w:hAnsi="Verdana" w:cs="Arial"/>
                <w:lang w:eastAsia="es-ES"/>
              </w:rPr>
            </w:pPr>
            <w:r w:rsidRPr="05FE03FA">
              <w:rPr>
                <w:rFonts w:ascii="Verdana" w:eastAsia="Calibri" w:hAnsi="Verdana" w:cs="Arial"/>
                <w:b/>
                <w:lang w:eastAsia="es-ES"/>
              </w:rPr>
              <w:t>Te</w:t>
            </w:r>
            <w:r>
              <w:rPr>
                <w:rFonts w:ascii="Verdana" w:eastAsia="Calibri" w:hAnsi="Verdana" w:cs="Arial"/>
                <w:b/>
                <w:lang w:eastAsia="es-ES"/>
              </w:rPr>
              <w:t>m</w:t>
            </w:r>
            <w:r w:rsidRPr="05FE03FA">
              <w:rPr>
                <w:rFonts w:ascii="Verdana" w:eastAsia="Calibri" w:hAnsi="Verdana" w:cs="Arial"/>
                <w:b/>
                <w:lang w:eastAsia="es-ES"/>
              </w:rPr>
              <w:t>as:</w:t>
            </w:r>
            <w:r w:rsidRPr="05FE03FA">
              <w:rPr>
                <w:rFonts w:ascii="Verdana" w:eastAsia="Calibri" w:hAnsi="Verdana" w:cs="Arial"/>
                <w:lang w:eastAsia="es-ES"/>
              </w:rPr>
              <w:t xml:space="preserve">                   </w:t>
            </w:r>
          </w:p>
        </w:tc>
        <w:tc>
          <w:tcPr>
            <w:tcW w:w="6100" w:type="dxa"/>
          </w:tcPr>
          <w:p w14:paraId="3B917549" w14:textId="77777777" w:rsidR="00636B5B" w:rsidRPr="00A921B8" w:rsidRDefault="00636B5B" w:rsidP="00353963">
            <w:pPr>
              <w:jc w:val="both"/>
              <w:rPr>
                <w:rFonts w:ascii="Verdana" w:eastAsia="Geomanist Light" w:hAnsi="Verdana" w:cs="Arial"/>
              </w:rPr>
            </w:pPr>
            <w:r w:rsidRPr="00A921B8">
              <w:rPr>
                <w:rFonts w:ascii="Verdana" w:eastAsia="Geomanist Light" w:hAnsi="Verdana" w:cs="Arial"/>
              </w:rPr>
              <w:t>INTERVENTORÍA – Características</w:t>
            </w:r>
            <w:r>
              <w:rPr>
                <w:rFonts w:ascii="Verdana" w:eastAsia="Geomanist Light" w:hAnsi="Verdana" w:cs="Arial"/>
              </w:rPr>
              <w:t xml:space="preserve"> </w:t>
            </w:r>
            <w:r w:rsidRPr="00A921B8">
              <w:rPr>
                <w:rFonts w:ascii="Verdana" w:eastAsia="Geomanist Light" w:hAnsi="Verdana" w:cs="Arial"/>
              </w:rPr>
              <w:t xml:space="preserve">/ </w:t>
            </w:r>
            <w:r w:rsidRPr="00FE233A">
              <w:rPr>
                <w:rFonts w:ascii="Verdana" w:eastAsia="Geomanist Light" w:hAnsi="Verdana" w:cs="Arial"/>
              </w:rPr>
              <w:t>PLAZO DEL CONTRATO DE INTERVENTORÍA – Duración del término del contrato de obra</w:t>
            </w:r>
            <w:r>
              <w:rPr>
                <w:rFonts w:ascii="Verdana" w:eastAsia="Geomanist Light" w:hAnsi="Verdana" w:cs="Arial"/>
              </w:rPr>
              <w:t xml:space="preserve"> </w:t>
            </w:r>
            <w:r w:rsidRPr="00A921B8">
              <w:rPr>
                <w:rFonts w:ascii="Verdana" w:eastAsia="Geomanist Light" w:hAnsi="Verdana" w:cs="Arial"/>
              </w:rPr>
              <w:t>/</w:t>
            </w:r>
            <w:r>
              <w:rPr>
                <w:rFonts w:ascii="Verdana" w:eastAsia="Geomanist Light" w:hAnsi="Verdana" w:cs="Arial"/>
              </w:rPr>
              <w:t xml:space="preserve"> </w:t>
            </w:r>
            <w:r w:rsidRPr="00A921B8">
              <w:rPr>
                <w:rFonts w:ascii="Verdana" w:eastAsia="Geomanist Light" w:hAnsi="Verdana" w:cs="Arial"/>
              </w:rPr>
              <w:t xml:space="preserve">LIQUIDACIÓN DEL CONTRATO – Definición – Objetivo </w:t>
            </w:r>
            <w:r>
              <w:rPr>
                <w:rFonts w:ascii="Verdana" w:eastAsia="Geomanist Light" w:hAnsi="Verdana" w:cs="Arial"/>
              </w:rPr>
              <w:t xml:space="preserve">/ </w:t>
            </w:r>
            <w:r w:rsidRPr="00640A19">
              <w:rPr>
                <w:rFonts w:ascii="Verdana" w:eastAsia="Geomanist Light" w:hAnsi="Verdana" w:cs="Arial"/>
              </w:rPr>
              <w:t>LIQUIDACIÓN DEL CONTRATO – Judicial</w:t>
            </w:r>
          </w:p>
          <w:p w14:paraId="564D5566" w14:textId="77777777" w:rsidR="00636B5B" w:rsidRPr="00073A28" w:rsidRDefault="00636B5B" w:rsidP="00353963">
            <w:pPr>
              <w:spacing w:line="276" w:lineRule="auto"/>
              <w:jc w:val="both"/>
              <w:rPr>
                <w:rFonts w:ascii="Verdana" w:eastAsia="Calibri" w:hAnsi="Verdana" w:cs="Arial"/>
                <w:lang w:eastAsia="es-ES"/>
              </w:rPr>
            </w:pPr>
          </w:p>
        </w:tc>
      </w:tr>
      <w:tr w:rsidR="00636B5B" w:rsidRPr="00073A28" w14:paraId="6074741F" w14:textId="77777777" w:rsidTr="00A71800">
        <w:trPr>
          <w:trHeight w:val="300"/>
        </w:trPr>
        <w:tc>
          <w:tcPr>
            <w:tcW w:w="2689" w:type="dxa"/>
          </w:tcPr>
          <w:p w14:paraId="67A71174" w14:textId="77777777" w:rsidR="00636B5B" w:rsidRPr="00073A28" w:rsidRDefault="00636B5B" w:rsidP="00353963">
            <w:pPr>
              <w:jc w:val="both"/>
              <w:rPr>
                <w:rFonts w:ascii="Verdana" w:eastAsia="Calibri" w:hAnsi="Verdana" w:cs="Arial"/>
                <w:b/>
                <w:lang w:eastAsia="es-ES"/>
              </w:rPr>
            </w:pPr>
            <w:r w:rsidRPr="05FE03FA">
              <w:rPr>
                <w:rFonts w:ascii="Verdana" w:eastAsia="Calibri" w:hAnsi="Verdana" w:cs="Arial"/>
                <w:b/>
                <w:lang w:eastAsia="es-ES"/>
              </w:rPr>
              <w:t>Radicación:</w:t>
            </w:r>
            <w:r w:rsidRPr="05FE03FA">
              <w:rPr>
                <w:rFonts w:ascii="Verdana" w:eastAsia="Calibri" w:hAnsi="Verdana" w:cs="Arial"/>
                <w:lang w:eastAsia="es-ES"/>
              </w:rPr>
              <w:t xml:space="preserve">               </w:t>
            </w:r>
          </w:p>
        </w:tc>
        <w:tc>
          <w:tcPr>
            <w:tcW w:w="6100" w:type="dxa"/>
          </w:tcPr>
          <w:p w14:paraId="0F558FA5" w14:textId="77777777" w:rsidR="00636B5B" w:rsidRPr="00073A28" w:rsidRDefault="00636B5B" w:rsidP="00353963">
            <w:pPr>
              <w:jc w:val="both"/>
              <w:rPr>
                <w:rFonts w:ascii="Verdana" w:eastAsia="Calibri" w:hAnsi="Verdana" w:cs="Arial"/>
                <w:lang w:eastAsia="es-ES"/>
              </w:rPr>
            </w:pPr>
            <w:r w:rsidRPr="05FE03FA">
              <w:rPr>
                <w:rFonts w:ascii="Verdana" w:eastAsia="Calibri" w:hAnsi="Verdana" w:cs="Arial"/>
                <w:lang w:eastAsia="es-ES"/>
              </w:rPr>
              <w:t xml:space="preserve">Respuesta a consulta con radicado No. </w:t>
            </w:r>
            <w:r w:rsidRPr="00A5327A">
              <w:rPr>
                <w:rFonts w:ascii="Verdana" w:eastAsia="Calibri" w:hAnsi="Verdana" w:cs="Arial"/>
                <w:lang w:eastAsia="es-ES"/>
              </w:rPr>
              <w:t>1_2025_10_22_011829</w:t>
            </w:r>
          </w:p>
        </w:tc>
      </w:tr>
    </w:tbl>
    <w:p w14:paraId="6E97B887" w14:textId="77777777" w:rsidR="00636B5B" w:rsidRPr="00073A28" w:rsidRDefault="00636B5B" w:rsidP="00636B5B">
      <w:pPr>
        <w:spacing w:after="0" w:line="240" w:lineRule="auto"/>
        <w:jc w:val="both"/>
        <w:rPr>
          <w:rFonts w:ascii="Verdana" w:eastAsia="Calibri" w:hAnsi="Verdana" w:cs="Arial"/>
          <w:lang w:eastAsia="es-ES"/>
        </w:rPr>
      </w:pPr>
    </w:p>
    <w:p w14:paraId="4D8F0921" w14:textId="77777777" w:rsidR="00636B5B" w:rsidRPr="00073A28" w:rsidRDefault="00636B5B" w:rsidP="00A71800">
      <w:pPr>
        <w:spacing w:after="0" w:line="276" w:lineRule="auto"/>
        <w:jc w:val="both"/>
        <w:rPr>
          <w:rFonts w:ascii="Verdana" w:eastAsia="Calibri" w:hAnsi="Verdana" w:cs="Arial"/>
          <w:lang w:eastAsia="es-ES"/>
        </w:rPr>
      </w:pPr>
    </w:p>
    <w:p w14:paraId="035E1B06" w14:textId="77777777" w:rsidR="00636B5B" w:rsidRPr="00073A28" w:rsidRDefault="00636B5B" w:rsidP="00636B5B">
      <w:pPr>
        <w:spacing w:after="0" w:line="276" w:lineRule="auto"/>
        <w:jc w:val="both"/>
        <w:rPr>
          <w:rFonts w:ascii="Verdana" w:eastAsia="Calibri" w:hAnsi="Verdana" w:cs="Arial"/>
          <w:lang w:eastAsia="es-ES"/>
        </w:rPr>
      </w:pPr>
      <w:r w:rsidRPr="00073A28">
        <w:rPr>
          <w:rFonts w:ascii="Verdana" w:eastAsia="Calibri" w:hAnsi="Verdana" w:cs="Arial"/>
          <w:lang w:eastAsia="es-ES"/>
        </w:rPr>
        <w:t>Estimad</w:t>
      </w:r>
      <w:r>
        <w:rPr>
          <w:rFonts w:ascii="Verdana" w:eastAsia="Calibri" w:hAnsi="Verdana" w:cs="Arial"/>
          <w:lang w:eastAsia="es-ES"/>
        </w:rPr>
        <w:t>o</w:t>
      </w:r>
      <w:r w:rsidRPr="00073A28">
        <w:rPr>
          <w:rFonts w:ascii="Verdana" w:eastAsia="Calibri" w:hAnsi="Verdana" w:cs="Arial"/>
          <w:lang w:eastAsia="es-ES"/>
        </w:rPr>
        <w:t xml:space="preserve"> señor: </w:t>
      </w:r>
    </w:p>
    <w:p w14:paraId="4C3F5519" w14:textId="77777777" w:rsidR="00636B5B" w:rsidRPr="00073A28" w:rsidRDefault="00636B5B" w:rsidP="00636B5B">
      <w:pPr>
        <w:tabs>
          <w:tab w:val="left" w:pos="3768"/>
        </w:tabs>
        <w:spacing w:after="0" w:line="276" w:lineRule="auto"/>
        <w:jc w:val="both"/>
        <w:rPr>
          <w:rFonts w:ascii="Verdana" w:eastAsia="Calibri" w:hAnsi="Verdana" w:cs="Arial"/>
          <w:lang w:eastAsia="es-ES"/>
        </w:rPr>
      </w:pPr>
    </w:p>
    <w:p w14:paraId="34B08875" w14:textId="77777777" w:rsidR="00636B5B" w:rsidRPr="00245F51" w:rsidRDefault="00636B5B" w:rsidP="00636B5B">
      <w:pPr>
        <w:spacing w:after="0" w:line="276" w:lineRule="auto"/>
        <w:jc w:val="both"/>
        <w:rPr>
          <w:rFonts w:ascii="Verdana" w:eastAsia="Calibri" w:hAnsi="Verdana" w:cs="Arial"/>
          <w:sz w:val="20"/>
          <w:szCs w:val="20"/>
          <w:lang w:eastAsia="es-ES"/>
        </w:rPr>
      </w:pPr>
      <w:r w:rsidRPr="00073A28">
        <w:rPr>
          <w:rFonts w:ascii="Verdana" w:eastAsia="Calibri" w:hAnsi="Verdana" w:cs="Arial"/>
          <w:lang w:eastAsia="es-ES"/>
        </w:rPr>
        <w:t>En ejercicio de la competencia otorgada por los artículos 3, numeral 5º, y 11, numeral 8º, del Decreto Ley 4170 de 2011,</w:t>
      </w:r>
      <w:r w:rsidRPr="00073A28">
        <w:rPr>
          <w:rFonts w:ascii="Verdana" w:eastAsia="Arial MT" w:hAnsi="Verdana" w:cs="Arial MT"/>
          <w:lang w:eastAsia="es-ES"/>
        </w:rPr>
        <w:t xml:space="preserve"> </w:t>
      </w:r>
      <w:r w:rsidRPr="00073A28">
        <w:rPr>
          <w:rFonts w:ascii="Verdana" w:hAnsi="Verdana" w:cs="Arial"/>
        </w:rPr>
        <w:t xml:space="preserve">así como lo establecido en el artículo 4 de la Resolución 1707 de 2018 expedida por esta Entidad, </w:t>
      </w:r>
      <w:r w:rsidRPr="00073A28">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22</w:t>
      </w:r>
      <w:r w:rsidRPr="00073A28">
        <w:rPr>
          <w:rFonts w:ascii="Verdana" w:eastAsia="Calibri" w:hAnsi="Verdana" w:cs="Arial"/>
          <w:lang w:eastAsia="es-ES"/>
        </w:rPr>
        <w:t xml:space="preserve"> de </w:t>
      </w:r>
      <w:r>
        <w:rPr>
          <w:rFonts w:ascii="Verdana" w:eastAsia="Calibri" w:hAnsi="Verdana" w:cs="Arial"/>
          <w:lang w:eastAsia="es-ES"/>
        </w:rPr>
        <w:t>octu</w:t>
      </w:r>
      <w:r w:rsidRPr="00073A28">
        <w:rPr>
          <w:rFonts w:ascii="Verdana" w:eastAsia="Calibri" w:hAnsi="Verdana" w:cs="Arial"/>
          <w:lang w:eastAsia="es-ES"/>
        </w:rPr>
        <w:t xml:space="preserve">bre de 2025, en la cual manifiesta lo siguiente: </w:t>
      </w:r>
    </w:p>
    <w:p w14:paraId="736FCB50" w14:textId="77777777" w:rsidR="00636B5B" w:rsidRPr="00245F51" w:rsidRDefault="00636B5B" w:rsidP="00636B5B">
      <w:pPr>
        <w:spacing w:after="0" w:line="276" w:lineRule="auto"/>
        <w:jc w:val="both"/>
        <w:rPr>
          <w:rFonts w:ascii="Verdana" w:eastAsia="Calibri" w:hAnsi="Verdana" w:cs="Arial"/>
          <w:sz w:val="20"/>
          <w:szCs w:val="20"/>
          <w:lang w:eastAsia="es-ES"/>
        </w:rPr>
      </w:pPr>
    </w:p>
    <w:p w14:paraId="4A38C49F" w14:textId="6B232855" w:rsidR="00636B5B" w:rsidRPr="00425DED" w:rsidRDefault="00636B5B" w:rsidP="00636B5B">
      <w:pPr>
        <w:spacing w:after="0" w:line="240" w:lineRule="auto"/>
        <w:ind w:left="709" w:right="709"/>
        <w:jc w:val="both"/>
        <w:rPr>
          <w:rFonts w:ascii="Verdana" w:eastAsia="Calibri" w:hAnsi="Verdana" w:cs="Arial"/>
          <w:sz w:val="20"/>
          <w:szCs w:val="20"/>
          <w:lang w:eastAsia="es-ES"/>
        </w:rPr>
      </w:pPr>
      <w:r w:rsidRPr="00245F51">
        <w:rPr>
          <w:rFonts w:ascii="Verdana" w:eastAsia="Calibri" w:hAnsi="Verdana" w:cs="Arial"/>
          <w:sz w:val="20"/>
          <w:szCs w:val="20"/>
          <w:lang w:eastAsia="es-ES"/>
        </w:rPr>
        <w:t>“</w:t>
      </w:r>
      <w:r w:rsidRPr="00425DED">
        <w:rPr>
          <w:rFonts w:ascii="Verdana" w:eastAsia="Calibri" w:hAnsi="Verdana" w:cs="Arial"/>
          <w:sz w:val="20"/>
          <w:szCs w:val="20"/>
          <w:lang w:eastAsia="es-ES"/>
        </w:rPr>
        <w:t>1. ¿es requisito para adelantar la liquidación del contrato de interventoría efectuar</w:t>
      </w:r>
      <w:r>
        <w:rPr>
          <w:rFonts w:ascii="Verdana" w:eastAsia="Calibri" w:hAnsi="Verdana" w:cs="Arial"/>
          <w:sz w:val="20"/>
          <w:szCs w:val="20"/>
          <w:lang w:eastAsia="es-ES"/>
        </w:rPr>
        <w:t xml:space="preserve"> </w:t>
      </w:r>
      <w:r w:rsidRPr="00425DED">
        <w:rPr>
          <w:rFonts w:ascii="Verdana" w:eastAsia="Calibri" w:hAnsi="Verdana" w:cs="Arial"/>
          <w:sz w:val="20"/>
          <w:szCs w:val="20"/>
          <w:lang w:eastAsia="es-ES"/>
        </w:rPr>
        <w:t>previamente la liquidación del contrato de obra?</w:t>
      </w:r>
    </w:p>
    <w:p w14:paraId="7EDBE1D2" w14:textId="77777777" w:rsidR="00636B5B" w:rsidRPr="00425DED" w:rsidRDefault="00636B5B" w:rsidP="00636B5B">
      <w:pPr>
        <w:spacing w:after="0" w:line="240" w:lineRule="auto"/>
        <w:ind w:left="709" w:right="709"/>
        <w:jc w:val="both"/>
        <w:rPr>
          <w:rFonts w:ascii="Verdana" w:eastAsia="Calibri" w:hAnsi="Verdana" w:cs="Arial"/>
          <w:sz w:val="20"/>
          <w:szCs w:val="20"/>
          <w:lang w:eastAsia="es-ES"/>
        </w:rPr>
      </w:pPr>
      <w:r w:rsidRPr="00425DED">
        <w:rPr>
          <w:rFonts w:ascii="Verdana" w:eastAsia="Calibri" w:hAnsi="Verdana" w:cs="Arial"/>
          <w:sz w:val="20"/>
          <w:szCs w:val="20"/>
          <w:lang w:eastAsia="es-ES"/>
        </w:rPr>
        <w:t>2. ¿en caso de ser requisito cuales son las fuentes legales y jurisprudenciales que</w:t>
      </w:r>
      <w:r>
        <w:rPr>
          <w:rFonts w:ascii="Verdana" w:eastAsia="Calibri" w:hAnsi="Verdana" w:cs="Arial"/>
          <w:sz w:val="20"/>
          <w:szCs w:val="20"/>
          <w:lang w:eastAsia="es-ES"/>
        </w:rPr>
        <w:t xml:space="preserve"> </w:t>
      </w:r>
      <w:r w:rsidRPr="00425DED">
        <w:rPr>
          <w:rFonts w:ascii="Verdana" w:eastAsia="Calibri" w:hAnsi="Verdana" w:cs="Arial"/>
          <w:sz w:val="20"/>
          <w:szCs w:val="20"/>
          <w:lang w:eastAsia="es-ES"/>
        </w:rPr>
        <w:t>lo sustentan?</w:t>
      </w:r>
    </w:p>
    <w:p w14:paraId="5473423A" w14:textId="77777777" w:rsidR="00636B5B" w:rsidRPr="00425DED" w:rsidRDefault="00636B5B" w:rsidP="00636B5B">
      <w:pPr>
        <w:spacing w:after="0" w:line="240" w:lineRule="auto"/>
        <w:ind w:left="709" w:right="709"/>
        <w:jc w:val="both"/>
        <w:rPr>
          <w:rFonts w:ascii="Verdana" w:eastAsia="Calibri" w:hAnsi="Verdana" w:cs="Arial"/>
          <w:sz w:val="20"/>
          <w:szCs w:val="20"/>
          <w:lang w:eastAsia="es-ES"/>
        </w:rPr>
      </w:pPr>
      <w:r w:rsidRPr="00425DED">
        <w:rPr>
          <w:rFonts w:ascii="Verdana" w:eastAsia="Calibri" w:hAnsi="Verdana" w:cs="Arial"/>
          <w:sz w:val="20"/>
          <w:szCs w:val="20"/>
          <w:lang w:eastAsia="es-ES"/>
        </w:rPr>
        <w:t>3. ¿se puede liquidar un contrato de interventoría sin haber sido liquidado el contrato</w:t>
      </w:r>
      <w:r>
        <w:rPr>
          <w:rFonts w:ascii="Verdana" w:eastAsia="Calibri" w:hAnsi="Verdana" w:cs="Arial"/>
          <w:sz w:val="20"/>
          <w:szCs w:val="20"/>
          <w:lang w:eastAsia="es-ES"/>
        </w:rPr>
        <w:t xml:space="preserve"> </w:t>
      </w:r>
      <w:r w:rsidRPr="00425DED">
        <w:rPr>
          <w:rFonts w:ascii="Verdana" w:eastAsia="Calibri" w:hAnsi="Verdana" w:cs="Arial"/>
          <w:sz w:val="20"/>
          <w:szCs w:val="20"/>
          <w:lang w:eastAsia="es-ES"/>
        </w:rPr>
        <w:t xml:space="preserve">obra? </w:t>
      </w:r>
    </w:p>
    <w:p w14:paraId="64C09E88" w14:textId="77777777" w:rsidR="00636B5B" w:rsidRPr="00245F51" w:rsidRDefault="00636B5B" w:rsidP="00636B5B">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4</w:t>
      </w:r>
      <w:r w:rsidRPr="00425DED">
        <w:rPr>
          <w:rFonts w:ascii="Verdana" w:eastAsia="Calibri" w:hAnsi="Verdana" w:cs="Arial"/>
          <w:sz w:val="20"/>
          <w:szCs w:val="20"/>
          <w:lang w:eastAsia="es-ES"/>
        </w:rPr>
        <w:t>. ¿en caso encontrarse en sede judicial el contrato de obra, es procedente efectuar</w:t>
      </w:r>
      <w:r>
        <w:rPr>
          <w:rFonts w:ascii="Verdana" w:eastAsia="Calibri" w:hAnsi="Verdana" w:cs="Arial"/>
          <w:sz w:val="20"/>
          <w:szCs w:val="20"/>
          <w:lang w:eastAsia="es-ES"/>
        </w:rPr>
        <w:t xml:space="preserve"> </w:t>
      </w:r>
      <w:r w:rsidRPr="00425DED">
        <w:rPr>
          <w:rFonts w:ascii="Verdana" w:eastAsia="Calibri" w:hAnsi="Verdana" w:cs="Arial"/>
          <w:sz w:val="20"/>
          <w:szCs w:val="20"/>
          <w:lang w:eastAsia="es-ES"/>
        </w:rPr>
        <w:t>la liquidación del contrato de obra?</w:t>
      </w:r>
      <w:r w:rsidRPr="00245F51">
        <w:rPr>
          <w:rFonts w:ascii="Verdana" w:eastAsia="Calibri" w:hAnsi="Verdana" w:cs="Arial"/>
          <w:sz w:val="20"/>
          <w:szCs w:val="20"/>
          <w:lang w:eastAsia="es-ES"/>
        </w:rPr>
        <w:t>”.</w:t>
      </w:r>
    </w:p>
    <w:p w14:paraId="4C8EC416" w14:textId="77777777" w:rsidR="00636B5B" w:rsidRPr="00245F51" w:rsidRDefault="00636B5B" w:rsidP="00A71800">
      <w:pPr>
        <w:spacing w:after="0" w:line="276" w:lineRule="auto"/>
        <w:ind w:left="709" w:right="709"/>
        <w:jc w:val="both"/>
        <w:rPr>
          <w:rFonts w:ascii="Verdana" w:eastAsia="Calibri" w:hAnsi="Verdana" w:cs="Arial"/>
          <w:sz w:val="20"/>
          <w:szCs w:val="20"/>
          <w:lang w:eastAsia="es-ES"/>
        </w:rPr>
      </w:pPr>
    </w:p>
    <w:p w14:paraId="1C05636D" w14:textId="77777777" w:rsidR="00636B5B" w:rsidRPr="00073A28" w:rsidRDefault="00636B5B" w:rsidP="00636B5B">
      <w:pPr>
        <w:spacing w:after="12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073A28">
        <w:rPr>
          <w:rFonts w:ascii="Verdana" w:eastAsia="Calibri" w:hAnsi="Verdana" w:cs="Arial"/>
          <w:lang w:eastAsia="es-ES"/>
        </w:rPr>
        <w:lastRenderedPageBreak/>
        <w:t xml:space="preserve">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15C40180" w14:textId="77777777" w:rsidR="00636B5B" w:rsidRPr="00073A28" w:rsidRDefault="00636B5B" w:rsidP="00636B5B">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D2D7EB7" w14:textId="77777777" w:rsidR="00636B5B" w:rsidRPr="00073A28" w:rsidRDefault="00636B5B" w:rsidP="00636B5B">
      <w:pPr>
        <w:spacing w:after="0" w:line="276" w:lineRule="auto"/>
        <w:jc w:val="both"/>
        <w:rPr>
          <w:rFonts w:ascii="Verdana" w:eastAsia="Calibri" w:hAnsi="Verdana" w:cs="Arial"/>
          <w:lang w:eastAsia="es-ES"/>
        </w:rPr>
      </w:pPr>
    </w:p>
    <w:p w14:paraId="156307D4" w14:textId="77777777" w:rsidR="00636B5B" w:rsidRPr="00073A28" w:rsidRDefault="00636B5B" w:rsidP="00636B5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132FFF39" w14:textId="77777777" w:rsidR="00636B5B" w:rsidRPr="00073A28" w:rsidRDefault="00636B5B" w:rsidP="00636B5B">
      <w:pPr>
        <w:tabs>
          <w:tab w:val="left" w:pos="426"/>
        </w:tabs>
        <w:spacing w:after="0" w:line="276" w:lineRule="auto"/>
        <w:jc w:val="both"/>
        <w:rPr>
          <w:rFonts w:ascii="Verdana" w:eastAsia="Century Gothic" w:hAnsi="Verdana" w:cs="Century Gothic"/>
        </w:rPr>
      </w:pPr>
    </w:p>
    <w:p w14:paraId="335EF1D1" w14:textId="77777777" w:rsidR="00636B5B" w:rsidRPr="00073A28" w:rsidRDefault="00636B5B" w:rsidP="00636B5B">
      <w:pPr>
        <w:spacing w:after="0" w:line="276" w:lineRule="auto"/>
        <w:jc w:val="both"/>
        <w:rPr>
          <w:rFonts w:ascii="Verdana" w:eastAsia="Century Gothic" w:hAnsi="Verdana" w:cs="Century Gothic"/>
        </w:rPr>
      </w:pPr>
      <w:r w:rsidRPr="1F539949">
        <w:rPr>
          <w:rFonts w:ascii="Verdana" w:eastAsia="Century Gothic" w:hAnsi="Verdana" w:cs="Century Gothic"/>
        </w:rPr>
        <w:t>De acuerdo con el contenido de su solicitud, esta Agencia resolverá el siguiente problema jurídico: (i) ¿Es viable jurídicamente suscribir</w:t>
      </w:r>
      <w:r w:rsidRPr="1F539949" w:rsidDel="003D5708">
        <w:rPr>
          <w:rFonts w:ascii="Verdana" w:eastAsia="Century Gothic" w:hAnsi="Verdana" w:cs="Century Gothic"/>
        </w:rPr>
        <w:t xml:space="preserve"> </w:t>
      </w:r>
      <w:r w:rsidRPr="1F539949">
        <w:rPr>
          <w:rFonts w:ascii="Verdana" w:eastAsia="Century Gothic" w:hAnsi="Verdana" w:cs="Century Gothic"/>
        </w:rPr>
        <w:t xml:space="preserve">la liquidación de un contrato de interventoría antes de la finalización del contrato de obra objeto de vigilancia y </w:t>
      </w:r>
      <w:r w:rsidRPr="05FE03FA">
        <w:rPr>
          <w:rFonts w:ascii="Verdana" w:eastAsia="Century Gothic" w:hAnsi="Verdana" w:cs="Century Gothic"/>
        </w:rPr>
        <w:t>control</w:t>
      </w:r>
      <w:r w:rsidRPr="1F539949">
        <w:rPr>
          <w:rFonts w:ascii="Verdana" w:eastAsia="Century Gothic" w:hAnsi="Verdana" w:cs="Century Gothic"/>
        </w:rPr>
        <w:t>?</w:t>
      </w:r>
      <w:r>
        <w:rPr>
          <w:rFonts w:ascii="Verdana" w:eastAsia="Century Gothic" w:hAnsi="Verdana" w:cs="Century Gothic"/>
        </w:rPr>
        <w:t xml:space="preserve"> </w:t>
      </w:r>
      <w:r w:rsidRPr="000A1391">
        <w:rPr>
          <w:rFonts w:ascii="Verdana" w:eastAsia="Century Gothic" w:hAnsi="Verdana" w:cs="Century Gothic"/>
        </w:rPr>
        <w:t>(</w:t>
      </w:r>
      <w:proofErr w:type="spellStart"/>
      <w:r w:rsidRPr="000A1391">
        <w:rPr>
          <w:rFonts w:ascii="Verdana" w:eastAsia="Century Gothic" w:hAnsi="Verdana" w:cs="Century Gothic"/>
        </w:rPr>
        <w:t>ii</w:t>
      </w:r>
      <w:proofErr w:type="spellEnd"/>
      <w:r w:rsidRPr="000A1391">
        <w:rPr>
          <w:rFonts w:ascii="Verdana" w:eastAsia="Century Gothic" w:hAnsi="Verdana" w:cs="Century Gothic"/>
        </w:rPr>
        <w:t>)</w:t>
      </w:r>
      <w:r w:rsidRPr="00073A28">
        <w:rPr>
          <w:rFonts w:ascii="Verdana" w:eastAsia="Century Gothic" w:hAnsi="Verdana" w:cs="Century Gothic"/>
        </w:rPr>
        <w:t xml:space="preserve"> </w:t>
      </w:r>
      <w:r w:rsidRPr="1F539949">
        <w:rPr>
          <w:rFonts w:ascii="Verdana" w:eastAsia="Century Gothic" w:hAnsi="Verdana" w:cs="Century Gothic"/>
        </w:rPr>
        <w:t>¿</w:t>
      </w:r>
      <w:r>
        <w:rPr>
          <w:rFonts w:ascii="Verdana" w:eastAsia="Century Gothic" w:hAnsi="Verdana" w:cs="Century Gothic"/>
        </w:rPr>
        <w:t>Se puede liquidar el contrato de obra estando en sede judicial</w:t>
      </w:r>
      <w:r w:rsidRPr="00073A28">
        <w:rPr>
          <w:rFonts w:ascii="Verdana" w:eastAsia="Century Gothic" w:hAnsi="Verdana" w:cs="Century Gothic"/>
        </w:rPr>
        <w:t>?</w:t>
      </w:r>
    </w:p>
    <w:p w14:paraId="5C6FBD09" w14:textId="77777777" w:rsidR="00636B5B" w:rsidRPr="00073A28" w:rsidRDefault="00636B5B" w:rsidP="00636B5B">
      <w:pPr>
        <w:spacing w:after="0" w:line="276" w:lineRule="auto"/>
        <w:jc w:val="both"/>
        <w:rPr>
          <w:rFonts w:ascii="Verdana" w:eastAsia="Century Gothic" w:hAnsi="Verdana" w:cs="Century Gothic"/>
        </w:rPr>
      </w:pPr>
    </w:p>
    <w:p w14:paraId="45B3E181" w14:textId="77777777" w:rsidR="00636B5B" w:rsidRDefault="00636B5B" w:rsidP="00636B5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CO"/>
        </w:rPr>
      </w:pPr>
      <w:r w:rsidRPr="00073A28">
        <w:rPr>
          <w:rFonts w:ascii="Verdana" w:eastAsia="Century Gothic" w:hAnsi="Verdana" w:cs="Century Gothic"/>
          <w:b/>
          <w:bCs/>
          <w:lang w:val="es-CO"/>
        </w:rPr>
        <w:t>Respuesta:</w:t>
      </w:r>
    </w:p>
    <w:p w14:paraId="20DEE689" w14:textId="77777777" w:rsidR="00636B5B" w:rsidRPr="00116DEE" w:rsidRDefault="00636B5B" w:rsidP="00636B5B">
      <w:pPr>
        <w:pStyle w:val="Prrafodelista"/>
        <w:tabs>
          <w:tab w:val="left" w:pos="142"/>
          <w:tab w:val="left" w:pos="284"/>
        </w:tabs>
        <w:spacing w:after="0" w:line="276" w:lineRule="auto"/>
        <w:ind w:left="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36B5B" w:rsidRPr="00073A28" w14:paraId="75A9DD80" w14:textId="77777777" w:rsidTr="00353963">
        <w:trPr>
          <w:trHeight w:val="300"/>
        </w:trPr>
        <w:tc>
          <w:tcPr>
            <w:tcW w:w="8828" w:type="dxa"/>
          </w:tcPr>
          <w:p w14:paraId="223ED2FD" w14:textId="77777777" w:rsidR="00636B5B" w:rsidRPr="00073A28" w:rsidRDefault="00636B5B" w:rsidP="00A71800">
            <w:pPr>
              <w:spacing w:after="120" w:line="276" w:lineRule="auto"/>
              <w:jc w:val="both"/>
              <w:rPr>
                <w:rFonts w:ascii="Verdana" w:eastAsia="Calibri" w:hAnsi="Verdana" w:cs="Arial"/>
              </w:rPr>
            </w:pPr>
            <w:r w:rsidRPr="00073A28">
              <w:rPr>
                <w:rFonts w:ascii="Verdana" w:eastAsia="Calibri" w:hAnsi="Verdana" w:cs="Arial"/>
              </w:rPr>
              <w:t>(i)</w:t>
            </w:r>
            <w:r>
              <w:rPr>
                <w:rFonts w:ascii="Verdana" w:eastAsia="Calibri" w:hAnsi="Verdana" w:cs="Arial"/>
              </w:rPr>
              <w:t xml:space="preserve"> </w:t>
            </w:r>
            <w:bookmarkStart w:id="0" w:name="_Hlk213863074"/>
            <w:r w:rsidRPr="00073A28">
              <w:rPr>
                <w:rFonts w:ascii="Verdana" w:eastAsia="Calibri" w:hAnsi="Verdana" w:cs="Arial"/>
              </w:rPr>
              <w:t>De conformidad con el artículo 32 de la Ley 80 de 1993, los contratos de interventoría constituyen una modalidad de contrato de consultoría, cuyo objeto consiste en realizar el seguimiento técnico, administrativo, financiero, contable y jurídico de la ejecución de un contrato estatal. A su vez, el artículo 83 de la Ley 1474 de 2011 dispone que las entidades públicas están obligadas a vigilar permanentemente la correcta ejecución del objeto contratado, y que dicha vigilancia deberá ejercerse mediante supervisión o interventoría, según corresponda.</w:t>
            </w:r>
          </w:p>
          <w:p w14:paraId="5F30F6BF" w14:textId="77777777" w:rsidR="00636B5B" w:rsidRDefault="00636B5B" w:rsidP="00353963">
            <w:pPr>
              <w:spacing w:after="120" w:line="276" w:lineRule="auto"/>
              <w:ind w:firstLine="709"/>
              <w:jc w:val="both"/>
              <w:rPr>
                <w:rFonts w:ascii="Verdana" w:eastAsia="Calibri" w:hAnsi="Verdana" w:cs="Arial"/>
              </w:rPr>
            </w:pPr>
            <w:r w:rsidRPr="005B3ACE">
              <w:rPr>
                <w:rFonts w:ascii="Verdana" w:eastAsia="Calibri" w:hAnsi="Verdana" w:cs="Arial"/>
              </w:rPr>
              <w:t xml:space="preserve">Por su parte, el artículo 53 de la Ley 80 de 1993 dispone que los consultores, asesores e interventores responderán civil, fiscal y penalmente </w:t>
            </w:r>
            <w:r w:rsidRPr="005B3ACE">
              <w:rPr>
                <w:rFonts w:ascii="Verdana" w:eastAsia="Calibri" w:hAnsi="Verdana" w:cs="Arial"/>
              </w:rPr>
              <w:lastRenderedPageBreak/>
              <w:t xml:space="preserve">por los hechos y omisiones que les sean imputables. Esta disposición delimita con claridad que el deber de vigilancia y control se ejerce </w:t>
            </w:r>
            <w:r w:rsidRPr="565EF9E2">
              <w:rPr>
                <w:rFonts w:ascii="Verdana" w:eastAsia="Calibri" w:hAnsi="Verdana" w:cs="Arial"/>
              </w:rPr>
              <w:t>durante la ejecución del contrato objeto de interventoría</w:t>
            </w:r>
            <w:r w:rsidRPr="005B3ACE">
              <w:rPr>
                <w:rFonts w:ascii="Verdana" w:eastAsia="Calibri" w:hAnsi="Verdana" w:cs="Arial"/>
              </w:rPr>
              <w:t>, es decir, mientras el contrato principal se encuentra en curso.</w:t>
            </w:r>
          </w:p>
          <w:p w14:paraId="7476D81F" w14:textId="77777777" w:rsidR="00636B5B" w:rsidRDefault="00636B5B" w:rsidP="00353963">
            <w:pPr>
              <w:spacing w:after="120" w:line="276" w:lineRule="auto"/>
              <w:ind w:firstLine="709"/>
              <w:jc w:val="both"/>
              <w:rPr>
                <w:rFonts w:ascii="Verdana" w:eastAsia="Calibri" w:hAnsi="Verdana" w:cs="Arial"/>
              </w:rPr>
            </w:pPr>
            <w:r w:rsidRPr="00A22F7B">
              <w:rPr>
                <w:rFonts w:ascii="Verdana" w:eastAsia="Calibri" w:hAnsi="Verdana" w:cs="Arial"/>
              </w:rPr>
              <w:t xml:space="preserve">En consecuencia, </w:t>
            </w:r>
            <w:r>
              <w:rPr>
                <w:rFonts w:ascii="Verdana" w:eastAsia="Calibri" w:hAnsi="Verdana" w:cs="Arial"/>
              </w:rPr>
              <w:t xml:space="preserve">no se precisa que la interventoría se extienda </w:t>
            </w:r>
            <w:r w:rsidRPr="565EF9E2">
              <w:rPr>
                <w:rFonts w:ascii="Verdana" w:eastAsia="Calibri" w:hAnsi="Verdana" w:cs="Arial"/>
              </w:rPr>
              <w:t>más allá del período de ejecución del contrato de obra</w:t>
            </w:r>
            <w:r w:rsidRPr="00F807FB">
              <w:rPr>
                <w:rFonts w:ascii="Verdana" w:eastAsia="Calibri" w:hAnsi="Verdana" w:cs="Arial"/>
              </w:rPr>
              <w:t xml:space="preserve">, por cuanto la ley delimita su objeto y alcance a la vigilancia durante la ejecución contractual. En efecto, el artículo 32 de la </w:t>
            </w:r>
            <w:r w:rsidRPr="565EF9E2">
              <w:rPr>
                <w:rFonts w:ascii="Verdana" w:eastAsia="Calibri" w:hAnsi="Verdana" w:cs="Arial"/>
              </w:rPr>
              <w:t>Ley 80 de 1993</w:t>
            </w:r>
            <w:r w:rsidRPr="009D6BC0">
              <w:rPr>
                <w:rFonts w:ascii="Verdana" w:eastAsia="Calibri" w:hAnsi="Verdana" w:cs="Arial"/>
              </w:rPr>
              <w:t xml:space="preserve"> define la interventoría como una modalidad de consultoría orientada al seguimiento técnico, administrativo, financiero, contable y jurídico </w:t>
            </w:r>
            <w:r w:rsidRPr="565EF9E2">
              <w:rPr>
                <w:rFonts w:ascii="Verdana" w:eastAsia="Calibri" w:hAnsi="Verdana" w:cs="Arial"/>
              </w:rPr>
              <w:t>de la ejecución del contrato estatal.</w:t>
            </w:r>
          </w:p>
          <w:p w14:paraId="0E4E1C32" w14:textId="77777777" w:rsidR="00636B5B" w:rsidRPr="00073A28" w:rsidRDefault="00636B5B" w:rsidP="00353963">
            <w:pPr>
              <w:spacing w:after="120" w:line="276" w:lineRule="auto"/>
              <w:ind w:firstLine="709"/>
              <w:jc w:val="both"/>
              <w:rPr>
                <w:rFonts w:ascii="Verdana" w:eastAsia="Calibri" w:hAnsi="Verdana" w:cs="Arial"/>
              </w:rPr>
            </w:pPr>
            <w:r w:rsidRPr="1F539949">
              <w:rPr>
                <w:rFonts w:ascii="Verdana" w:eastAsia="Calibri" w:hAnsi="Verdana" w:cs="Arial"/>
              </w:rPr>
              <w:t xml:space="preserve">En el evento en que </w:t>
            </w:r>
            <w:r>
              <w:rPr>
                <w:rFonts w:ascii="Verdana" w:eastAsia="Calibri" w:hAnsi="Verdana" w:cs="Arial"/>
              </w:rPr>
              <w:t xml:space="preserve">se presente la liquidación del </w:t>
            </w:r>
            <w:r w:rsidRPr="1F539949">
              <w:rPr>
                <w:rFonts w:ascii="Verdana" w:eastAsia="Calibri" w:hAnsi="Verdana" w:cs="Arial"/>
              </w:rPr>
              <w:t xml:space="preserve"> contrato de interventoría sin haberse </w:t>
            </w:r>
            <w:r w:rsidRPr="565EF9E2">
              <w:rPr>
                <w:rFonts w:ascii="Verdana" w:eastAsia="Calibri" w:hAnsi="Verdana" w:cs="Arial"/>
              </w:rPr>
              <w:t xml:space="preserve">logrado la liquidación </w:t>
            </w:r>
            <w:r>
              <w:rPr>
                <w:rFonts w:ascii="Verdana" w:eastAsia="Calibri" w:hAnsi="Verdana" w:cs="Arial"/>
              </w:rPr>
              <w:t>d</w:t>
            </w:r>
            <w:r w:rsidRPr="1F539949">
              <w:rPr>
                <w:rFonts w:ascii="Verdana" w:eastAsia="Calibri" w:hAnsi="Verdana" w:cs="Arial"/>
              </w:rPr>
              <w:t xml:space="preserve">el contrato de obra, corresponderá a la entidad estatal determinar, conforme a las particularidades del caso concreto y a los principios de planeación y responsabilidad, los mecanismos alternativos que permitan garantizar el cumplimiento del deber legal de vigilancia y control </w:t>
            </w:r>
            <w:r w:rsidRPr="565EF9E2">
              <w:rPr>
                <w:rFonts w:ascii="Verdana" w:eastAsia="Calibri" w:hAnsi="Verdana" w:cs="Arial"/>
              </w:rPr>
              <w:t>para garantizar la liquidación del contrato vigilado</w:t>
            </w:r>
            <w:r w:rsidRPr="1F539949">
              <w:rPr>
                <w:rFonts w:ascii="Verdana" w:eastAsia="Calibri" w:hAnsi="Verdana" w:cs="Arial"/>
              </w:rPr>
              <w:t>, bien sea a través de un supervisor designado para tal efecto.</w:t>
            </w:r>
          </w:p>
          <w:p w14:paraId="659C5240" w14:textId="77777777" w:rsidR="00636B5B" w:rsidRPr="00073A28" w:rsidRDefault="00636B5B" w:rsidP="00353963">
            <w:pPr>
              <w:spacing w:after="120" w:line="276" w:lineRule="auto"/>
              <w:ind w:firstLine="709"/>
              <w:jc w:val="both"/>
              <w:rPr>
                <w:rFonts w:ascii="Verdana" w:eastAsia="Calibri" w:hAnsi="Verdana" w:cs="Arial"/>
              </w:rPr>
            </w:pPr>
            <w:r w:rsidRPr="1F539949">
              <w:rPr>
                <w:rFonts w:ascii="Verdana" w:eastAsia="Calibri" w:hAnsi="Verdana" w:cs="Arial"/>
              </w:rPr>
              <w:t xml:space="preserve">En todo </w:t>
            </w:r>
            <w:r w:rsidRPr="565EF9E2">
              <w:rPr>
                <w:rFonts w:ascii="Verdana" w:eastAsia="Calibri" w:hAnsi="Verdana" w:cs="Arial"/>
              </w:rPr>
              <w:t>caso</w:t>
            </w:r>
            <w:r w:rsidRPr="1F539949">
              <w:rPr>
                <w:rFonts w:ascii="Verdana" w:eastAsia="Calibri" w:hAnsi="Verdana" w:cs="Arial"/>
              </w:rPr>
              <w:t xml:space="preserve">, debe recordarse que todo contrato de </w:t>
            </w:r>
            <w:r>
              <w:rPr>
                <w:rFonts w:ascii="Verdana" w:eastAsia="Calibri" w:hAnsi="Verdana" w:cs="Arial"/>
              </w:rPr>
              <w:t>obra</w:t>
            </w:r>
            <w:r w:rsidRPr="1F539949">
              <w:rPr>
                <w:rFonts w:ascii="Verdana" w:eastAsia="Calibri" w:hAnsi="Verdana" w:cs="Arial"/>
              </w:rPr>
              <w:t xml:space="preserve"> cuenta con un supervisor designado por la entidad, quien, en virtud de lo dispuesto en el artículo 83 de la Ley 1474 de 2011, es responsable de ejercer el seguimiento de ley sobre dicho</w:t>
            </w:r>
            <w:r w:rsidRPr="1F539949" w:rsidDel="003D5708">
              <w:rPr>
                <w:rFonts w:ascii="Verdana" w:eastAsia="Calibri" w:hAnsi="Verdana" w:cs="Arial"/>
              </w:rPr>
              <w:t xml:space="preserve"> </w:t>
            </w:r>
            <w:r w:rsidRPr="1F539949">
              <w:rPr>
                <w:rFonts w:ascii="Verdana" w:eastAsia="Calibri" w:hAnsi="Verdana" w:cs="Arial"/>
              </w:rPr>
              <w:t>contrato y velar porque se mantenga el control técnico, financiero y administrativo que exige la normativa.</w:t>
            </w:r>
          </w:p>
          <w:p w14:paraId="390C41E9" w14:textId="77777777" w:rsidR="00636B5B" w:rsidRDefault="00636B5B" w:rsidP="00353963">
            <w:pPr>
              <w:spacing w:line="276" w:lineRule="auto"/>
              <w:ind w:firstLine="709"/>
              <w:jc w:val="both"/>
              <w:rPr>
                <w:rFonts w:ascii="Verdana" w:eastAsia="Calibri" w:hAnsi="Verdana" w:cs="Arial"/>
              </w:rPr>
            </w:pPr>
            <w:r w:rsidRPr="00073A28">
              <w:rPr>
                <w:rFonts w:ascii="Verdana" w:eastAsia="Calibri" w:hAnsi="Verdana" w:cs="Arial"/>
              </w:rPr>
              <w:t>En consecuencia, será responsabilidad de la entidad estatal adoptar las medidas necesarias para cumplir las disposiciones legales que ordenan mantener la vigilancia permanente sobre la ejecución del contrato de obra, evitando vacíos en el control contractual y posibles riesgos de detrimento patrimonial o hallazgos fiscales.</w:t>
            </w:r>
          </w:p>
          <w:bookmarkEnd w:id="0"/>
          <w:p w14:paraId="26494743" w14:textId="77777777" w:rsidR="00636B5B" w:rsidRDefault="00636B5B" w:rsidP="00353963">
            <w:pPr>
              <w:spacing w:line="276" w:lineRule="auto"/>
              <w:ind w:firstLine="709"/>
              <w:jc w:val="both"/>
              <w:rPr>
                <w:rFonts w:ascii="Verdana" w:eastAsia="Calibri" w:hAnsi="Verdana" w:cs="Arial"/>
              </w:rPr>
            </w:pPr>
          </w:p>
          <w:p w14:paraId="643F90FB" w14:textId="3B0F16C9" w:rsidR="00636B5B" w:rsidRPr="00073A28" w:rsidRDefault="00636B5B" w:rsidP="00A71800">
            <w:pPr>
              <w:spacing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No. L</w:t>
            </w:r>
            <w:r w:rsidRPr="00365E80">
              <w:rPr>
                <w:rFonts w:ascii="Verdana" w:eastAsia="Calibri" w:hAnsi="Verdana" w:cs="Arial"/>
              </w:rPr>
              <w:t xml:space="preserve">a liquidación judicial hace parte de una de las pretensiones que admite el medio de control de controversias contractuales. Al respecto, el artículo 141 de la Ley 1437 de 2011 dispone que “[…] el interesado podrá solicitar la liquidación judicial del contrato cuando esta no se haya logrado de mutuo acuerdo y la entidad estatal no lo haya liquidado unilateralmente dentro de los dos (2) meses siguientes al vencimiento del plazo convenido para liquidar de mutuo acuerdo o, en su defecto, del término establecido por la ley”. Bajo esta </w:t>
            </w:r>
            <w:r w:rsidRPr="00365E80">
              <w:rPr>
                <w:rFonts w:ascii="Verdana" w:eastAsia="Calibri" w:hAnsi="Verdana" w:cs="Arial"/>
              </w:rPr>
              <w:lastRenderedPageBreak/>
              <w:t xml:space="preserve">perspectiva, </w:t>
            </w:r>
            <w:r w:rsidR="00CE30E0">
              <w:rPr>
                <w:rFonts w:ascii="Verdana" w:eastAsia="Calibri" w:hAnsi="Verdana" w:cs="Arial"/>
              </w:rPr>
              <w:t xml:space="preserve">una vez ejercido el medio de control antes señalado para lograr la liquidación del </w:t>
            </w:r>
            <w:proofErr w:type="gramStart"/>
            <w:r w:rsidR="00CE30E0">
              <w:rPr>
                <w:rFonts w:ascii="Verdana" w:eastAsia="Calibri" w:hAnsi="Verdana" w:cs="Arial"/>
              </w:rPr>
              <w:t>contrato</w:t>
            </w:r>
            <w:r w:rsidRPr="00365E80">
              <w:rPr>
                <w:rFonts w:ascii="Verdana" w:eastAsia="Calibri" w:hAnsi="Verdana" w:cs="Arial"/>
              </w:rPr>
              <w:t>,  cesa</w:t>
            </w:r>
            <w:proofErr w:type="gramEnd"/>
            <w:r w:rsidRPr="00365E80">
              <w:rPr>
                <w:rFonts w:ascii="Verdana" w:eastAsia="Calibri" w:hAnsi="Verdana" w:cs="Arial"/>
              </w:rPr>
              <w:t xml:space="preserve"> la facultad de </w:t>
            </w:r>
            <w:r w:rsidR="00CE30E0">
              <w:rPr>
                <w:rFonts w:ascii="Verdana" w:eastAsia="Calibri" w:hAnsi="Verdana" w:cs="Arial"/>
              </w:rPr>
              <w:t xml:space="preserve">la </w:t>
            </w:r>
            <w:r w:rsidR="00CE30E0" w:rsidRPr="00365E80">
              <w:rPr>
                <w:rFonts w:ascii="Verdana" w:eastAsia="Calibri" w:hAnsi="Verdana" w:cs="Arial"/>
              </w:rPr>
              <w:t xml:space="preserve">entidad </w:t>
            </w:r>
            <w:r w:rsidRPr="00365E80">
              <w:rPr>
                <w:rFonts w:ascii="Verdana" w:eastAsia="Calibri" w:hAnsi="Verdana" w:cs="Arial"/>
              </w:rPr>
              <w:t>de liquidar bilateral o unilateralmente, ya que el tema pasa de la administración a la jurisdicción.</w:t>
            </w:r>
          </w:p>
        </w:tc>
      </w:tr>
    </w:tbl>
    <w:p w14:paraId="10A35C0F" w14:textId="77777777" w:rsidR="00636B5B" w:rsidRPr="00073A28" w:rsidRDefault="00636B5B" w:rsidP="00636B5B">
      <w:pPr>
        <w:tabs>
          <w:tab w:val="left" w:pos="142"/>
          <w:tab w:val="left" w:pos="284"/>
        </w:tabs>
        <w:spacing w:after="0" w:line="276" w:lineRule="auto"/>
        <w:jc w:val="both"/>
        <w:rPr>
          <w:rFonts w:ascii="Verdana" w:eastAsia="Century Gothic" w:hAnsi="Verdana" w:cs="Century Gothic"/>
          <w:b/>
          <w:bCs/>
        </w:rPr>
      </w:pPr>
    </w:p>
    <w:p w14:paraId="660F55EE" w14:textId="77777777" w:rsidR="00636B5B" w:rsidRPr="00073A28" w:rsidRDefault="00636B5B" w:rsidP="00636B5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75608B49" w14:textId="77777777" w:rsidR="00636B5B" w:rsidRPr="00073A28" w:rsidRDefault="00636B5B" w:rsidP="00636B5B">
      <w:pPr>
        <w:spacing w:after="0" w:line="276" w:lineRule="auto"/>
        <w:jc w:val="both"/>
        <w:rPr>
          <w:rFonts w:ascii="Verdana" w:eastAsia="Calibri" w:hAnsi="Verdana" w:cs="Arial"/>
        </w:rPr>
      </w:pPr>
    </w:p>
    <w:p w14:paraId="13CC6B14" w14:textId="77777777" w:rsidR="00636B5B" w:rsidRPr="00073A28" w:rsidRDefault="00636B5B" w:rsidP="00636B5B">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2434A5F9" w14:textId="77777777" w:rsidR="00636B5B" w:rsidRPr="00073A28" w:rsidRDefault="00636B5B" w:rsidP="00636B5B">
      <w:pPr>
        <w:spacing w:after="0" w:line="276" w:lineRule="auto"/>
        <w:jc w:val="both"/>
        <w:rPr>
          <w:rFonts w:ascii="Verdana" w:eastAsia="Calibri" w:hAnsi="Verdana" w:cs="Arial"/>
        </w:rPr>
      </w:pPr>
    </w:p>
    <w:p w14:paraId="12D014C8" w14:textId="04B8F192" w:rsidR="00636B5B" w:rsidRPr="00073A28" w:rsidRDefault="00636B5B" w:rsidP="00636B5B">
      <w:pPr>
        <w:spacing w:after="0" w:line="276" w:lineRule="auto"/>
        <w:jc w:val="both"/>
        <w:rPr>
          <w:rFonts w:ascii="Verdana" w:eastAsia="Calibri" w:hAnsi="Verdana" w:cs="Arial"/>
          <w:lang w:val="es-MX"/>
        </w:rPr>
      </w:pPr>
      <w:r>
        <w:rPr>
          <w:rFonts w:ascii="Verdana" w:eastAsia="Calibri" w:hAnsi="Verdana" w:cs="Arial"/>
          <w:lang w:val="es-MX"/>
        </w:rPr>
        <w:t xml:space="preserve">(i) </w:t>
      </w:r>
      <w:r w:rsidRPr="00073A28">
        <w:rPr>
          <w:rFonts w:ascii="Verdana" w:eastAsia="Calibri" w:hAnsi="Verdana" w:cs="Arial"/>
          <w:lang w:val="es-MX"/>
        </w:rPr>
        <w:t xml:space="preserve">La Ley 1474 de 2011 enmarcó el seguimiento, control y vigilancia de la ejecución del contrato estatal dentro del principio de moralidad administrativa. El artículo 83 </w:t>
      </w:r>
      <w:r w:rsidRPr="00073A28">
        <w:rPr>
          <w:rFonts w:ascii="Verdana" w:eastAsia="Calibri" w:hAnsi="Verdana" w:cs="Arial"/>
          <w:i/>
          <w:lang w:val="es-MX"/>
        </w:rPr>
        <w:t xml:space="preserve">ibidem </w:t>
      </w:r>
      <w:r w:rsidRPr="00073A28">
        <w:rPr>
          <w:rFonts w:ascii="Verdana" w:eastAsia="Calibri" w:hAnsi="Verdana" w:cs="Arial"/>
          <w:lang w:val="es-MX"/>
        </w:rPr>
        <w:t xml:space="preserve">prescribe que “con el fin de proteger la moralidad administrativa, de prevenir la ocurrencia de actos de corrupción y de tutelar la transparencia de la actividad contractual, </w:t>
      </w:r>
      <w:r w:rsidRPr="00A71800">
        <w:rPr>
          <w:rFonts w:ascii="Verdana" w:eastAsia="Calibri" w:hAnsi="Verdana" w:cs="Arial"/>
          <w:i/>
          <w:lang w:val="es-MX"/>
        </w:rPr>
        <w:t>las entidades públicas están obligadas a vigilar permanentemente la correcta ejecución del objeto contratado a través de un supervisor o un interventor, según corresponda</w:t>
      </w:r>
      <w:r w:rsidRPr="00073A28">
        <w:rPr>
          <w:rFonts w:ascii="Verdana" w:eastAsia="Calibri" w:hAnsi="Verdana" w:cs="Arial"/>
          <w:lang w:val="es-MX"/>
        </w:rPr>
        <w:t>”</w:t>
      </w:r>
      <w:r w:rsidR="001D4C56">
        <w:rPr>
          <w:rFonts w:ascii="Verdana" w:eastAsia="Calibri" w:hAnsi="Verdana" w:cs="Arial"/>
          <w:lang w:val="es-MX"/>
        </w:rPr>
        <w:t xml:space="preserve"> [</w:t>
      </w:r>
      <w:r w:rsidR="00275700">
        <w:rPr>
          <w:rFonts w:ascii="Verdana" w:eastAsia="Calibri" w:hAnsi="Verdana" w:cs="Arial"/>
          <w:lang w:val="es-MX"/>
        </w:rPr>
        <w:t>Énfasis</w:t>
      </w:r>
      <w:r w:rsidR="001D4C56">
        <w:rPr>
          <w:rFonts w:ascii="Verdana" w:eastAsia="Calibri" w:hAnsi="Verdana" w:cs="Arial"/>
          <w:lang w:val="es-MX"/>
        </w:rPr>
        <w:t xml:space="preserve"> </w:t>
      </w:r>
      <w:r w:rsidR="00275700">
        <w:rPr>
          <w:rFonts w:ascii="Verdana" w:eastAsia="Calibri" w:hAnsi="Verdana" w:cs="Arial"/>
          <w:lang w:val="es-MX"/>
        </w:rPr>
        <w:t>fuera del texto original</w:t>
      </w:r>
      <w:r w:rsidR="001D4C56">
        <w:rPr>
          <w:rFonts w:ascii="Verdana" w:eastAsia="Calibri" w:hAnsi="Verdana" w:cs="Arial"/>
          <w:lang w:val="es-MX"/>
        </w:rPr>
        <w:t>]</w:t>
      </w:r>
      <w:r w:rsidRPr="00073A28">
        <w:rPr>
          <w:rFonts w:ascii="Verdana" w:eastAsia="Calibri" w:hAnsi="Verdana" w:cs="Arial"/>
          <w:lang w:val="es-MX"/>
        </w:rPr>
        <w:t xml:space="preserve">. Además, el legislador, en el mismo artículo, definió las nociones de </w:t>
      </w:r>
      <w:r w:rsidRPr="00073A28">
        <w:rPr>
          <w:rFonts w:ascii="Verdana" w:eastAsia="Calibri" w:hAnsi="Verdana" w:cs="Arial"/>
          <w:i/>
          <w:lang w:val="es-MX"/>
        </w:rPr>
        <w:t>supervisión</w:t>
      </w:r>
      <w:r w:rsidRPr="00073A28">
        <w:rPr>
          <w:rFonts w:ascii="Verdana" w:eastAsia="Calibri" w:hAnsi="Verdana" w:cs="Arial"/>
          <w:lang w:val="es-MX"/>
        </w:rPr>
        <w:t xml:space="preserve"> e </w:t>
      </w:r>
      <w:r w:rsidRPr="00073A28">
        <w:rPr>
          <w:rFonts w:ascii="Verdana" w:eastAsia="Calibri" w:hAnsi="Verdana" w:cs="Arial"/>
          <w:i/>
          <w:lang w:val="es-MX"/>
        </w:rPr>
        <w:t>interventoría</w:t>
      </w:r>
      <w:r w:rsidRPr="00073A28">
        <w:rPr>
          <w:rFonts w:ascii="Verdana" w:eastAsia="Calibri" w:hAnsi="Verdana" w:cs="Arial"/>
          <w:lang w:val="es-MX"/>
        </w:rPr>
        <w:t xml:space="preserve">, como mecanismos que pueden usar las entidades estatales para vigilar el contrato, en estos términos: </w:t>
      </w:r>
    </w:p>
    <w:p w14:paraId="53B9EF88" w14:textId="77777777" w:rsidR="00636B5B" w:rsidRPr="00073A28" w:rsidRDefault="00636B5B" w:rsidP="00636B5B">
      <w:pPr>
        <w:spacing w:after="0" w:line="276" w:lineRule="auto"/>
        <w:jc w:val="both"/>
        <w:rPr>
          <w:rFonts w:ascii="Verdana" w:eastAsia="Calibri" w:hAnsi="Verdana" w:cs="Arial"/>
          <w:lang w:val="es-MX"/>
        </w:rPr>
      </w:pPr>
    </w:p>
    <w:p w14:paraId="1F271B0F" w14:textId="77777777" w:rsidR="00636B5B" w:rsidRPr="00073A28" w:rsidRDefault="00636B5B" w:rsidP="008677A2">
      <w:pPr>
        <w:spacing w:after="0" w:line="240" w:lineRule="auto"/>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supervisión consistirá en el seguimiento técnico, administrativo, financiero, contable, y jurídico </w:t>
      </w:r>
      <w:proofErr w:type="gramStart"/>
      <w:r w:rsidRPr="00073A28">
        <w:rPr>
          <w:rFonts w:ascii="Verdana" w:eastAsia="Calibri" w:hAnsi="Verdana" w:cs="Arial"/>
          <w:sz w:val="20"/>
          <w:szCs w:val="20"/>
          <w:lang w:val="es-MX"/>
        </w:rPr>
        <w:t>que</w:t>
      </w:r>
      <w:proofErr w:type="gramEnd"/>
      <w:r w:rsidRPr="00073A28">
        <w:rPr>
          <w:rFonts w:ascii="Verdana" w:eastAsia="Calibri" w:hAnsi="Verdana" w:cs="Arial"/>
          <w:sz w:val="20"/>
          <w:szCs w:val="20"/>
          <w:lang w:val="es-MX"/>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6D576531" w14:textId="77777777" w:rsidR="008677A2" w:rsidRPr="00073A28" w:rsidRDefault="008677A2" w:rsidP="00A71800">
      <w:pPr>
        <w:spacing w:after="0" w:line="240" w:lineRule="auto"/>
        <w:ind w:left="709" w:right="709"/>
        <w:jc w:val="both"/>
        <w:rPr>
          <w:rFonts w:ascii="Verdana" w:eastAsia="Calibri" w:hAnsi="Verdana" w:cs="Arial"/>
          <w:sz w:val="20"/>
          <w:szCs w:val="20"/>
          <w:lang w:val="es-MX"/>
        </w:rPr>
      </w:pPr>
    </w:p>
    <w:p w14:paraId="3A45E272" w14:textId="77777777" w:rsidR="00636B5B" w:rsidRPr="00073A28" w:rsidRDefault="00636B5B" w:rsidP="00636B5B">
      <w:pPr>
        <w:spacing w:after="0" w:line="240" w:lineRule="auto"/>
        <w:ind w:left="709" w:right="709"/>
        <w:jc w:val="both"/>
        <w:rPr>
          <w:rFonts w:ascii="Verdana" w:eastAsia="Calibri" w:hAnsi="Verdana" w:cs="Arial"/>
          <w:sz w:val="20"/>
          <w:szCs w:val="20"/>
          <w:lang w:val="es-MX"/>
        </w:rPr>
      </w:pPr>
      <w:r w:rsidRPr="00073A28">
        <w:rPr>
          <w:rFonts w:ascii="Verdana" w:eastAsia="Calibri" w:hAnsi="Verdana" w:cs="Arial"/>
          <w:sz w:val="20"/>
          <w:szCs w:val="20"/>
          <w:lang w:val="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073A28">
        <w:rPr>
          <w:rFonts w:ascii="Verdana" w:eastAsia="Calibri" w:hAnsi="Verdana" w:cs="Arial"/>
          <w:sz w:val="20"/>
          <w:szCs w:val="20"/>
          <w:lang w:val="es-MX"/>
        </w:rPr>
        <w:t>del mismo</w:t>
      </w:r>
      <w:proofErr w:type="gramEnd"/>
      <w:r w:rsidRPr="00073A28">
        <w:rPr>
          <w:rFonts w:ascii="Verdana" w:eastAsia="Calibri" w:hAnsi="Verdana" w:cs="Arial"/>
          <w:sz w:val="20"/>
          <w:szCs w:val="20"/>
          <w:lang w:val="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260CFAA5" w14:textId="77777777" w:rsidR="00636B5B" w:rsidRPr="00073A28" w:rsidRDefault="00636B5B" w:rsidP="00636B5B">
      <w:pPr>
        <w:spacing w:after="0" w:line="276" w:lineRule="auto"/>
        <w:jc w:val="both"/>
        <w:rPr>
          <w:rFonts w:ascii="Verdana" w:eastAsia="Calibri" w:hAnsi="Verdana" w:cs="Arial"/>
          <w:sz w:val="20"/>
          <w:szCs w:val="20"/>
          <w:lang w:val="es-ES"/>
        </w:rPr>
      </w:pPr>
    </w:p>
    <w:p w14:paraId="5AF84D81" w14:textId="77777777" w:rsidR="00636B5B" w:rsidRPr="00073A28" w:rsidRDefault="00636B5B" w:rsidP="00636B5B">
      <w:pPr>
        <w:spacing w:after="0" w:line="276" w:lineRule="auto"/>
        <w:ind w:firstLine="709"/>
        <w:jc w:val="both"/>
        <w:rPr>
          <w:rFonts w:ascii="Verdana" w:eastAsia="Calibri" w:hAnsi="Verdana" w:cs="Arial"/>
          <w:lang w:val="es-MX"/>
        </w:rPr>
      </w:pPr>
      <w:r w:rsidRPr="00073A28">
        <w:rPr>
          <w:rFonts w:ascii="Verdana" w:eastAsia="Calibri" w:hAnsi="Verdana" w:cs="Arial"/>
          <w:lang w:val="es-MX"/>
        </w:rPr>
        <w:t xml:space="preserve">De este modo, la interventoría: i) será un mecanismo de vigilancia contingente en la medida que en principio y de acuerdo con la norma, es obligatorio para el seguimiento de los contratos de obra adjudicados por licitación pública ‒art. 32, numeral 1‒; en los demás casos se requerirá cuando “el seguimiento del contrato suponga conocimiento especializado en la materia, </w:t>
      </w:r>
      <w:r w:rsidRPr="00073A28">
        <w:rPr>
          <w:rFonts w:ascii="Verdana" w:eastAsia="Calibri" w:hAnsi="Verdana" w:cs="Arial"/>
          <w:lang w:val="es-MX"/>
        </w:rPr>
        <w:lastRenderedPageBreak/>
        <w:t xml:space="preserve">o cuando la complejidad o la extensión </w:t>
      </w:r>
      <w:proofErr w:type="gramStart"/>
      <w:r w:rsidRPr="00073A28">
        <w:rPr>
          <w:rFonts w:ascii="Verdana" w:eastAsia="Calibri" w:hAnsi="Verdana" w:cs="Arial"/>
          <w:lang w:val="es-MX"/>
        </w:rPr>
        <w:t>del mismo</w:t>
      </w:r>
      <w:proofErr w:type="gramEnd"/>
      <w:r w:rsidRPr="00073A28">
        <w:rPr>
          <w:rFonts w:ascii="Verdana" w:eastAsia="Calibri" w:hAnsi="Verdana" w:cs="Arial"/>
          <w:lang w:val="es-MX"/>
        </w:rPr>
        <w:t xml:space="preserve"> lo justifiquen” ‒art. 83, Ley 1474 de 2011‒. </w:t>
      </w:r>
      <w:proofErr w:type="spellStart"/>
      <w:r w:rsidRPr="00073A28">
        <w:rPr>
          <w:rFonts w:ascii="Verdana" w:eastAsia="Calibri" w:hAnsi="Verdana" w:cs="Arial"/>
          <w:lang w:val="es-MX"/>
        </w:rPr>
        <w:t>ii</w:t>
      </w:r>
      <w:proofErr w:type="spellEnd"/>
      <w:r w:rsidRPr="00073A28">
        <w:rPr>
          <w:rFonts w:ascii="Verdana" w:eastAsia="Calibri" w:hAnsi="Verdana" w:cs="Arial"/>
          <w:lang w:val="es-MX"/>
        </w:rPr>
        <w:t xml:space="preserve">) Este mecanismo de vigilancia exige, en su ejecución, la utilización de conocimientos especializados. </w:t>
      </w:r>
      <w:proofErr w:type="spellStart"/>
      <w:r w:rsidRPr="00073A28">
        <w:rPr>
          <w:rFonts w:ascii="Verdana" w:eastAsia="Calibri" w:hAnsi="Verdana" w:cs="Arial"/>
          <w:lang w:val="es-MX"/>
        </w:rPr>
        <w:t>iii</w:t>
      </w:r>
      <w:proofErr w:type="spellEnd"/>
      <w:r w:rsidRPr="00073A28">
        <w:rPr>
          <w:rFonts w:ascii="Verdana" w:eastAsia="Calibri" w:hAnsi="Verdana" w:cs="Arial"/>
          <w:lang w:val="es-MX"/>
        </w:rPr>
        <w:t>) Por lo anterior, la entidad contrata un experto a través de un concurso de méritos, al tratarse la interventoría de una especie del contrato de consultoría ‒art. 32, numeral 2, inciso 2, Ley 80 de 1993</w:t>
      </w:r>
      <w:r w:rsidRPr="00073A28">
        <w:rPr>
          <w:rFonts w:ascii="Verdana" w:eastAsia="Calibri" w:hAnsi="Verdana" w:cs="Arial"/>
          <w:vertAlign w:val="superscript"/>
          <w:lang w:val="es-MX"/>
        </w:rPr>
        <w:footnoteReference w:id="1"/>
      </w:r>
      <w:r w:rsidRPr="00073A28">
        <w:rPr>
          <w:rFonts w:ascii="Verdana" w:eastAsia="Calibri" w:hAnsi="Verdana" w:cs="Arial"/>
          <w:lang w:val="es-MX"/>
        </w:rPr>
        <w:t xml:space="preserve">‒, de manera que la interventoría es realizada por una “persona natural o jurídica contratada para tal fin por la Entidad Estatal” ‒art. 83, Ley 1474‒. </w:t>
      </w:r>
      <w:proofErr w:type="spellStart"/>
      <w:r w:rsidRPr="00073A28">
        <w:rPr>
          <w:rFonts w:ascii="Verdana" w:eastAsia="Calibri" w:hAnsi="Verdana" w:cs="Arial"/>
          <w:lang w:val="es-MX"/>
        </w:rPr>
        <w:t>iv</w:t>
      </w:r>
      <w:proofErr w:type="spellEnd"/>
      <w:r w:rsidRPr="00073A28">
        <w:rPr>
          <w:rFonts w:ascii="Verdana" w:eastAsia="Calibri" w:hAnsi="Verdana" w:cs="Arial"/>
          <w:lang w:val="es-MX"/>
        </w:rPr>
        <w:t xml:space="preserve">) </w:t>
      </w:r>
      <w:bookmarkStart w:id="1" w:name="_Hlk212212977"/>
      <w:r w:rsidRPr="000D2D14">
        <w:rPr>
          <w:rFonts w:ascii="Verdana" w:eastAsia="Calibri" w:hAnsi="Verdana" w:cs="Arial"/>
        </w:rPr>
        <w:t>a la interventoría le es inherente el seguimiento técnico respecto de la correcta ejecución del contrato vigilado. No obstante, el artículo 83 de la Ley 1474 de 2011 faculta a las entidades estatales para que, cuando lo consideren justificado y acorde con la naturaleza del contrato principal, puedan contratar la interventoría o el seguimiento que incluya también componentes administrativos, financieros, contables o jurídicos, con el fin de garantizar una vigilancia integral sobre la ejecución contra</w:t>
      </w:r>
      <w:bookmarkEnd w:id="1"/>
      <w:r w:rsidRPr="000D2D14">
        <w:rPr>
          <w:rFonts w:ascii="Verdana" w:eastAsia="Calibri" w:hAnsi="Verdana" w:cs="Arial"/>
        </w:rPr>
        <w:t>ctual</w:t>
      </w:r>
      <w:r w:rsidRPr="00073A28" w:rsidDel="00392967">
        <w:rPr>
          <w:rFonts w:ascii="Verdana" w:eastAsia="Calibri" w:hAnsi="Verdana" w:cs="Arial"/>
          <w:lang w:val="es-MX"/>
        </w:rPr>
        <w:t>.</w:t>
      </w:r>
      <w:r w:rsidRPr="00073A28">
        <w:rPr>
          <w:rFonts w:ascii="Verdana" w:eastAsia="Calibri" w:hAnsi="Verdana" w:cs="Arial"/>
          <w:lang w:val="es-MX"/>
        </w:rPr>
        <w:t xml:space="preserve"> v) En caso de que no se encomiende al interventor el seguimiento total del contrato, en el contrato de interventoría “se deberán indicar las actividades técnicas a cargo del interventor y las demás quedarán a cargo de la Entidad a través del supervisor” ‒art. 83, inciso 3‒. Finalmente, vi) el contrato de interventoría será supervisado directamente por la entidad ‒art. 83, inciso 4‒.</w:t>
      </w:r>
    </w:p>
    <w:p w14:paraId="02C2253C" w14:textId="77777777" w:rsidR="00636B5B" w:rsidRPr="00073A28" w:rsidRDefault="00636B5B" w:rsidP="00636B5B">
      <w:pPr>
        <w:spacing w:before="120" w:after="0" w:line="276" w:lineRule="auto"/>
        <w:ind w:firstLine="709"/>
        <w:jc w:val="both"/>
        <w:rPr>
          <w:rFonts w:ascii="Verdana" w:eastAsia="Calibri" w:hAnsi="Verdana" w:cs="Arial"/>
          <w:lang w:val="es-MX"/>
        </w:rPr>
      </w:pPr>
      <w:r w:rsidRPr="1F539949">
        <w:rPr>
          <w:rFonts w:ascii="Verdana" w:eastAsia="Calibri" w:hAnsi="Verdana" w:cs="Arial"/>
          <w:lang w:val="es-MX"/>
        </w:rPr>
        <w:t>De lo anterior se desprende que el interventor es un contratista externo a la entidad estatal y al contratista vigilado, de manera que es seleccionado por la entidad estatal mediante los procedimientos del artículo 2 de la Ley 1150 de 2007, en principio, a través del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w:t>
      </w:r>
      <w:r>
        <w:rPr>
          <w:rFonts w:ascii="Verdana" w:eastAsia="Calibri" w:hAnsi="Verdana" w:cs="Arial"/>
          <w:lang w:val="es-MX"/>
        </w:rPr>
        <w:t xml:space="preserve">. </w:t>
      </w:r>
    </w:p>
    <w:p w14:paraId="6D1B1A54" w14:textId="77777777" w:rsidR="00636B5B" w:rsidRPr="00073A28" w:rsidRDefault="00636B5B" w:rsidP="00636B5B">
      <w:pPr>
        <w:spacing w:before="120" w:after="0" w:line="276" w:lineRule="auto"/>
        <w:ind w:firstLine="709"/>
        <w:jc w:val="both"/>
        <w:rPr>
          <w:rFonts w:ascii="Verdana" w:eastAsia="Calibri" w:hAnsi="Verdana" w:cs="Arial"/>
          <w:color w:val="000000"/>
          <w:lang w:val="es-MX"/>
        </w:rPr>
      </w:pPr>
      <w:r w:rsidRPr="1F539949">
        <w:rPr>
          <w:rFonts w:ascii="Verdana" w:eastAsia="Calibri" w:hAnsi="Verdana" w:cs="Arial"/>
          <w:color w:val="000000" w:themeColor="text1"/>
          <w:lang w:val="es-MX"/>
        </w:rPr>
        <w:t>El interventor contratado usará las facultades previstas en el artículo 84 de la Ley 1474 de 2011 para hacer el seguimiento al cumplimiento obligacional del contrato y estará sometido a los deberes y responsabilidades que implica el ejercicio de dicha actividad. De esta forma, aun cuando el contrato de interventoría se celebra con un tercero a quien se le confía la labor de vigilar la ejecución idónea de otro contrato, por lo general a un contrato de obra pública,</w:t>
      </w:r>
      <w:r>
        <w:rPr>
          <w:rFonts w:ascii="Verdana" w:eastAsia="Calibri" w:hAnsi="Verdana" w:cs="Arial"/>
          <w:color w:val="000000" w:themeColor="text1"/>
          <w:lang w:val="es-MX"/>
        </w:rPr>
        <w:t xml:space="preserve"> </w:t>
      </w:r>
      <w:r>
        <w:rPr>
          <w:rFonts w:ascii="Verdana" w:eastAsia="Calibri" w:hAnsi="Verdana" w:cs="Arial"/>
          <w:color w:val="000000" w:themeColor="text1"/>
          <w:lang w:val="es-MX"/>
        </w:rPr>
        <w:lastRenderedPageBreak/>
        <w:t>ello no exime a la entidad de su deber de supervisión de cada contrato celebrado.</w:t>
      </w:r>
      <w:r w:rsidRPr="1F539949">
        <w:rPr>
          <w:rFonts w:ascii="Verdana" w:eastAsia="Calibri" w:hAnsi="Verdana" w:cs="Arial"/>
          <w:color w:val="000000" w:themeColor="text1"/>
          <w:lang w:val="es-MX"/>
        </w:rPr>
        <w:t xml:space="preserve"> Lo anterior en la medida que ambos son mecanismos a través de los cuales las entidades cumplen el deber de vigilar la correcta ejecución de los contratos</w:t>
      </w:r>
      <w:r w:rsidRPr="565EF9E2">
        <w:rPr>
          <w:rFonts w:ascii="Verdana" w:eastAsia="Calibri" w:hAnsi="Verdana" w:cs="Arial"/>
          <w:color w:val="000000" w:themeColor="text1"/>
          <w:lang w:val="es-MX"/>
        </w:rPr>
        <w:t>.</w:t>
      </w:r>
    </w:p>
    <w:p w14:paraId="43CDF6D0" w14:textId="6F779CB5" w:rsidR="00636B5B" w:rsidRPr="00073A28" w:rsidRDefault="00636B5B" w:rsidP="00636B5B">
      <w:pPr>
        <w:spacing w:before="120" w:after="0" w:line="276" w:lineRule="auto"/>
        <w:ind w:firstLine="708"/>
        <w:jc w:val="both"/>
        <w:rPr>
          <w:rFonts w:ascii="Verdana" w:eastAsia="Calibri" w:hAnsi="Verdana" w:cs="Arial"/>
          <w:color w:val="000000"/>
          <w:lang w:val="es-MX"/>
        </w:rPr>
      </w:pPr>
      <w:r w:rsidRPr="00073A28">
        <w:rPr>
          <w:rFonts w:ascii="Verdana" w:eastAsia="Calibri" w:hAnsi="Verdana" w:cs="Arial"/>
          <w:color w:val="000000"/>
          <w:lang w:val="es-MX"/>
        </w:rPr>
        <w:t>Ahora bien,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w:t>
      </w:r>
      <w:r w:rsidRPr="00073A28">
        <w:rPr>
          <w:rFonts w:ascii="Verdana" w:eastAsia="Calibri" w:hAnsi="Verdana" w:cs="Arial"/>
          <w:color w:val="000000"/>
          <w:vertAlign w:val="superscript"/>
          <w:lang w:val="es-MX"/>
        </w:rPr>
        <w:footnoteReference w:id="2"/>
      </w:r>
      <w:r w:rsidRPr="00073A28">
        <w:rPr>
          <w:rFonts w:ascii="Verdana" w:eastAsia="Calibri" w:hAnsi="Verdana" w:cs="Arial"/>
          <w:color w:val="000000"/>
          <w:lang w:val="es-MX"/>
        </w:rPr>
        <w:t>.</w:t>
      </w:r>
      <w:r w:rsidR="00CA6E2C">
        <w:rPr>
          <w:rFonts w:ascii="Verdana" w:eastAsia="Calibri" w:hAnsi="Verdana" w:cs="Arial"/>
          <w:color w:val="000000"/>
          <w:lang w:val="es-MX"/>
        </w:rPr>
        <w:t xml:space="preserve"> </w:t>
      </w:r>
      <w:r>
        <w:rPr>
          <w:rFonts w:ascii="Verdana" w:eastAsia="Calibri" w:hAnsi="Verdana" w:cs="Arial"/>
          <w:color w:val="000000"/>
        </w:rPr>
        <w:t>El</w:t>
      </w:r>
      <w:r w:rsidRPr="00650BF3">
        <w:rPr>
          <w:rFonts w:ascii="Verdana" w:eastAsia="Calibri" w:hAnsi="Verdana" w:cs="Arial"/>
          <w:color w:val="000000"/>
        </w:rPr>
        <w:t xml:space="preserve"> contrato de interventoría conserva su independencia respecto del contrato principal en determinados aspectos, como el incumplimiento contractual. En efecto, el incumplimiento del contrato vigilado, por ejemplo</w:t>
      </w:r>
      <w:r>
        <w:rPr>
          <w:rFonts w:ascii="Verdana" w:eastAsia="Calibri" w:hAnsi="Verdana" w:cs="Arial"/>
          <w:color w:val="000000"/>
        </w:rPr>
        <w:t>,</w:t>
      </w:r>
      <w:r w:rsidRPr="00650BF3">
        <w:rPr>
          <w:rFonts w:ascii="Verdana" w:eastAsia="Calibri" w:hAnsi="Verdana" w:cs="Arial"/>
          <w:color w:val="000000"/>
        </w:rPr>
        <w:t xml:space="preserve"> el de obra, no implica automáticamente el incumplimiento del contrato de interventoría.</w:t>
      </w:r>
      <w:r>
        <w:rPr>
          <w:rFonts w:ascii="Verdana" w:eastAsia="Calibri" w:hAnsi="Verdana" w:cs="Arial"/>
          <w:color w:val="000000"/>
        </w:rPr>
        <w:t xml:space="preserve"> </w:t>
      </w:r>
      <w:r w:rsidRPr="00650BF3">
        <w:rPr>
          <w:rFonts w:ascii="Verdana" w:eastAsia="Calibri" w:hAnsi="Verdana" w:cs="Arial"/>
          <w:color w:val="000000"/>
        </w:rPr>
        <w:t xml:space="preserve">Sin embargo, dicha autonomía no es absoluta. En lo relativo a la prórroga, </w:t>
      </w:r>
      <w:r>
        <w:rPr>
          <w:rFonts w:ascii="Verdana" w:eastAsia="Calibri" w:hAnsi="Verdana" w:cs="Arial"/>
          <w:color w:val="000000"/>
        </w:rPr>
        <w:t xml:space="preserve">el artículo 85 de </w:t>
      </w:r>
      <w:r w:rsidRPr="00650BF3">
        <w:rPr>
          <w:rFonts w:ascii="Verdana" w:eastAsia="Calibri" w:hAnsi="Verdana" w:cs="Arial"/>
          <w:color w:val="000000"/>
        </w:rPr>
        <w:t>la Ley 1474 de 2011</w:t>
      </w:r>
      <w:r>
        <w:rPr>
          <w:rFonts w:ascii="Verdana" w:eastAsia="Calibri" w:hAnsi="Verdana" w:cs="Arial"/>
          <w:color w:val="000000"/>
        </w:rPr>
        <w:t xml:space="preserve">, </w:t>
      </w:r>
      <w:r w:rsidRPr="00650BF3">
        <w:rPr>
          <w:rFonts w:ascii="Verdana" w:eastAsia="Calibri" w:hAnsi="Verdana" w:cs="Arial"/>
          <w:color w:val="000000"/>
        </w:rPr>
        <w:t>contempla la posibilidad de que, cuando se prorrogue el contrato principal, también se amplíe la interventoría, incluso en un porcentaje superior al cincuenta por ciento (50%) de su valor inicial, siempre que ello resulte necesario para garantizar la continuidad de la supervisión y se cumplan las exigencias legales aplicables</w:t>
      </w:r>
      <w:r>
        <w:rPr>
          <w:rFonts w:ascii="Verdana" w:eastAsia="Calibri" w:hAnsi="Verdana" w:cs="Arial"/>
          <w:color w:val="000000"/>
        </w:rPr>
        <w:t>.</w:t>
      </w:r>
    </w:p>
    <w:p w14:paraId="4F826280" w14:textId="77777777" w:rsidR="00636B5B" w:rsidRPr="00076626" w:rsidRDefault="00636B5B" w:rsidP="00636B5B">
      <w:pPr>
        <w:spacing w:before="120" w:after="120" w:line="276" w:lineRule="auto"/>
        <w:ind w:firstLine="709"/>
        <w:jc w:val="both"/>
        <w:rPr>
          <w:rFonts w:ascii="Verdana" w:eastAsia="Calibri" w:hAnsi="Verdana" w:cs="Arial"/>
          <w:color w:val="000000"/>
        </w:rPr>
      </w:pPr>
      <w:r w:rsidRPr="05FE03FA">
        <w:rPr>
          <w:rFonts w:ascii="Verdana" w:eastAsia="Calibri" w:hAnsi="Verdana" w:cs="Arial"/>
          <w:color w:val="000000" w:themeColor="text1"/>
          <w:lang w:val="es-MX"/>
        </w:rPr>
        <w:t xml:space="preserve">El contrato de interventoría es un contrato bilateral, conmutativo y oneroso, por lo que crea obligaciones tanto para la entidad contratante como para el contratista interventor. Asimismo, este contrato es de ejecución sucesiva, toda vez que, las prestaciones se prologan en el tiempo, es decir, la satisfacción de las prestaciones no se da con la prestación de un solo servicio, sino que se requiere el desarrollo de dicha actividad durante un periodo de tiempo. </w:t>
      </w:r>
      <w:r w:rsidRPr="05FE03FA">
        <w:rPr>
          <w:rFonts w:ascii="Verdana" w:eastAsia="Calibri" w:hAnsi="Verdana" w:cs="Arial"/>
          <w:color w:val="000000" w:themeColor="text1"/>
        </w:rPr>
        <w:t>No obstante, la interventoría también puede ser de ejecución inmediata cuando su objeto recae sobre obligaciones que deben cumplirse en un solo acto o dentro de un periodo breve. En esos casos, si el contrato principal es de ejecución instantánea, por ejemplo, la entrega de un bien o la realización de una actividad puntual, la interventoría puede compartir esa misma naturaleza, limitándose al seguimiento y verificación de dichas obligaciones específicas, sin que ello implique que sea de ejecución sucesiva.</w:t>
      </w:r>
    </w:p>
    <w:p w14:paraId="5809B9A4" w14:textId="77777777" w:rsidR="00636B5B" w:rsidRDefault="00636B5B" w:rsidP="00636B5B">
      <w:pPr>
        <w:spacing w:before="120" w:after="120" w:line="276" w:lineRule="auto"/>
        <w:ind w:firstLine="709"/>
        <w:jc w:val="both"/>
        <w:rPr>
          <w:rFonts w:ascii="Verdana" w:hAnsi="Verdana" w:cs="Arial"/>
          <w:color w:val="000000" w:themeColor="text1"/>
          <w:kern w:val="2"/>
          <w14:ligatures w14:val="standardContextual"/>
        </w:rPr>
      </w:pPr>
      <w:r w:rsidRPr="1F539949">
        <w:rPr>
          <w:rFonts w:ascii="Verdana" w:hAnsi="Verdana" w:cs="Arial"/>
          <w:color w:val="000000" w:themeColor="text1"/>
          <w:kern w:val="2"/>
          <w:lang w:val="es-ES"/>
          <w14:ligatures w14:val="standardContextual"/>
        </w:rPr>
        <w:t xml:space="preserve">Ahora bien, como se explicó previamente, las obligaciones del interventor se derivan de dos fuentes: i) las disposiciones normativas de carácter legal o reglamentario y </w:t>
      </w:r>
      <w:proofErr w:type="spellStart"/>
      <w:r w:rsidRPr="05FE03FA">
        <w:rPr>
          <w:rFonts w:ascii="Verdana" w:hAnsi="Verdana" w:cs="Arial"/>
          <w:color w:val="000000" w:themeColor="text1"/>
          <w:lang w:val="es-ES"/>
        </w:rPr>
        <w:t>ii</w:t>
      </w:r>
      <w:proofErr w:type="spellEnd"/>
      <w:r w:rsidRPr="05FE03FA">
        <w:rPr>
          <w:rFonts w:ascii="Verdana" w:hAnsi="Verdana" w:cs="Arial"/>
          <w:color w:val="000000" w:themeColor="text1"/>
          <w:lang w:val="es-ES"/>
        </w:rPr>
        <w:t xml:space="preserve">) el contrato –lo que incluye no solo la minuta, sino también el pliego de condiciones, o el documento equivalente, y sus anexos–. En efecto, la </w:t>
      </w:r>
      <w:r w:rsidRPr="05FE03FA">
        <w:rPr>
          <w:rFonts w:ascii="Verdana" w:hAnsi="Verdana" w:cs="Arial"/>
          <w:color w:val="000000" w:themeColor="text1"/>
          <w:lang w:val="es-ES"/>
        </w:rPr>
        <w:lastRenderedPageBreak/>
        <w:t>Ley 1474 de 2011 es el principal cuerpo normativo en el que se encuentran consagrados los deberes de los interventores. Estas obligaciones, con fundamento en los artículos 83 –inciso 3– y 84 de dicha Ley, se sintetizan en el ejercicio de una adecuada inspección del cumplimiento del contrato objeto de interventoría. Por ello, como indica el referido artículo 84, “Los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Esto no obsta para que las partes, en ejercicio de su autonomía de la voluntad, puedan estipular en el contrato –con la debida justificación– obligaciones conexas, que el interventor también deberá cumplir, e incluso contemplar que el plazo de ejecución del contrato de interventoría.</w:t>
      </w:r>
    </w:p>
    <w:p w14:paraId="0823AD10" w14:textId="77777777" w:rsidR="00636B5B" w:rsidRPr="00073A28" w:rsidRDefault="00636B5B" w:rsidP="00636B5B">
      <w:pPr>
        <w:spacing w:after="0" w:line="276" w:lineRule="auto"/>
        <w:ind w:firstLine="708"/>
        <w:jc w:val="both"/>
        <w:rPr>
          <w:rFonts w:ascii="Verdana" w:hAnsi="Verdana" w:cs="Arial"/>
          <w:color w:val="000000" w:themeColor="text1"/>
          <w:lang w:val="es-ES"/>
        </w:rPr>
      </w:pPr>
      <w:r w:rsidRPr="1F539949">
        <w:rPr>
          <w:rFonts w:ascii="Verdana" w:hAnsi="Verdana" w:cs="Arial"/>
          <w:color w:val="000000" w:themeColor="text1"/>
          <w:lang w:val="es-ES"/>
        </w:rPr>
        <w:t>De otra parte, resulta importante señalar que la liquidación es el momento en el cual, una vez concluido el plazo de ejecución de un</w:t>
      </w:r>
      <w:r>
        <w:rPr>
          <w:rFonts w:ascii="Verdana" w:hAnsi="Verdana" w:cs="Arial"/>
          <w:color w:val="000000" w:themeColor="text1"/>
          <w:lang w:val="es-ES"/>
        </w:rPr>
        <w:t xml:space="preserve"> </w:t>
      </w:r>
      <w:r w:rsidRPr="1F539949">
        <w:rPr>
          <w:rFonts w:ascii="Verdana" w:hAnsi="Verdana" w:cs="Arial"/>
          <w:color w:val="000000" w:themeColor="text1"/>
          <w:lang w:val="es-ES"/>
        </w:rPr>
        <w:t>contrato estatal, las partes cruzan cuentas respecto de sus obligaciones, por tanto, su objetivo es determinar si pueden declararse a paz y salvo mutuo o si, por el contrario, existen aún obligaciones por cumplir, para acordar la forma en que deben ser cumplidas</w:t>
      </w:r>
      <w:r w:rsidRPr="1F539949">
        <w:rPr>
          <w:rFonts w:ascii="Verdana" w:hAnsi="Verdana" w:cs="Arial"/>
          <w:color w:val="000000" w:themeColor="text1"/>
          <w:vertAlign w:val="superscript"/>
          <w:lang w:val="es-ES"/>
        </w:rPr>
        <w:footnoteReference w:id="3"/>
      </w:r>
      <w:r w:rsidRPr="1F539949">
        <w:rPr>
          <w:rFonts w:ascii="Verdana" w:hAnsi="Verdana" w:cs="Arial"/>
          <w:color w:val="000000" w:themeColor="text1"/>
          <w:lang w:val="es-ES"/>
        </w:rPr>
        <w:t>. En armonía con lo anterior, la doctrina ha definido la liquidación de la siguiente manera:</w:t>
      </w:r>
    </w:p>
    <w:p w14:paraId="5BB2E22D" w14:textId="77777777" w:rsidR="00636B5B" w:rsidRPr="00073A28" w:rsidRDefault="00636B5B" w:rsidP="00636B5B">
      <w:pPr>
        <w:spacing w:after="0" w:line="276" w:lineRule="auto"/>
        <w:jc w:val="both"/>
        <w:rPr>
          <w:rFonts w:ascii="Verdana" w:hAnsi="Verdana" w:cs="Arial"/>
          <w:color w:val="000000" w:themeColor="text1"/>
          <w:lang w:val="es-ES"/>
        </w:rPr>
      </w:pPr>
    </w:p>
    <w:p w14:paraId="789BCE5B" w14:textId="77777777" w:rsidR="00636B5B" w:rsidRPr="00C40679" w:rsidRDefault="00636B5B" w:rsidP="00636B5B">
      <w:pPr>
        <w:spacing w:after="0" w:line="240" w:lineRule="auto"/>
        <w:ind w:left="709" w:right="758"/>
        <w:jc w:val="both"/>
        <w:rPr>
          <w:rFonts w:ascii="Verdana" w:hAnsi="Verdana" w:cs="Arial"/>
          <w:sz w:val="20"/>
          <w:szCs w:val="20"/>
          <w:lang w:val="es-MX"/>
        </w:rPr>
      </w:pPr>
      <w:r w:rsidRPr="05FE03FA">
        <w:rPr>
          <w:rFonts w:ascii="Verdana" w:hAnsi="Verdana" w:cs="Arial"/>
          <w:i/>
          <w:color w:val="000000" w:themeColor="text1"/>
          <w:sz w:val="20"/>
          <w:szCs w:val="20"/>
          <w:lang w:val="es-ES"/>
        </w:rPr>
        <w:t>“</w:t>
      </w:r>
      <w:r w:rsidRPr="00C40679">
        <w:rPr>
          <w:rFonts w:ascii="Verdana"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w:t>
      </w:r>
      <w:r w:rsidRPr="00C40679">
        <w:rPr>
          <w:rFonts w:ascii="Verdana" w:hAnsi="Verdana" w:cs="Arial"/>
          <w:sz w:val="20"/>
          <w:szCs w:val="20"/>
          <w:lang w:val="es-MX"/>
        </w:rPr>
        <w:lastRenderedPageBreak/>
        <w:t xml:space="preserve">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C40679">
        <w:rPr>
          <w:rFonts w:ascii="Verdana" w:hAnsi="Verdana" w:cs="Arial"/>
          <w:sz w:val="20"/>
          <w:szCs w:val="20"/>
          <w:lang w:val="es-MX"/>
        </w:rPr>
        <w:t>ii</w:t>
      </w:r>
      <w:proofErr w:type="spellEnd"/>
      <w:r w:rsidRPr="00C40679">
        <w:rPr>
          <w:rFonts w:ascii="Verdana"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C40679">
        <w:rPr>
          <w:rFonts w:ascii="Verdana" w:hAnsi="Verdana" w:cs="Arial"/>
          <w:sz w:val="20"/>
          <w:szCs w:val="20"/>
          <w:vertAlign w:val="superscript"/>
          <w:lang w:val="es-MX"/>
        </w:rPr>
        <w:footnoteReference w:id="4"/>
      </w:r>
      <w:r w:rsidRPr="00C40679">
        <w:rPr>
          <w:rFonts w:ascii="Verdana" w:hAnsi="Verdana" w:cs="Arial"/>
          <w:sz w:val="20"/>
          <w:szCs w:val="20"/>
          <w:lang w:val="es-MX"/>
        </w:rPr>
        <w:t xml:space="preserve">. </w:t>
      </w:r>
    </w:p>
    <w:p w14:paraId="0C487C7C" w14:textId="77777777" w:rsidR="00636B5B" w:rsidRPr="00073A28" w:rsidRDefault="00636B5B" w:rsidP="00636B5B">
      <w:pPr>
        <w:spacing w:after="0" w:line="240" w:lineRule="auto"/>
        <w:ind w:left="709" w:right="758"/>
        <w:jc w:val="both"/>
        <w:rPr>
          <w:rFonts w:ascii="Verdana" w:hAnsi="Verdana" w:cs="Arial"/>
          <w:lang w:val="es-MX"/>
        </w:rPr>
      </w:pPr>
    </w:p>
    <w:p w14:paraId="53DC6B9A" w14:textId="77777777" w:rsidR="00636B5B" w:rsidRPr="00C40679" w:rsidRDefault="00636B5B" w:rsidP="00636B5B">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De lo expuesto se concluye que la interventoría constituye un mecanismo legal de vigilancia y control previsto por el legislador para garantizar la correcta ejecución del objeto contractual, enmarcado dentro del principio de moralidad administrativa consagrado en el artículo 83 de la Ley 1474 de 2011. Dicho precepto impone a las entidades públicas la obligación de ejercer vigilancia permanente sobre los contratos estatales, a través de supervisión o interventoría, según corresponda.</w:t>
      </w:r>
    </w:p>
    <w:p w14:paraId="4A18C285" w14:textId="77777777" w:rsidR="00636B5B" w:rsidRPr="00C40679" w:rsidRDefault="00636B5B" w:rsidP="00636B5B">
      <w:pPr>
        <w:spacing w:after="120" w:line="276" w:lineRule="auto"/>
        <w:ind w:firstLine="709"/>
        <w:jc w:val="both"/>
        <w:rPr>
          <w:rFonts w:ascii="Verdana" w:hAnsi="Verdana" w:cs="Arial"/>
          <w:color w:val="000000" w:themeColor="text1"/>
          <w:lang w:val="es-ES"/>
        </w:rPr>
      </w:pPr>
      <w:r w:rsidRPr="1F539949">
        <w:rPr>
          <w:rFonts w:ascii="Verdana" w:hAnsi="Verdana" w:cs="Arial"/>
          <w:color w:val="000000" w:themeColor="text1"/>
          <w:lang w:val="es-ES"/>
        </w:rPr>
        <w:t>En este contexto, la Ley 1474 de 2011, en concordancia con los artículos 32 y 53 de la Ley 80 de 1993, dispone que la interventoría debe mantenerse durante toda la ejecución del contrato de obra, de modo que el control técnico, financiero, administrativo y jurídico del proyecto se ejerza hasta la culminación del objeto contractual.</w:t>
      </w:r>
    </w:p>
    <w:p w14:paraId="32EB3E69" w14:textId="77777777" w:rsidR="00636B5B" w:rsidRPr="00073A28" w:rsidRDefault="00636B5B" w:rsidP="00636B5B">
      <w:pPr>
        <w:spacing w:after="120" w:line="276" w:lineRule="auto"/>
        <w:ind w:firstLine="708"/>
        <w:jc w:val="both"/>
        <w:rPr>
          <w:rFonts w:ascii="Verdana" w:hAnsi="Verdana" w:cs="Arial"/>
          <w:color w:val="000000" w:themeColor="text1"/>
          <w:lang w:val="es-ES"/>
        </w:rPr>
      </w:pPr>
      <w:r w:rsidRPr="1F539949">
        <w:rPr>
          <w:rFonts w:ascii="Verdana" w:hAnsi="Verdana" w:cs="Arial"/>
          <w:color w:val="000000" w:themeColor="text1"/>
          <w:lang w:val="es-ES"/>
        </w:rPr>
        <w:t xml:space="preserve">En consecuencia, cualquier decisión </w:t>
      </w:r>
      <w:r w:rsidRPr="565EF9E2">
        <w:rPr>
          <w:rFonts w:ascii="Verdana" w:hAnsi="Verdana" w:cs="Arial"/>
          <w:color w:val="000000" w:themeColor="text1"/>
          <w:lang w:val="es-ES"/>
        </w:rPr>
        <w:t>contractual</w:t>
      </w:r>
      <w:r w:rsidRPr="1F539949">
        <w:rPr>
          <w:rFonts w:ascii="Verdana" w:hAnsi="Verdana" w:cs="Arial"/>
          <w:color w:val="000000" w:themeColor="text1"/>
          <w:lang w:val="es-ES"/>
        </w:rPr>
        <w:t xml:space="preserve"> que implique la terminación o liquidación de la interventoría con anterioridad a la </w:t>
      </w:r>
      <w:r w:rsidRPr="565EF9E2">
        <w:rPr>
          <w:rFonts w:ascii="Verdana" w:hAnsi="Verdana" w:cs="Arial"/>
          <w:color w:val="000000" w:themeColor="text1"/>
          <w:lang w:val="es-ES"/>
        </w:rPr>
        <w:t xml:space="preserve">liquidación </w:t>
      </w:r>
      <w:r>
        <w:rPr>
          <w:rFonts w:ascii="Verdana" w:hAnsi="Verdana" w:cs="Arial"/>
          <w:color w:val="000000" w:themeColor="text1"/>
          <w:lang w:val="es-ES"/>
        </w:rPr>
        <w:t>del</w:t>
      </w:r>
      <w:r w:rsidRPr="1F539949">
        <w:rPr>
          <w:rFonts w:ascii="Verdana" w:hAnsi="Verdana" w:cs="Arial"/>
          <w:color w:val="000000" w:themeColor="text1"/>
          <w:lang w:val="es-ES"/>
        </w:rPr>
        <w:t xml:space="preserve"> contrato de obra deberá ajustarse a las disposiciones legales vigentes y prever las medidas necesarias para asegurar el cumplimiento efectivo del deber de vigilancia permanente que la ley impone a las entidades estatales.</w:t>
      </w:r>
    </w:p>
    <w:p w14:paraId="05C610AC" w14:textId="77777777" w:rsidR="00636B5B" w:rsidRPr="000D1DE6" w:rsidRDefault="00636B5B" w:rsidP="00636B5B">
      <w:pPr>
        <w:spacing w:after="120" w:line="276" w:lineRule="auto"/>
        <w:ind w:firstLine="709"/>
        <w:jc w:val="both"/>
        <w:rPr>
          <w:rFonts w:ascii="Verdana" w:hAnsi="Verdana" w:cs="Arial"/>
          <w:color w:val="000000" w:themeColor="text1"/>
          <w:lang w:val="es-ES"/>
        </w:rPr>
      </w:pPr>
      <w:r w:rsidRPr="1F539949">
        <w:rPr>
          <w:rFonts w:ascii="Verdana" w:hAnsi="Verdana" w:cs="Arial"/>
          <w:color w:val="000000" w:themeColor="text1"/>
          <w:lang w:val="es-ES"/>
        </w:rPr>
        <w:t>La Ley 80 de 1993 y la Ley 1474 de 2011 establecen que la vigilancia de los contratos estatales constituye una obligación legal e ineludible de las entidades públicas, enmarcada en el principio de moralidad administrativa y orientada a garantizar la correcta ejecución del objeto contractual. En particular, el artículo 83 de la Ley 1474 de 2011 dispone que las entidades están obligadas a vigilar permanentemente la ejecución del contrato, a través de la figura de la supervisión o de la interventoría, según la naturaleza y complejidad del contrato.</w:t>
      </w:r>
    </w:p>
    <w:p w14:paraId="1A7A57C0" w14:textId="77777777" w:rsidR="00636B5B" w:rsidRDefault="00636B5B" w:rsidP="00636B5B">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lastRenderedPageBreak/>
        <w:t>Conforme a la Guía para el ejercicio de las funciones de supervisión e interventoría elaborada por Colombia Compra Eficiente</w:t>
      </w:r>
      <w:r>
        <w:rPr>
          <w:rStyle w:val="Refdenotaalpie"/>
          <w:rFonts w:ascii="Verdana" w:hAnsi="Verdana" w:cs="Arial"/>
          <w:color w:val="000000" w:themeColor="text1"/>
          <w:lang w:val="es-ES_tradnl"/>
        </w:rPr>
        <w:footnoteReference w:id="5"/>
      </w:r>
      <w:r w:rsidRPr="05FE03FA">
        <w:rPr>
          <w:rFonts w:ascii="Verdana" w:hAnsi="Verdana" w:cs="Arial"/>
          <w:color w:val="000000" w:themeColor="text1"/>
          <w:lang w:val="es-ES"/>
        </w:rPr>
        <w:t>, la vigilancia contractual comprende un conjunto de actividades interdisciplinarias, técnicas, financieras, administrativas, contables y jurídicas, orientadas a asegurar el cumplimiento integral de las obligaciones del contrato y la correcta administración de los recursos públicos.</w:t>
      </w:r>
    </w:p>
    <w:p w14:paraId="62851C3E" w14:textId="77777777" w:rsidR="00636B5B" w:rsidRPr="000D1DE6" w:rsidRDefault="00636B5B" w:rsidP="00636B5B">
      <w:pPr>
        <w:spacing w:after="120" w:line="276" w:lineRule="auto"/>
        <w:ind w:firstLine="709"/>
        <w:jc w:val="both"/>
        <w:rPr>
          <w:rFonts w:ascii="Verdana" w:hAnsi="Verdana" w:cs="Arial"/>
          <w:color w:val="000000" w:themeColor="text1"/>
          <w:lang w:val="es-ES"/>
        </w:rPr>
      </w:pPr>
      <w:r w:rsidRPr="05FE03FA">
        <w:rPr>
          <w:rFonts w:ascii="Verdana" w:hAnsi="Verdana" w:cs="Arial"/>
          <w:color w:val="000000" w:themeColor="text1"/>
          <w:lang w:val="es-ES"/>
        </w:rPr>
        <w:t>El interventor se encuentra sujeto a los deberes y responsabilidades previstos en los artículos 83 y 84 de la Ley 1474 de 2011, entre ellos la obligación de informar oportunamente a la entidad sobre hechos que puedan constituir incumplimientos, riesgos de detrimento patrimonial o posibles actos de corrupción. Además, el interventor debe mantener informada a la entidad y entregar los informes de seguimiento requeridos, bajo la supervisión directa de un servidor público designado por la entidad estatal</w:t>
      </w:r>
    </w:p>
    <w:p w14:paraId="279958E8" w14:textId="77777777" w:rsidR="00636B5B" w:rsidRPr="000D1DE6" w:rsidRDefault="00636B5B" w:rsidP="00636B5B">
      <w:pPr>
        <w:spacing w:after="120" w:line="276" w:lineRule="auto"/>
        <w:ind w:firstLine="708"/>
        <w:jc w:val="both"/>
        <w:rPr>
          <w:rFonts w:ascii="Verdana" w:hAnsi="Verdana" w:cs="Arial"/>
          <w:color w:val="000000" w:themeColor="text1"/>
          <w:lang w:val="es-ES"/>
        </w:rPr>
      </w:pPr>
      <w:r w:rsidRPr="05FE03FA">
        <w:rPr>
          <w:rFonts w:ascii="Verdana" w:hAnsi="Verdana" w:cs="Arial"/>
          <w:color w:val="000000" w:themeColor="text1"/>
          <w:lang w:val="es-ES"/>
        </w:rPr>
        <w:t>Por su parte, la Guía de Colombia Compra Eficiente resalta que la entidad contratante debe designar un supervisor para el contrato de interventoría, quien será responsable de verificar el cumplimiento de las obligaciones del interventor y de asegurar la adecuada coordinación entre los plazos de la interventoría y del contrato de obra. Así, la Guía enfatiza que los plazos de ambos contratos deben planearse y armonizarse para garantizar la existencia continua de la interventoría durante toda la ejecución del contrato principal y hasta la finalización de sus obligaciones.</w:t>
      </w:r>
    </w:p>
    <w:p w14:paraId="40F482B7" w14:textId="77777777" w:rsidR="00636B5B" w:rsidRPr="000D1DE6" w:rsidRDefault="00636B5B" w:rsidP="00636B5B">
      <w:pPr>
        <w:spacing w:after="120" w:line="276" w:lineRule="auto"/>
        <w:ind w:firstLine="709"/>
        <w:jc w:val="both"/>
        <w:rPr>
          <w:rFonts w:ascii="Verdana" w:hAnsi="Verdana" w:cs="Arial"/>
          <w:color w:val="000000" w:themeColor="text1"/>
          <w:lang w:val="es-ES"/>
        </w:rPr>
      </w:pPr>
      <w:r w:rsidRPr="1F539949">
        <w:rPr>
          <w:rFonts w:ascii="Verdana" w:hAnsi="Verdana" w:cs="Arial"/>
          <w:color w:val="000000" w:themeColor="text1"/>
          <w:lang w:val="es-ES"/>
        </w:rPr>
        <w:t xml:space="preserve">En consecuencia, si por razones excepcionales la interventoría fuera liquidada sin haberse </w:t>
      </w:r>
      <w:r w:rsidRPr="565EF9E2">
        <w:rPr>
          <w:rFonts w:ascii="Verdana" w:hAnsi="Verdana" w:cs="Arial"/>
          <w:color w:val="000000" w:themeColor="text1"/>
          <w:lang w:val="es-ES"/>
        </w:rPr>
        <w:t>liquidado</w:t>
      </w:r>
      <w:r w:rsidRPr="1F539949">
        <w:rPr>
          <w:rFonts w:ascii="Verdana" w:hAnsi="Verdana" w:cs="Arial"/>
          <w:color w:val="000000" w:themeColor="text1"/>
          <w:lang w:val="es-ES"/>
        </w:rPr>
        <w:t xml:space="preserve"> el contrato de obra, corresponderá a la entidad estatal, de acuerdo con las circunstancias del caso concreto, determinar los mecanismos que aseguren el cumplimiento del deber legal de vigilancia. La elección de tales mecanismos debe atender los principios de planeación, eficiencia y responsabilidad, se sugiere </w:t>
      </w:r>
      <w:r w:rsidRPr="565EF9E2">
        <w:rPr>
          <w:rFonts w:ascii="Verdana" w:hAnsi="Verdana" w:cs="Arial"/>
          <w:color w:val="000000" w:themeColor="text1"/>
          <w:lang w:val="es-ES"/>
        </w:rPr>
        <w:t xml:space="preserve">en caso de ser viable, </w:t>
      </w:r>
      <w:proofErr w:type="spellStart"/>
      <w:r w:rsidRPr="565EF9E2">
        <w:rPr>
          <w:rFonts w:ascii="Verdana" w:hAnsi="Verdana" w:cs="Arial"/>
          <w:color w:val="000000" w:themeColor="text1"/>
          <w:lang w:val="es-ES"/>
        </w:rPr>
        <w:t>desgignar</w:t>
      </w:r>
      <w:proofErr w:type="spellEnd"/>
      <w:r w:rsidRPr="565EF9E2">
        <w:rPr>
          <w:rFonts w:ascii="Verdana" w:hAnsi="Verdana" w:cs="Arial"/>
          <w:color w:val="000000" w:themeColor="text1"/>
          <w:lang w:val="es-ES"/>
        </w:rPr>
        <w:t xml:space="preserve"> un supervisor para </w:t>
      </w:r>
      <w:r w:rsidRPr="1F539949">
        <w:rPr>
          <w:rFonts w:ascii="Verdana" w:hAnsi="Verdana" w:cs="Arial"/>
          <w:color w:val="000000" w:themeColor="text1"/>
          <w:lang w:val="es-ES"/>
        </w:rPr>
        <w:t xml:space="preserve">que sea quien </w:t>
      </w:r>
      <w:r w:rsidRPr="565EF9E2">
        <w:rPr>
          <w:rFonts w:ascii="Verdana" w:hAnsi="Verdana" w:cs="Arial"/>
          <w:color w:val="000000" w:themeColor="text1"/>
          <w:lang w:val="es-ES"/>
        </w:rPr>
        <w:t>continue</w:t>
      </w:r>
      <w:r w:rsidRPr="1F539949">
        <w:rPr>
          <w:rFonts w:ascii="Verdana" w:hAnsi="Verdana" w:cs="Arial"/>
          <w:color w:val="000000" w:themeColor="text1"/>
          <w:lang w:val="es-ES"/>
        </w:rPr>
        <w:t xml:space="preserve"> ejerciendo las funciones de seguimiento, control y </w:t>
      </w:r>
      <w:r w:rsidRPr="565EF9E2">
        <w:rPr>
          <w:rFonts w:ascii="Verdana" w:hAnsi="Verdana" w:cs="Arial"/>
          <w:color w:val="000000" w:themeColor="text1"/>
          <w:lang w:val="es-ES"/>
        </w:rPr>
        <w:t>vigilancia</w:t>
      </w:r>
      <w:r w:rsidRPr="1F539949">
        <w:rPr>
          <w:rFonts w:ascii="Verdana" w:hAnsi="Verdana" w:cs="Arial"/>
          <w:color w:val="000000" w:themeColor="text1"/>
          <w:lang w:val="es-ES"/>
        </w:rPr>
        <w:t xml:space="preserve"> previstas en la normativa aplicable, conforme al artículo 83 de la Ley 1474 de 2011 y la Guía institucional sobre supervisión e interventoría.</w:t>
      </w:r>
    </w:p>
    <w:p w14:paraId="7F47766D" w14:textId="77777777" w:rsidR="00636B5B" w:rsidRPr="000D1DE6" w:rsidRDefault="00636B5B" w:rsidP="00636B5B">
      <w:pPr>
        <w:spacing w:after="120" w:line="276" w:lineRule="auto"/>
        <w:ind w:firstLine="709"/>
        <w:jc w:val="both"/>
        <w:rPr>
          <w:rFonts w:ascii="Verdana" w:hAnsi="Verdana" w:cs="Arial"/>
          <w:color w:val="000000" w:themeColor="text1"/>
          <w:lang w:val="es-ES"/>
        </w:rPr>
      </w:pPr>
      <w:r w:rsidRPr="565EF9E2">
        <w:rPr>
          <w:rFonts w:ascii="Verdana" w:hAnsi="Verdana" w:cs="Arial"/>
          <w:color w:val="000000" w:themeColor="text1"/>
          <w:lang w:val="es-ES"/>
        </w:rPr>
        <w:t xml:space="preserve">Por tanto, será decisión de la entidad estatal definir las acciones administrativas y contractuales necesarias para garantizar la continuidad del </w:t>
      </w:r>
      <w:r w:rsidRPr="565EF9E2">
        <w:rPr>
          <w:rFonts w:ascii="Verdana" w:hAnsi="Verdana" w:cs="Arial"/>
          <w:color w:val="000000" w:themeColor="text1"/>
          <w:lang w:val="es-ES"/>
        </w:rPr>
        <w:lastRenderedPageBreak/>
        <w:t>control hasta la liquidación del contrato de obra, sin perjuicio de la obligación de ajustar sus actuaciones a las disposiciones legales que ordenan mantener una vigilancia permanente durante toda la ejecución del contrato.</w:t>
      </w:r>
    </w:p>
    <w:p w14:paraId="73972C87" w14:textId="77777777" w:rsidR="00636B5B" w:rsidRPr="00116DEE" w:rsidRDefault="00636B5B" w:rsidP="00B70C7B">
      <w:pPr>
        <w:spacing w:after="0" w:line="276" w:lineRule="auto"/>
        <w:ind w:firstLine="709"/>
        <w:jc w:val="both"/>
        <w:rPr>
          <w:rFonts w:ascii="Verdana" w:hAnsi="Verdana" w:cs="Arial"/>
          <w:color w:val="000000" w:themeColor="text1"/>
          <w:lang w:val="es-ES"/>
        </w:rPr>
      </w:pPr>
      <w:r w:rsidRPr="1F539949">
        <w:rPr>
          <w:rFonts w:ascii="Verdana" w:hAnsi="Verdana" w:cs="Arial"/>
          <w:color w:val="000000" w:themeColor="text1"/>
          <w:lang w:val="es-ES"/>
        </w:rPr>
        <w:t xml:space="preserve">Conforme a lo indicado, y en virtud de los artículos 32 y 53 de la Ley 80 de 1993, y 83 y 84 de la Ley 1474 de 2011, así como de las directrices contenidas en la Guía para el ejercicio de las funciones de supervisión e interventoría de los contratos suscritos por las Entidades Estatales, no debería </w:t>
      </w:r>
      <w:r>
        <w:rPr>
          <w:rFonts w:ascii="Verdana" w:hAnsi="Verdana" w:cs="Arial"/>
          <w:color w:val="000000" w:themeColor="text1"/>
          <w:lang w:val="es-ES"/>
        </w:rPr>
        <w:t xml:space="preserve">terminar el plazo del </w:t>
      </w:r>
      <w:r w:rsidRPr="565EF9E2">
        <w:rPr>
          <w:rFonts w:ascii="Verdana" w:hAnsi="Verdana" w:cs="Arial"/>
          <w:color w:val="000000" w:themeColor="text1"/>
          <w:lang w:val="es-ES"/>
        </w:rPr>
        <w:t>contrato</w:t>
      </w:r>
      <w:r w:rsidRPr="1F539949">
        <w:rPr>
          <w:rFonts w:ascii="Verdana" w:hAnsi="Verdana" w:cs="Arial"/>
          <w:color w:val="000000" w:themeColor="text1"/>
          <w:lang w:val="es-ES"/>
        </w:rPr>
        <w:t xml:space="preserve"> de interventoría antes de la finalización del</w:t>
      </w:r>
      <w:r>
        <w:rPr>
          <w:rFonts w:ascii="Verdana" w:hAnsi="Verdana" w:cs="Arial"/>
          <w:color w:val="000000" w:themeColor="text1"/>
          <w:lang w:val="es-ES"/>
        </w:rPr>
        <w:t xml:space="preserve"> plazo de ejecución </w:t>
      </w:r>
      <w:r w:rsidRPr="1F539949">
        <w:rPr>
          <w:rFonts w:ascii="Verdana" w:hAnsi="Verdana" w:cs="Arial"/>
          <w:color w:val="000000" w:themeColor="text1"/>
          <w:lang w:val="es-ES"/>
        </w:rPr>
        <w:t xml:space="preserve"> </w:t>
      </w:r>
      <w:r>
        <w:rPr>
          <w:rFonts w:ascii="Verdana" w:hAnsi="Verdana" w:cs="Arial"/>
          <w:color w:val="000000" w:themeColor="text1"/>
          <w:lang w:val="es-ES"/>
        </w:rPr>
        <w:t xml:space="preserve">del </w:t>
      </w:r>
      <w:r w:rsidRPr="1F539949">
        <w:rPr>
          <w:rFonts w:ascii="Verdana" w:hAnsi="Verdana" w:cs="Arial"/>
          <w:color w:val="000000" w:themeColor="text1"/>
          <w:lang w:val="es-ES"/>
        </w:rPr>
        <w:t>contrato de obra, dado que ello contravendría la obligación legal de mantener la vigilancia y el control técnico, administrativo y financiero durante toda la ejecución contractual. En caso de</w:t>
      </w:r>
      <w:r>
        <w:rPr>
          <w:rFonts w:ascii="Verdana" w:hAnsi="Verdana" w:cs="Arial"/>
          <w:color w:val="000000" w:themeColor="text1"/>
          <w:lang w:val="es-ES"/>
        </w:rPr>
        <w:t xml:space="preserve"> que se presente su liquidación</w:t>
      </w:r>
      <w:r w:rsidRPr="1F539949">
        <w:rPr>
          <w:rFonts w:ascii="Verdana" w:hAnsi="Verdana" w:cs="Arial"/>
          <w:color w:val="000000" w:themeColor="text1"/>
          <w:lang w:val="es-ES"/>
        </w:rPr>
        <w:t>, la entidad deberá definir, conforme a su competencia y al caso concreto, los mecanismos que aseguren la continuidad del deber de vigilancia, garantizando el cumplimiento de los fines de la contratación pública y la protección de los recursos del Estado.</w:t>
      </w:r>
    </w:p>
    <w:p w14:paraId="2C99D033" w14:textId="77777777" w:rsidR="00B70C7B" w:rsidRPr="00116DEE" w:rsidRDefault="00B70C7B" w:rsidP="00A71800">
      <w:pPr>
        <w:spacing w:after="0" w:line="276" w:lineRule="auto"/>
        <w:ind w:firstLine="709"/>
        <w:jc w:val="both"/>
        <w:rPr>
          <w:rFonts w:ascii="Verdana" w:hAnsi="Verdana" w:cs="Arial"/>
          <w:color w:val="000000" w:themeColor="text1"/>
          <w:lang w:val="es-ES"/>
        </w:rPr>
      </w:pPr>
    </w:p>
    <w:p w14:paraId="09943DD8" w14:textId="77777777" w:rsidR="00636B5B" w:rsidRPr="00CF41A0" w:rsidRDefault="00636B5B" w:rsidP="00636B5B">
      <w:pPr>
        <w:spacing w:after="0" w:line="276" w:lineRule="auto"/>
        <w:jc w:val="both"/>
        <w:rPr>
          <w:rFonts w:ascii="Verdana" w:eastAsia="Calibri" w:hAnsi="Verdana" w:cs="Arial"/>
          <w:lang w:val="es-ES" w:eastAsia="es-ES"/>
        </w:rPr>
      </w:pPr>
      <w:proofErr w:type="spellStart"/>
      <w:r>
        <w:rPr>
          <w:rFonts w:ascii="Verdana" w:eastAsia="Calibri" w:hAnsi="Verdana" w:cs="Arial"/>
        </w:rPr>
        <w:t>ii</w:t>
      </w:r>
      <w:proofErr w:type="spellEnd"/>
      <w:r>
        <w:rPr>
          <w:rFonts w:ascii="Verdana" w:eastAsia="Calibri" w:hAnsi="Verdana" w:cs="Arial"/>
        </w:rPr>
        <w:t>)</w:t>
      </w:r>
      <w:r w:rsidRPr="001C512A">
        <w:rPr>
          <w:rFonts w:ascii="Verdana" w:eastAsia="Calibri" w:hAnsi="Verdana" w:cs="Arial"/>
          <w:lang w:val="es-ES_tradnl"/>
        </w:rPr>
        <w:t xml:space="preserve"> </w:t>
      </w:r>
      <w:r w:rsidRPr="00CF41A0">
        <w:rPr>
          <w:rFonts w:ascii="Verdana" w:eastAsia="Calibri" w:hAnsi="Verdana" w:cs="Arial"/>
          <w:lang w:val="es-ES_tradnl"/>
        </w:rPr>
        <w:t>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cumplidas</w:t>
      </w:r>
      <w:r w:rsidRPr="00CF41A0">
        <w:rPr>
          <w:rFonts w:ascii="Verdana" w:eastAsia="Calibri" w:hAnsi="Verdana" w:cs="Arial"/>
          <w:vertAlign w:val="superscript"/>
          <w:lang w:val="es-ES_tradnl"/>
        </w:rPr>
        <w:footnoteReference w:id="6"/>
      </w:r>
      <w:r w:rsidRPr="00CF41A0">
        <w:rPr>
          <w:rFonts w:ascii="Verdana" w:eastAsia="Calibri" w:hAnsi="Verdana" w:cs="Arial"/>
          <w:lang w:val="es-ES_tradnl"/>
        </w:rPr>
        <w:t xml:space="preserve">. </w:t>
      </w:r>
      <w:r w:rsidRPr="00CF41A0">
        <w:rPr>
          <w:rFonts w:ascii="Verdana" w:eastAsia="Aptos" w:hAnsi="Verdana" w:cs="Arial"/>
          <w:lang w:val="es-ES_tradnl"/>
        </w:rPr>
        <w:t>En armonía con lo esto, la doctrina ha definido la liquidación de la siguiente manera:</w:t>
      </w:r>
    </w:p>
    <w:p w14:paraId="17153241" w14:textId="77777777" w:rsidR="00636B5B" w:rsidRPr="00CF41A0" w:rsidRDefault="00636B5B" w:rsidP="00636B5B">
      <w:pPr>
        <w:spacing w:after="0" w:line="276" w:lineRule="auto"/>
        <w:jc w:val="both"/>
        <w:rPr>
          <w:rFonts w:ascii="Verdana" w:eastAsia="Aptos" w:hAnsi="Verdana" w:cs="Arial"/>
          <w:lang w:val="es-ES_tradnl"/>
        </w:rPr>
      </w:pPr>
    </w:p>
    <w:p w14:paraId="2335B697" w14:textId="77777777" w:rsidR="00636B5B" w:rsidRPr="00CF41A0" w:rsidRDefault="00636B5B" w:rsidP="00636B5B">
      <w:pPr>
        <w:spacing w:after="0" w:line="240" w:lineRule="auto"/>
        <w:ind w:left="709" w:right="709"/>
        <w:jc w:val="both"/>
        <w:rPr>
          <w:rFonts w:ascii="Verdana" w:eastAsia="Aptos" w:hAnsi="Verdana" w:cs="Arial"/>
          <w:sz w:val="20"/>
          <w:szCs w:val="20"/>
          <w:lang w:val="es-MX"/>
        </w:rPr>
      </w:pPr>
      <w:r w:rsidRPr="00CF41A0">
        <w:rPr>
          <w:rFonts w:ascii="Verdana" w:eastAsia="Aptos" w:hAnsi="Verdana" w:cs="Arial"/>
          <w:sz w:val="20"/>
          <w:szCs w:val="20"/>
          <w:lang w:val="es-ES_tradnl"/>
        </w:rPr>
        <w:t>“</w:t>
      </w:r>
      <w:r w:rsidRPr="00CF41A0">
        <w:rPr>
          <w:rFonts w:ascii="Verdana" w:eastAsia="Aptos"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cuanto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w:t>
      </w:r>
      <w:r w:rsidRPr="00CF41A0">
        <w:rPr>
          <w:rFonts w:ascii="Verdana" w:eastAsia="Aptos" w:hAnsi="Verdana" w:cs="Arial"/>
          <w:sz w:val="20"/>
          <w:szCs w:val="20"/>
          <w:lang w:val="es-MX"/>
        </w:rPr>
        <w:lastRenderedPageBreak/>
        <w:t xml:space="preserve">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CF41A0">
        <w:rPr>
          <w:rFonts w:ascii="Verdana" w:eastAsia="Aptos" w:hAnsi="Verdana" w:cs="Arial"/>
          <w:sz w:val="20"/>
          <w:szCs w:val="20"/>
          <w:lang w:val="es-MX"/>
        </w:rPr>
        <w:t>ii</w:t>
      </w:r>
      <w:proofErr w:type="spellEnd"/>
      <w:r w:rsidRPr="00CF41A0">
        <w:rPr>
          <w:rFonts w:ascii="Verdana" w:eastAsia="Aptos" w:hAnsi="Verdana" w:cs="Arial"/>
          <w:sz w:val="20"/>
          <w:szCs w:val="20"/>
          <w:lang w:val="es-MX"/>
        </w:rPr>
        <w:t>) definir la situación jurídica de las partes, estableciendo si pueden constituirse o no a paz y salvo; lo que exige, en la práctica, que los negociantes dialoguen e intenten ponerse de acuerdo (aspecto subjetivo”)</w:t>
      </w:r>
      <w:r w:rsidRPr="00CF41A0">
        <w:rPr>
          <w:rFonts w:ascii="Verdana" w:eastAsia="Aptos" w:hAnsi="Verdana" w:cs="Arial"/>
          <w:sz w:val="20"/>
          <w:szCs w:val="20"/>
          <w:vertAlign w:val="superscript"/>
          <w:lang w:val="es-MX"/>
        </w:rPr>
        <w:footnoteReference w:id="7"/>
      </w:r>
      <w:r w:rsidRPr="00CF41A0">
        <w:rPr>
          <w:rFonts w:ascii="Verdana" w:eastAsia="Aptos" w:hAnsi="Verdana" w:cs="Arial"/>
          <w:sz w:val="20"/>
          <w:szCs w:val="20"/>
          <w:lang w:val="es-MX"/>
        </w:rPr>
        <w:t xml:space="preserve"> </w:t>
      </w:r>
    </w:p>
    <w:p w14:paraId="5EAA8390" w14:textId="77777777" w:rsidR="00636B5B" w:rsidRPr="00CF41A0" w:rsidRDefault="00636B5B" w:rsidP="00636B5B">
      <w:pPr>
        <w:spacing w:after="0" w:line="276" w:lineRule="auto"/>
        <w:jc w:val="both"/>
        <w:rPr>
          <w:rFonts w:ascii="Verdana" w:eastAsia="Aptos" w:hAnsi="Verdana" w:cs="Arial"/>
          <w:lang w:val="es-MX"/>
        </w:rPr>
      </w:pPr>
    </w:p>
    <w:p w14:paraId="4E861ACE" w14:textId="77777777" w:rsidR="00636B5B" w:rsidRPr="00CF41A0" w:rsidRDefault="00636B5B" w:rsidP="00636B5B">
      <w:pPr>
        <w:spacing w:after="120" w:line="276" w:lineRule="auto"/>
        <w:ind w:firstLine="708"/>
        <w:jc w:val="both"/>
        <w:rPr>
          <w:rFonts w:ascii="Verdana" w:eastAsia="Times New Roman" w:hAnsi="Verdana" w:cs="Arial"/>
          <w:szCs w:val="24"/>
          <w:lang w:val="es-ES_tradnl" w:eastAsia="es-ES_tradnl"/>
        </w:rPr>
      </w:pPr>
      <w:r w:rsidRPr="00CF41A0">
        <w:rPr>
          <w:rFonts w:ascii="Verdana" w:eastAsia="Times New Roman" w:hAnsi="Verdana" w:cs="Arial"/>
          <w:szCs w:val="24"/>
          <w:lang w:val="es-ES_tradnl" w:eastAsia="es-ES_tradnl"/>
        </w:rPr>
        <w:t xml:space="preserve">En este sentido,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CF41A0">
        <w:rPr>
          <w:rFonts w:ascii="Verdana" w:eastAsia="Times New Roman" w:hAnsi="Verdana" w:cs="Arial"/>
          <w:i/>
          <w:iCs/>
          <w:szCs w:val="24"/>
          <w:lang w:val="es-ES_tradnl" w:eastAsia="es-ES_tradnl"/>
        </w:rPr>
        <w:t>liquidar</w:t>
      </w:r>
      <w:r w:rsidRPr="00CF41A0">
        <w:rPr>
          <w:rFonts w:ascii="Verdana" w:eastAsia="Times New Roman" w:hAnsi="Verdana" w:cs="Arial"/>
          <w:szCs w:val="24"/>
          <w:lang w:val="es-ES_tradnl" w:eastAsia="es-ES_tradnl"/>
        </w:rPr>
        <w:t xml:space="preserve"> supone un ajuste en relación con las cuentas y el estado de cumplimiento del contrato estatal y, por el otro, que la </w:t>
      </w:r>
      <w:r w:rsidRPr="00CF41A0">
        <w:rPr>
          <w:rFonts w:ascii="Verdana" w:eastAsia="Times New Roman" w:hAnsi="Verdana" w:cs="Arial"/>
          <w:i/>
          <w:iCs/>
          <w:szCs w:val="24"/>
          <w:lang w:val="es-ES_tradnl" w:eastAsia="es-ES_tradnl"/>
        </w:rPr>
        <w:t>liquidación</w:t>
      </w:r>
      <w:r w:rsidRPr="00CF41A0">
        <w:rPr>
          <w:rFonts w:ascii="Verdana" w:eastAsia="Times New Roman" w:hAnsi="Verdana" w:cs="Arial"/>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CF41A0">
        <w:rPr>
          <w:rFonts w:ascii="Verdana" w:eastAsia="Times New Roman" w:hAnsi="Verdana" w:cs="Arial"/>
          <w:szCs w:val="24"/>
          <w:vertAlign w:val="superscript"/>
          <w:lang w:val="es-ES_tradnl" w:eastAsia="es-ES_tradnl"/>
        </w:rPr>
        <w:footnoteReference w:id="8"/>
      </w:r>
      <w:r w:rsidRPr="00CF41A0">
        <w:rPr>
          <w:rFonts w:ascii="Verdana" w:eastAsia="Times New Roman" w:hAnsi="Verdana" w:cs="Arial"/>
          <w:szCs w:val="24"/>
          <w:lang w:val="es-ES_tradnl" w:eastAsia="es-ES_tradnl"/>
        </w:rPr>
        <w:t xml:space="preserve">. </w:t>
      </w:r>
    </w:p>
    <w:p w14:paraId="09BF3578" w14:textId="77777777" w:rsidR="00636B5B" w:rsidRPr="00CF41A0" w:rsidRDefault="00636B5B" w:rsidP="00636B5B">
      <w:pPr>
        <w:spacing w:after="120" w:line="276" w:lineRule="auto"/>
        <w:ind w:firstLine="708"/>
        <w:jc w:val="both"/>
        <w:rPr>
          <w:rFonts w:ascii="Verdana" w:eastAsia="Times New Roman" w:hAnsi="Verdana" w:cs="Arial"/>
          <w:szCs w:val="24"/>
          <w:lang w:val="es-ES_tradnl" w:eastAsia="es-ES_tradnl"/>
        </w:rPr>
      </w:pPr>
      <w:r w:rsidRPr="00CF41A0">
        <w:rPr>
          <w:rFonts w:ascii="Verdana" w:eastAsia="Calibri" w:hAnsi="Verdana" w:cs="Arial"/>
          <w:lang w:val="es-ES_tradnl"/>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w:t>
      </w:r>
    </w:p>
    <w:p w14:paraId="0772EDE6" w14:textId="77777777" w:rsidR="00636B5B" w:rsidRPr="00CF41A0" w:rsidRDefault="00636B5B" w:rsidP="00636B5B">
      <w:pPr>
        <w:spacing w:after="120" w:line="276" w:lineRule="auto"/>
        <w:ind w:firstLine="708"/>
        <w:jc w:val="both"/>
        <w:rPr>
          <w:rFonts w:ascii="Verdana" w:eastAsia="Calibri" w:hAnsi="Verdana" w:cs="Arial"/>
          <w:lang w:val="es-ES"/>
        </w:rPr>
      </w:pPr>
      <w:r w:rsidRPr="00CF41A0">
        <w:rPr>
          <w:rFonts w:ascii="Verdana" w:eastAsia="Calibri" w:hAnsi="Verdana" w:cs="Arial"/>
          <w:lang w:val="es-ES"/>
        </w:rPr>
        <w:t>De acuerdo con el artículo 60 de la Ley 80 de 1993, los contratos de tracto sucesivo, aquellos cuyo cumplimiento o ejecución se prolongue en el tiempo y los demás que lo requieran “</w:t>
      </w:r>
      <w:r w:rsidRPr="00CF41A0">
        <w:rPr>
          <w:rFonts w:ascii="Verdana" w:eastAsia="Calibri" w:hAnsi="Verdana" w:cs="Arial"/>
          <w:i/>
          <w:iCs/>
          <w:lang w:val="es-ES"/>
        </w:rPr>
        <w:t>serán objeto de liquidación</w:t>
      </w:r>
      <w:r w:rsidRPr="00CF41A0">
        <w:rPr>
          <w:rFonts w:ascii="Verdana" w:eastAsia="Calibri" w:hAnsi="Verdana" w:cs="Arial"/>
          <w:lang w:val="es-ES"/>
        </w:rPr>
        <w:t xml:space="preserve">”. El mismo artículo prescribe que no será obligatoria la liquidación en los contratos de prestación de servicios profesionales y de apoyo a la gestión. Adicionalmente, en los contratos </w:t>
      </w:r>
      <w:r w:rsidRPr="00CF41A0">
        <w:rPr>
          <w:rFonts w:ascii="Verdana" w:eastAsia="Calibri" w:hAnsi="Verdana" w:cs="Arial"/>
          <w:lang w:val="es-ES"/>
        </w:rPr>
        <w:lastRenderedPageBreak/>
        <w:t>las Entidades Estatales deben definir la oportunidad y forma de recibir el objeto contratado y, en cada caso, si un contrato requiere o no de liquidación, con arreglo a criterios tales como la naturaleza, objeto y plazo del contrato</w:t>
      </w:r>
      <w:r w:rsidRPr="00CF41A0">
        <w:rPr>
          <w:rFonts w:ascii="Verdana" w:eastAsia="Calibri" w:hAnsi="Verdana" w:cs="Arial"/>
          <w:vertAlign w:val="superscript"/>
          <w:lang w:val="es-ES"/>
        </w:rPr>
        <w:footnoteReference w:id="9"/>
      </w:r>
      <w:r w:rsidRPr="00CF41A0">
        <w:rPr>
          <w:rFonts w:ascii="Verdana" w:eastAsia="Calibri" w:hAnsi="Verdana" w:cs="Arial"/>
          <w:lang w:val="es-ES"/>
        </w:rPr>
        <w:t xml:space="preserve">, así como la probabilidad de que puedan surgir diferencias durante la ejecución del contrato; sin perjuicio de que, como se indicó, todos los contratos estatales de </w:t>
      </w:r>
      <w:r w:rsidRPr="00CF41A0">
        <w:rPr>
          <w:rFonts w:ascii="Verdana" w:eastAsia="Calibri" w:hAnsi="Verdana" w:cs="Arial"/>
          <w:i/>
          <w:iCs/>
          <w:lang w:val="es-ES"/>
        </w:rPr>
        <w:t>tracto sucesivo</w:t>
      </w:r>
      <w:r w:rsidRPr="00CF41A0">
        <w:rPr>
          <w:rFonts w:ascii="Verdana" w:eastAsia="Calibri" w:hAnsi="Verdana" w:cs="Arial"/>
          <w:lang w:val="es-ES"/>
        </w:rPr>
        <w:t xml:space="preserve"> o aquellos cuya ejecución se prolongue en el tiempo siempre deban liquidarse. </w:t>
      </w:r>
    </w:p>
    <w:p w14:paraId="5F1D57F6" w14:textId="77777777" w:rsidR="00636B5B" w:rsidRPr="00CF41A0" w:rsidRDefault="00636B5B" w:rsidP="00636B5B">
      <w:pPr>
        <w:spacing w:after="120" w:line="276" w:lineRule="auto"/>
        <w:ind w:firstLine="708"/>
        <w:jc w:val="both"/>
        <w:rPr>
          <w:rFonts w:ascii="Verdana" w:eastAsia="Times New Roman" w:hAnsi="Verdana" w:cs="Arial"/>
          <w:lang w:val="es-ES" w:eastAsia="es-ES"/>
        </w:rPr>
      </w:pPr>
      <w:r w:rsidRPr="00CF41A0">
        <w:rPr>
          <w:rFonts w:ascii="Verdana" w:eastAsia="Calibri" w:hAnsi="Verdana" w:cs="Arial"/>
          <w:lang w:val="es-ES"/>
        </w:rPr>
        <w:t>Por su parte, el artículo 11 de la Ley 1150 de 2007</w:t>
      </w:r>
      <w:r w:rsidRPr="00CF41A0">
        <w:rPr>
          <w:rFonts w:ascii="Verdana" w:eastAsia="Calibri" w:hAnsi="Verdana" w:cs="Arial"/>
          <w:vertAlign w:val="superscript"/>
          <w:lang w:val="es-ES"/>
        </w:rPr>
        <w:footnoteReference w:id="10"/>
      </w:r>
      <w:r w:rsidRPr="00CF41A0">
        <w:rPr>
          <w:rFonts w:ascii="Verdana" w:eastAsia="Calibri" w:hAnsi="Verdana" w:cs="Arial"/>
          <w:lang w:val="es-ES"/>
        </w:rPr>
        <w:t xml:space="preserve"> contiene las reglas de tipo procedimental para liquidar los contratos estatales. D</w:t>
      </w:r>
      <w:r w:rsidRPr="00CF41A0">
        <w:rPr>
          <w:rFonts w:ascii="Verdana" w:eastAsia="Times New Roman" w:hAnsi="Verdana" w:cs="Arial"/>
          <w:lang w:val="es-ES" w:eastAsia="es-ES"/>
        </w:rPr>
        <w:t xml:space="preserve">e acuerdo con dicha disposición, existen tres tipos de liquidación: i) bilateral, </w:t>
      </w:r>
      <w:proofErr w:type="spellStart"/>
      <w:r w:rsidRPr="00CF41A0">
        <w:rPr>
          <w:rFonts w:ascii="Verdana" w:eastAsia="Times New Roman" w:hAnsi="Verdana" w:cs="Arial"/>
          <w:lang w:val="es-ES" w:eastAsia="es-ES"/>
        </w:rPr>
        <w:t>ii</w:t>
      </w:r>
      <w:proofErr w:type="spellEnd"/>
      <w:r w:rsidRPr="00CF41A0">
        <w:rPr>
          <w:rFonts w:ascii="Verdana" w:eastAsia="Times New Roman" w:hAnsi="Verdana" w:cs="Arial"/>
          <w:lang w:val="es-ES" w:eastAsia="es-ES"/>
        </w:rPr>
        <w:t xml:space="preserve">) unilateral y </w:t>
      </w:r>
      <w:proofErr w:type="spellStart"/>
      <w:r w:rsidRPr="00CF41A0">
        <w:rPr>
          <w:rFonts w:ascii="Verdana" w:eastAsia="Times New Roman" w:hAnsi="Verdana" w:cs="Arial"/>
          <w:lang w:val="es-ES" w:eastAsia="es-ES"/>
        </w:rPr>
        <w:t>iii</w:t>
      </w:r>
      <w:proofErr w:type="spellEnd"/>
      <w:r w:rsidRPr="00CF41A0">
        <w:rPr>
          <w:rFonts w:ascii="Verdana" w:eastAsia="Times New Roman" w:hAnsi="Verdana" w:cs="Arial"/>
          <w:lang w:val="es-ES"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dos (2) años contados a partir de los dos (2) meses establecidos en la Ley para realizar la liquidación unilateral, de conformidad con la citada sentencia de unificación del Consejo de Estado.</w:t>
      </w:r>
    </w:p>
    <w:p w14:paraId="03C4562E" w14:textId="77777777" w:rsidR="00636B5B" w:rsidRPr="00CF41A0" w:rsidRDefault="00636B5B" w:rsidP="00A71800">
      <w:pPr>
        <w:spacing w:after="0" w:line="276" w:lineRule="auto"/>
        <w:ind w:firstLine="705"/>
        <w:jc w:val="both"/>
        <w:rPr>
          <w:rFonts w:ascii="Verdana" w:eastAsia="Times New Roman" w:hAnsi="Verdana" w:cs="Arial"/>
          <w:bCs/>
          <w:szCs w:val="24"/>
          <w:lang w:eastAsia="es-ES_tradnl"/>
        </w:rPr>
      </w:pPr>
      <w:r w:rsidRPr="00CF41A0">
        <w:rPr>
          <w:rFonts w:ascii="Verdana" w:eastAsia="Times New Roman" w:hAnsi="Verdana" w:cs="Arial"/>
          <w:bdr w:val="none" w:sz="0" w:space="0" w:color="auto" w:frame="1"/>
          <w:shd w:val="clear" w:color="auto" w:fill="FFFFFF"/>
          <w:lang w:eastAsia="es-ES"/>
        </w:rPr>
        <w:t>Igualmente</w:t>
      </w:r>
      <w:r w:rsidRPr="00CF41A0">
        <w:rPr>
          <w:rFonts w:ascii="Verdana" w:eastAsia="Times New Roman" w:hAnsi="Verdana" w:cs="Arial"/>
          <w:bCs/>
          <w:szCs w:val="24"/>
          <w:lang w:eastAsia="es-ES_tradnl"/>
        </w:rPr>
        <w:t xml:space="preserve">, el artículo 11 de la Ley 1150 de 2007 determinó que dichos plazos inician a contarse desde la terminación de la ejecución del contrato, ya sea por vencimiento de plazo, o por expedición de acto administrativo de ordenó su terminación o la fecha de acuerdo entre las partes para ello. </w:t>
      </w:r>
    </w:p>
    <w:p w14:paraId="1E2AE613" w14:textId="77777777" w:rsidR="00636B5B" w:rsidRPr="001C512A" w:rsidRDefault="00636B5B" w:rsidP="00A71800">
      <w:pPr>
        <w:pStyle w:val="Prrafodelista"/>
        <w:spacing w:after="0" w:line="276" w:lineRule="auto"/>
        <w:jc w:val="both"/>
        <w:rPr>
          <w:rFonts w:ascii="Verdana" w:hAnsi="Verdana" w:cs="Arial"/>
          <w:b/>
          <w:lang w:val="es-MX"/>
        </w:rPr>
      </w:pPr>
    </w:p>
    <w:p w14:paraId="6EC925B1" w14:textId="77777777" w:rsidR="00636B5B" w:rsidRDefault="00636B5B" w:rsidP="00636B5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A28">
        <w:rPr>
          <w:rFonts w:ascii="Verdana" w:eastAsia="Century Gothic" w:hAnsi="Verdana" w:cs="Century Gothic"/>
          <w:b/>
          <w:bCs/>
        </w:rPr>
        <w:t>Referencias normativas, jurisprudenciales y otras fuentes:</w:t>
      </w:r>
    </w:p>
    <w:p w14:paraId="35B7D962" w14:textId="77777777" w:rsidR="00636B5B" w:rsidRPr="00116DEE" w:rsidRDefault="00636B5B" w:rsidP="00636B5B">
      <w:pPr>
        <w:pStyle w:val="Prrafodelista"/>
        <w:tabs>
          <w:tab w:val="left" w:pos="142"/>
          <w:tab w:val="left" w:pos="284"/>
        </w:tabs>
        <w:spacing w:after="0" w:line="276" w:lineRule="auto"/>
        <w:ind w:left="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36B5B" w:rsidRPr="00073A28" w14:paraId="0D5F7F0F" w14:textId="77777777" w:rsidTr="00353963">
        <w:trPr>
          <w:trHeight w:val="300"/>
        </w:trPr>
        <w:tc>
          <w:tcPr>
            <w:tcW w:w="8647" w:type="dxa"/>
          </w:tcPr>
          <w:p w14:paraId="691B5599" w14:textId="77777777" w:rsidR="00636B5B" w:rsidRPr="004B0DF3" w:rsidRDefault="00636B5B" w:rsidP="00353963">
            <w:pPr>
              <w:pStyle w:val="Prrafodelista"/>
              <w:numPr>
                <w:ilvl w:val="0"/>
                <w:numId w:val="17"/>
              </w:numPr>
              <w:spacing w:line="278" w:lineRule="auto"/>
              <w:jc w:val="both"/>
              <w:rPr>
                <w:rFonts w:ascii="Verdana" w:hAnsi="Verdana"/>
              </w:rPr>
            </w:pPr>
            <w:r w:rsidRPr="004B0DF3">
              <w:rPr>
                <w:rFonts w:ascii="Verdana" w:eastAsia="Arial" w:hAnsi="Verdana" w:cs="Arial"/>
              </w:rPr>
              <w:t>Ley 80 de 1993, artículos 32, 53 y 60</w:t>
            </w:r>
          </w:p>
          <w:p w14:paraId="58AFB5FB" w14:textId="77777777" w:rsidR="00636B5B" w:rsidRPr="004B0DF3" w:rsidRDefault="00636B5B" w:rsidP="00353963">
            <w:pPr>
              <w:pStyle w:val="Prrafodelista"/>
              <w:numPr>
                <w:ilvl w:val="0"/>
                <w:numId w:val="17"/>
              </w:numPr>
              <w:spacing w:line="278" w:lineRule="auto"/>
              <w:jc w:val="both"/>
              <w:rPr>
                <w:rFonts w:ascii="Verdana" w:hAnsi="Verdana"/>
              </w:rPr>
            </w:pPr>
            <w:r w:rsidRPr="004B0DF3">
              <w:rPr>
                <w:rFonts w:ascii="Verdana" w:eastAsia="Arial" w:hAnsi="Verdana" w:cs="Arial"/>
              </w:rPr>
              <w:t>Ley 1150 de 2007, artículo 2 y artículo 11 (liquidación contractual)</w:t>
            </w:r>
          </w:p>
          <w:p w14:paraId="67E5517F" w14:textId="77777777" w:rsidR="00636B5B" w:rsidRPr="004B0DF3" w:rsidRDefault="00636B5B" w:rsidP="00353963">
            <w:pPr>
              <w:pStyle w:val="Prrafodelista"/>
              <w:numPr>
                <w:ilvl w:val="0"/>
                <w:numId w:val="17"/>
              </w:numPr>
              <w:spacing w:line="278" w:lineRule="auto"/>
              <w:jc w:val="both"/>
              <w:rPr>
                <w:rFonts w:ascii="Verdana" w:eastAsia="Arial" w:hAnsi="Verdana" w:cs="Arial"/>
                <w:lang w:val="es-CO"/>
              </w:rPr>
            </w:pPr>
            <w:r w:rsidRPr="004B0DF3">
              <w:rPr>
                <w:rFonts w:ascii="Verdana" w:eastAsia="Arial" w:hAnsi="Verdana" w:cs="Arial"/>
              </w:rPr>
              <w:t>Ley 1474 de 2011, artículos 83 y 84</w:t>
            </w:r>
            <w:r w:rsidRPr="004B0DF3">
              <w:rPr>
                <w:rFonts w:ascii="Verdana" w:eastAsia="Arial" w:hAnsi="Verdana" w:cs="Arial"/>
                <w:lang w:val="es-CO"/>
              </w:rPr>
              <w:t>.</w:t>
            </w:r>
          </w:p>
          <w:p w14:paraId="637463E1" w14:textId="77777777" w:rsidR="00636B5B" w:rsidRPr="004B0DF3" w:rsidRDefault="00636B5B" w:rsidP="00353963">
            <w:pPr>
              <w:pStyle w:val="Prrafodelista"/>
              <w:numPr>
                <w:ilvl w:val="0"/>
                <w:numId w:val="17"/>
              </w:numPr>
              <w:spacing w:line="278" w:lineRule="auto"/>
              <w:jc w:val="both"/>
              <w:rPr>
                <w:rFonts w:ascii="Verdana" w:eastAsia="Arial" w:hAnsi="Verdana" w:cs="Arial"/>
                <w:lang w:val="es-CO"/>
              </w:rPr>
            </w:pPr>
            <w:r w:rsidRPr="004B0DF3">
              <w:rPr>
                <w:rFonts w:ascii="Verdana" w:eastAsia="Arial" w:hAnsi="Verdana" w:cs="Arial"/>
                <w:lang w:val="es-CO"/>
              </w:rPr>
              <w:t>Decreto 019 de 2012, artículo 217.</w:t>
            </w:r>
          </w:p>
          <w:p w14:paraId="03289A6A" w14:textId="77777777" w:rsidR="00636B5B" w:rsidRPr="004B0DF3" w:rsidRDefault="00636B5B" w:rsidP="00353963">
            <w:pPr>
              <w:pStyle w:val="Prrafodelista"/>
              <w:numPr>
                <w:ilvl w:val="0"/>
                <w:numId w:val="17"/>
              </w:numPr>
              <w:spacing w:line="278" w:lineRule="auto"/>
              <w:jc w:val="both"/>
              <w:rPr>
                <w:rFonts w:ascii="Verdana" w:eastAsia="Arial" w:hAnsi="Verdana" w:cs="Arial"/>
              </w:rPr>
            </w:pPr>
            <w:r w:rsidRPr="004B0DF3">
              <w:rPr>
                <w:rFonts w:ascii="Verdana" w:eastAsia="Arial" w:hAnsi="Verdana" w:cs="Arial"/>
              </w:rPr>
              <w:t>Consejo de Estado, Sección Tercera, sentencia del 20 de octubre de 2014, sobre la naturaleza y finalidad de la liquidación contractual</w:t>
            </w:r>
            <w:r>
              <w:rPr>
                <w:rFonts w:ascii="Verdana" w:eastAsia="Arial" w:hAnsi="Verdana" w:cs="Arial"/>
              </w:rPr>
              <w:t>.</w:t>
            </w:r>
          </w:p>
          <w:p w14:paraId="47B888A8" w14:textId="77777777" w:rsidR="00636B5B" w:rsidRPr="004B0DF3" w:rsidRDefault="00636B5B" w:rsidP="00353963">
            <w:pPr>
              <w:pStyle w:val="Prrafodelista"/>
              <w:numPr>
                <w:ilvl w:val="0"/>
                <w:numId w:val="17"/>
              </w:numPr>
              <w:spacing w:line="278" w:lineRule="auto"/>
              <w:jc w:val="both"/>
              <w:rPr>
                <w:rFonts w:ascii="Verdana" w:eastAsia="Arial" w:hAnsi="Verdana" w:cs="Arial"/>
              </w:rPr>
            </w:pPr>
            <w:r w:rsidRPr="004B0DF3">
              <w:rPr>
                <w:rFonts w:ascii="Verdana" w:eastAsia="Arial" w:hAnsi="Verdana" w:cs="Arial"/>
              </w:rPr>
              <w:t>Agencia Nacional de Contratación Pública – Colombia Compra Eficiente, Guía para el ejercicio de las funciones de supervisión e interventoría de los contratos suscritos por las Entidades Estatales.</w:t>
            </w:r>
          </w:p>
        </w:tc>
      </w:tr>
    </w:tbl>
    <w:p w14:paraId="239A2DC1" w14:textId="77777777" w:rsidR="00636B5B" w:rsidRDefault="00636B5B" w:rsidP="00636B5B">
      <w:pPr>
        <w:widowControl w:val="0"/>
        <w:autoSpaceDE w:val="0"/>
        <w:autoSpaceDN w:val="0"/>
        <w:spacing w:after="0" w:line="276" w:lineRule="auto"/>
        <w:jc w:val="both"/>
        <w:rPr>
          <w:rFonts w:ascii="Verdana" w:hAnsi="Verdana" w:cs="Arial"/>
        </w:rPr>
      </w:pPr>
    </w:p>
    <w:p w14:paraId="6CDA0DA4" w14:textId="77777777" w:rsidR="00636B5B" w:rsidRDefault="00636B5B" w:rsidP="00636B5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A28">
        <w:rPr>
          <w:rFonts w:ascii="Verdana" w:eastAsia="Century Gothic" w:hAnsi="Verdana" w:cs="Century Gothic"/>
          <w:b/>
          <w:bCs/>
        </w:rPr>
        <w:t>Doctrina de la Agencia Nacional de Contratación Pública:</w:t>
      </w:r>
    </w:p>
    <w:p w14:paraId="044A4631" w14:textId="77777777" w:rsidR="00636B5B" w:rsidRPr="00116DEE" w:rsidRDefault="00636B5B" w:rsidP="00636B5B">
      <w:pPr>
        <w:pStyle w:val="Prrafodelista"/>
        <w:tabs>
          <w:tab w:val="left" w:pos="142"/>
          <w:tab w:val="left" w:pos="284"/>
        </w:tabs>
        <w:spacing w:after="0" w:line="276" w:lineRule="auto"/>
        <w:ind w:left="0"/>
        <w:jc w:val="both"/>
        <w:rPr>
          <w:rFonts w:ascii="Verdana" w:eastAsia="Century Gothic" w:hAnsi="Verdana" w:cs="Century Gothic"/>
          <w:b/>
          <w:bCs/>
        </w:rPr>
      </w:pPr>
    </w:p>
    <w:p w14:paraId="307371C9" w14:textId="77777777" w:rsidR="00636B5B" w:rsidRPr="0054025F" w:rsidRDefault="00636B5B" w:rsidP="00636B5B">
      <w:pPr>
        <w:spacing w:after="0" w:line="276" w:lineRule="auto"/>
        <w:jc w:val="both"/>
        <w:rPr>
          <w:rFonts w:ascii="Verdana" w:eastAsia="Calibri" w:hAnsi="Verdana" w:cs="Arial"/>
          <w:color w:val="0000FF"/>
          <w:u w:val="single"/>
          <w:shd w:val="clear" w:color="auto" w:fill="FFFFFF"/>
          <w:lang w:val="es-ES"/>
        </w:rPr>
      </w:pPr>
      <w:r w:rsidRPr="00283CFD">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5FE03FA">
        <w:rPr>
          <w:rFonts w:ascii="Verdana" w:hAnsi="Verdana" w:cs="Arial"/>
          <w:color w:val="000000" w:themeColor="text1"/>
          <w:shd w:val="clear" w:color="auto" w:fill="FFFFFF"/>
          <w:lang w:val="es-ES"/>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283CFD">
        <w:rPr>
          <w:rFonts w:ascii="Verdana" w:hAnsi="Verdana" w:cs="Arial"/>
          <w:color w:val="000000" w:themeColor="text1"/>
          <w:shd w:val="clear" w:color="auto" w:fill="FFFFFF"/>
          <w:lang w:val="es-ES"/>
        </w:rPr>
        <w:t xml:space="preserve">,C-600 del 7 de octubre de 2024, C-882 del 14 de agosto de 2025, </w:t>
      </w:r>
      <w:r>
        <w:rPr>
          <w:rFonts w:ascii="Verdana" w:hAnsi="Verdana" w:cs="Arial"/>
          <w:color w:val="000000" w:themeColor="text1"/>
          <w:shd w:val="clear" w:color="auto" w:fill="FFFFFF"/>
          <w:lang w:val="es-ES"/>
        </w:rPr>
        <w:t xml:space="preserve">C-1007 del  29 de agosto 2025, C-1338 del 27 de octubre de 2025, </w:t>
      </w:r>
      <w:r w:rsidRPr="00283CFD">
        <w:rPr>
          <w:rFonts w:ascii="Verdana" w:hAnsi="Verdana" w:cs="Arial"/>
          <w:color w:val="000000" w:themeColor="text1"/>
          <w:shd w:val="clear" w:color="auto" w:fill="FFFFFF"/>
          <w:lang w:val="es-ES"/>
        </w:rPr>
        <w:t>entre otros</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sidRPr="0054025F">
        <w:rPr>
          <w:rFonts w:ascii="Verdana" w:eastAsia="Calibri" w:hAnsi="Verdana" w:cs="Arial"/>
          <w:shd w:val="clear" w:color="auto" w:fill="FFFFFF"/>
          <w:lang w:val="es-ES"/>
        </w:rPr>
        <w:t>Estos</w:t>
      </w:r>
      <w:r w:rsidRPr="0054025F">
        <w:rPr>
          <w:rFonts w:ascii="Verdana" w:eastAsia="Calibri" w:hAnsi="Verdana" w:cs="Times New Roman"/>
          <w:lang w:val="es-ES"/>
        </w:rPr>
        <w:t xml:space="preserve"> y otros se encuentran disponibles para consulta en el Sistema de relatoría de la Agencia, al cual se puede acceder a través del siguiente enlace:</w:t>
      </w:r>
      <w:r w:rsidRPr="0054025F">
        <w:rPr>
          <w:rFonts w:ascii="Verdana" w:eastAsia="Calibri" w:hAnsi="Verdana" w:cs="Arial"/>
          <w:shd w:val="clear" w:color="auto" w:fill="FFFFFF"/>
          <w:lang w:val="es-ES"/>
        </w:rPr>
        <w:t xml:space="preserve"> </w:t>
      </w:r>
      <w:hyperlink r:id="rId12" w:history="1">
        <w:r w:rsidRPr="0054025F">
          <w:rPr>
            <w:rFonts w:ascii="Verdana" w:eastAsia="Calibri" w:hAnsi="Verdana" w:cs="Arial"/>
            <w:color w:val="0000FF"/>
            <w:u w:val="single"/>
            <w:shd w:val="clear" w:color="auto" w:fill="FFFFFF"/>
            <w:lang w:val="es-ES"/>
          </w:rPr>
          <w:t>https://relatoria.colombiacompra.gov.co/busqueda/conceptos</w:t>
        </w:r>
      </w:hyperlink>
    </w:p>
    <w:p w14:paraId="57E0F765" w14:textId="77777777" w:rsidR="00636B5B" w:rsidRPr="0054025F" w:rsidRDefault="00636B5B" w:rsidP="00636B5B">
      <w:pPr>
        <w:spacing w:after="0" w:line="276" w:lineRule="auto"/>
        <w:jc w:val="both"/>
        <w:rPr>
          <w:rFonts w:ascii="Verdana" w:eastAsia="Calibri" w:hAnsi="Verdana" w:cs="Arial"/>
          <w:shd w:val="clear" w:color="auto" w:fill="FFFFFF"/>
          <w:lang w:val="es-ES"/>
        </w:rPr>
      </w:pPr>
    </w:p>
    <w:p w14:paraId="6C7FD38D" w14:textId="77777777" w:rsidR="00636B5B" w:rsidRPr="0054025F" w:rsidRDefault="00636B5B" w:rsidP="00636B5B">
      <w:pPr>
        <w:spacing w:after="0" w:line="276" w:lineRule="auto"/>
        <w:jc w:val="both"/>
        <w:rPr>
          <w:rFonts w:ascii="Verdana" w:eastAsia="Calibri" w:hAnsi="Verdana" w:cs="Arial"/>
          <w:shd w:val="clear" w:color="auto" w:fill="FFFFFF"/>
        </w:rPr>
      </w:pPr>
      <w:r w:rsidRPr="0054025F">
        <w:rPr>
          <w:rFonts w:ascii="Verdana" w:eastAsia="Calibri" w:hAnsi="Verdana" w:cs="Arial"/>
          <w:shd w:val="clear" w:color="auto" w:fill="FFFFFF"/>
        </w:rPr>
        <w:t>También le contamos que ya se encuentra disponible la </w:t>
      </w:r>
      <w:r w:rsidRPr="0054025F">
        <w:rPr>
          <w:rFonts w:ascii="Verdana" w:eastAsia="Calibri" w:hAnsi="Verdana" w:cs="Arial"/>
          <w:b/>
          <w:bCs/>
          <w:shd w:val="clear" w:color="auto" w:fill="FFFFFF"/>
        </w:rPr>
        <w:t xml:space="preserve">Guía de lineamientos de transparencia y selección objetiva para el departamento de La Guajira – Objetivo sexto constitucional de la Sentencia T-302 del </w:t>
      </w:r>
      <w:r w:rsidRPr="0054025F">
        <w:rPr>
          <w:rFonts w:ascii="Verdana" w:eastAsia="Calibri" w:hAnsi="Verdana" w:cs="Arial"/>
          <w:b/>
          <w:bCs/>
          <w:shd w:val="clear" w:color="auto" w:fill="FFFFFF"/>
        </w:rPr>
        <w:lastRenderedPageBreak/>
        <w:t>2017. </w:t>
      </w:r>
      <w:r w:rsidRPr="0054025F">
        <w:rPr>
          <w:rFonts w:ascii="Verdana" w:eastAsia="Calibri"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4025F">
        <w:rPr>
          <w:rFonts w:ascii="Verdana" w:eastAsia="Calibri" w:hAnsi="Verdana" w:cs="Arial"/>
          <w:shd w:val="clear" w:color="auto" w:fill="FFFFFF"/>
        </w:rPr>
        <w:t>Wayúu</w:t>
      </w:r>
      <w:proofErr w:type="spellEnd"/>
      <w:r w:rsidRPr="0054025F">
        <w:rPr>
          <w:rFonts w:ascii="Verdana" w:eastAsia="Calibri" w:hAnsi="Verdana" w:cs="Arial"/>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54025F">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p>
    <w:p w14:paraId="7EE3BDB5" w14:textId="77777777" w:rsidR="00636B5B" w:rsidRPr="0054025F" w:rsidRDefault="00636B5B" w:rsidP="00636B5B">
      <w:pPr>
        <w:spacing w:after="0" w:line="276" w:lineRule="auto"/>
        <w:jc w:val="both"/>
        <w:rPr>
          <w:rFonts w:ascii="Verdana" w:eastAsia="Calibri" w:hAnsi="Verdana" w:cs="Arial"/>
          <w:shd w:val="clear" w:color="auto" w:fill="FFFFFF"/>
        </w:rPr>
      </w:pPr>
    </w:p>
    <w:p w14:paraId="01F1C1C4" w14:textId="77777777" w:rsidR="00636B5B" w:rsidRPr="0054025F" w:rsidRDefault="00636B5B" w:rsidP="00636B5B">
      <w:pPr>
        <w:spacing w:after="0" w:line="276" w:lineRule="auto"/>
        <w:jc w:val="both"/>
        <w:rPr>
          <w:rFonts w:ascii="Verdana" w:eastAsia="Calibri" w:hAnsi="Verdana" w:cs="Arial"/>
          <w:shd w:val="clear" w:color="auto" w:fill="FFFFFF"/>
        </w:rPr>
      </w:pPr>
      <w:r w:rsidRPr="0054025F">
        <w:rPr>
          <w:rFonts w:ascii="Verdana" w:eastAsia="Calibri" w:hAnsi="Verdana" w:cs="Arial"/>
          <w:shd w:val="clear" w:color="auto" w:fill="FFFFFF"/>
        </w:rPr>
        <w:t xml:space="preserve">Por último, lo invitamos a seguirnos en las redes sociales en las cuales se difunde información institucional: </w:t>
      </w:r>
    </w:p>
    <w:p w14:paraId="32A33D2B" w14:textId="77777777" w:rsidR="00636B5B" w:rsidRPr="0054025F" w:rsidRDefault="00636B5B" w:rsidP="00636B5B">
      <w:pPr>
        <w:spacing w:after="0" w:line="276" w:lineRule="auto"/>
        <w:jc w:val="both"/>
        <w:rPr>
          <w:rFonts w:ascii="Verdana" w:eastAsia="Calibri" w:hAnsi="Verdana" w:cs="Arial"/>
          <w:shd w:val="clear" w:color="auto" w:fill="FFFFFF"/>
        </w:rPr>
      </w:pPr>
    </w:p>
    <w:p w14:paraId="3B6E609B" w14:textId="77777777" w:rsidR="00636B5B" w:rsidRPr="0054025F" w:rsidRDefault="00636B5B" w:rsidP="00636B5B">
      <w:pPr>
        <w:spacing w:after="0" w:line="276" w:lineRule="auto"/>
        <w:jc w:val="both"/>
        <w:rPr>
          <w:rFonts w:ascii="Verdana" w:eastAsia="Calibri" w:hAnsi="Verdana" w:cs="Arial"/>
          <w:shd w:val="clear" w:color="auto" w:fill="FFFFFF"/>
        </w:rPr>
      </w:pPr>
      <w:r w:rsidRPr="0054025F">
        <w:rPr>
          <w:rFonts w:ascii="Verdana" w:eastAsia="Calibri" w:hAnsi="Verdana" w:cs="Arial"/>
          <w:shd w:val="clear" w:color="auto" w:fill="FFFFFF"/>
        </w:rPr>
        <w:t xml:space="preserve">Twitter: </w:t>
      </w:r>
      <w:r w:rsidRPr="0054025F">
        <w:rPr>
          <w:rFonts w:ascii="Verdana" w:eastAsia="Calibri" w:hAnsi="Verdana" w:cs="Arial"/>
          <w:u w:val="single"/>
          <w:shd w:val="clear" w:color="auto" w:fill="FFFFFF"/>
        </w:rPr>
        <w:t>@colombiacompra</w:t>
      </w:r>
      <w:r w:rsidRPr="0054025F">
        <w:rPr>
          <w:rFonts w:ascii="Verdana" w:eastAsia="Calibri" w:hAnsi="Verdana" w:cs="Arial"/>
          <w:shd w:val="clear" w:color="auto" w:fill="FFFFFF"/>
        </w:rPr>
        <w:t xml:space="preserve"> </w:t>
      </w:r>
    </w:p>
    <w:p w14:paraId="147CFDD1" w14:textId="77777777" w:rsidR="00636B5B" w:rsidRPr="0054025F" w:rsidRDefault="00636B5B" w:rsidP="00636B5B">
      <w:pPr>
        <w:spacing w:after="0" w:line="276" w:lineRule="auto"/>
        <w:jc w:val="both"/>
        <w:rPr>
          <w:rFonts w:ascii="Verdana" w:eastAsia="Calibri" w:hAnsi="Verdana" w:cs="Arial"/>
          <w:shd w:val="clear" w:color="auto" w:fill="FFFFFF"/>
        </w:rPr>
      </w:pPr>
      <w:r w:rsidRPr="0054025F">
        <w:rPr>
          <w:rFonts w:ascii="Verdana" w:eastAsia="Calibri" w:hAnsi="Verdana" w:cs="Arial"/>
          <w:shd w:val="clear" w:color="auto" w:fill="FFFFFF"/>
        </w:rPr>
        <w:t xml:space="preserve">Facebook: </w:t>
      </w:r>
      <w:proofErr w:type="spellStart"/>
      <w:r w:rsidRPr="0054025F">
        <w:rPr>
          <w:rFonts w:ascii="Verdana" w:eastAsia="Calibri" w:hAnsi="Verdana" w:cs="Arial"/>
          <w:u w:val="single"/>
          <w:shd w:val="clear" w:color="auto" w:fill="FFFFFF"/>
        </w:rPr>
        <w:t>ColombiaCompraEficiente</w:t>
      </w:r>
      <w:proofErr w:type="spellEnd"/>
    </w:p>
    <w:p w14:paraId="1A21F6CC" w14:textId="77777777" w:rsidR="00636B5B" w:rsidRPr="0054025F" w:rsidRDefault="00636B5B" w:rsidP="00636B5B">
      <w:pPr>
        <w:spacing w:after="0" w:line="276" w:lineRule="auto"/>
        <w:jc w:val="both"/>
        <w:rPr>
          <w:rFonts w:ascii="Verdana" w:eastAsia="Calibri" w:hAnsi="Verdana" w:cs="Arial"/>
          <w:shd w:val="clear" w:color="auto" w:fill="FFFFFF"/>
        </w:rPr>
      </w:pPr>
      <w:r w:rsidRPr="0054025F">
        <w:rPr>
          <w:rFonts w:ascii="Verdana" w:eastAsia="Calibri" w:hAnsi="Verdana" w:cs="Arial"/>
          <w:shd w:val="clear" w:color="auto" w:fill="FFFFFF"/>
        </w:rPr>
        <w:t xml:space="preserve">LinkedIn: </w:t>
      </w:r>
      <w:r w:rsidRPr="0054025F">
        <w:rPr>
          <w:rFonts w:ascii="Verdana" w:eastAsia="Calibri" w:hAnsi="Verdana" w:cs="Arial"/>
          <w:u w:val="single"/>
          <w:shd w:val="clear" w:color="auto" w:fill="FFFFFF"/>
        </w:rPr>
        <w:t>Agencia Nacional de Contratación Pública - Colombia Compra Eficiente</w:t>
      </w:r>
      <w:r w:rsidRPr="0054025F">
        <w:rPr>
          <w:rFonts w:ascii="Verdana" w:eastAsia="Calibri" w:hAnsi="Verdana" w:cs="Arial"/>
          <w:shd w:val="clear" w:color="auto" w:fill="FFFFFF"/>
        </w:rPr>
        <w:t xml:space="preserve"> Instagram: </w:t>
      </w:r>
      <w:r w:rsidRPr="0054025F">
        <w:rPr>
          <w:rFonts w:ascii="Verdana" w:eastAsia="Calibri" w:hAnsi="Verdana" w:cs="Arial"/>
          <w:u w:val="single"/>
          <w:shd w:val="clear" w:color="auto" w:fill="FFFFFF"/>
        </w:rPr>
        <w:t>@colombiacompraeficiente_cce</w:t>
      </w:r>
    </w:p>
    <w:p w14:paraId="2405A89B" w14:textId="77777777" w:rsidR="00636B5B" w:rsidRPr="0054025F" w:rsidRDefault="00636B5B" w:rsidP="00636B5B">
      <w:pPr>
        <w:widowControl w:val="0"/>
        <w:autoSpaceDE w:val="0"/>
        <w:autoSpaceDN w:val="0"/>
        <w:spacing w:after="0" w:line="276" w:lineRule="auto"/>
        <w:jc w:val="both"/>
        <w:rPr>
          <w:rFonts w:ascii="Verdana" w:eastAsia="Calibri" w:hAnsi="Verdana" w:cs="Arial"/>
          <w:lang w:val="es-ES"/>
        </w:rPr>
      </w:pPr>
    </w:p>
    <w:p w14:paraId="08221A81" w14:textId="77777777" w:rsidR="00636B5B" w:rsidRPr="0054025F" w:rsidRDefault="00636B5B" w:rsidP="00636B5B">
      <w:pPr>
        <w:widowControl w:val="0"/>
        <w:autoSpaceDE w:val="0"/>
        <w:autoSpaceDN w:val="0"/>
        <w:spacing w:after="0" w:line="276" w:lineRule="auto"/>
        <w:jc w:val="both"/>
        <w:rPr>
          <w:rFonts w:ascii="Verdana" w:eastAsia="Calibri" w:hAnsi="Verdana" w:cs="Arial"/>
          <w:lang w:val="es-ES"/>
        </w:rPr>
      </w:pPr>
      <w:r w:rsidRPr="0054025F">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F5F7253" w14:textId="77777777" w:rsidR="00636B5B" w:rsidRPr="0054025F" w:rsidRDefault="00636B5B" w:rsidP="00636B5B">
      <w:pPr>
        <w:widowControl w:val="0"/>
        <w:autoSpaceDE w:val="0"/>
        <w:autoSpaceDN w:val="0"/>
        <w:spacing w:after="0" w:line="276" w:lineRule="auto"/>
        <w:jc w:val="both"/>
        <w:rPr>
          <w:rFonts w:ascii="Verdana" w:eastAsia="Calibri" w:hAnsi="Verdana" w:cs="Arial"/>
          <w:lang w:val="es-ES"/>
        </w:rPr>
      </w:pPr>
    </w:p>
    <w:p w14:paraId="2BB19B1E" w14:textId="77777777" w:rsidR="00636B5B" w:rsidRPr="0054025F" w:rsidRDefault="00636B5B" w:rsidP="00636B5B">
      <w:pPr>
        <w:spacing w:after="0" w:line="276" w:lineRule="auto"/>
        <w:rPr>
          <w:rFonts w:ascii="Verdana" w:eastAsia="Calibri" w:hAnsi="Verdana" w:cs="Arial"/>
          <w:color w:val="000000" w:themeColor="text1"/>
          <w:lang w:val="es-ES" w:eastAsia="es-CO"/>
        </w:rPr>
      </w:pPr>
      <w:r w:rsidRPr="0054025F">
        <w:rPr>
          <w:rFonts w:ascii="Verdana" w:eastAsia="Times New Roman" w:hAnsi="Verdana" w:cs="Arial"/>
          <w:color w:val="000000" w:themeColor="text1"/>
          <w:lang w:val="es-ES" w:eastAsia="es-CO"/>
        </w:rPr>
        <w:t>Atentamente,</w:t>
      </w:r>
      <w:r w:rsidRPr="0054025F">
        <w:rPr>
          <w:rFonts w:ascii="Verdana" w:eastAsia="Calibri" w:hAnsi="Verdana" w:cs="Arial"/>
          <w:color w:val="000000" w:themeColor="text1"/>
          <w:lang w:val="es-ES" w:eastAsia="es-CO"/>
        </w:rPr>
        <w:t xml:space="preserve"> </w:t>
      </w:r>
    </w:p>
    <w:p w14:paraId="579893E1" w14:textId="70DB1D7F" w:rsidR="00636B5B" w:rsidRPr="0054025F" w:rsidRDefault="00591BA6" w:rsidP="00636B5B">
      <w:pPr>
        <w:spacing w:after="0" w:line="276" w:lineRule="auto"/>
        <w:jc w:val="center"/>
        <w:rPr>
          <w:rFonts w:ascii="Verdana" w:eastAsia="Calibri" w:hAnsi="Verdana" w:cs="Arial"/>
          <w:color w:val="000000" w:themeColor="text1"/>
          <w:lang w:val="es-ES" w:eastAsia="es-CO"/>
        </w:rPr>
      </w:pPr>
      <w:r w:rsidRPr="002C3AD6">
        <w:rPr>
          <w:rFonts w:ascii="Century Gothic" w:hAnsi="Century Gothic"/>
          <w:noProof/>
        </w:rPr>
        <w:drawing>
          <wp:inline distT="0" distB="0" distL="0" distR="0" wp14:anchorId="21077DDC" wp14:editId="377429F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1"/>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36B5B" w:rsidRPr="0054025F" w14:paraId="41135A37" w14:textId="77777777" w:rsidTr="00353963">
        <w:trPr>
          <w:trHeight w:val="315"/>
        </w:trPr>
        <w:tc>
          <w:tcPr>
            <w:tcW w:w="893" w:type="dxa"/>
            <w:vAlign w:val="center"/>
            <w:hideMark/>
          </w:tcPr>
          <w:p w14:paraId="136E119B" w14:textId="77777777" w:rsidR="00636B5B" w:rsidRPr="0054025F" w:rsidRDefault="00636B5B" w:rsidP="00353963">
            <w:pPr>
              <w:spacing w:after="255"/>
              <w:contextualSpacing/>
              <w:rPr>
                <w:rFonts w:ascii="Verdana" w:hAnsi="Verdana"/>
                <w:sz w:val="16"/>
                <w:szCs w:val="16"/>
                <w:lang w:val="es-ES" w:eastAsia="es-ES"/>
              </w:rPr>
            </w:pPr>
            <w:r w:rsidRPr="0054025F">
              <w:rPr>
                <w:rFonts w:ascii="Verdana" w:hAnsi="Verdana"/>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0A62C3F" w14:textId="77777777" w:rsidR="00636B5B" w:rsidRPr="0054025F" w:rsidRDefault="00636B5B" w:rsidP="00353963">
            <w:pPr>
              <w:spacing w:after="255"/>
              <w:contextualSpacing/>
              <w:rPr>
                <w:rFonts w:ascii="Verdana" w:eastAsia="Arial" w:hAnsi="Verdana"/>
                <w:color w:val="000000" w:themeColor="text1"/>
                <w:sz w:val="16"/>
                <w:szCs w:val="16"/>
                <w:lang w:val="es-ES"/>
              </w:rPr>
            </w:pPr>
            <w:r w:rsidRPr="0054025F">
              <w:rPr>
                <w:rFonts w:ascii="Verdana" w:eastAsia="Arial" w:hAnsi="Verdana"/>
                <w:color w:val="000000" w:themeColor="text1"/>
                <w:sz w:val="16"/>
                <w:szCs w:val="16"/>
                <w:lang w:val="es-ES"/>
              </w:rPr>
              <w:t>Ximena Ríos López</w:t>
            </w:r>
          </w:p>
          <w:p w14:paraId="01FC2490" w14:textId="77777777" w:rsidR="00636B5B" w:rsidRPr="0054025F" w:rsidRDefault="00636B5B" w:rsidP="00353963">
            <w:pPr>
              <w:spacing w:after="255"/>
              <w:contextualSpacing/>
              <w:rPr>
                <w:rFonts w:ascii="Verdana" w:eastAsia="Arial" w:hAnsi="Verdana"/>
                <w:sz w:val="16"/>
                <w:szCs w:val="16"/>
                <w:lang w:val="es-ES"/>
              </w:rPr>
            </w:pPr>
            <w:r w:rsidRPr="0054025F">
              <w:rPr>
                <w:rFonts w:ascii="Verdana" w:hAnsi="Verdana"/>
                <w:sz w:val="16"/>
                <w:szCs w:val="16"/>
                <w:lang w:val="es-ES"/>
              </w:rPr>
              <w:t xml:space="preserve">Gestor T1 – 11 </w:t>
            </w:r>
            <w:r w:rsidRPr="0054025F">
              <w:rPr>
                <w:rFonts w:ascii="Verdana" w:eastAsia="Arial" w:hAnsi="Verdana"/>
                <w:color w:val="000000" w:themeColor="text1"/>
                <w:sz w:val="16"/>
                <w:szCs w:val="16"/>
                <w:lang w:val="es-ES"/>
              </w:rPr>
              <w:t xml:space="preserve">de la Subdirección </w:t>
            </w:r>
            <w:r w:rsidRPr="0054025F">
              <w:rPr>
                <w:rFonts w:ascii="Verdana" w:eastAsia="Arial" w:hAnsi="Verdana"/>
                <w:sz w:val="16"/>
                <w:szCs w:val="16"/>
                <w:lang w:val="es-ES"/>
              </w:rPr>
              <w:t>de Gestión Contractual</w:t>
            </w:r>
          </w:p>
        </w:tc>
      </w:tr>
      <w:tr w:rsidR="00636B5B" w:rsidRPr="0054025F" w14:paraId="01132981" w14:textId="77777777" w:rsidTr="00353963">
        <w:trPr>
          <w:trHeight w:val="330"/>
        </w:trPr>
        <w:tc>
          <w:tcPr>
            <w:tcW w:w="893" w:type="dxa"/>
            <w:vAlign w:val="center"/>
            <w:hideMark/>
          </w:tcPr>
          <w:p w14:paraId="1E78D446" w14:textId="77777777" w:rsidR="00636B5B" w:rsidRPr="0054025F" w:rsidRDefault="00636B5B" w:rsidP="00353963">
            <w:pPr>
              <w:spacing w:after="255"/>
              <w:contextualSpacing/>
              <w:rPr>
                <w:rFonts w:ascii="Verdana" w:hAnsi="Verdana"/>
                <w:sz w:val="16"/>
                <w:szCs w:val="16"/>
                <w:lang w:val="es-ES" w:eastAsia="es-ES"/>
              </w:rPr>
            </w:pPr>
            <w:r w:rsidRPr="0054025F">
              <w:rPr>
                <w:rFonts w:ascii="Verdana" w:hAnsi="Verdana"/>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7435F5" w14:textId="30FA04D0" w:rsidR="00636B5B" w:rsidRPr="0054025F" w:rsidRDefault="00636B5B" w:rsidP="00353963">
            <w:pPr>
              <w:spacing w:after="255" w:line="276" w:lineRule="auto"/>
              <w:contextualSpacing/>
              <w:textAlignment w:val="baseline"/>
              <w:rPr>
                <w:rFonts w:ascii="Verdana" w:eastAsia="Times New Roman" w:hAnsi="Verdana"/>
                <w:sz w:val="16"/>
                <w:szCs w:val="16"/>
                <w:lang w:val="es-ES" w:eastAsia="es-ES_tradnl"/>
              </w:rPr>
            </w:pPr>
            <w:r w:rsidRPr="0054025F">
              <w:rPr>
                <w:rFonts w:ascii="Verdana" w:eastAsia="Times New Roman" w:hAnsi="Verdana"/>
                <w:sz w:val="16"/>
                <w:szCs w:val="16"/>
                <w:lang w:val="es-ES" w:eastAsia="es-ES_tradnl"/>
              </w:rPr>
              <w:t xml:space="preserve">Diana </w:t>
            </w:r>
            <w:r w:rsidR="005E3A74">
              <w:rPr>
                <w:rFonts w:ascii="Verdana" w:eastAsia="Times New Roman" w:hAnsi="Verdana"/>
                <w:sz w:val="16"/>
                <w:szCs w:val="16"/>
                <w:lang w:val="es-ES" w:eastAsia="es-ES_tradnl"/>
              </w:rPr>
              <w:t xml:space="preserve">Lucia </w:t>
            </w:r>
            <w:r w:rsidRPr="0054025F">
              <w:rPr>
                <w:rFonts w:ascii="Verdana" w:eastAsia="Times New Roman" w:hAnsi="Verdana"/>
                <w:sz w:val="16"/>
                <w:szCs w:val="16"/>
                <w:lang w:val="es-ES" w:eastAsia="es-ES_tradnl"/>
              </w:rPr>
              <w:t>Saavedra</w:t>
            </w:r>
            <w:r w:rsidR="005E3A74">
              <w:rPr>
                <w:rFonts w:ascii="Verdana" w:eastAsia="Times New Roman" w:hAnsi="Verdana"/>
                <w:sz w:val="16"/>
                <w:szCs w:val="16"/>
                <w:lang w:val="es-ES" w:eastAsia="es-ES_tradnl"/>
              </w:rPr>
              <w:t xml:space="preserve"> Castañeda</w:t>
            </w:r>
          </w:p>
          <w:p w14:paraId="3146B825" w14:textId="77777777" w:rsidR="00636B5B" w:rsidRPr="0054025F" w:rsidRDefault="00636B5B" w:rsidP="00353963">
            <w:pPr>
              <w:contextualSpacing/>
              <w:textAlignment w:val="baseline"/>
              <w:rPr>
                <w:rFonts w:ascii="Verdana" w:eastAsia="Times New Roman" w:hAnsi="Verdana" w:cs="Segoe UI"/>
                <w:sz w:val="16"/>
                <w:szCs w:val="16"/>
                <w:lang w:val="es-ES"/>
              </w:rPr>
            </w:pPr>
            <w:r w:rsidRPr="0054025F">
              <w:rPr>
                <w:rFonts w:ascii="Verdana" w:eastAsia="Times New Roman" w:hAnsi="Verdana"/>
                <w:sz w:val="16"/>
                <w:szCs w:val="16"/>
                <w:lang w:val="es-ES"/>
              </w:rPr>
              <w:t>Contratista de la Subdirección de Gestión Contractual </w:t>
            </w:r>
          </w:p>
        </w:tc>
      </w:tr>
      <w:tr w:rsidR="00636B5B" w:rsidRPr="0054025F" w14:paraId="778B0146" w14:textId="77777777" w:rsidTr="00353963">
        <w:trPr>
          <w:trHeight w:val="300"/>
        </w:trPr>
        <w:tc>
          <w:tcPr>
            <w:tcW w:w="893" w:type="dxa"/>
            <w:vAlign w:val="center"/>
            <w:hideMark/>
          </w:tcPr>
          <w:p w14:paraId="572BE6F8" w14:textId="77777777" w:rsidR="00636B5B" w:rsidRPr="0054025F" w:rsidRDefault="00636B5B" w:rsidP="00353963">
            <w:pPr>
              <w:spacing w:after="255"/>
              <w:contextualSpacing/>
              <w:rPr>
                <w:rFonts w:ascii="Verdana" w:hAnsi="Verdana"/>
                <w:sz w:val="16"/>
                <w:szCs w:val="16"/>
                <w:lang w:val="es-ES" w:eastAsia="es-ES"/>
              </w:rPr>
            </w:pPr>
            <w:r w:rsidRPr="0054025F">
              <w:rPr>
                <w:rFonts w:ascii="Verdana" w:hAnsi="Verdana"/>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A489F45" w14:textId="77777777" w:rsidR="00636B5B" w:rsidRPr="0054025F" w:rsidRDefault="00636B5B" w:rsidP="00353963">
            <w:pPr>
              <w:spacing w:after="255"/>
              <w:contextualSpacing/>
              <w:rPr>
                <w:rFonts w:ascii="Verdana" w:hAnsi="Verdana"/>
                <w:sz w:val="16"/>
                <w:szCs w:val="16"/>
                <w:lang w:val="es-ES" w:eastAsia="es-ES"/>
              </w:rPr>
            </w:pPr>
            <w:r w:rsidRPr="0054025F">
              <w:rPr>
                <w:rFonts w:ascii="Verdana" w:hAnsi="Verdana"/>
                <w:sz w:val="16"/>
                <w:szCs w:val="16"/>
                <w:lang w:val="es-ES" w:eastAsia="es-ES"/>
              </w:rPr>
              <w:t xml:space="preserve">Carolina Quintero </w:t>
            </w:r>
            <w:proofErr w:type="spellStart"/>
            <w:r w:rsidRPr="0054025F">
              <w:rPr>
                <w:rFonts w:ascii="Verdana" w:hAnsi="Verdana"/>
                <w:sz w:val="16"/>
                <w:szCs w:val="16"/>
                <w:lang w:val="es-ES" w:eastAsia="es-ES"/>
              </w:rPr>
              <w:t>Gacharná</w:t>
            </w:r>
            <w:proofErr w:type="spellEnd"/>
          </w:p>
          <w:p w14:paraId="5F1303F0" w14:textId="77777777" w:rsidR="00636B5B" w:rsidRPr="0054025F" w:rsidRDefault="00636B5B" w:rsidP="00353963">
            <w:pPr>
              <w:spacing w:after="255"/>
              <w:contextualSpacing/>
              <w:rPr>
                <w:rFonts w:ascii="Verdana" w:hAnsi="Verdana"/>
                <w:sz w:val="16"/>
                <w:szCs w:val="16"/>
                <w:lang w:val="es-ES" w:eastAsia="es-ES"/>
              </w:rPr>
            </w:pPr>
            <w:r w:rsidRPr="0054025F">
              <w:rPr>
                <w:rFonts w:ascii="Verdana" w:hAnsi="Verdana"/>
                <w:sz w:val="16"/>
                <w:szCs w:val="16"/>
                <w:lang w:val="es-ES" w:eastAsia="es-ES"/>
              </w:rPr>
              <w:t>Subdirectora de Gestión Contractual ANCP – CCE</w:t>
            </w:r>
          </w:p>
        </w:tc>
      </w:tr>
    </w:tbl>
    <w:p w14:paraId="2ABCDAA2" w14:textId="77777777" w:rsidR="00636B5B" w:rsidRPr="0054025F" w:rsidRDefault="00636B5B" w:rsidP="00636B5B">
      <w:pPr>
        <w:spacing w:after="0" w:line="276" w:lineRule="auto"/>
        <w:jc w:val="center"/>
        <w:rPr>
          <w:rFonts w:ascii="Calibri" w:eastAsia="Calibri" w:hAnsi="Calibri" w:cs="Times New Roman"/>
          <w:lang w:val="es-ES"/>
        </w:rPr>
      </w:pPr>
    </w:p>
    <w:p w14:paraId="0F293BF4" w14:textId="2163D1D4" w:rsidR="00127233" w:rsidRPr="00636B5B" w:rsidRDefault="00127233" w:rsidP="00636B5B">
      <w:pPr>
        <w:rPr>
          <w:lang w:val="es-ES"/>
        </w:rPr>
      </w:pPr>
    </w:p>
    <w:sectPr w:rsidR="00127233" w:rsidRPr="00636B5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8B4A94" w14:textId="77777777" w:rsidR="000179F4" w:rsidRDefault="000179F4" w:rsidP="004A1847">
      <w:pPr>
        <w:spacing w:after="0" w:line="240" w:lineRule="auto"/>
      </w:pPr>
      <w:r>
        <w:separator/>
      </w:r>
    </w:p>
  </w:endnote>
  <w:endnote w:type="continuationSeparator" w:id="0">
    <w:p w14:paraId="1DDBDF8A" w14:textId="77777777" w:rsidR="000179F4" w:rsidRDefault="000179F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2C4D0" w14:textId="77777777" w:rsidR="000179F4" w:rsidRDefault="000179F4" w:rsidP="004A1847">
      <w:pPr>
        <w:spacing w:after="0" w:line="240" w:lineRule="auto"/>
      </w:pPr>
      <w:r>
        <w:separator/>
      </w:r>
    </w:p>
  </w:footnote>
  <w:footnote w:type="continuationSeparator" w:id="0">
    <w:p w14:paraId="1ED15266" w14:textId="77777777" w:rsidR="000179F4" w:rsidRDefault="000179F4" w:rsidP="004A1847">
      <w:pPr>
        <w:spacing w:after="0" w:line="240" w:lineRule="auto"/>
      </w:pPr>
      <w:r>
        <w:continuationSeparator/>
      </w:r>
    </w:p>
  </w:footnote>
  <w:footnote w:id="1">
    <w:p w14:paraId="70787AA7" w14:textId="77777777" w:rsidR="00636B5B" w:rsidRPr="00A71800" w:rsidRDefault="00636B5B" w:rsidP="00636B5B">
      <w:pPr>
        <w:pStyle w:val="Textonotapie"/>
        <w:spacing w:before="120" w:after="120"/>
        <w:ind w:firstLine="708"/>
        <w:rPr>
          <w:rFonts w:ascii="Verdana" w:hAnsi="Verdana" w:cs="Arial"/>
          <w:color w:val="161616"/>
          <w:sz w:val="14"/>
          <w:szCs w:val="14"/>
        </w:rPr>
      </w:pPr>
      <w:r w:rsidRPr="00A71800">
        <w:rPr>
          <w:rStyle w:val="Refdenotaalpie"/>
          <w:rFonts w:ascii="Verdana" w:hAnsi="Verdana" w:cs="Arial"/>
          <w:color w:val="161616"/>
          <w:sz w:val="14"/>
          <w:szCs w:val="14"/>
        </w:rPr>
        <w:footnoteRef/>
      </w:r>
      <w:r w:rsidRPr="00A71800">
        <w:rPr>
          <w:rFonts w:ascii="Verdana" w:hAnsi="Verdana" w:cs="Arial"/>
          <w:color w:val="161616"/>
          <w:sz w:val="14"/>
          <w:szCs w:val="14"/>
        </w:rPr>
        <w:t xml:space="preserve"> “Son también contratos de consultoría los que tienen por objeto la interventoría […]”.</w:t>
      </w:r>
    </w:p>
    <w:p w14:paraId="59064B28" w14:textId="77777777" w:rsidR="00636B5B" w:rsidRPr="00A71800" w:rsidRDefault="00636B5B" w:rsidP="00636B5B">
      <w:pPr>
        <w:pStyle w:val="Textonotapie"/>
        <w:spacing w:before="120" w:after="120"/>
        <w:ind w:firstLine="708"/>
        <w:rPr>
          <w:rFonts w:ascii="Verdana" w:hAnsi="Verdana" w:cs="Arial"/>
          <w:color w:val="161616"/>
          <w:sz w:val="14"/>
          <w:szCs w:val="14"/>
          <w:lang w:val="es-CO"/>
        </w:rPr>
      </w:pPr>
    </w:p>
  </w:footnote>
  <w:footnote w:id="2">
    <w:p w14:paraId="617E2C59" w14:textId="77777777" w:rsidR="00636B5B" w:rsidRPr="00A71800" w:rsidRDefault="00636B5B" w:rsidP="00636B5B">
      <w:pPr>
        <w:pStyle w:val="Textonotapie"/>
        <w:spacing w:before="120" w:after="120"/>
        <w:ind w:firstLine="708"/>
        <w:jc w:val="both"/>
        <w:rPr>
          <w:rFonts w:ascii="Verdana" w:hAnsi="Verdana" w:cs="Arial"/>
          <w:color w:val="161616"/>
          <w:sz w:val="14"/>
          <w:szCs w:val="14"/>
        </w:rPr>
      </w:pPr>
      <w:r w:rsidRPr="00A71800">
        <w:rPr>
          <w:rStyle w:val="Refdenotaalpie"/>
          <w:rFonts w:ascii="Verdana" w:hAnsi="Verdana" w:cs="Arial"/>
          <w:sz w:val="14"/>
          <w:szCs w:val="14"/>
        </w:rPr>
        <w:footnoteRef/>
      </w:r>
      <w:r w:rsidRPr="00A71800">
        <w:rPr>
          <w:rFonts w:ascii="Verdana" w:hAnsi="Verdana" w:cs="Arial"/>
          <w:sz w:val="14"/>
          <w:szCs w:val="14"/>
        </w:rPr>
        <w:t xml:space="preserve"> </w:t>
      </w:r>
      <w:r w:rsidRPr="00A71800">
        <w:rPr>
          <w:rFonts w:ascii="Verdana" w:hAnsi="Verdana" w:cs="Arial"/>
          <w:color w:val="161616"/>
          <w:sz w:val="14"/>
          <w:szCs w:val="14"/>
        </w:rPr>
        <w:t>Consejo de Estado. Sección Tercera. Sentencia del 28 de febrero de 2013. Exp. 24.266 M.P. Danilo Rojas Betancourth.</w:t>
      </w:r>
    </w:p>
  </w:footnote>
  <w:footnote w:id="3">
    <w:p w14:paraId="407844F9" w14:textId="77777777" w:rsidR="00636B5B" w:rsidRPr="00A71800" w:rsidRDefault="00636B5B" w:rsidP="00636B5B">
      <w:pPr>
        <w:pStyle w:val="Textonotapie"/>
        <w:spacing w:before="120" w:after="120"/>
        <w:ind w:firstLine="708"/>
        <w:jc w:val="both"/>
        <w:rPr>
          <w:rFonts w:ascii="Verdana" w:hAnsi="Verdana" w:cs="Arial"/>
          <w:color w:val="000000" w:themeColor="text1"/>
          <w:sz w:val="14"/>
          <w:szCs w:val="14"/>
        </w:rPr>
      </w:pPr>
      <w:r w:rsidRPr="00A71800">
        <w:rPr>
          <w:rStyle w:val="Refdenotaalpie"/>
          <w:rFonts w:ascii="Verdana" w:hAnsi="Verdana" w:cs="Arial"/>
          <w:color w:val="000000" w:themeColor="text1"/>
          <w:sz w:val="14"/>
          <w:szCs w:val="14"/>
        </w:rPr>
        <w:footnoteRef/>
      </w:r>
      <w:r w:rsidRPr="00A71800">
        <w:rPr>
          <w:rFonts w:ascii="Verdana" w:hAnsi="Verdana" w:cs="Arial"/>
          <w:color w:val="000000" w:themeColor="text1"/>
          <w:sz w:val="14"/>
          <w:szCs w:val="14"/>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A71800">
        <w:rPr>
          <w:rFonts w:ascii="Verdana" w:hAnsi="Verdana" w:cs="Arial"/>
          <w:color w:val="000000" w:themeColor="text1"/>
          <w:sz w:val="14"/>
          <w:szCs w:val="14"/>
          <w:shd w:val="clear" w:color="auto" w:fill="FFFFFF"/>
        </w:rPr>
        <w:t>”</w:t>
      </w:r>
      <w:r w:rsidRPr="00A71800">
        <w:rPr>
          <w:rFonts w:ascii="Verdana" w:hAnsi="Verdana" w:cs="Arial"/>
          <w:color w:val="000000" w:themeColor="text1"/>
          <w:sz w:val="14"/>
          <w:szCs w:val="14"/>
        </w:rPr>
        <w:t xml:space="preserve"> EXPOSITO, Juan Carlos. Forma y contenido del contrato estatal. Bogotá: Universidad Externado de Colombia, p. 89 y 90. </w:t>
      </w:r>
    </w:p>
  </w:footnote>
  <w:footnote w:id="4">
    <w:p w14:paraId="60FADAD9" w14:textId="77777777" w:rsidR="00636B5B" w:rsidRPr="00A71800" w:rsidRDefault="00636B5B" w:rsidP="00636B5B">
      <w:pPr>
        <w:pStyle w:val="Textonotapie"/>
        <w:spacing w:before="120" w:after="120"/>
        <w:ind w:firstLine="708"/>
        <w:jc w:val="both"/>
        <w:rPr>
          <w:rFonts w:ascii="Verdana" w:hAnsi="Verdana" w:cs="Arial"/>
          <w:color w:val="000000" w:themeColor="text1"/>
          <w:sz w:val="14"/>
          <w:szCs w:val="14"/>
          <w:lang w:val="es-CO"/>
        </w:rPr>
      </w:pPr>
      <w:r w:rsidRPr="00A71800">
        <w:rPr>
          <w:rStyle w:val="Refdenotaalpie"/>
          <w:rFonts w:ascii="Verdana" w:hAnsi="Verdana" w:cs="Arial"/>
          <w:color w:val="000000" w:themeColor="text1"/>
          <w:sz w:val="14"/>
          <w:szCs w:val="14"/>
        </w:rPr>
        <w:footnoteRef/>
      </w:r>
      <w:r w:rsidRPr="00A71800">
        <w:rPr>
          <w:rFonts w:ascii="Verdana" w:hAnsi="Verdana" w:cs="Arial"/>
          <w:color w:val="000000" w:themeColor="text1"/>
          <w:sz w:val="14"/>
          <w:szCs w:val="14"/>
        </w:rPr>
        <w:t xml:space="preserve"> DÍAZ DÍEZ, Cristian Andrés. La liquidación. Serie: Las Cláusulas del Contrato Estatal. Medellín: Librería Jurídica Sánchez y Centro de Estudios de Derecho Administrativo –CEDA–, 2013, pp. 53-54.</w:t>
      </w:r>
    </w:p>
  </w:footnote>
  <w:footnote w:id="5">
    <w:p w14:paraId="12AAA13C" w14:textId="77777777" w:rsidR="00636B5B" w:rsidRPr="00A71800" w:rsidRDefault="00636B5B" w:rsidP="00636B5B">
      <w:pPr>
        <w:pStyle w:val="Textonotapie"/>
        <w:jc w:val="both"/>
        <w:rPr>
          <w:rFonts w:ascii="Verdana" w:hAnsi="Verdana"/>
          <w:sz w:val="14"/>
          <w:szCs w:val="14"/>
          <w:lang w:val="es-CO"/>
        </w:rPr>
      </w:pPr>
      <w:r w:rsidRPr="00A71800">
        <w:rPr>
          <w:rStyle w:val="Refdenotaalpie"/>
          <w:rFonts w:ascii="Verdana" w:hAnsi="Verdana"/>
          <w:sz w:val="14"/>
          <w:szCs w:val="14"/>
        </w:rPr>
        <w:footnoteRef/>
      </w:r>
      <w:r w:rsidRPr="00A71800">
        <w:rPr>
          <w:rFonts w:ascii="Verdana" w:hAnsi="Verdana"/>
          <w:sz w:val="14"/>
          <w:szCs w:val="14"/>
        </w:rPr>
        <w:t xml:space="preserve"> </w:t>
      </w:r>
      <w:r w:rsidRPr="00A71800">
        <w:rPr>
          <w:rFonts w:ascii="Verdana" w:hAnsi="Verdana"/>
          <w:sz w:val="14"/>
          <w:szCs w:val="14"/>
          <w:lang w:val="es-CO"/>
        </w:rPr>
        <w:t xml:space="preserve">Colombia Compra Eficiente, Guía para el ejercicio de las funciones de supervisión e interventoría de los contratos suscritos por las Entidades Estatales, G-EFSICE-02, 2018 </w:t>
      </w:r>
      <w:hyperlink r:id="rId1" w:history="1">
        <w:r w:rsidRPr="00A71800">
          <w:rPr>
            <w:rStyle w:val="Hipervnculo"/>
            <w:rFonts w:ascii="Verdana" w:hAnsi="Verdana"/>
            <w:sz w:val="14"/>
            <w:szCs w:val="14"/>
            <w:lang w:val="es-CO"/>
          </w:rPr>
          <w:t>https://www.colombiacompra.gov.co/wp-content/uploads/2024/08/2018-Guia-para-el-ejercicio-de-las-funciones-de-supervision-e-interventoria-de-los-contratos-suscritos-por-las-Entidades-Estatales-G-EFSICE-02.pdf</w:t>
        </w:r>
      </w:hyperlink>
    </w:p>
    <w:p w14:paraId="36F82B93" w14:textId="77777777" w:rsidR="00636B5B" w:rsidRPr="00A71800" w:rsidRDefault="00636B5B" w:rsidP="00636B5B">
      <w:pPr>
        <w:pStyle w:val="Textonotapie"/>
        <w:rPr>
          <w:rFonts w:ascii="Verdana" w:hAnsi="Verdana"/>
          <w:sz w:val="14"/>
          <w:szCs w:val="14"/>
          <w:lang w:val="es-ES"/>
        </w:rPr>
      </w:pPr>
    </w:p>
  </w:footnote>
  <w:footnote w:id="6">
    <w:p w14:paraId="69AC89C1" w14:textId="77777777" w:rsidR="00636B5B" w:rsidRPr="00A71800" w:rsidRDefault="00636B5B" w:rsidP="00636B5B">
      <w:pPr>
        <w:pStyle w:val="Textonotapie"/>
        <w:ind w:firstLine="708"/>
        <w:contextualSpacing/>
        <w:jc w:val="both"/>
        <w:rPr>
          <w:rFonts w:ascii="Verdana" w:hAnsi="Verdana" w:cs="Arial"/>
          <w:sz w:val="14"/>
          <w:szCs w:val="14"/>
        </w:rPr>
      </w:pPr>
      <w:r w:rsidRPr="00A71800">
        <w:rPr>
          <w:rStyle w:val="Refdenotaalpie"/>
          <w:rFonts w:ascii="Verdana" w:hAnsi="Verdana" w:cs="Arial"/>
          <w:sz w:val="14"/>
          <w:szCs w:val="14"/>
        </w:rPr>
        <w:footnoteRef/>
      </w:r>
      <w:r w:rsidRPr="00A71800">
        <w:rPr>
          <w:rFonts w:ascii="Verdana" w:hAnsi="Verdana" w:cs="Arial"/>
          <w:sz w:val="14"/>
          <w:szCs w:val="14"/>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 EXPOSITO, Juan Carlos. Forma y contenido del contrato estatal. Bogotá: Universidad Externado de Colombia, p. 89 y 90.</w:t>
      </w:r>
    </w:p>
    <w:p w14:paraId="1B2DABC6" w14:textId="77777777" w:rsidR="00636B5B" w:rsidRPr="00A71800" w:rsidRDefault="00636B5B" w:rsidP="00636B5B">
      <w:pPr>
        <w:pStyle w:val="Textonotapie"/>
        <w:ind w:firstLine="708"/>
        <w:contextualSpacing/>
        <w:jc w:val="both"/>
        <w:rPr>
          <w:rFonts w:ascii="Verdana" w:hAnsi="Verdana" w:cs="Arial"/>
          <w:sz w:val="14"/>
          <w:szCs w:val="14"/>
        </w:rPr>
      </w:pPr>
    </w:p>
  </w:footnote>
  <w:footnote w:id="7">
    <w:p w14:paraId="42238BAB" w14:textId="77777777" w:rsidR="00636B5B" w:rsidRPr="00A71800" w:rsidRDefault="00636B5B" w:rsidP="00636B5B">
      <w:pPr>
        <w:pStyle w:val="Textonotapie"/>
        <w:ind w:firstLine="708"/>
        <w:contextualSpacing/>
        <w:jc w:val="both"/>
        <w:rPr>
          <w:rFonts w:ascii="Verdana" w:hAnsi="Verdana" w:cs="Arial"/>
          <w:color w:val="000000"/>
          <w:sz w:val="14"/>
          <w:szCs w:val="14"/>
        </w:rPr>
      </w:pPr>
      <w:r w:rsidRPr="00A71800">
        <w:rPr>
          <w:rStyle w:val="Refdenotaalpie"/>
          <w:rFonts w:ascii="Verdana" w:hAnsi="Verdana" w:cs="Arial"/>
          <w:color w:val="000000"/>
          <w:sz w:val="14"/>
          <w:szCs w:val="14"/>
        </w:rPr>
        <w:footnoteRef/>
      </w:r>
      <w:r w:rsidRPr="00A71800">
        <w:rPr>
          <w:rFonts w:ascii="Verdana" w:hAnsi="Verdana" w:cs="Arial"/>
          <w:color w:val="000000"/>
          <w:sz w:val="14"/>
          <w:szCs w:val="14"/>
        </w:rPr>
        <w:t xml:space="preserve"> DÍAZ DÍEZ, Cristian Andrés. La liquidación. Serie: Las Cláusulas del Contrato Estatal. Medellín: Librería Jurídica Sánchez y Centro de Estudios de Derecho Administrativo –CEDA–, 2013, pp. 53-54.</w:t>
      </w:r>
    </w:p>
    <w:p w14:paraId="68B1F68F" w14:textId="77777777" w:rsidR="00636B5B" w:rsidRPr="00A71800" w:rsidRDefault="00636B5B" w:rsidP="00636B5B">
      <w:pPr>
        <w:pStyle w:val="Textonotapie"/>
        <w:ind w:firstLine="708"/>
        <w:contextualSpacing/>
        <w:jc w:val="both"/>
        <w:rPr>
          <w:rFonts w:ascii="Verdana" w:hAnsi="Verdana" w:cs="Arial"/>
          <w:color w:val="000000"/>
          <w:sz w:val="14"/>
          <w:szCs w:val="14"/>
        </w:rPr>
      </w:pPr>
    </w:p>
  </w:footnote>
  <w:footnote w:id="8">
    <w:p w14:paraId="0E4CCB2E" w14:textId="77777777" w:rsidR="00636B5B" w:rsidRPr="00A71800" w:rsidRDefault="00636B5B" w:rsidP="00636B5B">
      <w:pPr>
        <w:spacing w:after="0" w:line="240" w:lineRule="auto"/>
        <w:ind w:firstLine="708"/>
        <w:contextualSpacing/>
        <w:jc w:val="both"/>
        <w:rPr>
          <w:rFonts w:ascii="Verdana" w:hAnsi="Verdana" w:cs="Arial"/>
          <w:sz w:val="14"/>
          <w:szCs w:val="14"/>
        </w:rPr>
      </w:pPr>
      <w:r w:rsidRPr="00A71800">
        <w:rPr>
          <w:rStyle w:val="Refdenotaalpie"/>
          <w:rFonts w:ascii="Verdana" w:hAnsi="Verdana" w:cs="Arial"/>
          <w:sz w:val="14"/>
          <w:szCs w:val="14"/>
        </w:rPr>
        <w:footnoteRef/>
      </w:r>
      <w:r w:rsidRPr="00A71800">
        <w:rPr>
          <w:rFonts w:ascii="Verdana" w:hAnsi="Verdana" w:cs="Arial"/>
          <w:sz w:val="14"/>
          <w:szCs w:val="14"/>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331B6786" w14:textId="77777777" w:rsidR="00636B5B" w:rsidRPr="00A71800" w:rsidRDefault="00636B5B" w:rsidP="00636B5B">
      <w:pPr>
        <w:spacing w:after="0" w:line="240" w:lineRule="auto"/>
        <w:ind w:firstLine="708"/>
        <w:contextualSpacing/>
        <w:jc w:val="both"/>
        <w:rPr>
          <w:rFonts w:ascii="Verdana" w:hAnsi="Verdana" w:cs="Arial"/>
          <w:sz w:val="14"/>
          <w:szCs w:val="14"/>
        </w:rPr>
      </w:pPr>
    </w:p>
  </w:footnote>
  <w:footnote w:id="9">
    <w:p w14:paraId="3D5F41EB" w14:textId="77777777" w:rsidR="00636B5B" w:rsidRPr="00A71800" w:rsidRDefault="00636B5B" w:rsidP="00636B5B">
      <w:pPr>
        <w:pStyle w:val="Textonotapie"/>
        <w:ind w:firstLine="708"/>
        <w:contextualSpacing/>
        <w:jc w:val="both"/>
        <w:rPr>
          <w:rFonts w:ascii="Verdana" w:hAnsi="Verdana" w:cs="Arial"/>
          <w:sz w:val="14"/>
          <w:szCs w:val="14"/>
        </w:rPr>
      </w:pPr>
      <w:r w:rsidRPr="00A71800">
        <w:rPr>
          <w:rStyle w:val="Refdenotaalpie"/>
          <w:rFonts w:ascii="Verdana" w:hAnsi="Verdana" w:cs="Arial"/>
          <w:sz w:val="14"/>
          <w:szCs w:val="14"/>
        </w:rPr>
        <w:footnoteRef/>
      </w:r>
      <w:r w:rsidRPr="00A71800">
        <w:rPr>
          <w:rFonts w:ascii="Verdana" w:hAnsi="Verdana" w:cs="Arial"/>
          <w:sz w:val="14"/>
          <w:szCs w:val="14"/>
        </w:rPr>
        <w:t xml:space="preserve"> Consejo De Estado, Sala de Consulta y Servicio Civil. Radicado No. 1453. Concepto de 6 de agosto de 2003. MP. Augusto Trejos.</w:t>
      </w:r>
    </w:p>
    <w:p w14:paraId="0A709DBB" w14:textId="77777777" w:rsidR="00636B5B" w:rsidRPr="00A71800" w:rsidRDefault="00636B5B" w:rsidP="00636B5B">
      <w:pPr>
        <w:pStyle w:val="Textonotapie"/>
        <w:ind w:firstLine="708"/>
        <w:contextualSpacing/>
        <w:jc w:val="both"/>
        <w:rPr>
          <w:rFonts w:ascii="Verdana" w:hAnsi="Verdana" w:cs="Arial"/>
          <w:sz w:val="14"/>
          <w:szCs w:val="14"/>
        </w:rPr>
      </w:pPr>
    </w:p>
  </w:footnote>
  <w:footnote w:id="10">
    <w:p w14:paraId="1D5FBBBE" w14:textId="77777777" w:rsidR="00636B5B" w:rsidRPr="00A71800" w:rsidRDefault="00636B5B" w:rsidP="00636B5B">
      <w:pPr>
        <w:pStyle w:val="Textonotapie"/>
        <w:ind w:firstLine="708"/>
        <w:contextualSpacing/>
        <w:jc w:val="both"/>
        <w:rPr>
          <w:rFonts w:ascii="Verdana" w:hAnsi="Verdana" w:cs="Arial"/>
          <w:sz w:val="14"/>
          <w:szCs w:val="14"/>
          <w:lang w:val="es-ES"/>
        </w:rPr>
      </w:pPr>
      <w:r w:rsidRPr="00A71800">
        <w:rPr>
          <w:rStyle w:val="Refdenotaalpie"/>
          <w:rFonts w:ascii="Verdana" w:hAnsi="Verdana" w:cs="Arial"/>
          <w:sz w:val="14"/>
          <w:szCs w:val="14"/>
        </w:rPr>
        <w:footnoteRef/>
      </w:r>
      <w:r w:rsidRPr="00A71800">
        <w:rPr>
          <w:rFonts w:ascii="Verdana" w:hAnsi="Verdana" w:cs="Arial"/>
          <w:sz w:val="14"/>
          <w:szCs w:val="14"/>
        </w:rPr>
        <w:t xml:space="preserve"> </w:t>
      </w:r>
      <w:r w:rsidRPr="00A71800">
        <w:rPr>
          <w:rFonts w:ascii="Verdana" w:hAnsi="Verdana" w:cs="Arial"/>
          <w:sz w:val="14"/>
          <w:szCs w:val="14"/>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7CB23353" w14:textId="77777777" w:rsidR="00636B5B" w:rsidRPr="00A71800" w:rsidRDefault="00636B5B" w:rsidP="00636B5B">
      <w:pPr>
        <w:pStyle w:val="Textonotapie"/>
        <w:ind w:firstLine="708"/>
        <w:contextualSpacing/>
        <w:jc w:val="both"/>
        <w:rPr>
          <w:rFonts w:ascii="Verdana" w:hAnsi="Verdana" w:cs="Arial"/>
          <w:sz w:val="14"/>
          <w:szCs w:val="14"/>
          <w:lang w:val="es-ES"/>
        </w:rPr>
      </w:pPr>
      <w:r w:rsidRPr="00A71800">
        <w:rPr>
          <w:rFonts w:ascii="Verdana" w:hAnsi="Verdana" w:cs="Arial"/>
          <w:sz w:val="14"/>
          <w:szCs w:val="14"/>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5B67E60B" w14:textId="77777777" w:rsidR="00636B5B" w:rsidRPr="00A71800" w:rsidRDefault="00636B5B" w:rsidP="00636B5B">
      <w:pPr>
        <w:pStyle w:val="Textonotapie"/>
        <w:ind w:firstLine="708"/>
        <w:contextualSpacing/>
        <w:jc w:val="both"/>
        <w:rPr>
          <w:rFonts w:ascii="Verdana" w:hAnsi="Verdana" w:cs="Arial"/>
          <w:sz w:val="14"/>
          <w:szCs w:val="14"/>
          <w:lang w:val="es-ES"/>
        </w:rPr>
      </w:pPr>
      <w:r w:rsidRPr="00A71800">
        <w:rPr>
          <w:rFonts w:ascii="Verdana" w:hAnsi="Verdana" w:cs="Arial"/>
          <w:sz w:val="14"/>
          <w:szCs w:val="14"/>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3BF12D9B" w14:textId="77777777" w:rsidR="00636B5B" w:rsidRPr="00A71800" w:rsidRDefault="00636B5B" w:rsidP="00636B5B">
      <w:pPr>
        <w:pStyle w:val="Textonotapie"/>
        <w:ind w:firstLine="708"/>
        <w:contextualSpacing/>
        <w:jc w:val="both"/>
        <w:rPr>
          <w:rFonts w:ascii="Verdana" w:hAnsi="Verdana" w:cs="Arial"/>
          <w:sz w:val="14"/>
          <w:szCs w:val="14"/>
          <w:lang w:val="es-ES"/>
        </w:rPr>
      </w:pPr>
      <w:r w:rsidRPr="00A71800">
        <w:rPr>
          <w:rFonts w:ascii="Verdana" w:hAnsi="Verdana" w:cs="Arial"/>
          <w:sz w:val="14"/>
          <w:szCs w:val="14"/>
          <w:lang w:val="es-ES"/>
        </w:rPr>
        <w:t>Los contratistas tendrán derecho a efectuar salvedades a la liquidación por mutuo acuerdo, y en este evento la liquidación unilateral solo procederá en relación con los aspectos que no hayan sido objeto de acuerdo”.</w:t>
      </w:r>
    </w:p>
    <w:p w14:paraId="2E6F6595" w14:textId="77777777" w:rsidR="00636B5B" w:rsidRPr="00A71800" w:rsidRDefault="00636B5B" w:rsidP="00636B5B">
      <w:pPr>
        <w:pStyle w:val="Textonotapie"/>
        <w:ind w:firstLine="708"/>
        <w:contextualSpacing/>
        <w:jc w:val="both"/>
        <w:rPr>
          <w:rFonts w:ascii="Verdana" w:hAnsi="Verdana" w:cs="Arial"/>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282686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9F4"/>
    <w:rsid w:val="00046945"/>
    <w:rsid w:val="00061B2A"/>
    <w:rsid w:val="00082362"/>
    <w:rsid w:val="00092575"/>
    <w:rsid w:val="00092707"/>
    <w:rsid w:val="000A683E"/>
    <w:rsid w:val="000B19B9"/>
    <w:rsid w:val="000D0334"/>
    <w:rsid w:val="000F6486"/>
    <w:rsid w:val="00125105"/>
    <w:rsid w:val="00127233"/>
    <w:rsid w:val="001D4C56"/>
    <w:rsid w:val="001E4177"/>
    <w:rsid w:val="001F7DC6"/>
    <w:rsid w:val="002421BB"/>
    <w:rsid w:val="0025796E"/>
    <w:rsid w:val="002707A2"/>
    <w:rsid w:val="00275700"/>
    <w:rsid w:val="002951A0"/>
    <w:rsid w:val="002962BC"/>
    <w:rsid w:val="002A093D"/>
    <w:rsid w:val="002A0DD0"/>
    <w:rsid w:val="002A49AC"/>
    <w:rsid w:val="002A64FD"/>
    <w:rsid w:val="002C7A84"/>
    <w:rsid w:val="002E4FD9"/>
    <w:rsid w:val="00322A85"/>
    <w:rsid w:val="00324168"/>
    <w:rsid w:val="003448F4"/>
    <w:rsid w:val="0035002B"/>
    <w:rsid w:val="00374F5E"/>
    <w:rsid w:val="00377E3E"/>
    <w:rsid w:val="003A779E"/>
    <w:rsid w:val="003B4EF1"/>
    <w:rsid w:val="003D0F4D"/>
    <w:rsid w:val="003D5B0D"/>
    <w:rsid w:val="003D789D"/>
    <w:rsid w:val="003E0499"/>
    <w:rsid w:val="003F3941"/>
    <w:rsid w:val="00406575"/>
    <w:rsid w:val="00414C74"/>
    <w:rsid w:val="00424FC5"/>
    <w:rsid w:val="0042722E"/>
    <w:rsid w:val="0044528D"/>
    <w:rsid w:val="004A1847"/>
    <w:rsid w:val="004A305D"/>
    <w:rsid w:val="004F21C4"/>
    <w:rsid w:val="004F685F"/>
    <w:rsid w:val="005566E8"/>
    <w:rsid w:val="00574867"/>
    <w:rsid w:val="00591460"/>
    <w:rsid w:val="00591BA6"/>
    <w:rsid w:val="005B53D2"/>
    <w:rsid w:val="005C3777"/>
    <w:rsid w:val="005C5CDC"/>
    <w:rsid w:val="005D476C"/>
    <w:rsid w:val="005E3A74"/>
    <w:rsid w:val="006219F8"/>
    <w:rsid w:val="006302F7"/>
    <w:rsid w:val="00636B5B"/>
    <w:rsid w:val="00665D70"/>
    <w:rsid w:val="006900D9"/>
    <w:rsid w:val="006A760C"/>
    <w:rsid w:val="00706C16"/>
    <w:rsid w:val="00756841"/>
    <w:rsid w:val="007649AB"/>
    <w:rsid w:val="00771D0C"/>
    <w:rsid w:val="007833AC"/>
    <w:rsid w:val="007902E3"/>
    <w:rsid w:val="007A09A6"/>
    <w:rsid w:val="007B268C"/>
    <w:rsid w:val="007B7171"/>
    <w:rsid w:val="007C0C0F"/>
    <w:rsid w:val="007C3DC2"/>
    <w:rsid w:val="007C3EB9"/>
    <w:rsid w:val="007E5497"/>
    <w:rsid w:val="00803D00"/>
    <w:rsid w:val="00806F5F"/>
    <w:rsid w:val="00820278"/>
    <w:rsid w:val="008677A2"/>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71800"/>
    <w:rsid w:val="00A80B70"/>
    <w:rsid w:val="00AB0ADB"/>
    <w:rsid w:val="00B00C0E"/>
    <w:rsid w:val="00B01B1A"/>
    <w:rsid w:val="00B03912"/>
    <w:rsid w:val="00B2527D"/>
    <w:rsid w:val="00B44A47"/>
    <w:rsid w:val="00B70C7B"/>
    <w:rsid w:val="00B72CD3"/>
    <w:rsid w:val="00B72FFF"/>
    <w:rsid w:val="00BC3D36"/>
    <w:rsid w:val="00BD7F72"/>
    <w:rsid w:val="00C04FB3"/>
    <w:rsid w:val="00C330EB"/>
    <w:rsid w:val="00C754BE"/>
    <w:rsid w:val="00C76B1C"/>
    <w:rsid w:val="00CA6E2C"/>
    <w:rsid w:val="00CB6357"/>
    <w:rsid w:val="00CC1B26"/>
    <w:rsid w:val="00CE30E0"/>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33216"/>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36B5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36B5B"/>
    <w:rPr>
      <w:rFonts w:ascii="Geomanist Light" w:hAnsi="Geomanist Light"/>
      <w:lang w:val="es-ES"/>
    </w:rPr>
  </w:style>
  <w:style w:type="table" w:customStyle="1" w:styleId="Tablaconcuadrcula1">
    <w:name w:val="Tabla con cuadrícula1"/>
    <w:basedOn w:val="Tablanormal"/>
    <w:next w:val="Tablaconcuadrcula"/>
    <w:uiPriority w:val="39"/>
    <w:qFormat/>
    <w:rsid w:val="00636B5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F1716B5E-C5E2-45BF-97EC-5B054B677EF3}">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5608524-3DC1-463A-9635-3FF9E12C32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16</Pages>
  <Words>5890</Words>
  <Characters>31400</Characters>
  <Application>Microsoft Office Word</Application>
  <DocSecurity>0</DocSecurity>
  <Lines>581</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2025-12-02T19:52:00Z</dcterms:created>
  <dcterms:modified xsi:type="dcterms:W3CDTF">2025-12-03T22:07:00Z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