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94B1D" w14:textId="77777777" w:rsidR="004131EB" w:rsidRPr="00903DC9" w:rsidRDefault="004131EB" w:rsidP="004131EB">
      <w:pPr>
        <w:spacing w:line="276" w:lineRule="auto"/>
        <w:jc w:val="both"/>
        <w:rPr>
          <w:rFonts w:ascii="Verdana" w:eastAsia="Calibri" w:hAnsi="Verdana" w:cs="Arial"/>
          <w:b/>
          <w:bCs/>
          <w:lang w:val="es-ES" w:eastAsia="es-ES"/>
        </w:rPr>
      </w:pPr>
      <w:bookmarkStart w:id="0" w:name="_Hlk143780582"/>
      <w:r w:rsidRPr="00903DC9">
        <w:rPr>
          <w:rFonts w:ascii="Verdana" w:eastAsia="Calibri" w:hAnsi="Verdana" w:cs="Arial"/>
          <w:b/>
          <w:bCs/>
          <w:lang w:val="es-ES" w:eastAsia="es-ES"/>
        </w:rPr>
        <w:t>CONTRATACIÓN CON ESAL – Contratos de colaboración – Objeto</w:t>
      </w:r>
    </w:p>
    <w:p w14:paraId="65536875" w14:textId="77777777" w:rsidR="004131EB" w:rsidRPr="00903DC9" w:rsidRDefault="004131EB" w:rsidP="004131EB">
      <w:pPr>
        <w:spacing w:after="0" w:line="240" w:lineRule="auto"/>
        <w:jc w:val="both"/>
        <w:rPr>
          <w:rFonts w:ascii="Verdana" w:eastAsia="Calibri" w:hAnsi="Verdana" w:cs="Arial"/>
          <w:sz w:val="20"/>
          <w:szCs w:val="20"/>
          <w:lang w:val="es-MX"/>
        </w:rPr>
      </w:pPr>
      <w:r w:rsidRPr="00903DC9">
        <w:rPr>
          <w:rFonts w:ascii="Verdana" w:eastAsia="Calibri" w:hAnsi="Verdana" w:cs="Arial"/>
          <w:sz w:val="20"/>
          <w:szCs w:val="20"/>
          <w:lang w:val="es-MX"/>
        </w:rPr>
        <w:t>“</w:t>
      </w:r>
      <w:r w:rsidRPr="00185A4A">
        <w:rPr>
          <w:rFonts w:ascii="Verdana" w:eastAsia="Calibri" w:hAnsi="Verdana" w:cs="Arial"/>
          <w:sz w:val="20"/>
          <w:szCs w:val="20"/>
          <w:lang w:val="es-MX"/>
        </w:rPr>
        <w:t xml:space="preserve">[…] </w:t>
      </w:r>
      <w:r w:rsidRPr="00903DC9">
        <w:rPr>
          <w:rFonts w:ascii="Verdana" w:eastAsia="Calibri" w:hAnsi="Verdana" w:cs="Arial"/>
          <w:sz w:val="20"/>
          <w:szCs w:val="20"/>
        </w:rPr>
        <w:t xml:space="preserve">De un lado, los </w:t>
      </w:r>
      <w:r w:rsidRPr="00903DC9">
        <w:rPr>
          <w:rFonts w:ascii="Verdana" w:eastAsia="Calibri" w:hAnsi="Verdana" w:cs="Arial"/>
          <w:i/>
          <w:iCs/>
          <w:sz w:val="20"/>
          <w:szCs w:val="20"/>
        </w:rPr>
        <w:t>contratos del artículo 355 de la Constitución Política</w:t>
      </w:r>
      <w:r w:rsidRPr="00903DC9">
        <w:rPr>
          <w:rFonts w:ascii="Verdana" w:eastAsia="Calibri" w:hAnsi="Verdana" w:cs="Arial"/>
          <w:sz w:val="20"/>
          <w:szCs w:val="20"/>
        </w:rPr>
        <w:t xml:space="preserve">, también llamados contratos de colaboración,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r w:rsidRPr="00185A4A">
        <w:rPr>
          <w:rFonts w:ascii="Verdana" w:eastAsia="Calibri" w:hAnsi="Verdana" w:cs="Arial"/>
          <w:sz w:val="20"/>
          <w:szCs w:val="20"/>
          <w:lang w:val="es-MX"/>
        </w:rPr>
        <w:t>[…]</w:t>
      </w:r>
      <w:r w:rsidRPr="00903DC9">
        <w:rPr>
          <w:rFonts w:ascii="Verdana" w:eastAsia="Calibri" w:hAnsi="Verdana" w:cs="Arial"/>
          <w:sz w:val="20"/>
          <w:szCs w:val="20"/>
          <w:lang w:val="es-MX"/>
        </w:rPr>
        <w:t>”</w:t>
      </w:r>
    </w:p>
    <w:p w14:paraId="4BDB30F0" w14:textId="77777777" w:rsidR="004131EB" w:rsidRPr="00903DC9" w:rsidRDefault="004131EB" w:rsidP="004131EB">
      <w:pPr>
        <w:spacing w:after="0" w:line="240" w:lineRule="auto"/>
        <w:jc w:val="both"/>
        <w:rPr>
          <w:rFonts w:ascii="Verdana" w:eastAsia="Calibri" w:hAnsi="Verdana" w:cs="Arial"/>
          <w:b/>
          <w:bCs/>
          <w:sz w:val="20"/>
          <w:szCs w:val="20"/>
          <w:lang w:val="es-ES" w:eastAsia="es-ES"/>
        </w:rPr>
      </w:pPr>
    </w:p>
    <w:p w14:paraId="32F13843" w14:textId="77777777" w:rsidR="004131EB" w:rsidRPr="00903DC9" w:rsidRDefault="004131EB" w:rsidP="004131EB">
      <w:pPr>
        <w:spacing w:line="276" w:lineRule="auto"/>
        <w:jc w:val="both"/>
        <w:rPr>
          <w:rFonts w:ascii="Verdana" w:eastAsia="Calibri" w:hAnsi="Verdana" w:cs="Arial"/>
          <w:b/>
          <w:bCs/>
          <w:lang w:val="es-ES" w:eastAsia="es-ES"/>
        </w:rPr>
      </w:pPr>
      <w:r w:rsidRPr="00903DC9">
        <w:rPr>
          <w:rFonts w:ascii="Verdana" w:eastAsia="Calibri" w:hAnsi="Verdana" w:cs="Arial"/>
          <w:b/>
          <w:bCs/>
          <w:lang w:val="es-ES" w:eastAsia="es-ES"/>
        </w:rPr>
        <w:t xml:space="preserve">CONTRATACIÓN CON ESAL – Convenios de asociación – Objeto – Alcance – Aportes </w:t>
      </w:r>
    </w:p>
    <w:p w14:paraId="4434BBA1" w14:textId="77777777" w:rsidR="003F6418" w:rsidRPr="003F6418" w:rsidRDefault="003F6418" w:rsidP="003F6418">
      <w:pPr>
        <w:spacing w:after="0" w:line="276" w:lineRule="auto"/>
        <w:jc w:val="both"/>
        <w:rPr>
          <w:rFonts w:ascii="Verdana" w:eastAsia="Calibri" w:hAnsi="Verdana" w:cs="Arial"/>
          <w:color w:val="000000" w:themeColor="text1"/>
          <w:sz w:val="20"/>
          <w:szCs w:val="20"/>
        </w:rPr>
      </w:pPr>
      <w:r w:rsidRPr="003F6418">
        <w:rPr>
          <w:rFonts w:ascii="Verdana" w:eastAsia="Calibri" w:hAnsi="Verdana" w:cs="Arial"/>
          <w:color w:val="000000" w:themeColor="text1"/>
          <w:sz w:val="20"/>
          <w:szCs w:val="20"/>
        </w:rPr>
        <w:t xml:space="preserve">De otra parte, los </w:t>
      </w:r>
      <w:r w:rsidRPr="003F6418">
        <w:rPr>
          <w:rFonts w:ascii="Verdana" w:eastAsia="Calibri" w:hAnsi="Verdana" w:cs="Arial"/>
          <w:i/>
          <w:iCs/>
          <w:color w:val="000000" w:themeColor="text1"/>
          <w:sz w:val="20"/>
          <w:szCs w:val="20"/>
        </w:rPr>
        <w:t>convenios de asociación</w:t>
      </w:r>
      <w:r w:rsidRPr="003F6418">
        <w:rPr>
          <w:rFonts w:ascii="Verdana" w:eastAsia="Calibri" w:hAnsi="Verdana" w:cs="Arial"/>
          <w:color w:val="000000" w:themeColor="text1"/>
          <w:sz w:val="20"/>
          <w:szCs w:val="20"/>
        </w:rPr>
        <w:t xml:space="preserve"> </w:t>
      </w:r>
      <w:r w:rsidRPr="003F6418">
        <w:rPr>
          <w:rFonts w:ascii="Verdana" w:eastAsia="Calibri" w:hAnsi="Verdana" w:cs="Arial"/>
          <w:i/>
          <w:iCs/>
          <w:color w:val="000000" w:themeColor="text1"/>
          <w:sz w:val="20"/>
          <w:szCs w:val="20"/>
        </w:rPr>
        <w:t>“[…] [t]</w:t>
      </w:r>
      <w:proofErr w:type="spellStart"/>
      <w:r w:rsidRPr="003F6418">
        <w:rPr>
          <w:rFonts w:ascii="Verdana" w:eastAsia="Calibri" w:hAnsi="Verdana" w:cs="Arial"/>
          <w:i/>
          <w:iCs/>
          <w:color w:val="000000" w:themeColor="text1"/>
          <w:sz w:val="20"/>
          <w:szCs w:val="20"/>
        </w:rPr>
        <w:t>ienen</w:t>
      </w:r>
      <w:proofErr w:type="spellEnd"/>
      <w:r w:rsidRPr="003F6418">
        <w:rPr>
          <w:rFonts w:ascii="Verdana" w:eastAsia="Calibri" w:hAnsi="Verdana" w:cs="Arial"/>
          <w:i/>
          <w:iCs/>
          <w:color w:val="000000" w:themeColor="text1"/>
          <w:sz w:val="20"/>
          <w:szCs w:val="20"/>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F6418">
        <w:rPr>
          <w:rFonts w:ascii="Verdana" w:hAnsi="Verdana"/>
          <w:sz w:val="20"/>
          <w:szCs w:val="20"/>
          <w:vertAlign w:val="superscript"/>
        </w:rPr>
        <w:footnoteReference w:id="1"/>
      </w:r>
      <w:r w:rsidRPr="003F6418">
        <w:rPr>
          <w:rFonts w:ascii="Verdana" w:eastAsia="Calibri" w:hAnsi="Verdana" w:cs="Arial"/>
          <w:color w:val="000000" w:themeColor="text1"/>
          <w:sz w:val="20"/>
          <w:szCs w:val="20"/>
        </w:rPr>
        <w:t xml:space="preserve">. </w:t>
      </w:r>
      <w:r w:rsidRPr="003F6418">
        <w:rPr>
          <w:rFonts w:ascii="Verdana" w:eastAsia="Calibri" w:hAnsi="Verdana" w:cs="Arial"/>
          <w:color w:val="000000"/>
          <w:sz w:val="20"/>
          <w:szCs w:val="20"/>
          <w:lang w:val="es-MX" w:eastAsia="es-ES_tradnl"/>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0D51C83E" w14:textId="77777777" w:rsidR="004131EB" w:rsidRPr="00903DC9" w:rsidRDefault="004131EB" w:rsidP="004131EB">
      <w:pPr>
        <w:spacing w:after="0" w:line="240" w:lineRule="auto"/>
        <w:jc w:val="both"/>
        <w:rPr>
          <w:rFonts w:ascii="Verdana" w:eastAsia="Calibri" w:hAnsi="Verdana" w:cs="Arial"/>
          <w:sz w:val="20"/>
          <w:szCs w:val="20"/>
          <w:lang w:val="es-MX"/>
        </w:rPr>
      </w:pPr>
    </w:p>
    <w:p w14:paraId="157BB86F" w14:textId="77777777" w:rsidR="004131EB" w:rsidRPr="00903DC9" w:rsidRDefault="004131EB" w:rsidP="004131EB">
      <w:pPr>
        <w:spacing w:after="0" w:line="240" w:lineRule="auto"/>
        <w:jc w:val="both"/>
        <w:rPr>
          <w:rFonts w:ascii="Verdana" w:eastAsia="Calibri" w:hAnsi="Verdana" w:cs="Arial"/>
          <w:b/>
          <w:bCs/>
          <w:lang w:val="es-ES" w:eastAsia="es-ES"/>
        </w:rPr>
      </w:pPr>
      <w:r w:rsidRPr="00903DC9">
        <w:rPr>
          <w:rFonts w:ascii="Verdana" w:eastAsia="Calibri" w:hAnsi="Verdana" w:cs="Arial"/>
          <w:b/>
          <w:bCs/>
          <w:lang w:val="es-ES" w:eastAsia="es-ES"/>
        </w:rPr>
        <w:t xml:space="preserve">COSTOS INDIRECTOS – Contratos de colaboración – Convenios de asociación </w:t>
      </w:r>
    </w:p>
    <w:p w14:paraId="465F3FDC" w14:textId="77777777" w:rsidR="004131EB" w:rsidRPr="00903DC9" w:rsidRDefault="004131EB" w:rsidP="004131EB">
      <w:pPr>
        <w:spacing w:after="0" w:line="240" w:lineRule="auto"/>
        <w:jc w:val="both"/>
        <w:rPr>
          <w:rFonts w:ascii="Verdana" w:eastAsia="Calibri" w:hAnsi="Verdana" w:cs="Arial"/>
          <w:b/>
          <w:bCs/>
          <w:sz w:val="20"/>
          <w:szCs w:val="20"/>
          <w:lang w:val="es-ES" w:eastAsia="es-ES"/>
        </w:rPr>
      </w:pPr>
    </w:p>
    <w:p w14:paraId="4F21A3FA" w14:textId="77777777" w:rsidR="004131EB" w:rsidRPr="00903DC9" w:rsidRDefault="004131EB" w:rsidP="004131EB">
      <w:pPr>
        <w:spacing w:after="120" w:line="240" w:lineRule="auto"/>
        <w:jc w:val="both"/>
        <w:rPr>
          <w:rFonts w:ascii="Verdana" w:eastAsia="Calibri" w:hAnsi="Verdana" w:cs="Arial"/>
          <w:sz w:val="20"/>
          <w:szCs w:val="20"/>
        </w:rPr>
      </w:pPr>
      <w:r w:rsidRPr="00185A4A">
        <w:rPr>
          <w:rFonts w:ascii="Verdana" w:eastAsia="Calibri" w:hAnsi="Verdana" w:cs="Arial"/>
          <w:sz w:val="20"/>
          <w:szCs w:val="20"/>
          <w:lang w:val="es-MX"/>
        </w:rPr>
        <w:t>[…]</w:t>
      </w:r>
      <w:r w:rsidRPr="00903DC9">
        <w:rPr>
          <w:rFonts w:ascii="Verdana" w:eastAsia="Calibri" w:hAnsi="Verdana" w:cs="Arial"/>
          <w:sz w:val="20"/>
          <w:szCs w:val="20"/>
          <w:lang w:val="es-MX"/>
        </w:rPr>
        <w:t xml:space="preserve"> </w:t>
      </w:r>
      <w:r w:rsidRPr="00903DC9">
        <w:rPr>
          <w:rFonts w:ascii="Verdana" w:eastAsia="Calibri" w:hAnsi="Verdana" w:cs="Arial"/>
          <w:sz w:val="20"/>
          <w:szCs w:val="20"/>
        </w:rPr>
        <w:t xml:space="preserve">Lo anterior evidencia que en estos contratos por colaboración y convenios de asociación las partes que los celebran no pactan un precio o remuneración. No obstante, lo cierto es que, en atención al principio de planeación, si debe quedar establecido las obligaciones y aportes que corresponde a cada una de las partes. </w:t>
      </w:r>
    </w:p>
    <w:p w14:paraId="7560E302" w14:textId="77777777" w:rsidR="003F6418" w:rsidRDefault="003F6418" w:rsidP="004131EB">
      <w:pPr>
        <w:spacing w:line="276" w:lineRule="auto"/>
        <w:jc w:val="both"/>
        <w:rPr>
          <w:rFonts w:ascii="Verdana" w:eastAsia="Calibri" w:hAnsi="Verdana" w:cs="Arial"/>
          <w:sz w:val="20"/>
          <w:szCs w:val="20"/>
        </w:rPr>
      </w:pPr>
    </w:p>
    <w:p w14:paraId="089FC979" w14:textId="455BFF60" w:rsidR="004131EB" w:rsidRPr="00903DC9" w:rsidRDefault="004131EB" w:rsidP="004131EB">
      <w:pPr>
        <w:spacing w:line="276" w:lineRule="auto"/>
        <w:jc w:val="both"/>
        <w:rPr>
          <w:rFonts w:ascii="Verdana" w:eastAsia="Calibri" w:hAnsi="Verdana" w:cs="Arial"/>
          <w:b/>
          <w:bCs/>
          <w:lang w:val="es-ES" w:eastAsia="es-ES"/>
        </w:rPr>
      </w:pPr>
      <w:r w:rsidRPr="00903DC9">
        <w:rPr>
          <w:rFonts w:ascii="Verdana" w:eastAsia="Calibri" w:hAnsi="Verdana" w:cs="Arial"/>
          <w:b/>
          <w:bCs/>
          <w:lang w:val="es-ES" w:eastAsia="es-ES"/>
        </w:rPr>
        <w:t>DECRETO 092 DE 2017 – Conmutatividad</w:t>
      </w:r>
    </w:p>
    <w:p w14:paraId="63B6CF1D" w14:textId="77777777" w:rsidR="00E7227E" w:rsidRPr="00E7227E" w:rsidRDefault="00E7227E" w:rsidP="00E7227E">
      <w:pPr>
        <w:spacing w:after="120" w:line="276" w:lineRule="auto"/>
        <w:jc w:val="both"/>
        <w:rPr>
          <w:rFonts w:ascii="Verdana" w:eastAsia="Calibri" w:hAnsi="Verdana" w:cs="Arial"/>
          <w:sz w:val="20"/>
          <w:szCs w:val="20"/>
        </w:rPr>
      </w:pPr>
      <w:r w:rsidRPr="00E7227E">
        <w:rPr>
          <w:rFonts w:ascii="Verdana" w:eastAsia="Calibri" w:hAnsi="Verdana" w:cs="Arial"/>
          <w:sz w:val="20"/>
          <w:szCs w:val="20"/>
        </w:rPr>
        <w:t xml:space="preserve">Así las cosas, tanto el contrato de colaboración como el convenio de asociación no se constituyen como un contrato conmutativo. En el caso del contrato de colaboración se </w:t>
      </w:r>
      <w:r w:rsidRPr="00E7227E">
        <w:rPr>
          <w:rFonts w:ascii="Verdana" w:eastAsia="Calibri" w:hAnsi="Verdana" w:cs="Arial"/>
          <w:sz w:val="20"/>
          <w:szCs w:val="20"/>
        </w:rPr>
        <w:lastRenderedPageBreak/>
        <w:t>busca cooperar mutuamente para desarrollar un programa en beneficio de la población en general. Contrario sensu, el convenio de asociación se busca apoyar a la entidad en el cumplimiento de las funciones que le asigna la Ley. No obstante, son las partes de ambos convenios quienes deben determinar cómo se deben ejecutar los recursos, y para esto pueden observar las reglas establecidas en el clausulado del contrato o convenio, el manual de contratación de la entidad, o lo que señalen las normas de la contratación pública que determinen que resulten aplicables.</w:t>
      </w:r>
    </w:p>
    <w:p w14:paraId="6425DC8F" w14:textId="77777777" w:rsidR="004131EB" w:rsidRPr="00C11B91" w:rsidRDefault="004131EB" w:rsidP="004131EB">
      <w:pPr>
        <w:spacing w:after="0"/>
        <w:rPr>
          <w:rFonts w:ascii="Verdana" w:hAnsi="Verdana"/>
          <w:lang w:val="es-ES_tradnl"/>
        </w:rPr>
      </w:pPr>
    </w:p>
    <w:p w14:paraId="304A94ED" w14:textId="77777777" w:rsidR="004131EB" w:rsidRDefault="004131EB" w:rsidP="00C15139">
      <w:pPr>
        <w:spacing w:after="0"/>
        <w:rPr>
          <w:rFonts w:ascii="Verdana" w:hAnsi="Verdana"/>
        </w:rPr>
      </w:pPr>
    </w:p>
    <w:p w14:paraId="0C046CA9" w14:textId="77777777" w:rsidR="004131EB" w:rsidRDefault="004131EB" w:rsidP="00C15139">
      <w:pPr>
        <w:spacing w:after="0"/>
        <w:rPr>
          <w:rFonts w:ascii="Verdana" w:hAnsi="Verdana"/>
        </w:rPr>
      </w:pPr>
    </w:p>
    <w:p w14:paraId="5BF70581" w14:textId="77777777" w:rsidR="00E7227E" w:rsidRDefault="00E7227E" w:rsidP="00C15139">
      <w:pPr>
        <w:spacing w:after="0"/>
        <w:rPr>
          <w:rFonts w:ascii="Verdana" w:hAnsi="Verdana"/>
        </w:rPr>
      </w:pPr>
    </w:p>
    <w:p w14:paraId="100D777D" w14:textId="77777777" w:rsidR="00E7227E" w:rsidRDefault="00E7227E" w:rsidP="00C15139">
      <w:pPr>
        <w:spacing w:after="0"/>
        <w:rPr>
          <w:rFonts w:ascii="Verdana" w:hAnsi="Verdana"/>
        </w:rPr>
      </w:pPr>
    </w:p>
    <w:p w14:paraId="74B181E5" w14:textId="77777777" w:rsidR="003F6418" w:rsidRDefault="003F6418" w:rsidP="00C15139">
      <w:pPr>
        <w:spacing w:after="0"/>
        <w:rPr>
          <w:rFonts w:ascii="Verdana" w:hAnsi="Verdana"/>
        </w:rPr>
      </w:pPr>
    </w:p>
    <w:p w14:paraId="68FF6C44" w14:textId="77777777" w:rsidR="003F6418" w:rsidRDefault="003F6418" w:rsidP="00C15139">
      <w:pPr>
        <w:spacing w:after="0"/>
        <w:rPr>
          <w:rFonts w:ascii="Verdana" w:hAnsi="Verdana"/>
        </w:rPr>
      </w:pPr>
    </w:p>
    <w:p w14:paraId="77801A6E" w14:textId="77777777" w:rsidR="003F6418" w:rsidRDefault="003F6418" w:rsidP="00C15139">
      <w:pPr>
        <w:spacing w:after="0"/>
        <w:rPr>
          <w:rFonts w:ascii="Verdana" w:hAnsi="Verdana"/>
        </w:rPr>
      </w:pPr>
    </w:p>
    <w:p w14:paraId="1FBB8CAB" w14:textId="77777777" w:rsidR="003F6418" w:rsidRDefault="003F6418" w:rsidP="00C15139">
      <w:pPr>
        <w:spacing w:after="0"/>
        <w:rPr>
          <w:rFonts w:ascii="Verdana" w:hAnsi="Verdana"/>
        </w:rPr>
      </w:pPr>
    </w:p>
    <w:p w14:paraId="7F185A11" w14:textId="77777777" w:rsidR="003F6418" w:rsidRDefault="003F6418" w:rsidP="00C15139">
      <w:pPr>
        <w:spacing w:after="0"/>
        <w:rPr>
          <w:rFonts w:ascii="Verdana" w:hAnsi="Verdana"/>
        </w:rPr>
      </w:pPr>
    </w:p>
    <w:p w14:paraId="288A2774" w14:textId="77777777" w:rsidR="003F6418" w:rsidRDefault="003F6418" w:rsidP="00C15139">
      <w:pPr>
        <w:spacing w:after="0"/>
        <w:rPr>
          <w:rFonts w:ascii="Verdana" w:hAnsi="Verdana"/>
        </w:rPr>
      </w:pPr>
    </w:p>
    <w:p w14:paraId="5B8FFB3F" w14:textId="77777777" w:rsidR="003F6418" w:rsidRDefault="003F6418" w:rsidP="00C15139">
      <w:pPr>
        <w:spacing w:after="0"/>
        <w:rPr>
          <w:rFonts w:ascii="Verdana" w:hAnsi="Verdana"/>
        </w:rPr>
      </w:pPr>
    </w:p>
    <w:p w14:paraId="37EEB6DA" w14:textId="77777777" w:rsidR="003F6418" w:rsidRDefault="003F6418" w:rsidP="00C15139">
      <w:pPr>
        <w:spacing w:after="0"/>
        <w:rPr>
          <w:rFonts w:ascii="Verdana" w:hAnsi="Verdana"/>
        </w:rPr>
      </w:pPr>
    </w:p>
    <w:p w14:paraId="2E4E345D" w14:textId="77777777" w:rsidR="003F6418" w:rsidRDefault="003F6418" w:rsidP="00C15139">
      <w:pPr>
        <w:spacing w:after="0"/>
        <w:rPr>
          <w:rFonts w:ascii="Verdana" w:hAnsi="Verdana"/>
        </w:rPr>
      </w:pPr>
    </w:p>
    <w:p w14:paraId="4FD45811" w14:textId="77777777" w:rsidR="003F6418" w:rsidRDefault="003F6418" w:rsidP="00C15139">
      <w:pPr>
        <w:spacing w:after="0"/>
        <w:rPr>
          <w:rFonts w:ascii="Verdana" w:hAnsi="Verdana"/>
        </w:rPr>
      </w:pPr>
    </w:p>
    <w:p w14:paraId="5371F183" w14:textId="77777777" w:rsidR="003F6418" w:rsidRDefault="003F6418" w:rsidP="00C15139">
      <w:pPr>
        <w:spacing w:after="0"/>
        <w:rPr>
          <w:rFonts w:ascii="Verdana" w:hAnsi="Verdana"/>
        </w:rPr>
      </w:pPr>
    </w:p>
    <w:p w14:paraId="3C584112" w14:textId="77777777" w:rsidR="003F6418" w:rsidRDefault="003F6418" w:rsidP="00C15139">
      <w:pPr>
        <w:spacing w:after="0"/>
        <w:rPr>
          <w:rFonts w:ascii="Verdana" w:hAnsi="Verdana"/>
        </w:rPr>
      </w:pPr>
    </w:p>
    <w:p w14:paraId="464A25FD" w14:textId="77777777" w:rsidR="003F6418" w:rsidRDefault="003F6418" w:rsidP="00C15139">
      <w:pPr>
        <w:spacing w:after="0"/>
        <w:rPr>
          <w:rFonts w:ascii="Verdana" w:hAnsi="Verdana"/>
        </w:rPr>
      </w:pPr>
    </w:p>
    <w:p w14:paraId="0E4B18F8" w14:textId="77777777" w:rsidR="003F6418" w:rsidRDefault="003F6418" w:rsidP="00C15139">
      <w:pPr>
        <w:spacing w:after="0"/>
        <w:rPr>
          <w:rFonts w:ascii="Verdana" w:hAnsi="Verdana"/>
        </w:rPr>
      </w:pPr>
    </w:p>
    <w:p w14:paraId="746E3733" w14:textId="77777777" w:rsidR="003F6418" w:rsidRDefault="003F6418" w:rsidP="00C15139">
      <w:pPr>
        <w:spacing w:after="0"/>
        <w:rPr>
          <w:rFonts w:ascii="Verdana" w:hAnsi="Verdana"/>
        </w:rPr>
      </w:pPr>
    </w:p>
    <w:p w14:paraId="5383A1EC" w14:textId="77777777" w:rsidR="003F6418" w:rsidRDefault="003F6418" w:rsidP="00C15139">
      <w:pPr>
        <w:spacing w:after="0"/>
        <w:rPr>
          <w:rFonts w:ascii="Verdana" w:hAnsi="Verdana"/>
        </w:rPr>
      </w:pPr>
    </w:p>
    <w:p w14:paraId="041850CB" w14:textId="77777777" w:rsidR="003F6418" w:rsidRDefault="003F6418" w:rsidP="00C15139">
      <w:pPr>
        <w:spacing w:after="0"/>
        <w:rPr>
          <w:rFonts w:ascii="Verdana" w:hAnsi="Verdana"/>
        </w:rPr>
      </w:pPr>
    </w:p>
    <w:p w14:paraId="39443D9B" w14:textId="77777777" w:rsidR="003F6418" w:rsidRDefault="003F6418" w:rsidP="00C15139">
      <w:pPr>
        <w:spacing w:after="0"/>
        <w:rPr>
          <w:rFonts w:ascii="Verdana" w:hAnsi="Verdana"/>
        </w:rPr>
      </w:pPr>
    </w:p>
    <w:p w14:paraId="2BA33969" w14:textId="77777777" w:rsidR="003F6418" w:rsidRDefault="003F6418" w:rsidP="00C15139">
      <w:pPr>
        <w:spacing w:after="0"/>
        <w:rPr>
          <w:rFonts w:ascii="Verdana" w:hAnsi="Verdana"/>
        </w:rPr>
      </w:pPr>
    </w:p>
    <w:p w14:paraId="78210FAE" w14:textId="77777777" w:rsidR="00E7227E" w:rsidRDefault="00E7227E" w:rsidP="00C15139">
      <w:pPr>
        <w:spacing w:after="0"/>
        <w:rPr>
          <w:rFonts w:ascii="Verdana" w:hAnsi="Verdana"/>
        </w:rPr>
      </w:pPr>
    </w:p>
    <w:p w14:paraId="2F92E8FB" w14:textId="77777777" w:rsidR="00E7227E" w:rsidRDefault="00E7227E" w:rsidP="00C15139">
      <w:pPr>
        <w:spacing w:after="0"/>
        <w:rPr>
          <w:rFonts w:ascii="Verdana" w:hAnsi="Verdana"/>
        </w:rPr>
      </w:pPr>
    </w:p>
    <w:p w14:paraId="6045CB04" w14:textId="77777777" w:rsidR="00E7227E" w:rsidRDefault="00E7227E" w:rsidP="00C15139">
      <w:pPr>
        <w:spacing w:after="0"/>
        <w:rPr>
          <w:rFonts w:ascii="Verdana" w:hAnsi="Verdana"/>
        </w:rPr>
      </w:pPr>
    </w:p>
    <w:p w14:paraId="031C7D60" w14:textId="77777777" w:rsidR="00E7227E" w:rsidRDefault="00E7227E" w:rsidP="00C15139">
      <w:pPr>
        <w:spacing w:after="0"/>
        <w:rPr>
          <w:rFonts w:ascii="Verdana" w:hAnsi="Verdana"/>
        </w:rPr>
      </w:pPr>
    </w:p>
    <w:p w14:paraId="367D6A21" w14:textId="77777777" w:rsidR="00E7227E" w:rsidRDefault="00E7227E" w:rsidP="00C15139">
      <w:pPr>
        <w:spacing w:after="0"/>
        <w:rPr>
          <w:rFonts w:ascii="Verdana" w:hAnsi="Verdana"/>
        </w:rPr>
      </w:pPr>
    </w:p>
    <w:p w14:paraId="080CEBE2" w14:textId="77777777" w:rsidR="00E7227E" w:rsidRDefault="00E7227E" w:rsidP="00C15139">
      <w:pPr>
        <w:spacing w:after="0"/>
        <w:rPr>
          <w:rFonts w:ascii="Verdana" w:hAnsi="Verdana"/>
        </w:rPr>
      </w:pPr>
    </w:p>
    <w:p w14:paraId="178D148A" w14:textId="77777777" w:rsidR="00E7227E" w:rsidRDefault="00E7227E" w:rsidP="00C15139">
      <w:pPr>
        <w:spacing w:after="0"/>
        <w:rPr>
          <w:rFonts w:ascii="Verdana" w:hAnsi="Verdana"/>
        </w:rPr>
      </w:pPr>
    </w:p>
    <w:p w14:paraId="13E0AB55" w14:textId="6DEA8F89" w:rsidR="000234E3" w:rsidRDefault="00C15139" w:rsidP="00C15139">
      <w:pPr>
        <w:spacing w:after="0"/>
        <w:rPr>
          <w:rFonts w:ascii="Verdana" w:hAnsi="Verdana"/>
        </w:rPr>
      </w:pPr>
      <w:r w:rsidRPr="0024624F">
        <w:rPr>
          <w:rFonts w:ascii="Verdana" w:hAnsi="Verdana"/>
        </w:rPr>
        <w:lastRenderedPageBreak/>
        <w:t xml:space="preserve">Bogotá D.C., </w:t>
      </w:r>
      <w:r w:rsidR="00F32983">
        <w:rPr>
          <w:rFonts w:ascii="Verdana" w:hAnsi="Verdana"/>
        </w:rPr>
        <w:t xml:space="preserve">2 </w:t>
      </w:r>
      <w:proofErr w:type="gramStart"/>
      <w:r w:rsidR="00F32983">
        <w:rPr>
          <w:rFonts w:ascii="Verdana" w:hAnsi="Verdana"/>
        </w:rPr>
        <w:t>Diciembre</w:t>
      </w:r>
      <w:proofErr w:type="gramEnd"/>
      <w:r w:rsidR="00F32983">
        <w:rPr>
          <w:rFonts w:ascii="Verdana" w:hAnsi="Verdana"/>
        </w:rPr>
        <w:t xml:space="preserve"> 2025</w:t>
      </w:r>
      <w:r w:rsidRPr="000E2B93">
        <w:rPr>
          <w:rFonts w:ascii="Verdana" w:hAnsi="Verdana"/>
        </w:rPr>
        <w:tab/>
      </w:r>
      <w:r w:rsidRPr="000E2B93">
        <w:rPr>
          <w:rFonts w:ascii="Verdana" w:hAnsi="Verdana"/>
        </w:rPr>
        <w:br/>
      </w:r>
    </w:p>
    <w:p w14:paraId="21BC148A" w14:textId="2D2297F2" w:rsidR="000234E3" w:rsidRPr="00B70870" w:rsidRDefault="000234E3" w:rsidP="000234E3">
      <w:pPr>
        <w:spacing w:after="0" w:line="240" w:lineRule="auto"/>
        <w:jc w:val="both"/>
        <w:rPr>
          <w:rFonts w:ascii="Verdana" w:eastAsia="Calibri" w:hAnsi="Verdana" w:cs="Arial"/>
          <w:lang w:val="es-ES" w:eastAsia="es-ES"/>
        </w:rPr>
      </w:pPr>
      <w:r w:rsidRPr="00B70870">
        <w:rPr>
          <w:rFonts w:ascii="Verdana" w:eastAsia="Calibri" w:hAnsi="Verdana" w:cs="Arial"/>
          <w:lang w:val="es-ES" w:eastAsia="es-ES"/>
        </w:rPr>
        <w:t>Seño</w:t>
      </w:r>
      <w:r>
        <w:rPr>
          <w:rFonts w:ascii="Verdana" w:eastAsia="Calibri" w:hAnsi="Verdana" w:cs="Arial"/>
          <w:lang w:val="es-ES" w:eastAsia="es-ES"/>
        </w:rPr>
        <w:t>ra</w:t>
      </w:r>
    </w:p>
    <w:p w14:paraId="476CBC9D" w14:textId="77777777" w:rsidR="000234E3" w:rsidRPr="001F147B" w:rsidRDefault="000234E3" w:rsidP="000234E3">
      <w:pPr>
        <w:spacing w:after="0" w:line="240" w:lineRule="auto"/>
        <w:rPr>
          <w:rFonts w:ascii="Verdana" w:eastAsia="Calibri" w:hAnsi="Verdana" w:cs="Arial"/>
          <w:b/>
          <w:bCs/>
          <w:lang w:eastAsia="es-ES"/>
        </w:rPr>
      </w:pPr>
      <w:r w:rsidRPr="001F147B">
        <w:rPr>
          <w:rFonts w:ascii="Verdana" w:eastAsia="Calibri" w:hAnsi="Verdana" w:cs="Arial"/>
          <w:b/>
          <w:bCs/>
          <w:lang w:eastAsia="es-ES"/>
        </w:rPr>
        <w:t xml:space="preserve">Liliana </w:t>
      </w:r>
      <w:proofErr w:type="spellStart"/>
      <w:r w:rsidRPr="001F147B">
        <w:rPr>
          <w:rFonts w:ascii="Verdana" w:eastAsia="Calibri" w:hAnsi="Verdana" w:cs="Arial"/>
          <w:b/>
          <w:bCs/>
          <w:lang w:eastAsia="es-ES"/>
        </w:rPr>
        <w:t>Maria</w:t>
      </w:r>
      <w:proofErr w:type="spellEnd"/>
      <w:r w:rsidRPr="001F147B">
        <w:rPr>
          <w:rFonts w:ascii="Verdana" w:eastAsia="Calibri" w:hAnsi="Verdana" w:cs="Arial"/>
          <w:b/>
          <w:bCs/>
          <w:lang w:eastAsia="es-ES"/>
        </w:rPr>
        <w:t xml:space="preserve"> Lenis Tangarife </w:t>
      </w:r>
    </w:p>
    <w:p w14:paraId="318C9BA4" w14:textId="77777777" w:rsidR="000234E3" w:rsidRDefault="000234E3" w:rsidP="000234E3">
      <w:pPr>
        <w:spacing w:after="0" w:line="240" w:lineRule="auto"/>
        <w:rPr>
          <w:rFonts w:ascii="Verdana" w:eastAsia="Calibri" w:hAnsi="Verdana" w:cs="Arial"/>
          <w:lang w:eastAsia="es-ES"/>
        </w:rPr>
      </w:pPr>
      <w:hyperlink r:id="rId10" w:history="1">
        <w:r w:rsidRPr="00A4393A">
          <w:rPr>
            <w:rStyle w:val="Hipervnculo"/>
            <w:rFonts w:ascii="Verdana" w:eastAsia="Calibri" w:hAnsi="Verdana" w:cs="Arial"/>
            <w:lang w:eastAsia="es-ES"/>
          </w:rPr>
          <w:t>lilimaria.tangarife@gmail.com</w:t>
        </w:r>
      </w:hyperlink>
    </w:p>
    <w:p w14:paraId="7A3BBCCA" w14:textId="77777777" w:rsidR="000234E3" w:rsidRPr="00B70870" w:rsidRDefault="000234E3" w:rsidP="000234E3">
      <w:pPr>
        <w:spacing w:after="0" w:line="240" w:lineRule="auto"/>
        <w:rPr>
          <w:rFonts w:ascii="Verdana" w:hAnsi="Verdana"/>
        </w:rPr>
      </w:pPr>
      <w:r>
        <w:rPr>
          <w:rFonts w:ascii="Verdana" w:eastAsia="Calibri" w:hAnsi="Verdana" w:cs="Arial"/>
          <w:lang w:val="es-ES" w:eastAsia="es-ES"/>
        </w:rPr>
        <w:t xml:space="preserve">Copacabana, Antioquia. </w:t>
      </w:r>
    </w:p>
    <w:p w14:paraId="60C685E5" w14:textId="77777777" w:rsidR="000234E3" w:rsidRPr="00B70870" w:rsidRDefault="000234E3" w:rsidP="000234E3">
      <w:pPr>
        <w:spacing w:after="0" w:line="240" w:lineRule="auto"/>
        <w:rPr>
          <w:rFonts w:ascii="Verdana" w:eastAsia="Calibri" w:hAnsi="Verdana" w:cs="Arial"/>
          <w:b/>
          <w:bCs/>
          <w:highlight w:val="cyan"/>
          <w:lang w:val="es-ES_tradnl" w:eastAsia="es-ES_tradnl"/>
        </w:rPr>
      </w:pPr>
    </w:p>
    <w:p w14:paraId="3B0B8D6A" w14:textId="6C611A57" w:rsidR="000234E3" w:rsidRPr="00B70870" w:rsidRDefault="00F32983" w:rsidP="00F32983">
      <w:pPr>
        <w:spacing w:after="0" w:line="240" w:lineRule="auto"/>
        <w:jc w:val="right"/>
        <w:rPr>
          <w:rFonts w:ascii="Verdana" w:eastAsia="Calibri" w:hAnsi="Verdana" w:cs="Arial"/>
          <w:b/>
          <w:bCs/>
          <w:highlight w:val="cyan"/>
          <w:lang w:val="es-ES_tradnl" w:eastAsia="es-ES_tradnl"/>
        </w:rPr>
      </w:pPr>
      <w:r w:rsidRPr="00F32983">
        <w:rPr>
          <w:rFonts w:ascii="Verdana" w:eastAsia="Calibri" w:hAnsi="Verdana" w:cs="Arial"/>
          <w:b/>
          <w:bCs/>
          <w:lang w:val="es-ES_tradnl" w:eastAsia="es-ES_tradnl"/>
        </w:rPr>
        <w:drawing>
          <wp:inline distT="0" distB="0" distL="0" distR="0" wp14:anchorId="643C7D4E" wp14:editId="4D81F59A">
            <wp:extent cx="2324301" cy="739204"/>
            <wp:effectExtent l="0" t="0" r="0" b="3810"/>
            <wp:docPr id="147003757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37579" name="Imagen 1" descr="Texto&#10;&#10;El contenido generado por IA puede ser incorrecto."/>
                    <pic:cNvPicPr/>
                  </pic:nvPicPr>
                  <pic:blipFill>
                    <a:blip r:embed="rId11"/>
                    <a:stretch>
                      <a:fillRect/>
                    </a:stretch>
                  </pic:blipFill>
                  <pic:spPr>
                    <a:xfrm>
                      <a:off x="0" y="0"/>
                      <a:ext cx="2324301" cy="739204"/>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34E3" w:rsidRPr="00B70870" w14:paraId="0E0D96CD" w14:textId="77777777" w:rsidTr="004061EB">
        <w:trPr>
          <w:trHeight w:val="884"/>
        </w:trPr>
        <w:tc>
          <w:tcPr>
            <w:tcW w:w="2689" w:type="dxa"/>
          </w:tcPr>
          <w:p w14:paraId="453CF293" w14:textId="77777777" w:rsidR="000234E3" w:rsidRPr="00B70870" w:rsidRDefault="000234E3" w:rsidP="004061EB">
            <w:pPr>
              <w:jc w:val="both"/>
              <w:rPr>
                <w:rFonts w:ascii="Verdana" w:eastAsia="Calibri" w:hAnsi="Verdana" w:cs="Arial"/>
                <w:b/>
                <w:bCs/>
                <w:highlight w:val="cyan"/>
                <w:lang w:val="es-ES_tradnl" w:eastAsia="es-ES_tradnl"/>
              </w:rPr>
            </w:pPr>
          </w:p>
        </w:tc>
        <w:tc>
          <w:tcPr>
            <w:tcW w:w="6100" w:type="dxa"/>
          </w:tcPr>
          <w:p w14:paraId="4E32CDCA" w14:textId="77777777" w:rsidR="000234E3" w:rsidRPr="00B70870" w:rsidRDefault="000234E3" w:rsidP="004061EB">
            <w:pPr>
              <w:jc w:val="both"/>
              <w:rPr>
                <w:rFonts w:ascii="Verdana" w:eastAsia="Calibri" w:hAnsi="Verdana" w:cs="Arial"/>
                <w:b/>
                <w:bCs/>
                <w:lang w:val="es-ES" w:eastAsia="es-ES"/>
              </w:rPr>
            </w:pPr>
            <w:r w:rsidRPr="00B70870">
              <w:rPr>
                <w:rFonts w:ascii="Verdana" w:eastAsia="Calibri" w:hAnsi="Verdana" w:cs="Arial"/>
                <w:b/>
                <w:bCs/>
                <w:lang w:val="es-ES" w:eastAsia="es-ES"/>
              </w:rPr>
              <w:t xml:space="preserve">Concepto </w:t>
            </w:r>
            <w:r w:rsidRPr="00B70870">
              <w:rPr>
                <w:rFonts w:ascii="Verdana" w:eastAsia="Calibri" w:hAnsi="Verdana" w:cs="Arial"/>
                <w:b/>
                <w:bCs/>
                <w:lang w:eastAsia="es-ES"/>
              </w:rPr>
              <w:t>C-</w:t>
            </w:r>
            <w:r>
              <w:rPr>
                <w:rFonts w:ascii="Verdana" w:eastAsia="Calibri" w:hAnsi="Verdana" w:cs="Arial"/>
                <w:b/>
                <w:bCs/>
                <w:lang w:eastAsia="es-ES"/>
              </w:rPr>
              <w:t>1545</w:t>
            </w:r>
            <w:r w:rsidRPr="00B70870">
              <w:rPr>
                <w:rFonts w:ascii="Verdana" w:eastAsia="Calibri" w:hAnsi="Verdana" w:cs="Arial"/>
                <w:b/>
                <w:bCs/>
                <w:lang w:eastAsia="es-ES"/>
              </w:rPr>
              <w:t xml:space="preserve"> </w:t>
            </w:r>
            <w:r w:rsidRPr="00B70870">
              <w:rPr>
                <w:rFonts w:ascii="Verdana" w:eastAsia="Calibri" w:hAnsi="Verdana" w:cs="Arial"/>
                <w:b/>
                <w:bCs/>
                <w:lang w:val="es-ES" w:eastAsia="es-ES"/>
              </w:rPr>
              <w:t>de 202</w:t>
            </w:r>
            <w:r>
              <w:rPr>
                <w:rFonts w:ascii="Verdana" w:eastAsia="Calibri" w:hAnsi="Verdana" w:cs="Arial"/>
                <w:b/>
                <w:bCs/>
                <w:lang w:val="es-ES" w:eastAsia="es-ES"/>
              </w:rPr>
              <w:t>5</w:t>
            </w:r>
          </w:p>
        </w:tc>
      </w:tr>
      <w:tr w:rsidR="000234E3" w:rsidRPr="00B70870" w14:paraId="0F5C883A" w14:textId="77777777" w:rsidTr="004061EB">
        <w:trPr>
          <w:trHeight w:val="884"/>
        </w:trPr>
        <w:tc>
          <w:tcPr>
            <w:tcW w:w="2689" w:type="dxa"/>
          </w:tcPr>
          <w:p w14:paraId="3A5EF6D6" w14:textId="77777777" w:rsidR="000234E3" w:rsidRPr="00B70870" w:rsidRDefault="000234E3" w:rsidP="004061EB">
            <w:pPr>
              <w:jc w:val="both"/>
              <w:rPr>
                <w:rFonts w:ascii="Verdana" w:eastAsia="Calibri" w:hAnsi="Verdana" w:cs="Arial"/>
                <w:b/>
                <w:lang w:val="es-ES_tradnl" w:eastAsia="es-ES_tradnl"/>
              </w:rPr>
            </w:pPr>
            <w:r w:rsidRPr="00B70870">
              <w:rPr>
                <w:rFonts w:ascii="Verdana" w:eastAsia="Calibri" w:hAnsi="Verdana" w:cs="Arial"/>
                <w:b/>
                <w:lang w:val="es-ES_tradnl" w:eastAsia="es-ES_tradnl"/>
              </w:rPr>
              <w:t xml:space="preserve">Temas:                   </w:t>
            </w:r>
          </w:p>
        </w:tc>
        <w:tc>
          <w:tcPr>
            <w:tcW w:w="6100" w:type="dxa"/>
          </w:tcPr>
          <w:p w14:paraId="68304AB4" w14:textId="77777777" w:rsidR="000234E3" w:rsidRPr="00B70870" w:rsidRDefault="000234E3" w:rsidP="004061EB">
            <w:pPr>
              <w:spacing w:line="276" w:lineRule="auto"/>
              <w:jc w:val="both"/>
              <w:rPr>
                <w:rFonts w:ascii="Verdana" w:eastAsia="Calibri" w:hAnsi="Verdana" w:cs="Arial"/>
                <w:lang w:val="es-ES" w:eastAsia="es-ES"/>
              </w:rPr>
            </w:pPr>
            <w:r w:rsidRPr="00B70870">
              <w:rPr>
                <w:rFonts w:ascii="Verdana" w:eastAsia="Calibri" w:hAnsi="Verdana" w:cs="Arial"/>
                <w:lang w:val="es-ES" w:eastAsia="es-ES"/>
              </w:rPr>
              <w:t>CONTRATACIÓN CON ESAL – Contratos de colaboración - Objeto / CONTRATACIÓN CON ESAL – Convenios de asociación – Objeto – Alcance – Aportes / COSTOS INDIRECTOS – Contratos de colaboración – Convenios de asociación / DECRETO 092 DE 2017 – Conmutatividad</w:t>
            </w:r>
          </w:p>
          <w:p w14:paraId="1FAEC8DD" w14:textId="77777777" w:rsidR="000234E3" w:rsidRPr="00B70870" w:rsidRDefault="000234E3" w:rsidP="004061EB">
            <w:pPr>
              <w:spacing w:line="276" w:lineRule="auto"/>
              <w:jc w:val="both"/>
              <w:rPr>
                <w:rFonts w:ascii="Verdana" w:eastAsia="Calibri" w:hAnsi="Verdana" w:cs="Arial"/>
                <w:highlight w:val="cyan"/>
                <w:lang w:val="es-ES" w:eastAsia="es-ES"/>
              </w:rPr>
            </w:pPr>
          </w:p>
        </w:tc>
      </w:tr>
      <w:tr w:rsidR="000234E3" w:rsidRPr="00B70870" w14:paraId="5E5D6BB1" w14:textId="77777777" w:rsidTr="004061EB">
        <w:trPr>
          <w:trHeight w:val="388"/>
        </w:trPr>
        <w:tc>
          <w:tcPr>
            <w:tcW w:w="2689" w:type="dxa"/>
          </w:tcPr>
          <w:p w14:paraId="6BE2C68D" w14:textId="77777777" w:rsidR="000234E3" w:rsidRPr="00B70870" w:rsidRDefault="000234E3" w:rsidP="004061EB">
            <w:pPr>
              <w:jc w:val="both"/>
              <w:rPr>
                <w:rFonts w:ascii="Verdana" w:eastAsia="Calibri" w:hAnsi="Verdana" w:cs="Arial"/>
                <w:b/>
                <w:lang w:val="es-ES_tradnl" w:eastAsia="es-ES_tradnl"/>
              </w:rPr>
            </w:pPr>
            <w:r w:rsidRPr="00B70870">
              <w:rPr>
                <w:rFonts w:ascii="Verdana" w:eastAsia="Calibri" w:hAnsi="Verdana" w:cs="Arial"/>
                <w:b/>
                <w:lang w:val="es-ES_tradnl" w:eastAsia="es-ES_tradnl"/>
              </w:rPr>
              <w:t>Radicación:</w:t>
            </w:r>
            <w:r w:rsidRPr="00B70870">
              <w:rPr>
                <w:rFonts w:ascii="Verdana" w:eastAsia="Calibri" w:hAnsi="Verdana" w:cs="Arial"/>
                <w:lang w:val="es-ES_tradnl" w:eastAsia="es-ES_tradnl"/>
              </w:rPr>
              <w:t xml:space="preserve">               </w:t>
            </w:r>
          </w:p>
        </w:tc>
        <w:tc>
          <w:tcPr>
            <w:tcW w:w="6100" w:type="dxa"/>
          </w:tcPr>
          <w:p w14:paraId="75E7F2E0" w14:textId="77777777" w:rsidR="000234E3" w:rsidRPr="00B70870" w:rsidRDefault="000234E3" w:rsidP="004061EB">
            <w:pPr>
              <w:jc w:val="both"/>
              <w:rPr>
                <w:rFonts w:ascii="Verdana" w:eastAsia="Calibri" w:hAnsi="Verdana" w:cs="Arial"/>
                <w:lang w:val="es-ES_tradnl" w:eastAsia="es-ES_tradnl"/>
              </w:rPr>
            </w:pPr>
            <w:r w:rsidRPr="00B70870">
              <w:rPr>
                <w:rFonts w:ascii="Verdana" w:eastAsia="Calibri" w:hAnsi="Verdana" w:cs="Arial"/>
                <w:lang w:val="es-ES_tradnl" w:eastAsia="es-ES_tradnl"/>
              </w:rPr>
              <w:t xml:space="preserve">Respuesta a consulta con radicado No. </w:t>
            </w:r>
            <w:r w:rsidRPr="001F147B">
              <w:rPr>
                <w:rFonts w:ascii="Verdana" w:eastAsia="Calibri" w:hAnsi="Verdana" w:cs="Arial"/>
                <w:lang w:val="es-ES_tradnl" w:eastAsia="es-ES_tradnl"/>
              </w:rPr>
              <w:t>1_2025_10_22_011835</w:t>
            </w:r>
            <w:r>
              <w:rPr>
                <w:rFonts w:ascii="Verdana" w:eastAsia="Calibri" w:hAnsi="Verdana" w:cs="Arial"/>
                <w:lang w:val="es-ES_tradnl" w:eastAsia="es-ES_tradnl"/>
              </w:rPr>
              <w:t>.</w:t>
            </w:r>
          </w:p>
        </w:tc>
      </w:tr>
    </w:tbl>
    <w:p w14:paraId="40F949EE" w14:textId="77777777" w:rsidR="000234E3" w:rsidRPr="00B70870" w:rsidRDefault="000234E3" w:rsidP="000234E3">
      <w:pPr>
        <w:spacing w:after="0" w:line="240" w:lineRule="auto"/>
        <w:jc w:val="both"/>
        <w:rPr>
          <w:rFonts w:ascii="Verdana" w:eastAsia="Calibri" w:hAnsi="Verdana" w:cs="Arial"/>
          <w:highlight w:val="cyan"/>
          <w:lang w:val="es-ES_tradnl" w:eastAsia="es-ES_tradnl"/>
        </w:rPr>
      </w:pPr>
    </w:p>
    <w:p w14:paraId="36960721" w14:textId="77777777" w:rsidR="000234E3" w:rsidRPr="00B70870" w:rsidRDefault="000234E3" w:rsidP="000234E3">
      <w:pPr>
        <w:spacing w:after="0" w:line="240" w:lineRule="auto"/>
        <w:jc w:val="both"/>
        <w:rPr>
          <w:rFonts w:ascii="Verdana" w:eastAsia="Calibri" w:hAnsi="Verdana" w:cs="Arial"/>
          <w:highlight w:val="cyan"/>
          <w:lang w:val="es-ES_tradnl" w:eastAsia="es-ES_tradnl"/>
        </w:rPr>
      </w:pPr>
    </w:p>
    <w:p w14:paraId="349C4465" w14:textId="77777777" w:rsidR="000234E3" w:rsidRPr="00B70870" w:rsidRDefault="000234E3" w:rsidP="000234E3">
      <w:pPr>
        <w:spacing w:after="0" w:line="276" w:lineRule="auto"/>
        <w:jc w:val="both"/>
        <w:rPr>
          <w:rFonts w:ascii="Verdana" w:eastAsia="Calibri" w:hAnsi="Verdana" w:cs="Arial"/>
          <w:lang w:val="es-ES" w:eastAsia="es-ES"/>
        </w:rPr>
      </w:pPr>
      <w:r w:rsidRPr="00B70870">
        <w:rPr>
          <w:rFonts w:ascii="Verdana" w:eastAsia="Calibri" w:hAnsi="Verdana" w:cs="Arial"/>
          <w:lang w:val="es-ES" w:eastAsia="es-ES"/>
        </w:rPr>
        <w:t>Estimad</w:t>
      </w:r>
      <w:r>
        <w:rPr>
          <w:rFonts w:ascii="Verdana" w:eastAsia="Calibri" w:hAnsi="Verdana" w:cs="Arial"/>
          <w:lang w:val="es-ES" w:eastAsia="es-ES"/>
        </w:rPr>
        <w:t>a</w:t>
      </w:r>
      <w:r w:rsidRPr="00B70870">
        <w:rPr>
          <w:rFonts w:ascii="Verdana" w:eastAsia="Calibri" w:hAnsi="Verdana" w:cs="Arial"/>
          <w:lang w:val="es-ES" w:eastAsia="es-ES"/>
        </w:rPr>
        <w:t xml:space="preserve"> señor</w:t>
      </w:r>
      <w:r>
        <w:rPr>
          <w:rFonts w:ascii="Verdana" w:eastAsia="Calibri" w:hAnsi="Verdana" w:cs="Arial"/>
          <w:lang w:val="es-ES" w:eastAsia="es-ES"/>
        </w:rPr>
        <w:t>a</w:t>
      </w:r>
      <w:r w:rsidRPr="00B70870">
        <w:rPr>
          <w:rFonts w:ascii="Verdana" w:eastAsia="Calibri" w:hAnsi="Verdana" w:cs="Arial"/>
          <w:lang w:val="es-ES" w:eastAsia="es-ES"/>
        </w:rPr>
        <w:t xml:space="preserve"> </w:t>
      </w:r>
      <w:r>
        <w:rPr>
          <w:rFonts w:ascii="Verdana" w:eastAsia="Calibri" w:hAnsi="Verdana" w:cs="Arial"/>
          <w:lang w:val="es-ES" w:eastAsia="es-ES"/>
        </w:rPr>
        <w:t>Lenis</w:t>
      </w:r>
      <w:r w:rsidRPr="00B70870">
        <w:rPr>
          <w:rFonts w:ascii="Verdana" w:eastAsia="Calibri" w:hAnsi="Verdana" w:cs="Arial"/>
          <w:lang w:val="es-ES" w:eastAsia="es-ES"/>
        </w:rPr>
        <w:t>;</w:t>
      </w:r>
    </w:p>
    <w:p w14:paraId="69F8B480" w14:textId="77777777" w:rsidR="000234E3" w:rsidRPr="00B70870" w:rsidRDefault="000234E3" w:rsidP="000234E3">
      <w:pPr>
        <w:tabs>
          <w:tab w:val="left" w:pos="3768"/>
        </w:tabs>
        <w:spacing w:after="0" w:line="276" w:lineRule="auto"/>
        <w:jc w:val="both"/>
        <w:rPr>
          <w:rFonts w:ascii="Verdana" w:eastAsia="Calibri" w:hAnsi="Verdana" w:cs="Arial"/>
          <w:lang w:val="es-ES" w:eastAsia="es-ES"/>
        </w:rPr>
      </w:pPr>
      <w:r w:rsidRPr="00B70870">
        <w:rPr>
          <w:rFonts w:ascii="Verdana" w:eastAsia="Calibri" w:hAnsi="Verdana" w:cs="Arial"/>
          <w:lang w:val="es-ES" w:eastAsia="es-ES"/>
        </w:rPr>
        <w:tab/>
      </w:r>
    </w:p>
    <w:p w14:paraId="05317C3A" w14:textId="77777777" w:rsidR="000234E3" w:rsidRPr="00B70870" w:rsidRDefault="000234E3" w:rsidP="000234E3">
      <w:pPr>
        <w:spacing w:after="0" w:line="276" w:lineRule="auto"/>
        <w:jc w:val="both"/>
        <w:rPr>
          <w:rFonts w:ascii="Verdana" w:eastAsia="Calibri" w:hAnsi="Verdana" w:cs="Arial"/>
          <w:lang w:val="es-ES" w:eastAsia="es-ES"/>
        </w:rPr>
      </w:pPr>
      <w:r w:rsidRPr="00B70870">
        <w:rPr>
          <w:rFonts w:ascii="Verdana" w:eastAsia="Calibri" w:hAnsi="Verdana" w:cs="Arial"/>
          <w:lang w:val="es-ES" w:eastAsia="es-ES"/>
        </w:rPr>
        <w:t>En ejercicio de la competencia otorgada por los artículos 3, numeral 5º, y 11, numeral 8º, del Decreto Ley 4170 de 2011,</w:t>
      </w:r>
      <w:r w:rsidRPr="00B70870">
        <w:rPr>
          <w:rFonts w:ascii="Verdana" w:eastAsia="Arial MT" w:hAnsi="Verdana" w:cs="Arial MT"/>
          <w:lang w:val="es-ES" w:eastAsia="es-ES"/>
        </w:rPr>
        <w:t xml:space="preserve"> </w:t>
      </w:r>
      <w:r w:rsidRPr="00B70870">
        <w:rPr>
          <w:rFonts w:ascii="Verdana" w:hAnsi="Verdana" w:cs="Arial"/>
        </w:rPr>
        <w:t xml:space="preserve">así como lo establecido en el artículo 4 de la Resolución 1707 de 2018 expedida por esta Entidad, </w:t>
      </w:r>
      <w:r w:rsidRPr="00B70870">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22</w:t>
      </w:r>
      <w:r w:rsidRPr="00B70870">
        <w:rPr>
          <w:rFonts w:ascii="Verdana" w:eastAsia="Calibri" w:hAnsi="Verdana" w:cs="Arial"/>
          <w:lang w:val="es-ES" w:eastAsia="es-ES"/>
        </w:rPr>
        <w:t xml:space="preserve"> de </w:t>
      </w:r>
      <w:r>
        <w:rPr>
          <w:rFonts w:ascii="Verdana" w:eastAsia="Calibri" w:hAnsi="Verdana" w:cs="Arial"/>
          <w:lang w:val="es-ES" w:eastAsia="es-ES"/>
        </w:rPr>
        <w:t>octubre</w:t>
      </w:r>
      <w:r w:rsidRPr="00B70870">
        <w:rPr>
          <w:rFonts w:ascii="Verdana" w:eastAsia="Calibri" w:hAnsi="Verdana" w:cs="Arial"/>
          <w:lang w:val="es-ES" w:eastAsia="es-ES"/>
        </w:rPr>
        <w:t xml:space="preserve"> de 202</w:t>
      </w:r>
      <w:r>
        <w:rPr>
          <w:rFonts w:ascii="Verdana" w:eastAsia="Calibri" w:hAnsi="Verdana" w:cs="Arial"/>
          <w:lang w:val="es-ES" w:eastAsia="es-ES"/>
        </w:rPr>
        <w:t>5</w:t>
      </w:r>
      <w:r w:rsidRPr="00B70870">
        <w:rPr>
          <w:rFonts w:ascii="Verdana" w:eastAsia="Calibri" w:hAnsi="Verdana" w:cs="Arial"/>
          <w:lang w:val="es-ES" w:eastAsia="es-ES"/>
        </w:rPr>
        <w:t xml:space="preserve">, en la cual manifiesta lo siguiente: </w:t>
      </w:r>
    </w:p>
    <w:p w14:paraId="56777BDC" w14:textId="77777777" w:rsidR="000234E3" w:rsidRPr="00B70870" w:rsidRDefault="000234E3" w:rsidP="000234E3">
      <w:pPr>
        <w:spacing w:after="0"/>
        <w:jc w:val="both"/>
        <w:rPr>
          <w:rFonts w:ascii="Verdana" w:hAnsi="Verdana"/>
        </w:rPr>
      </w:pPr>
    </w:p>
    <w:p w14:paraId="40D78901" w14:textId="77777777" w:rsidR="000234E3" w:rsidRPr="00B70870" w:rsidRDefault="000234E3" w:rsidP="000234E3">
      <w:pPr>
        <w:spacing w:after="0" w:line="240" w:lineRule="auto"/>
        <w:ind w:left="709" w:right="709"/>
        <w:jc w:val="both"/>
        <w:rPr>
          <w:rFonts w:ascii="Verdana" w:eastAsia="Century Gothic" w:hAnsi="Verdana" w:cs="Century Gothic"/>
          <w:sz w:val="20"/>
          <w:szCs w:val="20"/>
          <w:lang w:val="es-ES"/>
        </w:rPr>
      </w:pPr>
      <w:r w:rsidRPr="00B70870">
        <w:rPr>
          <w:rFonts w:ascii="Verdana" w:eastAsia="Century Gothic" w:hAnsi="Verdana" w:cs="Century Gothic"/>
          <w:sz w:val="20"/>
          <w:szCs w:val="20"/>
          <w:lang w:val="es-ES"/>
        </w:rPr>
        <w:t xml:space="preserve">“[…] </w:t>
      </w:r>
      <w:proofErr w:type="gramStart"/>
      <w:r w:rsidRPr="001F147B">
        <w:rPr>
          <w:rFonts w:ascii="Verdana" w:eastAsia="Century Gothic" w:hAnsi="Verdana" w:cs="Century Gothic"/>
          <w:sz w:val="20"/>
          <w:szCs w:val="20"/>
        </w:rPr>
        <w:t>En un Convenio de asociación suscrito por entidad estatal y ESAL, donde en la ejecución se presenten sobrecostos, la entidad estatal debe reconocer esos valores mayores a la ESAL quien cumplió con su aporte conforme a lo establecido en el convenio?</w:t>
      </w:r>
      <w:proofErr w:type="gramEnd"/>
      <w:r w:rsidRPr="001F147B">
        <w:rPr>
          <w:rFonts w:ascii="Verdana" w:eastAsia="Century Gothic" w:hAnsi="Verdana" w:cs="Century Gothic"/>
          <w:sz w:val="20"/>
          <w:szCs w:val="20"/>
        </w:rPr>
        <w:t>:</w:t>
      </w:r>
      <w:r>
        <w:rPr>
          <w:rFonts w:ascii="Verdana" w:eastAsia="Century Gothic" w:hAnsi="Verdana" w:cs="Century Gothic"/>
          <w:sz w:val="20"/>
          <w:szCs w:val="20"/>
        </w:rPr>
        <w:t>” [sic]</w:t>
      </w:r>
    </w:p>
    <w:p w14:paraId="27AFBC4A" w14:textId="77777777" w:rsidR="000234E3" w:rsidRPr="00B70870" w:rsidRDefault="000234E3" w:rsidP="000234E3">
      <w:pPr>
        <w:spacing w:after="0"/>
        <w:jc w:val="both"/>
        <w:rPr>
          <w:rFonts w:ascii="Verdana" w:hAnsi="Verdana"/>
        </w:rPr>
      </w:pPr>
    </w:p>
    <w:p w14:paraId="1BD71CF4" w14:textId="77777777" w:rsidR="000234E3" w:rsidRPr="00B70870" w:rsidRDefault="000234E3" w:rsidP="000234E3">
      <w:pPr>
        <w:spacing w:after="120" w:line="276" w:lineRule="auto"/>
        <w:ind w:firstLine="709"/>
        <w:jc w:val="both"/>
        <w:rPr>
          <w:rFonts w:ascii="Verdana" w:eastAsia="Calibri" w:hAnsi="Verdana" w:cs="Arial"/>
          <w:color w:val="000000"/>
          <w:lang w:val="es-ES_tradnl" w:eastAsia="es-ES_tradnl"/>
        </w:rPr>
      </w:pPr>
      <w:r w:rsidRPr="00B70870">
        <w:rPr>
          <w:rFonts w:ascii="Verdana" w:eastAsia="Calibri" w:hAnsi="Verdana" w:cs="Arial"/>
          <w:color w:val="000000"/>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67E8DB7" w14:textId="77777777" w:rsidR="000234E3" w:rsidRPr="00B70870" w:rsidRDefault="000234E3" w:rsidP="000234E3">
      <w:pPr>
        <w:spacing w:after="0" w:line="276" w:lineRule="auto"/>
        <w:ind w:firstLine="709"/>
        <w:jc w:val="both"/>
        <w:rPr>
          <w:rFonts w:ascii="Verdana" w:eastAsia="Calibri" w:hAnsi="Verdana" w:cs="Arial"/>
          <w:color w:val="000000"/>
          <w:lang w:val="es-ES" w:eastAsia="es-ES"/>
        </w:rPr>
      </w:pPr>
      <w:r w:rsidRPr="00B7087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00F6D7C" w14:textId="77777777" w:rsidR="000234E3" w:rsidRPr="00B70870" w:rsidRDefault="000234E3" w:rsidP="000234E3">
      <w:pPr>
        <w:spacing w:after="0"/>
        <w:jc w:val="both"/>
        <w:rPr>
          <w:rFonts w:ascii="Verdana" w:hAnsi="Verdana"/>
          <w:lang w:val="es-ES"/>
        </w:rPr>
      </w:pPr>
    </w:p>
    <w:p w14:paraId="4AE81D3D" w14:textId="77777777" w:rsidR="000234E3" w:rsidRPr="00B70870" w:rsidRDefault="000234E3" w:rsidP="000234E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70870">
        <w:rPr>
          <w:rFonts w:ascii="Verdana" w:eastAsia="Century Gothic" w:hAnsi="Verdana" w:cs="Century Gothic"/>
          <w:b/>
          <w:bCs/>
        </w:rPr>
        <w:t>Problema planteado:</w:t>
      </w:r>
    </w:p>
    <w:p w14:paraId="45B69C47" w14:textId="77777777" w:rsidR="000234E3" w:rsidRPr="00B70870" w:rsidRDefault="000234E3" w:rsidP="000234E3">
      <w:pPr>
        <w:tabs>
          <w:tab w:val="left" w:pos="426"/>
        </w:tabs>
        <w:spacing w:after="0" w:line="276" w:lineRule="auto"/>
        <w:jc w:val="both"/>
        <w:rPr>
          <w:rFonts w:ascii="Verdana" w:eastAsia="Century Gothic" w:hAnsi="Verdana" w:cs="Century Gothic"/>
          <w:lang w:val="es-ES"/>
        </w:rPr>
      </w:pPr>
    </w:p>
    <w:p w14:paraId="099637F2" w14:textId="77777777" w:rsidR="000234E3" w:rsidRPr="00B70870" w:rsidRDefault="000234E3" w:rsidP="000234E3">
      <w:pPr>
        <w:spacing w:after="0" w:line="276" w:lineRule="auto"/>
        <w:jc w:val="both"/>
        <w:rPr>
          <w:rFonts w:ascii="Verdana" w:eastAsia="Century Gothic" w:hAnsi="Verdana" w:cs="Century Gothic"/>
        </w:rPr>
      </w:pPr>
      <w:r w:rsidRPr="00B70870">
        <w:rPr>
          <w:rFonts w:ascii="Verdana" w:eastAsia="Century Gothic" w:hAnsi="Verdana" w:cs="Century Gothic"/>
        </w:rPr>
        <w:t xml:space="preserve">De acuerdo con el contenido de su solicitud, esta Agencia resolverá los siguientes problemas jurídicos: i) ¿Cuál es el alcance del literal b del artículo 2 del Decreto 092 del 2017?; y </w:t>
      </w:r>
      <w:proofErr w:type="spellStart"/>
      <w:r w:rsidRPr="00B70870">
        <w:rPr>
          <w:rFonts w:ascii="Verdana" w:eastAsia="Century Gothic" w:hAnsi="Verdana" w:cs="Century Gothic"/>
        </w:rPr>
        <w:t>ii</w:t>
      </w:r>
      <w:proofErr w:type="spellEnd"/>
      <w:r w:rsidRPr="00B70870">
        <w:rPr>
          <w:rFonts w:ascii="Verdana" w:eastAsia="Century Gothic" w:hAnsi="Verdana" w:cs="Century Gothic"/>
        </w:rPr>
        <w:t>) ¿</w:t>
      </w:r>
      <w:r>
        <w:rPr>
          <w:rFonts w:ascii="Verdana" w:eastAsia="Century Gothic" w:hAnsi="Verdana" w:cs="Century Gothic"/>
        </w:rPr>
        <w:t>Se pueden generar sobrecostos en un</w:t>
      </w:r>
      <w:r w:rsidRPr="00B70870">
        <w:rPr>
          <w:rFonts w:ascii="Verdana" w:eastAsia="Century Gothic" w:hAnsi="Verdana" w:cs="Century Gothic"/>
        </w:rPr>
        <w:t xml:space="preserve"> convenio de asociación conforme a las disposiciones del Decreto 092 del 2017?</w:t>
      </w:r>
    </w:p>
    <w:p w14:paraId="62ED04D2" w14:textId="77777777" w:rsidR="000234E3" w:rsidRPr="00B70870" w:rsidRDefault="000234E3" w:rsidP="000234E3">
      <w:pPr>
        <w:spacing w:after="0"/>
        <w:jc w:val="both"/>
        <w:rPr>
          <w:rFonts w:ascii="Verdana" w:hAnsi="Verdana"/>
          <w:lang w:val="es-ES"/>
        </w:rPr>
      </w:pPr>
    </w:p>
    <w:p w14:paraId="39DED830" w14:textId="77777777" w:rsidR="000234E3" w:rsidRPr="00B70870" w:rsidRDefault="000234E3" w:rsidP="000234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0870">
        <w:rPr>
          <w:rFonts w:ascii="Verdana" w:eastAsia="Century Gothic" w:hAnsi="Verdana" w:cs="Century Gothic"/>
          <w:b/>
          <w:bCs/>
        </w:rPr>
        <w:t>Respuesta:</w:t>
      </w:r>
    </w:p>
    <w:p w14:paraId="3518727E" w14:textId="77777777" w:rsidR="000234E3" w:rsidRPr="00B70870" w:rsidRDefault="000234E3" w:rsidP="000234E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34E3" w:rsidRPr="00B70870" w14:paraId="6CA2093B" w14:textId="77777777" w:rsidTr="1BDBFC5F">
        <w:trPr>
          <w:trHeight w:val="1905"/>
        </w:trPr>
        <w:tc>
          <w:tcPr>
            <w:tcW w:w="8828" w:type="dxa"/>
          </w:tcPr>
          <w:p w14:paraId="05ED2970" w14:textId="77777777" w:rsidR="000234E3" w:rsidRPr="00B70870" w:rsidRDefault="000234E3" w:rsidP="004061EB">
            <w:pPr>
              <w:spacing w:after="120" w:line="276" w:lineRule="auto"/>
              <w:jc w:val="both"/>
              <w:rPr>
                <w:rFonts w:ascii="Verdana" w:eastAsia="Calibri" w:hAnsi="Verdana" w:cs="Arial"/>
                <w:lang w:val="es-ES"/>
              </w:rPr>
            </w:pPr>
            <w:r w:rsidRPr="00B70870">
              <w:rPr>
                <w:rFonts w:ascii="Verdana" w:eastAsia="Calibri" w:hAnsi="Verdana" w:cs="Arial"/>
                <w:lang w:val="es-ES"/>
              </w:rPr>
              <w:t>En respuesta a los problemas planteados esta Subdirección manifiesta:</w:t>
            </w:r>
          </w:p>
          <w:p w14:paraId="765B631C" w14:textId="77777777" w:rsidR="000234E3" w:rsidRPr="00B70870" w:rsidRDefault="000234E3" w:rsidP="004061EB">
            <w:pPr>
              <w:spacing w:after="120" w:line="276" w:lineRule="auto"/>
              <w:jc w:val="both"/>
              <w:rPr>
                <w:rFonts w:ascii="Verdana" w:eastAsia="Calibri" w:hAnsi="Verdana" w:cs="Arial"/>
              </w:rPr>
            </w:pPr>
            <w:r w:rsidRPr="00B70870">
              <w:rPr>
                <w:rFonts w:ascii="Verdana" w:eastAsia="Calibri" w:hAnsi="Verdana" w:cs="Arial"/>
                <w:lang w:val="es-ES"/>
              </w:rPr>
              <w:t>i)</w:t>
            </w:r>
            <w:r w:rsidRPr="00B70870">
              <w:rPr>
                <w:rFonts w:ascii="Verdana" w:eastAsia="Calibri" w:hAnsi="Verdana" w:cs="Arial"/>
              </w:rPr>
              <w:t xml:space="preserve"> Frente al primer problema jurídico planteado debe precisarse que la contratación con entidades privadas sin ánimo de lucro y de reco</w:t>
            </w:r>
            <w:r w:rsidRPr="00B70870">
              <w:rPr>
                <w:rFonts w:ascii="Verdana" w:eastAsia="Calibri" w:hAnsi="Verdana" w:cs="Arial"/>
              </w:rPr>
              <w:softHyphen/>
              <w:t xml:space="preserve">nocida idoneidad en los términos del artículo 355 de la Constitución Política y del Decreto 092 de 2017 no genera cargas equivalentes o recíprocas y por tanto la Entidad Estatal contratante no instruye a la entidad privada sin ánimo de lucro para desarrollar los programas o actividades previstas. </w:t>
            </w:r>
          </w:p>
          <w:p w14:paraId="2AF61692" w14:textId="77777777" w:rsidR="000234E3" w:rsidRPr="00B70870" w:rsidRDefault="000234E3" w:rsidP="004061EB">
            <w:pPr>
              <w:spacing w:after="120" w:line="276" w:lineRule="auto"/>
              <w:jc w:val="both"/>
              <w:rPr>
                <w:rFonts w:ascii="Verdana" w:eastAsia="Calibri" w:hAnsi="Verdana" w:cs="Arial"/>
              </w:rPr>
            </w:pPr>
            <w:r w:rsidRPr="00B70870">
              <w:rPr>
                <w:rFonts w:ascii="Verdana" w:hAnsi="Verdana"/>
              </w:rPr>
              <w:lastRenderedPageBreak/>
              <w:t xml:space="preserve">La </w:t>
            </w:r>
            <w:r w:rsidRPr="00B70870">
              <w:rPr>
                <w:rFonts w:ascii="Verdana" w:hAnsi="Verdana"/>
                <w:lang w:val="es-ES"/>
              </w:rPr>
              <w:t xml:space="preserve">finalidad será en todo caso la de aunar esfuerzos y recursos en conjunto para el cumplimiento del objeto, por lo que el manejo de los recursos que aportan ambas partes debe atender a esa naturaleza y no a una relación conmutativa o de contraprestación donde solo una parte entrega recursos y la otra entrega un bien, obra o servicio; por lo que en el marco de esa relación de colaboración mutua las partes tienen una coordinación para la ejecución contractual, deben decidir conjuntamente el manejo de los recursos dentro de los principios presupuestales, de contratación y de función pública. </w:t>
            </w:r>
          </w:p>
          <w:p w14:paraId="3DCC9A02" w14:textId="77777777" w:rsidR="000234E3" w:rsidRPr="00B70870" w:rsidRDefault="000234E3" w:rsidP="004061EB">
            <w:pPr>
              <w:spacing w:after="120" w:line="276" w:lineRule="auto"/>
              <w:jc w:val="both"/>
              <w:rPr>
                <w:rFonts w:ascii="Verdana" w:eastAsia="Calibri" w:hAnsi="Verdana" w:cs="Arial"/>
              </w:rPr>
            </w:pPr>
            <w:r w:rsidRPr="00B70870">
              <w:rPr>
                <w:rFonts w:ascii="Verdana" w:eastAsia="Calibri" w:hAnsi="Verdana" w:cs="Arial"/>
              </w:rPr>
              <w:t>Es importante aclarar que debido a que son dos partes asociadas y colaborando no se debe concebir una relación de jerarquía o subordinación donde la ESAL devuelve o pide a la entidad recursos, sino que es una relación de colaboración e igualdad donde ambas se asocian y aportan para un fin común, teniendo una relación de coordinación, y deben establecer acuerdos frente a diversos aspectos de la ejecución contractual lo cual no está regulado en el Decreto 092 de 2017.</w:t>
            </w:r>
          </w:p>
          <w:p w14:paraId="6D3D16B1" w14:textId="77777777" w:rsidR="000234E3" w:rsidRPr="00B70870" w:rsidRDefault="000234E3" w:rsidP="004061EB">
            <w:pPr>
              <w:spacing w:after="120" w:line="276" w:lineRule="auto"/>
              <w:jc w:val="both"/>
              <w:rPr>
                <w:rFonts w:ascii="Verdana" w:eastAsia="Calibri" w:hAnsi="Verdana" w:cs="Arial"/>
              </w:rPr>
            </w:pPr>
            <w:r w:rsidRPr="48F2631B">
              <w:rPr>
                <w:rFonts w:ascii="Verdana" w:eastAsia="Calibri" w:hAnsi="Verdana" w:cs="Arial"/>
              </w:rPr>
              <w:t>Así las cosas, tanto el contrato de colaboración como el convenio de asociación no se constituyen como un contrato conmutativo. En el caso del contrato de colaboración se busca cooperar mutuamente para desarrollar un programa en beneficio de la población en general. Contrario sensu, el convenio de asociación se busca apoyar a la entidad en el cumplimiento de las funciones que le asigna la Ley. No obstante, son las partes de ambos convenios quienes deben determinar cómo se deben ejecutar los recursos, y para esto pueden observar las reglas establecidas en el clausulado del contrato o convenio, el manual de contratación de la entidad, o lo que señalen las normas de la contratación pública que determinen que resulten aplicables.</w:t>
            </w:r>
          </w:p>
          <w:p w14:paraId="1A3E8C88" w14:textId="63462016" w:rsidR="000234E3" w:rsidRPr="00B70870" w:rsidRDefault="000234E3" w:rsidP="004061EB">
            <w:pPr>
              <w:spacing w:after="120" w:line="276" w:lineRule="auto"/>
              <w:jc w:val="both"/>
              <w:rPr>
                <w:rFonts w:ascii="Verdana" w:eastAsia="Calibri" w:hAnsi="Verdana" w:cs="Arial"/>
              </w:rPr>
            </w:pPr>
            <w:proofErr w:type="spellStart"/>
            <w:r w:rsidRPr="1BDBFC5F">
              <w:rPr>
                <w:rFonts w:ascii="Verdana" w:eastAsia="Calibri" w:hAnsi="Verdana" w:cs="Arial"/>
              </w:rPr>
              <w:t>ii</w:t>
            </w:r>
            <w:proofErr w:type="spellEnd"/>
            <w:r w:rsidRPr="1BDBFC5F">
              <w:rPr>
                <w:rFonts w:ascii="Verdana" w:eastAsia="Calibri" w:hAnsi="Verdana" w:cs="Arial"/>
              </w:rPr>
              <w:t>) En lo que respecta al segundo problema jurídico debe tenerse en cuenta que en el marco de los contratos de colaboración y de los convenios de asociación no existen contraprestación o pago, sino aportes, los cuales están dirigidos a lograr la ejecución del convenio y no a remunerar la actividad o actuaciones del asociado. Así las cosas, la posibilidad de que un contrato de colaboración y un convenio de asociación incluyan compromisos con contenido económico no puede ir en contravía de su naturaleza y finalidad, ni desconocer los elementos esenciales de este tipo de negocio jurídico, por lo tanto, en sus estipulaciones no puede incluirse, una remuneración o utilidad en favor de alguna de las entidades que concurre a su suscripción</w:t>
            </w:r>
            <w:r w:rsidR="001D4BCE" w:rsidRPr="1BDBFC5F">
              <w:rPr>
                <w:rFonts w:ascii="Verdana" w:eastAsia="Calibri" w:hAnsi="Verdana" w:cs="Arial"/>
              </w:rPr>
              <w:t>.</w:t>
            </w:r>
            <w:r w:rsidR="0070070F">
              <w:rPr>
                <w:rFonts w:ascii="Verdana" w:eastAsia="Calibri" w:hAnsi="Verdana" w:cs="Arial"/>
              </w:rPr>
              <w:t xml:space="preserve"> </w:t>
            </w:r>
            <w:r w:rsidRPr="1BDBFC5F">
              <w:rPr>
                <w:rFonts w:ascii="Verdana" w:eastAsia="Calibri" w:hAnsi="Verdana" w:cs="Arial"/>
              </w:rPr>
              <w:t xml:space="preserve">Lo anterior significa </w:t>
            </w:r>
            <w:r w:rsidRPr="1BDBFC5F">
              <w:rPr>
                <w:rFonts w:ascii="Verdana" w:eastAsia="Calibri" w:hAnsi="Verdana" w:cs="Arial"/>
              </w:rPr>
              <w:lastRenderedPageBreak/>
              <w:t xml:space="preserve">que, tratándose de contratos de colaboración y convenios de asociación los compromisos de contenido patrimonial se deben dirigir a cubrir los costos que genera la ejecución de las actividades asociadas al mismo, pero no a pagar a una de las ESALES o Entidades Estatales por la realización de sus respectivos compromisos o una utilidad a favor de ellas. Lo que a juicio de esta Agencia </w:t>
            </w:r>
            <w:r w:rsidR="22AC9BD2" w:rsidRPr="1BDBFC5F">
              <w:rPr>
                <w:rFonts w:ascii="Verdana" w:eastAsia="Calibri" w:hAnsi="Verdana" w:cs="Arial"/>
              </w:rPr>
              <w:t>debe considerarse por parte de cada entidad contratante es la viabilidad de establecer</w:t>
            </w:r>
            <w:r w:rsidRPr="1BDBFC5F">
              <w:rPr>
                <w:rFonts w:ascii="Verdana" w:eastAsia="Calibri" w:hAnsi="Verdana" w:cs="Arial"/>
              </w:rPr>
              <w:t xml:space="preserve">, </w:t>
            </w:r>
            <w:r w:rsidR="3F829C66" w:rsidRPr="1BDBFC5F">
              <w:rPr>
                <w:rFonts w:ascii="Verdana" w:eastAsia="Calibri" w:hAnsi="Verdana" w:cs="Arial"/>
              </w:rPr>
              <w:t xml:space="preserve">si pactan </w:t>
            </w:r>
            <w:r w:rsidRPr="1BDBFC5F">
              <w:rPr>
                <w:rFonts w:ascii="Verdana" w:eastAsia="Calibri" w:hAnsi="Verdana" w:cs="Arial"/>
              </w:rPr>
              <w:t xml:space="preserve">un porcentaje o monto de los recursos </w:t>
            </w:r>
            <w:r w:rsidR="173F3902" w:rsidRPr="1BDBFC5F">
              <w:rPr>
                <w:rFonts w:ascii="Verdana" w:eastAsia="Calibri" w:hAnsi="Verdana" w:cs="Arial"/>
              </w:rPr>
              <w:t>o aportes</w:t>
            </w:r>
            <w:r w:rsidRPr="1BDBFC5F">
              <w:rPr>
                <w:rFonts w:ascii="Verdana" w:eastAsia="Calibri" w:hAnsi="Verdana" w:cs="Arial"/>
              </w:rPr>
              <w:t xml:space="preserve"> </w:t>
            </w:r>
            <w:r w:rsidR="657C8AE6" w:rsidRPr="1BDBFC5F">
              <w:rPr>
                <w:rFonts w:ascii="Verdana" w:eastAsia="Calibri" w:hAnsi="Verdana" w:cs="Arial"/>
              </w:rPr>
              <w:t xml:space="preserve">para </w:t>
            </w:r>
            <w:r w:rsidR="0637F3D3" w:rsidRPr="1BDBFC5F">
              <w:rPr>
                <w:rFonts w:ascii="Verdana" w:eastAsia="Calibri" w:hAnsi="Verdana" w:cs="Arial"/>
              </w:rPr>
              <w:t xml:space="preserve">cubrir </w:t>
            </w:r>
            <w:r w:rsidRPr="1BDBFC5F">
              <w:rPr>
                <w:rFonts w:ascii="Verdana" w:eastAsia="Calibri" w:hAnsi="Verdana" w:cs="Arial"/>
              </w:rPr>
              <w:t>gastos administrativos en los que se incurra para el desarrollo del objeto contractual o que alguna de las partes aporte las labores administrativas que se requieran.</w:t>
            </w:r>
          </w:p>
        </w:tc>
      </w:tr>
    </w:tbl>
    <w:p w14:paraId="1F4915BF" w14:textId="77777777" w:rsidR="000234E3" w:rsidRPr="00B70870" w:rsidRDefault="000234E3" w:rsidP="000234E3">
      <w:pPr>
        <w:tabs>
          <w:tab w:val="left" w:pos="142"/>
          <w:tab w:val="left" w:pos="284"/>
        </w:tabs>
        <w:spacing w:after="0" w:line="276" w:lineRule="auto"/>
        <w:jc w:val="both"/>
        <w:rPr>
          <w:rFonts w:ascii="Verdana" w:eastAsia="Century Gothic" w:hAnsi="Verdana" w:cs="Century Gothic"/>
          <w:b/>
          <w:bCs/>
          <w:lang w:val="es-ES"/>
        </w:rPr>
      </w:pPr>
    </w:p>
    <w:p w14:paraId="51D3F6DC" w14:textId="77777777" w:rsidR="000234E3" w:rsidRPr="00B70870" w:rsidRDefault="000234E3" w:rsidP="000234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0870">
        <w:rPr>
          <w:rFonts w:ascii="Verdana" w:eastAsia="Century Gothic" w:hAnsi="Verdana" w:cs="Century Gothic"/>
          <w:b/>
          <w:bCs/>
        </w:rPr>
        <w:t>Razones de la respuesta:</w:t>
      </w:r>
    </w:p>
    <w:p w14:paraId="4BB231C9" w14:textId="77777777" w:rsidR="000234E3" w:rsidRPr="00B70870" w:rsidRDefault="000234E3" w:rsidP="000234E3">
      <w:pPr>
        <w:spacing w:after="0" w:line="276" w:lineRule="auto"/>
        <w:jc w:val="both"/>
        <w:rPr>
          <w:rFonts w:ascii="Verdana" w:eastAsia="Calibri" w:hAnsi="Verdana" w:cs="Arial"/>
          <w:color w:val="7030A0"/>
          <w:lang w:val="es-ES"/>
        </w:rPr>
      </w:pPr>
    </w:p>
    <w:p w14:paraId="0E2CBA06" w14:textId="77777777" w:rsidR="000234E3" w:rsidRPr="00B70870" w:rsidRDefault="000234E3" w:rsidP="000234E3">
      <w:pPr>
        <w:spacing w:after="0"/>
        <w:jc w:val="both"/>
        <w:rPr>
          <w:rFonts w:ascii="Verdana" w:eastAsia="Calibri" w:hAnsi="Verdana" w:cs="Arial"/>
          <w:lang w:val="es-ES"/>
        </w:rPr>
      </w:pPr>
      <w:r w:rsidRPr="00B70870">
        <w:rPr>
          <w:rFonts w:ascii="Verdana" w:eastAsia="Calibri" w:hAnsi="Verdana" w:cs="Arial"/>
          <w:lang w:val="es-ES"/>
        </w:rPr>
        <w:t>Lo anterior se sustenta en las siguientes consideraciones:</w:t>
      </w:r>
    </w:p>
    <w:p w14:paraId="64E92F06" w14:textId="77777777" w:rsidR="000234E3" w:rsidRPr="00B70870" w:rsidRDefault="000234E3" w:rsidP="000234E3">
      <w:pPr>
        <w:spacing w:after="0"/>
        <w:jc w:val="both"/>
        <w:rPr>
          <w:rFonts w:ascii="Verdana" w:eastAsia="Calibri" w:hAnsi="Verdana" w:cs="Arial"/>
          <w:lang w:val="es-ES"/>
        </w:rPr>
      </w:pPr>
    </w:p>
    <w:p w14:paraId="60BDF7E2"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lang w:eastAsia="es-ES_tradnl"/>
        </w:rPr>
        <w:t>Para resolver las preguntas planteadas en su consulta, es importante empezar por señalar que, la Constitución Política de 1991 establece tres (3) regímenes de contratación</w:t>
      </w:r>
      <w:r w:rsidRPr="00B70870">
        <w:rPr>
          <w:rFonts w:ascii="Verdana" w:eastAsia="Calibri" w:hAnsi="Verdana" w:cs="Arial"/>
          <w:color w:val="000000" w:themeColor="text1"/>
        </w:rPr>
        <w:t xml:space="preserve">. El </w:t>
      </w:r>
      <w:r w:rsidRPr="00B70870">
        <w:rPr>
          <w:rFonts w:ascii="Verdana" w:eastAsia="Calibri" w:hAnsi="Verdana" w:cs="Arial"/>
          <w:i/>
          <w:color w:val="000000" w:themeColor="text1"/>
        </w:rPr>
        <w:t>primero</w:t>
      </w:r>
      <w:r w:rsidRPr="00B70870">
        <w:rPr>
          <w:rFonts w:ascii="Verdana" w:eastAsia="Calibri" w:hAnsi="Verdana" w:cs="Arial"/>
          <w:color w:val="000000" w:themeColor="text1"/>
        </w:rPr>
        <w:t xml:space="preserve"> se fundamenta en la competencia prevista en el inciso final del artículo 150 superior, por el cual se faculta al Congreso de la República para expedir un EGCAP. El </w:t>
      </w:r>
      <w:r w:rsidRPr="00B70870">
        <w:rPr>
          <w:rFonts w:ascii="Verdana" w:eastAsia="Calibri" w:hAnsi="Verdana" w:cs="Arial"/>
          <w:i/>
          <w:color w:val="000000" w:themeColor="text1"/>
        </w:rPr>
        <w:t>segundo</w:t>
      </w:r>
      <w:r w:rsidRPr="00B70870">
        <w:rPr>
          <w:rFonts w:ascii="Verdana" w:eastAsia="Calibri" w:hAnsi="Verdana" w:cs="Arial"/>
          <w:color w:val="000000" w:themeColor="text1"/>
        </w:rPr>
        <w:t xml:space="preserve"> se relaciona con la posibilidad de crear regímenes especiales, caso en el cual la Constitución los exceptúa directamente, como sucede con las universidades públicas y el Banco de la República –artículos 69 y 371–, o permite que la ley defina el régimen jurídico de determinados órganos del Estado, como en el caso de las entidades descentralizadas por servicios –artículo 210– y las empresas de servicios públicos domiciliarios –artículo 365–. </w:t>
      </w:r>
      <w:r w:rsidRPr="00B70870">
        <w:rPr>
          <w:rFonts w:ascii="Verdana" w:eastAsia="Calibri" w:hAnsi="Verdana" w:cs="Arial"/>
          <w:i/>
          <w:color w:val="000000" w:themeColor="text1"/>
        </w:rPr>
        <w:t>Finalmente</w:t>
      </w:r>
      <w:r w:rsidRPr="00B70870">
        <w:rPr>
          <w:rFonts w:ascii="Verdana" w:eastAsia="Calibri" w:hAnsi="Verdana" w:cs="Arial"/>
          <w:color w:val="000000" w:themeColor="text1"/>
        </w:rPr>
        <w:t xml:space="preserve">, el citado artículo 355 establece el régimen de los contratos con las Entidades sin Ánimo de Lucro – en adelante ESAL –, el cual –además de extenderse a los </w:t>
      </w:r>
      <w:r w:rsidRPr="00B70870">
        <w:rPr>
          <w:rFonts w:ascii="Verdana" w:eastAsia="Calibri" w:hAnsi="Verdana" w:cs="Arial"/>
          <w:i/>
          <w:iCs/>
          <w:color w:val="000000" w:themeColor="text1"/>
        </w:rPr>
        <w:t>convenios de asociación</w:t>
      </w:r>
      <w:r w:rsidRPr="00B70870">
        <w:rPr>
          <w:rFonts w:ascii="Verdana" w:eastAsia="Calibri" w:hAnsi="Verdana" w:cs="Arial"/>
          <w:color w:val="000000" w:themeColor="text1"/>
        </w:rPr>
        <w:t xml:space="preserve"> en virtud de lo dispuesto en el artículo 96 de la Ley 489 de 1998– se desarrolló a través del Decreto 092 de 2017. Teniendo en cuenta el objeto de su consulta, a continuación, se hará una breve explicación sobre los contratos y convenios regidos por el Decreto 092 de 2017.</w:t>
      </w:r>
    </w:p>
    <w:p w14:paraId="72DB78DB" w14:textId="77777777" w:rsidR="000234E3" w:rsidRPr="00B70870" w:rsidRDefault="000234E3" w:rsidP="000234E3">
      <w:pPr>
        <w:pStyle w:val="Prrafodelista"/>
        <w:rPr>
          <w:rFonts w:ascii="Verdana" w:eastAsia="Calibri" w:hAnsi="Verdana" w:cs="Arial"/>
          <w:color w:val="000000" w:themeColor="text1"/>
        </w:rPr>
      </w:pPr>
    </w:p>
    <w:p w14:paraId="68B86F01"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rPr>
        <w:t xml:space="preserve">El </w:t>
      </w:r>
      <w:bookmarkStart w:id="1" w:name="_Hlk173128945"/>
      <w:r w:rsidRPr="00B70870">
        <w:rPr>
          <w:rFonts w:ascii="Verdana" w:eastAsia="Calibri" w:hAnsi="Verdana" w:cs="Arial"/>
          <w:color w:val="000000" w:themeColor="text1"/>
        </w:rPr>
        <w:t xml:space="preserve">artículo 355 de la Constitución Política </w:t>
      </w:r>
      <w:bookmarkEnd w:id="1"/>
      <w:r w:rsidRPr="00B70870">
        <w:rPr>
          <w:rFonts w:ascii="Verdana" w:eastAsia="Calibri" w:hAnsi="Verdana" w:cs="Arial"/>
          <w:color w:val="000000" w:themeColor="text1"/>
        </w:rPr>
        <w:t xml:space="preserve">prohíbe a las ramas y órganos del poder público decretar auxilios o donaciones en favor de personas naturales </w:t>
      </w:r>
      <w:r w:rsidRPr="00B70870">
        <w:rPr>
          <w:rFonts w:ascii="Verdana" w:eastAsia="Calibri" w:hAnsi="Verdana" w:cs="Arial"/>
          <w:color w:val="000000" w:themeColor="text1"/>
        </w:rPr>
        <w:lastRenderedPageBreak/>
        <w:t>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w:t>
      </w:r>
      <w:r w:rsidRPr="00B70870">
        <w:rPr>
          <w:rFonts w:ascii="Verdana" w:hAnsi="Verdana"/>
          <w:vertAlign w:val="superscript"/>
        </w:rPr>
        <w:footnoteReference w:id="2"/>
      </w:r>
      <w:r w:rsidRPr="00B70870">
        <w:rPr>
          <w:rFonts w:ascii="Verdana" w:eastAsia="Calibri" w:hAnsi="Verdana" w:cs="Arial"/>
          <w:color w:val="000000" w:themeColor="text1"/>
        </w:rPr>
        <w:t xml:space="preserve">. </w:t>
      </w:r>
      <w:bookmarkStart w:id="2" w:name="_Hlk164688501"/>
      <w:r w:rsidRPr="00B70870">
        <w:rPr>
          <w:rFonts w:ascii="Verdana" w:eastAsia="Calibri" w:hAnsi="Verdana" w:cs="Arial"/>
          <w:color w:val="000000" w:themeColor="text1"/>
        </w:rPr>
        <w:t xml:space="preserve">Por otra parte, </w:t>
      </w:r>
      <w:bookmarkStart w:id="3" w:name="_Hlk173128953"/>
      <w:r w:rsidRPr="00B70870">
        <w:rPr>
          <w:rFonts w:ascii="Verdana" w:eastAsia="Calibri" w:hAnsi="Verdana" w:cs="Arial"/>
          <w:color w:val="000000" w:themeColor="text1"/>
        </w:rPr>
        <w:t>el artículo 96 de la Ley 489 de 1998</w:t>
      </w:r>
      <w:bookmarkEnd w:id="3"/>
      <w:r w:rsidRPr="00B70870">
        <w:rPr>
          <w:rFonts w:ascii="Verdana" w:hAnsi="Verdana"/>
          <w:vertAlign w:val="superscript"/>
        </w:rPr>
        <w:footnoteReference w:id="3"/>
      </w:r>
      <w:r w:rsidRPr="00B70870">
        <w:rPr>
          <w:rFonts w:ascii="Verdana" w:eastAsia="Calibri" w:hAnsi="Verdana" w:cs="Arial"/>
          <w:color w:val="000000" w:themeColor="text1"/>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2"/>
      <w:r w:rsidRPr="00B70870">
        <w:rPr>
          <w:rFonts w:ascii="Verdana" w:eastAsia="Calibri" w:hAnsi="Verdana" w:cs="Arial"/>
          <w:color w:val="000000" w:themeColor="text1"/>
        </w:rPr>
        <w:t>.</w:t>
      </w:r>
    </w:p>
    <w:p w14:paraId="0687668A" w14:textId="77777777" w:rsidR="000234E3" w:rsidRPr="00B70870" w:rsidRDefault="000234E3" w:rsidP="000234E3">
      <w:pPr>
        <w:pStyle w:val="Prrafodelista"/>
        <w:rPr>
          <w:rFonts w:ascii="Verdana" w:hAnsi="Verdana" w:cs="Arial"/>
        </w:rPr>
      </w:pPr>
    </w:p>
    <w:p w14:paraId="13756233"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hAnsi="Verdana" w:cs="Arial"/>
        </w:rPr>
        <w:t>El Gobierno Nacional, en desarrollo del artículo 355 de la Constitución Política, expidió el Decreto 092 de 2017, q</w:t>
      </w:r>
      <w:r w:rsidRPr="00B70870">
        <w:rPr>
          <w:rFonts w:ascii="Verdana" w:eastAsia="Calibri" w:hAnsi="Verdana" w:cs="Arial"/>
        </w:rPr>
        <w:t xml:space="preserve">ue dispone las reglas para las contrataciones que realicen las Entidades Estatales con las ESAL. </w:t>
      </w:r>
      <w:r w:rsidRPr="00B70870">
        <w:rPr>
          <w:rFonts w:ascii="Verdana" w:eastAsia="Calibri" w:hAnsi="Verdana" w:cs="Arial"/>
          <w:color w:val="000000" w:themeColor="text1"/>
        </w:rPr>
        <w:t xml:space="preserve">El Decreto regula dos (2) eventos: i) </w:t>
      </w:r>
      <w:r w:rsidRPr="00B70870">
        <w:rPr>
          <w:rFonts w:ascii="Verdana" w:eastAsia="Calibri" w:hAnsi="Verdana" w:cs="Arial"/>
          <w:lang w:eastAsia="es-ES_tradnl"/>
        </w:rPr>
        <w:t xml:space="preserve">los </w:t>
      </w:r>
      <w:r w:rsidRPr="00B70870">
        <w:rPr>
          <w:rFonts w:ascii="Verdana" w:eastAsia="Calibri" w:hAnsi="Verdana" w:cs="Arial"/>
          <w:i/>
          <w:iCs/>
          <w:lang w:eastAsia="es-ES_tradnl"/>
        </w:rPr>
        <w:t>contratos de colaboración</w:t>
      </w:r>
      <w:r w:rsidRPr="00B70870">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B70870">
        <w:rPr>
          <w:rFonts w:ascii="Verdana" w:eastAsia="Calibri" w:hAnsi="Verdana" w:cs="Arial"/>
          <w:color w:val="000000" w:themeColor="text1"/>
        </w:rPr>
        <w:t xml:space="preserve"> y; </w:t>
      </w:r>
      <w:proofErr w:type="spellStart"/>
      <w:r w:rsidRPr="00B70870">
        <w:rPr>
          <w:rFonts w:ascii="Verdana" w:eastAsia="Calibri" w:hAnsi="Verdana" w:cs="Arial"/>
          <w:color w:val="000000" w:themeColor="text1"/>
        </w:rPr>
        <w:t>ii</w:t>
      </w:r>
      <w:proofErr w:type="spellEnd"/>
      <w:r w:rsidRPr="00B70870">
        <w:rPr>
          <w:rFonts w:ascii="Verdana" w:eastAsia="Calibri" w:hAnsi="Verdana" w:cs="Arial"/>
          <w:color w:val="000000" w:themeColor="text1"/>
        </w:rPr>
        <w:t xml:space="preserve">) los </w:t>
      </w:r>
      <w:r w:rsidRPr="00B70870">
        <w:rPr>
          <w:rFonts w:ascii="Verdana" w:eastAsia="Calibri" w:hAnsi="Verdana" w:cs="Arial"/>
          <w:i/>
          <w:iCs/>
          <w:color w:val="000000" w:themeColor="text1"/>
        </w:rPr>
        <w:t>convenios de asociación</w:t>
      </w:r>
      <w:r w:rsidRPr="00B70870">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Pr="00B70870">
        <w:rPr>
          <w:rFonts w:ascii="Verdana" w:eastAsia="Calibri" w:hAnsi="Verdana" w:cs="Arial"/>
          <w:color w:val="000000"/>
          <w:lang w:eastAsia="es-ES_tradnl"/>
        </w:rPr>
        <w:t xml:space="preserve">Los primeros están regulados en el artículo 2 del Decreto 092 de 2017, mientras que los segundos en los artículos 5, 6, 7 y 8 </w:t>
      </w:r>
      <w:r w:rsidRPr="00B70870">
        <w:rPr>
          <w:rFonts w:ascii="Verdana" w:eastAsia="Calibri" w:hAnsi="Verdana" w:cs="Arial"/>
          <w:i/>
          <w:iCs/>
          <w:color w:val="000000"/>
          <w:lang w:eastAsia="es-ES_tradnl"/>
        </w:rPr>
        <w:t>ibidem</w:t>
      </w:r>
      <w:r w:rsidRPr="00B70870">
        <w:rPr>
          <w:rFonts w:ascii="Verdana" w:eastAsia="Calibri" w:hAnsi="Verdana" w:cs="Arial"/>
          <w:color w:val="000000"/>
          <w:lang w:eastAsia="es-ES_tradnl"/>
        </w:rPr>
        <w:t xml:space="preserve">. Así las cosas, es posible diferenciar los </w:t>
      </w:r>
      <w:r w:rsidRPr="00B70870">
        <w:rPr>
          <w:rFonts w:ascii="Verdana" w:eastAsia="Calibri" w:hAnsi="Verdana" w:cs="Arial"/>
          <w:i/>
          <w:iCs/>
          <w:color w:val="000000"/>
          <w:lang w:eastAsia="es-ES_tradnl"/>
        </w:rPr>
        <w:t>contratos de colaboración</w:t>
      </w:r>
      <w:r w:rsidRPr="00B70870">
        <w:rPr>
          <w:rFonts w:ascii="Verdana" w:eastAsia="Calibri" w:hAnsi="Verdana" w:cs="Arial"/>
          <w:color w:val="000000"/>
          <w:lang w:eastAsia="es-ES_tradnl"/>
        </w:rPr>
        <w:t xml:space="preserve">, establecidos en el artículo 2 del </w:t>
      </w:r>
      <w:r w:rsidRPr="00B70870">
        <w:rPr>
          <w:rFonts w:ascii="Verdana" w:eastAsia="Calibri" w:hAnsi="Verdana" w:cs="Arial"/>
          <w:color w:val="000000"/>
          <w:lang w:eastAsia="es-ES_tradnl"/>
        </w:rPr>
        <w:lastRenderedPageBreak/>
        <w:t xml:space="preserve">Decreto 092 de 2017, de los </w:t>
      </w:r>
      <w:r w:rsidRPr="00B70870">
        <w:rPr>
          <w:rFonts w:ascii="Verdana" w:eastAsia="Calibri" w:hAnsi="Verdana" w:cs="Arial"/>
          <w:i/>
          <w:iCs/>
          <w:color w:val="000000"/>
          <w:lang w:eastAsia="es-ES_tradnl"/>
        </w:rPr>
        <w:t>convenios de asociación</w:t>
      </w:r>
      <w:r w:rsidRPr="00B70870">
        <w:rPr>
          <w:rFonts w:ascii="Verdana" w:eastAsia="Calibri" w:hAnsi="Verdana" w:cs="Arial"/>
          <w:color w:val="000000"/>
          <w:lang w:eastAsia="es-ES_tradnl"/>
        </w:rPr>
        <w:t>, regulados en el artículo 5.</w:t>
      </w:r>
      <w:r w:rsidRPr="00B70870">
        <w:rPr>
          <w:rFonts w:ascii="Verdana" w:hAnsi="Verdana"/>
          <w:color w:val="000000"/>
          <w:vertAlign w:val="superscript"/>
          <w:lang w:eastAsia="es-ES_tradnl"/>
        </w:rPr>
        <w:footnoteReference w:id="4"/>
      </w:r>
      <w:r w:rsidRPr="00B70870">
        <w:rPr>
          <w:rFonts w:ascii="Verdana" w:eastAsia="Calibri" w:hAnsi="Verdana" w:cs="Arial"/>
          <w:color w:val="000000"/>
          <w:lang w:eastAsia="es-ES_tradnl"/>
        </w:rPr>
        <w:t xml:space="preserve"> </w:t>
      </w:r>
    </w:p>
    <w:p w14:paraId="1944FC7F" w14:textId="77777777" w:rsidR="000234E3" w:rsidRPr="00B70870" w:rsidRDefault="000234E3" w:rsidP="000234E3">
      <w:pPr>
        <w:pStyle w:val="Prrafodelista"/>
        <w:rPr>
          <w:rFonts w:ascii="Verdana" w:eastAsia="Calibri" w:hAnsi="Verdana" w:cs="Arial"/>
        </w:rPr>
      </w:pPr>
    </w:p>
    <w:p w14:paraId="06974FEF"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rPr>
        <w:t xml:space="preserve">De un lado, los </w:t>
      </w:r>
      <w:r w:rsidRPr="00B70870">
        <w:rPr>
          <w:rFonts w:ascii="Verdana" w:eastAsia="Calibri" w:hAnsi="Verdana" w:cs="Arial"/>
          <w:i/>
          <w:iCs/>
        </w:rPr>
        <w:t>contratos del artículo 355 de la Constitución Política</w:t>
      </w:r>
      <w:r w:rsidRPr="00B70870">
        <w:rPr>
          <w:rFonts w:ascii="Verdana" w:eastAsia="Calibri" w:hAnsi="Verdana" w:cs="Arial"/>
        </w:rPr>
        <w:t xml:space="preserve">, también llamados contratos de colaboración,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75E23559" w14:textId="77777777" w:rsidR="000234E3" w:rsidRPr="00B70870" w:rsidRDefault="000234E3" w:rsidP="000234E3">
      <w:pPr>
        <w:pStyle w:val="Prrafodelista"/>
        <w:rPr>
          <w:rFonts w:ascii="Verdana" w:eastAsia="Calibri" w:hAnsi="Verdana" w:cs="Arial"/>
          <w:color w:val="000000" w:themeColor="text1"/>
        </w:rPr>
      </w:pPr>
    </w:p>
    <w:p w14:paraId="02259A03"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rPr>
        <w:t xml:space="preserve">De otra parte, los </w:t>
      </w:r>
      <w:r w:rsidRPr="00B70870">
        <w:rPr>
          <w:rFonts w:ascii="Verdana" w:eastAsia="Calibri" w:hAnsi="Verdana" w:cs="Arial"/>
          <w:i/>
          <w:iCs/>
          <w:color w:val="000000" w:themeColor="text1"/>
        </w:rPr>
        <w:t>convenios de asociación</w:t>
      </w:r>
      <w:r w:rsidRPr="00B70870">
        <w:rPr>
          <w:rFonts w:ascii="Verdana" w:eastAsia="Calibri" w:hAnsi="Verdana" w:cs="Arial"/>
          <w:color w:val="000000" w:themeColor="text1"/>
        </w:rPr>
        <w:t xml:space="preserve"> </w:t>
      </w:r>
      <w:r w:rsidRPr="00B70870">
        <w:rPr>
          <w:rFonts w:ascii="Verdana" w:eastAsia="Calibri" w:hAnsi="Verdana" w:cs="Arial"/>
          <w:i/>
          <w:iCs/>
          <w:color w:val="000000" w:themeColor="text1"/>
        </w:rPr>
        <w:t>“[…] [t]</w:t>
      </w:r>
      <w:proofErr w:type="spellStart"/>
      <w:r w:rsidRPr="00B70870">
        <w:rPr>
          <w:rFonts w:ascii="Verdana" w:eastAsia="Calibri" w:hAnsi="Verdana" w:cs="Arial"/>
          <w:i/>
          <w:iCs/>
          <w:color w:val="000000" w:themeColor="text1"/>
        </w:rPr>
        <w:t>ienen</w:t>
      </w:r>
      <w:proofErr w:type="spellEnd"/>
      <w:r w:rsidRPr="00B70870">
        <w:rPr>
          <w:rFonts w:ascii="Verdana" w:eastAsia="Calibri" w:hAnsi="Verdana" w:cs="Arial"/>
          <w:i/>
          <w:iCs/>
          <w:color w:val="000000" w:themeColor="text1"/>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B70870">
        <w:rPr>
          <w:rFonts w:ascii="Verdana" w:hAnsi="Verdana"/>
          <w:vertAlign w:val="superscript"/>
        </w:rPr>
        <w:footnoteReference w:id="5"/>
      </w:r>
      <w:r w:rsidRPr="00B70870">
        <w:rPr>
          <w:rFonts w:ascii="Verdana" w:eastAsia="Calibri" w:hAnsi="Verdana" w:cs="Arial"/>
          <w:color w:val="000000" w:themeColor="text1"/>
        </w:rPr>
        <w:t xml:space="preserve">. </w:t>
      </w:r>
      <w:r w:rsidRPr="00B70870">
        <w:rPr>
          <w:rFonts w:ascii="Verdana" w:eastAsia="Calibri" w:hAnsi="Verdana" w:cs="Arial"/>
          <w:color w:val="000000"/>
          <w:lang w:val="es-MX" w:eastAsia="es-ES_tradnl"/>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7792102C" w14:textId="77777777" w:rsidR="000234E3" w:rsidRPr="00B70870" w:rsidRDefault="000234E3" w:rsidP="000234E3">
      <w:pPr>
        <w:pStyle w:val="Prrafodelista"/>
        <w:rPr>
          <w:rFonts w:ascii="Verdana" w:eastAsia="Calibri" w:hAnsi="Verdana" w:cs="Arial"/>
          <w:color w:val="000000" w:themeColor="text1"/>
        </w:rPr>
      </w:pPr>
    </w:p>
    <w:p w14:paraId="398352D6"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rPr>
        <w:t xml:space="preserve">En estos convenios no existe contraprestación o pago, sino aportes, los cuales están dirigidos, exclusivamente, a lograr la ejecución del convenio no a remunerar la actividad o actuaciones del asociado. De todos modos, la entidad debe adelantar un proceso competitivo, salvo cuando la ESAL </w:t>
      </w:r>
      <w:r w:rsidRPr="00B70870">
        <w:rPr>
          <w:rFonts w:ascii="Verdana" w:eastAsia="Calibri" w:hAnsi="Verdana" w:cs="Arial"/>
          <w:color w:val="000000" w:themeColor="text1"/>
        </w:rPr>
        <w:lastRenderedPageBreak/>
        <w:t>comprometa recursos en dinero para la ejecución de estas actividades, en una proporción no inferior al treinta por ciento (30%) del valor total del convenio.</w:t>
      </w:r>
    </w:p>
    <w:p w14:paraId="7E0DA70B" w14:textId="77777777" w:rsidR="000234E3" w:rsidRPr="00B70870" w:rsidRDefault="000234E3" w:rsidP="000234E3">
      <w:pPr>
        <w:pStyle w:val="Prrafodelista"/>
        <w:rPr>
          <w:rFonts w:ascii="Verdana" w:eastAsia="Calibri" w:hAnsi="Verdana" w:cs="Arial"/>
          <w:color w:val="000000" w:themeColor="text1"/>
        </w:rPr>
      </w:pPr>
    </w:p>
    <w:p w14:paraId="6CCE3FE3"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rPr>
        <w:t xml:space="preserve">Igualmente, atendiendo a que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w:t>
      </w:r>
      <w:r w:rsidRPr="00B70870">
        <w:rPr>
          <w:rFonts w:ascii="Verdana" w:eastAsia="Calibri" w:hAnsi="Verdana" w:cs="Arial"/>
          <w:i/>
          <w:iCs/>
          <w:color w:val="000000" w:themeColor="text1"/>
        </w:rPr>
        <w:t>“[…]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3F75E113" w14:textId="77777777" w:rsidR="000234E3" w:rsidRPr="00B70870" w:rsidRDefault="000234E3" w:rsidP="000234E3">
      <w:pPr>
        <w:pStyle w:val="Prrafodelista"/>
        <w:rPr>
          <w:rFonts w:ascii="Verdana" w:eastAsia="Calibri" w:hAnsi="Verdana" w:cs="Arial"/>
          <w:lang w:val="es-ES_tradnl" w:eastAsia="es-ES_tradnl"/>
        </w:rPr>
      </w:pPr>
    </w:p>
    <w:p w14:paraId="28486840"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lang w:val="es-ES_tradnl" w:eastAsia="es-ES_tradnl"/>
        </w:rPr>
        <w:t xml:space="preserve">Ahora bien, teniendo en cuenta la consulta planteada es necesario señalar que </w:t>
      </w:r>
      <w:r w:rsidRPr="00B70870">
        <w:rPr>
          <w:rFonts w:ascii="Verdana" w:eastAsia="Calibri" w:hAnsi="Verdana" w:cs="Arial"/>
          <w:color w:val="000000" w:themeColor="text1"/>
          <w:lang w:val="es-ES_tradnl"/>
        </w:rPr>
        <w:t xml:space="preserve">la principal característica de las ESAL es la ausencia de lucro, es decir, las ganancias o beneficios económicos no están destinados a repartirse en favor de los miembros ni de terceros. De esta manera, ni los contratos de colaboración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 Tampoco este tipo de contratos generan prestaciones que favorezcan a la Entidad Estatal. </w:t>
      </w:r>
    </w:p>
    <w:p w14:paraId="7CD42AA0" w14:textId="77777777" w:rsidR="000234E3" w:rsidRPr="00B70870" w:rsidRDefault="000234E3" w:rsidP="000234E3">
      <w:pPr>
        <w:pStyle w:val="Prrafodelista"/>
        <w:rPr>
          <w:rFonts w:ascii="Verdana" w:eastAsia="Calibri" w:hAnsi="Verdana" w:cs="Arial"/>
          <w:color w:val="000000" w:themeColor="text1"/>
          <w:lang w:val="es-ES_tradnl"/>
        </w:rPr>
      </w:pPr>
    </w:p>
    <w:p w14:paraId="727431FC"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lang w:val="es-ES_tradnl"/>
        </w:rPr>
        <w:t xml:space="preserve">En efecto, dada su particular naturaleza, los contratos por colaboración y convenios de asociación, regidos por el Decreto 092 de 2017 a los cuales referencia en su consulta, no tienen un interés puramente económico, porque no se celebran con el fin de obtener una ganancia, sino con el propósito de ejecutar actividades que contribuyen directamente al fin previsto en la Constitución o la ley, sin que por esto se reciba por ninguna de ellas el pago de un precio o contraprestación. </w:t>
      </w:r>
    </w:p>
    <w:p w14:paraId="6EAE861B" w14:textId="77777777" w:rsidR="000234E3" w:rsidRPr="00B70870" w:rsidRDefault="000234E3" w:rsidP="000234E3">
      <w:pPr>
        <w:pStyle w:val="Prrafodelista"/>
        <w:rPr>
          <w:rFonts w:ascii="Verdana" w:eastAsia="Calibri" w:hAnsi="Verdana" w:cs="Arial"/>
        </w:rPr>
      </w:pPr>
    </w:p>
    <w:p w14:paraId="385BB9DD"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rPr>
        <w:t xml:space="preserve">Lo anterior evidencia que en estos contratos por colaboración y convenios de asociación las partes que los celebran no pactan un precio o remuneración. No obstante, lo cierto es que, en atención al principio de planeación, si debe quedar establecido las obligaciones y aportes que corresponde a cada una de las partes. </w:t>
      </w:r>
    </w:p>
    <w:p w14:paraId="31F61719" w14:textId="77777777" w:rsidR="000234E3" w:rsidRPr="00B70870" w:rsidRDefault="000234E3" w:rsidP="000234E3">
      <w:pPr>
        <w:pStyle w:val="Prrafodelista"/>
        <w:rPr>
          <w:rFonts w:ascii="Verdana" w:eastAsia="Calibri" w:hAnsi="Verdana" w:cs="Arial"/>
          <w:color w:val="000000" w:themeColor="text1"/>
          <w:lang w:val="es-ES_tradnl"/>
        </w:rPr>
      </w:pPr>
    </w:p>
    <w:p w14:paraId="48E0DC52" w14:textId="77777777" w:rsidR="000234E3" w:rsidRPr="00B70870" w:rsidRDefault="000234E3" w:rsidP="000234E3">
      <w:pPr>
        <w:pStyle w:val="Prrafodelista"/>
        <w:numPr>
          <w:ilvl w:val="0"/>
          <w:numId w:val="18"/>
        </w:numPr>
        <w:spacing w:after="0" w:line="276" w:lineRule="auto"/>
        <w:contextualSpacing w:val="0"/>
        <w:jc w:val="both"/>
        <w:rPr>
          <w:rFonts w:ascii="Verdana" w:eastAsia="Calibri" w:hAnsi="Verdana" w:cs="Arial"/>
          <w:color w:val="000000" w:themeColor="text1"/>
        </w:rPr>
      </w:pPr>
      <w:r w:rsidRPr="00B70870">
        <w:rPr>
          <w:rFonts w:ascii="Verdana" w:eastAsia="Calibri" w:hAnsi="Verdana" w:cs="Arial"/>
          <w:color w:val="000000" w:themeColor="text1"/>
          <w:lang w:val="es-ES_tradnl"/>
        </w:rPr>
        <w:t xml:space="preserve">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 Así mismo, puede estipularse que un determinado porcentaje o monto del aporte se destine a los gastos administrativos en los que se incurra para ejecutar la actividad a realizar. Conforme lo expuesto en este concepto dichas estipulaciones no deben entenderse como una contraprestación para algunas de las partes o no pueden estar destinadas a remunerar a la ESAL o a la Entidad Pública que participe del convenio.  </w:t>
      </w:r>
    </w:p>
    <w:p w14:paraId="7570FF24" w14:textId="77777777" w:rsidR="000234E3" w:rsidRPr="00B70870" w:rsidRDefault="000234E3" w:rsidP="000234E3">
      <w:pPr>
        <w:pStyle w:val="Prrafodelista"/>
        <w:rPr>
          <w:rFonts w:ascii="Verdana" w:eastAsia="Calibri" w:hAnsi="Verdana" w:cs="Arial"/>
          <w:color w:val="000000" w:themeColor="text1"/>
        </w:rPr>
      </w:pPr>
    </w:p>
    <w:p w14:paraId="0AF9019E" w14:textId="77777777" w:rsidR="000234E3" w:rsidRPr="00B70870" w:rsidRDefault="000234E3" w:rsidP="000234E3">
      <w:pPr>
        <w:pStyle w:val="Prrafodelista"/>
        <w:numPr>
          <w:ilvl w:val="0"/>
          <w:numId w:val="18"/>
        </w:numPr>
        <w:spacing w:after="0" w:line="276" w:lineRule="auto"/>
        <w:jc w:val="both"/>
        <w:rPr>
          <w:rFonts w:ascii="Verdana" w:eastAsia="Century Gothic" w:hAnsi="Verdana" w:cs="Century Gothic"/>
        </w:rPr>
      </w:pPr>
      <w:r w:rsidRPr="00B70870">
        <w:rPr>
          <w:rFonts w:ascii="Verdana" w:eastAsia="Calibri" w:hAnsi="Verdana" w:cs="Arial"/>
          <w:bCs/>
          <w:color w:val="000000" w:themeColor="text1"/>
          <w:lang w:val="es-CO"/>
        </w:rPr>
        <w:t xml:space="preserve">De las precisiones anteriores se colige, que el </w:t>
      </w:r>
      <w:r w:rsidRPr="00B70870">
        <w:rPr>
          <w:rFonts w:ascii="Verdana" w:eastAsia="Century Gothic" w:hAnsi="Verdana" w:cs="Century Gothic"/>
        </w:rPr>
        <w:t xml:space="preserve">literal b del artículo 2 del Decreto 092 del 2017, dispone que la contratación con entidades privadas sin ánimo de lucro y de reconocida idoneidad en los términos del artículo 355 de la Constitución Política y del Decreto 092 de 2017, no genera cargas equivalentes o recíprocas y por tanto la Entidad Estatal contratante no instruye a la entidad privada sin ánimo de lucro para desarrollar los programas o actividades previstas. </w:t>
      </w:r>
    </w:p>
    <w:p w14:paraId="0DBFAF7E" w14:textId="77777777" w:rsidR="000234E3" w:rsidRPr="00B70870" w:rsidRDefault="000234E3" w:rsidP="000234E3">
      <w:pPr>
        <w:pStyle w:val="Prrafodelista"/>
        <w:rPr>
          <w:rFonts w:ascii="Verdana" w:eastAsia="Century Gothic" w:hAnsi="Verdana" w:cs="Century Gothic"/>
        </w:rPr>
      </w:pPr>
    </w:p>
    <w:p w14:paraId="0DBC24E1" w14:textId="77777777" w:rsidR="000234E3" w:rsidRPr="00B70870" w:rsidRDefault="000234E3" w:rsidP="000234E3">
      <w:pPr>
        <w:pStyle w:val="Prrafodelista"/>
        <w:numPr>
          <w:ilvl w:val="0"/>
          <w:numId w:val="18"/>
        </w:numPr>
        <w:spacing w:after="0" w:line="276" w:lineRule="auto"/>
        <w:jc w:val="both"/>
        <w:rPr>
          <w:rFonts w:ascii="Verdana" w:eastAsia="Century Gothic" w:hAnsi="Verdana" w:cs="Century Gothic"/>
        </w:rPr>
      </w:pPr>
      <w:r w:rsidRPr="48F2631B">
        <w:rPr>
          <w:rFonts w:ascii="Verdana" w:eastAsia="Century Gothic" w:hAnsi="Verdana" w:cs="Century Gothic"/>
        </w:rPr>
        <w:t>La finalidad será en todo caso la de aunar esfuerzos y recursos en conjunto para el cumplimiento del objeto, por lo que el manejo de los recursos que aportan ambas partes debe atender a esa naturaleza y no a una relación conmutativa o de contraprestación donde solo una parte entrega recursos y la otra entrega un bien, obra o servicio; por lo que en el marco de esa relación de colaboración mutua las partes tienen una coordinación para la ejecución contractual, deben decidir conjuntamente el manejo de los recursos dentro de los principios presupuestales, de contratación y de función pública.</w:t>
      </w:r>
    </w:p>
    <w:p w14:paraId="05DF96BF" w14:textId="77777777" w:rsidR="000234E3" w:rsidRPr="00B70870" w:rsidRDefault="000234E3" w:rsidP="000234E3">
      <w:pPr>
        <w:pStyle w:val="Prrafodelista"/>
        <w:rPr>
          <w:rFonts w:ascii="Verdana" w:eastAsia="Century Gothic" w:hAnsi="Verdana" w:cs="Century Gothic"/>
        </w:rPr>
      </w:pPr>
    </w:p>
    <w:p w14:paraId="6DA6CA0B" w14:textId="00C5BC46" w:rsidR="000234E3" w:rsidRPr="00B70870" w:rsidRDefault="000234E3" w:rsidP="000234E3">
      <w:pPr>
        <w:pStyle w:val="Prrafodelista"/>
        <w:numPr>
          <w:ilvl w:val="0"/>
          <w:numId w:val="18"/>
        </w:numPr>
        <w:spacing w:after="0" w:line="276" w:lineRule="auto"/>
        <w:jc w:val="both"/>
        <w:rPr>
          <w:rFonts w:ascii="Verdana" w:eastAsia="Century Gothic" w:hAnsi="Verdana" w:cs="Century Gothic"/>
        </w:rPr>
      </w:pPr>
      <w:r w:rsidRPr="48F2631B">
        <w:rPr>
          <w:rFonts w:ascii="Verdana" w:eastAsia="Century Gothic" w:hAnsi="Verdana" w:cs="Century Gothic"/>
        </w:rPr>
        <w:t xml:space="preserve">En conclusión, en los contratos de colaboración y de los convenios de asociación no existen contraprestación o pago, sino aportes, los cuales están </w:t>
      </w:r>
      <w:r w:rsidRPr="48F2631B">
        <w:rPr>
          <w:rFonts w:ascii="Verdana" w:eastAsia="Century Gothic" w:hAnsi="Verdana" w:cs="Century Gothic"/>
        </w:rPr>
        <w:lastRenderedPageBreak/>
        <w:t>dirigidos a lograr la ejecución del convenio y no a remunerar la actividad o actuaciones del asociado. Así las cosas, la posibilidad de que un contrato de colaboración y un convenio de asociación incluyan compromisos con contenido económico no puede ir en contravía de su naturaleza y finalidad, ni desconocer los elementos esenciales de este tipo de negocio jurídico, por lo tanto, en sus estipulaciones no puede incluirse, una remuneración o utilidad en favor de alguna de las entidades que concurre a su suscripción</w:t>
      </w:r>
      <w:r w:rsidR="00923C6D">
        <w:rPr>
          <w:rFonts w:ascii="Verdana" w:eastAsia="Century Gothic" w:hAnsi="Verdana" w:cs="Century Gothic"/>
        </w:rPr>
        <w:t>.</w:t>
      </w:r>
    </w:p>
    <w:p w14:paraId="32A1EBBA" w14:textId="77777777" w:rsidR="000234E3" w:rsidRPr="00B70870" w:rsidRDefault="000234E3" w:rsidP="000234E3">
      <w:pPr>
        <w:spacing w:after="0" w:line="276" w:lineRule="auto"/>
        <w:jc w:val="both"/>
        <w:rPr>
          <w:rFonts w:ascii="Verdana" w:eastAsia="Calibri" w:hAnsi="Verdana" w:cs="Arial"/>
          <w:color w:val="000000" w:themeColor="text1"/>
        </w:rPr>
      </w:pPr>
      <w:r w:rsidRPr="00B70870">
        <w:rPr>
          <w:rFonts w:ascii="Verdana" w:eastAsia="Calibri" w:hAnsi="Verdana" w:cs="Arial"/>
          <w:color w:val="000000" w:themeColor="text1"/>
          <w:lang w:val="es-ES_tradnl"/>
        </w:rPr>
        <w:t xml:space="preserve">                                                                                                                                                                                                                                                                                                                                                                                                                                                                                                                                                                                                                                                                                                                                                                                                                                                                                                                                                                                                                                                                                                                                                                                                                                                                                                                                                                                                                                                                                                                                                                                                                                                                                                                                                                                                                                                                                                                                          </w:t>
      </w:r>
    </w:p>
    <w:p w14:paraId="08DD0F6C" w14:textId="77777777" w:rsidR="000234E3" w:rsidRPr="00B70870" w:rsidRDefault="000234E3" w:rsidP="000234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0870">
        <w:rPr>
          <w:rFonts w:ascii="Verdana" w:eastAsia="Century Gothic" w:hAnsi="Verdana" w:cs="Century Gothic"/>
          <w:b/>
          <w:bCs/>
        </w:rPr>
        <w:t>Referencias normativas, jurisprudenciales y otras fuentes:</w:t>
      </w:r>
    </w:p>
    <w:p w14:paraId="23A55556" w14:textId="77777777" w:rsidR="000234E3" w:rsidRPr="00B70870" w:rsidRDefault="000234E3" w:rsidP="000234E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34E3" w:rsidRPr="00B70870" w14:paraId="55A4FEB8" w14:textId="77777777" w:rsidTr="004061EB">
        <w:trPr>
          <w:trHeight w:val="870"/>
        </w:trPr>
        <w:tc>
          <w:tcPr>
            <w:tcW w:w="8647" w:type="dxa"/>
          </w:tcPr>
          <w:p w14:paraId="18C79970"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hAnsi="Verdana" w:cs="Arial"/>
              </w:rPr>
              <w:t xml:space="preserve">Ley </w:t>
            </w:r>
            <w:r w:rsidRPr="00B70870">
              <w:rPr>
                <w:rFonts w:ascii="Verdana" w:eastAsia="Calibri" w:hAnsi="Verdana" w:cs="Arial"/>
              </w:rPr>
              <w:t>1150 de 2007.</w:t>
            </w:r>
          </w:p>
          <w:p w14:paraId="3C562552"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eastAsia="Calibri" w:hAnsi="Verdana" w:cs="Arial"/>
              </w:rPr>
              <w:t>Ley 80 de 1993, Artículos 11 y 12.</w:t>
            </w:r>
          </w:p>
          <w:p w14:paraId="4FE28724"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eastAsia="Calibri" w:hAnsi="Verdana" w:cs="Arial"/>
              </w:rPr>
              <w:t>Constitución Política, Artículo 355.</w:t>
            </w:r>
          </w:p>
          <w:p w14:paraId="40674D70"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eastAsia="Calibri" w:hAnsi="Verdana" w:cs="Arial"/>
              </w:rPr>
              <w:t>Ley 489 de 1998, Artículo 96.</w:t>
            </w:r>
          </w:p>
          <w:p w14:paraId="5612A7F7"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eastAsia="Calibri" w:hAnsi="Verdana" w:cs="Arial"/>
              </w:rPr>
              <w:t>Decreto 092 de 2017, Artículos 2, 5, 6, 7 y 8.</w:t>
            </w:r>
          </w:p>
          <w:p w14:paraId="24C28640" w14:textId="77777777" w:rsidR="000234E3" w:rsidRPr="00B70870" w:rsidRDefault="000234E3" w:rsidP="004061EB">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B70870">
              <w:rPr>
                <w:rFonts w:ascii="Verdana" w:eastAsia="Calibri" w:hAnsi="Verdana" w:cs="Arial"/>
                <w:bCs/>
                <w:color w:val="000000"/>
                <w:lang w:val="es-ES_tradnl" w:eastAsia="es-ES_tradnl" w:bidi="es-ES"/>
              </w:rPr>
              <w:t xml:space="preserve">Guía para la contratación con entidades privadas sin ánimo de lucro y de reconocida idoneidad. Disponible en: </w:t>
            </w:r>
            <w:hyperlink r:id="rId12" w:history="1">
              <w:r w:rsidRPr="00B70870">
                <w:rPr>
                  <w:rStyle w:val="Hipervnculo"/>
                  <w:rFonts w:ascii="Verdana" w:eastAsia="Calibri" w:hAnsi="Verdana" w:cs="Arial"/>
                  <w:bCs/>
                  <w:lang w:val="es-ES_tradnl" w:eastAsia="es-ES_tradnl" w:bidi="es-ES"/>
                </w:rPr>
                <w:t>https://www.colombiacompra.gov.co/sites/cce_public/files/cce_documents/cce_guia_esal.pdf</w:t>
              </w:r>
            </w:hyperlink>
            <w:r w:rsidRPr="00B70870">
              <w:rPr>
                <w:rFonts w:ascii="Verdana" w:eastAsia="Calibri" w:hAnsi="Verdana" w:cs="Arial"/>
                <w:bCs/>
                <w:color w:val="000000"/>
                <w:lang w:val="es-ES_tradnl" w:eastAsia="es-ES_tradnl" w:bidi="es-ES"/>
              </w:rPr>
              <w:t xml:space="preserve"> </w:t>
            </w:r>
            <w:r w:rsidRPr="00B70870">
              <w:rPr>
                <w:rFonts w:ascii="Verdana" w:hAnsi="Verdana" w:cs="Arial"/>
              </w:rPr>
              <w:t xml:space="preserve"> </w:t>
            </w:r>
          </w:p>
        </w:tc>
      </w:tr>
    </w:tbl>
    <w:p w14:paraId="35CCBEE6" w14:textId="77777777" w:rsidR="000234E3" w:rsidRPr="00B70870" w:rsidRDefault="000234E3" w:rsidP="000234E3">
      <w:pPr>
        <w:widowControl w:val="0"/>
        <w:autoSpaceDE w:val="0"/>
        <w:autoSpaceDN w:val="0"/>
        <w:spacing w:after="0" w:line="276" w:lineRule="auto"/>
        <w:jc w:val="both"/>
        <w:rPr>
          <w:rFonts w:ascii="Verdana" w:hAnsi="Verdana" w:cs="Arial"/>
        </w:rPr>
      </w:pPr>
    </w:p>
    <w:p w14:paraId="0AC4402B" w14:textId="77777777" w:rsidR="000234E3" w:rsidRPr="00B70870" w:rsidRDefault="000234E3" w:rsidP="000234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0870">
        <w:rPr>
          <w:rFonts w:ascii="Verdana" w:eastAsia="Century Gothic" w:hAnsi="Verdana" w:cs="Century Gothic"/>
          <w:b/>
          <w:bCs/>
        </w:rPr>
        <w:t>Doctrina de la Agencia Nacional de Contratación Pública:</w:t>
      </w:r>
    </w:p>
    <w:p w14:paraId="25DE7775" w14:textId="77777777" w:rsidR="000234E3" w:rsidRPr="00B70870" w:rsidRDefault="000234E3" w:rsidP="000234E3">
      <w:pPr>
        <w:widowControl w:val="0"/>
        <w:autoSpaceDE w:val="0"/>
        <w:autoSpaceDN w:val="0"/>
        <w:spacing w:after="0" w:line="276" w:lineRule="auto"/>
        <w:jc w:val="both"/>
        <w:rPr>
          <w:rFonts w:ascii="Verdana" w:hAnsi="Verdana" w:cs="Arial"/>
        </w:rPr>
      </w:pPr>
    </w:p>
    <w:p w14:paraId="62998211" w14:textId="77777777" w:rsidR="000234E3" w:rsidRPr="00B70870" w:rsidRDefault="000234E3" w:rsidP="000234E3">
      <w:pPr>
        <w:widowControl w:val="0"/>
        <w:autoSpaceDE w:val="0"/>
        <w:autoSpaceDN w:val="0"/>
        <w:spacing w:after="0" w:line="276" w:lineRule="auto"/>
        <w:jc w:val="both"/>
        <w:rPr>
          <w:rFonts w:ascii="Verdana" w:hAnsi="Verdana" w:cs="Arial"/>
        </w:rPr>
      </w:pPr>
      <w:r w:rsidRPr="00B70870">
        <w:rPr>
          <w:rFonts w:ascii="Verdana" w:hAnsi="Verdana" w:cs="Arial"/>
          <w:lang w:val="es-ES"/>
        </w:rPr>
        <w:t xml:space="preserve">Sobre </w:t>
      </w:r>
      <w:r w:rsidRPr="00B70870">
        <w:rPr>
          <w:rFonts w:ascii="Verdana" w:hAnsi="Verdana" w:cs="Arial"/>
          <w:bCs/>
          <w:lang w:val="es-ES_tradnl"/>
        </w:rPr>
        <w:t xml:space="preserve">la contratación con entidades privadas sin ánimo de lucro y de reconocida idoneidad -ESAL- regulada por el Decreto 092 de 2017, </w:t>
      </w:r>
      <w:r w:rsidRPr="00B70870">
        <w:rPr>
          <w:rFonts w:ascii="Verdana" w:hAnsi="Verdana" w:cs="Arial"/>
          <w:lang w:val="es-ES"/>
        </w:rPr>
        <w:t xml:space="preserve">se pronunció esta Subdirección en los conceptos </w:t>
      </w:r>
      <w:r w:rsidRPr="00B70870">
        <w:rPr>
          <w:rFonts w:ascii="Verdana" w:hAnsi="Verdana" w:cs="Arial"/>
        </w:rPr>
        <w:t xml:space="preserve">Nos. C-624 del 28 de septiembre de 2022, C-771 del 30 de diciembre de 2022, C-853 del 9 de diciembre de 2022, C-844 del 28 de diciembre del 2022, C-026 de 16 de marzo de 2023, C-037 de 05 de abril de 2023, C-203 de 21 de junio de 2023 C-003 del 02 de febrero de 2024, C-045 del 24 de abril de 2024, C-080 del 07 de mayo del 2024, C-071 del 28 de mayo del 2024, C-096 del 28 de junio del 2024, C-073 del 22 de julio del 2024, C-356 del 22 de julio del 2024, C-262 del 29 de julio del 2024, C-192 del 31 de julio del 2024, C-210 del 05 de agosto del 2024, C-240 del 12 de agosto del 2024, C-496 del 29 de agosto del 2024, C-416 del 06 de septiembre del 2024 y C-450 </w:t>
      </w:r>
      <w:r w:rsidRPr="00B70870">
        <w:rPr>
          <w:rFonts w:ascii="Verdana" w:hAnsi="Verdana" w:cs="Arial"/>
        </w:rPr>
        <w:lastRenderedPageBreak/>
        <w:t xml:space="preserve">del 17 de septiembre del 2024. </w:t>
      </w:r>
      <w:r w:rsidRPr="00B70870">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70870">
          <w:rPr>
            <w:rStyle w:val="Hipervnculo"/>
            <w:rFonts w:ascii="Verdana" w:hAnsi="Verdana" w:cs="Arial"/>
            <w:shd w:val="clear" w:color="auto" w:fill="FFFFFF"/>
          </w:rPr>
          <w:t>https://relatoria.colombiacompra.gov.co/</w:t>
        </w:r>
      </w:hyperlink>
      <w:r w:rsidRPr="00B70870">
        <w:rPr>
          <w:rFonts w:ascii="Verdana" w:hAnsi="Verdana" w:cs="Arial"/>
          <w:shd w:val="clear" w:color="auto" w:fill="FFFFFF"/>
        </w:rPr>
        <w:t xml:space="preserve"> . </w:t>
      </w:r>
    </w:p>
    <w:p w14:paraId="361FB9B7" w14:textId="77777777" w:rsidR="000234E3" w:rsidRPr="00B70870" w:rsidRDefault="000234E3" w:rsidP="000234E3">
      <w:pPr>
        <w:widowControl w:val="0"/>
        <w:autoSpaceDE w:val="0"/>
        <w:autoSpaceDN w:val="0"/>
        <w:spacing w:after="0" w:line="276" w:lineRule="auto"/>
        <w:jc w:val="both"/>
        <w:rPr>
          <w:rFonts w:ascii="Verdana" w:hAnsi="Verdana" w:cs="Arial"/>
          <w:shd w:val="clear" w:color="auto" w:fill="FFFFFF"/>
        </w:rPr>
      </w:pPr>
    </w:p>
    <w:p w14:paraId="7A247EC3" w14:textId="77777777" w:rsidR="000234E3" w:rsidRPr="00B70870" w:rsidRDefault="000234E3" w:rsidP="000234E3">
      <w:pPr>
        <w:spacing w:after="0" w:line="240" w:lineRule="auto"/>
        <w:jc w:val="both"/>
        <w:rPr>
          <w:rFonts w:ascii="Verdana" w:hAnsi="Verdana"/>
        </w:rPr>
      </w:pPr>
      <w:r w:rsidRPr="00B70870">
        <w:rPr>
          <w:rFonts w:ascii="Verdana" w:hAnsi="Verdana"/>
        </w:rPr>
        <w:t xml:space="preserve">Por último, lo invitamos a seguirnos en las redes sociales en las cuales se difunde información institucional: </w:t>
      </w:r>
    </w:p>
    <w:p w14:paraId="65200483" w14:textId="77777777" w:rsidR="000234E3" w:rsidRPr="00B70870" w:rsidRDefault="000234E3" w:rsidP="000234E3">
      <w:pPr>
        <w:spacing w:after="0" w:line="240" w:lineRule="auto"/>
        <w:jc w:val="both"/>
        <w:rPr>
          <w:rFonts w:ascii="Verdana" w:hAnsi="Verdana"/>
        </w:rPr>
      </w:pPr>
    </w:p>
    <w:p w14:paraId="1859F13B" w14:textId="77777777" w:rsidR="000234E3" w:rsidRPr="00B70870" w:rsidRDefault="000234E3" w:rsidP="000234E3">
      <w:pPr>
        <w:spacing w:after="0" w:line="240" w:lineRule="auto"/>
        <w:jc w:val="both"/>
        <w:rPr>
          <w:rFonts w:ascii="Verdana" w:hAnsi="Verdana"/>
        </w:rPr>
      </w:pPr>
      <w:r w:rsidRPr="00B70870">
        <w:rPr>
          <w:rFonts w:ascii="Verdana" w:hAnsi="Verdana"/>
        </w:rPr>
        <w:t xml:space="preserve">Twitter: </w:t>
      </w:r>
      <w:r w:rsidRPr="00B70870">
        <w:rPr>
          <w:rStyle w:val="Hipervnculo"/>
          <w:rFonts w:ascii="Verdana" w:hAnsi="Verdana"/>
          <w:color w:val="4472C4" w:themeColor="accent1"/>
        </w:rPr>
        <w:t>@colombiacompra</w:t>
      </w:r>
      <w:r w:rsidRPr="00B70870">
        <w:rPr>
          <w:rFonts w:ascii="Verdana" w:hAnsi="Verdana"/>
          <w:color w:val="4472C4" w:themeColor="accent1"/>
        </w:rPr>
        <w:t xml:space="preserve"> </w:t>
      </w:r>
    </w:p>
    <w:p w14:paraId="4D881D87" w14:textId="77777777" w:rsidR="000234E3" w:rsidRPr="00B70870" w:rsidRDefault="000234E3" w:rsidP="000234E3">
      <w:pPr>
        <w:spacing w:after="0" w:line="240" w:lineRule="auto"/>
        <w:jc w:val="both"/>
        <w:rPr>
          <w:rFonts w:ascii="Verdana" w:hAnsi="Verdana"/>
        </w:rPr>
      </w:pPr>
      <w:r w:rsidRPr="00B70870">
        <w:rPr>
          <w:rFonts w:ascii="Verdana" w:hAnsi="Verdana"/>
        </w:rPr>
        <w:t xml:space="preserve">Facebook: </w:t>
      </w:r>
      <w:proofErr w:type="spellStart"/>
      <w:r w:rsidRPr="00B70870">
        <w:rPr>
          <w:rStyle w:val="Hipervnculo"/>
          <w:rFonts w:ascii="Verdana" w:hAnsi="Verdana"/>
          <w:color w:val="4472C4" w:themeColor="accent1"/>
        </w:rPr>
        <w:t>ColombiaCompraEficiente</w:t>
      </w:r>
      <w:proofErr w:type="spellEnd"/>
    </w:p>
    <w:p w14:paraId="79E1AD9D" w14:textId="77777777" w:rsidR="000234E3" w:rsidRPr="00B70870" w:rsidRDefault="000234E3" w:rsidP="000234E3">
      <w:pPr>
        <w:spacing w:after="0" w:line="240" w:lineRule="auto"/>
        <w:jc w:val="both"/>
        <w:rPr>
          <w:rFonts w:ascii="Verdana" w:hAnsi="Verdana"/>
        </w:rPr>
      </w:pPr>
      <w:r w:rsidRPr="00B70870">
        <w:rPr>
          <w:rFonts w:ascii="Verdana" w:hAnsi="Verdana"/>
        </w:rPr>
        <w:t xml:space="preserve">LinkedIn: </w:t>
      </w:r>
      <w:r w:rsidRPr="00B70870">
        <w:rPr>
          <w:rStyle w:val="Hipervnculo"/>
          <w:rFonts w:ascii="Verdana" w:hAnsi="Verdana"/>
          <w:color w:val="4472C4" w:themeColor="accent1"/>
        </w:rPr>
        <w:t>Agencia Nacional de Contratación Pública - Colombia Compra Eficiente</w:t>
      </w:r>
      <w:r w:rsidRPr="00B70870">
        <w:rPr>
          <w:rFonts w:ascii="Verdana" w:hAnsi="Verdana"/>
          <w:color w:val="4472C4" w:themeColor="accent1"/>
        </w:rPr>
        <w:t xml:space="preserve"> </w:t>
      </w:r>
      <w:r w:rsidRPr="00B70870">
        <w:rPr>
          <w:rFonts w:ascii="Verdana" w:hAnsi="Verdana"/>
        </w:rPr>
        <w:t xml:space="preserve">Instagram: </w:t>
      </w:r>
      <w:r w:rsidRPr="00B70870">
        <w:rPr>
          <w:rStyle w:val="Hipervnculo"/>
          <w:rFonts w:ascii="Verdana" w:hAnsi="Verdana"/>
          <w:color w:val="4472C4" w:themeColor="accent1"/>
        </w:rPr>
        <w:t>@colombiacompraeficiente_cce</w:t>
      </w:r>
    </w:p>
    <w:p w14:paraId="61CE5D9D" w14:textId="77777777" w:rsidR="000234E3" w:rsidRPr="00B70870" w:rsidRDefault="000234E3" w:rsidP="000234E3">
      <w:pPr>
        <w:widowControl w:val="0"/>
        <w:autoSpaceDE w:val="0"/>
        <w:autoSpaceDN w:val="0"/>
        <w:spacing w:after="0" w:line="276" w:lineRule="auto"/>
        <w:jc w:val="both"/>
        <w:rPr>
          <w:rFonts w:ascii="Verdana" w:hAnsi="Verdana" w:cs="Arial"/>
        </w:rPr>
      </w:pPr>
    </w:p>
    <w:p w14:paraId="44EA3A5C" w14:textId="77777777" w:rsidR="000234E3" w:rsidRPr="00B70870" w:rsidRDefault="000234E3" w:rsidP="000234E3">
      <w:pPr>
        <w:widowControl w:val="0"/>
        <w:autoSpaceDE w:val="0"/>
        <w:autoSpaceDN w:val="0"/>
        <w:spacing w:after="0" w:line="276" w:lineRule="auto"/>
        <w:jc w:val="both"/>
        <w:rPr>
          <w:rFonts w:ascii="Verdana" w:hAnsi="Verdana" w:cs="Arial"/>
          <w:lang w:val="es-ES_tradnl"/>
        </w:rPr>
      </w:pPr>
      <w:r w:rsidRPr="00B70870">
        <w:rPr>
          <w:rFonts w:ascii="Verdana" w:hAnsi="Verdana" w:cs="Arial"/>
        </w:rPr>
        <w:t xml:space="preserve">Este concepto tiene el alcance previsto en el artículo 28 del Código de Procedimiento Administrativo y de lo Contencioso Administrativo </w:t>
      </w:r>
      <w:r w:rsidRPr="00B70870">
        <w:rPr>
          <w:rFonts w:ascii="Verdana" w:hAnsi="Verdana" w:cs="Arial"/>
          <w:lang w:val="es-ES_tradnl"/>
        </w:rPr>
        <w:t>y las expresiones aquí utilizadas con mayúscula inicial deben ser entendidas con el significado que les otorga el artículo 2.2.1.1.1.3.1. del Decreto 1082 de 2015.</w:t>
      </w:r>
    </w:p>
    <w:p w14:paraId="68CDAB98" w14:textId="77777777" w:rsidR="000234E3" w:rsidRPr="00B70870" w:rsidRDefault="000234E3" w:rsidP="000234E3">
      <w:pPr>
        <w:widowControl w:val="0"/>
        <w:autoSpaceDE w:val="0"/>
        <w:autoSpaceDN w:val="0"/>
        <w:spacing w:after="0" w:line="276" w:lineRule="auto"/>
        <w:jc w:val="both"/>
        <w:rPr>
          <w:rFonts w:ascii="Verdana" w:hAnsi="Verdana" w:cs="Arial"/>
        </w:rPr>
      </w:pPr>
    </w:p>
    <w:p w14:paraId="353CCDB2" w14:textId="77777777" w:rsidR="000234E3" w:rsidRPr="00B70870" w:rsidRDefault="000234E3" w:rsidP="000234E3">
      <w:pPr>
        <w:spacing w:after="0" w:line="240" w:lineRule="auto"/>
        <w:rPr>
          <w:rFonts w:ascii="Verdana" w:hAnsi="Verdana" w:cs="Arial"/>
          <w:lang w:eastAsia="es-CO"/>
        </w:rPr>
      </w:pPr>
      <w:r w:rsidRPr="00B70870">
        <w:rPr>
          <w:rFonts w:ascii="Verdana" w:eastAsia="Times New Roman" w:hAnsi="Verdana" w:cs="Arial"/>
          <w:lang w:eastAsia="es-CO"/>
        </w:rPr>
        <w:t>Atentamente,</w:t>
      </w:r>
      <w:r w:rsidRPr="00B70870">
        <w:rPr>
          <w:rFonts w:ascii="Verdana" w:hAnsi="Verdana" w:cs="Arial"/>
          <w:lang w:eastAsia="es-CO"/>
        </w:rPr>
        <w:t xml:space="preserve"> </w:t>
      </w:r>
    </w:p>
    <w:p w14:paraId="78ABF995" w14:textId="77777777" w:rsidR="000234E3" w:rsidRDefault="000234E3" w:rsidP="000234E3">
      <w:pPr>
        <w:spacing w:after="0"/>
        <w:jc w:val="both"/>
        <w:rPr>
          <w:rFonts w:ascii="Verdana" w:hAnsi="Verdana"/>
        </w:rPr>
      </w:pPr>
    </w:p>
    <w:p w14:paraId="7892B3C0" w14:textId="77777777" w:rsidR="000234E3" w:rsidRDefault="000234E3" w:rsidP="000234E3">
      <w:pPr>
        <w:spacing w:after="0"/>
        <w:jc w:val="both"/>
        <w:rPr>
          <w:rFonts w:ascii="Verdana" w:hAnsi="Verdana"/>
        </w:rPr>
      </w:pPr>
    </w:p>
    <w:p w14:paraId="2F06B8DF" w14:textId="4D1D0B12" w:rsidR="000234E3" w:rsidRPr="00EE0EBA" w:rsidRDefault="004131EB" w:rsidP="000234E3">
      <w:pPr>
        <w:spacing w:line="276" w:lineRule="auto"/>
        <w:jc w:val="center"/>
        <w:rPr>
          <w:rFonts w:eastAsia="Calibri" w:cs="Arial"/>
          <w:lang w:val="es-ES_tradnl" w:eastAsia="es-CO"/>
        </w:rPr>
      </w:pPr>
      <w:r w:rsidRPr="002C3AD6">
        <w:rPr>
          <w:rFonts w:ascii="Century Gothic" w:hAnsi="Century Gothic"/>
          <w:noProof/>
        </w:rPr>
        <w:drawing>
          <wp:inline distT="0" distB="0" distL="0" distR="0" wp14:anchorId="6E3E8708" wp14:editId="6FCF216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34E3" w:rsidRPr="00EE0EBA" w14:paraId="4CC2A736" w14:textId="77777777" w:rsidTr="004061EB">
        <w:trPr>
          <w:trHeight w:val="315"/>
        </w:trPr>
        <w:tc>
          <w:tcPr>
            <w:tcW w:w="893" w:type="dxa"/>
            <w:vAlign w:val="center"/>
            <w:hideMark/>
          </w:tcPr>
          <w:p w14:paraId="2FEF210C" w14:textId="77777777" w:rsidR="000234E3" w:rsidRPr="00EE0EBA" w:rsidRDefault="000234E3" w:rsidP="004061EB">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03D3A1A1" w14:textId="77777777" w:rsidR="000234E3" w:rsidRPr="00EE0EBA" w:rsidRDefault="000234E3" w:rsidP="004061EB">
            <w:pPr>
              <w:rPr>
                <w:rFonts w:eastAsia="Arial" w:cs="Arial"/>
                <w:sz w:val="16"/>
                <w:szCs w:val="16"/>
              </w:rPr>
            </w:pPr>
            <w:r>
              <w:rPr>
                <w:rFonts w:eastAsia="Arial" w:cs="Arial"/>
                <w:sz w:val="16"/>
                <w:szCs w:val="16"/>
              </w:rPr>
              <w:t xml:space="preserve">Diana </w:t>
            </w:r>
            <w:r w:rsidRPr="00EE0EBA">
              <w:rPr>
                <w:rFonts w:eastAsia="Arial" w:cs="Arial"/>
                <w:sz w:val="16"/>
                <w:szCs w:val="16"/>
              </w:rPr>
              <w:t xml:space="preserve">Carolina Blanco Rodriguez </w:t>
            </w:r>
          </w:p>
          <w:p w14:paraId="68EC4FEA" w14:textId="77777777" w:rsidR="000234E3" w:rsidRPr="00EE0EBA" w:rsidRDefault="000234E3" w:rsidP="004061EB">
            <w:pPr>
              <w:rPr>
                <w:rFonts w:eastAsia="Arial" w:cs="Arial"/>
                <w:sz w:val="16"/>
                <w:szCs w:val="16"/>
              </w:rPr>
            </w:pPr>
            <w:r w:rsidRPr="00EE0EBA">
              <w:rPr>
                <w:rFonts w:eastAsia="Arial" w:cs="Arial"/>
                <w:sz w:val="16"/>
                <w:szCs w:val="16"/>
              </w:rPr>
              <w:t>Contratista de la Subdirección de Gestión Contractual</w:t>
            </w:r>
          </w:p>
        </w:tc>
      </w:tr>
      <w:tr w:rsidR="000234E3" w:rsidRPr="00EE0EBA" w14:paraId="54E2A4FB" w14:textId="77777777" w:rsidTr="004061EB">
        <w:trPr>
          <w:trHeight w:val="330"/>
        </w:trPr>
        <w:tc>
          <w:tcPr>
            <w:tcW w:w="893" w:type="dxa"/>
            <w:vAlign w:val="center"/>
            <w:hideMark/>
          </w:tcPr>
          <w:p w14:paraId="6295AF56" w14:textId="77777777" w:rsidR="000234E3" w:rsidRPr="00EE0EBA" w:rsidRDefault="000234E3" w:rsidP="004061EB">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3746596" w14:textId="77777777" w:rsidR="000234E3" w:rsidRPr="00EE0EBA" w:rsidRDefault="000234E3" w:rsidP="004061EB">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w:t>
            </w:r>
            <w:r>
              <w:rPr>
                <w:rFonts w:eastAsia="Times New Roman" w:cs="Segoe UI"/>
                <w:sz w:val="16"/>
                <w:szCs w:val="16"/>
                <w:lang w:eastAsia="es-ES_tradnl"/>
              </w:rPr>
              <w:t>Carlos González Vásquez</w:t>
            </w:r>
          </w:p>
          <w:p w14:paraId="436A022F" w14:textId="77777777" w:rsidR="000234E3" w:rsidRPr="00EE0EBA" w:rsidRDefault="000234E3" w:rsidP="004061EB">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0234E3" w:rsidRPr="00EE0EBA" w14:paraId="766C569F" w14:textId="77777777" w:rsidTr="004061EB">
        <w:trPr>
          <w:trHeight w:val="300"/>
        </w:trPr>
        <w:tc>
          <w:tcPr>
            <w:tcW w:w="893" w:type="dxa"/>
            <w:vAlign w:val="center"/>
          </w:tcPr>
          <w:p w14:paraId="15E01E35" w14:textId="77777777" w:rsidR="000234E3" w:rsidRPr="00EE0EBA" w:rsidRDefault="000234E3" w:rsidP="004061EB">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1F395BE" w14:textId="77777777" w:rsidR="000234E3" w:rsidRPr="00EE0EBA" w:rsidRDefault="000234E3" w:rsidP="004061EB">
            <w:pPr>
              <w:rPr>
                <w:rFonts w:eastAsia="Calibri" w:cs="Arial"/>
                <w:sz w:val="16"/>
                <w:szCs w:val="16"/>
                <w:lang w:val="pt-BR" w:eastAsia="es-ES"/>
              </w:rPr>
            </w:pPr>
            <w:r w:rsidRPr="00EE0EBA">
              <w:rPr>
                <w:rFonts w:eastAsia="Calibri" w:cs="Arial"/>
                <w:sz w:val="16"/>
                <w:szCs w:val="16"/>
                <w:lang w:val="pt-BR" w:eastAsia="es-ES"/>
              </w:rPr>
              <w:t xml:space="preserve">Carolina Quintero </w:t>
            </w:r>
            <w:proofErr w:type="spellStart"/>
            <w:r w:rsidRPr="00EE0EBA">
              <w:rPr>
                <w:rFonts w:eastAsia="Calibri" w:cs="Arial"/>
                <w:sz w:val="16"/>
                <w:szCs w:val="16"/>
                <w:lang w:val="pt-BR" w:eastAsia="es-ES"/>
              </w:rPr>
              <w:t>Gacharná</w:t>
            </w:r>
            <w:proofErr w:type="spellEnd"/>
          </w:p>
          <w:p w14:paraId="08C48699" w14:textId="77777777" w:rsidR="000234E3" w:rsidRPr="00EE0EBA" w:rsidRDefault="000234E3" w:rsidP="004061EB">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tbl>
    <w:p w14:paraId="3544170F" w14:textId="77777777" w:rsidR="000234E3" w:rsidRPr="0044528D" w:rsidRDefault="000234E3" w:rsidP="000234E3">
      <w:pPr>
        <w:spacing w:after="0"/>
        <w:jc w:val="both"/>
        <w:rPr>
          <w:rFonts w:ascii="Verdana" w:hAnsi="Verdana"/>
        </w:rPr>
      </w:pPr>
    </w:p>
    <w:p w14:paraId="1468C46D" w14:textId="103579B0" w:rsidR="00C15139" w:rsidRPr="0024624F" w:rsidRDefault="00C15139" w:rsidP="00C15139">
      <w:pPr>
        <w:spacing w:after="0"/>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D1119" w14:textId="77777777" w:rsidR="00B55F0D" w:rsidRDefault="00B55F0D" w:rsidP="004A1847">
      <w:pPr>
        <w:spacing w:after="0" w:line="240" w:lineRule="auto"/>
      </w:pPr>
      <w:r>
        <w:separator/>
      </w:r>
    </w:p>
  </w:endnote>
  <w:endnote w:type="continuationSeparator" w:id="0">
    <w:p w14:paraId="47D344F3" w14:textId="77777777" w:rsidR="00B55F0D" w:rsidRDefault="00B55F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2BF50" w14:textId="77777777" w:rsidR="00B55F0D" w:rsidRDefault="00B55F0D" w:rsidP="004A1847">
      <w:pPr>
        <w:spacing w:after="0" w:line="240" w:lineRule="auto"/>
      </w:pPr>
      <w:r>
        <w:separator/>
      </w:r>
    </w:p>
  </w:footnote>
  <w:footnote w:type="continuationSeparator" w:id="0">
    <w:p w14:paraId="52C0D2BE" w14:textId="77777777" w:rsidR="00B55F0D" w:rsidRDefault="00B55F0D" w:rsidP="004A1847">
      <w:pPr>
        <w:spacing w:after="0" w:line="240" w:lineRule="auto"/>
      </w:pPr>
      <w:r>
        <w:continuationSeparator/>
      </w:r>
    </w:p>
  </w:footnote>
  <w:footnote w:id="1">
    <w:p w14:paraId="360EE150" w14:textId="77777777" w:rsidR="003F6418" w:rsidRPr="00710C49" w:rsidRDefault="003F6418" w:rsidP="003F6418">
      <w:pPr>
        <w:pStyle w:val="Textonotapie"/>
        <w:ind w:firstLine="709"/>
        <w:jc w:val="both"/>
        <w:rPr>
          <w:rFonts w:ascii="Verdana" w:hAnsi="Verdana" w:cs="Arial"/>
          <w:color w:val="000000" w:themeColor="text1"/>
          <w:sz w:val="18"/>
          <w:szCs w:val="18"/>
        </w:rPr>
      </w:pPr>
      <w:r w:rsidRPr="00B70870">
        <w:rPr>
          <w:rStyle w:val="Refdenotaalpie"/>
          <w:rFonts w:ascii="Verdana" w:hAnsi="Verdana" w:cs="Arial"/>
          <w:color w:val="000000" w:themeColor="text1"/>
          <w:sz w:val="18"/>
          <w:szCs w:val="18"/>
        </w:rPr>
        <w:footnoteRef/>
      </w:r>
      <w:r w:rsidRPr="00B70870">
        <w:rPr>
          <w:rFonts w:ascii="Verdana" w:hAnsi="Verdana" w:cs="Arial"/>
          <w:color w:val="000000" w:themeColor="text1"/>
          <w:sz w:val="18"/>
          <w:szCs w:val="18"/>
        </w:rPr>
        <w:t xml:space="preserve"> Concepto del 3 de septiembre de 2019, Radicado No. 2201913000006512.</w:t>
      </w:r>
    </w:p>
  </w:footnote>
  <w:footnote w:id="2">
    <w:p w14:paraId="2886DFB9" w14:textId="77777777" w:rsidR="000234E3" w:rsidRPr="00B70870" w:rsidRDefault="000234E3" w:rsidP="000234E3">
      <w:pPr>
        <w:pStyle w:val="Textonotapie"/>
        <w:ind w:firstLine="709"/>
        <w:jc w:val="both"/>
        <w:rPr>
          <w:rFonts w:ascii="Verdana" w:hAnsi="Verdana" w:cs="Arial"/>
          <w:color w:val="000000" w:themeColor="text1"/>
          <w:sz w:val="18"/>
          <w:szCs w:val="18"/>
        </w:rPr>
      </w:pPr>
      <w:r w:rsidRPr="00B70870">
        <w:rPr>
          <w:rStyle w:val="Refdenotaalpie"/>
          <w:rFonts w:ascii="Verdana" w:hAnsi="Verdana" w:cs="Arial"/>
          <w:color w:val="000000" w:themeColor="text1"/>
          <w:sz w:val="18"/>
          <w:szCs w:val="18"/>
        </w:rPr>
        <w:footnoteRef/>
      </w:r>
      <w:r w:rsidRPr="00B70870">
        <w:rPr>
          <w:rFonts w:ascii="Verdana" w:hAnsi="Verdana" w:cs="Arial"/>
          <w:color w:val="000000" w:themeColor="text1"/>
          <w:sz w:val="18"/>
          <w:szCs w:val="18"/>
        </w:rPr>
        <w:t xml:space="preserve"> Sobre esta norma, consultar los conceptos del 8 de octubre de 2019, con radicado No. 2201913000007532, y del 20 de diciembre de 2019, con radicado No. 4201913000008240.</w:t>
      </w:r>
    </w:p>
    <w:p w14:paraId="5941778D" w14:textId="77777777" w:rsidR="000234E3" w:rsidRPr="00B70870" w:rsidRDefault="000234E3" w:rsidP="000234E3">
      <w:pPr>
        <w:pStyle w:val="Textonotapie"/>
        <w:ind w:firstLine="709"/>
        <w:jc w:val="both"/>
        <w:rPr>
          <w:rFonts w:ascii="Verdana" w:hAnsi="Verdana" w:cs="Arial"/>
          <w:color w:val="000000" w:themeColor="text1"/>
          <w:sz w:val="18"/>
          <w:szCs w:val="18"/>
          <w:lang w:val="es-ES"/>
        </w:rPr>
      </w:pPr>
    </w:p>
  </w:footnote>
  <w:footnote w:id="3">
    <w:p w14:paraId="3F9430AB" w14:textId="77777777" w:rsidR="000234E3" w:rsidRPr="00B70870" w:rsidRDefault="000234E3" w:rsidP="000234E3">
      <w:pPr>
        <w:pStyle w:val="Textonotapie"/>
        <w:ind w:firstLine="709"/>
        <w:jc w:val="both"/>
        <w:rPr>
          <w:rFonts w:ascii="Verdana" w:hAnsi="Verdana" w:cs="Arial"/>
          <w:color w:val="000000" w:themeColor="text1"/>
          <w:sz w:val="18"/>
          <w:szCs w:val="18"/>
        </w:rPr>
      </w:pPr>
      <w:r w:rsidRPr="00B70870">
        <w:rPr>
          <w:rStyle w:val="Refdenotaalpie"/>
          <w:rFonts w:ascii="Verdana" w:hAnsi="Verdana" w:cs="Arial"/>
          <w:color w:val="000000" w:themeColor="text1"/>
          <w:sz w:val="18"/>
          <w:szCs w:val="18"/>
        </w:rPr>
        <w:footnoteRef/>
      </w:r>
      <w:r w:rsidRPr="00B70870">
        <w:rPr>
          <w:rFonts w:ascii="Verdana" w:hAnsi="Verdana" w:cs="Arial"/>
          <w:color w:val="000000" w:themeColor="text1"/>
          <w:sz w:val="18"/>
          <w:szCs w:val="18"/>
        </w:rPr>
        <w:t xml:space="preserve"> 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331BDECC" w14:textId="77777777" w:rsidR="000234E3" w:rsidRPr="00B70870" w:rsidRDefault="000234E3" w:rsidP="000234E3">
      <w:pPr>
        <w:pStyle w:val="Textonotapie"/>
        <w:ind w:firstLine="709"/>
        <w:jc w:val="both"/>
        <w:rPr>
          <w:rFonts w:ascii="Verdana" w:hAnsi="Verdana" w:cs="Arial"/>
          <w:color w:val="000000" w:themeColor="text1"/>
          <w:sz w:val="18"/>
          <w:szCs w:val="18"/>
        </w:rPr>
      </w:pPr>
    </w:p>
    <w:p w14:paraId="4F3F074F" w14:textId="77777777" w:rsidR="000234E3" w:rsidRPr="00B70870" w:rsidRDefault="000234E3" w:rsidP="000234E3">
      <w:pPr>
        <w:pStyle w:val="Textonotapie"/>
        <w:ind w:firstLine="709"/>
        <w:jc w:val="both"/>
        <w:rPr>
          <w:rFonts w:ascii="Verdana" w:hAnsi="Verdana" w:cs="Arial"/>
          <w:color w:val="000000" w:themeColor="text1"/>
          <w:sz w:val="18"/>
          <w:szCs w:val="18"/>
        </w:rPr>
      </w:pPr>
      <w:r w:rsidRPr="00B70870">
        <w:rPr>
          <w:rFonts w:ascii="Verdana" w:hAnsi="Verdana" w:cs="Arial"/>
          <w:color w:val="000000" w:themeColor="text1"/>
          <w:sz w:val="18"/>
          <w:szCs w:val="18"/>
        </w:rPr>
        <w:t xml:space="preserve">Los convenios de asociación a que se refiere el presente artículo </w:t>
      </w:r>
      <w:bookmarkStart w:id="4" w:name="_Hlk36023315"/>
      <w:r w:rsidRPr="00B70870">
        <w:rPr>
          <w:rFonts w:ascii="Verdana" w:hAnsi="Verdana" w:cs="Arial"/>
          <w:color w:val="000000" w:themeColor="text1"/>
          <w:sz w:val="18"/>
          <w:szCs w:val="18"/>
        </w:rPr>
        <w:t>se celebrarán de conformidad con lo dispuesto en el artículo 355 de la Constitución Política</w:t>
      </w:r>
      <w:bookmarkEnd w:id="4"/>
      <w:r w:rsidRPr="00B70870">
        <w:rPr>
          <w:rFonts w:ascii="Verdana" w:hAnsi="Verdana" w:cs="Arial"/>
          <w:color w:val="000000" w:themeColor="text1"/>
          <w:sz w:val="18"/>
          <w:szCs w:val="18"/>
        </w:rPr>
        <w:t>, en ellos se determinará con precisión su objeto, término, obligaciones de las partes, aportes, coordinación y todos aquellos aspectos que se consideren pertinentes”.</w:t>
      </w:r>
    </w:p>
    <w:p w14:paraId="40083B50" w14:textId="77777777" w:rsidR="000234E3" w:rsidRPr="00B70870" w:rsidRDefault="000234E3" w:rsidP="000234E3">
      <w:pPr>
        <w:pStyle w:val="Textonotapie"/>
        <w:ind w:firstLine="709"/>
        <w:jc w:val="both"/>
        <w:rPr>
          <w:rFonts w:ascii="Verdana" w:hAnsi="Verdana" w:cs="Arial"/>
          <w:color w:val="000000" w:themeColor="text1"/>
          <w:sz w:val="18"/>
          <w:szCs w:val="18"/>
          <w:lang w:val="es-ES"/>
        </w:rPr>
      </w:pPr>
      <w:r w:rsidRPr="00B70870">
        <w:rPr>
          <w:rFonts w:ascii="Verdana" w:hAnsi="Verdana" w:cs="Arial"/>
          <w:color w:val="000000" w:themeColor="text1"/>
          <w:sz w:val="18"/>
          <w:szCs w:val="18"/>
        </w:rPr>
        <w:t xml:space="preserve"> </w:t>
      </w:r>
    </w:p>
  </w:footnote>
  <w:footnote w:id="4">
    <w:p w14:paraId="16D84F32" w14:textId="77777777" w:rsidR="000234E3" w:rsidRPr="00B70870" w:rsidRDefault="000234E3" w:rsidP="000234E3">
      <w:pPr>
        <w:pStyle w:val="Textonotapie"/>
        <w:ind w:firstLine="708"/>
        <w:jc w:val="both"/>
        <w:rPr>
          <w:rFonts w:ascii="Verdana" w:hAnsi="Verdana" w:cs="Arial"/>
          <w:color w:val="000000"/>
          <w:sz w:val="18"/>
          <w:szCs w:val="18"/>
        </w:rPr>
      </w:pPr>
      <w:r w:rsidRPr="00B70870">
        <w:rPr>
          <w:rStyle w:val="Refdenotaalpie"/>
          <w:rFonts w:ascii="Verdana" w:hAnsi="Verdana" w:cs="Arial"/>
          <w:color w:val="000000"/>
          <w:sz w:val="18"/>
          <w:szCs w:val="18"/>
        </w:rPr>
        <w:footnoteRef/>
      </w:r>
      <w:r w:rsidRPr="00B70870">
        <w:rPr>
          <w:rFonts w:ascii="Verdana" w:hAnsi="Verdana" w:cs="Arial"/>
          <w:color w:val="000000"/>
          <w:sz w:val="18"/>
          <w:szCs w:val="18"/>
        </w:rPr>
        <w:t xml:space="preserve"> En el concepto emitido el 5 de febrero de 2019, dentro del radicado No. 2201913000000663, se dijo: “[l]os convenios de asociación del artículo 5 son distintos a los contratos de colaboración del artículo 2 del Decreto 092 de 2017”.</w:t>
      </w:r>
    </w:p>
    <w:p w14:paraId="0362F08F" w14:textId="77777777" w:rsidR="000234E3" w:rsidRPr="00B70870" w:rsidRDefault="000234E3" w:rsidP="000234E3">
      <w:pPr>
        <w:pStyle w:val="Textonotapie"/>
        <w:ind w:firstLine="708"/>
        <w:jc w:val="both"/>
        <w:rPr>
          <w:rFonts w:ascii="Verdana" w:hAnsi="Verdana" w:cs="Arial"/>
          <w:color w:val="000000"/>
          <w:sz w:val="18"/>
          <w:szCs w:val="18"/>
        </w:rPr>
      </w:pPr>
    </w:p>
  </w:footnote>
  <w:footnote w:id="5">
    <w:p w14:paraId="05B344B1" w14:textId="77777777" w:rsidR="000234E3" w:rsidRPr="00710C49" w:rsidRDefault="000234E3" w:rsidP="000234E3">
      <w:pPr>
        <w:pStyle w:val="Textonotapie"/>
        <w:ind w:firstLine="709"/>
        <w:jc w:val="both"/>
        <w:rPr>
          <w:rFonts w:ascii="Verdana" w:hAnsi="Verdana" w:cs="Arial"/>
          <w:color w:val="000000" w:themeColor="text1"/>
          <w:sz w:val="18"/>
          <w:szCs w:val="18"/>
        </w:rPr>
      </w:pPr>
      <w:r w:rsidRPr="00B70870">
        <w:rPr>
          <w:rStyle w:val="Refdenotaalpie"/>
          <w:rFonts w:ascii="Verdana" w:hAnsi="Verdana" w:cs="Arial"/>
          <w:color w:val="000000" w:themeColor="text1"/>
          <w:sz w:val="18"/>
          <w:szCs w:val="18"/>
        </w:rPr>
        <w:footnoteRef/>
      </w:r>
      <w:r w:rsidRPr="00B70870">
        <w:rPr>
          <w:rFonts w:ascii="Verdana" w:hAnsi="Verdana" w:cs="Arial"/>
          <w:color w:val="000000" w:themeColor="text1"/>
          <w:sz w:val="18"/>
          <w:szCs w:val="18"/>
        </w:rPr>
        <w:t xml:space="preserve"> Concepto del 3 de septiembre de 2019, Radicado No. 2201913000006512.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8837851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4E3"/>
    <w:rsid w:val="00046945"/>
    <w:rsid w:val="00061B2A"/>
    <w:rsid w:val="00082362"/>
    <w:rsid w:val="000A683E"/>
    <w:rsid w:val="000B19B9"/>
    <w:rsid w:val="000D0334"/>
    <w:rsid w:val="000D5DA7"/>
    <w:rsid w:val="000F6486"/>
    <w:rsid w:val="00116940"/>
    <w:rsid w:val="00125105"/>
    <w:rsid w:val="00127233"/>
    <w:rsid w:val="0015699B"/>
    <w:rsid w:val="001920AD"/>
    <w:rsid w:val="001A33BF"/>
    <w:rsid w:val="001D4BCE"/>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68FD"/>
    <w:rsid w:val="00374F5E"/>
    <w:rsid w:val="00377E3E"/>
    <w:rsid w:val="003A779E"/>
    <w:rsid w:val="003D0F4D"/>
    <w:rsid w:val="003D5B0D"/>
    <w:rsid w:val="003E0499"/>
    <w:rsid w:val="003E4F80"/>
    <w:rsid w:val="003E6439"/>
    <w:rsid w:val="003F3941"/>
    <w:rsid w:val="003F6418"/>
    <w:rsid w:val="00406575"/>
    <w:rsid w:val="004131EB"/>
    <w:rsid w:val="00414C74"/>
    <w:rsid w:val="0042722E"/>
    <w:rsid w:val="0044528D"/>
    <w:rsid w:val="00463504"/>
    <w:rsid w:val="00466E39"/>
    <w:rsid w:val="004A1847"/>
    <w:rsid w:val="004A305D"/>
    <w:rsid w:val="004F21C4"/>
    <w:rsid w:val="004F685F"/>
    <w:rsid w:val="0054701A"/>
    <w:rsid w:val="005566E8"/>
    <w:rsid w:val="00574867"/>
    <w:rsid w:val="00591460"/>
    <w:rsid w:val="005A65E0"/>
    <w:rsid w:val="005C3777"/>
    <w:rsid w:val="005C5CDC"/>
    <w:rsid w:val="005D476C"/>
    <w:rsid w:val="006200BF"/>
    <w:rsid w:val="006219F8"/>
    <w:rsid w:val="006302F7"/>
    <w:rsid w:val="00646572"/>
    <w:rsid w:val="00646B9F"/>
    <w:rsid w:val="00665D70"/>
    <w:rsid w:val="006900D9"/>
    <w:rsid w:val="0070070F"/>
    <w:rsid w:val="00702371"/>
    <w:rsid w:val="00706C16"/>
    <w:rsid w:val="00707C5D"/>
    <w:rsid w:val="007340C3"/>
    <w:rsid w:val="0075235A"/>
    <w:rsid w:val="00756841"/>
    <w:rsid w:val="007649AB"/>
    <w:rsid w:val="00771D0C"/>
    <w:rsid w:val="007833AC"/>
    <w:rsid w:val="007878A1"/>
    <w:rsid w:val="007B268C"/>
    <w:rsid w:val="007B7171"/>
    <w:rsid w:val="007C0C0F"/>
    <w:rsid w:val="007C3DC2"/>
    <w:rsid w:val="007E5497"/>
    <w:rsid w:val="00806F5F"/>
    <w:rsid w:val="00820278"/>
    <w:rsid w:val="008258C9"/>
    <w:rsid w:val="00844AE9"/>
    <w:rsid w:val="00867F95"/>
    <w:rsid w:val="00872C5B"/>
    <w:rsid w:val="008843B6"/>
    <w:rsid w:val="00891928"/>
    <w:rsid w:val="008A446D"/>
    <w:rsid w:val="008B25F1"/>
    <w:rsid w:val="008D180B"/>
    <w:rsid w:val="008F0EA7"/>
    <w:rsid w:val="00923C6D"/>
    <w:rsid w:val="00923EEF"/>
    <w:rsid w:val="009419F9"/>
    <w:rsid w:val="0095685E"/>
    <w:rsid w:val="00961B09"/>
    <w:rsid w:val="00965334"/>
    <w:rsid w:val="0097093E"/>
    <w:rsid w:val="009A0DFA"/>
    <w:rsid w:val="009A1C6F"/>
    <w:rsid w:val="009B2D26"/>
    <w:rsid w:val="009C71FA"/>
    <w:rsid w:val="009C72E7"/>
    <w:rsid w:val="009C7F7E"/>
    <w:rsid w:val="009D3058"/>
    <w:rsid w:val="009D5C5F"/>
    <w:rsid w:val="009F3A13"/>
    <w:rsid w:val="00A122D3"/>
    <w:rsid w:val="00A14468"/>
    <w:rsid w:val="00A17F13"/>
    <w:rsid w:val="00A20739"/>
    <w:rsid w:val="00A23AF9"/>
    <w:rsid w:val="00A33C78"/>
    <w:rsid w:val="00AB0ADB"/>
    <w:rsid w:val="00B00C0E"/>
    <w:rsid w:val="00B01B1A"/>
    <w:rsid w:val="00B0381D"/>
    <w:rsid w:val="00B44A47"/>
    <w:rsid w:val="00B55F0D"/>
    <w:rsid w:val="00B72CD3"/>
    <w:rsid w:val="00B72FFF"/>
    <w:rsid w:val="00B73281"/>
    <w:rsid w:val="00BC3D36"/>
    <w:rsid w:val="00BD54A6"/>
    <w:rsid w:val="00BD7F72"/>
    <w:rsid w:val="00BF7425"/>
    <w:rsid w:val="00C04FB3"/>
    <w:rsid w:val="00C11D8B"/>
    <w:rsid w:val="00C14BD3"/>
    <w:rsid w:val="00C15139"/>
    <w:rsid w:val="00C330EB"/>
    <w:rsid w:val="00C50D69"/>
    <w:rsid w:val="00C5365C"/>
    <w:rsid w:val="00C754BE"/>
    <w:rsid w:val="00C76B1C"/>
    <w:rsid w:val="00C925AC"/>
    <w:rsid w:val="00CB6357"/>
    <w:rsid w:val="00CC1B26"/>
    <w:rsid w:val="00CE59BD"/>
    <w:rsid w:val="00D120A4"/>
    <w:rsid w:val="00D361FD"/>
    <w:rsid w:val="00D423A2"/>
    <w:rsid w:val="00D44E26"/>
    <w:rsid w:val="00D520D8"/>
    <w:rsid w:val="00D63AC2"/>
    <w:rsid w:val="00D7383B"/>
    <w:rsid w:val="00D7788A"/>
    <w:rsid w:val="00D80A6F"/>
    <w:rsid w:val="00D944B5"/>
    <w:rsid w:val="00DA231B"/>
    <w:rsid w:val="00DC39FC"/>
    <w:rsid w:val="00DF5254"/>
    <w:rsid w:val="00E02524"/>
    <w:rsid w:val="00E16408"/>
    <w:rsid w:val="00E20894"/>
    <w:rsid w:val="00E245AB"/>
    <w:rsid w:val="00E2764C"/>
    <w:rsid w:val="00E27F2E"/>
    <w:rsid w:val="00E50AFE"/>
    <w:rsid w:val="00E7227E"/>
    <w:rsid w:val="00E75C92"/>
    <w:rsid w:val="00E771DC"/>
    <w:rsid w:val="00E8772A"/>
    <w:rsid w:val="00E90F6B"/>
    <w:rsid w:val="00E92C27"/>
    <w:rsid w:val="00EA0E3D"/>
    <w:rsid w:val="00EC38A7"/>
    <w:rsid w:val="00EE1AA8"/>
    <w:rsid w:val="00F23FEA"/>
    <w:rsid w:val="00F31EDC"/>
    <w:rsid w:val="00F32983"/>
    <w:rsid w:val="00F462B3"/>
    <w:rsid w:val="00F5664F"/>
    <w:rsid w:val="00F666C4"/>
    <w:rsid w:val="00F76AFC"/>
    <w:rsid w:val="00FA47C0"/>
    <w:rsid w:val="00FB5DD1"/>
    <w:rsid w:val="00FB7B7A"/>
    <w:rsid w:val="00FC2B5D"/>
    <w:rsid w:val="00FF1449"/>
    <w:rsid w:val="00FF7963"/>
    <w:rsid w:val="0637F3D3"/>
    <w:rsid w:val="09908A09"/>
    <w:rsid w:val="0D498182"/>
    <w:rsid w:val="13CFC91B"/>
    <w:rsid w:val="173F3902"/>
    <w:rsid w:val="19A2EC2C"/>
    <w:rsid w:val="1BDBFC5F"/>
    <w:rsid w:val="1C20B972"/>
    <w:rsid w:val="20292473"/>
    <w:rsid w:val="22AC9BD2"/>
    <w:rsid w:val="2859CA1B"/>
    <w:rsid w:val="295E26EE"/>
    <w:rsid w:val="32A4F9CF"/>
    <w:rsid w:val="356CEDFD"/>
    <w:rsid w:val="3A4D4824"/>
    <w:rsid w:val="3F829C66"/>
    <w:rsid w:val="48F2631B"/>
    <w:rsid w:val="4A3E3562"/>
    <w:rsid w:val="6216889F"/>
    <w:rsid w:val="657C8AE6"/>
    <w:rsid w:val="69614A15"/>
    <w:rsid w:val="790F3872"/>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34E3"/>
    <w:rPr>
      <w:rFonts w:ascii="Geomanist Light" w:hAnsi="Geomanist Light"/>
      <w:lang w:val="es-ES"/>
    </w:rPr>
  </w:style>
  <w:style w:type="paragraph" w:customStyle="1" w:styleId="Appelnotedebasde">
    <w:name w:val="Appel note de bas de..."/>
    <w:basedOn w:val="Normal"/>
    <w:link w:val="Refdenotaalpie"/>
    <w:uiPriority w:val="99"/>
    <w:rsid w:val="000234E3"/>
    <w:pPr>
      <w:spacing w:line="240" w:lineRule="exact"/>
    </w:pPr>
    <w:rPr>
      <w:vertAlign w:val="superscript"/>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D80A6F"/>
    <w:rPr>
      <w:b/>
      <w:bCs/>
    </w:rPr>
  </w:style>
  <w:style w:type="character" w:customStyle="1" w:styleId="AsuntodelcomentarioCar">
    <w:name w:val="Asunto del comentario Car"/>
    <w:basedOn w:val="TextocomentarioCar"/>
    <w:link w:val="Asuntodelcomentario"/>
    <w:uiPriority w:val="99"/>
    <w:semiHidden/>
    <w:rsid w:val="00D80A6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lilimaria.tangarife@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43241A9E-F37D-4981-AAB3-C1A2EC4E009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12</Pages>
  <Words>4065</Words>
  <Characters>21266</Characters>
  <Application>Microsoft Office Word</Application>
  <DocSecurity>0</DocSecurity>
  <Lines>425</Lines>
  <Paragraphs>88</Paragraphs>
  <ScaleCrop>false</ScaleCrop>
  <Company/>
  <LinksUpToDate>false</LinksUpToDate>
  <CharactersWithSpaces>25243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2</cp:revision>
  <cp:lastPrinted>2023-01-10T21:18:00Z</cp:lastPrinted>
  <dcterms:created xsi:type="dcterms:W3CDTF">2025-12-05T03:36:00Z</dcterms:created>
  <dcterms:modified xsi:type="dcterms:W3CDTF">2025-12-05T03:36:00Z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