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51CCDB" w14:textId="77777777" w:rsidR="006376B2" w:rsidRPr="006376B2" w:rsidRDefault="006376B2" w:rsidP="006376B2">
      <w:pPr>
        <w:spacing w:after="0"/>
        <w:rPr>
          <w:rFonts w:ascii="Verdana" w:hAnsi="Verdana"/>
          <w:b/>
          <w:bCs/>
          <w:lang w:val="es-ES"/>
        </w:rPr>
      </w:pPr>
      <w:bookmarkStart w:id="0" w:name="_Hlk143780582"/>
      <w:r w:rsidRPr="006376B2">
        <w:rPr>
          <w:rFonts w:ascii="Verdana" w:hAnsi="Verdana"/>
          <w:b/>
          <w:bCs/>
          <w:lang w:val="es-ES"/>
        </w:rPr>
        <w:t xml:space="preserve">SUBSANABILIDAD – Aplicación – Regla general – Excepciones </w:t>
      </w:r>
    </w:p>
    <w:p w14:paraId="7E2C9797" w14:textId="77777777" w:rsidR="006376B2" w:rsidRPr="006376B2" w:rsidRDefault="006376B2" w:rsidP="006376B2">
      <w:pPr>
        <w:spacing w:after="0"/>
        <w:rPr>
          <w:rFonts w:ascii="Verdana" w:hAnsi="Verdana"/>
          <w:b/>
        </w:rPr>
      </w:pPr>
    </w:p>
    <w:p w14:paraId="0FC0783D" w14:textId="77777777" w:rsidR="006376B2" w:rsidRPr="007A0F05" w:rsidRDefault="006376B2" w:rsidP="00916AAA">
      <w:pPr>
        <w:spacing w:after="0"/>
        <w:jc w:val="both"/>
        <w:rPr>
          <w:rFonts w:ascii="Verdana" w:hAnsi="Verdana"/>
          <w:bCs/>
          <w:sz w:val="20"/>
          <w:szCs w:val="20"/>
        </w:rPr>
      </w:pPr>
      <w:r w:rsidRPr="007A0F05">
        <w:rPr>
          <w:rFonts w:ascii="Verdana" w:hAnsi="Verdana"/>
          <w:bCs/>
          <w:sz w:val="20"/>
          <w:szCs w:val="20"/>
        </w:rPr>
        <w:t xml:space="preserve">La regla de la </w:t>
      </w:r>
      <w:proofErr w:type="spellStart"/>
      <w:r w:rsidRPr="007A0F05">
        <w:rPr>
          <w:rFonts w:ascii="Verdana" w:hAnsi="Verdana"/>
          <w:bCs/>
          <w:sz w:val="20"/>
          <w:szCs w:val="20"/>
        </w:rPr>
        <w:t>subsanabilidad</w:t>
      </w:r>
      <w:proofErr w:type="spellEnd"/>
      <w:r w:rsidRPr="007A0F05">
        <w:rPr>
          <w:rFonts w:ascii="Verdana" w:hAnsi="Verdana"/>
          <w:bCs/>
          <w:sz w:val="20"/>
          <w:szCs w:val="20"/>
        </w:rPr>
        <w:t xml:space="preserve"> de las ofertas en los procedimientos de selección indica que, por regla general, la falta de entrega y los defectos en la acreditación de los requisitos habilitantes son aspectos subsanables. La excepción a esta regla se encuentra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65D183B7" w14:textId="77777777" w:rsidR="006376B2" w:rsidRPr="006376B2" w:rsidRDefault="006376B2" w:rsidP="00916AAA">
      <w:pPr>
        <w:spacing w:after="0"/>
        <w:jc w:val="both"/>
        <w:rPr>
          <w:rFonts w:ascii="Verdana" w:hAnsi="Verdana"/>
          <w:bCs/>
          <w:lang w:val="es-ES_tradnl"/>
        </w:rPr>
      </w:pPr>
    </w:p>
    <w:p w14:paraId="31B6EF3B" w14:textId="77777777" w:rsidR="006376B2" w:rsidRPr="006376B2" w:rsidRDefault="006376B2" w:rsidP="00916AAA">
      <w:pPr>
        <w:spacing w:after="0"/>
        <w:jc w:val="both"/>
        <w:rPr>
          <w:rFonts w:ascii="Verdana" w:hAnsi="Verdana"/>
          <w:b/>
          <w:bCs/>
          <w:lang w:val="es-ES"/>
        </w:rPr>
      </w:pPr>
      <w:r w:rsidRPr="006376B2">
        <w:rPr>
          <w:rFonts w:ascii="Verdana" w:hAnsi="Verdana"/>
          <w:b/>
          <w:bCs/>
          <w:lang w:val="es-ES"/>
        </w:rPr>
        <w:t>SUBSANABILIDAD DE LAS OFERTAS – Alcance de la regla – Ley 1882 de 2018– Ámbito temporal – Criterio material</w:t>
      </w:r>
    </w:p>
    <w:p w14:paraId="5204658D" w14:textId="77777777" w:rsidR="006376B2" w:rsidRPr="006376B2" w:rsidRDefault="006376B2" w:rsidP="00916AAA">
      <w:pPr>
        <w:spacing w:after="0"/>
        <w:jc w:val="both"/>
        <w:rPr>
          <w:rFonts w:ascii="Verdana" w:hAnsi="Verdana"/>
          <w:b/>
          <w:bCs/>
          <w:lang w:val="es-ES"/>
        </w:rPr>
      </w:pPr>
    </w:p>
    <w:p w14:paraId="0DB8B821" w14:textId="77777777" w:rsidR="006376B2" w:rsidRPr="007A0F05" w:rsidRDefault="006376B2" w:rsidP="00916AAA">
      <w:pPr>
        <w:spacing w:after="0"/>
        <w:jc w:val="both"/>
        <w:rPr>
          <w:rFonts w:ascii="Verdana" w:hAnsi="Verdana"/>
          <w:sz w:val="20"/>
          <w:szCs w:val="20"/>
          <w:lang w:val="es-ES"/>
        </w:rPr>
      </w:pPr>
      <w:r w:rsidRPr="007A0F05">
        <w:rPr>
          <w:rFonts w:ascii="Verdana" w:hAnsi="Verdana"/>
          <w:sz w:val="20"/>
          <w:szCs w:val="20"/>
          <w:lang w:val="es-ES"/>
        </w:rPr>
        <w:t xml:space="preserve">“[…] Como puede observarse, la Ley 1882 de 2018: i) mantiene el criterio de la Ley 80 de 1993, relativo a que todo lo que no sea necesario para la comparación de propuestas no es título suficiente para su rechazo; </w:t>
      </w:r>
      <w:proofErr w:type="spellStart"/>
      <w:r w:rsidRPr="007A0F05">
        <w:rPr>
          <w:rFonts w:ascii="Verdana" w:hAnsi="Verdana"/>
          <w:sz w:val="20"/>
          <w:szCs w:val="20"/>
          <w:lang w:val="es-ES"/>
        </w:rPr>
        <w:t>ii</w:t>
      </w:r>
      <w:proofErr w:type="spellEnd"/>
      <w:r w:rsidRPr="007A0F05">
        <w:rPr>
          <w:rFonts w:ascii="Verdana" w:hAnsi="Verdana"/>
          <w:sz w:val="20"/>
          <w:szCs w:val="20"/>
          <w:lang w:val="es-ES"/>
        </w:rPr>
        <w:t xml:space="preserve">) mantiene el criterio aclaratorio de la Ley 1150 de 2007, según el cual todo lo que no afecte la asignación de puntaje puede subsanarse y, </w:t>
      </w:r>
      <w:proofErr w:type="spellStart"/>
      <w:r w:rsidRPr="007A0F05">
        <w:rPr>
          <w:rFonts w:ascii="Verdana" w:hAnsi="Verdana"/>
          <w:sz w:val="20"/>
          <w:szCs w:val="20"/>
          <w:lang w:val="es-ES"/>
        </w:rPr>
        <w:t>iii</w:t>
      </w:r>
      <w:proofErr w:type="spellEnd"/>
      <w:r w:rsidRPr="007A0F05">
        <w:rPr>
          <w:rFonts w:ascii="Verdana" w:hAnsi="Verdana"/>
          <w:sz w:val="20"/>
          <w:szCs w:val="20"/>
          <w:lang w:val="es-ES"/>
        </w:rPr>
        <w:t xml:space="preserve">) introduce modificaciones en relación con algunos aspectos que se analizarán a continuación. </w:t>
      </w:r>
    </w:p>
    <w:p w14:paraId="027C7EAB" w14:textId="77777777" w:rsidR="006376B2" w:rsidRPr="007A0F05" w:rsidRDefault="006376B2" w:rsidP="00916AAA">
      <w:pPr>
        <w:spacing w:after="0"/>
        <w:jc w:val="both"/>
        <w:rPr>
          <w:rFonts w:ascii="Verdana" w:hAnsi="Verdana"/>
          <w:sz w:val="20"/>
          <w:szCs w:val="20"/>
          <w:lang w:val="es-ES_tradnl"/>
        </w:rPr>
      </w:pPr>
    </w:p>
    <w:p w14:paraId="7D140DD4" w14:textId="77777777" w:rsidR="006376B2" w:rsidRPr="007A0F05" w:rsidRDefault="006376B2" w:rsidP="00916AAA">
      <w:pPr>
        <w:spacing w:after="0"/>
        <w:jc w:val="both"/>
        <w:rPr>
          <w:rFonts w:ascii="Verdana" w:hAnsi="Verdana"/>
          <w:sz w:val="20"/>
          <w:szCs w:val="20"/>
          <w:lang w:val="es-ES_tradnl"/>
        </w:rPr>
      </w:pPr>
      <w:r w:rsidRPr="007A0F05">
        <w:rPr>
          <w:rFonts w:ascii="Verdana" w:hAnsi="Verdana"/>
          <w:i/>
          <w:iCs/>
          <w:sz w:val="20"/>
          <w:szCs w:val="20"/>
          <w:lang w:val="es-ES_tradnl"/>
        </w:rPr>
        <w:t>El primero</w:t>
      </w:r>
      <w:r w:rsidRPr="007A0F05">
        <w:rPr>
          <w:rFonts w:ascii="Verdana" w:hAnsi="Verdana"/>
          <w:sz w:val="20"/>
          <w:szCs w:val="20"/>
          <w:lang w:val="es-ES_tradnl"/>
        </w:rPr>
        <w:t xml:space="preserve">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de selección a través del sistema de subasta, este último al cual hace referencia en su consulta, y en el que los documentos o requisitos subsanables pueden y deben solicitarse por parte de las entidades estatales, como límite, hasta el momento previo a la celebración de la audiencia […]</w:t>
      </w:r>
    </w:p>
    <w:p w14:paraId="05638890" w14:textId="77777777" w:rsidR="006376B2" w:rsidRPr="007A0F05" w:rsidRDefault="006376B2" w:rsidP="00916AAA">
      <w:pPr>
        <w:spacing w:after="0"/>
        <w:jc w:val="both"/>
        <w:rPr>
          <w:rFonts w:ascii="Verdana" w:hAnsi="Verdana"/>
          <w:sz w:val="20"/>
          <w:szCs w:val="20"/>
          <w:lang w:val="es-ES_tradnl"/>
        </w:rPr>
      </w:pPr>
    </w:p>
    <w:p w14:paraId="567AC12C" w14:textId="77777777" w:rsidR="006376B2" w:rsidRPr="007A0F05" w:rsidRDefault="006376B2" w:rsidP="00916AAA">
      <w:pPr>
        <w:spacing w:after="0"/>
        <w:jc w:val="both"/>
        <w:rPr>
          <w:rFonts w:ascii="Verdana" w:hAnsi="Verdana"/>
          <w:sz w:val="20"/>
          <w:szCs w:val="20"/>
          <w:lang w:val="es-ES_tradnl"/>
        </w:rPr>
      </w:pPr>
      <w:r w:rsidRPr="007A0F05">
        <w:rPr>
          <w:rFonts w:ascii="Verdana" w:hAnsi="Verdana"/>
          <w:sz w:val="20"/>
          <w:szCs w:val="20"/>
          <w:lang w:val="es-ES_tradnl"/>
        </w:rPr>
        <w:t xml:space="preserve">De otro lado, </w:t>
      </w:r>
      <w:r w:rsidRPr="007A0F05">
        <w:rPr>
          <w:rFonts w:ascii="Verdana" w:hAnsi="Verdana"/>
          <w:i/>
          <w:iCs/>
          <w:sz w:val="20"/>
          <w:szCs w:val="20"/>
          <w:lang w:val="es-ES_tradnl"/>
        </w:rPr>
        <w:t>el segundo</w:t>
      </w:r>
      <w:r w:rsidRPr="007A0F05">
        <w:rPr>
          <w:rFonts w:ascii="Verdana" w:hAnsi="Verdana"/>
          <w:sz w:val="20"/>
          <w:szCs w:val="20"/>
          <w:lang w:val="es-ES_tradnl"/>
        </w:rPr>
        <w:t xml:space="preserve"> cambio importante de la Ley 1882 de 2018 fue la introducción de un criterio material, directamente relacionado con los aspectos subsanables: “los proponentes no podrán acreditar circunstancias ocurridas con posterioridad al cierre del proceso”. Lo anterior ofrece dos aspectos que merecen clarificación; primero, qué debe entenderse por circunstancias ocurridas con posterioridad; y segundo, qué es el cierre del proceso. </w:t>
      </w:r>
    </w:p>
    <w:p w14:paraId="3E518C0D" w14:textId="77777777" w:rsidR="006376B2" w:rsidRPr="006376B2" w:rsidRDefault="006376B2" w:rsidP="006376B2">
      <w:pPr>
        <w:spacing w:after="0"/>
        <w:rPr>
          <w:rFonts w:ascii="Verdana" w:hAnsi="Verdana"/>
          <w:lang w:val="es-ES_tradnl"/>
        </w:rPr>
      </w:pPr>
    </w:p>
    <w:p w14:paraId="5976AB1C" w14:textId="77777777" w:rsidR="006376B2" w:rsidRPr="007A0F05" w:rsidRDefault="006376B2" w:rsidP="006376B2">
      <w:pPr>
        <w:spacing w:after="0"/>
        <w:rPr>
          <w:rFonts w:ascii="Verdana" w:hAnsi="Verdana"/>
          <w:sz w:val="20"/>
          <w:szCs w:val="20"/>
          <w:lang w:val="es-ES_tradnl"/>
        </w:rPr>
      </w:pPr>
      <w:r w:rsidRPr="007A0F05">
        <w:rPr>
          <w:rFonts w:ascii="Verdana" w:hAnsi="Verdana"/>
          <w:sz w:val="20"/>
          <w:szCs w:val="20"/>
          <w:lang w:val="es-ES_tradnl"/>
        </w:rPr>
        <w:t xml:space="preserve">[…] </w:t>
      </w:r>
    </w:p>
    <w:p w14:paraId="388F2997" w14:textId="77777777" w:rsidR="006376B2" w:rsidRPr="007A0F05" w:rsidRDefault="006376B2" w:rsidP="006376B2">
      <w:pPr>
        <w:spacing w:after="0"/>
        <w:rPr>
          <w:rFonts w:ascii="Verdana" w:hAnsi="Verdana"/>
          <w:sz w:val="20"/>
          <w:szCs w:val="20"/>
          <w:lang w:val="es-ES_tradnl"/>
        </w:rPr>
      </w:pPr>
    </w:p>
    <w:p w14:paraId="673B4638" w14:textId="77777777" w:rsidR="006376B2" w:rsidRPr="007A0F05" w:rsidRDefault="006376B2" w:rsidP="00916AAA">
      <w:pPr>
        <w:spacing w:after="0"/>
        <w:jc w:val="both"/>
        <w:rPr>
          <w:rFonts w:ascii="Verdana" w:hAnsi="Verdana"/>
          <w:sz w:val="20"/>
          <w:szCs w:val="20"/>
          <w:lang w:val="es-ES_tradnl"/>
        </w:rPr>
      </w:pPr>
      <w:r w:rsidRPr="007A0F05">
        <w:rPr>
          <w:rFonts w:ascii="Verdana" w:hAnsi="Verdana"/>
          <w:sz w:val="20"/>
          <w:szCs w:val="20"/>
          <w:lang w:val="es-ES_tradn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w:t>
      </w:r>
      <w:r w:rsidRPr="007A0F05">
        <w:rPr>
          <w:rFonts w:ascii="Verdana" w:hAnsi="Verdana"/>
          <w:sz w:val="20"/>
          <w:szCs w:val="20"/>
          <w:lang w:val="es-ES_tradnl"/>
        </w:rPr>
        <w:lastRenderedPageBreak/>
        <w:t>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6801AD4E" w14:textId="77777777" w:rsidR="006376B2" w:rsidRPr="006376B2" w:rsidRDefault="006376B2" w:rsidP="00916AAA">
      <w:pPr>
        <w:spacing w:after="0"/>
        <w:jc w:val="both"/>
        <w:rPr>
          <w:rFonts w:ascii="Verdana" w:hAnsi="Verdana"/>
          <w:lang w:val="es-ES"/>
        </w:rPr>
      </w:pPr>
    </w:p>
    <w:p w14:paraId="236276CF" w14:textId="77777777" w:rsidR="006376B2" w:rsidRPr="006376B2" w:rsidRDefault="006376B2" w:rsidP="00916AAA">
      <w:pPr>
        <w:spacing w:after="0"/>
        <w:jc w:val="both"/>
        <w:rPr>
          <w:rFonts w:ascii="Verdana" w:hAnsi="Verdana"/>
          <w:b/>
          <w:bCs/>
        </w:rPr>
      </w:pPr>
      <w:r w:rsidRPr="006376B2">
        <w:rPr>
          <w:rFonts w:ascii="Verdana" w:hAnsi="Verdana"/>
          <w:b/>
          <w:bCs/>
        </w:rPr>
        <w:t xml:space="preserve">SUBASTA INVERSA – Regla de </w:t>
      </w:r>
      <w:proofErr w:type="spellStart"/>
      <w:r w:rsidRPr="006376B2">
        <w:rPr>
          <w:rFonts w:ascii="Verdana" w:hAnsi="Verdana"/>
          <w:b/>
          <w:bCs/>
        </w:rPr>
        <w:t>subsanabilidad</w:t>
      </w:r>
      <w:proofErr w:type="spellEnd"/>
      <w:r w:rsidRPr="006376B2">
        <w:rPr>
          <w:rFonts w:ascii="Verdana" w:hAnsi="Verdana"/>
          <w:b/>
          <w:bCs/>
        </w:rPr>
        <w:t xml:space="preserve"> – Tiempo límite – Alcance normativo </w:t>
      </w:r>
    </w:p>
    <w:p w14:paraId="6DDB943E" w14:textId="77777777" w:rsidR="007A0F05" w:rsidRDefault="007A0F05" w:rsidP="00916AAA">
      <w:pPr>
        <w:spacing w:after="0"/>
        <w:jc w:val="both"/>
        <w:rPr>
          <w:rFonts w:ascii="Verdana" w:hAnsi="Verdana"/>
          <w:lang w:val="es-ES_tradnl"/>
        </w:rPr>
      </w:pPr>
    </w:p>
    <w:p w14:paraId="1374A524" w14:textId="2130F2B3" w:rsidR="006376B2" w:rsidRPr="007A0F05" w:rsidRDefault="006376B2" w:rsidP="00916AAA">
      <w:pPr>
        <w:spacing w:after="0"/>
        <w:jc w:val="both"/>
        <w:rPr>
          <w:rFonts w:ascii="Verdana" w:hAnsi="Verdana"/>
          <w:sz w:val="20"/>
          <w:szCs w:val="20"/>
        </w:rPr>
      </w:pPr>
      <w:r w:rsidRPr="007A0F05">
        <w:rPr>
          <w:rFonts w:ascii="Verdana" w:hAnsi="Verdana"/>
          <w:sz w:val="20"/>
          <w:szCs w:val="20"/>
          <w:lang w:val="es-ES_tradnl"/>
        </w:rPr>
        <w:t xml:space="preserve">“[…] </w:t>
      </w:r>
      <w:r w:rsidRPr="007A0F05">
        <w:rPr>
          <w:rFonts w:ascii="Verdana" w:hAnsi="Verdana"/>
          <w:sz w:val="20"/>
          <w:szCs w:val="20"/>
        </w:rPr>
        <w:t xml:space="preserve">En ese orden de ideas, extendiendo las anteriores consideraciones a la regla de </w:t>
      </w:r>
      <w:proofErr w:type="spellStart"/>
      <w:r w:rsidRPr="007A0F05">
        <w:rPr>
          <w:rFonts w:ascii="Verdana" w:hAnsi="Verdana"/>
          <w:sz w:val="20"/>
          <w:szCs w:val="20"/>
        </w:rPr>
        <w:t>subsanabilidad</w:t>
      </w:r>
      <w:proofErr w:type="spellEnd"/>
      <w:r w:rsidRPr="007A0F05">
        <w:rPr>
          <w:rFonts w:ascii="Verdana" w:hAnsi="Verdana"/>
          <w:sz w:val="20"/>
          <w:szCs w:val="20"/>
        </w:rPr>
        <w:t xml:space="preserve"> consagrada en el parágrafo 4 del artículo 5 de la Ley 1150 de 2007 –adicionado por la Ley 1882 de 2018–, dada su identidad con la regulación del parágrafo 1 del artículo 5 de la ley 1150 de 2007 original –antes de ser modificada por la Ley 1882 de 2018– el inicio de la subasta es el momento hasta el cual la entidad cuenta con la facultad para requerir la subsanación de los documentos referentes a la futura contratación o a los proponentes, no necesarios para la comparación de las propuestas. Para el ejercicio de tal facultad, las entidades de manera </w:t>
      </w:r>
      <w:r w:rsidRPr="007A0F05">
        <w:rPr>
          <w:rFonts w:ascii="Verdana" w:hAnsi="Verdana"/>
          <w:i/>
          <w:iCs/>
          <w:sz w:val="20"/>
          <w:szCs w:val="20"/>
        </w:rPr>
        <w:t xml:space="preserve">ex ante </w:t>
      </w:r>
      <w:r w:rsidRPr="007A0F05">
        <w:rPr>
          <w:rFonts w:ascii="Verdana" w:hAnsi="Verdana"/>
          <w:sz w:val="20"/>
          <w:szCs w:val="20"/>
        </w:rPr>
        <w:t xml:space="preserve">podrán establecer dentro del pliego de condiciones el periodo dentro del cual los participantes del proceso de selección podrán subsanar los documentos que requiera la entidad, o en su defecto, requerir por separado a cada proponente para que subsanen los respectivos documentos, fijándoles un término razonable, el cual en todo caso no podrá exceder el momento previo al inicio de la audiencia de subasta. Así mismo, dentro del pliego de condiciones podrán definir las veces en las cuales le será posible a los proponentes subsanar los documentos.  En sentido, atendiendo a la consulta planteada, la posibilidad de subsanar varias veces un determinado aspecto de la propuesta dependerá de lo establecido en el pliego de condiciones, pues la normativa no restringe el número de veces que un proponente podrá subsanar un determinado aspecto. </w:t>
      </w:r>
    </w:p>
    <w:p w14:paraId="7CF0038E" w14:textId="77777777" w:rsidR="006376B2" w:rsidRPr="007A0F05" w:rsidRDefault="006376B2" w:rsidP="00916AAA">
      <w:pPr>
        <w:spacing w:after="0"/>
        <w:jc w:val="both"/>
        <w:rPr>
          <w:rFonts w:ascii="Verdana" w:hAnsi="Verdana"/>
          <w:sz w:val="20"/>
          <w:szCs w:val="20"/>
          <w:lang w:val="es-ES_tradnl"/>
        </w:rPr>
      </w:pPr>
    </w:p>
    <w:p w14:paraId="1EC5689B" w14:textId="1BD2F8D9" w:rsidR="006376B2" w:rsidRPr="007A0F05" w:rsidRDefault="006376B2" w:rsidP="00916AAA">
      <w:pPr>
        <w:spacing w:after="0"/>
        <w:jc w:val="both"/>
        <w:rPr>
          <w:rFonts w:ascii="Verdana" w:hAnsi="Verdana"/>
          <w:sz w:val="20"/>
          <w:szCs w:val="20"/>
          <w:lang w:val="es-ES_tradnl"/>
        </w:rPr>
      </w:pPr>
      <w:r w:rsidRPr="007A0F05">
        <w:rPr>
          <w:rFonts w:ascii="Verdana" w:hAnsi="Verdana"/>
          <w:sz w:val="20"/>
          <w:szCs w:val="20"/>
          <w:lang w:val="es-ES_tradnl"/>
        </w:rPr>
        <w:t>De esta manera, el parágrafo analizado</w:t>
      </w:r>
      <w:r w:rsidRPr="007A0F05">
        <w:rPr>
          <w:rFonts w:ascii="Verdana" w:hAnsi="Verdana"/>
          <w:sz w:val="20"/>
          <w:szCs w:val="20"/>
        </w:rPr>
        <w:t xml:space="preserve"> permite a las entidades </w:t>
      </w:r>
      <w:r w:rsidRPr="007A0F05">
        <w:rPr>
          <w:rFonts w:ascii="Verdana" w:hAnsi="Verdana"/>
          <w:i/>
          <w:iCs/>
          <w:sz w:val="20"/>
          <w:szCs w:val="20"/>
        </w:rPr>
        <w:t>solicitar</w:t>
      </w:r>
      <w:r w:rsidRPr="007A0F05">
        <w:rPr>
          <w:rFonts w:ascii="Verdana" w:hAnsi="Verdana"/>
          <w:sz w:val="20"/>
          <w:szCs w:val="20"/>
        </w:rPr>
        <w:t xml:space="preserve"> a los oferentes que subsanen los documentos referentes a la futura contratación no necesarios para la comparación de las propuestas, hasta el momento previo a la realización a la subasta a la que hace referencia el artículo </w:t>
      </w:r>
      <w:r w:rsidRPr="007A0F05">
        <w:rPr>
          <w:rFonts w:ascii="Verdana" w:hAnsi="Verdana"/>
          <w:sz w:val="20"/>
          <w:szCs w:val="20"/>
          <w:lang w:val="es-ES_tradnl"/>
        </w:rPr>
        <w:t xml:space="preserve">2.2.1.2.1.2.2 del Decreto 1082 de 2015, momento que, además, deberá estar señalado en el pliego de condiciones, independientemente de que la entidad opte para desarrollar la audiencia de manera presencial o través del algún mecanismo electrónico. En defecto de lo anterior, las entidades también podrán </w:t>
      </w:r>
      <w:r w:rsidRPr="007A0F05">
        <w:rPr>
          <w:rFonts w:ascii="Verdana" w:hAnsi="Verdana"/>
          <w:sz w:val="20"/>
          <w:szCs w:val="20"/>
        </w:rPr>
        <w:t xml:space="preserve">requerir por separado o conjuntamente a cada proponente para que subsanen los respectivos documentos, fijándoles un término razonable, el cual en todo caso no podrá exceder el momento previo al inicio de la audiencia de subasta, por lo que será anterior a ella. </w:t>
      </w:r>
      <w:r w:rsidRPr="007A0F05">
        <w:rPr>
          <w:rFonts w:ascii="Verdana" w:hAnsi="Verdana"/>
          <w:sz w:val="20"/>
          <w:szCs w:val="20"/>
          <w:lang w:val="es-ES_tradnl"/>
        </w:rPr>
        <w:t>[…]”</w:t>
      </w:r>
      <w:r w:rsidR="007A0F05" w:rsidRPr="007A0F05">
        <w:rPr>
          <w:rFonts w:ascii="Verdana" w:hAnsi="Verdana"/>
          <w:sz w:val="20"/>
          <w:szCs w:val="20"/>
          <w:lang w:val="es-ES_tradnl"/>
        </w:rPr>
        <w:t>.</w:t>
      </w:r>
    </w:p>
    <w:p w14:paraId="164ACC44" w14:textId="77777777" w:rsidR="006376B2" w:rsidRPr="006376B2" w:rsidRDefault="006376B2" w:rsidP="006376B2">
      <w:pPr>
        <w:spacing w:after="0"/>
        <w:rPr>
          <w:rFonts w:ascii="Verdana" w:hAnsi="Verdana"/>
          <w:b/>
          <w:bCs/>
          <w:lang w:val="es-ES_tradnl"/>
        </w:rPr>
      </w:pPr>
    </w:p>
    <w:p w14:paraId="4E8B0AE5" w14:textId="77777777" w:rsidR="006376B2" w:rsidRPr="006376B2" w:rsidRDefault="006376B2" w:rsidP="006376B2">
      <w:pPr>
        <w:spacing w:after="0"/>
        <w:rPr>
          <w:rFonts w:ascii="Verdana" w:hAnsi="Verdana"/>
        </w:rPr>
      </w:pPr>
    </w:p>
    <w:p w14:paraId="472DC3E4" w14:textId="77777777" w:rsidR="006376B2" w:rsidRPr="006376B2" w:rsidRDefault="006376B2" w:rsidP="006376B2">
      <w:pPr>
        <w:spacing w:after="0"/>
        <w:rPr>
          <w:rFonts w:ascii="Verdana" w:hAnsi="Verdana"/>
        </w:rPr>
      </w:pPr>
    </w:p>
    <w:p w14:paraId="1468C46D" w14:textId="1F9C9A06" w:rsidR="00C15139" w:rsidRPr="0024624F" w:rsidRDefault="00C15139" w:rsidP="00C15139">
      <w:pPr>
        <w:spacing w:after="0"/>
        <w:rPr>
          <w:rFonts w:ascii="Verdana" w:hAnsi="Verdana"/>
        </w:rPr>
      </w:pPr>
      <w:r w:rsidRPr="0024624F">
        <w:rPr>
          <w:rFonts w:ascii="Verdana" w:hAnsi="Verdana"/>
        </w:rPr>
        <w:lastRenderedPageBreak/>
        <w:t xml:space="preserve">Bogotá D.C., </w:t>
      </w:r>
      <w:r w:rsidR="008E5ACF">
        <w:rPr>
          <w:rFonts w:ascii="Verdana" w:hAnsi="Verdana"/>
        </w:rPr>
        <w:t>2 de diciembre de 2025</w:t>
      </w:r>
      <w:r w:rsidRPr="000E2B93">
        <w:rPr>
          <w:rFonts w:ascii="Verdana" w:hAnsi="Verdana"/>
        </w:rPr>
        <w:tab/>
      </w:r>
      <w:r w:rsidRPr="000E2B93">
        <w:rPr>
          <w:rFonts w:ascii="Verdana" w:hAnsi="Verdana"/>
        </w:rPr>
        <w:br/>
      </w:r>
      <w:r w:rsidRPr="0024624F">
        <w:rPr>
          <w:rFonts w:ascii="Verdana" w:hAnsi="Verdana"/>
        </w:rPr>
        <w:tab/>
      </w:r>
    </w:p>
    <w:bookmarkEnd w:id="0"/>
    <w:p w14:paraId="1D4A85E1" w14:textId="3333D51B" w:rsidR="00AA511B" w:rsidRPr="005E5B81" w:rsidRDefault="000E0079" w:rsidP="00AA511B">
      <w:pPr>
        <w:spacing w:after="0" w:line="240" w:lineRule="auto"/>
        <w:jc w:val="both"/>
        <w:rPr>
          <w:rFonts w:ascii="Verdana" w:hAnsi="Verdana" w:cs="Arial"/>
          <w:bCs/>
          <w:lang w:val="es-ES" w:eastAsia="es-ES" w:bidi="es-ES"/>
        </w:rPr>
      </w:pPr>
      <w:r w:rsidRPr="000E0079">
        <w:rPr>
          <w:noProof/>
        </w:rPr>
        <w:drawing>
          <wp:anchor distT="0" distB="0" distL="114300" distR="114300" simplePos="0" relativeHeight="251658240" behindDoc="1" locked="0" layoutInCell="1" allowOverlap="1" wp14:anchorId="0F8854C2" wp14:editId="27BFE2F3">
            <wp:simplePos x="0" y="0"/>
            <wp:positionH relativeFrom="margin">
              <wp:align>right</wp:align>
            </wp:positionH>
            <wp:positionV relativeFrom="paragraph">
              <wp:posOffset>8255</wp:posOffset>
            </wp:positionV>
            <wp:extent cx="2830195" cy="930275"/>
            <wp:effectExtent l="0" t="0" r="8255" b="3175"/>
            <wp:wrapSquare wrapText="bothSides"/>
            <wp:docPr id="95271282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712823"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830195" cy="930275"/>
                    </a:xfrm>
                    <a:prstGeom prst="rect">
                      <a:avLst/>
                    </a:prstGeom>
                  </pic:spPr>
                </pic:pic>
              </a:graphicData>
            </a:graphic>
            <wp14:sizeRelH relativeFrom="margin">
              <wp14:pctWidth>0</wp14:pctWidth>
            </wp14:sizeRelH>
            <wp14:sizeRelV relativeFrom="margin">
              <wp14:pctHeight>0</wp14:pctHeight>
            </wp14:sizeRelV>
          </wp:anchor>
        </w:drawing>
      </w:r>
    </w:p>
    <w:p w14:paraId="4EFED41E" w14:textId="7F7233B0" w:rsidR="00AA511B" w:rsidRPr="005E5B81" w:rsidRDefault="00AA511B" w:rsidP="00AA511B">
      <w:pPr>
        <w:widowControl w:val="0"/>
        <w:autoSpaceDE w:val="0"/>
        <w:autoSpaceDN w:val="0"/>
        <w:spacing w:after="0" w:line="266" w:lineRule="exact"/>
        <w:rPr>
          <w:rFonts w:ascii="Verdana" w:eastAsia="Verdana" w:hAnsi="Verdana" w:cs="Verdana"/>
          <w:lang w:val="es-ES"/>
        </w:rPr>
      </w:pPr>
      <w:r w:rsidRPr="005E5B81">
        <w:rPr>
          <w:rFonts w:ascii="Verdana" w:eastAsia="Verdana" w:hAnsi="Verdana" w:cs="Verdana"/>
          <w:spacing w:val="-2"/>
          <w:lang w:val="es-ES"/>
        </w:rPr>
        <w:t>Señor</w:t>
      </w:r>
      <w:r>
        <w:rPr>
          <w:rFonts w:ascii="Verdana" w:eastAsia="Verdana" w:hAnsi="Verdana" w:cs="Verdana"/>
          <w:spacing w:val="-2"/>
          <w:lang w:val="es-ES"/>
        </w:rPr>
        <w:t>a</w:t>
      </w:r>
    </w:p>
    <w:p w14:paraId="211C5266" w14:textId="6FB058F8" w:rsidR="00AA511B" w:rsidRPr="002046DD" w:rsidRDefault="00AA511B" w:rsidP="00AA511B">
      <w:pPr>
        <w:widowControl w:val="0"/>
        <w:autoSpaceDE w:val="0"/>
        <w:autoSpaceDN w:val="0"/>
        <w:spacing w:before="5" w:after="0" w:line="237" w:lineRule="auto"/>
        <w:ind w:right="4443"/>
        <w:rPr>
          <w:rFonts w:ascii="Verdana" w:hAnsi="Verdana"/>
          <w:b/>
        </w:rPr>
      </w:pPr>
      <w:r w:rsidRPr="00F0621A">
        <w:rPr>
          <w:rFonts w:ascii="Verdana" w:hAnsi="Verdana"/>
          <w:b/>
        </w:rPr>
        <w:t xml:space="preserve">María </w:t>
      </w:r>
      <w:proofErr w:type="spellStart"/>
      <w:r w:rsidRPr="00F0621A">
        <w:rPr>
          <w:rFonts w:ascii="Verdana" w:hAnsi="Verdana"/>
          <w:b/>
        </w:rPr>
        <w:t>Yenifer</w:t>
      </w:r>
      <w:proofErr w:type="spellEnd"/>
      <w:r w:rsidRPr="00F0621A">
        <w:rPr>
          <w:rFonts w:ascii="Verdana" w:hAnsi="Verdana"/>
          <w:b/>
        </w:rPr>
        <w:t xml:space="preserve"> Prada Peña</w:t>
      </w:r>
    </w:p>
    <w:p w14:paraId="5691E22E" w14:textId="069F956B" w:rsidR="00AA511B" w:rsidRPr="00955976" w:rsidRDefault="00AA511B" w:rsidP="00AA511B">
      <w:pPr>
        <w:widowControl w:val="0"/>
        <w:autoSpaceDE w:val="0"/>
        <w:autoSpaceDN w:val="0"/>
        <w:spacing w:before="5" w:after="0" w:line="237" w:lineRule="auto"/>
        <w:ind w:right="5055"/>
        <w:rPr>
          <w:rFonts w:ascii="Verdana" w:hAnsi="Verdana"/>
        </w:rPr>
      </w:pPr>
      <w:hyperlink r:id="rId11" w:history="1">
        <w:r w:rsidRPr="00394A59">
          <w:rPr>
            <w:rStyle w:val="Hipervnculo"/>
            <w:rFonts w:ascii="Verdana" w:hAnsi="Verdana"/>
          </w:rPr>
          <w:t>ypradap@hotmail.com</w:t>
        </w:r>
      </w:hyperlink>
    </w:p>
    <w:p w14:paraId="359ED15C" w14:textId="77777777" w:rsidR="00AA511B" w:rsidRPr="005E5B81" w:rsidRDefault="00AA511B" w:rsidP="00AA511B">
      <w:pPr>
        <w:widowControl w:val="0"/>
        <w:autoSpaceDE w:val="0"/>
        <w:autoSpaceDN w:val="0"/>
        <w:spacing w:before="5" w:after="0" w:line="237" w:lineRule="auto"/>
        <w:ind w:right="5055"/>
        <w:rPr>
          <w:rFonts w:ascii="Verdana" w:eastAsia="Verdana" w:hAnsi="Verdana" w:cs="Verdana"/>
          <w:lang w:val="es-ES"/>
        </w:rPr>
      </w:pPr>
      <w:r>
        <w:rPr>
          <w:rFonts w:ascii="Verdana" w:eastAsia="Verdana" w:hAnsi="Verdana" w:cs="Verdana"/>
          <w:lang w:val="es-ES"/>
        </w:rPr>
        <w:t>Bogotá, D.C.</w:t>
      </w:r>
    </w:p>
    <w:p w14:paraId="28D27750" w14:textId="77777777" w:rsidR="00AA511B" w:rsidRPr="005E5B81" w:rsidRDefault="00AA511B" w:rsidP="00AA511B">
      <w:pPr>
        <w:spacing w:after="0" w:line="240" w:lineRule="auto"/>
        <w:jc w:val="both"/>
        <w:rPr>
          <w:rFonts w:ascii="Verdana" w:hAnsi="Verdana" w:cs="Arial"/>
          <w:b/>
          <w:bCs/>
          <w:lang w:val="es-ES_tradnl" w:eastAsia="es-ES" w:bidi="es-ES"/>
        </w:rPr>
      </w:pPr>
    </w:p>
    <w:p w14:paraId="2D37F714" w14:textId="77777777" w:rsidR="00AA511B" w:rsidRPr="005E5B81" w:rsidRDefault="00AA511B" w:rsidP="00AA511B">
      <w:pPr>
        <w:spacing w:after="0" w:line="240" w:lineRule="auto"/>
        <w:jc w:val="both"/>
        <w:rPr>
          <w:rFonts w:ascii="Verdana" w:hAnsi="Verdana" w:cs="Arial"/>
          <w:b/>
          <w:bCs/>
          <w:lang w:val="es-ES_tradnl" w:eastAsia="es-ES" w:bidi="es-ES"/>
        </w:rPr>
      </w:pPr>
    </w:p>
    <w:tbl>
      <w:tblPr>
        <w:tblStyle w:val="Tablaconcuadrcula"/>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AA511B" w:rsidRPr="005E5B81" w14:paraId="2DC1AF30" w14:textId="77777777" w:rsidTr="00772C10">
        <w:trPr>
          <w:trHeight w:val="463"/>
        </w:trPr>
        <w:tc>
          <w:tcPr>
            <w:tcW w:w="2689" w:type="dxa"/>
          </w:tcPr>
          <w:p w14:paraId="570E8AE3" w14:textId="77777777" w:rsidR="00AA511B" w:rsidRPr="005E5B81" w:rsidRDefault="00AA511B" w:rsidP="00772C10">
            <w:pPr>
              <w:jc w:val="both"/>
              <w:rPr>
                <w:rFonts w:ascii="Verdana" w:hAnsi="Verdana" w:cs="Arial"/>
                <w:b/>
                <w:bCs/>
                <w:lang w:val="es-ES_tradnl" w:eastAsia="es-ES" w:bidi="es-ES"/>
              </w:rPr>
            </w:pPr>
          </w:p>
        </w:tc>
        <w:tc>
          <w:tcPr>
            <w:tcW w:w="6242" w:type="dxa"/>
          </w:tcPr>
          <w:p w14:paraId="63F31163" w14:textId="77777777" w:rsidR="00AA511B" w:rsidRDefault="00AA511B" w:rsidP="00772C10">
            <w:pPr>
              <w:jc w:val="both"/>
              <w:rPr>
                <w:rFonts w:ascii="Verdana" w:hAnsi="Verdana" w:cs="Arial"/>
                <w:b/>
                <w:bCs/>
                <w:lang w:val="es-MX" w:eastAsia="es-ES" w:bidi="es-ES"/>
              </w:rPr>
            </w:pPr>
            <w:r w:rsidRPr="005E5B81">
              <w:rPr>
                <w:rFonts w:ascii="Verdana" w:hAnsi="Verdana" w:cs="Arial"/>
                <w:b/>
                <w:bCs/>
                <w:lang w:val="es-MX" w:eastAsia="es-ES" w:bidi="es-ES"/>
              </w:rPr>
              <w:t xml:space="preserve">Concepto C- </w:t>
            </w:r>
            <w:r>
              <w:rPr>
                <w:rFonts w:ascii="Verdana" w:hAnsi="Verdana" w:cs="Arial"/>
                <w:b/>
                <w:bCs/>
                <w:lang w:val="es-MX" w:eastAsia="es-ES" w:bidi="es-ES"/>
              </w:rPr>
              <w:t>1546</w:t>
            </w:r>
            <w:r w:rsidRPr="005E5B81">
              <w:rPr>
                <w:rFonts w:ascii="Verdana" w:hAnsi="Verdana" w:cs="Arial"/>
                <w:b/>
                <w:bCs/>
                <w:lang w:val="es-MX" w:eastAsia="es-ES" w:bidi="es-ES"/>
              </w:rPr>
              <w:t xml:space="preserve"> de 2025</w:t>
            </w:r>
          </w:p>
          <w:p w14:paraId="7EEEE485" w14:textId="77777777" w:rsidR="00AA511B" w:rsidRPr="005E5B81" w:rsidRDefault="00AA511B" w:rsidP="00772C10">
            <w:pPr>
              <w:jc w:val="both"/>
              <w:rPr>
                <w:rFonts w:ascii="Verdana" w:hAnsi="Verdana" w:cs="Arial"/>
                <w:b/>
                <w:bCs/>
                <w:lang w:val="es-MX" w:eastAsia="es-ES" w:bidi="es-ES"/>
              </w:rPr>
            </w:pPr>
          </w:p>
        </w:tc>
      </w:tr>
      <w:tr w:rsidR="00AA511B" w:rsidRPr="005E5B81" w14:paraId="511AE348" w14:textId="77777777" w:rsidTr="00772C10">
        <w:trPr>
          <w:trHeight w:val="884"/>
        </w:trPr>
        <w:tc>
          <w:tcPr>
            <w:tcW w:w="2689" w:type="dxa"/>
          </w:tcPr>
          <w:p w14:paraId="7A6A9B6D" w14:textId="77777777" w:rsidR="00AA511B" w:rsidRPr="005E5B81" w:rsidRDefault="00AA511B" w:rsidP="00772C10">
            <w:pPr>
              <w:spacing w:line="276" w:lineRule="auto"/>
              <w:jc w:val="both"/>
              <w:rPr>
                <w:rFonts w:ascii="Verdana" w:hAnsi="Verdana" w:cs="Arial"/>
                <w:b/>
                <w:bCs/>
                <w:lang w:val="es-MX" w:eastAsia="es-ES" w:bidi="es-ES"/>
              </w:rPr>
            </w:pPr>
            <w:r w:rsidRPr="005E5B81">
              <w:rPr>
                <w:rFonts w:ascii="Verdana" w:hAnsi="Verdana" w:cs="Arial"/>
                <w:b/>
                <w:bCs/>
                <w:lang w:val="es-MX" w:eastAsia="es-ES" w:bidi="es-ES"/>
              </w:rPr>
              <w:t xml:space="preserve">Temas:                   </w:t>
            </w:r>
          </w:p>
        </w:tc>
        <w:tc>
          <w:tcPr>
            <w:tcW w:w="6242" w:type="dxa"/>
          </w:tcPr>
          <w:p w14:paraId="66D9A061" w14:textId="77777777" w:rsidR="00AA511B" w:rsidRDefault="00AA511B" w:rsidP="00772C10">
            <w:pPr>
              <w:spacing w:line="276" w:lineRule="auto"/>
              <w:jc w:val="both"/>
              <w:rPr>
                <w:rFonts w:ascii="Verdana" w:eastAsia="Arial MT" w:hAnsi="Verdana" w:cs="Arial MT"/>
                <w:bCs/>
                <w:lang w:val="es-ES_tradnl"/>
              </w:rPr>
            </w:pPr>
            <w:r w:rsidRPr="00FF383E">
              <w:rPr>
                <w:rFonts w:ascii="Verdana" w:eastAsia="Arial MT" w:hAnsi="Verdana" w:cs="Arial MT"/>
                <w:bCs/>
                <w:lang w:val="es-ES_tradnl"/>
              </w:rPr>
              <w:t>PRECIOS ARTIFICIALMENTE BAJOS – Noción – Deber de las entidades estatales / EVALUACIÓN DE LAS OFERTAS – Finalidad – Oportunidad / GUÍA DE OFERTAS ARTIFICIALMENTE BAJAS – Manejo / PRECIOS ARTIFICIALMENTE BAJOS – Guía – Procesos de subasta – Subasta inversa</w:t>
            </w:r>
          </w:p>
          <w:p w14:paraId="45EA85C6" w14:textId="77777777" w:rsidR="00AA511B" w:rsidRPr="001D1EE1" w:rsidRDefault="00AA511B" w:rsidP="00772C10">
            <w:pPr>
              <w:spacing w:line="276" w:lineRule="auto"/>
              <w:jc w:val="both"/>
              <w:rPr>
                <w:rFonts w:ascii="Verdana" w:hAnsi="Verdana" w:cs="Arial"/>
                <w:bCs/>
                <w:lang w:val="es-ES_tradnl" w:eastAsia="es-ES" w:bidi="es-ES"/>
              </w:rPr>
            </w:pPr>
          </w:p>
        </w:tc>
      </w:tr>
      <w:tr w:rsidR="00AA511B" w:rsidRPr="005E5B81" w14:paraId="4AA4A74F" w14:textId="77777777" w:rsidTr="00772C10">
        <w:tc>
          <w:tcPr>
            <w:tcW w:w="2689" w:type="dxa"/>
          </w:tcPr>
          <w:p w14:paraId="0F8E1FA5" w14:textId="77777777" w:rsidR="00AA511B" w:rsidRPr="005E5B81" w:rsidRDefault="00AA511B" w:rsidP="00772C10">
            <w:pPr>
              <w:jc w:val="both"/>
              <w:rPr>
                <w:rFonts w:ascii="Verdana" w:hAnsi="Verdana" w:cs="Arial"/>
                <w:b/>
                <w:bCs/>
                <w:lang w:val="es-MX" w:eastAsia="es-ES" w:bidi="es-ES"/>
              </w:rPr>
            </w:pPr>
            <w:r w:rsidRPr="005E5B81">
              <w:rPr>
                <w:rFonts w:ascii="Verdana" w:hAnsi="Verdana" w:cs="Arial"/>
                <w:b/>
                <w:bCs/>
                <w:lang w:val="es-MX" w:eastAsia="es-ES" w:bidi="es-ES"/>
              </w:rPr>
              <w:t xml:space="preserve">Radicación:               </w:t>
            </w:r>
          </w:p>
        </w:tc>
        <w:tc>
          <w:tcPr>
            <w:tcW w:w="6242" w:type="dxa"/>
          </w:tcPr>
          <w:p w14:paraId="5A60B24A" w14:textId="77777777" w:rsidR="00AA511B" w:rsidRPr="005E5B81" w:rsidRDefault="00AA511B" w:rsidP="00772C10">
            <w:pPr>
              <w:jc w:val="both"/>
              <w:rPr>
                <w:rFonts w:ascii="Verdana" w:hAnsi="Verdana" w:cs="Arial"/>
                <w:bCs/>
                <w:lang w:val="es-MX" w:eastAsia="es-ES" w:bidi="es-ES"/>
              </w:rPr>
            </w:pPr>
            <w:r w:rsidRPr="005E5B81">
              <w:rPr>
                <w:rFonts w:ascii="Verdana" w:hAnsi="Verdana" w:cs="Arial"/>
                <w:bCs/>
                <w:lang w:val="es-MX" w:eastAsia="es-ES" w:bidi="es-ES"/>
              </w:rPr>
              <w:t xml:space="preserve">Respuesta a consulta con radicado No. </w:t>
            </w:r>
            <w:r w:rsidRPr="00217BA2">
              <w:rPr>
                <w:rFonts w:ascii="Verdana" w:hAnsi="Verdana" w:cs="Arial"/>
                <w:lang w:eastAsia="es-ES" w:bidi="es-ES"/>
              </w:rPr>
              <w:t>1_2025_10_22_011843</w:t>
            </w:r>
          </w:p>
        </w:tc>
      </w:tr>
    </w:tbl>
    <w:p w14:paraId="29B36727" w14:textId="77777777" w:rsidR="00AA511B" w:rsidRPr="005E5B81" w:rsidRDefault="00AA511B" w:rsidP="00AA511B">
      <w:pPr>
        <w:spacing w:after="0" w:line="240" w:lineRule="auto"/>
        <w:jc w:val="both"/>
        <w:rPr>
          <w:rFonts w:ascii="Verdana" w:hAnsi="Verdana" w:cs="Arial"/>
          <w:bCs/>
          <w:lang w:val="es-ES_tradnl" w:eastAsia="es-ES" w:bidi="es-ES"/>
        </w:rPr>
      </w:pPr>
    </w:p>
    <w:p w14:paraId="62891AC2" w14:textId="77777777" w:rsidR="00AA511B" w:rsidRPr="0094448B" w:rsidRDefault="00AA511B" w:rsidP="00AA511B">
      <w:pPr>
        <w:spacing w:after="0" w:line="240" w:lineRule="auto"/>
        <w:jc w:val="both"/>
        <w:rPr>
          <w:rFonts w:ascii="Verdana" w:hAnsi="Verdana" w:cs="Arial"/>
          <w:bCs/>
          <w:lang w:val="es-ES_tradnl" w:eastAsia="es-ES" w:bidi="es-ES"/>
        </w:rPr>
      </w:pPr>
    </w:p>
    <w:p w14:paraId="40D46B47" w14:textId="77777777" w:rsidR="00AA511B" w:rsidRPr="0094448B" w:rsidRDefault="00AA511B" w:rsidP="00AA511B">
      <w:pPr>
        <w:spacing w:after="0" w:line="240" w:lineRule="auto"/>
        <w:jc w:val="both"/>
        <w:rPr>
          <w:rFonts w:ascii="Verdana" w:hAnsi="Verdana" w:cs="Arial"/>
          <w:bCs/>
          <w:lang w:val="es-MX" w:eastAsia="es-ES" w:bidi="es-ES"/>
        </w:rPr>
      </w:pPr>
      <w:r>
        <w:rPr>
          <w:rFonts w:ascii="Verdana" w:hAnsi="Verdana" w:cs="Arial"/>
          <w:bCs/>
          <w:lang w:val="es-MX" w:eastAsia="es-ES" w:bidi="es-ES"/>
        </w:rPr>
        <w:t>Estimada señora Prada</w:t>
      </w:r>
      <w:r w:rsidRPr="0094448B">
        <w:rPr>
          <w:rFonts w:ascii="Verdana" w:hAnsi="Verdana" w:cs="Arial"/>
          <w:bCs/>
          <w:lang w:val="es-MX" w:eastAsia="es-ES" w:bidi="es-ES"/>
        </w:rPr>
        <w:t xml:space="preserve">: </w:t>
      </w:r>
    </w:p>
    <w:p w14:paraId="302464BA" w14:textId="77777777" w:rsidR="00AA511B" w:rsidRPr="0094448B" w:rsidRDefault="00AA511B" w:rsidP="00AA511B">
      <w:pPr>
        <w:spacing w:after="0" w:line="240" w:lineRule="auto"/>
        <w:jc w:val="both"/>
        <w:rPr>
          <w:rFonts w:ascii="Verdana" w:hAnsi="Verdana" w:cs="Arial"/>
          <w:bCs/>
          <w:lang w:val="es-ES" w:eastAsia="es-ES" w:bidi="es-ES"/>
        </w:rPr>
      </w:pPr>
      <w:r w:rsidRPr="0094448B">
        <w:rPr>
          <w:rFonts w:ascii="Verdana" w:hAnsi="Verdana" w:cs="Arial"/>
          <w:bCs/>
          <w:lang w:val="es-ES" w:eastAsia="es-ES" w:bidi="es-ES"/>
        </w:rPr>
        <w:tab/>
      </w:r>
    </w:p>
    <w:p w14:paraId="7F38F68D" w14:textId="77777777" w:rsidR="00AA511B" w:rsidRPr="0094448B" w:rsidRDefault="00AA511B" w:rsidP="00AA511B">
      <w:pPr>
        <w:spacing w:after="0" w:line="276" w:lineRule="auto"/>
        <w:jc w:val="both"/>
        <w:rPr>
          <w:rFonts w:ascii="Verdana" w:hAnsi="Verdana" w:cs="Arial"/>
          <w:bCs/>
          <w:lang w:val="es-ES" w:eastAsia="es-ES" w:bidi="es-ES"/>
        </w:rPr>
      </w:pPr>
      <w:r w:rsidRPr="005D3C67">
        <w:rPr>
          <w:rFonts w:ascii="Verdana" w:eastAsia="Calibri" w:hAnsi="Verdana" w:cs="Times New Roman"/>
          <w:bCs/>
          <w:lang w:val="es-ES" w:bidi="es-ES"/>
        </w:rPr>
        <w:t xml:space="preserve">En ejercicio de la competencia otorgada por los artículos 3, numeral 5º, y 11, numeral 8º, del Decreto Ley 4170 de 2011, </w:t>
      </w:r>
      <w:r w:rsidRPr="005D3C67">
        <w:rPr>
          <w:rFonts w:ascii="Verdana" w:eastAsia="Calibri" w:hAnsi="Verdana" w:cs="Times New Roman"/>
          <w:bCs/>
        </w:rPr>
        <w:t xml:space="preserve">así como lo establecido por la Resolución 469 de 2025 expedida por esta Entidad, </w:t>
      </w:r>
      <w:r w:rsidRPr="005D3C67">
        <w:rPr>
          <w:rFonts w:ascii="Verdana" w:eastAsia="Calibri" w:hAnsi="Verdana" w:cs="Times New Roman"/>
          <w:bCs/>
          <w:lang w:val="es-ES" w:bidi="es-ES"/>
        </w:rPr>
        <w:t>la Agencia Nacional de Contratación Pública – Colombia Compra Eficiente–</w:t>
      </w:r>
      <w:r>
        <w:rPr>
          <w:rFonts w:ascii="Verdana" w:eastAsia="Calibri" w:hAnsi="Verdana" w:cs="Times New Roman"/>
          <w:lang w:val="es-ES"/>
        </w:rPr>
        <w:t xml:space="preserve"> </w:t>
      </w:r>
      <w:r w:rsidRPr="00A12061">
        <w:rPr>
          <w:rFonts w:ascii="Verdana" w:eastAsia="Calibri" w:hAnsi="Verdana" w:cs="Times New Roman"/>
          <w:lang w:val="es-ES"/>
        </w:rPr>
        <w:t>responde la solicit</w:t>
      </w:r>
      <w:r>
        <w:rPr>
          <w:rFonts w:ascii="Verdana" w:eastAsia="Calibri" w:hAnsi="Verdana" w:cs="Times New Roman"/>
          <w:lang w:val="es-ES"/>
        </w:rPr>
        <w:t>ud de consulta presentada el 22 de octubre</w:t>
      </w:r>
      <w:r>
        <w:rPr>
          <w:rFonts w:ascii="Verdana" w:hAnsi="Verdana" w:cs="Arial"/>
          <w:bCs/>
          <w:lang w:val="es-ES" w:eastAsia="es-ES" w:bidi="es-ES"/>
        </w:rPr>
        <w:t xml:space="preserve"> de 2025</w:t>
      </w:r>
      <w:r w:rsidRPr="0094448B">
        <w:rPr>
          <w:rFonts w:ascii="Verdana" w:hAnsi="Verdana" w:cs="Arial"/>
          <w:bCs/>
          <w:lang w:val="es-ES" w:eastAsia="es-ES" w:bidi="es-ES"/>
        </w:rPr>
        <w:t xml:space="preserve">, en la cual manifiesta: </w:t>
      </w:r>
    </w:p>
    <w:p w14:paraId="47578E43" w14:textId="77777777" w:rsidR="00AA511B" w:rsidRDefault="00AA511B" w:rsidP="00AA511B">
      <w:pPr>
        <w:spacing w:after="0" w:line="240" w:lineRule="auto"/>
        <w:jc w:val="both"/>
        <w:rPr>
          <w:rFonts w:ascii="Verdana" w:hAnsi="Verdana" w:cs="Arial"/>
          <w:b/>
          <w:bCs/>
          <w:lang w:val="es-ES" w:eastAsia="es-ES" w:bidi="es-ES"/>
        </w:rPr>
      </w:pPr>
    </w:p>
    <w:p w14:paraId="04F970BE" w14:textId="77777777" w:rsidR="00AA511B" w:rsidRDefault="00AA511B" w:rsidP="00AA511B">
      <w:pPr>
        <w:spacing w:after="0" w:line="240" w:lineRule="auto"/>
        <w:ind w:left="709" w:right="709"/>
        <w:jc w:val="both"/>
        <w:rPr>
          <w:rFonts w:ascii="Verdana" w:hAnsi="Verdana" w:cs="Arial"/>
          <w:bCs/>
          <w:sz w:val="20"/>
          <w:szCs w:val="20"/>
          <w:lang w:val="es-MX" w:eastAsia="es-ES" w:bidi="es-ES"/>
        </w:rPr>
      </w:pPr>
      <w:r>
        <w:rPr>
          <w:rFonts w:ascii="Verdana" w:hAnsi="Verdana" w:cs="Arial"/>
          <w:bCs/>
          <w:sz w:val="20"/>
          <w:szCs w:val="20"/>
          <w:lang w:eastAsia="es-ES" w:bidi="es-ES"/>
        </w:rPr>
        <w:t>“</w:t>
      </w:r>
      <w:r w:rsidRPr="00D908AB">
        <w:rPr>
          <w:rFonts w:ascii="Verdana" w:hAnsi="Verdana" w:cs="Arial"/>
          <w:bCs/>
          <w:sz w:val="20"/>
          <w:szCs w:val="20"/>
          <w:lang w:val="es-MX" w:eastAsia="es-ES" w:bidi="es-ES"/>
        </w:rPr>
        <w:t xml:space="preserve"> </w:t>
      </w:r>
      <w:r>
        <w:rPr>
          <w:rFonts w:ascii="Verdana" w:hAnsi="Verdana" w:cs="Arial"/>
          <w:bCs/>
          <w:sz w:val="20"/>
          <w:szCs w:val="20"/>
          <w:lang w:val="es-MX" w:eastAsia="es-ES" w:bidi="es-ES"/>
        </w:rPr>
        <w:t>[…]</w:t>
      </w:r>
    </w:p>
    <w:p w14:paraId="7066D8AD" w14:textId="77777777" w:rsidR="00AA511B" w:rsidRDefault="00AA511B" w:rsidP="00AA511B">
      <w:pPr>
        <w:spacing w:after="0" w:line="240" w:lineRule="auto"/>
        <w:ind w:left="709" w:right="709"/>
        <w:jc w:val="both"/>
        <w:rPr>
          <w:rFonts w:ascii="Verdana" w:hAnsi="Verdana" w:cs="Arial"/>
          <w:bCs/>
          <w:sz w:val="20"/>
          <w:szCs w:val="20"/>
          <w:lang w:val="es-MX" w:eastAsia="es-ES" w:bidi="es-ES"/>
        </w:rPr>
      </w:pPr>
    </w:p>
    <w:p w14:paraId="349352C5" w14:textId="77777777" w:rsidR="00AA511B" w:rsidRDefault="00AA511B" w:rsidP="00AA511B">
      <w:pPr>
        <w:spacing w:after="0" w:line="240" w:lineRule="auto"/>
        <w:ind w:left="709" w:right="709"/>
        <w:jc w:val="both"/>
        <w:rPr>
          <w:rFonts w:ascii="Verdana" w:hAnsi="Verdana" w:cs="Arial"/>
          <w:bCs/>
          <w:sz w:val="20"/>
          <w:szCs w:val="20"/>
          <w:lang w:val="es-MX" w:eastAsia="es-ES" w:bidi="es-ES"/>
        </w:rPr>
      </w:pPr>
      <w:r>
        <w:rPr>
          <w:rFonts w:ascii="Verdana" w:hAnsi="Verdana" w:cs="Arial"/>
          <w:bCs/>
          <w:sz w:val="20"/>
          <w:szCs w:val="20"/>
          <w:lang w:val="es-MX" w:eastAsia="es-ES" w:bidi="es-ES"/>
        </w:rPr>
        <w:t>¿</w:t>
      </w:r>
      <w:r w:rsidRPr="00D908AB">
        <w:rPr>
          <w:rFonts w:ascii="Verdana" w:hAnsi="Verdana" w:cs="Arial"/>
          <w:bCs/>
          <w:sz w:val="20"/>
          <w:szCs w:val="20"/>
          <w:lang w:val="es-MX" w:eastAsia="es-ES" w:bidi="es-ES"/>
        </w:rPr>
        <w:t>Por qué la entidad no puede o no está obligada a solicitar aclaración de precios a la oferta inicial de precios es decir antes de la subasta</w:t>
      </w:r>
      <w:r>
        <w:rPr>
          <w:rFonts w:ascii="Verdana" w:hAnsi="Verdana" w:cs="Arial"/>
          <w:bCs/>
          <w:sz w:val="20"/>
          <w:szCs w:val="20"/>
          <w:lang w:val="es-MX" w:eastAsia="es-ES" w:bidi="es-ES"/>
        </w:rPr>
        <w:t>,</w:t>
      </w:r>
      <w:r w:rsidRPr="00D908AB">
        <w:rPr>
          <w:rFonts w:ascii="Verdana" w:hAnsi="Verdana" w:cs="Arial"/>
          <w:bCs/>
          <w:sz w:val="20"/>
          <w:szCs w:val="20"/>
          <w:lang w:val="es-MX" w:eastAsia="es-ES" w:bidi="es-ES"/>
        </w:rPr>
        <w:t xml:space="preserve"> aún cuando se advierte que el oferente puede encontrarse en tal situación</w:t>
      </w:r>
      <w:r>
        <w:rPr>
          <w:rFonts w:ascii="Verdana" w:hAnsi="Verdana" w:cs="Arial"/>
          <w:bCs/>
          <w:sz w:val="20"/>
          <w:szCs w:val="20"/>
          <w:lang w:val="es-MX" w:eastAsia="es-ES" w:bidi="es-ES"/>
        </w:rPr>
        <w:t>?</w:t>
      </w:r>
    </w:p>
    <w:p w14:paraId="12DB1507" w14:textId="77777777" w:rsidR="00AA511B" w:rsidRDefault="00AA511B" w:rsidP="00AA511B">
      <w:pPr>
        <w:spacing w:after="0" w:line="240" w:lineRule="auto"/>
        <w:ind w:left="709" w:right="709"/>
        <w:jc w:val="both"/>
        <w:rPr>
          <w:rFonts w:ascii="Verdana" w:hAnsi="Verdana" w:cs="Arial"/>
          <w:bCs/>
          <w:sz w:val="20"/>
          <w:szCs w:val="20"/>
          <w:lang w:val="es-MX" w:eastAsia="es-ES" w:bidi="es-ES"/>
        </w:rPr>
      </w:pPr>
    </w:p>
    <w:p w14:paraId="79C26FA0" w14:textId="77777777" w:rsidR="00AA511B" w:rsidRDefault="00AA511B" w:rsidP="00AA511B">
      <w:pPr>
        <w:spacing w:after="0" w:line="240" w:lineRule="auto"/>
        <w:ind w:left="709" w:right="709"/>
        <w:jc w:val="both"/>
        <w:rPr>
          <w:rFonts w:ascii="Verdana" w:hAnsi="Verdana" w:cs="Arial"/>
          <w:bCs/>
          <w:sz w:val="20"/>
          <w:szCs w:val="20"/>
          <w:lang w:val="es-MX" w:eastAsia="es-ES" w:bidi="es-ES"/>
        </w:rPr>
      </w:pPr>
      <w:r>
        <w:rPr>
          <w:rFonts w:ascii="Verdana" w:hAnsi="Verdana" w:cs="Arial"/>
          <w:bCs/>
          <w:sz w:val="20"/>
          <w:szCs w:val="20"/>
          <w:lang w:val="es-MX" w:eastAsia="es-ES" w:bidi="es-ES"/>
        </w:rPr>
        <w:t>¿Q</w:t>
      </w:r>
      <w:r w:rsidRPr="00D908AB">
        <w:rPr>
          <w:rFonts w:ascii="Verdana" w:hAnsi="Verdana" w:cs="Arial"/>
          <w:bCs/>
          <w:sz w:val="20"/>
          <w:szCs w:val="20"/>
          <w:lang w:val="es-MX" w:eastAsia="es-ES" w:bidi="es-ES"/>
        </w:rPr>
        <w:t>ué pasa si hay puja</w:t>
      </w:r>
      <w:r>
        <w:rPr>
          <w:rFonts w:ascii="Verdana" w:hAnsi="Verdana" w:cs="Arial"/>
          <w:bCs/>
          <w:sz w:val="20"/>
          <w:szCs w:val="20"/>
          <w:lang w:val="es-MX" w:eastAsia="es-ES" w:bidi="es-ES"/>
        </w:rPr>
        <w:t>,</w:t>
      </w:r>
      <w:r w:rsidRPr="00D908AB">
        <w:rPr>
          <w:rFonts w:ascii="Verdana" w:hAnsi="Verdana" w:cs="Arial"/>
          <w:bCs/>
          <w:sz w:val="20"/>
          <w:szCs w:val="20"/>
          <w:lang w:val="es-MX" w:eastAsia="es-ES" w:bidi="es-ES"/>
        </w:rPr>
        <w:t xml:space="preserve"> y sobre este valor inicial</w:t>
      </w:r>
      <w:r>
        <w:rPr>
          <w:rFonts w:ascii="Verdana" w:hAnsi="Verdana" w:cs="Arial"/>
          <w:bCs/>
          <w:sz w:val="20"/>
          <w:szCs w:val="20"/>
          <w:lang w:val="es-MX" w:eastAsia="es-ES" w:bidi="es-ES"/>
        </w:rPr>
        <w:t>,</w:t>
      </w:r>
      <w:r w:rsidRPr="00D908AB">
        <w:rPr>
          <w:rFonts w:ascii="Verdana" w:hAnsi="Verdana" w:cs="Arial"/>
          <w:bCs/>
          <w:sz w:val="20"/>
          <w:szCs w:val="20"/>
          <w:lang w:val="es-MX" w:eastAsia="es-ES" w:bidi="es-ES"/>
        </w:rPr>
        <w:t xml:space="preserve"> los proponentes se bajen más en la puja llegando a más del 20% con respecto al valor de arranque es decir </w:t>
      </w:r>
      <w:r>
        <w:rPr>
          <w:rFonts w:ascii="Verdana" w:hAnsi="Verdana" w:cs="Arial"/>
          <w:bCs/>
          <w:sz w:val="20"/>
          <w:szCs w:val="20"/>
          <w:lang w:val="es-MX" w:eastAsia="es-ES" w:bidi="es-ES"/>
        </w:rPr>
        <w:t>$</w:t>
      </w:r>
      <w:r w:rsidRPr="00D908AB">
        <w:rPr>
          <w:rFonts w:ascii="Verdana" w:hAnsi="Verdana" w:cs="Arial"/>
          <w:bCs/>
          <w:sz w:val="20"/>
          <w:szCs w:val="20"/>
          <w:lang w:val="es-MX" w:eastAsia="es-ES" w:bidi="es-ES"/>
        </w:rPr>
        <w:t>168</w:t>
      </w:r>
      <w:r>
        <w:rPr>
          <w:rFonts w:ascii="Verdana" w:hAnsi="Verdana" w:cs="Arial"/>
          <w:bCs/>
          <w:sz w:val="20"/>
          <w:szCs w:val="20"/>
          <w:lang w:val="es-MX" w:eastAsia="es-ES" w:bidi="es-ES"/>
        </w:rPr>
        <w:t>.</w:t>
      </w:r>
      <w:r w:rsidRPr="00D908AB">
        <w:rPr>
          <w:rFonts w:ascii="Verdana" w:hAnsi="Verdana" w:cs="Arial"/>
          <w:bCs/>
          <w:sz w:val="20"/>
          <w:szCs w:val="20"/>
          <w:lang w:val="es-MX" w:eastAsia="es-ES" w:bidi="es-ES"/>
        </w:rPr>
        <w:t>335</w:t>
      </w:r>
      <w:r>
        <w:rPr>
          <w:rFonts w:ascii="Verdana" w:hAnsi="Verdana" w:cs="Arial"/>
          <w:bCs/>
          <w:sz w:val="20"/>
          <w:szCs w:val="20"/>
          <w:lang w:val="es-MX" w:eastAsia="es-ES" w:bidi="es-ES"/>
        </w:rPr>
        <w:t>.</w:t>
      </w:r>
      <w:r w:rsidRPr="00D908AB">
        <w:rPr>
          <w:rFonts w:ascii="Verdana" w:hAnsi="Verdana" w:cs="Arial"/>
          <w:bCs/>
          <w:sz w:val="20"/>
          <w:szCs w:val="20"/>
          <w:lang w:val="es-MX" w:eastAsia="es-ES" w:bidi="es-ES"/>
        </w:rPr>
        <w:t>799</w:t>
      </w:r>
      <w:r>
        <w:rPr>
          <w:rFonts w:ascii="Verdana" w:hAnsi="Verdana" w:cs="Arial"/>
          <w:bCs/>
          <w:sz w:val="20"/>
          <w:szCs w:val="20"/>
          <w:lang w:val="es-MX" w:eastAsia="es-ES" w:bidi="es-ES"/>
        </w:rPr>
        <w:t>?</w:t>
      </w:r>
    </w:p>
    <w:p w14:paraId="33415545" w14:textId="77777777" w:rsidR="00AA511B" w:rsidRDefault="00AA511B" w:rsidP="00AA511B">
      <w:pPr>
        <w:spacing w:after="0" w:line="240" w:lineRule="auto"/>
        <w:ind w:left="709" w:right="709"/>
        <w:jc w:val="both"/>
        <w:rPr>
          <w:rFonts w:ascii="Verdana" w:hAnsi="Verdana" w:cs="Arial"/>
          <w:bCs/>
          <w:sz w:val="20"/>
          <w:szCs w:val="20"/>
          <w:lang w:val="es-MX" w:eastAsia="es-ES" w:bidi="es-ES"/>
        </w:rPr>
      </w:pPr>
    </w:p>
    <w:p w14:paraId="6C71138D" w14:textId="77777777" w:rsidR="00AA511B" w:rsidRDefault="00AA511B" w:rsidP="00AA511B">
      <w:pPr>
        <w:spacing w:after="0" w:line="240" w:lineRule="auto"/>
        <w:ind w:left="709" w:right="709"/>
        <w:jc w:val="both"/>
        <w:rPr>
          <w:rFonts w:ascii="Verdana" w:hAnsi="Verdana" w:cs="Arial"/>
          <w:bCs/>
          <w:sz w:val="20"/>
          <w:szCs w:val="20"/>
          <w:lang w:val="es-MX" w:eastAsia="es-ES" w:bidi="es-ES"/>
        </w:rPr>
      </w:pPr>
      <w:r>
        <w:rPr>
          <w:rFonts w:ascii="Verdana" w:hAnsi="Verdana" w:cs="Arial"/>
          <w:bCs/>
          <w:sz w:val="20"/>
          <w:szCs w:val="20"/>
          <w:lang w:val="es-MX" w:eastAsia="es-ES" w:bidi="es-ES"/>
        </w:rPr>
        <w:lastRenderedPageBreak/>
        <w:t>¿E</w:t>
      </w:r>
      <w:r w:rsidRPr="002710D4">
        <w:rPr>
          <w:rFonts w:ascii="Verdana" w:hAnsi="Verdana" w:cs="Arial"/>
          <w:bCs/>
          <w:sz w:val="20"/>
          <w:szCs w:val="20"/>
          <w:lang w:val="es-MX" w:eastAsia="es-ES" w:bidi="es-ES"/>
        </w:rPr>
        <w:t>staría la entidad induciendo a los proponentes a que sus lances siempre se encuentren posiblemente en precios artificialmente bajos</w:t>
      </w:r>
      <w:r>
        <w:rPr>
          <w:rFonts w:ascii="Verdana" w:hAnsi="Verdana" w:cs="Arial"/>
          <w:bCs/>
          <w:sz w:val="20"/>
          <w:szCs w:val="20"/>
          <w:lang w:val="es-MX" w:eastAsia="es-ES" w:bidi="es-ES"/>
        </w:rPr>
        <w:t>,</w:t>
      </w:r>
      <w:r w:rsidRPr="002710D4">
        <w:rPr>
          <w:rFonts w:ascii="Verdana" w:hAnsi="Verdana" w:cs="Arial"/>
          <w:bCs/>
          <w:sz w:val="20"/>
          <w:szCs w:val="20"/>
          <w:lang w:val="es-MX" w:eastAsia="es-ES" w:bidi="es-ES"/>
        </w:rPr>
        <w:t xml:space="preserve"> ya que ese arrancó con una propuesta que posiblemente estaba en esta condición</w:t>
      </w:r>
      <w:r>
        <w:rPr>
          <w:rFonts w:ascii="Verdana" w:hAnsi="Verdana" w:cs="Arial"/>
          <w:bCs/>
          <w:sz w:val="20"/>
          <w:szCs w:val="20"/>
          <w:lang w:val="es-MX" w:eastAsia="es-ES" w:bidi="es-ES"/>
        </w:rPr>
        <w:t>?</w:t>
      </w:r>
    </w:p>
    <w:p w14:paraId="2772DDBD" w14:textId="77777777" w:rsidR="00AA511B" w:rsidRDefault="00AA511B" w:rsidP="00AA511B">
      <w:pPr>
        <w:spacing w:after="0" w:line="240" w:lineRule="auto"/>
        <w:ind w:left="709" w:right="709"/>
        <w:jc w:val="both"/>
        <w:rPr>
          <w:rFonts w:ascii="Verdana" w:hAnsi="Verdana" w:cs="Arial"/>
          <w:bCs/>
          <w:sz w:val="20"/>
          <w:szCs w:val="20"/>
          <w:lang w:val="es-MX" w:eastAsia="es-ES" w:bidi="es-ES"/>
        </w:rPr>
      </w:pPr>
    </w:p>
    <w:p w14:paraId="4908001C" w14:textId="77777777" w:rsidR="00AA511B" w:rsidRDefault="00AA511B" w:rsidP="00AA511B">
      <w:pPr>
        <w:spacing w:after="0" w:line="240" w:lineRule="auto"/>
        <w:ind w:left="709" w:right="709"/>
        <w:jc w:val="both"/>
        <w:rPr>
          <w:rFonts w:ascii="Verdana" w:hAnsi="Verdana" w:cs="Arial"/>
          <w:bCs/>
          <w:sz w:val="20"/>
          <w:szCs w:val="20"/>
          <w:lang w:eastAsia="es-ES" w:bidi="es-ES"/>
        </w:rPr>
      </w:pPr>
      <w:r>
        <w:rPr>
          <w:rFonts w:ascii="Verdana" w:hAnsi="Verdana" w:cs="Arial"/>
          <w:bCs/>
          <w:sz w:val="20"/>
          <w:szCs w:val="20"/>
          <w:lang w:val="es-MX" w:eastAsia="es-ES" w:bidi="es-ES"/>
        </w:rPr>
        <w:t>¿L</w:t>
      </w:r>
      <w:r w:rsidRPr="002710D4">
        <w:rPr>
          <w:rFonts w:ascii="Verdana" w:hAnsi="Verdana" w:cs="Arial"/>
          <w:bCs/>
          <w:sz w:val="20"/>
          <w:szCs w:val="20"/>
          <w:lang w:val="es-MX" w:eastAsia="es-ES" w:bidi="es-ES"/>
        </w:rPr>
        <w:t>a entidad porque se encuentra atada a solicitar justificación de precio sólo hasta el final de la subasta</w:t>
      </w:r>
      <w:r>
        <w:rPr>
          <w:rFonts w:ascii="Verdana" w:hAnsi="Verdana" w:cs="Arial"/>
          <w:bCs/>
          <w:sz w:val="20"/>
          <w:szCs w:val="20"/>
          <w:lang w:val="es-MX" w:eastAsia="es-ES" w:bidi="es-ES"/>
        </w:rPr>
        <w:t>,</w:t>
      </w:r>
      <w:r w:rsidRPr="002710D4">
        <w:rPr>
          <w:rFonts w:ascii="Verdana" w:hAnsi="Verdana" w:cs="Arial"/>
          <w:bCs/>
          <w:sz w:val="20"/>
          <w:szCs w:val="20"/>
          <w:lang w:val="es-MX" w:eastAsia="es-ES" w:bidi="es-ES"/>
        </w:rPr>
        <w:t xml:space="preserve"> cuando puede basar su solicitud en los principios de la contratación estatal establecidos en la norma</w:t>
      </w:r>
      <w:r>
        <w:rPr>
          <w:rFonts w:ascii="Verdana" w:hAnsi="Verdana" w:cs="Arial"/>
          <w:bCs/>
          <w:sz w:val="20"/>
          <w:szCs w:val="20"/>
          <w:lang w:eastAsia="es-ES" w:bidi="es-ES"/>
        </w:rPr>
        <w:t>”</w:t>
      </w:r>
    </w:p>
    <w:p w14:paraId="12819BE7" w14:textId="77777777" w:rsidR="00E35008" w:rsidRDefault="00E35008" w:rsidP="00AA511B">
      <w:pPr>
        <w:spacing w:after="0" w:line="240" w:lineRule="auto"/>
        <w:ind w:left="709" w:right="709"/>
        <w:jc w:val="both"/>
        <w:rPr>
          <w:rFonts w:ascii="Verdana" w:hAnsi="Verdana" w:cs="Arial"/>
          <w:bCs/>
          <w:sz w:val="20"/>
          <w:szCs w:val="20"/>
          <w:lang w:eastAsia="es-ES" w:bidi="es-ES"/>
        </w:rPr>
      </w:pPr>
    </w:p>
    <w:p w14:paraId="5C02E5B1" w14:textId="2D8C21B8" w:rsidR="00E35008" w:rsidRPr="00A8203D" w:rsidRDefault="00E35008" w:rsidP="00AA511B">
      <w:pPr>
        <w:spacing w:after="0" w:line="240" w:lineRule="auto"/>
        <w:ind w:left="709" w:right="709"/>
        <w:jc w:val="both"/>
        <w:rPr>
          <w:rFonts w:ascii="Verdana" w:hAnsi="Verdana" w:cs="Arial"/>
          <w:bCs/>
          <w:sz w:val="20"/>
          <w:szCs w:val="20"/>
          <w:lang w:eastAsia="es-ES" w:bidi="es-ES"/>
        </w:rPr>
      </w:pPr>
      <w:r>
        <w:rPr>
          <w:rFonts w:ascii="Verdana" w:hAnsi="Verdana" w:cs="Arial"/>
          <w:bCs/>
          <w:sz w:val="20"/>
          <w:szCs w:val="20"/>
          <w:lang w:eastAsia="es-ES" w:bidi="es-ES"/>
        </w:rPr>
        <w:t>[…]</w:t>
      </w:r>
    </w:p>
    <w:p w14:paraId="52F8FDA0" w14:textId="77777777" w:rsidR="00AA511B" w:rsidRPr="0094448B" w:rsidRDefault="00AA511B" w:rsidP="00AA511B">
      <w:pPr>
        <w:spacing w:after="0" w:line="240" w:lineRule="auto"/>
        <w:jc w:val="both"/>
        <w:rPr>
          <w:rFonts w:ascii="Verdana" w:hAnsi="Verdana" w:cs="Arial"/>
          <w:b/>
          <w:bCs/>
          <w:lang w:val="es-ES" w:eastAsia="es-ES" w:bidi="es-ES"/>
        </w:rPr>
      </w:pPr>
    </w:p>
    <w:p w14:paraId="3526B998" w14:textId="77777777" w:rsidR="00AA511B" w:rsidRPr="0094448B" w:rsidRDefault="00AA511B" w:rsidP="00AA511B">
      <w:pPr>
        <w:spacing w:after="120" w:line="276" w:lineRule="auto"/>
        <w:ind w:firstLine="709"/>
        <w:jc w:val="both"/>
        <w:rPr>
          <w:rFonts w:ascii="Verdana" w:eastAsia="Calibri" w:hAnsi="Verdana" w:cs="Times New Roman"/>
          <w:lang w:val="es-ES"/>
        </w:rPr>
      </w:pPr>
      <w:r w:rsidRPr="0094448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29AAC739" w14:textId="77777777" w:rsidR="00AA511B" w:rsidRPr="0094448B" w:rsidRDefault="00AA511B" w:rsidP="00AA511B">
      <w:pPr>
        <w:spacing w:after="0" w:line="276" w:lineRule="auto"/>
        <w:ind w:firstLine="708"/>
        <w:jc w:val="both"/>
        <w:rPr>
          <w:rFonts w:ascii="Verdana" w:eastAsia="Calibri" w:hAnsi="Verdana" w:cs="Times New Roman"/>
          <w:lang w:val="es-ES"/>
        </w:rPr>
      </w:pPr>
      <w:r w:rsidRPr="0094448B">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el</w:t>
      </w:r>
      <w:r w:rsidRPr="0094448B">
        <w:rPr>
          <w:rFonts w:ascii="Verdana" w:eastAsia="Calibri" w:hAnsi="Verdana" w:cs="Times New Roman"/>
          <w:lang w:val="es-ES"/>
        </w:rPr>
        <w:t xml:space="preserve"> problema jurídico</w:t>
      </w:r>
      <w:r>
        <w:rPr>
          <w:rFonts w:ascii="Verdana" w:eastAsia="Calibri" w:hAnsi="Verdana" w:cs="Times New Roman"/>
          <w:lang w:val="es-ES"/>
        </w:rPr>
        <w:t xml:space="preserve"> </w:t>
      </w:r>
      <w:r w:rsidRPr="0094448B">
        <w:rPr>
          <w:rFonts w:ascii="Verdana" w:eastAsia="Calibri" w:hAnsi="Verdana" w:cs="Times New Roman"/>
          <w:lang w:val="es-ES"/>
        </w:rPr>
        <w:t>de su consulta.</w:t>
      </w:r>
    </w:p>
    <w:p w14:paraId="17A9A8BB" w14:textId="77777777" w:rsidR="00AA511B" w:rsidRPr="0094448B" w:rsidRDefault="00AA511B" w:rsidP="00AA511B">
      <w:pPr>
        <w:spacing w:after="0" w:line="256" w:lineRule="auto"/>
        <w:rPr>
          <w:rFonts w:ascii="Verdana" w:eastAsia="Calibri" w:hAnsi="Verdana" w:cs="Times New Roman"/>
          <w:lang w:val="es-ES"/>
        </w:rPr>
      </w:pPr>
    </w:p>
    <w:p w14:paraId="62BACB4C" w14:textId="77777777" w:rsidR="00AA511B" w:rsidRPr="0094448B" w:rsidRDefault="00AA511B" w:rsidP="00AA511B">
      <w:pPr>
        <w:numPr>
          <w:ilvl w:val="0"/>
          <w:numId w:val="16"/>
        </w:numPr>
        <w:spacing w:after="0" w:line="256" w:lineRule="auto"/>
        <w:contextualSpacing/>
        <w:rPr>
          <w:rFonts w:ascii="Verdana" w:eastAsia="Calibri" w:hAnsi="Verdana" w:cs="Times New Roman"/>
          <w:b/>
          <w:bCs/>
          <w:lang w:val="es-ES"/>
        </w:rPr>
      </w:pPr>
      <w:r w:rsidRPr="0094448B">
        <w:rPr>
          <w:rFonts w:ascii="Verdana" w:eastAsia="Calibri" w:hAnsi="Verdana" w:cs="Times New Roman"/>
          <w:b/>
          <w:bCs/>
          <w:lang w:val="es-ES"/>
        </w:rPr>
        <w:t>Problema planteado:</w:t>
      </w:r>
    </w:p>
    <w:p w14:paraId="331619BF" w14:textId="77777777" w:rsidR="00AA511B" w:rsidRPr="0094448B" w:rsidRDefault="00AA511B" w:rsidP="00AA511B">
      <w:pPr>
        <w:spacing w:after="0" w:line="256" w:lineRule="auto"/>
        <w:rPr>
          <w:rFonts w:ascii="Verdana" w:eastAsia="Calibri" w:hAnsi="Verdana" w:cs="Times New Roman"/>
        </w:rPr>
      </w:pPr>
    </w:p>
    <w:p w14:paraId="71E686E1" w14:textId="77777777" w:rsidR="00AA511B" w:rsidRPr="00DA1125" w:rsidRDefault="00AA511B" w:rsidP="00AA511B">
      <w:pPr>
        <w:spacing w:after="0" w:line="276" w:lineRule="auto"/>
        <w:jc w:val="both"/>
        <w:rPr>
          <w:rFonts w:ascii="Verdana" w:eastAsia="Calibri" w:hAnsi="Verdana" w:cs="Times New Roman"/>
        </w:rPr>
      </w:pPr>
      <w:r w:rsidRPr="0094448B">
        <w:rPr>
          <w:rFonts w:ascii="Verdana" w:eastAsia="Calibri" w:hAnsi="Verdana" w:cs="Times New Roman"/>
        </w:rPr>
        <w:t xml:space="preserve">De acuerdo con el contenido de su solicitud, esta Agencia procede a </w:t>
      </w:r>
      <w:r>
        <w:rPr>
          <w:rFonts w:ascii="Verdana" w:eastAsia="Calibri" w:hAnsi="Verdana" w:cs="Times New Roman"/>
        </w:rPr>
        <w:t>responder el siguiente problema jurídico: En la subasta inversa ¿En qué momento se debe requerir al proponente cuya oferta parece artificialmente baja?</w:t>
      </w:r>
    </w:p>
    <w:p w14:paraId="33D1656B" w14:textId="77777777" w:rsidR="00AA511B" w:rsidRPr="0094448B" w:rsidRDefault="00AA511B" w:rsidP="00AA511B">
      <w:pPr>
        <w:spacing w:after="0" w:line="276" w:lineRule="auto"/>
        <w:jc w:val="both"/>
        <w:rPr>
          <w:rFonts w:ascii="Verdana" w:eastAsia="Calibri" w:hAnsi="Verdana" w:cs="Times New Roman"/>
          <w:bCs/>
        </w:rPr>
      </w:pPr>
    </w:p>
    <w:p w14:paraId="032C8122" w14:textId="77777777" w:rsidR="00AA511B" w:rsidRPr="0094448B" w:rsidRDefault="00AA511B" w:rsidP="00AA511B">
      <w:pPr>
        <w:numPr>
          <w:ilvl w:val="0"/>
          <w:numId w:val="16"/>
        </w:numPr>
        <w:spacing w:after="0" w:line="256" w:lineRule="auto"/>
        <w:contextualSpacing/>
        <w:rPr>
          <w:rFonts w:ascii="Verdana" w:eastAsia="Calibri" w:hAnsi="Verdana" w:cs="Times New Roman"/>
          <w:b/>
          <w:bCs/>
          <w:lang w:val="es-ES"/>
        </w:rPr>
      </w:pPr>
      <w:r w:rsidRPr="0094448B">
        <w:rPr>
          <w:rFonts w:ascii="Verdana" w:eastAsia="Calibri" w:hAnsi="Verdana" w:cs="Times New Roman"/>
          <w:b/>
          <w:bCs/>
          <w:lang w:val="es-ES"/>
        </w:rPr>
        <w:t>Respuesta:</w:t>
      </w:r>
    </w:p>
    <w:p w14:paraId="5D629EDC" w14:textId="77777777" w:rsidR="00AA511B" w:rsidRPr="0094448B" w:rsidRDefault="00AA511B" w:rsidP="00AA511B">
      <w:pPr>
        <w:spacing w:after="0" w:line="240" w:lineRule="auto"/>
        <w:jc w:val="both"/>
        <w:rPr>
          <w:rFonts w:ascii="Verdana" w:hAnsi="Verdana" w:cs="Arial"/>
          <w:bCs/>
          <w:lang w:val="es-ES" w:eastAsia="es-ES" w:bidi="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A511B" w:rsidRPr="0094448B" w14:paraId="412E8822" w14:textId="77777777" w:rsidTr="00772C10">
        <w:trPr>
          <w:trHeight w:val="70"/>
          <w:jc w:val="center"/>
        </w:trPr>
        <w:tc>
          <w:tcPr>
            <w:tcW w:w="8647" w:type="dxa"/>
          </w:tcPr>
          <w:p w14:paraId="2B754FE4" w14:textId="77777777" w:rsidR="00AA511B" w:rsidRDefault="00AA511B" w:rsidP="00772C10">
            <w:pPr>
              <w:spacing w:before="120" w:after="120" w:line="276" w:lineRule="auto"/>
              <w:jc w:val="both"/>
              <w:rPr>
                <w:rFonts w:ascii="Verdana" w:hAnsi="Verdana"/>
              </w:rPr>
            </w:pPr>
            <w:r w:rsidRPr="00643952">
              <w:rPr>
                <w:rFonts w:ascii="Verdana" w:hAnsi="Verdana"/>
              </w:rPr>
              <w:lastRenderedPageBreak/>
              <w:t xml:space="preserve">De </w:t>
            </w:r>
            <w:r w:rsidRPr="00BC59D8">
              <w:rPr>
                <w:rFonts w:ascii="Verdana" w:hAnsi="Verdana"/>
              </w:rPr>
              <w:t>conformidad con el artículo 2.2.1.1.2.2.4 del Decreto 1082 de 2025, en los procesos de selección que emplean la modalidad de subasta inversa, el análisis de ofertas con valor artificialmente bajo debe realizarse una vez finalizado el evento de subasta, tomando como referencia el precio final ofertado por el proponente. Esto se debe a que, en la subasta inversa, los precios se modifican dinámicamente durante el evento, y solo al concluir el mismo se cuenta con un valor definitivo que puede ser objeto de análisis por parte de la Entidad Estatal. En consecuencia, requerir explicaciones antes o durante el desarrollo de la subasta contravendría lo dispuesto en la norma, que expresamente señala que dicha verificación debe realizarse sobre el precio obtenido al final de la misma, al señalar que “[…] En la subasta inversa esta disposición es aplicable sobre el precio obtenido al final de la misma”.</w:t>
            </w:r>
          </w:p>
          <w:p w14:paraId="4E86B2DF" w14:textId="77777777" w:rsidR="00AA511B" w:rsidRDefault="00AA511B" w:rsidP="00F83D8C">
            <w:pPr>
              <w:spacing w:after="120" w:line="276" w:lineRule="auto"/>
              <w:ind w:right="57" w:firstLine="709"/>
              <w:jc w:val="both"/>
              <w:rPr>
                <w:rFonts w:ascii="Verdana" w:eastAsia="Calibri" w:hAnsi="Verdana" w:cs="Arial"/>
                <w:color w:val="000000" w:themeColor="text1"/>
              </w:rPr>
            </w:pPr>
            <w:r>
              <w:rPr>
                <w:rFonts w:ascii="Verdana" w:eastAsia="Calibri" w:hAnsi="Verdana" w:cs="Arial"/>
                <w:color w:val="000000" w:themeColor="text1"/>
              </w:rPr>
              <w:t>Finalmente</w:t>
            </w:r>
            <w:r w:rsidRPr="00A22280">
              <w:rPr>
                <w:rFonts w:ascii="Verdana" w:eastAsia="Calibri" w:hAnsi="Verdana" w:cs="Arial"/>
                <w:lang w:val="es-ES"/>
              </w:rPr>
              <w:t>, es importante aclarar que, teniendo</w:t>
            </w:r>
            <w:r w:rsidRPr="00A22280">
              <w:t xml:space="preserve"> </w:t>
            </w:r>
            <w:r w:rsidRPr="00A22280">
              <w:rPr>
                <w:rFonts w:ascii="Verdana" w:eastAsia="Calibri" w:hAnsi="Verdana" w:cs="Arial"/>
                <w:lang w:val="es-ES"/>
              </w:rPr>
              <w:t xml:space="preserve">en cuenta que esta entidad solo tiene competencia para responder solicitudes sobre la aplicación de normas de carácter general en materia de compras y contratación pública, </w:t>
            </w:r>
            <w:r>
              <w:rPr>
                <w:rFonts w:ascii="Verdana" w:eastAsia="Calibri" w:hAnsi="Verdana" w:cs="Arial"/>
                <w:i/>
                <w:lang w:val="es-ES"/>
              </w:rPr>
              <w:t>no</w:t>
            </w:r>
            <w:r w:rsidRPr="00F75E78">
              <w:rPr>
                <w:rFonts w:ascii="Verdana" w:eastAsia="Calibri" w:hAnsi="Verdana" w:cs="Arial"/>
                <w:i/>
                <w:lang w:val="es-ES"/>
              </w:rPr>
              <w:t xml:space="preserve"> es la idónea para establecer la validez de la situación descrita en su consulta</w:t>
            </w:r>
            <w:r>
              <w:rPr>
                <w:rFonts w:ascii="Verdana" w:eastAsia="Calibri" w:hAnsi="Verdana" w:cs="Arial"/>
                <w:i/>
                <w:lang w:val="es-ES"/>
              </w:rPr>
              <w:t xml:space="preserve">. </w:t>
            </w:r>
            <w:r w:rsidRPr="002663F0">
              <w:rPr>
                <w:rFonts w:ascii="Verdana" w:eastAsia="Calibri" w:hAnsi="Verdana" w:cs="Arial"/>
                <w:lang w:val="es-ES"/>
              </w:rPr>
              <w:t>Lo anterior</w:t>
            </w:r>
            <w:r w:rsidRPr="002663F0">
              <w:rPr>
                <w:rFonts w:ascii="Verdana" w:eastAsia="Calibri" w:hAnsi="Verdana" w:cs="Arial"/>
                <w:color w:val="000000" w:themeColor="text1"/>
              </w:rPr>
              <w:t xml:space="preserve"> </w:t>
            </w:r>
            <w:r>
              <w:rPr>
                <w:rFonts w:ascii="Verdana" w:eastAsia="Calibri" w:hAnsi="Verdana" w:cs="Arial"/>
                <w:color w:val="000000" w:themeColor="text1"/>
              </w:rPr>
              <w:t>debido a que la competencia consultiva se fija con límites claros, con el objeto de</w:t>
            </w:r>
            <w:r w:rsidRPr="00CF54DC">
              <w:rPr>
                <w:rFonts w:ascii="Verdana" w:eastAsia="Calibri" w:hAnsi="Verdana" w:cs="Arial"/>
                <w:color w:val="000000" w:themeColor="text1"/>
              </w:rPr>
              <w:t xml:space="preserve"> evitar que se actúe como una instancia de validación de las actuaciones de las entidades sujetas a la Ley 80 de 1993 o de los demás participantes en la contratación pública, lo cual corresponde a la competencia de los entes de control y los jueces de la República.</w:t>
            </w:r>
          </w:p>
          <w:p w14:paraId="2088F512" w14:textId="77777777" w:rsidR="00AA511B" w:rsidRPr="0094448B" w:rsidRDefault="00AA511B" w:rsidP="00F83D8C">
            <w:pPr>
              <w:spacing w:before="120" w:line="276" w:lineRule="auto"/>
              <w:ind w:firstLine="708"/>
              <w:jc w:val="both"/>
              <w:rPr>
                <w:rFonts w:ascii="Verdana" w:eastAsia="Calibri" w:hAnsi="Verdana" w:cs="Arial"/>
                <w:bCs/>
                <w:color w:val="000000" w:themeColor="text1"/>
              </w:rPr>
            </w:pPr>
            <w:r w:rsidRPr="0094448B">
              <w:rPr>
                <w:rFonts w:ascii="Verdana" w:hAnsi="Verdana" w:cs="Arial"/>
                <w:bCs/>
                <w:lang w:val="es-ES_tradnl" w:eastAsia="es-ES"/>
              </w:rPr>
              <w:t>E</w:t>
            </w:r>
            <w:r>
              <w:rPr>
                <w:rFonts w:ascii="Verdana" w:hAnsi="Verdana" w:cs="Arial"/>
                <w:bCs/>
                <w:lang w:val="es-ES_tradnl" w:eastAsia="es-ES"/>
              </w:rPr>
              <w:t>n todo caso</w:t>
            </w:r>
            <w:r w:rsidRPr="0094448B">
              <w:rPr>
                <w:rFonts w:ascii="Verdana" w:hAnsi="Verdana" w:cs="Arial"/>
                <w:bCs/>
                <w:lang w:val="es-ES_tradnl" w:eastAsia="es-ES"/>
              </w:rPr>
              <w:t xml:space="preserve">, </w:t>
            </w:r>
            <w:r w:rsidRPr="0094448B">
              <w:rPr>
                <w:rFonts w:ascii="Verdana" w:hAnsi="Verdana" w:cs="Arial"/>
                <w:bCs/>
                <w:lang w:eastAsia="es-ES"/>
              </w:rPr>
              <w:t xml:space="preserve">la entidad pública definirá en cada </w:t>
            </w:r>
            <w:r>
              <w:rPr>
                <w:rFonts w:ascii="Verdana" w:hAnsi="Verdana" w:cs="Arial"/>
                <w:bCs/>
                <w:lang w:eastAsia="es-ES"/>
              </w:rPr>
              <w:t xml:space="preserve">supuesto </w:t>
            </w:r>
            <w:r w:rsidRPr="0094448B">
              <w:rPr>
                <w:rFonts w:ascii="Verdana" w:hAnsi="Verdana" w:cs="Arial"/>
                <w:bCs/>
                <w:lang w:eastAsia="es-ES"/>
              </w:rPr>
              <w:t>lo relacionado con el tema objeto de consulta y teniendo en cuenta lo dispuesto en las normas previamente citadas. Al tratarse de un análisis que debe realizarse en el procedimiento contractual específico, la Agencia no puede definir un criterio universal y absoluto por vía consultiva, sino que brinda elementos de carácter general para que los partícipes del sistema de contratación pública adopten la decisión que corresponda, que sea acorde con el principio de juridicidad, sin que sea atribución de esta Agencia validar su gestión contractual.</w:t>
            </w:r>
          </w:p>
        </w:tc>
      </w:tr>
    </w:tbl>
    <w:p w14:paraId="31295CF7" w14:textId="77777777" w:rsidR="00AA511B" w:rsidRDefault="00AA511B" w:rsidP="00362C5F">
      <w:pPr>
        <w:spacing w:after="0" w:line="276" w:lineRule="auto"/>
        <w:jc w:val="both"/>
        <w:rPr>
          <w:rFonts w:ascii="Verdana" w:eastAsia="Calibri" w:hAnsi="Verdana" w:cs="Arial"/>
          <w:bCs/>
          <w:color w:val="000000" w:themeColor="text1"/>
        </w:rPr>
      </w:pPr>
    </w:p>
    <w:p w14:paraId="1AE036B1" w14:textId="77777777" w:rsidR="00AA511B" w:rsidRPr="0094448B" w:rsidRDefault="00AA511B" w:rsidP="00362C5F">
      <w:pPr>
        <w:numPr>
          <w:ilvl w:val="0"/>
          <w:numId w:val="16"/>
        </w:numPr>
        <w:spacing w:after="0" w:line="256" w:lineRule="auto"/>
        <w:rPr>
          <w:rFonts w:ascii="Verdana" w:eastAsia="Calibri" w:hAnsi="Verdana" w:cs="Times New Roman"/>
          <w:b/>
          <w:bCs/>
          <w:lang w:val="es-ES"/>
        </w:rPr>
      </w:pPr>
      <w:r w:rsidRPr="0094448B">
        <w:rPr>
          <w:rFonts w:ascii="Verdana" w:eastAsia="Calibri" w:hAnsi="Verdana" w:cs="Times New Roman"/>
          <w:b/>
          <w:bCs/>
          <w:lang w:val="es-ES"/>
        </w:rPr>
        <w:t>Razones de la respuesta:</w:t>
      </w:r>
    </w:p>
    <w:p w14:paraId="269ED84E" w14:textId="77777777" w:rsidR="00AA511B" w:rsidRPr="0094448B" w:rsidRDefault="00AA511B">
      <w:pPr>
        <w:spacing w:after="0" w:line="256" w:lineRule="auto"/>
        <w:rPr>
          <w:rFonts w:ascii="Verdana" w:eastAsia="Calibri" w:hAnsi="Verdana" w:cs="Times New Roman"/>
          <w:b/>
          <w:bCs/>
          <w:lang w:val="es-ES"/>
        </w:rPr>
      </w:pPr>
    </w:p>
    <w:p w14:paraId="6D51AAC0" w14:textId="77777777" w:rsidR="009A477A" w:rsidRDefault="009A477A">
      <w:pPr>
        <w:spacing w:after="0" w:line="276" w:lineRule="auto"/>
        <w:jc w:val="both"/>
        <w:rPr>
          <w:rFonts w:ascii="Verdana" w:eastAsia="Calibri" w:hAnsi="Verdana" w:cs="Arial"/>
          <w:lang w:val="es-ES"/>
        </w:rPr>
      </w:pPr>
    </w:p>
    <w:p w14:paraId="36DCDE0F" w14:textId="52C51208" w:rsidR="00AA511B" w:rsidRPr="0094448B" w:rsidRDefault="00AA511B">
      <w:pPr>
        <w:spacing w:after="0" w:line="276" w:lineRule="auto"/>
        <w:jc w:val="both"/>
        <w:rPr>
          <w:rFonts w:ascii="Verdana" w:eastAsia="Calibri" w:hAnsi="Verdana" w:cs="Arial"/>
          <w:lang w:val="es-ES"/>
        </w:rPr>
      </w:pPr>
      <w:r w:rsidRPr="0094448B">
        <w:rPr>
          <w:rFonts w:ascii="Verdana" w:eastAsia="Calibri" w:hAnsi="Verdana" w:cs="Arial"/>
          <w:lang w:val="es-ES"/>
        </w:rPr>
        <w:lastRenderedPageBreak/>
        <w:t xml:space="preserve">Lo anterior se sustenta en las siguientes consideraciones: </w:t>
      </w:r>
    </w:p>
    <w:p w14:paraId="523FC85B" w14:textId="77777777" w:rsidR="00AA511B" w:rsidRPr="0094448B" w:rsidRDefault="00AA511B">
      <w:pPr>
        <w:spacing w:after="0" w:line="276" w:lineRule="auto"/>
        <w:jc w:val="both"/>
        <w:rPr>
          <w:rFonts w:ascii="Verdana" w:eastAsia="Calibri" w:hAnsi="Verdana" w:cs="Arial"/>
          <w:lang w:val="es-ES"/>
        </w:rPr>
      </w:pPr>
    </w:p>
    <w:p w14:paraId="73F61BE7" w14:textId="18CACC39" w:rsidR="00AA511B" w:rsidRDefault="00AA511B" w:rsidP="00F83D8C">
      <w:pPr>
        <w:spacing w:after="0" w:line="276" w:lineRule="auto"/>
        <w:jc w:val="both"/>
        <w:rPr>
          <w:rFonts w:ascii="Verdana" w:hAnsi="Verdana" w:cs="Arial"/>
          <w:bCs/>
          <w:lang w:val="es-ES" w:eastAsia="es-MX"/>
        </w:rPr>
      </w:pPr>
      <w:r w:rsidRPr="0094448B">
        <w:rPr>
          <w:rFonts w:ascii="Verdana" w:eastAsia="Calibri" w:hAnsi="Verdana" w:cs="Arial"/>
          <w:bCs/>
          <w:lang w:val="es-ES_tradnl"/>
        </w:rPr>
        <w:t xml:space="preserve">i. </w:t>
      </w:r>
      <w:r w:rsidRPr="00BD2E19">
        <w:rPr>
          <w:rFonts w:ascii="Verdana" w:hAnsi="Verdana" w:cs="Arial"/>
          <w:bCs/>
          <w:lang w:val="es-ES" w:eastAsia="es-MX"/>
        </w:rPr>
        <w:t xml:space="preserve">El Decreto 1082 del 2015 en su artículo 2.2.1.2.1.2.2 dispuso el procedimiento que debe seguir la Entidad Estatal para desarrollar la subasta inversa, de la siguiente forma: </w:t>
      </w:r>
    </w:p>
    <w:p w14:paraId="370976E2" w14:textId="77777777" w:rsidR="00362C5F" w:rsidRPr="00BD2E19" w:rsidRDefault="00362C5F" w:rsidP="00F83D8C">
      <w:pPr>
        <w:spacing w:after="0" w:line="276" w:lineRule="auto"/>
        <w:ind w:firstLine="708"/>
        <w:jc w:val="both"/>
        <w:rPr>
          <w:rFonts w:ascii="Verdana" w:hAnsi="Verdana" w:cs="Arial"/>
          <w:bCs/>
          <w:lang w:val="es-ES" w:eastAsia="es-MX"/>
        </w:rPr>
      </w:pPr>
    </w:p>
    <w:p w14:paraId="43996CBF" w14:textId="77777777" w:rsidR="00AA511B" w:rsidRPr="00362C5F" w:rsidRDefault="00AA511B" w:rsidP="00F83D8C">
      <w:pPr>
        <w:spacing w:after="0" w:line="240" w:lineRule="auto"/>
        <w:ind w:left="709" w:right="709"/>
        <w:jc w:val="both"/>
        <w:rPr>
          <w:rFonts w:ascii="Verdana" w:hAnsi="Verdana" w:cs="Arial"/>
          <w:bCs/>
          <w:sz w:val="20"/>
          <w:szCs w:val="20"/>
          <w:lang w:eastAsia="es-MX"/>
        </w:rPr>
      </w:pPr>
      <w:r w:rsidRPr="00362C5F">
        <w:rPr>
          <w:rFonts w:ascii="Verdana" w:hAnsi="Verdana" w:cs="Arial"/>
          <w:sz w:val="20"/>
          <w:szCs w:val="20"/>
          <w:lang w:eastAsia="es-MX"/>
        </w:rPr>
        <w:t>“Artículo 2.2.1.2.1.2.2. Procedimiento para la subasta inversa. </w:t>
      </w:r>
      <w:r w:rsidRPr="00362C5F">
        <w:rPr>
          <w:rFonts w:ascii="Verdana" w:hAnsi="Verdana" w:cs="Arial"/>
          <w:bCs/>
          <w:sz w:val="20"/>
          <w:szCs w:val="20"/>
          <w:lang w:eastAsia="es-MX"/>
        </w:rPr>
        <w:t>Además de las reglas generales previstas en la ley y en el presente título, las siguientes reglas son aplicables a la subasta inversa:</w:t>
      </w:r>
      <w:r w:rsidRPr="00362C5F">
        <w:rPr>
          <w:rFonts w:ascii="Arial" w:hAnsi="Arial" w:cs="Arial"/>
          <w:bCs/>
          <w:sz w:val="20"/>
          <w:szCs w:val="20"/>
          <w:lang w:eastAsia="es-MX"/>
        </w:rPr>
        <w:t>​</w:t>
      </w:r>
    </w:p>
    <w:p w14:paraId="6FEDB0BA" w14:textId="77777777" w:rsidR="00AA511B" w:rsidRPr="00362C5F" w:rsidRDefault="00AA511B" w:rsidP="00362C5F">
      <w:pPr>
        <w:spacing w:after="0" w:line="240" w:lineRule="auto"/>
        <w:ind w:left="709" w:right="709"/>
        <w:jc w:val="both"/>
        <w:rPr>
          <w:rFonts w:ascii="Verdana" w:hAnsi="Verdana" w:cs="Arial"/>
          <w:bCs/>
          <w:sz w:val="20"/>
          <w:szCs w:val="20"/>
          <w:lang w:eastAsia="es-MX"/>
        </w:rPr>
      </w:pPr>
    </w:p>
    <w:p w14:paraId="0CA1CB81" w14:textId="77777777" w:rsidR="00AA511B" w:rsidRPr="00362C5F" w:rsidRDefault="00AA511B" w:rsidP="00F83D8C">
      <w:pPr>
        <w:spacing w:after="0" w:line="240" w:lineRule="auto"/>
        <w:ind w:left="709" w:right="709"/>
        <w:jc w:val="both"/>
        <w:rPr>
          <w:rFonts w:ascii="Verdana" w:hAnsi="Verdana" w:cs="Arial"/>
          <w:bCs/>
          <w:sz w:val="20"/>
          <w:szCs w:val="20"/>
          <w:lang w:eastAsia="es-MX"/>
        </w:rPr>
      </w:pPr>
      <w:r w:rsidRPr="00362C5F">
        <w:rPr>
          <w:rFonts w:ascii="Verdana" w:hAnsi="Verdana" w:cs="Arial"/>
          <w:bCs/>
          <w:sz w:val="20"/>
          <w:szCs w:val="20"/>
          <w:lang w:eastAsia="es-MX"/>
        </w:rPr>
        <w:t>1. Los pliegos de condiciones deben indicar: a) la fecha y hora de inicio de la subasta; b) la periodicidad de los Lances; y c) el Margen Mínimo para mejorar la oferta durante la subasta inversa.</w:t>
      </w:r>
    </w:p>
    <w:p w14:paraId="3608D820" w14:textId="77777777" w:rsidR="00AA511B" w:rsidRPr="00362C5F" w:rsidRDefault="00AA511B" w:rsidP="00F83D8C">
      <w:pPr>
        <w:spacing w:after="0" w:line="240" w:lineRule="auto"/>
        <w:ind w:left="709" w:right="709"/>
        <w:jc w:val="both"/>
        <w:rPr>
          <w:rFonts w:ascii="Verdana" w:hAnsi="Verdana" w:cs="Arial"/>
          <w:bCs/>
          <w:sz w:val="20"/>
          <w:szCs w:val="20"/>
          <w:lang w:eastAsia="es-MX"/>
        </w:rPr>
      </w:pPr>
      <w:r w:rsidRPr="00362C5F">
        <w:rPr>
          <w:rFonts w:ascii="Verdana" w:hAnsi="Verdana" w:cs="Arial"/>
          <w:bCs/>
          <w:sz w:val="20"/>
          <w:szCs w:val="20"/>
          <w:lang w:eastAsia="es-MX"/>
        </w:rPr>
        <w:t>2. La oferta debe contener dos parles, la primera en la cual el interesado acredite su capacidad de participar en el Proceso de Contratación y acredite el cumplimiento de la ficha técnica; y la segunda parle debe contener el precio inicial propuesto por el oferente.</w:t>
      </w:r>
    </w:p>
    <w:p w14:paraId="0C580950" w14:textId="77777777" w:rsidR="00AA511B" w:rsidRPr="00362C5F" w:rsidRDefault="00AA511B" w:rsidP="00F83D8C">
      <w:pPr>
        <w:spacing w:after="0" w:line="240" w:lineRule="auto"/>
        <w:ind w:left="709" w:right="709"/>
        <w:jc w:val="both"/>
        <w:rPr>
          <w:rFonts w:ascii="Verdana" w:hAnsi="Verdana" w:cs="Arial"/>
          <w:bCs/>
          <w:sz w:val="20"/>
          <w:szCs w:val="20"/>
          <w:lang w:eastAsia="es-MX"/>
        </w:rPr>
      </w:pPr>
      <w:r w:rsidRPr="00362C5F">
        <w:rPr>
          <w:rFonts w:ascii="Verdana" w:hAnsi="Verdana" w:cs="Arial"/>
          <w:bCs/>
          <w:sz w:val="20"/>
          <w:szCs w:val="20"/>
          <w:lang w:eastAsia="es-MX"/>
        </w:rPr>
        <w:t>3. La Entidad Estatal debe publicar un informe de habilitación de los oferentes, en el cual debe indicar si los bienes o servicios ofrecidos por el interesado cumplen con la ficha técnica y si el oferente se encuentra habilitado.</w:t>
      </w:r>
    </w:p>
    <w:p w14:paraId="2869F2B1" w14:textId="77777777" w:rsidR="00AA511B" w:rsidRPr="00362C5F" w:rsidRDefault="00AA511B" w:rsidP="00F83D8C">
      <w:pPr>
        <w:spacing w:after="0" w:line="240" w:lineRule="auto"/>
        <w:ind w:left="709" w:right="709"/>
        <w:jc w:val="both"/>
        <w:rPr>
          <w:rFonts w:ascii="Verdana" w:hAnsi="Verdana" w:cs="Arial"/>
          <w:bCs/>
          <w:sz w:val="20"/>
          <w:szCs w:val="20"/>
          <w:lang w:eastAsia="es-MX"/>
        </w:rPr>
      </w:pPr>
      <w:r w:rsidRPr="00362C5F">
        <w:rPr>
          <w:rFonts w:ascii="Verdana" w:hAnsi="Verdana" w:cs="Arial"/>
          <w:bCs/>
          <w:sz w:val="20"/>
          <w:szCs w:val="20"/>
          <w:lang w:eastAsia="es-MX"/>
        </w:rPr>
        <w:t>4. Hay subasta inversa siempre que haya como mínimo dos oferentes habilitados cuyos bienes o servicios cumplen con la ficha técnica.</w:t>
      </w:r>
    </w:p>
    <w:p w14:paraId="039045B9" w14:textId="77777777" w:rsidR="00AA511B" w:rsidRPr="00362C5F" w:rsidRDefault="00AA511B" w:rsidP="00F83D8C">
      <w:pPr>
        <w:spacing w:after="0" w:line="240" w:lineRule="auto"/>
        <w:ind w:left="709" w:right="709"/>
        <w:jc w:val="both"/>
        <w:rPr>
          <w:rFonts w:ascii="Verdana" w:hAnsi="Verdana" w:cs="Arial"/>
          <w:bCs/>
          <w:sz w:val="20"/>
          <w:szCs w:val="20"/>
          <w:lang w:eastAsia="es-MX"/>
        </w:rPr>
      </w:pPr>
      <w:r w:rsidRPr="00362C5F">
        <w:rPr>
          <w:rFonts w:ascii="Verdana" w:hAnsi="Verdana" w:cs="Arial"/>
          <w:bCs/>
          <w:sz w:val="20"/>
          <w:szCs w:val="20"/>
          <w:lang w:eastAsia="es-MX"/>
        </w:rPr>
        <w:t>5. Si en el Proceso de Contratación se presenta un único oferente cuyos bienes o servicios cumplen con la ficha técnica y está habilitado, la Entidad Estatal puede adjudicarle el contrato al único oferente si el valor de la oferta es igual o inferior a la disponibilidad presupuestal para el contrato, caso en el cual no hay lugar a la subasta inversa.</w:t>
      </w:r>
    </w:p>
    <w:p w14:paraId="50CF8061" w14:textId="77777777" w:rsidR="00AA511B" w:rsidRPr="00362C5F" w:rsidRDefault="00AA511B" w:rsidP="00F83D8C">
      <w:pPr>
        <w:spacing w:after="0" w:line="240" w:lineRule="auto"/>
        <w:ind w:left="709" w:right="709"/>
        <w:jc w:val="both"/>
        <w:rPr>
          <w:rFonts w:ascii="Verdana" w:hAnsi="Verdana" w:cs="Arial"/>
          <w:bCs/>
          <w:sz w:val="20"/>
          <w:szCs w:val="20"/>
          <w:lang w:eastAsia="es-MX"/>
        </w:rPr>
      </w:pPr>
      <w:r w:rsidRPr="00362C5F">
        <w:rPr>
          <w:rFonts w:ascii="Verdana" w:hAnsi="Verdana" w:cs="Arial"/>
          <w:bCs/>
          <w:sz w:val="20"/>
          <w:szCs w:val="20"/>
          <w:lang w:eastAsia="es-MX"/>
        </w:rPr>
        <w:t>6. La subasta debe iniciar con el precio más bajo indicado por los oferentes y en consecuencia, solamente serán válidos los Lances efectuados durante la subasta inversa en los cuales la oferta sea mejorada en por lo menos el Margen Mínimo establecido.</w:t>
      </w:r>
    </w:p>
    <w:p w14:paraId="437CEF97" w14:textId="77777777" w:rsidR="00AA511B" w:rsidRPr="00362C5F" w:rsidRDefault="00AA511B" w:rsidP="00F83D8C">
      <w:pPr>
        <w:spacing w:after="0" w:line="240" w:lineRule="auto"/>
        <w:ind w:left="709" w:right="709"/>
        <w:jc w:val="both"/>
        <w:rPr>
          <w:rFonts w:ascii="Verdana" w:hAnsi="Verdana" w:cs="Arial"/>
          <w:bCs/>
          <w:sz w:val="20"/>
          <w:szCs w:val="20"/>
          <w:lang w:eastAsia="es-MX"/>
        </w:rPr>
      </w:pPr>
      <w:r w:rsidRPr="00362C5F">
        <w:rPr>
          <w:rFonts w:ascii="Verdana" w:hAnsi="Verdana" w:cs="Arial"/>
          <w:bCs/>
          <w:sz w:val="20"/>
          <w:szCs w:val="20"/>
          <w:lang w:eastAsia="es-MX"/>
        </w:rPr>
        <w:t>7. Si los oferentes no presentan Lances durante la subasta, la Entidad Estatal debe adjudicar el contrato al oferente que haya presentado el precio inicial más bajo.</w:t>
      </w:r>
    </w:p>
    <w:p w14:paraId="2B005257" w14:textId="77777777" w:rsidR="00AA511B" w:rsidRPr="00362C5F" w:rsidRDefault="00AA511B" w:rsidP="00F83D8C">
      <w:pPr>
        <w:spacing w:after="0" w:line="240" w:lineRule="auto"/>
        <w:ind w:left="709" w:right="709"/>
        <w:jc w:val="both"/>
        <w:rPr>
          <w:rFonts w:ascii="Verdana" w:hAnsi="Verdana" w:cs="Arial"/>
          <w:bCs/>
          <w:sz w:val="20"/>
          <w:szCs w:val="20"/>
          <w:lang w:eastAsia="es-MX"/>
        </w:rPr>
      </w:pPr>
      <w:r w:rsidRPr="00362C5F">
        <w:rPr>
          <w:rFonts w:ascii="Verdana" w:hAnsi="Verdana" w:cs="Arial"/>
          <w:bCs/>
          <w:sz w:val="20"/>
          <w:szCs w:val="20"/>
          <w:lang w:eastAsia="es-MX"/>
        </w:rPr>
        <w:t>8. Al terminar la presentación de cada Lance, la Entidad Estatal debe informar el valor del Lance más bajo.</w:t>
      </w:r>
    </w:p>
    <w:p w14:paraId="4663AF51" w14:textId="77777777" w:rsidR="00AA511B" w:rsidRPr="00362C5F" w:rsidRDefault="00AA511B" w:rsidP="00362C5F">
      <w:pPr>
        <w:spacing w:after="0" w:line="240" w:lineRule="auto"/>
        <w:ind w:left="709" w:right="709"/>
        <w:jc w:val="both"/>
        <w:rPr>
          <w:rFonts w:ascii="Verdana" w:hAnsi="Verdana" w:cs="Arial"/>
          <w:sz w:val="20"/>
          <w:szCs w:val="20"/>
          <w:vertAlign w:val="superscript"/>
          <w:lang w:eastAsia="es-MX"/>
        </w:rPr>
      </w:pPr>
      <w:r w:rsidRPr="00362C5F">
        <w:rPr>
          <w:rFonts w:ascii="Verdana" w:hAnsi="Verdana" w:cs="Arial"/>
          <w:bCs/>
          <w:sz w:val="20"/>
          <w:szCs w:val="20"/>
          <w:lang w:eastAsia="es-MX"/>
        </w:rPr>
        <w:t>9. Si al terminar la subasta inversa hay empate, la Entidad Estatal debe aplicar los criterios del artículo </w:t>
      </w:r>
      <w:hyperlink r:id="rId12" w:anchor="35" w:history="1">
        <w:r w:rsidRPr="00362C5F">
          <w:rPr>
            <w:rFonts w:ascii="Verdana" w:hAnsi="Verdana" w:cs="Arial"/>
            <w:sz w:val="20"/>
            <w:szCs w:val="20"/>
            <w:lang w:eastAsia="es-MX"/>
          </w:rPr>
          <w:t>35 </w:t>
        </w:r>
      </w:hyperlink>
      <w:r w:rsidRPr="00362C5F">
        <w:rPr>
          <w:rFonts w:ascii="Verdana" w:hAnsi="Verdana" w:cs="Arial"/>
          <w:bCs/>
          <w:sz w:val="20"/>
          <w:szCs w:val="20"/>
          <w:lang w:eastAsia="es-MX"/>
        </w:rPr>
        <w:t>de la Ley 2069 de 2020 conforme con los medios de acreditación del artículo 2.2. 1.2.4.2 17 del presente Decreto”.</w:t>
      </w:r>
      <w:r w:rsidRPr="00362C5F">
        <w:rPr>
          <w:rFonts w:ascii="Verdana" w:hAnsi="Verdana" w:cs="Arial"/>
          <w:bCs/>
          <w:sz w:val="20"/>
          <w:szCs w:val="20"/>
          <w:vertAlign w:val="superscript"/>
          <w:lang w:eastAsia="es-MX"/>
        </w:rPr>
        <w:footnoteReference w:id="1"/>
      </w:r>
    </w:p>
    <w:p w14:paraId="79499CD9" w14:textId="77777777" w:rsidR="00AA511B" w:rsidRPr="00BD2E19" w:rsidRDefault="00AA511B" w:rsidP="00AA511B">
      <w:pPr>
        <w:spacing w:after="0" w:line="276" w:lineRule="auto"/>
        <w:ind w:firstLine="709"/>
        <w:jc w:val="both"/>
        <w:rPr>
          <w:rFonts w:ascii="Verdana" w:hAnsi="Verdana" w:cs="Arial"/>
          <w:bCs/>
          <w:i/>
          <w:lang w:val="es-ES" w:eastAsia="es-MX"/>
        </w:rPr>
      </w:pPr>
    </w:p>
    <w:p w14:paraId="18133CA7" w14:textId="77777777" w:rsidR="00AA511B" w:rsidRPr="00BD2E19" w:rsidRDefault="00AA511B" w:rsidP="00AA511B">
      <w:pPr>
        <w:spacing w:after="120" w:line="276" w:lineRule="auto"/>
        <w:ind w:firstLine="709"/>
        <w:jc w:val="both"/>
        <w:rPr>
          <w:rFonts w:ascii="Verdana" w:hAnsi="Verdana" w:cs="Arial"/>
          <w:bCs/>
          <w:lang w:eastAsia="es-MX"/>
        </w:rPr>
      </w:pPr>
      <w:r w:rsidRPr="00BD2E19">
        <w:rPr>
          <w:rFonts w:ascii="Verdana" w:hAnsi="Verdana" w:cs="Arial"/>
          <w:bCs/>
          <w:i/>
          <w:lang w:val="es-ES" w:eastAsia="es-MX"/>
        </w:rPr>
        <w:t xml:space="preserve"> </w:t>
      </w:r>
      <w:r w:rsidRPr="00BD2E19">
        <w:rPr>
          <w:rFonts w:ascii="Verdana" w:hAnsi="Verdana" w:cs="Arial"/>
          <w:bCs/>
          <w:lang w:val="es-ES" w:eastAsia="es-MX"/>
        </w:rPr>
        <w:t>Como se puede observar el proceso de selección abreviada por subasta inversa busca que se</w:t>
      </w:r>
      <w:r w:rsidRPr="00BD2E19">
        <w:rPr>
          <w:rFonts w:ascii="Verdana" w:hAnsi="Verdana" w:cs="Arial"/>
          <w:bCs/>
          <w:lang w:eastAsia="es-MX"/>
        </w:rPr>
        <w:t xml:space="preserve"> adjudique el contrato a la persona natural o jurídica que ofrece el mejor precio.  Por esta razón, la dinámica propia de una subasta inversa consiste en reunir</w:t>
      </w:r>
      <w:r w:rsidRPr="00BD2E19">
        <w:rPr>
          <w:rFonts w:ascii="Verdana" w:hAnsi="Verdana" w:cs="Arial"/>
          <w:bCs/>
          <w:vertAlign w:val="superscript"/>
          <w:lang w:eastAsia="es-MX"/>
        </w:rPr>
        <w:footnoteReference w:id="2"/>
      </w:r>
      <w:r w:rsidRPr="00BD2E19">
        <w:rPr>
          <w:rFonts w:ascii="Verdana" w:hAnsi="Verdana" w:cs="Arial"/>
          <w:bCs/>
          <w:lang w:eastAsia="es-MX"/>
        </w:rPr>
        <w:t xml:space="preserve"> a los oferentes interesados en ejecutar el contrato en mención y otorgarle a cada uno de ellos la posibilidad de ofrecer una oferta económica y mejorarla conforme la oferta económica ofertada por sus contrincantes. </w:t>
      </w:r>
    </w:p>
    <w:p w14:paraId="350A840C" w14:textId="77777777" w:rsidR="00AA511B" w:rsidRPr="00BD2E19" w:rsidRDefault="00AA511B" w:rsidP="00AA511B">
      <w:pPr>
        <w:spacing w:after="120" w:line="276" w:lineRule="auto"/>
        <w:ind w:firstLine="709"/>
        <w:jc w:val="both"/>
        <w:rPr>
          <w:rFonts w:ascii="Verdana" w:hAnsi="Verdana" w:cs="Arial"/>
          <w:shd w:val="clear" w:color="auto" w:fill="FFFFFF"/>
        </w:rPr>
      </w:pPr>
      <w:r w:rsidRPr="00BD2E19">
        <w:rPr>
          <w:rFonts w:ascii="Verdana" w:hAnsi="Verdana" w:cs="Arial"/>
          <w:bCs/>
          <w:lang w:eastAsia="es-MX"/>
        </w:rPr>
        <w:t xml:space="preserve">En ese orden de ideas, cada oferente realizará sus ofrecimientos mediante </w:t>
      </w:r>
      <w:r w:rsidRPr="00BD2E19">
        <w:rPr>
          <w:rFonts w:ascii="Verdana" w:hAnsi="Verdana" w:cs="Arial"/>
          <w:bCs/>
          <w:i/>
          <w:iCs/>
          <w:lang w:eastAsia="es-MX"/>
        </w:rPr>
        <w:t>“lances”</w:t>
      </w:r>
      <w:r w:rsidRPr="00BD2E19">
        <w:rPr>
          <w:rFonts w:ascii="Verdana" w:hAnsi="Verdana" w:cs="Arial"/>
          <w:bCs/>
          <w:lang w:eastAsia="es-MX"/>
        </w:rPr>
        <w:t xml:space="preserve"> que deberán estar reglados por la Entidad Estatal en el respectivo pliego de condiciones, especialmente en la forma, medio y periodicidad en el que podrán ser presentados, e incluso deberán limitar o regular el margen mínimo de mejora de la oferta. De igual forma, el numeral </w:t>
      </w:r>
      <w:r w:rsidRPr="00BD2E19">
        <w:rPr>
          <w:rFonts w:ascii="Verdana" w:eastAsia="Calibri" w:hAnsi="Verdana" w:cs="Arial"/>
        </w:rPr>
        <w:t>6 de</w:t>
      </w:r>
      <w:r w:rsidRPr="00BD2E19">
        <w:rPr>
          <w:rFonts w:ascii="Verdana" w:hAnsi="Verdana" w:cs="Arial"/>
          <w:bCs/>
          <w:lang w:eastAsia="es-MX"/>
        </w:rPr>
        <w:t xml:space="preserve"> articulo </w:t>
      </w:r>
      <w:r w:rsidRPr="00BD2E19">
        <w:rPr>
          <w:rFonts w:ascii="Verdana" w:hAnsi="Verdana" w:cs="Arial"/>
          <w:bCs/>
          <w:lang w:val="es-ES" w:eastAsia="es-MX"/>
        </w:rPr>
        <w:t>2.2.1.2.1.2.2 del Decreto 1082 de 2015 indica que l</w:t>
      </w:r>
      <w:r w:rsidRPr="00BD2E19">
        <w:rPr>
          <w:rFonts w:ascii="Verdana" w:hAnsi="Verdana" w:cs="Arial"/>
          <w:bCs/>
          <w:lang w:eastAsia="es-MX"/>
        </w:rPr>
        <w:t xml:space="preserve">a subasta debe iniciar con el precio más bajo indicado por los oferentes y en consecuencia, solamente serán válidos los “Lances” efectuados durante la subasta inversa en los cuales la oferta sea mejorada en por lo menos el “Margen Mínimo” establecido en el pliego de condiciones, que es aquel valor que el </w:t>
      </w:r>
      <w:r w:rsidRPr="00BD2E19">
        <w:rPr>
          <w:rFonts w:ascii="Verdana" w:hAnsi="Verdana" w:cs="Arial"/>
          <w:shd w:val="clear" w:color="auto" w:fill="FFFFFF"/>
        </w:rPr>
        <w:t>oferente en una subasta inversa debe reducir el valor a ofrecer en el Lance, el cual puede ser expresado en dinero o en un porcentaje del precio de inicio de la subasta.</w:t>
      </w:r>
    </w:p>
    <w:p w14:paraId="6F788EBB" w14:textId="77777777" w:rsidR="00AA511B" w:rsidRPr="00BD2E19" w:rsidRDefault="00AA511B" w:rsidP="00AA511B">
      <w:pPr>
        <w:spacing w:after="120" w:line="276" w:lineRule="auto"/>
        <w:ind w:firstLine="709"/>
        <w:jc w:val="both"/>
        <w:rPr>
          <w:rFonts w:ascii="Verdana" w:eastAsia="Calibri" w:hAnsi="Verdana" w:cs="Arial"/>
          <w:iCs/>
        </w:rPr>
      </w:pPr>
      <w:r w:rsidRPr="00BD2E19">
        <w:rPr>
          <w:rFonts w:ascii="Verdana" w:hAnsi="Verdana" w:cs="Arial"/>
          <w:bCs/>
          <w:lang w:eastAsia="es-MX"/>
        </w:rPr>
        <w:t xml:space="preserve">Finalmente, el </w:t>
      </w:r>
      <w:r w:rsidRPr="00BD2E19">
        <w:rPr>
          <w:rFonts w:ascii="Verdana" w:eastAsia="Calibri" w:hAnsi="Verdana" w:cs="Arial"/>
          <w:bCs/>
          <w:iCs/>
        </w:rPr>
        <w:t>artículo 2.2.1.2.1.2.4.</w:t>
      </w:r>
      <w:r w:rsidRPr="00BD2E19">
        <w:rPr>
          <w:rFonts w:ascii="Verdana" w:eastAsia="Calibri" w:hAnsi="Verdana" w:cs="Arial"/>
          <w:b/>
          <w:i/>
        </w:rPr>
        <w:t xml:space="preserve"> </w:t>
      </w:r>
      <w:r w:rsidRPr="00BD2E19">
        <w:rPr>
          <w:rFonts w:ascii="Verdana" w:hAnsi="Verdana" w:cs="Arial"/>
          <w:bCs/>
          <w:lang w:eastAsia="es-MX"/>
        </w:rPr>
        <w:t>del Decreto 1082 de 2015 determina que la subasta termina cuando “</w:t>
      </w:r>
      <w:r w:rsidRPr="00BD2E19">
        <w:rPr>
          <w:rFonts w:ascii="Verdana" w:eastAsia="Calibri" w:hAnsi="Verdana" w:cs="Arial"/>
        </w:rPr>
        <w:t>los oferentes no hagan Lances adicionales durante un período para la presentación de Lances. La Entidad Estatal debe adjudicar el contrato al oferente que haya presentado el Lance más bajo. […]”.</w:t>
      </w:r>
      <w:r w:rsidRPr="00BD2E19">
        <w:rPr>
          <w:rFonts w:ascii="Verdana" w:eastAsia="Calibri" w:hAnsi="Verdana" w:cs="Arial"/>
          <w:i/>
        </w:rPr>
        <w:t xml:space="preserve"> </w:t>
      </w:r>
      <w:r w:rsidRPr="00BD2E19">
        <w:rPr>
          <w:rFonts w:ascii="Verdana" w:eastAsia="Calibri" w:hAnsi="Verdana" w:cs="Arial"/>
          <w:iCs/>
        </w:rPr>
        <w:t>Siendo claro que el criterio determinante para la adjudicación en los procesos de selección abreviada por subasta inversa es el valor más bajo de la oferta económica, ya sea producto de los Lances que realicen los proponentes o del valor inicial de la oferta económica presentada con la propuesta.</w:t>
      </w:r>
    </w:p>
    <w:p w14:paraId="7F089BFC" w14:textId="77777777" w:rsidR="00AA511B" w:rsidRPr="00910028" w:rsidRDefault="00AA511B" w:rsidP="00AA511B">
      <w:pPr>
        <w:widowControl w:val="0"/>
        <w:autoSpaceDE w:val="0"/>
        <w:autoSpaceDN w:val="0"/>
        <w:snapToGrid w:val="0"/>
        <w:spacing w:after="120" w:line="276" w:lineRule="auto"/>
        <w:ind w:firstLine="709"/>
        <w:jc w:val="both"/>
        <w:rPr>
          <w:rFonts w:ascii="Verdana" w:eastAsia="Arial" w:hAnsi="Verdana" w:cs="Arial"/>
          <w:lang w:val="es-ES" w:eastAsia="es-ES" w:bidi="es-ES"/>
        </w:rPr>
      </w:pPr>
      <w:r>
        <w:rPr>
          <w:rFonts w:ascii="Verdana" w:eastAsia="Arial" w:hAnsi="Verdana" w:cs="Arial"/>
          <w:lang w:eastAsia="es-ES" w:bidi="es-ES"/>
        </w:rPr>
        <w:t xml:space="preserve">Ahora bien, </w:t>
      </w:r>
      <w:r>
        <w:rPr>
          <w:rFonts w:ascii="Verdana" w:eastAsia="Arial" w:hAnsi="Verdana" w:cs="Arial"/>
          <w:lang w:val="es-ES" w:eastAsia="es-ES" w:bidi="es-ES"/>
        </w:rPr>
        <w:t>l</w:t>
      </w:r>
      <w:r w:rsidRPr="00910028">
        <w:rPr>
          <w:rFonts w:ascii="Verdana" w:eastAsia="Arial" w:hAnsi="Verdana" w:cs="Arial"/>
          <w:lang w:val="es-ES" w:eastAsia="es-ES" w:bidi="es-ES"/>
        </w:rPr>
        <w:t xml:space="preserve">a Ley 80 de 1993, en el artículo 26, numeral 6, indica como una de las manifestaciones del principio de responsabilidad que los contratistas respondan cuando formulen propuestas en las que se fijen condiciones </w:t>
      </w:r>
      <w:r w:rsidRPr="00910028">
        <w:rPr>
          <w:rFonts w:ascii="Verdana" w:eastAsia="Arial" w:hAnsi="Verdana" w:cs="Arial"/>
          <w:lang w:val="es-ES" w:eastAsia="es-ES" w:bidi="es-ES"/>
        </w:rPr>
        <w:lastRenderedPageBreak/>
        <w:t>económicas y de contratación artificialmente bajas con el propósito de obtener la adjudicación del contrato</w:t>
      </w:r>
      <w:r w:rsidRPr="00910028">
        <w:rPr>
          <w:rFonts w:ascii="Verdana" w:eastAsia="Arial" w:hAnsi="Verdana" w:cs="Arial"/>
          <w:vertAlign w:val="superscript"/>
          <w:lang w:val="es-ES" w:eastAsia="es-ES" w:bidi="es-ES"/>
        </w:rPr>
        <w:footnoteReference w:id="3"/>
      </w:r>
      <w:r w:rsidRPr="00910028">
        <w:rPr>
          <w:rFonts w:ascii="Verdana" w:eastAsia="Arial" w:hAnsi="Verdana" w:cs="Arial"/>
          <w:lang w:val="es-ES" w:eastAsia="es-ES" w:bidi="es-ES"/>
        </w:rPr>
        <w:t>.</w:t>
      </w:r>
      <w:r>
        <w:rPr>
          <w:rFonts w:ascii="Verdana" w:eastAsia="Arial" w:hAnsi="Verdana" w:cs="Arial"/>
          <w:lang w:val="es-ES" w:eastAsia="es-ES" w:bidi="es-ES"/>
        </w:rPr>
        <w:t xml:space="preserve"> Al respecto, e</w:t>
      </w:r>
      <w:r w:rsidRPr="00910028">
        <w:rPr>
          <w:rFonts w:ascii="Verdana" w:eastAsia="Arial" w:hAnsi="Verdana" w:cs="Arial"/>
          <w:lang w:val="es-ES" w:eastAsia="es-ES" w:bidi="es-ES"/>
        </w:rPr>
        <w:t>l Consejo de Estado, Sección Tercera, sentencia 4 de junio de 2008, radicado No. 17.783, M.P. Myriam Guerrero de Escobar, define el precio artificialmente bajo como aquel que no tiene sustento o fundamento en su</w:t>
      </w:r>
      <w:r w:rsidRPr="00910028">
        <w:rPr>
          <w:rFonts w:ascii="Verdana" w:eastAsia="Arial" w:hAnsi="Verdana" w:cs="Arial"/>
          <w:spacing w:val="-45"/>
          <w:lang w:val="es-ES" w:eastAsia="es-ES" w:bidi="es-ES"/>
        </w:rPr>
        <w:t xml:space="preserve"> </w:t>
      </w:r>
      <w:r w:rsidRPr="00910028">
        <w:rPr>
          <w:rFonts w:ascii="Verdana" w:eastAsia="Arial" w:hAnsi="Verdana" w:cs="Arial"/>
          <w:lang w:val="es-ES" w:eastAsia="es-ES" w:bidi="es-ES"/>
        </w:rPr>
        <w:t>estructuración dentro del tráfico comercial:</w:t>
      </w:r>
    </w:p>
    <w:p w14:paraId="0854FCB9" w14:textId="77777777" w:rsidR="00AA511B" w:rsidRPr="00910028" w:rsidRDefault="00AA511B" w:rsidP="00AA511B">
      <w:pPr>
        <w:widowControl w:val="0"/>
        <w:autoSpaceDE w:val="0"/>
        <w:autoSpaceDN w:val="0"/>
        <w:spacing w:after="0" w:line="276" w:lineRule="auto"/>
        <w:ind w:left="720"/>
        <w:rPr>
          <w:rFonts w:ascii="Verdana" w:eastAsia="Arial" w:hAnsi="Verdana" w:cs="Arial"/>
          <w:lang w:val="es-ES" w:eastAsia="es-ES" w:bidi="es-ES"/>
        </w:rPr>
      </w:pPr>
    </w:p>
    <w:p w14:paraId="3F700785" w14:textId="77777777" w:rsidR="00AA511B" w:rsidRPr="00666BAC" w:rsidRDefault="00AA511B" w:rsidP="00AA511B">
      <w:pPr>
        <w:spacing w:after="0" w:line="240" w:lineRule="auto"/>
        <w:ind w:left="709" w:right="709"/>
        <w:jc w:val="both"/>
        <w:rPr>
          <w:rFonts w:ascii="Verdana" w:eastAsia="Aptos" w:hAnsi="Verdana" w:cs="Times New Roman"/>
          <w:kern w:val="2"/>
          <w:sz w:val="20"/>
          <w:szCs w:val="20"/>
          <w14:ligatures w14:val="standardContextual"/>
        </w:rPr>
      </w:pPr>
      <w:r w:rsidRPr="00666BAC">
        <w:rPr>
          <w:rFonts w:ascii="Verdana" w:eastAsia="Aptos" w:hAnsi="Verdana" w:cs="Times New Roman"/>
          <w:kern w:val="2"/>
          <w:sz w:val="20"/>
          <w:szCs w:val="20"/>
          <w14:ligatures w14:val="standardContextual"/>
        </w:rPr>
        <w:t>“El denominado “precio artificialmente bajo” de que trata la Ley 80, es aquel que resulta artificioso o falso, disimulado, muy reducido o disminuido, pero además, que no encuentre sustentación o fundamento alguno en su estructuración dentro del tráfico comercial en el cual se desarrolla el negocio, es decir, que dicho precio no pueda ser justificado y por lo tanto, la Administración estaría imposibilitada para admitirlo, so pena de incurrir en violación de los principios de transparencia, equilibrio e imparcialidad que gobiernan la actividad contractual y como parte de ella, el procedimiento de la licitación</w:t>
      </w:r>
      <w:r w:rsidRPr="00666BAC">
        <w:rPr>
          <w:rFonts w:ascii="Verdana" w:eastAsia="Aptos" w:hAnsi="Verdana" w:cs="Times New Roman"/>
          <w:spacing w:val="-8"/>
          <w:kern w:val="2"/>
          <w:sz w:val="20"/>
          <w:szCs w:val="20"/>
          <w14:ligatures w14:val="standardContextual"/>
        </w:rPr>
        <w:t xml:space="preserve"> </w:t>
      </w:r>
      <w:r w:rsidRPr="00666BAC">
        <w:rPr>
          <w:rFonts w:ascii="Verdana" w:eastAsia="Aptos" w:hAnsi="Verdana" w:cs="Times New Roman"/>
          <w:kern w:val="2"/>
          <w:sz w:val="20"/>
          <w:szCs w:val="20"/>
          <w14:ligatures w14:val="standardContextual"/>
        </w:rPr>
        <w:t>[…]”.</w:t>
      </w:r>
    </w:p>
    <w:p w14:paraId="47DD49A4" w14:textId="77777777" w:rsidR="00AA511B" w:rsidRPr="00910028" w:rsidRDefault="00AA511B" w:rsidP="00AA511B">
      <w:pPr>
        <w:widowControl w:val="0"/>
        <w:autoSpaceDE w:val="0"/>
        <w:autoSpaceDN w:val="0"/>
        <w:spacing w:after="0" w:line="276" w:lineRule="auto"/>
        <w:ind w:left="720"/>
        <w:jc w:val="both"/>
        <w:rPr>
          <w:rFonts w:ascii="Verdana" w:eastAsia="Arial" w:hAnsi="Verdana" w:cs="Arial"/>
          <w:lang w:val="es-ES" w:eastAsia="es-ES" w:bidi="es-ES"/>
        </w:rPr>
      </w:pPr>
    </w:p>
    <w:p w14:paraId="0F5EE7A1" w14:textId="77777777" w:rsidR="00AA511B" w:rsidRDefault="00AA511B" w:rsidP="00AA511B">
      <w:pPr>
        <w:widowControl w:val="0"/>
        <w:autoSpaceDE w:val="0"/>
        <w:autoSpaceDN w:val="0"/>
        <w:spacing w:after="0" w:line="276" w:lineRule="auto"/>
        <w:ind w:firstLine="709"/>
        <w:jc w:val="both"/>
        <w:rPr>
          <w:rFonts w:ascii="Verdana" w:eastAsia="Arial" w:hAnsi="Verdana" w:cs="Arial"/>
          <w:lang w:val="es-ES" w:eastAsia="es-ES" w:bidi="es-ES"/>
        </w:rPr>
      </w:pPr>
      <w:r w:rsidRPr="00910028">
        <w:rPr>
          <w:rFonts w:ascii="Verdana" w:eastAsia="Arial" w:hAnsi="Verdana" w:cs="Arial"/>
          <w:lang w:val="es-ES" w:eastAsia="es-ES" w:bidi="es-ES"/>
        </w:rPr>
        <w:t xml:space="preserve">Por su parte, el artículo 2.2.1.1.2.2.4. del Decreto 1082 de 2015 establece que cuando el valor de una oferta parezca artificialmente bajo, la entidad debe requerir al oferente para que explique las razones que sustentan el valor ofrecido. Frente a estas explicaciones le corresponde al comité evaluador </w:t>
      </w:r>
      <w:r>
        <w:rPr>
          <w:rFonts w:ascii="Verdana" w:eastAsia="Arial" w:hAnsi="Verdana" w:cs="Arial"/>
          <w:lang w:val="es-ES" w:eastAsia="es-ES" w:bidi="es-ES"/>
        </w:rPr>
        <w:t>analizarlas y recomendar si d</w:t>
      </w:r>
      <w:r w:rsidRPr="00910028">
        <w:rPr>
          <w:rFonts w:ascii="Verdana" w:eastAsia="Arial" w:hAnsi="Verdana" w:cs="Arial"/>
          <w:lang w:val="es-ES" w:eastAsia="es-ES" w:bidi="es-ES"/>
        </w:rPr>
        <w:t>ebe rechazar la oferta o continuar con el análisis de la oferta durante la evaluación de las ofertas</w:t>
      </w:r>
      <w:r>
        <w:rPr>
          <w:rFonts w:ascii="Verdana" w:eastAsia="Arial" w:hAnsi="Verdana" w:cs="Arial"/>
          <w:lang w:val="es-ES" w:eastAsia="es-ES" w:bidi="es-ES"/>
        </w:rPr>
        <w:t>:</w:t>
      </w:r>
    </w:p>
    <w:p w14:paraId="46E8D72A" w14:textId="77777777" w:rsidR="00AA511B" w:rsidRPr="001F4545" w:rsidRDefault="00AA511B" w:rsidP="00AA511B">
      <w:pPr>
        <w:spacing w:after="0" w:line="240" w:lineRule="auto"/>
        <w:ind w:left="708" w:right="616" w:firstLine="1"/>
        <w:jc w:val="both"/>
        <w:rPr>
          <w:rFonts w:ascii="Verdana" w:hAnsi="Verdana"/>
          <w:sz w:val="21"/>
          <w:szCs w:val="21"/>
        </w:rPr>
      </w:pPr>
    </w:p>
    <w:p w14:paraId="6D9351A1" w14:textId="77777777" w:rsidR="00AA511B" w:rsidRPr="00666BAC" w:rsidRDefault="00AA511B" w:rsidP="00AA511B">
      <w:pPr>
        <w:spacing w:after="0" w:line="240" w:lineRule="auto"/>
        <w:ind w:left="708" w:right="616" w:firstLine="1"/>
        <w:jc w:val="both"/>
        <w:rPr>
          <w:rFonts w:ascii="Verdana" w:hAnsi="Verdana"/>
          <w:sz w:val="20"/>
          <w:szCs w:val="20"/>
        </w:rPr>
      </w:pPr>
      <w:r w:rsidRPr="00666BAC">
        <w:rPr>
          <w:rFonts w:ascii="Verdana" w:hAnsi="Verdana"/>
          <w:bCs/>
          <w:sz w:val="20"/>
          <w:szCs w:val="20"/>
        </w:rPr>
        <w:t>“Artículo 2.2.1.1.2.2.4. </w:t>
      </w:r>
      <w:r w:rsidRPr="00666BAC">
        <w:rPr>
          <w:rFonts w:ascii="Verdana" w:hAnsi="Verdana"/>
          <w:bCs/>
          <w:i/>
          <w:iCs/>
          <w:sz w:val="20"/>
          <w:szCs w:val="20"/>
        </w:rPr>
        <w:t>Oferta con valor artificialmente bajo.</w:t>
      </w:r>
      <w:r w:rsidRPr="00666BAC">
        <w:rPr>
          <w:rFonts w:ascii="Verdana" w:hAnsi="Verdana"/>
          <w:i/>
          <w:iCs/>
          <w:sz w:val="20"/>
          <w:szCs w:val="20"/>
        </w:rPr>
        <w:t> </w:t>
      </w:r>
      <w:r w:rsidRPr="00666BAC">
        <w:rPr>
          <w:rFonts w:ascii="Verdana" w:hAnsi="Verdana"/>
          <w:sz w:val="20"/>
          <w:szCs w:val="20"/>
        </w:rPr>
        <w:t>Si de acuerdo con la información obtenida por la Entidad Estatal en su deber de análisis de que trata el artículo 2.2.1.1.1.6.1 del presente decreto, el valor de una oferta parece artificialmente bajo, la Entidad Estatal debe requerir al oferente para que explique las razones que sustentan el valor ofrecido. Analizadas las explicaciones, el comité evaluador de que trata el artículo anterior, o quien haga la evaluación de las ofertas, debe recomendar rechazar la oferta o continuar con el análisis de la misma en la evaluación de las ofertas.</w:t>
      </w:r>
    </w:p>
    <w:p w14:paraId="47AF727E" w14:textId="77777777" w:rsidR="00AA511B" w:rsidRDefault="00AA511B" w:rsidP="00AA511B">
      <w:pPr>
        <w:spacing w:after="0" w:line="240" w:lineRule="auto"/>
        <w:ind w:left="708" w:right="616" w:firstLine="1"/>
        <w:jc w:val="both"/>
        <w:rPr>
          <w:rFonts w:ascii="Verdana" w:hAnsi="Verdana"/>
          <w:sz w:val="20"/>
          <w:szCs w:val="20"/>
        </w:rPr>
      </w:pPr>
    </w:p>
    <w:p w14:paraId="30C81FEB" w14:textId="77777777" w:rsidR="00AA511B" w:rsidRPr="00666BAC" w:rsidRDefault="00AA511B" w:rsidP="00AA511B">
      <w:pPr>
        <w:spacing w:after="0" w:line="240" w:lineRule="auto"/>
        <w:ind w:left="708" w:right="616" w:firstLine="1"/>
        <w:jc w:val="both"/>
        <w:rPr>
          <w:rFonts w:ascii="Verdana" w:hAnsi="Verdana"/>
          <w:sz w:val="20"/>
          <w:szCs w:val="20"/>
        </w:rPr>
      </w:pPr>
      <w:r w:rsidRPr="00666BAC">
        <w:rPr>
          <w:rFonts w:ascii="Verdana" w:hAnsi="Verdana"/>
          <w:sz w:val="20"/>
          <w:szCs w:val="20"/>
        </w:rPr>
        <w:t xml:space="preserve">Cuando el valor de la oferta sobre la cual la Entidad Estatal tuvo dudas sobre su valor, responde a circunstancias objetivas del oferente y de su oferta que no ponen en riesgo el cumplimiento del contrato si este es </w:t>
      </w:r>
      <w:r w:rsidRPr="00666BAC">
        <w:rPr>
          <w:rFonts w:ascii="Verdana" w:hAnsi="Verdana"/>
          <w:sz w:val="20"/>
          <w:szCs w:val="20"/>
        </w:rPr>
        <w:lastRenderedPageBreak/>
        <w:t>adjudicado a tal oferta, la Entidad Estatal debe continuar con su análisis en el proceso de evaluación de ofertas.</w:t>
      </w:r>
    </w:p>
    <w:p w14:paraId="087D538A" w14:textId="77777777" w:rsidR="00AA511B" w:rsidRPr="00666BAC" w:rsidRDefault="00AA511B" w:rsidP="00AA511B">
      <w:pPr>
        <w:spacing w:after="0" w:line="240" w:lineRule="auto"/>
        <w:ind w:left="708" w:right="616" w:firstLine="1"/>
        <w:jc w:val="both"/>
        <w:rPr>
          <w:rFonts w:ascii="Verdana" w:hAnsi="Verdana"/>
          <w:sz w:val="20"/>
          <w:szCs w:val="20"/>
        </w:rPr>
      </w:pPr>
      <w:r w:rsidRPr="00666BAC">
        <w:rPr>
          <w:rFonts w:ascii="Verdana" w:hAnsi="Verdana"/>
          <w:sz w:val="20"/>
          <w:szCs w:val="20"/>
        </w:rPr>
        <w:t>En la subasta inversa esta disposición es aplicable sobre el precio obtenido al final de la misma”.</w:t>
      </w:r>
    </w:p>
    <w:p w14:paraId="4AFA8E74" w14:textId="77777777" w:rsidR="00AA511B" w:rsidRPr="00C71D70" w:rsidRDefault="00AA511B" w:rsidP="00AA511B">
      <w:pPr>
        <w:spacing w:after="0" w:line="240" w:lineRule="auto"/>
        <w:ind w:left="708" w:right="616" w:firstLine="1"/>
        <w:jc w:val="both"/>
        <w:rPr>
          <w:rFonts w:ascii="Verdana" w:hAnsi="Verdana"/>
          <w:sz w:val="21"/>
          <w:szCs w:val="21"/>
        </w:rPr>
      </w:pPr>
    </w:p>
    <w:p w14:paraId="0937D043" w14:textId="77777777" w:rsidR="00AA511B" w:rsidRPr="00AC1339" w:rsidRDefault="00AA511B" w:rsidP="00AA511B">
      <w:pPr>
        <w:spacing w:after="120" w:line="276" w:lineRule="auto"/>
        <w:ind w:firstLine="709"/>
        <w:jc w:val="both"/>
        <w:rPr>
          <w:rFonts w:ascii="Verdana" w:eastAsia="Calibri" w:hAnsi="Verdana" w:cs="Arial"/>
          <w:lang w:val="es-ES"/>
        </w:rPr>
      </w:pPr>
      <w:r w:rsidRPr="00AC1339">
        <w:rPr>
          <w:rFonts w:ascii="Verdana" w:eastAsia="Calibri" w:hAnsi="Verdana" w:cs="Arial"/>
          <w:lang w:val="es-MX"/>
        </w:rPr>
        <w:t>Así pues, el artículo 2.2.1.1.2.2.4 ibidem, establece lo que debe hacer la entidad cuando el precio de una oferta parece artificialmente bajo, esto es: i) solicitar explicación al oferente, ii) analizar las explicaciones del oferente, iii) el responsable de la evaluación de las ofertas debe recomendar rechazar o continuar la evaluación de la oferta, y iv) para la subasta inversa, lo anterior se debe hacer al finalizar el evento.</w:t>
      </w:r>
    </w:p>
    <w:p w14:paraId="3D3D3ED5" w14:textId="77777777" w:rsidR="00AA511B" w:rsidRPr="00AC1339" w:rsidRDefault="00AA511B" w:rsidP="00AA511B">
      <w:pPr>
        <w:spacing w:before="120" w:after="120" w:line="276" w:lineRule="auto"/>
        <w:ind w:firstLine="709"/>
        <w:jc w:val="both"/>
        <w:rPr>
          <w:rFonts w:ascii="Verdana" w:eastAsia="Calibri" w:hAnsi="Verdana" w:cs="Arial"/>
        </w:rPr>
      </w:pPr>
      <w:r w:rsidRPr="00AC1339">
        <w:rPr>
          <w:rFonts w:ascii="Verdana" w:eastAsia="Calibri" w:hAnsi="Verdana" w:cs="Arial"/>
          <w:lang w:val="es-ES"/>
        </w:rPr>
        <w:t>Sin embargo, debe precisarse que el análisis de los precios de una oferta se hace en la fase de evaluación del procedimiento</w:t>
      </w:r>
      <w:r>
        <w:rPr>
          <w:rFonts w:ascii="Verdana" w:eastAsia="Calibri" w:hAnsi="Verdana" w:cs="Arial"/>
          <w:lang w:val="es-ES"/>
        </w:rPr>
        <w:t xml:space="preserve"> de selección</w:t>
      </w:r>
      <w:r w:rsidRPr="00AC1339">
        <w:rPr>
          <w:rFonts w:ascii="Verdana" w:eastAsia="Calibri" w:hAnsi="Verdana" w:cs="Arial"/>
          <w:lang w:val="es-ES"/>
        </w:rPr>
        <w:t>, que es la oportunidad para verificar, a través del comité evaluador</w:t>
      </w:r>
      <w:r w:rsidRPr="00AC1339">
        <w:rPr>
          <w:rFonts w:ascii="Verdana" w:eastAsia="Aptos" w:hAnsi="Verdana" w:cs="Times New Roman"/>
          <w:kern w:val="2"/>
          <w:vertAlign w:val="superscript"/>
          <w:lang w:val="es-MX"/>
          <w14:ligatures w14:val="standardContextual"/>
        </w:rPr>
        <w:footnoteReference w:id="4"/>
      </w:r>
      <w:r>
        <w:rPr>
          <w:rFonts w:ascii="Verdana" w:eastAsia="Calibri" w:hAnsi="Verdana" w:cs="Arial"/>
          <w:lang w:val="es-MX"/>
        </w:rPr>
        <w:t xml:space="preserve"> si se cumplen o no</w:t>
      </w:r>
      <w:r w:rsidRPr="00AC1339">
        <w:rPr>
          <w:rFonts w:ascii="Verdana" w:eastAsia="Calibri" w:hAnsi="Verdana" w:cs="Arial"/>
          <w:lang w:val="es-MX"/>
        </w:rPr>
        <w:t xml:space="preserve"> las reglas </w:t>
      </w:r>
      <w:r>
        <w:rPr>
          <w:rFonts w:ascii="Verdana" w:eastAsia="Calibri" w:hAnsi="Verdana" w:cs="Arial"/>
          <w:lang w:val="es-MX"/>
        </w:rPr>
        <w:t>de</w:t>
      </w:r>
      <w:r w:rsidRPr="00AC1339">
        <w:rPr>
          <w:rFonts w:ascii="Verdana" w:eastAsia="Calibri" w:hAnsi="Verdana" w:cs="Arial"/>
          <w:lang w:val="es-MX"/>
        </w:rPr>
        <w:t xml:space="preserve"> los pliegos de condiciones. En efecto, el objeto de la evaluación de las ofertas es comprobar que estas cumplen con los parámetros exigidos, establecer la habilitación del proponente en dicho proceso de selección y definir si, de acuerdo con la ponderación de los factores de evaluación aplicables, cuál será el que resultará adjudicatario del futuro contrato.</w:t>
      </w:r>
    </w:p>
    <w:p w14:paraId="71A03676" w14:textId="77777777" w:rsidR="00AA511B" w:rsidRPr="00AC1339" w:rsidRDefault="00AA511B" w:rsidP="00AA511B">
      <w:pPr>
        <w:spacing w:after="120" w:line="276" w:lineRule="auto"/>
        <w:ind w:firstLine="709"/>
        <w:jc w:val="both"/>
        <w:rPr>
          <w:rFonts w:ascii="Verdana" w:eastAsia="Calibri" w:hAnsi="Verdana" w:cs="Arial"/>
          <w:highlight w:val="yellow"/>
          <w:lang w:val="es-ES"/>
        </w:rPr>
      </w:pPr>
      <w:r w:rsidRPr="00AC1339">
        <w:rPr>
          <w:rFonts w:ascii="Verdana" w:eastAsia="Calibri" w:hAnsi="Verdana" w:cs="Arial"/>
          <w:lang w:val="es-ES"/>
        </w:rPr>
        <w:t>En ese sentid</w:t>
      </w:r>
      <w:r>
        <w:rPr>
          <w:rFonts w:ascii="Verdana" w:eastAsia="Calibri" w:hAnsi="Verdana" w:cs="Arial"/>
          <w:lang w:val="es-ES"/>
        </w:rPr>
        <w:t xml:space="preserve">o, </w:t>
      </w:r>
      <w:r w:rsidRPr="00AC1339">
        <w:rPr>
          <w:rFonts w:ascii="Verdana" w:eastAsia="Calibri" w:hAnsi="Verdana" w:cs="Arial"/>
          <w:lang w:val="es-ES"/>
        </w:rPr>
        <w:t>en la evaluación</w:t>
      </w:r>
      <w:r>
        <w:rPr>
          <w:rFonts w:ascii="Verdana" w:eastAsia="Calibri" w:hAnsi="Verdana" w:cs="Arial"/>
          <w:lang w:val="es-ES"/>
        </w:rPr>
        <w:t xml:space="preserve"> que se realiza antes de la adjudicación del contrato</w:t>
      </w:r>
      <w:r w:rsidRPr="00AC1339">
        <w:rPr>
          <w:rFonts w:ascii="Verdana" w:eastAsia="Calibri" w:hAnsi="Verdana" w:cs="Arial"/>
          <w:lang w:val="es-ES"/>
        </w:rPr>
        <w:t xml:space="preserve"> la entidad debe verificar la oferta y su componente económico, para determinar si corresponde con el resultado del análisis de la oferta en el estudio de mercado, o si los precios tienen un componente atípico que no se identificó al observar el comportamiento de los proveedores d</w:t>
      </w:r>
      <w:r>
        <w:rPr>
          <w:rFonts w:ascii="Verdana" w:eastAsia="Calibri" w:hAnsi="Verdana" w:cs="Arial"/>
          <w:lang w:val="es-ES"/>
        </w:rPr>
        <w:t xml:space="preserve">el bien, obra o servicio que </w:t>
      </w:r>
      <w:r w:rsidRPr="00AC1339">
        <w:rPr>
          <w:rFonts w:ascii="Verdana" w:eastAsia="Calibri" w:hAnsi="Verdana" w:cs="Arial"/>
          <w:lang w:val="es-ES"/>
        </w:rPr>
        <w:t>pretende contratar</w:t>
      </w:r>
      <w:r>
        <w:rPr>
          <w:rFonts w:ascii="Verdana" w:eastAsia="Calibri" w:hAnsi="Verdana" w:cs="Arial"/>
          <w:lang w:val="es-ES"/>
        </w:rPr>
        <w:t>se</w:t>
      </w:r>
      <w:r w:rsidRPr="00AC1339">
        <w:rPr>
          <w:rFonts w:ascii="Verdana" w:eastAsia="Calibri" w:hAnsi="Verdana" w:cs="Arial"/>
          <w:lang w:val="es-ES"/>
        </w:rPr>
        <w:t xml:space="preserve">. En ese caso, la entidad podrá identificar las ofertas con precios que parecen artificialmente bajos, y seguir el procedimiento del Decreto 1082 de 2015. Concluido dicho análisis, es posible que a partir de las explicaciones ofrecidas por el proponente se determine que el valor responde a </w:t>
      </w:r>
      <w:r w:rsidRPr="00AC1339">
        <w:rPr>
          <w:rFonts w:ascii="Verdana" w:eastAsia="Calibri" w:hAnsi="Verdana" w:cs="Arial"/>
          <w:lang w:val="es-ES"/>
        </w:rPr>
        <w:lastRenderedPageBreak/>
        <w:t>circunstancias objetivas que le permiten cumplir el contrato, sin que con ello termine la evaluación, porque el Decreto 1082 de 2015 señala que la entidad puede continuar el análisis en esta fase de evaluación.</w:t>
      </w:r>
    </w:p>
    <w:p w14:paraId="48CF6034" w14:textId="5D8249AA" w:rsidR="00AA511B" w:rsidRPr="00D40E49" w:rsidRDefault="00AA511B" w:rsidP="00AA511B">
      <w:pPr>
        <w:spacing w:after="120" w:line="276" w:lineRule="auto"/>
        <w:ind w:firstLine="709"/>
        <w:jc w:val="both"/>
        <w:rPr>
          <w:rFonts w:ascii="Verdana" w:eastAsia="Times New Roman" w:hAnsi="Verdana" w:cs="Arial"/>
          <w:lang w:val="es-ES"/>
        </w:rPr>
      </w:pPr>
      <w:r w:rsidRPr="00AC1339">
        <w:rPr>
          <w:rFonts w:ascii="Verdana" w:eastAsia="Times New Roman" w:hAnsi="Verdana" w:cs="Arial"/>
          <w:lang w:val="es-ES"/>
        </w:rPr>
        <w:t>De esta forma, y con el objetivo de brindar herramientas que orienten a las Entidades Estatales en este asunto, la Agencia Nacional de Contratación Pública – Colombia Compra Eficiente el 16 de diciembre de 2024, actualizó la “Guía para el manejo de ofertas artificialmente bajas en Procesos de Contratación”, en la que se señalan no sólo las posibles causas y consecuencias de ofertas artificialmente bajas, sino que también se relaciona a modo de sugerencia dos metodologías que podrían aplicar las entidades para identificarlas y manejarlas. Estas son: i) la comparación absoluta y; ii) la comparación relativa.</w:t>
      </w:r>
      <w:r>
        <w:rPr>
          <w:rFonts w:ascii="Verdana" w:eastAsia="Times New Roman" w:hAnsi="Verdana" w:cs="Arial"/>
          <w:lang w:val="es-ES"/>
        </w:rPr>
        <w:t xml:space="preserve"> Es importante precisar que dentro de la Guía para el manejo de ofertas artificialmente bajas en Procesos de Contratación” efectúa un análisis especial en torno a la subasta inversa, la cual puede ser </w:t>
      </w:r>
      <w:r w:rsidRPr="001E5EA5">
        <w:rPr>
          <w:rFonts w:ascii="Verdana" w:eastAsia="Times New Roman" w:hAnsi="Verdana" w:cs="Arial"/>
        </w:rPr>
        <w:t>ordinaria y a la inversa.</w:t>
      </w:r>
      <w:r>
        <w:rPr>
          <w:rFonts w:ascii="Verdana" w:eastAsia="Times New Roman" w:hAnsi="Verdana" w:cs="Arial"/>
        </w:rPr>
        <w:t xml:space="preserve"> La primera consiste en que </w:t>
      </w:r>
      <w:r w:rsidRPr="001E5EA5">
        <w:rPr>
          <w:rFonts w:ascii="Verdana" w:eastAsia="Times New Roman" w:hAnsi="Verdana" w:cs="Arial"/>
        </w:rPr>
        <w:t>los compradores compiten para obtener un bien o servicio, ofreciend</w:t>
      </w:r>
      <w:r>
        <w:rPr>
          <w:rFonts w:ascii="Verdana" w:eastAsia="Times New Roman" w:hAnsi="Verdana" w:cs="Arial"/>
        </w:rPr>
        <w:t xml:space="preserve">o precios cada vez más altos, mediante </w:t>
      </w:r>
      <w:r w:rsidRPr="001E5EA5">
        <w:rPr>
          <w:rFonts w:ascii="Verdana" w:eastAsia="Times New Roman" w:hAnsi="Verdana" w:cs="Arial"/>
        </w:rPr>
        <w:t xml:space="preserve">lances, </w:t>
      </w:r>
      <w:r>
        <w:rPr>
          <w:rFonts w:ascii="Verdana" w:eastAsia="Times New Roman" w:hAnsi="Verdana" w:cs="Arial"/>
        </w:rPr>
        <w:t xml:space="preserve">como es el caso de los procesos de contratación de enajenación </w:t>
      </w:r>
      <w:r w:rsidRPr="001E5EA5">
        <w:rPr>
          <w:rFonts w:ascii="Verdana" w:eastAsia="Times New Roman" w:hAnsi="Verdana" w:cs="Arial"/>
        </w:rPr>
        <w:t>directa a través de subasta pública mediante la modalidad de selecció</w:t>
      </w:r>
      <w:r>
        <w:rPr>
          <w:rFonts w:ascii="Verdana" w:eastAsia="Times New Roman" w:hAnsi="Verdana" w:cs="Arial"/>
        </w:rPr>
        <w:t xml:space="preserve">n abreviada, de acuerdo con lo prescrito en el artículo </w:t>
      </w:r>
      <w:r w:rsidRPr="001E5EA5">
        <w:rPr>
          <w:rFonts w:ascii="Verdana" w:eastAsia="Times New Roman" w:hAnsi="Verdana" w:cs="Arial"/>
        </w:rPr>
        <w:t xml:space="preserve">2.2.1.2.2.2.2 del Decreto 1082 </w:t>
      </w:r>
      <w:r>
        <w:rPr>
          <w:rFonts w:ascii="Verdana" w:eastAsia="Times New Roman" w:hAnsi="Verdana" w:cs="Arial"/>
        </w:rPr>
        <w:t>de 1025</w:t>
      </w:r>
      <w:r>
        <w:rPr>
          <w:rStyle w:val="Refdenotaalpie"/>
          <w:rFonts w:ascii="Verdana" w:eastAsia="Times New Roman" w:hAnsi="Verdana" w:cs="Arial"/>
        </w:rPr>
        <w:footnoteReference w:id="5"/>
      </w:r>
      <w:r>
        <w:rPr>
          <w:rFonts w:ascii="Verdana" w:eastAsia="Times New Roman" w:hAnsi="Verdana" w:cs="Arial"/>
        </w:rPr>
        <w:t xml:space="preserve">. El segundo, es la subasta inversa que consiste en que los vendedores compiten para obtener </w:t>
      </w:r>
      <w:r w:rsidRPr="001E5EA5">
        <w:rPr>
          <w:rFonts w:ascii="Verdana" w:eastAsia="Times New Roman" w:hAnsi="Verdana" w:cs="Arial"/>
        </w:rPr>
        <w:t>un negocio del comprador, y para ello, los lances realizados sobre la oferta económica tienen como objetivo disminuir los precios</w:t>
      </w:r>
      <w:r>
        <w:rPr>
          <w:rFonts w:ascii="Verdana" w:eastAsia="Times New Roman" w:hAnsi="Verdana" w:cs="Arial"/>
        </w:rPr>
        <w:t xml:space="preserve"> de los bienes y servicios que se están ofertando</w:t>
      </w:r>
      <w:r w:rsidRPr="001E5EA5">
        <w:rPr>
          <w:rFonts w:ascii="Verdana" w:eastAsia="Times New Roman" w:hAnsi="Verdana" w:cs="Arial"/>
        </w:rPr>
        <w:t>. E</w:t>
      </w:r>
      <w:r>
        <w:rPr>
          <w:rFonts w:ascii="Verdana" w:eastAsia="Times New Roman" w:hAnsi="Verdana" w:cs="Arial"/>
        </w:rPr>
        <w:t xml:space="preserve">jemplo de este escenario, es el procedimiento de la selección abreviada mediante subasta inversa, en la que se busca </w:t>
      </w:r>
      <w:r w:rsidRPr="001E5EA5">
        <w:rPr>
          <w:rFonts w:ascii="Verdana" w:eastAsia="Times New Roman" w:hAnsi="Verdana" w:cs="Arial"/>
        </w:rPr>
        <w:t>la adquisición o s</w:t>
      </w:r>
      <w:r>
        <w:rPr>
          <w:rFonts w:ascii="Verdana" w:eastAsia="Times New Roman" w:hAnsi="Verdana" w:cs="Arial"/>
        </w:rPr>
        <w:t xml:space="preserve">uministro de bienes y servicios </w:t>
      </w:r>
      <w:r w:rsidRPr="001E5EA5">
        <w:rPr>
          <w:rFonts w:ascii="Verdana" w:eastAsia="Times New Roman" w:hAnsi="Verdana" w:cs="Arial"/>
        </w:rPr>
        <w:t xml:space="preserve">de características técnicas uniformes y de común utilización por parte de las Entidades Estatales, </w:t>
      </w:r>
      <w:r>
        <w:rPr>
          <w:rFonts w:ascii="Verdana" w:eastAsia="Times New Roman" w:hAnsi="Verdana" w:cs="Arial"/>
        </w:rPr>
        <w:t xml:space="preserve">que está regulada en el artículo </w:t>
      </w:r>
      <w:r w:rsidRPr="001E5EA5">
        <w:rPr>
          <w:rFonts w:ascii="Verdana" w:eastAsia="Times New Roman" w:hAnsi="Verdana" w:cs="Arial"/>
        </w:rPr>
        <w:t>2</w:t>
      </w:r>
      <w:r>
        <w:rPr>
          <w:rFonts w:ascii="Verdana" w:eastAsia="Times New Roman" w:hAnsi="Verdana" w:cs="Arial"/>
        </w:rPr>
        <w:t>, numeral 2, literal a)</w:t>
      </w:r>
      <w:r w:rsidRPr="001E5EA5">
        <w:rPr>
          <w:rFonts w:ascii="Verdana" w:eastAsia="Times New Roman" w:hAnsi="Verdana" w:cs="Arial"/>
        </w:rPr>
        <w:t xml:space="preserve"> de la Ley 1150 de 2007, y el artículo 2.2.1.2.1.2.2 del Decreto 1082 de 2015</w:t>
      </w:r>
      <w:r>
        <w:rPr>
          <w:rStyle w:val="Refdenotaalpie"/>
          <w:rFonts w:ascii="Verdana" w:eastAsia="Times New Roman" w:hAnsi="Verdana" w:cs="Arial"/>
        </w:rPr>
        <w:footnoteReference w:id="6"/>
      </w:r>
      <w:r w:rsidRPr="001E5EA5">
        <w:rPr>
          <w:rFonts w:ascii="Verdana" w:eastAsia="Times New Roman" w:hAnsi="Verdana" w:cs="Arial"/>
        </w:rPr>
        <w:t>.</w:t>
      </w:r>
    </w:p>
    <w:p w14:paraId="56AA8B66" w14:textId="77777777" w:rsidR="00AA511B" w:rsidRPr="00217BA2" w:rsidRDefault="00AA511B" w:rsidP="00AA511B">
      <w:pPr>
        <w:spacing w:after="120" w:line="276" w:lineRule="auto"/>
        <w:ind w:firstLine="709"/>
        <w:jc w:val="both"/>
        <w:rPr>
          <w:rFonts w:ascii="Verdana" w:eastAsia="Times New Roman" w:hAnsi="Verdana" w:cs="Arial"/>
          <w:sz w:val="20"/>
          <w:szCs w:val="20"/>
        </w:rPr>
      </w:pPr>
      <w:r>
        <w:rPr>
          <w:rFonts w:ascii="Verdana" w:eastAsia="Times New Roman" w:hAnsi="Verdana" w:cs="Arial"/>
          <w:lang w:val="es-ES"/>
        </w:rPr>
        <w:t xml:space="preserve">Dentro de la subasta inversa </w:t>
      </w:r>
      <w:r w:rsidRPr="001E5EA5">
        <w:rPr>
          <w:rFonts w:ascii="Verdana" w:eastAsia="Times New Roman" w:hAnsi="Verdana" w:cs="Arial"/>
        </w:rPr>
        <w:t xml:space="preserve">el único criterio de selección es el precio, </w:t>
      </w:r>
      <w:r>
        <w:rPr>
          <w:rFonts w:ascii="Verdana" w:eastAsia="Times New Roman" w:hAnsi="Verdana" w:cs="Arial"/>
        </w:rPr>
        <w:t>que se origina de los lances que son manifestación de pujas competitivas, en las que los procesos terminen en pre</w:t>
      </w:r>
      <w:r w:rsidRPr="001E5EA5">
        <w:rPr>
          <w:rFonts w:ascii="Verdana" w:eastAsia="Times New Roman" w:hAnsi="Verdana" w:cs="Arial"/>
        </w:rPr>
        <w:t xml:space="preserve">cios u ofertas bajas. </w:t>
      </w:r>
      <w:r>
        <w:rPr>
          <w:rFonts w:ascii="Verdana" w:eastAsia="Times New Roman" w:hAnsi="Verdana" w:cs="Arial"/>
        </w:rPr>
        <w:t xml:space="preserve">No obstante, dichas ofertas </w:t>
      </w:r>
      <w:r>
        <w:rPr>
          <w:rFonts w:ascii="Verdana" w:eastAsia="Times New Roman" w:hAnsi="Verdana" w:cs="Arial"/>
        </w:rPr>
        <w:lastRenderedPageBreak/>
        <w:t xml:space="preserve">dentro de la audiencia de subasta </w:t>
      </w:r>
      <w:r w:rsidRPr="001E5EA5">
        <w:rPr>
          <w:rFonts w:ascii="Verdana" w:eastAsia="Times New Roman" w:hAnsi="Verdana" w:cs="Arial"/>
        </w:rPr>
        <w:t xml:space="preserve">no siempre deben </w:t>
      </w:r>
      <w:r>
        <w:rPr>
          <w:rFonts w:ascii="Verdana" w:eastAsia="Times New Roman" w:hAnsi="Verdana" w:cs="Arial"/>
        </w:rPr>
        <w:t xml:space="preserve">interpretarse como artificialmente bajas. En torno a este proceso de contratación, la Guía recomienda: </w:t>
      </w:r>
    </w:p>
    <w:p w14:paraId="67B2A018" w14:textId="77777777" w:rsidR="00AA511B" w:rsidRPr="00217BA2" w:rsidRDefault="00AA511B" w:rsidP="00AA511B">
      <w:pPr>
        <w:pStyle w:val="Prrafodelista"/>
        <w:numPr>
          <w:ilvl w:val="0"/>
          <w:numId w:val="18"/>
        </w:numPr>
        <w:spacing w:after="0" w:line="240" w:lineRule="auto"/>
        <w:ind w:right="709"/>
        <w:jc w:val="both"/>
        <w:rPr>
          <w:rFonts w:ascii="Verdana" w:eastAsia="Times New Roman" w:hAnsi="Verdana" w:cs="Arial"/>
          <w:sz w:val="20"/>
          <w:szCs w:val="20"/>
        </w:rPr>
      </w:pPr>
      <w:r w:rsidRPr="00217BA2">
        <w:rPr>
          <w:rFonts w:ascii="Verdana" w:eastAsia="Times New Roman" w:hAnsi="Verdana" w:cs="Arial"/>
          <w:sz w:val="20"/>
          <w:szCs w:val="20"/>
        </w:rPr>
        <w:t xml:space="preserve">Verificar la oferta y su componente económico, para así determinar si los precios tienen un componente extraño que no fue posible determinar al momento de realizar el Estudio del sector, en relación con los proveedores del bien, obra o servicio que se pretende contratar. </w:t>
      </w:r>
    </w:p>
    <w:p w14:paraId="4AB4A2F7" w14:textId="77777777" w:rsidR="00AA511B" w:rsidRPr="00217BA2" w:rsidRDefault="00AA511B" w:rsidP="00AA511B">
      <w:pPr>
        <w:pStyle w:val="Prrafodelista"/>
        <w:numPr>
          <w:ilvl w:val="0"/>
          <w:numId w:val="18"/>
        </w:numPr>
        <w:spacing w:after="0" w:line="240" w:lineRule="auto"/>
        <w:ind w:right="709"/>
        <w:jc w:val="both"/>
        <w:rPr>
          <w:rFonts w:ascii="Verdana" w:eastAsia="Times New Roman" w:hAnsi="Verdana" w:cs="Arial"/>
          <w:sz w:val="20"/>
          <w:szCs w:val="20"/>
        </w:rPr>
      </w:pPr>
      <w:r w:rsidRPr="00217BA2">
        <w:rPr>
          <w:rFonts w:ascii="Verdana" w:eastAsia="Times New Roman" w:hAnsi="Verdana" w:cs="Arial"/>
          <w:sz w:val="20"/>
          <w:szCs w:val="20"/>
        </w:rPr>
        <w:t xml:space="preserve">Comparar el valor de cada oferta con el costo estimado de la provisión del bien o servicio de acuerdo con el Estudio del Sector. La verificación de ofertas artificialmente bajas puede sustentarse en información adicional a la utilizada en el Estudio del Sector, como precios de fabricantes y otros factores económicos relevantes. </w:t>
      </w:r>
    </w:p>
    <w:p w14:paraId="0EDCCD4D" w14:textId="77777777" w:rsidR="00AA511B" w:rsidRPr="00217BA2" w:rsidRDefault="00AA511B" w:rsidP="00AA511B">
      <w:pPr>
        <w:pStyle w:val="Prrafodelista"/>
        <w:numPr>
          <w:ilvl w:val="0"/>
          <w:numId w:val="18"/>
        </w:numPr>
        <w:spacing w:after="0" w:line="240" w:lineRule="auto"/>
        <w:ind w:right="709"/>
        <w:jc w:val="both"/>
        <w:rPr>
          <w:rFonts w:ascii="Verdana" w:eastAsia="Times New Roman" w:hAnsi="Verdana" w:cs="Arial"/>
          <w:sz w:val="20"/>
          <w:szCs w:val="20"/>
        </w:rPr>
      </w:pPr>
      <w:r w:rsidRPr="00217BA2">
        <w:rPr>
          <w:rFonts w:ascii="Verdana" w:eastAsia="Times New Roman" w:hAnsi="Verdana" w:cs="Arial"/>
          <w:sz w:val="20"/>
          <w:szCs w:val="20"/>
          <w:lang w:val="es-CO"/>
        </w:rPr>
        <w:t xml:space="preserve">Solicitar explicaciones a los </w:t>
      </w:r>
      <w:proofErr w:type="spellStart"/>
      <w:r w:rsidRPr="00217BA2">
        <w:rPr>
          <w:rFonts w:ascii="Verdana" w:eastAsia="Times New Roman" w:hAnsi="Verdana" w:cs="Arial"/>
          <w:sz w:val="20"/>
          <w:szCs w:val="20"/>
          <w:lang w:val="es-CO"/>
        </w:rPr>
        <w:t>pr</w:t>
      </w:r>
      <w:proofErr w:type="spellEnd"/>
      <w:r w:rsidRPr="00217BA2">
        <w:rPr>
          <w:rFonts w:ascii="Verdana" w:eastAsia="Times New Roman" w:hAnsi="Verdana" w:cs="Arial"/>
          <w:sz w:val="20"/>
          <w:szCs w:val="20"/>
        </w:rPr>
        <w:t>oponentes cuyas ofertas sean me</w:t>
      </w:r>
      <w:proofErr w:type="spellStart"/>
      <w:r w:rsidRPr="00217BA2">
        <w:rPr>
          <w:rFonts w:ascii="Verdana" w:eastAsia="Times New Roman" w:hAnsi="Verdana" w:cs="Arial"/>
          <w:sz w:val="20"/>
          <w:szCs w:val="20"/>
          <w:lang w:val="es-CO"/>
        </w:rPr>
        <w:t>nores</w:t>
      </w:r>
      <w:proofErr w:type="spellEnd"/>
      <w:r w:rsidRPr="00217BA2">
        <w:rPr>
          <w:rFonts w:ascii="Verdana" w:eastAsia="Times New Roman" w:hAnsi="Verdana" w:cs="Arial"/>
          <w:sz w:val="20"/>
          <w:szCs w:val="20"/>
          <w:lang w:val="es-CO"/>
        </w:rPr>
        <w:t xml:space="preserve"> en un 20%, o un mayor porcentaje, al costo total estimado por la Entidad Estatal (comparación absoluta, ver numeral 2.1.1). </w:t>
      </w:r>
    </w:p>
    <w:p w14:paraId="47BCC835" w14:textId="77777777" w:rsidR="00AA511B" w:rsidRPr="00217BA2" w:rsidRDefault="00AA511B" w:rsidP="00AA511B">
      <w:pPr>
        <w:pStyle w:val="Prrafodelista"/>
        <w:numPr>
          <w:ilvl w:val="0"/>
          <w:numId w:val="18"/>
        </w:numPr>
        <w:spacing w:after="0" w:line="240" w:lineRule="auto"/>
        <w:ind w:right="709"/>
        <w:jc w:val="both"/>
        <w:rPr>
          <w:rFonts w:ascii="Verdana" w:eastAsia="Times New Roman" w:hAnsi="Verdana" w:cs="Arial"/>
          <w:sz w:val="20"/>
          <w:szCs w:val="20"/>
        </w:rPr>
      </w:pPr>
      <w:r w:rsidRPr="00217BA2">
        <w:rPr>
          <w:rFonts w:ascii="Verdana" w:eastAsia="Times New Roman" w:hAnsi="Verdana" w:cs="Arial"/>
          <w:sz w:val="20"/>
          <w:szCs w:val="20"/>
          <w:lang w:val="es-CO"/>
        </w:rPr>
        <w:t>Analizar la información remitida por el proponente y considerar el rechazo de las ofertas que cumplan con alguna de las condiciones establecidas en el numeral 4.2 de la presente Guía</w:t>
      </w:r>
      <w:r w:rsidRPr="00217BA2">
        <w:rPr>
          <w:rStyle w:val="Refdenotaalpie"/>
          <w:rFonts w:ascii="Verdana" w:eastAsia="Times New Roman" w:hAnsi="Verdana" w:cs="Arial"/>
          <w:sz w:val="20"/>
          <w:szCs w:val="20"/>
          <w:lang w:val="es-CO"/>
        </w:rPr>
        <w:footnoteReference w:id="7"/>
      </w:r>
      <w:r w:rsidRPr="00217BA2">
        <w:rPr>
          <w:rFonts w:ascii="Verdana" w:eastAsia="Times New Roman" w:hAnsi="Verdana" w:cs="Arial"/>
          <w:sz w:val="20"/>
          <w:szCs w:val="20"/>
          <w:lang w:val="es-CO"/>
        </w:rPr>
        <w:t xml:space="preserve">. </w:t>
      </w:r>
    </w:p>
    <w:p w14:paraId="4219090C" w14:textId="77777777" w:rsidR="00F13223" w:rsidRDefault="00F13223" w:rsidP="00AA511B">
      <w:pPr>
        <w:spacing w:after="120" w:line="276" w:lineRule="auto"/>
        <w:ind w:firstLine="709"/>
        <w:jc w:val="both"/>
        <w:rPr>
          <w:rFonts w:ascii="Verdana" w:eastAsia="Times New Roman" w:hAnsi="Verdana" w:cs="Arial"/>
        </w:rPr>
      </w:pPr>
    </w:p>
    <w:p w14:paraId="71AFBC40" w14:textId="38C39432" w:rsidR="00AA511B" w:rsidRDefault="00AA511B" w:rsidP="00AA511B">
      <w:pPr>
        <w:spacing w:after="120" w:line="276" w:lineRule="auto"/>
        <w:ind w:firstLine="709"/>
        <w:jc w:val="both"/>
        <w:rPr>
          <w:rFonts w:ascii="Verdana" w:hAnsi="Verdana"/>
        </w:rPr>
      </w:pPr>
      <w:r w:rsidRPr="00527F01">
        <w:rPr>
          <w:rFonts w:ascii="Verdana" w:eastAsia="Times New Roman" w:hAnsi="Verdana" w:cs="Arial"/>
        </w:rPr>
        <w:t>En este aspecto, también se destaca la importancia de hacer un análisis cuidadoso de la sostenibilidad de las ofertas</w:t>
      </w:r>
      <w:r>
        <w:rPr>
          <w:rFonts w:ascii="Verdana" w:eastAsia="Times New Roman" w:hAnsi="Verdana" w:cs="Arial"/>
        </w:rPr>
        <w:t xml:space="preserve"> en dichos procesos de contratación</w:t>
      </w:r>
      <w:r w:rsidRPr="00527F01">
        <w:rPr>
          <w:rFonts w:ascii="Verdana" w:eastAsia="Times New Roman" w:hAnsi="Verdana" w:cs="Arial"/>
        </w:rPr>
        <w:t>. Ahora bien, en el evento en que los lances presentados en la audiencia del proceso de subasta inversa se evidencian que son precios artificialmente bajos, debe tener en cuenta lo siguiente: i) requerir al oferente con relación a los precios ofertados que parecen bajos, con el fin de que sustente las razones o motivos del valor; ii) a</w:t>
      </w:r>
      <w:r w:rsidRPr="00527F01">
        <w:rPr>
          <w:rFonts w:ascii="Verdana" w:hAnsi="Verdana"/>
        </w:rPr>
        <w:t>nalizar las explicaciones del oferente, para verificar si están sustentados en los valores ofrecidos y si son suficientes para ejecutar el contrato; iii) definir si continúa con la evaluación de la oferta, en el sentido de que la explicación demuestra la capacidad del proponente para cumplir adecuadamente con el contrato con los precios ofertados o, si por el contrario, rechaza la oferta porque no fue sustentada</w:t>
      </w:r>
      <w:r>
        <w:rPr>
          <w:rStyle w:val="Refdenotaalpie"/>
          <w:rFonts w:ascii="Verdana" w:hAnsi="Verdana"/>
        </w:rPr>
        <w:footnoteReference w:id="8"/>
      </w:r>
      <w:r w:rsidRPr="00527F01">
        <w:rPr>
          <w:rFonts w:ascii="Verdana" w:hAnsi="Verdana"/>
        </w:rPr>
        <w:t xml:space="preserve">. Esto debe realizarse al finalizar el evento de subasta, de acuerdo con el precio ofrecido al final de esta. </w:t>
      </w:r>
    </w:p>
    <w:p w14:paraId="6EB86824" w14:textId="08CF4D3F" w:rsidR="005B6291" w:rsidRPr="005B6291" w:rsidRDefault="005B6291" w:rsidP="005B6291">
      <w:pPr>
        <w:spacing w:after="120" w:line="240" w:lineRule="auto"/>
        <w:ind w:firstLine="709"/>
        <w:jc w:val="both"/>
        <w:rPr>
          <w:rFonts w:ascii="Verdana" w:hAnsi="Verdana"/>
        </w:rPr>
      </w:pPr>
      <w:r w:rsidRPr="005B6291">
        <w:rPr>
          <w:rFonts w:ascii="Verdana" w:hAnsi="Verdana"/>
        </w:rPr>
        <w:t>En este escenario,</w:t>
      </w:r>
      <w:r w:rsidR="00BC6A87">
        <w:rPr>
          <w:rFonts w:ascii="Verdana" w:hAnsi="Verdana"/>
        </w:rPr>
        <w:t xml:space="preserve"> si</w:t>
      </w:r>
      <w:r w:rsidRPr="005B6291">
        <w:rPr>
          <w:rFonts w:ascii="Verdana" w:hAnsi="Verdana"/>
        </w:rPr>
        <w:t xml:space="preserve"> </w:t>
      </w:r>
      <w:r w:rsidR="00BC6A87" w:rsidRPr="00BC6A87">
        <w:rPr>
          <w:rFonts w:ascii="Verdana" w:hAnsi="Verdana"/>
        </w:rPr>
        <w:t>la entidad decid</w:t>
      </w:r>
      <w:r w:rsidR="00BC6A87">
        <w:rPr>
          <w:rFonts w:ascii="Verdana" w:hAnsi="Verdana"/>
        </w:rPr>
        <w:t>e</w:t>
      </w:r>
      <w:r w:rsidR="00BC6A87" w:rsidRPr="00BC6A87">
        <w:rPr>
          <w:rFonts w:ascii="Verdana" w:hAnsi="Verdana"/>
        </w:rPr>
        <w:t xml:space="preserve"> rechazar la oferta más baja en una subasta inversa</w:t>
      </w:r>
      <w:r w:rsidR="00DF603A">
        <w:rPr>
          <w:rFonts w:ascii="Verdana" w:hAnsi="Verdana"/>
        </w:rPr>
        <w:t>,</w:t>
      </w:r>
      <w:r w:rsidR="00DF603A" w:rsidRPr="00DF603A">
        <w:rPr>
          <w:rFonts w:ascii="Verdana" w:hAnsi="Verdana"/>
        </w:rPr>
        <w:t xml:space="preserve"> particularmente en casos en los que el proponente no responda o atribuya el lance a un error humano</w:t>
      </w:r>
      <w:r w:rsidR="00DF603A">
        <w:rPr>
          <w:rFonts w:ascii="Verdana" w:hAnsi="Verdana"/>
        </w:rPr>
        <w:t xml:space="preserve">, </w:t>
      </w:r>
      <w:r w:rsidRPr="005B6291">
        <w:rPr>
          <w:rFonts w:ascii="Verdana" w:hAnsi="Verdana"/>
        </w:rPr>
        <w:t xml:space="preserve">la Guía expresa: “[…] la entidad en el marco de su autonomía puede evaluar la procedencia de volver a realizar el </w:t>
      </w:r>
      <w:r w:rsidRPr="005B6291">
        <w:rPr>
          <w:rFonts w:ascii="Verdana" w:hAnsi="Verdana"/>
        </w:rPr>
        <w:lastRenderedPageBreak/>
        <w:t xml:space="preserve">evento de subasta, retirando al proponente si está contemplado inicialmente en los pliegos; esto, con el fin de evitar que un participante de la subasta beneficie a otro a través de la presentación de una oferta artificialmente baja”. De igual modo, dichos eventos deben ponerse al conocimiento de la Superintendencia de Industria y Comercio. </w:t>
      </w:r>
    </w:p>
    <w:p w14:paraId="7DD5E3E6" w14:textId="77777777" w:rsidR="00AA511B" w:rsidRDefault="00AA511B" w:rsidP="00AA511B">
      <w:pPr>
        <w:spacing w:before="120" w:after="120" w:line="276" w:lineRule="auto"/>
        <w:ind w:firstLine="709"/>
        <w:jc w:val="both"/>
        <w:rPr>
          <w:rFonts w:ascii="Verdana" w:hAnsi="Verdana"/>
        </w:rPr>
      </w:pPr>
      <w:r>
        <w:rPr>
          <w:rFonts w:ascii="Verdana" w:hAnsi="Verdana"/>
        </w:rPr>
        <w:t>En conclusión, d</w:t>
      </w:r>
      <w:r w:rsidRPr="00643952">
        <w:rPr>
          <w:rFonts w:ascii="Verdana" w:hAnsi="Verdana"/>
        </w:rPr>
        <w:t>e conformidad con el artículo 2.2.1.1.2.2.4 del Decreto 1082 de 2025, en los procesos de selección que emplean la modalidad de subasta inversa, el análisis de ofertas con valor artificialmente bajo debe realizarse una vez finalizado el evento de subasta, tomando como referencia el precio final ofertado por el proponente.</w:t>
      </w:r>
      <w:r>
        <w:rPr>
          <w:rFonts w:ascii="Verdana" w:hAnsi="Verdana"/>
        </w:rPr>
        <w:t xml:space="preserve"> </w:t>
      </w:r>
      <w:r w:rsidRPr="00643952">
        <w:rPr>
          <w:rFonts w:ascii="Verdana" w:hAnsi="Verdana"/>
        </w:rPr>
        <w:t xml:space="preserve">Esto se debe a que, en la subasta inversa, los precios se modifican dinámicamente durante el evento, y solo al concluir el mismo se cuenta con un valor definitivo que puede ser objeto de análisis por parte de la Entidad Estatal. </w:t>
      </w:r>
      <w:r>
        <w:rPr>
          <w:rFonts w:ascii="Verdana" w:hAnsi="Verdana"/>
        </w:rPr>
        <w:t>En consecuencia, r</w:t>
      </w:r>
      <w:r w:rsidRPr="00643952">
        <w:rPr>
          <w:rFonts w:ascii="Verdana" w:hAnsi="Verdana"/>
        </w:rPr>
        <w:t xml:space="preserve">equerir explicaciones </w:t>
      </w:r>
      <w:r>
        <w:rPr>
          <w:rFonts w:ascii="Verdana" w:hAnsi="Verdana"/>
        </w:rPr>
        <w:t xml:space="preserve">antes o durante </w:t>
      </w:r>
      <w:r w:rsidRPr="00643952">
        <w:rPr>
          <w:rFonts w:ascii="Verdana" w:hAnsi="Verdana"/>
        </w:rPr>
        <w:t>el desarrollo de la subasta</w:t>
      </w:r>
      <w:r>
        <w:rPr>
          <w:rFonts w:ascii="Verdana" w:hAnsi="Verdana"/>
        </w:rPr>
        <w:t xml:space="preserve"> </w:t>
      </w:r>
      <w:r w:rsidRPr="005C0544">
        <w:rPr>
          <w:rFonts w:ascii="Verdana" w:hAnsi="Verdana"/>
        </w:rPr>
        <w:t>contravendría lo dispuesto en la norma, que expresamente señala que dicha verificación debe realizarse sobre el precio obtenido al final de la misma</w:t>
      </w:r>
      <w:r>
        <w:rPr>
          <w:rFonts w:ascii="Verdana" w:hAnsi="Verdana"/>
        </w:rPr>
        <w:t xml:space="preserve">, al señalar que </w:t>
      </w:r>
      <w:r w:rsidRPr="00666BAC">
        <w:rPr>
          <w:rFonts w:ascii="Verdana" w:hAnsi="Verdana"/>
          <w:i/>
          <w:iCs/>
        </w:rPr>
        <w:t>“[…]</w:t>
      </w:r>
      <w:r>
        <w:t xml:space="preserve"> </w:t>
      </w:r>
      <w:r w:rsidRPr="00C663C1">
        <w:rPr>
          <w:rFonts w:ascii="Verdana" w:hAnsi="Verdana"/>
          <w:i/>
          <w:iCs/>
        </w:rPr>
        <w:t>En la subasta inversa esta disposición es aplicable sobre el precio obtenido al final de la misma</w:t>
      </w:r>
      <w:r w:rsidRPr="00666BAC">
        <w:rPr>
          <w:rFonts w:ascii="Verdana" w:hAnsi="Verdana"/>
          <w:i/>
          <w:iCs/>
        </w:rPr>
        <w:t>”.</w:t>
      </w:r>
    </w:p>
    <w:p w14:paraId="1194EA1D" w14:textId="77777777" w:rsidR="00AA511B" w:rsidRDefault="00AA511B" w:rsidP="00AA511B">
      <w:pPr>
        <w:spacing w:after="120" w:line="276" w:lineRule="auto"/>
        <w:ind w:right="142" w:firstLine="709"/>
        <w:jc w:val="both"/>
        <w:rPr>
          <w:rFonts w:ascii="Verdana" w:eastAsia="Calibri" w:hAnsi="Verdana" w:cs="Arial"/>
          <w:color w:val="000000" w:themeColor="text1"/>
        </w:rPr>
      </w:pPr>
      <w:r>
        <w:rPr>
          <w:rFonts w:ascii="Verdana" w:eastAsia="Calibri" w:hAnsi="Verdana" w:cs="Arial"/>
          <w:color w:val="000000" w:themeColor="text1"/>
        </w:rPr>
        <w:t>Finalmente</w:t>
      </w:r>
      <w:r w:rsidRPr="00A22280">
        <w:rPr>
          <w:rFonts w:ascii="Verdana" w:eastAsia="Calibri" w:hAnsi="Verdana" w:cs="Arial"/>
          <w:lang w:val="es-ES"/>
        </w:rPr>
        <w:t>, es importante aclarar que, teniendo</w:t>
      </w:r>
      <w:r w:rsidRPr="00A22280">
        <w:t xml:space="preserve"> </w:t>
      </w:r>
      <w:r w:rsidRPr="00A22280">
        <w:rPr>
          <w:rFonts w:ascii="Verdana" w:eastAsia="Calibri" w:hAnsi="Verdana" w:cs="Arial"/>
          <w:lang w:val="es-ES"/>
        </w:rPr>
        <w:t xml:space="preserve">en cuenta que esta entidad solo tiene competencia para responder solicitudes sobre la aplicación de normas de carácter general en materia de compras y contratación pública, </w:t>
      </w:r>
      <w:r>
        <w:rPr>
          <w:rFonts w:ascii="Verdana" w:eastAsia="Calibri" w:hAnsi="Verdana" w:cs="Arial"/>
          <w:i/>
          <w:lang w:val="es-ES"/>
        </w:rPr>
        <w:t>no</w:t>
      </w:r>
      <w:r w:rsidRPr="00F75E78">
        <w:rPr>
          <w:rFonts w:ascii="Verdana" w:eastAsia="Calibri" w:hAnsi="Verdana" w:cs="Arial"/>
          <w:i/>
          <w:lang w:val="es-ES"/>
        </w:rPr>
        <w:t xml:space="preserve"> es la idónea para establecer la validez de la situación descrita en su consulta</w:t>
      </w:r>
      <w:r>
        <w:rPr>
          <w:rFonts w:ascii="Verdana" w:eastAsia="Calibri" w:hAnsi="Verdana" w:cs="Arial"/>
          <w:i/>
          <w:lang w:val="es-ES"/>
        </w:rPr>
        <w:t xml:space="preserve">. </w:t>
      </w:r>
      <w:r w:rsidRPr="002663F0">
        <w:rPr>
          <w:rFonts w:ascii="Verdana" w:eastAsia="Calibri" w:hAnsi="Verdana" w:cs="Arial"/>
          <w:lang w:val="es-ES"/>
        </w:rPr>
        <w:t>Lo anterior</w:t>
      </w:r>
      <w:r w:rsidRPr="002663F0">
        <w:rPr>
          <w:rFonts w:ascii="Verdana" w:eastAsia="Calibri" w:hAnsi="Verdana" w:cs="Arial"/>
          <w:color w:val="000000" w:themeColor="text1"/>
        </w:rPr>
        <w:t xml:space="preserve"> </w:t>
      </w:r>
      <w:r>
        <w:rPr>
          <w:rFonts w:ascii="Verdana" w:eastAsia="Calibri" w:hAnsi="Verdana" w:cs="Arial"/>
          <w:color w:val="000000" w:themeColor="text1"/>
        </w:rPr>
        <w:t>debido a que la competencia consultiva se fija con límites claros, con el objeto de</w:t>
      </w:r>
      <w:r w:rsidRPr="00CF54DC">
        <w:rPr>
          <w:rFonts w:ascii="Verdana" w:eastAsia="Calibri" w:hAnsi="Verdana" w:cs="Arial"/>
          <w:color w:val="000000" w:themeColor="text1"/>
        </w:rPr>
        <w:t xml:space="preserve"> evitar que se actúe como una instancia de validación de las actuaciones de las entidades sujetas a la Ley 80 de 1993 o de los demás participantes en la contratación pública, lo cual corresponde a la competencia de los entes de control y los jueces de la República.</w:t>
      </w:r>
    </w:p>
    <w:p w14:paraId="3360A053" w14:textId="77777777" w:rsidR="00F13223" w:rsidRDefault="00AA511B" w:rsidP="00F83D8C">
      <w:pPr>
        <w:widowControl w:val="0"/>
        <w:autoSpaceDE w:val="0"/>
        <w:autoSpaceDN w:val="0"/>
        <w:spacing w:after="0" w:line="276" w:lineRule="auto"/>
        <w:ind w:right="176" w:firstLine="709"/>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en la fase de evaluación analizar los precios de las ofertas recibidas. </w:t>
      </w:r>
      <w:r w:rsidRPr="00E61635">
        <w:rPr>
          <w:rFonts w:ascii="Verdana" w:hAnsi="Verdana"/>
        </w:rPr>
        <w:t xml:space="preserve">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w:t>
      </w:r>
    </w:p>
    <w:p w14:paraId="18E6223F" w14:textId="1CF34C52" w:rsidR="00AA511B" w:rsidRPr="00E61635" w:rsidRDefault="00AA511B" w:rsidP="00F13223">
      <w:pPr>
        <w:widowControl w:val="0"/>
        <w:autoSpaceDE w:val="0"/>
        <w:autoSpaceDN w:val="0"/>
        <w:spacing w:after="0" w:line="276" w:lineRule="auto"/>
        <w:ind w:right="176"/>
        <w:jc w:val="both"/>
        <w:rPr>
          <w:rFonts w:ascii="Verdana" w:hAnsi="Verdana"/>
        </w:rPr>
      </w:pPr>
      <w:r w:rsidRPr="00E61635">
        <w:rPr>
          <w:rFonts w:ascii="Verdana" w:hAnsi="Verdana"/>
        </w:rPr>
        <w:t xml:space="preserve">su gestión contractual, sin que sea atribución de Colombia Compra Eficiente </w:t>
      </w:r>
      <w:r w:rsidRPr="00E61635">
        <w:rPr>
          <w:rFonts w:ascii="Verdana" w:hAnsi="Verdana"/>
        </w:rPr>
        <w:lastRenderedPageBreak/>
        <w:t>validar sus actuaciones.</w:t>
      </w:r>
    </w:p>
    <w:p w14:paraId="4FBC77D8" w14:textId="77777777" w:rsidR="00AA511B" w:rsidRPr="00362C5F" w:rsidRDefault="00AA511B" w:rsidP="00F83D8C">
      <w:pPr>
        <w:spacing w:after="0" w:line="276" w:lineRule="auto"/>
        <w:jc w:val="both"/>
        <w:rPr>
          <w:rFonts w:ascii="Verdana" w:eastAsia="Calibri" w:hAnsi="Verdana" w:cs="Arial"/>
          <w:bCs/>
          <w:lang w:val="es-ES_tradnl"/>
        </w:rPr>
      </w:pPr>
    </w:p>
    <w:p w14:paraId="0C4E72B6" w14:textId="77777777" w:rsidR="00AA511B" w:rsidRDefault="00AA511B" w:rsidP="00F83D8C">
      <w:pPr>
        <w:pStyle w:val="Prrafodelista"/>
        <w:numPr>
          <w:ilvl w:val="0"/>
          <w:numId w:val="16"/>
        </w:numPr>
        <w:spacing w:after="0" w:line="276" w:lineRule="auto"/>
        <w:jc w:val="both"/>
        <w:rPr>
          <w:rFonts w:ascii="Verdana" w:eastAsia="Century Gothic" w:hAnsi="Verdana" w:cs="Century Gothic"/>
          <w:b/>
          <w:bCs/>
        </w:rPr>
      </w:pPr>
      <w:r w:rsidRPr="00362C5F">
        <w:rPr>
          <w:rFonts w:ascii="Verdana" w:eastAsia="Century Gothic" w:hAnsi="Verdana" w:cs="Century Gothic"/>
          <w:b/>
          <w:bCs/>
        </w:rPr>
        <w:t>Referencias normativas, jurisprudenciales y otras fuentes:</w:t>
      </w:r>
    </w:p>
    <w:p w14:paraId="6FC49148" w14:textId="77777777" w:rsidR="004B39F6" w:rsidRPr="00362C5F" w:rsidRDefault="004B39F6" w:rsidP="004B39F6">
      <w:pPr>
        <w:pStyle w:val="Prrafodelista"/>
        <w:spacing w:after="0" w:line="276" w:lineRule="auto"/>
        <w:ind w:left="1080"/>
        <w:jc w:val="both"/>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A511B" w:rsidRPr="00362C5F" w14:paraId="2091853A" w14:textId="77777777" w:rsidTr="00772C10">
        <w:trPr>
          <w:trHeight w:val="501"/>
          <w:jc w:val="center"/>
        </w:trPr>
        <w:tc>
          <w:tcPr>
            <w:tcW w:w="8647" w:type="dxa"/>
          </w:tcPr>
          <w:p w14:paraId="38937068" w14:textId="77777777" w:rsidR="00AA511B" w:rsidRPr="00362C5F" w:rsidRDefault="00AA511B" w:rsidP="00F83D8C">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line="276" w:lineRule="auto"/>
              <w:jc w:val="both"/>
              <w:rPr>
                <w:rFonts w:ascii="Verdana" w:hAnsi="Verdana"/>
              </w:rPr>
            </w:pPr>
            <w:r w:rsidRPr="00362C5F">
              <w:rPr>
                <w:rFonts w:ascii="Verdana" w:hAnsi="Verdana"/>
              </w:rPr>
              <w:t>Ley 80 de 1993. Artículo 26</w:t>
            </w:r>
          </w:p>
          <w:p w14:paraId="0B4C19C8" w14:textId="0BC1999A" w:rsidR="00AA511B" w:rsidRPr="00362C5F" w:rsidRDefault="00AA511B" w:rsidP="00F83D8C">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line="276" w:lineRule="auto"/>
              <w:jc w:val="both"/>
              <w:rPr>
                <w:rFonts w:ascii="Verdana" w:hAnsi="Verdana"/>
              </w:rPr>
            </w:pPr>
            <w:r w:rsidRPr="00362C5F">
              <w:rPr>
                <w:rFonts w:ascii="Verdana" w:hAnsi="Verdana"/>
              </w:rPr>
              <w:t>Ley 1150 de 2007</w:t>
            </w:r>
            <w:r w:rsidR="00362C5F">
              <w:rPr>
                <w:rFonts w:ascii="Verdana" w:hAnsi="Verdana"/>
              </w:rPr>
              <w:t>. A</w:t>
            </w:r>
            <w:r w:rsidRPr="00362C5F">
              <w:rPr>
                <w:rFonts w:ascii="Verdana" w:hAnsi="Verdana"/>
              </w:rPr>
              <w:t xml:space="preserve">rtículos 2, 4, 5 y 7. </w:t>
            </w:r>
          </w:p>
          <w:p w14:paraId="0185B286" w14:textId="1D2E67D0" w:rsidR="00AA511B" w:rsidRPr="00362C5F" w:rsidRDefault="00AA511B" w:rsidP="00F83D8C">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line="276" w:lineRule="auto"/>
              <w:jc w:val="both"/>
              <w:rPr>
                <w:rFonts w:ascii="Verdana" w:hAnsi="Verdana"/>
              </w:rPr>
            </w:pPr>
            <w:r w:rsidRPr="00362C5F">
              <w:rPr>
                <w:rFonts w:ascii="Verdana" w:hAnsi="Verdana"/>
              </w:rPr>
              <w:t>Decreto 1082 de 2015</w:t>
            </w:r>
            <w:r w:rsidR="00362C5F">
              <w:rPr>
                <w:rFonts w:ascii="Verdana" w:hAnsi="Verdana"/>
              </w:rPr>
              <w:t>. A</w:t>
            </w:r>
            <w:r w:rsidRPr="00362C5F">
              <w:rPr>
                <w:rFonts w:ascii="Verdana" w:hAnsi="Verdana"/>
              </w:rPr>
              <w:t xml:space="preserve">rtículos </w:t>
            </w:r>
            <w:r w:rsidRPr="00362C5F">
              <w:rPr>
                <w:rFonts w:ascii="Verdana" w:hAnsi="Verdana" w:cs="Arial"/>
                <w:lang w:eastAsia="es-MX"/>
              </w:rPr>
              <w:t xml:space="preserve">2.2.1.2.1.2.2., </w:t>
            </w:r>
            <w:r w:rsidRPr="00362C5F">
              <w:rPr>
                <w:rFonts w:ascii="Verdana" w:eastAsia="Calibri" w:hAnsi="Verdana" w:cs="Arial"/>
                <w:bCs/>
                <w:iCs/>
              </w:rPr>
              <w:t>2.2.1.2.1.2.4.</w:t>
            </w:r>
            <w:r w:rsidRPr="00362C5F">
              <w:rPr>
                <w:rFonts w:ascii="Verdana" w:eastAsia="Calibri" w:hAnsi="Verdana" w:cs="Arial"/>
                <w:b/>
                <w:i/>
              </w:rPr>
              <w:t xml:space="preserve"> </w:t>
            </w:r>
          </w:p>
          <w:p w14:paraId="011E803F" w14:textId="77777777" w:rsidR="00AA511B" w:rsidRPr="00362C5F" w:rsidRDefault="00AA511B" w:rsidP="00F83D8C">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line="276" w:lineRule="auto"/>
              <w:jc w:val="both"/>
              <w:rPr>
                <w:rFonts w:ascii="Verdana" w:hAnsi="Verdana"/>
              </w:rPr>
            </w:pPr>
            <w:r w:rsidRPr="00362C5F">
              <w:rPr>
                <w:rFonts w:ascii="Verdana" w:hAnsi="Verdana"/>
              </w:rPr>
              <w:t xml:space="preserve">CONSEJO DE ESTADO. Sección Tercera. Sentencia del 4 de junio de 2008. </w:t>
            </w:r>
            <w:proofErr w:type="spellStart"/>
            <w:r w:rsidRPr="00362C5F">
              <w:rPr>
                <w:rFonts w:ascii="Verdana" w:hAnsi="Verdana"/>
              </w:rPr>
              <w:t>Exp</w:t>
            </w:r>
            <w:proofErr w:type="spellEnd"/>
            <w:r w:rsidRPr="00362C5F">
              <w:rPr>
                <w:rFonts w:ascii="Verdana" w:hAnsi="Verdana"/>
              </w:rPr>
              <w:t>. No. 17.783. C.P. Myriam Guerrero de Escobar.</w:t>
            </w:r>
          </w:p>
          <w:p w14:paraId="0A2AA1E5" w14:textId="77777777" w:rsidR="00AA511B" w:rsidRPr="00362C5F" w:rsidRDefault="00AA511B" w:rsidP="00F83D8C">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line="276" w:lineRule="auto"/>
              <w:jc w:val="both"/>
              <w:rPr>
                <w:rFonts w:ascii="Verdana" w:hAnsi="Verdana"/>
              </w:rPr>
            </w:pPr>
            <w:r w:rsidRPr="00362C5F">
              <w:rPr>
                <w:rFonts w:ascii="Verdana" w:hAnsi="Verdana"/>
              </w:rPr>
              <w:t xml:space="preserve">AGENCIA NACIONAL DE CONTRATACIÓN PÚBLICA –COLOMBIA COMPRA EFICIENTE. Guía para el manejo de ofertas artificialmente bajas en procesos de contratación. Disponible en línea: </w:t>
            </w:r>
            <w:hyperlink r:id="rId13" w:history="1">
              <w:r w:rsidRPr="00362C5F">
                <w:rPr>
                  <w:rStyle w:val="Hipervnculo"/>
                  <w:rFonts w:ascii="Verdana" w:hAnsi="Verdana"/>
                </w:rPr>
                <w:t>https://www.colombiacompra.gov.co/archivos/manual/guia-para-el-manejo-de-ofertas-artificialmente-bajas-en-procesos-de-contratacion-2</w:t>
              </w:r>
            </w:hyperlink>
            <w:r w:rsidRPr="00362C5F">
              <w:rPr>
                <w:rFonts w:ascii="Verdana" w:hAnsi="Verdana"/>
              </w:rPr>
              <w:t xml:space="preserve">. </w:t>
            </w:r>
          </w:p>
        </w:tc>
      </w:tr>
    </w:tbl>
    <w:p w14:paraId="09B0C1A9" w14:textId="77777777" w:rsidR="00AA511B" w:rsidRPr="00362C5F" w:rsidRDefault="00AA511B" w:rsidP="00362C5F">
      <w:pPr>
        <w:spacing w:after="0" w:line="276" w:lineRule="auto"/>
        <w:ind w:right="709"/>
        <w:jc w:val="both"/>
        <w:rPr>
          <w:rFonts w:ascii="Verdana" w:hAnsi="Verdana" w:cs="Arial"/>
          <w:color w:val="000000" w:themeColor="text1"/>
        </w:rPr>
      </w:pPr>
    </w:p>
    <w:p w14:paraId="5D02249E" w14:textId="77777777" w:rsidR="00AA511B" w:rsidRPr="00362C5F" w:rsidRDefault="00AA511B" w:rsidP="00F83D8C">
      <w:pPr>
        <w:pStyle w:val="Prrafodelista"/>
        <w:numPr>
          <w:ilvl w:val="0"/>
          <w:numId w:val="16"/>
        </w:numPr>
        <w:spacing w:after="0" w:line="276" w:lineRule="auto"/>
        <w:rPr>
          <w:rFonts w:ascii="Verdana" w:eastAsia="Calibri" w:hAnsi="Verdana" w:cs="Times New Roman"/>
          <w:b/>
          <w:bCs/>
        </w:rPr>
      </w:pPr>
      <w:r w:rsidRPr="00362C5F">
        <w:rPr>
          <w:rFonts w:ascii="Verdana" w:eastAsia="Calibri" w:hAnsi="Verdana" w:cs="Times New Roman"/>
          <w:b/>
          <w:bCs/>
        </w:rPr>
        <w:t>Doctrina de la Agencia Nacional de Contratación Pública:</w:t>
      </w:r>
    </w:p>
    <w:p w14:paraId="3643B264" w14:textId="77777777" w:rsidR="00AA511B" w:rsidRPr="00362C5F" w:rsidRDefault="00AA511B" w:rsidP="00362C5F">
      <w:pPr>
        <w:widowControl w:val="0"/>
        <w:autoSpaceDE w:val="0"/>
        <w:autoSpaceDN w:val="0"/>
        <w:spacing w:after="0" w:line="276" w:lineRule="auto"/>
        <w:jc w:val="both"/>
        <w:rPr>
          <w:rFonts w:ascii="Verdana" w:hAnsi="Verdana" w:cs="Arial"/>
          <w:bCs/>
          <w:shd w:val="clear" w:color="auto" w:fill="FFFFFF"/>
        </w:rPr>
      </w:pPr>
    </w:p>
    <w:p w14:paraId="5E1F7CDE" w14:textId="77777777" w:rsidR="00AA511B" w:rsidRPr="00362C5F" w:rsidRDefault="00AA511B">
      <w:pPr>
        <w:widowControl w:val="0"/>
        <w:autoSpaceDE w:val="0"/>
        <w:autoSpaceDN w:val="0"/>
        <w:spacing w:after="0" w:line="276" w:lineRule="auto"/>
        <w:jc w:val="both"/>
        <w:rPr>
          <w:rFonts w:ascii="Verdana" w:hAnsi="Verdana" w:cs="Arial"/>
          <w:bCs/>
          <w:shd w:val="clear" w:color="auto" w:fill="FFFFFF"/>
        </w:rPr>
      </w:pPr>
      <w:r w:rsidRPr="00362C5F">
        <w:rPr>
          <w:rFonts w:ascii="Verdana" w:hAnsi="Verdana" w:cs="Arial"/>
          <w:bCs/>
          <w:shd w:val="clear" w:color="auto" w:fill="FFFFFF"/>
        </w:rPr>
        <w:t xml:space="preserve">La Agencia Nacional de Contratación Pública – Colombia Compra Eficiente ha expedido los siguientes conceptos sobre precios artificialmente bajos en subasta inversa: </w:t>
      </w:r>
      <w:r w:rsidRPr="00362C5F">
        <w:rPr>
          <w:rFonts w:ascii="Verdana" w:hAnsi="Verdana" w:cs="Arial"/>
          <w:bCs/>
          <w:shd w:val="clear" w:color="auto" w:fill="FFFFFF"/>
          <w:lang w:val="es-ES"/>
        </w:rPr>
        <w:t xml:space="preserve">C–163 del 31 de marzo de 2020, C–200 del 14 de abril de 2020, C–767 del 7 de enero de 2021, C-205 del 7 de mayo de 2021, C-299 del 14 de mayo de 2022, C-952 del 20 de enero de 2023, C-860 del 27 de diciembre de 2024, C-329 del 25 de abril de 2025, C-573 del 16 de junio de 2025, C-769 de 25 de julio de 2025, C-1042 del 5 de septiembre de 2025 y C-1069 del 12 de septiembre de 2025, C-1237 del 24 de septiembre de 2025 Y C-1299 del 20 de octubre de 2025 entre otros. </w:t>
      </w:r>
      <w:r w:rsidRPr="00362C5F">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790648FB" w14:textId="77777777" w:rsidR="00AA511B" w:rsidRPr="00362C5F" w:rsidRDefault="00AA511B" w:rsidP="00F83D8C">
      <w:pPr>
        <w:spacing w:after="0" w:line="276" w:lineRule="auto"/>
        <w:jc w:val="both"/>
        <w:rPr>
          <w:rFonts w:ascii="Verdana" w:eastAsia="Calibri" w:hAnsi="Verdana" w:cs="Times New Roman"/>
        </w:rPr>
      </w:pPr>
      <w:hyperlink r:id="rId14" w:history="1">
        <w:r w:rsidRPr="00362C5F">
          <w:rPr>
            <w:rFonts w:ascii="Verdana" w:eastAsia="Calibri" w:hAnsi="Verdana" w:cs="Times New Roman"/>
            <w:color w:val="0000FF"/>
            <w:u w:val="single"/>
            <w:lang w:val="es-ES"/>
          </w:rPr>
          <w:t>https://relatoria.colombiacompra.gov.co/busqueda/conceptos</w:t>
        </w:r>
      </w:hyperlink>
      <w:r w:rsidRPr="00362C5F">
        <w:rPr>
          <w:rFonts w:ascii="Verdana" w:eastAsia="Calibri" w:hAnsi="Verdana" w:cs="Times New Roman"/>
        </w:rPr>
        <w:t xml:space="preserve">. </w:t>
      </w:r>
    </w:p>
    <w:p w14:paraId="012ABA73" w14:textId="77777777" w:rsidR="00AA511B" w:rsidRPr="00362C5F" w:rsidRDefault="00AA511B" w:rsidP="00F83D8C">
      <w:pPr>
        <w:spacing w:after="0" w:line="276" w:lineRule="auto"/>
        <w:jc w:val="both"/>
        <w:rPr>
          <w:rFonts w:ascii="Verdana" w:eastAsia="Calibri" w:hAnsi="Verdana" w:cs="Times New Roman"/>
        </w:rPr>
      </w:pPr>
    </w:p>
    <w:p w14:paraId="5F3F8B97" w14:textId="77777777" w:rsidR="00AA511B" w:rsidRPr="00362C5F" w:rsidRDefault="00AA511B" w:rsidP="00362C5F">
      <w:pPr>
        <w:spacing w:after="0" w:line="276" w:lineRule="auto"/>
        <w:jc w:val="both"/>
        <w:rPr>
          <w:rFonts w:ascii="Verdana" w:hAnsi="Verdana"/>
        </w:rPr>
      </w:pPr>
      <w:r w:rsidRPr="00362C5F">
        <w:rPr>
          <w:rFonts w:ascii="Verdana" w:hAnsi="Verdana"/>
        </w:rPr>
        <w:t>También le contamos que ya se encuentra disponible la </w:t>
      </w:r>
      <w:r w:rsidRPr="00362C5F">
        <w:rPr>
          <w:rFonts w:ascii="Verdana" w:hAnsi="Verdana"/>
          <w:b/>
          <w:bCs/>
        </w:rPr>
        <w:t xml:space="preserve">Guía de lineamientos de transparencia y selección objetiva para el departamento de La Guajira – Objetivo sexto constitucional de la Sentencia T-302 del </w:t>
      </w:r>
      <w:r w:rsidRPr="00362C5F">
        <w:rPr>
          <w:rFonts w:ascii="Verdana" w:hAnsi="Verdana"/>
          <w:b/>
          <w:bCs/>
        </w:rPr>
        <w:lastRenderedPageBreak/>
        <w:t>2017. </w:t>
      </w:r>
      <w:r w:rsidRPr="00362C5F">
        <w:rPr>
          <w:rFonts w:ascii="Verdana" w:hAnsi="Verdana"/>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362C5F">
        <w:rPr>
          <w:rFonts w:ascii="Verdana" w:hAnsi="Verdana"/>
        </w:rPr>
        <w:t>Wayúu</w:t>
      </w:r>
      <w:proofErr w:type="spellEnd"/>
      <w:r w:rsidRPr="00362C5F">
        <w:rPr>
          <w:rFonts w:ascii="Verdana" w:hAnsi="Verdana"/>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362C5F">
          <w:rPr>
            <w:rStyle w:val="Hipervnculo"/>
            <w:rFonts w:ascii="Verdana" w:hAnsi="Verdana"/>
          </w:rPr>
          <w:t>Guía de lineamientos de transparencia y selección objetiva para el departamento de La Guajira – Objetivo sexto constitucional de la Sentencia T-302 del 2017</w:t>
        </w:r>
      </w:hyperlink>
    </w:p>
    <w:p w14:paraId="23DB1A71" w14:textId="77777777" w:rsidR="00AA511B" w:rsidRPr="00362C5F" w:rsidRDefault="00AA511B" w:rsidP="00F83D8C">
      <w:pPr>
        <w:spacing w:after="0" w:line="276" w:lineRule="auto"/>
        <w:jc w:val="both"/>
        <w:rPr>
          <w:rFonts w:ascii="Verdana" w:hAnsi="Verdana"/>
        </w:rPr>
      </w:pPr>
    </w:p>
    <w:p w14:paraId="27922649" w14:textId="77777777" w:rsidR="00AA511B" w:rsidRPr="00362C5F" w:rsidRDefault="00AA511B" w:rsidP="00F83D8C">
      <w:pPr>
        <w:spacing w:after="0" w:line="276" w:lineRule="auto"/>
        <w:jc w:val="both"/>
        <w:rPr>
          <w:rFonts w:ascii="Verdana" w:hAnsi="Verdana"/>
        </w:rPr>
      </w:pPr>
      <w:r w:rsidRPr="00362C5F">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CD39211" w14:textId="77777777" w:rsidR="00AA511B" w:rsidRPr="00362C5F" w:rsidRDefault="00AA511B" w:rsidP="00F83D8C">
      <w:pPr>
        <w:spacing w:after="0" w:line="276" w:lineRule="auto"/>
        <w:jc w:val="both"/>
        <w:rPr>
          <w:rFonts w:ascii="Verdana" w:hAnsi="Verdana"/>
        </w:rPr>
      </w:pPr>
    </w:p>
    <w:p w14:paraId="4B975DF5" w14:textId="77777777" w:rsidR="00AA511B" w:rsidRPr="00362C5F" w:rsidRDefault="00AA511B" w:rsidP="00F83D8C">
      <w:pPr>
        <w:pStyle w:val="Prrafodelista"/>
        <w:numPr>
          <w:ilvl w:val="0"/>
          <w:numId w:val="15"/>
        </w:numPr>
        <w:spacing w:after="0" w:line="276" w:lineRule="auto"/>
        <w:jc w:val="both"/>
        <w:rPr>
          <w:rFonts w:ascii="Verdana" w:eastAsia="Verdana" w:hAnsi="Verdana" w:cs="Verdana"/>
          <w:color w:val="4472C4" w:themeColor="accent1"/>
          <w:u w:val="single"/>
          <w:lang w:val="es-MX"/>
        </w:rPr>
      </w:pPr>
      <w:r w:rsidRPr="00362C5F">
        <w:rPr>
          <w:rFonts w:ascii="Verdana" w:eastAsia="Verdana" w:hAnsi="Verdana" w:cs="Verdana"/>
          <w:lang w:val="es-MX"/>
        </w:rPr>
        <w:t xml:space="preserve">Línea nacional gratuita o servicio a la ciudadanía (Mesa de servicio): </w:t>
      </w:r>
      <w:r w:rsidRPr="00362C5F">
        <w:rPr>
          <w:rStyle w:val="Hipervnculo"/>
          <w:rFonts w:ascii="Verdana" w:hAnsi="Verdana"/>
        </w:rPr>
        <w:t>01800 0520808</w:t>
      </w:r>
    </w:p>
    <w:p w14:paraId="08FC5A4C" w14:textId="77777777" w:rsidR="00AA511B" w:rsidRPr="00362C5F" w:rsidRDefault="00AA511B" w:rsidP="00F83D8C">
      <w:pPr>
        <w:pStyle w:val="Prrafodelista"/>
        <w:numPr>
          <w:ilvl w:val="0"/>
          <w:numId w:val="15"/>
        </w:numPr>
        <w:spacing w:after="0" w:line="276" w:lineRule="auto"/>
        <w:rPr>
          <w:rFonts w:ascii="Verdana" w:eastAsia="Verdana" w:hAnsi="Verdana" w:cs="Verdana"/>
          <w:color w:val="4472C4" w:themeColor="accent1"/>
          <w:u w:val="single"/>
          <w:lang w:val="es-MX"/>
        </w:rPr>
      </w:pPr>
      <w:r w:rsidRPr="00362C5F">
        <w:rPr>
          <w:rFonts w:ascii="Verdana" w:eastAsia="Verdana" w:hAnsi="Verdana" w:cs="Verdana"/>
          <w:lang w:val="es-MX"/>
        </w:rPr>
        <w:t>Línea en Bogotá (Mesa de servicio):</w:t>
      </w:r>
      <w:r w:rsidRPr="00362C5F">
        <w:rPr>
          <w:rStyle w:val="Hipervnculo"/>
          <w:rFonts w:ascii="Verdana" w:hAnsi="Verdana"/>
        </w:rPr>
        <w:t>+57 601 7456788</w:t>
      </w:r>
    </w:p>
    <w:p w14:paraId="5420C45D" w14:textId="77777777" w:rsidR="00AA511B" w:rsidRPr="00362C5F" w:rsidRDefault="00AA511B" w:rsidP="00F83D8C">
      <w:pPr>
        <w:pStyle w:val="Prrafodelista"/>
        <w:numPr>
          <w:ilvl w:val="0"/>
          <w:numId w:val="15"/>
        </w:numPr>
        <w:spacing w:after="0" w:line="276" w:lineRule="auto"/>
        <w:rPr>
          <w:rFonts w:ascii="Verdana" w:eastAsia="Verdana" w:hAnsi="Verdana" w:cs="Verdana"/>
          <w:color w:val="0000FF"/>
          <w:u w:val="single"/>
          <w:lang w:val="es-MX"/>
        </w:rPr>
      </w:pPr>
      <w:r w:rsidRPr="00362C5F">
        <w:rPr>
          <w:rFonts w:ascii="Verdana" w:eastAsia="Verdana" w:hAnsi="Verdana" w:cs="Verdana"/>
          <w:lang w:val="es-MX"/>
        </w:rPr>
        <w:t xml:space="preserve">Correo de radicación de correspondencia: </w:t>
      </w:r>
      <w:hyperlink r:id="rId16">
        <w:r w:rsidRPr="00362C5F">
          <w:rPr>
            <w:rStyle w:val="Hipervnculo"/>
            <w:rFonts w:ascii="Verdana" w:eastAsia="Verdana" w:hAnsi="Verdana" w:cs="Verdana"/>
            <w:lang w:val="es-MX"/>
          </w:rPr>
          <w:t>ventanilladeradicacion@colombiacompra.gov.co</w:t>
        </w:r>
      </w:hyperlink>
    </w:p>
    <w:p w14:paraId="081A0AD1" w14:textId="77777777" w:rsidR="00AA511B" w:rsidRPr="00362C5F" w:rsidRDefault="00AA511B" w:rsidP="00F83D8C">
      <w:pPr>
        <w:pStyle w:val="Prrafodelista"/>
        <w:numPr>
          <w:ilvl w:val="0"/>
          <w:numId w:val="15"/>
        </w:numPr>
        <w:spacing w:after="0" w:line="276" w:lineRule="auto"/>
        <w:rPr>
          <w:rFonts w:ascii="Verdana" w:eastAsia="Verdana" w:hAnsi="Verdana" w:cs="Verdana"/>
          <w:color w:val="0000FF"/>
          <w:u w:val="single"/>
          <w:lang w:val="es-MX"/>
        </w:rPr>
      </w:pPr>
      <w:r w:rsidRPr="00362C5F">
        <w:rPr>
          <w:rFonts w:ascii="Verdana" w:eastAsia="Verdana" w:hAnsi="Verdana" w:cs="Verdana"/>
        </w:rPr>
        <w:t>Formulario web para</w:t>
      </w:r>
      <w:r w:rsidRPr="00362C5F">
        <w:rPr>
          <w:rFonts w:ascii="Verdana" w:eastAsia="Verdana" w:hAnsi="Verdana" w:cs="Verdana"/>
          <w:lang w:val="es"/>
        </w:rPr>
        <w:t xml:space="preserve"> PQRSD: </w:t>
      </w:r>
      <w:hyperlink r:id="rId17">
        <w:r w:rsidRPr="00362C5F">
          <w:rPr>
            <w:rStyle w:val="Hipervnculo"/>
            <w:rFonts w:ascii="Verdana" w:eastAsia="Verdana" w:hAnsi="Verdana" w:cs="Verdana"/>
            <w:lang w:val="es-MX"/>
          </w:rPr>
          <w:t>https://www.colombiacompra.gov.co/pqrsd/informacion-importante-antes-de-formular-una-pqrsd</w:t>
        </w:r>
      </w:hyperlink>
    </w:p>
    <w:p w14:paraId="6A1D9E09" w14:textId="77777777" w:rsidR="00AA511B" w:rsidRPr="00362C5F" w:rsidRDefault="00AA511B" w:rsidP="00F83D8C">
      <w:pPr>
        <w:spacing w:after="0" w:line="276" w:lineRule="auto"/>
        <w:ind w:left="720"/>
        <w:jc w:val="both"/>
        <w:rPr>
          <w:rFonts w:ascii="Verdana" w:hAnsi="Verdana"/>
        </w:rPr>
      </w:pPr>
    </w:p>
    <w:p w14:paraId="0D449C42" w14:textId="77777777" w:rsidR="00AA511B" w:rsidRPr="00362C5F" w:rsidRDefault="00AA511B" w:rsidP="00F83D8C">
      <w:pPr>
        <w:spacing w:after="0" w:line="276" w:lineRule="auto"/>
        <w:rPr>
          <w:rFonts w:ascii="Verdana" w:hAnsi="Verdana"/>
        </w:rPr>
      </w:pPr>
      <w:r w:rsidRPr="00362C5F">
        <w:rPr>
          <w:rFonts w:ascii="Verdana" w:hAnsi="Verdana"/>
        </w:rPr>
        <w:t xml:space="preserve">Evalúa el servicio que ofrece la Agencia por el canal de atención de PQRSD en el siguiente </w:t>
      </w:r>
      <w:proofErr w:type="gramStart"/>
      <w:r w:rsidRPr="00362C5F">
        <w:rPr>
          <w:rFonts w:ascii="Verdana" w:hAnsi="Verdana"/>
        </w:rPr>
        <w:t>enlace :</w:t>
      </w:r>
      <w:proofErr w:type="gramEnd"/>
      <w:hyperlink r:id="rId18" w:tgtFrame="_blank" w:tooltip="https://forms.office.com/r/pphywvs2sz" w:history="1">
        <w:r w:rsidRPr="00362C5F">
          <w:rPr>
            <w:rStyle w:val="Hipervnculo"/>
            <w:rFonts w:ascii="Verdana" w:hAnsi="Verdana"/>
          </w:rPr>
          <w:t>https://forms.office.com/r/pPHyWVs2SZ</w:t>
        </w:r>
      </w:hyperlink>
      <w:r w:rsidRPr="00362C5F">
        <w:rPr>
          <w:rFonts w:ascii="Verdana" w:hAnsi="Verdana"/>
        </w:rPr>
        <w:t xml:space="preserve"> .¡Ayúdanos a mejorar porque el compromiso es de todos!</w:t>
      </w:r>
    </w:p>
    <w:p w14:paraId="1C2B536A" w14:textId="77777777" w:rsidR="00AA511B" w:rsidRPr="00362C5F" w:rsidRDefault="00AA511B" w:rsidP="00F83D8C">
      <w:pPr>
        <w:spacing w:after="0" w:line="276" w:lineRule="auto"/>
        <w:rPr>
          <w:rFonts w:ascii="Verdana" w:hAnsi="Verdana"/>
        </w:rPr>
      </w:pPr>
    </w:p>
    <w:p w14:paraId="452BCF44" w14:textId="77777777" w:rsidR="00AA511B" w:rsidRPr="00362C5F" w:rsidRDefault="00AA511B" w:rsidP="00F83D8C">
      <w:pPr>
        <w:spacing w:after="0" w:line="276" w:lineRule="auto"/>
        <w:jc w:val="both"/>
        <w:rPr>
          <w:rFonts w:ascii="Verdana" w:hAnsi="Verdana"/>
        </w:rPr>
      </w:pPr>
      <w:r w:rsidRPr="00362C5F">
        <w:rPr>
          <w:rFonts w:ascii="Verdana" w:hAnsi="Verdana"/>
        </w:rPr>
        <w:t xml:space="preserve">Por último, lo invitamos a seguirnos en las redes sociales en las cuales se difunde información institucional: </w:t>
      </w:r>
    </w:p>
    <w:p w14:paraId="3CBB41AA" w14:textId="77777777" w:rsidR="00AA511B" w:rsidRPr="00362C5F" w:rsidRDefault="00AA511B" w:rsidP="00F83D8C">
      <w:pPr>
        <w:spacing w:after="0" w:line="276" w:lineRule="auto"/>
        <w:jc w:val="both"/>
        <w:rPr>
          <w:rFonts w:ascii="Verdana" w:hAnsi="Verdana"/>
        </w:rPr>
      </w:pPr>
    </w:p>
    <w:p w14:paraId="76D2E80D" w14:textId="77777777" w:rsidR="00AA511B" w:rsidRPr="00362C5F" w:rsidRDefault="00AA511B" w:rsidP="00F83D8C">
      <w:pPr>
        <w:spacing w:after="0" w:line="276" w:lineRule="auto"/>
        <w:jc w:val="both"/>
        <w:rPr>
          <w:rFonts w:ascii="Verdana" w:hAnsi="Verdana"/>
        </w:rPr>
      </w:pPr>
      <w:r w:rsidRPr="00362C5F">
        <w:rPr>
          <w:rFonts w:ascii="Verdana" w:hAnsi="Verdana"/>
        </w:rPr>
        <w:t xml:space="preserve">Twitter: </w:t>
      </w:r>
      <w:r w:rsidRPr="00362C5F">
        <w:rPr>
          <w:rStyle w:val="Hipervnculo"/>
          <w:rFonts w:ascii="Verdana" w:hAnsi="Verdana"/>
        </w:rPr>
        <w:t>@colombiacompra</w:t>
      </w:r>
      <w:r w:rsidRPr="00362C5F">
        <w:rPr>
          <w:rFonts w:ascii="Verdana" w:hAnsi="Verdana"/>
        </w:rPr>
        <w:t xml:space="preserve"> </w:t>
      </w:r>
    </w:p>
    <w:p w14:paraId="141D3E00" w14:textId="77777777" w:rsidR="00AA511B" w:rsidRPr="00362C5F" w:rsidRDefault="00AA511B" w:rsidP="00F83D8C">
      <w:pPr>
        <w:spacing w:after="0" w:line="276" w:lineRule="auto"/>
        <w:jc w:val="both"/>
        <w:rPr>
          <w:rFonts w:ascii="Verdana" w:hAnsi="Verdana"/>
        </w:rPr>
      </w:pPr>
      <w:r w:rsidRPr="00362C5F">
        <w:rPr>
          <w:rFonts w:ascii="Verdana" w:hAnsi="Verdana"/>
        </w:rPr>
        <w:t xml:space="preserve">Facebook: </w:t>
      </w:r>
      <w:proofErr w:type="spellStart"/>
      <w:r w:rsidRPr="00362C5F">
        <w:rPr>
          <w:rStyle w:val="Hipervnculo"/>
          <w:rFonts w:ascii="Verdana" w:hAnsi="Verdana"/>
        </w:rPr>
        <w:t>ColombiaCompraEficiente</w:t>
      </w:r>
      <w:proofErr w:type="spellEnd"/>
    </w:p>
    <w:p w14:paraId="40E04278" w14:textId="77777777" w:rsidR="00AA511B" w:rsidRPr="00362C5F" w:rsidRDefault="00AA511B" w:rsidP="00F83D8C">
      <w:pPr>
        <w:spacing w:after="0" w:line="276" w:lineRule="auto"/>
        <w:jc w:val="both"/>
        <w:rPr>
          <w:rFonts w:ascii="Verdana" w:hAnsi="Verdana"/>
        </w:rPr>
      </w:pPr>
      <w:r w:rsidRPr="00362C5F">
        <w:rPr>
          <w:rFonts w:ascii="Verdana" w:hAnsi="Verdana"/>
        </w:rPr>
        <w:t xml:space="preserve">LinkedIn: </w:t>
      </w:r>
      <w:r w:rsidRPr="00362C5F">
        <w:rPr>
          <w:rStyle w:val="Hipervnculo"/>
          <w:rFonts w:ascii="Verdana" w:hAnsi="Verdana"/>
        </w:rPr>
        <w:t>Agencia Nacional de Contratación Pública - Colombia Compra Eficiente</w:t>
      </w:r>
      <w:r w:rsidRPr="00362C5F">
        <w:rPr>
          <w:rFonts w:ascii="Verdana" w:hAnsi="Verdana"/>
        </w:rPr>
        <w:t xml:space="preserve"> Instagram: </w:t>
      </w:r>
      <w:r w:rsidRPr="00362C5F">
        <w:rPr>
          <w:rStyle w:val="Hipervnculo"/>
          <w:rFonts w:ascii="Verdana" w:hAnsi="Verdana"/>
        </w:rPr>
        <w:t>@colombiacompraeficiente_cce</w:t>
      </w:r>
    </w:p>
    <w:p w14:paraId="7662BF78" w14:textId="77777777" w:rsidR="00AA511B" w:rsidRPr="00362C5F" w:rsidRDefault="00AA511B" w:rsidP="00F83D8C">
      <w:pPr>
        <w:spacing w:after="0" w:line="276" w:lineRule="auto"/>
        <w:jc w:val="both"/>
        <w:rPr>
          <w:rFonts w:ascii="Verdana" w:hAnsi="Verdana"/>
        </w:rPr>
      </w:pPr>
    </w:p>
    <w:p w14:paraId="4558628B" w14:textId="77777777" w:rsidR="00AA511B" w:rsidRPr="00362C5F" w:rsidRDefault="00AA511B" w:rsidP="00F83D8C">
      <w:pPr>
        <w:spacing w:after="0" w:line="276" w:lineRule="auto"/>
        <w:jc w:val="both"/>
        <w:rPr>
          <w:rFonts w:ascii="Verdana" w:eastAsia="Calibri" w:hAnsi="Verdana" w:cs="Times New Roman"/>
        </w:rPr>
      </w:pPr>
    </w:p>
    <w:p w14:paraId="6AC94363" w14:textId="77777777" w:rsidR="00AA511B" w:rsidRPr="00362C5F" w:rsidRDefault="00AA511B" w:rsidP="00F83D8C">
      <w:pPr>
        <w:spacing w:after="0" w:line="276" w:lineRule="auto"/>
        <w:jc w:val="both"/>
        <w:rPr>
          <w:rFonts w:ascii="Verdana" w:eastAsia="Calibri" w:hAnsi="Verdana" w:cs="Times New Roman"/>
          <w:bCs/>
          <w:lang w:val="es-ES_tradnl"/>
        </w:rPr>
      </w:pPr>
      <w:r w:rsidRPr="00362C5F">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62B2573" w14:textId="77777777" w:rsidR="00AA511B" w:rsidRPr="00362C5F" w:rsidRDefault="00AA511B" w:rsidP="00F83D8C">
      <w:pPr>
        <w:spacing w:after="0" w:line="276" w:lineRule="auto"/>
        <w:jc w:val="both"/>
        <w:rPr>
          <w:rFonts w:ascii="Verdana" w:eastAsia="Calibri" w:hAnsi="Verdana" w:cs="Times New Roman"/>
        </w:rPr>
      </w:pPr>
    </w:p>
    <w:p w14:paraId="0048899E" w14:textId="77777777" w:rsidR="00AA511B" w:rsidRPr="00362C5F" w:rsidRDefault="00AA511B" w:rsidP="00362C5F">
      <w:pPr>
        <w:spacing w:after="0" w:line="276" w:lineRule="auto"/>
        <w:jc w:val="both"/>
        <w:rPr>
          <w:rFonts w:ascii="Verdana" w:eastAsia="Times New Roman" w:hAnsi="Verdana" w:cs="Arial"/>
          <w:lang w:eastAsia="es-CO"/>
        </w:rPr>
      </w:pPr>
      <w:bookmarkStart w:id="1" w:name="_Hlk117695077"/>
      <w:r w:rsidRPr="00362C5F">
        <w:rPr>
          <w:rFonts w:ascii="Verdana" w:eastAsia="Times New Roman" w:hAnsi="Verdana" w:cs="Arial"/>
          <w:lang w:eastAsia="es-CO"/>
        </w:rPr>
        <w:t>Atentamente,</w:t>
      </w:r>
    </w:p>
    <w:bookmarkEnd w:id="1"/>
    <w:p w14:paraId="79D427E5" w14:textId="38CD8F65" w:rsidR="00AA511B" w:rsidRDefault="003F6422" w:rsidP="00AA511B">
      <w:pPr>
        <w:spacing w:after="0" w:line="276" w:lineRule="auto"/>
        <w:jc w:val="center"/>
        <w:rPr>
          <w:rFonts w:ascii="Verdana" w:eastAsia="Times New Roman" w:hAnsi="Verdana" w:cs="Arial"/>
        </w:rPr>
      </w:pPr>
      <w:r>
        <w:rPr>
          <w:noProof/>
        </w:rPr>
        <w:drawing>
          <wp:inline distT="0" distB="0" distL="0" distR="0" wp14:anchorId="4102D59B" wp14:editId="24C972D4">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p w14:paraId="5B0B708E" w14:textId="77777777" w:rsidR="00AA511B" w:rsidRDefault="00AA511B" w:rsidP="00AA511B">
      <w:pPr>
        <w:spacing w:after="0" w:line="276" w:lineRule="auto"/>
        <w:jc w:val="both"/>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A511B" w:rsidRPr="007A0E81" w14:paraId="30250AFD" w14:textId="77777777" w:rsidTr="00772C10">
        <w:trPr>
          <w:trHeight w:val="315"/>
        </w:trPr>
        <w:tc>
          <w:tcPr>
            <w:tcW w:w="893" w:type="dxa"/>
            <w:vAlign w:val="center"/>
            <w:hideMark/>
          </w:tcPr>
          <w:p w14:paraId="60E9E342" w14:textId="77777777" w:rsidR="00AA511B" w:rsidRPr="007A0E81" w:rsidRDefault="00AA511B" w:rsidP="00772C10">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07C0357E" w14:textId="77777777" w:rsidR="00AA511B" w:rsidRPr="007A0E81" w:rsidRDefault="00AA511B" w:rsidP="00772C10">
            <w:pPr>
              <w:spacing w:line="276" w:lineRule="auto"/>
              <w:rPr>
                <w:rFonts w:ascii="Verdana" w:eastAsia="Arial" w:hAnsi="Verdana" w:cs="Arial"/>
                <w:color w:val="000000"/>
                <w:sz w:val="16"/>
                <w:szCs w:val="16"/>
              </w:rPr>
            </w:pPr>
            <w:r w:rsidRPr="007A0E81">
              <w:rPr>
                <w:rFonts w:ascii="Verdana" w:eastAsia="Times New Roman" w:hAnsi="Verdana" w:cs="Arial"/>
                <w:color w:val="000000"/>
                <w:sz w:val="16"/>
                <w:szCs w:val="16"/>
              </w:rPr>
              <w:t>María Joshira Nieto Manzano</w:t>
            </w:r>
          </w:p>
          <w:p w14:paraId="73D0E66E" w14:textId="77777777" w:rsidR="00AA511B" w:rsidRPr="007A0E81" w:rsidRDefault="00AA511B" w:rsidP="00772C10">
            <w:pPr>
              <w:spacing w:line="276" w:lineRule="auto"/>
              <w:rPr>
                <w:rFonts w:ascii="Verdana" w:eastAsia="Arial" w:hAnsi="Verdana" w:cs="Arial"/>
                <w:color w:val="000000"/>
                <w:sz w:val="16"/>
                <w:szCs w:val="16"/>
              </w:rPr>
            </w:pPr>
            <w:r w:rsidRPr="007A0E81">
              <w:rPr>
                <w:rFonts w:ascii="Verdana" w:eastAsia="Arial" w:hAnsi="Verdana" w:cs="Arial"/>
                <w:color w:val="000000"/>
                <w:sz w:val="16"/>
                <w:szCs w:val="16"/>
              </w:rPr>
              <w:t>Contratista de la Subdirección de Gestión Contractual</w:t>
            </w:r>
          </w:p>
        </w:tc>
      </w:tr>
      <w:tr w:rsidR="00AA511B" w:rsidRPr="007A0E81" w14:paraId="6F6A6273" w14:textId="77777777" w:rsidTr="00772C10">
        <w:trPr>
          <w:trHeight w:val="330"/>
        </w:trPr>
        <w:tc>
          <w:tcPr>
            <w:tcW w:w="893" w:type="dxa"/>
            <w:vAlign w:val="center"/>
            <w:hideMark/>
          </w:tcPr>
          <w:p w14:paraId="18235DA9" w14:textId="77777777" w:rsidR="00AA511B" w:rsidRPr="007A0E81" w:rsidRDefault="00AA511B" w:rsidP="00772C10">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1FCCD664" w14:textId="77777777" w:rsidR="00AA511B" w:rsidRPr="007A0E81" w:rsidRDefault="00AA511B" w:rsidP="00772C10">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Diana Lucia Saavedra Castañeda </w:t>
            </w:r>
          </w:p>
          <w:p w14:paraId="1049846F" w14:textId="77777777" w:rsidR="00AA511B" w:rsidRPr="007A0E81" w:rsidRDefault="00AA511B" w:rsidP="00772C10">
            <w:pPr>
              <w:spacing w:line="276" w:lineRule="auto"/>
              <w:textAlignment w:val="baseline"/>
              <w:rPr>
                <w:rFonts w:ascii="Verdana" w:eastAsia="Times New Roman" w:hAnsi="Verdana" w:cs="Arial"/>
                <w:color w:val="000000"/>
                <w:sz w:val="16"/>
                <w:szCs w:val="16"/>
              </w:rPr>
            </w:pPr>
            <w:r w:rsidRPr="007A0E81">
              <w:rPr>
                <w:rFonts w:ascii="Verdana" w:eastAsia="Times New Roman" w:hAnsi="Verdana" w:cs="Arial"/>
                <w:color w:val="000000"/>
                <w:sz w:val="16"/>
                <w:szCs w:val="16"/>
              </w:rPr>
              <w:t>Contratista de la Subdirección de Gestión Contractual</w:t>
            </w:r>
          </w:p>
        </w:tc>
      </w:tr>
      <w:tr w:rsidR="00AA511B" w:rsidRPr="007A0E81" w14:paraId="24E73C5A" w14:textId="77777777" w:rsidTr="00772C10">
        <w:trPr>
          <w:trHeight w:val="300"/>
        </w:trPr>
        <w:tc>
          <w:tcPr>
            <w:tcW w:w="893" w:type="dxa"/>
            <w:vAlign w:val="center"/>
          </w:tcPr>
          <w:p w14:paraId="5F4FC498" w14:textId="77777777" w:rsidR="00AA511B" w:rsidRPr="007A0E81" w:rsidRDefault="00AA511B" w:rsidP="00772C10">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1235EDF0" w14:textId="77777777" w:rsidR="00AA511B" w:rsidRPr="007A0E81" w:rsidRDefault="00AA511B" w:rsidP="00772C10">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Carolina Quintero </w:t>
            </w:r>
            <w:proofErr w:type="spellStart"/>
            <w:r w:rsidRPr="007A0E81">
              <w:rPr>
                <w:rFonts w:ascii="Verdana" w:eastAsia="Times New Roman" w:hAnsi="Verdana" w:cs="Arial"/>
                <w:color w:val="000000"/>
                <w:sz w:val="16"/>
                <w:szCs w:val="16"/>
              </w:rPr>
              <w:t>Gacharná</w:t>
            </w:r>
            <w:proofErr w:type="spellEnd"/>
          </w:p>
          <w:p w14:paraId="39F5C730" w14:textId="77777777" w:rsidR="00AA511B" w:rsidRPr="007A0E81" w:rsidRDefault="00AA511B" w:rsidP="00772C10">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Subdirectora de Gestión Contractual ANCP – CCE</w:t>
            </w:r>
          </w:p>
        </w:tc>
      </w:tr>
    </w:tbl>
    <w:p w14:paraId="56032036" w14:textId="77777777" w:rsidR="00AA511B" w:rsidRPr="00217BA2" w:rsidRDefault="00AA511B" w:rsidP="00AA511B">
      <w:pPr>
        <w:spacing w:after="0" w:line="276" w:lineRule="auto"/>
        <w:jc w:val="both"/>
        <w:rPr>
          <w:rFonts w:ascii="Verdana" w:eastAsia="Times New Roman" w:hAnsi="Verdana" w:cs="Arial"/>
          <w:szCs w:val="24"/>
          <w:lang w:eastAsia="es-ES_tradnl"/>
        </w:rPr>
      </w:pPr>
    </w:p>
    <w:p w14:paraId="0F293BF4" w14:textId="1C2D17B9" w:rsidR="00127233" w:rsidRPr="0015699B" w:rsidRDefault="00127233" w:rsidP="00AA511B">
      <w:pPr>
        <w:spacing w:after="0" w:line="240" w:lineRule="auto"/>
        <w:jc w:val="both"/>
        <w:textAlignment w:val="baseline"/>
        <w:rPr>
          <w:rFonts w:ascii="Verdana" w:eastAsia="Times New Roman" w:hAnsi="Verdana" w:cs="Segoe UI"/>
          <w:lang w:eastAsia="es-CO"/>
        </w:rPr>
      </w:pPr>
    </w:p>
    <w:sectPr w:rsidR="00127233" w:rsidRPr="0015699B" w:rsidSect="00E35008">
      <w:headerReference w:type="default" r:id="rId20"/>
      <w:footerReference w:type="default" r:id="rId21"/>
      <w:pgSz w:w="12240" w:h="15840" w:code="1"/>
      <w:pgMar w:top="1417" w:right="1701" w:bottom="1417" w:left="1701" w:header="709" w:footer="10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3CDA75" w14:textId="77777777" w:rsidR="008A7E61" w:rsidRDefault="008A7E61" w:rsidP="004A1847">
      <w:pPr>
        <w:spacing w:after="0" w:line="240" w:lineRule="auto"/>
      </w:pPr>
      <w:r>
        <w:separator/>
      </w:r>
    </w:p>
  </w:endnote>
  <w:endnote w:type="continuationSeparator" w:id="0">
    <w:p w14:paraId="41521DB2" w14:textId="77777777" w:rsidR="008A7E61" w:rsidRDefault="008A7E6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B9858D" w14:textId="77777777" w:rsidR="008A7E61" w:rsidRDefault="008A7E61" w:rsidP="004A1847">
      <w:pPr>
        <w:spacing w:after="0" w:line="240" w:lineRule="auto"/>
      </w:pPr>
      <w:r>
        <w:separator/>
      </w:r>
    </w:p>
  </w:footnote>
  <w:footnote w:type="continuationSeparator" w:id="0">
    <w:p w14:paraId="2BE5E61C" w14:textId="77777777" w:rsidR="008A7E61" w:rsidRDefault="008A7E61" w:rsidP="004A1847">
      <w:pPr>
        <w:spacing w:after="0" w:line="240" w:lineRule="auto"/>
      </w:pPr>
      <w:r>
        <w:continuationSeparator/>
      </w:r>
    </w:p>
  </w:footnote>
  <w:footnote w:id="1">
    <w:p w14:paraId="73E539FD" w14:textId="77777777" w:rsidR="00AA511B" w:rsidRPr="00217BA2" w:rsidRDefault="00AA511B" w:rsidP="00AA511B">
      <w:pPr>
        <w:pStyle w:val="Textonotapie"/>
        <w:ind w:firstLine="708"/>
        <w:jc w:val="both"/>
        <w:rPr>
          <w:rFonts w:ascii="Verdana" w:eastAsia="Times New Roman" w:hAnsi="Verdana" w:cs="Arial"/>
          <w:sz w:val="18"/>
          <w:szCs w:val="18"/>
          <w:lang w:val="es-CO" w:eastAsia="es-CO"/>
        </w:rPr>
      </w:pPr>
      <w:r w:rsidRPr="00217BA2">
        <w:rPr>
          <w:rStyle w:val="Refdenotaalpie"/>
          <w:rFonts w:ascii="Verdana" w:hAnsi="Verdana" w:cs="Arial"/>
          <w:sz w:val="18"/>
          <w:szCs w:val="18"/>
        </w:rPr>
        <w:footnoteRef/>
      </w:r>
      <w:r w:rsidRPr="00217BA2">
        <w:rPr>
          <w:rStyle w:val="Refdenotaalpie"/>
          <w:rFonts w:ascii="Verdana" w:hAnsi="Verdana" w:cs="Arial"/>
          <w:sz w:val="18"/>
          <w:szCs w:val="18"/>
        </w:rPr>
        <w:t xml:space="preserve"> </w:t>
      </w:r>
      <w:r w:rsidRPr="00217BA2">
        <w:rPr>
          <w:rFonts w:ascii="Verdana" w:hAnsi="Verdana" w:cs="Arial"/>
          <w:sz w:val="18"/>
          <w:szCs w:val="18"/>
        </w:rPr>
        <w:t xml:space="preserve">Artículo 2.2.1.2.1.2.2 del </w:t>
      </w:r>
      <w:r w:rsidRPr="00217BA2">
        <w:rPr>
          <w:rFonts w:ascii="Verdana" w:eastAsia="Times New Roman" w:hAnsi="Verdana" w:cs="Arial"/>
          <w:sz w:val="18"/>
          <w:szCs w:val="18"/>
          <w:lang w:val="es-CO" w:eastAsia="es-CO"/>
        </w:rPr>
        <w:t>Decreto 1082 del 2015.</w:t>
      </w:r>
    </w:p>
    <w:p w14:paraId="3BEE8B1B" w14:textId="77777777" w:rsidR="00AA511B" w:rsidRPr="00E04FE0" w:rsidRDefault="00AA511B" w:rsidP="00AA511B">
      <w:pPr>
        <w:pStyle w:val="Textonotapie"/>
        <w:ind w:firstLine="708"/>
        <w:jc w:val="both"/>
        <w:rPr>
          <w:rFonts w:ascii="Century Gothic" w:hAnsi="Century Gothic" w:cs="Arial"/>
          <w:sz w:val="18"/>
          <w:szCs w:val="18"/>
          <w:lang w:val="es-CO"/>
        </w:rPr>
      </w:pPr>
    </w:p>
  </w:footnote>
  <w:footnote w:id="2">
    <w:p w14:paraId="495B6FBD" w14:textId="77777777" w:rsidR="00AA511B" w:rsidRPr="00E04FE0" w:rsidRDefault="00AA511B" w:rsidP="00AA511B">
      <w:pPr>
        <w:pStyle w:val="Textonotapie"/>
        <w:spacing w:after="240"/>
        <w:ind w:firstLine="708"/>
        <w:jc w:val="both"/>
        <w:rPr>
          <w:rFonts w:ascii="Century Gothic" w:hAnsi="Century Gothic" w:cs="Arial"/>
          <w:sz w:val="18"/>
          <w:szCs w:val="18"/>
          <w:lang w:val="es-CO"/>
        </w:rPr>
      </w:pPr>
      <w:r w:rsidRPr="00E04FE0">
        <w:rPr>
          <w:rStyle w:val="Refdenotaalpie"/>
          <w:rFonts w:ascii="Century Gothic" w:hAnsi="Century Gothic" w:cs="Arial"/>
          <w:sz w:val="18"/>
          <w:szCs w:val="18"/>
        </w:rPr>
        <w:footnoteRef/>
      </w:r>
      <w:r w:rsidRPr="00E04FE0">
        <w:rPr>
          <w:rFonts w:ascii="Century Gothic" w:hAnsi="Century Gothic" w:cs="Arial"/>
          <w:sz w:val="18"/>
          <w:szCs w:val="18"/>
        </w:rPr>
        <w:t xml:space="preserve"> </w:t>
      </w:r>
      <w:r w:rsidRPr="00E04FE0">
        <w:rPr>
          <w:rFonts w:ascii="Century Gothic" w:hAnsi="Century Gothic" w:cs="Arial"/>
          <w:sz w:val="18"/>
          <w:szCs w:val="18"/>
          <w:lang w:val="es-CO"/>
        </w:rPr>
        <w:t xml:space="preserve">Cuando se refiere en el presente concepto a reunir, se incluye cualquier medio electrónico o presencial en el que las entidades puedas concentrar a los interesados para adelantar el trámite del certamen de subasta. </w:t>
      </w:r>
    </w:p>
  </w:footnote>
  <w:footnote w:id="3">
    <w:p w14:paraId="53DA72D6" w14:textId="77777777" w:rsidR="00AA511B" w:rsidRPr="00666BAC" w:rsidRDefault="00AA511B" w:rsidP="00AA511B">
      <w:pPr>
        <w:spacing w:after="0" w:line="240" w:lineRule="auto"/>
        <w:ind w:firstLine="709"/>
        <w:jc w:val="both"/>
        <w:rPr>
          <w:rFonts w:ascii="Verdana" w:hAnsi="Verdana"/>
          <w:sz w:val="16"/>
          <w:szCs w:val="16"/>
        </w:rPr>
      </w:pPr>
      <w:r w:rsidRPr="00666BAC">
        <w:rPr>
          <w:rStyle w:val="Refdenotaalpie"/>
          <w:rFonts w:ascii="Verdana" w:hAnsi="Verdana"/>
          <w:sz w:val="16"/>
          <w:szCs w:val="16"/>
        </w:rPr>
        <w:footnoteRef/>
      </w:r>
      <w:r w:rsidRPr="00666BAC">
        <w:rPr>
          <w:rFonts w:ascii="Verdana" w:hAnsi="Verdana"/>
          <w:sz w:val="16"/>
          <w:szCs w:val="16"/>
        </w:rPr>
        <w:t xml:space="preserve"> Ley 80 de 1993: “Artículo 26. Del Principio de Responsabilidad. En virtud de este principio:</w:t>
      </w:r>
    </w:p>
    <w:p w14:paraId="7E745906" w14:textId="77777777" w:rsidR="00AA511B" w:rsidRPr="00666BAC" w:rsidRDefault="00AA511B" w:rsidP="00AA511B">
      <w:pPr>
        <w:spacing w:after="0" w:line="240" w:lineRule="auto"/>
        <w:ind w:firstLine="709"/>
        <w:jc w:val="both"/>
        <w:rPr>
          <w:rFonts w:ascii="Verdana" w:hAnsi="Verdana"/>
          <w:sz w:val="16"/>
          <w:szCs w:val="16"/>
        </w:rPr>
      </w:pPr>
      <w:r w:rsidRPr="00666BAC">
        <w:rPr>
          <w:rFonts w:ascii="Verdana" w:hAnsi="Verdana"/>
          <w:sz w:val="16"/>
          <w:szCs w:val="16"/>
        </w:rPr>
        <w:t>[…]</w:t>
      </w:r>
    </w:p>
    <w:p w14:paraId="508840DA" w14:textId="77777777" w:rsidR="00AA511B" w:rsidRPr="00666BAC" w:rsidRDefault="00AA511B" w:rsidP="00AA511B">
      <w:pPr>
        <w:spacing w:after="0" w:line="240" w:lineRule="auto"/>
        <w:ind w:firstLine="709"/>
        <w:jc w:val="both"/>
        <w:rPr>
          <w:rFonts w:ascii="Verdana" w:hAnsi="Verdana"/>
          <w:sz w:val="16"/>
          <w:szCs w:val="16"/>
        </w:rPr>
      </w:pPr>
      <w:r w:rsidRPr="00666BAC">
        <w:rPr>
          <w:rFonts w:ascii="Verdana" w:hAnsi="Verdana"/>
          <w:sz w:val="16"/>
          <w:szCs w:val="16"/>
        </w:rPr>
        <w:t>6o. Los contratistas responderán cuando formulen propuestas en las que se fijen condiciones económicas y de contratación artificialmente bajas con el propósito de obtener la adjudicación del contrato”.</w:t>
      </w:r>
    </w:p>
  </w:footnote>
  <w:footnote w:id="4">
    <w:p w14:paraId="162CC6D6" w14:textId="77777777" w:rsidR="00AA511B" w:rsidRPr="00666BAC" w:rsidRDefault="00AA511B" w:rsidP="00AA511B">
      <w:pPr>
        <w:pStyle w:val="Textonotapie"/>
        <w:ind w:firstLine="709"/>
        <w:jc w:val="both"/>
        <w:rPr>
          <w:rFonts w:ascii="Verdana" w:hAnsi="Verdana" w:cs="Arial"/>
          <w:sz w:val="16"/>
          <w:szCs w:val="16"/>
        </w:rPr>
      </w:pPr>
      <w:r w:rsidRPr="00666BAC">
        <w:rPr>
          <w:rStyle w:val="Refdenotaalpie"/>
          <w:rFonts w:ascii="Verdana" w:hAnsi="Verdana" w:cs="Arial"/>
          <w:sz w:val="16"/>
          <w:szCs w:val="16"/>
        </w:rPr>
        <w:footnoteRef/>
      </w:r>
      <w:r w:rsidRPr="00666BAC">
        <w:rPr>
          <w:rFonts w:ascii="Verdana" w:hAnsi="Verdana" w:cs="Arial"/>
          <w:sz w:val="16"/>
          <w:szCs w:val="16"/>
        </w:rPr>
        <w:t xml:space="preserve"> Decreto 1082 de 2015: </w:t>
      </w:r>
      <w:r w:rsidRPr="00666BAC">
        <w:rPr>
          <w:rFonts w:ascii="Verdana" w:eastAsia="Times New Roman" w:hAnsi="Verdana" w:cs="Arial"/>
          <w:sz w:val="16"/>
          <w:szCs w:val="16"/>
          <w:lang w:val="es-CO"/>
        </w:rPr>
        <w:t>“</w:t>
      </w:r>
      <w:r w:rsidRPr="00666BAC">
        <w:rPr>
          <w:rFonts w:ascii="Verdana" w:hAnsi="Verdana" w:cs="Arial"/>
          <w:sz w:val="16"/>
          <w:szCs w:val="16"/>
        </w:rPr>
        <w:t>Artículo 2.2.1.1.2.2.3. Comité evaluador. La Entidad Estatal puede designar un comité evaluador conformado por servidores públicos o por particulares contratados para el efecto para evaluar las ofertas y las manifestaciones de interés para cada Proceso de Contratación por licitación, selección abreviada y concurso de méritos. El comité evaluador debe realizar su labor de manera objetiva, ciñéndose exclusivamente a las reglas contenidas en los pliegos de condiciones. El carácter asesor del comité no lo exime de la responsabilidad del ejercicio de la labor encomendada. En el evento en el cual la Entidad Estatal no acoja la recomendación efectuada por el comité evaluador, debe justificar su decisión.</w:t>
      </w:r>
    </w:p>
    <w:p w14:paraId="4ED4B8D6" w14:textId="77777777" w:rsidR="00AA511B" w:rsidRPr="00666BAC" w:rsidRDefault="00AA511B" w:rsidP="00AA511B">
      <w:pPr>
        <w:pStyle w:val="Textonotapie"/>
        <w:ind w:firstLine="709"/>
        <w:jc w:val="both"/>
        <w:rPr>
          <w:rFonts w:ascii="Verdana" w:hAnsi="Verdana" w:cs="Arial"/>
          <w:sz w:val="16"/>
          <w:szCs w:val="16"/>
        </w:rPr>
      </w:pPr>
      <w:r w:rsidRPr="00666BAC">
        <w:rPr>
          <w:rFonts w:ascii="Verdana" w:hAnsi="Verdana" w:cs="Arial"/>
          <w:sz w:val="16"/>
          <w:szCs w:val="16"/>
        </w:rPr>
        <w:t>Los miembros del comité evaluador están sujetos al régimen de inhabilidades e incompatibilidades y conflicto de interés previstos en la Constitución y la ley.</w:t>
      </w:r>
    </w:p>
    <w:p w14:paraId="51C3D351" w14:textId="77777777" w:rsidR="00AA511B" w:rsidRPr="00666BAC" w:rsidRDefault="00AA511B" w:rsidP="00AA511B">
      <w:pPr>
        <w:pStyle w:val="Textonotapie"/>
        <w:ind w:firstLine="709"/>
        <w:jc w:val="both"/>
        <w:rPr>
          <w:rFonts w:ascii="Verdana" w:hAnsi="Verdana" w:cs="Arial"/>
          <w:sz w:val="16"/>
          <w:szCs w:val="16"/>
          <w:lang w:val="es-ES"/>
        </w:rPr>
      </w:pPr>
      <w:r w:rsidRPr="00666BAC">
        <w:rPr>
          <w:rFonts w:ascii="Verdana" w:hAnsi="Verdana" w:cs="Arial"/>
          <w:sz w:val="16"/>
          <w:szCs w:val="16"/>
        </w:rPr>
        <w:t>La verificación y la evaluación de las ofertas para la mínima cuantía será adelantada por quien sea designado por el ordenador del gasto sin que se requiera un comité plural”.</w:t>
      </w:r>
    </w:p>
  </w:footnote>
  <w:footnote w:id="5">
    <w:p w14:paraId="608EA1A4" w14:textId="77777777" w:rsidR="00AA511B" w:rsidRPr="00666BAC" w:rsidRDefault="00AA511B" w:rsidP="00AA511B">
      <w:pPr>
        <w:pStyle w:val="Textonotapie"/>
        <w:ind w:firstLine="708"/>
        <w:jc w:val="both"/>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AGENCIA NACIONAL DE CONTRATACIÓN PÚBLICA –COLOMBIA COMPRA EFICIENTE. Guía para el manejo de ofertas artificialmente bajas en procesos de contratación. Disponible en línea: </w:t>
      </w:r>
      <w:hyperlink r:id="rId1" w:history="1">
        <w:r w:rsidRPr="00666BAC">
          <w:rPr>
            <w:rStyle w:val="Hipervnculo"/>
            <w:rFonts w:ascii="Verdana" w:hAnsi="Verdana"/>
            <w:sz w:val="16"/>
            <w:szCs w:val="16"/>
          </w:rPr>
          <w:t>https://www.colombiacompra.gov.co/archivos/manual/guia-para-el-manejo-de-ofertas-artificialmente-bajas-en-procesos-de-contratacion-2</w:t>
        </w:r>
      </w:hyperlink>
      <w:r w:rsidRPr="00666BAC">
        <w:rPr>
          <w:rFonts w:ascii="Verdana" w:hAnsi="Verdana"/>
          <w:sz w:val="16"/>
          <w:szCs w:val="16"/>
        </w:rPr>
        <w:t xml:space="preserve">. 2024. p.14. </w:t>
      </w:r>
    </w:p>
  </w:footnote>
  <w:footnote w:id="6">
    <w:p w14:paraId="5ADBFAE6" w14:textId="77777777" w:rsidR="00AA511B" w:rsidRPr="00666BAC" w:rsidRDefault="00AA511B" w:rsidP="00AA511B">
      <w:pPr>
        <w:pStyle w:val="Textonotapie"/>
        <w:ind w:firstLine="708"/>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Ibídem., p. 14. </w:t>
      </w:r>
    </w:p>
  </w:footnote>
  <w:footnote w:id="7">
    <w:p w14:paraId="44354017" w14:textId="77777777" w:rsidR="00AA511B" w:rsidRPr="00666BAC" w:rsidRDefault="00AA511B" w:rsidP="00AA511B">
      <w:pPr>
        <w:pStyle w:val="Textonotapie"/>
        <w:ind w:firstLine="708"/>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Ibídem., p. 15. </w:t>
      </w:r>
    </w:p>
  </w:footnote>
  <w:footnote w:id="8">
    <w:p w14:paraId="49E899D5" w14:textId="77777777" w:rsidR="00AA511B" w:rsidRPr="00666BAC" w:rsidRDefault="00AA511B" w:rsidP="00AA511B">
      <w:pPr>
        <w:pStyle w:val="Textonotapie"/>
        <w:ind w:firstLine="708"/>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Ibidem., p. 16.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870810617"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380262475" name="Imagen 1380262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15B4E2B4"/>
    <w:lvl w:ilvl="0" w:tplc="240A000F">
      <w:start w:val="1"/>
      <w:numFmt w:val="decimal"/>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C0276A9"/>
    <w:multiLevelType w:val="hybridMultilevel"/>
    <w:tmpl w:val="6484BC98"/>
    <w:lvl w:ilvl="0" w:tplc="0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14807808">
    <w:abstractNumId w:val="6"/>
  </w:num>
  <w:num w:numId="2" w16cid:durableId="603273001">
    <w:abstractNumId w:val="1"/>
  </w:num>
  <w:num w:numId="3" w16cid:durableId="847787866">
    <w:abstractNumId w:val="4"/>
  </w:num>
  <w:num w:numId="4" w16cid:durableId="118548255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6649564">
    <w:abstractNumId w:val="1"/>
  </w:num>
  <w:num w:numId="6" w16cid:durableId="696933459">
    <w:abstractNumId w:val="14"/>
  </w:num>
  <w:num w:numId="7" w16cid:durableId="1557087735">
    <w:abstractNumId w:val="5"/>
  </w:num>
  <w:num w:numId="8" w16cid:durableId="724791114">
    <w:abstractNumId w:val="13"/>
  </w:num>
  <w:num w:numId="9" w16cid:durableId="263270299">
    <w:abstractNumId w:val="7"/>
  </w:num>
  <w:num w:numId="10" w16cid:durableId="1915772719">
    <w:abstractNumId w:val="12"/>
  </w:num>
  <w:num w:numId="11" w16cid:durableId="196550779">
    <w:abstractNumId w:val="8"/>
  </w:num>
  <w:num w:numId="12" w16cid:durableId="705561881">
    <w:abstractNumId w:val="0"/>
  </w:num>
  <w:num w:numId="13" w16cid:durableId="1157843846">
    <w:abstractNumId w:val="2"/>
  </w:num>
  <w:num w:numId="14" w16cid:durableId="369764038">
    <w:abstractNumId w:val="15"/>
  </w:num>
  <w:num w:numId="15" w16cid:durableId="1936010757">
    <w:abstractNumId w:val="11"/>
  </w:num>
  <w:num w:numId="16" w16cid:durableId="4482006">
    <w:abstractNumId w:val="3"/>
  </w:num>
  <w:num w:numId="17" w16cid:durableId="1604915159">
    <w:abstractNumId w:val="9"/>
  </w:num>
  <w:num w:numId="18" w16cid:durableId="6694126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E0079"/>
    <w:rsid w:val="000F6486"/>
    <w:rsid w:val="00116940"/>
    <w:rsid w:val="00125105"/>
    <w:rsid w:val="00127233"/>
    <w:rsid w:val="0015699B"/>
    <w:rsid w:val="0017671D"/>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4A05"/>
    <w:rsid w:val="0030657A"/>
    <w:rsid w:val="00322A85"/>
    <w:rsid w:val="00324168"/>
    <w:rsid w:val="00330834"/>
    <w:rsid w:val="00343058"/>
    <w:rsid w:val="003448F4"/>
    <w:rsid w:val="00362C5F"/>
    <w:rsid w:val="00374F5E"/>
    <w:rsid w:val="00377E3E"/>
    <w:rsid w:val="003A779E"/>
    <w:rsid w:val="003D0F4D"/>
    <w:rsid w:val="003D5B0D"/>
    <w:rsid w:val="003E0499"/>
    <w:rsid w:val="003E4F80"/>
    <w:rsid w:val="003E6439"/>
    <w:rsid w:val="003F3941"/>
    <w:rsid w:val="003F6422"/>
    <w:rsid w:val="00406575"/>
    <w:rsid w:val="00414C74"/>
    <w:rsid w:val="0042722E"/>
    <w:rsid w:val="0044528D"/>
    <w:rsid w:val="00466E39"/>
    <w:rsid w:val="004A1847"/>
    <w:rsid w:val="004A305D"/>
    <w:rsid w:val="004B39F6"/>
    <w:rsid w:val="004F21C4"/>
    <w:rsid w:val="004F685F"/>
    <w:rsid w:val="005566E8"/>
    <w:rsid w:val="00574867"/>
    <w:rsid w:val="00591460"/>
    <w:rsid w:val="005A65E0"/>
    <w:rsid w:val="005B6291"/>
    <w:rsid w:val="005C3777"/>
    <w:rsid w:val="005C5CDC"/>
    <w:rsid w:val="005D476C"/>
    <w:rsid w:val="005E24E4"/>
    <w:rsid w:val="006200BF"/>
    <w:rsid w:val="006219F8"/>
    <w:rsid w:val="006302F7"/>
    <w:rsid w:val="006376B2"/>
    <w:rsid w:val="00646B9F"/>
    <w:rsid w:val="00665D70"/>
    <w:rsid w:val="006900D9"/>
    <w:rsid w:val="00706C16"/>
    <w:rsid w:val="007340C3"/>
    <w:rsid w:val="0075235A"/>
    <w:rsid w:val="00756841"/>
    <w:rsid w:val="007649AB"/>
    <w:rsid w:val="00771D0C"/>
    <w:rsid w:val="007833AC"/>
    <w:rsid w:val="007A0F05"/>
    <w:rsid w:val="007B268C"/>
    <w:rsid w:val="007B7171"/>
    <w:rsid w:val="007C0C0F"/>
    <w:rsid w:val="007C3DC2"/>
    <w:rsid w:val="007E5497"/>
    <w:rsid w:val="00806F5F"/>
    <w:rsid w:val="00820278"/>
    <w:rsid w:val="008258C9"/>
    <w:rsid w:val="00844AE9"/>
    <w:rsid w:val="00867F95"/>
    <w:rsid w:val="008843B6"/>
    <w:rsid w:val="00891928"/>
    <w:rsid w:val="008A446D"/>
    <w:rsid w:val="008A7E61"/>
    <w:rsid w:val="008B25F1"/>
    <w:rsid w:val="008D180B"/>
    <w:rsid w:val="008E5ACF"/>
    <w:rsid w:val="008F0EA7"/>
    <w:rsid w:val="00916AAA"/>
    <w:rsid w:val="00923EEF"/>
    <w:rsid w:val="009419F9"/>
    <w:rsid w:val="0095685E"/>
    <w:rsid w:val="00961B09"/>
    <w:rsid w:val="00965334"/>
    <w:rsid w:val="0097093E"/>
    <w:rsid w:val="009A0DFA"/>
    <w:rsid w:val="009A1C6F"/>
    <w:rsid w:val="009A477A"/>
    <w:rsid w:val="009B2D26"/>
    <w:rsid w:val="009C71FA"/>
    <w:rsid w:val="009C72E7"/>
    <w:rsid w:val="009C7F7E"/>
    <w:rsid w:val="009D3058"/>
    <w:rsid w:val="009F3A13"/>
    <w:rsid w:val="00A122D3"/>
    <w:rsid w:val="00A14468"/>
    <w:rsid w:val="00A17F13"/>
    <w:rsid w:val="00A20739"/>
    <w:rsid w:val="00A23AF9"/>
    <w:rsid w:val="00A33C78"/>
    <w:rsid w:val="00A84A0A"/>
    <w:rsid w:val="00AA29E8"/>
    <w:rsid w:val="00AA511B"/>
    <w:rsid w:val="00AB040C"/>
    <w:rsid w:val="00AB0ADB"/>
    <w:rsid w:val="00B00C0E"/>
    <w:rsid w:val="00B01B1A"/>
    <w:rsid w:val="00B0381D"/>
    <w:rsid w:val="00B44A47"/>
    <w:rsid w:val="00B72CD3"/>
    <w:rsid w:val="00B72FFF"/>
    <w:rsid w:val="00BC3D36"/>
    <w:rsid w:val="00BC6A87"/>
    <w:rsid w:val="00BD31D4"/>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B0B9E"/>
    <w:rsid w:val="00DC39FC"/>
    <w:rsid w:val="00DF5254"/>
    <w:rsid w:val="00DF603A"/>
    <w:rsid w:val="00E02524"/>
    <w:rsid w:val="00E16408"/>
    <w:rsid w:val="00E20894"/>
    <w:rsid w:val="00E245AB"/>
    <w:rsid w:val="00E2764C"/>
    <w:rsid w:val="00E27F2E"/>
    <w:rsid w:val="00E35008"/>
    <w:rsid w:val="00E50AFE"/>
    <w:rsid w:val="00E75C92"/>
    <w:rsid w:val="00E771DC"/>
    <w:rsid w:val="00E8772A"/>
    <w:rsid w:val="00E90F6B"/>
    <w:rsid w:val="00E92C27"/>
    <w:rsid w:val="00EA0E3D"/>
    <w:rsid w:val="00EC38A7"/>
    <w:rsid w:val="00EE1AA8"/>
    <w:rsid w:val="00F13223"/>
    <w:rsid w:val="00F23FEA"/>
    <w:rsid w:val="00F31EDC"/>
    <w:rsid w:val="00F34D23"/>
    <w:rsid w:val="00F462B3"/>
    <w:rsid w:val="00F5664F"/>
    <w:rsid w:val="00F666C4"/>
    <w:rsid w:val="00F76AFC"/>
    <w:rsid w:val="00F83D8C"/>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A511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A511B"/>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archivos/manual/guia-para-el-manejo-de-ofertas-artificialmente-bajas-en-procesos-de-contratacion-2"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www.funcionpublica.gov.co/eva/gestornormativo/norma.php?i=160966"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pradap@hot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guia-para-el-manejo-de-ofertas-artificialmente-bajas-en-procesos-de-contratacion-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927CD838-FFF2-4397-B472-9FA75A50FF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15</Pages>
  <Words>5260</Words>
  <Characters>27774</Characters>
  <Application>Microsoft Office Word</Application>
  <DocSecurity>0</DocSecurity>
  <Lines>590</Lines>
  <Paragraphs>130</Paragraphs>
  <ScaleCrop>false</ScaleCrop>
  <Company/>
  <LinksUpToDate>false</LinksUpToDate>
  <CharactersWithSpaces>32904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14</cp:revision>
  <cp:lastPrinted>2023-01-10T21:18:00Z</cp:lastPrinted>
  <dcterms:created xsi:type="dcterms:W3CDTF">2025-12-02T14:16:00Z</dcterms:created>
  <dcterms:modified xsi:type="dcterms:W3CDTF">2025-12-03T13:51:00Z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