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05ECA3" w14:textId="77777777" w:rsidR="00E24068" w:rsidRDefault="00E24068" w:rsidP="00E24068">
      <w:pPr>
        <w:snapToGrid w:val="0"/>
        <w:spacing w:after="0" w:line="240" w:lineRule="auto"/>
        <w:contextualSpacing/>
        <w:jc w:val="both"/>
        <w:rPr>
          <w:rFonts w:ascii="Verdana" w:eastAsia="Calibri" w:hAnsi="Verdana" w:cs="Arial"/>
          <w:b/>
          <w:bCs/>
          <w:lang w:val="es-ES" w:eastAsia="es-ES"/>
        </w:rPr>
      </w:pPr>
      <w:bookmarkStart w:id="0" w:name="_Hlk143780582"/>
      <w:r w:rsidRPr="00E24068">
        <w:rPr>
          <w:rFonts w:ascii="Verdana" w:eastAsia="Calibri" w:hAnsi="Verdana" w:cs="Arial"/>
          <w:b/>
          <w:bCs/>
          <w:lang w:val="es-ES" w:eastAsia="es-ES"/>
        </w:rPr>
        <w:t>GARANTÍAS – Contratación estatal – Constitución de garantías – Finalidad – Cumplimiento – Obligaciones contractuales</w:t>
      </w:r>
    </w:p>
    <w:p w14:paraId="0740CA20" w14:textId="77777777" w:rsidR="00E24068" w:rsidRDefault="00E24068" w:rsidP="00E24068">
      <w:pPr>
        <w:snapToGrid w:val="0"/>
        <w:contextualSpacing/>
        <w:jc w:val="both"/>
        <w:rPr>
          <w:rFonts w:ascii="Verdana" w:hAnsi="Verdana" w:cs="Arial"/>
          <w:color w:val="000000"/>
          <w:shd w:val="clear" w:color="auto" w:fill="FFFFFF"/>
          <w:lang w:val="es-ES"/>
        </w:rPr>
      </w:pPr>
    </w:p>
    <w:p w14:paraId="5B7C58A6" w14:textId="062CFF0A" w:rsidR="00E24068" w:rsidRPr="00E24068" w:rsidRDefault="00E24068" w:rsidP="00E24068">
      <w:pPr>
        <w:snapToGrid w:val="0"/>
        <w:spacing w:after="0" w:line="240" w:lineRule="auto"/>
        <w:contextualSpacing/>
        <w:jc w:val="both"/>
        <w:rPr>
          <w:rFonts w:ascii="Verdana" w:eastAsia="Calibri" w:hAnsi="Verdana" w:cs="Arial"/>
          <w:b/>
          <w:bCs/>
          <w:lang w:val="es-ES" w:eastAsia="es-ES"/>
        </w:rPr>
      </w:pPr>
      <w:r w:rsidRPr="00983DE2">
        <w:rPr>
          <w:rFonts w:ascii="Verdana" w:hAnsi="Verdana" w:cs="Arial"/>
          <w:color w:val="000000"/>
          <w:shd w:val="clear" w:color="auto" w:fill="FFFFFF"/>
          <w:lang w:val="es-ES"/>
        </w:rPr>
        <w:t>Por regla general, para seleccionar contratistas y para ejecutar contratos se requiere la constitución de garantías. 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44B1265A" w14:textId="77777777" w:rsidR="00E24068" w:rsidRDefault="00E24068" w:rsidP="00E24068">
      <w:pPr>
        <w:snapToGrid w:val="0"/>
        <w:contextualSpacing/>
        <w:jc w:val="both"/>
        <w:rPr>
          <w:rFonts w:ascii="Verdana" w:eastAsia="Calibri" w:hAnsi="Verdana" w:cs="Arial"/>
          <w:b/>
          <w:bCs/>
          <w:lang w:val="es-ES" w:eastAsia="es-ES"/>
        </w:rPr>
      </w:pPr>
    </w:p>
    <w:p w14:paraId="235EFD64" w14:textId="5B96D689" w:rsidR="00E24068" w:rsidRDefault="00E24068" w:rsidP="00E24068">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CUMPLIMIENTO – Amparos – Finalidad</w:t>
      </w:r>
    </w:p>
    <w:p w14:paraId="41C421DD" w14:textId="77777777" w:rsidR="00E24068" w:rsidRDefault="00E24068" w:rsidP="00E24068">
      <w:pPr>
        <w:snapToGrid w:val="0"/>
        <w:spacing w:after="0" w:line="240" w:lineRule="auto"/>
        <w:contextualSpacing/>
        <w:jc w:val="both"/>
        <w:rPr>
          <w:rFonts w:ascii="Verdana" w:eastAsia="Calibri" w:hAnsi="Verdana" w:cs="Arial"/>
          <w:color w:val="000000" w:themeColor="text1"/>
          <w:lang w:val="es-ES"/>
        </w:rPr>
      </w:pPr>
    </w:p>
    <w:p w14:paraId="2A6CA886" w14:textId="23821DB7" w:rsidR="00E24068" w:rsidRPr="00983DE2" w:rsidRDefault="00E24068" w:rsidP="00E24068">
      <w:pPr>
        <w:snapToGrid w:val="0"/>
        <w:spacing w:after="0" w:line="240" w:lineRule="auto"/>
        <w:contextualSpacing/>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 xml:space="preserve">Para estos efectos es única, ya que “[…] La prioridad […] es que no haya garantías separadas para los diferentes riesgos, aunque existan varias garantías para diferentes proporciones del interés asegurado […]”.    </w:t>
      </w:r>
    </w:p>
    <w:p w14:paraId="054EBE5F" w14:textId="77777777" w:rsidR="00E24068" w:rsidRDefault="00E24068" w:rsidP="00E24068">
      <w:pPr>
        <w:snapToGrid w:val="0"/>
        <w:spacing w:after="0" w:line="240" w:lineRule="auto"/>
        <w:contextualSpacing/>
        <w:jc w:val="both"/>
        <w:rPr>
          <w:rFonts w:ascii="Verdana" w:hAnsi="Verdana" w:cs="Arial"/>
          <w:color w:val="000000" w:themeColor="text1"/>
          <w:lang w:val="es-ES"/>
        </w:rPr>
      </w:pPr>
    </w:p>
    <w:p w14:paraId="2589E98F" w14:textId="0901B565" w:rsidR="00E24068" w:rsidRPr="00983DE2" w:rsidRDefault="00E24068" w:rsidP="00E24068">
      <w:pPr>
        <w:snapToGrid w:val="0"/>
        <w:spacing w:after="0" w:line="240" w:lineRule="auto"/>
        <w:contextualSpacing/>
        <w:jc w:val="both"/>
        <w:rPr>
          <w:rFonts w:ascii="Verdana" w:hAnsi="Verdana" w:cs="Arial"/>
          <w:color w:val="000000" w:themeColor="text1"/>
          <w:lang w:val="es-ES"/>
        </w:rPr>
      </w:pPr>
      <w:r w:rsidRPr="00983DE2">
        <w:rPr>
          <w:rFonts w:ascii="Verdana" w:hAnsi="Verdana" w:cs="Arial"/>
          <w:color w:val="000000" w:themeColor="text1"/>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0670A4BD" w14:textId="77777777" w:rsidR="00E24068" w:rsidRPr="00E24068" w:rsidRDefault="00E24068" w:rsidP="00E24068">
      <w:pPr>
        <w:snapToGrid w:val="0"/>
        <w:spacing w:after="0" w:line="240" w:lineRule="auto"/>
        <w:contextualSpacing/>
        <w:jc w:val="both"/>
        <w:rPr>
          <w:rFonts w:ascii="Verdana" w:eastAsia="Calibri" w:hAnsi="Verdana" w:cs="Arial"/>
          <w:b/>
          <w:bCs/>
          <w:lang w:val="es-ES" w:eastAsia="es-ES"/>
        </w:rPr>
      </w:pPr>
    </w:p>
    <w:p w14:paraId="38CB2303" w14:textId="3F14FDF2" w:rsidR="00E24068" w:rsidRPr="00E24068" w:rsidRDefault="00E24068" w:rsidP="00E24068">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RESPONSABILIDAD CIVIL EXTRACONTRACTUAL – Características – Suficiencia – Criterios de aprobación</w:t>
      </w:r>
    </w:p>
    <w:p w14:paraId="173A1442" w14:textId="77777777" w:rsidR="00E24068" w:rsidRDefault="00E24068" w:rsidP="00E24068">
      <w:pPr>
        <w:snapToGrid w:val="0"/>
        <w:contextualSpacing/>
        <w:jc w:val="both"/>
        <w:rPr>
          <w:rFonts w:ascii="Verdana" w:eastAsia="Times New Roman" w:hAnsi="Verdana" w:cs="Arial"/>
          <w:color w:val="000000" w:themeColor="text1"/>
          <w:lang w:val="es-ES" w:eastAsia="es-CO"/>
        </w:rPr>
      </w:pPr>
    </w:p>
    <w:p w14:paraId="0D6C80C0" w14:textId="03059A6B" w:rsidR="00E24068" w:rsidRPr="00983DE2" w:rsidRDefault="00E24068" w:rsidP="00E24068">
      <w:pPr>
        <w:snapToGrid w:val="0"/>
        <w:spacing w:after="0" w:line="240" w:lineRule="auto"/>
        <w:contextualSpacing/>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primer lugar, la entidad debe verificar que la garantía cumpla con el requisito de indivisibilidad establecido en el artículo 2.2.1.2.3.1.3. del Decreto 1082 de 2015. </w:t>
      </w: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eastAsia="Times New Roman" w:hAnsi="Verdana" w:cs="Arial"/>
          <w:color w:val="000000" w:themeColor="text1"/>
          <w:lang w:val="es-ES" w:eastAsia="es-CO"/>
        </w:rPr>
        <w:t xml:space="preserve">en el artículo 2.2.1.2.3.2.9 con respecto a la modalidad de ocurrencia, así como las calidades que deben tener los intervinientes y los amparos. Tercero, la entidad debe verificar que el contrato de seguro cumpla con la suficiencia en términos de valor y tiempo de acuerdo con el artículo 2.2.1.2.3.1.17. Adicional a lo anterior, la norma establece de manera expresa que la vigencia de esta garantía deberá ser igual al </w:t>
      </w:r>
      <w:r w:rsidRPr="00983DE2">
        <w:rPr>
          <w:rFonts w:ascii="Verdana" w:eastAsia="Times New Roman" w:hAnsi="Verdana" w:cs="Arial"/>
          <w:i/>
          <w:color w:val="000000" w:themeColor="text1"/>
          <w:lang w:val="es-ES" w:eastAsia="es-CO"/>
        </w:rPr>
        <w:t>período de ejecución del contrato</w:t>
      </w:r>
      <w:r w:rsidRPr="00983DE2">
        <w:rPr>
          <w:rFonts w:ascii="Verdana" w:eastAsia="Times New Roman" w:hAnsi="Verdana" w:cs="Arial"/>
          <w:color w:val="000000" w:themeColor="text1"/>
          <w:lang w:val="es-ES" w:eastAsia="es-CO"/>
        </w:rPr>
        <w:t xml:space="preserve"> estatal que está respaldando.</w:t>
      </w:r>
    </w:p>
    <w:p w14:paraId="1FF5418F" w14:textId="77777777" w:rsidR="00E24068" w:rsidRDefault="00E24068" w:rsidP="00E24068">
      <w:pPr>
        <w:snapToGrid w:val="0"/>
        <w:contextualSpacing/>
        <w:jc w:val="both"/>
        <w:rPr>
          <w:rFonts w:ascii="Verdana" w:eastAsia="Times New Roman" w:hAnsi="Verdana" w:cs="Arial"/>
          <w:color w:val="000000" w:themeColor="text1"/>
          <w:lang w:val="es-ES" w:eastAsia="es-CO"/>
        </w:rPr>
      </w:pPr>
    </w:p>
    <w:p w14:paraId="1693EC57" w14:textId="7DB83C7B" w:rsidR="00E24068" w:rsidRPr="00983DE2" w:rsidRDefault="00E24068" w:rsidP="00E24068">
      <w:pPr>
        <w:snapToGrid w:val="0"/>
        <w:spacing w:after="0" w:line="240" w:lineRule="auto"/>
        <w:contextualSpacing/>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smmlv. No serán admisibles las franquicias, coaseguros obligatorios y demás formas de estipulación que impliquen la asunción de parte de la pérdida por la entidad asegurada”. </w:t>
      </w:r>
    </w:p>
    <w:p w14:paraId="07FE0575" w14:textId="77777777" w:rsidR="00E24068" w:rsidRDefault="00E24068" w:rsidP="00545C2B">
      <w:pPr>
        <w:spacing w:after="0"/>
        <w:rPr>
          <w:rFonts w:ascii="Verdana" w:hAnsi="Verdana"/>
          <w:lang w:val="es-ES"/>
        </w:rPr>
      </w:pPr>
    </w:p>
    <w:p w14:paraId="75201E77" w14:textId="77777777" w:rsidR="00E24068" w:rsidRDefault="00E24068" w:rsidP="00545C2B">
      <w:pPr>
        <w:spacing w:after="0"/>
        <w:rPr>
          <w:rFonts w:ascii="Verdana" w:hAnsi="Verdana"/>
          <w:lang w:val="es-ES"/>
        </w:rPr>
      </w:pPr>
    </w:p>
    <w:p w14:paraId="17311444" w14:textId="77777777" w:rsidR="00E24068" w:rsidRDefault="00E24068" w:rsidP="00545C2B">
      <w:pPr>
        <w:spacing w:after="0"/>
        <w:rPr>
          <w:rFonts w:ascii="Verdana" w:hAnsi="Verdana"/>
          <w:lang w:val="es-ES"/>
        </w:rPr>
      </w:pPr>
    </w:p>
    <w:p w14:paraId="361EB7A9" w14:textId="77777777" w:rsidR="00E24068" w:rsidRDefault="00E24068" w:rsidP="00545C2B">
      <w:pPr>
        <w:spacing w:after="0"/>
        <w:rPr>
          <w:rFonts w:ascii="Verdana" w:hAnsi="Verdana"/>
          <w:lang w:val="es-ES"/>
        </w:rPr>
      </w:pPr>
    </w:p>
    <w:p w14:paraId="536B3F0B" w14:textId="77777777" w:rsidR="00E24068" w:rsidRDefault="00E24068" w:rsidP="00545C2B">
      <w:pPr>
        <w:spacing w:after="0"/>
        <w:rPr>
          <w:rFonts w:ascii="Verdana" w:hAnsi="Verdana"/>
          <w:lang w:val="es-ES"/>
        </w:rPr>
      </w:pPr>
    </w:p>
    <w:p w14:paraId="433386BA" w14:textId="77777777" w:rsidR="00E24068" w:rsidRDefault="00E24068" w:rsidP="00545C2B">
      <w:pPr>
        <w:spacing w:after="0"/>
        <w:rPr>
          <w:rFonts w:ascii="Verdana" w:hAnsi="Verdana"/>
          <w:lang w:val="es-ES"/>
        </w:rPr>
      </w:pPr>
    </w:p>
    <w:p w14:paraId="4A27CB2E" w14:textId="77777777" w:rsidR="00E24068" w:rsidRDefault="00E24068" w:rsidP="00545C2B">
      <w:pPr>
        <w:spacing w:after="0"/>
        <w:rPr>
          <w:rFonts w:ascii="Verdana" w:hAnsi="Verdana"/>
          <w:lang w:val="es-ES"/>
        </w:rPr>
      </w:pPr>
    </w:p>
    <w:p w14:paraId="7003CBDB" w14:textId="77777777" w:rsidR="00E24068" w:rsidRDefault="00E24068" w:rsidP="00545C2B">
      <w:pPr>
        <w:spacing w:after="0"/>
        <w:rPr>
          <w:rFonts w:ascii="Verdana" w:hAnsi="Verdana"/>
          <w:lang w:val="es-ES"/>
        </w:rPr>
      </w:pPr>
    </w:p>
    <w:p w14:paraId="7ACB704F" w14:textId="77777777" w:rsidR="00E24068" w:rsidRDefault="00E24068" w:rsidP="00545C2B">
      <w:pPr>
        <w:spacing w:after="0"/>
        <w:rPr>
          <w:rFonts w:ascii="Verdana" w:hAnsi="Verdana"/>
          <w:lang w:val="es-ES"/>
        </w:rPr>
      </w:pPr>
    </w:p>
    <w:p w14:paraId="4FA32F62" w14:textId="77777777" w:rsidR="00E24068" w:rsidRDefault="00E24068" w:rsidP="00545C2B">
      <w:pPr>
        <w:spacing w:after="0"/>
        <w:rPr>
          <w:rFonts w:ascii="Verdana" w:hAnsi="Verdana"/>
          <w:lang w:val="es-ES"/>
        </w:rPr>
      </w:pPr>
    </w:p>
    <w:p w14:paraId="1EBCF067" w14:textId="77777777" w:rsidR="00E24068" w:rsidRDefault="00E24068" w:rsidP="00545C2B">
      <w:pPr>
        <w:spacing w:after="0"/>
        <w:rPr>
          <w:rFonts w:ascii="Verdana" w:hAnsi="Verdana"/>
          <w:lang w:val="es-ES"/>
        </w:rPr>
      </w:pPr>
    </w:p>
    <w:p w14:paraId="53A52E36" w14:textId="77777777" w:rsidR="00E24068" w:rsidRDefault="00E24068" w:rsidP="00545C2B">
      <w:pPr>
        <w:spacing w:after="0"/>
        <w:rPr>
          <w:rFonts w:ascii="Verdana" w:hAnsi="Verdana"/>
          <w:lang w:val="es-ES"/>
        </w:rPr>
      </w:pPr>
    </w:p>
    <w:p w14:paraId="02320222" w14:textId="77777777" w:rsidR="00E24068" w:rsidRDefault="00E24068" w:rsidP="00545C2B">
      <w:pPr>
        <w:spacing w:after="0"/>
        <w:rPr>
          <w:rFonts w:ascii="Verdana" w:hAnsi="Verdana"/>
          <w:lang w:val="es-ES"/>
        </w:rPr>
      </w:pPr>
    </w:p>
    <w:p w14:paraId="36CDE6D6" w14:textId="77777777" w:rsidR="00E24068" w:rsidRDefault="00E24068" w:rsidP="00545C2B">
      <w:pPr>
        <w:spacing w:after="0"/>
        <w:rPr>
          <w:rFonts w:ascii="Verdana" w:hAnsi="Verdana"/>
          <w:lang w:val="es-ES"/>
        </w:rPr>
      </w:pPr>
    </w:p>
    <w:p w14:paraId="45E5C7CE" w14:textId="77777777" w:rsidR="00E24068" w:rsidRDefault="00E24068" w:rsidP="00545C2B">
      <w:pPr>
        <w:spacing w:after="0"/>
        <w:rPr>
          <w:rFonts w:ascii="Verdana" w:hAnsi="Verdana"/>
          <w:lang w:val="es-ES"/>
        </w:rPr>
      </w:pPr>
    </w:p>
    <w:p w14:paraId="77CEFCF2" w14:textId="77777777" w:rsidR="00E24068" w:rsidRDefault="00E24068" w:rsidP="00545C2B">
      <w:pPr>
        <w:spacing w:after="0"/>
        <w:rPr>
          <w:rFonts w:ascii="Verdana" w:hAnsi="Verdana"/>
          <w:lang w:val="es-ES"/>
        </w:rPr>
      </w:pPr>
    </w:p>
    <w:p w14:paraId="2F31FC95" w14:textId="77777777" w:rsidR="00E24068" w:rsidRDefault="00E24068" w:rsidP="00545C2B">
      <w:pPr>
        <w:spacing w:after="0"/>
        <w:rPr>
          <w:rFonts w:ascii="Verdana" w:hAnsi="Verdana"/>
          <w:lang w:val="es-ES"/>
        </w:rPr>
      </w:pPr>
    </w:p>
    <w:p w14:paraId="25577A48" w14:textId="77777777" w:rsidR="00E24068" w:rsidRDefault="00E24068" w:rsidP="00545C2B">
      <w:pPr>
        <w:spacing w:after="0"/>
        <w:rPr>
          <w:rFonts w:ascii="Verdana" w:hAnsi="Verdana"/>
          <w:lang w:val="es-ES"/>
        </w:rPr>
      </w:pPr>
    </w:p>
    <w:p w14:paraId="5C335690" w14:textId="2BB3A1EB" w:rsidR="00545C2B" w:rsidRPr="00983DE2" w:rsidRDefault="00545C2B" w:rsidP="00545C2B">
      <w:pPr>
        <w:spacing w:after="0"/>
        <w:rPr>
          <w:rFonts w:ascii="Verdana" w:hAnsi="Verdana"/>
          <w:lang w:val="es-ES"/>
        </w:rPr>
      </w:pPr>
      <w:r w:rsidRPr="00983DE2">
        <w:rPr>
          <w:rFonts w:ascii="Verdana" w:hAnsi="Verdana"/>
          <w:lang w:val="es-ES"/>
        </w:rPr>
        <w:lastRenderedPageBreak/>
        <w:t xml:space="preserve">Bogotá D.C., </w:t>
      </w:r>
      <w:r w:rsidR="00E24068">
        <w:rPr>
          <w:rFonts w:ascii="Verdana" w:hAnsi="Verdana"/>
          <w:lang w:val="es-ES"/>
        </w:rPr>
        <w:t>03 de diciembre de 2025</w:t>
      </w:r>
      <w:r w:rsidRPr="00983DE2">
        <w:rPr>
          <w:rFonts w:ascii="Verdana" w:hAnsi="Verdana"/>
          <w:lang w:val="es-ES"/>
        </w:rPr>
        <w:tab/>
      </w:r>
    </w:p>
    <w:p w14:paraId="388CC94D" w14:textId="77777777" w:rsidR="00545C2B" w:rsidRPr="00983DE2" w:rsidRDefault="00545C2B" w:rsidP="00545C2B">
      <w:pPr>
        <w:spacing w:after="0"/>
        <w:rPr>
          <w:rFonts w:ascii="Verdana" w:hAnsi="Verdana"/>
          <w:lang w:val="es-ES"/>
        </w:rPr>
      </w:pPr>
    </w:p>
    <w:p w14:paraId="0C135389" w14:textId="2AAB7D6B" w:rsidR="00545C2B" w:rsidRPr="00983DE2" w:rsidRDefault="00E24068" w:rsidP="00545C2B">
      <w:pPr>
        <w:spacing w:after="0" w:line="240" w:lineRule="auto"/>
        <w:jc w:val="both"/>
        <w:rPr>
          <w:rFonts w:ascii="Verdana" w:eastAsia="Calibri" w:hAnsi="Verdana" w:cs="Arial"/>
          <w:color w:val="000000" w:themeColor="text1"/>
          <w:lang w:val="es-ES" w:eastAsia="es-ES"/>
        </w:rPr>
      </w:pPr>
      <w:r>
        <w:rPr>
          <w:rFonts w:ascii="Verdana" w:eastAsia="Calibri" w:hAnsi="Verdana" w:cs="Arial"/>
          <w:b/>
          <w:bCs/>
          <w:noProof/>
          <w:color w:val="000000" w:themeColor="text1"/>
          <w:lang w:val="es-ES" w:eastAsia="es-ES"/>
        </w:rPr>
        <w:drawing>
          <wp:anchor distT="0" distB="0" distL="114300" distR="114300" simplePos="0" relativeHeight="251660288" behindDoc="0" locked="0" layoutInCell="1" allowOverlap="1" wp14:anchorId="5FED85D2" wp14:editId="55A3EA26">
            <wp:simplePos x="0" y="0"/>
            <wp:positionH relativeFrom="column">
              <wp:posOffset>2766939</wp:posOffset>
            </wp:positionH>
            <wp:positionV relativeFrom="paragraph">
              <wp:posOffset>86409</wp:posOffset>
            </wp:positionV>
            <wp:extent cx="2312035" cy="704850"/>
            <wp:effectExtent l="0" t="0" r="0" b="6350"/>
            <wp:wrapSquare wrapText="bothSides"/>
            <wp:docPr id="225872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872201" name="Picture 225872201"/>
                    <pic:cNvPicPr/>
                  </pic:nvPicPr>
                  <pic:blipFill>
                    <a:blip r:embed="rId10">
                      <a:extLst>
                        <a:ext uri="{28A0092B-C50C-407E-A947-70E740481C1C}">
                          <a14:useLocalDpi xmlns:a14="http://schemas.microsoft.com/office/drawing/2010/main" val="0"/>
                        </a:ext>
                      </a:extLst>
                    </a:blip>
                    <a:stretch>
                      <a:fillRect/>
                    </a:stretch>
                  </pic:blipFill>
                  <pic:spPr>
                    <a:xfrm>
                      <a:off x="0" y="0"/>
                      <a:ext cx="2312035" cy="704850"/>
                    </a:xfrm>
                    <a:prstGeom prst="rect">
                      <a:avLst/>
                    </a:prstGeom>
                  </pic:spPr>
                </pic:pic>
              </a:graphicData>
            </a:graphic>
            <wp14:sizeRelH relativeFrom="page">
              <wp14:pctWidth>0</wp14:pctWidth>
            </wp14:sizeRelH>
            <wp14:sizeRelV relativeFrom="page">
              <wp14:pctHeight>0</wp14:pctHeight>
            </wp14:sizeRelV>
          </wp:anchor>
        </w:drawing>
      </w:r>
      <w:r w:rsidR="00545C2B" w:rsidRPr="00983DE2">
        <w:rPr>
          <w:rFonts w:ascii="Verdana" w:eastAsia="Calibri" w:hAnsi="Verdana" w:cs="Arial"/>
          <w:color w:val="000000" w:themeColor="text1"/>
          <w:lang w:val="es-ES" w:eastAsia="es-ES"/>
        </w:rPr>
        <w:t>Señora</w:t>
      </w:r>
    </w:p>
    <w:p w14:paraId="5C7869F6" w14:textId="74ACF7CE" w:rsidR="00545C2B" w:rsidRPr="00983DE2" w:rsidRDefault="00545C2B" w:rsidP="00545C2B">
      <w:pPr>
        <w:spacing w:after="0" w:line="240" w:lineRule="auto"/>
        <w:rPr>
          <w:rFonts w:ascii="Verdana" w:eastAsia="Calibri" w:hAnsi="Verdana" w:cs="Arial"/>
          <w:b/>
          <w:bCs/>
          <w:color w:val="000000" w:themeColor="text1"/>
          <w:lang w:val="es-ES" w:eastAsia="es-ES"/>
        </w:rPr>
      </w:pPr>
      <w:r w:rsidRPr="00983DE2">
        <w:rPr>
          <w:rFonts w:ascii="Verdana" w:eastAsia="Calibri" w:hAnsi="Verdana" w:cs="Arial"/>
          <w:b/>
          <w:bCs/>
          <w:color w:val="000000" w:themeColor="text1"/>
          <w:lang w:val="es-ES" w:eastAsia="es-ES"/>
        </w:rPr>
        <w:t>Sandra Marina</w:t>
      </w:r>
    </w:p>
    <w:p w14:paraId="1285EF3E" w14:textId="77777777" w:rsidR="00545C2B" w:rsidRPr="00983DE2" w:rsidRDefault="00545C2B" w:rsidP="00545C2B">
      <w:pPr>
        <w:spacing w:after="0" w:line="240" w:lineRule="auto"/>
        <w:rPr>
          <w:rFonts w:ascii="Verdana" w:eastAsia="Calibri" w:hAnsi="Verdana" w:cs="Arial"/>
          <w:color w:val="000000" w:themeColor="text1"/>
          <w:lang w:val="es-ES" w:eastAsia="es-ES"/>
        </w:rPr>
      </w:pPr>
      <w:hyperlink r:id="rId11" w:history="1">
        <w:r w:rsidRPr="00983DE2">
          <w:rPr>
            <w:rStyle w:val="Hyperlink"/>
            <w:rFonts w:ascii="Verdana" w:eastAsia="Calibri" w:hAnsi="Verdana" w:cs="Arial"/>
            <w:lang w:val="es-ES" w:eastAsia="es-ES"/>
          </w:rPr>
          <w:t>frison20191@icloud.com</w:t>
        </w:r>
      </w:hyperlink>
    </w:p>
    <w:p w14:paraId="3737CE14" w14:textId="77777777" w:rsidR="00545C2B" w:rsidRPr="00983DE2" w:rsidRDefault="00545C2B" w:rsidP="00545C2B">
      <w:pPr>
        <w:spacing w:after="0" w:line="240" w:lineRule="auto"/>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Bogotá D.C.</w:t>
      </w:r>
    </w:p>
    <w:p w14:paraId="083A8424" w14:textId="77777777" w:rsidR="00545C2B" w:rsidRPr="00983DE2" w:rsidRDefault="00545C2B" w:rsidP="00545C2B">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545C2B" w:rsidRPr="00983DE2" w14:paraId="4585CBA1" w14:textId="77777777" w:rsidTr="005D23AD">
        <w:trPr>
          <w:gridAfter w:val="1"/>
          <w:wAfter w:w="4179" w:type="dxa"/>
          <w:trHeight w:val="304"/>
        </w:trPr>
        <w:tc>
          <w:tcPr>
            <w:tcW w:w="2689" w:type="dxa"/>
          </w:tcPr>
          <w:p w14:paraId="47EC18D8" w14:textId="77777777" w:rsidR="00545C2B" w:rsidRPr="00983DE2" w:rsidRDefault="00545C2B" w:rsidP="005D23AD">
            <w:pPr>
              <w:jc w:val="both"/>
              <w:rPr>
                <w:rFonts w:ascii="Verdana" w:eastAsia="Calibri" w:hAnsi="Verdana" w:cs="Arial"/>
                <w:b/>
                <w:bCs/>
                <w:color w:val="000000" w:themeColor="text1"/>
                <w:lang w:val="es-ES" w:eastAsia="es-ES_tradnl"/>
              </w:rPr>
            </w:pPr>
          </w:p>
        </w:tc>
        <w:tc>
          <w:tcPr>
            <w:tcW w:w="6100" w:type="dxa"/>
          </w:tcPr>
          <w:p w14:paraId="4781E00C" w14:textId="02EA55F4" w:rsidR="00545C2B" w:rsidRPr="00983DE2" w:rsidRDefault="00545C2B" w:rsidP="005D23AD">
            <w:pPr>
              <w:jc w:val="both"/>
              <w:rPr>
                <w:rFonts w:ascii="Verdana" w:eastAsia="Calibri" w:hAnsi="Verdana" w:cs="Arial"/>
                <w:b/>
                <w:bCs/>
                <w:color w:val="000000" w:themeColor="text1"/>
                <w:lang w:val="es-ES" w:eastAsia="es-ES"/>
              </w:rPr>
            </w:pPr>
            <w:r w:rsidRPr="00983DE2">
              <w:rPr>
                <w:rFonts w:ascii="Verdana" w:eastAsia="Calibri" w:hAnsi="Verdana" w:cs="Arial"/>
                <w:b/>
                <w:bCs/>
                <w:color w:val="000000" w:themeColor="text1"/>
                <w:lang w:val="es-ES" w:eastAsia="es-ES"/>
              </w:rPr>
              <w:t>Concepto C-</w:t>
            </w:r>
            <w:r w:rsidR="00FE3A29" w:rsidRPr="00983DE2">
              <w:rPr>
                <w:rFonts w:ascii="Verdana" w:eastAsia="Calibri" w:hAnsi="Verdana" w:cs="Arial"/>
                <w:b/>
                <w:bCs/>
                <w:color w:val="000000" w:themeColor="text1"/>
                <w:lang w:val="es-ES" w:eastAsia="es-ES"/>
              </w:rPr>
              <w:t>1547</w:t>
            </w:r>
            <w:r w:rsidRPr="00983DE2">
              <w:rPr>
                <w:rFonts w:ascii="Verdana" w:eastAsia="Calibri" w:hAnsi="Verdana" w:cs="Arial"/>
                <w:b/>
                <w:bCs/>
                <w:color w:val="000000" w:themeColor="text1"/>
                <w:lang w:val="es-ES" w:eastAsia="es-ES"/>
              </w:rPr>
              <w:t xml:space="preserve"> de 2025</w:t>
            </w:r>
          </w:p>
          <w:p w14:paraId="5C7D146F" w14:textId="77777777" w:rsidR="00545C2B" w:rsidRPr="00983DE2" w:rsidRDefault="00545C2B" w:rsidP="005D23AD">
            <w:pPr>
              <w:jc w:val="both"/>
              <w:rPr>
                <w:rFonts w:ascii="Verdana" w:eastAsia="Calibri" w:hAnsi="Verdana" w:cs="Arial"/>
                <w:b/>
                <w:bCs/>
                <w:color w:val="000000" w:themeColor="text1"/>
                <w:lang w:val="es-ES" w:eastAsia="es-ES"/>
              </w:rPr>
            </w:pPr>
          </w:p>
        </w:tc>
      </w:tr>
      <w:tr w:rsidR="00545C2B" w:rsidRPr="00983DE2" w14:paraId="7F3DDAFB" w14:textId="77777777" w:rsidTr="005D23AD">
        <w:trPr>
          <w:trHeight w:val="884"/>
        </w:trPr>
        <w:tc>
          <w:tcPr>
            <w:tcW w:w="2689" w:type="dxa"/>
          </w:tcPr>
          <w:p w14:paraId="38E1A925" w14:textId="77777777" w:rsidR="00545C2B" w:rsidRPr="00983DE2" w:rsidRDefault="00545C2B" w:rsidP="005D23AD">
            <w:pPr>
              <w:jc w:val="both"/>
              <w:rPr>
                <w:rFonts w:ascii="Verdana" w:eastAsia="Calibri" w:hAnsi="Verdana" w:cs="Arial"/>
                <w:color w:val="000000" w:themeColor="text1"/>
                <w:lang w:val="es-ES" w:eastAsia="es-ES_tradnl"/>
              </w:rPr>
            </w:pPr>
            <w:r w:rsidRPr="00983DE2">
              <w:rPr>
                <w:rFonts w:ascii="Verdana" w:eastAsia="Calibri" w:hAnsi="Verdana" w:cs="Arial"/>
                <w:b/>
                <w:color w:val="000000" w:themeColor="text1"/>
                <w:lang w:val="es-ES" w:eastAsia="es-ES_tradnl"/>
              </w:rPr>
              <w:t>Temas:</w:t>
            </w:r>
            <w:r w:rsidRPr="00983DE2">
              <w:rPr>
                <w:rFonts w:ascii="Verdana" w:eastAsia="Calibri" w:hAnsi="Verdana" w:cs="Arial"/>
                <w:color w:val="000000" w:themeColor="text1"/>
                <w:lang w:val="es-ES" w:eastAsia="es-ES_tradnl"/>
              </w:rPr>
              <w:t xml:space="preserve">                   </w:t>
            </w:r>
          </w:p>
        </w:tc>
        <w:tc>
          <w:tcPr>
            <w:tcW w:w="6100" w:type="dxa"/>
          </w:tcPr>
          <w:p w14:paraId="4422B91F" w14:textId="77777777" w:rsidR="00545C2B" w:rsidRPr="00983DE2" w:rsidRDefault="00545C2B" w:rsidP="005D23AD">
            <w:pPr>
              <w:spacing w:line="276" w:lineRule="auto"/>
              <w:jc w:val="both"/>
              <w:rPr>
                <w:rFonts w:ascii="Verdana" w:eastAsia="Calibri" w:hAnsi="Verdana" w:cs="Arial"/>
                <w:lang w:val="es-ES" w:eastAsia="es-ES"/>
              </w:rPr>
            </w:pPr>
            <w:r w:rsidRPr="00983DE2">
              <w:rPr>
                <w:rFonts w:ascii="Verdana" w:eastAsia="Calibri" w:hAnsi="Verdana" w:cs="Arial"/>
                <w:lang w:val="es-ES" w:eastAsia="es-ES"/>
              </w:rPr>
              <w:t>GARANTÍAS – Contratación estatal – Constitución de garantías – Finalidad – Cumplimiento – Obligaciones contractuales / GARANTÍA DE CUMPLIMIENTO – Amparos – Finalidad / GARANTÍA DE RESPONSABILIDAD CIVIL EXTRACONTRACTUAL – Características – Suficiencia – Criterios de aprobación</w:t>
            </w:r>
          </w:p>
          <w:p w14:paraId="0324BB73" w14:textId="77777777" w:rsidR="00545C2B" w:rsidRPr="00983DE2" w:rsidRDefault="00545C2B" w:rsidP="005D23AD">
            <w:pPr>
              <w:spacing w:line="276" w:lineRule="auto"/>
              <w:jc w:val="both"/>
              <w:rPr>
                <w:rFonts w:ascii="Verdana" w:eastAsia="Calibri" w:hAnsi="Verdana" w:cs="Arial"/>
                <w:color w:val="000000" w:themeColor="text1"/>
                <w:lang w:val="es-ES" w:eastAsia="es-ES_tradnl"/>
              </w:rPr>
            </w:pPr>
          </w:p>
        </w:tc>
        <w:tc>
          <w:tcPr>
            <w:tcW w:w="4179" w:type="dxa"/>
          </w:tcPr>
          <w:p w14:paraId="3337CE72" w14:textId="77777777" w:rsidR="00545C2B" w:rsidRPr="00983DE2" w:rsidRDefault="00545C2B" w:rsidP="005D23AD">
            <w:pPr>
              <w:spacing w:line="276" w:lineRule="auto"/>
              <w:jc w:val="both"/>
              <w:rPr>
                <w:rFonts w:ascii="Verdana" w:eastAsia="Calibri" w:hAnsi="Verdana" w:cs="Arial"/>
                <w:color w:val="000000" w:themeColor="text1"/>
                <w:lang w:val="es-ES" w:eastAsia="es-ES_tradnl"/>
              </w:rPr>
            </w:pPr>
          </w:p>
          <w:p w14:paraId="7EF7B092" w14:textId="77777777" w:rsidR="00545C2B" w:rsidRPr="00983DE2" w:rsidRDefault="00545C2B" w:rsidP="005D23AD">
            <w:pPr>
              <w:spacing w:line="276" w:lineRule="auto"/>
              <w:rPr>
                <w:rFonts w:ascii="Verdana" w:eastAsia="Calibri" w:hAnsi="Verdana" w:cs="Arial"/>
                <w:color w:val="000000" w:themeColor="text1"/>
                <w:lang w:val="es-ES" w:eastAsia="es-ES_tradnl"/>
              </w:rPr>
            </w:pPr>
          </w:p>
        </w:tc>
      </w:tr>
      <w:tr w:rsidR="00545C2B" w:rsidRPr="00983DE2" w14:paraId="16FEC5F0" w14:textId="77777777" w:rsidTr="005D23AD">
        <w:trPr>
          <w:gridAfter w:val="1"/>
          <w:wAfter w:w="4179" w:type="dxa"/>
        </w:trPr>
        <w:tc>
          <w:tcPr>
            <w:tcW w:w="2689" w:type="dxa"/>
          </w:tcPr>
          <w:p w14:paraId="0306B876" w14:textId="77777777" w:rsidR="00545C2B" w:rsidRPr="00983DE2" w:rsidRDefault="00545C2B" w:rsidP="005D23AD">
            <w:pPr>
              <w:jc w:val="both"/>
              <w:rPr>
                <w:rFonts w:ascii="Verdana" w:eastAsia="Calibri" w:hAnsi="Verdana" w:cs="Arial"/>
                <w:b/>
                <w:color w:val="000000" w:themeColor="text1"/>
                <w:lang w:val="es-ES" w:eastAsia="es-ES_tradnl"/>
              </w:rPr>
            </w:pPr>
            <w:r w:rsidRPr="00983DE2">
              <w:rPr>
                <w:rFonts w:ascii="Verdana" w:eastAsia="Calibri" w:hAnsi="Verdana" w:cs="Arial"/>
                <w:b/>
                <w:color w:val="000000" w:themeColor="text1"/>
                <w:lang w:val="es-ES" w:eastAsia="es-ES_tradnl"/>
              </w:rPr>
              <w:t>Radicación:</w:t>
            </w:r>
            <w:r w:rsidRPr="00983DE2">
              <w:rPr>
                <w:rFonts w:ascii="Verdana" w:eastAsia="Calibri" w:hAnsi="Verdana" w:cs="Arial"/>
                <w:color w:val="000000" w:themeColor="text1"/>
                <w:lang w:val="es-ES" w:eastAsia="es-ES_tradnl"/>
              </w:rPr>
              <w:t xml:space="preserve">               </w:t>
            </w:r>
          </w:p>
        </w:tc>
        <w:tc>
          <w:tcPr>
            <w:tcW w:w="6100" w:type="dxa"/>
          </w:tcPr>
          <w:p w14:paraId="33DF4249" w14:textId="77777777" w:rsidR="00545C2B" w:rsidRPr="00983DE2" w:rsidRDefault="00545C2B" w:rsidP="005D23AD">
            <w:pPr>
              <w:jc w:val="both"/>
              <w:rPr>
                <w:rFonts w:ascii="Verdana" w:eastAsia="Calibri" w:hAnsi="Verdana" w:cs="Arial"/>
                <w:color w:val="000000" w:themeColor="text1"/>
                <w:lang w:val="es-ES" w:eastAsia="es-ES_tradnl"/>
              </w:rPr>
            </w:pPr>
            <w:r w:rsidRPr="00983DE2">
              <w:rPr>
                <w:rFonts w:ascii="Verdana" w:eastAsia="Calibri" w:hAnsi="Verdana" w:cs="Arial"/>
                <w:color w:val="000000" w:themeColor="text1"/>
                <w:lang w:val="es-ES" w:eastAsia="es-ES_tradnl"/>
              </w:rPr>
              <w:t>Respuesta a consulta con radicado No. 1_2025_10_22_011851</w:t>
            </w:r>
          </w:p>
        </w:tc>
      </w:tr>
    </w:tbl>
    <w:p w14:paraId="46FC4361" w14:textId="77777777" w:rsidR="00545C2B" w:rsidRPr="00983DE2" w:rsidRDefault="00545C2B" w:rsidP="00545C2B">
      <w:pPr>
        <w:spacing w:after="0" w:line="276" w:lineRule="auto"/>
        <w:jc w:val="both"/>
        <w:rPr>
          <w:rFonts w:ascii="Verdana" w:eastAsia="Calibri" w:hAnsi="Verdana" w:cs="Arial"/>
          <w:color w:val="000000" w:themeColor="text1"/>
          <w:lang w:val="es-ES" w:eastAsia="es-ES_tradnl"/>
        </w:rPr>
      </w:pPr>
    </w:p>
    <w:p w14:paraId="7E168216" w14:textId="77777777" w:rsidR="00545C2B" w:rsidRPr="00983DE2" w:rsidRDefault="00545C2B" w:rsidP="00545C2B">
      <w:pPr>
        <w:spacing w:after="0" w:line="276"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 xml:space="preserve">Estimada señora Marina: </w:t>
      </w:r>
    </w:p>
    <w:p w14:paraId="40897ACE" w14:textId="77777777" w:rsidR="00545C2B" w:rsidRPr="00983DE2" w:rsidRDefault="00545C2B" w:rsidP="00545C2B">
      <w:pPr>
        <w:tabs>
          <w:tab w:val="left" w:pos="3768"/>
        </w:tabs>
        <w:spacing w:after="0" w:line="276"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ab/>
      </w:r>
    </w:p>
    <w:p w14:paraId="75391191" w14:textId="77777777" w:rsidR="00545C2B" w:rsidRPr="00983DE2" w:rsidRDefault="00545C2B" w:rsidP="00545C2B">
      <w:pPr>
        <w:spacing w:after="0" w:line="276" w:lineRule="auto"/>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En ejercicio de la competencia otorgada por los artículos 3, numeral 5º, y 11, numeral 8º, del Decreto Ley 4170 de 2011,</w:t>
      </w:r>
      <w:r w:rsidRPr="00983DE2">
        <w:rPr>
          <w:rFonts w:ascii="Verdana" w:eastAsia="Arial MT" w:hAnsi="Verdana" w:cs="Arial MT"/>
          <w:color w:val="000000" w:themeColor="text1"/>
          <w:lang w:val="es-ES" w:eastAsia="es-ES"/>
        </w:rPr>
        <w:t xml:space="preserve"> </w:t>
      </w:r>
      <w:r w:rsidRPr="00983DE2">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concepto del 22 de octubre de 2025, en la cual manifiesta lo siguiente:</w:t>
      </w:r>
      <w:r w:rsidRPr="00983DE2">
        <w:rPr>
          <w:rFonts w:ascii="Verdana" w:eastAsia="Calibri" w:hAnsi="Verdana" w:cs="Arial"/>
          <w:color w:val="000000" w:themeColor="text1"/>
          <w:lang w:val="es-ES" w:eastAsia="es-ES"/>
        </w:rPr>
        <w:t xml:space="preserve"> </w:t>
      </w:r>
    </w:p>
    <w:p w14:paraId="2963D4A0" w14:textId="77777777" w:rsidR="00545C2B" w:rsidRPr="00983DE2" w:rsidRDefault="00545C2B" w:rsidP="00545C2B">
      <w:pPr>
        <w:spacing w:after="0" w:line="276" w:lineRule="auto"/>
        <w:jc w:val="both"/>
        <w:rPr>
          <w:rFonts w:ascii="Verdana" w:eastAsia="Calibri" w:hAnsi="Verdana" w:cs="Arial"/>
          <w:color w:val="000000" w:themeColor="text1"/>
          <w:lang w:val="es-ES" w:eastAsia="es-ES"/>
        </w:rPr>
      </w:pPr>
    </w:p>
    <w:p w14:paraId="75E0B5CB"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r w:rsidRPr="00983DE2">
        <w:rPr>
          <w:rFonts w:ascii="Verdana" w:eastAsia="Century Gothic" w:hAnsi="Verdana" w:cs="Century Gothic"/>
          <w:color w:val="000000" w:themeColor="text1"/>
          <w:sz w:val="20"/>
          <w:szCs w:val="20"/>
          <w:lang w:val="es-ES"/>
        </w:rPr>
        <w:t xml:space="preserve">“me permito solicitar a la Agencia Nacional de Contratación Pública […] se sirva de emitir una </w:t>
      </w:r>
      <w:proofErr w:type="spellStart"/>
      <w:r w:rsidRPr="00983DE2">
        <w:rPr>
          <w:rFonts w:ascii="Verdana" w:eastAsia="Century Gothic" w:hAnsi="Verdana" w:cs="Century Gothic"/>
          <w:color w:val="000000" w:themeColor="text1"/>
          <w:sz w:val="20"/>
          <w:szCs w:val="20"/>
          <w:lang w:val="es-ES"/>
        </w:rPr>
        <w:t>interpretación</w:t>
      </w:r>
      <w:proofErr w:type="spellEnd"/>
      <w:r w:rsidRPr="00983DE2">
        <w:rPr>
          <w:rFonts w:ascii="Verdana" w:eastAsia="Century Gothic" w:hAnsi="Verdana" w:cs="Century Gothic"/>
          <w:color w:val="000000" w:themeColor="text1"/>
          <w:sz w:val="20"/>
          <w:szCs w:val="20"/>
          <w:lang w:val="es-ES"/>
        </w:rPr>
        <w:t xml:space="preserve"> orientadora respecto de la aplicación de las disposiciones contenidas en los </w:t>
      </w:r>
      <w:proofErr w:type="spellStart"/>
      <w:r w:rsidRPr="00983DE2">
        <w:rPr>
          <w:rFonts w:ascii="Verdana" w:eastAsia="Century Gothic" w:hAnsi="Verdana" w:cs="Century Gothic"/>
          <w:color w:val="000000" w:themeColor="text1"/>
          <w:sz w:val="20"/>
          <w:szCs w:val="20"/>
          <w:lang w:val="es-ES"/>
        </w:rPr>
        <w:t>artículos</w:t>
      </w:r>
      <w:proofErr w:type="spellEnd"/>
      <w:r w:rsidRPr="00983DE2">
        <w:rPr>
          <w:rFonts w:ascii="Verdana" w:eastAsia="Century Gothic" w:hAnsi="Verdana" w:cs="Century Gothic"/>
          <w:color w:val="000000" w:themeColor="text1"/>
          <w:sz w:val="20"/>
          <w:szCs w:val="20"/>
          <w:lang w:val="es-ES"/>
        </w:rPr>
        <w:t xml:space="preserve"> 2.2.1.2.3.1.5 y 2.2.1.2.3.2.9 del Decreto 1082 de 2015, en particular sobre la forma en que debe exigirse el amparo de responsabilidad civil extracontractual dentro de los procesos de contratación estatal. </w:t>
      </w:r>
    </w:p>
    <w:p w14:paraId="48AB2B60"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p>
    <w:p w14:paraId="69ABDAD0"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r w:rsidRPr="00983DE2">
        <w:rPr>
          <w:rFonts w:ascii="Verdana" w:eastAsia="Century Gothic" w:hAnsi="Verdana" w:cs="Century Gothic"/>
          <w:color w:val="000000" w:themeColor="text1"/>
          <w:sz w:val="20"/>
          <w:szCs w:val="20"/>
          <w:lang w:val="es-ES"/>
        </w:rPr>
        <w:t xml:space="preserve">En el desarrollo de un </w:t>
      </w:r>
      <w:proofErr w:type="spellStart"/>
      <w:r w:rsidRPr="00983DE2">
        <w:rPr>
          <w:rFonts w:ascii="Verdana" w:eastAsia="Century Gothic" w:hAnsi="Verdana" w:cs="Century Gothic"/>
          <w:color w:val="000000" w:themeColor="text1"/>
          <w:sz w:val="20"/>
          <w:szCs w:val="20"/>
          <w:lang w:val="es-ES"/>
        </w:rPr>
        <w:t>análisis</w:t>
      </w:r>
      <w:proofErr w:type="spellEnd"/>
      <w:r w:rsidRPr="00983DE2">
        <w:rPr>
          <w:rFonts w:ascii="Verdana" w:eastAsia="Century Gothic" w:hAnsi="Verdana" w:cs="Century Gothic"/>
          <w:color w:val="000000" w:themeColor="text1"/>
          <w:sz w:val="20"/>
          <w:szCs w:val="20"/>
          <w:lang w:val="es-ES"/>
        </w:rPr>
        <w:t xml:space="preserve"> </w:t>
      </w:r>
      <w:proofErr w:type="spellStart"/>
      <w:r w:rsidRPr="00983DE2">
        <w:rPr>
          <w:rFonts w:ascii="Verdana" w:eastAsia="Century Gothic" w:hAnsi="Verdana" w:cs="Century Gothic"/>
          <w:color w:val="000000" w:themeColor="text1"/>
          <w:sz w:val="20"/>
          <w:szCs w:val="20"/>
          <w:lang w:val="es-ES"/>
        </w:rPr>
        <w:t>jurídico</w:t>
      </w:r>
      <w:proofErr w:type="spellEnd"/>
      <w:r w:rsidRPr="00983DE2">
        <w:rPr>
          <w:rFonts w:ascii="Verdana" w:eastAsia="Century Gothic" w:hAnsi="Verdana" w:cs="Century Gothic"/>
          <w:color w:val="000000" w:themeColor="text1"/>
          <w:sz w:val="20"/>
          <w:szCs w:val="20"/>
          <w:lang w:val="es-ES"/>
        </w:rPr>
        <w:t xml:space="preserve"> sobre este tema, se ha identificado la existencia de dos posibles interpretaciones sobre la aplicación del citado marco normativo: </w:t>
      </w:r>
    </w:p>
    <w:p w14:paraId="00F64EB5"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p>
    <w:p w14:paraId="043633E0"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r w:rsidRPr="00983DE2">
        <w:rPr>
          <w:rFonts w:ascii="Verdana" w:eastAsia="Century Gothic" w:hAnsi="Verdana" w:cs="Century Gothic"/>
          <w:color w:val="000000" w:themeColor="text1"/>
          <w:sz w:val="20"/>
          <w:szCs w:val="20"/>
          <w:lang w:val="es-ES"/>
        </w:rPr>
        <w:lastRenderedPageBreak/>
        <w:t>(i)  </w:t>
      </w:r>
      <w:proofErr w:type="spellStart"/>
      <w:r w:rsidRPr="00983DE2">
        <w:rPr>
          <w:rFonts w:ascii="Verdana" w:eastAsia="Century Gothic" w:hAnsi="Verdana" w:cs="Century Gothic"/>
          <w:color w:val="000000" w:themeColor="text1"/>
          <w:sz w:val="20"/>
          <w:szCs w:val="20"/>
          <w:lang w:val="es-ES"/>
        </w:rPr>
        <w:t>Interpretación</w:t>
      </w:r>
      <w:proofErr w:type="spellEnd"/>
      <w:r w:rsidRPr="00983DE2">
        <w:rPr>
          <w:rFonts w:ascii="Verdana" w:eastAsia="Century Gothic" w:hAnsi="Verdana" w:cs="Century Gothic"/>
          <w:color w:val="000000" w:themeColor="text1"/>
          <w:sz w:val="20"/>
          <w:szCs w:val="20"/>
          <w:lang w:val="es-ES"/>
        </w:rPr>
        <w:t xml:space="preserve"> literal o flexible, </w:t>
      </w:r>
      <w:proofErr w:type="spellStart"/>
      <w:r w:rsidRPr="00983DE2">
        <w:rPr>
          <w:rFonts w:ascii="Verdana" w:eastAsia="Century Gothic" w:hAnsi="Verdana" w:cs="Century Gothic"/>
          <w:color w:val="000000" w:themeColor="text1"/>
          <w:sz w:val="20"/>
          <w:szCs w:val="20"/>
          <w:lang w:val="es-ES"/>
        </w:rPr>
        <w:t>según</w:t>
      </w:r>
      <w:proofErr w:type="spellEnd"/>
      <w:r w:rsidRPr="00983DE2">
        <w:rPr>
          <w:rFonts w:ascii="Verdana" w:eastAsia="Century Gothic" w:hAnsi="Verdana" w:cs="Century Gothic"/>
          <w:color w:val="000000" w:themeColor="text1"/>
          <w:sz w:val="20"/>
          <w:szCs w:val="20"/>
          <w:lang w:val="es-ES"/>
        </w:rPr>
        <w:t xml:space="preserve"> la cual la norma permite que el amparo de responsabilidad civil extracontractual pueda constituirse dentro de una </w:t>
      </w:r>
      <w:proofErr w:type="spellStart"/>
      <w:r w:rsidRPr="00983DE2">
        <w:rPr>
          <w:rFonts w:ascii="Verdana" w:eastAsia="Century Gothic" w:hAnsi="Verdana" w:cs="Century Gothic"/>
          <w:color w:val="000000" w:themeColor="text1"/>
          <w:sz w:val="20"/>
          <w:szCs w:val="20"/>
          <w:lang w:val="es-ES"/>
        </w:rPr>
        <w:t>póliza</w:t>
      </w:r>
      <w:proofErr w:type="spellEnd"/>
      <w:r w:rsidRPr="00983DE2">
        <w:rPr>
          <w:rFonts w:ascii="Verdana" w:eastAsia="Century Gothic" w:hAnsi="Verdana" w:cs="Century Gothic"/>
          <w:color w:val="000000" w:themeColor="text1"/>
          <w:sz w:val="20"/>
          <w:szCs w:val="20"/>
          <w:lang w:val="es-ES"/>
        </w:rPr>
        <w:t xml:space="preserve"> corporativa, siempre que se garantice el cumplimiento de los requisitos legales mínimos previstos en el Decreto 1082 de 2015, relativos a la modalidad de cobertura, </w:t>
      </w:r>
      <w:proofErr w:type="spellStart"/>
      <w:r w:rsidRPr="00983DE2">
        <w:rPr>
          <w:rFonts w:ascii="Verdana" w:eastAsia="Century Gothic" w:hAnsi="Verdana" w:cs="Century Gothic"/>
          <w:color w:val="000000" w:themeColor="text1"/>
          <w:sz w:val="20"/>
          <w:szCs w:val="20"/>
          <w:lang w:val="es-ES"/>
        </w:rPr>
        <w:t>identificación</w:t>
      </w:r>
      <w:proofErr w:type="spellEnd"/>
      <w:r w:rsidRPr="00983DE2">
        <w:rPr>
          <w:rFonts w:ascii="Verdana" w:eastAsia="Century Gothic" w:hAnsi="Verdana" w:cs="Century Gothic"/>
          <w:color w:val="000000" w:themeColor="text1"/>
          <w:sz w:val="20"/>
          <w:szCs w:val="20"/>
          <w:lang w:val="es-ES"/>
        </w:rPr>
        <w:t xml:space="preserve"> de los asegurados y beneficiarios, vigencia y amparos obligatorios. </w:t>
      </w:r>
    </w:p>
    <w:p w14:paraId="2E70BBBE"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p>
    <w:p w14:paraId="35DF432C"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r w:rsidRPr="00983DE2">
        <w:rPr>
          <w:rFonts w:ascii="Verdana" w:eastAsia="Century Gothic" w:hAnsi="Verdana" w:cs="Century Gothic"/>
          <w:color w:val="000000" w:themeColor="text1"/>
          <w:sz w:val="20"/>
          <w:szCs w:val="20"/>
          <w:lang w:val="es-ES"/>
        </w:rPr>
        <w:t>(</w:t>
      </w:r>
      <w:proofErr w:type="spellStart"/>
      <w:r w:rsidRPr="00983DE2">
        <w:rPr>
          <w:rFonts w:ascii="Verdana" w:eastAsia="Century Gothic" w:hAnsi="Verdana" w:cs="Century Gothic"/>
          <w:color w:val="000000" w:themeColor="text1"/>
          <w:sz w:val="20"/>
          <w:szCs w:val="20"/>
          <w:lang w:val="es-ES"/>
        </w:rPr>
        <w:t>ii</w:t>
      </w:r>
      <w:proofErr w:type="spellEnd"/>
      <w:r w:rsidRPr="00983DE2">
        <w:rPr>
          <w:rFonts w:ascii="Verdana" w:eastAsia="Century Gothic" w:hAnsi="Verdana" w:cs="Century Gothic"/>
          <w:color w:val="000000" w:themeColor="text1"/>
          <w:sz w:val="20"/>
          <w:szCs w:val="20"/>
          <w:lang w:val="es-ES"/>
        </w:rPr>
        <w:t>)  </w:t>
      </w:r>
      <w:proofErr w:type="spellStart"/>
      <w:r w:rsidRPr="00983DE2">
        <w:rPr>
          <w:rFonts w:ascii="Verdana" w:eastAsia="Century Gothic" w:hAnsi="Verdana" w:cs="Century Gothic"/>
          <w:color w:val="000000" w:themeColor="text1"/>
          <w:sz w:val="20"/>
          <w:szCs w:val="20"/>
          <w:lang w:val="es-ES"/>
        </w:rPr>
        <w:t>Interpretación</w:t>
      </w:r>
      <w:proofErr w:type="spellEnd"/>
      <w:r w:rsidRPr="00983DE2">
        <w:rPr>
          <w:rFonts w:ascii="Verdana" w:eastAsia="Century Gothic" w:hAnsi="Verdana" w:cs="Century Gothic"/>
          <w:color w:val="000000" w:themeColor="text1"/>
          <w:sz w:val="20"/>
          <w:szCs w:val="20"/>
          <w:lang w:val="es-ES"/>
        </w:rPr>
        <w:t xml:space="preserve"> restrictiva o individualizada, conforme a la cual la </w:t>
      </w:r>
      <w:proofErr w:type="spellStart"/>
      <w:r w:rsidRPr="00983DE2">
        <w:rPr>
          <w:rFonts w:ascii="Verdana" w:eastAsia="Century Gothic" w:hAnsi="Verdana" w:cs="Century Gothic"/>
          <w:color w:val="000000" w:themeColor="text1"/>
          <w:sz w:val="20"/>
          <w:szCs w:val="20"/>
          <w:lang w:val="es-ES"/>
        </w:rPr>
        <w:t>póliza</w:t>
      </w:r>
      <w:proofErr w:type="spellEnd"/>
      <w:r w:rsidRPr="00983DE2">
        <w:rPr>
          <w:rFonts w:ascii="Verdana" w:eastAsia="Century Gothic" w:hAnsi="Verdana" w:cs="Century Gothic"/>
          <w:color w:val="000000" w:themeColor="text1"/>
          <w:sz w:val="20"/>
          <w:szCs w:val="20"/>
          <w:lang w:val="es-ES"/>
        </w:rPr>
        <w:t xml:space="preserve"> de responsabilidad civil extracontractual debe expedirse de forma exclusiva para cada contrato. </w:t>
      </w:r>
    </w:p>
    <w:p w14:paraId="5120ACB0"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p>
    <w:p w14:paraId="6D8DB8D9" w14:textId="77777777" w:rsidR="00545C2B" w:rsidRPr="00983DE2" w:rsidRDefault="00545C2B" w:rsidP="00545C2B">
      <w:pPr>
        <w:spacing w:after="0"/>
        <w:ind w:left="720" w:right="709"/>
        <w:jc w:val="both"/>
        <w:rPr>
          <w:rFonts w:ascii="Verdana" w:eastAsia="Century Gothic" w:hAnsi="Verdana" w:cs="Century Gothic"/>
          <w:color w:val="000000" w:themeColor="text1"/>
          <w:sz w:val="20"/>
          <w:szCs w:val="20"/>
          <w:lang w:val="es-ES"/>
        </w:rPr>
      </w:pPr>
      <w:r w:rsidRPr="00983DE2">
        <w:rPr>
          <w:rFonts w:ascii="Verdana" w:eastAsia="Century Gothic" w:hAnsi="Verdana" w:cs="Century Gothic"/>
          <w:color w:val="000000" w:themeColor="text1"/>
          <w:sz w:val="20"/>
          <w:szCs w:val="20"/>
          <w:lang w:val="es-ES"/>
        </w:rPr>
        <w:t xml:space="preserve">Teniendo en cuenta que ambas interpretaciones difieren en el alcance del cumplimiento normativo y operativo, respetuosamente solicito a esa Agencia se sirva de aclarar </w:t>
      </w:r>
      <w:proofErr w:type="spellStart"/>
      <w:r w:rsidRPr="00983DE2">
        <w:rPr>
          <w:rFonts w:ascii="Verdana" w:eastAsia="Century Gothic" w:hAnsi="Verdana" w:cs="Century Gothic"/>
          <w:color w:val="000000" w:themeColor="text1"/>
          <w:sz w:val="20"/>
          <w:szCs w:val="20"/>
          <w:lang w:val="es-ES"/>
        </w:rPr>
        <w:t>cuál</w:t>
      </w:r>
      <w:proofErr w:type="spellEnd"/>
      <w:r w:rsidRPr="00983DE2">
        <w:rPr>
          <w:rFonts w:ascii="Verdana" w:eastAsia="Century Gothic" w:hAnsi="Verdana" w:cs="Century Gothic"/>
          <w:color w:val="000000" w:themeColor="text1"/>
          <w:sz w:val="20"/>
          <w:szCs w:val="20"/>
          <w:lang w:val="es-ES"/>
        </w:rPr>
        <w:t xml:space="preserve"> de las dos interpretaciones considera ajustada a la normativa vigente, o, en su defecto, precisar los criterios </w:t>
      </w:r>
      <w:proofErr w:type="spellStart"/>
      <w:r w:rsidRPr="00983DE2">
        <w:rPr>
          <w:rFonts w:ascii="Verdana" w:eastAsia="Century Gothic" w:hAnsi="Verdana" w:cs="Century Gothic"/>
          <w:color w:val="000000" w:themeColor="text1"/>
          <w:sz w:val="20"/>
          <w:szCs w:val="20"/>
          <w:lang w:val="es-ES"/>
        </w:rPr>
        <w:t>técnicos</w:t>
      </w:r>
      <w:proofErr w:type="spellEnd"/>
      <w:r w:rsidRPr="00983DE2">
        <w:rPr>
          <w:rFonts w:ascii="Verdana" w:eastAsia="Century Gothic" w:hAnsi="Verdana" w:cs="Century Gothic"/>
          <w:color w:val="000000" w:themeColor="text1"/>
          <w:sz w:val="20"/>
          <w:szCs w:val="20"/>
          <w:lang w:val="es-ES"/>
        </w:rPr>
        <w:t xml:space="preserve"> y </w:t>
      </w:r>
      <w:proofErr w:type="spellStart"/>
      <w:r w:rsidRPr="00983DE2">
        <w:rPr>
          <w:rFonts w:ascii="Verdana" w:eastAsia="Century Gothic" w:hAnsi="Verdana" w:cs="Century Gothic"/>
          <w:color w:val="000000" w:themeColor="text1"/>
          <w:sz w:val="20"/>
          <w:szCs w:val="20"/>
          <w:lang w:val="es-ES"/>
        </w:rPr>
        <w:t>jurídicos</w:t>
      </w:r>
      <w:proofErr w:type="spellEnd"/>
      <w:r w:rsidRPr="00983DE2">
        <w:rPr>
          <w:rFonts w:ascii="Verdana" w:eastAsia="Century Gothic" w:hAnsi="Verdana" w:cs="Century Gothic"/>
          <w:color w:val="000000" w:themeColor="text1"/>
          <w:sz w:val="20"/>
          <w:szCs w:val="20"/>
          <w:lang w:val="es-ES"/>
        </w:rPr>
        <w:t xml:space="preserve"> que deben observarse cuando una entidad estatal </w:t>
      </w:r>
      <w:proofErr w:type="spellStart"/>
      <w:r w:rsidRPr="00983DE2">
        <w:rPr>
          <w:rFonts w:ascii="Verdana" w:eastAsia="Century Gothic" w:hAnsi="Verdana" w:cs="Century Gothic"/>
          <w:color w:val="000000" w:themeColor="text1"/>
          <w:sz w:val="20"/>
          <w:szCs w:val="20"/>
          <w:lang w:val="es-ES"/>
        </w:rPr>
        <w:t>evalúe</w:t>
      </w:r>
      <w:proofErr w:type="spellEnd"/>
      <w:r w:rsidRPr="00983DE2">
        <w:rPr>
          <w:rFonts w:ascii="Verdana" w:eastAsia="Century Gothic" w:hAnsi="Verdana" w:cs="Century Gothic"/>
          <w:color w:val="000000" w:themeColor="text1"/>
          <w:sz w:val="20"/>
          <w:szCs w:val="20"/>
          <w:lang w:val="es-ES"/>
        </w:rPr>
        <w:t xml:space="preserve"> la procedencia de una </w:t>
      </w:r>
      <w:proofErr w:type="spellStart"/>
      <w:r w:rsidRPr="00983DE2">
        <w:rPr>
          <w:rFonts w:ascii="Verdana" w:eastAsia="Century Gothic" w:hAnsi="Verdana" w:cs="Century Gothic"/>
          <w:color w:val="000000" w:themeColor="text1"/>
          <w:sz w:val="20"/>
          <w:szCs w:val="20"/>
          <w:lang w:val="es-ES"/>
        </w:rPr>
        <w:t>póliza</w:t>
      </w:r>
      <w:proofErr w:type="spellEnd"/>
      <w:r w:rsidRPr="00983DE2">
        <w:rPr>
          <w:rFonts w:ascii="Verdana" w:eastAsia="Century Gothic" w:hAnsi="Verdana" w:cs="Century Gothic"/>
          <w:color w:val="000000" w:themeColor="text1"/>
          <w:sz w:val="20"/>
          <w:szCs w:val="20"/>
          <w:lang w:val="es-ES"/>
        </w:rPr>
        <w:t xml:space="preserve"> corporativa para amparar el riesgo de responsabilidad civil extracontractual, siempre que esta cumpla con los requisitos establecidos en los </w:t>
      </w:r>
      <w:proofErr w:type="spellStart"/>
      <w:r w:rsidRPr="00983DE2">
        <w:rPr>
          <w:rFonts w:ascii="Verdana" w:eastAsia="Century Gothic" w:hAnsi="Verdana" w:cs="Century Gothic"/>
          <w:color w:val="000000" w:themeColor="text1"/>
          <w:sz w:val="20"/>
          <w:szCs w:val="20"/>
          <w:lang w:val="es-ES"/>
        </w:rPr>
        <w:t>artículos</w:t>
      </w:r>
      <w:proofErr w:type="spellEnd"/>
      <w:r w:rsidRPr="00983DE2">
        <w:rPr>
          <w:rFonts w:ascii="Verdana" w:eastAsia="Century Gothic" w:hAnsi="Verdana" w:cs="Century Gothic"/>
          <w:color w:val="000000" w:themeColor="text1"/>
          <w:sz w:val="20"/>
          <w:szCs w:val="20"/>
          <w:lang w:val="es-ES"/>
        </w:rPr>
        <w:t xml:space="preserve"> previamente referenciados”.</w:t>
      </w:r>
    </w:p>
    <w:p w14:paraId="70F93FA9" w14:textId="77777777" w:rsidR="00545C2B" w:rsidRPr="00983DE2" w:rsidRDefault="00545C2B" w:rsidP="00545C2B">
      <w:pPr>
        <w:spacing w:after="0"/>
        <w:ind w:left="709" w:right="709"/>
        <w:jc w:val="both"/>
        <w:rPr>
          <w:rFonts w:ascii="Verdana" w:eastAsia="Century Gothic" w:hAnsi="Verdana" w:cs="Century Gothic"/>
          <w:i/>
          <w:iCs/>
          <w:color w:val="000000" w:themeColor="text1"/>
          <w:sz w:val="20"/>
          <w:szCs w:val="20"/>
          <w:lang w:val="es-ES"/>
        </w:rPr>
      </w:pPr>
    </w:p>
    <w:p w14:paraId="250C26B7" w14:textId="77777777" w:rsidR="00545C2B" w:rsidRPr="00983DE2" w:rsidRDefault="00545C2B" w:rsidP="00545C2B">
      <w:pPr>
        <w:spacing w:after="0" w:line="276" w:lineRule="auto"/>
        <w:ind w:firstLine="708"/>
        <w:contextualSpacing/>
        <w:jc w:val="both"/>
        <w:rPr>
          <w:rFonts w:ascii="Verdana" w:eastAsia="Calibri" w:hAnsi="Verdana" w:cs="Arial"/>
          <w:color w:val="000000" w:themeColor="text1"/>
          <w:szCs w:val="24"/>
          <w:lang w:val="es-ES" w:eastAsia="es-ES_tradnl"/>
        </w:rPr>
      </w:pPr>
      <w:bookmarkStart w:id="1" w:name="_Hlk135067441"/>
      <w:r w:rsidRPr="00983DE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83DE2">
        <w:rPr>
          <w:rFonts w:ascii="Verdana" w:eastAsia="Calibri" w:hAnsi="Verdana" w:cs="Arial"/>
          <w:color w:val="000000" w:themeColor="text1"/>
          <w:szCs w:val="24"/>
          <w:lang w:val="es-ES" w:eastAsia="es-ES_tradnl"/>
        </w:rPr>
        <w:tab/>
      </w:r>
    </w:p>
    <w:p w14:paraId="5E35F8BF" w14:textId="77777777" w:rsidR="00545C2B" w:rsidRPr="00983DE2" w:rsidRDefault="00545C2B" w:rsidP="00545C2B">
      <w:pPr>
        <w:spacing w:before="120" w:after="120" w:line="276" w:lineRule="auto"/>
        <w:ind w:firstLine="709"/>
        <w:jc w:val="both"/>
        <w:rPr>
          <w:rFonts w:ascii="Verdana" w:eastAsia="Calibri" w:hAnsi="Verdana" w:cs="Arial"/>
          <w:color w:val="000000" w:themeColor="text1"/>
          <w:lang w:val="es-ES" w:eastAsia="es-ES"/>
        </w:rPr>
      </w:pPr>
      <w:r w:rsidRPr="00983DE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bookmarkEnd w:id="1"/>
    <w:p w14:paraId="57948F0D" w14:textId="77777777" w:rsidR="00545C2B" w:rsidRPr="00983DE2" w:rsidRDefault="00545C2B" w:rsidP="00545C2B">
      <w:pPr>
        <w:spacing w:after="0" w:line="276" w:lineRule="auto"/>
        <w:jc w:val="both"/>
        <w:rPr>
          <w:rFonts w:ascii="Verdana" w:eastAsia="Calibri" w:hAnsi="Verdana" w:cs="Arial"/>
          <w:color w:val="000000" w:themeColor="text1"/>
          <w:lang w:val="es-ES" w:eastAsia="es-ES"/>
        </w:rPr>
      </w:pPr>
    </w:p>
    <w:p w14:paraId="7940D37D" w14:textId="77777777" w:rsidR="00545C2B" w:rsidRPr="00983DE2" w:rsidRDefault="00545C2B" w:rsidP="00545C2B">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lastRenderedPageBreak/>
        <w:t>Problema planteado:</w:t>
      </w:r>
    </w:p>
    <w:p w14:paraId="46FE6695" w14:textId="77777777" w:rsidR="00545C2B" w:rsidRPr="00983DE2" w:rsidRDefault="00545C2B" w:rsidP="00545C2B">
      <w:pPr>
        <w:tabs>
          <w:tab w:val="left" w:pos="426"/>
        </w:tabs>
        <w:spacing w:after="0" w:line="276" w:lineRule="auto"/>
        <w:jc w:val="both"/>
        <w:rPr>
          <w:rFonts w:ascii="Verdana" w:eastAsia="Century Gothic" w:hAnsi="Verdana" w:cs="Century Gothic"/>
          <w:color w:val="000000" w:themeColor="text1"/>
          <w:lang w:val="es-ES"/>
        </w:rPr>
      </w:pPr>
    </w:p>
    <w:p w14:paraId="28B24BDB" w14:textId="18CADB4D" w:rsidR="00545C2B" w:rsidRPr="00983DE2" w:rsidRDefault="00545C2B" w:rsidP="00545C2B">
      <w:pPr>
        <w:spacing w:after="0" w:line="276" w:lineRule="auto"/>
        <w:jc w:val="both"/>
        <w:rPr>
          <w:rFonts w:ascii="Verdana" w:eastAsia="Century Gothic" w:hAnsi="Verdana" w:cs="Century Gothic"/>
          <w:color w:val="000000" w:themeColor="text1"/>
          <w:lang w:val="es-ES"/>
        </w:rPr>
      </w:pPr>
      <w:r w:rsidRPr="00983DE2">
        <w:rPr>
          <w:rFonts w:ascii="Verdana" w:eastAsia="Century Gothic" w:hAnsi="Verdana" w:cs="Century Gothic"/>
          <w:color w:val="000000" w:themeColor="text1"/>
          <w:lang w:val="es-ES"/>
        </w:rPr>
        <w:t>De acuerdo con el contenido de su solicitud, esta Agencia resolverá el siguiente problema jurídico:</w:t>
      </w:r>
      <w:r w:rsidRPr="00983DE2">
        <w:rPr>
          <w:rFonts w:ascii="Verdana" w:eastAsia="Century Gothic" w:hAnsi="Verdana" w:cs="Century Gothic"/>
          <w:lang w:val="es-ES"/>
        </w:rPr>
        <w:t xml:space="preserve"> ¿cuáles son </w:t>
      </w:r>
      <w:r w:rsidR="00F252DE" w:rsidRPr="00983DE2">
        <w:rPr>
          <w:rFonts w:ascii="Verdana" w:eastAsia="Century Gothic" w:hAnsi="Verdana" w:cs="Century Gothic"/>
          <w:lang w:val="es-ES"/>
        </w:rPr>
        <w:t xml:space="preserve">los requisitos para la aprobación del contrato de seguro </w:t>
      </w:r>
      <w:r w:rsidRPr="00983DE2">
        <w:rPr>
          <w:rFonts w:ascii="Verdana" w:eastAsia="Century Gothic" w:hAnsi="Verdana" w:cs="Century Gothic"/>
          <w:lang w:val="es-ES"/>
        </w:rPr>
        <w:t xml:space="preserve">de responsabilidad civil extracontractual? </w:t>
      </w:r>
    </w:p>
    <w:p w14:paraId="5B14CF59" w14:textId="77777777" w:rsidR="00545C2B" w:rsidRPr="00983DE2" w:rsidRDefault="00545C2B" w:rsidP="00545C2B">
      <w:pPr>
        <w:spacing w:after="0" w:line="276" w:lineRule="auto"/>
        <w:jc w:val="both"/>
        <w:rPr>
          <w:rFonts w:ascii="Verdana" w:eastAsia="Calibri" w:hAnsi="Verdana" w:cs="Arial"/>
          <w:color w:val="000000" w:themeColor="text1"/>
          <w:lang w:val="es-ES"/>
        </w:rPr>
      </w:pPr>
    </w:p>
    <w:p w14:paraId="48636B6A" w14:textId="77777777" w:rsidR="00545C2B" w:rsidRPr="00983DE2" w:rsidRDefault="00545C2B" w:rsidP="00545C2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Respuesta:</w:t>
      </w:r>
    </w:p>
    <w:p w14:paraId="291C926F" w14:textId="77777777" w:rsidR="00545C2B" w:rsidRPr="00983DE2" w:rsidRDefault="00545C2B" w:rsidP="00545C2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45C2B" w:rsidRPr="00983DE2" w14:paraId="586E318E" w14:textId="77777777" w:rsidTr="005D23AD">
        <w:tc>
          <w:tcPr>
            <w:tcW w:w="8828" w:type="dxa"/>
          </w:tcPr>
          <w:p w14:paraId="482A6665" w14:textId="77777777" w:rsidR="00545C2B" w:rsidRPr="00983DE2" w:rsidRDefault="00545C2B" w:rsidP="005D23AD">
            <w:pPr>
              <w:spacing w:before="120" w:after="120" w:line="276" w:lineRule="auto"/>
              <w:jc w:val="both"/>
              <w:rPr>
                <w:rFonts w:ascii="Verdana" w:eastAsia="Times New Roman" w:hAnsi="Verdana" w:cs="Arial"/>
                <w:color w:val="000000" w:themeColor="text1"/>
                <w:lang w:val="es-ES" w:eastAsia="es-CO"/>
              </w:rPr>
            </w:pPr>
            <w:r w:rsidRPr="00983DE2">
              <w:rPr>
                <w:rFonts w:ascii="Verdana" w:eastAsia="Calibri" w:hAnsi="Verdana" w:cs="Arial"/>
                <w:lang w:val="es-ES"/>
              </w:rPr>
              <w:t xml:space="preserve"> </w:t>
            </w:r>
            <w:r w:rsidRPr="00983DE2">
              <w:rPr>
                <w:rFonts w:ascii="Verdana" w:eastAsia="Times New Roman" w:hAnsi="Verdana" w:cs="Arial"/>
                <w:color w:val="000000" w:themeColor="text1"/>
                <w:lang w:val="es-ES" w:eastAsia="es-CO"/>
              </w:rPr>
              <w:t xml:space="preserve">El amparo de responsabilidad civil extracontractual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w:t>
            </w:r>
            <w:r w:rsidRPr="00983DE2">
              <w:rPr>
                <w:rFonts w:ascii="Verdana" w:eastAsia="Times New Roman" w:hAnsi="Verdana" w:cs="Arial"/>
                <w:i/>
                <w:iCs/>
                <w:color w:val="000000" w:themeColor="text1"/>
                <w:lang w:val="es-ES" w:eastAsia="es-CO"/>
              </w:rPr>
              <w:t>ibidem</w:t>
            </w:r>
            <w:r w:rsidRPr="00983DE2">
              <w:rPr>
                <w:rFonts w:ascii="Verdana" w:eastAsia="Times New Roman" w:hAnsi="Verdana" w:cs="Arial"/>
                <w:color w:val="000000" w:themeColor="text1"/>
                <w:lang w:val="es-ES" w:eastAsia="es-CO"/>
              </w:rPr>
              <w:t>,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1DA701C4" w14:textId="77777777" w:rsidR="00545C2B" w:rsidRPr="00983DE2" w:rsidRDefault="00545C2B" w:rsidP="005D23AD">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El inciso tercero del artículo 7 de la Ley 1150 de 2007 dispone que “El Gobierno Nacional señalará los criterios que seguirán las entidades para la exigencia de garantías, las clases y niveles de amparo de los riesgos de los contratos […]”, de manera que los contratos de seguro que sean presentados en el marco de los procesos de contratación estatal deben cumplir de manera estricta con lo establecido en el Decreto 1082 de 2015, el cual señala los requisitos aplicables para quienes participen y suscriban este tipo de contratos. </w:t>
            </w:r>
          </w:p>
          <w:p w14:paraId="2AFB8436" w14:textId="7691E3C4" w:rsidR="00545C2B" w:rsidRPr="00983DE2" w:rsidRDefault="00545C2B" w:rsidP="005D23AD">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primer lugar, la entidad debe verificar que la garantía cumpla con el requisito de indivisibilidad establecido en el artículo 2.2.1.2.3.1.3. del Decreto 1082 de 2015. </w:t>
            </w: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eastAsia="Times New Roman" w:hAnsi="Verdana" w:cs="Arial"/>
                <w:color w:val="000000" w:themeColor="text1"/>
                <w:lang w:val="es-ES" w:eastAsia="es-CO"/>
              </w:rPr>
              <w:t xml:space="preserve">en el artículo 2.2.1.2.3.2.9 con respecto a la modalidad de ocurrencia, así como las calidades que deben tener los intervinientes y los amparos. Tercero, la entidad debe verificar que el contrato de seguro cumpla con la suficiencia en términos </w:t>
            </w:r>
            <w:r w:rsidRPr="00983DE2">
              <w:rPr>
                <w:rFonts w:ascii="Verdana" w:eastAsia="Times New Roman" w:hAnsi="Verdana" w:cs="Arial"/>
                <w:color w:val="000000" w:themeColor="text1"/>
                <w:lang w:val="es-ES" w:eastAsia="es-CO"/>
              </w:rPr>
              <w:lastRenderedPageBreak/>
              <w:t>de valor y tiempo de acuerdo con el artículo 2.2.1.2.3.1.17</w:t>
            </w:r>
            <w:r w:rsidRPr="00983DE2">
              <w:rPr>
                <w:rStyle w:val="FootnoteReference"/>
                <w:rFonts w:ascii="Verdana" w:eastAsia="Times New Roman" w:hAnsi="Verdana" w:cs="Arial"/>
                <w:color w:val="000000" w:themeColor="text1"/>
                <w:lang w:val="es-ES" w:eastAsia="es-CO"/>
              </w:rPr>
              <w:footnoteReference w:id="2"/>
            </w:r>
            <w:r w:rsidRPr="00983DE2">
              <w:rPr>
                <w:rFonts w:ascii="Verdana" w:eastAsia="Times New Roman" w:hAnsi="Verdana" w:cs="Arial"/>
                <w:color w:val="000000" w:themeColor="text1"/>
                <w:lang w:val="es-ES" w:eastAsia="es-CO"/>
              </w:rPr>
              <w:t>. Adicional a lo anterior, la norma estab</w:t>
            </w:r>
            <w:r w:rsidR="00CC40BD" w:rsidRPr="00983DE2">
              <w:rPr>
                <w:rFonts w:ascii="Verdana" w:eastAsia="Times New Roman" w:hAnsi="Verdana" w:cs="Arial"/>
                <w:color w:val="000000" w:themeColor="text1"/>
                <w:lang w:val="es-ES" w:eastAsia="es-CO"/>
              </w:rPr>
              <w:t>l</w:t>
            </w:r>
            <w:r w:rsidRPr="00983DE2">
              <w:rPr>
                <w:rFonts w:ascii="Verdana" w:eastAsia="Times New Roman" w:hAnsi="Verdana" w:cs="Arial"/>
                <w:color w:val="000000" w:themeColor="text1"/>
                <w:lang w:val="es-ES" w:eastAsia="es-CO"/>
              </w:rPr>
              <w:t xml:space="preserve">ece de manera expresa que la vigencia de esta garantía deberá ser igual al </w:t>
            </w:r>
            <w:r w:rsidRPr="00983DE2">
              <w:rPr>
                <w:rFonts w:ascii="Verdana" w:eastAsia="Times New Roman" w:hAnsi="Verdana" w:cs="Arial"/>
                <w:i/>
                <w:color w:val="000000" w:themeColor="text1"/>
                <w:lang w:val="es-ES" w:eastAsia="es-CO"/>
              </w:rPr>
              <w:t>período de ejecución del contrato</w:t>
            </w:r>
            <w:r w:rsidRPr="00983DE2">
              <w:rPr>
                <w:rFonts w:ascii="Verdana" w:eastAsia="Times New Roman" w:hAnsi="Verdana" w:cs="Arial"/>
                <w:color w:val="000000" w:themeColor="text1"/>
                <w:lang w:val="es-ES" w:eastAsia="es-CO"/>
              </w:rPr>
              <w:t xml:space="preserve"> estatal que está respaldando.</w:t>
            </w:r>
          </w:p>
          <w:p w14:paraId="0E0BD473" w14:textId="77777777" w:rsidR="00545C2B" w:rsidRPr="00983DE2" w:rsidRDefault="00545C2B" w:rsidP="005D23AD">
            <w:pPr>
              <w:spacing w:before="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smmlv. No serán admisibles las franquicias, coaseguros obligatorios y demás formas de estipulación que impliquen la asunción de parte de la pérdida por la entidad asegurada”. </w:t>
            </w:r>
          </w:p>
          <w:p w14:paraId="76E20888" w14:textId="77777777" w:rsidR="00545C2B" w:rsidRPr="00983DE2" w:rsidRDefault="00545C2B" w:rsidP="005D23AD">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Así, el cumplimiento de las exigencias previstas en el Decreto Único Reglamentario del Sector Planeación condiciona la aprobación de la garantía como requisito de ejecución contractual conforme al inciso segundo de artículo 41 de la Ley 80 de 1993. De esta manera, independientemente de la naturaleza “corporativa” o “individual” de la garantía, la Entidad Estatal tiene la obligación de verificar en cada caso que el contrato de seguro de responsabilidad civil extracontractual satisfaga </w:t>
            </w:r>
            <w:r w:rsidRPr="00983DE2">
              <w:rPr>
                <w:rFonts w:ascii="Verdana" w:eastAsia="Times New Roman" w:hAnsi="Verdana" w:cs="Arial"/>
                <w:i/>
                <w:iCs/>
                <w:color w:val="000000" w:themeColor="text1"/>
                <w:lang w:val="es-ES" w:eastAsia="es-CO"/>
              </w:rPr>
              <w:t>todos</w:t>
            </w:r>
            <w:r w:rsidRPr="00983DE2">
              <w:rPr>
                <w:rFonts w:ascii="Verdana" w:eastAsia="Times New Roman" w:hAnsi="Verdana" w:cs="Arial"/>
                <w:color w:val="000000" w:themeColor="text1"/>
                <w:lang w:val="es-ES" w:eastAsia="es-CO"/>
              </w:rPr>
              <w:t xml:space="preserve"> los requisitos previamente expuestos, en los términos establecidos en la normativa.</w:t>
            </w:r>
          </w:p>
        </w:tc>
      </w:tr>
    </w:tbl>
    <w:p w14:paraId="16700103" w14:textId="77777777" w:rsidR="00545C2B" w:rsidRPr="00983DE2" w:rsidRDefault="00545C2B" w:rsidP="00545C2B">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1E37D32" w14:textId="77777777" w:rsidR="00545C2B" w:rsidRPr="00983DE2" w:rsidRDefault="00545C2B" w:rsidP="00545C2B">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Razones de la respuesta:</w:t>
      </w:r>
    </w:p>
    <w:p w14:paraId="6F46CE56" w14:textId="77777777" w:rsidR="00545C2B" w:rsidRPr="00983DE2" w:rsidRDefault="00545C2B" w:rsidP="00545C2B">
      <w:pPr>
        <w:spacing w:after="0" w:line="276" w:lineRule="auto"/>
        <w:jc w:val="both"/>
        <w:rPr>
          <w:rFonts w:ascii="Verdana" w:eastAsia="Calibri" w:hAnsi="Verdana" w:cs="Arial"/>
          <w:color w:val="000000" w:themeColor="text1"/>
          <w:lang w:val="es-ES"/>
        </w:rPr>
      </w:pPr>
    </w:p>
    <w:p w14:paraId="0A66BE05" w14:textId="77777777" w:rsidR="00545C2B" w:rsidRPr="00983DE2" w:rsidRDefault="00545C2B" w:rsidP="00545C2B">
      <w:pPr>
        <w:spacing w:after="0" w:line="276" w:lineRule="auto"/>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Lo anterior se sustenta en las siguientes consideraciones: </w:t>
      </w:r>
    </w:p>
    <w:p w14:paraId="22947433" w14:textId="77777777" w:rsidR="00545C2B" w:rsidRPr="00983DE2" w:rsidRDefault="00545C2B" w:rsidP="00545C2B">
      <w:pPr>
        <w:spacing w:after="0" w:line="276" w:lineRule="auto"/>
        <w:jc w:val="both"/>
        <w:rPr>
          <w:rFonts w:ascii="Verdana" w:eastAsia="Calibri" w:hAnsi="Verdana" w:cs="Arial"/>
          <w:color w:val="000000" w:themeColor="text1"/>
          <w:lang w:val="es-ES"/>
        </w:rPr>
      </w:pPr>
    </w:p>
    <w:p w14:paraId="343A8CB7" w14:textId="77777777" w:rsidR="00545C2B" w:rsidRPr="00983DE2" w:rsidRDefault="00545C2B" w:rsidP="00545C2B">
      <w:pPr>
        <w:spacing w:after="0" w:line="276" w:lineRule="auto"/>
        <w:jc w:val="both"/>
        <w:rPr>
          <w:rFonts w:ascii="Verdana" w:eastAsia="Calibri" w:hAnsi="Verdana" w:cs="Arial"/>
          <w:color w:val="000000" w:themeColor="text1"/>
          <w:lang w:val="es-ES"/>
        </w:rPr>
      </w:pPr>
      <w:r w:rsidRPr="00983DE2">
        <w:rPr>
          <w:rFonts w:ascii="Verdana" w:hAnsi="Verdana" w:cs="Arial"/>
          <w:color w:val="000000"/>
          <w:shd w:val="clear" w:color="auto" w:fill="FFFFFF"/>
          <w:lang w:val="es-ES"/>
        </w:rPr>
        <w:t xml:space="preserve">Por regla general, para seleccionar contratistas y para ejecutar contratos se requiere la constitución de garantías. </w:t>
      </w:r>
      <w:bookmarkStart w:id="2" w:name="_Hlk47893233"/>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w:t>
      </w:r>
      <w:r w:rsidRPr="00983DE2">
        <w:rPr>
          <w:rFonts w:ascii="Verdana" w:eastAsia="Calibri" w:hAnsi="Verdana" w:cs="Arial"/>
          <w:color w:val="000000" w:themeColor="text1"/>
          <w:lang w:val="es-ES"/>
        </w:rPr>
        <w:lastRenderedPageBreak/>
        <w:t>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2"/>
      <w:r w:rsidRPr="00983DE2">
        <w:rPr>
          <w:rStyle w:val="FootnoteReference"/>
          <w:rFonts w:ascii="Verdana" w:eastAsia="Calibri" w:hAnsi="Verdana" w:cs="Arial"/>
          <w:color w:val="000000" w:themeColor="text1"/>
          <w:lang w:val="es-ES"/>
        </w:rPr>
        <w:footnoteReference w:id="3"/>
      </w:r>
      <w:r w:rsidRPr="00983DE2">
        <w:rPr>
          <w:rFonts w:ascii="Verdana" w:eastAsia="Calibri" w:hAnsi="Verdana" w:cs="Arial"/>
          <w:color w:val="000000" w:themeColor="text1"/>
          <w:lang w:val="es-ES"/>
        </w:rPr>
        <w:t>. Sobre este aspecto, la doctrina explica que:</w:t>
      </w:r>
    </w:p>
    <w:p w14:paraId="45350732" w14:textId="77777777" w:rsidR="00545C2B" w:rsidRPr="00983DE2" w:rsidRDefault="00545C2B" w:rsidP="00545C2B">
      <w:pPr>
        <w:spacing w:after="0" w:line="276" w:lineRule="auto"/>
        <w:jc w:val="both"/>
        <w:rPr>
          <w:rFonts w:ascii="Verdana" w:eastAsia="Calibri" w:hAnsi="Verdana" w:cs="Arial"/>
          <w:color w:val="000000" w:themeColor="text1"/>
          <w:lang w:val="es-ES"/>
        </w:rPr>
      </w:pPr>
    </w:p>
    <w:p w14:paraId="1E61E447" w14:textId="77777777" w:rsidR="00545C2B" w:rsidRPr="00983DE2" w:rsidRDefault="00545C2B" w:rsidP="00545C2B">
      <w:pPr>
        <w:spacing w:after="0" w:line="240" w:lineRule="auto"/>
        <w:ind w:left="709" w:right="709"/>
        <w:jc w:val="both"/>
        <w:rPr>
          <w:rFonts w:ascii="Verdana" w:eastAsia="Calibri" w:hAnsi="Verdana" w:cs="Arial"/>
          <w:color w:val="000000" w:themeColor="text1"/>
          <w:sz w:val="21"/>
          <w:szCs w:val="21"/>
          <w:lang w:val="es-ES"/>
        </w:rPr>
      </w:pPr>
      <w:r w:rsidRPr="00983DE2">
        <w:rPr>
          <w:rFonts w:ascii="Verdana" w:eastAsia="Calibri" w:hAnsi="Verdana" w:cs="Arial"/>
          <w:color w:val="000000" w:themeColor="text1"/>
          <w:sz w:val="21"/>
          <w:szCs w:val="21"/>
          <w:lang w:val="es-ES"/>
        </w:rPr>
        <w:t xml:space="preserve">“Las </w:t>
      </w:r>
      <w:r w:rsidRPr="00983DE2">
        <w:rPr>
          <w:rFonts w:ascii="Verdana" w:eastAsia="Calibri" w:hAnsi="Verdana" w:cs="Arial"/>
          <w:i/>
          <w:iCs/>
          <w:color w:val="000000" w:themeColor="text1"/>
          <w:sz w:val="21"/>
          <w:szCs w:val="21"/>
          <w:lang w:val="es-ES"/>
        </w:rPr>
        <w:t>garantías provisionales</w:t>
      </w:r>
      <w:r w:rsidRPr="00983DE2">
        <w:rPr>
          <w:rFonts w:ascii="Verdana" w:eastAsia="Calibri" w:hAnsi="Verdana" w:cs="Arial"/>
          <w:color w:val="000000" w:themeColor="text1"/>
          <w:sz w:val="21"/>
          <w:szCs w:val="21"/>
          <w:lang w:val="es-ES"/>
        </w:rPr>
        <w:t xml:space="preserve"> “avalan la solemnidad de la oferta por parte del contratista”; constituyen una seña pre-contractual destinada a </w:t>
      </w:r>
      <w:r w:rsidRPr="00983DE2">
        <w:rPr>
          <w:rFonts w:ascii="Verdana" w:eastAsia="Calibri" w:hAnsi="Verdana" w:cs="Arial"/>
          <w:i/>
          <w:iCs/>
          <w:color w:val="000000" w:themeColor="text1"/>
          <w:sz w:val="21"/>
          <w:szCs w:val="21"/>
          <w:lang w:val="es-ES"/>
        </w:rPr>
        <w:t>asegurar la celebración del contrato</w:t>
      </w:r>
      <w:r w:rsidRPr="00983DE2">
        <w:rPr>
          <w:rFonts w:ascii="Verdana" w:eastAsia="Calibri" w:hAnsi="Verdana" w:cs="Arial"/>
          <w:color w:val="000000" w:themeColor="text1"/>
          <w:sz w:val="21"/>
          <w:szCs w:val="21"/>
          <w:lang w:val="es-ES"/>
        </w:rPr>
        <w:t xml:space="preserve">, no su cumplimiento. La administración procede a devolver a los oferentes no adjudicatarios, y a transformar en definitiva respecto al adjudicatario, las garantías provisionales, deduciéndose entonces que las </w:t>
      </w:r>
      <w:r w:rsidRPr="00983DE2">
        <w:rPr>
          <w:rFonts w:ascii="Verdana" w:eastAsia="Calibri" w:hAnsi="Verdana" w:cs="Arial"/>
          <w:i/>
          <w:iCs/>
          <w:color w:val="000000" w:themeColor="text1"/>
          <w:sz w:val="21"/>
          <w:szCs w:val="21"/>
          <w:lang w:val="es-ES"/>
        </w:rPr>
        <w:t>arras</w:t>
      </w:r>
      <w:r w:rsidRPr="00983DE2">
        <w:rPr>
          <w:rFonts w:ascii="Verdana" w:eastAsia="Calibri" w:hAnsi="Verdana" w:cs="Arial"/>
          <w:color w:val="000000" w:themeColor="text1"/>
          <w:sz w:val="21"/>
          <w:szCs w:val="21"/>
          <w:lang w:val="es-ES"/>
        </w:rPr>
        <w:t xml:space="preserve"> no forman parte del precio, ni son por tanto arras confirmatorias […], sino puramente penitenciales […] como garantías y compensación del </w:t>
      </w:r>
      <w:r w:rsidRPr="00983DE2">
        <w:rPr>
          <w:rFonts w:ascii="Verdana" w:eastAsia="Calibri" w:hAnsi="Verdana" w:cs="Arial"/>
          <w:i/>
          <w:iCs/>
          <w:color w:val="000000" w:themeColor="text1"/>
          <w:sz w:val="21"/>
          <w:szCs w:val="21"/>
          <w:lang w:val="es-ES"/>
        </w:rPr>
        <w:t xml:space="preserve">ius </w:t>
      </w:r>
      <w:proofErr w:type="spellStart"/>
      <w:r w:rsidRPr="00983DE2">
        <w:rPr>
          <w:rFonts w:ascii="Verdana" w:eastAsia="Calibri" w:hAnsi="Verdana" w:cs="Arial"/>
          <w:i/>
          <w:iCs/>
          <w:color w:val="000000" w:themeColor="text1"/>
          <w:sz w:val="21"/>
          <w:szCs w:val="21"/>
          <w:lang w:val="es-ES"/>
        </w:rPr>
        <w:t>poenitendi</w:t>
      </w:r>
      <w:proofErr w:type="spellEnd"/>
      <w:r w:rsidRPr="00983DE2">
        <w:rPr>
          <w:rFonts w:ascii="Verdana" w:eastAsia="Calibri" w:hAnsi="Verdana" w:cs="Arial"/>
          <w:color w:val="000000" w:themeColor="text1"/>
          <w:sz w:val="21"/>
          <w:szCs w:val="21"/>
          <w:lang w:val="es-ES"/>
        </w:rPr>
        <w:t xml:space="preserve"> del licitante. Son, en consecuencia, “la medida de la responsabilidad pre-contractual del oferente”; o, más bien, la garantía de oferta representa en definitiva la medida de la responsabilidad”</w:t>
      </w:r>
      <w:r w:rsidRPr="00983DE2">
        <w:rPr>
          <w:rStyle w:val="FootnoteReference"/>
          <w:rFonts w:ascii="Verdana" w:eastAsia="Calibri" w:hAnsi="Verdana" w:cs="Arial"/>
          <w:color w:val="000000" w:themeColor="text1"/>
          <w:sz w:val="21"/>
          <w:szCs w:val="21"/>
          <w:lang w:val="es-ES"/>
        </w:rPr>
        <w:footnoteReference w:id="4"/>
      </w:r>
      <w:r w:rsidRPr="00983DE2">
        <w:rPr>
          <w:rFonts w:ascii="Verdana" w:eastAsia="Calibri" w:hAnsi="Verdana" w:cs="Arial"/>
          <w:color w:val="000000" w:themeColor="text1"/>
          <w:sz w:val="21"/>
          <w:szCs w:val="21"/>
          <w:lang w:val="es-ES"/>
        </w:rPr>
        <w:t xml:space="preserve">. (Cursivas dentro del texto)   </w:t>
      </w:r>
    </w:p>
    <w:p w14:paraId="2C7F4CD7" w14:textId="77777777" w:rsidR="00545C2B" w:rsidRPr="00983DE2" w:rsidRDefault="00545C2B" w:rsidP="00545C2B">
      <w:pPr>
        <w:spacing w:after="0" w:line="276" w:lineRule="auto"/>
        <w:jc w:val="both"/>
        <w:rPr>
          <w:rFonts w:ascii="Verdana" w:eastAsia="Calibri" w:hAnsi="Verdana" w:cs="Arial"/>
          <w:color w:val="000000" w:themeColor="text1"/>
          <w:lang w:val="es-ES"/>
        </w:rPr>
      </w:pPr>
    </w:p>
    <w:p w14:paraId="2AB38DCD" w14:textId="77777777" w:rsidR="00545C2B" w:rsidRPr="00983DE2" w:rsidRDefault="00545C2B" w:rsidP="00545C2B">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el contratista ampara los perjuicios que le pueda generar a la entidad el incumplimiento de las obligaciones derivadas del contrato</w:t>
      </w:r>
      <w:r w:rsidRPr="00983DE2">
        <w:rPr>
          <w:rStyle w:val="FootnoteReference"/>
          <w:rFonts w:ascii="Verdana" w:eastAsia="Calibri" w:hAnsi="Verdana" w:cs="Arial"/>
          <w:color w:val="000000" w:themeColor="text1"/>
          <w:lang w:val="es-ES"/>
        </w:rPr>
        <w:footnoteReference w:id="5"/>
      </w:r>
      <w:r w:rsidRPr="00983DE2">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w:t>
      </w:r>
      <w:r w:rsidRPr="00983DE2">
        <w:rPr>
          <w:rFonts w:ascii="Verdana" w:eastAsia="Calibri" w:hAnsi="Verdana" w:cs="Arial"/>
          <w:color w:val="000000" w:themeColor="text1"/>
          <w:lang w:val="es-ES"/>
        </w:rPr>
        <w:lastRenderedPageBreak/>
        <w:t xml:space="preserve">pago que cubre la garantía. </w:t>
      </w:r>
      <w:r w:rsidRPr="00983DE2">
        <w:rPr>
          <w:rFonts w:ascii="Verdana"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983DE2">
        <w:rPr>
          <w:rStyle w:val="FootnoteReference"/>
          <w:rFonts w:ascii="Verdana" w:hAnsi="Verdana" w:cs="Arial"/>
          <w:color w:val="000000" w:themeColor="text1"/>
          <w:lang w:val="es-ES"/>
        </w:rPr>
        <w:footnoteReference w:id="6"/>
      </w:r>
      <w:r w:rsidRPr="00983DE2">
        <w:rPr>
          <w:rFonts w:ascii="Verdana" w:hAnsi="Verdana" w:cs="Arial"/>
          <w:color w:val="000000" w:themeColor="text1"/>
          <w:lang w:val="es-ES"/>
        </w:rPr>
        <w:t xml:space="preserve">.    </w:t>
      </w:r>
    </w:p>
    <w:p w14:paraId="4553C611" w14:textId="77777777" w:rsidR="00545C2B" w:rsidRPr="00983DE2" w:rsidRDefault="00545C2B" w:rsidP="00545C2B">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garantías bancarias 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983DE2">
        <w:rPr>
          <w:rStyle w:val="FootnoteReference"/>
          <w:rFonts w:ascii="Verdana" w:hAnsi="Verdana" w:cs="Arial"/>
          <w:color w:val="000000" w:themeColor="text1"/>
          <w:lang w:val="es-ES"/>
        </w:rPr>
        <w:footnoteReference w:id="7"/>
      </w:r>
      <w:r w:rsidRPr="00983DE2">
        <w:rPr>
          <w:rFonts w:ascii="Verdana" w:hAnsi="Verdana" w:cs="Arial"/>
          <w:color w:val="000000" w:themeColor="text1"/>
          <w:lang w:val="es-ES"/>
        </w:rPr>
        <w:t>. De esta manera, las garantías previstas en la ley tienen como objetivo asegurar la solvencia del garante</w:t>
      </w:r>
      <w:r w:rsidRPr="00983DE2">
        <w:rPr>
          <w:rStyle w:val="FootnoteReference"/>
          <w:rFonts w:ascii="Verdana" w:hAnsi="Verdana" w:cs="Arial"/>
          <w:color w:val="000000" w:themeColor="text1"/>
          <w:lang w:val="es-ES"/>
        </w:rPr>
        <w:footnoteReference w:id="8"/>
      </w:r>
      <w:r w:rsidRPr="00983DE2">
        <w:rPr>
          <w:rFonts w:ascii="Verdana" w:hAnsi="Verdana" w:cs="Arial"/>
          <w:color w:val="000000" w:themeColor="text1"/>
          <w:lang w:val="es-ES"/>
        </w:rPr>
        <w:t>.</w:t>
      </w:r>
    </w:p>
    <w:p w14:paraId="39E256CA" w14:textId="77777777" w:rsidR="00545C2B" w:rsidRPr="00983DE2" w:rsidRDefault="00545C2B" w:rsidP="00545C2B">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3B284A57" w14:textId="77777777" w:rsidR="00545C2B" w:rsidRPr="00983DE2" w:rsidRDefault="00545C2B" w:rsidP="00545C2B">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hAnsi="Verdana" w:cs="Arial"/>
          <w:color w:val="000000" w:themeColor="text1"/>
          <w:lang w:val="es-ES"/>
        </w:rPr>
        <w:t xml:space="preserve">El artículo 2.2.1.2.3.1.3, por ejemplo, establece que la “garantía de cobertura del Riesgo es indivisible”, además de la obligación de los contratantes </w:t>
      </w:r>
      <w:r w:rsidRPr="00983DE2">
        <w:rPr>
          <w:rFonts w:ascii="Verdana" w:hAnsi="Verdana" w:cs="Arial"/>
          <w:color w:val="000000" w:themeColor="text1"/>
          <w:lang w:val="es-ES"/>
        </w:rPr>
        <w:lastRenderedPageBreak/>
        <w:t>de establecer en los pliegos de condiciones las garantías exigidas para cada periodo contractual</w:t>
      </w:r>
      <w:r w:rsidRPr="00983DE2">
        <w:rPr>
          <w:rStyle w:val="FootnoteReference"/>
          <w:rFonts w:ascii="Verdana" w:hAnsi="Verdana" w:cs="Arial"/>
          <w:color w:val="000000" w:themeColor="text1"/>
          <w:lang w:val="es-ES"/>
        </w:rPr>
        <w:footnoteReference w:id="9"/>
      </w:r>
      <w:r w:rsidRPr="00983DE2">
        <w:rPr>
          <w:rFonts w:ascii="Verdana" w:hAnsi="Verdana" w:cs="Arial"/>
          <w:color w:val="000000" w:themeColor="text1"/>
          <w:lang w:val="es-ES"/>
        </w:rPr>
        <w:t xml:space="preserve">. Por su parte, el artículo 2.2.1.3.1.7 prescribe que la garantía de cumplimiento debe cubrir: i) el buen manejo y correcta inversión del anticipo;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xml:space="preserve">) la devolución del pago anticipado; </w:t>
      </w:r>
      <w:proofErr w:type="spellStart"/>
      <w:r w:rsidRPr="00983DE2">
        <w:rPr>
          <w:rFonts w:ascii="Verdana" w:hAnsi="Verdana" w:cs="Arial"/>
          <w:color w:val="000000" w:themeColor="text1"/>
          <w:lang w:val="es-ES"/>
        </w:rPr>
        <w:t>iii</w:t>
      </w:r>
      <w:proofErr w:type="spellEnd"/>
      <w:r w:rsidRPr="00983DE2">
        <w:rPr>
          <w:rFonts w:ascii="Verdana" w:hAnsi="Verdana" w:cs="Arial"/>
          <w:color w:val="000000" w:themeColor="text1"/>
          <w:lang w:val="es-ES"/>
        </w:rPr>
        <w:t xml:space="preserve">) el cumplimiento del contrato; </w:t>
      </w:r>
      <w:proofErr w:type="spellStart"/>
      <w:r w:rsidRPr="00983DE2">
        <w:rPr>
          <w:rFonts w:ascii="Verdana" w:hAnsi="Verdana" w:cs="Arial"/>
          <w:color w:val="000000" w:themeColor="text1"/>
          <w:lang w:val="es-ES"/>
        </w:rPr>
        <w:t>iv</w:t>
      </w:r>
      <w:proofErr w:type="spellEnd"/>
      <w:r w:rsidRPr="00983DE2">
        <w:rPr>
          <w:rFonts w:ascii="Verdana" w:hAnsi="Verdana" w:cs="Arial"/>
          <w:color w:val="000000" w:themeColor="text1"/>
          <w:lang w:val="es-ES"/>
        </w:rPr>
        <w:t xml:space="preserve">) el pago de salarios, prestaciones sociales legales e indemnizaciones laborales; v)  la estabilidad y calidad de la obra; vi) la </w:t>
      </w:r>
      <w:r w:rsidRPr="00983DE2">
        <w:rPr>
          <w:rFonts w:ascii="Verdana" w:eastAsia="Times New Roman" w:hAnsi="Verdana" w:cs="Arial"/>
          <w:color w:val="000000" w:themeColor="text1"/>
          <w:lang w:val="es-ES" w:eastAsia="es-CO"/>
        </w:rPr>
        <w:t xml:space="preserve">calidad del servicio; </w:t>
      </w:r>
      <w:proofErr w:type="spellStart"/>
      <w:r w:rsidRPr="00983DE2">
        <w:rPr>
          <w:rFonts w:ascii="Verdana" w:eastAsia="Times New Roman" w:hAnsi="Verdana" w:cs="Arial"/>
          <w:color w:val="000000" w:themeColor="text1"/>
          <w:lang w:val="es-ES" w:eastAsia="es-CO"/>
        </w:rPr>
        <w:t>vii</w:t>
      </w:r>
      <w:proofErr w:type="spellEnd"/>
      <w:r w:rsidRPr="00983DE2">
        <w:rPr>
          <w:rFonts w:ascii="Verdana" w:eastAsia="Times New Roman" w:hAnsi="Verdana" w:cs="Arial"/>
          <w:color w:val="000000" w:themeColor="text1"/>
          <w:lang w:val="es-ES" w:eastAsia="es-CO"/>
        </w:rPr>
        <w:t xml:space="preserve">) la calidad y correcto funcionamiento de los bienes; y </w:t>
      </w:r>
      <w:proofErr w:type="spellStart"/>
      <w:r w:rsidRPr="00983DE2">
        <w:rPr>
          <w:rFonts w:ascii="Verdana" w:eastAsia="Times New Roman" w:hAnsi="Verdana" w:cs="Arial"/>
          <w:color w:val="000000" w:themeColor="text1"/>
          <w:lang w:val="es-ES" w:eastAsia="es-CO"/>
        </w:rPr>
        <w:t>viii</w:t>
      </w:r>
      <w:proofErr w:type="spellEnd"/>
      <w:r w:rsidRPr="00983DE2">
        <w:rPr>
          <w:rFonts w:ascii="Verdana" w:eastAsia="Times New Roman" w:hAnsi="Verdana" w:cs="Arial"/>
          <w:color w:val="000000" w:themeColor="text1"/>
          <w:lang w:val="es-ES" w:eastAsia="es-CO"/>
        </w:rPr>
        <w:t>) los demás incumplimientos de las obligaciones que la entidad estatal considere deben ser amparados</w:t>
      </w:r>
      <w:r w:rsidRPr="00983DE2">
        <w:rPr>
          <w:rStyle w:val="FootnoteReference"/>
          <w:rFonts w:ascii="Verdana" w:eastAsia="Times New Roman" w:hAnsi="Verdana" w:cs="Arial"/>
          <w:color w:val="000000" w:themeColor="text1"/>
          <w:lang w:val="es-ES" w:eastAsia="es-CO"/>
        </w:rPr>
        <w:footnoteReference w:id="10"/>
      </w:r>
      <w:r w:rsidRPr="00983DE2">
        <w:rPr>
          <w:rFonts w:ascii="Verdana" w:eastAsia="Times New Roman" w:hAnsi="Verdana" w:cs="Arial"/>
          <w:color w:val="000000" w:themeColor="text1"/>
          <w:lang w:val="es-ES" w:eastAsia="es-CO"/>
        </w:rPr>
        <w:t xml:space="preserve">. </w:t>
      </w:r>
    </w:p>
    <w:p w14:paraId="13B8C5F9" w14:textId="77777777" w:rsidR="00545C2B" w:rsidRPr="00983DE2" w:rsidRDefault="00545C2B" w:rsidP="00545C2B">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lastRenderedPageBreak/>
        <w:t xml:space="preserve">En torno al amparo de </w:t>
      </w:r>
      <w:r w:rsidRPr="00983DE2">
        <w:rPr>
          <w:rFonts w:ascii="Verdana" w:eastAsia="Times New Roman" w:hAnsi="Verdana" w:cs="Arial"/>
          <w:i/>
          <w:iCs/>
          <w:color w:val="000000" w:themeColor="text1"/>
          <w:lang w:val="es-ES" w:eastAsia="es-CO"/>
        </w:rPr>
        <w:t>responsabilidad civil extracontractual</w:t>
      </w:r>
      <w:r w:rsidRPr="00983DE2">
        <w:rPr>
          <w:rFonts w:ascii="Verdana" w:eastAsia="Times New Roman" w:hAnsi="Verdana" w:cs="Arial"/>
          <w:color w:val="000000" w:themeColor="text1"/>
          <w:lang w:val="es-ES" w:eastAsia="es-CO"/>
        </w:rPr>
        <w:t>,</w:t>
      </w:r>
      <w:r w:rsidRPr="00983DE2">
        <w:rPr>
          <w:rFonts w:ascii="Verdana" w:eastAsia="Times New Roman" w:hAnsi="Verdana" w:cs="Arial"/>
          <w:b/>
          <w:bCs/>
          <w:color w:val="000000" w:themeColor="text1"/>
          <w:lang w:val="es-ES" w:eastAsia="es-CO"/>
        </w:rPr>
        <w:t xml:space="preserve"> </w:t>
      </w:r>
      <w:r w:rsidRPr="00983DE2">
        <w:rPr>
          <w:rFonts w:ascii="Verdana" w:eastAsia="Times New Roman" w:hAnsi="Verdana" w:cs="Arial"/>
          <w:color w:val="000000" w:themeColor="text1"/>
          <w:lang w:val="es-ES" w:eastAsia="es-CO"/>
        </w:rPr>
        <w:t xml:space="preserve">el Artículo 2.2.1.2.3.1.5. establece sobre la cobertura del Riesgo de responsabilidad civil extracontractual que este se deriva de las actuaciones, hechos u omisiones de los contratistas o subcontratistas y solamente puede ser amparada con un contrato de seguro. Adicionalmente,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w:t>
      </w:r>
      <w:r w:rsidRPr="00983DE2">
        <w:rPr>
          <w:rFonts w:ascii="Verdana" w:eastAsia="Times New Roman" w:hAnsi="Verdana" w:cs="Arial"/>
          <w:i/>
          <w:iCs/>
          <w:color w:val="000000" w:themeColor="text1"/>
          <w:lang w:val="es-ES" w:eastAsia="es-CO"/>
        </w:rPr>
        <w:t>ibidem</w:t>
      </w:r>
      <w:r w:rsidRPr="00983DE2">
        <w:rPr>
          <w:rFonts w:ascii="Verdana" w:eastAsia="Times New Roman" w:hAnsi="Verdana" w:cs="Arial"/>
          <w:color w:val="000000" w:themeColor="text1"/>
          <w:lang w:val="es-ES" w:eastAsia="es-CO"/>
        </w:rPr>
        <w:t>,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cuenta con un seguro propio con el mismo objeto y que la Entidad Estatal sea el asegurado”.</w:t>
      </w:r>
    </w:p>
    <w:p w14:paraId="328F972F" w14:textId="77777777" w:rsidR="00545C2B" w:rsidRPr="00983DE2" w:rsidRDefault="00545C2B" w:rsidP="00545C2B">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Con el fin de asegurar la cobertura de este riesgo es responsabilidad de las Entidades Estatales verificar que el contrato de seguro en particular cumpla con los requisitos exigidos por la normativa en materia de contratación estatal. El inciso tercero del artículo 7 de la Ley 1150 de 2007 dispone que “El Gobierno Nacional señalará los criterios que seguirán las entidades para la exigencia de garantías, las clases y niveles de amparo de los riesgos de los contratos […]”, de manera que los contratos de seguro que sean presentados en el marco de los procesos de contratación estatal deben cumplir de manera estricta con lo establecido en el Decreto 1082 de 2015, el cual señala los requisitos aplicables para quienes participen y suscriban este tipo de contratos. </w:t>
      </w:r>
    </w:p>
    <w:p w14:paraId="49A7A29E" w14:textId="77777777" w:rsidR="00545C2B" w:rsidRPr="00983DE2" w:rsidRDefault="00545C2B" w:rsidP="00545C2B">
      <w:pPr>
        <w:spacing w:before="120" w:after="120" w:line="276" w:lineRule="auto"/>
        <w:ind w:firstLine="708"/>
        <w:jc w:val="both"/>
        <w:rPr>
          <w:rFonts w:ascii="Verdana" w:hAnsi="Verdana" w:cs="Arial"/>
          <w:color w:val="000000" w:themeColor="text1"/>
          <w:lang w:val="es-ES"/>
        </w:rPr>
      </w:pPr>
      <w:r w:rsidRPr="00983DE2">
        <w:rPr>
          <w:rFonts w:ascii="Verdana" w:eastAsia="Times New Roman" w:hAnsi="Verdana" w:cs="Arial"/>
          <w:color w:val="000000" w:themeColor="text1"/>
          <w:lang w:val="es-ES" w:eastAsia="es-CO"/>
        </w:rPr>
        <w:lastRenderedPageBreak/>
        <w:t xml:space="preserve">En primer lugar, la entidad debe verificar que la garantía cumpla con el requisito de indivisibilidad establecido en el artículo 2.2.1.2.3.1.3. del Decreto 1082 de 2015. Tal como lo señala esta norma </w:t>
      </w:r>
      <w:r w:rsidRPr="00983DE2">
        <w:rPr>
          <w:rFonts w:ascii="Verdana" w:hAnsi="Verdana" w:cs="Arial"/>
          <w:color w:val="000000" w:themeColor="text1"/>
          <w:lang w:val="es-ES"/>
        </w:rPr>
        <w:t xml:space="preserve">la garantía de cobertura del riesgo en materia contractual pública es indivisible. Sin embargo, en los contratos que tengan un plazo mayor a cinco (5) años las garantías pueden cubrir los riesgos de la etapa del contrato o del periodo Contractual, de acuerdo con lo previsto en el contrato. En estos casos,  la Entidad Estatal debe indicar en los pliegos de condiciones las garantías que exige en cada etapa del contrato o cada periodo contractual en la forma señalada en el Decreto reglamentario. </w:t>
      </w:r>
    </w:p>
    <w:p w14:paraId="3F16583F" w14:textId="77777777" w:rsidR="00545C2B" w:rsidRPr="00983DE2" w:rsidRDefault="00545C2B" w:rsidP="00545C2B">
      <w:pPr>
        <w:spacing w:before="120"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Esta regla supone que un contrato estatal debe estar amparado a través de </w:t>
      </w:r>
      <w:r w:rsidRPr="00983DE2">
        <w:rPr>
          <w:rFonts w:ascii="Verdana" w:hAnsi="Verdana" w:cs="Arial"/>
          <w:i/>
          <w:color w:val="000000" w:themeColor="text1"/>
          <w:lang w:val="es-ES"/>
        </w:rPr>
        <w:t>una sola garantía</w:t>
      </w:r>
      <w:r w:rsidRPr="00983DE2">
        <w:rPr>
          <w:rFonts w:ascii="Verdana" w:hAnsi="Verdana" w:cs="Arial"/>
          <w:color w:val="000000" w:themeColor="text1"/>
          <w:lang w:val="es-ES"/>
        </w:rPr>
        <w:t>. La excepción son los contratos que tengan un plazo de ejecución mayor a 5 años. Para estos contratos la garantía se podrá dividir. En este supuesto, las entidades estatales cuentan con varias opciones para dividir las garantías como exigir una garantía independiente para cada etapa del contrato, una independiente para cada periodo contractual o una garantía independiente para cada unidad funcional.</w:t>
      </w:r>
      <w:r w:rsidRPr="00983DE2">
        <w:rPr>
          <w:lang w:val="es-ES"/>
        </w:rPr>
        <w:t xml:space="preserve"> </w:t>
      </w:r>
      <w:r w:rsidRPr="00983DE2">
        <w:rPr>
          <w:rFonts w:ascii="Verdana" w:hAnsi="Verdana" w:cs="Arial"/>
          <w:color w:val="000000" w:themeColor="text1"/>
          <w:lang w:val="es-ES"/>
        </w:rPr>
        <w:t>Conforme a lo anterior, si la Entidad Estatal celebra un contrato cuyo plazo de ejecución es mayor a cinco (5) años, puede pactar en el contrato que las garantías cubran los riegos de cada etapa del contrato, periodo contractual o unidad funcional, caso en el cual el pliego de condiciones regulará las garantías teniendo en cuenta lo siguiente: i) se identificará la</w:t>
      </w:r>
      <w:r w:rsidRPr="00983DE2">
        <w:rPr>
          <w:lang w:val="es-ES"/>
        </w:rPr>
        <w:t xml:space="preserve"> </w:t>
      </w:r>
      <w:r w:rsidRPr="00983DE2">
        <w:rPr>
          <w:rFonts w:ascii="Verdana" w:hAnsi="Verdana" w:cs="Arial"/>
          <w:color w:val="000000" w:themeColor="text1"/>
          <w:lang w:val="es-ES"/>
        </w:rPr>
        <w:t xml:space="preserve">garantía que ampara los riesgos para cada etapa del contrato o periodo contractual, pero, además, la vigencia que rige para cada uno –que en todo caso no puede ser menor al plazo de ejecución definido para cada etapa del contrato o periodo contractual–, y </w:t>
      </w:r>
      <w:proofErr w:type="spellStart"/>
      <w:r w:rsidRPr="00983DE2">
        <w:rPr>
          <w:rFonts w:ascii="Verdana" w:hAnsi="Verdana" w:cs="Arial"/>
          <w:color w:val="000000" w:themeColor="text1"/>
          <w:lang w:val="es-ES"/>
        </w:rPr>
        <w:t>ii</w:t>
      </w:r>
      <w:proofErr w:type="spellEnd"/>
      <w:r w:rsidRPr="00983DE2">
        <w:rPr>
          <w:rFonts w:ascii="Verdana" w:hAnsi="Verdana" w:cs="Arial"/>
          <w:color w:val="000000" w:themeColor="text1"/>
          <w:lang w:val="es-ES"/>
        </w:rPr>
        <w:t>) el monto de los amparos se calculará tomando el valor de las obligaciones del contratista para cada etapa del contrato o periodo contractual, y además, regirán las reglas de suficiencia definidas en los artículos 2.2.1.2.3.1.9. al 2.2.1.2.3.1.17. del Decreto 1082 de 2015</w:t>
      </w:r>
      <w:r w:rsidRPr="00983DE2">
        <w:rPr>
          <w:rStyle w:val="FootnoteReference"/>
          <w:rFonts w:ascii="Verdana" w:hAnsi="Verdana" w:cs="Arial"/>
          <w:color w:val="000000" w:themeColor="text1"/>
          <w:lang w:val="es-ES"/>
        </w:rPr>
        <w:footnoteReference w:id="11"/>
      </w:r>
      <w:r w:rsidRPr="00983DE2">
        <w:rPr>
          <w:rFonts w:ascii="Verdana" w:hAnsi="Verdana" w:cs="Arial"/>
          <w:color w:val="000000" w:themeColor="text1"/>
          <w:lang w:val="es-ES"/>
        </w:rPr>
        <w:t>.</w:t>
      </w:r>
    </w:p>
    <w:p w14:paraId="5744425A" w14:textId="77777777" w:rsidR="00545C2B" w:rsidRPr="00983DE2" w:rsidRDefault="00545C2B" w:rsidP="00545C2B">
      <w:pPr>
        <w:spacing w:before="120" w:after="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eastAsia="Times New Roman" w:hAnsi="Verdana" w:cs="Arial"/>
          <w:color w:val="000000" w:themeColor="text1"/>
          <w:lang w:val="es-ES" w:eastAsia="es-CO"/>
        </w:rPr>
        <w:t>en el artículo 2.2.1.2.3.2.9</w:t>
      </w:r>
      <w:r w:rsidRPr="00983DE2">
        <w:rPr>
          <w:rStyle w:val="FootnoteReference"/>
          <w:rFonts w:ascii="Verdana" w:eastAsia="Times New Roman" w:hAnsi="Verdana" w:cs="Arial"/>
          <w:color w:val="000000" w:themeColor="text1"/>
          <w:lang w:val="es-ES" w:eastAsia="es-CO"/>
        </w:rPr>
        <w:footnoteReference w:id="12"/>
      </w:r>
      <w:r w:rsidRPr="00983DE2">
        <w:rPr>
          <w:rFonts w:ascii="Verdana" w:eastAsia="Times New Roman" w:hAnsi="Verdana" w:cs="Arial"/>
          <w:color w:val="000000" w:themeColor="text1"/>
          <w:lang w:val="es-ES" w:eastAsia="es-CO"/>
        </w:rPr>
        <w:t>, es decir:</w:t>
      </w:r>
    </w:p>
    <w:p w14:paraId="70B24BE3" w14:textId="77777777" w:rsidR="00545C2B" w:rsidRPr="00983DE2" w:rsidRDefault="00545C2B" w:rsidP="00545C2B">
      <w:pPr>
        <w:spacing w:after="0" w:line="276" w:lineRule="auto"/>
        <w:ind w:firstLine="708"/>
        <w:jc w:val="both"/>
        <w:rPr>
          <w:rFonts w:ascii="Verdana" w:eastAsia="Times New Roman" w:hAnsi="Verdana" w:cs="Arial"/>
          <w:color w:val="000000" w:themeColor="text1"/>
          <w:lang w:val="es-ES" w:eastAsia="es-CO"/>
        </w:rPr>
      </w:pPr>
    </w:p>
    <w:p w14:paraId="05744839" w14:textId="63101841" w:rsidR="00545C2B" w:rsidRPr="00983DE2" w:rsidRDefault="00545C2B" w:rsidP="00CB7135">
      <w:pPr>
        <w:pStyle w:val="FootnoteText"/>
        <w:snapToGrid w:val="0"/>
        <w:ind w:left="709" w:right="709"/>
        <w:contextualSpacing/>
        <w:jc w:val="both"/>
        <w:rPr>
          <w:rFonts w:ascii="Verdana" w:hAnsi="Verdana"/>
          <w:sz w:val="21"/>
          <w:szCs w:val="21"/>
          <w:lang w:val="es-ES"/>
        </w:rPr>
      </w:pPr>
      <w:r w:rsidRPr="00983DE2">
        <w:rPr>
          <w:rFonts w:ascii="Verdana" w:hAnsi="Verdana"/>
          <w:sz w:val="21"/>
          <w:szCs w:val="21"/>
          <w:lang w:val="es-ES"/>
        </w:rPr>
        <w:t xml:space="preserve"> “1.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187D21DF" w14:textId="77777777" w:rsidR="00C53070" w:rsidRPr="00983DE2" w:rsidRDefault="00C53070" w:rsidP="00CB7135">
      <w:pPr>
        <w:pStyle w:val="FootnoteText"/>
        <w:snapToGrid w:val="0"/>
        <w:ind w:left="709" w:right="709"/>
        <w:contextualSpacing/>
        <w:jc w:val="both"/>
        <w:rPr>
          <w:rFonts w:ascii="Verdana" w:hAnsi="Verdana"/>
          <w:sz w:val="21"/>
          <w:szCs w:val="21"/>
          <w:lang w:val="es-ES"/>
        </w:rPr>
      </w:pPr>
    </w:p>
    <w:p w14:paraId="72FB1BA9" w14:textId="1675908F" w:rsidR="00545C2B" w:rsidRPr="00983DE2" w:rsidRDefault="00545C2B" w:rsidP="00CB7135">
      <w:pPr>
        <w:pStyle w:val="FootnoteText"/>
        <w:snapToGrid w:val="0"/>
        <w:ind w:left="709" w:right="709"/>
        <w:contextualSpacing/>
        <w:jc w:val="both"/>
        <w:rPr>
          <w:rFonts w:ascii="Verdana" w:hAnsi="Verdana"/>
          <w:sz w:val="21"/>
          <w:szCs w:val="21"/>
          <w:lang w:val="es-ES"/>
        </w:rPr>
      </w:pPr>
      <w:r w:rsidRPr="00983DE2">
        <w:rPr>
          <w:rFonts w:ascii="Verdana" w:hAnsi="Verdana"/>
          <w:sz w:val="21"/>
          <w:szCs w:val="21"/>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0D66624B" w14:textId="77777777" w:rsidR="00C53070" w:rsidRPr="00983DE2" w:rsidRDefault="00C53070" w:rsidP="00CB7135">
      <w:pPr>
        <w:pStyle w:val="FootnoteText"/>
        <w:snapToGrid w:val="0"/>
        <w:ind w:left="709" w:right="709"/>
        <w:contextualSpacing/>
        <w:jc w:val="both"/>
        <w:rPr>
          <w:rFonts w:ascii="Verdana" w:hAnsi="Verdana"/>
          <w:sz w:val="21"/>
          <w:szCs w:val="21"/>
          <w:lang w:val="es-ES"/>
        </w:rPr>
      </w:pPr>
    </w:p>
    <w:p w14:paraId="266107ED" w14:textId="77777777" w:rsidR="00545C2B" w:rsidRPr="00983DE2" w:rsidRDefault="00545C2B" w:rsidP="00545C2B">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3. Amparos. El amparo de responsabilidad civil extracontractual debe contener además de la cobertura básica de predios, labores y operaciones, mínimo los siguientes amparos:</w:t>
      </w:r>
    </w:p>
    <w:p w14:paraId="7379C75E" w14:textId="77777777" w:rsidR="00545C2B" w:rsidRPr="00983DE2" w:rsidRDefault="00545C2B" w:rsidP="00545C2B">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 3.1. Cobertura expresa de perjuicios por daño emergente y lucro cesante. </w:t>
      </w:r>
    </w:p>
    <w:p w14:paraId="21E24ACD" w14:textId="77777777" w:rsidR="00545C2B" w:rsidRPr="00983DE2" w:rsidRDefault="00545C2B" w:rsidP="00545C2B">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3.2. Cobertura expresa de perjuicios extrapatrimoniales. </w:t>
      </w:r>
    </w:p>
    <w:p w14:paraId="015C5273" w14:textId="77777777" w:rsidR="00545C2B" w:rsidRPr="00983DE2" w:rsidRDefault="00545C2B" w:rsidP="00545C2B">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3.3. Cobertura expresa de la responsabilidad surgida por actos de contratistas y subcontratistas, salvo que el subcontratista tenga su propio seguro de responsabilidad extracontractual, con los mismos amparos aquí requeridos. </w:t>
      </w:r>
    </w:p>
    <w:p w14:paraId="4DD3AD30" w14:textId="77777777" w:rsidR="00545C2B" w:rsidRPr="00983DE2" w:rsidRDefault="00545C2B" w:rsidP="00545C2B">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3.4. Cobertura expresa de amparo patronal. </w:t>
      </w:r>
    </w:p>
    <w:p w14:paraId="4CA7F91B" w14:textId="77777777" w:rsidR="00545C2B" w:rsidRPr="00983DE2" w:rsidRDefault="00545C2B" w:rsidP="00545C2B">
      <w:pPr>
        <w:snapToGrid w:val="0"/>
        <w:spacing w:after="0" w:line="240" w:lineRule="auto"/>
        <w:ind w:left="709" w:right="709"/>
        <w:contextualSpacing/>
        <w:jc w:val="both"/>
        <w:rPr>
          <w:rFonts w:ascii="Verdana" w:eastAsia="Times New Roman" w:hAnsi="Verdana" w:cs="Arial"/>
          <w:color w:val="000000" w:themeColor="text1"/>
          <w:sz w:val="21"/>
          <w:szCs w:val="21"/>
          <w:lang w:val="es-ES" w:eastAsia="es-CO"/>
        </w:rPr>
      </w:pPr>
      <w:r w:rsidRPr="00983DE2">
        <w:rPr>
          <w:rFonts w:ascii="Verdana" w:hAnsi="Verdana"/>
          <w:sz w:val="21"/>
          <w:szCs w:val="21"/>
          <w:lang w:val="es-ES"/>
        </w:rPr>
        <w:t>3.5. Cobertura expresa de vehículos propios y no propios”.</w:t>
      </w:r>
    </w:p>
    <w:p w14:paraId="630C70F9" w14:textId="77777777" w:rsidR="00545C2B" w:rsidRPr="00983DE2" w:rsidRDefault="00545C2B" w:rsidP="00545C2B">
      <w:pPr>
        <w:pStyle w:val="FootnoteText"/>
        <w:snapToGrid w:val="0"/>
        <w:ind w:right="709"/>
        <w:contextualSpacing/>
        <w:jc w:val="both"/>
        <w:rPr>
          <w:rFonts w:ascii="Verdana" w:eastAsia="Times New Roman" w:hAnsi="Verdana" w:cs="Arial"/>
          <w:color w:val="000000" w:themeColor="text1"/>
          <w:lang w:val="es-ES" w:eastAsia="es-CO"/>
        </w:rPr>
      </w:pPr>
    </w:p>
    <w:p w14:paraId="6F56FD6F" w14:textId="77777777" w:rsidR="00545C2B" w:rsidRPr="00983DE2" w:rsidRDefault="00545C2B" w:rsidP="00545C2B">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En efecto, en la garantía que respalde el riesgo de responsabilidad civil extracontractual l</w:t>
      </w:r>
      <w:r w:rsidRPr="00983DE2">
        <w:rPr>
          <w:rFonts w:ascii="Verdana" w:hAnsi="Verdana"/>
          <w:lang w:val="es-ES"/>
        </w:rPr>
        <w:t xml:space="preserve">a Entidad Estatal y el contratista deben tener la calidad de asegurado </w:t>
      </w:r>
      <w:r w:rsidRPr="00983DE2">
        <w:rPr>
          <w:rFonts w:ascii="Verdana" w:eastAsia="Times New Roman" w:hAnsi="Verdana" w:cs="Arial"/>
          <w:color w:val="000000" w:themeColor="text1"/>
          <w:lang w:val="es-ES" w:eastAsia="es-CO"/>
        </w:rPr>
        <w:t xml:space="preserve">respecto de los daños producidos por el contratista con ocasión de la </w:t>
      </w:r>
      <w:r w:rsidRPr="00983DE2">
        <w:rPr>
          <w:rFonts w:ascii="Verdana" w:eastAsia="Times New Roman" w:hAnsi="Verdana" w:cs="Arial"/>
          <w:color w:val="000000" w:themeColor="text1"/>
          <w:lang w:val="es-ES" w:eastAsia="es-CO"/>
        </w:rPr>
        <w:lastRenderedPageBreak/>
        <w:t xml:space="preserve">ejecución del contrato amparado. Adicionalmente, tanto la Entidad Estatal como los terceros que puedan resultar afectados por la responsabilidad del contratista o sus subcontratistas deben figurar como beneficiarios. El cumplimiento de este requisito debe ser verificado por la entidad estatal para la aprobación de la garantía y el inicio de la ejecución contractual. </w:t>
      </w:r>
    </w:p>
    <w:p w14:paraId="77458AA0" w14:textId="77777777" w:rsidR="00545C2B" w:rsidRPr="00983DE2" w:rsidRDefault="00545C2B" w:rsidP="00C73EA8">
      <w:pPr>
        <w:spacing w:before="120" w:after="0" w:line="276" w:lineRule="auto"/>
        <w:ind w:firstLine="708"/>
        <w:jc w:val="both"/>
        <w:rPr>
          <w:rFonts w:ascii="Verdana" w:hAnsi="Verdana"/>
          <w:lang w:val="es-ES"/>
        </w:rPr>
      </w:pPr>
      <w:r w:rsidRPr="00983DE2">
        <w:rPr>
          <w:rFonts w:ascii="Verdana" w:eastAsia="Times New Roman" w:hAnsi="Verdana" w:cs="Arial"/>
          <w:color w:val="000000" w:themeColor="text1"/>
          <w:lang w:val="es-ES" w:eastAsia="es-CO"/>
        </w:rPr>
        <w:t>Tercero, el seguro de responsabilidad civil extracontractual debe cumplir con los valores mínimos de suficiencia que establece el artículo 2.2.1.2.3.1.17. En efecto, la entidad debe</w:t>
      </w:r>
      <w:r w:rsidRPr="00983DE2">
        <w:rPr>
          <w:rFonts w:ascii="Verdana" w:hAnsi="Verdana"/>
          <w:lang w:val="es-ES"/>
        </w:rPr>
        <w:t xml:space="preserve"> verificar que el valor asegurado por los contratos de seguro que amparan la responsabilidad civil extracontractual no sea inferior a: </w:t>
      </w:r>
    </w:p>
    <w:p w14:paraId="1CA54F34" w14:textId="77777777" w:rsidR="00C73EA8" w:rsidRPr="00983DE2" w:rsidRDefault="00C73EA8" w:rsidP="00C73EA8">
      <w:pPr>
        <w:spacing w:after="0" w:line="276" w:lineRule="auto"/>
        <w:ind w:firstLine="708"/>
        <w:jc w:val="both"/>
        <w:rPr>
          <w:rFonts w:ascii="Verdana" w:hAnsi="Verdana"/>
          <w:lang w:val="es-ES"/>
        </w:rPr>
      </w:pPr>
    </w:p>
    <w:p w14:paraId="41E40D58" w14:textId="77777777" w:rsidR="00545C2B" w:rsidRPr="00983DE2" w:rsidRDefault="00545C2B" w:rsidP="00C73EA8">
      <w:pPr>
        <w:pStyle w:val="FootnoteText"/>
        <w:snapToGrid w:val="0"/>
        <w:ind w:left="709"/>
        <w:contextualSpacing/>
        <w:jc w:val="both"/>
        <w:rPr>
          <w:rFonts w:ascii="Verdana" w:hAnsi="Verdana"/>
          <w:sz w:val="22"/>
          <w:szCs w:val="22"/>
          <w:lang w:val="es-ES"/>
        </w:rPr>
      </w:pPr>
      <w:r w:rsidRPr="00983DE2">
        <w:rPr>
          <w:rFonts w:ascii="Verdana" w:eastAsia="Times New Roman" w:hAnsi="Verdana" w:cs="Arial"/>
          <w:color w:val="000000" w:themeColor="text1"/>
          <w:sz w:val="21"/>
          <w:szCs w:val="21"/>
          <w:lang w:val="es-ES" w:eastAsia="es-CO"/>
        </w:rPr>
        <w:t>“1. Doscientos (200) smmlv para contratos cuyo valor sea inferior o igual a mil quinientos (1.500) smmlv. </w:t>
      </w:r>
    </w:p>
    <w:p w14:paraId="64E0AE20" w14:textId="77777777" w:rsidR="00545C2B" w:rsidRPr="00983DE2" w:rsidRDefault="00545C2B" w:rsidP="00545C2B">
      <w:pPr>
        <w:pStyle w:val="FootnoteText"/>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2. Trescientos (300) smmlv para contratos cuyo valor sea superior a mil quinientos (1.500) smmlv e inferior o igual a dos mil quinientos (2.500) smmlv. </w:t>
      </w:r>
    </w:p>
    <w:p w14:paraId="1A84F491" w14:textId="77777777" w:rsidR="00545C2B" w:rsidRPr="00983DE2" w:rsidRDefault="00545C2B" w:rsidP="00545C2B">
      <w:pPr>
        <w:pStyle w:val="FootnoteText"/>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3. Cuatrocientos (400) smmlv para contratos cuyo valor sea superior a dos mil quinientos (2.500) smmlv e inferior o igual a cinco mil (5.000) smmlv. </w:t>
      </w:r>
    </w:p>
    <w:p w14:paraId="79A72A93" w14:textId="77777777" w:rsidR="00545C2B" w:rsidRPr="00983DE2" w:rsidRDefault="00545C2B" w:rsidP="00545C2B">
      <w:pPr>
        <w:pStyle w:val="FootnoteText"/>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4. Quinientos (500) smmlv para contratos cuyo valor sea superior a cinco mil (5.000) smmlv e inferior o igual a diez mil (10.000) smmlv. </w:t>
      </w:r>
    </w:p>
    <w:p w14:paraId="1D1949AF" w14:textId="77777777" w:rsidR="00545C2B" w:rsidRPr="00983DE2" w:rsidRDefault="00545C2B" w:rsidP="00C73EA8">
      <w:pPr>
        <w:pStyle w:val="FootnoteText"/>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5. El cinco por ciento (5%) del valor del contrato cuando este sea superior a diez mil (10.000) smmlv, caso en el cual el valor asegurado debe ser máximo setenta y cinco mil (75.000) smmlv”. </w:t>
      </w:r>
    </w:p>
    <w:p w14:paraId="494B3612" w14:textId="77777777" w:rsidR="00C73EA8" w:rsidRPr="00983DE2" w:rsidRDefault="00C73EA8" w:rsidP="00C73EA8">
      <w:pPr>
        <w:pStyle w:val="FootnoteText"/>
        <w:snapToGrid w:val="0"/>
        <w:spacing w:before="120"/>
        <w:ind w:left="709" w:right="709"/>
        <w:contextualSpacing/>
        <w:jc w:val="both"/>
        <w:rPr>
          <w:rFonts w:ascii="Verdana" w:hAnsi="Verdana"/>
          <w:sz w:val="21"/>
          <w:szCs w:val="21"/>
          <w:lang w:val="es-ES"/>
        </w:rPr>
      </w:pPr>
    </w:p>
    <w:p w14:paraId="6E2C70D9" w14:textId="422E9C67" w:rsidR="00545C2B" w:rsidRPr="00983DE2" w:rsidRDefault="00545C2B" w:rsidP="00C73EA8">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consecuencia, la entidad debe verificar que el contrato de seguro cumpla con la suficiencia en términos de valor y tiempo de acuerdo con el artículo </w:t>
      </w:r>
      <w:bookmarkStart w:id="6" w:name="_Hlk171693447"/>
      <w:r w:rsidRPr="00983DE2">
        <w:rPr>
          <w:rFonts w:ascii="Verdana" w:eastAsia="Times New Roman" w:hAnsi="Verdana" w:cs="Arial"/>
          <w:color w:val="000000" w:themeColor="text1"/>
          <w:lang w:val="es-ES" w:eastAsia="es-CO"/>
        </w:rPr>
        <w:t>2.2.1.2.3.1.17</w:t>
      </w:r>
      <w:bookmarkEnd w:id="6"/>
      <w:r w:rsidRPr="00983DE2">
        <w:rPr>
          <w:rStyle w:val="FootnoteReference"/>
          <w:rFonts w:ascii="Verdana" w:eastAsia="Times New Roman" w:hAnsi="Verdana" w:cs="Arial"/>
          <w:color w:val="000000" w:themeColor="text1"/>
          <w:lang w:val="es-ES" w:eastAsia="es-CO"/>
        </w:rPr>
        <w:footnoteReference w:id="13"/>
      </w:r>
      <w:r w:rsidRPr="00983DE2">
        <w:rPr>
          <w:rFonts w:ascii="Verdana" w:eastAsia="Times New Roman" w:hAnsi="Verdana" w:cs="Arial"/>
          <w:color w:val="000000" w:themeColor="text1"/>
          <w:lang w:val="es-ES" w:eastAsia="es-CO"/>
        </w:rPr>
        <w:t xml:space="preserve">. Adicional a lo anterior, la norma </w:t>
      </w:r>
      <w:r w:rsidR="00C2137B" w:rsidRPr="00983DE2">
        <w:rPr>
          <w:rFonts w:ascii="Verdana" w:eastAsia="Times New Roman" w:hAnsi="Verdana" w:cs="Arial"/>
          <w:color w:val="000000" w:themeColor="text1"/>
          <w:lang w:val="es-ES" w:eastAsia="es-CO"/>
        </w:rPr>
        <w:t>establece</w:t>
      </w:r>
      <w:r w:rsidRPr="00983DE2">
        <w:rPr>
          <w:rFonts w:ascii="Verdana" w:eastAsia="Times New Roman" w:hAnsi="Verdana" w:cs="Arial"/>
          <w:color w:val="000000" w:themeColor="text1"/>
          <w:lang w:val="es-ES" w:eastAsia="es-CO"/>
        </w:rPr>
        <w:t xml:space="preserve"> de manera expresa que la vigencia de esta garantía deberá ser igual al </w:t>
      </w:r>
      <w:r w:rsidRPr="00983DE2">
        <w:rPr>
          <w:rFonts w:ascii="Verdana" w:eastAsia="Times New Roman" w:hAnsi="Verdana" w:cs="Arial"/>
          <w:i/>
          <w:color w:val="000000" w:themeColor="text1"/>
          <w:lang w:val="es-ES" w:eastAsia="es-CO"/>
        </w:rPr>
        <w:t>período de ejecución del contrato</w:t>
      </w:r>
      <w:r w:rsidRPr="00983DE2">
        <w:rPr>
          <w:rFonts w:ascii="Verdana" w:eastAsia="Times New Roman" w:hAnsi="Verdana" w:cs="Arial"/>
          <w:color w:val="000000" w:themeColor="text1"/>
          <w:lang w:val="es-ES" w:eastAsia="es-CO"/>
        </w:rPr>
        <w:t xml:space="preserve"> estatal que está respaldando.</w:t>
      </w:r>
    </w:p>
    <w:p w14:paraId="39F23077" w14:textId="77777777" w:rsidR="00545C2B" w:rsidRPr="00983DE2" w:rsidRDefault="00545C2B" w:rsidP="00545C2B">
      <w:pPr>
        <w:spacing w:before="120" w:after="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lastRenderedPageBreak/>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smmlv. No serán admisibles las franquicias, coaseguros obligatorios y demás formas de estipulación que impliquen la asunción de parte de la pérdida por la entidad asegurada”. </w:t>
      </w:r>
    </w:p>
    <w:p w14:paraId="1B3A13FC" w14:textId="77777777" w:rsidR="00545C2B" w:rsidRPr="00983DE2" w:rsidRDefault="00545C2B" w:rsidP="00545C2B">
      <w:pPr>
        <w:spacing w:before="120" w:after="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Así, el cumplimiento de las exigencias previstas en el Decreto Único Reglamentario del Sector Planeación condiciona la aprobación de la garantía como requisito de ejecución contractual conforme al inciso segundo de artículo 41 de la Ley 80 de 1993. De esta manera, independientemente de la naturaleza “corporativa” o “individual” de la garantía, la Entidad Estatal tiene la obligación de verificar en cada caso que el contrato de seguro de responsabilidad civil extracontractual satisfaga todos los requisitos previamente expuestos, en los términos establecidos en la normativa.</w:t>
      </w:r>
    </w:p>
    <w:p w14:paraId="1E1D5A5B" w14:textId="77777777" w:rsidR="00545C2B" w:rsidRPr="00983DE2" w:rsidRDefault="00545C2B" w:rsidP="00545C2B">
      <w:pPr>
        <w:spacing w:before="120"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Al margen de la explicación precedente debe advertirse que el análisis requerido para la aprobación de las garantías en materia de contratación estatal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w:t>
      </w:r>
    </w:p>
    <w:p w14:paraId="67200430" w14:textId="77777777" w:rsidR="00545C2B" w:rsidRPr="00983DE2" w:rsidRDefault="00545C2B" w:rsidP="00545C2B">
      <w:pPr>
        <w:pStyle w:val="ListParagraph"/>
        <w:numPr>
          <w:ilvl w:val="0"/>
          <w:numId w:val="16"/>
        </w:numPr>
        <w:spacing w:line="276" w:lineRule="auto"/>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Referencias normativas, jurisprudenciales y otras fuentes:</w:t>
      </w:r>
    </w:p>
    <w:p w14:paraId="524D88F1" w14:textId="77777777" w:rsidR="00545C2B" w:rsidRPr="00983DE2" w:rsidRDefault="00545C2B" w:rsidP="00545C2B">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45C2B" w:rsidRPr="00983DE2" w14:paraId="59F8AA75" w14:textId="77777777" w:rsidTr="005D23AD">
        <w:trPr>
          <w:trHeight w:val="870"/>
        </w:trPr>
        <w:tc>
          <w:tcPr>
            <w:tcW w:w="8647" w:type="dxa"/>
          </w:tcPr>
          <w:p w14:paraId="16194285" w14:textId="4E59F9B2" w:rsidR="00545C2B" w:rsidRPr="00983DE2" w:rsidRDefault="00545C2B" w:rsidP="00C73EA8">
            <w:pPr>
              <w:pStyle w:val="ListParagraph"/>
              <w:numPr>
                <w:ilvl w:val="0"/>
                <w:numId w:val="18"/>
              </w:numPr>
              <w:snapToGrid w:val="0"/>
              <w:spacing w:before="120" w:after="120" w:line="276" w:lineRule="auto"/>
              <w:ind w:left="612" w:hanging="357"/>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80 de 1993, artículo 41. </w:t>
            </w:r>
          </w:p>
          <w:p w14:paraId="0B3B4F44" w14:textId="4EBA4C70" w:rsidR="00545C2B" w:rsidRPr="00983DE2" w:rsidRDefault="00545C2B" w:rsidP="00C73EA8">
            <w:pPr>
              <w:pStyle w:val="ListParagraph"/>
              <w:numPr>
                <w:ilvl w:val="0"/>
                <w:numId w:val="18"/>
              </w:numPr>
              <w:snapToGrid w:val="0"/>
              <w:spacing w:before="120" w:after="120" w:line="276" w:lineRule="auto"/>
              <w:ind w:left="612" w:hanging="357"/>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1150 de 2007, artículo 7. </w:t>
            </w:r>
          </w:p>
          <w:p w14:paraId="7D5CA4AA" w14:textId="77777777" w:rsidR="00545C2B" w:rsidRPr="00983DE2" w:rsidRDefault="00545C2B" w:rsidP="00C73EA8">
            <w:pPr>
              <w:pStyle w:val="ListParagraph"/>
              <w:numPr>
                <w:ilvl w:val="0"/>
                <w:numId w:val="18"/>
              </w:numPr>
              <w:snapToGrid w:val="0"/>
              <w:spacing w:before="120" w:after="120" w:line="276" w:lineRule="auto"/>
              <w:ind w:left="612" w:hanging="357"/>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Código de Comercio, artículos 1068 y 1071.</w:t>
            </w:r>
          </w:p>
          <w:p w14:paraId="6625FA1A" w14:textId="77777777" w:rsidR="00545C2B" w:rsidRPr="00983DE2" w:rsidRDefault="00545C2B" w:rsidP="00C73EA8">
            <w:pPr>
              <w:pStyle w:val="ListParagraph"/>
              <w:numPr>
                <w:ilvl w:val="0"/>
                <w:numId w:val="18"/>
              </w:numPr>
              <w:snapToGrid w:val="0"/>
              <w:spacing w:before="120" w:after="120" w:line="276" w:lineRule="auto"/>
              <w:ind w:left="612" w:hanging="357"/>
              <w:contextualSpacing w:val="0"/>
              <w:jc w:val="both"/>
              <w:rPr>
                <w:rFonts w:ascii="Verdana" w:hAnsi="Verdana"/>
              </w:rPr>
            </w:pPr>
            <w:r w:rsidRPr="00983DE2">
              <w:rPr>
                <w:rFonts w:ascii="Verdana" w:eastAsia="Times New Roman" w:hAnsi="Verdana" w:cs="Arial"/>
                <w:color w:val="000000" w:themeColor="text1"/>
                <w:lang w:eastAsia="es-CO"/>
              </w:rPr>
              <w:t>Decreto 1082 de 2015, artículos 2.2.1.2.3.1.1 a 2.2.1.2.3.1.19.</w:t>
            </w:r>
          </w:p>
        </w:tc>
      </w:tr>
    </w:tbl>
    <w:p w14:paraId="33B043BD" w14:textId="77777777" w:rsidR="00545C2B" w:rsidRPr="00983DE2" w:rsidRDefault="00545C2B" w:rsidP="00545C2B">
      <w:pPr>
        <w:widowControl w:val="0"/>
        <w:autoSpaceDE w:val="0"/>
        <w:autoSpaceDN w:val="0"/>
        <w:spacing w:after="0" w:line="276" w:lineRule="auto"/>
        <w:jc w:val="both"/>
        <w:rPr>
          <w:rFonts w:ascii="Verdana" w:hAnsi="Verdana" w:cs="Arial"/>
          <w:color w:val="000000" w:themeColor="text1"/>
          <w:lang w:val="es-ES"/>
        </w:rPr>
      </w:pPr>
    </w:p>
    <w:p w14:paraId="48DD5E28" w14:textId="5927EA11" w:rsidR="00545C2B" w:rsidRPr="00983DE2" w:rsidRDefault="00545C2B" w:rsidP="00CB7135">
      <w:pPr>
        <w:pStyle w:val="ListParagraph"/>
        <w:numPr>
          <w:ilvl w:val="0"/>
          <w:numId w:val="16"/>
        </w:numPr>
        <w:tabs>
          <w:tab w:val="left" w:pos="142"/>
          <w:tab w:val="left" w:pos="284"/>
        </w:tabs>
        <w:spacing w:after="120" w:line="276" w:lineRule="auto"/>
        <w:ind w:left="0" w:firstLine="0"/>
        <w:contextualSpacing w:val="0"/>
        <w:jc w:val="both"/>
        <w:rPr>
          <w:rFonts w:ascii="Verdana" w:eastAsia="Century Gothic" w:hAnsi="Verdana" w:cs="Century Gothic"/>
          <w:b/>
          <w:bCs/>
          <w:color w:val="000000" w:themeColor="text1"/>
        </w:rPr>
      </w:pPr>
      <w:r w:rsidRPr="00983DE2">
        <w:rPr>
          <w:rFonts w:ascii="Verdana" w:eastAsia="Century Gothic" w:hAnsi="Verdana" w:cs="Century Gothic"/>
          <w:b/>
          <w:bCs/>
          <w:color w:val="000000" w:themeColor="text1"/>
        </w:rPr>
        <w:t>Doctrina de la Agencia Nacional de Contratación Pública:</w:t>
      </w:r>
    </w:p>
    <w:p w14:paraId="6F71F647" w14:textId="4ACF7C5C" w:rsidR="00545C2B" w:rsidRPr="00983DE2" w:rsidRDefault="00545C2B" w:rsidP="00BB741C">
      <w:pPr>
        <w:widowControl w:val="0"/>
        <w:autoSpaceDE w:val="0"/>
        <w:autoSpaceDN w:val="0"/>
        <w:spacing w:after="0" w:line="276" w:lineRule="auto"/>
        <w:jc w:val="both"/>
        <w:rPr>
          <w:rStyle w:val="normaltextrun"/>
          <w:rFonts w:ascii="Verdana" w:hAnsi="Verdana" w:cs="Arial"/>
          <w:shd w:val="clear" w:color="auto" w:fill="FFFFFF"/>
          <w:lang w:val="es-ES"/>
        </w:rPr>
      </w:pPr>
      <w:r w:rsidRPr="00983DE2">
        <w:rPr>
          <w:rStyle w:val="normaltextrun"/>
          <w:rFonts w:ascii="Verdana" w:hAnsi="Verdana" w:cs="Arial"/>
          <w:color w:val="000000" w:themeColor="text1"/>
          <w:shd w:val="clear" w:color="auto" w:fill="FFFFFF"/>
          <w:lang w:val="es-ES"/>
        </w:rPr>
        <w:t xml:space="preserve">La Agencia Nacional de Contratación Pública – Colombia Compra Eficiente se ha </w:t>
      </w:r>
      <w:r w:rsidRPr="00983DE2">
        <w:rPr>
          <w:rStyle w:val="normaltextrun"/>
          <w:rFonts w:ascii="Verdana" w:hAnsi="Verdana" w:cs="Arial"/>
          <w:color w:val="000000" w:themeColor="text1"/>
          <w:shd w:val="clear" w:color="auto" w:fill="FFFFFF"/>
          <w:lang w:val="es-ES"/>
        </w:rPr>
        <w:lastRenderedPageBreak/>
        <w:t>referido</w:t>
      </w:r>
      <w:r w:rsidR="00BB741C" w:rsidRPr="00983DE2">
        <w:rPr>
          <w:rStyle w:val="normaltextrun"/>
          <w:rFonts w:ascii="Verdana" w:hAnsi="Verdana" w:cs="Arial"/>
          <w:color w:val="000000" w:themeColor="text1"/>
          <w:shd w:val="clear" w:color="auto" w:fill="FFFFFF"/>
          <w:lang w:val="es-ES"/>
        </w:rPr>
        <w:t xml:space="preserve"> </w:t>
      </w:r>
      <w:r w:rsidR="00BB741C" w:rsidRPr="00983DE2">
        <w:rPr>
          <w:rStyle w:val="normaltextrun"/>
          <w:rFonts w:ascii="Verdana" w:hAnsi="Verdana" w:cs="Arial"/>
          <w:shd w:val="clear" w:color="auto" w:fill="FFFFFF"/>
          <w:lang w:val="es-ES"/>
        </w:rPr>
        <w:t>al régimen de garantías en los Conceptos</w:t>
      </w:r>
      <w:r w:rsidR="00BB741C" w:rsidRPr="00983DE2">
        <w:rPr>
          <w:rStyle w:val="normaltextrun"/>
          <w:rFonts w:ascii="Verdana" w:hAnsi="Verdana" w:cs="Calibri"/>
          <w:shd w:val="clear" w:color="auto" w:fill="FFFFFF"/>
          <w:lang w:val="es-ES"/>
        </w:rPr>
        <w:t xml:space="preserve"> </w:t>
      </w:r>
      <w:r w:rsidR="00BB741C" w:rsidRPr="00983DE2">
        <w:rPr>
          <w:rStyle w:val="normaltextrun"/>
          <w:rFonts w:ascii="Verdana" w:hAnsi="Verdana" w:cs="Arial"/>
          <w:shd w:val="clear" w:color="auto" w:fill="FFFFFF"/>
          <w:lang w:val="es-ES"/>
        </w:rPr>
        <w:t>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 C-386 del 31 de enero de 2024</w:t>
      </w:r>
      <w:r w:rsidR="005D23AD" w:rsidRPr="00983DE2">
        <w:rPr>
          <w:rStyle w:val="normaltextrun"/>
          <w:rFonts w:ascii="Verdana" w:hAnsi="Verdana" w:cs="Arial"/>
          <w:shd w:val="clear" w:color="auto" w:fill="FFFFFF"/>
          <w:lang w:val="es-ES"/>
        </w:rPr>
        <w:t xml:space="preserve">, </w:t>
      </w:r>
      <w:r w:rsidR="00BB741C" w:rsidRPr="00983DE2">
        <w:rPr>
          <w:rStyle w:val="normaltextrun"/>
          <w:rFonts w:ascii="Verdana" w:hAnsi="Verdana" w:cs="Arial"/>
          <w:shd w:val="clear" w:color="auto" w:fill="FFFFFF"/>
          <w:lang w:val="es-ES"/>
        </w:rPr>
        <w:t>C-306 del 12 de agosto de 2024</w:t>
      </w:r>
      <w:r w:rsidR="005D23AD" w:rsidRPr="00983DE2">
        <w:rPr>
          <w:rStyle w:val="normaltextrun"/>
          <w:rFonts w:ascii="Verdana" w:hAnsi="Verdana" w:cs="Arial"/>
          <w:shd w:val="clear" w:color="auto" w:fill="FFFFFF"/>
          <w:lang w:val="es-ES"/>
        </w:rPr>
        <w:t xml:space="preserve"> y </w:t>
      </w:r>
      <w:r w:rsidR="005D23AD" w:rsidRPr="00983DE2">
        <w:rPr>
          <w:rFonts w:ascii="Verdana" w:eastAsia="Calibri" w:hAnsi="Verdana" w:cs="Arial"/>
          <w:lang w:val="es-ES" w:eastAsia="es-ES"/>
        </w:rPr>
        <w:t>C–099 del 21 de febrero de 2025</w:t>
      </w:r>
      <w:r w:rsidRPr="00983DE2">
        <w:rPr>
          <w:rStyle w:val="normaltextrun"/>
          <w:rFonts w:ascii="Verdana" w:hAnsi="Verdana" w:cs="Arial"/>
          <w:color w:val="000000" w:themeColor="text1"/>
          <w:shd w:val="clear" w:color="auto" w:fill="FFFFFF"/>
          <w:lang w:val="es-ES"/>
        </w:rPr>
        <w:t xml:space="preserve">. </w:t>
      </w:r>
      <w:r w:rsidRPr="00983DE2">
        <w:rPr>
          <w:rStyle w:val="normaltextrun"/>
          <w:rFonts w:ascii="Verdana" w:hAnsi="Verdana" w:cs="Arial"/>
          <w:shd w:val="clear" w:color="auto" w:fill="FFFFFF"/>
          <w:lang w:val="es-ES"/>
        </w:rPr>
        <w:t>Estos y otros conceptos se encuentran disponibles para consulta en el Sistema de relatoría de la Agencia</w:t>
      </w:r>
      <w:r w:rsidRPr="00983DE2">
        <w:rPr>
          <w:rFonts w:ascii="Verdana" w:hAnsi="Verdana"/>
          <w:lang w:val="es-ES"/>
        </w:rPr>
        <w:t>, al cual puede accederse a través del siguiente enlace:</w:t>
      </w:r>
      <w:r w:rsidRPr="00983DE2">
        <w:rPr>
          <w:rStyle w:val="normaltextrun"/>
          <w:rFonts w:ascii="Verdana" w:hAnsi="Verdana" w:cs="Arial"/>
          <w:shd w:val="clear" w:color="auto" w:fill="FFFFFF"/>
          <w:lang w:val="es-ES"/>
        </w:rPr>
        <w:t xml:space="preserve"> </w:t>
      </w:r>
      <w:hyperlink r:id="rId12" w:history="1">
        <w:r w:rsidRPr="00983DE2">
          <w:rPr>
            <w:rStyle w:val="Hyperlink"/>
            <w:rFonts w:ascii="Verdana" w:hAnsi="Verdana" w:cs="Arial"/>
            <w:shd w:val="clear" w:color="auto" w:fill="FFFFFF"/>
            <w:lang w:val="es-ES"/>
          </w:rPr>
          <w:t>https://relatoria.colombiacompra.gov.co/busqueda/conceptos</w:t>
        </w:r>
      </w:hyperlink>
      <w:r w:rsidRPr="00983DE2">
        <w:rPr>
          <w:rStyle w:val="normaltextrun"/>
          <w:rFonts w:ascii="Verdana" w:hAnsi="Verdana" w:cs="Arial"/>
          <w:shd w:val="clear" w:color="auto" w:fill="FFFFFF"/>
          <w:lang w:val="es-ES"/>
        </w:rPr>
        <w:t>.</w:t>
      </w:r>
      <w:r w:rsidRPr="00983DE2">
        <w:rPr>
          <w:rStyle w:val="normaltextrun"/>
          <w:rFonts w:ascii="Verdana" w:hAnsi="Verdana" w:cs="Arial"/>
          <w:color w:val="FF0000"/>
          <w:shd w:val="clear" w:color="auto" w:fill="FFFFFF"/>
          <w:lang w:val="es-ES"/>
        </w:rPr>
        <w:t xml:space="preserve"> </w:t>
      </w:r>
    </w:p>
    <w:p w14:paraId="0201E228" w14:textId="77777777" w:rsidR="00545C2B" w:rsidRPr="00983DE2" w:rsidRDefault="00545C2B" w:rsidP="00545C2B">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D4DBC6D" w14:textId="77777777" w:rsidR="00545C2B" w:rsidRPr="00983DE2" w:rsidRDefault="00545C2B" w:rsidP="00545C2B">
      <w:pPr>
        <w:spacing w:after="0" w:line="276" w:lineRule="auto"/>
        <w:jc w:val="both"/>
        <w:rPr>
          <w:rFonts w:ascii="Verdana" w:hAnsi="Verdana"/>
          <w:lang w:val="es-ES"/>
        </w:rPr>
      </w:pPr>
      <w:r w:rsidRPr="00983DE2">
        <w:rPr>
          <w:rFonts w:ascii="Verdana" w:hAnsi="Verdana"/>
          <w:lang w:val="es-ES"/>
        </w:rPr>
        <w:t xml:space="preserve">Por último, lo invitamos a seguirnos en las redes sociales en las cuales se difunde información institucional: </w:t>
      </w:r>
    </w:p>
    <w:p w14:paraId="4A42554D" w14:textId="77777777" w:rsidR="00545C2B" w:rsidRPr="00983DE2" w:rsidRDefault="00545C2B" w:rsidP="00545C2B">
      <w:pPr>
        <w:spacing w:after="0" w:line="276" w:lineRule="auto"/>
        <w:jc w:val="both"/>
        <w:rPr>
          <w:rFonts w:ascii="Verdana" w:hAnsi="Verdana"/>
          <w:lang w:val="es-ES"/>
        </w:rPr>
      </w:pPr>
    </w:p>
    <w:p w14:paraId="6DCF4230" w14:textId="77777777" w:rsidR="00545C2B" w:rsidRPr="00983DE2" w:rsidRDefault="00545C2B" w:rsidP="00545C2B">
      <w:pPr>
        <w:spacing w:after="0" w:line="276" w:lineRule="auto"/>
        <w:jc w:val="both"/>
        <w:rPr>
          <w:rFonts w:ascii="Verdana" w:hAnsi="Verdana"/>
          <w:lang w:val="es-ES"/>
        </w:rPr>
      </w:pPr>
      <w:r w:rsidRPr="00983DE2">
        <w:rPr>
          <w:rFonts w:ascii="Verdana" w:hAnsi="Verdana"/>
          <w:lang w:val="es-ES"/>
        </w:rPr>
        <w:t xml:space="preserve">Twitter: </w:t>
      </w:r>
      <w:r w:rsidRPr="00983DE2">
        <w:rPr>
          <w:rStyle w:val="Hyperlink"/>
          <w:rFonts w:ascii="Verdana" w:hAnsi="Verdana" w:cs="Arial"/>
          <w:shd w:val="clear" w:color="auto" w:fill="FFFFFF"/>
          <w:lang w:val="es-ES"/>
        </w:rPr>
        <w:t>@colombiacompra</w:t>
      </w:r>
      <w:r w:rsidRPr="00983DE2">
        <w:rPr>
          <w:rFonts w:ascii="Verdana" w:hAnsi="Verdana"/>
          <w:color w:val="4472C4" w:themeColor="accent1"/>
          <w:lang w:val="es-ES"/>
        </w:rPr>
        <w:t xml:space="preserve"> </w:t>
      </w:r>
    </w:p>
    <w:p w14:paraId="432B15C3" w14:textId="77777777" w:rsidR="00545C2B" w:rsidRPr="00983DE2" w:rsidRDefault="00545C2B" w:rsidP="00545C2B">
      <w:pPr>
        <w:spacing w:after="0" w:line="276" w:lineRule="auto"/>
        <w:jc w:val="both"/>
        <w:rPr>
          <w:rFonts w:ascii="Verdana" w:hAnsi="Verdana"/>
          <w:lang w:val="es-ES"/>
        </w:rPr>
      </w:pPr>
      <w:r w:rsidRPr="00983DE2">
        <w:rPr>
          <w:rFonts w:ascii="Verdana" w:hAnsi="Verdana"/>
          <w:lang w:val="es-ES"/>
        </w:rPr>
        <w:t xml:space="preserve">Facebook: </w:t>
      </w:r>
      <w:proofErr w:type="spellStart"/>
      <w:r w:rsidRPr="00983DE2">
        <w:rPr>
          <w:rStyle w:val="Hyperlink"/>
          <w:rFonts w:ascii="Verdana" w:hAnsi="Verdana" w:cs="Arial"/>
          <w:shd w:val="clear" w:color="auto" w:fill="FFFFFF"/>
          <w:lang w:val="es-ES"/>
        </w:rPr>
        <w:t>ColombiaCompraEficiente</w:t>
      </w:r>
      <w:proofErr w:type="spellEnd"/>
    </w:p>
    <w:p w14:paraId="66EEAA16" w14:textId="77777777" w:rsidR="00545C2B" w:rsidRPr="00983DE2" w:rsidRDefault="00545C2B" w:rsidP="00545C2B">
      <w:pPr>
        <w:spacing w:after="0" w:line="276" w:lineRule="auto"/>
        <w:jc w:val="both"/>
        <w:rPr>
          <w:rFonts w:ascii="Verdana" w:hAnsi="Verdana"/>
          <w:lang w:val="es-ES"/>
        </w:rPr>
      </w:pPr>
      <w:r w:rsidRPr="00983DE2">
        <w:rPr>
          <w:rFonts w:ascii="Verdana" w:hAnsi="Verdana"/>
          <w:lang w:val="es-ES"/>
        </w:rPr>
        <w:t xml:space="preserve">LinkedIn: </w:t>
      </w:r>
      <w:r w:rsidRPr="00983DE2">
        <w:rPr>
          <w:rStyle w:val="Hyperlink"/>
          <w:rFonts w:ascii="Verdana" w:hAnsi="Verdana" w:cs="Arial"/>
          <w:shd w:val="clear" w:color="auto" w:fill="FFFFFF"/>
          <w:lang w:val="es-ES"/>
        </w:rPr>
        <w:t xml:space="preserve">Agencia Nacional de Contratación Pública - Colombia Compra Eficiente </w:t>
      </w:r>
      <w:r w:rsidRPr="00983DE2">
        <w:rPr>
          <w:rFonts w:ascii="Verdana" w:hAnsi="Verdana"/>
          <w:lang w:val="es-ES"/>
        </w:rPr>
        <w:t xml:space="preserve">Instagram: </w:t>
      </w:r>
      <w:r w:rsidRPr="00983DE2">
        <w:rPr>
          <w:rStyle w:val="Hyperlink"/>
          <w:rFonts w:ascii="Verdana" w:hAnsi="Verdana" w:cs="Arial"/>
          <w:shd w:val="clear" w:color="auto" w:fill="FFFFFF"/>
          <w:lang w:val="es-ES"/>
        </w:rPr>
        <w:t>@colombiacompraeficiente_cce</w:t>
      </w:r>
    </w:p>
    <w:p w14:paraId="6CFFFC6F" w14:textId="77777777" w:rsidR="00545C2B" w:rsidRPr="00983DE2" w:rsidRDefault="00545C2B" w:rsidP="00545C2B">
      <w:pPr>
        <w:widowControl w:val="0"/>
        <w:autoSpaceDE w:val="0"/>
        <w:autoSpaceDN w:val="0"/>
        <w:spacing w:after="0" w:line="276" w:lineRule="auto"/>
        <w:jc w:val="both"/>
        <w:rPr>
          <w:rFonts w:ascii="Verdana" w:hAnsi="Verdana" w:cs="Arial"/>
          <w:color w:val="000000" w:themeColor="text1"/>
          <w:lang w:val="es-ES"/>
        </w:rPr>
      </w:pPr>
    </w:p>
    <w:p w14:paraId="3384247D" w14:textId="77777777" w:rsidR="00545C2B" w:rsidRPr="00983DE2" w:rsidRDefault="00545C2B" w:rsidP="00545C2B">
      <w:pPr>
        <w:widowControl w:val="0"/>
        <w:autoSpaceDE w:val="0"/>
        <w:autoSpaceDN w:val="0"/>
        <w:spacing w:after="0" w:line="276" w:lineRule="auto"/>
        <w:jc w:val="both"/>
        <w:rPr>
          <w:rFonts w:ascii="Verdana" w:hAnsi="Verdana" w:cs="Arial"/>
          <w:color w:val="000000" w:themeColor="text1"/>
          <w:lang w:val="es-ES"/>
        </w:rPr>
      </w:pPr>
      <w:r w:rsidRPr="00983DE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F78941E" w14:textId="50F392FE" w:rsidR="00545C2B" w:rsidRPr="00983DE2" w:rsidRDefault="00545C2B" w:rsidP="00545C2B">
      <w:pPr>
        <w:widowControl w:val="0"/>
        <w:autoSpaceDE w:val="0"/>
        <w:autoSpaceDN w:val="0"/>
        <w:spacing w:after="0" w:line="276" w:lineRule="auto"/>
        <w:jc w:val="both"/>
        <w:rPr>
          <w:rFonts w:ascii="Verdana" w:hAnsi="Verdana" w:cs="Arial"/>
          <w:color w:val="000000" w:themeColor="text1"/>
          <w:lang w:val="es-ES"/>
        </w:rPr>
      </w:pPr>
    </w:p>
    <w:p w14:paraId="7FD73263" w14:textId="2B5AEE45" w:rsidR="00545C2B" w:rsidRPr="00983DE2" w:rsidRDefault="00645DC9" w:rsidP="00545C2B">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665C5328" wp14:editId="2E29387B">
            <wp:simplePos x="0" y="0"/>
            <wp:positionH relativeFrom="column">
              <wp:posOffset>1107049</wp:posOffset>
            </wp:positionH>
            <wp:positionV relativeFrom="paragraph">
              <wp:posOffset>198120</wp:posOffset>
            </wp:positionV>
            <wp:extent cx="3474720" cy="1289685"/>
            <wp:effectExtent l="0" t="0" r="5080" b="5715"/>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474720" cy="1289685"/>
                    </a:xfrm>
                    <a:prstGeom prst="rect">
                      <a:avLst/>
                    </a:prstGeom>
                  </pic:spPr>
                </pic:pic>
              </a:graphicData>
            </a:graphic>
            <wp14:sizeRelH relativeFrom="page">
              <wp14:pctWidth>0</wp14:pctWidth>
            </wp14:sizeRelH>
            <wp14:sizeRelV relativeFrom="page">
              <wp14:pctHeight>0</wp14:pctHeight>
            </wp14:sizeRelV>
          </wp:anchor>
        </w:drawing>
      </w:r>
      <w:r w:rsidR="00545C2B" w:rsidRPr="00983DE2">
        <w:rPr>
          <w:rFonts w:ascii="Verdana" w:eastAsia="Times New Roman" w:hAnsi="Verdana" w:cs="Arial"/>
          <w:color w:val="000000" w:themeColor="text1"/>
          <w:lang w:val="es-ES" w:eastAsia="es-CO"/>
        </w:rPr>
        <w:t>Atentamente,</w:t>
      </w:r>
      <w:r w:rsidR="00545C2B" w:rsidRPr="00983DE2">
        <w:rPr>
          <w:rFonts w:ascii="Verdana" w:hAnsi="Verdana" w:cs="Arial"/>
          <w:color w:val="000000" w:themeColor="text1"/>
          <w:lang w:val="es-ES" w:eastAsia="es-CO"/>
        </w:rPr>
        <w:t xml:space="preserve"> </w:t>
      </w:r>
    </w:p>
    <w:bookmarkEnd w:id="0"/>
    <w:p w14:paraId="7DB50AF4" w14:textId="495D1EEE" w:rsidR="00545C2B" w:rsidRPr="00983DE2" w:rsidRDefault="00545C2B" w:rsidP="00545C2B">
      <w:pPr>
        <w:spacing w:line="276" w:lineRule="auto"/>
        <w:jc w:val="center"/>
        <w:rPr>
          <w:rFonts w:ascii="Verdana" w:hAnsi="Verdana" w:cs="Arial"/>
          <w:color w:val="000000" w:themeColor="text1"/>
          <w:lang w:val="es-ES" w:eastAsia="es-CO"/>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45C2B" w:rsidRPr="00983DE2" w14:paraId="63169E08" w14:textId="77777777" w:rsidTr="005D23AD">
        <w:trPr>
          <w:trHeight w:val="315"/>
        </w:trPr>
        <w:tc>
          <w:tcPr>
            <w:tcW w:w="893" w:type="dxa"/>
            <w:vAlign w:val="center"/>
            <w:hideMark/>
          </w:tcPr>
          <w:p w14:paraId="257230BF" w14:textId="77777777" w:rsidR="00545C2B" w:rsidRPr="00983DE2" w:rsidRDefault="00545C2B" w:rsidP="005D23AD">
            <w:pPr>
              <w:contextualSpacing/>
              <w:rPr>
                <w:rFonts w:ascii="Verdana" w:hAnsi="Verdana" w:cs="Arial"/>
                <w:sz w:val="15"/>
                <w:szCs w:val="15"/>
                <w:lang w:val="es-ES" w:eastAsia="es-ES"/>
              </w:rPr>
            </w:pPr>
            <w:r w:rsidRPr="00983DE2">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28C4DDD7" w14:textId="77777777" w:rsidR="00545C2B" w:rsidRPr="00983DE2" w:rsidRDefault="00545C2B" w:rsidP="005D23AD">
            <w:pPr>
              <w:contextualSpacing/>
              <w:rPr>
                <w:rFonts w:ascii="Verdana" w:eastAsia="Arial" w:hAnsi="Verdana" w:cs="Arial"/>
                <w:color w:val="000000" w:themeColor="text1"/>
                <w:sz w:val="15"/>
                <w:szCs w:val="15"/>
                <w:lang w:val="es-ES"/>
              </w:rPr>
            </w:pPr>
            <w:r w:rsidRPr="00983DE2">
              <w:rPr>
                <w:rFonts w:ascii="Verdana" w:eastAsia="Arial" w:hAnsi="Verdana" w:cs="Arial"/>
                <w:color w:val="000000" w:themeColor="text1"/>
                <w:sz w:val="15"/>
                <w:szCs w:val="15"/>
                <w:lang w:val="es-ES"/>
              </w:rPr>
              <w:t>Anamaría Bonilla Prieto</w:t>
            </w:r>
          </w:p>
          <w:p w14:paraId="237F3B67" w14:textId="77777777" w:rsidR="00545C2B" w:rsidRPr="00983DE2" w:rsidRDefault="00545C2B" w:rsidP="005D23AD">
            <w:pPr>
              <w:contextualSpacing/>
              <w:rPr>
                <w:rFonts w:ascii="Verdana" w:eastAsia="Arial" w:hAnsi="Verdana" w:cs="Arial"/>
                <w:sz w:val="15"/>
                <w:szCs w:val="15"/>
                <w:lang w:val="es-ES"/>
              </w:rPr>
            </w:pPr>
            <w:r w:rsidRPr="00983DE2">
              <w:rPr>
                <w:rStyle w:val="normaltextrun"/>
                <w:rFonts w:ascii="Verdana" w:eastAsia="Arial" w:hAnsi="Verdana" w:cs="Arial"/>
                <w:color w:val="000000" w:themeColor="text1"/>
                <w:sz w:val="15"/>
                <w:szCs w:val="15"/>
                <w:lang w:val="es-ES"/>
              </w:rPr>
              <w:t xml:space="preserve">Contratista de la Subdirección </w:t>
            </w:r>
            <w:r w:rsidRPr="00983DE2">
              <w:rPr>
                <w:rStyle w:val="normaltextrun"/>
                <w:rFonts w:ascii="Verdana" w:eastAsia="Arial" w:hAnsi="Verdana" w:cs="Arial"/>
                <w:sz w:val="15"/>
                <w:szCs w:val="15"/>
                <w:lang w:val="es-ES"/>
              </w:rPr>
              <w:t>de Gestión Contractual</w:t>
            </w:r>
          </w:p>
        </w:tc>
      </w:tr>
      <w:tr w:rsidR="00545C2B" w:rsidRPr="00983DE2" w14:paraId="735FB74D" w14:textId="77777777" w:rsidTr="005D23AD">
        <w:trPr>
          <w:trHeight w:val="330"/>
        </w:trPr>
        <w:tc>
          <w:tcPr>
            <w:tcW w:w="893" w:type="dxa"/>
            <w:vAlign w:val="center"/>
            <w:hideMark/>
          </w:tcPr>
          <w:p w14:paraId="75B97AE9" w14:textId="77777777" w:rsidR="00545C2B" w:rsidRPr="00983DE2" w:rsidRDefault="00545C2B" w:rsidP="005D23AD">
            <w:pPr>
              <w:contextualSpacing/>
              <w:rPr>
                <w:rFonts w:ascii="Verdana" w:hAnsi="Verdana" w:cs="Arial"/>
                <w:sz w:val="15"/>
                <w:szCs w:val="15"/>
                <w:lang w:val="es-ES" w:eastAsia="es-ES"/>
              </w:rPr>
            </w:pPr>
            <w:r w:rsidRPr="00983DE2">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AD2CF6" w14:textId="77777777" w:rsidR="00545C2B" w:rsidRPr="00983DE2" w:rsidRDefault="00545C2B" w:rsidP="005D23AD">
            <w:pPr>
              <w:contextualSpacing/>
              <w:rPr>
                <w:rFonts w:ascii="Verdana" w:eastAsia="Arial" w:hAnsi="Verdana" w:cs="Arial"/>
                <w:color w:val="000000" w:themeColor="text1"/>
                <w:sz w:val="15"/>
                <w:szCs w:val="15"/>
                <w:lang w:val="es-ES"/>
              </w:rPr>
            </w:pPr>
            <w:r w:rsidRPr="00983DE2">
              <w:rPr>
                <w:rFonts w:ascii="Verdana" w:eastAsia="Arial" w:hAnsi="Verdana" w:cs="Arial"/>
                <w:color w:val="000000" w:themeColor="text1"/>
                <w:sz w:val="15"/>
                <w:szCs w:val="15"/>
                <w:lang w:val="es-ES"/>
              </w:rPr>
              <w:t>Alejandro Sarmiento Cantillo</w:t>
            </w:r>
          </w:p>
          <w:p w14:paraId="79A2BDFE" w14:textId="77777777" w:rsidR="00545C2B" w:rsidRPr="00983DE2" w:rsidRDefault="00545C2B" w:rsidP="005D23AD">
            <w:pPr>
              <w:contextualSpacing/>
              <w:rPr>
                <w:rFonts w:ascii="Verdana" w:hAnsi="Verdana" w:cs="Segoe UI"/>
                <w:sz w:val="15"/>
                <w:szCs w:val="15"/>
                <w:lang w:val="es-ES"/>
              </w:rPr>
            </w:pPr>
            <w:r w:rsidRPr="00983DE2">
              <w:rPr>
                <w:rFonts w:ascii="Verdana" w:eastAsia="Arial" w:hAnsi="Verdana" w:cs="Arial"/>
                <w:color w:val="000000" w:themeColor="text1"/>
                <w:sz w:val="15"/>
                <w:szCs w:val="15"/>
                <w:lang w:val="es-ES"/>
              </w:rPr>
              <w:t>Gestor T1 – 15 de la Subdirección de Gestión Contractual</w:t>
            </w:r>
            <w:r w:rsidRPr="00983DE2">
              <w:rPr>
                <w:rFonts w:ascii="Verdana" w:hAnsi="Verdana" w:cs="Segoe UI"/>
                <w:sz w:val="15"/>
                <w:szCs w:val="15"/>
                <w:lang w:val="es-ES"/>
              </w:rPr>
              <w:t> </w:t>
            </w:r>
          </w:p>
        </w:tc>
      </w:tr>
      <w:tr w:rsidR="00545C2B" w:rsidRPr="00983DE2" w14:paraId="660175E5" w14:textId="77777777" w:rsidTr="005D23AD">
        <w:trPr>
          <w:trHeight w:val="300"/>
        </w:trPr>
        <w:tc>
          <w:tcPr>
            <w:tcW w:w="893" w:type="dxa"/>
            <w:vAlign w:val="center"/>
          </w:tcPr>
          <w:p w14:paraId="3A07F2E5" w14:textId="77777777" w:rsidR="00545C2B" w:rsidRPr="00983DE2" w:rsidRDefault="00545C2B" w:rsidP="005D23AD">
            <w:pPr>
              <w:contextualSpacing/>
              <w:rPr>
                <w:rFonts w:ascii="Verdana" w:hAnsi="Verdana" w:cs="Arial"/>
                <w:sz w:val="15"/>
                <w:szCs w:val="15"/>
                <w:lang w:val="es-ES" w:eastAsia="es-ES"/>
              </w:rPr>
            </w:pPr>
            <w:r w:rsidRPr="00983DE2">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DFE00A6" w14:textId="77777777" w:rsidR="00545C2B" w:rsidRPr="00983DE2" w:rsidRDefault="00545C2B" w:rsidP="005D23AD">
            <w:pPr>
              <w:contextualSpacing/>
              <w:rPr>
                <w:rFonts w:ascii="Verdana" w:eastAsia="Calibri" w:hAnsi="Verdana" w:cs="Arial"/>
                <w:sz w:val="15"/>
                <w:szCs w:val="15"/>
                <w:lang w:val="es-ES" w:eastAsia="es-ES"/>
              </w:rPr>
            </w:pPr>
            <w:r w:rsidRPr="00983DE2">
              <w:rPr>
                <w:rFonts w:ascii="Verdana" w:eastAsia="Calibri" w:hAnsi="Verdana" w:cs="Arial"/>
                <w:sz w:val="15"/>
                <w:szCs w:val="15"/>
                <w:lang w:val="es-ES" w:eastAsia="es-ES"/>
              </w:rPr>
              <w:t>Carolina Quintero Gacharná</w:t>
            </w:r>
          </w:p>
          <w:p w14:paraId="746BC8C0" w14:textId="77777777" w:rsidR="00545C2B" w:rsidRPr="00983DE2" w:rsidRDefault="00545C2B" w:rsidP="005D23AD">
            <w:pPr>
              <w:contextualSpacing/>
              <w:rPr>
                <w:rFonts w:ascii="Verdana" w:eastAsia="Calibri" w:hAnsi="Verdana" w:cs="Arial"/>
                <w:sz w:val="15"/>
                <w:szCs w:val="15"/>
                <w:lang w:val="es-ES" w:eastAsia="es-ES"/>
              </w:rPr>
            </w:pPr>
            <w:r w:rsidRPr="00983DE2">
              <w:rPr>
                <w:rFonts w:ascii="Verdana" w:eastAsia="Calibri" w:hAnsi="Verdana" w:cs="Arial"/>
                <w:sz w:val="15"/>
                <w:szCs w:val="15"/>
                <w:lang w:val="es-ES" w:eastAsia="es-ES"/>
              </w:rPr>
              <w:t>Subdirectora de Gestión Contractual ANCP – CCE</w:t>
            </w:r>
          </w:p>
        </w:tc>
      </w:tr>
    </w:tbl>
    <w:p w14:paraId="0F293BF4" w14:textId="36FBEE00" w:rsidR="00127233" w:rsidRPr="00983DE2" w:rsidRDefault="00127233" w:rsidP="00645DC9">
      <w:pPr>
        <w:rPr>
          <w:lang w:val="es-ES"/>
        </w:rPr>
      </w:pPr>
    </w:p>
    <w:sectPr w:rsidR="00127233" w:rsidRPr="00983DE2"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0BA46A" w14:textId="77777777" w:rsidR="00C7272D" w:rsidRDefault="00C7272D" w:rsidP="004A1847">
      <w:pPr>
        <w:spacing w:after="0" w:line="240" w:lineRule="auto"/>
      </w:pPr>
      <w:r>
        <w:separator/>
      </w:r>
    </w:p>
  </w:endnote>
  <w:endnote w:type="continuationSeparator" w:id="0">
    <w:p w14:paraId="04731803" w14:textId="77777777" w:rsidR="00C7272D" w:rsidRDefault="00C7272D" w:rsidP="004A1847">
      <w:pPr>
        <w:spacing w:after="0" w:line="240" w:lineRule="auto"/>
      </w:pPr>
      <w:r>
        <w:continuationSeparator/>
      </w:r>
    </w:p>
  </w:endnote>
  <w:endnote w:type="continuationNotice" w:id="1">
    <w:p w14:paraId="3EEE7184" w14:textId="77777777" w:rsidR="00C7272D" w:rsidRDefault="00C727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732A8E" w14:textId="77777777" w:rsidR="00C7272D" w:rsidRDefault="00C7272D" w:rsidP="004A1847">
      <w:pPr>
        <w:spacing w:after="0" w:line="240" w:lineRule="auto"/>
      </w:pPr>
      <w:r>
        <w:separator/>
      </w:r>
    </w:p>
  </w:footnote>
  <w:footnote w:type="continuationSeparator" w:id="0">
    <w:p w14:paraId="25530FBB" w14:textId="77777777" w:rsidR="00C7272D" w:rsidRDefault="00C7272D" w:rsidP="004A1847">
      <w:pPr>
        <w:spacing w:after="0" w:line="240" w:lineRule="auto"/>
      </w:pPr>
      <w:r>
        <w:continuationSeparator/>
      </w:r>
    </w:p>
  </w:footnote>
  <w:footnote w:type="continuationNotice" w:id="1">
    <w:p w14:paraId="5879095B" w14:textId="77777777" w:rsidR="00C7272D" w:rsidRDefault="00C7272D">
      <w:pPr>
        <w:spacing w:after="0" w:line="240" w:lineRule="auto"/>
      </w:pPr>
    </w:p>
  </w:footnote>
  <w:footnote w:id="2">
    <w:p w14:paraId="0A415B39"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Style w:val="FootnoteReference"/>
          <w:rFonts w:ascii="Verdana" w:hAnsi="Verdana"/>
          <w:sz w:val="16"/>
          <w:szCs w:val="16"/>
        </w:rPr>
        <w:footnoteRef/>
      </w:r>
      <w:r w:rsidRPr="00B85689">
        <w:rPr>
          <w:rFonts w:ascii="Verdana" w:hAnsi="Verdana"/>
          <w:sz w:val="16"/>
          <w:szCs w:val="16"/>
        </w:rPr>
        <w:t xml:space="preserve"> El artículo 2.2.1.2.3.1.17 del Decreto 1082 de 2015 prescribe lo siguiente: “El valor asegurado por los contratos de seguro que amparan la responsabilidad civil extracontractual no debe ser inferior a:</w:t>
      </w:r>
    </w:p>
    <w:p w14:paraId="0855423F"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1. Doscientos (200) smmlv para contratos cuyo valor sea inferior o igual a mil quinientos (1.500) smmlv.</w:t>
      </w:r>
    </w:p>
    <w:p w14:paraId="49DB28A1"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2. Trescientos (300) smmlv para contratos cuyo valor sea superior a mil quinientos (1.500) smmlv e inferior o igual a dos mil quinientos (2.500) smmlv.</w:t>
      </w:r>
    </w:p>
    <w:p w14:paraId="77B275BC"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 Cuatrocientos (400) smmlv para contratos cuyo valor sea superior a dos mil quinientos (2.500) smmlv e inferior o igual a cinco mil (5.000) smmlv.</w:t>
      </w:r>
    </w:p>
    <w:p w14:paraId="145BB7EB"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4. Quinientos (500) smmlv para contratos cuyo valor sea superior a cinco mil (5.000) smmlv e inferior o igual a diez mil (10.000) smmlv.</w:t>
      </w:r>
    </w:p>
    <w:p w14:paraId="1DAB6759"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5. El cinco por ciento (5%) del valor del contrato cuando este sea superior a diez mil (10.000) smmlv, caso en el cual el valor asegurado debe ser máximo setenta y cinco mil (75.000) smmlv.</w:t>
      </w:r>
    </w:p>
    <w:p w14:paraId="53A884EB"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La vigencia de esta garantía deberá ser igual al período de ejecución del contrato”.</w:t>
      </w:r>
    </w:p>
  </w:footnote>
  <w:footnote w:id="3">
    <w:p w14:paraId="02FFFF12"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rPr>
        <w:t xml:space="preserve">CORTE CONSTITUCIONAL. Sentencia C-452 de 1999. M.P. Eduardo Cifuentes Muñoz. </w:t>
      </w:r>
    </w:p>
  </w:footnote>
  <w:footnote w:id="4">
    <w:p w14:paraId="31E904E5"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rPr>
        <w:t>DROMI, José Roberto. La licitación pública. Buenos Aires: Ciudad Argentina, 1980. pp. 288-289.</w:t>
      </w:r>
    </w:p>
  </w:footnote>
  <w:footnote w:id="5">
    <w:p w14:paraId="536D973D" w14:textId="77777777" w:rsidR="00545C2B" w:rsidRPr="00B85689" w:rsidRDefault="00545C2B" w:rsidP="00545C2B">
      <w:pPr>
        <w:pStyle w:val="FootnoteText"/>
        <w:snapToGrid w:val="0"/>
        <w:ind w:firstLine="708"/>
        <w:contextualSpacing/>
        <w:jc w:val="both"/>
        <w:rPr>
          <w:rFonts w:ascii="Verdana" w:hAnsi="Verdana" w:cs="Arial"/>
          <w:sz w:val="16"/>
          <w:szCs w:val="16"/>
        </w:rPr>
      </w:pPr>
      <w:r w:rsidRPr="00B85689">
        <w:rPr>
          <w:rStyle w:val="FootnoteReference"/>
          <w:rFonts w:ascii="Verdana" w:hAnsi="Verdana" w:cs="Arial"/>
          <w:sz w:val="16"/>
          <w:szCs w:val="16"/>
        </w:rPr>
        <w:footnoteRef/>
      </w:r>
      <w:r w:rsidRPr="00B85689">
        <w:rPr>
          <w:rFonts w:ascii="Verdana" w:hAnsi="Verdana" w:cs="Arial"/>
          <w:sz w:val="16"/>
          <w:szCs w:val="16"/>
        </w:rPr>
        <w:t xml:space="preserve"> </w:t>
      </w:r>
      <w:r w:rsidRPr="00B85689">
        <w:rPr>
          <w:rFonts w:ascii="Verdana" w:hAnsi="Verdana" w:cs="Arial"/>
          <w:sz w:val="16"/>
          <w:szCs w:val="16"/>
        </w:rPr>
        <w:t>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6">
    <w:p w14:paraId="2E4FEC08" w14:textId="77777777" w:rsidR="00545C2B" w:rsidRPr="00B85689" w:rsidRDefault="00545C2B" w:rsidP="00545C2B">
      <w:pPr>
        <w:pStyle w:val="FootnoteText"/>
        <w:snapToGrid w:val="0"/>
        <w:ind w:firstLine="709"/>
        <w:contextualSpacing/>
        <w:jc w:val="both"/>
        <w:rPr>
          <w:rFonts w:ascii="Verdana" w:hAnsi="Verdana" w:cs="Arial"/>
          <w:color w:val="000000" w:themeColor="text1"/>
          <w:sz w:val="16"/>
          <w:szCs w:val="16"/>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rPr>
        <w:t>ORDÓÑEZ ORDÓÑEZ, Andrés E. Seguro de cumplimiento de los contratos estatales en Colombia. Bogotá: Universidad Externado de Colombia, 2011. p. 44.</w:t>
      </w:r>
    </w:p>
  </w:footnote>
  <w:footnote w:id="7">
    <w:p w14:paraId="4B1EC5D3" w14:textId="77777777" w:rsidR="00545C2B" w:rsidRPr="00B85689" w:rsidRDefault="00545C2B" w:rsidP="00545C2B">
      <w:pPr>
        <w:pStyle w:val="FootnoteText"/>
        <w:snapToGrid w:val="0"/>
        <w:ind w:firstLine="709"/>
        <w:contextualSpacing/>
        <w:jc w:val="both"/>
        <w:rPr>
          <w:rFonts w:ascii="Verdana" w:hAnsi="Verdana" w:cs="Arial"/>
          <w:color w:val="000000" w:themeColor="text1"/>
          <w:sz w:val="16"/>
          <w:szCs w:val="16"/>
          <w:lang w:val="es-ES"/>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rPr>
        <w:t xml:space="preserve">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B85689">
        <w:rPr>
          <w:rFonts w:ascii="Verdana" w:hAnsi="Verdana" w:cs="Arial"/>
          <w:color w:val="000000" w:themeColor="text1"/>
          <w:sz w:val="16"/>
          <w:szCs w:val="16"/>
          <w:lang w:val="es-ES"/>
        </w:rPr>
        <w:t xml:space="preserve">Igualmente, el inciso primero del artículo 1071 </w:t>
      </w:r>
      <w:r w:rsidRPr="00B85689">
        <w:rPr>
          <w:rFonts w:ascii="Verdana" w:hAnsi="Verdana" w:cs="Arial"/>
          <w:i/>
          <w:iCs/>
          <w:color w:val="000000" w:themeColor="text1"/>
          <w:sz w:val="16"/>
          <w:szCs w:val="16"/>
          <w:lang w:val="es-ES"/>
        </w:rPr>
        <w:t>ibidem</w:t>
      </w:r>
      <w:r w:rsidRPr="00B85689">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8">
    <w:p w14:paraId="7697FE19" w14:textId="77777777" w:rsidR="00545C2B" w:rsidRPr="00B85689" w:rsidRDefault="00545C2B" w:rsidP="00545C2B">
      <w:pPr>
        <w:pStyle w:val="FootnoteText"/>
        <w:snapToGrid w:val="0"/>
        <w:ind w:firstLine="709"/>
        <w:contextualSpacing/>
        <w:jc w:val="both"/>
        <w:rPr>
          <w:rFonts w:ascii="Verdana" w:hAnsi="Verdana" w:cs="Arial"/>
          <w:color w:val="000000" w:themeColor="text1"/>
          <w:sz w:val="16"/>
          <w:szCs w:val="16"/>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9">
    <w:p w14:paraId="3FFC0C1A"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43692793"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341FFBFC"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4A12B442"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4A9A2D47"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17C7ECD0"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10">
    <w:p w14:paraId="6BD4B03E"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Style w:val="FootnoteReferenc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lang w:val="es-CO"/>
        </w:rPr>
        <w:t xml:space="preserve">“Artículo </w:t>
      </w:r>
      <w:bookmarkStart w:id="3" w:name="_Hlk67919994"/>
      <w:r w:rsidRPr="00B85689">
        <w:rPr>
          <w:rFonts w:ascii="Verdana" w:hAnsi="Verdana" w:cs="Arial"/>
          <w:color w:val="000000" w:themeColor="text1"/>
          <w:sz w:val="16"/>
          <w:szCs w:val="16"/>
          <w:lang w:val="es-CO"/>
        </w:rPr>
        <w:t>2.2.1.2.3.1.7</w:t>
      </w:r>
      <w:bookmarkEnd w:id="3"/>
      <w:r w:rsidRPr="00B85689">
        <w:rPr>
          <w:rFonts w:ascii="Verdana" w:hAnsi="Verdana" w:cs="Arial"/>
          <w:color w:val="000000" w:themeColor="text1"/>
          <w:sz w:val="16"/>
          <w:szCs w:val="16"/>
          <w:lang w:val="es-CO"/>
        </w:rPr>
        <w:t xml:space="preserve">. Garantía de cumplimiento. La garantía de cumplimiento del contrato debe cubrir: </w:t>
      </w:r>
    </w:p>
    <w:p w14:paraId="597A1BB4" w14:textId="77777777" w:rsidR="00545C2B" w:rsidRPr="00B85689" w:rsidRDefault="00545C2B" w:rsidP="00545C2B">
      <w:pPr>
        <w:pStyle w:val="FootnoteText"/>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w:t>
      </w:r>
      <w:proofErr w:type="spellStart"/>
      <w:r w:rsidRPr="00B85689">
        <w:rPr>
          <w:rFonts w:ascii="Verdana" w:hAnsi="Verdana" w:cs="Arial"/>
          <w:color w:val="000000" w:themeColor="text1"/>
          <w:sz w:val="16"/>
          <w:szCs w:val="16"/>
          <w:lang w:val="es-CO"/>
        </w:rPr>
        <w:t>ii</w:t>
      </w:r>
      <w:proofErr w:type="spellEnd"/>
      <w:r w:rsidRPr="00B85689">
        <w:rPr>
          <w:rFonts w:ascii="Verdana" w:hAnsi="Verdana" w:cs="Arial"/>
          <w:color w:val="000000" w:themeColor="text1"/>
          <w:sz w:val="16"/>
          <w:szCs w:val="16"/>
          <w:lang w:val="es-CO"/>
        </w:rPr>
        <w:t>) el uso indebido del anticipo; y (</w:t>
      </w:r>
      <w:proofErr w:type="spellStart"/>
      <w:r w:rsidRPr="00B85689">
        <w:rPr>
          <w:rFonts w:ascii="Verdana" w:hAnsi="Verdana" w:cs="Arial"/>
          <w:color w:val="000000" w:themeColor="text1"/>
          <w:sz w:val="16"/>
          <w:szCs w:val="16"/>
          <w:lang w:val="es-CO"/>
        </w:rPr>
        <w:t>iii</w:t>
      </w:r>
      <w:proofErr w:type="spellEnd"/>
      <w:r w:rsidRPr="00B85689">
        <w:rPr>
          <w:rFonts w:ascii="Verdana" w:hAnsi="Verdana" w:cs="Arial"/>
          <w:color w:val="000000" w:themeColor="text1"/>
          <w:sz w:val="16"/>
          <w:szCs w:val="16"/>
          <w:lang w:val="es-CO"/>
        </w:rPr>
        <w:t>) la apropiación indebida de los recursos recibidos en calidad de anticipo</w:t>
      </w:r>
    </w:p>
    <w:p w14:paraId="3C85B8DC"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71119C0C"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 Cumplimiento del contrato. Este amparo cubre a la Entidad Estatal de los perjuicios derivados de: </w:t>
      </w:r>
    </w:p>
    <w:p w14:paraId="4B9C672E" w14:textId="77777777" w:rsidR="00545C2B" w:rsidRPr="00B85689" w:rsidRDefault="00545C2B" w:rsidP="00545C2B">
      <w:pPr>
        <w:pStyle w:val="FootnoteText"/>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 xml:space="preserve">3.1. </w:t>
      </w:r>
      <w:bookmarkStart w:id="4" w:name="_Hlk67920056"/>
      <w:r w:rsidRPr="00B85689">
        <w:rPr>
          <w:rFonts w:ascii="Verdana" w:hAnsi="Verdana" w:cs="Arial"/>
          <w:color w:val="000000" w:themeColor="text1"/>
          <w:sz w:val="16"/>
          <w:szCs w:val="16"/>
          <w:lang w:val="es-CO"/>
        </w:rPr>
        <w:t xml:space="preserve">El incumplimiento total o parcial del contrato, cuando el incumplimiento es imputable al contratista; </w:t>
      </w:r>
    </w:p>
    <w:p w14:paraId="4A2F1C10" w14:textId="77777777" w:rsidR="00545C2B" w:rsidRPr="00B85689" w:rsidRDefault="00545C2B" w:rsidP="00545C2B">
      <w:pPr>
        <w:pStyle w:val="FootnoteText"/>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0C546F2D"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4"/>
    <w:p w14:paraId="1E39D144"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3.4. El pago del valor de las multas y de la cláusula penal pecuniaria. </w:t>
      </w:r>
    </w:p>
    <w:p w14:paraId="2B1DCEDC"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31958765"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5077ED61"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23DA8B37"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121B82D1"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44764A7E" w14:textId="77777777" w:rsidR="00545C2B" w:rsidRPr="00B85689" w:rsidRDefault="00545C2B" w:rsidP="00545C2B">
      <w:pPr>
        <w:pStyle w:val="FootnoteText"/>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8. </w:t>
      </w:r>
      <w:bookmarkStart w:id="5" w:name="_Hlk143267015"/>
      <w:r w:rsidRPr="00B85689">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5"/>
      <w:r w:rsidRPr="00B85689">
        <w:rPr>
          <w:rFonts w:ascii="Verdana" w:hAnsi="Verdana" w:cs="Arial"/>
          <w:color w:val="000000" w:themeColor="text1"/>
          <w:sz w:val="16"/>
          <w:szCs w:val="16"/>
          <w:lang w:val="es-CO"/>
        </w:rPr>
        <w:t>”.</w:t>
      </w:r>
    </w:p>
  </w:footnote>
  <w:footnote w:id="11">
    <w:p w14:paraId="091490F4" w14:textId="10EAFC56" w:rsidR="00545C2B" w:rsidRPr="00B85689" w:rsidRDefault="00545C2B" w:rsidP="00545C2B">
      <w:pPr>
        <w:pStyle w:val="FootnoteText"/>
        <w:ind w:firstLine="708"/>
        <w:jc w:val="both"/>
        <w:rPr>
          <w:rFonts w:ascii="Verdana" w:hAnsi="Verdana"/>
          <w:sz w:val="16"/>
          <w:szCs w:val="16"/>
          <w:lang w:val="es-ES"/>
        </w:rPr>
      </w:pPr>
      <w:r w:rsidRPr="00B85689">
        <w:rPr>
          <w:rStyle w:val="FootnoteReference"/>
          <w:rFonts w:ascii="Verdana" w:hAnsi="Verdana"/>
          <w:sz w:val="16"/>
          <w:szCs w:val="16"/>
        </w:rPr>
        <w:footnoteRef/>
      </w:r>
      <w:r w:rsidRPr="00B85689">
        <w:rPr>
          <w:rFonts w:ascii="Verdana" w:hAnsi="Verdana"/>
          <w:sz w:val="16"/>
          <w:szCs w:val="16"/>
        </w:rPr>
        <w:t xml:space="preserve"> </w:t>
      </w:r>
      <w:r w:rsidRPr="00B85689">
        <w:rPr>
          <w:rFonts w:ascii="Verdana" w:hAnsi="Verdana"/>
          <w:sz w:val="16"/>
          <w:szCs w:val="16"/>
          <w:lang w:val="es-CO"/>
        </w:rPr>
        <w:t xml:space="preserve">Concepto C-069 del 27 de mayo de 2024 disponible en: </w:t>
      </w:r>
      <w:hyperlink r:id="rId1" w:history="1">
        <w:r w:rsidRPr="00B85689">
          <w:rPr>
            <w:rStyle w:val="Hyperlink"/>
            <w:rFonts w:ascii="Verdana" w:hAnsi="Verdana"/>
            <w:sz w:val="16"/>
            <w:szCs w:val="16"/>
            <w:lang w:val="es-CO"/>
          </w:rPr>
          <w:t>https://relatoria.colombiacompra.gov.co/conceptos/c-069-de-2024/</w:t>
        </w:r>
      </w:hyperlink>
      <w:r w:rsidRPr="00B85689">
        <w:rPr>
          <w:rFonts w:ascii="Verdana" w:hAnsi="Verdana"/>
          <w:sz w:val="16"/>
          <w:szCs w:val="16"/>
          <w:lang w:val="es-CO"/>
        </w:rPr>
        <w:t xml:space="preserve"> </w:t>
      </w:r>
    </w:p>
  </w:footnote>
  <w:footnote w:id="12">
    <w:p w14:paraId="7509978F"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Style w:val="FootnoteReference"/>
          <w:rFonts w:ascii="Verdana" w:hAnsi="Verdana"/>
          <w:sz w:val="16"/>
          <w:szCs w:val="16"/>
        </w:rPr>
        <w:footnoteRef/>
      </w:r>
      <w:r w:rsidRPr="00B85689">
        <w:rPr>
          <w:rFonts w:ascii="Verdana" w:hAnsi="Verdana"/>
          <w:sz w:val="16"/>
          <w:szCs w:val="16"/>
        </w:rPr>
        <w:t xml:space="preserve"> El artículo 2.2.1.2.3.2.9 del Decreto 1082 de 2015 dispone que “El amparo de responsabilidad civil extracontractual debe cumplir los siguientes requisitos:</w:t>
      </w:r>
    </w:p>
    <w:p w14:paraId="0C084EA0"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35BD0566"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2F84F984"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 Amparos. El amparo de responsabilidad civil extracontractual debe contener además de la cobertura básica de predios, labores y operaciones, mínimo los siguientes amparos:</w:t>
      </w:r>
    </w:p>
    <w:p w14:paraId="1B65002B"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3.1. Cobertura expresa de perjuicios por daño emergente y lucro cesante.</w:t>
      </w:r>
    </w:p>
    <w:p w14:paraId="0CC4227A"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3.2. Cobertura expresa de perjuicios extrapatrimoniales.</w:t>
      </w:r>
    </w:p>
    <w:p w14:paraId="5B6B6647"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3.3. Cobertura expresa de la responsabilidad surgida por actos de contratistas y subcontratistas, salvo que el subcontratista tenga su propio seguro de responsabilidad extracontractual, con los mismos amparos aquí requeridos.</w:t>
      </w:r>
    </w:p>
    <w:p w14:paraId="423FA854"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3.4. Cobertura expresa de amparo patronal.</w:t>
      </w:r>
    </w:p>
    <w:p w14:paraId="1F2985FE"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3.5. Cobertura expresa de vehículos propios y no propios”.</w:t>
      </w:r>
    </w:p>
  </w:footnote>
  <w:footnote w:id="13">
    <w:p w14:paraId="17063532"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Style w:val="FootnoteReference"/>
          <w:rFonts w:ascii="Verdana" w:hAnsi="Verdana"/>
          <w:sz w:val="16"/>
          <w:szCs w:val="16"/>
        </w:rPr>
        <w:footnoteRef/>
      </w:r>
      <w:r w:rsidRPr="00B85689">
        <w:rPr>
          <w:rFonts w:ascii="Verdana" w:hAnsi="Verdana"/>
          <w:sz w:val="16"/>
          <w:szCs w:val="16"/>
        </w:rPr>
        <w:t xml:space="preserve"> El artículo 2.2.1.2.3.1.17 del Decreto 1082 de 2015 prescribe lo siguiente: “El valor asegurado por los contratos de seguro que amparan la responsabilidad civil extracontractual no debe ser inferior a:</w:t>
      </w:r>
    </w:p>
    <w:p w14:paraId="6433836C"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1. Doscientos (200) smmlv para contratos cuyo valor sea inferior o igual a mil quinientos (1.500) smmlv.</w:t>
      </w:r>
    </w:p>
    <w:p w14:paraId="2745B248"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2. Trescientos (300) smmlv para contratos cuyo valor sea superior a mil quinientos (1.500) smmlv e inferior o igual a dos mil quinientos (2.500) smmlv.</w:t>
      </w:r>
    </w:p>
    <w:p w14:paraId="37D54B26"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3. Cuatrocientos (400) smmlv para contratos cuyo valor sea superior a dos mil quinientos (2.500) smmlv e inferior o igual a cinco mil (5.000) smmlv.</w:t>
      </w:r>
    </w:p>
    <w:p w14:paraId="0CB0C63A"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4. Quinientos (500) smmlv para contratos cuyo valor sea superior a cinco mil (5.000) smmlv e inferior o igual a diez mil (10.000) smmlv.</w:t>
      </w:r>
    </w:p>
    <w:p w14:paraId="74B1553E"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5. El cinco por ciento (5%) del valor del contrato cuando este sea superior a diez mil (10.000) smmlv, caso en el cual el valor asegurado debe ser máximo setenta y cinco mil (75.000) smmlv.</w:t>
      </w:r>
    </w:p>
    <w:p w14:paraId="522011E0" w14:textId="77777777" w:rsidR="00545C2B" w:rsidRPr="00B85689" w:rsidRDefault="00545C2B" w:rsidP="00545C2B">
      <w:pPr>
        <w:pStyle w:val="FootnoteText"/>
        <w:snapToGrid w:val="0"/>
        <w:ind w:firstLine="709"/>
        <w:contextualSpacing/>
        <w:jc w:val="both"/>
        <w:rPr>
          <w:rFonts w:ascii="Verdana" w:hAnsi="Verdana"/>
          <w:sz w:val="16"/>
          <w:szCs w:val="16"/>
        </w:rPr>
      </w:pPr>
      <w:r w:rsidRPr="00B85689">
        <w:rPr>
          <w:rFonts w:ascii="Verdana" w:hAnsi="Verdana"/>
          <w:sz w:val="16"/>
          <w:szCs w:val="16"/>
        </w:rPr>
        <w:t>La vigencia de esta garantía deberá ser igual al período de ejecución del contrato”.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70" type="#_x0000_t75" style="width:14.95pt;height:14.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502"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571424827">
    <w:abstractNumId w:val="3"/>
  </w:num>
  <w:num w:numId="18" w16cid:durableId="3768561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F82"/>
    <w:rsid w:val="00016F78"/>
    <w:rsid w:val="00046945"/>
    <w:rsid w:val="00061B2A"/>
    <w:rsid w:val="0006369B"/>
    <w:rsid w:val="00082362"/>
    <w:rsid w:val="000A084B"/>
    <w:rsid w:val="000A683E"/>
    <w:rsid w:val="000B07E0"/>
    <w:rsid w:val="000B19B9"/>
    <w:rsid w:val="000D0334"/>
    <w:rsid w:val="000D5DA7"/>
    <w:rsid w:val="000F4BD4"/>
    <w:rsid w:val="000F6486"/>
    <w:rsid w:val="00111483"/>
    <w:rsid w:val="00116940"/>
    <w:rsid w:val="00125105"/>
    <w:rsid w:val="00127233"/>
    <w:rsid w:val="0015699B"/>
    <w:rsid w:val="001A33BF"/>
    <w:rsid w:val="001E4177"/>
    <w:rsid w:val="001E5244"/>
    <w:rsid w:val="001E6CA7"/>
    <w:rsid w:val="001F0B24"/>
    <w:rsid w:val="001F7DC6"/>
    <w:rsid w:val="0022319A"/>
    <w:rsid w:val="0022400B"/>
    <w:rsid w:val="002421BB"/>
    <w:rsid w:val="0025796E"/>
    <w:rsid w:val="002707A2"/>
    <w:rsid w:val="00291875"/>
    <w:rsid w:val="002951A0"/>
    <w:rsid w:val="002962BC"/>
    <w:rsid w:val="002A093D"/>
    <w:rsid w:val="002A0DD0"/>
    <w:rsid w:val="002A1FEB"/>
    <w:rsid w:val="002A49AC"/>
    <w:rsid w:val="002A64FD"/>
    <w:rsid w:val="002C7A84"/>
    <w:rsid w:val="002E00F8"/>
    <w:rsid w:val="002E2BF8"/>
    <w:rsid w:val="002E4FD9"/>
    <w:rsid w:val="0030657A"/>
    <w:rsid w:val="00322A85"/>
    <w:rsid w:val="00324168"/>
    <w:rsid w:val="00330834"/>
    <w:rsid w:val="003402C7"/>
    <w:rsid w:val="0034070C"/>
    <w:rsid w:val="003448F4"/>
    <w:rsid w:val="00374F5E"/>
    <w:rsid w:val="00377E3E"/>
    <w:rsid w:val="003A779E"/>
    <w:rsid w:val="003B65E6"/>
    <w:rsid w:val="003D0F4D"/>
    <w:rsid w:val="003D5B0D"/>
    <w:rsid w:val="003E0499"/>
    <w:rsid w:val="003E4F80"/>
    <w:rsid w:val="003E6439"/>
    <w:rsid w:val="003F3941"/>
    <w:rsid w:val="00406575"/>
    <w:rsid w:val="00414C74"/>
    <w:rsid w:val="0042722E"/>
    <w:rsid w:val="0044528D"/>
    <w:rsid w:val="00466E39"/>
    <w:rsid w:val="00477A3E"/>
    <w:rsid w:val="00481277"/>
    <w:rsid w:val="004A1847"/>
    <w:rsid w:val="004A305D"/>
    <w:rsid w:val="004F21C4"/>
    <w:rsid w:val="004F685F"/>
    <w:rsid w:val="00545C2B"/>
    <w:rsid w:val="005566E8"/>
    <w:rsid w:val="005721B4"/>
    <w:rsid w:val="00574867"/>
    <w:rsid w:val="00591460"/>
    <w:rsid w:val="005A65E0"/>
    <w:rsid w:val="005C3777"/>
    <w:rsid w:val="005C5CDC"/>
    <w:rsid w:val="005D23AD"/>
    <w:rsid w:val="005D476C"/>
    <w:rsid w:val="00605D77"/>
    <w:rsid w:val="006200BF"/>
    <w:rsid w:val="006219F8"/>
    <w:rsid w:val="00626865"/>
    <w:rsid w:val="006302F7"/>
    <w:rsid w:val="00645DC9"/>
    <w:rsid w:val="00646B9F"/>
    <w:rsid w:val="0066051E"/>
    <w:rsid w:val="00665D70"/>
    <w:rsid w:val="00684CA4"/>
    <w:rsid w:val="006900D9"/>
    <w:rsid w:val="006C0515"/>
    <w:rsid w:val="00701A3D"/>
    <w:rsid w:val="00706C16"/>
    <w:rsid w:val="007340C3"/>
    <w:rsid w:val="0075235A"/>
    <w:rsid w:val="00756841"/>
    <w:rsid w:val="007649AB"/>
    <w:rsid w:val="00771D0C"/>
    <w:rsid w:val="007833AC"/>
    <w:rsid w:val="007A7EE0"/>
    <w:rsid w:val="007B268C"/>
    <w:rsid w:val="007B7171"/>
    <w:rsid w:val="007C0C0F"/>
    <w:rsid w:val="007C3DC2"/>
    <w:rsid w:val="007D6210"/>
    <w:rsid w:val="007E5497"/>
    <w:rsid w:val="00806F5F"/>
    <w:rsid w:val="00820278"/>
    <w:rsid w:val="008258C9"/>
    <w:rsid w:val="00826AEE"/>
    <w:rsid w:val="00844AE9"/>
    <w:rsid w:val="00867F95"/>
    <w:rsid w:val="008843B6"/>
    <w:rsid w:val="00891928"/>
    <w:rsid w:val="008A446D"/>
    <w:rsid w:val="008B25F1"/>
    <w:rsid w:val="008C4E01"/>
    <w:rsid w:val="008D180B"/>
    <w:rsid w:val="008F0EA7"/>
    <w:rsid w:val="00923EEF"/>
    <w:rsid w:val="009419F9"/>
    <w:rsid w:val="0095685E"/>
    <w:rsid w:val="00961B09"/>
    <w:rsid w:val="00965334"/>
    <w:rsid w:val="0097093E"/>
    <w:rsid w:val="00983DE2"/>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6350"/>
    <w:rsid w:val="00AB0ADB"/>
    <w:rsid w:val="00AF355E"/>
    <w:rsid w:val="00B00C0E"/>
    <w:rsid w:val="00B01B1A"/>
    <w:rsid w:val="00B0381D"/>
    <w:rsid w:val="00B44A47"/>
    <w:rsid w:val="00B72CD3"/>
    <w:rsid w:val="00B72FFF"/>
    <w:rsid w:val="00B856D1"/>
    <w:rsid w:val="00BB741C"/>
    <w:rsid w:val="00BC27C4"/>
    <w:rsid w:val="00BC3D36"/>
    <w:rsid w:val="00BD54A6"/>
    <w:rsid w:val="00BD7F72"/>
    <w:rsid w:val="00BE4EF2"/>
    <w:rsid w:val="00BE6B08"/>
    <w:rsid w:val="00BF7425"/>
    <w:rsid w:val="00C04FB3"/>
    <w:rsid w:val="00C11D8B"/>
    <w:rsid w:val="00C15139"/>
    <w:rsid w:val="00C2137B"/>
    <w:rsid w:val="00C22E8D"/>
    <w:rsid w:val="00C330EB"/>
    <w:rsid w:val="00C50D69"/>
    <w:rsid w:val="00C53070"/>
    <w:rsid w:val="00C5365C"/>
    <w:rsid w:val="00C7272D"/>
    <w:rsid w:val="00C73EA8"/>
    <w:rsid w:val="00C754BE"/>
    <w:rsid w:val="00C76B1C"/>
    <w:rsid w:val="00C925AC"/>
    <w:rsid w:val="00CB6357"/>
    <w:rsid w:val="00CB7135"/>
    <w:rsid w:val="00CC1B26"/>
    <w:rsid w:val="00CC40BD"/>
    <w:rsid w:val="00D14B8C"/>
    <w:rsid w:val="00D361FD"/>
    <w:rsid w:val="00D423A2"/>
    <w:rsid w:val="00D44E26"/>
    <w:rsid w:val="00D520D8"/>
    <w:rsid w:val="00D63AC2"/>
    <w:rsid w:val="00D7383B"/>
    <w:rsid w:val="00D7788A"/>
    <w:rsid w:val="00DA231B"/>
    <w:rsid w:val="00DC39FC"/>
    <w:rsid w:val="00DC79D3"/>
    <w:rsid w:val="00DF5254"/>
    <w:rsid w:val="00E02524"/>
    <w:rsid w:val="00E16408"/>
    <w:rsid w:val="00E20894"/>
    <w:rsid w:val="00E24068"/>
    <w:rsid w:val="00E245AB"/>
    <w:rsid w:val="00E2764C"/>
    <w:rsid w:val="00E27F2E"/>
    <w:rsid w:val="00E41B3C"/>
    <w:rsid w:val="00E50AFE"/>
    <w:rsid w:val="00E63ADC"/>
    <w:rsid w:val="00E75C92"/>
    <w:rsid w:val="00E771DC"/>
    <w:rsid w:val="00E8772A"/>
    <w:rsid w:val="00E90F6B"/>
    <w:rsid w:val="00E92C27"/>
    <w:rsid w:val="00EA0E3D"/>
    <w:rsid w:val="00EC38A7"/>
    <w:rsid w:val="00EE13E2"/>
    <w:rsid w:val="00EE1AA8"/>
    <w:rsid w:val="00F23FEA"/>
    <w:rsid w:val="00F252DE"/>
    <w:rsid w:val="00F319A3"/>
    <w:rsid w:val="00F31EDC"/>
    <w:rsid w:val="00F462B3"/>
    <w:rsid w:val="00F550CD"/>
    <w:rsid w:val="00F5664F"/>
    <w:rsid w:val="00F666C4"/>
    <w:rsid w:val="00F76AFC"/>
    <w:rsid w:val="00F93734"/>
    <w:rsid w:val="00FA47C0"/>
    <w:rsid w:val="00FB5DD1"/>
    <w:rsid w:val="00FC2B5D"/>
    <w:rsid w:val="00FC36E5"/>
    <w:rsid w:val="00FE3A29"/>
    <w:rsid w:val="00FF1449"/>
    <w:rsid w:val="00FF7963"/>
    <w:rsid w:val="071B8F93"/>
    <w:rsid w:val="09908A09"/>
    <w:rsid w:val="0FF4CCA8"/>
    <w:rsid w:val="13CFC91B"/>
    <w:rsid w:val="19A2EC2C"/>
    <w:rsid w:val="2859CA1B"/>
    <w:rsid w:val="32A4F9CF"/>
    <w:rsid w:val="356CEDFD"/>
    <w:rsid w:val="51A52C79"/>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48EFF7F-A099-2D4C-9709-1A0A885D1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545C2B"/>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545C2B"/>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rison20191@icloud.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069-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9E3B171-FC4B-4B3D-B498-680A62D01036}"/>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15</Pages>
  <Words>4124</Words>
  <Characters>23512</Characters>
  <Application>Microsoft Office Word</Application>
  <DocSecurity>0</DocSecurity>
  <Lines>195</Lines>
  <Paragraphs>55</Paragraphs>
  <ScaleCrop>false</ScaleCrop>
  <Company/>
  <LinksUpToDate>false</LinksUpToDate>
  <CharactersWithSpaces>27581</CharactersWithSpaces>
  <SharedDoc>false</SharedDoc>
  <HLinks>
    <vt:vector size="18" baseType="variant">
      <vt:variant>
        <vt:i4>7471218</vt:i4>
      </vt:variant>
      <vt:variant>
        <vt:i4>3</vt:i4>
      </vt:variant>
      <vt:variant>
        <vt:i4>0</vt:i4>
      </vt:variant>
      <vt:variant>
        <vt:i4>5</vt:i4>
      </vt:variant>
      <vt:variant>
        <vt:lpwstr>https://relatoria.colombiacompra.gov.co/busqueda/conceptos</vt:lpwstr>
      </vt:variant>
      <vt:variant>
        <vt:lpwstr/>
      </vt:variant>
      <vt:variant>
        <vt:i4>65639</vt:i4>
      </vt:variant>
      <vt:variant>
        <vt:i4>0</vt:i4>
      </vt:variant>
      <vt:variant>
        <vt:i4>0</vt:i4>
      </vt:variant>
      <vt:variant>
        <vt:i4>5</vt:i4>
      </vt:variant>
      <vt:variant>
        <vt:lpwstr>mailto:frison20191@icloud.com</vt:lpwstr>
      </vt:variant>
      <vt:variant>
        <vt:lpwstr/>
      </vt:variant>
      <vt:variant>
        <vt:i4>6094854</vt:i4>
      </vt:variant>
      <vt:variant>
        <vt:i4>0</vt:i4>
      </vt:variant>
      <vt:variant>
        <vt:i4>0</vt:i4>
      </vt:variant>
      <vt:variant>
        <vt:i4>5</vt:i4>
      </vt:variant>
      <vt:variant>
        <vt:lpwstr>https://relatoria.colombiacompra.gov.co/conceptos/c-069-de-2024/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2025-12-04T21:21:00Z</dcterms:created>
  <dcterms:modified xsi:type="dcterms:W3CDTF">2025-12-04T21:27:00Z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