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6FDB1" w14:textId="77777777" w:rsidR="00FF4E35" w:rsidRPr="00A815F8" w:rsidRDefault="00FF4E35" w:rsidP="00FF4E35">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LEY DE GARANTÍAS ELECTORALES – Finalidad</w:t>
      </w:r>
    </w:p>
    <w:p w14:paraId="524F2E9D" w14:textId="77777777" w:rsidR="00FF4E35" w:rsidRPr="00445813" w:rsidRDefault="00FF4E35" w:rsidP="00FF4E35">
      <w:pPr>
        <w:snapToGrid w:val="0"/>
        <w:spacing w:after="0" w:line="240" w:lineRule="auto"/>
        <w:contextualSpacing/>
        <w:jc w:val="both"/>
        <w:rPr>
          <w:rFonts w:ascii="Verdana" w:eastAsia="Calibri" w:hAnsi="Verdana" w:cs="Arial"/>
          <w:b/>
          <w:bCs/>
          <w:sz w:val="20"/>
          <w:szCs w:val="20"/>
          <w:lang w:val="es-ES" w:eastAsia="es-ES"/>
        </w:rPr>
      </w:pPr>
    </w:p>
    <w:p w14:paraId="42BC2988" w14:textId="77777777" w:rsidR="00FF4E35" w:rsidRPr="00445813" w:rsidRDefault="00FF4E35" w:rsidP="00FF4E35">
      <w:pPr>
        <w:tabs>
          <w:tab w:val="left" w:pos="426"/>
        </w:tabs>
        <w:snapToGrid w:val="0"/>
        <w:spacing w:after="0" w:line="240" w:lineRule="auto"/>
        <w:contextualSpacing/>
        <w:jc w:val="both"/>
        <w:rPr>
          <w:rFonts w:ascii="Verdana" w:eastAsia="Calibri" w:hAnsi="Verdana" w:cs="Arial"/>
          <w:sz w:val="20"/>
          <w:szCs w:val="20"/>
          <w:lang w:val="es-ES"/>
        </w:rPr>
      </w:pPr>
      <w:r w:rsidRPr="00445813">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445813">
        <w:rPr>
          <w:rFonts w:ascii="Verdana" w:eastAsia="Calibri" w:hAnsi="Verdana" w:cs="Arial"/>
          <w:sz w:val="20"/>
          <w:szCs w:val="20"/>
          <w:lang w:val="es-ES"/>
        </w:rPr>
        <w:t xml:space="preserve"> </w:t>
      </w:r>
    </w:p>
    <w:p w14:paraId="479220D8" w14:textId="77777777" w:rsidR="00FF4E35" w:rsidRPr="00445813" w:rsidRDefault="00FF4E35" w:rsidP="00FF4E35">
      <w:pPr>
        <w:snapToGrid w:val="0"/>
        <w:spacing w:after="0" w:line="240" w:lineRule="auto"/>
        <w:contextualSpacing/>
        <w:jc w:val="both"/>
        <w:rPr>
          <w:rFonts w:ascii="Verdana" w:eastAsia="Calibri" w:hAnsi="Verdana" w:cs="Arial"/>
          <w:b/>
          <w:bCs/>
          <w:sz w:val="20"/>
          <w:szCs w:val="20"/>
          <w:lang w:val="es-ES" w:eastAsia="es-ES"/>
        </w:rPr>
      </w:pPr>
    </w:p>
    <w:p w14:paraId="4C02E186" w14:textId="77777777" w:rsidR="00FF4E35" w:rsidRPr="00A815F8" w:rsidRDefault="00FF4E35" w:rsidP="00FF4E35">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LEY DE GARANTÍAS ELECTORALES ‒ Restricciones ‒ Contratación ‒ Tipos de elección</w:t>
      </w:r>
    </w:p>
    <w:p w14:paraId="2592B077" w14:textId="77777777" w:rsidR="00FF4E35" w:rsidRPr="00445813" w:rsidRDefault="00FF4E35" w:rsidP="00FF4E35">
      <w:pPr>
        <w:snapToGrid w:val="0"/>
        <w:spacing w:after="0" w:line="240" w:lineRule="auto"/>
        <w:contextualSpacing/>
        <w:jc w:val="both"/>
        <w:rPr>
          <w:rFonts w:ascii="Verdana" w:eastAsia="Calibri" w:hAnsi="Verdana" w:cs="Arial"/>
          <w:b/>
          <w:bCs/>
          <w:sz w:val="20"/>
          <w:szCs w:val="20"/>
          <w:lang w:val="es-ES" w:eastAsia="es-ES"/>
        </w:rPr>
      </w:pPr>
    </w:p>
    <w:p w14:paraId="07889675" w14:textId="77777777" w:rsidR="00FF4E35" w:rsidRPr="00445813" w:rsidRDefault="00FF4E35" w:rsidP="00FF4E35">
      <w:pPr>
        <w:snapToGrid w:val="0"/>
        <w:spacing w:after="0" w:line="240" w:lineRule="auto"/>
        <w:contextualSpacing/>
        <w:jc w:val="both"/>
        <w:rPr>
          <w:rFonts w:ascii="Verdana" w:eastAsia="Arial" w:hAnsi="Verdana" w:cs="Arial"/>
          <w:sz w:val="20"/>
          <w:szCs w:val="20"/>
          <w:lang w:val="es-ES" w:eastAsia="es-ES" w:bidi="es-ES"/>
        </w:rPr>
      </w:pPr>
      <w:r w:rsidRPr="00445813">
        <w:rPr>
          <w:rFonts w:ascii="Verdana" w:eastAsia="Arial" w:hAnsi="Verdana" w:cs="Arial"/>
          <w:sz w:val="20"/>
          <w:szCs w:val="20"/>
          <w:lang w:val="es-ES" w:eastAsia="es-ES" w:bidi="es-ES"/>
        </w:rPr>
        <w:t xml:space="preserve">De conformidad con lo anterior, la Ley 996 de 2005 establece dos (2) tipos de restricciones en materia de contratación, las cuales coinciden parcialmente. </w:t>
      </w:r>
      <w:r w:rsidRPr="00445813">
        <w:rPr>
          <w:rFonts w:ascii="Verdana" w:eastAsia="Arial" w:hAnsi="Verdana" w:cs="Arial"/>
          <w:i/>
          <w:sz w:val="20"/>
          <w:szCs w:val="20"/>
          <w:lang w:val="es-ES" w:eastAsia="es-ES" w:bidi="es-ES"/>
        </w:rPr>
        <w:t>En primer lugar</w:t>
      </w:r>
      <w:r w:rsidRPr="00445813">
        <w:rPr>
          <w:rFonts w:ascii="Verdana" w:eastAsia="Arial" w:hAnsi="Verdana" w:cs="Arial"/>
          <w:sz w:val="20"/>
          <w:szCs w:val="20"/>
          <w:lang w:val="es-ES" w:eastAsia="es-ES" w:bidi="es-ES"/>
        </w:rPr>
        <w:t xml:space="preserve">, la del artículo 33 que aplica solo respecto de las elecciones presidenciales, en virtud de la cual queda proscrita la </w:t>
      </w:r>
      <w:r w:rsidRPr="00445813">
        <w:rPr>
          <w:rFonts w:ascii="Verdana" w:eastAsia="Arial" w:hAnsi="Verdana" w:cs="Arial"/>
          <w:i/>
          <w:iCs/>
          <w:sz w:val="20"/>
          <w:szCs w:val="20"/>
          <w:lang w:val="es-ES" w:eastAsia="es-ES" w:bidi="es-ES"/>
        </w:rPr>
        <w:t>contratación directa</w:t>
      </w:r>
      <w:r w:rsidRPr="00445813">
        <w:rPr>
          <w:rFonts w:ascii="Verdana" w:eastAsia="Arial" w:hAnsi="Verdana" w:cs="Arial"/>
          <w:sz w:val="20"/>
          <w:szCs w:val="20"/>
          <w:lang w:val="es-ES" w:eastAsia="es-ES" w:bidi="es-ES"/>
        </w:rPr>
        <w:t xml:space="preserve">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45813">
        <w:rPr>
          <w:rFonts w:ascii="Verdana" w:eastAsia="Arial" w:hAnsi="Verdana" w:cs="Arial"/>
          <w:i/>
          <w:sz w:val="20"/>
          <w:szCs w:val="20"/>
          <w:lang w:val="es-ES" w:eastAsia="es-ES" w:bidi="es-ES"/>
        </w:rPr>
        <w:t>En segundo lugar</w:t>
      </w:r>
      <w:r w:rsidRPr="00445813">
        <w:rPr>
          <w:rFonts w:ascii="Verdana" w:eastAsia="Arial" w:hAnsi="Verdana" w:cs="Arial"/>
          <w:sz w:val="20"/>
          <w:szCs w:val="20"/>
          <w:lang w:val="es-ES" w:eastAsia="es-ES" w:bidi="es-ES"/>
        </w:rPr>
        <w:t xml:space="preserve">, también se encuentra la prohibición del parágrafo del artículo 38, el cual debe aplicarse respecto de cualquier tipo de contienda electoral, y que prohíbe la celebración de </w:t>
      </w:r>
      <w:r w:rsidRPr="00445813">
        <w:rPr>
          <w:rFonts w:ascii="Verdana" w:eastAsia="Arial" w:hAnsi="Verdana" w:cs="Arial"/>
          <w:i/>
          <w:iCs/>
          <w:sz w:val="20"/>
          <w:szCs w:val="20"/>
          <w:lang w:val="es-ES" w:eastAsia="es-ES" w:bidi="es-ES"/>
        </w:rPr>
        <w:t>convenios interadministrativos</w:t>
      </w:r>
      <w:r w:rsidRPr="00445813">
        <w:rPr>
          <w:rFonts w:ascii="Verdana" w:eastAsia="Arial" w:hAnsi="Verdana" w:cs="Arial"/>
          <w:sz w:val="20"/>
          <w:szCs w:val="20"/>
          <w:lang w:val="es-ES" w:eastAsia="es-ES" w:bidi="es-ES"/>
        </w:rPr>
        <w:t xml:space="preserve"> que impliquen la ejecución de recursos públicos dentro de los cuatro (4) meses anteriores a la respectiva jornada de votaciones.</w:t>
      </w:r>
    </w:p>
    <w:p w14:paraId="1E00B616" w14:textId="77777777" w:rsidR="00FF4E35" w:rsidRPr="00445813" w:rsidRDefault="00FF4E35" w:rsidP="00FF4E35">
      <w:pPr>
        <w:snapToGrid w:val="0"/>
        <w:spacing w:after="0" w:line="240" w:lineRule="auto"/>
        <w:contextualSpacing/>
        <w:jc w:val="both"/>
        <w:rPr>
          <w:rFonts w:ascii="Verdana" w:eastAsia="Calibri" w:hAnsi="Verdana" w:cs="Arial"/>
          <w:b/>
          <w:bCs/>
          <w:sz w:val="20"/>
          <w:szCs w:val="20"/>
          <w:lang w:val="es-ES" w:eastAsia="es-ES"/>
        </w:rPr>
      </w:pPr>
    </w:p>
    <w:p w14:paraId="1C562A95" w14:textId="77777777" w:rsidR="00FF4E35" w:rsidRPr="00A815F8" w:rsidRDefault="00FF4E35" w:rsidP="00FF4E35">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LEY DE GARANTÍAS ELECTORALES ‒ Artículo 33 ‒ Ámbito material y sujetos</w:t>
      </w:r>
    </w:p>
    <w:p w14:paraId="30AC5FA3" w14:textId="77777777" w:rsidR="00FF4E35" w:rsidRPr="00445813" w:rsidRDefault="00FF4E35" w:rsidP="00FF4E35">
      <w:pPr>
        <w:snapToGrid w:val="0"/>
        <w:spacing w:after="0" w:line="240" w:lineRule="auto"/>
        <w:contextualSpacing/>
        <w:jc w:val="both"/>
        <w:rPr>
          <w:rFonts w:ascii="Verdana" w:eastAsia="Calibri" w:hAnsi="Verdana" w:cs="Arial"/>
          <w:b/>
          <w:bCs/>
          <w:sz w:val="20"/>
          <w:szCs w:val="20"/>
          <w:lang w:val="es-ES" w:eastAsia="es-ES"/>
        </w:rPr>
      </w:pPr>
    </w:p>
    <w:p w14:paraId="5FDDAAF5" w14:textId="77777777" w:rsidR="00FF4E35" w:rsidRPr="00445813" w:rsidRDefault="00FF4E35" w:rsidP="00FF4E35">
      <w:pPr>
        <w:snapToGrid w:val="0"/>
        <w:spacing w:after="0" w:line="240" w:lineRule="auto"/>
        <w:contextualSpacing/>
        <w:jc w:val="both"/>
        <w:rPr>
          <w:rFonts w:ascii="Verdana" w:eastAsia="Times New Roman" w:hAnsi="Verdana" w:cs="Arial"/>
          <w:sz w:val="20"/>
          <w:szCs w:val="20"/>
          <w:lang w:val="es-ES"/>
        </w:rPr>
      </w:pPr>
      <w:r w:rsidRPr="00445813">
        <w:rPr>
          <w:rFonts w:ascii="Verdana" w:eastAsia="Times New Roman" w:hAnsi="Verdana" w:cs="Arial"/>
          <w:sz w:val="20"/>
          <w:szCs w:val="20"/>
          <w:lang w:val="es-ES"/>
        </w:rPr>
        <w:t xml:space="preserve">De lo anterior se desprende que la restricción aplica, sin perjuicio de las excepciones establecidas en la misma ley, para celebrar </w:t>
      </w:r>
      <w:r w:rsidRPr="00445813">
        <w:rPr>
          <w:rFonts w:ascii="Verdana" w:eastAsia="Times New Roman" w:hAnsi="Verdana" w:cs="Arial"/>
          <w:i/>
          <w:iCs/>
          <w:sz w:val="20"/>
          <w:szCs w:val="20"/>
          <w:lang w:val="es-ES"/>
        </w:rPr>
        <w:t>cualquier contrato de forma directa</w:t>
      </w:r>
      <w:r w:rsidRPr="00445813">
        <w:rPr>
          <w:rFonts w:ascii="Verdana" w:eastAsia="Times New Roman" w:hAnsi="Verdana" w:cs="Arial"/>
          <w:sz w:val="20"/>
          <w:szCs w:val="20"/>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5F4626D" w14:textId="77777777" w:rsidR="00FF4E35" w:rsidRDefault="00FF4E35" w:rsidP="00FF4E35">
      <w:pPr>
        <w:snapToGrid w:val="0"/>
        <w:spacing w:after="0" w:line="240" w:lineRule="auto"/>
        <w:contextualSpacing/>
        <w:jc w:val="both"/>
        <w:rPr>
          <w:rFonts w:ascii="Verdana" w:eastAsia="Times New Roman" w:hAnsi="Verdana" w:cs="Arial"/>
          <w:sz w:val="20"/>
          <w:szCs w:val="20"/>
          <w:lang w:val="es-ES"/>
        </w:rPr>
      </w:pPr>
    </w:p>
    <w:p w14:paraId="1B70DF3E" w14:textId="77777777" w:rsidR="00FF4E35" w:rsidRPr="00445813" w:rsidRDefault="00FF4E35" w:rsidP="00FF4E35">
      <w:pPr>
        <w:snapToGrid w:val="0"/>
        <w:spacing w:after="0" w:line="240" w:lineRule="auto"/>
        <w:contextualSpacing/>
        <w:jc w:val="both"/>
        <w:rPr>
          <w:rFonts w:ascii="Verdana" w:eastAsia="Times New Roman" w:hAnsi="Verdana" w:cs="Arial"/>
          <w:sz w:val="20"/>
          <w:szCs w:val="20"/>
          <w:lang w:val="es-ES"/>
        </w:rPr>
      </w:pPr>
      <w:r w:rsidRPr="00445813">
        <w:rPr>
          <w:rFonts w:ascii="Verdana" w:eastAsia="Times New Roman" w:hAnsi="Verdana" w:cs="Arial"/>
          <w:sz w:val="20"/>
          <w:szCs w:val="20"/>
          <w:lang w:val="es-ES"/>
        </w:rPr>
        <w:t>[…]</w:t>
      </w:r>
    </w:p>
    <w:p w14:paraId="543119B9" w14:textId="77777777" w:rsidR="00FF4E35" w:rsidRDefault="00FF4E35" w:rsidP="00FF4E35">
      <w:pPr>
        <w:snapToGrid w:val="0"/>
        <w:spacing w:after="0" w:line="240" w:lineRule="auto"/>
        <w:contextualSpacing/>
        <w:jc w:val="both"/>
        <w:rPr>
          <w:rFonts w:ascii="Verdana" w:eastAsia="Arial" w:hAnsi="Verdana" w:cs="Arial"/>
          <w:color w:val="000000" w:themeColor="text1"/>
          <w:sz w:val="20"/>
          <w:szCs w:val="20"/>
          <w:lang w:val="es-ES"/>
        </w:rPr>
      </w:pPr>
    </w:p>
    <w:p w14:paraId="7AB4C3FE" w14:textId="77777777" w:rsidR="00FF4E35" w:rsidRPr="00445813" w:rsidRDefault="00FF4E35" w:rsidP="00FF4E35">
      <w:pPr>
        <w:snapToGrid w:val="0"/>
        <w:spacing w:after="0" w:line="240" w:lineRule="auto"/>
        <w:contextualSpacing/>
        <w:jc w:val="both"/>
        <w:rPr>
          <w:rFonts w:ascii="Verdana" w:eastAsia="Arial" w:hAnsi="Verdana" w:cs="Arial"/>
          <w:bCs/>
          <w:color w:val="000000" w:themeColor="text1"/>
          <w:sz w:val="20"/>
          <w:szCs w:val="20"/>
          <w:lang w:val="es-ES"/>
        </w:rPr>
      </w:pPr>
      <w:r w:rsidRPr="00445813">
        <w:rPr>
          <w:rFonts w:ascii="Verdana" w:eastAsia="Arial" w:hAnsi="Verdana" w:cs="Arial"/>
          <w:color w:val="000000" w:themeColor="text1"/>
          <w:sz w:val="20"/>
          <w:szCs w:val="20"/>
          <w:lang w:val="es-ES"/>
        </w:rPr>
        <w:t xml:space="preserve">Por lo tanto, la restricción del artículo 33 prevista en la Ley 996 de 2005, teniendo en cuenta la finalidad de la ley de garantías electorales, cobija a </w:t>
      </w:r>
      <w:r w:rsidRPr="00445813">
        <w:rPr>
          <w:rFonts w:ascii="Verdana" w:eastAsia="Arial" w:hAnsi="Verdana" w:cs="Arial"/>
          <w:i/>
          <w:iCs/>
          <w:color w:val="000000" w:themeColor="text1"/>
          <w:sz w:val="20"/>
          <w:szCs w:val="20"/>
          <w:lang w:val="es-ES"/>
        </w:rPr>
        <w:t xml:space="preserve">cualquier </w:t>
      </w:r>
      <w:r w:rsidRPr="00445813">
        <w:rPr>
          <w:rFonts w:ascii="Verdana" w:eastAsia="Arial" w:hAnsi="Verdana" w:cs="Arial"/>
          <w:color w:val="000000" w:themeColor="text1"/>
          <w:sz w:val="20"/>
          <w:szCs w:val="20"/>
          <w:lang w:val="es-ES"/>
        </w:rPr>
        <w:t xml:space="preserve">ente público que </w:t>
      </w:r>
      <w:r w:rsidRPr="00445813">
        <w:rPr>
          <w:rFonts w:ascii="Verdana" w:eastAsia="Arial" w:hAnsi="Verdana" w:cs="Arial"/>
          <w:color w:val="000000" w:themeColor="text1"/>
          <w:sz w:val="20"/>
          <w:szCs w:val="20"/>
          <w:lang w:val="es-ES"/>
        </w:rPr>
        <w:lastRenderedPageBreak/>
        <w:t>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03CFD5CC" w14:textId="77777777" w:rsidR="00FF4E35" w:rsidRPr="00445813" w:rsidRDefault="00FF4E35" w:rsidP="00FF4E35">
      <w:pPr>
        <w:snapToGrid w:val="0"/>
        <w:spacing w:after="0" w:line="240" w:lineRule="auto"/>
        <w:contextualSpacing/>
        <w:jc w:val="both"/>
        <w:rPr>
          <w:rFonts w:ascii="Verdana" w:eastAsia="Calibri" w:hAnsi="Verdana" w:cs="Arial"/>
          <w:b/>
          <w:bCs/>
          <w:sz w:val="20"/>
          <w:szCs w:val="20"/>
          <w:lang w:val="es-ES" w:eastAsia="es-ES"/>
        </w:rPr>
      </w:pPr>
    </w:p>
    <w:p w14:paraId="5749A396" w14:textId="77777777" w:rsidR="00FF4E35" w:rsidRPr="00A815F8" w:rsidRDefault="00FF4E35" w:rsidP="00FF4E35">
      <w:pPr>
        <w:snapToGrid w:val="0"/>
        <w:spacing w:after="0" w:line="240" w:lineRule="auto"/>
        <w:contextualSpacing/>
        <w:jc w:val="both"/>
        <w:rPr>
          <w:rFonts w:ascii="Verdana" w:eastAsia="Calibri" w:hAnsi="Verdana" w:cs="Arial"/>
          <w:b/>
          <w:bCs/>
          <w:lang w:val="es-ES" w:eastAsia="es-ES"/>
        </w:rPr>
      </w:pPr>
      <w:r w:rsidRPr="00A815F8">
        <w:rPr>
          <w:rFonts w:ascii="Verdana" w:eastAsia="Calibri" w:hAnsi="Verdana" w:cs="Arial"/>
          <w:b/>
          <w:bCs/>
          <w:lang w:val="es-ES" w:eastAsia="es-ES"/>
        </w:rPr>
        <w:t>ENAJENACIÓN VOLUNTARIA – Ley de Garantías Electorales – Aplicación</w:t>
      </w:r>
    </w:p>
    <w:p w14:paraId="3F159F56" w14:textId="77777777" w:rsidR="00FF4E35" w:rsidRDefault="00FF4E35" w:rsidP="00FF4E35">
      <w:pPr>
        <w:tabs>
          <w:tab w:val="left" w:pos="709"/>
        </w:tabs>
        <w:snapToGrid w:val="0"/>
        <w:spacing w:after="0" w:line="240" w:lineRule="auto"/>
        <w:contextualSpacing/>
        <w:jc w:val="both"/>
        <w:rPr>
          <w:rFonts w:ascii="Verdana" w:eastAsia="Calibri" w:hAnsi="Verdana" w:cs="Arial"/>
          <w:b/>
          <w:bCs/>
          <w:sz w:val="20"/>
          <w:szCs w:val="20"/>
          <w:lang w:val="es-ES" w:eastAsia="es-ES"/>
        </w:rPr>
      </w:pPr>
    </w:p>
    <w:p w14:paraId="3B8E8B05" w14:textId="77777777" w:rsidR="00FF4E35" w:rsidRDefault="00FF4E35" w:rsidP="00FF4E35">
      <w:pPr>
        <w:tabs>
          <w:tab w:val="left" w:pos="709"/>
        </w:tabs>
        <w:snapToGrid w:val="0"/>
        <w:spacing w:after="0" w:line="240" w:lineRule="auto"/>
        <w:contextualSpacing/>
        <w:jc w:val="both"/>
        <w:rPr>
          <w:rFonts w:ascii="Verdana" w:eastAsia="Times New Roman" w:hAnsi="Verdana" w:cs="Arial"/>
          <w:sz w:val="20"/>
          <w:szCs w:val="20"/>
          <w:lang w:val="es-ES" w:eastAsia="es-ES_tradnl"/>
        </w:rPr>
      </w:pPr>
      <w:r w:rsidRPr="00445813">
        <w:rPr>
          <w:rFonts w:ascii="Verdana" w:eastAsia="Times New Roman" w:hAnsi="Verdana" w:cs="Arial"/>
          <w:sz w:val="20"/>
          <w:szCs w:val="20"/>
          <w:lang w:val="es-ES" w:eastAsia="es-ES_tradnl"/>
        </w:rPr>
        <w:t xml:space="preserve">Dado que el procedimiento establecido podría culminar con la celebración de una promesa de compraventa o en un contrato de compraventa, 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sidRPr="00445813">
        <w:rPr>
          <w:rFonts w:ascii="Verdana" w:eastAsia="Times New Roman" w:hAnsi="Verdana" w:cs="Arial"/>
          <w:i/>
          <w:iCs/>
          <w:sz w:val="20"/>
          <w:szCs w:val="20"/>
          <w:lang w:val="es-ES" w:eastAsia="es-ES_tradnl"/>
        </w:rPr>
        <w:t>ibidem</w:t>
      </w:r>
      <w:r w:rsidRPr="00445813">
        <w:rPr>
          <w:rFonts w:ascii="Verdana" w:eastAsia="Times New Roman" w:hAnsi="Verdana" w:cs="Arial"/>
          <w:sz w:val="20"/>
          <w:szCs w:val="20"/>
          <w:lang w:val="es-ES" w:eastAsia="es-ES_tradnl"/>
        </w:rPr>
        <w:t xml:space="preserve"> y en armonía con lo dispuesto por el artículo 1 de la Ley 1150 de 2007.</w:t>
      </w:r>
    </w:p>
    <w:p w14:paraId="6678246B" w14:textId="77777777" w:rsidR="00FF4E35" w:rsidRPr="00445813" w:rsidRDefault="00FF4E35" w:rsidP="00FF4E35">
      <w:pPr>
        <w:tabs>
          <w:tab w:val="left" w:pos="709"/>
        </w:tabs>
        <w:snapToGrid w:val="0"/>
        <w:spacing w:after="0" w:line="240" w:lineRule="auto"/>
        <w:contextualSpacing/>
        <w:jc w:val="both"/>
        <w:rPr>
          <w:rFonts w:ascii="Verdana" w:eastAsia="Times New Roman" w:hAnsi="Verdana" w:cs="Arial"/>
          <w:sz w:val="20"/>
          <w:szCs w:val="20"/>
          <w:lang w:val="es-ES" w:eastAsia="es-ES_tradnl"/>
        </w:rPr>
      </w:pPr>
    </w:p>
    <w:p w14:paraId="2A1A0267" w14:textId="77777777" w:rsidR="00FF4E35" w:rsidRPr="00445813" w:rsidRDefault="00FF4E35" w:rsidP="00FF4E35">
      <w:pPr>
        <w:snapToGrid w:val="0"/>
        <w:spacing w:after="0" w:line="240" w:lineRule="auto"/>
        <w:contextualSpacing/>
        <w:jc w:val="both"/>
        <w:rPr>
          <w:rFonts w:ascii="Verdana" w:hAnsi="Verdana" w:cs="Arial"/>
          <w:sz w:val="20"/>
          <w:szCs w:val="20"/>
          <w:lang w:val="es-ES" w:eastAsia="es-ES_tradnl"/>
        </w:rPr>
      </w:pPr>
      <w:r w:rsidRPr="00445813">
        <w:rPr>
          <w:rFonts w:ascii="Verdana" w:hAnsi="Verdana" w:cs="Arial"/>
          <w:sz w:val="20"/>
          <w:szCs w:val="20"/>
          <w:lang w:val="es-ES" w:eastAsia="es-ES_tradnl"/>
        </w:rPr>
        <w:t>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pública e interés social se encuentra excluido de la aplicación de tal estatuto, por cuanto es un procedimiento regulado en un régimen especial y exceptuado.</w:t>
      </w:r>
    </w:p>
    <w:p w14:paraId="42DAE19D" w14:textId="77777777" w:rsidR="00FF4E35" w:rsidRPr="00445813" w:rsidRDefault="00FF4E35" w:rsidP="00FF4E35">
      <w:pPr>
        <w:snapToGrid w:val="0"/>
        <w:spacing w:after="0" w:line="240" w:lineRule="auto"/>
        <w:contextualSpacing/>
        <w:jc w:val="both"/>
        <w:rPr>
          <w:rFonts w:ascii="Verdana" w:hAnsi="Verdana" w:cs="Arial"/>
          <w:sz w:val="20"/>
          <w:szCs w:val="20"/>
          <w:lang w:val="es-ES" w:eastAsia="es-ES_tradnl"/>
        </w:rPr>
      </w:pPr>
    </w:p>
    <w:p w14:paraId="620E26B7" w14:textId="77777777" w:rsidR="00FF4E35" w:rsidRPr="00445813" w:rsidRDefault="00FF4E35" w:rsidP="00FF4E35">
      <w:pPr>
        <w:tabs>
          <w:tab w:val="left" w:pos="426"/>
        </w:tabs>
        <w:snapToGrid w:val="0"/>
        <w:spacing w:after="0" w:line="240" w:lineRule="auto"/>
        <w:contextualSpacing/>
        <w:jc w:val="both"/>
        <w:rPr>
          <w:rFonts w:ascii="Verdana" w:eastAsia="Times New Roman" w:hAnsi="Verdana" w:cs="Arial"/>
          <w:sz w:val="20"/>
          <w:szCs w:val="20"/>
          <w:lang w:val="es-ES" w:eastAsia="es-ES_tradnl"/>
        </w:rPr>
      </w:pPr>
      <w:r w:rsidRPr="00445813">
        <w:rPr>
          <w:rFonts w:ascii="Verdana" w:eastAsia="Times New Roman" w:hAnsi="Verdana" w:cs="Arial"/>
          <w:sz w:val="20"/>
          <w:szCs w:val="20"/>
          <w:lang w:val="es-ES" w:eastAsia="es-ES_tradnl"/>
        </w:rPr>
        <w:t xml:space="preserve">En virtud de lo expuesto, la adquisición de los predios considerados áreas de interés para los acueductos departamentales, municipales y distritales que se realice por enajenación voluntaria estará sometida a un régimen especial de contratación. Sin embargo, como se explicó antes, esta culmina con la suscripción de un contrato de compraventa entre la entidad y la persona, con lo cual se trata de un procedimiento de contratación estatal no competitivo que se encuentra restringido por la prohibición establecida en el artículo 33 de la Ley 996 de 2005. En contraste, cuando la adquisición ocurra por el procedimiento expropiatorio no se materializa en la celebración de un contrato. En consecuencia, en este supuesto no se configuran las prohibiciones a la contratación establecidas en los artículos 33 y 38 de la Ley de Garantías Electorales. </w:t>
      </w:r>
    </w:p>
    <w:p w14:paraId="53F01CC9" w14:textId="77777777" w:rsidR="00FF4E35" w:rsidRDefault="00FF4E35" w:rsidP="00FF4E35">
      <w:pPr>
        <w:spacing w:after="0"/>
        <w:rPr>
          <w:rFonts w:ascii="Verdana" w:eastAsia="Calibri" w:hAnsi="Verdana" w:cs="Arial"/>
          <w:b/>
          <w:bCs/>
          <w:lang w:val="es-ES" w:eastAsia="es-ES"/>
        </w:rPr>
      </w:pPr>
    </w:p>
    <w:p w14:paraId="3D8D30D9" w14:textId="77777777" w:rsidR="00FF4E35" w:rsidRDefault="00FF4E35" w:rsidP="00FF4E35">
      <w:pPr>
        <w:spacing w:after="0"/>
        <w:rPr>
          <w:rFonts w:ascii="Verdana" w:hAnsi="Verdana"/>
        </w:rPr>
      </w:pPr>
    </w:p>
    <w:p w14:paraId="6C97C8E6" w14:textId="77777777" w:rsidR="00FF4E35" w:rsidRDefault="00FF4E35" w:rsidP="00FF4E35">
      <w:pPr>
        <w:spacing w:after="0"/>
        <w:rPr>
          <w:rFonts w:ascii="Verdana" w:hAnsi="Verdana"/>
        </w:rPr>
      </w:pPr>
    </w:p>
    <w:p w14:paraId="1603181E" w14:textId="77777777" w:rsidR="00FF4E35" w:rsidRDefault="00FF4E35" w:rsidP="00FF4E35">
      <w:pPr>
        <w:spacing w:after="0"/>
        <w:rPr>
          <w:rFonts w:ascii="Verdana" w:hAnsi="Verdana"/>
        </w:rPr>
      </w:pPr>
    </w:p>
    <w:p w14:paraId="0FC0F46B" w14:textId="77777777" w:rsidR="00FF4E35" w:rsidRDefault="00FF4E35" w:rsidP="00FF4E35">
      <w:pPr>
        <w:spacing w:after="0"/>
        <w:rPr>
          <w:rFonts w:ascii="Verdana" w:hAnsi="Verdana"/>
        </w:rPr>
      </w:pPr>
    </w:p>
    <w:p w14:paraId="786D6537" w14:textId="77777777" w:rsidR="00FF4E35" w:rsidRDefault="00FF4E35" w:rsidP="00FF4E35">
      <w:pPr>
        <w:spacing w:after="0"/>
        <w:rPr>
          <w:rFonts w:ascii="Verdana" w:hAnsi="Verdana"/>
        </w:rPr>
      </w:pPr>
    </w:p>
    <w:p w14:paraId="17D0DF9A" w14:textId="77777777" w:rsidR="00FF4E35" w:rsidRDefault="00FF4E35" w:rsidP="00FF4E35">
      <w:pPr>
        <w:spacing w:after="0" w:line="240" w:lineRule="auto"/>
        <w:jc w:val="both"/>
        <w:rPr>
          <w:rFonts w:ascii="Verdana" w:eastAsia="Calibri" w:hAnsi="Verdana" w:cs="Arial"/>
          <w:color w:val="000000" w:themeColor="text1"/>
          <w:sz w:val="20"/>
          <w:szCs w:val="20"/>
          <w:lang w:val="es-ES"/>
        </w:rPr>
      </w:pPr>
    </w:p>
    <w:p w14:paraId="431ECAB9" w14:textId="77777777" w:rsidR="00FF4E35" w:rsidRDefault="00FF4E35" w:rsidP="00FF4E35">
      <w:pPr>
        <w:spacing w:after="0" w:line="240" w:lineRule="auto"/>
        <w:jc w:val="both"/>
        <w:rPr>
          <w:rFonts w:ascii="Verdana" w:eastAsia="Calibri" w:hAnsi="Verdana" w:cs="Arial"/>
          <w:color w:val="000000" w:themeColor="text1"/>
          <w:sz w:val="20"/>
          <w:szCs w:val="20"/>
          <w:lang w:val="es-ES"/>
        </w:rPr>
      </w:pPr>
    </w:p>
    <w:p w14:paraId="461921BA" w14:textId="77777777" w:rsidR="009C373D" w:rsidRDefault="009C373D" w:rsidP="00FF4E35">
      <w:pPr>
        <w:spacing w:after="0" w:line="240" w:lineRule="auto"/>
        <w:rPr>
          <w:rFonts w:ascii="Verdana" w:eastAsia="Geomanist Light" w:hAnsi="Verdana" w:cs="Arial"/>
        </w:rPr>
      </w:pPr>
    </w:p>
    <w:p w14:paraId="38AF8040" w14:textId="77777777" w:rsidR="009C373D" w:rsidRDefault="009C373D" w:rsidP="00FF4E35">
      <w:pPr>
        <w:spacing w:after="0" w:line="240" w:lineRule="auto"/>
        <w:rPr>
          <w:rFonts w:ascii="Verdana" w:eastAsia="Geomanist Light" w:hAnsi="Verdana" w:cs="Arial"/>
        </w:rPr>
      </w:pPr>
    </w:p>
    <w:p w14:paraId="0F53E264" w14:textId="4D2FAA92" w:rsidR="00FF4E35" w:rsidRPr="00960F72" w:rsidRDefault="00FF4E35" w:rsidP="00FF4E35">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2020DF3C" w14:textId="1806B17E" w:rsidR="00FF4E35" w:rsidRDefault="00FF4E35" w:rsidP="00FF4E35">
      <w:pPr>
        <w:spacing w:after="0" w:line="240" w:lineRule="auto"/>
        <w:rPr>
          <w:rFonts w:ascii="Verdana" w:eastAsia="Calibri" w:hAnsi="Verdana" w:cs="Arial"/>
          <w:b/>
          <w:bCs/>
          <w:lang w:eastAsia="es-ES_tradnl"/>
        </w:rPr>
      </w:pPr>
    </w:p>
    <w:p w14:paraId="2820D086" w14:textId="53D3F02F" w:rsidR="00FF4E35" w:rsidRDefault="00473657" w:rsidP="00FF4E35">
      <w:pPr>
        <w:spacing w:after="0" w:line="240" w:lineRule="auto"/>
        <w:rPr>
          <w:rFonts w:ascii="Verdana" w:eastAsia="Calibri" w:hAnsi="Verdana" w:cs="Arial"/>
          <w:lang w:eastAsia="es-ES_tradnl"/>
        </w:rPr>
      </w:pPr>
      <w:r w:rsidRPr="009C373D">
        <w:rPr>
          <w:rFonts w:ascii="Verdana" w:eastAsia="Calibri" w:hAnsi="Verdana" w:cs="Arial"/>
          <w:noProof/>
          <w:lang w:eastAsia="es-ES_tradnl"/>
        </w:rPr>
        <w:drawing>
          <wp:anchor distT="0" distB="0" distL="114300" distR="114300" simplePos="0" relativeHeight="251658240" behindDoc="1" locked="0" layoutInCell="1" allowOverlap="1" wp14:anchorId="65A14FA0" wp14:editId="6193E706">
            <wp:simplePos x="0" y="0"/>
            <wp:positionH relativeFrom="column">
              <wp:posOffset>2696210</wp:posOffset>
            </wp:positionH>
            <wp:positionV relativeFrom="paragraph">
              <wp:posOffset>12065</wp:posOffset>
            </wp:positionV>
            <wp:extent cx="2915920" cy="858520"/>
            <wp:effectExtent l="0" t="0" r="0" b="0"/>
            <wp:wrapSquare wrapText="bothSides"/>
            <wp:docPr id="63494726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47265"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2915920" cy="858520"/>
                    </a:xfrm>
                    <a:prstGeom prst="rect">
                      <a:avLst/>
                    </a:prstGeom>
                  </pic:spPr>
                </pic:pic>
              </a:graphicData>
            </a:graphic>
            <wp14:sizeRelH relativeFrom="page">
              <wp14:pctWidth>0</wp14:pctWidth>
            </wp14:sizeRelH>
            <wp14:sizeRelV relativeFrom="page">
              <wp14:pctHeight>0</wp14:pctHeight>
            </wp14:sizeRelV>
          </wp:anchor>
        </w:drawing>
      </w:r>
      <w:r w:rsidR="00FF4E35">
        <w:rPr>
          <w:rFonts w:ascii="Verdana" w:eastAsia="Calibri" w:hAnsi="Verdana" w:cs="Arial"/>
          <w:lang w:eastAsia="es-ES_tradnl"/>
        </w:rPr>
        <w:t>Señora</w:t>
      </w:r>
    </w:p>
    <w:p w14:paraId="0DEC6259" w14:textId="57B0E26E" w:rsidR="00FF4E35" w:rsidRPr="005E115F" w:rsidRDefault="00FF4E35" w:rsidP="00FF4E35">
      <w:pPr>
        <w:spacing w:after="0" w:line="240" w:lineRule="auto"/>
        <w:rPr>
          <w:rFonts w:ascii="Verdana" w:eastAsia="Calibri" w:hAnsi="Verdana" w:cs="Arial"/>
          <w:b/>
          <w:bCs/>
          <w:lang w:eastAsia="es-ES_tradnl"/>
        </w:rPr>
      </w:pPr>
      <w:r w:rsidRPr="005E115F">
        <w:rPr>
          <w:rFonts w:ascii="Verdana" w:eastAsia="Calibri" w:hAnsi="Verdana" w:cs="Arial"/>
          <w:b/>
          <w:bCs/>
          <w:lang w:eastAsia="es-ES_tradnl"/>
        </w:rPr>
        <w:t>Elizabeth Gómez Castaño</w:t>
      </w:r>
    </w:p>
    <w:p w14:paraId="4085B69D" w14:textId="6078C613" w:rsidR="00FF4E35" w:rsidRPr="005E115F" w:rsidRDefault="00FF4E35" w:rsidP="00FF4E35">
      <w:pPr>
        <w:spacing w:after="0" w:line="240" w:lineRule="auto"/>
        <w:rPr>
          <w:rFonts w:ascii="Verdana" w:eastAsia="Calibri" w:hAnsi="Verdana" w:cs="Arial"/>
          <w:lang w:eastAsia="es-ES_tradnl"/>
        </w:rPr>
      </w:pPr>
      <w:r>
        <w:rPr>
          <w:rFonts w:ascii="Verdana" w:eastAsia="Calibri" w:hAnsi="Verdana" w:cs="Arial"/>
          <w:lang w:eastAsia="es-ES_tradnl"/>
        </w:rPr>
        <w:t>Elizabethgomezcastano@gmail.com</w:t>
      </w:r>
      <w:r w:rsidR="009C373D" w:rsidRPr="009C373D">
        <w:rPr>
          <w:noProof/>
        </w:rPr>
        <w:t xml:space="preserve"> </w:t>
      </w:r>
    </w:p>
    <w:p w14:paraId="64BB8D69" w14:textId="189A560C" w:rsidR="00FF4E35" w:rsidRPr="005E115F" w:rsidRDefault="00FF4E35" w:rsidP="00FF4E35">
      <w:pPr>
        <w:spacing w:after="0" w:line="240" w:lineRule="auto"/>
        <w:rPr>
          <w:rFonts w:ascii="Verdana" w:eastAsia="Calibri" w:hAnsi="Verdana" w:cs="Arial"/>
          <w:lang w:eastAsia="es-ES_tradnl"/>
        </w:rPr>
      </w:pPr>
      <w:r w:rsidRPr="005E115F">
        <w:rPr>
          <w:rFonts w:ascii="Verdana" w:hAnsi="Verdana"/>
        </w:rPr>
        <w:t>Bogotá, Cundinamarca</w:t>
      </w:r>
    </w:p>
    <w:p w14:paraId="0A2CCFF6" w14:textId="19CB73C9" w:rsidR="00FF4E35" w:rsidRPr="00514983" w:rsidRDefault="00FF4E35" w:rsidP="00FF4E35">
      <w:pPr>
        <w:spacing w:after="0" w:line="240" w:lineRule="auto"/>
        <w:rPr>
          <w:rFonts w:ascii="Verdana" w:eastAsia="Calibri" w:hAnsi="Verdana" w:cs="Arial"/>
          <w:lang w:eastAsia="es-ES_tradnl"/>
        </w:rPr>
      </w:pPr>
    </w:p>
    <w:p w14:paraId="3C355D50" w14:textId="37304C74" w:rsidR="003E19D8" w:rsidRPr="00514983" w:rsidRDefault="003E19D8" w:rsidP="00FF4E35">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F4E35" w:rsidRPr="00960F72" w14:paraId="49E15DF8" w14:textId="77777777" w:rsidTr="00054434">
        <w:trPr>
          <w:trHeight w:val="190"/>
        </w:trPr>
        <w:tc>
          <w:tcPr>
            <w:tcW w:w="2689" w:type="dxa"/>
          </w:tcPr>
          <w:p w14:paraId="7432C989" w14:textId="77777777" w:rsidR="00FF4E35" w:rsidRPr="00960F72" w:rsidRDefault="00FF4E35" w:rsidP="00054434">
            <w:pPr>
              <w:jc w:val="both"/>
              <w:rPr>
                <w:rFonts w:ascii="Verdana" w:eastAsia="Calibri" w:hAnsi="Verdana" w:cs="Arial"/>
                <w:b/>
                <w:bCs/>
                <w:lang w:eastAsia="es-ES_tradnl"/>
              </w:rPr>
            </w:pPr>
          </w:p>
        </w:tc>
        <w:tc>
          <w:tcPr>
            <w:tcW w:w="6100" w:type="dxa"/>
          </w:tcPr>
          <w:p w14:paraId="5B6A7D4F" w14:textId="77777777" w:rsidR="00FF4E35" w:rsidRPr="00960F72" w:rsidRDefault="00FF4E35" w:rsidP="00054434">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548</w:t>
            </w:r>
            <w:r w:rsidRPr="00960F72">
              <w:rPr>
                <w:rFonts w:ascii="Verdana" w:eastAsia="Calibri" w:hAnsi="Verdana" w:cs="Arial"/>
                <w:b/>
                <w:bCs/>
                <w:lang w:eastAsia="es-ES"/>
              </w:rPr>
              <w:t xml:space="preserve"> de 2025</w:t>
            </w:r>
          </w:p>
          <w:p w14:paraId="1F56394F" w14:textId="77777777" w:rsidR="00FF4E35" w:rsidRPr="00960F72" w:rsidRDefault="00FF4E35" w:rsidP="00054434">
            <w:pPr>
              <w:jc w:val="both"/>
              <w:rPr>
                <w:rFonts w:ascii="Verdana" w:eastAsia="Calibri" w:hAnsi="Verdana" w:cs="Arial"/>
                <w:b/>
                <w:bCs/>
                <w:lang w:eastAsia="es-ES"/>
              </w:rPr>
            </w:pPr>
          </w:p>
        </w:tc>
      </w:tr>
      <w:tr w:rsidR="00FF4E35" w:rsidRPr="00960F72" w14:paraId="69FDC217" w14:textId="77777777" w:rsidTr="00054434">
        <w:trPr>
          <w:trHeight w:val="884"/>
        </w:trPr>
        <w:tc>
          <w:tcPr>
            <w:tcW w:w="2689" w:type="dxa"/>
          </w:tcPr>
          <w:p w14:paraId="65DEDDDD" w14:textId="77777777" w:rsidR="00FF4E35" w:rsidRPr="00960F72" w:rsidRDefault="00FF4E35" w:rsidP="00054434">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31F26145" w14:textId="77777777" w:rsidR="00FF4E35" w:rsidRPr="00E8636D" w:rsidRDefault="00FF4E35" w:rsidP="00054434">
            <w:pPr>
              <w:spacing w:line="276" w:lineRule="auto"/>
              <w:jc w:val="both"/>
              <w:rPr>
                <w:rFonts w:ascii="Verdana" w:eastAsia="Calibri" w:hAnsi="Verdana" w:cs="Arial"/>
                <w:lang w:val="es-ES" w:eastAsia="es-ES"/>
              </w:rPr>
            </w:pPr>
            <w:r w:rsidRPr="00E8636D">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Pr>
                <w:rFonts w:ascii="Verdana" w:eastAsia="Calibri" w:hAnsi="Verdana" w:cs="Arial"/>
                <w:lang w:val="es-ES" w:eastAsia="es-ES"/>
              </w:rPr>
              <w:t xml:space="preserve"> y sujetos</w:t>
            </w:r>
            <w:r w:rsidRPr="00E8636D">
              <w:rPr>
                <w:rFonts w:ascii="Verdana" w:eastAsia="Calibri" w:hAnsi="Verdana" w:cs="Arial"/>
                <w:lang w:val="es-ES" w:eastAsia="es-ES"/>
              </w:rPr>
              <w:t xml:space="preserve">   </w:t>
            </w:r>
            <w:r>
              <w:rPr>
                <w:rFonts w:ascii="Verdana" w:eastAsia="Calibri" w:hAnsi="Verdana" w:cs="Arial"/>
                <w:lang w:val="es-ES" w:eastAsia="es-ES"/>
              </w:rPr>
              <w:t>Aplicación</w:t>
            </w:r>
            <w:r w:rsidRPr="00E8636D">
              <w:rPr>
                <w:rFonts w:ascii="Verdana" w:eastAsia="Calibri" w:hAnsi="Verdana" w:cs="Arial"/>
                <w:lang w:val="es-ES" w:eastAsia="es-ES"/>
              </w:rPr>
              <w:t>/ ENAJENACIÓN VOLUNTARIA – Ley de Garantías Electorales – Aplicación</w:t>
            </w:r>
          </w:p>
          <w:p w14:paraId="3A8A62D1" w14:textId="77777777" w:rsidR="00FF4E35" w:rsidRPr="00960F72" w:rsidRDefault="00FF4E35" w:rsidP="00054434">
            <w:pPr>
              <w:jc w:val="both"/>
              <w:rPr>
                <w:rFonts w:ascii="Verdana" w:eastAsia="Calibri" w:hAnsi="Verdana" w:cs="Arial"/>
                <w:lang w:eastAsia="es-ES"/>
              </w:rPr>
            </w:pPr>
          </w:p>
        </w:tc>
      </w:tr>
      <w:tr w:rsidR="00FF4E35" w:rsidRPr="00960F72" w14:paraId="3993DE7E" w14:textId="77777777" w:rsidTr="00054434">
        <w:tc>
          <w:tcPr>
            <w:tcW w:w="2689" w:type="dxa"/>
          </w:tcPr>
          <w:p w14:paraId="470BE836" w14:textId="0C65D01F" w:rsidR="00FF4E35" w:rsidRPr="00960F72" w:rsidRDefault="00FF4E35" w:rsidP="00054434">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2ED84320" w14:textId="51D1F3CF" w:rsidR="00FF4E35" w:rsidRPr="00960F72" w:rsidRDefault="00FF4E35" w:rsidP="00054434">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5E115F">
              <w:rPr>
                <w:rFonts w:ascii="Verdana" w:eastAsia="Calibri" w:hAnsi="Verdana" w:cs="Arial"/>
                <w:lang w:eastAsia="es-ES_tradnl"/>
              </w:rPr>
              <w:t>1_2025_10_22_0118</w:t>
            </w:r>
            <w:r w:rsidR="006E3691">
              <w:rPr>
                <w:rFonts w:ascii="Verdana" w:eastAsia="Calibri" w:hAnsi="Verdana" w:cs="Arial"/>
                <w:lang w:eastAsia="es-ES_tradnl"/>
              </w:rPr>
              <w:t>58</w:t>
            </w:r>
            <w:r>
              <w:rPr>
                <w:rFonts w:ascii="Verdana" w:eastAsia="Calibri" w:hAnsi="Verdana" w:cs="Arial"/>
                <w:lang w:eastAsia="es-ES_tradnl"/>
              </w:rPr>
              <w:t xml:space="preserve"> y </w:t>
            </w:r>
            <w:r w:rsidRPr="005E115F">
              <w:rPr>
                <w:rFonts w:ascii="Verdana" w:eastAsia="Calibri" w:hAnsi="Verdana" w:cs="Arial"/>
                <w:lang w:eastAsia="es-ES_tradnl"/>
              </w:rPr>
              <w:t>1_2025_10_22_011860</w:t>
            </w:r>
            <w:r>
              <w:rPr>
                <w:rFonts w:ascii="Verdana" w:eastAsia="Calibri" w:hAnsi="Verdana" w:cs="Arial"/>
                <w:lang w:eastAsia="es-ES_tradnl"/>
              </w:rPr>
              <w:t xml:space="preserve"> (Acumuladas)</w:t>
            </w:r>
          </w:p>
        </w:tc>
      </w:tr>
    </w:tbl>
    <w:p w14:paraId="78CB66A1" w14:textId="77777777" w:rsidR="00FF4E35" w:rsidRPr="00960F72" w:rsidRDefault="00FF4E35" w:rsidP="00FF4E35">
      <w:pPr>
        <w:spacing w:after="0" w:line="240" w:lineRule="auto"/>
        <w:jc w:val="both"/>
        <w:rPr>
          <w:rFonts w:ascii="Verdana" w:eastAsia="Calibri" w:hAnsi="Verdana" w:cs="Arial"/>
          <w:lang w:eastAsia="es-ES_tradnl"/>
        </w:rPr>
      </w:pPr>
    </w:p>
    <w:p w14:paraId="2E2D2D0B" w14:textId="77777777" w:rsidR="00FF4E35" w:rsidRPr="00960F72" w:rsidRDefault="00FF4E35" w:rsidP="00FF4E35">
      <w:pPr>
        <w:spacing w:after="0" w:line="276" w:lineRule="auto"/>
        <w:jc w:val="both"/>
        <w:rPr>
          <w:rFonts w:ascii="Verdana" w:eastAsia="Calibri" w:hAnsi="Verdana" w:cs="Arial"/>
          <w:lang w:eastAsia="es-ES"/>
        </w:rPr>
      </w:pPr>
      <w:r>
        <w:rPr>
          <w:rFonts w:ascii="Verdana" w:eastAsia="Calibri" w:hAnsi="Verdana" w:cs="Arial"/>
          <w:lang w:eastAsia="es-ES"/>
        </w:rPr>
        <w:t>Estimada señora Gómez:</w:t>
      </w:r>
    </w:p>
    <w:p w14:paraId="1625D0E5" w14:textId="77777777" w:rsidR="00FF4E35" w:rsidRPr="00960F72" w:rsidRDefault="00FF4E35" w:rsidP="00FF4E35">
      <w:pPr>
        <w:tabs>
          <w:tab w:val="left" w:pos="3768"/>
        </w:tabs>
        <w:spacing w:after="0" w:line="276" w:lineRule="auto"/>
        <w:jc w:val="both"/>
        <w:rPr>
          <w:rFonts w:ascii="Verdana" w:eastAsia="Calibri" w:hAnsi="Verdana" w:cs="Arial"/>
          <w:lang w:eastAsia="es-ES"/>
        </w:rPr>
      </w:pPr>
    </w:p>
    <w:p w14:paraId="43CBA91F" w14:textId="77777777" w:rsidR="00FF4E35" w:rsidRPr="00960F72" w:rsidRDefault="00FF4E35" w:rsidP="00FF4E35">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LA cual fue transferida por competencia a esta Agencia el pasado 22</w:t>
      </w:r>
      <w:r w:rsidRPr="00960F72">
        <w:rPr>
          <w:rFonts w:ascii="Verdana" w:eastAsia="Calibri" w:hAnsi="Verdana" w:cs="Arial"/>
          <w:lang w:eastAsia="es-ES"/>
        </w:rPr>
        <w:t xml:space="preserve"> de </w:t>
      </w:r>
      <w:r>
        <w:rPr>
          <w:rFonts w:ascii="Verdana" w:eastAsia="Calibri" w:hAnsi="Verdana" w:cs="Arial"/>
          <w:lang w:eastAsia="es-ES"/>
        </w:rPr>
        <w:t>octubre</w:t>
      </w:r>
      <w:r w:rsidRPr="00960F72">
        <w:rPr>
          <w:rFonts w:ascii="Verdana" w:eastAsia="Calibri" w:hAnsi="Verdana" w:cs="Arial"/>
          <w:lang w:eastAsia="es-ES"/>
        </w:rPr>
        <w:t xml:space="preserve"> de 2025, en la cual manifiesta lo siguiente: </w:t>
      </w:r>
    </w:p>
    <w:p w14:paraId="7723F27C" w14:textId="77777777" w:rsidR="00FF4E35" w:rsidRPr="00960F72" w:rsidRDefault="00FF4E35" w:rsidP="00FF4E35">
      <w:pPr>
        <w:spacing w:after="0" w:line="276" w:lineRule="auto"/>
        <w:jc w:val="both"/>
        <w:rPr>
          <w:rFonts w:ascii="Verdana" w:eastAsia="Calibri" w:hAnsi="Verdana" w:cs="Arial"/>
          <w:lang w:eastAsia="es-ES"/>
        </w:rPr>
      </w:pPr>
    </w:p>
    <w:p w14:paraId="391A724A" w14:textId="77777777" w:rsidR="00FF4E35" w:rsidRPr="00954544" w:rsidRDefault="00FF4E35" w:rsidP="00FF4E35">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954544">
        <w:rPr>
          <w:rFonts w:ascii="Verdana" w:eastAsia="Calibri" w:hAnsi="Verdana" w:cs="Arial"/>
          <w:sz w:val="20"/>
          <w:szCs w:val="20"/>
          <w:lang w:eastAsia="es-ES"/>
        </w:rPr>
        <w:t>1. ¿Es jurídicamente procedente que las entidades públicas y/o contratistas</w:t>
      </w:r>
      <w:r>
        <w:rPr>
          <w:rFonts w:ascii="Verdana" w:eastAsia="Calibri" w:hAnsi="Verdana" w:cs="Arial"/>
          <w:sz w:val="20"/>
          <w:szCs w:val="20"/>
          <w:lang w:eastAsia="es-ES"/>
        </w:rPr>
        <w:t xml:space="preserve"> </w:t>
      </w:r>
      <w:r w:rsidRPr="00954544">
        <w:rPr>
          <w:rFonts w:ascii="Verdana" w:eastAsia="Calibri" w:hAnsi="Verdana" w:cs="Arial"/>
          <w:sz w:val="20"/>
          <w:szCs w:val="20"/>
          <w:lang w:eastAsia="es-ES"/>
        </w:rPr>
        <w:t>encargados de la gestión predial, suscriban promesas de compraventa y</w:t>
      </w:r>
      <w:r>
        <w:rPr>
          <w:rFonts w:ascii="Verdana" w:eastAsia="Calibri" w:hAnsi="Verdana" w:cs="Arial"/>
          <w:sz w:val="20"/>
          <w:szCs w:val="20"/>
          <w:lang w:eastAsia="es-ES"/>
        </w:rPr>
        <w:t xml:space="preserve"> </w:t>
      </w:r>
      <w:r w:rsidRPr="00954544">
        <w:rPr>
          <w:rFonts w:ascii="Verdana" w:eastAsia="Calibri" w:hAnsi="Verdana" w:cs="Arial"/>
          <w:sz w:val="20"/>
          <w:szCs w:val="20"/>
          <w:lang w:eastAsia="es-ES"/>
        </w:rPr>
        <w:t xml:space="preserve">escrituras públicas de compraventa durante el período electoral presidencial? </w:t>
      </w:r>
    </w:p>
    <w:p w14:paraId="469F4272" w14:textId="77777777" w:rsidR="00FF4E35" w:rsidRPr="00954544" w:rsidRDefault="00FF4E35" w:rsidP="00FF4E35">
      <w:pPr>
        <w:spacing w:after="0" w:line="240" w:lineRule="auto"/>
        <w:ind w:left="709" w:right="709"/>
        <w:jc w:val="both"/>
        <w:rPr>
          <w:rFonts w:ascii="Verdana" w:eastAsia="Calibri" w:hAnsi="Verdana" w:cs="Arial"/>
          <w:sz w:val="20"/>
          <w:szCs w:val="20"/>
          <w:lang w:eastAsia="es-ES"/>
        </w:rPr>
      </w:pPr>
      <w:r w:rsidRPr="00954544">
        <w:rPr>
          <w:rFonts w:ascii="Verdana" w:eastAsia="Calibri" w:hAnsi="Verdana" w:cs="Arial"/>
          <w:sz w:val="20"/>
          <w:szCs w:val="20"/>
          <w:lang w:eastAsia="es-ES"/>
        </w:rPr>
        <w:t xml:space="preserve">2. </w:t>
      </w:r>
      <w:proofErr w:type="gramStart"/>
      <w:r w:rsidRPr="00954544">
        <w:rPr>
          <w:rFonts w:ascii="Verdana" w:eastAsia="Calibri" w:hAnsi="Verdana" w:cs="Arial"/>
          <w:sz w:val="20"/>
          <w:szCs w:val="20"/>
          <w:lang w:eastAsia="es-ES"/>
        </w:rPr>
        <w:t>En caso de existir restricciones en torno a la gestión predial, por favor indicar</w:t>
      </w:r>
      <w:r>
        <w:rPr>
          <w:rFonts w:ascii="Verdana" w:eastAsia="Calibri" w:hAnsi="Verdana" w:cs="Arial"/>
          <w:sz w:val="20"/>
          <w:szCs w:val="20"/>
          <w:lang w:eastAsia="es-ES"/>
        </w:rPr>
        <w:t xml:space="preserve"> </w:t>
      </w:r>
      <w:proofErr w:type="spellStart"/>
      <w:r w:rsidRPr="00954544">
        <w:rPr>
          <w:rFonts w:ascii="Verdana" w:eastAsia="Calibri" w:hAnsi="Verdana" w:cs="Arial"/>
          <w:sz w:val="20"/>
          <w:szCs w:val="20"/>
          <w:lang w:eastAsia="es-ES"/>
        </w:rPr>
        <w:t>cuales</w:t>
      </w:r>
      <w:proofErr w:type="spellEnd"/>
      <w:r w:rsidRPr="00954544">
        <w:rPr>
          <w:rFonts w:ascii="Verdana" w:eastAsia="Calibri" w:hAnsi="Verdana" w:cs="Arial"/>
          <w:sz w:val="20"/>
          <w:szCs w:val="20"/>
          <w:lang w:eastAsia="es-ES"/>
        </w:rPr>
        <w:t xml:space="preserve"> son</w:t>
      </w:r>
      <w:r>
        <w:rPr>
          <w:rFonts w:ascii="Verdana" w:eastAsia="Calibri" w:hAnsi="Verdana" w:cs="Arial"/>
          <w:sz w:val="20"/>
          <w:szCs w:val="20"/>
          <w:lang w:eastAsia="es-ES"/>
        </w:rPr>
        <w:t>?</w:t>
      </w:r>
      <w:proofErr w:type="gramEnd"/>
    </w:p>
    <w:p w14:paraId="66C4E6C7" w14:textId="77777777" w:rsidR="00FF4E35" w:rsidRPr="00954544" w:rsidRDefault="00FF4E35" w:rsidP="00FF4E35">
      <w:pPr>
        <w:spacing w:after="0" w:line="240" w:lineRule="auto"/>
        <w:ind w:left="709" w:right="709"/>
        <w:jc w:val="both"/>
        <w:rPr>
          <w:rFonts w:ascii="Verdana" w:eastAsia="Calibri" w:hAnsi="Verdana" w:cs="Arial"/>
          <w:sz w:val="20"/>
          <w:szCs w:val="20"/>
          <w:lang w:eastAsia="es-ES"/>
        </w:rPr>
      </w:pPr>
      <w:r w:rsidRPr="00954544">
        <w:rPr>
          <w:rFonts w:ascii="Verdana" w:eastAsia="Calibri" w:hAnsi="Verdana" w:cs="Arial"/>
          <w:sz w:val="20"/>
          <w:szCs w:val="20"/>
          <w:lang w:eastAsia="es-ES"/>
        </w:rPr>
        <w:t>3. ¿Qué criterios o salvaguardas deben observarse para considerar que estas</w:t>
      </w:r>
      <w:r>
        <w:rPr>
          <w:rFonts w:ascii="Verdana" w:eastAsia="Calibri" w:hAnsi="Verdana" w:cs="Arial"/>
          <w:sz w:val="20"/>
          <w:szCs w:val="20"/>
          <w:lang w:eastAsia="es-ES"/>
        </w:rPr>
        <w:t xml:space="preserve"> </w:t>
      </w:r>
      <w:r w:rsidRPr="00954544">
        <w:rPr>
          <w:rFonts w:ascii="Verdana" w:eastAsia="Calibri" w:hAnsi="Verdana" w:cs="Arial"/>
          <w:sz w:val="20"/>
          <w:szCs w:val="20"/>
          <w:lang w:eastAsia="es-ES"/>
        </w:rPr>
        <w:t>actuaciones no vulneran la Ley 996 de 2005 (Ley de Garantías Electorales)</w:t>
      </w:r>
      <w:r>
        <w:rPr>
          <w:rFonts w:ascii="Verdana" w:eastAsia="Calibri" w:hAnsi="Verdana" w:cs="Arial"/>
          <w:sz w:val="20"/>
          <w:szCs w:val="20"/>
          <w:lang w:eastAsia="es-ES"/>
        </w:rPr>
        <w:t xml:space="preserve"> </w:t>
      </w:r>
      <w:r w:rsidRPr="00954544">
        <w:rPr>
          <w:rFonts w:ascii="Verdana" w:eastAsia="Calibri" w:hAnsi="Verdana" w:cs="Arial"/>
          <w:sz w:val="20"/>
          <w:szCs w:val="20"/>
          <w:lang w:eastAsia="es-ES"/>
        </w:rPr>
        <w:t xml:space="preserve">ni constituyen indebida modificación de nómina, destinación </w:t>
      </w:r>
      <w:r w:rsidRPr="00954544">
        <w:rPr>
          <w:rFonts w:ascii="Verdana" w:eastAsia="Calibri" w:hAnsi="Verdana" w:cs="Arial"/>
          <w:sz w:val="20"/>
          <w:szCs w:val="20"/>
          <w:lang w:eastAsia="es-ES"/>
        </w:rPr>
        <w:lastRenderedPageBreak/>
        <w:t>de recursos</w:t>
      </w:r>
      <w:r>
        <w:rPr>
          <w:rFonts w:ascii="Verdana" w:eastAsia="Calibri" w:hAnsi="Verdana" w:cs="Arial"/>
          <w:sz w:val="20"/>
          <w:szCs w:val="20"/>
          <w:lang w:eastAsia="es-ES"/>
        </w:rPr>
        <w:t xml:space="preserve"> </w:t>
      </w:r>
      <w:r w:rsidRPr="00954544">
        <w:rPr>
          <w:rFonts w:ascii="Verdana" w:eastAsia="Calibri" w:hAnsi="Verdana" w:cs="Arial"/>
          <w:sz w:val="20"/>
          <w:szCs w:val="20"/>
          <w:lang w:eastAsia="es-ES"/>
        </w:rPr>
        <w:t xml:space="preserve">públicos o celebración de convenios prohibidos durante dicho período? </w:t>
      </w:r>
    </w:p>
    <w:p w14:paraId="2AD6588E" w14:textId="77777777" w:rsidR="00FF4E35" w:rsidRDefault="00FF4E35" w:rsidP="00FF4E35">
      <w:pPr>
        <w:spacing w:after="0" w:line="240" w:lineRule="auto"/>
        <w:ind w:left="709" w:right="709"/>
        <w:jc w:val="both"/>
        <w:rPr>
          <w:rFonts w:ascii="Verdana" w:eastAsia="Calibri" w:hAnsi="Verdana" w:cs="Arial"/>
          <w:sz w:val="20"/>
          <w:szCs w:val="20"/>
          <w:lang w:eastAsia="es-ES"/>
        </w:rPr>
      </w:pPr>
      <w:r w:rsidRPr="00954544">
        <w:rPr>
          <w:rFonts w:ascii="Verdana" w:eastAsia="Calibri" w:hAnsi="Verdana" w:cs="Arial"/>
          <w:sz w:val="20"/>
          <w:szCs w:val="20"/>
          <w:lang w:eastAsia="es-ES"/>
        </w:rPr>
        <w:t>4. ¿Existen conceptos, circulares o directrices previas de esa Procuraduría o de</w:t>
      </w:r>
      <w:r>
        <w:rPr>
          <w:rFonts w:ascii="Verdana" w:eastAsia="Calibri" w:hAnsi="Verdana" w:cs="Arial"/>
          <w:sz w:val="20"/>
          <w:szCs w:val="20"/>
          <w:lang w:eastAsia="es-ES"/>
        </w:rPr>
        <w:t xml:space="preserve"> </w:t>
      </w:r>
      <w:r w:rsidRPr="00954544">
        <w:rPr>
          <w:rFonts w:ascii="Verdana" w:eastAsia="Calibri" w:hAnsi="Verdana" w:cs="Arial"/>
          <w:sz w:val="20"/>
          <w:szCs w:val="20"/>
          <w:lang w:eastAsia="es-ES"/>
        </w:rPr>
        <w:t>otras autoridades de control que orienten la aplicación de la Ley de Garantías</w:t>
      </w:r>
      <w:r>
        <w:rPr>
          <w:rFonts w:ascii="Verdana" w:eastAsia="Calibri" w:hAnsi="Verdana" w:cs="Arial"/>
          <w:sz w:val="20"/>
          <w:szCs w:val="20"/>
          <w:lang w:eastAsia="es-ES"/>
        </w:rPr>
        <w:t xml:space="preserve"> </w:t>
      </w:r>
      <w:r w:rsidRPr="00954544">
        <w:rPr>
          <w:rFonts w:ascii="Verdana" w:eastAsia="Calibri" w:hAnsi="Verdana" w:cs="Arial"/>
          <w:sz w:val="20"/>
          <w:szCs w:val="20"/>
          <w:lang w:eastAsia="es-ES"/>
        </w:rPr>
        <w:t>a procesos de gestión predial? En caso afirmativo, se solicita remitir o</w:t>
      </w:r>
      <w:r>
        <w:rPr>
          <w:rFonts w:ascii="Verdana" w:eastAsia="Calibri" w:hAnsi="Verdana" w:cs="Arial"/>
          <w:sz w:val="20"/>
          <w:szCs w:val="20"/>
          <w:lang w:eastAsia="es-ES"/>
        </w:rPr>
        <w:t xml:space="preserve"> </w:t>
      </w:r>
      <w:r w:rsidRPr="00954544">
        <w:rPr>
          <w:rFonts w:ascii="Verdana" w:eastAsia="Calibri" w:hAnsi="Verdana" w:cs="Arial"/>
          <w:sz w:val="20"/>
          <w:szCs w:val="20"/>
          <w:lang w:eastAsia="es-ES"/>
        </w:rPr>
        <w:t>referenciar las más relevantes</w:t>
      </w:r>
      <w:r w:rsidRPr="002762D2">
        <w:rPr>
          <w:rFonts w:ascii="Verdana" w:eastAsia="Calibri" w:hAnsi="Verdana" w:cs="Arial"/>
          <w:sz w:val="20"/>
          <w:szCs w:val="20"/>
          <w:lang w:eastAsia="es-ES"/>
        </w:rPr>
        <w:t>.</w:t>
      </w:r>
      <w:r>
        <w:rPr>
          <w:rFonts w:ascii="Verdana" w:eastAsia="Calibri" w:hAnsi="Verdana" w:cs="Arial"/>
          <w:sz w:val="20"/>
          <w:szCs w:val="20"/>
          <w:lang w:eastAsia="es-ES"/>
        </w:rPr>
        <w:t>”</w:t>
      </w:r>
    </w:p>
    <w:p w14:paraId="7C100784" w14:textId="77777777" w:rsidR="00FF4E35" w:rsidRPr="00755387" w:rsidRDefault="00FF4E35" w:rsidP="00FF4E35">
      <w:pPr>
        <w:spacing w:after="0" w:line="276" w:lineRule="auto"/>
        <w:ind w:left="709" w:right="709"/>
        <w:jc w:val="both"/>
        <w:rPr>
          <w:rFonts w:ascii="Verdana" w:eastAsia="Calibri" w:hAnsi="Verdana" w:cs="Arial"/>
          <w:lang w:eastAsia="es-ES"/>
        </w:rPr>
      </w:pPr>
    </w:p>
    <w:p w14:paraId="0DFD3B2F" w14:textId="77777777" w:rsidR="00FF4E35" w:rsidRPr="00960F72" w:rsidRDefault="00FF4E35" w:rsidP="00FF4E35">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6D420AA" w14:textId="77777777" w:rsidR="00FF4E35" w:rsidRPr="00960F72" w:rsidRDefault="00FF4E35" w:rsidP="00FF4E35">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52F5E223" w14:textId="77777777" w:rsidR="00FF4E35" w:rsidRPr="00960F72" w:rsidRDefault="00FF4E35" w:rsidP="00FF4E35">
      <w:pPr>
        <w:spacing w:after="0" w:line="276" w:lineRule="auto"/>
        <w:ind w:firstLine="709"/>
        <w:jc w:val="both"/>
        <w:rPr>
          <w:rFonts w:ascii="Verdana" w:eastAsia="Calibri" w:hAnsi="Verdana" w:cs="Arial"/>
          <w:lang w:eastAsia="es-ES"/>
        </w:rPr>
      </w:pPr>
    </w:p>
    <w:p w14:paraId="3DF14463" w14:textId="77777777" w:rsidR="00FF4E35" w:rsidRPr="00960F72"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6BD9647A" w14:textId="77777777" w:rsidR="00FF4E35" w:rsidRPr="00960F72" w:rsidRDefault="00FF4E35" w:rsidP="00FF4E35">
      <w:pPr>
        <w:tabs>
          <w:tab w:val="left" w:pos="426"/>
        </w:tabs>
        <w:spacing w:after="0" w:line="276" w:lineRule="auto"/>
        <w:jc w:val="both"/>
        <w:rPr>
          <w:rFonts w:ascii="Verdana" w:eastAsia="Century Gothic" w:hAnsi="Verdana" w:cs="Century Gothic"/>
        </w:rPr>
      </w:pPr>
    </w:p>
    <w:p w14:paraId="7EA4A816" w14:textId="05280BF9" w:rsidR="00FF4E35" w:rsidRPr="00960F72" w:rsidRDefault="00FF4E35" w:rsidP="00FF4E35">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0E08E5">
        <w:rPr>
          <w:rFonts w:ascii="Verdana" w:eastAsia="Century Gothic" w:hAnsi="Verdana" w:cs="Century Gothic"/>
        </w:rPr>
        <w:t>¿Es jurídicamente permitido que las entidades públicas y/o los contratistas de gestión predial celebren promesas de compraventa y escrituras públicas de compraventa durante el período electoral presidencial, o dichas actuaciones se encuentran restringidas por la Ley 996 de 2005?</w:t>
      </w:r>
    </w:p>
    <w:p w14:paraId="0DD14D14" w14:textId="77777777" w:rsidR="00FF4E35" w:rsidRPr="00027E7B"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F4E35" w:rsidRPr="00960F72" w14:paraId="3B88F257" w14:textId="77777777" w:rsidTr="00054434">
        <w:tc>
          <w:tcPr>
            <w:tcW w:w="8828" w:type="dxa"/>
          </w:tcPr>
          <w:p w14:paraId="1052539C" w14:textId="364F576C" w:rsidR="009F0808" w:rsidRDefault="009F0808" w:rsidP="000B3A84">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En relación con las restricciones en materia de contratación estatal previstas en la Ley de Garantías Electorales se debe señalar lo siguiente:</w:t>
            </w:r>
          </w:p>
          <w:p w14:paraId="3186C020" w14:textId="35907C06" w:rsidR="00FF4E35" w:rsidRPr="00E8636D" w:rsidRDefault="00FF4E35" w:rsidP="000B3A84">
            <w:pPr>
              <w:spacing w:after="120" w:line="276" w:lineRule="auto"/>
              <w:ind w:firstLine="709"/>
              <w:jc w:val="both"/>
              <w:rPr>
                <w:rFonts w:ascii="Verdana" w:eastAsia="Calibri" w:hAnsi="Verdana" w:cs="Arial"/>
                <w:lang w:val="es-ES"/>
              </w:rPr>
            </w:pPr>
            <w:r w:rsidRPr="00E8636D">
              <w:rPr>
                <w:rFonts w:ascii="Verdana" w:eastAsia="Calibri" w:hAnsi="Verdana" w:cs="Arial"/>
                <w:color w:val="000000" w:themeColor="text1"/>
                <w:lang w:val="es-ES"/>
              </w:rPr>
              <w:lastRenderedPageBreak/>
              <w:t>E</w:t>
            </w:r>
            <w:r w:rsidRPr="00E8636D">
              <w:rPr>
                <w:rFonts w:ascii="Verdana" w:eastAsia="Calibri" w:hAnsi="Verdana" w:cs="Arial"/>
                <w:lang w:val="es-ES"/>
              </w:rPr>
              <w:t xml:space="preserve">l </w:t>
            </w:r>
            <w:r w:rsidRPr="00E8636D">
              <w:rPr>
                <w:rFonts w:ascii="Verdana" w:eastAsia="Calibri" w:hAnsi="Verdana" w:cs="Arial"/>
                <w:i/>
                <w:iCs/>
                <w:lang w:val="es-ES"/>
              </w:rPr>
              <w:t>artículo 33</w:t>
            </w:r>
            <w:r w:rsidRPr="00E8636D">
              <w:rPr>
                <w:rFonts w:ascii="Verdana" w:eastAsia="Calibri" w:hAnsi="Verdana" w:cs="Arial"/>
                <w:lang w:val="es-ES"/>
              </w:rPr>
              <w:t xml:space="preserve">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009F6069">
              <w:rPr>
                <w:rFonts w:ascii="Verdana" w:eastAsia="Calibri" w:hAnsi="Verdana" w:cs="Arial"/>
                <w:lang w:val="es-ES"/>
              </w:rPr>
              <w:t>”</w:t>
            </w:r>
            <w:r w:rsidRPr="009F0808">
              <w:rPr>
                <w:rFonts w:ascii="Verdana" w:eastAsia="Calibri" w:hAnsi="Verdana" w:cs="Arial"/>
                <w:lang w:val="es-ES"/>
              </w:rPr>
              <w:t>.</w:t>
            </w:r>
          </w:p>
          <w:p w14:paraId="19854685" w14:textId="3A095387" w:rsidR="00FF4E35" w:rsidRDefault="00FF4E35" w:rsidP="00054434">
            <w:pPr>
              <w:widowControl w:val="0"/>
              <w:autoSpaceDE w:val="0"/>
              <w:autoSpaceDN w:val="0"/>
              <w:spacing w:after="120" w:line="276" w:lineRule="auto"/>
              <w:ind w:right="113" w:firstLine="709"/>
              <w:jc w:val="both"/>
              <w:rPr>
                <w:rFonts w:ascii="Verdana" w:eastAsia="Arial" w:hAnsi="Verdana" w:cs="Arial"/>
                <w:lang w:val="es-ES" w:eastAsia="es-ES" w:bidi="es-ES"/>
              </w:rPr>
            </w:pPr>
            <w:r w:rsidRPr="00E8636D">
              <w:rPr>
                <w:rFonts w:ascii="Verdana" w:eastAsia="Calibri" w:hAnsi="Verdana" w:cs="Arial"/>
                <w:lang w:val="es-ES"/>
              </w:rPr>
              <w:t xml:space="preserve">Por otro lado, </w:t>
            </w:r>
            <w:r w:rsidRPr="00E8636D">
              <w:rPr>
                <w:rFonts w:ascii="Verdana" w:eastAsia="Calibri" w:hAnsi="Verdana" w:cs="Arial"/>
                <w:i/>
                <w:iCs/>
                <w:lang w:val="es-ES"/>
              </w:rPr>
              <w:t xml:space="preserve">el parágrafo del artículo 38 </w:t>
            </w:r>
            <w:r w:rsidRPr="00E8636D">
              <w:rPr>
                <w:rFonts w:ascii="Verdana" w:eastAsia="Calibri" w:hAnsi="Verdana" w:cs="Arial"/>
                <w:lang w:val="es-ES"/>
              </w:rPr>
              <w:t>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8636D">
              <w:rPr>
                <w:rFonts w:ascii="Verdana" w:eastAsia="Arial" w:hAnsi="Verdana" w:cs="Arial"/>
                <w:lang w:val="es-ES" w:eastAsia="es-ES" w:bidi="es-ES"/>
              </w:rPr>
              <w:t xml:space="preserve"> </w:t>
            </w:r>
          </w:p>
          <w:p w14:paraId="28EF2D51" w14:textId="77777777" w:rsidR="00FF4E35" w:rsidRPr="00027E7B" w:rsidRDefault="00FF4E35" w:rsidP="00054434">
            <w:pPr>
              <w:widowControl w:val="0"/>
              <w:autoSpaceDE w:val="0"/>
              <w:autoSpaceDN w:val="0"/>
              <w:spacing w:after="120" w:line="276" w:lineRule="auto"/>
              <w:ind w:right="113" w:firstLine="709"/>
              <w:jc w:val="both"/>
              <w:rPr>
                <w:rFonts w:ascii="Verdana" w:eastAsia="Arial" w:hAnsi="Verdana" w:cs="Arial"/>
                <w:lang w:eastAsia="es-ES" w:bidi="es-ES"/>
              </w:rPr>
            </w:pPr>
            <w:r w:rsidRPr="00027E7B">
              <w:rPr>
                <w:rFonts w:ascii="Verdana" w:eastAsia="Arial" w:hAnsi="Verdana" w:cs="Arial"/>
                <w:lang w:eastAsia="es-ES" w:bidi="es-ES"/>
              </w:rPr>
              <w:t>En relación con la gestión predial, la normatividad contempla dos vías para la adquisición de inmuebles por parte del Estado: (i) la enajenación voluntaria, que se materializa mediante negociación directa entre la entidad y el propietario; y (</w:t>
            </w:r>
            <w:proofErr w:type="spellStart"/>
            <w:r w:rsidRPr="00027E7B">
              <w:rPr>
                <w:rFonts w:ascii="Verdana" w:eastAsia="Arial" w:hAnsi="Verdana" w:cs="Arial"/>
                <w:lang w:eastAsia="es-ES" w:bidi="es-ES"/>
              </w:rPr>
              <w:t>ii</w:t>
            </w:r>
            <w:proofErr w:type="spellEnd"/>
            <w:r w:rsidRPr="00027E7B">
              <w:rPr>
                <w:rFonts w:ascii="Verdana" w:eastAsia="Arial" w:hAnsi="Verdana" w:cs="Arial"/>
                <w:lang w:eastAsia="es-ES" w:bidi="es-ES"/>
              </w:rPr>
              <w:t>) la expropiación judicial o administrativa.</w:t>
            </w:r>
          </w:p>
          <w:p w14:paraId="7AAA3D76" w14:textId="77777777" w:rsidR="00FF4E35" w:rsidRPr="00027E7B" w:rsidRDefault="00FF4E35" w:rsidP="00054434">
            <w:pPr>
              <w:widowControl w:val="0"/>
              <w:autoSpaceDE w:val="0"/>
              <w:autoSpaceDN w:val="0"/>
              <w:spacing w:after="120" w:line="276" w:lineRule="auto"/>
              <w:ind w:right="113" w:firstLine="709"/>
              <w:jc w:val="both"/>
              <w:rPr>
                <w:rFonts w:ascii="Verdana" w:eastAsia="Arial" w:hAnsi="Verdana" w:cs="Arial"/>
                <w:lang w:eastAsia="es-ES" w:bidi="es-ES"/>
              </w:rPr>
            </w:pPr>
            <w:r w:rsidRPr="00027E7B">
              <w:rPr>
                <w:rFonts w:ascii="Verdana" w:eastAsia="Arial" w:hAnsi="Verdana" w:cs="Arial"/>
                <w:lang w:eastAsia="es-ES" w:bidi="es-ES"/>
              </w:rPr>
              <w:t>En los casos de enajenación voluntaria, la adquisición se perfecciona mediante la celebración de una promesa de compraventa o un contrato de compraventa, lo que constituye un contrato estatal no competitivo. Por tal razón, esta actuación se ubica dentro del concepto de contratación directa y, en consecuencia, se encuentra sujeta a la restricción prevista en el artículo 33 de la Ley de Garantías Electorales durante los cuatro (4) meses anteriores a la elección presidencial, salvo que la entidad pueda demostrar que la actuación encaja dentro de alguna de las excepciones legales taxativamente previstas.</w:t>
            </w:r>
          </w:p>
          <w:p w14:paraId="3A51DD04" w14:textId="77777777" w:rsidR="009C373D" w:rsidRDefault="00FF4E35" w:rsidP="00054434">
            <w:pPr>
              <w:widowControl w:val="0"/>
              <w:autoSpaceDE w:val="0"/>
              <w:autoSpaceDN w:val="0"/>
              <w:spacing w:after="120" w:line="276" w:lineRule="auto"/>
              <w:ind w:right="113" w:firstLine="709"/>
              <w:jc w:val="both"/>
              <w:rPr>
                <w:rFonts w:ascii="Verdana" w:eastAsia="Arial" w:hAnsi="Verdana" w:cs="Arial"/>
                <w:lang w:eastAsia="es-ES" w:bidi="es-ES"/>
              </w:rPr>
            </w:pPr>
            <w:r w:rsidRPr="00027E7B">
              <w:rPr>
                <w:rFonts w:ascii="Verdana" w:eastAsia="Arial" w:hAnsi="Verdana" w:cs="Arial"/>
                <w:lang w:eastAsia="es-ES" w:bidi="es-ES"/>
              </w:rPr>
              <w:t>Por el contrario, cuando la adquisición del inmueble ocurre mediante expropiación administrativa o judicial, no se celebra contrato alguno, pues la</w:t>
            </w:r>
          </w:p>
          <w:p w14:paraId="08298134" w14:textId="77777777" w:rsidR="009C373D" w:rsidRDefault="009C373D" w:rsidP="00054434">
            <w:pPr>
              <w:widowControl w:val="0"/>
              <w:autoSpaceDE w:val="0"/>
              <w:autoSpaceDN w:val="0"/>
              <w:spacing w:after="120" w:line="276" w:lineRule="auto"/>
              <w:ind w:right="113" w:firstLine="709"/>
              <w:jc w:val="both"/>
              <w:rPr>
                <w:rFonts w:ascii="Verdana" w:eastAsia="Arial" w:hAnsi="Verdana" w:cs="Arial"/>
                <w:lang w:eastAsia="es-ES" w:bidi="es-ES"/>
              </w:rPr>
            </w:pPr>
          </w:p>
          <w:p w14:paraId="7004CB2E" w14:textId="7198A61C" w:rsidR="00FF4E35" w:rsidRPr="00027E7B" w:rsidRDefault="00FF4E35" w:rsidP="00054434">
            <w:pPr>
              <w:widowControl w:val="0"/>
              <w:autoSpaceDE w:val="0"/>
              <w:autoSpaceDN w:val="0"/>
              <w:spacing w:after="120" w:line="276" w:lineRule="auto"/>
              <w:ind w:right="113" w:firstLine="709"/>
              <w:jc w:val="both"/>
              <w:rPr>
                <w:rFonts w:ascii="Verdana" w:eastAsia="Arial" w:hAnsi="Verdana" w:cs="Arial"/>
                <w:lang w:eastAsia="es-ES" w:bidi="es-ES"/>
              </w:rPr>
            </w:pPr>
            <w:r w:rsidRPr="00027E7B">
              <w:rPr>
                <w:rFonts w:ascii="Verdana" w:eastAsia="Arial" w:hAnsi="Verdana" w:cs="Arial"/>
                <w:lang w:eastAsia="es-ES" w:bidi="es-ES"/>
              </w:rPr>
              <w:lastRenderedPageBreak/>
              <w:t xml:space="preserve"> transferencia del derecho de propiedad se realiza por mandato de la autoridad competente. En este supuesto no se configura contratación directa, por lo que la actuación no se encuentra comprendida dentro de las prohibiciones de los artículos 33 ni 38 de la Ley 996 de 2005.</w:t>
            </w:r>
          </w:p>
          <w:p w14:paraId="02F39289" w14:textId="77777777" w:rsidR="00FF4E35" w:rsidRPr="00027E7B" w:rsidRDefault="00FF4E35" w:rsidP="00054434">
            <w:pPr>
              <w:widowControl w:val="0"/>
              <w:autoSpaceDE w:val="0"/>
              <w:autoSpaceDN w:val="0"/>
              <w:spacing w:after="120" w:line="276" w:lineRule="auto"/>
              <w:ind w:right="113" w:firstLine="709"/>
              <w:jc w:val="both"/>
              <w:rPr>
                <w:rFonts w:ascii="Verdana" w:eastAsia="Arial" w:hAnsi="Verdana" w:cs="Arial"/>
                <w:lang w:eastAsia="es-ES" w:bidi="es-ES"/>
              </w:rPr>
            </w:pPr>
            <w:r w:rsidRPr="00027E7B">
              <w:rPr>
                <w:rFonts w:ascii="Verdana" w:eastAsia="Arial" w:hAnsi="Verdana" w:cs="Arial"/>
                <w:lang w:eastAsia="es-ES" w:bidi="es-ES"/>
              </w:rPr>
              <w:t>De igual forma, debe precisarse que la compraventa de inmuebles no corresponde a un convenio interadministrativo ni a una forma de asociación entre entidades públicas, por lo que no se enmarca en la prohibición del parágrafo del artículo 38, salvo que el proceso de adquisición predial sea instrumentado mediante la celebración de convenios interadministrativos que impliquen la ejecución de recursos públicos, caso en el cual sí aplica la citada prohibición.</w:t>
            </w:r>
          </w:p>
          <w:p w14:paraId="74ECEAD6" w14:textId="466326AD" w:rsidR="00FF4E35" w:rsidRPr="006630AE" w:rsidRDefault="00FF4E35" w:rsidP="000B3A84">
            <w:pPr>
              <w:widowControl w:val="0"/>
              <w:autoSpaceDE w:val="0"/>
              <w:autoSpaceDN w:val="0"/>
              <w:spacing w:after="120" w:line="276" w:lineRule="auto"/>
              <w:ind w:right="113" w:firstLine="709"/>
              <w:jc w:val="both"/>
              <w:rPr>
                <w:rFonts w:ascii="Verdana" w:hAnsi="Verdana"/>
              </w:rPr>
            </w:pPr>
            <w:r w:rsidRPr="00027E7B">
              <w:rPr>
                <w:rFonts w:ascii="Verdana" w:eastAsia="Arial" w:hAnsi="Verdana" w:cs="Arial"/>
                <w:lang w:eastAsia="es-ES" w:bidi="es-ES"/>
              </w:rPr>
              <w:t xml:space="preserve">En suma, corresponde a cada entidad estatal verificar, a partir de las condiciones fácticas y jurídicas del caso concreto, si la suscripción de una promesa de compraventa o un contrato de compraventa de predios durante el periodo de Ley de Garantías </w:t>
            </w:r>
            <w:r w:rsidR="00CD60B2">
              <w:rPr>
                <w:rFonts w:ascii="Verdana" w:eastAsia="Arial" w:hAnsi="Verdana" w:cs="Arial"/>
                <w:lang w:eastAsia="es-ES" w:bidi="es-ES"/>
              </w:rPr>
              <w:t>Electorales</w:t>
            </w:r>
            <w:r w:rsidRPr="00CD60B2">
              <w:rPr>
                <w:rFonts w:ascii="Verdana" w:eastAsia="Arial" w:hAnsi="Verdana" w:cs="Arial"/>
                <w:lang w:eastAsia="es-ES" w:bidi="es-ES"/>
              </w:rPr>
              <w:t xml:space="preserve"> </w:t>
            </w:r>
            <w:r w:rsidRPr="00027E7B">
              <w:rPr>
                <w:rFonts w:ascii="Verdana" w:eastAsia="Arial" w:hAnsi="Verdana" w:cs="Arial"/>
                <w:lang w:eastAsia="es-ES" w:bidi="es-ES"/>
              </w:rPr>
              <w:t>configura una contratación directa prohibida por el artículo 33, si se trata de una actuación exceptuada por la ley o si, alternativamente, puede acudirse a vías no restrictas como la expropiación. Al ser un análisis estrictamente dependiente del caso concreto, no es posible fijar una regla universal, debiéndose acudir siempre al principio de juridicidad para la adopción de la decisión correspondiente.</w:t>
            </w:r>
            <w:r w:rsidRPr="00027E7B">
              <w:rPr>
                <w:rFonts w:ascii="Verdana" w:hAnsi="Verdana"/>
              </w:rPr>
              <w:t xml:space="preserve"> </w:t>
            </w:r>
          </w:p>
          <w:p w14:paraId="3D7A7792" w14:textId="7EE147B5" w:rsidR="00FF4E35" w:rsidRPr="005069C4" w:rsidRDefault="00FF4E35" w:rsidP="000B3A84">
            <w:pPr>
              <w:spacing w:after="120" w:line="276" w:lineRule="auto"/>
              <w:jc w:val="both"/>
              <w:rPr>
                <w:rFonts w:ascii="Verdana" w:hAnsi="Verdana"/>
              </w:rPr>
            </w:pPr>
            <w:r>
              <w:rPr>
                <w:rFonts w:ascii="Verdana" w:hAnsi="Verdana"/>
              </w:rPr>
              <w:t xml:space="preserve">      </w:t>
            </w:r>
            <w:r w:rsidRPr="005069C4">
              <w:rPr>
                <w:rFonts w:ascii="Verdana" w:hAnsi="Verdana"/>
              </w:rPr>
              <w:t>Finalmente, en relación con su última pregunta sobre la existencia de documentos previos en esta materia, se informa que sí existen pronunciamientos anteriores</w:t>
            </w:r>
            <w:r w:rsidR="00153F68">
              <w:rPr>
                <w:rFonts w:ascii="Verdana" w:hAnsi="Verdana"/>
              </w:rPr>
              <w:t xml:space="preserve"> por parte de esta Agencia</w:t>
            </w:r>
            <w:r w:rsidRPr="00153F68">
              <w:rPr>
                <w:rFonts w:ascii="Verdana" w:hAnsi="Verdana"/>
              </w:rPr>
              <w:t xml:space="preserve">. </w:t>
            </w:r>
            <w:r w:rsidR="00153F68">
              <w:rPr>
                <w:rFonts w:ascii="Verdana" w:hAnsi="Verdana"/>
              </w:rPr>
              <w:t xml:space="preserve">Al respecto, se han emitido diferentes conceptos jurídicos, los cuales podrá consultar en el siguiente enlace: </w:t>
            </w:r>
            <w:hyperlink r:id="rId12" w:history="1">
              <w:r w:rsidR="00153F68" w:rsidRPr="0088589F">
                <w:rPr>
                  <w:rStyle w:val="Hipervnculo"/>
                  <w:rFonts w:ascii="Verdana" w:hAnsi="Verdana" w:cs="Arial"/>
                  <w:shd w:val="clear" w:color="auto" w:fill="FFFFFF"/>
                  <w:lang w:val="es-ES"/>
                </w:rPr>
                <w:t>https://relatoria.colombiacompra.gov.co/busqueda/conceptos</w:t>
              </w:r>
            </w:hyperlink>
            <w:r w:rsidR="00153F68" w:rsidRPr="00E8636D">
              <w:rPr>
                <w:rFonts w:ascii="Verdana" w:hAnsi="Verdana" w:cs="Arial"/>
                <w:shd w:val="clear" w:color="auto" w:fill="FFFFFF"/>
                <w:lang w:val="es-ES"/>
              </w:rPr>
              <w:t>.</w:t>
            </w:r>
            <w:r w:rsidR="00153F68" w:rsidRPr="00E8636D">
              <w:rPr>
                <w:rFonts w:ascii="Verdana" w:hAnsi="Verdana" w:cs="Arial"/>
                <w:color w:val="FF0000"/>
                <w:shd w:val="clear" w:color="auto" w:fill="FFFFFF"/>
                <w:lang w:val="es-ES"/>
              </w:rPr>
              <w:t xml:space="preserve"> </w:t>
            </w:r>
            <w:r w:rsidR="00153F68" w:rsidRPr="00E8636D">
              <w:rPr>
                <w:rFonts w:ascii="Verdana" w:hAnsi="Verdana" w:cs="Arial"/>
                <w:color w:val="000000" w:themeColor="text1"/>
                <w:shd w:val="clear" w:color="auto" w:fill="FFFFFF"/>
                <w:lang w:val="es-ES"/>
              </w:rPr>
              <w:t>  </w:t>
            </w:r>
          </w:p>
          <w:p w14:paraId="1854C17A" w14:textId="60252B66" w:rsidR="00FF4E35" w:rsidRDefault="00FF4E35" w:rsidP="000B3A84">
            <w:pPr>
              <w:spacing w:line="276" w:lineRule="auto"/>
              <w:ind w:firstLine="709"/>
              <w:jc w:val="both"/>
              <w:rPr>
                <w:rFonts w:ascii="Verdana" w:hAnsi="Verdana"/>
              </w:rPr>
            </w:pPr>
            <w:r w:rsidRPr="005069C4">
              <w:rPr>
                <w:rFonts w:ascii="Verdana" w:hAnsi="Verdana"/>
              </w:rPr>
              <w:t>Asimismo, se expidió la Circular Externa 006 de 2025, titulada “Aplicación de las prohibiciones establecidas en el artículo 33 y el parágrafo del artículo 38 de la Ley 996 de 2005 – Ley de Garantías Electorales”, la cual puede consultarse en el siguiente vínculo:</w:t>
            </w:r>
            <w:r w:rsidR="00153F68">
              <w:t xml:space="preserve"> </w:t>
            </w:r>
            <w:hyperlink r:id="rId13" w:history="1">
              <w:r w:rsidR="00153F68" w:rsidRPr="00153F68">
                <w:rPr>
                  <w:rStyle w:val="Hipervnculo"/>
                  <w:rFonts w:ascii="Verdana" w:hAnsi="Verdana"/>
                </w:rPr>
                <w:t>https://www.colombiacompra.gov.co/wp-content/uploads/2025/09/006-de-2025-Circular-Externa-L996-ajustado-comentarios-BM-BID-Rev-ARSC-V3.d-1.pdf</w:t>
              </w:r>
            </w:hyperlink>
          </w:p>
          <w:p w14:paraId="068F1E45" w14:textId="77777777" w:rsidR="00FF4E35" w:rsidRPr="005069C4" w:rsidRDefault="00FF4E35" w:rsidP="00054434">
            <w:pPr>
              <w:jc w:val="both"/>
              <w:rPr>
                <w:rFonts w:ascii="Verdana" w:hAnsi="Verdana"/>
              </w:rPr>
            </w:pPr>
          </w:p>
        </w:tc>
      </w:tr>
    </w:tbl>
    <w:p w14:paraId="0FC5D311" w14:textId="77777777" w:rsidR="00FF4E35" w:rsidRPr="00960F72" w:rsidRDefault="00FF4E35" w:rsidP="00FF4E35">
      <w:pPr>
        <w:tabs>
          <w:tab w:val="left" w:pos="142"/>
          <w:tab w:val="left" w:pos="284"/>
        </w:tabs>
        <w:spacing w:after="0" w:line="276" w:lineRule="auto"/>
        <w:jc w:val="both"/>
        <w:rPr>
          <w:rFonts w:ascii="Verdana" w:eastAsia="Century Gothic" w:hAnsi="Verdana" w:cs="Century Gothic"/>
          <w:b/>
          <w:bCs/>
        </w:rPr>
      </w:pPr>
    </w:p>
    <w:p w14:paraId="333EF663" w14:textId="77777777" w:rsidR="00FF4E35" w:rsidRDefault="00FF4E35" w:rsidP="00FF4E3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lastRenderedPageBreak/>
        <w:t>Razones de la respuesta:</w:t>
      </w:r>
    </w:p>
    <w:p w14:paraId="117F0B2F" w14:textId="77777777" w:rsidR="00FF4E35" w:rsidRDefault="00FF4E35" w:rsidP="00FF4E35">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51DCCE09" w14:textId="77777777" w:rsidR="00FF4E35" w:rsidRPr="00E8636D" w:rsidRDefault="00FF4E35" w:rsidP="00FF4E35">
      <w:pPr>
        <w:tabs>
          <w:tab w:val="left" w:pos="426"/>
        </w:tabs>
        <w:spacing w:after="120" w:line="276" w:lineRule="auto"/>
        <w:jc w:val="both"/>
        <w:rPr>
          <w:rFonts w:ascii="Verdana" w:eastAsia="Times New Roman" w:hAnsi="Verdana" w:cs="Arial"/>
          <w:lang w:val="es-ES" w:eastAsia="es-CO"/>
        </w:rPr>
      </w:pPr>
      <w:r w:rsidRPr="00E8636D">
        <w:rPr>
          <w:rFonts w:ascii="Verdana" w:eastAsia="Verdana" w:hAnsi="Verdana" w:cs="Verdana"/>
          <w:lang w:val="es-ES"/>
        </w:rPr>
        <w:t xml:space="preserve">i) </w:t>
      </w:r>
      <w:r w:rsidRPr="00E8636D">
        <w:rPr>
          <w:rFonts w:ascii="Verdana" w:eastAsia="Calibri" w:hAnsi="Verdana" w:cs="Arial"/>
          <w:lang w:val="es-ES"/>
        </w:rPr>
        <w:t>El ordenamiento jurídico colombiano contempla medidas para evitar la obtención de beneficios personales en asuntos propios de la administración pública</w:t>
      </w:r>
      <w:r w:rsidRPr="00E8636D">
        <w:rPr>
          <w:rFonts w:ascii="Verdana" w:eastAsia="Calibri" w:hAnsi="Verdana" w:cs="Arial"/>
          <w:i/>
          <w:lang w:val="es-ES"/>
        </w:rPr>
        <w:t xml:space="preserve">. </w:t>
      </w:r>
      <w:r w:rsidRPr="00E8636D">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E8636D">
        <w:rPr>
          <w:rFonts w:ascii="Verdana" w:hAnsi="Verdana"/>
          <w:vertAlign w:val="superscript"/>
          <w:lang w:val="es-ES"/>
        </w:rPr>
        <w:footnoteReference w:id="2"/>
      </w:r>
      <w:r w:rsidRPr="00E8636D">
        <w:rPr>
          <w:rFonts w:ascii="Verdana" w:eastAsia="Calibri" w:hAnsi="Verdana" w:cs="Arial"/>
          <w:lang w:val="es-ES"/>
        </w:rPr>
        <w:t xml:space="preserve">. </w:t>
      </w:r>
    </w:p>
    <w:p w14:paraId="1ED8FF72" w14:textId="77777777" w:rsidR="00FF4E35" w:rsidRPr="00E8636D" w:rsidRDefault="00FF4E35" w:rsidP="00FF4E35">
      <w:pPr>
        <w:tabs>
          <w:tab w:val="left" w:pos="426"/>
        </w:tabs>
        <w:spacing w:after="120" w:line="276" w:lineRule="auto"/>
        <w:ind w:firstLine="709"/>
        <w:jc w:val="both"/>
        <w:rPr>
          <w:rFonts w:ascii="Verdana" w:eastAsia="Calibri" w:hAnsi="Verdana" w:cs="Arial"/>
          <w:lang w:val="es-ES"/>
        </w:rPr>
      </w:pPr>
      <w:r w:rsidRPr="00E8636D">
        <w:rPr>
          <w:rFonts w:ascii="Verdana" w:eastAsia="Times New Roman" w:hAnsi="Verdana" w:cs="Arial"/>
          <w:lang w:val="es-ES" w:eastAsia="es-CO"/>
        </w:rPr>
        <w:t xml:space="preserve">En el mismo sentido, la Ley 996 de 2005, conocida como “Ley de Garantías Electorales”, se suma al andamiaje constitucional y legal que busca evitar la injerencia inadecuada de intereses particulares en el ejercicio de la función pública. Esta </w:t>
      </w:r>
      <w:r>
        <w:rPr>
          <w:rFonts w:ascii="Verdana" w:eastAsia="Times New Roman" w:hAnsi="Verdana" w:cs="Arial"/>
          <w:lang w:val="es-ES" w:eastAsia="es-CO"/>
        </w:rPr>
        <w:t>l</w:t>
      </w:r>
      <w:r w:rsidRPr="00E8636D">
        <w:rPr>
          <w:rFonts w:ascii="Verdana" w:eastAsia="Times New Roman" w:hAnsi="Verdana" w:cs="Arial"/>
          <w:lang w:val="es-ES" w:eastAsia="es-CO"/>
        </w:rPr>
        <w:t>ey tiene como propósito evitar cualquier tipo de arbitrariedad, de ventaja injustificada, de uso irregular de los recursos del Estado en las campañas o falta de garantías en la elección presidencial</w:t>
      </w:r>
      <w:r w:rsidRPr="00E8636D">
        <w:rPr>
          <w:rFonts w:ascii="Verdana" w:eastAsia="Times New Roman" w:hAnsi="Verdana" w:cs="Arial"/>
          <w:vertAlign w:val="superscript"/>
          <w:lang w:val="es-ES" w:eastAsia="es-CO"/>
        </w:rPr>
        <w:footnoteReference w:id="3"/>
      </w:r>
      <w:r w:rsidRPr="00E8636D">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E8636D">
        <w:rPr>
          <w:rFonts w:ascii="Verdana" w:eastAsia="Calibri" w:hAnsi="Verdana" w:cs="Arial"/>
          <w:lang w:val="es-ES"/>
        </w:rPr>
        <w:t xml:space="preserve"> </w:t>
      </w:r>
    </w:p>
    <w:p w14:paraId="05CC7988" w14:textId="77777777" w:rsidR="00FF4E35" w:rsidRPr="00E8636D" w:rsidRDefault="00FF4E35" w:rsidP="00FF4E35">
      <w:pPr>
        <w:tabs>
          <w:tab w:val="left" w:pos="426"/>
        </w:tabs>
        <w:spacing w:after="0" w:line="276" w:lineRule="auto"/>
        <w:ind w:firstLine="709"/>
        <w:jc w:val="both"/>
        <w:rPr>
          <w:rFonts w:ascii="Verdana" w:eastAsia="Calibri" w:hAnsi="Verdana" w:cs="Arial"/>
          <w:lang w:val="es-ES"/>
        </w:rPr>
      </w:pPr>
      <w:r w:rsidRPr="00E8636D">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105F03F7" w14:textId="77777777" w:rsidR="00FF4E35" w:rsidRPr="00E8636D" w:rsidRDefault="00FF4E35" w:rsidP="00FF4E35">
      <w:pPr>
        <w:spacing w:after="0" w:line="276" w:lineRule="auto"/>
        <w:ind w:right="709"/>
        <w:jc w:val="both"/>
        <w:rPr>
          <w:rFonts w:ascii="Verdana" w:eastAsia="Times New Roman" w:hAnsi="Verdana" w:cs="Arial"/>
          <w:lang w:val="es-ES" w:eastAsia="es-CO"/>
        </w:rPr>
      </w:pPr>
    </w:p>
    <w:p w14:paraId="2827DEFE" w14:textId="77777777" w:rsidR="00FF4E35" w:rsidRPr="00E8636D" w:rsidRDefault="00FF4E35" w:rsidP="00FF4E35">
      <w:pPr>
        <w:spacing w:after="0" w:line="240" w:lineRule="auto"/>
        <w:ind w:left="709" w:right="709"/>
        <w:contextualSpacing/>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1CA27BF6" w14:textId="77777777" w:rsidR="00FF4E35" w:rsidRPr="00E8636D" w:rsidRDefault="00FF4E35" w:rsidP="00FF4E35">
      <w:pPr>
        <w:spacing w:after="0" w:line="240" w:lineRule="auto"/>
        <w:ind w:left="709" w:right="709"/>
        <w:contextualSpacing/>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 xml:space="preserve">[…] </w:t>
      </w:r>
    </w:p>
    <w:p w14:paraId="207A3CFF" w14:textId="77777777" w:rsidR="00FF4E35" w:rsidRPr="00E8636D" w:rsidRDefault="00FF4E35" w:rsidP="00FF4E35">
      <w:pPr>
        <w:spacing w:after="0" w:line="240" w:lineRule="auto"/>
        <w:ind w:left="709" w:right="709"/>
        <w:contextualSpacing/>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w:t>
      </w:r>
      <w:r w:rsidRPr="00E8636D">
        <w:rPr>
          <w:rFonts w:ascii="Verdana" w:eastAsia="Times New Roman" w:hAnsi="Verdana" w:cs="Arial"/>
          <w:sz w:val="20"/>
          <w:szCs w:val="20"/>
          <w:lang w:val="es-ES" w:eastAsia="es-CO"/>
        </w:rPr>
        <w:lastRenderedPageBreak/>
        <w:t>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8636D">
        <w:rPr>
          <w:rFonts w:ascii="Verdana" w:eastAsia="Calibri" w:hAnsi="Verdana" w:cs="Arial"/>
          <w:sz w:val="20"/>
          <w:szCs w:val="20"/>
          <w:vertAlign w:val="superscript"/>
          <w:lang w:val="es-ES"/>
        </w:rPr>
        <w:footnoteReference w:id="4"/>
      </w:r>
    </w:p>
    <w:p w14:paraId="0C82D80F" w14:textId="77777777" w:rsidR="00FF4E35" w:rsidRPr="00E8636D" w:rsidRDefault="00FF4E35" w:rsidP="00FF4E35">
      <w:pPr>
        <w:spacing w:after="0" w:line="276" w:lineRule="auto"/>
        <w:ind w:firstLine="709"/>
        <w:jc w:val="both"/>
        <w:rPr>
          <w:rFonts w:ascii="Verdana" w:eastAsia="Times New Roman" w:hAnsi="Verdana" w:cs="Arial"/>
          <w:lang w:val="es-ES" w:eastAsia="es-CO"/>
        </w:rPr>
      </w:pPr>
    </w:p>
    <w:p w14:paraId="12A76DA0" w14:textId="77777777" w:rsidR="00FF4E35" w:rsidRPr="00E8636D" w:rsidRDefault="00FF4E35" w:rsidP="00FF4E35">
      <w:pPr>
        <w:spacing w:after="0" w:line="276" w:lineRule="auto"/>
        <w:ind w:firstLine="709"/>
        <w:jc w:val="both"/>
        <w:rPr>
          <w:rFonts w:ascii="Verdana" w:eastAsia="Times New Roman" w:hAnsi="Verdana" w:cs="Arial"/>
          <w:lang w:val="es-ES" w:eastAsia="es-CO"/>
        </w:rPr>
      </w:pPr>
      <w:r w:rsidRPr="00E8636D">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3C25531D" w14:textId="77777777" w:rsidR="00FF4E35" w:rsidRPr="00E8636D" w:rsidRDefault="00FF4E35" w:rsidP="00FF4E35">
      <w:pPr>
        <w:spacing w:after="0" w:line="276" w:lineRule="auto"/>
        <w:ind w:firstLine="709"/>
        <w:jc w:val="both"/>
        <w:rPr>
          <w:rFonts w:ascii="Verdana" w:eastAsia="Times New Roman" w:hAnsi="Verdana" w:cs="Arial"/>
          <w:lang w:val="es-ES" w:eastAsia="es-CO"/>
        </w:rPr>
      </w:pPr>
    </w:p>
    <w:p w14:paraId="7EF25E04" w14:textId="77777777" w:rsidR="00FF4E35" w:rsidRPr="00E8636D" w:rsidRDefault="00FF4E35" w:rsidP="00FF4E35">
      <w:pPr>
        <w:spacing w:after="0" w:line="240" w:lineRule="auto"/>
        <w:ind w:left="709" w:right="709"/>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8636D">
        <w:rPr>
          <w:rFonts w:ascii="Verdana" w:eastAsia="Times New Roman" w:hAnsi="Verdana" w:cs="Arial"/>
          <w:sz w:val="20"/>
          <w:szCs w:val="20"/>
          <w:lang w:val="es-ES" w:eastAsia="es-CO"/>
        </w:rPr>
        <w:t>legis</w:t>
      </w:r>
      <w:proofErr w:type="spellEnd"/>
      <w:r w:rsidRPr="00E8636D">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30DC188" w14:textId="77777777" w:rsidR="00FF4E35" w:rsidRPr="00E8636D" w:rsidRDefault="00FF4E35" w:rsidP="00FF4E35">
      <w:pPr>
        <w:spacing w:after="0" w:line="240" w:lineRule="auto"/>
        <w:ind w:right="709"/>
        <w:jc w:val="both"/>
        <w:rPr>
          <w:rFonts w:ascii="Verdana" w:eastAsia="Times New Roman" w:hAnsi="Verdana" w:cs="Arial"/>
          <w:lang w:val="es-ES" w:eastAsia="es-CO"/>
        </w:rPr>
      </w:pPr>
    </w:p>
    <w:p w14:paraId="31C63E79" w14:textId="77777777" w:rsidR="00FF4E35" w:rsidRPr="00E8636D" w:rsidRDefault="00FF4E35" w:rsidP="00FF4E35">
      <w:pPr>
        <w:spacing w:after="0" w:line="240" w:lineRule="auto"/>
        <w:ind w:left="709" w:right="709"/>
        <w:jc w:val="both"/>
        <w:rPr>
          <w:rFonts w:ascii="Verdana" w:eastAsia="Times New Roman" w:hAnsi="Verdana" w:cs="Arial"/>
          <w:sz w:val="20"/>
          <w:szCs w:val="20"/>
          <w:lang w:val="es-ES" w:eastAsia="es-CO"/>
        </w:rPr>
      </w:pPr>
      <w:r w:rsidRPr="00E8636D">
        <w:rPr>
          <w:rFonts w:ascii="Verdana" w:eastAsia="Times New Roman" w:hAnsi="Verdana" w:cs="Arial"/>
          <w:sz w:val="20"/>
          <w:szCs w:val="20"/>
          <w:lang w:val="es-ES" w:eastAsia="es-CO"/>
        </w:rPr>
        <w:t>La jurisprudencia de la Corte Constitucional</w:t>
      </w:r>
      <w:r w:rsidRPr="00E8636D">
        <w:rPr>
          <w:rFonts w:ascii="Verdana" w:eastAsia="Times New Roman" w:hAnsi="Verdana" w:cs="Arial"/>
          <w:sz w:val="20"/>
          <w:szCs w:val="20"/>
          <w:vertAlign w:val="superscript"/>
          <w:lang w:val="es-ES" w:eastAsia="es-CO"/>
        </w:rPr>
        <w:footnoteReference w:id="5"/>
      </w:r>
      <w:r w:rsidRPr="00E8636D">
        <w:rPr>
          <w:rFonts w:ascii="Verdana" w:eastAsia="Times New Roman" w:hAnsi="Verdana" w:cs="Arial"/>
          <w:sz w:val="20"/>
          <w:szCs w:val="20"/>
          <w:lang w:val="es-ES" w:eastAsia="es-CO"/>
        </w:rPr>
        <w:t> y del Consejo de Estado</w:t>
      </w:r>
      <w:r w:rsidRPr="00E8636D">
        <w:rPr>
          <w:rFonts w:ascii="Verdana" w:eastAsia="Times New Roman" w:hAnsi="Verdana" w:cs="Arial"/>
          <w:sz w:val="20"/>
          <w:szCs w:val="20"/>
          <w:vertAlign w:val="superscript"/>
          <w:lang w:val="es-ES" w:eastAsia="es-CO"/>
        </w:rPr>
        <w:footnoteReference w:id="6"/>
      </w:r>
      <w:r w:rsidRPr="00E8636D">
        <w:rPr>
          <w:rFonts w:ascii="Verdana" w:eastAsia="Times New Roman" w:hAnsi="Verdana" w:cs="Arial"/>
          <w:sz w:val="20"/>
          <w:szCs w:val="20"/>
          <w:lang w:val="es-ES" w:eastAsia="es-CO"/>
        </w:rPr>
        <w:t xml:space="preserve">,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w:t>
      </w:r>
      <w:r w:rsidRPr="00E8636D">
        <w:rPr>
          <w:rFonts w:ascii="Verdana" w:eastAsia="Times New Roman" w:hAnsi="Verdana" w:cs="Arial"/>
          <w:sz w:val="20"/>
          <w:szCs w:val="20"/>
          <w:lang w:val="es-ES" w:eastAsia="es-CO"/>
        </w:rPr>
        <w:lastRenderedPageBreak/>
        <w:t>o capacidad de obrar, sobrepasar sus precisos términos comporta el desconocimiento de la voluntad del legislador”</w:t>
      </w:r>
      <w:r w:rsidRPr="00E8636D">
        <w:rPr>
          <w:rFonts w:ascii="Verdana" w:eastAsia="Times New Roman" w:hAnsi="Verdana" w:cs="Arial"/>
          <w:sz w:val="20"/>
          <w:szCs w:val="20"/>
          <w:vertAlign w:val="superscript"/>
          <w:lang w:val="es-ES" w:eastAsia="es-CO"/>
        </w:rPr>
        <w:footnoteReference w:id="7"/>
      </w:r>
      <w:r w:rsidRPr="00E8636D">
        <w:rPr>
          <w:rFonts w:ascii="Verdana" w:eastAsia="Times New Roman" w:hAnsi="Verdana" w:cs="Arial"/>
          <w:sz w:val="20"/>
          <w:szCs w:val="20"/>
          <w:lang w:val="es-ES" w:eastAsia="es-CO"/>
        </w:rPr>
        <w:t>.</w:t>
      </w:r>
    </w:p>
    <w:p w14:paraId="1D57670D" w14:textId="77777777" w:rsidR="00FF4E35" w:rsidRPr="00E8636D" w:rsidRDefault="00FF4E35" w:rsidP="00FF4E35">
      <w:pPr>
        <w:spacing w:after="0" w:line="276" w:lineRule="auto"/>
        <w:jc w:val="both"/>
        <w:rPr>
          <w:rFonts w:ascii="Verdana" w:eastAsia="Calibri" w:hAnsi="Verdana" w:cs="Arial"/>
          <w:bCs/>
          <w:lang w:val="es-ES"/>
        </w:rPr>
      </w:pPr>
    </w:p>
    <w:p w14:paraId="3D190EF3" w14:textId="77777777" w:rsidR="00FF4E35" w:rsidRPr="00E8636D" w:rsidRDefault="00FF4E35" w:rsidP="00FF4E35">
      <w:pPr>
        <w:spacing w:after="0" w:line="276" w:lineRule="auto"/>
        <w:ind w:firstLine="709"/>
        <w:jc w:val="both"/>
        <w:rPr>
          <w:rFonts w:ascii="Verdana" w:eastAsia="Arial" w:hAnsi="Verdana" w:cs="Arial"/>
          <w:lang w:val="es-ES" w:eastAsia="es-ES" w:bidi="es-ES"/>
        </w:rPr>
      </w:pPr>
      <w:r w:rsidRPr="00E8636D">
        <w:rPr>
          <w:rFonts w:ascii="Verdana" w:eastAsia="Times New Roman" w:hAnsi="Verdana" w:cs="Arial"/>
          <w:lang w:val="es-ES" w:eastAsia="es-CO"/>
        </w:rPr>
        <w:t>De</w:t>
      </w:r>
      <w:r w:rsidRPr="00E8636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055F6715" w14:textId="77777777" w:rsidR="00FF4E35" w:rsidRPr="00E8636D" w:rsidRDefault="00FF4E35" w:rsidP="00FF4E35">
      <w:pPr>
        <w:spacing w:after="0" w:line="276" w:lineRule="auto"/>
        <w:ind w:firstLine="709"/>
        <w:jc w:val="both"/>
        <w:rPr>
          <w:rFonts w:ascii="Verdana" w:eastAsia="Arial" w:hAnsi="Verdana" w:cs="Arial"/>
          <w:lang w:val="es-ES" w:eastAsia="es-ES" w:bidi="es-ES"/>
        </w:rPr>
      </w:pPr>
    </w:p>
    <w:p w14:paraId="38024C33" w14:textId="128A460F" w:rsidR="00FF4E35" w:rsidRPr="00E8636D" w:rsidRDefault="00FF4E35" w:rsidP="00FF4E35">
      <w:pPr>
        <w:spacing w:after="120" w:line="276" w:lineRule="auto"/>
        <w:jc w:val="both"/>
        <w:rPr>
          <w:rFonts w:ascii="Verdana" w:eastAsia="Arial" w:hAnsi="Verdana" w:cs="Arial"/>
          <w:lang w:val="es-ES" w:eastAsia="es-ES" w:bidi="es-ES"/>
        </w:rPr>
      </w:pPr>
      <w:proofErr w:type="spellStart"/>
      <w:r w:rsidRPr="00E8636D">
        <w:rPr>
          <w:rFonts w:ascii="Verdana" w:eastAsia="Arial" w:hAnsi="Verdana" w:cs="Arial"/>
          <w:lang w:val="es-ES" w:eastAsia="es-ES" w:bidi="es-ES"/>
        </w:rPr>
        <w:t>ii</w:t>
      </w:r>
      <w:proofErr w:type="spellEnd"/>
      <w:r w:rsidRPr="00E8636D">
        <w:rPr>
          <w:rFonts w:ascii="Verdana" w:eastAsia="Arial" w:hAnsi="Verdana" w:cs="Arial"/>
          <w:lang w:val="es-ES" w:eastAsia="es-ES" w:bidi="es-ES"/>
        </w:rPr>
        <w:t xml:space="preserve">) Las restricciones consagradas en la Ley de Garantías </w:t>
      </w:r>
      <w:r w:rsidR="007A2AE8">
        <w:rPr>
          <w:rFonts w:ascii="Verdana" w:eastAsia="Arial" w:hAnsi="Verdana" w:cs="Arial"/>
          <w:lang w:val="es-ES" w:eastAsia="es-ES" w:bidi="es-ES"/>
        </w:rPr>
        <w:t xml:space="preserve">Electorales </w:t>
      </w:r>
      <w:r w:rsidRPr="00E8636D">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4B320383" w14:textId="77777777" w:rsidR="00FF4E35" w:rsidRPr="00E8636D" w:rsidRDefault="00FF4E35" w:rsidP="00FF4E35">
      <w:pPr>
        <w:spacing w:after="120" w:line="276" w:lineRule="auto"/>
        <w:ind w:firstLine="708"/>
        <w:jc w:val="both"/>
        <w:rPr>
          <w:rFonts w:ascii="Verdana" w:eastAsia="Calibri" w:hAnsi="Verdana" w:cs="Arial"/>
          <w:lang w:val="es-ES"/>
        </w:rPr>
      </w:pPr>
      <w:r w:rsidRPr="00E8636D">
        <w:rPr>
          <w:rFonts w:ascii="Verdana" w:eastAsia="Calibri" w:hAnsi="Verdana" w:cs="Arial"/>
          <w:lang w:val="es-ES"/>
        </w:rPr>
        <w:t xml:space="preserve">Por un lado, el </w:t>
      </w:r>
      <w:r w:rsidRPr="00E8636D">
        <w:rPr>
          <w:rFonts w:ascii="Verdana" w:eastAsia="Calibri" w:hAnsi="Verdana" w:cs="Arial"/>
          <w:i/>
          <w:iCs/>
          <w:lang w:val="es-ES"/>
        </w:rPr>
        <w:t xml:space="preserve">artículo 33 </w:t>
      </w:r>
      <w:r w:rsidRPr="00E8636D">
        <w:rPr>
          <w:rFonts w:ascii="Verdana" w:eastAsia="Calibri" w:hAnsi="Verdana" w:cs="Arial"/>
          <w:lang w:val="es-ES"/>
        </w:rPr>
        <w:t xml:space="preserve">de la Ley 996 de 2005 prohíbe “[…] la contratación directa por parte de </w:t>
      </w:r>
      <w:r w:rsidRPr="00E8636D">
        <w:rPr>
          <w:rFonts w:ascii="Verdana" w:eastAsia="Calibri" w:hAnsi="Verdana" w:cs="Arial"/>
          <w:i/>
          <w:iCs/>
          <w:lang w:val="es-ES"/>
        </w:rPr>
        <w:t>todos los entes del Estado</w:t>
      </w:r>
      <w:r w:rsidRPr="00E8636D">
        <w:rPr>
          <w:rFonts w:ascii="Verdana" w:eastAsia="Calibri" w:hAnsi="Verdana" w:cs="Arial"/>
          <w:lang w:val="es-ES"/>
        </w:rPr>
        <w:t xml:space="preserve">” durante los cuatro (4) meses anteriores a las </w:t>
      </w:r>
      <w:r w:rsidRPr="00E8636D">
        <w:rPr>
          <w:rFonts w:ascii="Verdana" w:eastAsia="Calibri" w:hAnsi="Verdana" w:cs="Arial"/>
          <w:i/>
          <w:iCs/>
          <w:lang w:val="es-ES"/>
        </w:rPr>
        <w:t>elecciones presidenciales</w:t>
      </w:r>
      <w:r w:rsidRPr="00E8636D">
        <w:rPr>
          <w:rFonts w:ascii="Verdana" w:eastAsia="Calibri"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8636D">
        <w:rPr>
          <w:rFonts w:ascii="Verdana" w:eastAsia="Calibri" w:hAnsi="Verdana" w:cs="Arial"/>
          <w:vertAlign w:val="superscript"/>
          <w:lang w:val="es-ES"/>
        </w:rPr>
        <w:footnoteReference w:id="8"/>
      </w:r>
      <w:r w:rsidRPr="00E8636D">
        <w:rPr>
          <w:rFonts w:ascii="Verdana" w:eastAsia="Calibri" w:hAnsi="Verdana" w:cs="Arial"/>
          <w:lang w:val="es-ES"/>
        </w:rPr>
        <w:t>.</w:t>
      </w:r>
    </w:p>
    <w:p w14:paraId="58BDA143" w14:textId="77777777" w:rsidR="00FF4E35" w:rsidRPr="00E8636D" w:rsidRDefault="00FF4E35" w:rsidP="000B3A84">
      <w:pPr>
        <w:widowControl w:val="0"/>
        <w:autoSpaceDE w:val="0"/>
        <w:autoSpaceDN w:val="0"/>
        <w:spacing w:after="120" w:line="276" w:lineRule="auto"/>
        <w:ind w:firstLine="709"/>
        <w:jc w:val="both"/>
        <w:rPr>
          <w:rFonts w:ascii="Verdana" w:eastAsia="Arial" w:hAnsi="Verdana" w:cs="Arial"/>
          <w:lang w:val="es-ES" w:eastAsia="es-ES" w:bidi="es-ES"/>
        </w:rPr>
      </w:pPr>
      <w:r w:rsidRPr="00E8636D">
        <w:rPr>
          <w:rFonts w:ascii="Verdana" w:eastAsia="Calibri" w:hAnsi="Verdana" w:cs="Arial"/>
          <w:lang w:val="es-ES"/>
        </w:rPr>
        <w:t xml:space="preserve">Por otro lado, </w:t>
      </w:r>
      <w:r w:rsidRPr="00E8636D">
        <w:rPr>
          <w:rFonts w:ascii="Verdana" w:eastAsia="Calibri" w:hAnsi="Verdana" w:cs="Arial"/>
          <w:i/>
          <w:iCs/>
          <w:lang w:val="es-ES"/>
        </w:rPr>
        <w:t xml:space="preserve">el parágrafo del artículo 38 </w:t>
      </w:r>
      <w:r w:rsidRPr="00E8636D">
        <w:rPr>
          <w:rFonts w:ascii="Verdana" w:eastAsia="Calibri" w:hAnsi="Verdana" w:cs="Arial"/>
          <w:lang w:val="es-ES"/>
        </w:rPr>
        <w:t xml:space="preserve">de la Ley 996 de 2005 prevé una restricción, aplicable respecto de </w:t>
      </w:r>
      <w:r w:rsidRPr="00E8636D">
        <w:rPr>
          <w:rFonts w:ascii="Verdana" w:eastAsia="Calibri" w:hAnsi="Verdana" w:cs="Arial"/>
          <w:i/>
          <w:iCs/>
          <w:lang w:val="es-ES"/>
        </w:rPr>
        <w:t>cualquier tipo de contienda electoral</w:t>
      </w:r>
      <w:r w:rsidRPr="00E8636D">
        <w:rPr>
          <w:rFonts w:ascii="Verdana" w:eastAsia="Calibri"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w:t>
      </w:r>
      <w:r w:rsidRPr="00E8636D">
        <w:rPr>
          <w:rFonts w:ascii="Verdana" w:eastAsia="Calibri" w:hAnsi="Verdana" w:cs="Arial"/>
          <w:lang w:val="es-ES"/>
        </w:rPr>
        <w:lastRenderedPageBreak/>
        <w:t>públicos de las entidades a su cargo, como tampoco de las que participen como miembros de sus juntas directivas, en o para reuniones de carácter proselitista”</w:t>
      </w:r>
      <w:r w:rsidRPr="00E8636D">
        <w:rPr>
          <w:rFonts w:ascii="Verdana" w:eastAsia="Calibri" w:hAnsi="Verdana" w:cs="Arial"/>
          <w:vertAlign w:val="superscript"/>
          <w:lang w:val="es-ES"/>
        </w:rPr>
        <w:footnoteReference w:id="9"/>
      </w:r>
      <w:r w:rsidRPr="00E8636D">
        <w:rPr>
          <w:rFonts w:ascii="Verdana" w:eastAsia="Calibri" w:hAnsi="Verdana" w:cs="Arial"/>
          <w:lang w:val="es-ES"/>
        </w:rPr>
        <w:t>.</w:t>
      </w:r>
      <w:r w:rsidRPr="00E8636D">
        <w:rPr>
          <w:rFonts w:ascii="Verdana" w:eastAsia="Arial" w:hAnsi="Verdana" w:cs="Arial"/>
          <w:lang w:val="es-ES" w:eastAsia="es-ES" w:bidi="es-ES"/>
        </w:rPr>
        <w:t xml:space="preserve"> </w:t>
      </w:r>
    </w:p>
    <w:p w14:paraId="7DE07E06" w14:textId="77777777" w:rsidR="00FF4E35" w:rsidRPr="00E8636D" w:rsidRDefault="00FF4E35" w:rsidP="000B3A84">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E8636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284FA198" w14:textId="77777777" w:rsidR="00FF4E35" w:rsidRPr="00E8636D" w:rsidRDefault="00FF4E35" w:rsidP="00FF4E35">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11F70FF9" w14:textId="77777777" w:rsidR="00FF4E35" w:rsidRPr="00E8636D" w:rsidRDefault="00FF4E35" w:rsidP="00FF4E35">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E8636D">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8636D">
        <w:rPr>
          <w:rFonts w:ascii="Verdana" w:eastAsia="Arial" w:hAnsi="Verdana" w:cs="Arial"/>
          <w:sz w:val="20"/>
          <w:szCs w:val="20"/>
          <w:lang w:val="es-ES" w:eastAsia="es-ES" w:bidi="es-ES"/>
        </w:rPr>
        <w:t>Presidente</w:t>
      </w:r>
      <w:proofErr w:type="gramEnd"/>
      <w:r w:rsidRPr="00E8636D">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E8636D">
        <w:rPr>
          <w:rFonts w:ascii="Verdana" w:eastAsia="Arial" w:hAnsi="Verdana" w:cs="Arial"/>
          <w:sz w:val="20"/>
          <w:szCs w:val="20"/>
          <w:vertAlign w:val="superscript"/>
          <w:lang w:val="es-ES" w:eastAsia="es-ES" w:bidi="es-ES"/>
        </w:rPr>
        <w:footnoteReference w:id="10"/>
      </w:r>
    </w:p>
    <w:p w14:paraId="4E2C8F6F" w14:textId="77777777" w:rsidR="00FF4E35" w:rsidRPr="00E8636D" w:rsidRDefault="00FF4E35" w:rsidP="00FF4E35">
      <w:pPr>
        <w:widowControl w:val="0"/>
        <w:autoSpaceDE w:val="0"/>
        <w:autoSpaceDN w:val="0"/>
        <w:spacing w:after="0" w:line="276" w:lineRule="auto"/>
        <w:contextualSpacing/>
        <w:rPr>
          <w:rFonts w:ascii="Verdana" w:eastAsia="Arial" w:hAnsi="Verdana" w:cs="Arial"/>
          <w:lang w:val="es-ES" w:eastAsia="es-ES" w:bidi="es-ES"/>
        </w:rPr>
      </w:pPr>
    </w:p>
    <w:p w14:paraId="1E877635" w14:textId="77777777" w:rsidR="00FF4E35" w:rsidRPr="00E8636D" w:rsidRDefault="00FF4E35" w:rsidP="00FF4E35">
      <w:pPr>
        <w:spacing w:after="120" w:line="276" w:lineRule="auto"/>
        <w:ind w:firstLine="709"/>
        <w:jc w:val="both"/>
        <w:rPr>
          <w:rFonts w:ascii="Verdana" w:eastAsia="Arial" w:hAnsi="Verdana" w:cs="Arial"/>
          <w:lang w:val="es-ES" w:eastAsia="es-ES" w:bidi="es-ES"/>
        </w:rPr>
      </w:pPr>
      <w:r w:rsidRPr="00E8636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8636D">
        <w:rPr>
          <w:rFonts w:ascii="Verdana" w:eastAsia="Arial" w:hAnsi="Verdana" w:cs="Arial"/>
          <w:i/>
          <w:lang w:val="es-ES" w:eastAsia="es-ES" w:bidi="es-ES"/>
        </w:rPr>
        <w:t>En primer lugar</w:t>
      </w:r>
      <w:r w:rsidRPr="00E8636D">
        <w:rPr>
          <w:rFonts w:ascii="Verdana" w:eastAsia="Arial" w:hAnsi="Verdana" w:cs="Arial"/>
          <w:lang w:val="es-ES" w:eastAsia="es-ES" w:bidi="es-ES"/>
        </w:rPr>
        <w:t xml:space="preserve">, la del artículo 33 que aplica solo respecto de las elecciones presidenciales, en virtud de la cual queda proscrita la </w:t>
      </w:r>
      <w:r w:rsidRPr="00E8636D">
        <w:rPr>
          <w:rFonts w:ascii="Verdana" w:eastAsia="Arial" w:hAnsi="Verdana" w:cs="Arial"/>
          <w:i/>
          <w:iCs/>
          <w:lang w:val="es-ES" w:eastAsia="es-ES" w:bidi="es-ES"/>
        </w:rPr>
        <w:t>contratación directa</w:t>
      </w:r>
      <w:r w:rsidRPr="00E8636D">
        <w:rPr>
          <w:rFonts w:ascii="Verdana" w:eastAsia="Arial" w:hAnsi="Verdana" w:cs="Arial"/>
          <w:lang w:val="es-ES" w:eastAsia="es-ES" w:bidi="es-ES"/>
        </w:rPr>
        <w:t xml:space="preserve">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w:t>
      </w:r>
      <w:r w:rsidRPr="00E8636D">
        <w:rPr>
          <w:rFonts w:ascii="Verdana" w:eastAsia="Arial" w:hAnsi="Verdana" w:cs="Arial"/>
          <w:lang w:val="es-ES" w:eastAsia="es-ES" w:bidi="es-ES"/>
        </w:rPr>
        <w:lastRenderedPageBreak/>
        <w:t xml:space="preserve">estos efectos, la restricción se extenderá hasta la fecha en la que se realice la segunda vuelta. </w:t>
      </w:r>
      <w:r w:rsidRPr="00E8636D">
        <w:rPr>
          <w:rFonts w:ascii="Verdana" w:eastAsia="Arial" w:hAnsi="Verdana" w:cs="Arial"/>
          <w:i/>
          <w:lang w:val="es-ES" w:eastAsia="es-ES" w:bidi="es-ES"/>
        </w:rPr>
        <w:t>En segundo lugar</w:t>
      </w:r>
      <w:r w:rsidRPr="00E8636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w:t>
      </w:r>
      <w:r w:rsidRPr="00E8636D">
        <w:rPr>
          <w:rFonts w:ascii="Verdana" w:eastAsia="Arial" w:hAnsi="Verdana" w:cs="Arial"/>
          <w:i/>
          <w:iCs/>
          <w:lang w:val="es-ES" w:eastAsia="es-ES" w:bidi="es-ES"/>
        </w:rPr>
        <w:t>convenios interadministrativos</w:t>
      </w:r>
      <w:r w:rsidRPr="00E8636D">
        <w:rPr>
          <w:rFonts w:ascii="Verdana" w:eastAsia="Arial" w:hAnsi="Verdana" w:cs="Arial"/>
          <w:lang w:val="es-ES" w:eastAsia="es-ES" w:bidi="es-ES"/>
        </w:rPr>
        <w:t xml:space="preserve"> que impliquen la ejecución de recursos públicos dentro de los cuatro (4) meses anteriores a la respectiva jornada de votaciones.</w:t>
      </w:r>
    </w:p>
    <w:p w14:paraId="4DCEA3C6" w14:textId="77777777" w:rsidR="00FF4E35" w:rsidRPr="00E8636D" w:rsidRDefault="00FF4E35" w:rsidP="00FF4E35">
      <w:pPr>
        <w:spacing w:after="120" w:line="276" w:lineRule="auto"/>
        <w:ind w:firstLine="709"/>
        <w:jc w:val="both"/>
        <w:rPr>
          <w:rFonts w:ascii="Verdana" w:eastAsia="Arial" w:hAnsi="Verdana" w:cs="Arial"/>
          <w:lang w:val="es-ES" w:eastAsia="es-ES" w:bidi="es-ES"/>
        </w:rPr>
      </w:pPr>
      <w:r w:rsidRPr="00E8636D">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E8636D">
        <w:rPr>
          <w:rFonts w:ascii="Verdana" w:eastAsia="Arial" w:hAnsi="Verdana" w:cs="Arial"/>
          <w:lang w:val="es-ES" w:eastAsia="es-ES" w:bidi="es-ES"/>
        </w:rPr>
        <w:t>Presidente</w:t>
      </w:r>
      <w:proofErr w:type="gramEnd"/>
      <w:r w:rsidRPr="00E8636D">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E8636D">
        <w:rPr>
          <w:rFonts w:ascii="Verdana" w:eastAsia="Arial" w:hAnsi="Verdana" w:cs="Arial"/>
          <w:lang w:val="es-ES" w:eastAsia="es-ES" w:bidi="es-ES"/>
        </w:rPr>
        <w:t>Presidente</w:t>
      </w:r>
      <w:proofErr w:type="gramEnd"/>
      <w:r w:rsidRPr="00E8636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0B6DB894" w14:textId="77777777" w:rsidR="00FF4E35" w:rsidRPr="00E8636D" w:rsidRDefault="00FF4E35" w:rsidP="00FF4E35">
      <w:pPr>
        <w:spacing w:after="0" w:line="276" w:lineRule="auto"/>
        <w:ind w:firstLine="709"/>
        <w:jc w:val="both"/>
        <w:rPr>
          <w:rFonts w:ascii="Verdana" w:eastAsia="Arial" w:hAnsi="Verdana" w:cs="Arial"/>
          <w:lang w:val="es-ES" w:eastAsia="es-ES" w:bidi="es-ES"/>
        </w:rPr>
      </w:pPr>
      <w:r w:rsidRPr="00E8636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8636D">
        <w:rPr>
          <w:rFonts w:ascii="Verdana" w:eastAsia="Arial" w:hAnsi="Verdana" w:cs="Arial"/>
          <w:lang w:val="es-ES" w:eastAsia="es-ES" w:bidi="es-ES"/>
        </w:rPr>
        <w:t>Presidente</w:t>
      </w:r>
      <w:proofErr w:type="gramEnd"/>
      <w:r w:rsidRPr="00E8636D">
        <w:rPr>
          <w:rFonts w:ascii="Verdana" w:eastAsia="Arial" w:hAnsi="Verdana" w:cs="Arial"/>
          <w:lang w:val="es-ES" w:eastAsia="es-ES" w:bidi="es-ES"/>
        </w:rPr>
        <w:t xml:space="preserve"> o el </w:t>
      </w:r>
      <w:proofErr w:type="gramStart"/>
      <w:r w:rsidRPr="00E8636D">
        <w:rPr>
          <w:rFonts w:ascii="Verdana" w:eastAsia="Arial" w:hAnsi="Verdana" w:cs="Arial"/>
          <w:lang w:val="es-ES" w:eastAsia="es-ES" w:bidi="es-ES"/>
        </w:rPr>
        <w:t>Vicepresidente</w:t>
      </w:r>
      <w:proofErr w:type="gramEnd"/>
      <w:r w:rsidRPr="00E8636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8636D">
        <w:rPr>
          <w:rFonts w:ascii="Verdana" w:eastAsia="Arial" w:hAnsi="Verdana" w:cs="Arial"/>
          <w:lang w:val="es-ES" w:eastAsia="es-ES" w:bidi="es-ES"/>
        </w:rPr>
        <w:t>Presidente</w:t>
      </w:r>
      <w:proofErr w:type="gramEnd"/>
      <w:r w:rsidRPr="00E8636D">
        <w:rPr>
          <w:rFonts w:ascii="Verdana" w:eastAsia="Arial" w:hAnsi="Verdana" w:cs="Arial"/>
          <w:lang w:val="es-ES" w:eastAsia="es-ES" w:bidi="es-ES"/>
        </w:rPr>
        <w:t xml:space="preserve"> y el </w:t>
      </w:r>
      <w:proofErr w:type="gramStart"/>
      <w:r w:rsidRPr="00E8636D">
        <w:rPr>
          <w:rFonts w:ascii="Verdana" w:eastAsia="Arial" w:hAnsi="Verdana" w:cs="Arial"/>
          <w:lang w:val="es-ES" w:eastAsia="es-ES" w:bidi="es-ES"/>
        </w:rPr>
        <w:t>Vicepresidente</w:t>
      </w:r>
      <w:proofErr w:type="gramEnd"/>
      <w:r w:rsidRPr="00E8636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8636D">
        <w:rPr>
          <w:rFonts w:ascii="Verdana" w:eastAsia="Arial" w:hAnsi="Verdana" w:cs="Arial"/>
          <w:lang w:val="es-ES" w:eastAsia="es-ES" w:bidi="es-ES"/>
        </w:rPr>
        <w:t>Vicepresidente</w:t>
      </w:r>
      <w:proofErr w:type="gramEnd"/>
      <w:r w:rsidRPr="00E8636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B4EAA7C" w14:textId="77777777" w:rsidR="00FF4E35" w:rsidRPr="00E8636D" w:rsidRDefault="00FF4E35" w:rsidP="00FF4E35">
      <w:pPr>
        <w:spacing w:after="0" w:line="276" w:lineRule="auto"/>
        <w:ind w:firstLine="709"/>
        <w:jc w:val="both"/>
        <w:rPr>
          <w:rFonts w:ascii="Verdana" w:eastAsia="Arial" w:hAnsi="Verdana" w:cs="Arial"/>
          <w:lang w:val="es-ES" w:eastAsia="es-ES" w:bidi="es-ES"/>
        </w:rPr>
      </w:pPr>
    </w:p>
    <w:p w14:paraId="63EF0AAC" w14:textId="55F5F9F3" w:rsidR="00FF4E35" w:rsidRPr="00E8636D" w:rsidRDefault="00FF4E35" w:rsidP="00AB31F6">
      <w:pPr>
        <w:spacing w:after="0" w:line="276" w:lineRule="auto"/>
        <w:jc w:val="both"/>
        <w:rPr>
          <w:rFonts w:ascii="Verdana" w:eastAsia="Times New Roman" w:hAnsi="Verdana" w:cs="Arial"/>
          <w:bCs/>
          <w:lang w:val="es-ES" w:eastAsia="es-CO"/>
        </w:rPr>
      </w:pPr>
      <w:proofErr w:type="spellStart"/>
      <w:r w:rsidRPr="00E8636D">
        <w:rPr>
          <w:rFonts w:ascii="Verdana" w:eastAsia="Calibri" w:hAnsi="Verdana" w:cs="Arial"/>
          <w:lang w:val="es-ES"/>
        </w:rPr>
        <w:t>iii</w:t>
      </w:r>
      <w:proofErr w:type="spellEnd"/>
      <w:r w:rsidRPr="00E8636D">
        <w:rPr>
          <w:rFonts w:ascii="Verdana" w:eastAsia="Calibri" w:hAnsi="Verdana" w:cs="Arial"/>
          <w:lang w:val="es-ES"/>
        </w:rPr>
        <w:t xml:space="preserve">) </w:t>
      </w:r>
      <w:r w:rsidRPr="00E8636D">
        <w:rPr>
          <w:rFonts w:ascii="Verdana" w:eastAsia="Arial" w:hAnsi="Verdana" w:cs="Arial"/>
          <w:lang w:val="es-ES" w:eastAsia="es-ES" w:bidi="es-ES"/>
        </w:rPr>
        <w:t xml:space="preserve">Ahora bien, </w:t>
      </w:r>
      <w:r w:rsidRPr="00E8636D">
        <w:rPr>
          <w:rFonts w:ascii="Verdana" w:eastAsia="Calibri" w:hAnsi="Verdana" w:cs="Arial"/>
          <w:lang w:val="es-ES" w:eastAsia="es-ES" w:bidi="es-ES"/>
        </w:rPr>
        <w:t xml:space="preserve">para responder al problema jurídico planteado es necesario precisar el alcance de la prohibición </w:t>
      </w:r>
      <w:r w:rsidRPr="00E8636D">
        <w:rPr>
          <w:rFonts w:ascii="Verdana" w:eastAsia="Arial" w:hAnsi="Verdana" w:cs="Arial"/>
          <w:lang w:val="es-ES" w:eastAsia="es-ES" w:bidi="es-ES"/>
        </w:rPr>
        <w:t>establecida en e</w:t>
      </w:r>
      <w:r w:rsidRPr="00E8636D">
        <w:rPr>
          <w:rFonts w:ascii="Verdana" w:eastAsia="Calibri" w:hAnsi="Verdana" w:cs="Arial"/>
          <w:lang w:val="es-ES"/>
        </w:rPr>
        <w:t xml:space="preserve">l </w:t>
      </w:r>
      <w:r w:rsidRPr="00E8636D">
        <w:rPr>
          <w:rFonts w:ascii="Verdana" w:eastAsia="Times New Roman" w:hAnsi="Verdana" w:cs="Arial"/>
          <w:lang w:val="es-ES"/>
        </w:rPr>
        <w:t xml:space="preserve">artículo 33 de la Ley 996 de 2005. El ámbito material de esta prohibición está delimitado por la expresión </w:t>
      </w:r>
      <w:r w:rsidRPr="00E8636D">
        <w:rPr>
          <w:rFonts w:ascii="Verdana" w:eastAsia="Calibri" w:hAnsi="Verdana" w:cs="Arial"/>
          <w:bCs/>
          <w:lang w:val="es-ES"/>
        </w:rPr>
        <w:t>“</w:t>
      </w:r>
      <w:r w:rsidRPr="00E8636D">
        <w:rPr>
          <w:rFonts w:ascii="Verdana" w:eastAsia="Times New Roman" w:hAnsi="Verdana" w:cs="Arial"/>
          <w:lang w:val="es-ES"/>
        </w:rPr>
        <w:t>queda prohibida la contratación directa</w:t>
      </w:r>
      <w:r w:rsidRPr="00E8636D">
        <w:rPr>
          <w:rFonts w:ascii="Verdana" w:eastAsia="Calibri" w:hAnsi="Verdana" w:cs="Arial"/>
          <w:lang w:val="es-ES"/>
        </w:rPr>
        <w:t>”</w:t>
      </w:r>
      <w:r w:rsidRPr="00E8636D">
        <w:rPr>
          <w:rFonts w:ascii="Verdana" w:eastAsia="Times New Roman" w:hAnsi="Verdana" w:cs="Arial"/>
          <w:lang w:val="es-ES"/>
        </w:rPr>
        <w:t xml:space="preserve">. </w:t>
      </w:r>
      <w:r w:rsidRPr="00E8636D">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5882B046" w14:textId="77777777" w:rsidR="00AB31F6" w:rsidRPr="00E8636D" w:rsidRDefault="00AB31F6" w:rsidP="000B3A84">
      <w:pPr>
        <w:spacing w:after="0" w:line="276" w:lineRule="auto"/>
        <w:jc w:val="both"/>
        <w:rPr>
          <w:rFonts w:ascii="Verdana" w:eastAsia="Times New Roman" w:hAnsi="Verdana" w:cs="Arial"/>
          <w:bCs/>
          <w:lang w:val="es-ES" w:eastAsia="es-CO"/>
        </w:rPr>
      </w:pPr>
    </w:p>
    <w:p w14:paraId="64794817" w14:textId="77777777" w:rsidR="00FF4E35" w:rsidRPr="00E8636D" w:rsidRDefault="00FF4E35" w:rsidP="00FF4E35">
      <w:pPr>
        <w:spacing w:after="0" w:line="240" w:lineRule="auto"/>
        <w:ind w:left="709" w:right="709"/>
        <w:jc w:val="both"/>
        <w:rPr>
          <w:rFonts w:ascii="Verdana" w:eastAsia="Calibri" w:hAnsi="Verdana" w:cs="Arial"/>
          <w:sz w:val="20"/>
          <w:szCs w:val="20"/>
          <w:lang w:val="es-ES"/>
        </w:rPr>
      </w:pPr>
      <w:r w:rsidRPr="00E8636D">
        <w:rPr>
          <w:rFonts w:ascii="Verdana" w:eastAsia="Calibri" w:hAnsi="Verdana" w:cs="Arial"/>
          <w:sz w:val="20"/>
          <w:szCs w:val="20"/>
          <w:lang w:val="es-ES"/>
        </w:rPr>
        <w:lastRenderedPageBreak/>
        <w:t xml:space="preserve">“[…] Esta Sala ha entendido </w:t>
      </w:r>
      <w:proofErr w:type="gramStart"/>
      <w:r w:rsidRPr="00E8636D">
        <w:rPr>
          <w:rFonts w:ascii="Verdana" w:eastAsia="Calibri" w:hAnsi="Verdana" w:cs="Arial"/>
          <w:sz w:val="20"/>
          <w:szCs w:val="20"/>
          <w:lang w:val="es-ES"/>
        </w:rPr>
        <w:t>que</w:t>
      </w:r>
      <w:proofErr w:type="gramEnd"/>
      <w:r w:rsidRPr="00E8636D">
        <w:rPr>
          <w:rFonts w:ascii="Verdana" w:eastAsia="Calibri" w:hAnsi="Verdana" w:cs="Arial"/>
          <w:sz w:val="20"/>
          <w:szCs w:val="20"/>
          <w:lang w:val="es-ES"/>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E8636D">
        <w:rPr>
          <w:rFonts w:ascii="Verdana" w:eastAsia="Times New Roman" w:hAnsi="Verdana" w:cs="Arial"/>
          <w:sz w:val="20"/>
          <w:szCs w:val="20"/>
          <w:vertAlign w:val="superscript"/>
          <w:lang w:val="es-ES"/>
        </w:rPr>
        <w:footnoteReference w:id="11"/>
      </w:r>
      <w:r w:rsidRPr="00E8636D">
        <w:rPr>
          <w:rFonts w:ascii="Verdana" w:eastAsia="Times New Roman" w:hAnsi="Verdana" w:cs="Arial"/>
          <w:sz w:val="20"/>
          <w:szCs w:val="20"/>
          <w:vertAlign w:val="superscript"/>
          <w:lang w:val="es-ES"/>
        </w:rPr>
        <w:t>.</w:t>
      </w:r>
      <w:r w:rsidRPr="00E8636D">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E8636D">
        <w:rPr>
          <w:rFonts w:ascii="Verdana" w:eastAsia="Times New Roman" w:hAnsi="Verdana" w:cs="Arial"/>
          <w:sz w:val="20"/>
          <w:szCs w:val="20"/>
          <w:vertAlign w:val="superscript"/>
          <w:lang w:val="es-ES" w:eastAsia="es-CO"/>
        </w:rPr>
        <w:footnoteReference w:id="12"/>
      </w:r>
      <w:r w:rsidRPr="00E8636D">
        <w:rPr>
          <w:rFonts w:ascii="Verdana" w:eastAsia="Calibri" w:hAnsi="Verdana" w:cs="Arial"/>
          <w:sz w:val="20"/>
          <w:szCs w:val="20"/>
          <w:lang w:val="es-ES"/>
        </w:rPr>
        <w:t xml:space="preserve"> .</w:t>
      </w:r>
    </w:p>
    <w:p w14:paraId="1BCF91DE" w14:textId="77777777" w:rsidR="00FF4E35" w:rsidRPr="00E8636D" w:rsidRDefault="00FF4E35" w:rsidP="00FF4E35">
      <w:pPr>
        <w:shd w:val="clear" w:color="auto" w:fill="FFFFFF" w:themeFill="background1"/>
        <w:spacing w:after="0" w:line="276" w:lineRule="auto"/>
        <w:ind w:firstLine="709"/>
        <w:jc w:val="both"/>
        <w:rPr>
          <w:rFonts w:ascii="Verdana" w:eastAsia="Times New Roman" w:hAnsi="Verdana" w:cs="Arial"/>
          <w:lang w:val="es-ES" w:eastAsia="x-none"/>
        </w:rPr>
      </w:pPr>
    </w:p>
    <w:p w14:paraId="051BC0A0" w14:textId="77777777" w:rsidR="00FF4E35" w:rsidRPr="00E8636D" w:rsidRDefault="00FF4E35" w:rsidP="00FF4E35">
      <w:pPr>
        <w:spacing w:after="120" w:line="276" w:lineRule="auto"/>
        <w:ind w:firstLine="708"/>
        <w:jc w:val="both"/>
        <w:rPr>
          <w:rFonts w:ascii="Verdana" w:eastAsia="Times New Roman" w:hAnsi="Verdana" w:cs="Arial"/>
          <w:bCs/>
          <w:lang w:val="es-ES" w:eastAsia="x-none"/>
        </w:rPr>
      </w:pPr>
      <w:r w:rsidRPr="00E8636D">
        <w:rPr>
          <w:rFonts w:ascii="Verdana" w:eastAsia="Times New Roman" w:hAnsi="Verdana" w:cs="Arial"/>
          <w:lang w:val="es-ES" w:eastAsia="x-none"/>
        </w:rPr>
        <w:t xml:space="preserve">De acuerdo con este concepto, la prohibición del artículo 33 de la Ley de Garantías Electorales se refiere a </w:t>
      </w:r>
      <w:r w:rsidRPr="00E8636D">
        <w:rPr>
          <w:rFonts w:ascii="Verdana" w:eastAsia="Times New Roman" w:hAnsi="Verdana" w:cs="Arial"/>
          <w:sz w:val="19"/>
          <w:szCs w:val="19"/>
          <w:lang w:val="es-ES" w:eastAsia="en-GB"/>
        </w:rPr>
        <w:t>“</w:t>
      </w:r>
      <w:r w:rsidRPr="00E8636D">
        <w:rPr>
          <w:rFonts w:ascii="Verdana" w:eastAsia="Times New Roman" w:hAnsi="Verdana" w:cs="Arial"/>
          <w:lang w:val="es-ES" w:eastAsia="x-none"/>
        </w:rPr>
        <w:t>cualquier sistema que no implique convocatoria pública y posibilidad de pluralidad de oferentes</w:t>
      </w:r>
      <w:r w:rsidRPr="00E8636D">
        <w:rPr>
          <w:rFonts w:ascii="Verdana" w:eastAsia="Times New Roman" w:hAnsi="Verdana" w:cs="Arial"/>
          <w:lang w:val="es-ES" w:eastAsia="en-GB"/>
        </w:rPr>
        <w:t>”</w:t>
      </w:r>
      <w:r w:rsidRPr="00E8636D">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E8636D">
        <w:rPr>
          <w:rFonts w:ascii="Verdana" w:eastAsia="Times New Roman" w:hAnsi="Verdana" w:cs="Arial"/>
          <w:lang w:val="es-ES"/>
        </w:rPr>
        <w:t>y la mínima cuantía</w:t>
      </w:r>
      <w:r w:rsidRPr="00E8636D" w:rsidDel="00A85D9F">
        <w:rPr>
          <w:rFonts w:ascii="Verdana" w:eastAsia="Times New Roman" w:hAnsi="Verdana" w:cs="Arial"/>
          <w:lang w:val="es-ES" w:eastAsia="x-none"/>
        </w:rPr>
        <w:t xml:space="preserve"> </w:t>
      </w:r>
      <w:r w:rsidRPr="00E8636D">
        <w:rPr>
          <w:rFonts w:ascii="Verdana" w:eastAsia="Times New Roman" w:hAnsi="Verdana" w:cs="Arial"/>
          <w:lang w:val="es-ES"/>
        </w:rPr>
        <w:t xml:space="preserve">u otros previstos en normas especiales. </w:t>
      </w:r>
      <w:r w:rsidRPr="00E8636D">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E8636D">
        <w:rPr>
          <w:rFonts w:ascii="Verdana" w:eastAsia="Times New Roman" w:hAnsi="Verdana" w:cs="Arial"/>
          <w:vertAlign w:val="superscript"/>
          <w:lang w:val="es-ES" w:eastAsia="x-none"/>
        </w:rPr>
        <w:footnoteReference w:id="13"/>
      </w:r>
      <w:r w:rsidRPr="00E8636D">
        <w:rPr>
          <w:rFonts w:ascii="Verdana" w:eastAsia="Times New Roman" w:hAnsi="Verdana" w:cs="Arial"/>
          <w:lang w:val="es-ES" w:eastAsia="x-none"/>
        </w:rPr>
        <w:t xml:space="preserve"> y sistematizó las causales de contratación directa</w:t>
      </w:r>
      <w:r w:rsidRPr="00E8636D">
        <w:rPr>
          <w:rFonts w:ascii="Verdana" w:eastAsia="Times New Roman" w:hAnsi="Verdana" w:cs="Arial"/>
          <w:vertAlign w:val="superscript"/>
          <w:lang w:val="es-ES" w:eastAsia="x-none"/>
        </w:rPr>
        <w:footnoteReference w:id="14"/>
      </w:r>
      <w:r w:rsidRPr="00E8636D">
        <w:rPr>
          <w:rFonts w:ascii="Verdana" w:eastAsia="Times New Roman" w:hAnsi="Verdana" w:cs="Arial"/>
          <w:lang w:val="es-ES" w:eastAsia="x-none"/>
        </w:rPr>
        <w:t xml:space="preserve">, </w:t>
      </w:r>
      <w:r w:rsidRPr="00E8636D">
        <w:rPr>
          <w:rFonts w:ascii="Verdana" w:eastAsia="Calibri"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14B97ED6" w14:textId="77777777" w:rsidR="00FF4E35" w:rsidRPr="00E8636D" w:rsidRDefault="00FF4E35" w:rsidP="00FF4E35">
      <w:pPr>
        <w:spacing w:after="120" w:line="276" w:lineRule="auto"/>
        <w:ind w:firstLine="708"/>
        <w:jc w:val="both"/>
        <w:rPr>
          <w:rFonts w:ascii="Verdana" w:eastAsia="Times New Roman" w:hAnsi="Verdana" w:cs="Arial"/>
          <w:bCs/>
          <w:lang w:val="es-ES" w:eastAsia="es-CO"/>
        </w:rPr>
      </w:pPr>
      <w:r w:rsidRPr="00E8636D">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E8636D">
        <w:rPr>
          <w:rFonts w:ascii="Verdana" w:eastAsia="Times New Roman" w:hAnsi="Verdana" w:cs="Arial"/>
          <w:bCs/>
          <w:i/>
          <w:iCs/>
          <w:lang w:val="es-ES" w:eastAsia="es-CO"/>
        </w:rPr>
        <w:t>, sino también frente a las entidades que tengan un régimen especial de contratación</w:t>
      </w:r>
      <w:r w:rsidRPr="00E8636D">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E8636D">
        <w:rPr>
          <w:rFonts w:ascii="Verdana" w:eastAsia="Times New Roman" w:hAnsi="Verdana" w:cs="Arial"/>
          <w:lang w:val="es-ES"/>
        </w:rPr>
        <w:t xml:space="preserve">Así, para la prohibición o restricción temporal contenida en su artículo 33, “contratación directa” es </w:t>
      </w:r>
      <w:r w:rsidRPr="00E8636D">
        <w:rPr>
          <w:rFonts w:ascii="Verdana" w:eastAsia="Times New Roman" w:hAnsi="Verdana" w:cs="Arial"/>
          <w:lang w:val="es-ES"/>
        </w:rPr>
        <w:lastRenderedPageBreak/>
        <w:t>cualquier sistema de selección o procedimiento de contratación utilizado por las entidades estatales que no incluya la convocatoria pública en alguna de sus etapas, ni permita la participación de una pluralidad de oferentes</w:t>
      </w:r>
      <w:r w:rsidRPr="00E8636D">
        <w:rPr>
          <w:rFonts w:ascii="Verdana" w:eastAsia="Times New Roman" w:hAnsi="Verdana" w:cs="Arial"/>
          <w:vertAlign w:val="superscript"/>
          <w:lang w:val="es-ES" w:eastAsia="x-none"/>
        </w:rPr>
        <w:footnoteReference w:id="15"/>
      </w:r>
      <w:r w:rsidRPr="00E8636D">
        <w:rPr>
          <w:rFonts w:ascii="Verdana" w:eastAsia="Times New Roman" w:hAnsi="Verdana" w:cs="Arial"/>
          <w:lang w:val="es-ES"/>
        </w:rPr>
        <w:t>.</w:t>
      </w:r>
      <w:r w:rsidRPr="00E8636D">
        <w:rPr>
          <w:rFonts w:ascii="Verdana" w:eastAsia="Times New Roman" w:hAnsi="Verdana" w:cs="Arial"/>
          <w:vertAlign w:val="superscript"/>
          <w:lang w:val="es-ES" w:eastAsia="x-none"/>
        </w:rPr>
        <w:t xml:space="preserve"> </w:t>
      </w:r>
    </w:p>
    <w:p w14:paraId="2B43A0E0" w14:textId="77777777" w:rsidR="00FF4E35" w:rsidRPr="00E8636D" w:rsidRDefault="00FF4E35" w:rsidP="00FF4E35">
      <w:pPr>
        <w:spacing w:after="0" w:line="276" w:lineRule="auto"/>
        <w:ind w:firstLine="708"/>
        <w:jc w:val="both"/>
        <w:rPr>
          <w:rFonts w:ascii="Verdana" w:eastAsia="Times New Roman" w:hAnsi="Verdana" w:cs="Arial"/>
          <w:lang w:val="es-ES"/>
        </w:rPr>
      </w:pPr>
      <w:r w:rsidRPr="00E8636D">
        <w:rPr>
          <w:rFonts w:ascii="Verdana" w:eastAsia="Times New Roman" w:hAnsi="Verdana" w:cs="Arial"/>
          <w:lang w:val="es-ES"/>
        </w:rPr>
        <w:t xml:space="preserve">De lo anterior se desprende que la restricción aplica, sin perjuicio de las excepciones establecidas en la misma ley, para celebrar </w:t>
      </w:r>
      <w:r w:rsidRPr="00E8636D">
        <w:rPr>
          <w:rFonts w:ascii="Verdana" w:eastAsia="Times New Roman" w:hAnsi="Verdana" w:cs="Arial"/>
          <w:i/>
          <w:iCs/>
          <w:lang w:val="es-ES"/>
        </w:rPr>
        <w:t>cualquier contrato de forma directa</w:t>
      </w:r>
      <w:r w:rsidRPr="00E8636D">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C7F6FA4" w14:textId="77777777" w:rsidR="00FF4E35" w:rsidRPr="00E8636D" w:rsidRDefault="00FF4E35" w:rsidP="00FF4E35">
      <w:pPr>
        <w:spacing w:after="0" w:line="276" w:lineRule="auto"/>
        <w:ind w:firstLine="708"/>
        <w:jc w:val="both"/>
        <w:rPr>
          <w:rFonts w:ascii="Verdana" w:eastAsia="Times New Roman" w:hAnsi="Verdana" w:cs="Arial"/>
          <w:lang w:val="es-ES"/>
        </w:rPr>
      </w:pPr>
    </w:p>
    <w:p w14:paraId="1FEABE3F" w14:textId="77777777" w:rsidR="00FF4E35" w:rsidRPr="00E8636D" w:rsidRDefault="00FF4E35" w:rsidP="00FF4E35">
      <w:pPr>
        <w:spacing w:after="0" w:line="276" w:lineRule="auto"/>
        <w:jc w:val="both"/>
        <w:rPr>
          <w:rFonts w:ascii="Verdana" w:eastAsia="Times New Roman" w:hAnsi="Verdana" w:cs="Arial"/>
          <w:lang w:val="es-ES"/>
        </w:rPr>
      </w:pPr>
      <w:proofErr w:type="spellStart"/>
      <w:r w:rsidRPr="00E8636D">
        <w:rPr>
          <w:rFonts w:ascii="Verdana" w:eastAsia="Times New Roman" w:hAnsi="Verdana" w:cs="Arial"/>
          <w:bCs/>
          <w:lang w:val="es-ES" w:eastAsia="es-CO"/>
        </w:rPr>
        <w:t>iv</w:t>
      </w:r>
      <w:proofErr w:type="spellEnd"/>
      <w:r w:rsidRPr="00E8636D">
        <w:rPr>
          <w:rFonts w:ascii="Verdana" w:eastAsia="Times New Roman" w:hAnsi="Verdana" w:cs="Arial"/>
          <w:bCs/>
          <w:lang w:val="es-ES" w:eastAsia="es-CO"/>
        </w:rPr>
        <w:t xml:space="preserve">) Con respecto a los </w:t>
      </w:r>
      <w:r w:rsidRPr="00E8636D">
        <w:rPr>
          <w:rFonts w:ascii="Verdana" w:eastAsia="Times New Roman" w:hAnsi="Verdana" w:cs="Arial"/>
          <w:bCs/>
          <w:i/>
          <w:iCs/>
          <w:lang w:val="es-ES" w:eastAsia="es-CO"/>
        </w:rPr>
        <w:t>sujetos</w:t>
      </w:r>
      <w:r w:rsidRPr="00E8636D">
        <w:rPr>
          <w:rFonts w:ascii="Verdana" w:eastAsia="Times New Roman" w:hAnsi="Verdana" w:cs="Arial"/>
          <w:bCs/>
          <w:lang w:val="es-ES" w:eastAsia="es-CO"/>
        </w:rPr>
        <w:t xml:space="preserve"> que se encuentran enmarcados en la prohibición del artículo 33, </w:t>
      </w:r>
      <w:r w:rsidRPr="00E8636D">
        <w:rPr>
          <w:rFonts w:ascii="Verdana" w:eastAsia="Times New Roman" w:hAnsi="Verdana" w:cs="Arial"/>
          <w:lang w:val="es-ES"/>
        </w:rPr>
        <w:t>la Ley 996 de 2005 señala expresamente que son “</w:t>
      </w:r>
      <w:r w:rsidRPr="00E8636D">
        <w:rPr>
          <w:rFonts w:ascii="Verdana" w:eastAsia="Times New Roman" w:hAnsi="Verdana" w:cs="Arial"/>
          <w:i/>
          <w:iCs/>
          <w:u w:val="single"/>
          <w:lang w:val="es-ES"/>
        </w:rPr>
        <w:t>todos</w:t>
      </w:r>
      <w:r w:rsidRPr="00E8636D">
        <w:rPr>
          <w:rFonts w:ascii="Verdana" w:eastAsia="Times New Roman" w:hAnsi="Verdana" w:cs="Arial"/>
          <w:i/>
          <w:iCs/>
          <w:lang w:val="es-ES"/>
        </w:rPr>
        <w:t xml:space="preserve"> los entes del Estado</w:t>
      </w:r>
      <w:r w:rsidRPr="00E8636D">
        <w:rPr>
          <w:rFonts w:ascii="Verdana" w:eastAsia="Times New Roman" w:hAnsi="Verdana" w:cs="Arial"/>
          <w:lang w:val="es-ES"/>
        </w:rPr>
        <w:t>” [énfasis propio]. Al respecto la Sala De Consulta y Servicio Civil del Consejo de Estado señaló lo siguiente:</w:t>
      </w:r>
    </w:p>
    <w:p w14:paraId="0B913E4C" w14:textId="77777777" w:rsidR="00FF4E35" w:rsidRPr="00E8636D" w:rsidRDefault="00FF4E35" w:rsidP="00FF4E35">
      <w:pPr>
        <w:spacing w:after="0" w:line="276" w:lineRule="auto"/>
        <w:ind w:firstLine="708"/>
        <w:jc w:val="both"/>
        <w:rPr>
          <w:rFonts w:ascii="Verdana" w:eastAsia="Times New Roman" w:hAnsi="Verdana" w:cs="Arial"/>
          <w:lang w:val="es-ES"/>
        </w:rPr>
      </w:pPr>
    </w:p>
    <w:p w14:paraId="5E0FA10E" w14:textId="320C8413" w:rsidR="00FF4E35" w:rsidRDefault="00FF4E35" w:rsidP="00FF4E35">
      <w:pPr>
        <w:spacing w:after="0" w:line="240" w:lineRule="auto"/>
        <w:ind w:left="709" w:right="709"/>
        <w:jc w:val="both"/>
        <w:rPr>
          <w:rFonts w:ascii="Verdana" w:eastAsia="Times New Roman" w:hAnsi="Verdana" w:cs="Arial"/>
          <w:sz w:val="20"/>
          <w:szCs w:val="20"/>
          <w:lang w:val="es-ES" w:eastAsia="es-CO"/>
        </w:rPr>
      </w:pPr>
      <w:r w:rsidRPr="00E8636D">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E8636D">
        <w:rPr>
          <w:rStyle w:val="Refdenotaalpie"/>
          <w:rFonts w:ascii="Verdana" w:eastAsia="Times New Roman" w:hAnsi="Verdana" w:cs="Arial"/>
          <w:bCs/>
          <w:sz w:val="20"/>
          <w:szCs w:val="20"/>
          <w:lang w:val="es-ES" w:eastAsia="es-CO"/>
        </w:rPr>
        <w:footnoteReference w:id="16"/>
      </w:r>
      <w:r w:rsidRPr="00E8636D">
        <w:rPr>
          <w:rFonts w:ascii="Verdana" w:eastAsia="Times New Roman" w:hAnsi="Verdana" w:cs="Arial"/>
          <w:bCs/>
          <w:sz w:val="20"/>
          <w:szCs w:val="20"/>
          <w:lang w:val="es-ES" w:eastAsia="es-CO"/>
        </w:rPr>
        <w:t>.</w:t>
      </w:r>
    </w:p>
    <w:p w14:paraId="2533A971" w14:textId="77777777" w:rsidR="00CB3620" w:rsidRPr="00E8636D" w:rsidRDefault="00CB3620" w:rsidP="00FF4E35">
      <w:pPr>
        <w:spacing w:after="0" w:line="240" w:lineRule="auto"/>
        <w:ind w:left="709" w:right="709"/>
        <w:jc w:val="both"/>
        <w:rPr>
          <w:rFonts w:ascii="Verdana" w:eastAsia="Times New Roman" w:hAnsi="Verdana" w:cs="Arial"/>
          <w:bCs/>
          <w:lang w:val="es-ES" w:eastAsia="es-CO"/>
        </w:rPr>
      </w:pPr>
    </w:p>
    <w:p w14:paraId="18A27FD0" w14:textId="77777777" w:rsidR="00FF4E35" w:rsidRPr="00E8636D" w:rsidRDefault="00FF4E35" w:rsidP="000B3A84">
      <w:pPr>
        <w:spacing w:after="120" w:line="276" w:lineRule="auto"/>
        <w:ind w:firstLine="708"/>
        <w:jc w:val="both"/>
        <w:rPr>
          <w:rFonts w:ascii="Verdana" w:hAnsi="Verdana" w:cs="Arial"/>
          <w:bCs/>
          <w:sz w:val="20"/>
          <w:szCs w:val="20"/>
          <w:lang w:val="es-ES" w:eastAsia="es-CO"/>
        </w:rPr>
      </w:pPr>
      <w:r w:rsidRPr="00E8636D">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E8636D">
        <w:rPr>
          <w:rFonts w:ascii="Verdana" w:hAnsi="Verdana"/>
          <w:lang w:val="es-ES"/>
        </w:rPr>
        <w:t xml:space="preserve"> </w:t>
      </w:r>
      <w:r w:rsidRPr="00E8636D">
        <w:rPr>
          <w:rFonts w:ascii="Verdana" w:hAnsi="Verdana" w:cs="Arial"/>
          <w:bCs/>
          <w:lang w:val="es-ES" w:eastAsia="x-none"/>
        </w:rPr>
        <w:t>En efecto, tal como lo ha sostenido el Consejo de Estado, el vocablo “todos” utilizado por el legislador comprende</w:t>
      </w:r>
      <w:r w:rsidRPr="00E8636D">
        <w:rPr>
          <w:rFonts w:ascii="Verdana" w:hAnsi="Verdana"/>
          <w:lang w:val="es-ES"/>
        </w:rPr>
        <w:t xml:space="preserve"> </w:t>
      </w:r>
      <w:r w:rsidRPr="00E8636D">
        <w:rPr>
          <w:rFonts w:ascii="Verdana" w:hAnsi="Verdana" w:cs="Arial"/>
          <w:bCs/>
          <w:lang w:val="es-ES" w:eastAsia="x-none"/>
        </w:rPr>
        <w:t xml:space="preserve">a la totalidad de los entes del Estado, sin distinción del régimen jurídico, forma de organización o naturaleza, su pertenencia a una u otra rama del poder público o su autonomía, e incluso si las entidades estatales tienen </w:t>
      </w:r>
      <w:r w:rsidRPr="00E8636D">
        <w:rPr>
          <w:rFonts w:ascii="Verdana" w:hAnsi="Verdana" w:cs="Arial"/>
          <w:bCs/>
          <w:lang w:val="es-ES" w:eastAsia="x-none"/>
        </w:rPr>
        <w:lastRenderedPageBreak/>
        <w:t>régimen especial de contratación y están exceptuadas del ámbito de aplicación del Estatuto General de Contratación de la Administración Pública</w:t>
      </w:r>
      <w:r w:rsidRPr="00E8636D">
        <w:rPr>
          <w:rStyle w:val="Refdenotaalpie"/>
          <w:rFonts w:ascii="Verdana" w:hAnsi="Verdana" w:cs="Arial"/>
          <w:bCs/>
          <w:sz w:val="20"/>
          <w:szCs w:val="20"/>
          <w:lang w:val="es-ES" w:eastAsia="x-none"/>
        </w:rPr>
        <w:footnoteReference w:id="17"/>
      </w:r>
      <w:r w:rsidRPr="00E8636D">
        <w:rPr>
          <w:rFonts w:ascii="Verdana" w:hAnsi="Verdana" w:cs="Arial"/>
          <w:bCs/>
          <w:sz w:val="20"/>
          <w:szCs w:val="20"/>
          <w:lang w:val="es-ES" w:eastAsia="x-none"/>
        </w:rPr>
        <w:t>.</w:t>
      </w:r>
      <w:r w:rsidRPr="00E8636D">
        <w:rPr>
          <w:rFonts w:ascii="Verdana" w:hAnsi="Verdana" w:cs="Arial"/>
          <w:bCs/>
          <w:sz w:val="20"/>
          <w:szCs w:val="20"/>
          <w:lang w:val="es-ES" w:eastAsia="es-CO"/>
        </w:rPr>
        <w:t>”</w:t>
      </w:r>
    </w:p>
    <w:p w14:paraId="2D0E0D5B" w14:textId="1B6A58CD" w:rsidR="00FF4E35" w:rsidRPr="00E8636D" w:rsidRDefault="00FF4E35" w:rsidP="000B3A84">
      <w:pPr>
        <w:spacing w:after="120" w:line="276" w:lineRule="auto"/>
        <w:ind w:firstLine="709"/>
        <w:jc w:val="both"/>
        <w:rPr>
          <w:rFonts w:ascii="Verdana" w:eastAsia="Arial" w:hAnsi="Verdana" w:cs="Arial"/>
          <w:bCs/>
          <w:color w:val="000000" w:themeColor="text1"/>
          <w:lang w:val="es-ES"/>
        </w:rPr>
      </w:pPr>
      <w:r w:rsidRPr="00E8636D">
        <w:rPr>
          <w:rFonts w:ascii="Verdana" w:eastAsia="Arial" w:hAnsi="Verdana" w:cs="Arial"/>
          <w:color w:val="000000" w:themeColor="text1"/>
          <w:lang w:val="es-ES"/>
        </w:rPr>
        <w:t xml:space="preserve">Por lo tanto, la restricción del artículo 33 prevista en la Ley 996 de 2005, teniendo en cuenta la finalidad de la </w:t>
      </w:r>
      <w:r w:rsidR="00AB31F6">
        <w:rPr>
          <w:rFonts w:ascii="Verdana" w:eastAsia="Arial" w:hAnsi="Verdana" w:cs="Arial"/>
          <w:color w:val="000000" w:themeColor="text1"/>
          <w:lang w:val="es-ES"/>
        </w:rPr>
        <w:t>L</w:t>
      </w:r>
      <w:r w:rsidRPr="00E8636D">
        <w:rPr>
          <w:rFonts w:ascii="Verdana" w:eastAsia="Arial" w:hAnsi="Verdana" w:cs="Arial"/>
          <w:color w:val="000000" w:themeColor="text1"/>
          <w:lang w:val="es-ES"/>
        </w:rPr>
        <w:t xml:space="preserve">ey de </w:t>
      </w:r>
      <w:r w:rsidR="00AB31F6">
        <w:rPr>
          <w:rFonts w:ascii="Verdana" w:eastAsia="Arial" w:hAnsi="Verdana" w:cs="Arial"/>
          <w:color w:val="000000" w:themeColor="text1"/>
          <w:lang w:val="es-ES"/>
        </w:rPr>
        <w:t>G</w:t>
      </w:r>
      <w:r w:rsidR="00AB31F6" w:rsidRPr="00E8636D">
        <w:rPr>
          <w:rFonts w:ascii="Verdana" w:eastAsia="Arial" w:hAnsi="Verdana" w:cs="Arial"/>
          <w:color w:val="000000" w:themeColor="text1"/>
          <w:lang w:val="es-ES"/>
        </w:rPr>
        <w:t xml:space="preserve">arantías </w:t>
      </w:r>
      <w:r w:rsidR="00AB31F6">
        <w:rPr>
          <w:rFonts w:ascii="Verdana" w:eastAsia="Arial" w:hAnsi="Verdana" w:cs="Arial"/>
          <w:color w:val="000000" w:themeColor="text1"/>
          <w:lang w:val="es-ES"/>
        </w:rPr>
        <w:t>E</w:t>
      </w:r>
      <w:r w:rsidR="00AB31F6" w:rsidRPr="00E8636D">
        <w:rPr>
          <w:rFonts w:ascii="Verdana" w:eastAsia="Arial" w:hAnsi="Verdana" w:cs="Arial"/>
          <w:color w:val="000000" w:themeColor="text1"/>
          <w:lang w:val="es-ES"/>
        </w:rPr>
        <w:t>lectorales</w:t>
      </w:r>
      <w:r w:rsidRPr="00E8636D">
        <w:rPr>
          <w:rFonts w:ascii="Verdana" w:eastAsia="Arial" w:hAnsi="Verdana" w:cs="Arial"/>
          <w:color w:val="000000" w:themeColor="text1"/>
          <w:lang w:val="es-ES"/>
        </w:rPr>
        <w:t xml:space="preserve">, cobija a </w:t>
      </w:r>
      <w:r w:rsidRPr="00E8636D">
        <w:rPr>
          <w:rFonts w:ascii="Verdana" w:eastAsia="Arial" w:hAnsi="Verdana" w:cs="Arial"/>
          <w:i/>
          <w:iCs/>
          <w:color w:val="000000" w:themeColor="text1"/>
          <w:lang w:val="es-ES"/>
        </w:rPr>
        <w:t xml:space="preserve">cualquier </w:t>
      </w:r>
      <w:r w:rsidRPr="00E8636D">
        <w:rPr>
          <w:rFonts w:ascii="Verdana" w:eastAsia="Arial" w:hAnsi="Verdana" w:cs="Arial"/>
          <w:color w:val="000000" w:themeColor="text1"/>
          <w:lang w:val="es-ES"/>
        </w:rPr>
        <w:t>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normas especiales.</w:t>
      </w:r>
    </w:p>
    <w:p w14:paraId="0F2317C8" w14:textId="77777777" w:rsidR="00FF4E35" w:rsidRPr="00E8636D" w:rsidRDefault="00FF4E35" w:rsidP="000B3A84">
      <w:pPr>
        <w:spacing w:after="120" w:line="276" w:lineRule="auto"/>
        <w:ind w:firstLine="709"/>
        <w:jc w:val="both"/>
        <w:rPr>
          <w:rFonts w:ascii="Verdana" w:hAnsi="Verdana" w:cs="Arial"/>
          <w:bCs/>
          <w:color w:val="000000" w:themeColor="text1"/>
          <w:lang w:val="es-ES"/>
        </w:rPr>
      </w:pPr>
      <w:r w:rsidRPr="00E8636D">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E8636D">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5053FE37" w14:textId="77777777" w:rsidR="00FF4E35" w:rsidRPr="00E8636D" w:rsidRDefault="00FF4E35" w:rsidP="000B3A84">
      <w:pPr>
        <w:pStyle w:val="Prrafodelista"/>
        <w:numPr>
          <w:ilvl w:val="0"/>
          <w:numId w:val="18"/>
        </w:numPr>
        <w:tabs>
          <w:tab w:val="left" w:pos="709"/>
        </w:tabs>
        <w:spacing w:after="120" w:line="276" w:lineRule="auto"/>
        <w:jc w:val="both"/>
        <w:rPr>
          <w:rFonts w:ascii="Verdana" w:hAnsi="Verdana" w:cs="Arial"/>
          <w:bCs/>
          <w:color w:val="000000" w:themeColor="text1"/>
        </w:rPr>
      </w:pPr>
      <w:r w:rsidRPr="00E8636D">
        <w:rPr>
          <w:rFonts w:ascii="Verdana" w:hAnsi="Verdana" w:cs="Arial"/>
          <w:bCs/>
          <w:color w:val="000000" w:themeColor="text1"/>
        </w:rPr>
        <w:t>La contratación referente a la defensa y seguridad del Estado;</w:t>
      </w:r>
    </w:p>
    <w:p w14:paraId="414C646A" w14:textId="77777777" w:rsidR="00FF4E35" w:rsidRPr="00E8636D" w:rsidRDefault="00FF4E35" w:rsidP="000B3A84">
      <w:pPr>
        <w:pStyle w:val="Prrafodelista"/>
        <w:numPr>
          <w:ilvl w:val="0"/>
          <w:numId w:val="18"/>
        </w:numPr>
        <w:tabs>
          <w:tab w:val="left" w:pos="709"/>
        </w:tabs>
        <w:spacing w:after="120" w:line="276" w:lineRule="auto"/>
        <w:jc w:val="both"/>
        <w:rPr>
          <w:rFonts w:ascii="Verdana" w:hAnsi="Verdana" w:cs="Arial"/>
          <w:bCs/>
          <w:color w:val="000000" w:themeColor="text1"/>
        </w:rPr>
      </w:pPr>
      <w:r w:rsidRPr="00E8636D">
        <w:rPr>
          <w:rFonts w:ascii="Verdana" w:hAnsi="Verdana" w:cs="Arial"/>
          <w:bCs/>
          <w:color w:val="000000" w:themeColor="text1"/>
        </w:rPr>
        <w:t>Los contratos de crédito público;</w:t>
      </w:r>
    </w:p>
    <w:p w14:paraId="2AB50795" w14:textId="77777777" w:rsidR="00FF4E35" w:rsidRPr="00E8636D" w:rsidRDefault="00FF4E35" w:rsidP="000B3A84">
      <w:pPr>
        <w:pStyle w:val="Prrafodelista"/>
        <w:numPr>
          <w:ilvl w:val="0"/>
          <w:numId w:val="18"/>
        </w:numPr>
        <w:tabs>
          <w:tab w:val="left" w:pos="709"/>
        </w:tabs>
        <w:spacing w:after="120" w:line="276" w:lineRule="auto"/>
        <w:jc w:val="both"/>
        <w:rPr>
          <w:rFonts w:ascii="Verdana" w:hAnsi="Verdana" w:cs="Arial"/>
          <w:bCs/>
          <w:color w:val="000000" w:themeColor="text1"/>
        </w:rPr>
      </w:pPr>
      <w:r w:rsidRPr="00E8636D">
        <w:rPr>
          <w:rFonts w:ascii="Verdana" w:hAnsi="Verdana" w:cs="Arial"/>
          <w:bCs/>
          <w:color w:val="000000" w:themeColor="text1"/>
        </w:rPr>
        <w:t xml:space="preserve">Los contratos requeridos para cubrir las emergencias educativas, sanitarias y desastres; </w:t>
      </w:r>
    </w:p>
    <w:p w14:paraId="7DF0A722" w14:textId="77777777" w:rsidR="00FF4E35" w:rsidRPr="00E8636D" w:rsidRDefault="00FF4E35" w:rsidP="000B3A84">
      <w:pPr>
        <w:pStyle w:val="Prrafodelista"/>
        <w:numPr>
          <w:ilvl w:val="0"/>
          <w:numId w:val="18"/>
        </w:numPr>
        <w:tabs>
          <w:tab w:val="left" w:pos="709"/>
        </w:tabs>
        <w:spacing w:after="120" w:line="276" w:lineRule="auto"/>
        <w:jc w:val="both"/>
        <w:rPr>
          <w:rFonts w:ascii="Verdana" w:hAnsi="Verdana" w:cs="Arial"/>
          <w:bCs/>
          <w:color w:val="000000" w:themeColor="text1"/>
        </w:rPr>
      </w:pPr>
      <w:r w:rsidRPr="00E8636D">
        <w:rPr>
          <w:rFonts w:ascii="Verdana" w:hAnsi="Verdana" w:cs="Arial"/>
          <w:bCs/>
          <w:color w:val="000000" w:themeColor="text1"/>
        </w:rPr>
        <w:t>La contratación para la reconstrucción de vías, puentes, carreteras, infraestructura energética y de comunicaciones, en caso de que hayan sido objeto de atentados, acciones terroristas, desastres naturales o casos de fuerza mayor y;</w:t>
      </w:r>
    </w:p>
    <w:p w14:paraId="1448B28C" w14:textId="77777777" w:rsidR="00FF4E35" w:rsidRPr="00E8636D" w:rsidRDefault="00FF4E35" w:rsidP="000B3A84">
      <w:pPr>
        <w:pStyle w:val="Prrafodelista"/>
        <w:numPr>
          <w:ilvl w:val="0"/>
          <w:numId w:val="18"/>
        </w:numPr>
        <w:tabs>
          <w:tab w:val="left" w:pos="709"/>
        </w:tabs>
        <w:spacing w:after="120" w:line="276" w:lineRule="auto"/>
        <w:jc w:val="both"/>
        <w:rPr>
          <w:rFonts w:ascii="Verdana" w:hAnsi="Verdana" w:cs="Arial"/>
          <w:bCs/>
          <w:color w:val="000000" w:themeColor="text1"/>
        </w:rPr>
      </w:pPr>
      <w:r w:rsidRPr="00E8636D">
        <w:rPr>
          <w:rFonts w:ascii="Verdana" w:hAnsi="Verdana" w:cs="Arial"/>
          <w:bCs/>
          <w:color w:val="000000" w:themeColor="text1"/>
        </w:rPr>
        <w:t xml:space="preserve">La contratación que deban realizar las entidades sanitarias y hospitalarias. </w:t>
      </w:r>
    </w:p>
    <w:p w14:paraId="43F66D9D" w14:textId="77777777" w:rsidR="00FF4E35" w:rsidRPr="00E8636D" w:rsidRDefault="00FF4E35" w:rsidP="000B3A84">
      <w:pPr>
        <w:spacing w:after="120" w:line="276" w:lineRule="auto"/>
        <w:ind w:firstLine="709"/>
        <w:jc w:val="both"/>
        <w:rPr>
          <w:rFonts w:ascii="Verdana" w:hAnsi="Verdana" w:cs="Arial"/>
          <w:lang w:val="es-ES" w:eastAsia="x-none"/>
        </w:rPr>
      </w:pPr>
      <w:r w:rsidRPr="00E8636D">
        <w:rPr>
          <w:rFonts w:ascii="Verdana" w:hAnsi="Verdana" w:cs="Arial"/>
          <w:lang w:val="es-ES" w:eastAsia="x-none"/>
        </w:rPr>
        <w:lastRenderedPageBreak/>
        <w:t>Como lo anotó la Corte Constitucional, en Sentencia C-1153 de noviembre 11 de 2005,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E8636D">
        <w:rPr>
          <w:rFonts w:ascii="Verdana" w:hAnsi="Verdana" w:cs="Arial"/>
          <w:color w:val="000000" w:themeColor="text1"/>
          <w:vertAlign w:val="superscript"/>
          <w:lang w:val="es-ES" w:eastAsia="es-CO"/>
        </w:rPr>
        <w:t xml:space="preserve"> </w:t>
      </w:r>
      <w:r w:rsidRPr="00E8636D">
        <w:rPr>
          <w:rFonts w:ascii="Verdana" w:hAnsi="Verdana" w:cs="Arial"/>
          <w:color w:val="000000" w:themeColor="text1"/>
          <w:vertAlign w:val="superscript"/>
          <w:lang w:val="es-ES" w:eastAsia="es-CO"/>
        </w:rPr>
        <w:footnoteReference w:id="18"/>
      </w:r>
      <w:r w:rsidRPr="00E8636D">
        <w:rPr>
          <w:rFonts w:ascii="Verdana" w:hAnsi="Verdana" w:cs="Arial"/>
          <w:lang w:val="es-ES" w:eastAsia="x-none"/>
        </w:rPr>
        <w:t>. De ahí que la Corte haya hecho particular énfasis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5FD8082F" w14:textId="41F83473" w:rsidR="00FF4E35" w:rsidRPr="00E8636D" w:rsidRDefault="00FF4E35" w:rsidP="006D495A">
      <w:pPr>
        <w:tabs>
          <w:tab w:val="left" w:pos="426"/>
        </w:tabs>
        <w:spacing w:before="120" w:after="0" w:line="276" w:lineRule="auto"/>
        <w:ind w:firstLine="709"/>
        <w:jc w:val="both"/>
        <w:rPr>
          <w:rFonts w:ascii="Verdana" w:hAnsi="Verdana" w:cs="Arial"/>
          <w:bCs/>
          <w:color w:val="000000" w:themeColor="text1"/>
          <w:lang w:val="es-ES"/>
        </w:rPr>
      </w:pPr>
      <w:r w:rsidRPr="00E8636D">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6A00FFFC" w14:textId="77777777" w:rsidR="006D495A" w:rsidRPr="00E8636D" w:rsidRDefault="006D495A" w:rsidP="000B3A84">
      <w:pPr>
        <w:tabs>
          <w:tab w:val="left" w:pos="426"/>
        </w:tabs>
        <w:spacing w:before="120" w:after="0" w:line="276" w:lineRule="auto"/>
        <w:ind w:firstLine="709"/>
        <w:jc w:val="both"/>
        <w:rPr>
          <w:rFonts w:ascii="Verdana" w:hAnsi="Verdana" w:cs="Arial"/>
          <w:bCs/>
          <w:color w:val="000000" w:themeColor="text1"/>
          <w:lang w:val="es-ES"/>
        </w:rPr>
      </w:pPr>
    </w:p>
    <w:p w14:paraId="7DBEDF58" w14:textId="43694914" w:rsidR="00FF4E35" w:rsidRPr="00E8636D" w:rsidRDefault="00FF4E35" w:rsidP="006D495A">
      <w:pPr>
        <w:shd w:val="clear" w:color="auto" w:fill="FFFFFF"/>
        <w:spacing w:after="0"/>
        <w:ind w:left="709" w:right="709"/>
        <w:jc w:val="both"/>
        <w:rPr>
          <w:rFonts w:ascii="Verdana" w:hAnsi="Verdana" w:cs="Arial"/>
          <w:color w:val="000000" w:themeColor="text1"/>
          <w:sz w:val="20"/>
          <w:szCs w:val="20"/>
          <w:lang w:val="es-ES" w:eastAsia="es-CO"/>
        </w:rPr>
      </w:pPr>
      <w:r w:rsidRPr="00E8636D">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E8636D">
        <w:rPr>
          <w:rFonts w:ascii="Verdana" w:hAnsi="Verdana" w:cs="Arial"/>
          <w:color w:val="000000" w:themeColor="text1"/>
          <w:sz w:val="20"/>
          <w:szCs w:val="20"/>
          <w:vertAlign w:val="superscript"/>
          <w:lang w:val="es-ES" w:eastAsia="es-CO"/>
        </w:rPr>
        <w:footnoteReference w:id="19"/>
      </w:r>
      <w:r w:rsidRPr="00E8636D">
        <w:rPr>
          <w:rFonts w:ascii="Verdana" w:hAnsi="Verdana" w:cs="Arial"/>
          <w:color w:val="000000" w:themeColor="text1"/>
          <w:sz w:val="20"/>
          <w:szCs w:val="20"/>
          <w:lang w:val="es-ES" w:eastAsia="es-CO"/>
        </w:rPr>
        <w:t xml:space="preserve">”. </w:t>
      </w:r>
    </w:p>
    <w:p w14:paraId="392558A3" w14:textId="77777777" w:rsidR="006D495A" w:rsidRPr="00E8636D" w:rsidRDefault="006D495A" w:rsidP="000B3A84">
      <w:pPr>
        <w:shd w:val="clear" w:color="auto" w:fill="FFFFFF"/>
        <w:spacing w:after="0" w:line="276" w:lineRule="auto"/>
        <w:ind w:left="709" w:right="709"/>
        <w:jc w:val="both"/>
        <w:rPr>
          <w:rFonts w:ascii="Verdana" w:hAnsi="Verdana" w:cs="Arial"/>
          <w:color w:val="000000" w:themeColor="text1"/>
          <w:sz w:val="20"/>
          <w:szCs w:val="20"/>
          <w:lang w:val="es-ES" w:eastAsia="es-CO"/>
        </w:rPr>
      </w:pPr>
    </w:p>
    <w:p w14:paraId="1E8B1EDE" w14:textId="144527C0" w:rsidR="00FF4E35" w:rsidRPr="00E8636D" w:rsidRDefault="00FF4E35" w:rsidP="000B3A84">
      <w:pPr>
        <w:tabs>
          <w:tab w:val="left" w:pos="426"/>
        </w:tabs>
        <w:spacing w:after="0" w:line="276" w:lineRule="auto"/>
        <w:ind w:firstLine="709"/>
        <w:jc w:val="both"/>
        <w:rPr>
          <w:rFonts w:ascii="Verdana" w:hAnsi="Verdana" w:cs="Arial"/>
          <w:color w:val="000000" w:themeColor="text1"/>
          <w:lang w:val="es-ES"/>
        </w:rPr>
      </w:pPr>
      <w:r w:rsidRPr="00E8636D">
        <w:rPr>
          <w:rFonts w:ascii="Verdana" w:hAnsi="Verdana" w:cs="Arial"/>
          <w:bCs/>
          <w:color w:val="000000" w:themeColor="text1"/>
          <w:lang w:val="es-ES"/>
        </w:rPr>
        <w:t xml:space="preserve">Por tanto, las excepciones a la prohibición contenida en el inciso segundo de artículo 33 de la </w:t>
      </w:r>
      <w:r w:rsidR="006D495A">
        <w:rPr>
          <w:rFonts w:ascii="Verdana" w:hAnsi="Verdana" w:cs="Arial"/>
          <w:bCs/>
          <w:color w:val="000000" w:themeColor="text1"/>
          <w:lang w:val="es-ES"/>
        </w:rPr>
        <w:t>L</w:t>
      </w:r>
      <w:r w:rsidRPr="00E8636D">
        <w:rPr>
          <w:rFonts w:ascii="Verdana" w:hAnsi="Verdana" w:cs="Arial"/>
          <w:bCs/>
          <w:color w:val="000000" w:themeColor="text1"/>
          <w:lang w:val="es-ES"/>
        </w:rPr>
        <w:t xml:space="preserve">ey de </w:t>
      </w:r>
      <w:r w:rsidR="006D495A">
        <w:rPr>
          <w:rFonts w:ascii="Verdana" w:hAnsi="Verdana" w:cs="Arial"/>
          <w:bCs/>
          <w:color w:val="000000" w:themeColor="text1"/>
          <w:lang w:val="es-ES"/>
        </w:rPr>
        <w:t>G</w:t>
      </w:r>
      <w:r w:rsidRPr="00E8636D">
        <w:rPr>
          <w:rFonts w:ascii="Verdana" w:hAnsi="Verdana" w:cs="Arial"/>
          <w:bCs/>
          <w:color w:val="000000" w:themeColor="text1"/>
          <w:lang w:val="es-ES"/>
        </w:rPr>
        <w:t xml:space="preserve">arantías </w:t>
      </w:r>
      <w:r w:rsidR="006D495A">
        <w:rPr>
          <w:rFonts w:ascii="Verdana" w:hAnsi="Verdana" w:cs="Arial"/>
          <w:bCs/>
          <w:color w:val="000000" w:themeColor="text1"/>
          <w:lang w:val="es-ES"/>
        </w:rPr>
        <w:t>E</w:t>
      </w:r>
      <w:r w:rsidRPr="00E8636D">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E8636D">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w:t>
      </w:r>
    </w:p>
    <w:p w14:paraId="5A2BF3B4" w14:textId="77777777" w:rsidR="00FF4E35" w:rsidRPr="00E8636D" w:rsidRDefault="00FF4E35" w:rsidP="00FF4E35">
      <w:pPr>
        <w:tabs>
          <w:tab w:val="left" w:pos="426"/>
        </w:tabs>
        <w:spacing w:after="0" w:line="276" w:lineRule="auto"/>
        <w:ind w:firstLine="709"/>
        <w:jc w:val="both"/>
        <w:rPr>
          <w:rFonts w:ascii="Verdana" w:hAnsi="Verdana" w:cs="Arial"/>
          <w:color w:val="000000" w:themeColor="text1"/>
          <w:lang w:val="es-ES"/>
        </w:rPr>
      </w:pPr>
    </w:p>
    <w:p w14:paraId="63311E0D" w14:textId="77777777" w:rsidR="00FF4E35" w:rsidRPr="00E8636D" w:rsidRDefault="00FF4E35" w:rsidP="000B3A84">
      <w:pPr>
        <w:tabs>
          <w:tab w:val="left" w:pos="426"/>
        </w:tabs>
        <w:spacing w:after="0" w:line="240" w:lineRule="auto"/>
        <w:ind w:right="709"/>
        <w:jc w:val="both"/>
        <w:rPr>
          <w:rFonts w:ascii="Verdana" w:hAnsi="Verdana" w:cs="Arial"/>
          <w:color w:val="000000" w:themeColor="text1"/>
          <w:sz w:val="20"/>
          <w:szCs w:val="20"/>
          <w:lang w:val="es-ES"/>
        </w:rPr>
      </w:pPr>
      <w:r w:rsidRPr="00E8636D">
        <w:rPr>
          <w:rFonts w:ascii="Arial" w:hAnsi="Arial" w:cs="Arial"/>
          <w:color w:val="000000" w:themeColor="text1"/>
          <w:sz w:val="21"/>
          <w:szCs w:val="21"/>
          <w:lang w:val="es-ES"/>
        </w:rPr>
        <w:tab/>
      </w:r>
      <w:r w:rsidRPr="00E8636D">
        <w:rPr>
          <w:rFonts w:ascii="Arial" w:hAnsi="Arial" w:cs="Arial"/>
          <w:color w:val="000000" w:themeColor="text1"/>
          <w:sz w:val="21"/>
          <w:szCs w:val="21"/>
          <w:lang w:val="es-ES"/>
        </w:rPr>
        <w:tab/>
      </w:r>
      <w:r w:rsidRPr="000B3A84">
        <w:rPr>
          <w:rFonts w:ascii="Verdana" w:hAnsi="Verdana" w:cs="Arial"/>
          <w:color w:val="000000" w:themeColor="text1"/>
          <w:sz w:val="20"/>
          <w:szCs w:val="20"/>
          <w:lang w:val="es-ES"/>
        </w:rPr>
        <w:t>“</w:t>
      </w:r>
      <w:r w:rsidRPr="00E8636D">
        <w:rPr>
          <w:rFonts w:ascii="Verdana" w:hAnsi="Verdana" w:cs="Arial"/>
          <w:color w:val="000000" w:themeColor="text1"/>
          <w:sz w:val="20"/>
          <w:szCs w:val="20"/>
          <w:lang w:val="es-ES"/>
        </w:rPr>
        <w:t xml:space="preserve">[…] </w:t>
      </w:r>
      <w:r w:rsidRPr="00E8636D">
        <w:rPr>
          <w:rFonts w:ascii="Verdana" w:hAnsi="Verdana" w:cs="Arial"/>
          <w:i/>
          <w:color w:val="000000" w:themeColor="text1"/>
          <w:sz w:val="20"/>
          <w:szCs w:val="20"/>
          <w:lang w:val="es-ES"/>
        </w:rPr>
        <w:t>Las excepciones aplicables a la restricción de contratación pública</w:t>
      </w:r>
    </w:p>
    <w:p w14:paraId="6E5AB482" w14:textId="77777777" w:rsidR="00FF4E35" w:rsidRPr="00E8636D" w:rsidRDefault="00FF4E35" w:rsidP="000B3A84">
      <w:pPr>
        <w:spacing w:after="0" w:line="240" w:lineRule="auto"/>
        <w:ind w:left="709" w:right="709"/>
        <w:jc w:val="both"/>
        <w:rPr>
          <w:rFonts w:ascii="Verdana" w:hAnsi="Verdana" w:cs="Arial"/>
          <w:color w:val="000000" w:themeColor="text1"/>
          <w:sz w:val="20"/>
          <w:szCs w:val="20"/>
          <w:shd w:val="clear" w:color="auto" w:fill="FFFFFF"/>
          <w:lang w:val="es-ES"/>
        </w:rPr>
      </w:pPr>
      <w:r w:rsidRPr="00E8636D">
        <w:rPr>
          <w:rFonts w:ascii="Verdana" w:hAnsi="Verdana" w:cs="Arial"/>
          <w:color w:val="000000" w:themeColor="text1"/>
          <w:sz w:val="20"/>
          <w:szCs w:val="20"/>
          <w:shd w:val="clear" w:color="auto" w:fill="FFFFFF"/>
          <w:lang w:val="es-ES"/>
        </w:rPr>
        <w:t xml:space="preserve">Ahora bien, las únicas excepciones a las disposiciones previstas en la Ley de Garantías se encuentran numeradas taxativamente en el último inciso </w:t>
      </w:r>
      <w:r w:rsidRPr="00E8636D">
        <w:rPr>
          <w:rFonts w:ascii="Verdana" w:hAnsi="Verdana" w:cs="Arial"/>
          <w:color w:val="000000" w:themeColor="text1"/>
          <w:sz w:val="20"/>
          <w:szCs w:val="20"/>
          <w:shd w:val="clear" w:color="auto" w:fill="FFFFFF"/>
          <w:lang w:val="es-ES"/>
        </w:rPr>
        <w:lastRenderedPageBreak/>
        <w:t>del artículo 33 de la ley 996 de 2005, dentro de las que se encuentran […]</w:t>
      </w:r>
      <w:r w:rsidRPr="00E8636D">
        <w:rPr>
          <w:rFonts w:ascii="Verdana" w:hAnsi="Verdana" w:cs="Arial"/>
          <w:color w:val="000000" w:themeColor="text1"/>
          <w:sz w:val="20"/>
          <w:szCs w:val="20"/>
          <w:shd w:val="clear" w:color="auto" w:fill="FFFFFF"/>
          <w:vertAlign w:val="superscript"/>
          <w:lang w:val="es-ES"/>
        </w:rPr>
        <w:footnoteReference w:id="20"/>
      </w:r>
      <w:r w:rsidRPr="00E8636D">
        <w:rPr>
          <w:rFonts w:ascii="Verdana" w:hAnsi="Verdana" w:cs="Arial"/>
          <w:color w:val="000000" w:themeColor="text1"/>
          <w:sz w:val="20"/>
          <w:szCs w:val="20"/>
          <w:shd w:val="clear" w:color="auto" w:fill="FFFFFF"/>
          <w:lang w:val="es-ES"/>
        </w:rPr>
        <w:t>.</w:t>
      </w:r>
    </w:p>
    <w:p w14:paraId="28CBCCA0" w14:textId="77777777" w:rsidR="00FF4E35" w:rsidRPr="00E8636D" w:rsidRDefault="00FF4E35" w:rsidP="00FF4E35">
      <w:pPr>
        <w:spacing w:after="0"/>
        <w:ind w:left="709" w:right="709"/>
        <w:jc w:val="both"/>
        <w:rPr>
          <w:rFonts w:ascii="Verdana" w:hAnsi="Verdana" w:cs="Arial"/>
          <w:color w:val="000000" w:themeColor="text1"/>
          <w:sz w:val="20"/>
          <w:szCs w:val="20"/>
          <w:shd w:val="clear" w:color="auto" w:fill="FFFFFF"/>
          <w:lang w:val="es-ES"/>
        </w:rPr>
      </w:pPr>
    </w:p>
    <w:p w14:paraId="2D75D118" w14:textId="77777777" w:rsidR="00FF4E35" w:rsidRPr="00E8636D" w:rsidRDefault="00FF4E35" w:rsidP="00FF4E35">
      <w:pPr>
        <w:tabs>
          <w:tab w:val="left" w:pos="426"/>
        </w:tabs>
        <w:spacing w:line="276" w:lineRule="auto"/>
        <w:ind w:firstLine="709"/>
        <w:jc w:val="both"/>
        <w:rPr>
          <w:rFonts w:ascii="Verdana" w:hAnsi="Verdana" w:cs="Arial"/>
          <w:bCs/>
          <w:color w:val="000000" w:themeColor="text1"/>
          <w:lang w:val="es-ES"/>
        </w:rPr>
      </w:pPr>
      <w:r w:rsidRPr="00E8636D">
        <w:rPr>
          <w:rFonts w:ascii="Verdana" w:hAnsi="Verdana" w:cs="Arial"/>
          <w:bCs/>
          <w:color w:val="000000" w:themeColor="text1"/>
          <w:lang w:val="es-ES"/>
        </w:rPr>
        <w:t>Lo anterior implica que las excepciones al artículo 33 en comento deben interpretarse y aplicarse de manera estricta. En otras palabras, no es factible hacer interpretaciones extensivas</w:t>
      </w:r>
      <w:r w:rsidRPr="00E8636D">
        <w:rPr>
          <w:rFonts w:ascii="Verdana" w:hAnsi="Verdana" w:cs="Arial"/>
          <w:bCs/>
          <w:i/>
          <w:iCs/>
          <w:color w:val="000000" w:themeColor="text1"/>
          <w:lang w:val="es-ES"/>
        </w:rPr>
        <w:t xml:space="preserve"> </w:t>
      </w:r>
      <w:r w:rsidRPr="00E8636D">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1BE35DB0" w14:textId="77777777" w:rsidR="00FF4E35" w:rsidRPr="00E8636D" w:rsidRDefault="00FF4E35" w:rsidP="00FF4E35">
      <w:pPr>
        <w:spacing w:before="240" w:line="276" w:lineRule="auto"/>
        <w:jc w:val="both"/>
        <w:rPr>
          <w:rFonts w:ascii="Verdana" w:hAnsi="Verdana" w:cs="Arial"/>
          <w:lang w:val="es-ES"/>
        </w:rPr>
      </w:pPr>
      <w:r w:rsidRPr="00E8636D">
        <w:rPr>
          <w:rFonts w:ascii="Verdana" w:eastAsia="Arial" w:hAnsi="Verdana" w:cs="Arial"/>
          <w:bCs/>
          <w:color w:val="000000" w:themeColor="text1"/>
          <w:lang w:val="es-ES"/>
        </w:rPr>
        <w:t xml:space="preserve">v) Por otro lado, la prohibición establecida en el </w:t>
      </w:r>
      <w:r w:rsidRPr="00E8636D">
        <w:rPr>
          <w:rFonts w:ascii="Verdana" w:eastAsia="Arial" w:hAnsi="Verdana" w:cs="Arial"/>
          <w:bCs/>
          <w:i/>
          <w:iCs/>
          <w:color w:val="000000" w:themeColor="text1"/>
          <w:lang w:val="es-ES"/>
        </w:rPr>
        <w:t xml:space="preserve">parágrafo del artículo 38 </w:t>
      </w:r>
      <w:r w:rsidRPr="00E8636D">
        <w:rPr>
          <w:rFonts w:ascii="Verdana" w:eastAsia="Calibri" w:hAnsi="Verdana" w:cs="Arial"/>
          <w:bCs/>
          <w:lang w:val="es-ES"/>
        </w:rPr>
        <w:t xml:space="preserve">de la Ley 996 de 2005 dispone que “los Gobernadores, </w:t>
      </w:r>
      <w:proofErr w:type="gramStart"/>
      <w:r w:rsidRPr="00E8636D">
        <w:rPr>
          <w:rFonts w:ascii="Verdana" w:eastAsia="Calibri" w:hAnsi="Verdana" w:cs="Arial"/>
          <w:bCs/>
          <w:lang w:val="es-ES"/>
        </w:rPr>
        <w:t>Alcaldes</w:t>
      </w:r>
      <w:proofErr w:type="gramEnd"/>
      <w:r w:rsidRPr="00E8636D">
        <w:rPr>
          <w:rFonts w:ascii="Verdana" w:eastAsia="Calibri" w:hAnsi="Verdana" w:cs="Arial"/>
          <w:bCs/>
          <w:lang w:val="es-ES"/>
        </w:rPr>
        <w:t xml:space="preserve"> Municipales y/o Distritales, </w:t>
      </w:r>
      <w:proofErr w:type="gramStart"/>
      <w:r w:rsidRPr="00E8636D">
        <w:rPr>
          <w:rFonts w:ascii="Verdana" w:eastAsia="Calibri" w:hAnsi="Verdana" w:cs="Arial"/>
          <w:bCs/>
          <w:lang w:val="es-ES"/>
        </w:rPr>
        <w:t>Secretarios</w:t>
      </w:r>
      <w:proofErr w:type="gramEnd"/>
      <w:r w:rsidRPr="00E8636D">
        <w:rPr>
          <w:rFonts w:ascii="Verdana" w:eastAsia="Calibri" w:hAnsi="Verdana" w:cs="Arial"/>
          <w:bCs/>
          <w:lang w:val="es-ES"/>
        </w:rPr>
        <w:t>, Gerentes y directores de Entidades Descentralizadas del orden Municipal, Departamental o Distrital, dentro de los cuatro (4) meses anteriores a las elecciones, no podrán celebrar convenios interadministrativos para la ejecución de recursos públicos”.</w:t>
      </w:r>
      <w:r w:rsidRPr="00E8636D">
        <w:rPr>
          <w:rFonts w:ascii="Verdana" w:hAnsi="Verdana" w:cs="Arial"/>
          <w:bCs/>
          <w:iCs/>
          <w:lang w:val="es-ES" w:eastAsia="x-none"/>
        </w:rPr>
        <w:t xml:space="preserve"> Los convenios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E8636D">
        <w:rPr>
          <w:rStyle w:val="Refdenotaalpie"/>
          <w:rFonts w:ascii="Verdana" w:hAnsi="Verdana" w:cs="Arial"/>
          <w:bCs/>
          <w:iCs/>
          <w:lang w:val="es-ES" w:eastAsia="x-none"/>
        </w:rPr>
        <w:footnoteReference w:id="21"/>
      </w:r>
      <w:r w:rsidRPr="00E8636D">
        <w:rPr>
          <w:rFonts w:ascii="Verdana" w:hAnsi="Verdana" w:cs="Arial"/>
          <w:bCs/>
          <w:iCs/>
          <w:lang w:val="es-ES" w:eastAsia="x-none"/>
        </w:rPr>
        <w:t>.</w:t>
      </w:r>
      <w:r w:rsidRPr="00E8636D">
        <w:rPr>
          <w:rFonts w:ascii="Verdana" w:hAnsi="Verdana" w:cs="Arial"/>
          <w:lang w:val="es-ES"/>
        </w:rPr>
        <w:t xml:space="preserve"> </w:t>
      </w:r>
      <w:bookmarkStart w:id="0" w:name="_Hlk78820161"/>
    </w:p>
    <w:p w14:paraId="7C8DE5DA" w14:textId="77777777" w:rsidR="00FF4E35" w:rsidRPr="00E8636D" w:rsidRDefault="00FF4E35" w:rsidP="00FF4E35">
      <w:pPr>
        <w:spacing w:before="120" w:after="120" w:line="276" w:lineRule="auto"/>
        <w:ind w:firstLine="708"/>
        <w:jc w:val="both"/>
        <w:rPr>
          <w:rFonts w:ascii="Verdana" w:hAnsi="Verdana" w:cs="Arial"/>
          <w:lang w:val="es-ES"/>
        </w:rPr>
      </w:pPr>
      <w:r w:rsidRPr="00E8636D">
        <w:rPr>
          <w:rFonts w:ascii="Verdana" w:hAnsi="Verdana" w:cs="Arial"/>
          <w:lang w:val="es-ES"/>
        </w:rPr>
        <w:t xml:space="preserve">Aunque la ley no definió ni desarrolló </w:t>
      </w:r>
      <w:r w:rsidRPr="00E8636D">
        <w:rPr>
          <w:rFonts w:ascii="Verdana" w:eastAsia="Calibri" w:hAnsi="Verdana" w:cs="Arial"/>
          <w:bCs/>
          <w:lang w:val="es-ES"/>
        </w:rPr>
        <w:t>la tipología de convenios interadministrativos</w:t>
      </w:r>
      <w:r w:rsidRPr="00E8636D">
        <w:rPr>
          <w:rFonts w:ascii="Verdana" w:hAnsi="Verdana" w:cs="Arial"/>
          <w:lang w:val="es-ES"/>
        </w:rPr>
        <w:t>, el Decreto 1082 de 2015 califica a los convenios interadministrativos como aquella contratación entre entidades estatales</w:t>
      </w:r>
      <w:r w:rsidRPr="00E8636D">
        <w:rPr>
          <w:rStyle w:val="Refdenotaalpie"/>
          <w:rFonts w:ascii="Verdana" w:hAnsi="Verdana" w:cs="Arial"/>
          <w:lang w:val="es-ES"/>
        </w:rPr>
        <w:footnoteReference w:id="22"/>
      </w:r>
      <w:r w:rsidRPr="00E8636D">
        <w:rPr>
          <w:rFonts w:ascii="Verdana" w:hAnsi="Verdana" w:cs="Arial"/>
          <w:lang w:val="es-ES"/>
        </w:rPr>
        <w:t>. De acuerdo con lo anterior, el convenio interadministrativo es el acuerdo donde concurre la voluntad de dos o más personas jurídicas de derecho público con la finalidad de cumplir, en el marco de sus objetivos misionales y sus competencias, con los fines del Estado. Es decir, los convenios interadministrativos están determinados por un criterio orgánico, pues es necesario que los extremos de la relación contractual sean Entidades</w:t>
      </w:r>
      <w:r w:rsidRPr="00E8636D">
        <w:rPr>
          <w:rFonts w:ascii="Verdana" w:hAnsi="Verdana" w:cs="Arial"/>
          <w:spacing w:val="-6"/>
          <w:lang w:val="es-ES"/>
        </w:rPr>
        <w:t xml:space="preserve"> </w:t>
      </w:r>
      <w:r w:rsidRPr="00E8636D">
        <w:rPr>
          <w:rFonts w:ascii="Verdana" w:hAnsi="Verdana" w:cs="Arial"/>
          <w:lang w:val="es-ES"/>
        </w:rPr>
        <w:t>Estatales.</w:t>
      </w:r>
      <w:bookmarkStart w:id="1" w:name="_Hlk78820654"/>
      <w:bookmarkEnd w:id="0"/>
    </w:p>
    <w:p w14:paraId="6AB7CFE2" w14:textId="77777777" w:rsidR="00FF4E35" w:rsidRPr="00E8636D" w:rsidRDefault="00FF4E35" w:rsidP="00FF4E35">
      <w:pPr>
        <w:spacing w:before="120" w:after="120" w:line="276" w:lineRule="auto"/>
        <w:ind w:firstLine="708"/>
        <w:jc w:val="both"/>
        <w:rPr>
          <w:rFonts w:ascii="Verdana" w:hAnsi="Verdana" w:cs="Arial"/>
          <w:lang w:val="es-ES"/>
        </w:rPr>
      </w:pPr>
      <w:r w:rsidRPr="00E8636D">
        <w:rPr>
          <w:rFonts w:ascii="Verdana" w:hAnsi="Verdana" w:cs="Arial"/>
          <w:lang w:val="es-ES"/>
        </w:rPr>
        <w:lastRenderedPageBreak/>
        <w:t>Si bien los convenios interadministrativos están previstos en la Ley 80 de 1993, en la Ley 1150 de 2007 y en el Decreto en el 1082 de 2015, no quiere decir que solo puedan celebrarse entre Entidades Estatales que apliquen el régimen de contratación allí previsto, pues una Entidad Estatal sometida a la Ley 80 de 1993 puede celebrar esta clase de convenios con una de régimen especial y no por ello dejará de ser un contrato o convenio interadministrativo.</w:t>
      </w:r>
      <w:bookmarkEnd w:id="1"/>
    </w:p>
    <w:p w14:paraId="28AEFC53" w14:textId="310B0410" w:rsidR="00FF4E35" w:rsidRPr="00E8636D" w:rsidRDefault="00FF4E35" w:rsidP="00FF4E35">
      <w:pPr>
        <w:spacing w:before="120" w:after="120" w:line="276" w:lineRule="auto"/>
        <w:ind w:firstLine="708"/>
        <w:jc w:val="both"/>
        <w:rPr>
          <w:rFonts w:ascii="Verdana" w:hAnsi="Verdana" w:cs="Arial"/>
          <w:lang w:val="es-ES"/>
        </w:rPr>
      </w:pPr>
      <w:r w:rsidRPr="00E8636D">
        <w:rPr>
          <w:rFonts w:ascii="Verdana" w:hAnsi="Verdana" w:cs="Arial"/>
          <w:lang w:val="es-ES"/>
        </w:rPr>
        <w:t>Adicionalmente, se deriva del criterio orgánico referido que 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E8636D">
        <w:rPr>
          <w:rStyle w:val="Refdenotaalpie"/>
          <w:rFonts w:ascii="Verdana" w:hAnsi="Verdana" w:cs="Arial"/>
          <w:lang w:val="es-ES"/>
        </w:rPr>
        <w:footnoteReference w:id="23"/>
      </w:r>
      <w:r w:rsidRPr="00E8636D">
        <w:rPr>
          <w:rFonts w:ascii="Verdana" w:hAnsi="Verdana" w:cs="Arial"/>
          <w:lang w:val="es-ES"/>
        </w:rPr>
        <w:t xml:space="preserve">. Nótese que, en este caso, lo que cambia es la modalidad de selección y no la naturaleza de </w:t>
      </w:r>
      <w:r w:rsidR="006D495A">
        <w:rPr>
          <w:rFonts w:ascii="Verdana" w:hAnsi="Verdana" w:cs="Arial"/>
          <w:lang w:val="es-ES"/>
        </w:rPr>
        <w:t xml:space="preserve">convenio </w:t>
      </w:r>
      <w:r w:rsidRPr="00E8636D">
        <w:rPr>
          <w:rFonts w:ascii="Verdana" w:hAnsi="Verdana" w:cs="Arial"/>
          <w:lang w:val="es-ES"/>
        </w:rPr>
        <w:t xml:space="preserve">interadministrativo. Teniendo en cuenta lo anterior, se reitera la conclusión de que los convenios interadministrativos están definidos por la naturaleza de las partes, de manera que se identifican por un criterio orgánico y serán aquellos celebrados entre entidades estatales. </w:t>
      </w:r>
    </w:p>
    <w:p w14:paraId="5C12D338" w14:textId="637FAB56" w:rsidR="00FF4E35" w:rsidRDefault="00FF4E35" w:rsidP="00FF4E35">
      <w:pPr>
        <w:spacing w:before="120" w:after="120" w:line="276" w:lineRule="auto"/>
        <w:ind w:firstLine="708"/>
        <w:jc w:val="both"/>
        <w:rPr>
          <w:rFonts w:ascii="Verdana" w:hAnsi="Verdana"/>
          <w:lang w:val="es-ES"/>
        </w:rPr>
      </w:pPr>
      <w:r w:rsidRPr="00E8636D">
        <w:rPr>
          <w:rFonts w:ascii="Verdana" w:hAnsi="Verdana" w:cs="Arial"/>
          <w:lang w:val="es-ES"/>
        </w:rPr>
        <w:t xml:space="preserve">Por otra parte, es importante aclarar </w:t>
      </w:r>
      <w:proofErr w:type="gramStart"/>
      <w:r w:rsidRPr="00E8636D">
        <w:rPr>
          <w:rFonts w:ascii="Verdana" w:hAnsi="Verdana" w:cs="Arial"/>
          <w:lang w:val="es-ES"/>
        </w:rPr>
        <w:t>que</w:t>
      </w:r>
      <w:proofErr w:type="gramEnd"/>
      <w:r w:rsidRPr="00E8636D">
        <w:rPr>
          <w:rFonts w:ascii="Verdana" w:hAnsi="Verdana" w:cs="Arial"/>
          <w:lang w:val="es-ES"/>
        </w:rPr>
        <w:t xml:space="preserve"> de acuerdo con la interpretación realizada por el Consejo de Estado, la norma prohíbe a los alcaldes, gobernadores, secretarios, gerentes y directores de las entidades del orden municipal, departamental o distrital celebrar </w:t>
      </w:r>
      <w:r w:rsidRPr="00E8636D">
        <w:rPr>
          <w:rFonts w:ascii="Verdana" w:hAnsi="Verdana" w:cs="Arial"/>
          <w:i/>
          <w:iCs/>
          <w:lang w:val="es-ES"/>
        </w:rPr>
        <w:t xml:space="preserve">convenios </w:t>
      </w:r>
      <w:r w:rsidRPr="00E8636D">
        <w:rPr>
          <w:rFonts w:ascii="Verdana" w:hAnsi="Verdana" w:cs="Arial"/>
          <w:lang w:val="es-ES"/>
        </w:rPr>
        <w:t>interadministrativos para la ejecución de recursos públicos</w:t>
      </w:r>
      <w:r w:rsidRPr="00E8636D">
        <w:rPr>
          <w:rStyle w:val="Refdenotaalpie"/>
          <w:rFonts w:ascii="Verdana" w:hAnsi="Verdana" w:cs="Arial"/>
          <w:lang w:val="es-ES"/>
        </w:rPr>
        <w:footnoteReference w:id="24"/>
      </w:r>
      <w:r>
        <w:rPr>
          <w:rFonts w:ascii="Verdana" w:hAnsi="Verdana" w:cs="Arial"/>
          <w:lang w:val="es-ES"/>
        </w:rPr>
        <w:t>.</w:t>
      </w:r>
      <w:r w:rsidRPr="00E8636D">
        <w:rPr>
          <w:rFonts w:ascii="Verdana" w:hAnsi="Verdana" w:cs="Arial"/>
          <w:lang w:val="es-ES"/>
        </w:rPr>
        <w:t xml:space="preserve"> La alta corporación </w:t>
      </w:r>
      <w:r w:rsidRPr="00E8636D">
        <w:rPr>
          <w:rFonts w:ascii="Verdana" w:hAnsi="Verdana"/>
          <w:lang w:val="es-ES"/>
        </w:rPr>
        <w:t xml:space="preserve">parte de la distinción </w:t>
      </w:r>
      <w:r w:rsidRPr="00E8636D">
        <w:rPr>
          <w:rFonts w:ascii="Verdana" w:hAnsi="Verdana"/>
          <w:lang w:val="es-ES"/>
        </w:rPr>
        <w:lastRenderedPageBreak/>
        <w:t xml:space="preserve">entre los conceptos de “convenio” y “contrato” interadministrativos, para diferenciarlos en su naturaleza, contenido y alcance, lo cual ha servido de fundamento para que tanto la Sección Tercera como la Sala de Consulta y Servicio Civil hayan realizado la distinción entre uno y otro negocio jurídico. </w:t>
      </w:r>
    </w:p>
    <w:p w14:paraId="0CEEDAAE" w14:textId="3BAAF197" w:rsidR="00F367C0" w:rsidRPr="00667CD6" w:rsidRDefault="00F367C0" w:rsidP="00F367C0">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vale la pena destacar </w:t>
      </w:r>
      <w:proofErr w:type="gramStart"/>
      <w:r w:rsidRPr="00667CD6">
        <w:rPr>
          <w:rFonts w:ascii="Verdana" w:eastAsia="Times New Roman" w:hAnsi="Verdana" w:cs="Arial"/>
          <w:lang w:eastAsia="es-CO"/>
        </w:rPr>
        <w:t>que</w:t>
      </w:r>
      <w:proofErr w:type="gramEnd"/>
      <w:r w:rsidRPr="00667CD6">
        <w:rPr>
          <w:rFonts w:ascii="Verdana" w:eastAsia="Times New Roman" w:hAnsi="Verdana" w:cs="Arial"/>
          <w:lang w:eastAsia="es-CO"/>
        </w:rPr>
        <w:t xml:space="preserv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numeral 16.2 de la Circular Externa Única de 2022 expedida por la Agencia Nacional de Contratación Pública -Colombia Compra Eficiente-, concretamente, respecto de los siguientes apartes normativos</w:t>
      </w:r>
      <w:r w:rsidRPr="00667CD6">
        <w:rPr>
          <w:rFonts w:ascii="Verdana" w:hAnsi="Verdana" w:cs="Arial"/>
          <w:vertAlign w:val="superscript"/>
        </w:rPr>
        <w:footnoteReference w:id="25"/>
      </w:r>
      <w:r w:rsidRPr="00667CD6">
        <w:rPr>
          <w:rFonts w:ascii="Verdana" w:hAnsi="Verdana" w:cs="Arial"/>
        </w:rPr>
        <w:t xml:space="preserve">: </w:t>
      </w:r>
    </w:p>
    <w:p w14:paraId="4247EECC" w14:textId="77777777" w:rsidR="00F367C0" w:rsidRPr="00667CD6" w:rsidRDefault="00F367C0" w:rsidP="00F367C0">
      <w:pPr>
        <w:spacing w:after="0" w:line="276" w:lineRule="auto"/>
        <w:ind w:firstLine="709"/>
        <w:jc w:val="both"/>
        <w:rPr>
          <w:rFonts w:ascii="Verdana" w:hAnsi="Verdana" w:cs="Arial"/>
        </w:rPr>
      </w:pPr>
    </w:p>
    <w:p w14:paraId="5CA0DAAE" w14:textId="77777777" w:rsidR="00F367C0" w:rsidRPr="00667CD6" w:rsidRDefault="00F367C0" w:rsidP="00F367C0">
      <w:pPr>
        <w:spacing w:after="0" w:line="240" w:lineRule="auto"/>
        <w:ind w:left="709" w:right="709"/>
        <w:jc w:val="both"/>
        <w:rPr>
          <w:rFonts w:ascii="Verdana" w:hAnsi="Verdana" w:cs="Arial"/>
          <w:sz w:val="20"/>
          <w:szCs w:val="20"/>
        </w:rPr>
      </w:pPr>
      <w:r w:rsidRPr="00667CD6">
        <w:rPr>
          <w:rFonts w:ascii="Verdana" w:hAnsi="Verdana" w:cs="Arial"/>
          <w:sz w:val="20"/>
          <w:szCs w:val="20"/>
          <w:lang w:val="es-MX"/>
        </w:rPr>
        <w:t>i)</w:t>
      </w:r>
      <w:r w:rsidRPr="00667CD6">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21F2257F" w14:textId="77777777" w:rsidR="00F367C0" w:rsidRPr="00667CD6" w:rsidRDefault="00F367C0" w:rsidP="00F367C0">
      <w:pPr>
        <w:spacing w:after="0" w:line="240" w:lineRule="auto"/>
        <w:ind w:left="709" w:right="709"/>
        <w:jc w:val="both"/>
        <w:rPr>
          <w:rFonts w:ascii="Verdana" w:hAnsi="Verdana" w:cs="Arial"/>
          <w:sz w:val="20"/>
          <w:szCs w:val="20"/>
        </w:rPr>
      </w:pPr>
    </w:p>
    <w:p w14:paraId="61953C45" w14:textId="77777777" w:rsidR="00F367C0" w:rsidRPr="00667CD6" w:rsidRDefault="00F367C0" w:rsidP="00F367C0">
      <w:pPr>
        <w:spacing w:after="0" w:line="240" w:lineRule="auto"/>
        <w:ind w:left="709" w:right="709"/>
        <w:jc w:val="both"/>
        <w:rPr>
          <w:rFonts w:ascii="Verdana" w:hAnsi="Verdana" w:cs="Arial"/>
          <w:sz w:val="20"/>
          <w:szCs w:val="20"/>
        </w:rPr>
      </w:pPr>
      <w:proofErr w:type="spellStart"/>
      <w:r w:rsidRPr="00667CD6">
        <w:rPr>
          <w:rFonts w:ascii="Verdana" w:hAnsi="Verdana" w:cs="Arial"/>
          <w:sz w:val="20"/>
          <w:szCs w:val="20"/>
        </w:rPr>
        <w:t>ii</w:t>
      </w:r>
      <w:proofErr w:type="spellEnd"/>
      <w:r w:rsidRPr="00667CD6">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53619AE" w14:textId="77777777" w:rsidR="00F367C0" w:rsidRPr="00667CD6" w:rsidRDefault="00F367C0" w:rsidP="00F367C0">
      <w:pPr>
        <w:spacing w:after="0" w:line="276" w:lineRule="auto"/>
        <w:ind w:left="709" w:right="709"/>
        <w:jc w:val="both"/>
        <w:rPr>
          <w:rFonts w:ascii="Verdana" w:hAnsi="Verdana" w:cs="Arial"/>
        </w:rPr>
      </w:pPr>
    </w:p>
    <w:p w14:paraId="7783F04A" w14:textId="77777777" w:rsidR="00F367C0" w:rsidRPr="00667CD6" w:rsidRDefault="00F367C0" w:rsidP="00F367C0">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w:t>
      </w:r>
      <w:r w:rsidRPr="00667CD6">
        <w:rPr>
          <w:rFonts w:ascii="Verdana" w:eastAsia="Arial" w:hAnsi="Verdana" w:cs="Arial"/>
          <w:lang w:eastAsia="es-ES" w:bidi="es-ES"/>
        </w:rPr>
        <w:lastRenderedPageBreak/>
        <w:t xml:space="preserve">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1BA63D0C" w14:textId="77777777" w:rsidR="00F367C0" w:rsidRPr="00667CD6" w:rsidRDefault="00F367C0" w:rsidP="00F367C0">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667CD6">
        <w:rPr>
          <w:rFonts w:ascii="Verdana" w:eastAsia="Arial" w:hAnsi="Verdana" w:cs="Arial"/>
          <w:vertAlign w:val="superscript"/>
          <w:lang w:eastAsia="es-ES" w:bidi="es-ES"/>
        </w:rPr>
        <w:footnoteReference w:id="26"/>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667CD6">
        <w:rPr>
          <w:rFonts w:ascii="Verdana" w:eastAsia="Arial" w:hAnsi="Verdana" w:cs="Arial"/>
          <w:lang w:eastAsia="es-ES" w:bidi="es-ES"/>
        </w:rPr>
        <w:t>legis</w:t>
      </w:r>
      <w:proofErr w:type="spellEnd"/>
      <w:r w:rsidRPr="00667CD6">
        <w:rPr>
          <w:rFonts w:ascii="Verdana" w:eastAsia="Arial" w:hAnsi="Verdana" w:cs="Arial"/>
          <w:lang w:eastAsia="es-ES" w:bidi="es-ES"/>
        </w:rPr>
        <w:t xml:space="preserve"> o iuris y la interpretación extensiva y reiteró los argumentos sobre la diferencia entre contratos y convenios interadministrativos. </w:t>
      </w:r>
    </w:p>
    <w:p w14:paraId="5380BA11" w14:textId="77777777" w:rsidR="00F367C0" w:rsidRDefault="00F367C0" w:rsidP="00F367C0">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lastRenderedPageBreak/>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0C6F0DAC" w14:textId="77777777" w:rsidR="00F367C0" w:rsidRDefault="00F367C0" w:rsidP="00F367C0">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27"/>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B6C3DC1" w14:textId="77777777" w:rsidR="00F367C0" w:rsidRPr="00670659" w:rsidRDefault="00F367C0" w:rsidP="00F367C0">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4147DA6E" w14:textId="0B551B19" w:rsidR="00F367C0" w:rsidRPr="000B3A84" w:rsidRDefault="00F367C0" w:rsidP="000B3A84">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w:t>
      </w:r>
      <w:r w:rsidRPr="00667CD6">
        <w:rPr>
          <w:rFonts w:ascii="Verdana" w:eastAsia="Times New Roman" w:hAnsi="Verdana" w:cs="Arial"/>
          <w:lang w:eastAsia="es-CO"/>
        </w:rPr>
        <w:lastRenderedPageBreak/>
        <w:t xml:space="preserve">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28"/>
      </w:r>
      <w:r>
        <w:rPr>
          <w:rFonts w:ascii="Verdana" w:eastAsia="Times New Roman" w:hAnsi="Verdana" w:cs="Arial"/>
          <w:lang w:eastAsia="es-CO"/>
        </w:rPr>
        <w:t>.</w:t>
      </w:r>
    </w:p>
    <w:p w14:paraId="593DE7BB" w14:textId="77777777" w:rsidR="00FF4E35" w:rsidRDefault="00FF4E35" w:rsidP="00FF4E35">
      <w:pPr>
        <w:spacing w:before="120" w:after="0" w:line="276" w:lineRule="auto"/>
        <w:ind w:firstLine="708"/>
        <w:jc w:val="both"/>
        <w:rPr>
          <w:rFonts w:ascii="Verdana" w:hAnsi="Verdana" w:cs="Arial"/>
          <w:bCs/>
          <w:lang w:val="es-ES" w:eastAsia="es-CO"/>
        </w:rPr>
      </w:pPr>
      <w:r w:rsidRPr="00E8636D">
        <w:rPr>
          <w:rFonts w:ascii="Verdana" w:eastAsia="Calibri" w:hAnsi="Verdana" w:cs="Arial"/>
          <w:bCs/>
          <w:lang w:val="es-ES"/>
        </w:rPr>
        <w:t xml:space="preserve">En suma, </w:t>
      </w:r>
      <w:r w:rsidRPr="00E8636D">
        <w:rPr>
          <w:rFonts w:ascii="Verdana" w:hAnsi="Verdana" w:cs="Arial"/>
          <w:bCs/>
          <w:lang w:val="es-ES" w:eastAsia="es-CO"/>
        </w:rPr>
        <w:t xml:space="preserve">el parágrafo del artículo 38 de la Ley 996 de 2005 prohíbe a los alcaldes, gobernadores, secretarios, gerentes y directores de las entidades del orden municipal, departamental o distrital celebrar </w:t>
      </w:r>
      <w:r w:rsidRPr="00E8636D">
        <w:rPr>
          <w:rFonts w:ascii="Verdana" w:hAnsi="Verdana" w:cs="Arial"/>
          <w:bCs/>
          <w:i/>
          <w:iCs/>
          <w:lang w:val="es-ES" w:eastAsia="es-CO"/>
        </w:rPr>
        <w:t xml:space="preserve">convenios interadministrativos </w:t>
      </w:r>
      <w:r w:rsidRPr="00E8636D">
        <w:rPr>
          <w:rFonts w:ascii="Verdana" w:hAnsi="Verdana" w:cs="Arial"/>
          <w:bCs/>
          <w:lang w:val="es-ES" w:eastAsia="es-CO"/>
        </w:rPr>
        <w:t>para la ejecución de recursos públicos. En este sentido, si una o ambas partes de la relación contractual es una entidad de aquellas descritas en el parágrafo de dicho artículo, no podrá celebrar tales convenios durante la aplicación de la ley de garantías, toda vez que la citada disposición hace referencia a dicha tipología contractual sin que el legislador hubiere contemplado excepción alguna frente a la modalidad de selección o naturaleza de su objeto</w:t>
      </w:r>
      <w:r w:rsidRPr="00E8636D">
        <w:rPr>
          <w:rFonts w:ascii="Verdana" w:hAnsi="Verdana" w:cs="Arial"/>
          <w:vertAlign w:val="superscript"/>
          <w:lang w:val="es-ES"/>
        </w:rPr>
        <w:footnoteReference w:id="29"/>
      </w:r>
      <w:r w:rsidRPr="00E8636D">
        <w:rPr>
          <w:rFonts w:ascii="Verdana" w:hAnsi="Verdana" w:cs="Arial"/>
          <w:bCs/>
          <w:lang w:val="es-ES" w:eastAsia="es-CO"/>
        </w:rPr>
        <w:t xml:space="preserve">. </w:t>
      </w:r>
    </w:p>
    <w:p w14:paraId="36EFC95A" w14:textId="77777777" w:rsidR="00FF4E35" w:rsidRPr="002C402D" w:rsidRDefault="00FF4E35" w:rsidP="000B3A84">
      <w:pPr>
        <w:spacing w:after="0" w:line="276" w:lineRule="auto"/>
        <w:ind w:firstLine="708"/>
        <w:jc w:val="both"/>
        <w:rPr>
          <w:rFonts w:ascii="Verdana" w:hAnsi="Verdana" w:cs="Arial"/>
          <w:bCs/>
          <w:lang w:val="es-ES" w:eastAsia="es-CO"/>
        </w:rPr>
      </w:pPr>
    </w:p>
    <w:p w14:paraId="280C420F" w14:textId="411E87BA" w:rsidR="00FF4E35" w:rsidRPr="00E8636D" w:rsidRDefault="00FF4E35" w:rsidP="000B3A84">
      <w:pPr>
        <w:pStyle w:val="paragraph"/>
        <w:shd w:val="clear" w:color="auto" w:fill="FFFFFF"/>
        <w:spacing w:before="0" w:beforeAutospacing="0" w:after="120" w:afterAutospacing="0" w:line="276" w:lineRule="auto"/>
        <w:jc w:val="both"/>
        <w:textAlignment w:val="baseline"/>
        <w:rPr>
          <w:rFonts w:ascii="Verdana" w:eastAsia="Verdana" w:hAnsi="Verdana" w:cs="Verdana"/>
          <w:sz w:val="22"/>
          <w:szCs w:val="22"/>
          <w:lang w:val="es-ES"/>
        </w:rPr>
      </w:pPr>
      <w:r w:rsidRPr="00E8636D">
        <w:rPr>
          <w:rFonts w:ascii="Verdana" w:eastAsia="Verdana" w:hAnsi="Verdana" w:cs="Verdana"/>
          <w:sz w:val="22"/>
          <w:szCs w:val="22"/>
          <w:lang w:val="es-ES"/>
        </w:rPr>
        <w:t xml:space="preserve">vi) </w:t>
      </w:r>
      <w:r w:rsidR="008E6AC9">
        <w:rPr>
          <w:rFonts w:ascii="Verdana" w:eastAsia="Verdana" w:hAnsi="Verdana" w:cs="Verdana"/>
          <w:sz w:val="22"/>
          <w:szCs w:val="22"/>
          <w:lang w:val="es-ES"/>
        </w:rPr>
        <w:t>R</w:t>
      </w:r>
      <w:r w:rsidRPr="00E8636D">
        <w:rPr>
          <w:rFonts w:ascii="Verdana" w:eastAsia="Verdana" w:hAnsi="Verdana" w:cs="Verdana"/>
          <w:sz w:val="22"/>
          <w:szCs w:val="22"/>
          <w:lang w:val="es-ES"/>
        </w:rPr>
        <w:t>especto a</w:t>
      </w:r>
      <w:r w:rsidRPr="00E8636D">
        <w:rPr>
          <w:rFonts w:ascii="ArialMT" w:hAnsi="ArialMT"/>
          <w:lang w:val="es-ES"/>
        </w:rPr>
        <w:t xml:space="preserve"> l</w:t>
      </w:r>
      <w:r w:rsidRPr="00E8636D">
        <w:rPr>
          <w:rFonts w:ascii="Verdana" w:eastAsia="Verdana" w:hAnsi="Verdana" w:cs="Verdana"/>
          <w:sz w:val="22"/>
          <w:szCs w:val="22"/>
          <w:lang w:val="es-ES"/>
        </w:rPr>
        <w:t xml:space="preserve">a </w:t>
      </w:r>
      <w:r w:rsidR="008E6AC9" w:rsidRPr="00E8636D">
        <w:rPr>
          <w:rFonts w:ascii="Verdana" w:eastAsia="Verdana" w:hAnsi="Verdana" w:cs="Verdana"/>
          <w:sz w:val="22"/>
          <w:szCs w:val="22"/>
          <w:lang w:val="es-ES"/>
        </w:rPr>
        <w:t>adquisición</w:t>
      </w:r>
      <w:r w:rsidRPr="00E8636D">
        <w:rPr>
          <w:rFonts w:ascii="Verdana" w:eastAsia="Verdana" w:hAnsi="Verdana" w:cs="Verdana"/>
          <w:sz w:val="22"/>
          <w:szCs w:val="22"/>
          <w:lang w:val="es-ES"/>
        </w:rPr>
        <w:t xml:space="preserve"> predial que realicen las entidades </w:t>
      </w:r>
      <w:r>
        <w:rPr>
          <w:rFonts w:ascii="Verdana" w:eastAsia="Verdana" w:hAnsi="Verdana" w:cs="Verdana"/>
          <w:sz w:val="22"/>
          <w:szCs w:val="22"/>
          <w:lang w:val="es-ES"/>
        </w:rPr>
        <w:t xml:space="preserve">ya sea </w:t>
      </w:r>
      <w:r w:rsidRPr="00E8636D">
        <w:rPr>
          <w:rFonts w:ascii="Verdana" w:eastAsia="Verdana" w:hAnsi="Verdana" w:cs="Verdana"/>
          <w:sz w:val="22"/>
          <w:szCs w:val="22"/>
          <w:lang w:val="es-ES"/>
        </w:rPr>
        <w:t xml:space="preserve">mediante enajenación voluntaria o por expropiación por </w:t>
      </w:r>
      <w:proofErr w:type="spellStart"/>
      <w:r w:rsidRPr="00E8636D">
        <w:rPr>
          <w:rFonts w:ascii="Verdana" w:eastAsia="Verdana" w:hAnsi="Verdana" w:cs="Verdana"/>
          <w:sz w:val="22"/>
          <w:szCs w:val="22"/>
          <w:lang w:val="es-ES"/>
        </w:rPr>
        <w:t>vía</w:t>
      </w:r>
      <w:proofErr w:type="spellEnd"/>
      <w:r w:rsidRPr="00E8636D">
        <w:rPr>
          <w:rFonts w:ascii="Verdana" w:eastAsia="Verdana" w:hAnsi="Verdana" w:cs="Verdana"/>
          <w:sz w:val="22"/>
          <w:szCs w:val="22"/>
          <w:lang w:val="es-ES"/>
        </w:rPr>
        <w:t xml:space="preserve"> administrativa, es importante distinguir entre estas figuras. </w:t>
      </w:r>
      <w:bookmarkStart w:id="2" w:name="_Hlk79760203"/>
    </w:p>
    <w:p w14:paraId="794F1469" w14:textId="77777777" w:rsidR="00FF4E35" w:rsidRPr="00E8636D" w:rsidRDefault="00FF4E35" w:rsidP="00FF4E35">
      <w:pPr>
        <w:pStyle w:val="paragraph"/>
        <w:shd w:val="clear" w:color="auto" w:fill="FFFFFF"/>
        <w:spacing w:before="0" w:beforeAutospacing="0" w:after="120" w:afterAutospacing="0" w:line="276" w:lineRule="auto"/>
        <w:ind w:firstLine="708"/>
        <w:jc w:val="both"/>
        <w:textAlignment w:val="baseline"/>
        <w:rPr>
          <w:rFonts w:ascii="Verdana" w:eastAsia="Verdana" w:hAnsi="Verdana" w:cs="Verdana"/>
          <w:sz w:val="22"/>
          <w:szCs w:val="22"/>
          <w:lang w:val="es-ES"/>
        </w:rPr>
      </w:pPr>
      <w:r w:rsidRPr="00E8636D">
        <w:rPr>
          <w:rFonts w:ascii="Verdana" w:hAnsi="Verdana"/>
          <w:sz w:val="22"/>
          <w:szCs w:val="22"/>
          <w:lang w:val="es-ES"/>
        </w:rPr>
        <w:t>La expropiación es un procedimiento administrativo por medio del cual el Estado, por razones de utilidad pública o interés social, priva coactivamente de la titularidad de un bien a un particular, de acuerdo con un procedimiento específico, con intervención de la autoridad judicial –expropiación por vía judicial– o mediante la utilización de los poderes públicos propios del régimen administrativo –expropiación por vía administrativa–, y previo pago de una indemnización</w:t>
      </w:r>
      <w:r w:rsidRPr="00E8636D">
        <w:rPr>
          <w:rStyle w:val="Refdenotaalpie"/>
          <w:rFonts w:ascii="Verdana" w:hAnsi="Verdana"/>
          <w:sz w:val="22"/>
          <w:szCs w:val="22"/>
          <w:lang w:val="es-ES"/>
        </w:rPr>
        <w:footnoteReference w:id="30"/>
      </w:r>
      <w:r w:rsidRPr="00E8636D">
        <w:rPr>
          <w:rFonts w:ascii="Verdana" w:hAnsi="Verdana"/>
          <w:sz w:val="22"/>
          <w:szCs w:val="22"/>
          <w:lang w:val="es-ES"/>
        </w:rPr>
        <w:t>.</w:t>
      </w:r>
    </w:p>
    <w:p w14:paraId="69CEED9D" w14:textId="77777777" w:rsidR="00FF4E35" w:rsidRPr="00E8636D" w:rsidRDefault="00FF4E35" w:rsidP="00FF4E35">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El Legislador, por medio de la Ley 9 de 1989 reguló, entre otros aspectos, lo concerniente al procedimiento para la enajenación voluntaria y expropiación </w:t>
      </w:r>
      <w:r w:rsidRPr="00E8636D">
        <w:rPr>
          <w:rFonts w:ascii="Verdana" w:eastAsia="Times New Roman" w:hAnsi="Verdana" w:cs="Arial"/>
          <w:lang w:val="es-ES" w:eastAsia="es-ES_tradnl"/>
        </w:rPr>
        <w:lastRenderedPageBreak/>
        <w:t>de bienes inmuebles con el fin de desarrollar las actividades que la misma ley –artículo 10– declaró como de utilidad pública</w:t>
      </w:r>
      <w:r w:rsidRPr="00E8636D">
        <w:rPr>
          <w:rStyle w:val="Refdenotaalpie"/>
          <w:rFonts w:ascii="Verdana" w:eastAsia="Times New Roman" w:hAnsi="Verdana" w:cs="Arial"/>
          <w:lang w:val="es-ES" w:eastAsia="es-ES_tradnl"/>
        </w:rPr>
        <w:footnoteReference w:id="31"/>
      </w:r>
      <w:r w:rsidRPr="00E8636D">
        <w:rPr>
          <w:rFonts w:ascii="Verdana" w:eastAsia="Times New Roman" w:hAnsi="Verdana" w:cs="Arial"/>
          <w:lang w:val="es-ES" w:eastAsia="es-ES_tradnl"/>
        </w:rPr>
        <w:t>. Dicha ley fue modificada por la Ley 388 de 1997</w:t>
      </w:r>
      <w:r w:rsidRPr="00E8636D">
        <w:rPr>
          <w:rStyle w:val="Refdenotaalpie"/>
          <w:rFonts w:ascii="Verdana" w:eastAsia="Times New Roman" w:hAnsi="Verdana" w:cs="Arial"/>
          <w:lang w:val="es-ES" w:eastAsia="es-ES_tradnl"/>
        </w:rPr>
        <w:footnoteReference w:id="32"/>
      </w:r>
      <w:r w:rsidRPr="00E8636D">
        <w:rPr>
          <w:rFonts w:ascii="Verdana" w:eastAsia="Times New Roman" w:hAnsi="Verdana" w:cs="Arial"/>
          <w:lang w:val="es-ES" w:eastAsia="es-ES_tradnl"/>
        </w:rPr>
        <w:t xml:space="preserve"> que tuvo entre sus objetivos armonizar la legislación con las nuevas normas de la Constitución Política de 1991</w:t>
      </w:r>
      <w:r w:rsidRPr="00E8636D">
        <w:rPr>
          <w:rStyle w:val="Refdenotaalpie"/>
          <w:rFonts w:ascii="Verdana" w:eastAsia="Times New Roman" w:hAnsi="Verdana" w:cs="Arial"/>
          <w:lang w:val="es-ES" w:eastAsia="es-ES_tradnl"/>
        </w:rPr>
        <w:footnoteReference w:id="33"/>
      </w:r>
      <w:r w:rsidRPr="00E8636D">
        <w:rPr>
          <w:rFonts w:ascii="Verdana" w:eastAsia="Times New Roman" w:hAnsi="Verdana" w:cs="Arial"/>
          <w:lang w:val="es-ES" w:eastAsia="es-ES_tradnl"/>
        </w:rPr>
        <w:t>, y en sus artículos 58 y siguientes desarrolló lo relativo a la “adquisición de inmuebles por enajenación voluntaria y expropiación judicial”. Estas normas constituyen, principalmente, el régimen general de la expropiación por vía judicial y por vía administrativa, y regulan también aspectos de la enajenación voluntaria y de la negociación directa, de manera que “contienen las directrices que deben seguir las administraciones locales y los ciudadanos para cumplir con los fines sociales y de utilidad pública del ordenamiento urbano”</w:t>
      </w:r>
      <w:r w:rsidRPr="00E8636D">
        <w:rPr>
          <w:rStyle w:val="Refdenotaalpie"/>
          <w:rFonts w:ascii="Verdana" w:eastAsia="Times New Roman" w:hAnsi="Verdana" w:cs="Arial"/>
          <w:lang w:val="es-ES" w:eastAsia="es-ES_tradnl"/>
        </w:rPr>
        <w:footnoteReference w:id="34"/>
      </w:r>
      <w:r w:rsidRPr="00E8636D">
        <w:rPr>
          <w:rFonts w:ascii="Verdana" w:eastAsia="Times New Roman" w:hAnsi="Verdana" w:cs="Arial"/>
          <w:lang w:val="es-ES" w:eastAsia="es-ES_tradnl"/>
        </w:rPr>
        <w:t>.</w:t>
      </w:r>
    </w:p>
    <w:bookmarkEnd w:id="2"/>
    <w:p w14:paraId="427E8869" w14:textId="77777777" w:rsidR="00FF4E35" w:rsidRPr="00E8636D" w:rsidRDefault="00FF4E35" w:rsidP="00FF4E35">
      <w:pPr>
        <w:spacing w:after="120" w:line="276" w:lineRule="auto"/>
        <w:ind w:firstLine="708"/>
        <w:jc w:val="both"/>
        <w:rPr>
          <w:rFonts w:ascii="Verdana" w:hAnsi="Verdana" w:cs="Arial"/>
          <w:lang w:val="es-ES"/>
        </w:rPr>
      </w:pPr>
      <w:r w:rsidRPr="00E8636D">
        <w:rPr>
          <w:rFonts w:ascii="Verdana" w:hAnsi="Verdana" w:cs="Arial"/>
          <w:lang w:val="es-ES"/>
        </w:rPr>
        <w:t>El trámite de expropiación, como se dijo, puede realizarse por vía</w:t>
      </w:r>
      <w:bookmarkStart w:id="3" w:name="_Hlk78998965"/>
      <w:r w:rsidRPr="00E8636D">
        <w:rPr>
          <w:rFonts w:ascii="Verdana" w:hAnsi="Verdana" w:cs="Arial"/>
          <w:lang w:val="es-ES"/>
        </w:rPr>
        <w:t xml:space="preserve"> judicial o por vía administrativa. La jurisprudencia constitucional ha hecho énfasis</w:t>
      </w:r>
      <w:r w:rsidRPr="00E8636D">
        <w:rPr>
          <w:rFonts w:ascii="Verdana" w:hAnsi="Verdana" w:cs="Arial"/>
          <w:spacing w:val="19"/>
          <w:lang w:val="es-ES"/>
        </w:rPr>
        <w:t xml:space="preserve"> </w:t>
      </w:r>
      <w:r w:rsidRPr="00E8636D">
        <w:rPr>
          <w:rFonts w:ascii="Verdana" w:hAnsi="Verdana" w:cs="Arial"/>
          <w:lang w:val="es-ES"/>
        </w:rPr>
        <w:t>en que, sin importar la vía por la que se adelante la expropiación, este proceso debe ser garantista y respetar el debido proceso</w:t>
      </w:r>
      <w:r w:rsidRPr="00E8636D">
        <w:rPr>
          <w:rStyle w:val="Refdenotaalpie"/>
          <w:rFonts w:ascii="Verdana" w:hAnsi="Verdana" w:cs="Arial"/>
          <w:lang w:val="es-ES"/>
        </w:rPr>
        <w:footnoteReference w:id="35"/>
      </w:r>
      <w:r w:rsidRPr="00E8636D">
        <w:rPr>
          <w:rFonts w:ascii="Verdana" w:hAnsi="Verdana" w:cs="Arial"/>
          <w:lang w:val="es-ES"/>
        </w:rPr>
        <w:t xml:space="preserve">. De esta manera, la garantía del debido proceso en el marco de un proceso de expropiación implica el cumplimiento de una serie de etapas previas definidas por las leyes antes mencionadas, tales como: i) la oferta de compra, </w:t>
      </w:r>
      <w:proofErr w:type="spellStart"/>
      <w:r w:rsidRPr="00E8636D">
        <w:rPr>
          <w:rFonts w:ascii="Verdana" w:hAnsi="Verdana" w:cs="Arial"/>
          <w:lang w:val="es-ES"/>
        </w:rPr>
        <w:t>ii</w:t>
      </w:r>
      <w:proofErr w:type="spellEnd"/>
      <w:r w:rsidRPr="00E8636D">
        <w:rPr>
          <w:rFonts w:ascii="Verdana" w:hAnsi="Verdana" w:cs="Arial"/>
          <w:lang w:val="es-ES"/>
        </w:rPr>
        <w:t xml:space="preserve">) la negociación directa y </w:t>
      </w:r>
      <w:proofErr w:type="spellStart"/>
      <w:r w:rsidRPr="00E8636D">
        <w:rPr>
          <w:rFonts w:ascii="Verdana" w:hAnsi="Verdana" w:cs="Arial"/>
          <w:lang w:val="es-ES"/>
        </w:rPr>
        <w:t>iii</w:t>
      </w:r>
      <w:proofErr w:type="spellEnd"/>
      <w:r w:rsidRPr="00E8636D">
        <w:rPr>
          <w:rFonts w:ascii="Verdana" w:hAnsi="Verdana" w:cs="Arial"/>
          <w:lang w:val="es-ES"/>
        </w:rPr>
        <w:t>) el proceso expropiatorio.</w:t>
      </w:r>
    </w:p>
    <w:p w14:paraId="0B43FEF6" w14:textId="77777777" w:rsidR="00FF4E35" w:rsidRPr="00E8636D" w:rsidRDefault="00FF4E35" w:rsidP="00FF4E35">
      <w:pPr>
        <w:spacing w:after="120" w:line="276" w:lineRule="auto"/>
        <w:ind w:firstLine="708"/>
        <w:jc w:val="both"/>
        <w:rPr>
          <w:rFonts w:ascii="Verdana" w:hAnsi="Verdana" w:cs="Arial"/>
          <w:lang w:val="es-ES"/>
        </w:rPr>
      </w:pPr>
      <w:r w:rsidRPr="00E8636D">
        <w:rPr>
          <w:rFonts w:ascii="Verdana" w:hAnsi="Verdana" w:cs="Arial"/>
          <w:lang w:val="es-ES"/>
        </w:rPr>
        <w:t xml:space="preserve">La primera etapa, relativa a la oferta de compra, que aplica tanto en los procesos de expropiación judicial como administrativa, hace referencia a la </w:t>
      </w:r>
      <w:r w:rsidRPr="00E8636D">
        <w:rPr>
          <w:rFonts w:ascii="Verdana" w:hAnsi="Verdana" w:cs="Arial"/>
          <w:lang w:val="es-ES"/>
        </w:rPr>
        <w:lastRenderedPageBreak/>
        <w:t>oferta de compra que hace la autoridad al propietario del bien. La segunda etapa de negociación o de enajenación voluntaria es aquella en virtud de la cual el particular y la entidad llegan a un acuerdo a través de la celebración de un contrato de compraventa o de promesa de compraventa, pero si en esta etapa no se logra un acuerdo entre el propietario del bien y la Administración se debe adelantar el procedimiento expropiatorio. La tercera y última etapa es la expropiación, ya sea administrativa o judicial.</w:t>
      </w:r>
    </w:p>
    <w:bookmarkEnd w:id="3"/>
    <w:p w14:paraId="4A98DC8A" w14:textId="77777777" w:rsidR="00FF4E35" w:rsidRPr="00E8636D" w:rsidRDefault="00FF4E35" w:rsidP="00FF4E35">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Por consiguiente, el procedimiento para la adquisición de bienes inmuebles destinados a actividades de utilidad pública e interés social contempla que la entidad pública adquirente efectúe previamente el trámite de adquisición a través de la enajenación voluntaria y negociada con el propietario del inmueble, antes de acudir a los procedimientos especiales para la expropiación judicial o administrativa.</w:t>
      </w:r>
      <w:r w:rsidRPr="00E8636D">
        <w:rPr>
          <w:rFonts w:ascii="Verdana" w:hAnsi="Verdana"/>
          <w:lang w:val="es-ES"/>
        </w:rPr>
        <w:t xml:space="preserve"> </w:t>
      </w:r>
      <w:r w:rsidRPr="00E8636D">
        <w:rPr>
          <w:rFonts w:ascii="Verdana" w:eastAsia="Times New Roman" w:hAnsi="Verdana" w:cs="Arial"/>
          <w:lang w:val="es-ES" w:eastAsia="es-ES_tradnl"/>
        </w:rPr>
        <w:t>Así, en los casos de enajenación voluntaria y negociación directa, la adquisición se realiza como resultado de un negocio jurídico autónomo, en el que la obligación de pago se determinará de común acuerdo entre el Estado y el vendedor, pues, en tales eventos no se trata de una expropiación</w:t>
      </w:r>
      <w:r w:rsidRPr="00E8636D">
        <w:rPr>
          <w:rStyle w:val="Refdenotaalpie"/>
          <w:rFonts w:ascii="Verdana" w:eastAsia="Times New Roman" w:hAnsi="Verdana" w:cs="Arial"/>
          <w:lang w:val="es-ES" w:eastAsia="es-ES_tradnl"/>
        </w:rPr>
        <w:footnoteReference w:id="36"/>
      </w:r>
      <w:r w:rsidRPr="00E8636D">
        <w:rPr>
          <w:rFonts w:ascii="Verdana" w:eastAsia="Times New Roman" w:hAnsi="Verdana" w:cs="Arial"/>
          <w:lang w:val="es-ES" w:eastAsia="es-ES_tradnl"/>
        </w:rPr>
        <w:t>.</w:t>
      </w:r>
    </w:p>
    <w:p w14:paraId="6551644F" w14:textId="77777777" w:rsidR="00FF4E35" w:rsidRPr="00E8636D" w:rsidRDefault="00FF4E35" w:rsidP="00FF4E35">
      <w:pPr>
        <w:spacing w:after="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Una vez se ha efectuado la notificación del acto de oferta empieza a correr el término durante el cual se llevará a cabo la negociación con el propietario del inmueble. Si en este plazo se logra el acuerdo se celebrará un </w:t>
      </w:r>
      <w:r w:rsidRPr="00E8636D">
        <w:rPr>
          <w:rFonts w:ascii="Verdana" w:eastAsia="Times New Roman" w:hAnsi="Verdana" w:cs="Arial"/>
          <w:i/>
          <w:iCs/>
          <w:lang w:val="es-ES" w:eastAsia="es-ES_tradnl"/>
        </w:rPr>
        <w:t>contrato de compraventa</w:t>
      </w:r>
      <w:r w:rsidRPr="00E8636D">
        <w:rPr>
          <w:rFonts w:ascii="Verdana" w:eastAsia="Times New Roman" w:hAnsi="Verdana" w:cs="Arial"/>
          <w:lang w:val="es-ES" w:eastAsia="es-ES_tradnl"/>
        </w:rPr>
        <w:t xml:space="preserve"> o de promesa de compraventa</w:t>
      </w:r>
      <w:r w:rsidRPr="00E8636D">
        <w:rPr>
          <w:rStyle w:val="Refdenotaalpie"/>
          <w:rFonts w:ascii="Verdana" w:eastAsia="Times New Roman" w:hAnsi="Verdana" w:cs="Arial"/>
          <w:lang w:val="es-ES" w:eastAsia="es-ES_tradnl"/>
        </w:rPr>
        <w:footnoteReference w:id="37"/>
      </w:r>
      <w:r w:rsidRPr="00E8636D">
        <w:rPr>
          <w:rFonts w:ascii="Verdana" w:eastAsia="Times New Roman" w:hAnsi="Verdana" w:cs="Arial"/>
          <w:lang w:val="es-ES" w:eastAsia="es-ES_tradnl"/>
        </w:rPr>
        <w:t xml:space="preserve">. En caso contrario se deberá dar inicio al proceso de expropiación. Finalmente, en caso de acuerdo, realizada la entrega material del inmueble a favor de la entidad adquirente, el pago del precio se efectuará de conformidad con lo convenido dentro del respectivo contrato de compraventa. </w:t>
      </w:r>
    </w:p>
    <w:p w14:paraId="7E822428" w14:textId="77777777" w:rsidR="00FF4E35" w:rsidRPr="00E8636D" w:rsidRDefault="00FF4E35" w:rsidP="00FF4E35">
      <w:pPr>
        <w:spacing w:before="120" w:after="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En efecto, en los procesos de expropiación judicial o expropiación administrativa existe una etapa previa de negociación, en la cual la </w:t>
      </w:r>
      <w:r w:rsidRPr="00E8636D">
        <w:rPr>
          <w:rFonts w:ascii="Verdana" w:eastAsia="Times New Roman" w:hAnsi="Verdana" w:cs="Arial"/>
          <w:lang w:val="es-ES" w:eastAsia="es-ES_tradnl"/>
        </w:rPr>
        <w:lastRenderedPageBreak/>
        <w:t>administración intenta adquirir voluntariamente el bien, de suerte que se evite iniciar el proceso forzoso expropiatorio. Esta etapa comienza con una oferta de la entidad al particular para adquirir el bien por el precio base fijado con fundamento en un avalúo. Posteriormente, pasa a una etapa de negociación directa con el particular. En caso de que el proceso de negociación directa se concrete, culmina con la etapa de transferencia del bien y de pago del precio acordado. Pero, si el proceso de negociación se frustra, inicia la etapa expropiatoria, mediante los procesos judicial o administrativo, según el caso, hasta obtener el título traslaticio de dominio al Estado, la tradición del bien y realizar el pago de la indemnización al particular expropiado.</w:t>
      </w:r>
    </w:p>
    <w:p w14:paraId="61B1FD3A" w14:textId="77777777" w:rsidR="00FF4E35" w:rsidRPr="00E8636D" w:rsidRDefault="00FF4E35" w:rsidP="00FF4E35">
      <w:pPr>
        <w:tabs>
          <w:tab w:val="left" w:pos="709"/>
        </w:tabs>
        <w:spacing w:before="120" w:after="120" w:line="276" w:lineRule="auto"/>
        <w:ind w:firstLine="708"/>
        <w:jc w:val="both"/>
        <w:rPr>
          <w:rFonts w:ascii="Verdana" w:eastAsia="Times New Roman" w:hAnsi="Verdana" w:cs="Arial"/>
          <w:lang w:val="es-ES" w:eastAsia="es-ES_tradnl"/>
        </w:rPr>
      </w:pPr>
      <w:bookmarkStart w:id="4" w:name="_Hlk79760762"/>
      <w:r w:rsidRPr="00E8636D">
        <w:rPr>
          <w:rFonts w:ascii="Verdana" w:eastAsia="Times New Roman" w:hAnsi="Verdana" w:cs="Arial"/>
          <w:lang w:val="es-ES" w:eastAsia="es-ES_tradnl"/>
        </w:rPr>
        <w:t xml:space="preserve">Dado que el procedimiento establecido podría culminar con la celebración de </w:t>
      </w:r>
      <w:bookmarkStart w:id="5" w:name="_Hlk79003065"/>
      <w:r w:rsidRPr="00E8636D">
        <w:rPr>
          <w:rFonts w:ascii="Verdana" w:eastAsia="Times New Roman" w:hAnsi="Verdana" w:cs="Arial"/>
          <w:lang w:val="es-ES" w:eastAsia="es-ES_tradnl"/>
        </w:rPr>
        <w:t xml:space="preserve">una promesa de compraventa o en un contrato de compraventa, </w:t>
      </w:r>
      <w:bookmarkEnd w:id="5"/>
      <w:r w:rsidRPr="00E8636D">
        <w:rPr>
          <w:rFonts w:ascii="Verdana" w:eastAsia="Times New Roman" w:hAnsi="Verdana" w:cs="Arial"/>
          <w:lang w:val="es-ES" w:eastAsia="es-ES_tradnl"/>
        </w:rPr>
        <w:t xml:space="preserve">en el que participan entidades estatales y se invierten recursos de naturaleza pública, bien puede afirmarse que estos actos jurídicos negociales son auténticos contratos estatales, según el criterio orgánico establecido en el artículo 32 de la Ley 80 de 1993, en concordancia el artículo 2 </w:t>
      </w:r>
      <w:r w:rsidRPr="00E8636D">
        <w:rPr>
          <w:rFonts w:ascii="Verdana" w:eastAsia="Times New Roman" w:hAnsi="Verdana" w:cs="Arial"/>
          <w:i/>
          <w:iCs/>
          <w:lang w:val="es-ES" w:eastAsia="es-ES_tradnl"/>
        </w:rPr>
        <w:t>ibidem</w:t>
      </w:r>
      <w:r w:rsidRPr="00E8636D">
        <w:rPr>
          <w:rFonts w:ascii="Verdana" w:eastAsia="Times New Roman" w:hAnsi="Verdana" w:cs="Arial"/>
          <w:lang w:val="es-ES" w:eastAsia="es-ES_tradnl"/>
        </w:rPr>
        <w:t xml:space="preserve"> y en armonía con lo dispuesto por el artículo 1 de la Ley 1150 de 2007.</w:t>
      </w:r>
    </w:p>
    <w:p w14:paraId="044C8D17" w14:textId="77777777" w:rsidR="00FF4E35" w:rsidRPr="00E8636D" w:rsidRDefault="00FF4E35" w:rsidP="00FF4E35">
      <w:pPr>
        <w:pStyle w:val="paragraph"/>
        <w:shd w:val="clear" w:color="auto" w:fill="FFFFFF"/>
        <w:spacing w:before="0" w:beforeAutospacing="0" w:after="120" w:afterAutospacing="0" w:line="276" w:lineRule="auto"/>
        <w:ind w:firstLine="703"/>
        <w:jc w:val="both"/>
        <w:textAlignment w:val="baseline"/>
        <w:rPr>
          <w:rFonts w:ascii="Verdana" w:hAnsi="Verdana" w:cs="Arial"/>
          <w:sz w:val="22"/>
          <w:szCs w:val="22"/>
          <w:lang w:val="es-ES" w:eastAsia="es-ES_tradnl"/>
        </w:rPr>
      </w:pPr>
      <w:r w:rsidRPr="00E8636D">
        <w:rPr>
          <w:rFonts w:ascii="Verdana" w:hAnsi="Verdana" w:cs="Arial"/>
          <w:sz w:val="22"/>
          <w:szCs w:val="22"/>
          <w:lang w:val="es-ES" w:eastAsia="es-ES_tradnl"/>
        </w:rPr>
        <w:t>Sin embargo, el procedimiento de adquisición de bienes inmuebles establecido en el Estatuto General de Contratación de la Administración Pública no resulta aplicable. Tal y como ha sido aclarado por esta Agencia, el procedimiento para la adquisición de bienes inmuebles con fines de utilidad pública e interés social se encuentra excluido de la aplicación de tal estatuto, por cuanto es un procedimiento regulado en un régimen especial y exceptuado.</w:t>
      </w:r>
      <w:bookmarkEnd w:id="4"/>
      <w:r w:rsidRPr="00E8636D">
        <w:rPr>
          <w:rFonts w:ascii="Verdana" w:hAnsi="Verdana" w:cs="Arial"/>
          <w:sz w:val="22"/>
          <w:szCs w:val="22"/>
          <w:lang w:val="es-ES" w:eastAsia="es-ES_tradnl"/>
        </w:rPr>
        <w:t xml:space="preserve"> Al respecto, se reitera lo señalado por esta Agencia mediante Concepto C-159 de 2020, en los siguientes términos:</w:t>
      </w:r>
    </w:p>
    <w:p w14:paraId="07CD57DE" w14:textId="77777777" w:rsidR="00FF4E35" w:rsidRPr="00E8636D" w:rsidRDefault="00FF4E35" w:rsidP="00FF4E35">
      <w:pPr>
        <w:spacing w:after="0" w:line="240" w:lineRule="auto"/>
        <w:ind w:left="708" w:right="709"/>
        <w:jc w:val="both"/>
        <w:rPr>
          <w:rFonts w:ascii="Verdana" w:eastAsia="Times New Roman" w:hAnsi="Verdana" w:cs="Arial"/>
          <w:sz w:val="20"/>
          <w:szCs w:val="20"/>
          <w:lang w:val="es-ES" w:eastAsia="es-ES_tradnl"/>
        </w:rPr>
      </w:pPr>
      <w:r w:rsidRPr="00E8636D">
        <w:rPr>
          <w:rFonts w:ascii="Verdana" w:eastAsia="Calibri" w:hAnsi="Verdana" w:cs="Arial"/>
          <w:color w:val="000000" w:themeColor="text1"/>
          <w:sz w:val="20"/>
          <w:szCs w:val="20"/>
          <w:lang w:val="es-ES"/>
        </w:rPr>
        <w:t xml:space="preserve">“Al observar lo anterior y contrastarlo con la normativa de contratación pública, esta entidad concluyó que, a pesar de que la Ley 80 de 1993 regula los contratos de las entidades, la excepción a esta regla debe tener origen constitucional o legal, y por ello, en virtud de la especialidad del procedimiento, el trámite de enajenación voluntaria directa, al que se refiere la Ley 9 de 1989, modificada por la Ley 388 de 1997, no hace parte de la normativa de contratación pública, toda vez que si bien dicho trámite implica la celebración de un contrato de compraventa, ese contrato tiene origen o razón de ser en la declaración previa de los bienes de «utilidad </w:t>
      </w:r>
      <w:r w:rsidRPr="00E8636D">
        <w:rPr>
          <w:rFonts w:ascii="Verdana" w:eastAsia="Calibri" w:hAnsi="Verdana" w:cs="Arial"/>
          <w:color w:val="000000" w:themeColor="text1"/>
          <w:sz w:val="20"/>
          <w:szCs w:val="20"/>
          <w:lang w:val="es-ES"/>
        </w:rPr>
        <w:lastRenderedPageBreak/>
        <w:t>pública o interés social» en los términos del artículo 58 de la Ley 388 de 1997”</w:t>
      </w:r>
      <w:r w:rsidRPr="00E8636D">
        <w:rPr>
          <w:rStyle w:val="Refdenotaalpie"/>
          <w:rFonts w:ascii="Verdana" w:eastAsia="Calibri" w:hAnsi="Verdana" w:cs="Arial"/>
          <w:color w:val="000000" w:themeColor="text1"/>
          <w:sz w:val="20"/>
          <w:szCs w:val="20"/>
          <w:lang w:val="es-ES"/>
        </w:rPr>
        <w:footnoteReference w:id="38"/>
      </w:r>
      <w:r w:rsidRPr="00E8636D">
        <w:rPr>
          <w:rFonts w:ascii="Verdana" w:eastAsia="Calibri" w:hAnsi="Verdana" w:cs="Arial"/>
          <w:color w:val="000000" w:themeColor="text1"/>
          <w:sz w:val="20"/>
          <w:szCs w:val="20"/>
          <w:lang w:val="es-ES"/>
        </w:rPr>
        <w:t>.</w:t>
      </w:r>
    </w:p>
    <w:p w14:paraId="6BB08F13" w14:textId="77777777" w:rsidR="00FF4E35" w:rsidRPr="00E8636D" w:rsidRDefault="00FF4E35" w:rsidP="00FF4E35">
      <w:pPr>
        <w:spacing w:after="0" w:line="240" w:lineRule="auto"/>
        <w:jc w:val="both"/>
        <w:rPr>
          <w:rFonts w:ascii="Verdana" w:eastAsia="Times New Roman" w:hAnsi="Verdana" w:cs="Arial"/>
          <w:sz w:val="20"/>
          <w:szCs w:val="20"/>
          <w:lang w:val="es-ES" w:eastAsia="es-ES_tradnl"/>
        </w:rPr>
      </w:pPr>
    </w:p>
    <w:p w14:paraId="6F6DCB47" w14:textId="77777777" w:rsidR="00FF4E35" w:rsidRPr="00E8636D" w:rsidRDefault="00FF4E35" w:rsidP="00FF4E35">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En efecto, pese a que existe un régimen normativo aplicable de manera general a la contratación del Estado, el legislador ha establecido regímenes especiales para algunas entidades estatales en consideración a su actividad o para algunos contratos estatales </w:t>
      </w:r>
      <w:proofErr w:type="gramStart"/>
      <w:r w:rsidRPr="00E8636D">
        <w:rPr>
          <w:rFonts w:ascii="Verdana" w:eastAsia="Times New Roman" w:hAnsi="Verdana" w:cs="Arial"/>
          <w:lang w:val="es-ES" w:eastAsia="es-ES_tradnl"/>
        </w:rPr>
        <w:t>en razón de</w:t>
      </w:r>
      <w:proofErr w:type="gramEnd"/>
      <w:r w:rsidRPr="00E8636D">
        <w:rPr>
          <w:rFonts w:ascii="Verdana" w:eastAsia="Times New Roman" w:hAnsi="Verdana" w:cs="Arial"/>
          <w:lang w:val="es-ES" w:eastAsia="es-ES_tradnl"/>
        </w:rPr>
        <w:t xml:space="preserve"> su objeto, que contienen una serie de normas distintas o específicas que se aplican a la actividad contractual de tales entidades o en la celebración de dichos contratos, o simplemente remiten al Derecho privado. Por ende, no resultan aplicables aquellas materias reguladas por el citado Estatuto y las normas que lo modifiquen o adicionen, como por ejemplo los mecanismos de selección, las cláusulas excepcionales, la liquidación del contrato, entre otros, salvo que el régimen especial así lo autorice. </w:t>
      </w:r>
    </w:p>
    <w:p w14:paraId="621C5AE7" w14:textId="77777777" w:rsidR="00FF4E35" w:rsidRPr="00E8636D" w:rsidRDefault="00FF4E35" w:rsidP="00FF4E35">
      <w:pPr>
        <w:spacing w:after="120" w:line="276" w:lineRule="auto"/>
        <w:ind w:firstLine="708"/>
        <w:jc w:val="both"/>
        <w:rPr>
          <w:rFonts w:ascii="Verdana" w:eastAsia="Times New Roman" w:hAnsi="Verdana" w:cs="Arial"/>
          <w:lang w:val="es-ES" w:eastAsia="es-ES_tradnl"/>
        </w:rPr>
      </w:pPr>
      <w:r w:rsidRPr="00E8636D">
        <w:rPr>
          <w:rFonts w:ascii="Verdana" w:eastAsia="Times New Roman" w:hAnsi="Verdana" w:cs="Arial"/>
          <w:lang w:val="es-ES" w:eastAsia="es-ES_tradnl"/>
        </w:rPr>
        <w:t xml:space="preserve">Sin embargo, no debe pasarse por alto que, al margen de su especialidad, el procedimiento administrativo </w:t>
      </w:r>
      <w:bookmarkStart w:id="6" w:name="_Hlk79133236"/>
      <w:r w:rsidRPr="00E8636D">
        <w:rPr>
          <w:rFonts w:ascii="Verdana" w:eastAsia="Times New Roman" w:hAnsi="Verdana" w:cs="Arial"/>
          <w:lang w:val="es-ES" w:eastAsia="es-ES_tradnl"/>
        </w:rPr>
        <w:t xml:space="preserve">para la adquisición de inmuebles por utilidad pública e interés social mediante enajenación voluntaria, </w:t>
      </w:r>
      <w:bookmarkEnd w:id="6"/>
      <w:r w:rsidRPr="00E8636D">
        <w:rPr>
          <w:rFonts w:ascii="Verdana" w:eastAsia="Times New Roman" w:hAnsi="Verdana" w:cs="Arial"/>
          <w:lang w:val="es-ES" w:eastAsia="es-ES_tradnl"/>
        </w:rPr>
        <w:t>implica el ejercicio de funciones administrativas, lo que, por ende, conlleva la aplicación de los principios de igualdad, moralidad, eficacia, economía, celeridad, imparcialidad y publicidad contenidos en el artículo 209 de la Constitución, varios de los cuales encuentran manifestaciones prácticas y concretas dentro de la regulación de las leyes 9 de 1989, 388 de 1997 y 1682 de 2013.</w:t>
      </w:r>
      <w:bookmarkStart w:id="7" w:name="_Hlk79760844"/>
      <w:r w:rsidRPr="00E8636D">
        <w:rPr>
          <w:rFonts w:ascii="Verdana" w:eastAsia="Times New Roman" w:hAnsi="Verdana" w:cs="Arial"/>
          <w:lang w:val="es-ES" w:eastAsia="es-ES_tradnl"/>
        </w:rPr>
        <w:t xml:space="preserve"> Toda vez que a través de la adquisición de bienes inmuebles mediante enajenación directa se comprometen dineros provenientes del erario, resultan también aplicables los principios propios del Estado Social de Derecho y de la Administración pública como los principios de transparencia, publicidad entre otros.</w:t>
      </w:r>
    </w:p>
    <w:p w14:paraId="74D83059" w14:textId="77777777" w:rsidR="00FF4E35" w:rsidRPr="00E8636D" w:rsidRDefault="00FF4E35" w:rsidP="00FF4E35">
      <w:pPr>
        <w:tabs>
          <w:tab w:val="left" w:pos="426"/>
        </w:tabs>
        <w:spacing w:after="0" w:line="276" w:lineRule="auto"/>
        <w:jc w:val="both"/>
        <w:rPr>
          <w:rFonts w:ascii="Verdana" w:eastAsia="Times New Roman" w:hAnsi="Verdana" w:cs="Arial"/>
          <w:lang w:val="es-ES" w:eastAsia="es-ES_tradnl"/>
        </w:rPr>
      </w:pPr>
      <w:r w:rsidRPr="00E8636D">
        <w:rPr>
          <w:rFonts w:ascii="Verdana" w:eastAsia="Times New Roman" w:hAnsi="Verdana" w:cs="Arial"/>
          <w:lang w:val="es-ES" w:eastAsia="es-ES_tradnl"/>
        </w:rPr>
        <w:tab/>
      </w:r>
      <w:r w:rsidRPr="00E8636D">
        <w:rPr>
          <w:rFonts w:ascii="Verdana" w:eastAsia="Times New Roman" w:hAnsi="Verdana" w:cs="Arial"/>
          <w:lang w:val="es-ES" w:eastAsia="es-ES_tradnl"/>
        </w:rPr>
        <w:tab/>
        <w:t>En virtud de lo expuesto, la adquisición de los predios considerados áreas de interés para los acueductos departamentales, municipales y distritales que se realice por enajenación voluntaria estará sometida a un régimen especial de contratación. Sin embargo, como se explicó antes, esta culmina con la suscripción de un contrato de compraventa entre la entidad y la persona, con lo cual se trata de un procedimiento de contratación estatal no competitivo que se encuentra restringido por la prohibición establecida en el artículo 33 de la Ley 996 de 2005</w:t>
      </w:r>
      <w:bookmarkEnd w:id="7"/>
      <w:r w:rsidRPr="00E8636D">
        <w:rPr>
          <w:rFonts w:ascii="Verdana" w:eastAsia="Times New Roman" w:hAnsi="Verdana" w:cs="Arial"/>
          <w:lang w:val="es-ES" w:eastAsia="es-ES_tradnl"/>
        </w:rPr>
        <w:t xml:space="preserve">. En contraste, cuando la adquisición ocurra por el procedimiento </w:t>
      </w:r>
      <w:r w:rsidRPr="00E8636D">
        <w:rPr>
          <w:rFonts w:ascii="Verdana" w:eastAsia="Times New Roman" w:hAnsi="Verdana" w:cs="Arial"/>
          <w:lang w:val="es-ES" w:eastAsia="es-ES_tradnl"/>
        </w:rPr>
        <w:lastRenderedPageBreak/>
        <w:t xml:space="preserve">expropiatorio no se materializa en la celebración de un contrato. En consecuencia, en este supuesto no se configuran las prohibiciones a la contratación establecidas en los artículos 33 y 38 de la Ley de Garantías Electorales. </w:t>
      </w:r>
    </w:p>
    <w:p w14:paraId="24C3BDC5" w14:textId="77777777" w:rsidR="00FF4E35" w:rsidRPr="00E8636D" w:rsidRDefault="00FF4E35" w:rsidP="00FF4E35">
      <w:pPr>
        <w:tabs>
          <w:tab w:val="left" w:pos="426"/>
        </w:tabs>
        <w:spacing w:after="0" w:line="276" w:lineRule="auto"/>
        <w:jc w:val="both"/>
        <w:rPr>
          <w:rFonts w:ascii="Verdana" w:eastAsia="Times New Roman" w:hAnsi="Verdana" w:cs="Arial"/>
          <w:lang w:val="es-ES" w:eastAsia="es-ES_tradnl"/>
        </w:rPr>
      </w:pPr>
    </w:p>
    <w:p w14:paraId="0453F6BA" w14:textId="77777777" w:rsidR="00FF4E35" w:rsidRPr="00E8636D" w:rsidRDefault="00FF4E35" w:rsidP="00FF4E35">
      <w:pPr>
        <w:spacing w:after="120" w:line="276" w:lineRule="auto"/>
        <w:jc w:val="both"/>
        <w:rPr>
          <w:rFonts w:ascii="Verdana" w:eastAsia="Arial" w:hAnsi="Verdana" w:cs="Arial"/>
          <w:bCs/>
          <w:color w:val="000000" w:themeColor="text1"/>
          <w:lang w:val="es-ES"/>
        </w:rPr>
      </w:pPr>
      <w:proofErr w:type="spellStart"/>
      <w:r w:rsidRPr="00E8636D">
        <w:rPr>
          <w:rFonts w:ascii="Verdana" w:eastAsia="Arial" w:hAnsi="Verdana" w:cs="Arial"/>
          <w:bCs/>
          <w:color w:val="000000" w:themeColor="text1"/>
          <w:lang w:val="es-ES"/>
        </w:rPr>
        <w:t>vii</w:t>
      </w:r>
      <w:proofErr w:type="spellEnd"/>
      <w:r w:rsidRPr="00E8636D">
        <w:rPr>
          <w:rFonts w:ascii="Verdana" w:eastAsia="Arial" w:hAnsi="Verdana" w:cs="Arial"/>
          <w:bCs/>
          <w:color w:val="000000" w:themeColor="text1"/>
          <w:lang w:val="es-ES"/>
        </w:rPr>
        <w:t xml:space="preserve">) Conforme con lo expuesto, las entidades que requieran adelantar procesos de contratación directa durante el periodo de garantías electorales deberán analizar, primero, si se configuran los supuestos establecidos en </w:t>
      </w:r>
      <w:r w:rsidRPr="00E8636D">
        <w:rPr>
          <w:rFonts w:ascii="Verdana" w:eastAsia="Arial" w:hAnsi="Verdana" w:cs="Arial"/>
          <w:bCs/>
          <w:i/>
          <w:iCs/>
          <w:color w:val="000000" w:themeColor="text1"/>
          <w:lang w:val="es-ES"/>
        </w:rPr>
        <w:t>el artículo 33</w:t>
      </w:r>
      <w:r w:rsidRPr="00E8636D">
        <w:rPr>
          <w:rFonts w:ascii="Verdana" w:eastAsia="Arial" w:hAnsi="Verdana" w:cs="Arial"/>
          <w:bCs/>
          <w:color w:val="000000" w:themeColor="text1"/>
          <w:lang w:val="es-ES"/>
        </w:rPr>
        <w:t xml:space="preserve"> de la Ley 996 de 2005, es decir, si se trata de cualquier entidad pública que pretenda adelantar un proceso no competitivo. Adicionalmente, será pertinente analizar si se configura alguna de las excepciones previstas en la norma. En este caso, será relevante determinar, por ejemplo, si se trata de contratos celebrados para la atención de desastres. De configurarse alguno de los supuestos señalados en el artículo 33 como excepción, la entidad podrá llevar a cabo la contratación directa, a pesar de que haya iniciado el periodo de garantías electorales correspondiente a esta prohibición.</w:t>
      </w:r>
    </w:p>
    <w:p w14:paraId="242CEDFA" w14:textId="77777777" w:rsidR="00FF4E35" w:rsidRPr="00E8636D" w:rsidRDefault="00FF4E35" w:rsidP="00FF4E35">
      <w:pPr>
        <w:spacing w:before="120" w:after="120" w:line="276" w:lineRule="auto"/>
        <w:jc w:val="both"/>
        <w:rPr>
          <w:rFonts w:ascii="Verdana" w:eastAsia="Arial" w:hAnsi="Verdana" w:cs="Arial"/>
          <w:bCs/>
          <w:color w:val="000000" w:themeColor="text1"/>
          <w:lang w:val="es-ES"/>
        </w:rPr>
      </w:pPr>
      <w:r w:rsidRPr="00E8636D">
        <w:rPr>
          <w:rFonts w:ascii="Verdana" w:eastAsia="Arial" w:hAnsi="Verdana" w:cs="Arial"/>
          <w:bCs/>
          <w:color w:val="000000" w:themeColor="text1"/>
          <w:lang w:val="es-ES"/>
        </w:rPr>
        <w:tab/>
        <w:t xml:space="preserve">Con respecto al </w:t>
      </w:r>
      <w:r w:rsidRPr="00E8636D">
        <w:rPr>
          <w:rFonts w:ascii="Verdana" w:eastAsia="Arial" w:hAnsi="Verdana" w:cs="Arial"/>
          <w:bCs/>
          <w:i/>
          <w:iCs/>
          <w:color w:val="000000" w:themeColor="text1"/>
          <w:lang w:val="es-ES"/>
        </w:rPr>
        <w:t>parágrafo del artículo 38</w:t>
      </w:r>
      <w:r w:rsidRPr="00E8636D">
        <w:rPr>
          <w:rFonts w:ascii="Verdana" w:eastAsia="Arial" w:hAnsi="Verdana" w:cs="Arial"/>
          <w:bCs/>
          <w:color w:val="000000" w:themeColor="text1"/>
          <w:lang w:val="es-ES"/>
        </w:rPr>
        <w:t xml:space="preserve">, es necesario verificar si los </w:t>
      </w:r>
      <w:proofErr w:type="gramStart"/>
      <w:r w:rsidRPr="00E8636D">
        <w:rPr>
          <w:rFonts w:ascii="Verdana" w:eastAsia="Arial" w:hAnsi="Verdana" w:cs="Arial"/>
          <w:bCs/>
          <w:color w:val="000000" w:themeColor="text1"/>
          <w:lang w:val="es-ES"/>
        </w:rPr>
        <w:t>Alcaldes</w:t>
      </w:r>
      <w:proofErr w:type="gramEnd"/>
      <w:r w:rsidRPr="00E8636D">
        <w:rPr>
          <w:rFonts w:ascii="Verdana" w:eastAsia="Arial" w:hAnsi="Verdana" w:cs="Arial"/>
          <w:bCs/>
          <w:color w:val="000000" w:themeColor="text1"/>
          <w:lang w:val="es-ES"/>
        </w:rPr>
        <w:t xml:space="preserve">, Gobernadores, </w:t>
      </w:r>
      <w:proofErr w:type="gramStart"/>
      <w:r w:rsidRPr="00E8636D">
        <w:rPr>
          <w:rFonts w:ascii="Verdana" w:eastAsia="Arial" w:hAnsi="Verdana" w:cs="Arial"/>
          <w:bCs/>
          <w:color w:val="000000" w:themeColor="text1"/>
          <w:lang w:val="es-ES"/>
        </w:rPr>
        <w:t>Secretarios</w:t>
      </w:r>
      <w:proofErr w:type="gramEnd"/>
      <w:r w:rsidRPr="00E8636D">
        <w:rPr>
          <w:rFonts w:ascii="Verdana" w:eastAsia="Arial" w:hAnsi="Verdana" w:cs="Arial"/>
          <w:bCs/>
          <w:color w:val="000000" w:themeColor="text1"/>
          <w:lang w:val="es-ES"/>
        </w:rPr>
        <w:t xml:space="preserve">, Gerentes y </w:t>
      </w:r>
      <w:proofErr w:type="gramStart"/>
      <w:r w:rsidRPr="00E8636D">
        <w:rPr>
          <w:rFonts w:ascii="Verdana" w:eastAsia="Arial" w:hAnsi="Verdana" w:cs="Arial"/>
          <w:bCs/>
          <w:color w:val="000000" w:themeColor="text1"/>
          <w:lang w:val="es-ES"/>
        </w:rPr>
        <w:t>Directores</w:t>
      </w:r>
      <w:proofErr w:type="gramEnd"/>
      <w:r w:rsidRPr="00E8636D">
        <w:rPr>
          <w:rFonts w:ascii="Verdana" w:eastAsia="Arial" w:hAnsi="Verdana" w:cs="Arial"/>
          <w:bCs/>
          <w:color w:val="000000" w:themeColor="text1"/>
          <w:lang w:val="es-ES"/>
        </w:rPr>
        <w:t xml:space="preserve"> pretenden adelantar un convenio interadministrativo para la ejecución de recursos públicos. Cuando este sea el caso, operará la restricción señalada en el parágrafo y estará prohibido llevar a cabo la contratación en los cuatro meses anteriores a cualquier contienda electoral. Es importante resaltar que para esta prohibición la norma no contempló ninguna excepción. </w:t>
      </w:r>
    </w:p>
    <w:p w14:paraId="6AB25055" w14:textId="77777777" w:rsidR="00FF4E35" w:rsidRPr="00E8636D" w:rsidRDefault="00FF4E35" w:rsidP="00FF4E35">
      <w:pPr>
        <w:shd w:val="clear" w:color="auto" w:fill="FFFFFF"/>
        <w:spacing w:after="120" w:line="276" w:lineRule="auto"/>
        <w:ind w:firstLine="708"/>
        <w:jc w:val="both"/>
        <w:rPr>
          <w:rFonts w:ascii="Verdana" w:eastAsia="Calibri" w:hAnsi="Verdana" w:cs="Arial"/>
          <w:lang w:val="es-ES"/>
        </w:rPr>
      </w:pPr>
      <w:r w:rsidRPr="00E8636D">
        <w:rPr>
          <w:rFonts w:ascii="Verdana" w:eastAsia="Calibri" w:hAnsi="Verdana" w:cs="Arial"/>
          <w:lang w:val="es-ES"/>
        </w:rPr>
        <w:t>En suma, corresponderá a cada entidad estatal, determinar la procedencia de celebrar un contrato estatal específico, para lo cual deberán tener en cuenta las prohibiciones establecidas en materia contractual en la Ley de Garantías Electorales de acuerdo con lo explicado en las consideraciones de este concepto.</w:t>
      </w:r>
    </w:p>
    <w:p w14:paraId="55C0B5C7" w14:textId="77777777" w:rsidR="00FF4E35" w:rsidRPr="00E8636D" w:rsidRDefault="00FF4E35" w:rsidP="00FF4E35">
      <w:pPr>
        <w:shd w:val="clear" w:color="auto" w:fill="FFFFFF"/>
        <w:spacing w:after="120" w:line="276" w:lineRule="auto"/>
        <w:ind w:firstLine="708"/>
        <w:jc w:val="both"/>
        <w:rPr>
          <w:rFonts w:ascii="Verdana" w:eastAsia="Calibri" w:hAnsi="Verdana" w:cs="Arial"/>
          <w:lang w:val="es-ES"/>
        </w:rPr>
      </w:pPr>
      <w:r w:rsidRPr="00E8636D">
        <w:rPr>
          <w:rFonts w:ascii="Verdana" w:eastAsia="Calibri" w:hAnsi="Verdana" w:cs="Arial"/>
          <w:lang w:val="es-ES"/>
        </w:rPr>
        <w:t>En particular, corresponde a cada Entidad Estatal determinar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justificando las razones que avalan su procedencia</w:t>
      </w:r>
      <w:r w:rsidRPr="00E8636D">
        <w:rPr>
          <w:rFonts w:ascii="Verdana" w:hAnsi="Verdana" w:cs="Arial"/>
          <w:lang w:val="es-ES" w:eastAsia="es-CO"/>
        </w:rPr>
        <w:t xml:space="preserve">. Por el contrario, si el estudio determina que no aplica excepción alguna, estará vedada la celebración de contratos de manera directa. Lo </w:t>
      </w:r>
      <w:r w:rsidRPr="00E8636D">
        <w:rPr>
          <w:rFonts w:ascii="Verdana" w:hAnsi="Verdana" w:cs="Arial"/>
          <w:lang w:val="es-ES" w:eastAsia="es-CO"/>
        </w:rPr>
        <w:lastRenderedPageBreak/>
        <w:t>anterior, sin perjuicio de la prohibición establecida en el parágrafo del artículo 38 de la Ley de Garantías Electorales. En cualquier caso, las entidades podrán considerar la posibilidad de adelantar modalidades distintas a la contratación directa o tipologías distintas a la contratación interadministrativa, es decir, aquellas que no se encuentren restringidas por el artículo 33 o el parágrafo del artículo 38 de la Ley 996 de 2005.</w:t>
      </w:r>
    </w:p>
    <w:p w14:paraId="5D0A7885" w14:textId="77777777" w:rsidR="00FF4E35" w:rsidRPr="00E8636D" w:rsidRDefault="00FF4E35" w:rsidP="000B3A84">
      <w:pPr>
        <w:spacing w:after="0" w:line="276" w:lineRule="auto"/>
        <w:ind w:firstLine="708"/>
        <w:jc w:val="both"/>
        <w:rPr>
          <w:rFonts w:ascii="Verdana" w:eastAsia="Times New Roman" w:hAnsi="Verdana" w:cs="Arial"/>
          <w:bCs/>
          <w:lang w:val="es-ES" w:eastAsia="es-CO"/>
        </w:rPr>
      </w:pPr>
      <w:r w:rsidRPr="00E8636D">
        <w:rPr>
          <w:rFonts w:ascii="Verdana" w:eastAsia="Arial" w:hAnsi="Verdana" w:cs="Arial"/>
          <w:color w:val="000000" w:themeColor="text1"/>
          <w:lang w:val="es-ES"/>
        </w:rPr>
        <w:t xml:space="preserve">Finalmente, es importante advertir que </w:t>
      </w:r>
      <w:r w:rsidRPr="00E8636D">
        <w:rPr>
          <w:rFonts w:ascii="Verdana" w:eastAsia="Times New Roman" w:hAnsi="Verdana" w:cs="Arial"/>
          <w:lang w:val="es-ES"/>
        </w:rPr>
        <w:t xml:space="preserve">compete a cada Entidad Estatal que considera celebrar un contrato específico definir si este se enmarca en alguna de las prohibiciones de la Ley de Garantías Electorales. </w:t>
      </w:r>
      <w:r w:rsidRPr="00E8636D">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75BE6F5D" w14:textId="77777777" w:rsidR="00FF4E35" w:rsidRPr="00E8636D" w:rsidRDefault="00FF4E35" w:rsidP="00FF4E35">
      <w:pPr>
        <w:spacing w:after="0" w:line="276" w:lineRule="auto"/>
        <w:ind w:firstLine="708"/>
        <w:jc w:val="both"/>
        <w:rPr>
          <w:rFonts w:ascii="Verdana" w:eastAsia="Calibri" w:hAnsi="Verdana" w:cs="Arial"/>
          <w:lang w:val="es-ES"/>
        </w:rPr>
      </w:pPr>
    </w:p>
    <w:p w14:paraId="25C335F4" w14:textId="77777777" w:rsidR="00FF4E35" w:rsidRPr="00E8636D" w:rsidRDefault="00FF4E35" w:rsidP="00FF4E35">
      <w:pPr>
        <w:tabs>
          <w:tab w:val="left" w:pos="142"/>
          <w:tab w:val="left" w:pos="284"/>
        </w:tabs>
        <w:spacing w:after="0" w:line="276" w:lineRule="auto"/>
        <w:jc w:val="both"/>
        <w:rPr>
          <w:rFonts w:ascii="Verdana" w:eastAsia="Century Gothic" w:hAnsi="Verdana" w:cs="Century Gothic"/>
          <w:b/>
          <w:color w:val="000000" w:themeColor="text1"/>
          <w:lang w:val="es-ES"/>
        </w:rPr>
      </w:pPr>
      <w:r w:rsidRPr="00E8636D">
        <w:rPr>
          <w:rFonts w:ascii="Verdana" w:eastAsia="Century Gothic" w:hAnsi="Verdana" w:cs="Century Gothic"/>
          <w:b/>
          <w:color w:val="000000" w:themeColor="text1"/>
          <w:lang w:val="es-ES"/>
        </w:rPr>
        <w:t>4.Referencias normativas, jurisprudenciales y otras fuentes:</w:t>
      </w:r>
    </w:p>
    <w:p w14:paraId="4CF98C29" w14:textId="77777777" w:rsidR="00FF4E35" w:rsidRPr="00E8636D" w:rsidRDefault="00FF4E35" w:rsidP="00FF4E35">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F4E35" w:rsidRPr="00E8636D" w14:paraId="073E4B64" w14:textId="77777777" w:rsidTr="00054434">
        <w:trPr>
          <w:trHeight w:val="870"/>
        </w:trPr>
        <w:tc>
          <w:tcPr>
            <w:tcW w:w="8647" w:type="dxa"/>
          </w:tcPr>
          <w:p w14:paraId="1C82D56B" w14:textId="70B4FE5B"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Constitución Política</w:t>
            </w:r>
            <w:r w:rsidR="008E6AC9">
              <w:rPr>
                <w:rFonts w:ascii="Verdana" w:eastAsia="Arial MT" w:hAnsi="Verdana" w:cs="Arial"/>
                <w:lang w:val="es-ES" w:eastAsia="es-ES" w:bidi="es-ES"/>
              </w:rPr>
              <w:t>:</w:t>
            </w:r>
            <w:r w:rsidRPr="00E8636D">
              <w:rPr>
                <w:rFonts w:ascii="Verdana" w:eastAsia="Arial MT" w:hAnsi="Verdana" w:cs="Arial"/>
                <w:lang w:val="es-ES" w:eastAsia="es-ES" w:bidi="es-ES"/>
              </w:rPr>
              <w:t xml:space="preserve"> artículo 127.</w:t>
            </w:r>
          </w:p>
          <w:p w14:paraId="1CCBB840" w14:textId="0A0DFE61" w:rsidR="00FF4E35" w:rsidRPr="00FE6859" w:rsidRDefault="00FF4E35" w:rsidP="00FF4E35">
            <w:pPr>
              <w:pStyle w:val="Prrafodelista"/>
              <w:numPr>
                <w:ilvl w:val="0"/>
                <w:numId w:val="17"/>
              </w:numPr>
              <w:spacing w:line="276" w:lineRule="auto"/>
              <w:ind w:left="714" w:hanging="357"/>
              <w:jc w:val="both"/>
              <w:rPr>
                <w:rFonts w:ascii="Verdana" w:hAnsi="Verdana" w:cs="Arial"/>
              </w:rPr>
            </w:pPr>
            <w:r w:rsidRPr="00E8636D">
              <w:rPr>
                <w:rFonts w:ascii="Verdana" w:hAnsi="Verdana" w:cs="Arial"/>
              </w:rPr>
              <w:t>Ley 80 de 1993</w:t>
            </w:r>
            <w:r w:rsidR="008E6AC9">
              <w:rPr>
                <w:rFonts w:ascii="Verdana" w:hAnsi="Verdana" w:cs="Arial"/>
              </w:rPr>
              <w:t>:</w:t>
            </w:r>
            <w:r w:rsidRPr="00E8636D">
              <w:rPr>
                <w:rFonts w:ascii="Verdana" w:hAnsi="Verdana" w:cs="Arial"/>
              </w:rPr>
              <w:t xml:space="preserve"> artículos 30 y 32.</w:t>
            </w:r>
          </w:p>
          <w:p w14:paraId="4E6822E0" w14:textId="77777777" w:rsidR="00FF4E35" w:rsidRPr="00E8636D" w:rsidRDefault="00FF4E35" w:rsidP="00FF4E35">
            <w:pPr>
              <w:pStyle w:val="Prrafodelista"/>
              <w:widowControl w:val="0"/>
              <w:numPr>
                <w:ilvl w:val="0"/>
                <w:numId w:val="17"/>
              </w:numPr>
              <w:autoSpaceDE w:val="0"/>
              <w:autoSpaceDN w:val="0"/>
              <w:spacing w:line="276" w:lineRule="auto"/>
              <w:ind w:left="714" w:hanging="357"/>
              <w:jc w:val="both"/>
              <w:rPr>
                <w:rFonts w:ascii="Verdana" w:hAnsi="Verdana" w:cs="Arial"/>
              </w:rPr>
            </w:pPr>
            <w:r w:rsidRPr="00E8636D">
              <w:rPr>
                <w:rFonts w:ascii="Verdana" w:hAnsi="Verdana" w:cs="Arial"/>
              </w:rPr>
              <w:t>Ley 813 de 2003: artículos 8, 10, 11 y 12.</w:t>
            </w:r>
          </w:p>
          <w:p w14:paraId="0C0ECAFD"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bCs/>
                <w:lang w:val="es-ES" w:eastAsia="es-ES" w:bidi="es-ES"/>
              </w:rPr>
              <w:t>Ley 996 de 2005: artículos 33 y 38.</w:t>
            </w:r>
          </w:p>
          <w:p w14:paraId="2E8DF6B2" w14:textId="77777777" w:rsidR="00FF4E35" w:rsidRPr="00E8636D" w:rsidRDefault="00FF4E35" w:rsidP="00FF4E35">
            <w:pPr>
              <w:pStyle w:val="Prrafodelista"/>
              <w:widowControl w:val="0"/>
              <w:numPr>
                <w:ilvl w:val="0"/>
                <w:numId w:val="17"/>
              </w:numPr>
              <w:autoSpaceDE w:val="0"/>
              <w:autoSpaceDN w:val="0"/>
              <w:spacing w:line="276" w:lineRule="auto"/>
              <w:ind w:left="714" w:hanging="357"/>
              <w:jc w:val="both"/>
              <w:rPr>
                <w:rFonts w:ascii="Verdana" w:hAnsi="Verdana" w:cs="Arial"/>
              </w:rPr>
            </w:pPr>
            <w:r w:rsidRPr="00E8636D">
              <w:rPr>
                <w:rFonts w:ascii="Verdana" w:hAnsi="Verdana" w:cs="Arial"/>
              </w:rPr>
              <w:t>Ley 1483 de 2011.</w:t>
            </w:r>
          </w:p>
          <w:p w14:paraId="173DD9A4" w14:textId="77777777" w:rsidR="00FF4E35" w:rsidRPr="00E8636D" w:rsidRDefault="00FF4E35" w:rsidP="00FF4E35">
            <w:pPr>
              <w:pStyle w:val="Prrafodelista"/>
              <w:widowControl w:val="0"/>
              <w:numPr>
                <w:ilvl w:val="0"/>
                <w:numId w:val="17"/>
              </w:numPr>
              <w:autoSpaceDE w:val="0"/>
              <w:autoSpaceDN w:val="0"/>
              <w:spacing w:line="276" w:lineRule="auto"/>
              <w:ind w:left="714" w:hanging="357"/>
              <w:jc w:val="both"/>
              <w:rPr>
                <w:rFonts w:ascii="Verdana" w:hAnsi="Verdana" w:cs="Arial"/>
              </w:rPr>
            </w:pPr>
            <w:r w:rsidRPr="00E8636D">
              <w:rPr>
                <w:rFonts w:ascii="Verdana" w:hAnsi="Verdana" w:cs="Arial"/>
              </w:rPr>
              <w:t>Decreto 111 de 1996.</w:t>
            </w:r>
          </w:p>
          <w:p w14:paraId="3AD32D4A" w14:textId="77777777" w:rsidR="00FF4E35" w:rsidRPr="00E8636D" w:rsidRDefault="00FF4E35" w:rsidP="00FF4E35">
            <w:pPr>
              <w:pStyle w:val="Prrafodelista"/>
              <w:widowControl w:val="0"/>
              <w:numPr>
                <w:ilvl w:val="0"/>
                <w:numId w:val="17"/>
              </w:numPr>
              <w:autoSpaceDE w:val="0"/>
              <w:autoSpaceDN w:val="0"/>
              <w:spacing w:line="276" w:lineRule="auto"/>
              <w:ind w:left="714" w:hanging="357"/>
              <w:jc w:val="both"/>
              <w:rPr>
                <w:rFonts w:ascii="Verdana" w:hAnsi="Verdana" w:cs="Arial"/>
              </w:rPr>
            </w:pPr>
            <w:r w:rsidRPr="00E8636D">
              <w:rPr>
                <w:rFonts w:ascii="Verdana" w:hAnsi="Verdana" w:cs="Arial"/>
              </w:rPr>
              <w:t xml:space="preserve">Decreto 1068 de 2015: artículo 2.8.3.4. </w:t>
            </w:r>
          </w:p>
          <w:p w14:paraId="527D3903" w14:textId="77777777" w:rsidR="00FF4E35" w:rsidRPr="00E8636D" w:rsidRDefault="00FF4E35" w:rsidP="00FF4E35">
            <w:pPr>
              <w:pStyle w:val="Prrafodelista"/>
              <w:widowControl w:val="0"/>
              <w:numPr>
                <w:ilvl w:val="0"/>
                <w:numId w:val="17"/>
              </w:numPr>
              <w:autoSpaceDE w:val="0"/>
              <w:autoSpaceDN w:val="0"/>
              <w:spacing w:line="276" w:lineRule="auto"/>
              <w:ind w:left="714" w:hanging="357"/>
              <w:jc w:val="both"/>
              <w:rPr>
                <w:rFonts w:ascii="Verdana" w:hAnsi="Verdana" w:cs="Arial"/>
              </w:rPr>
            </w:pPr>
            <w:r w:rsidRPr="00E8636D">
              <w:rPr>
                <w:rFonts w:ascii="Verdana" w:eastAsia="Arial" w:hAnsi="Verdana" w:cs="Arial"/>
                <w:bCs/>
                <w:color w:val="000000" w:themeColor="text1"/>
              </w:rPr>
              <w:t>Decreto 780 de 2016: artículo 2.8.8.1.1.3</w:t>
            </w:r>
          </w:p>
          <w:p w14:paraId="29010CB8"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Calibri" w:hAnsi="Verdana" w:cs="Arial"/>
                <w:lang w:val="es-ES"/>
              </w:rPr>
              <w:t>Decreto 2770 de 2006.</w:t>
            </w:r>
          </w:p>
          <w:p w14:paraId="2851C683"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Times New Roman" w:hAnsi="Verdana" w:cs="Times New Roman"/>
                <w:lang w:val="es-ES" w:eastAsia="es-MX"/>
              </w:rPr>
              <w:t xml:space="preserve">Ley 1150 de 2007: </w:t>
            </w:r>
            <w:r w:rsidRPr="00E8636D">
              <w:rPr>
                <w:rFonts w:ascii="Verdana" w:eastAsia="Arial MT" w:hAnsi="Verdana" w:cs="Arial"/>
                <w:lang w:val="es-ES" w:eastAsia="es-ES" w:bidi="es-ES"/>
              </w:rPr>
              <w:t xml:space="preserve">artículo 2, numeral 4. </w:t>
            </w:r>
          </w:p>
          <w:p w14:paraId="643956FF"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Estatuto Orgánico del Presupuesto: artículo 89.</w:t>
            </w:r>
          </w:p>
          <w:p w14:paraId="06CB5273"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Decreto 1082 de 2015: artículo 2.2.1.2.1.4.4</w:t>
            </w:r>
          </w:p>
          <w:p w14:paraId="4126C923"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Consejo de Estado. Sala de Consulta y Servicio Civil. Concepto del 18 de febrero 2010. Rad. 11001-03-06-000-2010-00006-00 (1985). C.P. Enrique José Arboleda Perdomo.</w:t>
            </w:r>
          </w:p>
          <w:p w14:paraId="07FF28DF"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lastRenderedPageBreak/>
              <w:t xml:space="preserve">Consejo de Estado, Sección Primera. Sentencia de 3 de marzo de 2005, </w:t>
            </w:r>
            <w:proofErr w:type="spellStart"/>
            <w:r w:rsidRPr="00E8636D">
              <w:rPr>
                <w:rFonts w:ascii="Verdana" w:eastAsia="Arial MT" w:hAnsi="Verdana" w:cs="Arial"/>
                <w:lang w:val="es-ES" w:eastAsia="es-ES" w:bidi="es-ES"/>
              </w:rPr>
              <w:t>Exp</w:t>
            </w:r>
            <w:proofErr w:type="spellEnd"/>
            <w:r w:rsidRPr="00E8636D">
              <w:rPr>
                <w:rFonts w:ascii="Verdana" w:eastAsia="Arial MT" w:hAnsi="Verdana" w:cs="Arial"/>
                <w:lang w:val="es-ES" w:eastAsia="es-ES" w:bidi="es-ES"/>
              </w:rPr>
              <w:t xml:space="preserve">. 2004-00823-01(PI). </w:t>
            </w:r>
          </w:p>
          <w:p w14:paraId="62CFAEBA"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 xml:space="preserve">Consejo de Estado, Sala de Consulta y Servicio Civil, Concepto de fecha 8 de mayo de 2018, No. 2382. C. P. Álvaro </w:t>
            </w:r>
            <w:proofErr w:type="spellStart"/>
            <w:r w:rsidRPr="00E8636D">
              <w:rPr>
                <w:rFonts w:ascii="Verdana" w:eastAsia="Arial MT" w:hAnsi="Verdana" w:cs="Arial"/>
                <w:lang w:val="es-ES" w:eastAsia="es-ES" w:bidi="es-ES"/>
              </w:rPr>
              <w:t>Namén</w:t>
            </w:r>
            <w:proofErr w:type="spellEnd"/>
            <w:r w:rsidRPr="00E8636D">
              <w:rPr>
                <w:rFonts w:ascii="Verdana" w:eastAsia="Arial MT" w:hAnsi="Verdana" w:cs="Arial"/>
                <w:lang w:val="es-ES" w:eastAsia="es-ES" w:bidi="es-ES"/>
              </w:rPr>
              <w:t xml:space="preserve"> Vargas.</w:t>
            </w:r>
          </w:p>
          <w:p w14:paraId="546F0CDB"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 xml:space="preserve">Consejo de Estado. Sala de Consulta y Servicio Civil. Concepto del 02 de septiembre de 2013. Rad. 11001-03-06-000-2013-00412-00 (2168). C.P. Álvaro </w:t>
            </w:r>
            <w:proofErr w:type="spellStart"/>
            <w:r w:rsidRPr="00E8636D">
              <w:rPr>
                <w:rFonts w:ascii="Verdana" w:eastAsia="Arial MT" w:hAnsi="Verdana" w:cs="Arial"/>
                <w:lang w:val="es-ES" w:eastAsia="es-ES" w:bidi="es-ES"/>
              </w:rPr>
              <w:t>Namén</w:t>
            </w:r>
            <w:proofErr w:type="spellEnd"/>
            <w:r w:rsidRPr="00E8636D">
              <w:rPr>
                <w:rFonts w:ascii="Verdana" w:eastAsia="Arial MT" w:hAnsi="Verdana" w:cs="Arial"/>
                <w:lang w:val="es-ES" w:eastAsia="es-ES" w:bidi="es-ES"/>
              </w:rPr>
              <w:t xml:space="preserve"> Vargas.</w:t>
            </w:r>
          </w:p>
          <w:p w14:paraId="434D0DFE" w14:textId="77777777" w:rsidR="00FF4E35" w:rsidRPr="00E8636D" w:rsidRDefault="00FF4E35" w:rsidP="00FF4E35">
            <w:pPr>
              <w:widowControl w:val="0"/>
              <w:numPr>
                <w:ilvl w:val="0"/>
                <w:numId w:val="17"/>
              </w:numPr>
              <w:autoSpaceDE w:val="0"/>
              <w:autoSpaceDN w:val="0"/>
              <w:spacing w:line="276" w:lineRule="auto"/>
              <w:ind w:left="714" w:hanging="357"/>
              <w:contextualSpacing/>
              <w:jc w:val="both"/>
              <w:rPr>
                <w:rFonts w:ascii="Verdana" w:eastAsia="Arial MT" w:hAnsi="Verdana" w:cs="Arial"/>
                <w:lang w:val="es-ES" w:eastAsia="es-ES" w:bidi="es-ES"/>
              </w:rPr>
            </w:pPr>
            <w:r w:rsidRPr="00E8636D">
              <w:rPr>
                <w:rFonts w:ascii="Verdana" w:eastAsia="Arial MT" w:hAnsi="Verdana" w:cs="Arial"/>
                <w:lang w:val="es-ES" w:eastAsia="es-ES" w:bidi="es-ES"/>
              </w:rPr>
              <w:t xml:space="preserve">Consejo de Estado, Sala de Consulta y Servicio Civil, Concepto de fecha 24 de julio de 2013, Rad. 2166, C. P. Álvaro </w:t>
            </w:r>
            <w:proofErr w:type="spellStart"/>
            <w:r w:rsidRPr="00E8636D">
              <w:rPr>
                <w:rFonts w:ascii="Verdana" w:eastAsia="Arial MT" w:hAnsi="Verdana" w:cs="Arial"/>
                <w:lang w:val="es-ES" w:eastAsia="es-ES" w:bidi="es-ES"/>
              </w:rPr>
              <w:t>Namén</w:t>
            </w:r>
            <w:proofErr w:type="spellEnd"/>
            <w:r w:rsidRPr="00E8636D">
              <w:rPr>
                <w:rFonts w:ascii="Verdana" w:eastAsia="Arial MT" w:hAnsi="Verdana" w:cs="Arial"/>
                <w:lang w:val="es-ES" w:eastAsia="es-ES" w:bidi="es-ES"/>
              </w:rPr>
              <w:t xml:space="preserve"> Vargas. </w:t>
            </w:r>
          </w:p>
          <w:p w14:paraId="7E1E9A58" w14:textId="77777777" w:rsidR="00FF4E35" w:rsidRPr="00E8636D" w:rsidRDefault="00FF4E35" w:rsidP="00FF4E35">
            <w:pPr>
              <w:pStyle w:val="Prrafodelista"/>
              <w:numPr>
                <w:ilvl w:val="0"/>
                <w:numId w:val="17"/>
              </w:numPr>
              <w:spacing w:line="276" w:lineRule="auto"/>
              <w:ind w:left="714" w:hanging="357"/>
              <w:jc w:val="both"/>
              <w:rPr>
                <w:rFonts w:ascii="Verdana" w:eastAsia="Arial MT" w:hAnsi="Verdana" w:cs="Arial"/>
                <w:lang w:eastAsia="es-ES" w:bidi="es-ES"/>
              </w:rPr>
            </w:pPr>
            <w:r w:rsidRPr="00E8636D">
              <w:rPr>
                <w:rFonts w:ascii="Verdana" w:eastAsia="Arial MT" w:hAnsi="Verdana" w:cs="Arial"/>
                <w:lang w:eastAsia="es-ES" w:bidi="es-ES"/>
              </w:rPr>
              <w:t>Consejo de Estado. Sala de Consulta y Servicio Civil. Concepto del 17 de febrero de 2015. C.P. William Zambrano Cetina. Radicación No. 11001-03-06-000-2015-00164-00(2269).</w:t>
            </w:r>
          </w:p>
          <w:p w14:paraId="77141056" w14:textId="77777777" w:rsidR="00FF4E35" w:rsidRPr="00E8636D" w:rsidRDefault="00FF4E35" w:rsidP="00FF4E35">
            <w:pPr>
              <w:pStyle w:val="Prrafodelista"/>
              <w:numPr>
                <w:ilvl w:val="0"/>
                <w:numId w:val="17"/>
              </w:numPr>
              <w:spacing w:line="276" w:lineRule="auto"/>
              <w:ind w:left="714" w:hanging="357"/>
              <w:jc w:val="both"/>
              <w:rPr>
                <w:rFonts w:ascii="Verdana" w:eastAsia="Arial MT" w:hAnsi="Verdana" w:cs="Arial"/>
                <w:lang w:eastAsia="es-ES" w:bidi="es-ES"/>
              </w:rPr>
            </w:pPr>
            <w:r w:rsidRPr="00E8636D">
              <w:rPr>
                <w:rFonts w:ascii="Verdana" w:eastAsia="Arial MT" w:hAnsi="Verdana" w:cs="Arial"/>
                <w:lang w:eastAsia="es-ES" w:bidi="es-ES"/>
              </w:rPr>
              <w:t xml:space="preserve">Consejo de Estado, Sala de Consulta y Servicio Civil, Concepto de fecha 8 de mayo de 2018, No. 2382. C. P. Álvaro </w:t>
            </w:r>
            <w:proofErr w:type="spellStart"/>
            <w:r w:rsidRPr="00E8636D">
              <w:rPr>
                <w:rFonts w:ascii="Verdana" w:eastAsia="Arial MT" w:hAnsi="Verdana" w:cs="Arial"/>
                <w:lang w:eastAsia="es-ES" w:bidi="es-ES"/>
              </w:rPr>
              <w:t>Namén</w:t>
            </w:r>
            <w:proofErr w:type="spellEnd"/>
            <w:r w:rsidRPr="00E8636D">
              <w:rPr>
                <w:rFonts w:ascii="Verdana" w:eastAsia="Arial MT" w:hAnsi="Verdana" w:cs="Arial"/>
                <w:lang w:eastAsia="es-ES" w:bidi="es-ES"/>
              </w:rPr>
              <w:t xml:space="preserve"> Vargas.</w:t>
            </w:r>
          </w:p>
          <w:p w14:paraId="57C3A282" w14:textId="77777777" w:rsidR="00FF4E35" w:rsidRPr="005069C4" w:rsidRDefault="00FF4E35" w:rsidP="00FF4E35">
            <w:pPr>
              <w:pStyle w:val="Prrafodelista"/>
              <w:numPr>
                <w:ilvl w:val="0"/>
                <w:numId w:val="17"/>
              </w:numPr>
              <w:spacing w:line="276" w:lineRule="auto"/>
              <w:ind w:left="714" w:hanging="357"/>
              <w:jc w:val="both"/>
              <w:rPr>
                <w:rFonts w:ascii="Verdana" w:eastAsia="Arial MT" w:hAnsi="Verdana" w:cs="Arial"/>
                <w:lang w:eastAsia="es-ES" w:bidi="es-ES"/>
              </w:rPr>
            </w:pPr>
            <w:r w:rsidRPr="00E8636D">
              <w:rPr>
                <w:rFonts w:ascii="Verdana" w:eastAsia="Arial MT" w:hAnsi="Verdana" w:cs="Arial"/>
                <w:lang w:eastAsia="es-ES" w:bidi="es-ES"/>
              </w:rPr>
              <w:t>Corte Constitucional. Sentencia C-1153 de 2005 M.P. Marco Gerardo Monroy Cabra.</w:t>
            </w:r>
          </w:p>
        </w:tc>
      </w:tr>
    </w:tbl>
    <w:p w14:paraId="7BDEFFF6" w14:textId="77777777" w:rsidR="00FF4E35" w:rsidRPr="00E8636D" w:rsidRDefault="00FF4E35" w:rsidP="00FF4E35">
      <w:pPr>
        <w:widowControl w:val="0"/>
        <w:autoSpaceDE w:val="0"/>
        <w:autoSpaceDN w:val="0"/>
        <w:spacing w:after="0" w:line="276" w:lineRule="auto"/>
        <w:jc w:val="both"/>
        <w:rPr>
          <w:rFonts w:ascii="Verdana" w:hAnsi="Verdana" w:cs="Arial"/>
          <w:color w:val="000000" w:themeColor="text1"/>
          <w:lang w:val="es-ES"/>
        </w:rPr>
      </w:pPr>
    </w:p>
    <w:p w14:paraId="350E68E5" w14:textId="77777777" w:rsidR="00FF4E35" w:rsidRPr="00E8636D" w:rsidRDefault="00FF4E35" w:rsidP="00FF4E35">
      <w:pPr>
        <w:tabs>
          <w:tab w:val="left" w:pos="142"/>
          <w:tab w:val="left" w:pos="284"/>
        </w:tabs>
        <w:spacing w:after="0" w:line="276" w:lineRule="auto"/>
        <w:jc w:val="both"/>
        <w:rPr>
          <w:rFonts w:ascii="Verdana" w:eastAsia="Century Gothic" w:hAnsi="Verdana" w:cs="Century Gothic"/>
          <w:b/>
          <w:color w:val="000000" w:themeColor="text1"/>
          <w:lang w:val="es-ES"/>
        </w:rPr>
      </w:pPr>
      <w:r w:rsidRPr="00E8636D">
        <w:rPr>
          <w:rFonts w:ascii="Verdana" w:eastAsia="Century Gothic" w:hAnsi="Verdana" w:cs="Century Gothic"/>
          <w:b/>
          <w:color w:val="000000" w:themeColor="text1"/>
          <w:lang w:val="es-ES"/>
        </w:rPr>
        <w:t>5.Doctrina de la Agencia Nacional de Contratación Pública:</w:t>
      </w:r>
    </w:p>
    <w:p w14:paraId="04DADBA8" w14:textId="77777777" w:rsidR="00FF4E35" w:rsidRPr="00E8636D" w:rsidRDefault="00FF4E35" w:rsidP="00FF4E35">
      <w:pPr>
        <w:widowControl w:val="0"/>
        <w:autoSpaceDE w:val="0"/>
        <w:autoSpaceDN w:val="0"/>
        <w:spacing w:after="0" w:line="276" w:lineRule="auto"/>
        <w:jc w:val="both"/>
        <w:rPr>
          <w:rFonts w:ascii="Verdana" w:hAnsi="Verdana" w:cs="Arial"/>
          <w:color w:val="000000" w:themeColor="text1"/>
          <w:lang w:val="es-ES"/>
        </w:rPr>
      </w:pPr>
    </w:p>
    <w:p w14:paraId="5B2973ED" w14:textId="77777777" w:rsidR="00FF4E35" w:rsidRPr="00E8636D" w:rsidRDefault="00FF4E35" w:rsidP="00FF4E35">
      <w:pPr>
        <w:spacing w:after="120"/>
        <w:jc w:val="both"/>
        <w:rPr>
          <w:rFonts w:ascii="Arial" w:eastAsia="Calibri" w:hAnsi="Arial" w:cs="Arial"/>
          <w:b/>
          <w:bCs/>
          <w:color w:val="000000" w:themeColor="text1"/>
          <w:lang w:val="es-ES"/>
        </w:rPr>
      </w:pPr>
      <w:r w:rsidRPr="00E8636D">
        <w:rPr>
          <w:rFonts w:ascii="Verdana" w:eastAsia="Calibri" w:hAnsi="Verdana" w:cs="Arial"/>
          <w:lang w:val="es-ES"/>
        </w:rPr>
        <w:t xml:space="preserve">La Agencia Nacional de Contratación Pública – Colombia Compra Eficiente se ha referido </w:t>
      </w:r>
      <w:r w:rsidRPr="00E8636D">
        <w:rPr>
          <w:rFonts w:ascii="Verdana" w:hAnsi="Verdana" w:cs="Arial"/>
          <w:shd w:val="clear" w:color="auto" w:fill="FFFFFF"/>
          <w:lang w:val="es-ES"/>
        </w:rPr>
        <w:t xml:space="preserve">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 entre otros. Sobre </w:t>
      </w:r>
      <w:proofErr w:type="gramStart"/>
      <w:r w:rsidRPr="00E8636D">
        <w:rPr>
          <w:rFonts w:ascii="Verdana" w:hAnsi="Verdana" w:cs="Arial"/>
          <w:shd w:val="clear" w:color="auto" w:fill="FFFFFF"/>
          <w:lang w:val="es-ES"/>
        </w:rPr>
        <w:t>la los</w:t>
      </w:r>
      <w:proofErr w:type="gramEnd"/>
      <w:r w:rsidRPr="00E8636D">
        <w:rPr>
          <w:rFonts w:ascii="Verdana" w:hAnsi="Verdana" w:cs="Arial"/>
          <w:shd w:val="clear" w:color="auto" w:fill="FFFFFF"/>
          <w:lang w:val="es-ES"/>
        </w:rPr>
        <w:t xml:space="preserve"> esquemas asociativos de se refirió en los conceptos C–471 del 19 de mayo de 2025 y C–723 del 25 de agosto de 2025</w:t>
      </w:r>
      <w:r>
        <w:rPr>
          <w:rFonts w:ascii="Verdana" w:hAnsi="Verdana" w:cs="Arial"/>
          <w:shd w:val="clear" w:color="auto" w:fill="FFFFFF"/>
          <w:lang w:val="es-ES"/>
        </w:rPr>
        <w:t xml:space="preserve"> y 1195 de 2025</w:t>
      </w:r>
      <w:r w:rsidRPr="00E8636D">
        <w:rPr>
          <w:rFonts w:ascii="Verdana" w:hAnsi="Verdana" w:cs="Arial"/>
          <w:shd w:val="clear" w:color="auto" w:fill="FFFFFF"/>
          <w:lang w:val="es-ES"/>
        </w:rPr>
        <w:t>, entre otros. Estos</w:t>
      </w:r>
      <w:r w:rsidRPr="00E8636D">
        <w:rPr>
          <w:rFonts w:ascii="Verdana" w:hAnsi="Verdana"/>
          <w:lang w:val="es-ES"/>
        </w:rPr>
        <w:t xml:space="preserve"> y otros se encuentran disponibles para consulta en el Sistema de relatoría de la Agencia, al cual se puede acceder a través del siguiente enlace:</w:t>
      </w:r>
      <w:r w:rsidRPr="00E8636D">
        <w:rPr>
          <w:rFonts w:ascii="Verdana" w:hAnsi="Verdana" w:cs="Arial"/>
          <w:shd w:val="clear" w:color="auto" w:fill="FFFFFF"/>
          <w:lang w:val="es-ES"/>
        </w:rPr>
        <w:t xml:space="preserve"> </w:t>
      </w:r>
      <w:hyperlink r:id="rId14" w:history="1">
        <w:r w:rsidRPr="00E8636D">
          <w:rPr>
            <w:rFonts w:ascii="Verdana" w:hAnsi="Verdana" w:cs="Arial"/>
            <w:color w:val="0000FF"/>
            <w:u w:val="single"/>
            <w:shd w:val="clear" w:color="auto" w:fill="FFFFFF"/>
            <w:lang w:val="es-ES"/>
          </w:rPr>
          <w:t>https://relatoria.colombiacompra.gov.co/busqueda/concept os</w:t>
        </w:r>
      </w:hyperlink>
      <w:r w:rsidRPr="00E8636D">
        <w:rPr>
          <w:rFonts w:ascii="Verdana" w:hAnsi="Verdana" w:cs="Arial"/>
          <w:shd w:val="clear" w:color="auto" w:fill="FFFFFF"/>
          <w:lang w:val="es-ES"/>
        </w:rPr>
        <w:t>.</w:t>
      </w:r>
      <w:r w:rsidRPr="00E8636D">
        <w:rPr>
          <w:rFonts w:ascii="Verdana" w:hAnsi="Verdana" w:cs="Arial"/>
          <w:color w:val="FF0000"/>
          <w:shd w:val="clear" w:color="auto" w:fill="FFFFFF"/>
          <w:lang w:val="es-ES"/>
        </w:rPr>
        <w:t xml:space="preserve"> </w:t>
      </w:r>
      <w:r w:rsidRPr="00E8636D">
        <w:rPr>
          <w:rFonts w:ascii="Verdana" w:hAnsi="Verdana" w:cs="Arial"/>
          <w:color w:val="000000" w:themeColor="text1"/>
          <w:shd w:val="clear" w:color="auto" w:fill="FFFFFF"/>
          <w:lang w:val="es-ES"/>
        </w:rPr>
        <w:t>  </w:t>
      </w:r>
    </w:p>
    <w:p w14:paraId="60513844" w14:textId="77777777" w:rsidR="00FF4E35" w:rsidRPr="00E8636D" w:rsidRDefault="00FF4E35" w:rsidP="00FF4E35">
      <w:pPr>
        <w:widowControl w:val="0"/>
        <w:autoSpaceDE w:val="0"/>
        <w:autoSpaceDN w:val="0"/>
        <w:spacing w:after="0" w:line="276" w:lineRule="auto"/>
        <w:jc w:val="both"/>
        <w:rPr>
          <w:rFonts w:ascii="Verdana" w:hAnsi="Verdana" w:cs="Arial"/>
          <w:lang w:val="es-ES"/>
        </w:rPr>
      </w:pPr>
    </w:p>
    <w:p w14:paraId="26E87B7F" w14:textId="77777777" w:rsidR="00FF4E35" w:rsidRPr="00E8636D" w:rsidRDefault="00FF4E35" w:rsidP="00FF4E35">
      <w:pPr>
        <w:widowControl w:val="0"/>
        <w:autoSpaceDE w:val="0"/>
        <w:autoSpaceDN w:val="0"/>
        <w:spacing w:after="0" w:line="276" w:lineRule="auto"/>
        <w:jc w:val="both"/>
        <w:rPr>
          <w:rFonts w:ascii="Verdana" w:hAnsi="Verdana" w:cs="Arial"/>
          <w:lang w:val="es-ES"/>
        </w:rPr>
      </w:pPr>
      <w:r w:rsidRPr="00E8636D">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FD6751A" w14:textId="77777777" w:rsidR="00FF4E35" w:rsidRPr="00E8636D" w:rsidRDefault="00FF4E35" w:rsidP="00FF4E35">
      <w:pPr>
        <w:widowControl w:val="0"/>
        <w:autoSpaceDE w:val="0"/>
        <w:autoSpaceDN w:val="0"/>
        <w:spacing w:after="0" w:line="276" w:lineRule="auto"/>
        <w:jc w:val="both"/>
        <w:rPr>
          <w:rFonts w:ascii="Verdana" w:hAnsi="Verdana" w:cs="Arial"/>
          <w:lang w:val="es-ES"/>
        </w:rPr>
      </w:pPr>
    </w:p>
    <w:p w14:paraId="2157489B" w14:textId="77777777" w:rsidR="00FF4E35" w:rsidRPr="00E8636D" w:rsidRDefault="00FF4E35" w:rsidP="00FF4E35">
      <w:pPr>
        <w:spacing w:after="0" w:line="276" w:lineRule="auto"/>
        <w:rPr>
          <w:rFonts w:ascii="Verdana" w:hAnsi="Verdana" w:cs="Arial"/>
          <w:color w:val="000000" w:themeColor="text1"/>
          <w:lang w:val="es-ES" w:eastAsia="es-CO"/>
        </w:rPr>
      </w:pPr>
      <w:r w:rsidRPr="00E8636D">
        <w:rPr>
          <w:rFonts w:ascii="Verdana" w:eastAsia="Times New Roman" w:hAnsi="Verdana" w:cs="Arial"/>
          <w:color w:val="000000" w:themeColor="text1"/>
          <w:lang w:val="es-ES" w:eastAsia="es-CO"/>
        </w:rPr>
        <w:t>Atentamente,</w:t>
      </w:r>
      <w:r w:rsidRPr="00E8636D">
        <w:rPr>
          <w:rFonts w:ascii="Verdana" w:hAnsi="Verdana" w:cs="Arial"/>
          <w:color w:val="000000" w:themeColor="text1"/>
          <w:lang w:val="es-ES" w:eastAsia="es-CO"/>
        </w:rPr>
        <w:t xml:space="preserve"> </w:t>
      </w:r>
    </w:p>
    <w:p w14:paraId="2C8913D6" w14:textId="11E09A11" w:rsidR="00FF4E35" w:rsidRDefault="009C373D" w:rsidP="00FF4E35">
      <w:pPr>
        <w:spacing w:after="0" w:line="276" w:lineRule="auto"/>
        <w:jc w:val="center"/>
        <w:rPr>
          <w:rFonts w:ascii="Verdana" w:hAnsi="Verdana"/>
          <w:lang w:val="es-ES_tradnl"/>
        </w:rPr>
      </w:pPr>
      <w:r>
        <w:rPr>
          <w:rFonts w:ascii="Verdana" w:hAnsi="Verdana"/>
          <w:noProof/>
          <w:lang w:val="es-ES_tradnl"/>
        </w:rPr>
        <w:drawing>
          <wp:inline distT="0" distB="0" distL="0" distR="0" wp14:anchorId="708345E2" wp14:editId="011D1EFE">
            <wp:extent cx="3639058" cy="1343212"/>
            <wp:effectExtent l="0" t="0" r="0" b="0"/>
            <wp:docPr id="129769841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698416" name="Imagen 1" descr="Texto&#10;&#10;Descripción generada automáticamente"/>
                    <pic:cNvPicPr/>
                  </pic:nvPicPr>
                  <pic:blipFill>
                    <a:blip r:embed="rId15">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F4E35" w:rsidRPr="00D53651" w14:paraId="6D4D1759" w14:textId="77777777" w:rsidTr="00054434">
        <w:trPr>
          <w:trHeight w:val="315"/>
        </w:trPr>
        <w:tc>
          <w:tcPr>
            <w:tcW w:w="893" w:type="dxa"/>
            <w:vAlign w:val="center"/>
            <w:hideMark/>
          </w:tcPr>
          <w:p w14:paraId="21CAD50E"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D5C4B88" w14:textId="77777777" w:rsidR="00FF4E35" w:rsidRPr="00D53651" w:rsidRDefault="00FF4E35" w:rsidP="00054434">
            <w:pPr>
              <w:spacing w:line="276" w:lineRule="auto"/>
              <w:jc w:val="both"/>
              <w:rPr>
                <w:rFonts w:ascii="Verdana" w:hAnsi="Verdana"/>
                <w:sz w:val="16"/>
                <w:szCs w:val="16"/>
              </w:rPr>
            </w:pPr>
            <w:r>
              <w:rPr>
                <w:rFonts w:ascii="Verdana" w:hAnsi="Verdana"/>
                <w:sz w:val="16"/>
                <w:szCs w:val="16"/>
              </w:rPr>
              <w:t>Gloria Elizabeth Arango Builes</w:t>
            </w:r>
          </w:p>
          <w:p w14:paraId="58CA8B41"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FF4E35" w:rsidRPr="00D53651" w14:paraId="74E33B9B" w14:textId="77777777" w:rsidTr="00054434">
        <w:trPr>
          <w:trHeight w:val="330"/>
        </w:trPr>
        <w:tc>
          <w:tcPr>
            <w:tcW w:w="893" w:type="dxa"/>
            <w:vAlign w:val="center"/>
            <w:hideMark/>
          </w:tcPr>
          <w:p w14:paraId="4185B043"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40C7C8CA" w14:textId="77777777" w:rsidR="00FF4E35" w:rsidRPr="00D53651" w:rsidRDefault="00FF4E35" w:rsidP="00054434">
            <w:pPr>
              <w:spacing w:line="276" w:lineRule="auto"/>
              <w:jc w:val="both"/>
              <w:rPr>
                <w:rFonts w:ascii="Verdana" w:hAnsi="Verdana"/>
                <w:sz w:val="16"/>
                <w:szCs w:val="16"/>
              </w:rPr>
            </w:pPr>
            <w:r>
              <w:rPr>
                <w:rFonts w:ascii="Verdana" w:hAnsi="Verdana"/>
                <w:sz w:val="16"/>
                <w:szCs w:val="16"/>
              </w:rPr>
              <w:t>Diana Lucía Saavedra</w:t>
            </w:r>
            <w:r w:rsidRPr="00D53651">
              <w:rPr>
                <w:rFonts w:ascii="Verdana" w:hAnsi="Verdana"/>
                <w:sz w:val="16"/>
                <w:szCs w:val="16"/>
              </w:rPr>
              <w:t xml:space="preserve"> </w:t>
            </w:r>
          </w:p>
          <w:p w14:paraId="4B6ECE0A"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FF4E35" w:rsidRPr="00D53651" w14:paraId="2B500943" w14:textId="77777777" w:rsidTr="00054434">
        <w:trPr>
          <w:trHeight w:val="300"/>
        </w:trPr>
        <w:tc>
          <w:tcPr>
            <w:tcW w:w="893" w:type="dxa"/>
            <w:vAlign w:val="center"/>
            <w:hideMark/>
          </w:tcPr>
          <w:p w14:paraId="4C72B1AD" w14:textId="77777777" w:rsidR="00FF4E35" w:rsidRPr="00D53651" w:rsidRDefault="00FF4E35" w:rsidP="00054434">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67172A2A"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EB971CF" w14:textId="77777777" w:rsidR="00FF4E35" w:rsidRPr="00D53651" w:rsidRDefault="00FF4E35" w:rsidP="00054434">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38801AF1" w14:textId="77777777" w:rsidR="00FF4E35" w:rsidRPr="000931E9" w:rsidRDefault="00FF4E35" w:rsidP="00FF4E35"/>
    <w:p w14:paraId="259673F5" w14:textId="77777777" w:rsidR="00FF4E35" w:rsidRPr="0044528D" w:rsidRDefault="00FF4E35" w:rsidP="00FF4E35">
      <w:pPr>
        <w:spacing w:after="0"/>
        <w:rPr>
          <w:rFonts w:ascii="Verdana" w:hAnsi="Verdana"/>
        </w:rPr>
      </w:pPr>
    </w:p>
    <w:p w14:paraId="17EB40C5" w14:textId="77777777" w:rsidR="00FF4E35" w:rsidRPr="00FA01E0" w:rsidRDefault="00FF4E35" w:rsidP="00FF4E35">
      <w:pPr>
        <w:spacing w:after="0" w:line="276" w:lineRule="auto"/>
        <w:jc w:val="both"/>
        <w:rPr>
          <w:rFonts w:ascii="Verdana" w:eastAsia="Calibri" w:hAnsi="Verdana" w:cs="Arial"/>
          <w:lang w:val="es-ES"/>
        </w:rPr>
      </w:pPr>
    </w:p>
    <w:p w14:paraId="372072F9" w14:textId="77777777" w:rsidR="00FF4E35" w:rsidRPr="00514983" w:rsidRDefault="00FF4E35" w:rsidP="00FF4E35"/>
    <w:p w14:paraId="0F293BF4" w14:textId="551CF3ED" w:rsidR="00127233" w:rsidRPr="00FF4E35" w:rsidRDefault="00127233" w:rsidP="00FF4E35"/>
    <w:sectPr w:rsidR="00127233" w:rsidRPr="00FF4E35"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51DCCC" w14:textId="77777777" w:rsidR="00C856BC" w:rsidRDefault="00C856BC" w:rsidP="004A1847">
      <w:pPr>
        <w:spacing w:after="0" w:line="240" w:lineRule="auto"/>
      </w:pPr>
      <w:r>
        <w:separator/>
      </w:r>
    </w:p>
  </w:endnote>
  <w:endnote w:type="continuationSeparator" w:id="0">
    <w:p w14:paraId="7C4A94CE" w14:textId="77777777" w:rsidR="00C856BC" w:rsidRDefault="00C856BC" w:rsidP="004A1847">
      <w:pPr>
        <w:spacing w:after="0" w:line="240" w:lineRule="auto"/>
      </w:pPr>
      <w:r>
        <w:continuationSeparator/>
      </w:r>
    </w:p>
  </w:endnote>
  <w:endnote w:type="continuationNotice" w:id="1">
    <w:p w14:paraId="0FE4B422" w14:textId="77777777" w:rsidR="00C856BC" w:rsidRDefault="00C856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orbe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90941" w14:textId="77777777" w:rsidR="00C856BC" w:rsidRDefault="00C856BC" w:rsidP="004A1847">
      <w:pPr>
        <w:spacing w:after="0" w:line="240" w:lineRule="auto"/>
      </w:pPr>
      <w:r>
        <w:separator/>
      </w:r>
    </w:p>
  </w:footnote>
  <w:footnote w:type="continuationSeparator" w:id="0">
    <w:p w14:paraId="15AA1FD1" w14:textId="77777777" w:rsidR="00C856BC" w:rsidRDefault="00C856BC" w:rsidP="004A1847">
      <w:pPr>
        <w:spacing w:after="0" w:line="240" w:lineRule="auto"/>
      </w:pPr>
      <w:r>
        <w:continuationSeparator/>
      </w:r>
    </w:p>
  </w:footnote>
  <w:footnote w:type="continuationNotice" w:id="1">
    <w:p w14:paraId="3F41E99C" w14:textId="77777777" w:rsidR="00C856BC" w:rsidRDefault="00C856BC">
      <w:pPr>
        <w:spacing w:after="0" w:line="240" w:lineRule="auto"/>
      </w:pPr>
    </w:p>
  </w:footnote>
  <w:footnote w:id="2">
    <w:p w14:paraId="72E79724" w14:textId="77777777" w:rsidR="00FF4E35" w:rsidRPr="00D50FED" w:rsidRDefault="00FF4E35" w:rsidP="00FF4E35">
      <w:pPr>
        <w:pStyle w:val="Textonotapie"/>
        <w:snapToGrid w:val="0"/>
        <w:ind w:firstLine="709"/>
        <w:contextualSpacing/>
        <w:jc w:val="both"/>
        <w:rPr>
          <w:rFonts w:ascii="Verdana" w:hAnsi="Verdana" w:cs="Arial"/>
          <w:sz w:val="16"/>
          <w:szCs w:val="16"/>
        </w:rPr>
      </w:pPr>
      <w:r w:rsidRPr="00D50FED">
        <w:rPr>
          <w:rStyle w:val="Refdenotaalpie"/>
          <w:rFonts w:ascii="Verdana" w:hAnsi="Verdana" w:cs="Arial"/>
          <w:sz w:val="16"/>
          <w:szCs w:val="16"/>
        </w:rPr>
        <w:footnoteRef/>
      </w:r>
      <w:r w:rsidRPr="00D50FED">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99E345E" w14:textId="77777777" w:rsidR="00FF4E35" w:rsidRPr="00D50FED" w:rsidRDefault="00FF4E35" w:rsidP="00FF4E35">
      <w:pPr>
        <w:pStyle w:val="Textonotapie"/>
        <w:snapToGrid w:val="0"/>
        <w:ind w:firstLine="709"/>
        <w:contextualSpacing/>
        <w:jc w:val="both"/>
        <w:rPr>
          <w:rFonts w:ascii="Verdana" w:hAnsi="Verdana" w:cs="Arial"/>
          <w:sz w:val="16"/>
          <w:szCs w:val="16"/>
        </w:rPr>
      </w:pPr>
      <w:r w:rsidRPr="00D50FED">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054BD065" w14:textId="77777777" w:rsidR="00FF4E35" w:rsidRPr="00D50FED" w:rsidRDefault="00FF4E35" w:rsidP="00FF4E35">
      <w:pPr>
        <w:pStyle w:val="Textonotapie"/>
        <w:snapToGrid w:val="0"/>
        <w:ind w:firstLine="709"/>
        <w:contextualSpacing/>
        <w:jc w:val="both"/>
        <w:rPr>
          <w:rFonts w:ascii="Verdana" w:hAnsi="Verdana" w:cs="Arial"/>
          <w:sz w:val="16"/>
          <w:szCs w:val="16"/>
        </w:rPr>
      </w:pPr>
      <w:r w:rsidRPr="00D50FED">
        <w:rPr>
          <w:rStyle w:val="Refdenotaalpie"/>
          <w:rFonts w:ascii="Verdana" w:hAnsi="Verdana" w:cs="Arial"/>
          <w:sz w:val="16"/>
          <w:szCs w:val="16"/>
        </w:rPr>
        <w:footnoteRef/>
      </w:r>
      <w:r w:rsidRPr="00D50FED">
        <w:rPr>
          <w:rFonts w:ascii="Verdana" w:hAnsi="Verdana" w:cs="Arial"/>
          <w:sz w:val="16"/>
          <w:szCs w:val="16"/>
        </w:rPr>
        <w:t xml:space="preserve"> Gaceta del Congreso de la República No. 71 del 2005.</w:t>
      </w:r>
    </w:p>
  </w:footnote>
  <w:footnote w:id="4">
    <w:p w14:paraId="488668CA" w14:textId="77777777" w:rsidR="00FF4E35" w:rsidRPr="00D50FED" w:rsidRDefault="00FF4E35" w:rsidP="00FF4E35">
      <w:pPr>
        <w:pStyle w:val="Textonotapie"/>
        <w:snapToGrid w:val="0"/>
        <w:ind w:firstLine="709"/>
        <w:contextualSpacing/>
        <w:jc w:val="both"/>
        <w:rPr>
          <w:rFonts w:ascii="Verdana" w:hAnsi="Verdana" w:cs="Arial"/>
          <w:sz w:val="16"/>
          <w:szCs w:val="16"/>
          <w:lang w:val="pt-BR"/>
        </w:rPr>
      </w:pPr>
      <w:r w:rsidRPr="00D50FED">
        <w:rPr>
          <w:rStyle w:val="Refdenotaalpie"/>
          <w:rFonts w:ascii="Verdana" w:hAnsi="Verdana" w:cs="Arial"/>
          <w:sz w:val="16"/>
          <w:szCs w:val="16"/>
        </w:rPr>
        <w:footnoteRef/>
      </w:r>
      <w:r w:rsidRPr="00D50FED">
        <w:rPr>
          <w:rFonts w:ascii="Verdana" w:hAnsi="Verdana" w:cs="Arial"/>
          <w:sz w:val="16"/>
          <w:szCs w:val="16"/>
          <w:lang w:val="pt-BR"/>
        </w:rPr>
        <w:t xml:space="preserve"> Corte Constitucional, Sentencia C- 1153 de 2005, M.P. Marco Gerardo </w:t>
      </w:r>
      <w:r w:rsidRPr="00D50FED">
        <w:rPr>
          <w:rFonts w:ascii="Verdana" w:hAnsi="Verdana" w:cs="Arial"/>
          <w:sz w:val="16"/>
          <w:szCs w:val="16"/>
          <w:lang w:val="pt-BR"/>
        </w:rPr>
        <w:t>Monroy Cabra.</w:t>
      </w:r>
    </w:p>
  </w:footnote>
  <w:footnote w:id="5">
    <w:p w14:paraId="676EECC4" w14:textId="77777777" w:rsidR="00FF4E35" w:rsidRPr="00D50FED" w:rsidRDefault="00FF4E35" w:rsidP="00FF4E35">
      <w:pPr>
        <w:pStyle w:val="Textonotapie"/>
        <w:snapToGrid w:val="0"/>
        <w:ind w:firstLine="709"/>
        <w:contextualSpacing/>
        <w:jc w:val="both"/>
        <w:rPr>
          <w:rFonts w:ascii="Verdana" w:hAnsi="Verdana" w:cs="Arial"/>
          <w:sz w:val="16"/>
          <w:szCs w:val="16"/>
          <w:lang w:val="pt-BR"/>
        </w:rPr>
      </w:pPr>
      <w:r w:rsidRPr="00D50FED">
        <w:rPr>
          <w:rStyle w:val="Refdenotaalpie"/>
          <w:rFonts w:ascii="Verdana" w:hAnsi="Verdana" w:cs="Arial"/>
          <w:sz w:val="16"/>
          <w:szCs w:val="16"/>
        </w:rPr>
        <w:footnoteRef/>
      </w:r>
      <w:r w:rsidRPr="00D50FED">
        <w:rPr>
          <w:rFonts w:ascii="Verdana" w:hAnsi="Verdana" w:cs="Arial"/>
          <w:sz w:val="16"/>
          <w:szCs w:val="16"/>
          <w:lang w:val="pt-BR"/>
        </w:rPr>
        <w:t xml:space="preserve"> Corte Constitucional. Sentencias: C-233 de 4 de abril de 2002, expediente: D-3704; C-551 de 9 de </w:t>
      </w:r>
      <w:r w:rsidRPr="00D50FED">
        <w:rPr>
          <w:rFonts w:ascii="Verdana" w:hAnsi="Verdana" w:cs="Arial"/>
          <w:sz w:val="16"/>
          <w:szCs w:val="16"/>
          <w:lang w:val="pt-BR"/>
        </w:rPr>
        <w:t>julio de 2003, expediente: CRF-001 de 9 de julio de 2003; C-652 de 5 de agosto de 2003, expediente: D-4330; C-353 de 20 de mayo de 2009, expediente: D-7518, C-541 de 30 de junio de 2010, expediente: DD7966; entre otras.</w:t>
      </w:r>
    </w:p>
  </w:footnote>
  <w:footnote w:id="6">
    <w:p w14:paraId="257DFDD0" w14:textId="77777777" w:rsidR="00FF4E35" w:rsidRPr="00D50FED" w:rsidRDefault="00FF4E35" w:rsidP="00FF4E35">
      <w:pPr>
        <w:pStyle w:val="Textonotapie"/>
        <w:snapToGrid w:val="0"/>
        <w:ind w:firstLine="709"/>
        <w:contextualSpacing/>
        <w:jc w:val="both"/>
        <w:rPr>
          <w:rFonts w:ascii="Verdana" w:hAnsi="Verdana" w:cs="Arial"/>
          <w:sz w:val="16"/>
          <w:szCs w:val="16"/>
          <w:lang w:val="es-CO"/>
        </w:rPr>
      </w:pPr>
      <w:r w:rsidRPr="00D50FED">
        <w:rPr>
          <w:rStyle w:val="Refdenotaalpie"/>
          <w:rFonts w:ascii="Verdana" w:hAnsi="Verdana" w:cs="Arial"/>
          <w:sz w:val="16"/>
          <w:szCs w:val="16"/>
        </w:rPr>
        <w:footnoteRef/>
      </w:r>
      <w:r w:rsidRPr="00D50FED">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6D7EC989" w14:textId="77777777" w:rsidR="00FF4E35" w:rsidRPr="00D50FED" w:rsidRDefault="00FF4E35" w:rsidP="00FF4E35">
      <w:pPr>
        <w:pStyle w:val="Textonotapie"/>
        <w:snapToGrid w:val="0"/>
        <w:ind w:firstLine="709"/>
        <w:contextualSpacing/>
        <w:jc w:val="both"/>
        <w:rPr>
          <w:rFonts w:ascii="Verdana" w:hAnsi="Verdana" w:cs="Arial"/>
          <w:sz w:val="16"/>
          <w:szCs w:val="16"/>
        </w:rPr>
      </w:pPr>
      <w:r w:rsidRPr="00D50FED">
        <w:rPr>
          <w:rStyle w:val="Refdenotaalpie"/>
          <w:rFonts w:ascii="Verdana" w:hAnsi="Verdana" w:cs="Arial"/>
          <w:sz w:val="16"/>
          <w:szCs w:val="16"/>
        </w:rPr>
        <w:footnoteRef/>
      </w:r>
      <w:r w:rsidRPr="00D50FED">
        <w:rPr>
          <w:rFonts w:ascii="Verdana" w:hAnsi="Verdana" w:cs="Arial"/>
          <w:sz w:val="16"/>
          <w:szCs w:val="16"/>
        </w:rPr>
        <w:t xml:space="preserve"> Consejo de Estado, Sala de Consulta y Servicio Civil de fecha 24 de julio de 2013, Rad. 2166, C. P. Álvaro </w:t>
      </w:r>
      <w:r w:rsidRPr="00D50FED">
        <w:rPr>
          <w:rFonts w:ascii="Verdana" w:hAnsi="Verdana" w:cs="Arial"/>
          <w:sz w:val="16"/>
          <w:szCs w:val="16"/>
        </w:rPr>
        <w:t xml:space="preserve">Namén Vargas.  </w:t>
      </w:r>
    </w:p>
  </w:footnote>
  <w:footnote w:id="8">
    <w:p w14:paraId="340676B8" w14:textId="77777777" w:rsidR="00FF4E35" w:rsidRPr="00D50FED" w:rsidRDefault="00FF4E35" w:rsidP="00FF4E35">
      <w:pPr>
        <w:snapToGrid w:val="0"/>
        <w:spacing w:after="0" w:line="240" w:lineRule="auto"/>
        <w:ind w:firstLine="709"/>
        <w:contextualSpacing/>
        <w:jc w:val="both"/>
        <w:rPr>
          <w:rFonts w:ascii="Verdana" w:eastAsia="Times New Roman" w:hAnsi="Verdana" w:cs="Arial"/>
          <w:sz w:val="16"/>
          <w:szCs w:val="16"/>
        </w:rPr>
      </w:pPr>
      <w:r w:rsidRPr="00D50FED">
        <w:rPr>
          <w:rStyle w:val="Refdenotaalpie"/>
          <w:rFonts w:ascii="Verdana" w:hAnsi="Verdana" w:cs="Arial"/>
          <w:sz w:val="16"/>
          <w:szCs w:val="16"/>
        </w:rPr>
        <w:footnoteRef/>
      </w:r>
      <w:r w:rsidRPr="00D50FED">
        <w:rPr>
          <w:rFonts w:ascii="Verdana" w:hAnsi="Verdana" w:cs="Arial"/>
          <w:sz w:val="16"/>
          <w:szCs w:val="16"/>
        </w:rPr>
        <w:t xml:space="preserve"> </w:t>
      </w:r>
      <w:r w:rsidRPr="00D50FED">
        <w:rPr>
          <w:rFonts w:ascii="Verdana" w:eastAsia="Calibri" w:hAnsi="Verdana" w:cs="Arial"/>
          <w:color w:val="000000"/>
          <w:sz w:val="16"/>
          <w:szCs w:val="16"/>
        </w:rPr>
        <w:t>“</w:t>
      </w:r>
      <w:r w:rsidRPr="00D50FED">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70544AF" w14:textId="77777777" w:rsidR="00FF4E35" w:rsidRPr="00D50FED" w:rsidRDefault="00FF4E35" w:rsidP="00FF4E35">
      <w:pPr>
        <w:snapToGrid w:val="0"/>
        <w:spacing w:after="0" w:line="240" w:lineRule="auto"/>
        <w:ind w:firstLine="709"/>
        <w:contextualSpacing/>
        <w:jc w:val="both"/>
        <w:rPr>
          <w:rFonts w:ascii="Verdana" w:eastAsia="Times New Roman" w:hAnsi="Verdana" w:cs="Arial"/>
          <w:sz w:val="16"/>
          <w:szCs w:val="16"/>
        </w:rPr>
      </w:pPr>
      <w:r w:rsidRPr="00D50FED">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50FED">
        <w:rPr>
          <w:rFonts w:ascii="Verdana" w:eastAsia="Calibri" w:hAnsi="Verdana" w:cs="Arial"/>
          <w:color w:val="000000"/>
          <w:sz w:val="16"/>
          <w:szCs w:val="16"/>
        </w:rPr>
        <w:t>”</w:t>
      </w:r>
      <w:r w:rsidRPr="00D50FED">
        <w:rPr>
          <w:rFonts w:ascii="Verdana" w:eastAsia="Times New Roman" w:hAnsi="Verdana" w:cs="Arial"/>
          <w:sz w:val="16"/>
          <w:szCs w:val="16"/>
        </w:rPr>
        <w:t>.</w:t>
      </w:r>
    </w:p>
  </w:footnote>
  <w:footnote w:id="9">
    <w:p w14:paraId="2028F798" w14:textId="77777777" w:rsidR="00FF4E35" w:rsidRPr="00D50FED" w:rsidRDefault="00FF4E35" w:rsidP="00FF4E35">
      <w:pPr>
        <w:pStyle w:val="NormalWeb"/>
        <w:snapToGrid w:val="0"/>
        <w:spacing w:before="0" w:beforeAutospacing="0" w:after="0" w:afterAutospacing="0"/>
        <w:ind w:firstLine="709"/>
        <w:contextualSpacing/>
        <w:jc w:val="both"/>
        <w:rPr>
          <w:rFonts w:ascii="Verdana" w:hAnsi="Verdana" w:cs="Arial"/>
          <w:sz w:val="16"/>
          <w:szCs w:val="16"/>
          <w:lang w:val="es-MX"/>
        </w:rPr>
      </w:pPr>
      <w:r w:rsidRPr="00D50FED">
        <w:rPr>
          <w:rStyle w:val="Refdenotaalpie"/>
          <w:rFonts w:ascii="Verdana" w:hAnsi="Verdana" w:cs="Arial"/>
          <w:sz w:val="16"/>
          <w:szCs w:val="16"/>
        </w:rPr>
        <w:footnoteRef/>
      </w:r>
      <w:r w:rsidRPr="00D50FED">
        <w:rPr>
          <w:rFonts w:ascii="Verdana" w:hAnsi="Verdana" w:cs="Arial"/>
          <w:sz w:val="16"/>
          <w:szCs w:val="16"/>
        </w:rPr>
        <w:t xml:space="preserve"> </w:t>
      </w:r>
      <w:r w:rsidRPr="00D50FED">
        <w:rPr>
          <w:rFonts w:ascii="Verdana" w:eastAsia="Calibri" w:hAnsi="Verdana" w:cs="Arial"/>
          <w:color w:val="000000"/>
          <w:sz w:val="16"/>
          <w:szCs w:val="16"/>
        </w:rPr>
        <w:t>“</w:t>
      </w:r>
      <w:r w:rsidRPr="00D50FED">
        <w:rPr>
          <w:rFonts w:ascii="Verdana" w:hAnsi="Verdana" w:cs="Arial"/>
          <w:sz w:val="16"/>
          <w:szCs w:val="16"/>
          <w:lang w:val="es-MX"/>
        </w:rPr>
        <w:t>Artículo 38. Prohibiciones para los servidores públicos. A los empleados del Estado les está prohibido: […]</w:t>
      </w:r>
    </w:p>
    <w:p w14:paraId="5EAF4C2C" w14:textId="77777777" w:rsidR="00FF4E35" w:rsidRPr="00D50FED" w:rsidRDefault="00FF4E35" w:rsidP="00FF4E35">
      <w:pPr>
        <w:pStyle w:val="NormalWeb"/>
        <w:snapToGrid w:val="0"/>
        <w:spacing w:before="0" w:beforeAutospacing="0" w:after="0" w:afterAutospacing="0"/>
        <w:ind w:firstLine="709"/>
        <w:contextualSpacing/>
        <w:jc w:val="both"/>
        <w:rPr>
          <w:rFonts w:ascii="Verdana" w:hAnsi="Verdana" w:cs="Arial"/>
          <w:sz w:val="16"/>
          <w:szCs w:val="16"/>
          <w:lang w:val="es-MX"/>
        </w:rPr>
      </w:pPr>
      <w:r w:rsidRPr="00D50FED">
        <w:rPr>
          <w:rStyle w:val="baj"/>
          <w:rFonts w:ascii="Verdana" w:hAnsi="Verdana" w:cs="Arial"/>
          <w:sz w:val="16"/>
          <w:szCs w:val="16"/>
          <w:lang w:val="es-MX"/>
        </w:rPr>
        <w:t>Parágrafo.</w:t>
      </w:r>
      <w:r w:rsidRPr="00D50FED">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50FED">
        <w:rPr>
          <w:rFonts w:ascii="Verdana" w:eastAsia="Calibri" w:hAnsi="Verdana" w:cs="Arial"/>
          <w:color w:val="000000"/>
          <w:sz w:val="16"/>
          <w:szCs w:val="16"/>
        </w:rPr>
        <w:t>”</w:t>
      </w:r>
      <w:r w:rsidRPr="00D50FED">
        <w:rPr>
          <w:rFonts w:ascii="Verdana" w:hAnsi="Verdana" w:cs="Arial"/>
          <w:sz w:val="16"/>
          <w:szCs w:val="16"/>
          <w:lang w:val="es-MX"/>
        </w:rPr>
        <w:t>.</w:t>
      </w:r>
    </w:p>
  </w:footnote>
  <w:footnote w:id="10">
    <w:p w14:paraId="060A188B" w14:textId="77777777" w:rsidR="00FF4E35" w:rsidRPr="00D50FED" w:rsidRDefault="00FF4E35" w:rsidP="00FF4E35">
      <w:pPr>
        <w:snapToGrid w:val="0"/>
        <w:spacing w:after="0" w:line="240" w:lineRule="auto"/>
        <w:ind w:left="100" w:right="244" w:firstLine="709"/>
        <w:contextualSpacing/>
        <w:jc w:val="both"/>
        <w:rPr>
          <w:rFonts w:ascii="Verdana" w:hAnsi="Verdana" w:cs="Arial"/>
          <w:sz w:val="16"/>
          <w:szCs w:val="16"/>
          <w:lang w:val="es-ES"/>
        </w:rPr>
      </w:pPr>
      <w:r w:rsidRPr="00D50FED">
        <w:rPr>
          <w:rStyle w:val="Refdenotaalpie"/>
          <w:rFonts w:ascii="Verdana" w:hAnsi="Verdana" w:cs="Arial"/>
          <w:sz w:val="16"/>
          <w:szCs w:val="16"/>
        </w:rPr>
        <w:footnoteRef/>
      </w:r>
      <w:r w:rsidRPr="00D50FED">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1">
    <w:p w14:paraId="4C5C36D5" w14:textId="77777777" w:rsidR="00FF4E35" w:rsidRPr="00D50FED" w:rsidRDefault="00FF4E35" w:rsidP="00FF4E35">
      <w:pPr>
        <w:pStyle w:val="Textonotapie"/>
        <w:snapToGrid w:val="0"/>
        <w:ind w:right="51" w:firstLine="709"/>
        <w:contextualSpacing/>
        <w:jc w:val="both"/>
        <w:rPr>
          <w:rFonts w:ascii="Verdana" w:hAnsi="Verdana" w:cs="Arial"/>
          <w:sz w:val="16"/>
          <w:szCs w:val="16"/>
        </w:rPr>
      </w:pPr>
      <w:r w:rsidRPr="00D50FED">
        <w:rPr>
          <w:rStyle w:val="Refdenotaalpie"/>
          <w:rFonts w:ascii="Verdana" w:hAnsi="Verdana" w:cs="Arial"/>
          <w:sz w:val="16"/>
          <w:szCs w:val="16"/>
        </w:rPr>
        <w:footnoteRef/>
      </w:r>
      <w:r w:rsidRPr="00D50FED">
        <w:rPr>
          <w:rFonts w:ascii="Verdana" w:hAnsi="Verdana" w:cs="Arial"/>
          <w:sz w:val="16"/>
          <w:szCs w:val="16"/>
        </w:rPr>
        <w:t xml:space="preserve"> “</w:t>
      </w:r>
      <w:r w:rsidRPr="00D50FED">
        <w:rPr>
          <w:rFonts w:ascii="Verdana" w:hAnsi="Verdana" w:cs="Arial"/>
          <w:sz w:val="16"/>
          <w:szCs w:val="16"/>
          <w:lang w:val="es-ES"/>
        </w:rPr>
        <w:t xml:space="preserve">[26] </w:t>
      </w:r>
      <w:r w:rsidRPr="00D50FED">
        <w:rPr>
          <w:rFonts w:ascii="Verdana" w:hAnsi="Verdana" w:cs="Arial"/>
          <w:sz w:val="16"/>
          <w:szCs w:val="16"/>
        </w:rPr>
        <w:t>Al respecto ver el concepto 1712 de 2 de febrero de 2006. Consejo de Estado Sala de Consulta y Servicio Civil”.</w:t>
      </w:r>
    </w:p>
  </w:footnote>
  <w:footnote w:id="12">
    <w:p w14:paraId="08B054E9" w14:textId="77777777" w:rsidR="00FF4E35" w:rsidRPr="00D50FED" w:rsidRDefault="00FF4E35" w:rsidP="00FF4E35">
      <w:pPr>
        <w:pStyle w:val="Textonotapie"/>
        <w:snapToGrid w:val="0"/>
        <w:ind w:firstLine="709"/>
        <w:contextualSpacing/>
        <w:jc w:val="both"/>
        <w:rPr>
          <w:rFonts w:ascii="Verdana" w:hAnsi="Verdana" w:cs="Arial"/>
          <w:sz w:val="16"/>
          <w:szCs w:val="16"/>
        </w:rPr>
      </w:pPr>
      <w:r w:rsidRPr="00D50FED">
        <w:rPr>
          <w:rStyle w:val="Refdenotaalpie"/>
          <w:rFonts w:ascii="Verdana" w:hAnsi="Verdana" w:cs="Arial"/>
          <w:sz w:val="16"/>
          <w:szCs w:val="16"/>
        </w:rPr>
        <w:footnoteRef/>
      </w:r>
      <w:r w:rsidRPr="00D50FED">
        <w:rPr>
          <w:rFonts w:ascii="Verdana" w:hAnsi="Verdana" w:cs="Arial"/>
          <w:sz w:val="16"/>
          <w:szCs w:val="16"/>
        </w:rPr>
        <w:t xml:space="preserve"> Consejo de Estado. Sala de Consulta y Servicio Civil. Concepto del 2 de septiembre de 2013. Radicación número: 11001-03-06-000-2013-00412-00 (2168). Consejero Ponente: Álvaro </w:t>
      </w:r>
      <w:r w:rsidRPr="00D50FED">
        <w:rPr>
          <w:rFonts w:ascii="Verdana" w:hAnsi="Verdana" w:cs="Arial"/>
          <w:sz w:val="16"/>
          <w:szCs w:val="16"/>
        </w:rPr>
        <w:t>Namén Vargas.</w:t>
      </w:r>
    </w:p>
  </w:footnote>
  <w:footnote w:id="13">
    <w:p w14:paraId="6FB625B7" w14:textId="77777777" w:rsidR="00FF4E35" w:rsidRPr="00D50FED" w:rsidRDefault="00FF4E35" w:rsidP="00FF4E35">
      <w:pPr>
        <w:pStyle w:val="Textonotapie"/>
        <w:snapToGrid w:val="0"/>
        <w:ind w:firstLine="709"/>
        <w:contextualSpacing/>
        <w:jc w:val="both"/>
        <w:rPr>
          <w:rFonts w:ascii="Verdana" w:hAnsi="Verdana" w:cs="Arial"/>
          <w:sz w:val="16"/>
          <w:szCs w:val="16"/>
          <w:lang w:val="es-ES"/>
        </w:rPr>
      </w:pPr>
      <w:r w:rsidRPr="00D50FED">
        <w:rPr>
          <w:rStyle w:val="Refdenotaalpie"/>
          <w:rFonts w:ascii="Verdana" w:hAnsi="Verdana" w:cs="Arial"/>
          <w:sz w:val="16"/>
          <w:szCs w:val="16"/>
        </w:rPr>
        <w:footnoteRef/>
      </w:r>
      <w:r w:rsidRPr="00D50FED">
        <w:rPr>
          <w:rFonts w:ascii="Verdana" w:hAnsi="Verdana" w:cs="Arial"/>
          <w:sz w:val="16"/>
          <w:szCs w:val="16"/>
        </w:rPr>
        <w:t xml:space="preserve"> </w:t>
      </w:r>
      <w:r w:rsidRPr="00D50FED">
        <w:rPr>
          <w:rFonts w:ascii="Verdana" w:hAnsi="Verdana" w:cs="Arial"/>
          <w:sz w:val="16"/>
          <w:szCs w:val="16"/>
          <w:lang w:val="es-ES"/>
        </w:rPr>
        <w:t xml:space="preserve">Artículo 2. </w:t>
      </w:r>
    </w:p>
  </w:footnote>
  <w:footnote w:id="14">
    <w:p w14:paraId="39D1CABA" w14:textId="77777777" w:rsidR="00FF4E35" w:rsidRPr="00D50FED" w:rsidRDefault="00FF4E35" w:rsidP="00FF4E35">
      <w:pPr>
        <w:pStyle w:val="Textonotapie"/>
        <w:snapToGrid w:val="0"/>
        <w:ind w:firstLine="709"/>
        <w:contextualSpacing/>
        <w:jc w:val="both"/>
        <w:rPr>
          <w:rFonts w:ascii="Verdana" w:hAnsi="Verdana" w:cs="Arial"/>
          <w:sz w:val="16"/>
          <w:szCs w:val="16"/>
          <w:lang w:val="es-ES"/>
        </w:rPr>
      </w:pPr>
      <w:r w:rsidRPr="00D50FED">
        <w:rPr>
          <w:rStyle w:val="Refdenotaalpie"/>
          <w:rFonts w:ascii="Verdana" w:hAnsi="Verdana" w:cs="Arial"/>
          <w:sz w:val="16"/>
          <w:szCs w:val="16"/>
        </w:rPr>
        <w:footnoteRef/>
      </w:r>
      <w:r w:rsidRPr="00D50FED">
        <w:rPr>
          <w:rFonts w:ascii="Verdana" w:hAnsi="Verdana" w:cs="Arial"/>
          <w:sz w:val="16"/>
          <w:szCs w:val="16"/>
        </w:rPr>
        <w:t xml:space="preserve"> </w:t>
      </w:r>
      <w:r w:rsidRPr="00D50FED">
        <w:rPr>
          <w:rFonts w:ascii="Verdana" w:hAnsi="Verdana" w:cs="Arial"/>
          <w:i/>
          <w:sz w:val="16"/>
          <w:szCs w:val="16"/>
          <w:lang w:val="es-ES"/>
        </w:rPr>
        <w:t>Ídem</w:t>
      </w:r>
      <w:r w:rsidRPr="00D50FED">
        <w:rPr>
          <w:rFonts w:ascii="Verdana" w:hAnsi="Verdana" w:cs="Arial"/>
          <w:sz w:val="16"/>
          <w:szCs w:val="16"/>
          <w:lang w:val="es-ES"/>
        </w:rPr>
        <w:t>.</w:t>
      </w:r>
    </w:p>
  </w:footnote>
  <w:footnote w:id="15">
    <w:p w14:paraId="405B151E" w14:textId="77777777" w:rsidR="00FF4E35" w:rsidRPr="00D50FED" w:rsidRDefault="00FF4E35" w:rsidP="00FF4E35">
      <w:pPr>
        <w:pStyle w:val="Textonotapie"/>
        <w:snapToGrid w:val="0"/>
        <w:ind w:firstLine="709"/>
        <w:contextualSpacing/>
        <w:jc w:val="both"/>
        <w:rPr>
          <w:rFonts w:ascii="Verdana" w:hAnsi="Verdana" w:cs="Arial"/>
          <w:sz w:val="16"/>
          <w:szCs w:val="16"/>
        </w:rPr>
      </w:pPr>
      <w:r w:rsidRPr="00D50FED">
        <w:rPr>
          <w:rStyle w:val="Refdenotaalpie"/>
          <w:rFonts w:ascii="Verdana" w:hAnsi="Verdana" w:cs="Arial"/>
          <w:sz w:val="16"/>
          <w:szCs w:val="16"/>
        </w:rPr>
        <w:footnoteRef/>
      </w:r>
      <w:r w:rsidRPr="00D50FED">
        <w:rPr>
          <w:rFonts w:ascii="Verdana" w:hAnsi="Verdana" w:cs="Arial"/>
          <w:sz w:val="16"/>
          <w:szCs w:val="16"/>
        </w:rPr>
        <w:t xml:space="preserve"> Consejo de Estado. Sala de Consulta y Servicio Civil. Concepto del 08 de mayo de 2018. </w:t>
      </w:r>
      <w:r w:rsidRPr="00D50FED">
        <w:rPr>
          <w:rFonts w:ascii="Verdana" w:hAnsi="Verdana" w:cs="Arial"/>
          <w:sz w:val="16"/>
          <w:szCs w:val="16"/>
        </w:rPr>
        <w:t>Exp. 2.382. C.P. Álvaro Namén Vargas.</w:t>
      </w:r>
    </w:p>
  </w:footnote>
  <w:footnote w:id="16">
    <w:p w14:paraId="0145E7AF" w14:textId="77777777" w:rsidR="00FF4E35" w:rsidRPr="00D50FED" w:rsidRDefault="00FF4E35" w:rsidP="00FF4E35">
      <w:pPr>
        <w:pStyle w:val="Textonotapie"/>
        <w:snapToGrid w:val="0"/>
        <w:ind w:firstLine="708"/>
        <w:contextualSpacing/>
        <w:jc w:val="both"/>
        <w:rPr>
          <w:rFonts w:ascii="Verdana" w:hAnsi="Verdana"/>
          <w:sz w:val="16"/>
          <w:szCs w:val="16"/>
          <w:lang w:val="es-ES"/>
        </w:rPr>
      </w:pPr>
      <w:r w:rsidRPr="00D50FED">
        <w:rPr>
          <w:rStyle w:val="Refdenotaalpie"/>
          <w:rFonts w:ascii="Verdana" w:hAnsi="Verdana"/>
          <w:sz w:val="16"/>
          <w:szCs w:val="16"/>
        </w:rPr>
        <w:footnoteRef/>
      </w:r>
      <w:r w:rsidRPr="00D50FED">
        <w:rPr>
          <w:rFonts w:ascii="Verdana" w:hAnsi="Verdana"/>
          <w:sz w:val="16"/>
          <w:szCs w:val="16"/>
        </w:rPr>
        <w:t xml:space="preserve"> </w:t>
      </w:r>
      <w:r w:rsidRPr="00D50FED">
        <w:rPr>
          <w:rFonts w:ascii="Verdana" w:eastAsia="Calibri" w:hAnsi="Verdana" w:cs="Arial"/>
          <w:sz w:val="16"/>
          <w:szCs w:val="16"/>
          <w:lang w:val="es-ES"/>
        </w:rPr>
        <w:t xml:space="preserve">Consejo de Estado, Sala de Consulta y Servicio Civil, Concepto de fecha 8 de mayo de 2018, No. </w:t>
      </w:r>
      <w:r w:rsidRPr="00D50FED">
        <w:rPr>
          <w:rFonts w:ascii="Verdana" w:hAnsi="Verdana"/>
          <w:sz w:val="16"/>
          <w:szCs w:val="16"/>
          <w:lang w:val="es-CO"/>
        </w:rPr>
        <w:t>2382.</w:t>
      </w:r>
      <w:r w:rsidRPr="00D50FED">
        <w:rPr>
          <w:rFonts w:ascii="Verdana" w:hAnsi="Verdana"/>
          <w:sz w:val="16"/>
          <w:szCs w:val="16"/>
        </w:rPr>
        <w:t xml:space="preserve"> </w:t>
      </w:r>
      <w:r w:rsidRPr="00D50FED">
        <w:rPr>
          <w:rFonts w:ascii="Verdana" w:hAnsi="Verdana"/>
          <w:sz w:val="16"/>
          <w:szCs w:val="16"/>
          <w:lang w:val="es-CO"/>
        </w:rPr>
        <w:t xml:space="preserve">C. P. Álvaro </w:t>
      </w:r>
      <w:r w:rsidRPr="00D50FED">
        <w:rPr>
          <w:rFonts w:ascii="Verdana" w:hAnsi="Verdana"/>
          <w:sz w:val="16"/>
          <w:szCs w:val="16"/>
          <w:lang w:val="es-CO"/>
        </w:rPr>
        <w:t>Namén Vargas.</w:t>
      </w:r>
    </w:p>
  </w:footnote>
  <w:footnote w:id="17">
    <w:p w14:paraId="71D5D87F" w14:textId="77777777" w:rsidR="00FF4E35" w:rsidRPr="00D50FED" w:rsidRDefault="00FF4E35" w:rsidP="00FF4E35">
      <w:pPr>
        <w:snapToGrid w:val="0"/>
        <w:spacing w:after="0" w:line="240" w:lineRule="auto"/>
        <w:ind w:firstLine="709"/>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18">
    <w:p w14:paraId="33DF7B9F" w14:textId="77777777" w:rsidR="00FF4E35" w:rsidRPr="00D50FED" w:rsidRDefault="00FF4E35" w:rsidP="00FF4E35">
      <w:pPr>
        <w:pStyle w:val="Textonotapie"/>
        <w:snapToGrid w:val="0"/>
        <w:ind w:firstLine="708"/>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Corte Constitucional. Sentencia C-1153 de 2005 M.P. Marco Gerardo Monroy Cabra. </w:t>
      </w:r>
    </w:p>
  </w:footnote>
  <w:footnote w:id="19">
    <w:p w14:paraId="1F964EF7" w14:textId="77777777" w:rsidR="00FF4E35" w:rsidRPr="00D50FED" w:rsidRDefault="00FF4E35" w:rsidP="00FF4E35">
      <w:pPr>
        <w:pStyle w:val="Textonotapie"/>
        <w:snapToGrid w:val="0"/>
        <w:ind w:firstLine="708"/>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Consejo de Estado. Sala de Consulta y Servicio Civil. Concepto del 18 de febrero 2010. Rad. 11001-03-06-000-2010-00006-00 (1985). C.P. Enrique José Arboleda Perdomo.</w:t>
      </w:r>
    </w:p>
  </w:footnote>
  <w:footnote w:id="20">
    <w:p w14:paraId="64602927" w14:textId="77777777" w:rsidR="00FF4E35" w:rsidRPr="00D50FED" w:rsidRDefault="00FF4E35" w:rsidP="00FF4E35">
      <w:pPr>
        <w:pStyle w:val="Textonotapie"/>
        <w:snapToGrid w:val="0"/>
        <w:ind w:firstLine="708"/>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Consejo de Estado. Sala de Consulta y Servicio Civil. Concepto del 02 de septiembre de 2013. Rad. 11001-03-06-000-2013-00412-00 (2168). C.P. Álvaro </w:t>
      </w:r>
      <w:r w:rsidRPr="00D50FED">
        <w:rPr>
          <w:rFonts w:ascii="Verdana" w:hAnsi="Verdana" w:cs="Arial"/>
          <w:color w:val="000000" w:themeColor="text1"/>
          <w:sz w:val="16"/>
          <w:szCs w:val="16"/>
        </w:rPr>
        <w:t>Namén Vargas.</w:t>
      </w:r>
    </w:p>
  </w:footnote>
  <w:footnote w:id="21">
    <w:p w14:paraId="5817ABB0" w14:textId="77777777" w:rsidR="00FF4E35" w:rsidRPr="00D50FED" w:rsidRDefault="00FF4E35" w:rsidP="00FF4E35">
      <w:pPr>
        <w:pStyle w:val="Textonotapie"/>
        <w:snapToGrid w:val="0"/>
        <w:ind w:firstLine="709"/>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Consejo de Estado. Sala de Consulta y Servicio Civil. Concepto de 20 de febrero de2006. Radicación 11001-03-06-000-2006-00023-00(1724). Consejero Ponente: Flavio Augusto Rodríguez Arce.</w:t>
      </w:r>
    </w:p>
  </w:footnote>
  <w:footnote w:id="22">
    <w:p w14:paraId="1F2255B5" w14:textId="77777777" w:rsidR="00FF4E35" w:rsidRPr="00D50FED" w:rsidRDefault="00FF4E35" w:rsidP="00FF4E35">
      <w:pPr>
        <w:snapToGrid w:val="0"/>
        <w:spacing w:after="0" w:line="240" w:lineRule="auto"/>
        <w:ind w:firstLine="709"/>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Decreto 1082 de 2015: «Artículo 2.2.1.2.1.4.4. Convenios o contratos interadministrativos. La modalidad de selección para la contratación entre Entidades Estatales es la contratación directa; </w:t>
      </w:r>
      <w:r w:rsidRPr="00D50FED">
        <w:rPr>
          <w:rFonts w:ascii="Verdana" w:hAnsi="Verdana" w:cs="Arial"/>
          <w:color w:val="000000" w:themeColor="text1"/>
          <w:sz w:val="16"/>
          <w:szCs w:val="16"/>
        </w:rPr>
        <w:t>y en consecuencia, le es aplicable lo establecido en el artículo 2.2.1.2.1.4.1 del presente decreto.</w:t>
      </w:r>
    </w:p>
    <w:p w14:paraId="033EC145" w14:textId="77777777" w:rsidR="00FF4E35" w:rsidRPr="00D50FED" w:rsidRDefault="00FF4E35" w:rsidP="00FF4E35">
      <w:pPr>
        <w:snapToGrid w:val="0"/>
        <w:spacing w:after="0" w:line="240" w:lineRule="auto"/>
        <w:ind w:firstLine="709"/>
        <w:contextualSpacing/>
        <w:jc w:val="both"/>
        <w:rPr>
          <w:rFonts w:ascii="Verdana" w:hAnsi="Verdana" w:cs="Arial"/>
          <w:color w:val="000000" w:themeColor="text1"/>
          <w:sz w:val="16"/>
          <w:szCs w:val="16"/>
        </w:rPr>
      </w:pPr>
      <w:r w:rsidRPr="00D50FED">
        <w:rPr>
          <w:rFonts w:ascii="Verdana" w:hAnsi="Verdana" w:cs="Arial"/>
          <w:color w:val="000000" w:themeColor="text1"/>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50FED">
        <w:rPr>
          <w:rFonts w:ascii="Verdana" w:hAnsi="Verdana" w:cs="Arial"/>
          <w:color w:val="000000" w:themeColor="text1"/>
          <w:spacing w:val="-1"/>
          <w:sz w:val="16"/>
          <w:szCs w:val="16"/>
        </w:rPr>
        <w:t xml:space="preserve"> </w:t>
      </w:r>
      <w:r w:rsidRPr="00D50FED">
        <w:rPr>
          <w:rFonts w:ascii="Verdana" w:hAnsi="Verdana" w:cs="Arial"/>
          <w:color w:val="000000" w:themeColor="text1"/>
          <w:sz w:val="16"/>
          <w:szCs w:val="16"/>
        </w:rPr>
        <w:t>Estatales».</w:t>
      </w:r>
    </w:p>
  </w:footnote>
  <w:footnote w:id="23">
    <w:p w14:paraId="1989369B" w14:textId="77777777" w:rsidR="00FF4E35" w:rsidRPr="00D50FED" w:rsidRDefault="00FF4E35" w:rsidP="00FF4E35">
      <w:pPr>
        <w:snapToGrid w:val="0"/>
        <w:spacing w:after="0" w:line="240" w:lineRule="auto"/>
        <w:ind w:firstLine="709"/>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D50FED">
        <w:rPr>
          <w:rFonts w:ascii="Verdana" w:hAnsi="Verdana" w:cs="Arial"/>
          <w:color w:val="000000" w:themeColor="text1"/>
          <w:spacing w:val="-6"/>
          <w:sz w:val="16"/>
          <w:szCs w:val="16"/>
        </w:rPr>
        <w:t xml:space="preserve"> </w:t>
      </w:r>
      <w:r w:rsidRPr="00D50FED">
        <w:rPr>
          <w:rFonts w:ascii="Verdana" w:hAnsi="Verdana" w:cs="Arial"/>
          <w:color w:val="000000" w:themeColor="text1"/>
          <w:sz w:val="16"/>
          <w:szCs w:val="16"/>
        </w:rPr>
        <w:t>artículo”.</w:t>
      </w:r>
    </w:p>
  </w:footnote>
  <w:footnote w:id="24">
    <w:p w14:paraId="4000972D" w14:textId="77777777" w:rsidR="00FF4E35" w:rsidRPr="00D50FED" w:rsidRDefault="00FF4E35" w:rsidP="00FF4E35">
      <w:pPr>
        <w:pStyle w:val="Textonotapie"/>
        <w:snapToGrid w:val="0"/>
        <w:contextualSpacing/>
        <w:jc w:val="both"/>
        <w:rPr>
          <w:rFonts w:ascii="Verdana" w:hAnsi="Verdana"/>
          <w:sz w:val="16"/>
          <w:szCs w:val="16"/>
        </w:rPr>
      </w:pPr>
      <w:r w:rsidRPr="00D50FED">
        <w:rPr>
          <w:rStyle w:val="Refdenotaalpie"/>
          <w:rFonts w:ascii="Verdana" w:hAnsi="Verdana"/>
          <w:sz w:val="16"/>
          <w:szCs w:val="16"/>
        </w:rPr>
        <w:footnoteRef/>
      </w:r>
      <w:r w:rsidRPr="00D50FED">
        <w:rPr>
          <w:rFonts w:ascii="Verdana" w:hAnsi="Verdana"/>
          <w:sz w:val="16"/>
          <w:szCs w:val="16"/>
        </w:rPr>
        <w:t xml:space="preserve"> Mediante auto de 4 de octubre del 2024, expediente 70.313, la </w:t>
      </w:r>
      <w:r w:rsidRPr="00D50FED">
        <w:rPr>
          <w:rFonts w:ascii="Verdana" w:hAnsi="Verdana"/>
          <w:sz w:val="16"/>
          <w:szCs w:val="16"/>
        </w:rPr>
        <w:t xml:space="preserve">Sección Tercera del Consejo de Estado decretó medida de suspensión provisional parcial del numeral 16.2 de la Circular Externa Única de 2022 expedida por la Agencia Nacional de Contratación Pública -Colombia Compra Eficiente-, concretamente, respecto de los siguientes apartes normativos: i) el inciso segundo 2 que dispone: “Esta restricción es aplicable tanto a los convenios como a los contratos interadministrativos, toda vez que, al no existir definición legal que diferencie el concepto de convenio del concepto de contrato, la denominación prevista por la Ley 80 de 1993 y la Ley 1150 de 2007 para tal fin se entenderán en el mismo sentido. Es así como el Decreto 1082 de 2015 trata indistintamente a los convenios y contratos interadministrativos, al establecer la contratación directa como la modalidad de selección para la contratación entre entidades públicas a través de estas dos figuras jurídicas” y, ii) la expresión y el siguiente párrafo contenidos en el inciso cuarto “contratos” y “En este sentido, la prohibición que establece el parágrafo del artículo 38 de la Ley de Garantías consiste en evitar que los recursos del Estado se ejecuten para lograr apoyos indebidos mediante la suscripción de contratos y/o convenios, que, para efectos de la Ley de Garantías, tienen la misma connotación y propósito”. </w:t>
      </w:r>
    </w:p>
    <w:p w14:paraId="71B47309" w14:textId="77777777" w:rsidR="00FF4E35" w:rsidRPr="00D50FED" w:rsidRDefault="00FF4E35" w:rsidP="00FF4E35">
      <w:pPr>
        <w:pStyle w:val="Textonotapie"/>
        <w:snapToGrid w:val="0"/>
        <w:contextualSpacing/>
        <w:jc w:val="both"/>
        <w:rPr>
          <w:rFonts w:ascii="Verdana" w:hAnsi="Verdana"/>
          <w:sz w:val="16"/>
          <w:szCs w:val="16"/>
        </w:rPr>
      </w:pPr>
    </w:p>
  </w:footnote>
  <w:footnote w:id="25">
    <w:p w14:paraId="1A8DBE48" w14:textId="77777777" w:rsidR="00F367C0" w:rsidRPr="004D7A1D" w:rsidRDefault="00F367C0" w:rsidP="00F367C0">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lang w:val="es-CO"/>
        </w:rPr>
        <w:t xml:space="preserve"> Consejo de Estado, Sección Tercera. Auto del 4 de octubre de 2024. </w:t>
      </w:r>
      <w:r w:rsidRPr="001D30AB">
        <w:rPr>
          <w:rFonts w:ascii="Verdana" w:hAnsi="Verdana"/>
          <w:sz w:val="18"/>
          <w:szCs w:val="18"/>
          <w:lang w:val="es-CO"/>
        </w:rPr>
        <w:t>Exp. 70.313. C.P: Fredy Ibarra Martínez.</w:t>
      </w:r>
    </w:p>
  </w:footnote>
  <w:footnote w:id="26">
    <w:p w14:paraId="4AC9879A" w14:textId="77777777" w:rsidR="00F367C0" w:rsidRPr="001D30AB" w:rsidRDefault="00F367C0" w:rsidP="00F367C0">
      <w:pPr>
        <w:pStyle w:val="Textonotapie"/>
        <w:ind w:firstLine="709"/>
        <w:contextualSpacing/>
        <w:jc w:val="both"/>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La parte resolutiva del auto dispone lo siguiente; “</w:t>
      </w:r>
      <w:r w:rsidRPr="001D30AB">
        <w:rPr>
          <w:rFonts w:ascii="Verdana" w:hAnsi="Verdana"/>
          <w:b/>
          <w:sz w:val="18"/>
          <w:szCs w:val="18"/>
          <w:lang w:val="es-CO"/>
        </w:rPr>
        <w:t xml:space="preserve">PRIMERO: DECRETAR </w:t>
      </w:r>
      <w:r w:rsidRPr="001D30AB">
        <w:rPr>
          <w:rFonts w:ascii="Verdana" w:hAnsi="Verdana"/>
          <w:sz w:val="18"/>
          <w:szCs w:val="18"/>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1D30AB">
        <w:rPr>
          <w:rFonts w:ascii="Verdana" w:hAnsi="Verdana"/>
          <w:i/>
          <w:sz w:val="18"/>
          <w:szCs w:val="18"/>
          <w:lang w:val="es-CO"/>
        </w:rPr>
        <w:t>“[e]</w:t>
      </w:r>
      <w:r w:rsidRPr="001D30AB">
        <w:rPr>
          <w:rFonts w:ascii="Verdana" w:hAnsi="Verdana"/>
          <w:i/>
          <w:sz w:val="18"/>
          <w:szCs w:val="18"/>
          <w:lang w:val="es-CO"/>
        </w:rPr>
        <w:t>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1D30AB">
        <w:rPr>
          <w:rFonts w:ascii="Verdana" w:hAnsi="Verdana"/>
          <w:sz w:val="18"/>
          <w:szCs w:val="18"/>
          <w:lang w:val="es-CO"/>
        </w:rPr>
        <w:t xml:space="preserve">, por las razones expuestas en precedencia. </w:t>
      </w:r>
    </w:p>
    <w:p w14:paraId="306408AC" w14:textId="77777777" w:rsidR="00F367C0" w:rsidRPr="00591AA5" w:rsidRDefault="00F367C0" w:rsidP="00F367C0">
      <w:pPr>
        <w:pStyle w:val="Textonotapie"/>
        <w:ind w:firstLine="709"/>
        <w:contextualSpacing/>
        <w:jc w:val="both"/>
        <w:rPr>
          <w:rFonts w:ascii="Verdana" w:hAnsi="Verdana"/>
          <w:sz w:val="18"/>
          <w:szCs w:val="18"/>
          <w:lang w:val="es-CO"/>
        </w:rPr>
      </w:pPr>
      <w:r w:rsidRPr="001D30AB">
        <w:rPr>
          <w:rFonts w:ascii="Verdana" w:hAnsi="Verdana"/>
          <w:b/>
          <w:sz w:val="18"/>
          <w:szCs w:val="18"/>
          <w:lang w:val="es-CO"/>
        </w:rPr>
        <w:t xml:space="preserve">SEGUNDO: DECRETAR </w:t>
      </w:r>
      <w:r w:rsidRPr="001D30AB">
        <w:rPr>
          <w:rFonts w:ascii="Verdana" w:hAnsi="Verdana"/>
          <w:sz w:val="18"/>
          <w:szCs w:val="18"/>
          <w:lang w:val="es-CO"/>
        </w:rPr>
        <w:t>la suspensión provisional de la expresión “</w:t>
      </w:r>
      <w:r w:rsidRPr="001D30AB">
        <w:rPr>
          <w:rFonts w:ascii="Verdana" w:hAnsi="Verdana"/>
          <w:i/>
          <w:sz w:val="18"/>
          <w:szCs w:val="18"/>
          <w:lang w:val="es-CO"/>
        </w:rPr>
        <w:t>contratos</w:t>
      </w:r>
      <w:r w:rsidRPr="001D30AB">
        <w:rPr>
          <w:rFonts w:ascii="Verdana" w:hAnsi="Verdana"/>
          <w:sz w:val="18"/>
          <w:szCs w:val="18"/>
          <w:lang w:val="es-CO"/>
        </w:rPr>
        <w:t xml:space="preserve">” y del párrafo </w:t>
      </w:r>
      <w:r w:rsidRPr="001D30AB">
        <w:rPr>
          <w:rFonts w:ascii="Verdana" w:hAnsi="Verdana"/>
          <w:i/>
          <w:sz w:val="18"/>
          <w:szCs w:val="18"/>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1D30AB">
        <w:rPr>
          <w:rFonts w:ascii="Verdana" w:hAnsi="Verdana"/>
          <w:sz w:val="18"/>
          <w:szCs w:val="18"/>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Florez. </w:t>
      </w:r>
    </w:p>
  </w:footnote>
  <w:footnote w:id="27">
    <w:p w14:paraId="08AD6D47" w14:textId="77777777" w:rsidR="00F367C0" w:rsidRPr="001D30AB" w:rsidRDefault="00F367C0" w:rsidP="00F367C0">
      <w:pPr>
        <w:spacing w:after="0" w:line="240" w:lineRule="auto"/>
        <w:ind w:firstLine="709"/>
        <w:contextualSpacing/>
        <w:jc w:val="both"/>
        <w:rPr>
          <w:rFonts w:ascii="Verdana" w:eastAsia="Times New Roman" w:hAnsi="Verdana" w:cs="Times New Roman"/>
          <w:sz w:val="18"/>
          <w:szCs w:val="18"/>
          <w:lang w:eastAsia="es-ES"/>
        </w:rPr>
      </w:pPr>
      <w:r w:rsidRPr="001D30AB">
        <w:rPr>
          <w:rStyle w:val="Refdenotaalpie"/>
          <w:rFonts w:ascii="Verdana" w:hAnsi="Verdana"/>
          <w:sz w:val="18"/>
          <w:szCs w:val="18"/>
        </w:rPr>
        <w:footnoteRef/>
      </w:r>
      <w:r w:rsidRPr="001D30AB">
        <w:rPr>
          <w:rFonts w:ascii="Verdana" w:hAnsi="Verdana"/>
          <w:sz w:val="18"/>
          <w:szCs w:val="18"/>
        </w:rPr>
        <w:t xml:space="preserve"> </w:t>
      </w:r>
      <w:r w:rsidRPr="001D30AB">
        <w:rPr>
          <w:rFonts w:ascii="Verdana" w:eastAsia="Times New Roman" w:hAnsi="Verdana" w:cs="Times New Roman"/>
          <w:sz w:val="18"/>
          <w:szCs w:val="18"/>
          <w:lang w:eastAsia="es-ES"/>
        </w:rPr>
        <w:t xml:space="preserve">Consejo de Estado. Sala de lo Contencioso Administrativo. Sección Tercera. Subsección B. 17 de octubre de 2025. Magistrado Ponente: Fredy Ibarra Martínez.  </w:t>
      </w:r>
      <w:r w:rsidRPr="001D30AB">
        <w:rPr>
          <w:rFonts w:ascii="Verdana" w:hAnsi="Verdana"/>
          <w:sz w:val="18"/>
          <w:szCs w:val="18"/>
        </w:rPr>
        <w:t xml:space="preserve">La parte de la providencia señala: </w:t>
      </w:r>
      <w:r w:rsidRPr="001D30AB">
        <w:rPr>
          <w:rFonts w:ascii="Verdana" w:eastAsia="Times New Roman" w:hAnsi="Verdana" w:cs="Times New Roman"/>
          <w:sz w:val="18"/>
          <w:szCs w:val="18"/>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r w:rsidRPr="001D30AB">
        <w:rPr>
          <w:rFonts w:ascii="Verdana" w:eastAsia="Times New Roman" w:hAnsi="Verdana" w:cs="Times New Roman"/>
          <w:sz w:val="18"/>
          <w:szCs w:val="18"/>
          <w:lang w:eastAsia="es-ES"/>
        </w:rPr>
        <w:t>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8">
    <w:p w14:paraId="0045F884" w14:textId="77777777" w:rsidR="00F367C0" w:rsidRPr="001D30AB" w:rsidRDefault="00F367C0" w:rsidP="00F367C0">
      <w:pPr>
        <w:pStyle w:val="Textonotapie"/>
        <w:ind w:firstLine="709"/>
        <w:rPr>
          <w:rFonts w:ascii="Verdana" w:hAnsi="Verdana"/>
          <w:sz w:val="18"/>
          <w:szCs w:val="18"/>
          <w:lang w:val="es-CO"/>
        </w:rPr>
      </w:pPr>
      <w:r w:rsidRPr="001D30AB">
        <w:rPr>
          <w:rStyle w:val="Refdenotaalpie"/>
          <w:rFonts w:ascii="Verdana" w:hAnsi="Verdana"/>
          <w:sz w:val="18"/>
          <w:szCs w:val="18"/>
        </w:rPr>
        <w:footnoteRef/>
      </w:r>
      <w:r w:rsidRPr="001D30AB">
        <w:rPr>
          <w:rFonts w:ascii="Verdana" w:hAnsi="Verdana"/>
          <w:sz w:val="18"/>
          <w:szCs w:val="18"/>
        </w:rPr>
        <w:t xml:space="preserve"> No </w:t>
      </w:r>
      <w:r w:rsidRPr="001D30AB">
        <w:rPr>
          <w:rFonts w:ascii="Verdana" w:hAnsi="Verdana"/>
          <w:sz w:val="18"/>
          <w:szCs w:val="18"/>
        </w:rPr>
        <w:t>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 w:id="29">
    <w:p w14:paraId="32AE0A5E" w14:textId="77777777" w:rsidR="00FF4E35" w:rsidRPr="00D50FED" w:rsidRDefault="00FF4E35" w:rsidP="00FF4E35">
      <w:pPr>
        <w:pStyle w:val="Textonotapie"/>
        <w:snapToGrid w:val="0"/>
        <w:ind w:firstLine="708"/>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Lo anterior, salvo que se traten de organismos internacionales que se rijan por normas internacionales y se financien con cargo a recursos de esos organismos (Cfr. Colombia Compra Eficiente. Concepto C-559 del 31 de agosto de 2021). </w:t>
      </w:r>
    </w:p>
  </w:footnote>
  <w:footnote w:id="30">
    <w:p w14:paraId="59D099C7" w14:textId="77777777" w:rsidR="00FF4E35" w:rsidRPr="00D50FED" w:rsidRDefault="00FF4E35" w:rsidP="00FF4E35">
      <w:pPr>
        <w:snapToGrid w:val="0"/>
        <w:spacing w:after="0" w:line="240" w:lineRule="auto"/>
        <w:ind w:firstLine="709"/>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Corte Constitucional. Sentencia C- 474 del 10 de mayo de 2005, Magistrado Ponente: Humberto Antonio Sierra Porto. Sentencia C - 428 de 1994 del 29 de septiembre de 1994, Magistrado Ponente, Antonio Barrera Carbonell.</w:t>
      </w:r>
    </w:p>
    <w:p w14:paraId="32A85B22" w14:textId="77777777" w:rsidR="00FF4E35" w:rsidRPr="00D50FED" w:rsidRDefault="00FF4E35" w:rsidP="00FF4E35">
      <w:pPr>
        <w:snapToGrid w:val="0"/>
        <w:spacing w:after="0" w:line="240" w:lineRule="auto"/>
        <w:ind w:left="300" w:firstLine="709"/>
        <w:contextualSpacing/>
        <w:jc w:val="both"/>
        <w:rPr>
          <w:rFonts w:ascii="Verdana" w:hAnsi="Verdana" w:cs="Arial"/>
          <w:color w:val="000000" w:themeColor="text1"/>
          <w:sz w:val="16"/>
          <w:szCs w:val="16"/>
        </w:rPr>
      </w:pPr>
    </w:p>
  </w:footnote>
  <w:footnote w:id="31">
    <w:p w14:paraId="7FBCFA25" w14:textId="77777777" w:rsidR="00FF4E35" w:rsidRPr="00D50FED" w:rsidRDefault="00FF4E35" w:rsidP="00FF4E35">
      <w:pPr>
        <w:snapToGrid w:val="0"/>
        <w:spacing w:after="0" w:line="240" w:lineRule="auto"/>
        <w:ind w:firstLine="709"/>
        <w:contextualSpacing/>
        <w:jc w:val="both"/>
        <w:rPr>
          <w:rFonts w:ascii="Verdana" w:eastAsia="Times New Roman" w:hAnsi="Verdana" w:cs="Arial"/>
          <w:color w:val="000000" w:themeColor="text1"/>
          <w:sz w:val="16"/>
          <w:szCs w:val="16"/>
          <w:shd w:val="clear" w:color="auto" w:fill="FFFFFF"/>
          <w:lang w:eastAsia="es-ES_tradnl"/>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Pr>
          <w:rFonts w:ascii="Verdana" w:hAnsi="Verdana" w:cs="Arial"/>
          <w:color w:val="000000" w:themeColor="text1"/>
          <w:sz w:val="16"/>
          <w:szCs w:val="16"/>
        </w:rPr>
        <w:t>“</w:t>
      </w:r>
      <w:r w:rsidRPr="00D50FED">
        <w:rPr>
          <w:rFonts w:ascii="Verdana" w:eastAsia="Times New Roman" w:hAnsi="Verdana" w:cs="Arial"/>
          <w:color w:val="000000" w:themeColor="text1"/>
          <w:sz w:val="16"/>
          <w:szCs w:val="16"/>
          <w:shd w:val="clear" w:color="auto" w:fill="FFFFFF"/>
          <w:lang w:eastAsia="es-ES_tradnl"/>
        </w:rPr>
        <w:t>Por la cual se dictan normas sobre planes de desarrollo municipal, compraventa y expropiación de bienes y se dictan otras disposiciones</w:t>
      </w:r>
      <w:r>
        <w:rPr>
          <w:rFonts w:ascii="Verdana" w:eastAsia="Times New Roman" w:hAnsi="Verdana" w:cs="Arial"/>
          <w:color w:val="000000" w:themeColor="text1"/>
          <w:sz w:val="16"/>
          <w:szCs w:val="16"/>
          <w:shd w:val="clear" w:color="auto" w:fill="FFFFFF"/>
          <w:lang w:eastAsia="es-ES_tradnl"/>
        </w:rPr>
        <w:t>”</w:t>
      </w:r>
      <w:r w:rsidRPr="00D50FED">
        <w:rPr>
          <w:rFonts w:ascii="Verdana" w:eastAsia="Times New Roman" w:hAnsi="Verdana" w:cs="Arial"/>
          <w:color w:val="000000" w:themeColor="text1"/>
          <w:sz w:val="16"/>
          <w:szCs w:val="16"/>
          <w:shd w:val="clear" w:color="auto" w:fill="FFFFFF"/>
          <w:lang w:eastAsia="es-ES_tradnl"/>
        </w:rPr>
        <w:t>. En el Capítulo III se reguló específicamente la adquisición de bienes por enajenación voluntaria y por expropiación.</w:t>
      </w:r>
    </w:p>
    <w:p w14:paraId="0FD552A2" w14:textId="77777777" w:rsidR="00FF4E35" w:rsidRPr="004471A1" w:rsidRDefault="00FF4E35" w:rsidP="00FF4E35">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Fonts w:ascii="Verdana" w:eastAsia="Times New Roman" w:hAnsi="Verdana" w:cs="Arial"/>
          <w:color w:val="000000" w:themeColor="text1"/>
          <w:sz w:val="16"/>
          <w:szCs w:val="16"/>
          <w:lang w:eastAsia="es-ES_tradnl"/>
        </w:rPr>
        <w:t xml:space="preserve">Esta normativa se expidió con fundamento el acto legislativo 1 de 1936, que había modificado el artículo 30 de la Constitución Política de 1886, a cuyo tenor: </w:t>
      </w:r>
      <w:r>
        <w:rPr>
          <w:rFonts w:ascii="Verdana" w:eastAsia="Times New Roman" w:hAnsi="Verdana" w:cs="Arial"/>
          <w:color w:val="000000" w:themeColor="text1"/>
          <w:sz w:val="16"/>
          <w:szCs w:val="16"/>
          <w:lang w:eastAsia="es-ES_tradnl"/>
        </w:rPr>
        <w:t>“</w:t>
      </w:r>
      <w:r w:rsidRPr="00D50FED">
        <w:rPr>
          <w:rFonts w:ascii="Verdana" w:eastAsia="Times New Roman" w:hAnsi="Verdana" w:cs="Arial"/>
          <w:color w:val="000000" w:themeColor="text1"/>
          <w:sz w:val="16"/>
          <w:szCs w:val="16"/>
          <w:lang w:eastAsia="es-ES_tradnl"/>
        </w:rPr>
        <w:t>Artículo 30. Se garantizan la propiedad privada y los demás derechos adquiridos con justo título, con arreglo a las leyes civiles, por personas naturales o jurídicas, los cuales no pueden ser desconocidos ni vulnerados por leyes posteriores. Cuando de la aplicación de una ley expedida por motivos de utilidad pública o interés social, resultaren en conflicto los derechos de particulares con la necesidad reconocida por la misma ley, el interés privado deberá ceder ante el interés público o social. // La propiedad es una función social que implica obligaciones. // Por motivos de utilidad pública o de interés social definidos por el legislador, podrá haber expropiación, mediante sentencia judicial e indemnización previa. // Con todo, el legislador, por razones de equidad, podrá determinar los casos en que no haya lugar a indemnización, mediante el voto favorable de la mayoría absoluta de los miembros de una y otra Cámara</w:t>
      </w:r>
      <w:r>
        <w:rPr>
          <w:rFonts w:ascii="Verdana" w:eastAsia="Times New Roman" w:hAnsi="Verdana" w:cs="Arial"/>
          <w:color w:val="000000" w:themeColor="text1"/>
          <w:sz w:val="16"/>
          <w:szCs w:val="16"/>
          <w:lang w:eastAsia="es-ES_tradnl"/>
        </w:rPr>
        <w:t>”</w:t>
      </w:r>
      <w:r w:rsidRPr="00D50FED">
        <w:rPr>
          <w:rFonts w:ascii="Verdana" w:eastAsia="Times New Roman" w:hAnsi="Verdana" w:cs="Arial"/>
          <w:color w:val="000000" w:themeColor="text1"/>
          <w:sz w:val="16"/>
          <w:szCs w:val="16"/>
          <w:lang w:eastAsia="es-ES_tradnl"/>
        </w:rPr>
        <w:t>.</w:t>
      </w:r>
    </w:p>
  </w:footnote>
  <w:footnote w:id="32">
    <w:p w14:paraId="05CFC7A1" w14:textId="77777777" w:rsidR="00FF4E35" w:rsidRPr="00D50FED" w:rsidRDefault="00FF4E35" w:rsidP="00FF4E35">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eastAsia="Times New Roman" w:hAnsi="Verdana" w:cs="Arial"/>
          <w:color w:val="000000" w:themeColor="text1"/>
          <w:sz w:val="16"/>
          <w:szCs w:val="16"/>
          <w:lang w:eastAsia="es-ES_tradnl"/>
        </w:rPr>
        <w:t>Por la cual se modifica la Ley 9 de 1989, y la Ley 2 de 1991 y se dictan otras disposiciones.</w:t>
      </w:r>
    </w:p>
  </w:footnote>
  <w:footnote w:id="33">
    <w:p w14:paraId="0F2A1680" w14:textId="77777777" w:rsidR="00FF4E35" w:rsidRPr="004471A1" w:rsidRDefault="00FF4E35" w:rsidP="00FF4E35">
      <w:pPr>
        <w:snapToGrid w:val="0"/>
        <w:spacing w:after="0" w:line="240" w:lineRule="auto"/>
        <w:ind w:firstLine="709"/>
        <w:contextualSpacing/>
        <w:jc w:val="both"/>
        <w:rPr>
          <w:rFonts w:ascii="Verdana" w:eastAsia="Times New Roman" w:hAnsi="Verdana" w:cs="Arial"/>
          <w:b/>
          <w:bCs/>
          <w:color w:val="000000" w:themeColor="text1"/>
          <w:sz w:val="16"/>
          <w:szCs w:val="16"/>
          <w:shd w:val="clear" w:color="auto" w:fill="FFFFFF"/>
          <w:lang w:eastAsia="es-ES_tradnl"/>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hAnsi="Verdana" w:cs="Arial"/>
          <w:color w:val="000000" w:themeColor="text1"/>
          <w:sz w:val="16"/>
          <w:szCs w:val="16"/>
          <w:lang w:val="es-ES"/>
        </w:rPr>
        <w:t xml:space="preserve">Consejo de Estado. Sala de Consulta y Servicio Civil. Concepto del 10 de abril de 2008. Rad. </w:t>
      </w:r>
      <w:r w:rsidRPr="00D50FED">
        <w:rPr>
          <w:rFonts w:ascii="Verdana" w:eastAsia="Times New Roman" w:hAnsi="Verdana" w:cs="Arial"/>
          <w:color w:val="000000" w:themeColor="text1"/>
          <w:sz w:val="16"/>
          <w:szCs w:val="16"/>
          <w:shd w:val="clear" w:color="auto" w:fill="FFFFFF"/>
          <w:lang w:eastAsia="es-ES_tradnl"/>
        </w:rPr>
        <w:t>11001-03-06-000-2008-00017-00. M.P. Gustavo Aponte Santos.</w:t>
      </w:r>
      <w:r w:rsidRPr="00D50FED">
        <w:rPr>
          <w:rFonts w:ascii="Verdana" w:eastAsia="Times New Roman" w:hAnsi="Verdana" w:cs="Arial"/>
          <w:b/>
          <w:bCs/>
          <w:color w:val="000000" w:themeColor="text1"/>
          <w:sz w:val="16"/>
          <w:szCs w:val="16"/>
          <w:shd w:val="clear" w:color="auto" w:fill="FFFFFF"/>
          <w:lang w:eastAsia="es-ES_tradnl"/>
        </w:rPr>
        <w:t xml:space="preserve"> </w:t>
      </w:r>
    </w:p>
  </w:footnote>
  <w:footnote w:id="34">
    <w:p w14:paraId="5CADEA04" w14:textId="77777777" w:rsidR="00FF4E35" w:rsidRPr="00D50FED" w:rsidRDefault="00FF4E35" w:rsidP="00FF4E35">
      <w:pPr>
        <w:pStyle w:val="Textonotapie"/>
        <w:snapToGrid w:val="0"/>
        <w:ind w:firstLine="709"/>
        <w:contextualSpacing/>
        <w:jc w:val="both"/>
        <w:rPr>
          <w:rFonts w:ascii="Verdana" w:hAnsi="Verdana" w:cs="Arial"/>
          <w:color w:val="000000" w:themeColor="text1"/>
          <w:sz w:val="16"/>
          <w:szCs w:val="16"/>
          <w:lang w:val="es-CO"/>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sidRPr="00D50FED">
        <w:rPr>
          <w:rFonts w:ascii="Verdana" w:hAnsi="Verdana" w:cs="Arial"/>
          <w:color w:val="000000" w:themeColor="text1"/>
          <w:sz w:val="16"/>
          <w:szCs w:val="16"/>
          <w:lang w:val="es-CO"/>
        </w:rPr>
        <w:t>Corte Constitucional. Sentencia C - 1074 de 4 de diciembre de 2002. M.P. Manuel José Cepeda Espinoza.</w:t>
      </w:r>
    </w:p>
  </w:footnote>
  <w:footnote w:id="35">
    <w:p w14:paraId="16F77A2A" w14:textId="77777777" w:rsidR="00FF4E35" w:rsidRPr="00D50FED" w:rsidRDefault="00FF4E35" w:rsidP="00FF4E35">
      <w:pPr>
        <w:snapToGrid w:val="0"/>
        <w:spacing w:after="0" w:line="240" w:lineRule="auto"/>
        <w:ind w:firstLine="708"/>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Corte Constitucional, Sala Plena, Magistrado Ponente: Luis Ernesto Vargas Silva, Sentencia C - 669 de 28 de octubre de 2015.</w:t>
      </w:r>
    </w:p>
  </w:footnote>
  <w:footnote w:id="36">
    <w:p w14:paraId="2F166783" w14:textId="77777777" w:rsidR="00FF4E35" w:rsidRPr="00D50FED" w:rsidRDefault="00FF4E35" w:rsidP="00FF4E35">
      <w:pPr>
        <w:pStyle w:val="Textonotapie"/>
        <w:snapToGrid w:val="0"/>
        <w:ind w:firstLine="709"/>
        <w:contextualSpacing/>
        <w:jc w:val="both"/>
        <w:rPr>
          <w:rFonts w:ascii="Verdana" w:hAnsi="Verdana" w:cs="Arial"/>
          <w:color w:val="000000" w:themeColor="text1"/>
          <w:sz w:val="16"/>
          <w:szCs w:val="16"/>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w:t>
      </w:r>
      <w:r>
        <w:rPr>
          <w:rFonts w:ascii="Verdana" w:hAnsi="Verdana" w:cs="Arial"/>
          <w:color w:val="000000" w:themeColor="text1"/>
          <w:sz w:val="16"/>
          <w:szCs w:val="16"/>
        </w:rPr>
        <w:t>“</w:t>
      </w:r>
      <w:r w:rsidRPr="00D50FED">
        <w:rPr>
          <w:rFonts w:ascii="Verdana" w:hAnsi="Verdana" w:cs="Arial"/>
          <w:color w:val="000000" w:themeColor="text1"/>
          <w:sz w:val="16"/>
          <w:szCs w:val="16"/>
        </w:rPr>
        <w:t>La expropiación no es un contrato, no es una venta, ni siquiera forzada, como la que se verifica en subasta pública en determinados casos; es una figura esencialmente distinta, de derecho público, enderezada al bien de la comunidad y en virtud de la cual, por motivos superiores, la Administración toma la propiedad particular, y como esta medida genera un daño, y no un precio, se satisface mediante una indemnización. Se indemniza el perjuicio en diferentes órdenes de la responsabilidad contractual y extracontractual, y se indemniza al expropiado el daño que para él implica esta forma de expropiación –que opera contra su voluntad- pero en provecho público</w:t>
      </w:r>
      <w:r>
        <w:rPr>
          <w:rFonts w:ascii="Verdana" w:hAnsi="Verdana" w:cs="Arial"/>
          <w:color w:val="000000" w:themeColor="text1"/>
          <w:sz w:val="16"/>
          <w:szCs w:val="16"/>
        </w:rPr>
        <w:t>”</w:t>
      </w:r>
      <w:r w:rsidRPr="00D50FED">
        <w:rPr>
          <w:rFonts w:ascii="Verdana" w:hAnsi="Verdana" w:cs="Arial"/>
          <w:color w:val="000000" w:themeColor="text1"/>
          <w:sz w:val="16"/>
          <w:szCs w:val="16"/>
        </w:rPr>
        <w:t>. (Corte Constitucional. Sentencia C - 153 de 24 de marzo de 1994. M.P. Alejandro Martínez Caballero).</w:t>
      </w:r>
    </w:p>
  </w:footnote>
  <w:footnote w:id="37">
    <w:p w14:paraId="098DE6A8" w14:textId="77777777" w:rsidR="00FF4E35" w:rsidRPr="00D50FED" w:rsidRDefault="00FF4E35" w:rsidP="00FF4E35">
      <w:pPr>
        <w:snapToGrid w:val="0"/>
        <w:spacing w:after="0" w:line="240" w:lineRule="auto"/>
        <w:ind w:firstLine="709"/>
        <w:contextualSpacing/>
        <w:jc w:val="both"/>
        <w:rPr>
          <w:rFonts w:ascii="Verdana" w:eastAsia="Times New Roman" w:hAnsi="Verdana" w:cs="Arial"/>
          <w:color w:val="000000" w:themeColor="text1"/>
          <w:sz w:val="16"/>
          <w:szCs w:val="16"/>
          <w:lang w:eastAsia="es-ES_tradnl"/>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Una vez otorgada la correspondiente escritura pública de compraventa, esta deberá ser inscrita en la Oficina de Instrumentos Públicos respectiva, conforme a lo previsto en el artículo 14 de la Ley 9 de 1989, modificado por el artículo 34 de la Ley 3 de 1991</w:t>
      </w:r>
      <w:r w:rsidRPr="00D50FED">
        <w:rPr>
          <w:rFonts w:ascii="Verdana" w:eastAsia="Times New Roman" w:hAnsi="Verdana" w:cs="Arial"/>
          <w:color w:val="000000" w:themeColor="text1"/>
          <w:sz w:val="16"/>
          <w:szCs w:val="16"/>
          <w:lang w:eastAsia="es-ES_tradnl"/>
        </w:rPr>
        <w:t>.</w:t>
      </w:r>
    </w:p>
  </w:footnote>
  <w:footnote w:id="38">
    <w:p w14:paraId="23D67B3F" w14:textId="77777777" w:rsidR="00FF4E35" w:rsidRPr="00D50FED" w:rsidRDefault="00FF4E35" w:rsidP="00FF4E35">
      <w:pPr>
        <w:pStyle w:val="Textonotapie"/>
        <w:snapToGrid w:val="0"/>
        <w:ind w:firstLine="708"/>
        <w:contextualSpacing/>
        <w:jc w:val="both"/>
        <w:rPr>
          <w:rFonts w:ascii="Verdana" w:hAnsi="Verdana" w:cs="Arial"/>
          <w:color w:val="000000" w:themeColor="text1"/>
          <w:sz w:val="16"/>
          <w:szCs w:val="16"/>
          <w:lang w:val="es-CO"/>
        </w:rPr>
      </w:pPr>
      <w:r w:rsidRPr="00D50FED">
        <w:rPr>
          <w:rStyle w:val="Refdenotaalpie"/>
          <w:rFonts w:ascii="Verdana" w:hAnsi="Verdana" w:cs="Arial"/>
          <w:color w:val="000000" w:themeColor="text1"/>
          <w:sz w:val="16"/>
          <w:szCs w:val="16"/>
        </w:rPr>
        <w:footnoteRef/>
      </w:r>
      <w:r w:rsidRPr="00D50FED">
        <w:rPr>
          <w:rFonts w:ascii="Verdana" w:hAnsi="Verdana" w:cs="Arial"/>
          <w:color w:val="000000" w:themeColor="text1"/>
          <w:sz w:val="16"/>
          <w:szCs w:val="16"/>
        </w:rPr>
        <w:t xml:space="preserve"> Postura que también fue desarrollada con mayor detalle en el concepto con radicado de salida No. 2201913000008597 del 19 de noviembre de 2019 –rad. De entrada 2201913000008597–, proferido por esta Agencia. (Disponible en: </w:t>
      </w:r>
      <w:hyperlink r:id="rId1" w:history="1">
        <w:r w:rsidRPr="00D50FED">
          <w:rPr>
            <w:rStyle w:val="Hipervnculo"/>
            <w:rFonts w:ascii="Verdana" w:hAnsi="Verdana" w:cs="Arial"/>
            <w:color w:val="000000" w:themeColor="text1"/>
            <w:sz w:val="16"/>
            <w:szCs w:val="16"/>
          </w:rPr>
          <w:t>https://relatoria.colombiacompra.gov.co/ficha/4201912000005718</w:t>
        </w:r>
      </w:hyperlink>
      <w:r w:rsidRPr="00D50FED">
        <w:rPr>
          <w:rFonts w:ascii="Verdana" w:hAnsi="Verdana" w:cs="Arial"/>
          <w:color w:val="000000" w:themeColor="text1"/>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DFE6C8D"/>
    <w:multiLevelType w:val="hybridMultilevel"/>
    <w:tmpl w:val="78E2F300"/>
    <w:lvl w:ilvl="0" w:tplc="0409000F">
      <w:start w:val="1"/>
      <w:numFmt w:val="decimal"/>
      <w:lvlText w:val="%1."/>
      <w:lvlJc w:val="left"/>
      <w:pPr>
        <w:ind w:left="1070" w:hanging="360"/>
      </w:p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153255849">
    <w:abstractNumId w:val="10"/>
  </w:num>
  <w:num w:numId="18" w16cid:durableId="48450957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FB5"/>
    <w:rsid w:val="00046945"/>
    <w:rsid w:val="00061B2A"/>
    <w:rsid w:val="000751C3"/>
    <w:rsid w:val="00082362"/>
    <w:rsid w:val="000A683E"/>
    <w:rsid w:val="000B19B9"/>
    <w:rsid w:val="000B3A84"/>
    <w:rsid w:val="000D0334"/>
    <w:rsid w:val="000D5DA7"/>
    <w:rsid w:val="000F6486"/>
    <w:rsid w:val="00116940"/>
    <w:rsid w:val="00125105"/>
    <w:rsid w:val="00127233"/>
    <w:rsid w:val="00153F68"/>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7145"/>
    <w:rsid w:val="00322A85"/>
    <w:rsid w:val="00324168"/>
    <w:rsid w:val="00330834"/>
    <w:rsid w:val="003448F4"/>
    <w:rsid w:val="00374F5E"/>
    <w:rsid w:val="00377E3E"/>
    <w:rsid w:val="003A779E"/>
    <w:rsid w:val="003D0F4D"/>
    <w:rsid w:val="003D5B0D"/>
    <w:rsid w:val="003E0499"/>
    <w:rsid w:val="003E19D8"/>
    <w:rsid w:val="003E4F80"/>
    <w:rsid w:val="003E6439"/>
    <w:rsid w:val="003F3941"/>
    <w:rsid w:val="00406575"/>
    <w:rsid w:val="00414C74"/>
    <w:rsid w:val="0042722E"/>
    <w:rsid w:val="0044528D"/>
    <w:rsid w:val="00466E39"/>
    <w:rsid w:val="00473657"/>
    <w:rsid w:val="004A1847"/>
    <w:rsid w:val="004A305D"/>
    <w:rsid w:val="004F21C4"/>
    <w:rsid w:val="004F685F"/>
    <w:rsid w:val="005566E8"/>
    <w:rsid w:val="00574867"/>
    <w:rsid w:val="00591460"/>
    <w:rsid w:val="005A65E0"/>
    <w:rsid w:val="005B5E22"/>
    <w:rsid w:val="005C3777"/>
    <w:rsid w:val="005C5CDC"/>
    <w:rsid w:val="005D476C"/>
    <w:rsid w:val="005F44A9"/>
    <w:rsid w:val="006200BF"/>
    <w:rsid w:val="006219F8"/>
    <w:rsid w:val="006302F7"/>
    <w:rsid w:val="0063753D"/>
    <w:rsid w:val="00646B9F"/>
    <w:rsid w:val="00665D70"/>
    <w:rsid w:val="006900D9"/>
    <w:rsid w:val="006D495A"/>
    <w:rsid w:val="006E3691"/>
    <w:rsid w:val="00706C16"/>
    <w:rsid w:val="007340C3"/>
    <w:rsid w:val="0075235A"/>
    <w:rsid w:val="00756841"/>
    <w:rsid w:val="007649AB"/>
    <w:rsid w:val="00771D0C"/>
    <w:rsid w:val="007833AC"/>
    <w:rsid w:val="0078404E"/>
    <w:rsid w:val="007A2AE8"/>
    <w:rsid w:val="007B268C"/>
    <w:rsid w:val="007B7171"/>
    <w:rsid w:val="007C0C0F"/>
    <w:rsid w:val="007C3DC2"/>
    <w:rsid w:val="007E5497"/>
    <w:rsid w:val="00806F5F"/>
    <w:rsid w:val="00820278"/>
    <w:rsid w:val="008258C9"/>
    <w:rsid w:val="0083205F"/>
    <w:rsid w:val="00844AE9"/>
    <w:rsid w:val="00864BA3"/>
    <w:rsid w:val="00867F95"/>
    <w:rsid w:val="008843B6"/>
    <w:rsid w:val="00891928"/>
    <w:rsid w:val="00897BAA"/>
    <w:rsid w:val="008A446D"/>
    <w:rsid w:val="008B25F1"/>
    <w:rsid w:val="008D180B"/>
    <w:rsid w:val="008E6AC9"/>
    <w:rsid w:val="008F0EA7"/>
    <w:rsid w:val="00923EEF"/>
    <w:rsid w:val="009419F9"/>
    <w:rsid w:val="0095685E"/>
    <w:rsid w:val="00961B09"/>
    <w:rsid w:val="00965334"/>
    <w:rsid w:val="0097093E"/>
    <w:rsid w:val="009A0DFA"/>
    <w:rsid w:val="009A1C6F"/>
    <w:rsid w:val="009B2D26"/>
    <w:rsid w:val="009C373D"/>
    <w:rsid w:val="009C71FA"/>
    <w:rsid w:val="009C72E7"/>
    <w:rsid w:val="009C7F7E"/>
    <w:rsid w:val="009D3058"/>
    <w:rsid w:val="009F0808"/>
    <w:rsid w:val="009F3A13"/>
    <w:rsid w:val="009F6069"/>
    <w:rsid w:val="00A122D3"/>
    <w:rsid w:val="00A14468"/>
    <w:rsid w:val="00A17F13"/>
    <w:rsid w:val="00A20739"/>
    <w:rsid w:val="00A23AF9"/>
    <w:rsid w:val="00A33C78"/>
    <w:rsid w:val="00AA1E1A"/>
    <w:rsid w:val="00AB0ADB"/>
    <w:rsid w:val="00AB31F6"/>
    <w:rsid w:val="00B00C0E"/>
    <w:rsid w:val="00B01B1A"/>
    <w:rsid w:val="00B0381D"/>
    <w:rsid w:val="00B175EE"/>
    <w:rsid w:val="00B44A47"/>
    <w:rsid w:val="00B534EC"/>
    <w:rsid w:val="00B61460"/>
    <w:rsid w:val="00B72CD3"/>
    <w:rsid w:val="00B72FFF"/>
    <w:rsid w:val="00B95BC2"/>
    <w:rsid w:val="00BC3D36"/>
    <w:rsid w:val="00BD54A6"/>
    <w:rsid w:val="00BD7F72"/>
    <w:rsid w:val="00BF7425"/>
    <w:rsid w:val="00C04FB3"/>
    <w:rsid w:val="00C11D8B"/>
    <w:rsid w:val="00C15139"/>
    <w:rsid w:val="00C330EB"/>
    <w:rsid w:val="00C50D69"/>
    <w:rsid w:val="00C5365C"/>
    <w:rsid w:val="00C638AE"/>
    <w:rsid w:val="00C754BE"/>
    <w:rsid w:val="00C76B1C"/>
    <w:rsid w:val="00C856BC"/>
    <w:rsid w:val="00C925AC"/>
    <w:rsid w:val="00CB3620"/>
    <w:rsid w:val="00CB6357"/>
    <w:rsid w:val="00CC1B26"/>
    <w:rsid w:val="00CD60B2"/>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35B6"/>
    <w:rsid w:val="00F23FEA"/>
    <w:rsid w:val="00F31EDC"/>
    <w:rsid w:val="00F367C0"/>
    <w:rsid w:val="00F462B3"/>
    <w:rsid w:val="00F5664F"/>
    <w:rsid w:val="00F666C4"/>
    <w:rsid w:val="00F76AFC"/>
    <w:rsid w:val="00FA47C0"/>
    <w:rsid w:val="00FB5DD1"/>
    <w:rsid w:val="00FC2B5D"/>
    <w:rsid w:val="00FE6859"/>
    <w:rsid w:val="00FF1449"/>
    <w:rsid w:val="00FF4E35"/>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F4E35"/>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F4E35"/>
    <w:rPr>
      <w:rFonts w:ascii="Geomanist Light" w:hAnsi="Geomanist Light"/>
      <w:lang w:val="es-ES"/>
    </w:rPr>
  </w:style>
  <w:style w:type="character" w:customStyle="1" w:styleId="NormalWebCar">
    <w:name w:val="Normal (Web) Car"/>
    <w:link w:val="NormalWeb"/>
    <w:uiPriority w:val="99"/>
    <w:locked/>
    <w:rsid w:val="00FF4E35"/>
    <w:rPr>
      <w:rFonts w:ascii="Times New Roman" w:eastAsia="Times New Roman" w:hAnsi="Times New Roman" w:cs="Times New Roman"/>
      <w:sz w:val="24"/>
      <w:szCs w:val="24"/>
      <w:lang w:eastAsia="es-CO"/>
    </w:rPr>
  </w:style>
  <w:style w:type="character" w:customStyle="1" w:styleId="baj">
    <w:name w:val="b_aj"/>
    <w:basedOn w:val="Fuentedeprrafopredeter"/>
    <w:rsid w:val="00FF4E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wp-content/uploads/2025/09/006-de-2025-Circular-Externa-L996-ajustado-comentarios-BM-BID-Rev-ARSC-V3.d-1.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20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ficha/4201912000005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2419F5C-6194-493C-99DA-EFB3786D941B}">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D525D9B1-3670-453D-8B01-B355900353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29</Pages>
  <Words>9340</Words>
  <Characters>50629</Characters>
  <Application>Microsoft Office Word</Application>
  <DocSecurity>0</DocSecurity>
  <Lines>937</Lines>
  <Paragraphs>182</Paragraphs>
  <ScaleCrop>false</ScaleCrop>
  <Company/>
  <LinksUpToDate>false</LinksUpToDate>
  <CharactersWithSpaces>59787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2025-12-02T20:54:00Z</dcterms:created>
  <dcterms:modified xsi:type="dcterms:W3CDTF">2025-12-03T14:06:00Z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