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4B6E6" w14:textId="77777777" w:rsidR="004B3741" w:rsidRPr="00EF76DD" w:rsidRDefault="004B3741" w:rsidP="004B3741">
      <w:pPr>
        <w:jc w:val="both"/>
        <w:rPr>
          <w:rFonts w:ascii="Verdana" w:eastAsia="Calibri" w:hAnsi="Verdana" w:cs="Arial"/>
          <w:b/>
          <w:bCs/>
          <w:lang w:val="es-ES" w:eastAsia="es-ES"/>
        </w:rPr>
      </w:pPr>
      <w:bookmarkStart w:id="0" w:name="_Hlk181166130"/>
      <w:bookmarkStart w:id="1" w:name="_Hlk209714638"/>
      <w:r w:rsidRPr="00EF76DD">
        <w:rPr>
          <w:rFonts w:ascii="Verdana" w:eastAsia="Calibri" w:hAnsi="Verdana" w:cs="Arial"/>
          <w:b/>
          <w:bCs/>
          <w:lang w:val="es-ES" w:eastAsia="es-ES"/>
        </w:rPr>
        <w:t xml:space="preserve">PRINCIPIO DE PUBLICIDAD – SECOP – Documentos del proceso – Deber de publicación </w:t>
      </w:r>
    </w:p>
    <w:p w14:paraId="216985E0" w14:textId="77777777" w:rsidR="004B3741" w:rsidRPr="00887A8D" w:rsidRDefault="004B3741" w:rsidP="004B3741">
      <w:pPr>
        <w:jc w:val="both"/>
        <w:rPr>
          <w:rFonts w:ascii="Verdana" w:eastAsia="Calibri" w:hAnsi="Verdana" w:cs="Arial"/>
          <w:sz w:val="20"/>
          <w:szCs w:val="20"/>
          <w:lang w:val="es-ES" w:eastAsia="es-ES"/>
        </w:rPr>
      </w:pPr>
      <w:r w:rsidRPr="00887A8D">
        <w:rPr>
          <w:rFonts w:ascii="Verdana" w:hAnsi="Verdana" w:cs="Arial"/>
          <w:sz w:val="20"/>
          <w:szCs w:val="20"/>
          <w:lang w:val="es-ES"/>
        </w:rPr>
        <w:t>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887A8D">
        <w:rPr>
          <w:rFonts w:ascii="Verdana" w:eastAsia="Arial" w:hAnsi="Verdana" w:cs="Arial"/>
          <w:sz w:val="20"/>
          <w:szCs w:val="20"/>
          <w:lang w:val="es-ES"/>
        </w:rPr>
        <w:t xml:space="preserve"> </w:t>
      </w:r>
    </w:p>
    <w:p w14:paraId="6841A0A3" w14:textId="77777777" w:rsidR="004B3741" w:rsidRDefault="004B3741" w:rsidP="004B3741">
      <w:pPr>
        <w:jc w:val="both"/>
        <w:rPr>
          <w:rFonts w:ascii="Verdana" w:eastAsia="Arial" w:hAnsi="Verdana" w:cs="Arial"/>
          <w:sz w:val="20"/>
          <w:szCs w:val="20"/>
          <w:lang w:val="es-ES"/>
        </w:rPr>
      </w:pPr>
      <w:r w:rsidRPr="00887A8D">
        <w:rPr>
          <w:rFonts w:ascii="Verdana" w:eastAsia="Arial" w:hAnsi="Verdana" w:cs="Arial"/>
          <w:sz w:val="20"/>
          <w:szCs w:val="20"/>
          <w:lang w:val="es-ES"/>
        </w:rPr>
        <w:t>No obstante, para identificar los documentos que deben publicarse, es necesario realizar una interpretación sistemática de las disposiciones del Decreto 1082 del 2015, comoquiera que el anterior no es un listado taxativo, sino enunciativo. […]</w:t>
      </w:r>
    </w:p>
    <w:p w14:paraId="38BC8B3F" w14:textId="77777777" w:rsidR="004B3741" w:rsidRPr="00887A8D" w:rsidRDefault="004B3741" w:rsidP="004B3741">
      <w:pPr>
        <w:spacing w:line="276" w:lineRule="auto"/>
        <w:jc w:val="both"/>
        <w:rPr>
          <w:rFonts w:ascii="Verdana" w:eastAsia="Calibri" w:hAnsi="Verdana" w:cs="Arial"/>
          <w:b/>
          <w:lang w:val="es-ES_tradnl"/>
        </w:rPr>
      </w:pPr>
      <w:r w:rsidRPr="00887A8D">
        <w:rPr>
          <w:rFonts w:ascii="Verdana" w:eastAsia="Calibri" w:hAnsi="Verdana" w:cs="Arial"/>
          <w:b/>
          <w:lang w:val="es-ES_tradnl" w:eastAsia="es-ES_tradnl"/>
        </w:rPr>
        <w:t>PUBLICIDAD – SECOP – Fundamento Normativo – Ley 1712 de 2014 –</w:t>
      </w:r>
      <w:r w:rsidRPr="00887A8D">
        <w:rPr>
          <w:rFonts w:ascii="Verdana" w:eastAsia="Calibri" w:hAnsi="Verdana" w:cs="Arial"/>
          <w:b/>
          <w:lang w:val="es-ES_tradnl"/>
        </w:rPr>
        <w:t xml:space="preserve"> Decreto 108</w:t>
      </w:r>
      <w:r>
        <w:rPr>
          <w:rFonts w:ascii="Verdana" w:eastAsia="Calibri" w:hAnsi="Verdana" w:cs="Arial"/>
          <w:b/>
          <w:lang w:val="es-ES_tradnl"/>
        </w:rPr>
        <w:t>2</w:t>
      </w:r>
      <w:r w:rsidRPr="00887A8D">
        <w:rPr>
          <w:rFonts w:ascii="Verdana" w:eastAsia="Calibri" w:hAnsi="Verdana" w:cs="Arial"/>
          <w:b/>
          <w:lang w:val="es-ES_tradnl"/>
        </w:rPr>
        <w:t xml:space="preserve"> de 2015</w:t>
      </w:r>
      <w:r w:rsidRPr="00887A8D">
        <w:rPr>
          <w:rFonts w:ascii="Verdana" w:eastAsia="Calibri" w:hAnsi="Verdana" w:cs="Arial"/>
          <w:b/>
          <w:lang w:val="es-ES_tradnl" w:eastAsia="es-ES_tradnl"/>
        </w:rPr>
        <w:t xml:space="preserve"> </w:t>
      </w:r>
    </w:p>
    <w:p w14:paraId="3436B74B" w14:textId="77777777" w:rsidR="004B3741" w:rsidRDefault="004B3741" w:rsidP="1230A0EF">
      <w:pPr>
        <w:spacing w:after="120" w:line="240" w:lineRule="auto"/>
        <w:jc w:val="both"/>
        <w:rPr>
          <w:rFonts w:ascii="Verdana" w:eastAsia="Calibri" w:hAnsi="Verdana" w:cs="Arial"/>
          <w:sz w:val="20"/>
          <w:szCs w:val="20"/>
          <w:lang w:val="es-ES"/>
        </w:rPr>
      </w:pPr>
      <w:r w:rsidRPr="1230A0EF">
        <w:rPr>
          <w:rFonts w:ascii="Verdana" w:eastAsia="Calibri" w:hAnsi="Verdana" w:cs="Arial"/>
          <w:sz w:val="20"/>
          <w:szCs w:val="20"/>
          <w:lang w:val="es-ES"/>
        </w:rPr>
        <w:t>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La ley citada establece, en el literal e) del artículo 9, que los sujetos obligados, que son todas las entidades públicas, deben publicar la información relativa a su contratación . Esta obligación fue en principio desarrollada por el Decreto 103 de 2015, hoy compilado en el Decreto Único Reglamentario 1082 de 2015, el cual dispuso que la publicación de la información contractual de los sujetos obligados, que contratan con cargo a recursos públicos, debe hacerse en el Sistema Electrónico de Contratación Pública –SECOP– .Asimismo,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3222960F" w14:textId="77777777" w:rsidR="004B3741" w:rsidRDefault="004B3741" w:rsidP="004B3741">
      <w:pPr>
        <w:spacing w:after="120" w:line="240" w:lineRule="auto"/>
        <w:jc w:val="both"/>
        <w:rPr>
          <w:rFonts w:ascii="Verdana" w:eastAsia="Calibri" w:hAnsi="Verdana" w:cs="Arial"/>
          <w:bCs/>
          <w:sz w:val="20"/>
          <w:szCs w:val="20"/>
          <w:lang w:val="es-ES_tradnl"/>
        </w:rPr>
      </w:pPr>
    </w:p>
    <w:p w14:paraId="73E380CF" w14:textId="77777777" w:rsidR="004B3741" w:rsidRPr="00887A8D" w:rsidRDefault="004B3741" w:rsidP="004B3741">
      <w:pPr>
        <w:spacing w:after="120" w:line="240" w:lineRule="auto"/>
        <w:jc w:val="both"/>
        <w:rPr>
          <w:rFonts w:ascii="Verdana" w:eastAsia="Calibri" w:hAnsi="Verdana" w:cs="Arial"/>
          <w:bCs/>
          <w:sz w:val="20"/>
          <w:szCs w:val="20"/>
          <w:lang w:val="es-ES_tradnl"/>
        </w:rPr>
      </w:pPr>
    </w:p>
    <w:p w14:paraId="79D16A59" w14:textId="77777777" w:rsidR="004B3741" w:rsidRPr="00887A8D" w:rsidRDefault="004B3741" w:rsidP="004B3741">
      <w:pPr>
        <w:spacing w:line="276" w:lineRule="auto"/>
        <w:jc w:val="both"/>
        <w:rPr>
          <w:rFonts w:ascii="Verdana" w:eastAsia="Calibri" w:hAnsi="Verdana" w:cs="Arial"/>
          <w:b/>
          <w:lang w:val="es-ES_tradnl"/>
        </w:rPr>
      </w:pPr>
      <w:r w:rsidRPr="00887A8D">
        <w:rPr>
          <w:rFonts w:ascii="Verdana" w:eastAsia="Calibri" w:hAnsi="Verdana" w:cs="Arial"/>
          <w:b/>
          <w:lang w:val="es-ES_tradnl" w:eastAsia="es-ES_tradnl"/>
        </w:rPr>
        <w:lastRenderedPageBreak/>
        <w:t xml:space="preserve">PUBLICIDAD – SECOP – Fundamento Normativo – </w:t>
      </w:r>
      <w:r w:rsidRPr="00887A8D">
        <w:rPr>
          <w:rFonts w:ascii="Verdana" w:eastAsia="Calibri" w:hAnsi="Verdana" w:cs="Arial"/>
          <w:b/>
          <w:lang w:val="es-ES_tradnl"/>
        </w:rPr>
        <w:t xml:space="preserve">Ley 1150 de 2007 - </w:t>
      </w:r>
      <w:r w:rsidRPr="00887A8D">
        <w:rPr>
          <w:rFonts w:ascii="Verdana" w:eastAsia="Calibri" w:hAnsi="Verdana" w:cs="Arial"/>
          <w:b/>
          <w:lang w:val="es-ES_tradnl" w:eastAsia="es-ES_tradnl"/>
        </w:rPr>
        <w:t xml:space="preserve">Ley 2195 de 2022 </w:t>
      </w:r>
    </w:p>
    <w:p w14:paraId="71E9E0EC" w14:textId="77777777" w:rsidR="004B3741" w:rsidRPr="00887A8D" w:rsidRDefault="004B3741" w:rsidP="004B3741">
      <w:pPr>
        <w:spacing w:line="240" w:lineRule="auto"/>
        <w:contextualSpacing/>
        <w:jc w:val="both"/>
        <w:rPr>
          <w:rFonts w:ascii="Verdana" w:eastAsia="Calibri" w:hAnsi="Verdana" w:cs="Arial"/>
          <w:sz w:val="20"/>
          <w:szCs w:val="20"/>
          <w:lang w:val="es-ES_tradnl" w:eastAsia="es-ES_tradnl"/>
        </w:rPr>
      </w:pPr>
      <w:r w:rsidRPr="00887A8D">
        <w:rPr>
          <w:rFonts w:ascii="Verdana" w:hAnsi="Verdana" w:cs="Arial"/>
          <w:sz w:val="20"/>
          <w:szCs w:val="20"/>
          <w:lang w:val="es-ES"/>
        </w:rPr>
        <w:t>Tratándose de los contratos de régimen exceptuado, el deber de publicidad y transparencia fue complementado</w:t>
      </w:r>
      <w:r w:rsidRPr="00887A8D">
        <w:rPr>
          <w:rFonts w:ascii="Verdana" w:hAnsi="Verdana" w:cs="Arial"/>
          <w:sz w:val="20"/>
          <w:szCs w:val="20"/>
        </w:rPr>
        <w:t xml:space="preserve"> con la Ley 2195 de 2022. </w:t>
      </w:r>
      <w:r w:rsidRPr="00887A8D">
        <w:rPr>
          <w:rFonts w:ascii="Verdana" w:eastAsia="Calibri" w:hAnsi="Verdana" w:cs="Arial"/>
          <w:sz w:val="20"/>
          <w:szCs w:val="20"/>
          <w:lang w:val="es-ES_tradnl" w:eastAsia="es-ES_tradnl"/>
        </w:rPr>
        <w:t>Según el artículo 1, esta Ley “</w:t>
      </w:r>
      <w:r w:rsidRPr="00887A8D">
        <w:rPr>
          <w:rFonts w:ascii="Verdana" w:eastAsia="Times New Roman" w:hAnsi="Verdana" w:cs="Arial"/>
          <w:sz w:val="20"/>
          <w:szCs w:val="20"/>
          <w:lang w:val="es-ES_tradnl" w:eastAsia="es-ES_tradnl"/>
        </w:rPr>
        <w:t xml:space="preserve">[…] </w:t>
      </w:r>
      <w:r w:rsidRPr="00887A8D">
        <w:rPr>
          <w:rFonts w:ascii="Verdana" w:eastAsia="Calibri" w:hAnsi="Verdana"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3466C308" w14:textId="77777777" w:rsidR="004B3741" w:rsidRPr="00887A8D" w:rsidRDefault="004B3741" w:rsidP="004B3741">
      <w:pPr>
        <w:spacing w:line="240" w:lineRule="auto"/>
        <w:ind w:firstLine="709"/>
        <w:contextualSpacing/>
        <w:jc w:val="both"/>
        <w:rPr>
          <w:rFonts w:ascii="Verdana" w:eastAsia="Calibri" w:hAnsi="Verdana" w:cs="Arial"/>
          <w:sz w:val="20"/>
          <w:szCs w:val="20"/>
          <w:lang w:val="es-ES_tradnl" w:eastAsia="es-ES_tradnl"/>
        </w:rPr>
      </w:pPr>
    </w:p>
    <w:p w14:paraId="6554E923" w14:textId="77777777" w:rsidR="004B3741" w:rsidRPr="00887A8D" w:rsidRDefault="004B3741" w:rsidP="004B3741">
      <w:pPr>
        <w:jc w:val="both"/>
        <w:rPr>
          <w:rFonts w:ascii="Verdana" w:eastAsia="Calibri" w:hAnsi="Verdana" w:cs="Arial"/>
          <w:sz w:val="20"/>
          <w:szCs w:val="20"/>
          <w:lang w:val="es-ES" w:eastAsia="es-ES"/>
        </w:rPr>
      </w:pPr>
      <w:r w:rsidRPr="00887A8D">
        <w:rPr>
          <w:rFonts w:ascii="Verdana" w:eastAsia="Calibri" w:hAnsi="Verdana" w:cs="Arial"/>
          <w:sz w:val="20"/>
          <w:szCs w:val="20"/>
          <w:lang w:val="es-ES_tradnl" w:eastAsia="es-ES_tradnl"/>
        </w:rPr>
        <w:t xml:space="preserve">Dentro del capítulo VIII, por el cual se expiden “Disposiciones en materia contractual para la moralización y la transparencia”, se ubica </w:t>
      </w:r>
      <w:r w:rsidRPr="00887A8D">
        <w:rPr>
          <w:rFonts w:ascii="Verdana" w:hAnsi="Verdana" w:cs="Arial"/>
          <w:sz w:val="20"/>
          <w:szCs w:val="20"/>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0580DEC0" w14:textId="77777777" w:rsidR="004B3741" w:rsidRPr="00887A8D" w:rsidRDefault="004B3741" w:rsidP="004B3741">
      <w:pPr>
        <w:spacing w:after="0" w:line="240" w:lineRule="auto"/>
        <w:rPr>
          <w:rFonts w:ascii="Verdana" w:hAnsi="Verdana"/>
          <w:sz w:val="20"/>
          <w:szCs w:val="20"/>
        </w:rPr>
      </w:pPr>
    </w:p>
    <w:p w14:paraId="3BEE28F8" w14:textId="77777777" w:rsidR="004B3741" w:rsidRPr="00887A8D" w:rsidRDefault="004B3741" w:rsidP="004B3741">
      <w:pPr>
        <w:spacing w:after="0" w:line="240" w:lineRule="auto"/>
        <w:rPr>
          <w:rFonts w:ascii="Verdana" w:hAnsi="Verdana"/>
          <w:sz w:val="20"/>
          <w:szCs w:val="20"/>
        </w:rPr>
      </w:pPr>
    </w:p>
    <w:p w14:paraId="3AA674EE" w14:textId="77777777" w:rsidR="004B3741" w:rsidRPr="00887A8D" w:rsidRDefault="004B3741" w:rsidP="004B3741">
      <w:pPr>
        <w:spacing w:after="0" w:line="240" w:lineRule="auto"/>
        <w:rPr>
          <w:rFonts w:ascii="Verdana" w:hAnsi="Verdana"/>
          <w:sz w:val="20"/>
          <w:szCs w:val="20"/>
        </w:rPr>
      </w:pPr>
    </w:p>
    <w:p w14:paraId="1EE0A934" w14:textId="77777777" w:rsidR="004B3741" w:rsidRPr="00887A8D" w:rsidRDefault="004B3741" w:rsidP="004B3741">
      <w:pPr>
        <w:spacing w:after="0" w:line="240" w:lineRule="auto"/>
        <w:rPr>
          <w:rFonts w:ascii="Verdana" w:hAnsi="Verdana"/>
          <w:sz w:val="20"/>
          <w:szCs w:val="20"/>
        </w:rPr>
      </w:pPr>
    </w:p>
    <w:p w14:paraId="2BC7E218" w14:textId="77777777" w:rsidR="004B3741" w:rsidRDefault="004B3741" w:rsidP="004B3741">
      <w:pPr>
        <w:spacing w:after="0" w:line="240" w:lineRule="auto"/>
        <w:rPr>
          <w:rFonts w:ascii="Verdana" w:hAnsi="Verdana"/>
        </w:rPr>
      </w:pPr>
    </w:p>
    <w:p w14:paraId="2E398105" w14:textId="77777777" w:rsidR="004B3741" w:rsidRDefault="004B3741" w:rsidP="004B3741">
      <w:pPr>
        <w:spacing w:after="0" w:line="240" w:lineRule="auto"/>
        <w:rPr>
          <w:rFonts w:ascii="Verdana" w:hAnsi="Verdana"/>
        </w:rPr>
      </w:pPr>
    </w:p>
    <w:p w14:paraId="6F176F89" w14:textId="77777777" w:rsidR="004B3741" w:rsidRDefault="004B3741" w:rsidP="004B3741">
      <w:pPr>
        <w:spacing w:after="0" w:line="240" w:lineRule="auto"/>
        <w:rPr>
          <w:rFonts w:ascii="Verdana" w:hAnsi="Verdana"/>
        </w:rPr>
      </w:pPr>
    </w:p>
    <w:p w14:paraId="711EC8FD" w14:textId="77777777" w:rsidR="004B3741" w:rsidRDefault="004B3741" w:rsidP="004B3741">
      <w:pPr>
        <w:spacing w:after="0" w:line="240" w:lineRule="auto"/>
        <w:rPr>
          <w:rFonts w:ascii="Verdana" w:hAnsi="Verdana"/>
        </w:rPr>
      </w:pPr>
    </w:p>
    <w:p w14:paraId="4511733E" w14:textId="77777777" w:rsidR="004B3741" w:rsidRDefault="004B3741" w:rsidP="004B3741">
      <w:pPr>
        <w:spacing w:after="0" w:line="240" w:lineRule="auto"/>
        <w:rPr>
          <w:rFonts w:ascii="Verdana" w:hAnsi="Verdana"/>
        </w:rPr>
      </w:pPr>
    </w:p>
    <w:p w14:paraId="497EE990" w14:textId="77777777" w:rsidR="004B3741" w:rsidRDefault="004B3741" w:rsidP="004B3741">
      <w:pPr>
        <w:spacing w:after="0" w:line="240" w:lineRule="auto"/>
        <w:rPr>
          <w:rFonts w:ascii="Verdana" w:hAnsi="Verdana"/>
        </w:rPr>
      </w:pPr>
    </w:p>
    <w:p w14:paraId="24D32390" w14:textId="77777777" w:rsidR="004B3741" w:rsidRDefault="004B3741" w:rsidP="004B3741">
      <w:pPr>
        <w:spacing w:after="0" w:line="240" w:lineRule="auto"/>
        <w:rPr>
          <w:rFonts w:ascii="Verdana" w:hAnsi="Verdana"/>
        </w:rPr>
      </w:pPr>
    </w:p>
    <w:p w14:paraId="53081484" w14:textId="77777777" w:rsidR="004B3741" w:rsidRDefault="004B3741" w:rsidP="004B3741">
      <w:pPr>
        <w:spacing w:after="0" w:line="240" w:lineRule="auto"/>
        <w:rPr>
          <w:rFonts w:ascii="Verdana" w:hAnsi="Verdana"/>
        </w:rPr>
      </w:pPr>
    </w:p>
    <w:p w14:paraId="7807F78C" w14:textId="77777777" w:rsidR="004B3741" w:rsidRDefault="004B3741" w:rsidP="004B3741">
      <w:pPr>
        <w:spacing w:after="0" w:line="240" w:lineRule="auto"/>
        <w:rPr>
          <w:rFonts w:ascii="Verdana" w:hAnsi="Verdana"/>
        </w:rPr>
      </w:pPr>
    </w:p>
    <w:p w14:paraId="64B0AFC4" w14:textId="4A23E7FB" w:rsidR="004B3741" w:rsidRDefault="004B3741" w:rsidP="004B3741">
      <w:pPr>
        <w:spacing w:after="0" w:line="240" w:lineRule="auto"/>
        <w:rPr>
          <w:rFonts w:ascii="Verdana" w:hAnsi="Verdana"/>
        </w:rPr>
      </w:pPr>
      <w:r>
        <w:rPr>
          <w:rFonts w:ascii="Verdana" w:hAnsi="Verdana"/>
        </w:rPr>
        <w:t>B</w:t>
      </w:r>
      <w:r w:rsidRPr="0044528D">
        <w:rPr>
          <w:rFonts w:ascii="Verdana" w:hAnsi="Verdana"/>
        </w:rPr>
        <w:t xml:space="preserve">ogotá D.C., </w:t>
      </w:r>
      <w:r w:rsidR="008313BE">
        <w:rPr>
          <w:rFonts w:ascii="Verdana" w:hAnsi="Verdana"/>
        </w:rPr>
        <w:t>02</w:t>
      </w:r>
      <w:r>
        <w:rPr>
          <w:rFonts w:ascii="Verdana" w:hAnsi="Verdana"/>
        </w:rPr>
        <w:t xml:space="preserve"> de </w:t>
      </w:r>
      <w:r w:rsidR="008313BE">
        <w:rPr>
          <w:rFonts w:ascii="Verdana" w:hAnsi="Verdana"/>
        </w:rPr>
        <w:t>diciembre</w:t>
      </w:r>
      <w:r>
        <w:rPr>
          <w:rFonts w:ascii="Verdana" w:hAnsi="Verdana"/>
        </w:rPr>
        <w:t xml:space="preserve"> de 2025.</w:t>
      </w:r>
    </w:p>
    <w:bookmarkEnd w:id="0"/>
    <w:p w14:paraId="6953E06C" w14:textId="77777777" w:rsidR="004B3741" w:rsidRDefault="004B3741" w:rsidP="004B3741">
      <w:pPr>
        <w:spacing w:after="0" w:line="240" w:lineRule="auto"/>
        <w:rPr>
          <w:rFonts w:ascii="Verdana" w:hAnsi="Verdana"/>
        </w:rPr>
      </w:pPr>
    </w:p>
    <w:p w14:paraId="21DF2202" w14:textId="252F16C7" w:rsidR="008313BE" w:rsidRDefault="008313BE" w:rsidP="008313BE">
      <w:pPr>
        <w:spacing w:after="0" w:line="240" w:lineRule="auto"/>
        <w:jc w:val="right"/>
        <w:rPr>
          <w:rFonts w:ascii="Verdana" w:hAnsi="Verdana"/>
        </w:rPr>
      </w:pPr>
      <w:r>
        <w:rPr>
          <w:rFonts w:ascii="Verdana" w:hAnsi="Verdana"/>
          <w:noProof/>
        </w:rPr>
        <w:drawing>
          <wp:inline distT="0" distB="0" distL="0" distR="0" wp14:anchorId="3F006F8E" wp14:editId="221F488D">
            <wp:extent cx="2286000" cy="609600"/>
            <wp:effectExtent l="0" t="0" r="0" b="0"/>
            <wp:docPr id="18725887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609600"/>
                    </a:xfrm>
                    <a:prstGeom prst="rect">
                      <a:avLst/>
                    </a:prstGeom>
                    <a:noFill/>
                    <a:ln>
                      <a:noFill/>
                    </a:ln>
                  </pic:spPr>
                </pic:pic>
              </a:graphicData>
            </a:graphic>
          </wp:inline>
        </w:drawing>
      </w:r>
    </w:p>
    <w:p w14:paraId="12F34235" w14:textId="77777777" w:rsidR="008313BE" w:rsidRDefault="008313BE" w:rsidP="004B3741">
      <w:pPr>
        <w:spacing w:after="0" w:line="240" w:lineRule="auto"/>
        <w:rPr>
          <w:rFonts w:ascii="Verdana" w:hAnsi="Verdana"/>
        </w:rPr>
      </w:pPr>
    </w:p>
    <w:p w14:paraId="51D5707E" w14:textId="77777777" w:rsidR="004B3741" w:rsidRPr="003575D1" w:rsidRDefault="004B3741" w:rsidP="004B3741">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Pr="003575D1">
        <w:rPr>
          <w:rFonts w:ascii="Verdana" w:eastAsia="Calibri" w:hAnsi="Verdana" w:cs="Arial"/>
          <w:lang w:eastAsia="es-ES"/>
        </w:rPr>
        <w:tab/>
      </w:r>
    </w:p>
    <w:p w14:paraId="044962C6" w14:textId="77777777" w:rsidR="004B3741" w:rsidRDefault="004B3741" w:rsidP="004B3741">
      <w:pPr>
        <w:spacing w:after="0" w:line="240" w:lineRule="auto"/>
        <w:rPr>
          <w:rFonts w:ascii="Verdana" w:eastAsia="Calibri" w:hAnsi="Verdana" w:cs="Arial"/>
          <w:b/>
          <w:bCs/>
          <w:lang w:eastAsia="es-ES"/>
        </w:rPr>
      </w:pPr>
      <w:r w:rsidRPr="0075379F">
        <w:rPr>
          <w:rFonts w:ascii="Verdana" w:eastAsia="Calibri" w:hAnsi="Verdana" w:cs="Arial"/>
          <w:b/>
          <w:bCs/>
          <w:lang w:eastAsia="es-ES"/>
        </w:rPr>
        <w:t>HUGO MARTINEZ</w:t>
      </w:r>
    </w:p>
    <w:p w14:paraId="0E5F06F9" w14:textId="77777777" w:rsidR="004B3741" w:rsidRDefault="004B3741" w:rsidP="004B3741">
      <w:pPr>
        <w:spacing w:after="0" w:line="240" w:lineRule="auto"/>
        <w:rPr>
          <w:rFonts w:ascii="Verdana" w:hAnsi="Verdana"/>
        </w:rPr>
      </w:pPr>
      <w:hyperlink r:id="rId11" w:history="1">
        <w:r w:rsidRPr="00466DF2">
          <w:rPr>
            <w:rStyle w:val="Hipervnculo"/>
            <w:rFonts w:ascii="Verdana" w:hAnsi="Verdana"/>
          </w:rPr>
          <w:t>iphonehamp@icloud.com</w:t>
        </w:r>
      </w:hyperlink>
      <w:r>
        <w:rPr>
          <w:rFonts w:ascii="Verdana" w:hAnsi="Verdana"/>
        </w:rPr>
        <w:t xml:space="preserve"> </w:t>
      </w:r>
    </w:p>
    <w:p w14:paraId="6E9B250B" w14:textId="77777777" w:rsidR="004B3741" w:rsidRPr="003575D1" w:rsidRDefault="004B3741" w:rsidP="004B3741">
      <w:pPr>
        <w:spacing w:after="0" w:line="240" w:lineRule="auto"/>
        <w:rPr>
          <w:rFonts w:ascii="Verdana" w:hAnsi="Verdana"/>
          <w:highlight w:val="yellow"/>
        </w:rPr>
      </w:pPr>
      <w:r>
        <w:rPr>
          <w:rFonts w:ascii="Verdana" w:hAnsi="Verdana"/>
        </w:rPr>
        <w:t xml:space="preserve">Bogotá D.C. </w:t>
      </w:r>
    </w:p>
    <w:p w14:paraId="50E905BD" w14:textId="77777777" w:rsidR="004B3741" w:rsidRPr="00FE3DEC" w:rsidRDefault="004B3741" w:rsidP="004B3741">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4B3741" w:rsidRPr="00593A5F" w14:paraId="3D0A5FC4" w14:textId="77777777" w:rsidTr="00566950">
        <w:trPr>
          <w:trHeight w:val="273"/>
        </w:trPr>
        <w:tc>
          <w:tcPr>
            <w:tcW w:w="2295" w:type="dxa"/>
          </w:tcPr>
          <w:p w14:paraId="168E0F7C" w14:textId="77777777" w:rsidR="004B3741" w:rsidRPr="00E5644F" w:rsidRDefault="004B3741" w:rsidP="00566950">
            <w:pPr>
              <w:jc w:val="both"/>
              <w:rPr>
                <w:rFonts w:ascii="Verdana" w:eastAsia="Calibri" w:hAnsi="Verdana" w:cs="Arial"/>
                <w:b/>
                <w:bCs/>
                <w:color w:val="7030A0"/>
                <w:lang w:val="es-ES_tradnl" w:eastAsia="es-ES_tradnl"/>
              </w:rPr>
            </w:pPr>
          </w:p>
        </w:tc>
        <w:tc>
          <w:tcPr>
            <w:tcW w:w="6481" w:type="dxa"/>
            <w:gridSpan w:val="2"/>
          </w:tcPr>
          <w:p w14:paraId="62F4CA22" w14:textId="77777777" w:rsidR="004B3741" w:rsidRDefault="004B3741" w:rsidP="00566950">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1549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63FB5C22" w14:textId="77777777" w:rsidR="004B3741" w:rsidRPr="00E5644F" w:rsidRDefault="004B3741" w:rsidP="00566950">
            <w:pPr>
              <w:jc w:val="both"/>
              <w:rPr>
                <w:rFonts w:ascii="Verdana" w:eastAsia="Calibri" w:hAnsi="Verdana" w:cs="Arial"/>
                <w:b/>
                <w:bCs/>
                <w:color w:val="7030A0"/>
                <w:lang w:val="es-ES" w:eastAsia="es-ES"/>
              </w:rPr>
            </w:pPr>
          </w:p>
        </w:tc>
      </w:tr>
      <w:tr w:rsidR="004B3741" w:rsidRPr="005034D2" w14:paraId="23829674" w14:textId="77777777" w:rsidTr="00566950">
        <w:trPr>
          <w:trHeight w:val="651"/>
        </w:trPr>
        <w:tc>
          <w:tcPr>
            <w:tcW w:w="2295" w:type="dxa"/>
          </w:tcPr>
          <w:p w14:paraId="5208ACC2" w14:textId="77777777" w:rsidR="004B3741" w:rsidRPr="00593A5F" w:rsidRDefault="004B3741" w:rsidP="0056695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1D85E0D" w14:textId="77777777" w:rsidR="004B3741" w:rsidRDefault="004B3741" w:rsidP="00566950">
            <w:pPr>
              <w:jc w:val="both"/>
              <w:rPr>
                <w:rFonts w:ascii="Verdana" w:eastAsia="Calibri" w:hAnsi="Verdana" w:cs="Arial"/>
                <w:lang w:val="es-ES" w:eastAsia="es-ES"/>
              </w:rPr>
            </w:pPr>
            <w:r w:rsidRPr="0047115F">
              <w:rPr>
                <w:rFonts w:ascii="Verdana" w:eastAsia="Calibri" w:hAnsi="Verdana" w:cs="Arial"/>
                <w:lang w:val="es-ES" w:eastAsia="es-ES"/>
              </w:rPr>
              <w:t>PRINCIPIO DE PUBLICIDAD – SECOP – Documentos del proceso – Deber de publicación</w:t>
            </w:r>
            <w:r>
              <w:rPr>
                <w:rFonts w:ascii="Verdana" w:eastAsia="Calibri" w:hAnsi="Verdana" w:cs="Arial"/>
                <w:lang w:val="es-ES" w:eastAsia="es-ES"/>
              </w:rPr>
              <w:t xml:space="preserve"> - </w:t>
            </w:r>
            <w:r w:rsidRPr="00D47FE5">
              <w:rPr>
                <w:rFonts w:ascii="Verdana" w:eastAsia="Calibri" w:hAnsi="Verdana" w:cs="Arial"/>
                <w:lang w:val="es-ES" w:eastAsia="es-ES"/>
              </w:rPr>
              <w:t xml:space="preserve">PUBLICIDAD – SECOP – Fundamento Normativo – Ley 1712 de 2014 – Decreto 1082 de 2015 </w:t>
            </w:r>
            <w:r>
              <w:rPr>
                <w:rFonts w:ascii="Verdana" w:eastAsia="Calibri" w:hAnsi="Verdana" w:cs="Arial"/>
                <w:lang w:val="es-ES" w:eastAsia="es-ES"/>
              </w:rPr>
              <w:t>-</w:t>
            </w:r>
            <w:r w:rsidRPr="0047115F">
              <w:rPr>
                <w:rFonts w:ascii="Verdana" w:eastAsia="Calibri" w:hAnsi="Verdana" w:cs="Arial"/>
                <w:lang w:val="es-ES" w:eastAsia="es-ES"/>
              </w:rPr>
              <w:t xml:space="preserve"> </w:t>
            </w:r>
            <w:r w:rsidRPr="00D47FE5">
              <w:rPr>
                <w:rFonts w:ascii="Verdana" w:eastAsia="Calibri" w:hAnsi="Verdana" w:cs="Arial"/>
                <w:lang w:val="es-ES" w:eastAsia="es-ES"/>
              </w:rPr>
              <w:t>PUBLICIDAD – SECOP – Fundamento Normativo – Ley 1150 de 2007 - Ley 2195 de 2022</w:t>
            </w:r>
          </w:p>
          <w:p w14:paraId="549CEED0" w14:textId="77777777" w:rsidR="004B3741" w:rsidRPr="005034D2" w:rsidRDefault="004B3741" w:rsidP="00566950">
            <w:pPr>
              <w:jc w:val="both"/>
              <w:rPr>
                <w:rFonts w:ascii="Verdana" w:eastAsia="Calibri" w:hAnsi="Verdana" w:cs="Arial"/>
                <w:b/>
                <w:highlight w:val="yellow"/>
                <w:lang w:val="es-ES" w:eastAsia="es-ES"/>
              </w:rPr>
            </w:pPr>
          </w:p>
        </w:tc>
      </w:tr>
      <w:tr w:rsidR="004B3741" w:rsidRPr="00593A5F" w14:paraId="28A435D0" w14:textId="77777777" w:rsidTr="00566950">
        <w:trPr>
          <w:trHeight w:val="545"/>
        </w:trPr>
        <w:tc>
          <w:tcPr>
            <w:tcW w:w="2295" w:type="dxa"/>
          </w:tcPr>
          <w:p w14:paraId="63D2A167" w14:textId="77777777" w:rsidR="004B3741" w:rsidRPr="006730E9" w:rsidRDefault="004B3741" w:rsidP="00566950">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286CE47" w14:textId="77777777" w:rsidR="004B3741" w:rsidRPr="006730E9" w:rsidRDefault="004B3741" w:rsidP="00566950">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75379F">
              <w:rPr>
                <w:rFonts w:ascii="Verdana" w:eastAsia="Calibri" w:hAnsi="Verdana" w:cs="Arial"/>
                <w:lang w:val="es-ES_tradnl" w:eastAsia="es-ES_tradnl"/>
              </w:rPr>
              <w:t>1_2025_10_22_011883</w:t>
            </w:r>
          </w:p>
        </w:tc>
      </w:tr>
      <w:tr w:rsidR="004B3741" w:rsidRPr="00DB23D2" w14:paraId="2EFE3096" w14:textId="77777777" w:rsidTr="00566950">
        <w:trPr>
          <w:gridAfter w:val="1"/>
          <w:wAfter w:w="319" w:type="dxa"/>
          <w:trHeight w:val="242"/>
        </w:trPr>
        <w:tc>
          <w:tcPr>
            <w:tcW w:w="8457" w:type="dxa"/>
            <w:gridSpan w:val="2"/>
          </w:tcPr>
          <w:p w14:paraId="3EB132FF" w14:textId="77777777" w:rsidR="004B3741" w:rsidRPr="00DB23D2" w:rsidRDefault="004B3741" w:rsidP="00566950">
            <w:pPr>
              <w:spacing w:line="276" w:lineRule="auto"/>
              <w:jc w:val="both"/>
              <w:rPr>
                <w:rFonts w:ascii="Verdana" w:eastAsia="Calibri" w:hAnsi="Verdana" w:cs="Arial"/>
                <w:lang w:val="es-ES_tradnl" w:eastAsia="es-ES"/>
              </w:rPr>
            </w:pPr>
          </w:p>
        </w:tc>
      </w:tr>
    </w:tbl>
    <w:p w14:paraId="689ABD10" w14:textId="77777777" w:rsidR="004B3741" w:rsidRPr="006730E9" w:rsidRDefault="004B3741" w:rsidP="004B374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Martinez;</w:t>
      </w:r>
    </w:p>
    <w:p w14:paraId="1353EF19" w14:textId="77777777" w:rsidR="004B3741" w:rsidRDefault="004B3741" w:rsidP="004B374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6085538" w14:textId="77777777" w:rsidR="004B3741" w:rsidRPr="006730E9" w:rsidRDefault="004B3741" w:rsidP="004B374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22</w:t>
      </w:r>
      <w:r w:rsidRPr="00656A22">
        <w:rPr>
          <w:rFonts w:ascii="Verdana" w:eastAsia="Calibri" w:hAnsi="Verdana" w:cs="Arial"/>
          <w:lang w:val="es-ES" w:eastAsia="es-ES"/>
        </w:rPr>
        <w:t xml:space="preserve"> 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58BA1597" w14:textId="77777777" w:rsidR="004B3741" w:rsidRPr="00326382" w:rsidRDefault="004B3741" w:rsidP="004B3741">
      <w:pPr>
        <w:spacing w:after="0" w:line="276" w:lineRule="auto"/>
        <w:ind w:left="709" w:right="474"/>
        <w:jc w:val="both"/>
        <w:rPr>
          <w:rFonts w:ascii="Verdana" w:hAnsi="Verdana" w:cs="Arial"/>
          <w:sz w:val="20"/>
          <w:szCs w:val="20"/>
          <w:shd w:val="clear" w:color="auto" w:fill="FFFFFF"/>
        </w:rPr>
      </w:pPr>
      <w:bookmarkStart w:id="2" w:name="_Hlk95313578"/>
    </w:p>
    <w:bookmarkEnd w:id="2"/>
    <w:p w14:paraId="75DB304C" w14:textId="77777777" w:rsidR="004B3741" w:rsidRDefault="004B3741" w:rsidP="004B3741">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74D8C9C5" w14:textId="77777777" w:rsidR="004B3741"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BC175A4"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r w:rsidRPr="003D4704">
        <w:rPr>
          <w:rFonts w:ascii="Verdana" w:eastAsia="Century Gothic" w:hAnsi="Verdana" w:cs="Century Gothic"/>
          <w:i/>
          <w:iCs/>
          <w:sz w:val="20"/>
          <w:szCs w:val="20"/>
        </w:rPr>
        <w:t>Me dirijo a ustedes con el fin de realizar consulta en cuanto al proceso de publicación de los convenios interadministrativos.</w:t>
      </w:r>
    </w:p>
    <w:p w14:paraId="07CADDC9"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CAB2D42"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r w:rsidRPr="003D4704">
        <w:rPr>
          <w:rFonts w:ascii="Verdana" w:eastAsia="Century Gothic" w:hAnsi="Verdana" w:cs="Century Gothic"/>
          <w:i/>
          <w:iCs/>
          <w:sz w:val="20"/>
          <w:szCs w:val="20"/>
        </w:rPr>
        <w:t>Laboro para una entidad pública a la fecha tenemos suscritos varios convenios interadministrativos con otras entidades públicas y privadas, los cuales no se encuentran publicados en el Secop.</w:t>
      </w:r>
    </w:p>
    <w:p w14:paraId="1DF3EA29"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16AEEAD"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r w:rsidRPr="003D4704">
        <w:rPr>
          <w:rFonts w:ascii="Verdana" w:eastAsia="Century Gothic" w:hAnsi="Verdana" w:cs="Century Gothic"/>
          <w:i/>
          <w:iCs/>
          <w:sz w:val="20"/>
          <w:szCs w:val="20"/>
        </w:rPr>
        <w:t>¿Se debe realizar la publicación de dichos convenios a pesar de que se suscribieron años atrás y ya están en ejecución?</w:t>
      </w:r>
    </w:p>
    <w:p w14:paraId="6E533D22"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A5D3CD6"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r w:rsidRPr="003D4704">
        <w:rPr>
          <w:rFonts w:ascii="Verdana" w:eastAsia="Century Gothic" w:hAnsi="Verdana" w:cs="Century Gothic"/>
          <w:i/>
          <w:iCs/>
          <w:sz w:val="20"/>
          <w:szCs w:val="20"/>
        </w:rPr>
        <w:t>Quedo muy atento a su orientación, muchas gracias</w:t>
      </w:r>
    </w:p>
    <w:p w14:paraId="35F39E68" w14:textId="77777777" w:rsidR="004B3741" w:rsidRPr="003D4704"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E10CC41" w14:textId="77777777" w:rsidR="004B3741" w:rsidRPr="00EA70F7" w:rsidRDefault="004B3741" w:rsidP="004B3741">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578B699" w14:textId="77777777" w:rsidR="004B3741" w:rsidRDefault="004B3741" w:rsidP="004B3741">
      <w:pPr>
        <w:spacing w:after="0" w:line="276" w:lineRule="auto"/>
        <w:ind w:firstLine="709"/>
        <w:jc w:val="both"/>
        <w:rPr>
          <w:rFonts w:ascii="Verdana" w:eastAsia="Calibri" w:hAnsi="Verdana" w:cs="Arial"/>
          <w:lang w:val="es-ES" w:eastAsia="es-ES"/>
        </w:rPr>
      </w:pPr>
    </w:p>
    <w:p w14:paraId="4301F562" w14:textId="77777777" w:rsidR="004B3741" w:rsidRPr="00AA3B9F" w:rsidRDefault="004B3741" w:rsidP="004B3741">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D2F765C" w14:textId="77777777" w:rsidR="004B3741" w:rsidRDefault="004B3741" w:rsidP="004B3741">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60DC8561" w14:textId="77777777" w:rsidR="004B3741" w:rsidRDefault="004B3741" w:rsidP="004B374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6F5D1E7" w14:textId="77777777" w:rsidR="004B3741" w:rsidRDefault="004B3741" w:rsidP="004B37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 xml:space="preserve">s </w:t>
      </w:r>
      <w:r w:rsidRPr="00593A5F">
        <w:rPr>
          <w:rFonts w:ascii="Verdana" w:eastAsia="Century Gothic" w:hAnsi="Verdana" w:cs="Century Gothic"/>
          <w:b/>
          <w:bCs/>
        </w:rPr>
        <w:t>:</w:t>
      </w:r>
    </w:p>
    <w:p w14:paraId="1F824178" w14:textId="77777777" w:rsidR="004B3741" w:rsidRDefault="004B3741" w:rsidP="004B3741">
      <w:pPr>
        <w:pStyle w:val="Prrafodelista"/>
        <w:tabs>
          <w:tab w:val="left" w:pos="142"/>
          <w:tab w:val="left" w:pos="284"/>
        </w:tabs>
        <w:spacing w:after="0" w:line="276" w:lineRule="auto"/>
        <w:ind w:left="0"/>
        <w:jc w:val="both"/>
        <w:rPr>
          <w:rFonts w:ascii="Verdana" w:eastAsia="Century Gothic" w:hAnsi="Verdana" w:cs="Century Gothic"/>
          <w:b/>
          <w:bCs/>
        </w:rPr>
      </w:pPr>
    </w:p>
    <w:p w14:paraId="6316550F" w14:textId="77777777" w:rsidR="004B3741" w:rsidRDefault="004B3741" w:rsidP="004B3741">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2D1330">
        <w:rPr>
          <w:rFonts w:ascii="Verdana" w:eastAsia="Calibri" w:hAnsi="Verdana" w:cs="Arial"/>
          <w:lang w:eastAsia="es-ES"/>
        </w:rPr>
        <w:t>¿</w:t>
      </w:r>
      <w:r w:rsidRPr="00610A35">
        <w:rPr>
          <w:rFonts w:ascii="Verdana" w:eastAsia="Calibri" w:hAnsi="Verdana" w:cs="Arial"/>
          <w:lang w:eastAsia="es-ES"/>
        </w:rPr>
        <w:t xml:space="preserve">Está </w:t>
      </w:r>
      <w:r>
        <w:rPr>
          <w:rFonts w:ascii="Verdana" w:eastAsia="Calibri" w:hAnsi="Verdana" w:cs="Arial"/>
          <w:lang w:eastAsia="es-ES"/>
        </w:rPr>
        <w:t>una</w:t>
      </w:r>
      <w:r w:rsidRPr="00610A35">
        <w:rPr>
          <w:rFonts w:ascii="Verdana" w:eastAsia="Calibri" w:hAnsi="Verdana" w:cs="Arial"/>
          <w:lang w:eastAsia="es-ES"/>
        </w:rPr>
        <w:t xml:space="preserve"> entidad estatal obligada a publicar en el Sistema Electrónico de Contratación Pública –SECOP– los convenios interadministrativos que celebró en años anteriores y que actualmente se encuentran en ejecución, pese a que no fueron registrados oportunamente en la plataforma al momento de su suscripción?</w:t>
      </w:r>
    </w:p>
    <w:p w14:paraId="6ACA10B1" w14:textId="77777777" w:rsidR="004B3741" w:rsidRDefault="004B3741" w:rsidP="004B3741">
      <w:pPr>
        <w:spacing w:after="0" w:line="276" w:lineRule="auto"/>
        <w:jc w:val="both"/>
        <w:rPr>
          <w:rFonts w:ascii="Verdana" w:eastAsia="Century Gothic" w:hAnsi="Verdana" w:cs="Century Gothic"/>
        </w:rPr>
      </w:pPr>
    </w:p>
    <w:bookmarkEnd w:id="3"/>
    <w:p w14:paraId="64EF33E2" w14:textId="77777777" w:rsidR="004B3741" w:rsidRDefault="004B3741" w:rsidP="004B37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7A6605C" w14:textId="77777777" w:rsidR="004B3741" w:rsidRPr="00593A5F" w:rsidRDefault="004B3741" w:rsidP="004B37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3741" w:rsidRPr="00593A5F" w14:paraId="45550BF9" w14:textId="77777777" w:rsidTr="1230A0EF">
        <w:tc>
          <w:tcPr>
            <w:tcW w:w="8828" w:type="dxa"/>
          </w:tcPr>
          <w:p w14:paraId="54CB7B8B" w14:textId="77777777" w:rsidR="004B3741" w:rsidRDefault="004B3741" w:rsidP="00566950">
            <w:pPr>
              <w:tabs>
                <w:tab w:val="left" w:pos="450"/>
              </w:tabs>
              <w:spacing w:before="120" w:line="276" w:lineRule="auto"/>
              <w:jc w:val="both"/>
              <w:rPr>
                <w:rFonts w:ascii="Verdana" w:hAnsi="Verdana" w:cs="Arial"/>
                <w:lang w:val="es-ES"/>
              </w:rPr>
            </w:pPr>
            <w:r>
              <w:rPr>
                <w:rFonts w:ascii="Verdana" w:eastAsia="Calibri" w:hAnsi="Verdana" w:cs="Arial"/>
                <w:bCs/>
              </w:rPr>
              <w:t xml:space="preserve">         De manera preliminar es pertinente indicar que </w:t>
            </w:r>
            <w:r>
              <w:rPr>
                <w:rFonts w:ascii="Verdana" w:hAnsi="Verdana" w:cs="Arial"/>
                <w:lang w:val="es-ES"/>
              </w:rPr>
              <w:t>e</w:t>
            </w:r>
            <w:r w:rsidRPr="00F16D2E">
              <w:rPr>
                <w:rFonts w:ascii="Verdana" w:hAnsi="Verdana" w:cs="Arial"/>
                <w:lang w:val="es-ES"/>
              </w:rPr>
              <w:t>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1"/>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1D4F6056" w14:textId="77777777" w:rsidR="004B3741" w:rsidRPr="008F38FC" w:rsidRDefault="004B3741" w:rsidP="00566950">
            <w:pPr>
              <w:tabs>
                <w:tab w:val="left" w:pos="450"/>
              </w:tabs>
              <w:spacing w:before="120" w:line="276" w:lineRule="auto"/>
              <w:jc w:val="both"/>
              <w:rPr>
                <w:rFonts w:ascii="Verdana" w:hAnsi="Verdana" w:cs="Arial"/>
                <w:lang w:val="es-ES"/>
              </w:rPr>
            </w:pPr>
            <w:r>
              <w:rPr>
                <w:rFonts w:ascii="Verdana" w:eastAsia="Arial" w:hAnsi="Verdana" w:cs="Arial"/>
                <w:lang w:val="es-ES"/>
              </w:rPr>
              <w:t xml:space="preserve">          En virtud de las normas mencionadas anteriormente,</w:t>
            </w:r>
            <w:r w:rsidRPr="00F16D2E">
              <w:rPr>
                <w:rFonts w:ascii="Verdana" w:eastAsia="Arial" w:hAnsi="Verdana" w:cs="Arial"/>
                <w:lang w:val="es-ES"/>
              </w:rPr>
              <w:t xml:space="preserve">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postcontractual. Este deber aplica a todas las modalidades de selección y entidades regidas por el Estatuto General de Contratación de la Administración Pública,</w:t>
            </w:r>
            <w:r>
              <w:rPr>
                <w:rFonts w:ascii="Verdana" w:eastAsia="Arial" w:hAnsi="Verdana" w:cs="Arial"/>
                <w:lang w:val="es-ES"/>
              </w:rPr>
              <w:t xml:space="preserve"> así como las exceptuadas de este,</w:t>
            </w:r>
            <w:r w:rsidRPr="00F16D2E">
              <w:rPr>
                <w:rFonts w:ascii="Verdana" w:eastAsia="Arial" w:hAnsi="Verdana" w:cs="Arial"/>
                <w:lang w:val="es-ES"/>
              </w:rPr>
              <w:t xml:space="preserve"> y solo se encuentran excluidas las ofertas perdedoras y los documentos expedidos en el marco de operaciones de bolsa de productos. </w:t>
            </w:r>
          </w:p>
          <w:p w14:paraId="092F78BF" w14:textId="77777777" w:rsidR="004B3741" w:rsidRDefault="004B3741" w:rsidP="00566950">
            <w:pPr>
              <w:spacing w:before="120" w:after="120" w:line="276" w:lineRule="auto"/>
              <w:ind w:firstLine="726"/>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7D37DF05" w14:textId="77777777" w:rsidR="004B3741" w:rsidRDefault="004B3741" w:rsidP="00566950">
            <w:pPr>
              <w:tabs>
                <w:tab w:val="left" w:pos="450"/>
              </w:tabs>
              <w:spacing w:before="120" w:line="276" w:lineRule="auto"/>
              <w:jc w:val="both"/>
            </w:pPr>
            <w:r>
              <w:rPr>
                <w:rFonts w:ascii="Verdana" w:eastAsia="Calibri" w:hAnsi="Verdana" w:cs="Arial"/>
                <w:color w:val="000000"/>
              </w:rPr>
              <w:t xml:space="preserve">         De igual manera d</w:t>
            </w:r>
            <w:r w:rsidRPr="00AD6B46">
              <w:rPr>
                <w:rFonts w:ascii="Verdana" w:eastAsia="Calibri" w:hAnsi="Verdana" w:cs="Arial"/>
                <w:color w:val="000000"/>
              </w:rPr>
              <w:t xml:space="preserve">ebe precisarse que, en virtud del principio de transparencia, específicamente por cuenta de lo dispuesto en el numeral 4 del artículo 24 de la </w:t>
            </w:r>
            <w:r>
              <w:rPr>
                <w:rFonts w:ascii="Verdana" w:eastAsia="Calibri" w:hAnsi="Verdana" w:cs="Arial"/>
                <w:color w:val="000000"/>
              </w:rPr>
              <w:t>L</w:t>
            </w:r>
            <w:r w:rsidRPr="00AD6B46">
              <w:rPr>
                <w:rFonts w:ascii="Verdana" w:eastAsia="Calibri" w:hAnsi="Verdana" w:cs="Arial"/>
                <w:color w:val="000000"/>
              </w:rPr>
              <w:t>ey 80 de 1993</w:t>
            </w:r>
            <w:r w:rsidRPr="00AD6B46">
              <w:rPr>
                <w:rFonts w:ascii="Verdana" w:eastAsia="Calibri" w:hAnsi="Verdana" w:cs="Arial"/>
                <w:color w:val="000000"/>
                <w:vertAlign w:val="superscript"/>
              </w:rPr>
              <w:footnoteReference w:id="2"/>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3"/>
            </w:r>
            <w:r w:rsidRPr="00AD6B46">
              <w:rPr>
                <w:rFonts w:ascii="Verdana" w:eastAsia="Calibri" w:hAnsi="Verdana" w:cs="Arial"/>
                <w:color w:val="000000"/>
              </w:rPr>
              <w:t>, el contenido del expediente en el que reposa la actuación es información pública, independientemente de si se trata de documentos que deban publicarse en SECOP.</w:t>
            </w:r>
            <w:r>
              <w:t xml:space="preserve"> </w:t>
            </w:r>
          </w:p>
          <w:p w14:paraId="300F3E18" w14:textId="4C900B44" w:rsidR="00C664C8" w:rsidRPr="00C664C8" w:rsidRDefault="004B3741" w:rsidP="1230A0EF">
            <w:pPr>
              <w:tabs>
                <w:tab w:val="left" w:pos="450"/>
              </w:tabs>
              <w:spacing w:before="120" w:line="276" w:lineRule="auto"/>
              <w:jc w:val="both"/>
              <w:rPr>
                <w:rFonts w:ascii="Verdana" w:hAnsi="Verdana" w:cs="Arial"/>
              </w:rPr>
            </w:pPr>
            <w:r w:rsidRPr="1230A0EF">
              <w:rPr>
                <w:color w:val="000000" w:themeColor="text1"/>
              </w:rPr>
              <w:t xml:space="preserve">               </w:t>
            </w:r>
            <w:r w:rsidR="00C664C8" w:rsidRPr="00C664C8">
              <w:rPr>
                <w:rFonts w:ascii="Verdana" w:hAnsi="Verdana"/>
                <w:color w:val="000000" w:themeColor="text1"/>
              </w:rPr>
              <w:t>Ahora bien, en atención al problema jurídico planteado, toda la actividad contractual de las entidades estatales debe ponerse a disposición del público como desarrollo del principio de publicidad y del derecho de acceso a la información. Si bien el artículo 2.2.1.1.1.7.1 del Decreto 1082 de 2015 establece un plazo de tres (3) días para realizar las publicaciones en el SECOP, lo cierto es que, en línea con lo previsto en el Concepto C-185 del 24 de marzo de 2025 expedido por esta Subdirección Contractual, y conforme a lo anteriormente indicado, todo sujeto obligado debe publicar sus procedimientos, lineamientos y políticas en materia de adquisiciones y compras, así como los datos de adjudicación y de ejecución de sus contratos. En ese sentido, la plataforma SECOP constituye el medio idóneo para dar cumplimiento al deber de publicidad, de conformidad con lo dispuesto en el artículo 3 de la Ley 1150 de 2007, los artículos 3 y 19 de la Ley 1508 de 2012, la Ley 1712 de 2014, la Circular Externa 03 de 2024 y las demás normas que regulan la obligación de divulgar la información contractual.</w:t>
            </w:r>
          </w:p>
          <w:p w14:paraId="6B8EC2AB" w14:textId="77777777" w:rsidR="004B3741" w:rsidRDefault="004B3741" w:rsidP="00566950">
            <w:pPr>
              <w:tabs>
                <w:tab w:val="left" w:pos="450"/>
              </w:tabs>
              <w:spacing w:before="120" w:line="276" w:lineRule="auto"/>
              <w:jc w:val="both"/>
              <w:rPr>
                <w:rFonts w:ascii="Verdana" w:eastAsia="Calibri" w:hAnsi="Verdana" w:cs="Arial"/>
                <w:bCs/>
              </w:rPr>
            </w:pPr>
            <w:r>
              <w:rPr>
                <w:rFonts w:ascii="Verdana" w:hAnsi="Verdana"/>
              </w:rPr>
              <w:t xml:space="preserve">         </w:t>
            </w:r>
            <w:r w:rsidRPr="004C713C">
              <w:rPr>
                <w:rFonts w:ascii="Verdana" w:hAnsi="Verdana"/>
              </w:rPr>
              <w:t xml:space="preserve">Dentro de este marco, corresponde a cada entidad pública, en ejercicio de su competencia y previa valoración de los elementos fácticos y jurídicos, así como de las disposiciones legales mencionadas, </w:t>
            </w:r>
            <w:r>
              <w:rPr>
                <w:rFonts w:ascii="Verdana" w:hAnsi="Verdana"/>
              </w:rPr>
              <w:t>determinar la publicación de los documentos que hacen parte de su gestión contractual.</w:t>
            </w:r>
            <w:r w:rsidRPr="004C713C">
              <w:rPr>
                <w:rFonts w:ascii="Verdana" w:hAnsi="Verdana"/>
              </w:rPr>
              <w:t xml:space="preserve"> Al tratarse de un análisis que debe realizarse en el procedimiento contractual específico, la Agencia no puede definir un criterio universal y absoluto por vía consultiva, sino que brinda elementos de carácter general para que</w:t>
            </w:r>
            <w:r w:rsidRPr="00E61635">
              <w:rPr>
                <w:rFonts w:ascii="Verdana" w:hAnsi="Verdana"/>
              </w:rPr>
              <w:t xml:space="preserv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ECEF9E1" w14:textId="77777777" w:rsidR="004B3741" w:rsidRPr="00E529C2" w:rsidRDefault="004B3741" w:rsidP="00566950">
            <w:pPr>
              <w:spacing w:after="120" w:line="276" w:lineRule="auto"/>
              <w:jc w:val="both"/>
              <w:rPr>
                <w:rFonts w:ascii="Verdana" w:eastAsia="Calibri" w:hAnsi="Verdana" w:cs="Times New Roman"/>
                <w:lang w:val="es-ES"/>
              </w:rPr>
            </w:pPr>
          </w:p>
        </w:tc>
      </w:tr>
      <w:tr w:rsidR="004B3741" w:rsidRPr="00593A5F" w14:paraId="5BABC334" w14:textId="77777777" w:rsidTr="1230A0EF">
        <w:tc>
          <w:tcPr>
            <w:tcW w:w="8828" w:type="dxa"/>
          </w:tcPr>
          <w:p w14:paraId="6AB92420" w14:textId="77777777" w:rsidR="004B3741" w:rsidRDefault="004B3741" w:rsidP="00566950">
            <w:pPr>
              <w:spacing w:after="120" w:line="276" w:lineRule="auto"/>
              <w:jc w:val="both"/>
              <w:rPr>
                <w:rFonts w:ascii="Verdana" w:eastAsia="Calibri" w:hAnsi="Verdana" w:cs="Arial"/>
                <w:bCs/>
                <w:lang w:eastAsia="es-ES_tradnl"/>
              </w:rPr>
            </w:pPr>
          </w:p>
        </w:tc>
      </w:tr>
    </w:tbl>
    <w:p w14:paraId="676C8B16" w14:textId="77777777" w:rsidR="004B3741" w:rsidRDefault="004B3741" w:rsidP="004B3741">
      <w:pPr>
        <w:tabs>
          <w:tab w:val="left" w:pos="142"/>
          <w:tab w:val="left" w:pos="284"/>
        </w:tabs>
        <w:spacing w:after="0" w:line="276" w:lineRule="auto"/>
        <w:jc w:val="both"/>
        <w:rPr>
          <w:rFonts w:ascii="Verdana" w:eastAsia="Century Gothic" w:hAnsi="Verdana" w:cs="Century Gothic"/>
          <w:b/>
          <w:bCs/>
          <w:lang w:val="es-ES"/>
        </w:rPr>
      </w:pPr>
    </w:p>
    <w:p w14:paraId="4A20CC18" w14:textId="77777777" w:rsidR="004B3741" w:rsidRDefault="004B3741" w:rsidP="004B37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23428EF3">
        <w:rPr>
          <w:rFonts w:ascii="Verdana" w:eastAsia="Century Gothic" w:hAnsi="Verdana" w:cs="Century Gothic"/>
          <w:b/>
          <w:bCs/>
        </w:rPr>
        <w:t>Razones de la respuesta:</w:t>
      </w:r>
    </w:p>
    <w:p w14:paraId="67428D48" w14:textId="77777777" w:rsidR="004B3741" w:rsidRDefault="004B3741" w:rsidP="004B37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F32F7D1" w14:textId="77777777" w:rsidR="004B3741" w:rsidRDefault="004B3741" w:rsidP="004B3741">
      <w:pPr>
        <w:spacing w:after="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E</w:t>
      </w:r>
      <w:r w:rsidRPr="005817C0">
        <w:rPr>
          <w:rFonts w:ascii="Verdana" w:eastAsia="Times New Roman" w:hAnsi="Verdana" w:cs="Arial"/>
          <w:lang w:val="es-ES_tradnl" w:eastAsia="es-ES_tradnl"/>
          <w14:ligatures w14:val="standardContextual"/>
        </w:rPr>
        <w:t xml:space="preserv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w:t>
      </w:r>
      <w:r w:rsidRPr="00330EF6">
        <w:rPr>
          <w:rFonts w:ascii="Verdana" w:eastAsia="Times New Roman" w:hAnsi="Verdana" w:cs="Arial"/>
          <w:lang w:val="es-ES_tradnl" w:eastAsia="es-ES_tradnl"/>
          <w14:ligatures w14:val="standardContextual"/>
        </w:rPr>
        <w:t>información oficial de la contratación realizada con dineros públicos, para lo cual establecerá los patrones a que haya lugar y se encargará de su difusión a través de canales electrónicos”</w:t>
      </w:r>
      <w:r w:rsidRPr="00330EF6">
        <w:rPr>
          <w:rFonts w:ascii="Verdana" w:eastAsia="Times New Roman" w:hAnsi="Verdana" w:cs="Arial"/>
          <w:vertAlign w:val="superscript"/>
          <w:lang w:val="es-ES_tradnl" w:eastAsia="es-ES_tradnl"/>
          <w14:ligatures w14:val="standardContextual"/>
        </w:rPr>
        <w:footnoteReference w:id="4"/>
      </w:r>
      <w:r w:rsidRPr="00330EF6">
        <w:rPr>
          <w:rFonts w:ascii="Verdana" w:eastAsia="Times New Roman" w:hAnsi="Verdana" w:cs="Arial"/>
          <w:lang w:val="es-ES_tradnl" w:eastAsia="es-ES_tradnl"/>
          <w14:ligatures w14:val="standardContextual"/>
        </w:rPr>
        <w:t>.</w:t>
      </w:r>
    </w:p>
    <w:p w14:paraId="615A0602" w14:textId="77777777" w:rsidR="004B3741" w:rsidRDefault="004B3741" w:rsidP="004B3741">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shd w:val="clear" w:color="auto" w:fill="FFFFFF"/>
        </w:rPr>
        <w:t>En ese sentido, la Ley 1712 de 2014 –ley estatutaria que regula la transparencia y el derecho de acceso a la información y a los documentos públicos–; 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42EA6">
        <w:rPr>
          <w:rFonts w:ascii="Aptos" w:eastAsia="Aptos" w:hAnsi="Aptos" w:cs="Times New Roman"/>
          <w:color w:val="000000"/>
          <w:vertAlign w:val="superscript"/>
          <w:lang w:val="es-ES_tradnl"/>
        </w:rPr>
        <w:footnoteReference w:id="5"/>
      </w:r>
      <w:r w:rsidRPr="00642EA6">
        <w:rPr>
          <w:rFonts w:ascii="Verdana" w:eastAsia="Calibri" w:hAnsi="Verdana" w:cs="Arial"/>
          <w:color w:val="000000"/>
          <w:lang w:val="es-ES_tradnl"/>
        </w:rPr>
        <w:t xml:space="preserve">. El principio de transparencia en la información alude al deber de los sujetos de proporcionar y facilitar el acceso a la misma en los términos más amplios posibles, y a través de los medios y procedimientos legales. </w:t>
      </w:r>
    </w:p>
    <w:p w14:paraId="55A568F2" w14:textId="77777777" w:rsidR="004B3741" w:rsidRPr="00642EA6" w:rsidRDefault="004B3741" w:rsidP="004B3741">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color w:val="000000"/>
          <w:lang w:val="es-ES_tradnl"/>
        </w:rPr>
        <w:t xml:space="preserve">La Ley estatutaria citada establece, en el literal </w:t>
      </w:r>
      <w:r>
        <w:rPr>
          <w:rFonts w:ascii="Verdana" w:eastAsia="Calibri" w:hAnsi="Verdana" w:cs="Arial"/>
          <w:color w:val="000000"/>
          <w:lang w:val="es-ES_tradnl"/>
        </w:rPr>
        <w:t>a</w:t>
      </w:r>
      <w:r w:rsidRPr="00642EA6">
        <w:rPr>
          <w:rFonts w:ascii="Verdana" w:eastAsia="Calibri" w:hAnsi="Verdana" w:cs="Arial"/>
          <w:color w:val="000000"/>
          <w:lang w:val="es-ES_tradnl"/>
        </w:rPr>
        <w:t xml:space="preserve">) del artículo </w:t>
      </w:r>
      <w:r>
        <w:rPr>
          <w:rFonts w:ascii="Verdana" w:eastAsia="Calibri" w:hAnsi="Verdana" w:cs="Arial"/>
          <w:color w:val="000000"/>
          <w:lang w:val="es-ES_tradnl"/>
        </w:rPr>
        <w:t>5</w:t>
      </w:r>
      <w:r w:rsidRPr="00642EA6">
        <w:rPr>
          <w:rFonts w:ascii="Verdana" w:eastAsia="Calibri" w:hAnsi="Verdana" w:cs="Arial"/>
          <w:color w:val="000000"/>
          <w:lang w:val="es-ES_tradnl"/>
        </w:rPr>
        <w:t>, que los sujetos obligados, que son todas las entidades públicas</w:t>
      </w:r>
      <w:r w:rsidRPr="00642EA6">
        <w:rPr>
          <w:rFonts w:ascii="Aptos" w:eastAsia="Aptos" w:hAnsi="Aptos" w:cs="Times New Roman"/>
          <w:color w:val="000000"/>
          <w:vertAlign w:val="superscript"/>
          <w:lang w:val="es-ES_tradnl"/>
        </w:rPr>
        <w:footnoteReference w:id="6"/>
      </w:r>
      <w:r w:rsidRPr="00642EA6">
        <w:rPr>
          <w:rFonts w:ascii="Verdana" w:eastAsia="Calibri" w:hAnsi="Verdana" w:cs="Arial"/>
          <w:color w:val="000000"/>
          <w:lang w:val="es-ES_tradnl"/>
        </w:rPr>
        <w:t xml:space="preserve">, deben publicar la información relativa a su contratación. Esta obligación fue desarrollada </w:t>
      </w:r>
      <w:r w:rsidRPr="00056E4C">
        <w:rPr>
          <w:rFonts w:ascii="Verdana" w:eastAsia="Arial" w:hAnsi="Verdana" w:cs="Arial"/>
          <w:lang w:val="es-ES"/>
        </w:rPr>
        <w:t>por el Decreto 103 de 2015, compilado en el Decreto 1081 de 2015</w:t>
      </w:r>
      <w:r w:rsidRPr="00642EA6">
        <w:rPr>
          <w:rFonts w:ascii="Aptos" w:eastAsia="Aptos" w:hAnsi="Aptos" w:cs="Times New Roman"/>
          <w:color w:val="000000"/>
          <w:vertAlign w:val="superscript"/>
          <w:lang w:val="es-ES_tradnl"/>
        </w:rPr>
        <w:footnoteReference w:id="7"/>
      </w:r>
      <w:r w:rsidRPr="00642EA6">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el </w:t>
      </w:r>
      <w:r w:rsidRPr="00056E4C">
        <w:rPr>
          <w:rFonts w:ascii="Verdana" w:eastAsia="Arial" w:hAnsi="Verdana" w:cs="Arial"/>
          <w:lang w:val="es-ES"/>
        </w:rPr>
        <w:t>Sistema Electrónico de Contratación Pública –SECOP–</w:t>
      </w:r>
      <w:r w:rsidRPr="00642EA6">
        <w:rPr>
          <w:rFonts w:ascii="Verdana" w:eastAsia="Calibri" w:hAnsi="Verdana" w:cs="Arial"/>
          <w:color w:val="000000"/>
          <w:lang w:val="es-ES_tradnl"/>
        </w:rPr>
        <w:t>.</w:t>
      </w:r>
    </w:p>
    <w:p w14:paraId="45B7ED2C" w14:textId="77777777" w:rsidR="004B3741" w:rsidRDefault="004B3741" w:rsidP="004B3741">
      <w:pPr>
        <w:spacing w:before="120" w:after="0" w:line="276" w:lineRule="auto"/>
        <w:ind w:firstLine="708"/>
        <w:contextualSpacing/>
        <w:jc w:val="both"/>
        <w:rPr>
          <w:rFonts w:ascii="Verdana" w:eastAsia="Calibri" w:hAnsi="Verdana" w:cs="Arial"/>
          <w:color w:val="000000"/>
          <w:szCs w:val="24"/>
          <w:lang w:val="es-ES_tradnl" w:eastAsia="es-ES_tradnl"/>
        </w:rPr>
      </w:pPr>
      <w:r w:rsidRPr="00642EA6">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C1281FC" w14:textId="77777777" w:rsidR="004B3741" w:rsidRPr="00F16D2E" w:rsidRDefault="004B3741" w:rsidP="004B3741">
      <w:pPr>
        <w:widowControl w:val="0"/>
        <w:tabs>
          <w:tab w:val="left" w:pos="728"/>
        </w:tabs>
        <w:autoSpaceDE w:val="0"/>
        <w:autoSpaceDN w:val="0"/>
        <w:spacing w:after="120" w:line="276" w:lineRule="auto"/>
        <w:ind w:firstLine="726"/>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8"/>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2D116196" w14:textId="77777777" w:rsidR="004B3741" w:rsidRDefault="004B3741" w:rsidP="004B3741">
      <w:pPr>
        <w:widowControl w:val="0"/>
        <w:autoSpaceDE w:val="0"/>
        <w:autoSpaceDN w:val="0"/>
        <w:spacing w:after="120" w:line="276" w:lineRule="auto"/>
        <w:ind w:firstLine="726"/>
        <w:jc w:val="both"/>
        <w:rPr>
          <w:rFonts w:ascii="Verdana" w:eastAsia="Arial" w:hAnsi="Verdana" w:cs="Arial"/>
          <w:lang w:val="es-ES"/>
        </w:rPr>
      </w:pPr>
      <w:r w:rsidRPr="00F16D2E">
        <w:rPr>
          <w:rFonts w:ascii="Verdana" w:hAnsi="Verdana" w:cs="Arial"/>
          <w:lang w:val="es-ES"/>
        </w:rPr>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w:t>
      </w:r>
      <w:r>
        <w:rPr>
          <w:rFonts w:ascii="Verdana" w:hAnsi="Verdana" w:cs="Arial"/>
          <w:lang w:val="es-ES"/>
        </w:rPr>
        <w:t>.</w:t>
      </w:r>
      <w:r w:rsidRPr="00F16D2E">
        <w:rPr>
          <w:rFonts w:ascii="Verdana" w:hAnsi="Verdana" w:cs="Arial"/>
          <w:lang w:val="es-ES"/>
        </w:rPr>
        <w:t xml:space="preserve">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783E6B">
        <w:rPr>
          <w:rFonts w:ascii="Verdana" w:eastAsia="Arial" w:hAnsi="Verdana" w:cs="Arial"/>
          <w:lang w:val="es-ES"/>
        </w:rPr>
        <w:t xml:space="preserve"> </w:t>
      </w:r>
    </w:p>
    <w:p w14:paraId="0ED98472" w14:textId="77777777" w:rsidR="004B3741" w:rsidRDefault="004B3741" w:rsidP="004B3741">
      <w:pPr>
        <w:widowControl w:val="0"/>
        <w:autoSpaceDE w:val="0"/>
        <w:autoSpaceDN w:val="0"/>
        <w:spacing w:after="120" w:line="276" w:lineRule="auto"/>
        <w:ind w:firstLine="726"/>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sidRPr="00F16D2E">
        <w:rPr>
          <w:rFonts w:ascii="Verdana" w:eastAsia="Arial" w:hAnsi="Verdana" w:cs="Arial"/>
          <w:i/>
          <w:iCs/>
          <w:lang w:val="es-ES"/>
        </w:rPr>
        <w:t>Ibídem</w:t>
      </w:r>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49BAD1CB" w14:textId="77777777" w:rsidR="004B3741" w:rsidRPr="00056E4C" w:rsidRDefault="004B3741" w:rsidP="004B3741">
      <w:pPr>
        <w:widowControl w:val="0"/>
        <w:autoSpaceDE w:val="0"/>
        <w:autoSpaceDN w:val="0"/>
        <w:spacing w:after="120" w:line="276" w:lineRule="auto"/>
        <w:ind w:firstLine="708"/>
        <w:jc w:val="both"/>
        <w:rPr>
          <w:rFonts w:ascii="Verdana" w:eastAsia="Arial" w:hAnsi="Verdana" w:cs="Arial"/>
          <w:lang w:val="es-ES"/>
        </w:rPr>
      </w:pPr>
      <w:r w:rsidRPr="00056E4C">
        <w:rPr>
          <w:rFonts w:ascii="Verdana" w:eastAsia="Arial" w:hAnsi="Verdana" w:cs="Arial"/>
          <w:lang w:val="es-ES"/>
        </w:rPr>
        <w:t xml:space="preserve">En todo caso, de conformidad con la segunda parte del inciso primero del artículo 2.2.1.1.1.7.1 </w:t>
      </w:r>
      <w:r w:rsidRPr="00056E4C">
        <w:rPr>
          <w:rFonts w:ascii="Verdana" w:eastAsia="Arial" w:hAnsi="Verdana" w:cs="Arial"/>
          <w:i/>
          <w:iCs/>
          <w:lang w:val="es-ES"/>
        </w:rPr>
        <w:t>Ibidem</w:t>
      </w:r>
      <w:r w:rsidRPr="00056E4C">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056E4C">
        <w:rPr>
          <w:rFonts w:ascii="Verdana" w:eastAsia="Arial" w:hAnsi="Verdana" w:cs="Arial"/>
          <w:i/>
          <w:iCs/>
          <w:lang w:val="es-ES"/>
        </w:rPr>
        <w:t xml:space="preserve"> </w:t>
      </w:r>
      <w:r w:rsidRPr="00056E4C">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1F0F446C" w14:textId="77777777" w:rsidR="004B3741" w:rsidRPr="00F16D2E" w:rsidRDefault="004B3741" w:rsidP="004B3741">
      <w:pPr>
        <w:widowControl w:val="0"/>
        <w:autoSpaceDE w:val="0"/>
        <w:autoSpaceDN w:val="0"/>
        <w:spacing w:after="120" w:line="276" w:lineRule="auto"/>
        <w:ind w:firstLine="726"/>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postcontractual. Este deber aplica a todas las modalidades de selección y entidades regidas por el Estatuto General de Contratación de la Administración Pública,</w:t>
      </w:r>
      <w:r>
        <w:rPr>
          <w:rFonts w:ascii="Verdana" w:eastAsia="Arial" w:hAnsi="Verdana" w:cs="Arial"/>
          <w:lang w:val="es-ES"/>
        </w:rPr>
        <w:t xml:space="preserve"> así como las exceptuadas de este,</w:t>
      </w:r>
      <w:r w:rsidRPr="00F16D2E">
        <w:rPr>
          <w:rFonts w:ascii="Verdana" w:eastAsia="Arial" w:hAnsi="Verdana" w:cs="Arial"/>
          <w:lang w:val="es-ES"/>
        </w:rPr>
        <w:t xml:space="preserve"> y solo se encuentran excluidas las ofertas perdedoras y los documentos expedidos en el marco de operaciones de bolsa de productos. </w:t>
      </w:r>
    </w:p>
    <w:p w14:paraId="27C09763" w14:textId="77777777" w:rsidR="004B3741" w:rsidRDefault="004B3741" w:rsidP="004B3741">
      <w:pPr>
        <w:spacing w:before="120" w:after="120" w:line="276" w:lineRule="auto"/>
        <w:ind w:firstLine="726"/>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227C74A1" w14:textId="77777777" w:rsidR="004B3741" w:rsidRDefault="004B3741" w:rsidP="004B3741">
      <w:pPr>
        <w:spacing w:after="120" w:line="276" w:lineRule="auto"/>
        <w:jc w:val="both"/>
        <w:rPr>
          <w:rFonts w:ascii="Verdana" w:eastAsia="Calibri" w:hAnsi="Verdana" w:cs="Arial"/>
          <w:color w:val="000000" w:themeColor="text1"/>
          <w:lang w:val="es-ES" w:eastAsia="en-GB"/>
        </w:rPr>
      </w:pPr>
      <w:r>
        <w:rPr>
          <w:rFonts w:ascii="Verdana" w:hAnsi="Verdana" w:cs="Arial"/>
          <w:lang w:val="es-ES"/>
        </w:rPr>
        <w:tab/>
        <w:t xml:space="preserve">  </w:t>
      </w:r>
      <w:r w:rsidRPr="00AD6B46">
        <w:rPr>
          <w:rFonts w:ascii="Verdana" w:eastAsia="Calibri" w:hAnsi="Verdana" w:cs="Arial"/>
          <w:color w:val="000000"/>
        </w:rPr>
        <w:t>Debe precisarse que, en virtud del principio de transparencia, específicamente por cuenta de lo dispuesto en el numeral 4 del artículo 24 de la ley 80 de 1993</w:t>
      </w:r>
      <w:r w:rsidRPr="00AD6B46">
        <w:rPr>
          <w:rFonts w:ascii="Verdana" w:eastAsia="Calibri" w:hAnsi="Verdana" w:cs="Arial"/>
          <w:color w:val="000000"/>
          <w:vertAlign w:val="superscript"/>
        </w:rPr>
        <w:footnoteReference w:id="9"/>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10"/>
      </w:r>
      <w:r w:rsidRPr="00AD6B46">
        <w:rPr>
          <w:rFonts w:ascii="Verdana" w:eastAsia="Calibri" w:hAnsi="Verdana" w:cs="Arial"/>
          <w:color w:val="000000"/>
        </w:rPr>
        <w:t xml:space="preserve">, el contenido del expediente en el que reposa la actuación es información pública, independientemente de si se trata de documentos que deban publicarse en SECOP. </w:t>
      </w:r>
    </w:p>
    <w:p w14:paraId="1B92F8CA" w14:textId="77777777" w:rsidR="004B3741" w:rsidRPr="00056E4C" w:rsidRDefault="004B3741" w:rsidP="004B3741">
      <w:pPr>
        <w:spacing w:after="120" w:line="276" w:lineRule="auto"/>
        <w:ind w:firstLine="708"/>
        <w:jc w:val="both"/>
        <w:rPr>
          <w:rFonts w:ascii="Verdana" w:eastAsia="Calibri" w:hAnsi="Verdana" w:cs="Arial"/>
          <w:lang w:val="es-ES_tradnl"/>
        </w:rPr>
      </w:pPr>
      <w:r>
        <w:rPr>
          <w:rFonts w:ascii="Verdana" w:eastAsia="Calibri" w:hAnsi="Verdana" w:cs="Arial"/>
          <w:color w:val="000000" w:themeColor="text1"/>
          <w:lang w:val="es-ES" w:eastAsia="en-GB"/>
        </w:rPr>
        <w:t xml:space="preserve">En relación con el medio de publicación, </w:t>
      </w:r>
      <w:r w:rsidRPr="00056E4C">
        <w:rPr>
          <w:rFonts w:ascii="Verdana" w:eastAsia="Calibri" w:hAnsi="Verdana" w:cs="Arial"/>
          <w:lang w:val="es-ES_tradnl"/>
        </w:rPr>
        <w:t xml:space="preserve">el artículo 3 de la Ley 1150 de 2007 crea el Sistema Electrónico para la Contratación Pública,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705F2EFA" w14:textId="77777777" w:rsidR="004B3741" w:rsidRPr="00056E4C" w:rsidRDefault="004B3741" w:rsidP="004B3741">
      <w:pPr>
        <w:spacing w:before="120" w:after="120" w:line="276" w:lineRule="auto"/>
        <w:jc w:val="both"/>
        <w:rPr>
          <w:rFonts w:ascii="Verdana" w:eastAsia="Calibri" w:hAnsi="Verdana" w:cs="Arial"/>
          <w:bCs/>
          <w:color w:val="000000" w:themeColor="text1"/>
          <w:lang w:val="es-ES_tradnl"/>
        </w:rPr>
      </w:pPr>
      <w:r w:rsidRPr="00056E4C">
        <w:rPr>
          <w:rFonts w:ascii="Verdana" w:eastAsia="Calibri" w:hAnsi="Verdana" w:cs="Arial"/>
          <w:lang w:val="es-ES_tradnl"/>
        </w:rPr>
        <w:tab/>
        <w:t xml:space="preserve">El numeral 1.2 </w:t>
      </w:r>
      <w:r w:rsidRPr="00056E4C">
        <w:rPr>
          <w:rFonts w:ascii="Verdana" w:eastAsia="Calibri" w:hAnsi="Verdana" w:cs="Arial"/>
        </w:rPr>
        <w:t>de la Circular Externa Única de la Agencia Nacional de Contratación Pública – Colombia Compra Eficiente dispone que el Sistema Electrónico para la Contratación Pública</w:t>
      </w:r>
      <w:r w:rsidRPr="00056E4C">
        <w:rPr>
          <w:rFonts w:ascii="Verdana" w:eastAsia="Calibri" w:hAnsi="Verdana" w:cs="Arial"/>
          <w:lang w:val="es-ES_tradnl"/>
        </w:rPr>
        <w:t xml:space="preserve"> está compuesto por el SECOP I, el SECOP II y la Tienda Virtual del Estado Colombiano. Conforme a lo explicado en el párrafo precedente</w:t>
      </w:r>
      <w:r w:rsidRPr="00056E4C">
        <w:rPr>
          <w:rFonts w:ascii="Verdana" w:eastAsia="Calibri" w:hAnsi="Verdana" w:cs="Arial"/>
          <w:bCs/>
          <w:color w:val="000000" w:themeColor="text1"/>
          <w:lang w:val="es-ES_tradnl"/>
        </w:rPr>
        <w:t xml:space="preserve">, 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0E9A259C" w14:textId="77777777" w:rsidR="004B3741" w:rsidRPr="00056E4C" w:rsidRDefault="004B3741" w:rsidP="004B3741">
      <w:pPr>
        <w:spacing w:after="120" w:line="276" w:lineRule="auto"/>
        <w:ind w:firstLine="708"/>
        <w:jc w:val="both"/>
        <w:rPr>
          <w:rFonts w:ascii="Verdana" w:eastAsia="Calibri" w:hAnsi="Verdana" w:cs="Arial"/>
          <w:color w:val="000000" w:themeColor="text1"/>
          <w:lang w:val="es-ES"/>
        </w:rPr>
      </w:pPr>
      <w:r w:rsidRPr="00056E4C">
        <w:rPr>
          <w:rFonts w:ascii="Verdana" w:eastAsia="Calibri" w:hAnsi="Verdana" w:cs="Arial"/>
          <w:color w:val="000000" w:themeColor="text1"/>
          <w:lang w:val="es-ES"/>
        </w:rPr>
        <w:t>En contraste,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4AA17DA8" w14:textId="77777777" w:rsidR="004B3741" w:rsidRDefault="004B3741" w:rsidP="004B3741">
      <w:pP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           </w:t>
      </w:r>
      <w:r w:rsidRPr="00056E4C">
        <w:rPr>
          <w:rFonts w:ascii="Verdana" w:eastAsia="Calibri" w:hAnsi="Verdana" w:cs="Arial"/>
          <w:bCs/>
          <w:color w:val="000000" w:themeColor="text1"/>
          <w:lang w:val="es-ES_tradnl"/>
        </w:rPr>
        <w:t>Para estos efectos, la Circular Externa Única dispone que “[…] Toda la etapa de gestión contractual está contenida en la plataforma, lo que significa que la Entidad y el Proveedor deben incluir en el SECOP II la información correspondiente que no se genere en línea (garantías, facturas, informes de supervisión, modificaciones, etc.)”. Esto significa que, a diferencia de SECOP I, en SECOP II no es necesario un expediente físico paralelo con la gestión contractual de los procesos adelantados. No obstante, el numeral 2 de la Circular precisa que “[…] En los casos en que el documento original haya sido producido en formato físico, la Entidad Estatal debe conservar su original por el tiempo que indiquen las Tablas de Retención Documental - TRD, e incorporar una copia digitalizada dentro del proceso de contratación en el SECOP II en cumplimiento de la obligación de publicidad”.</w:t>
      </w:r>
    </w:p>
    <w:p w14:paraId="3279BC0A" w14:textId="77777777" w:rsidR="00C664C8" w:rsidRPr="00C664C8" w:rsidRDefault="004B3741" w:rsidP="00C664C8">
      <w:pPr>
        <w:tabs>
          <w:tab w:val="left" w:pos="450"/>
        </w:tabs>
        <w:spacing w:before="120" w:line="276" w:lineRule="auto"/>
        <w:jc w:val="both"/>
        <w:rPr>
          <w:rFonts w:ascii="Verdana" w:hAnsi="Verdana" w:cs="Arial"/>
        </w:rPr>
      </w:pPr>
      <w:r>
        <w:rPr>
          <w:rFonts w:ascii="Verdana" w:hAnsi="Verdana"/>
          <w:color w:val="000000"/>
        </w:rPr>
        <w:tab/>
      </w:r>
      <w:r w:rsidR="00C664C8" w:rsidRPr="00C664C8">
        <w:rPr>
          <w:rFonts w:ascii="Verdana" w:hAnsi="Verdana"/>
          <w:color w:val="000000" w:themeColor="text1"/>
        </w:rPr>
        <w:t>Ahora bien, en atención al problema jurídico planteado, toda la actividad contractual de las entidades estatales debe ponerse a disposición del público como desarrollo del principio de publicidad y del derecho de acceso a la información. Si bien el artículo 2.2.1.1.1.7.1 del Decreto 1082 de 2015 establece un plazo de tres (3) días para realizar las publicaciones en el SECOP, lo cierto es que, en línea con lo previsto en el Concepto C-185 del 24 de marzo de 2025 expedido por esta Subdirección Contractual, y conforme a lo anteriormente indicado, todo sujeto obligado debe publicar sus procedimientos, lineamientos y políticas en materia de adquisiciones y compras, así como los datos de adjudicación y de ejecución de sus contratos. En ese sentido, la plataforma SECOP constituye el medio idóneo para dar cumplimiento al deber de publicidad, de conformidad con lo dispuesto en el artículo 3 de la Ley 1150 de 2007, los artículos 3 y 19 de la Ley 1508 de 2012, la Ley 1712 de 2014, la Circular Externa 03 de 2024 y las demás normas que regulan la obligación de divulgar la información contractual.</w:t>
      </w:r>
    </w:p>
    <w:p w14:paraId="2FCBC8A5" w14:textId="77777777" w:rsidR="004B3741" w:rsidRDefault="004B3741" w:rsidP="004B3741">
      <w:pPr>
        <w:tabs>
          <w:tab w:val="left" w:pos="450"/>
        </w:tabs>
        <w:spacing w:before="120" w:line="276" w:lineRule="auto"/>
        <w:jc w:val="both"/>
        <w:rPr>
          <w:rFonts w:ascii="Verdana" w:hAnsi="Verdana" w:cs="Arial"/>
          <w:lang w:val="es-MX" w:eastAsia="es-ES"/>
        </w:rPr>
      </w:pPr>
      <w:r>
        <w:rPr>
          <w:rFonts w:ascii="Verdana" w:hAnsi="Verdana"/>
        </w:rPr>
        <w:t xml:space="preserve">         </w:t>
      </w:r>
      <w:r w:rsidRPr="004C713C">
        <w:rPr>
          <w:rFonts w:ascii="Verdana" w:hAnsi="Verdana"/>
        </w:rPr>
        <w:t xml:space="preserve">Dentro de este marco, corresponde a cada entidad pública, en ejercicio de su competencia y previa valoración de los elementos fácticos y jurídicos, así como de las disposiciones legales mencionadas, </w:t>
      </w:r>
      <w:r>
        <w:rPr>
          <w:rFonts w:ascii="Verdana" w:hAnsi="Verdana"/>
        </w:rPr>
        <w:t>determinar la publicación de los documentos que hacen parte de su gestión contractual.</w:t>
      </w:r>
      <w:r w:rsidRPr="004C713C">
        <w:rPr>
          <w:rFonts w:ascii="Verdana" w:hAnsi="Verdana"/>
        </w:rPr>
        <w:t xml:space="preserve"> Al tratarse de un análisis que debe realizarse en el procedimiento contractual específico, la Agencia no puede definir un criterio universal y absoluto por vía consultiva, sino que brinda elementos de carácter general para que</w:t>
      </w:r>
      <w:r w:rsidRPr="00E61635">
        <w:rPr>
          <w:rFonts w:ascii="Verdana" w:hAnsi="Verdana"/>
        </w:rPr>
        <w:t xml:space="preserv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CC09DD">
        <w:rPr>
          <w:rFonts w:ascii="Verdana" w:eastAsia="Times New Roman" w:hAnsi="Verdana" w:cs="Arial"/>
          <w:lang w:val="es-ES_tradnl" w:eastAsia="es-ES_tradnl"/>
        </w:rPr>
        <w:t xml:space="preserve"> </w:t>
      </w:r>
      <w:bookmarkStart w:id="4" w:name="_Hlk131155229"/>
      <w:r>
        <w:rPr>
          <w:rFonts w:ascii="Verdana" w:eastAsia="Times New Roman" w:hAnsi="Verdana" w:cs="Arial"/>
          <w:lang w:val="es-ES_tradnl" w:eastAsia="es-ES_tradnl"/>
        </w:rPr>
        <w:t xml:space="preserve">     </w:t>
      </w:r>
      <w:bookmarkEnd w:id="4"/>
    </w:p>
    <w:p w14:paraId="37DD3111" w14:textId="77777777" w:rsidR="004B3741" w:rsidRPr="0060676F" w:rsidRDefault="004B3741" w:rsidP="004B3741">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3BB02BD3" w14:textId="77777777" w:rsidR="004B3741" w:rsidRPr="00593A5F" w:rsidRDefault="004B3741" w:rsidP="004B374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3741" w:rsidRPr="00593A5F" w14:paraId="00E01000" w14:textId="77777777" w:rsidTr="00566950">
        <w:trPr>
          <w:trHeight w:val="870"/>
        </w:trPr>
        <w:tc>
          <w:tcPr>
            <w:tcW w:w="8647" w:type="dxa"/>
          </w:tcPr>
          <w:p w14:paraId="708DFE8A" w14:textId="77777777" w:rsidR="004B3741"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74 y 209.</w:t>
            </w:r>
          </w:p>
          <w:p w14:paraId="126AD984" w14:textId="77777777" w:rsidR="004B3741" w:rsidRPr="00EB1756"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 xml:space="preserve">Ley 80 de </w:t>
            </w:r>
            <w:r w:rsidRPr="00EB1756">
              <w:rPr>
                <w:rFonts w:ascii="Verdana" w:hAnsi="Verdana" w:cs="Arial"/>
              </w:rPr>
              <w:t>1993, artículo 24.</w:t>
            </w:r>
          </w:p>
          <w:p w14:paraId="2827474A" w14:textId="77777777" w:rsidR="004B3741" w:rsidRPr="00EB1756"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EB1756">
              <w:rPr>
                <w:rFonts w:ascii="Verdana" w:hAnsi="Verdana" w:cs="Arial"/>
              </w:rPr>
              <w:t>Ley 1150 de 2007, artículo 3.</w:t>
            </w:r>
          </w:p>
          <w:p w14:paraId="05E6AD6A" w14:textId="77777777" w:rsidR="004B3741" w:rsidRPr="00EB1756"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EB1756">
              <w:rPr>
                <w:rFonts w:ascii="Verdana" w:hAnsi="Verdana" w:cs="Arial"/>
              </w:rPr>
              <w:t>Ley 1437 de 2011, artículos 24, 25 y 36.</w:t>
            </w:r>
          </w:p>
          <w:p w14:paraId="7D977294" w14:textId="77777777" w:rsidR="004B3741" w:rsidRPr="00EB1756"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EB1756">
              <w:rPr>
                <w:rFonts w:ascii="Verdana" w:hAnsi="Verdana" w:cs="Arial"/>
              </w:rPr>
              <w:t>Ley 1712 de 2014, artículos 2, 5, 21, 6, 11, 21, 18 y 19.</w:t>
            </w:r>
          </w:p>
          <w:p w14:paraId="36138503" w14:textId="77777777" w:rsidR="004B3741" w:rsidRPr="002D6629" w:rsidRDefault="004B3741" w:rsidP="004B3741">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 xml:space="preserve">Decreto 1081 de 2015, </w:t>
            </w:r>
            <w:r w:rsidRPr="00EB1756">
              <w:rPr>
                <w:rFonts w:ascii="Verdana" w:hAnsi="Verdana" w:cs="Arial"/>
              </w:rPr>
              <w:t>Artículo 2.1.1.2.1.7.</w:t>
            </w:r>
          </w:p>
          <w:p w14:paraId="25E297A3" w14:textId="77777777" w:rsidR="004B3741" w:rsidRPr="0096584D" w:rsidRDefault="004B3741" w:rsidP="004B3741">
            <w:pPr>
              <w:pStyle w:val="Prrafodelista"/>
              <w:widowControl w:val="0"/>
              <w:numPr>
                <w:ilvl w:val="0"/>
                <w:numId w:val="17"/>
              </w:numPr>
              <w:autoSpaceDE w:val="0"/>
              <w:autoSpaceDN w:val="0"/>
              <w:spacing w:after="120" w:line="276" w:lineRule="auto"/>
              <w:ind w:left="312" w:hanging="283"/>
              <w:rPr>
                <w:rFonts w:ascii="Verdana" w:eastAsia="Calibri" w:hAnsi="Verdana" w:cs="Arial"/>
                <w:color w:val="000000"/>
              </w:rPr>
            </w:pPr>
            <w:r>
              <w:rPr>
                <w:rFonts w:ascii="Verdana" w:hAnsi="Verdana" w:cs="Arial"/>
              </w:rPr>
              <w:t xml:space="preserve">Decreto 1082 de 2015, artículos </w:t>
            </w:r>
            <w:r w:rsidRPr="002D6629">
              <w:rPr>
                <w:rFonts w:ascii="Verdana" w:hAnsi="Verdana" w:cs="Arial"/>
              </w:rPr>
              <w:t>2.2.1.1.1.3.1</w:t>
            </w:r>
            <w:r>
              <w:rPr>
                <w:rFonts w:ascii="Verdana" w:hAnsi="Verdana" w:cs="Arial"/>
              </w:rPr>
              <w:t xml:space="preserve"> y </w:t>
            </w:r>
            <w:r w:rsidRPr="00F16D2E">
              <w:rPr>
                <w:rFonts w:ascii="Verdana" w:hAnsi="Verdana" w:cs="Arial"/>
              </w:rPr>
              <w:t>2.2.1.1.1.7.1</w:t>
            </w:r>
            <w:r>
              <w:rPr>
                <w:rFonts w:ascii="Verdana" w:hAnsi="Verdana" w:cs="Arial"/>
              </w:rPr>
              <w:t>.</w:t>
            </w:r>
          </w:p>
        </w:tc>
      </w:tr>
    </w:tbl>
    <w:p w14:paraId="2ED283ED" w14:textId="77777777" w:rsidR="004B3741" w:rsidRDefault="004B3741" w:rsidP="004B37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D1BF037" w14:textId="77777777" w:rsidR="004B3741" w:rsidRDefault="004B3741" w:rsidP="004B3741">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3DB6083" w14:textId="77777777" w:rsidR="004B3741" w:rsidRPr="00593A5F" w:rsidRDefault="004B3741" w:rsidP="004B37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2123A62" w14:textId="3157C1CA" w:rsidR="004B3741" w:rsidRPr="00C95794" w:rsidRDefault="004B3741" w:rsidP="004B3741">
      <w:pPr>
        <w:widowControl w:val="0"/>
        <w:autoSpaceDE w:val="0"/>
        <w:autoSpaceDN w:val="0"/>
        <w:spacing w:after="0" w:line="276" w:lineRule="auto"/>
        <w:jc w:val="both"/>
        <w:rPr>
          <w:rFonts w:ascii="Verdana" w:eastAsia="Times New Roman" w:hAnsi="Verdana" w:cs="Arial"/>
          <w:color w:val="4472C4"/>
          <w:szCs w:val="24"/>
          <w:lang w:eastAsia="es-ES_tradnl"/>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el principio de publicación</w:t>
      </w:r>
      <w:r w:rsidRPr="00286FF3">
        <w:rPr>
          <w:rFonts w:ascii="Verdana" w:eastAsia="Aptos" w:hAnsi="Verdana" w:cs="Arial"/>
          <w:shd w:val="clear" w:color="auto" w:fill="FFFFFF"/>
          <w:lang w:val="es-ES"/>
        </w:rPr>
        <w:t>,</w:t>
      </w:r>
      <w:r>
        <w:rPr>
          <w:rFonts w:ascii="Verdana" w:eastAsia="Aptos" w:hAnsi="Verdana" w:cs="Arial"/>
          <w:shd w:val="clear" w:color="auto" w:fill="FFFFFF"/>
          <w:lang w:val="es-ES"/>
        </w:rPr>
        <w:t xml:space="preserve"> la obligatoriedad de publicación en la plataforma SECOP II</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w:t>
      </w:r>
      <w:r w:rsidRPr="00615FF2">
        <w:rPr>
          <w:rFonts w:ascii="Verdana" w:hAnsi="Verdana"/>
        </w:rPr>
        <w:t xml:space="preserve">CU-367 del 23 de julio de 2020, C-049 del 7 de marzo de 2022, C-120 del 22 </w:t>
      </w:r>
      <w:r w:rsidRPr="00B23D9E">
        <w:rPr>
          <w:rFonts w:ascii="Verdana" w:hAnsi="Verdana"/>
        </w:rPr>
        <w:t>de marzo de 2022, C-124 del 22 de marzo de 2022, C-132 del 28 de marzo de 2022,</w:t>
      </w:r>
      <w:r w:rsidRPr="00B23D9E">
        <w:rPr>
          <w:rStyle w:val="normaltextrun"/>
          <w:rFonts w:ascii="Verdana" w:hAnsi="Verdana" w:cs="Arial"/>
          <w:shd w:val="clear" w:color="auto" w:fill="FFFFFF"/>
          <w:lang w:val="es-ES"/>
        </w:rPr>
        <w:t xml:space="preserve"> C-872 de 2024, C-941-2024, C-009 de 2025, C-073 de 2025, C-139 de 2025, </w:t>
      </w:r>
      <w:r w:rsidR="00C664C8" w:rsidRPr="00C664C8">
        <w:rPr>
          <w:rFonts w:ascii="Verdana" w:hAnsi="Verdana"/>
          <w:color w:val="000000" w:themeColor="text1"/>
        </w:rPr>
        <w:t>C-185 del 24 de marzo de 2025</w:t>
      </w:r>
      <w:r w:rsidR="00C664C8">
        <w:rPr>
          <w:rFonts w:ascii="Verdana" w:hAnsi="Verdana"/>
          <w:color w:val="000000" w:themeColor="text1"/>
        </w:rPr>
        <w:t xml:space="preserve">, </w:t>
      </w:r>
      <w:r w:rsidRPr="00B23D9E">
        <w:rPr>
          <w:rStyle w:val="normaltextrun"/>
          <w:rFonts w:ascii="Verdana" w:hAnsi="Verdana" w:cs="Arial"/>
          <w:shd w:val="clear" w:color="auto" w:fill="FFFFFF"/>
          <w:lang w:val="es-ES"/>
        </w:rPr>
        <w:t>C-402 de 2025,</w:t>
      </w:r>
      <w:r>
        <w:rPr>
          <w:rStyle w:val="normaltextrun"/>
          <w:rFonts w:ascii="Verdana" w:hAnsi="Verdana" w:cs="Arial"/>
          <w:shd w:val="clear" w:color="auto" w:fill="FFFFFF"/>
          <w:lang w:val="es-ES"/>
        </w:rPr>
        <w:t xml:space="preserve"> C-479 de 2025,</w:t>
      </w:r>
      <w:r>
        <w:rPr>
          <w:rFonts w:ascii="Verdana" w:eastAsia="Aptos" w:hAnsi="Verdana" w:cs="Arial"/>
          <w:shd w:val="clear" w:color="auto" w:fill="FFFFFF"/>
          <w:lang w:val="es-ES"/>
        </w:rPr>
        <w:t xml:space="preserve"> C-774 del 30 de julio de 2025, </w:t>
      </w:r>
      <w:r w:rsidRPr="00286FF3">
        <w:rPr>
          <w:rFonts w:ascii="Verdana" w:eastAsia="Aptos" w:hAnsi="Verdana" w:cs="Arial"/>
          <w:shd w:val="clear" w:color="auto" w:fill="FFFFFF"/>
          <w:lang w:val="es-ES"/>
        </w:rPr>
        <w:t xml:space="preserve"> </w:t>
      </w:r>
      <w:r>
        <w:rPr>
          <w:rFonts w:ascii="Verdana" w:eastAsia="Aptos" w:hAnsi="Verdana" w:cs="Arial"/>
          <w:shd w:val="clear" w:color="auto" w:fill="FFFFFF"/>
          <w:lang w:val="es-ES"/>
        </w:rPr>
        <w:t>C-1041 del 4 de septiembre de 2025, C-1381 del 16 de octubre de 2025</w:t>
      </w:r>
      <w:r>
        <w:rPr>
          <w:rFonts w:ascii="Verdana" w:eastAsia="Times New Roman" w:hAnsi="Verdana" w:cs="Arial"/>
          <w:szCs w:val="24"/>
          <w:lang w:eastAsia="es-ES_tradnl"/>
        </w:rPr>
        <w:t xml:space="preserve"> y C-1306 DE 2025. </w:t>
      </w:r>
      <w:r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2" w:history="1">
        <w:r w:rsidRPr="00C95794">
          <w:rPr>
            <w:rFonts w:ascii="Verdana" w:eastAsia="Times New Roman" w:hAnsi="Verdana" w:cs="Arial"/>
            <w:color w:val="0000FF"/>
            <w:szCs w:val="24"/>
            <w:u w:val="single"/>
            <w:lang w:eastAsia="es-ES_tradnl"/>
          </w:rPr>
          <w:t>https://relatoria.colombiacompra.gov.co</w:t>
        </w:r>
      </w:hyperlink>
    </w:p>
    <w:p w14:paraId="7056B5AA" w14:textId="77777777" w:rsidR="004B3741" w:rsidRDefault="004B3741" w:rsidP="004B3741">
      <w:pPr>
        <w:widowControl w:val="0"/>
        <w:autoSpaceDE w:val="0"/>
        <w:autoSpaceDN w:val="0"/>
        <w:spacing w:after="0" w:line="276" w:lineRule="auto"/>
        <w:jc w:val="both"/>
        <w:rPr>
          <w:rFonts w:ascii="Verdana" w:hAnsi="Verdana" w:cs="Arial"/>
          <w:color w:val="000000" w:themeColor="text1"/>
          <w:shd w:val="clear" w:color="auto" w:fill="FFFFFF"/>
        </w:rPr>
      </w:pPr>
    </w:p>
    <w:p w14:paraId="49842275" w14:textId="77777777" w:rsidR="004B3741" w:rsidRPr="00103B90" w:rsidRDefault="004B3741" w:rsidP="004B3741">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6D2ACB53" w14:textId="77777777" w:rsidR="004B3741" w:rsidRPr="00103B90" w:rsidRDefault="004B3741" w:rsidP="004B3741">
      <w:pPr>
        <w:widowControl w:val="0"/>
        <w:autoSpaceDE w:val="0"/>
        <w:autoSpaceDN w:val="0"/>
        <w:spacing w:after="0" w:line="276" w:lineRule="auto"/>
        <w:jc w:val="both"/>
        <w:rPr>
          <w:rFonts w:ascii="Verdana" w:hAnsi="Verdana"/>
        </w:rPr>
      </w:pPr>
    </w:p>
    <w:p w14:paraId="1DC733C7" w14:textId="77777777" w:rsidR="004B3741" w:rsidRPr="00505CD6" w:rsidRDefault="004B3741" w:rsidP="004B374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E1A203F" w14:textId="77777777" w:rsidR="004B3741" w:rsidRPr="00505CD6" w:rsidRDefault="004B3741" w:rsidP="004B3741">
      <w:pPr>
        <w:widowControl w:val="0"/>
        <w:autoSpaceDE w:val="0"/>
        <w:autoSpaceDN w:val="0"/>
        <w:spacing w:after="0" w:line="276" w:lineRule="auto"/>
        <w:jc w:val="both"/>
        <w:rPr>
          <w:rFonts w:ascii="Verdana" w:hAnsi="Verdana" w:cs="Arial"/>
        </w:rPr>
      </w:pPr>
    </w:p>
    <w:p w14:paraId="4B54119D" w14:textId="77777777" w:rsidR="004B3741" w:rsidRDefault="004B3741" w:rsidP="004B3741">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3349045" w14:textId="77777777" w:rsidR="004B3741" w:rsidRDefault="004B3741" w:rsidP="004B3741">
      <w:pPr>
        <w:spacing w:after="0" w:line="276" w:lineRule="auto"/>
        <w:jc w:val="both"/>
        <w:rPr>
          <w:noProof/>
        </w:rPr>
      </w:pPr>
    </w:p>
    <w:p w14:paraId="428F97E9" w14:textId="586CEB5D" w:rsidR="004B3741" w:rsidRDefault="008313BE" w:rsidP="004B3741">
      <w:pPr>
        <w:spacing w:line="276" w:lineRule="auto"/>
        <w:jc w:val="center"/>
        <w:rPr>
          <w:noProof/>
        </w:rPr>
      </w:pPr>
      <w:r>
        <w:rPr>
          <w:noProof/>
        </w:rPr>
        <w:drawing>
          <wp:inline distT="0" distB="0" distL="0" distR="0" wp14:anchorId="3B9B7718" wp14:editId="193CD3F3">
            <wp:extent cx="2840355" cy="1219315"/>
            <wp:effectExtent l="0" t="0" r="0" b="0"/>
            <wp:docPr id="21021455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43053" cy="1220473"/>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3741" w:rsidRPr="00593A5F" w14:paraId="447776AC" w14:textId="77777777" w:rsidTr="00566950">
        <w:trPr>
          <w:trHeight w:val="315"/>
        </w:trPr>
        <w:tc>
          <w:tcPr>
            <w:tcW w:w="893" w:type="dxa"/>
            <w:vAlign w:val="center"/>
            <w:hideMark/>
          </w:tcPr>
          <w:p w14:paraId="7E3AC734" w14:textId="77777777" w:rsidR="004B3741" w:rsidRPr="003751C7" w:rsidRDefault="004B3741" w:rsidP="0056695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FF9022A" w14:textId="77777777" w:rsidR="004B3741" w:rsidRPr="007911EE" w:rsidRDefault="004B3741" w:rsidP="00566950">
            <w:pPr>
              <w:contextualSpacing/>
              <w:rPr>
                <w:rFonts w:ascii="Verdana" w:hAnsi="Verdana"/>
                <w:sz w:val="16"/>
                <w:szCs w:val="16"/>
              </w:rPr>
            </w:pPr>
            <w:r>
              <w:rPr>
                <w:rFonts w:ascii="Verdana" w:hAnsi="Verdana"/>
                <w:sz w:val="16"/>
                <w:szCs w:val="16"/>
              </w:rPr>
              <w:t xml:space="preserve">Nicolas Andres Guzman </w:t>
            </w:r>
          </w:p>
          <w:p w14:paraId="7ED4CADD" w14:textId="77777777" w:rsidR="004B3741" w:rsidRPr="007911EE" w:rsidRDefault="004B3741" w:rsidP="00566950">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4B3741" w:rsidRPr="00593A5F" w14:paraId="3C684A69" w14:textId="77777777" w:rsidTr="00566950">
        <w:trPr>
          <w:trHeight w:val="330"/>
        </w:trPr>
        <w:tc>
          <w:tcPr>
            <w:tcW w:w="893" w:type="dxa"/>
            <w:vAlign w:val="center"/>
            <w:hideMark/>
          </w:tcPr>
          <w:p w14:paraId="36107E06" w14:textId="77777777" w:rsidR="004B3741" w:rsidRPr="003751C7" w:rsidRDefault="004B3741" w:rsidP="0056695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BF8858" w14:textId="77777777" w:rsidR="004B3741" w:rsidRDefault="004B3741" w:rsidP="00566950">
            <w:pPr>
              <w:spacing w:line="276" w:lineRule="auto"/>
              <w:contextualSpacing/>
              <w:jc w:val="both"/>
              <w:rPr>
                <w:rFonts w:ascii="Verdana" w:hAnsi="Verdana"/>
                <w:sz w:val="16"/>
                <w:szCs w:val="16"/>
              </w:rPr>
            </w:pPr>
            <w:r w:rsidRPr="00887A8D">
              <w:rPr>
                <w:rFonts w:ascii="Verdana" w:hAnsi="Verdana"/>
                <w:sz w:val="16"/>
                <w:szCs w:val="16"/>
              </w:rPr>
              <w:t>Juan Carlos González</w:t>
            </w:r>
          </w:p>
          <w:p w14:paraId="1BDE5B7B" w14:textId="77777777" w:rsidR="004B3741" w:rsidRPr="007911EE" w:rsidRDefault="004B3741" w:rsidP="00566950">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4B3741" w:rsidRPr="00593A5F" w14:paraId="28877386" w14:textId="77777777" w:rsidTr="00566950">
        <w:trPr>
          <w:trHeight w:val="330"/>
        </w:trPr>
        <w:tc>
          <w:tcPr>
            <w:tcW w:w="893" w:type="dxa"/>
            <w:vAlign w:val="center"/>
          </w:tcPr>
          <w:p w14:paraId="07FB77FD" w14:textId="77777777" w:rsidR="004B3741" w:rsidRPr="003751C7" w:rsidRDefault="004B3741" w:rsidP="00566950">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36D038" w14:textId="77777777" w:rsidR="004B3741" w:rsidRDefault="004B3741" w:rsidP="00566950">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32DECDBC" w14:textId="77777777" w:rsidR="004B3741" w:rsidRDefault="004B3741" w:rsidP="00566950">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F67A76E" w14:textId="77777777" w:rsidR="004B3741" w:rsidRPr="00F30C63" w:rsidRDefault="004B3741" w:rsidP="004B3741"/>
    <w:p w14:paraId="768F194C" w14:textId="77777777" w:rsidR="004B3741" w:rsidRPr="00D55B9E" w:rsidRDefault="004B3741" w:rsidP="004B3741"/>
    <w:p w14:paraId="0F293BF4" w14:textId="5631BD58" w:rsidR="00127233" w:rsidRPr="00E65A20" w:rsidRDefault="00127233" w:rsidP="00E65A20"/>
    <w:sectPr w:rsidR="00127233" w:rsidRPr="00E65A2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7BE0B" w14:textId="77777777" w:rsidR="00DD6307" w:rsidRDefault="00DD6307" w:rsidP="004A1847">
      <w:pPr>
        <w:spacing w:after="0" w:line="240" w:lineRule="auto"/>
      </w:pPr>
      <w:r>
        <w:separator/>
      </w:r>
    </w:p>
  </w:endnote>
  <w:endnote w:type="continuationSeparator" w:id="0">
    <w:p w14:paraId="0C80DB29" w14:textId="77777777" w:rsidR="00DD6307" w:rsidRDefault="00DD630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3CF70" w14:textId="77777777" w:rsidR="00DD6307" w:rsidRDefault="00DD6307" w:rsidP="004A1847">
      <w:pPr>
        <w:spacing w:after="0" w:line="240" w:lineRule="auto"/>
      </w:pPr>
      <w:r>
        <w:separator/>
      </w:r>
    </w:p>
  </w:footnote>
  <w:footnote w:type="continuationSeparator" w:id="0">
    <w:p w14:paraId="23734447" w14:textId="77777777" w:rsidR="00DD6307" w:rsidRDefault="00DD6307" w:rsidP="004A1847">
      <w:pPr>
        <w:spacing w:after="0" w:line="240" w:lineRule="auto"/>
      </w:pPr>
      <w:r>
        <w:continuationSeparator/>
      </w:r>
    </w:p>
  </w:footnote>
  <w:footnote w:id="1">
    <w:p w14:paraId="37998DA3" w14:textId="77777777" w:rsidR="004B3741" w:rsidRPr="008F38FC" w:rsidRDefault="004B3741" w:rsidP="004B3741">
      <w:pPr>
        <w:pStyle w:val="Textonotapie"/>
        <w:ind w:right="49" w:firstLine="708"/>
        <w:contextualSpacing/>
        <w:jc w:val="both"/>
        <w:rPr>
          <w:rFonts w:ascii="Verdana" w:hAnsi="Verdana" w:cs="Arial"/>
          <w:color w:val="000000" w:themeColor="text1"/>
          <w:sz w:val="16"/>
          <w:szCs w:val="16"/>
        </w:rPr>
      </w:pPr>
      <w:r w:rsidRPr="008F38FC">
        <w:rPr>
          <w:rStyle w:val="Refdenotaalpie"/>
          <w:rFonts w:ascii="Verdana" w:hAnsi="Verdana" w:cs="Arial"/>
          <w:color w:val="000000" w:themeColor="text1"/>
          <w:sz w:val="16"/>
          <w:szCs w:val="16"/>
        </w:rPr>
        <w:footnoteRef/>
      </w:r>
      <w:r w:rsidRPr="008F38FC">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18DB74F8" w14:textId="77777777" w:rsidR="004B3741" w:rsidRPr="008F38FC" w:rsidRDefault="004B3741" w:rsidP="004B3741">
      <w:pPr>
        <w:pStyle w:val="Textonotapie"/>
        <w:ind w:right="49" w:firstLine="708"/>
        <w:contextualSpacing/>
        <w:jc w:val="both"/>
        <w:rPr>
          <w:rFonts w:ascii="Verdana" w:hAnsi="Verdana" w:cs="Arial"/>
          <w:color w:val="000000" w:themeColor="text1"/>
          <w:sz w:val="16"/>
          <w:szCs w:val="16"/>
        </w:rPr>
      </w:pPr>
      <w:r w:rsidRPr="008F38FC">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3622FDE6" w14:textId="77777777" w:rsidR="004B3741" w:rsidRPr="008F38FC" w:rsidRDefault="004B3741" w:rsidP="004B3741">
      <w:pPr>
        <w:pStyle w:val="Textonotapie"/>
        <w:ind w:right="49" w:firstLine="708"/>
        <w:contextualSpacing/>
        <w:jc w:val="both"/>
        <w:rPr>
          <w:rFonts w:ascii="Verdana" w:hAnsi="Verdana" w:cs="Arial"/>
          <w:color w:val="000000" w:themeColor="text1"/>
          <w:sz w:val="16"/>
          <w:szCs w:val="16"/>
          <w:lang w:val="es-ES"/>
        </w:rPr>
      </w:pPr>
    </w:p>
  </w:footnote>
  <w:footnote w:id="2">
    <w:p w14:paraId="7773360B" w14:textId="77777777" w:rsidR="004B3741" w:rsidRPr="008F38FC" w:rsidRDefault="004B3741" w:rsidP="004B3741">
      <w:pPr>
        <w:pStyle w:val="Textonotapie"/>
        <w:ind w:firstLine="708"/>
        <w:jc w:val="both"/>
        <w:rPr>
          <w:rFonts w:ascii="Verdana" w:hAnsi="Verdana"/>
          <w:sz w:val="16"/>
          <w:szCs w:val="16"/>
          <w:lang w:val="es-CO"/>
        </w:rPr>
      </w:pPr>
      <w:r w:rsidRPr="008F38FC">
        <w:rPr>
          <w:rStyle w:val="Refdenotaalpie"/>
          <w:rFonts w:ascii="Verdana" w:hAnsi="Verdana"/>
          <w:sz w:val="16"/>
          <w:szCs w:val="16"/>
        </w:rPr>
        <w:footnoteRef/>
      </w:r>
      <w:r w:rsidRPr="008F38FC">
        <w:rPr>
          <w:rFonts w:ascii="Verdana" w:hAnsi="Verdana"/>
          <w:sz w:val="16"/>
          <w:szCs w:val="16"/>
        </w:rPr>
        <w:t xml:space="preserve"> </w:t>
      </w:r>
      <w:r w:rsidRPr="008F38FC">
        <w:rPr>
          <w:rFonts w:ascii="Verdana" w:hAnsi="Verdana"/>
          <w:sz w:val="16"/>
          <w:szCs w:val="16"/>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3">
    <w:p w14:paraId="19ED4DDE" w14:textId="77777777" w:rsidR="004B3741" w:rsidRPr="008F38FC" w:rsidRDefault="004B3741" w:rsidP="004B3741">
      <w:pPr>
        <w:pStyle w:val="Textonotapie"/>
        <w:ind w:firstLine="708"/>
        <w:jc w:val="both"/>
        <w:rPr>
          <w:rFonts w:ascii="Verdana" w:hAnsi="Verdana"/>
          <w:sz w:val="16"/>
          <w:szCs w:val="16"/>
          <w:lang w:val="es-CO"/>
        </w:rPr>
      </w:pPr>
      <w:r w:rsidRPr="008F38FC">
        <w:rPr>
          <w:rStyle w:val="Refdenotaalpie"/>
          <w:rFonts w:ascii="Verdana" w:hAnsi="Verdana"/>
          <w:sz w:val="16"/>
          <w:szCs w:val="16"/>
        </w:rPr>
        <w:footnoteRef/>
      </w:r>
      <w:r w:rsidRPr="008F38FC">
        <w:rPr>
          <w:rFonts w:ascii="Verdana" w:hAnsi="Verdana"/>
          <w:sz w:val="16"/>
          <w:szCs w:val="16"/>
        </w:rPr>
        <w:t xml:space="preserve"> </w:t>
      </w:r>
      <w:r w:rsidRPr="008F38FC">
        <w:rPr>
          <w:rFonts w:ascii="Verdana" w:hAnsi="Verdana"/>
          <w:sz w:val="16"/>
          <w:szCs w:val="16"/>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4">
    <w:p w14:paraId="3FD0F984" w14:textId="77777777" w:rsidR="004B3741" w:rsidRPr="00C92145" w:rsidRDefault="004B3741" w:rsidP="004B3741">
      <w:pPr>
        <w:pStyle w:val="Textonotapie"/>
        <w:ind w:firstLine="709"/>
        <w:jc w:val="both"/>
        <w:rPr>
          <w:rFonts w:ascii="Verdana" w:hAnsi="Verdana" w:cs="Arial"/>
          <w:color w:val="000000" w:themeColor="text1"/>
          <w:sz w:val="14"/>
          <w:szCs w:val="14"/>
        </w:rPr>
      </w:pPr>
      <w:r w:rsidRPr="00C92145">
        <w:rPr>
          <w:rStyle w:val="Refdenotaalpie"/>
          <w:rFonts w:ascii="Verdana" w:hAnsi="Verdana" w:cs="Arial"/>
          <w:color w:val="000000" w:themeColor="text1"/>
          <w:sz w:val="14"/>
          <w:szCs w:val="14"/>
        </w:rPr>
        <w:footnoteRef/>
      </w:r>
      <w:r w:rsidRPr="00C92145">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F011BD0" w14:textId="77777777" w:rsidR="004B3741" w:rsidRPr="00C92145" w:rsidRDefault="004B3741" w:rsidP="004B3741">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Lo anterior, sin perjuicio de las publicaciones previstas en el numeral 3 del artículo 30 de la Ley 80 de 1993.</w:t>
      </w:r>
    </w:p>
    <w:p w14:paraId="7894D2C0" w14:textId="77777777" w:rsidR="004B3741" w:rsidRPr="00C92145" w:rsidRDefault="004B3741" w:rsidP="004B3741">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006607F0" w14:textId="77777777" w:rsidR="004B3741" w:rsidRPr="00C92145" w:rsidRDefault="004B3741" w:rsidP="004B3741">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w:t>
      </w:r>
    </w:p>
    <w:p w14:paraId="654B4326" w14:textId="77777777" w:rsidR="004B3741" w:rsidRPr="00C92145" w:rsidRDefault="004B3741" w:rsidP="004B3741">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135BF528" w14:textId="77777777" w:rsidR="004B3741" w:rsidRPr="00C92145" w:rsidRDefault="004B3741" w:rsidP="004B3741">
      <w:pPr>
        <w:pStyle w:val="Textonotapie"/>
        <w:ind w:firstLine="709"/>
        <w:jc w:val="both"/>
        <w:rPr>
          <w:rFonts w:ascii="Verdana" w:hAnsi="Verdana" w:cs="Arial"/>
          <w:color w:val="000000" w:themeColor="text1"/>
          <w:sz w:val="14"/>
          <w:szCs w:val="14"/>
          <w:lang w:val="es-CO"/>
        </w:rPr>
      </w:pPr>
    </w:p>
  </w:footnote>
  <w:footnote w:id="5">
    <w:p w14:paraId="49D8B40E" w14:textId="77777777" w:rsidR="004B3741" w:rsidRPr="005C10BE" w:rsidRDefault="004B3741" w:rsidP="004B3741">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19806397" w14:textId="77777777" w:rsidR="004B3741" w:rsidRPr="005C10BE" w:rsidRDefault="004B3741" w:rsidP="004B3741">
      <w:pPr>
        <w:pStyle w:val="Textonotapie"/>
        <w:ind w:firstLine="709"/>
        <w:jc w:val="both"/>
        <w:rPr>
          <w:rFonts w:ascii="Verdana" w:hAnsi="Verdana" w:cs="Arial"/>
          <w:color w:val="000000"/>
          <w:sz w:val="16"/>
          <w:szCs w:val="16"/>
          <w:lang w:val="es-CO"/>
        </w:rPr>
      </w:pPr>
    </w:p>
  </w:footnote>
  <w:footnote w:id="6">
    <w:p w14:paraId="6D795DE9" w14:textId="77777777" w:rsidR="004B3741" w:rsidRPr="005C10BE" w:rsidRDefault="004B3741" w:rsidP="004B3741">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6414AD7A" w14:textId="77777777" w:rsidR="004B3741" w:rsidRPr="005C10BE" w:rsidRDefault="004B3741" w:rsidP="004B3741">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085008A6" w14:textId="77777777" w:rsidR="004B3741" w:rsidRPr="005C10BE" w:rsidRDefault="004B3741" w:rsidP="004B3741">
      <w:pPr>
        <w:pStyle w:val="Textonotapie"/>
        <w:ind w:firstLine="709"/>
        <w:jc w:val="both"/>
        <w:rPr>
          <w:rFonts w:ascii="Verdana" w:hAnsi="Verdana" w:cs="Arial"/>
          <w:color w:val="000000"/>
          <w:sz w:val="16"/>
          <w:szCs w:val="16"/>
          <w:lang w:val="es-CO"/>
        </w:rPr>
      </w:pPr>
    </w:p>
  </w:footnote>
  <w:footnote w:id="7">
    <w:p w14:paraId="01688E4B" w14:textId="77777777" w:rsidR="004B3741" w:rsidRPr="005C10BE" w:rsidRDefault="004B3741" w:rsidP="004B3741">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3277963" w14:textId="77777777" w:rsidR="004B3741" w:rsidRPr="005C10BE" w:rsidRDefault="004B3741" w:rsidP="004B3741">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3C688FE7" w14:textId="77777777" w:rsidR="004B3741" w:rsidRPr="005C10BE" w:rsidRDefault="004B3741" w:rsidP="004B3741">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12655418" w14:textId="77777777" w:rsidR="004B3741" w:rsidRPr="005C10BE" w:rsidRDefault="004B3741" w:rsidP="004B3741">
      <w:pPr>
        <w:pStyle w:val="Textonotapie"/>
        <w:ind w:firstLine="709"/>
        <w:jc w:val="both"/>
        <w:rPr>
          <w:rFonts w:ascii="Verdana" w:eastAsia="Times New Roman" w:hAnsi="Verdana" w:cs="Arial"/>
          <w:color w:val="000000"/>
          <w:sz w:val="16"/>
          <w:szCs w:val="16"/>
          <w:lang w:val="es-ES" w:eastAsia="es-ES"/>
        </w:rPr>
      </w:pPr>
    </w:p>
  </w:footnote>
  <w:footnote w:id="8">
    <w:p w14:paraId="5457DD4E" w14:textId="77777777" w:rsidR="004B3741" w:rsidRPr="005F2788" w:rsidRDefault="004B3741" w:rsidP="004B3741">
      <w:pPr>
        <w:pStyle w:val="Textonotapie"/>
        <w:ind w:right="49" w:firstLine="708"/>
        <w:contextualSpacing/>
        <w:jc w:val="both"/>
        <w:rPr>
          <w:rFonts w:ascii="Verdana" w:hAnsi="Verdana" w:cs="Arial"/>
          <w:color w:val="000000" w:themeColor="text1"/>
          <w:sz w:val="14"/>
          <w:szCs w:val="14"/>
        </w:rPr>
      </w:pPr>
      <w:r w:rsidRPr="005F2788">
        <w:rPr>
          <w:rStyle w:val="Refdenotaalpie"/>
          <w:rFonts w:ascii="Verdana" w:hAnsi="Verdana" w:cs="Arial"/>
          <w:color w:val="000000" w:themeColor="text1"/>
          <w:sz w:val="14"/>
          <w:szCs w:val="14"/>
        </w:rPr>
        <w:footnoteRef/>
      </w:r>
      <w:r w:rsidRPr="005F2788">
        <w:rPr>
          <w:rFonts w:ascii="Verdana" w:hAnsi="Verdana" w:cs="Arial"/>
          <w:color w:val="000000" w:themeColor="text1"/>
          <w:sz w:val="14"/>
          <w:szCs w:val="14"/>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49D1E934" w14:textId="77777777" w:rsidR="004B3741" w:rsidRDefault="004B3741" w:rsidP="004B3741">
      <w:pPr>
        <w:pStyle w:val="Textonotapie"/>
        <w:ind w:right="49" w:firstLine="708"/>
        <w:contextualSpacing/>
        <w:jc w:val="both"/>
        <w:rPr>
          <w:rFonts w:ascii="Verdana" w:hAnsi="Verdana" w:cs="Arial"/>
          <w:color w:val="000000" w:themeColor="text1"/>
          <w:sz w:val="14"/>
          <w:szCs w:val="14"/>
        </w:rPr>
      </w:pPr>
      <w:r w:rsidRPr="005F2788">
        <w:rPr>
          <w:rFonts w:ascii="Verdana" w:hAnsi="Verdana" w:cs="Arial"/>
          <w:color w:val="000000" w:themeColor="text1"/>
          <w:sz w:val="14"/>
          <w:szCs w:val="14"/>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14EC5100" w14:textId="77777777" w:rsidR="004B3741" w:rsidRPr="005F2788" w:rsidRDefault="004B3741" w:rsidP="004B3741">
      <w:pPr>
        <w:pStyle w:val="Textonotapie"/>
        <w:ind w:right="49" w:firstLine="708"/>
        <w:contextualSpacing/>
        <w:jc w:val="both"/>
        <w:rPr>
          <w:rFonts w:ascii="Verdana" w:hAnsi="Verdana" w:cs="Arial"/>
          <w:color w:val="000000" w:themeColor="text1"/>
          <w:sz w:val="14"/>
          <w:szCs w:val="14"/>
          <w:lang w:val="es-ES"/>
        </w:rPr>
      </w:pPr>
    </w:p>
  </w:footnote>
  <w:footnote w:id="9">
    <w:p w14:paraId="48EC3010" w14:textId="77777777" w:rsidR="004B3741" w:rsidRPr="002A1671" w:rsidRDefault="004B3741" w:rsidP="004B3741">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10">
    <w:p w14:paraId="27FC9F18" w14:textId="77777777" w:rsidR="004B3741" w:rsidRPr="002A1671" w:rsidRDefault="004B3741" w:rsidP="004B3741">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2F61192"/>
    <w:multiLevelType w:val="hybridMultilevel"/>
    <w:tmpl w:val="7D440B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609659350">
    <w:abstractNumId w:val="0"/>
  </w:num>
  <w:num w:numId="17" w16cid:durableId="1364478319">
    <w:abstractNumId w:val="15"/>
  </w:num>
  <w:num w:numId="18" w16cid:durableId="17004236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2317"/>
    <w:rsid w:val="00116940"/>
    <w:rsid w:val="00125105"/>
    <w:rsid w:val="00127233"/>
    <w:rsid w:val="0015294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1936"/>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296D"/>
    <w:rsid w:val="0042722E"/>
    <w:rsid w:val="0044528D"/>
    <w:rsid w:val="00466E39"/>
    <w:rsid w:val="00484458"/>
    <w:rsid w:val="004A1847"/>
    <w:rsid w:val="004A305D"/>
    <w:rsid w:val="004B3741"/>
    <w:rsid w:val="004F21C4"/>
    <w:rsid w:val="004F685F"/>
    <w:rsid w:val="005566E8"/>
    <w:rsid w:val="00574867"/>
    <w:rsid w:val="00591460"/>
    <w:rsid w:val="005A65E0"/>
    <w:rsid w:val="005C3777"/>
    <w:rsid w:val="005C5CDC"/>
    <w:rsid w:val="005D476C"/>
    <w:rsid w:val="006200BF"/>
    <w:rsid w:val="006219F8"/>
    <w:rsid w:val="006302F7"/>
    <w:rsid w:val="00646B9F"/>
    <w:rsid w:val="00653D1E"/>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13BE"/>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6A15"/>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64C8"/>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6307"/>
    <w:rsid w:val="00DF5254"/>
    <w:rsid w:val="00E02524"/>
    <w:rsid w:val="00E16408"/>
    <w:rsid w:val="00E20894"/>
    <w:rsid w:val="00E245AB"/>
    <w:rsid w:val="00E2764C"/>
    <w:rsid w:val="00E27F2E"/>
    <w:rsid w:val="00E50AFE"/>
    <w:rsid w:val="00E65A20"/>
    <w:rsid w:val="00E75C92"/>
    <w:rsid w:val="00E771DC"/>
    <w:rsid w:val="00E8772A"/>
    <w:rsid w:val="00E90F6B"/>
    <w:rsid w:val="00E92C27"/>
    <w:rsid w:val="00EA0E3D"/>
    <w:rsid w:val="00EC1DD5"/>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230A0EF"/>
    <w:rsid w:val="13CFC91B"/>
    <w:rsid w:val="19A2EC2C"/>
    <w:rsid w:val="23428EF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B3741"/>
    <w:rPr>
      <w:rFonts w:ascii="Geomanist Light" w:hAnsi="Geomanist Light"/>
      <w:lang w:val="es-ES"/>
    </w:rPr>
  </w:style>
  <w:style w:type="paragraph" w:customStyle="1" w:styleId="Appelnotedebasde">
    <w:name w:val="Appel note de bas de..."/>
    <w:basedOn w:val="Normal"/>
    <w:link w:val="Refdenotaalpie"/>
    <w:uiPriority w:val="99"/>
    <w:rsid w:val="004B3741"/>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phonehamp@icloud.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60497835-6918-4410-A2A2-D6DB21333BF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14</Pages>
  <Words>4513</Words>
  <Characters>23831</Characters>
  <Application>Microsoft Office Word</Application>
  <DocSecurity>0</DocSecurity>
  <Lines>467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cp:revision>
  <cp:lastPrinted>2023-01-10T21:18:00Z</cp:lastPrinted>
  <dcterms:created xsi:type="dcterms:W3CDTF">2025-12-03T00:04:00Z</dcterms:created>
  <dcterms:modified xsi:type="dcterms:W3CDTF">2025-12-05T15:14:00Z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