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C4D3B" w14:textId="77777777" w:rsidR="008C5A3C" w:rsidRPr="008C5A3C" w:rsidRDefault="008C5A3C" w:rsidP="008C5A3C">
      <w:pPr>
        <w:spacing w:after="0" w:line="276" w:lineRule="auto"/>
        <w:jc w:val="both"/>
        <w:rPr>
          <w:rFonts w:ascii="Verdana" w:eastAsia="Calibri" w:hAnsi="Verdana" w:cs="Arial"/>
          <w:b/>
          <w:bCs/>
          <w:lang w:val="es-ES_tradnl"/>
        </w:rPr>
      </w:pPr>
      <w:bookmarkStart w:id="0" w:name="_Hlk143780582"/>
      <w:r w:rsidRPr="008C5A3C">
        <w:rPr>
          <w:rFonts w:ascii="Verdana" w:eastAsia="Calibri" w:hAnsi="Verdana" w:cs="Arial"/>
          <w:b/>
          <w:bCs/>
          <w:lang w:val="es-ES_tradnl"/>
        </w:rPr>
        <w:t xml:space="preserve">DOCUMENTOS TIPO – Fundamento normativo – Obligatoriedad </w:t>
      </w:r>
    </w:p>
    <w:p w14:paraId="280B7D9E" w14:textId="77777777" w:rsidR="008C5A3C" w:rsidRPr="008C5A3C" w:rsidRDefault="008C5A3C" w:rsidP="008C5A3C">
      <w:pPr>
        <w:spacing w:after="0" w:line="276" w:lineRule="auto"/>
        <w:jc w:val="both"/>
        <w:rPr>
          <w:rFonts w:ascii="Verdana" w:eastAsia="Calibri" w:hAnsi="Verdana" w:cs="Arial"/>
          <w:b/>
          <w:bCs/>
          <w:sz w:val="20"/>
          <w:szCs w:val="20"/>
          <w:lang w:val="es-ES_tradnl"/>
        </w:rPr>
      </w:pPr>
    </w:p>
    <w:p w14:paraId="5BDEDE2E" w14:textId="77777777" w:rsidR="008C5A3C" w:rsidRPr="008C5A3C" w:rsidRDefault="008C5A3C" w:rsidP="008C5A3C">
      <w:pPr>
        <w:tabs>
          <w:tab w:val="left" w:pos="709"/>
        </w:tabs>
        <w:spacing w:after="0" w:line="240" w:lineRule="auto"/>
        <w:jc w:val="both"/>
        <w:rPr>
          <w:rFonts w:ascii="Verdana" w:eastAsia="Calibri" w:hAnsi="Verdana" w:cs="Arial"/>
          <w:sz w:val="20"/>
          <w:szCs w:val="20"/>
          <w:lang w:val="es-ES"/>
        </w:rPr>
      </w:pPr>
      <w:r w:rsidRPr="008C5A3C">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FFE6501" w14:textId="77777777" w:rsidR="008C5A3C" w:rsidRPr="008C5A3C" w:rsidRDefault="008C5A3C" w:rsidP="008C5A3C">
      <w:pPr>
        <w:widowControl w:val="0"/>
        <w:autoSpaceDE w:val="0"/>
        <w:autoSpaceDN w:val="0"/>
        <w:spacing w:after="0" w:line="276" w:lineRule="auto"/>
        <w:jc w:val="both"/>
        <w:rPr>
          <w:rFonts w:ascii="Verdana" w:eastAsia="Calibri" w:hAnsi="Verdana" w:cs="Times New Roman"/>
          <w:lang w:val="es-ES"/>
        </w:rPr>
      </w:pPr>
    </w:p>
    <w:p w14:paraId="2D75861F" w14:textId="77777777" w:rsidR="008C5A3C" w:rsidRPr="008C5A3C" w:rsidRDefault="008C5A3C" w:rsidP="008C5A3C">
      <w:pPr>
        <w:spacing w:after="0" w:line="276" w:lineRule="auto"/>
        <w:jc w:val="both"/>
        <w:rPr>
          <w:rFonts w:ascii="Verdana" w:eastAsia="Calibri" w:hAnsi="Verdana" w:cs="Times New Roman"/>
          <w:sz w:val="20"/>
          <w:szCs w:val="20"/>
          <w:lang w:val="es-ES"/>
        </w:rPr>
      </w:pPr>
      <w:r w:rsidRPr="008C5A3C">
        <w:rPr>
          <w:rFonts w:ascii="Verdana" w:eastAsia="Calibri" w:hAnsi="Verdana" w:cs="Times New Roman"/>
          <w:b/>
          <w:bCs/>
          <w:lang w:val="es-ES"/>
        </w:rPr>
        <w:t xml:space="preserve">DOCUMENTOS TIPO – Aplicación – Matriz de Experiencia </w:t>
      </w:r>
    </w:p>
    <w:p w14:paraId="10A713EE" w14:textId="77777777" w:rsidR="008C5A3C" w:rsidRPr="008C5A3C" w:rsidRDefault="008C5A3C" w:rsidP="008C5A3C">
      <w:pPr>
        <w:spacing w:after="0" w:line="240" w:lineRule="auto"/>
        <w:rPr>
          <w:rFonts w:ascii="Verdana" w:eastAsia="Geomanist Light" w:hAnsi="Verdana" w:cs="Arial"/>
          <w:lang w:val="es-MX"/>
        </w:rPr>
      </w:pPr>
    </w:p>
    <w:p w14:paraId="74B43B91" w14:textId="77777777" w:rsidR="008C5A3C" w:rsidRPr="008C5A3C" w:rsidRDefault="008C5A3C" w:rsidP="008C5A3C">
      <w:pPr>
        <w:widowControl w:val="0"/>
        <w:autoSpaceDE w:val="0"/>
        <w:autoSpaceDN w:val="0"/>
        <w:spacing w:after="0" w:line="240" w:lineRule="auto"/>
        <w:jc w:val="both"/>
        <w:rPr>
          <w:rFonts w:ascii="Verdana" w:eastAsia="Calibri" w:hAnsi="Verdana" w:cs="Times New Roman"/>
          <w:sz w:val="20"/>
          <w:szCs w:val="20"/>
          <w:lang w:val="es-ES"/>
        </w:rPr>
      </w:pPr>
      <w:r w:rsidRPr="008C5A3C">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15E2D06" w14:textId="77777777" w:rsidR="008C5A3C" w:rsidRPr="008C5A3C" w:rsidRDefault="008C5A3C" w:rsidP="008C5A3C">
      <w:pPr>
        <w:widowControl w:val="0"/>
        <w:autoSpaceDE w:val="0"/>
        <w:autoSpaceDN w:val="0"/>
        <w:spacing w:after="0" w:line="240" w:lineRule="auto"/>
        <w:jc w:val="both"/>
        <w:rPr>
          <w:rFonts w:ascii="Verdana" w:eastAsia="Calibri" w:hAnsi="Verdana" w:cs="Times New Roman"/>
          <w:sz w:val="20"/>
          <w:szCs w:val="20"/>
          <w:lang w:val="es-ES"/>
        </w:rPr>
      </w:pPr>
    </w:p>
    <w:p w14:paraId="54F2290D" w14:textId="77777777" w:rsidR="008C5A3C" w:rsidRPr="008C5A3C" w:rsidRDefault="008C5A3C" w:rsidP="008C5A3C">
      <w:pPr>
        <w:widowControl w:val="0"/>
        <w:autoSpaceDE w:val="0"/>
        <w:autoSpaceDN w:val="0"/>
        <w:spacing w:after="0" w:line="240" w:lineRule="auto"/>
        <w:jc w:val="both"/>
        <w:rPr>
          <w:rFonts w:ascii="Verdana" w:eastAsia="Calibri" w:hAnsi="Verdana" w:cs="Times New Roman"/>
          <w:sz w:val="20"/>
          <w:szCs w:val="20"/>
          <w:lang w:val="es-ES"/>
        </w:rPr>
      </w:pPr>
      <w:r w:rsidRPr="008C5A3C">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91DCACF" w14:textId="77777777" w:rsidR="008C5A3C" w:rsidRPr="008C5A3C" w:rsidRDefault="008C5A3C" w:rsidP="008C5A3C">
      <w:pPr>
        <w:widowControl w:val="0"/>
        <w:autoSpaceDE w:val="0"/>
        <w:autoSpaceDN w:val="0"/>
        <w:spacing w:after="0" w:line="240" w:lineRule="auto"/>
        <w:jc w:val="both"/>
        <w:rPr>
          <w:rFonts w:ascii="Verdana" w:eastAsia="Calibri" w:hAnsi="Verdana" w:cs="Times New Roman"/>
          <w:b/>
          <w:bCs/>
          <w:sz w:val="20"/>
          <w:szCs w:val="20"/>
          <w:lang w:val="es-ES"/>
        </w:rPr>
      </w:pPr>
    </w:p>
    <w:p w14:paraId="36FA6767" w14:textId="77777777" w:rsidR="008C5A3C" w:rsidRPr="008C5A3C" w:rsidRDefault="008C5A3C" w:rsidP="008C5A3C">
      <w:pPr>
        <w:widowControl w:val="0"/>
        <w:autoSpaceDE w:val="0"/>
        <w:autoSpaceDN w:val="0"/>
        <w:spacing w:after="0" w:line="240" w:lineRule="auto"/>
        <w:jc w:val="both"/>
        <w:rPr>
          <w:rFonts w:ascii="Verdana" w:eastAsia="Calibri" w:hAnsi="Verdana" w:cs="Times New Roman"/>
          <w:b/>
          <w:bCs/>
          <w:lang w:val="es-ES"/>
        </w:rPr>
      </w:pPr>
      <w:r w:rsidRPr="008C5A3C">
        <w:rPr>
          <w:rFonts w:ascii="Verdana" w:eastAsia="Calibri" w:hAnsi="Verdana" w:cs="Times New Roman"/>
          <w:b/>
          <w:bCs/>
          <w:lang w:val="es-ES"/>
        </w:rPr>
        <w:t>CERRAMIENTOS – Aplicación – Documentos tipo</w:t>
      </w:r>
    </w:p>
    <w:p w14:paraId="3F5DAC17" w14:textId="77777777" w:rsidR="008C5A3C" w:rsidRPr="008C5A3C" w:rsidRDefault="008C5A3C" w:rsidP="008C5A3C">
      <w:pPr>
        <w:widowControl w:val="0"/>
        <w:autoSpaceDE w:val="0"/>
        <w:autoSpaceDN w:val="0"/>
        <w:spacing w:after="0" w:line="240" w:lineRule="auto"/>
        <w:jc w:val="both"/>
        <w:rPr>
          <w:rFonts w:ascii="Verdana" w:eastAsia="Calibri" w:hAnsi="Verdana" w:cs="Times New Roman"/>
          <w:b/>
          <w:bCs/>
          <w:highlight w:val="yellow"/>
          <w:lang w:val="es-ES"/>
        </w:rPr>
      </w:pPr>
    </w:p>
    <w:p w14:paraId="079FC7C0" w14:textId="77777777" w:rsidR="008C5A3C" w:rsidRPr="008C5A3C" w:rsidRDefault="008C5A3C" w:rsidP="008C5A3C">
      <w:pPr>
        <w:widowControl w:val="0"/>
        <w:autoSpaceDE w:val="0"/>
        <w:autoSpaceDN w:val="0"/>
        <w:spacing w:after="0" w:line="240" w:lineRule="auto"/>
        <w:jc w:val="both"/>
        <w:rPr>
          <w:rFonts w:ascii="Verdana" w:eastAsia="Calibri" w:hAnsi="Verdana" w:cs="Times New Roman"/>
          <w:sz w:val="20"/>
          <w:szCs w:val="20"/>
          <w:lang w:val="es-ES"/>
        </w:rPr>
      </w:pPr>
      <w:r w:rsidRPr="008C5A3C">
        <w:rPr>
          <w:rFonts w:ascii="Verdana" w:eastAsia="Calibri" w:hAnsi="Verdana" w:cs="Times New Roman"/>
          <w:sz w:val="20"/>
          <w:szCs w:val="20"/>
          <w:lang w:val="es-ES"/>
        </w:rPr>
        <w:t xml:space="preserve">Con el propósito de establecer si el proyecto por el que usted indaga se enmarca en las actividades de obra contenidas en documentos tipo expedidos por esta Agencia, le informamos que, la “Matriz 1 – Experiencia” del sector transporte para el tipo de obra “6) obras de infraestructura vial urbana”, incluye la actividad “6.24. Proyectos de limpieza, construcción de cerramiento y mantenimiento de predios para intervención en vías, parques, espacio público asociado a la infraestructura de transporte”, en el que eventualmente, puede enmarcarse el objeto del proceso de contratación que pretende adelantar la Entidad. Sin perjuicio de lo anterior, le corresponde a la entidad evaluar de acuerdo con el alcance del proceso de selección que pretende adelantar, si en la actividad señalada o en alguna otra se puede enmarcar el proceso de selección. </w:t>
      </w:r>
    </w:p>
    <w:p w14:paraId="17BEB89D" w14:textId="77777777" w:rsidR="008C5A3C" w:rsidRPr="008C5A3C" w:rsidRDefault="008C5A3C" w:rsidP="008C5A3C">
      <w:pPr>
        <w:widowControl w:val="0"/>
        <w:autoSpaceDE w:val="0"/>
        <w:autoSpaceDN w:val="0"/>
        <w:spacing w:after="0" w:line="240" w:lineRule="auto"/>
        <w:jc w:val="both"/>
        <w:rPr>
          <w:rFonts w:ascii="Verdana" w:eastAsia="Calibri" w:hAnsi="Verdana" w:cs="Times New Roman"/>
          <w:sz w:val="20"/>
          <w:szCs w:val="20"/>
          <w:lang w:val="es-ES"/>
        </w:rPr>
      </w:pPr>
    </w:p>
    <w:p w14:paraId="0ABD2ACB" w14:textId="77777777" w:rsidR="008C5A3C" w:rsidRPr="008C5A3C" w:rsidRDefault="008C5A3C" w:rsidP="008C5A3C">
      <w:pPr>
        <w:snapToGrid w:val="0"/>
        <w:spacing w:after="0" w:line="240" w:lineRule="auto"/>
        <w:jc w:val="both"/>
        <w:rPr>
          <w:rFonts w:ascii="Verdana" w:eastAsia="Calibri" w:hAnsi="Verdana" w:cs="Arial"/>
          <w:b/>
          <w:color w:val="000000"/>
          <w:kern w:val="2"/>
          <w:lang w:eastAsia="es-ES_tradnl"/>
          <w14:ligatures w14:val="standardContextual"/>
        </w:rPr>
      </w:pPr>
      <w:r w:rsidRPr="008C5A3C">
        <w:rPr>
          <w:rFonts w:ascii="Verdana" w:eastAsia="Calibri" w:hAnsi="Verdana" w:cs="Arial"/>
          <w:b/>
          <w:color w:val="000000"/>
          <w:kern w:val="2"/>
          <w:lang w:eastAsia="es-ES_tradnl"/>
          <w14:ligatures w14:val="standardContextual"/>
        </w:rPr>
        <w:t>DOCUMENTOS TIPO – Criterio de buenas prácticas</w:t>
      </w:r>
    </w:p>
    <w:p w14:paraId="161F535D" w14:textId="77777777" w:rsidR="008C5A3C" w:rsidRPr="008C5A3C" w:rsidRDefault="008C5A3C" w:rsidP="008C5A3C">
      <w:pPr>
        <w:snapToGrid w:val="0"/>
        <w:spacing w:after="0" w:line="240" w:lineRule="auto"/>
        <w:jc w:val="both"/>
        <w:rPr>
          <w:rFonts w:ascii="Arial" w:eastAsia="Calibri" w:hAnsi="Arial" w:cs="Arial"/>
          <w:b/>
          <w:color w:val="000000"/>
          <w:kern w:val="2"/>
          <w:sz w:val="24"/>
          <w:szCs w:val="24"/>
          <w:lang w:eastAsia="es-ES_tradnl"/>
          <w14:ligatures w14:val="standardContextual"/>
        </w:rPr>
      </w:pPr>
    </w:p>
    <w:p w14:paraId="4ACDD14E" w14:textId="77777777" w:rsidR="008C5A3C" w:rsidRPr="008C5A3C" w:rsidRDefault="008C5A3C" w:rsidP="008C5A3C">
      <w:pPr>
        <w:spacing w:line="240" w:lineRule="auto"/>
        <w:jc w:val="both"/>
        <w:rPr>
          <w:rFonts w:ascii="Verdana" w:eastAsia="Times New Roman" w:hAnsi="Verdana" w:cs="Arial"/>
          <w:kern w:val="2"/>
          <w:sz w:val="20"/>
          <w:szCs w:val="20"/>
          <w:shd w:val="clear" w:color="auto" w:fill="FFFFFF"/>
          <w:lang w:val="es-ES" w:eastAsia="es-ES"/>
          <w14:ligatures w14:val="standardContextual"/>
        </w:rPr>
      </w:pPr>
      <w:r w:rsidRPr="008C5A3C">
        <w:rPr>
          <w:rFonts w:ascii="Verdana" w:eastAsia="Times New Roman" w:hAnsi="Verdana" w:cs="Arial"/>
          <w:kern w:val="2"/>
          <w:sz w:val="20"/>
          <w:szCs w:val="20"/>
          <w:shd w:val="clear" w:color="auto" w:fill="FFFFFF"/>
          <w:lang w:val="es-ES" w:eastAsia="es-ES"/>
          <w14:ligatures w14:val="standardContextual"/>
        </w:rPr>
        <w:lastRenderedPageBreak/>
        <w:t xml:space="preserve">Si la Entidad determina que no está obligada a aplicar de manera forzosa los documentos tipo para desarrollar los procesos de contratación —ya sea porque, normativamente, no le resultan aplicables o porque el proceso que se pretende adelantar no </w:t>
      </w:r>
      <w:proofErr w:type="gramStart"/>
      <w:r w:rsidRPr="008C5A3C">
        <w:rPr>
          <w:rFonts w:ascii="Verdana" w:eastAsia="Times New Roman" w:hAnsi="Verdana" w:cs="Arial"/>
          <w:kern w:val="2"/>
          <w:sz w:val="20"/>
          <w:szCs w:val="20"/>
          <w:shd w:val="clear" w:color="auto" w:fill="FFFFFF"/>
          <w:lang w:val="es-ES" w:eastAsia="es-ES"/>
          <w14:ligatures w14:val="standardContextual"/>
        </w:rPr>
        <w:t>se enmarca dentro de</w:t>
      </w:r>
      <w:proofErr w:type="gramEnd"/>
      <w:r w:rsidRPr="008C5A3C">
        <w:rPr>
          <w:rFonts w:ascii="Verdana" w:eastAsia="Times New Roman" w:hAnsi="Verdana" w:cs="Arial"/>
          <w:kern w:val="2"/>
          <w:sz w:val="20"/>
          <w:szCs w:val="20"/>
          <w:shd w:val="clear" w:color="auto" w:fill="FFFFFF"/>
          <w:lang w:val="es-ES" w:eastAsia="es-ES"/>
          <w14:ligatures w14:val="standardContextual"/>
        </w:rPr>
        <w:t xml:space="preserve"> las modalidades de selección y tipos de obra estandarizados en las respectivas matrices de experiencia—, en tales escenarios dichos documentos carecen de fuerza obligatoria. En consecuencia, la Entidad deberá estructurar sus procesos, atendiendo la normativa vigente en materia de compras y contratación pública. </w:t>
      </w:r>
      <w:r w:rsidRPr="008C5A3C">
        <w:rPr>
          <w:rFonts w:ascii="Verdana" w:eastAsia="Times New Roman" w:hAnsi="Verdana" w:cs="Arial"/>
          <w:kern w:val="2"/>
          <w:sz w:val="20"/>
          <w:szCs w:val="20"/>
          <w:shd w:val="clear" w:color="auto" w:fill="FFFFFF"/>
          <w:lang w:val="es-ES_tradnl" w:eastAsia="es-ES_tradnl"/>
          <w14:ligatures w14:val="standardContextual"/>
        </w:rPr>
        <w:t xml:space="preserve">No </w:t>
      </w:r>
      <w:proofErr w:type="gramStart"/>
      <w:r w:rsidRPr="008C5A3C">
        <w:rPr>
          <w:rFonts w:ascii="Verdana" w:eastAsia="Times New Roman" w:hAnsi="Verdana" w:cs="Arial"/>
          <w:kern w:val="2"/>
          <w:sz w:val="20"/>
          <w:szCs w:val="20"/>
          <w:shd w:val="clear" w:color="auto" w:fill="FFFFFF"/>
          <w:lang w:val="es-ES_tradnl" w:eastAsia="es-ES_tradnl"/>
          <w14:ligatures w14:val="standardContextual"/>
        </w:rPr>
        <w:t>obstante</w:t>
      </w:r>
      <w:proofErr w:type="gramEnd"/>
      <w:r w:rsidRPr="008C5A3C">
        <w:rPr>
          <w:rFonts w:ascii="Verdana" w:eastAsia="Times New Roman" w:hAnsi="Verdana" w:cs="Arial"/>
          <w:kern w:val="2"/>
          <w:sz w:val="20"/>
          <w:szCs w:val="20"/>
          <w:shd w:val="clear" w:color="auto" w:fill="FFFFFF"/>
          <w:lang w:val="es-ES_tradnl" w:eastAsia="es-ES_tradnl"/>
          <w14:ligatures w14:val="standardContextual"/>
        </w:rPr>
        <w:t xml:space="preserve"> lo anterior, las Entidades pueden observar los documentos tipo de forma facultativa, como una estrategia para adoptar e incorporar políticas de buenas prácticas contractuales, realizando en caso de que sea necesario las adaptaciones que consideren pertinentes.</w:t>
      </w:r>
    </w:p>
    <w:p w14:paraId="54E371DB" w14:textId="77777777" w:rsidR="008C5A3C" w:rsidRPr="008C5A3C" w:rsidRDefault="008C5A3C" w:rsidP="008C5A3C">
      <w:pPr>
        <w:widowControl w:val="0"/>
        <w:autoSpaceDE w:val="0"/>
        <w:autoSpaceDN w:val="0"/>
        <w:spacing w:after="0" w:line="240" w:lineRule="auto"/>
        <w:jc w:val="both"/>
        <w:rPr>
          <w:rFonts w:ascii="Verdana" w:eastAsia="Calibri" w:hAnsi="Verdana" w:cs="Times New Roman"/>
          <w:sz w:val="20"/>
          <w:szCs w:val="20"/>
          <w:lang w:val="es-ES"/>
        </w:rPr>
      </w:pPr>
    </w:p>
    <w:p w14:paraId="3493B434" w14:textId="77777777" w:rsidR="008C5A3C" w:rsidRPr="008C5A3C" w:rsidRDefault="008C5A3C" w:rsidP="008C5A3C">
      <w:pPr>
        <w:widowControl w:val="0"/>
        <w:autoSpaceDE w:val="0"/>
        <w:autoSpaceDN w:val="0"/>
        <w:spacing w:after="0" w:line="240" w:lineRule="auto"/>
        <w:jc w:val="both"/>
        <w:rPr>
          <w:rFonts w:ascii="Verdana" w:eastAsia="Calibri" w:hAnsi="Verdana" w:cs="Times New Roman"/>
          <w:b/>
          <w:bCs/>
          <w:highlight w:val="yellow"/>
          <w:lang w:val="es-ES"/>
        </w:rPr>
      </w:pPr>
    </w:p>
    <w:p w14:paraId="2174F9F9" w14:textId="77777777" w:rsidR="008C5A3C" w:rsidRPr="008C5A3C" w:rsidRDefault="008C5A3C" w:rsidP="008C5A3C">
      <w:pPr>
        <w:widowControl w:val="0"/>
        <w:autoSpaceDE w:val="0"/>
        <w:autoSpaceDN w:val="0"/>
        <w:spacing w:after="0" w:line="240" w:lineRule="auto"/>
        <w:jc w:val="both"/>
        <w:rPr>
          <w:rFonts w:ascii="Verdana" w:eastAsia="Calibri" w:hAnsi="Verdana" w:cs="Times New Roman"/>
          <w:b/>
          <w:bCs/>
          <w:highlight w:val="yellow"/>
          <w:lang w:val="es-ES"/>
        </w:rPr>
      </w:pPr>
    </w:p>
    <w:p w14:paraId="1FA67916"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507FFA3D"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58AFC74E"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6A7DF0AC"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7C86E18E"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5D87F414"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43AB87E5"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268933DC"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78974653"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5E71E253"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520473E0"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0FDE3D88"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5BEB461F"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6BEE0A8C"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26177D4B"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6E2E7764"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07A72CAB"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336960FB"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6CBA543F"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433EF7A3"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61AF00B4"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11BAE717"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4A400DD5"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165F923A"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6B79797C"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2E366FA7"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796618D4" w14:textId="77777777" w:rsidR="008C5A3C" w:rsidRDefault="008C5A3C" w:rsidP="008C5A3C">
      <w:pPr>
        <w:spacing w:after="0" w:line="240" w:lineRule="auto"/>
        <w:rPr>
          <w:rFonts w:ascii="Verdana" w:eastAsia="Times New Roman" w:hAnsi="Verdana" w:cs="Times New Roman"/>
          <w:color w:val="000000"/>
          <w:lang w:eastAsia="es-CO"/>
        </w:rPr>
      </w:pPr>
    </w:p>
    <w:p w14:paraId="4D4F4BD2"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5CD381F0" w14:textId="77777777" w:rsidR="008C5A3C" w:rsidRPr="008C5A3C" w:rsidRDefault="008C5A3C" w:rsidP="008C5A3C">
      <w:pPr>
        <w:spacing w:after="0" w:line="240" w:lineRule="auto"/>
        <w:rPr>
          <w:rFonts w:ascii="Verdana" w:eastAsia="Times New Roman" w:hAnsi="Verdana" w:cs="Times New Roman"/>
          <w:color w:val="000000"/>
          <w:lang w:eastAsia="es-CO"/>
        </w:rPr>
      </w:pPr>
    </w:p>
    <w:p w14:paraId="392CB705" w14:textId="4F119900" w:rsidR="008C5A3C" w:rsidRDefault="008C5A3C" w:rsidP="008C5A3C">
      <w:pPr>
        <w:spacing w:after="0" w:line="240" w:lineRule="auto"/>
        <w:rPr>
          <w:rFonts w:ascii="Verdana" w:eastAsia="Calibri" w:hAnsi="Verdana" w:cs="Vrinda"/>
          <w:kern w:val="2"/>
          <w:sz w:val="24"/>
          <w:szCs w:val="24"/>
          <w14:ligatures w14:val="standardContextual"/>
        </w:rPr>
      </w:pPr>
      <w:r w:rsidRPr="008C5A3C">
        <w:rPr>
          <w:rFonts w:ascii="Verdana" w:eastAsia="Calibri" w:hAnsi="Verdana" w:cs="Vrinda"/>
          <w:kern w:val="2"/>
          <w:sz w:val="24"/>
          <w:szCs w:val="24"/>
          <w14:ligatures w14:val="standardContextual"/>
        </w:rPr>
        <w:lastRenderedPageBreak/>
        <w:t xml:space="preserve">Bogotá D.C., </w:t>
      </w:r>
      <w:r w:rsidR="00F50C20">
        <w:rPr>
          <w:rFonts w:ascii="Verdana" w:eastAsia="Calibri" w:hAnsi="Verdana" w:cs="Vrinda"/>
          <w:kern w:val="2"/>
          <w:sz w:val="24"/>
          <w:szCs w:val="24"/>
          <w14:ligatures w14:val="standardContextual"/>
        </w:rPr>
        <w:t>2 diciembre 2025</w:t>
      </w:r>
    </w:p>
    <w:p w14:paraId="12CB0926" w14:textId="0F5D04F2" w:rsidR="00F50C20" w:rsidRDefault="00F50C20" w:rsidP="008C5A3C">
      <w:pPr>
        <w:spacing w:after="0" w:line="240" w:lineRule="auto"/>
        <w:rPr>
          <w:rFonts w:ascii="Verdana" w:eastAsia="Calibri" w:hAnsi="Verdana" w:cs="Vrinda"/>
          <w:kern w:val="2"/>
          <w:sz w:val="24"/>
          <w:szCs w:val="24"/>
          <w14:ligatures w14:val="standardContextual"/>
        </w:rPr>
      </w:pPr>
    </w:p>
    <w:p w14:paraId="0AED1128" w14:textId="7E936BD6" w:rsidR="00F50C20" w:rsidRPr="008C5A3C" w:rsidRDefault="00937CF8" w:rsidP="008C5A3C">
      <w:pPr>
        <w:spacing w:after="0" w:line="240" w:lineRule="auto"/>
        <w:rPr>
          <w:rFonts w:ascii="Verdana" w:eastAsia="Calibri" w:hAnsi="Verdana" w:cs="Arial"/>
          <w:kern w:val="2"/>
          <w:sz w:val="24"/>
          <w:szCs w:val="24"/>
          <w:lang w:val="es-ES" w:eastAsia="es-ES"/>
          <w14:ligatures w14:val="standardContextual"/>
        </w:rPr>
      </w:pPr>
      <w:r w:rsidRPr="001B4E07">
        <w:rPr>
          <w:rFonts w:ascii="Verdana" w:eastAsia="Calibri" w:hAnsi="Verdana" w:cs="Arial"/>
          <w:noProof/>
          <w:kern w:val="2"/>
          <w:sz w:val="24"/>
          <w:szCs w:val="24"/>
          <w:lang w:val="es-ES" w:eastAsia="es-ES"/>
          <w14:ligatures w14:val="standardContextual"/>
        </w:rPr>
        <w:drawing>
          <wp:anchor distT="0" distB="0" distL="114300" distR="114300" simplePos="0" relativeHeight="251658240" behindDoc="0" locked="0" layoutInCell="1" allowOverlap="1" wp14:anchorId="1CBFA81F" wp14:editId="789CEC39">
            <wp:simplePos x="0" y="0"/>
            <wp:positionH relativeFrom="margin">
              <wp:align>right</wp:align>
            </wp:positionH>
            <wp:positionV relativeFrom="paragraph">
              <wp:posOffset>3810</wp:posOffset>
            </wp:positionV>
            <wp:extent cx="2796540" cy="866140"/>
            <wp:effectExtent l="0" t="0" r="3810" b="0"/>
            <wp:wrapSquare wrapText="bothSides"/>
            <wp:docPr id="35830038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300382"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796540" cy="866140"/>
                    </a:xfrm>
                    <a:prstGeom prst="rect">
                      <a:avLst/>
                    </a:prstGeom>
                  </pic:spPr>
                </pic:pic>
              </a:graphicData>
            </a:graphic>
            <wp14:sizeRelH relativeFrom="page">
              <wp14:pctWidth>0</wp14:pctWidth>
            </wp14:sizeRelH>
            <wp14:sizeRelV relativeFrom="page">
              <wp14:pctHeight>0</wp14:pctHeight>
            </wp14:sizeRelV>
          </wp:anchor>
        </w:drawing>
      </w:r>
    </w:p>
    <w:p w14:paraId="037604B3" w14:textId="77777777" w:rsidR="008C5A3C" w:rsidRPr="008C5A3C" w:rsidRDefault="008C5A3C" w:rsidP="008C5A3C">
      <w:pPr>
        <w:spacing w:after="0" w:line="240" w:lineRule="auto"/>
        <w:jc w:val="right"/>
        <w:rPr>
          <w:rFonts w:ascii="Verdana" w:eastAsia="Calibri" w:hAnsi="Verdana" w:cs="Arial"/>
          <w:kern w:val="2"/>
          <w:lang w:val="es-ES" w:eastAsia="es-ES"/>
          <w14:ligatures w14:val="standardContextual"/>
        </w:rPr>
      </w:pPr>
    </w:p>
    <w:p w14:paraId="619EFE3F" w14:textId="77777777" w:rsidR="008C5A3C" w:rsidRPr="008C5A3C" w:rsidRDefault="008C5A3C" w:rsidP="008C5A3C">
      <w:pPr>
        <w:spacing w:after="0" w:line="240" w:lineRule="auto"/>
        <w:rPr>
          <w:rFonts w:ascii="Verdana" w:eastAsia="Aptos" w:hAnsi="Verdana" w:cs="Times New Roman"/>
          <w:kern w:val="2"/>
          <w14:ligatures w14:val="standardContextual"/>
        </w:rPr>
      </w:pPr>
      <w:r w:rsidRPr="008C5A3C">
        <w:rPr>
          <w:rFonts w:ascii="Verdana" w:eastAsia="Calibri" w:hAnsi="Verdana" w:cs="Arial"/>
          <w:kern w:val="2"/>
          <w:lang w:val="es-ES" w:eastAsia="es-ES"/>
          <w14:ligatures w14:val="standardContextual"/>
        </w:rPr>
        <w:t>Señora</w:t>
      </w:r>
    </w:p>
    <w:p w14:paraId="2B8CB212" w14:textId="77777777" w:rsidR="008C5A3C" w:rsidRPr="008C5A3C" w:rsidRDefault="008C5A3C" w:rsidP="008C5A3C">
      <w:pPr>
        <w:spacing w:after="0" w:line="240" w:lineRule="auto"/>
        <w:rPr>
          <w:rFonts w:ascii="Verdana" w:eastAsia="Calibri" w:hAnsi="Verdana" w:cs="Arial"/>
          <w:b/>
          <w:bCs/>
          <w:kern w:val="2"/>
          <w:lang w:eastAsia="es-ES_tradnl"/>
          <w14:ligatures w14:val="standardContextual"/>
        </w:rPr>
      </w:pPr>
      <w:r w:rsidRPr="008C5A3C">
        <w:rPr>
          <w:rFonts w:ascii="Verdana" w:eastAsia="Calibri" w:hAnsi="Verdana" w:cs="Arial"/>
          <w:b/>
          <w:bCs/>
          <w:kern w:val="2"/>
          <w:lang w:eastAsia="es-ES_tradnl"/>
          <w14:ligatures w14:val="standardContextual"/>
        </w:rPr>
        <w:t>Paola Cornejo Carrascal</w:t>
      </w:r>
    </w:p>
    <w:p w14:paraId="4F9827B1" w14:textId="77777777" w:rsidR="008C5A3C" w:rsidRPr="008C5A3C" w:rsidRDefault="008C5A3C" w:rsidP="008C5A3C">
      <w:pPr>
        <w:spacing w:after="0" w:line="240" w:lineRule="auto"/>
        <w:rPr>
          <w:rFonts w:ascii="Verdana" w:eastAsia="Calibri" w:hAnsi="Verdana" w:cs="Arial"/>
          <w:b/>
          <w:bCs/>
          <w:lang w:val="es-ES_tradnl" w:eastAsia="es-ES_tradnl"/>
        </w:rPr>
      </w:pPr>
      <w:r w:rsidRPr="008C5A3C">
        <w:rPr>
          <w:rFonts w:ascii="Verdana" w:eastAsia="Calibri" w:hAnsi="Verdana" w:cs="Arial"/>
          <w:kern w:val="2"/>
          <w:lang w:eastAsia="es-ES_tradnl"/>
          <w14:ligatures w14:val="standardContextual"/>
        </w:rPr>
        <w:t>Ciudad</w:t>
      </w:r>
    </w:p>
    <w:p w14:paraId="1B379243" w14:textId="77777777" w:rsidR="008C5A3C" w:rsidRPr="008C5A3C" w:rsidRDefault="008C5A3C" w:rsidP="008C5A3C">
      <w:pPr>
        <w:spacing w:after="0" w:line="240" w:lineRule="auto"/>
        <w:rPr>
          <w:rFonts w:ascii="Verdana" w:eastAsia="Calibri" w:hAnsi="Verdana" w:cs="Arial"/>
          <w:b/>
          <w:bCs/>
          <w:lang w:val="es-ES_tradnl" w:eastAsia="es-ES_tradnl"/>
        </w:rPr>
      </w:pPr>
    </w:p>
    <w:p w14:paraId="3DF2C977" w14:textId="77777777" w:rsidR="008C5A3C" w:rsidRPr="008C5A3C" w:rsidRDefault="008C5A3C" w:rsidP="008C5A3C">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8C5A3C" w:rsidRPr="008C5A3C" w14:paraId="6A42BEFF" w14:textId="77777777" w:rsidTr="00391E94">
        <w:trPr>
          <w:trHeight w:val="229"/>
        </w:trPr>
        <w:tc>
          <w:tcPr>
            <w:tcW w:w="1985" w:type="dxa"/>
          </w:tcPr>
          <w:p w14:paraId="2627ABC1" w14:textId="77777777" w:rsidR="008C5A3C" w:rsidRPr="008C5A3C" w:rsidRDefault="008C5A3C" w:rsidP="008C5A3C">
            <w:pPr>
              <w:jc w:val="both"/>
              <w:rPr>
                <w:rFonts w:ascii="Verdana" w:eastAsia="Calibri" w:hAnsi="Verdana" w:cs="Arial"/>
                <w:b/>
                <w:bCs/>
                <w:lang w:val="es-ES_tradnl" w:eastAsia="es-ES_tradnl"/>
              </w:rPr>
            </w:pPr>
          </w:p>
        </w:tc>
        <w:tc>
          <w:tcPr>
            <w:tcW w:w="6383" w:type="dxa"/>
          </w:tcPr>
          <w:p w14:paraId="5AF4D691" w14:textId="77777777" w:rsidR="008C5A3C" w:rsidRPr="008C5A3C" w:rsidRDefault="008C5A3C" w:rsidP="008C5A3C">
            <w:pPr>
              <w:jc w:val="both"/>
              <w:rPr>
                <w:rFonts w:ascii="Verdana" w:eastAsia="Calibri" w:hAnsi="Verdana" w:cs="Arial"/>
                <w:b/>
                <w:bCs/>
                <w:lang w:val="es-ES" w:eastAsia="es-ES"/>
              </w:rPr>
            </w:pPr>
            <w:r w:rsidRPr="008C5A3C">
              <w:rPr>
                <w:rFonts w:ascii="Verdana" w:eastAsia="Calibri" w:hAnsi="Verdana" w:cs="Arial"/>
                <w:b/>
                <w:bCs/>
                <w:lang w:val="es-ES" w:eastAsia="es-ES"/>
              </w:rPr>
              <w:t>Concepto C-1550 de 2025</w:t>
            </w:r>
          </w:p>
          <w:p w14:paraId="7DD84F24" w14:textId="77777777" w:rsidR="008C5A3C" w:rsidRPr="008C5A3C" w:rsidRDefault="008C5A3C" w:rsidP="008C5A3C">
            <w:pPr>
              <w:jc w:val="both"/>
              <w:rPr>
                <w:rFonts w:ascii="Verdana" w:eastAsia="Calibri" w:hAnsi="Verdana" w:cs="Arial"/>
                <w:b/>
                <w:bCs/>
                <w:lang w:val="es-ES" w:eastAsia="es-ES"/>
              </w:rPr>
            </w:pPr>
          </w:p>
          <w:p w14:paraId="6E610971" w14:textId="77777777" w:rsidR="008C5A3C" w:rsidRPr="008C5A3C" w:rsidRDefault="008C5A3C" w:rsidP="008C5A3C">
            <w:pPr>
              <w:jc w:val="both"/>
              <w:rPr>
                <w:rFonts w:ascii="Verdana" w:eastAsia="Calibri" w:hAnsi="Verdana" w:cs="Arial"/>
                <w:b/>
                <w:bCs/>
                <w:lang w:val="es-ES" w:eastAsia="es-ES"/>
              </w:rPr>
            </w:pPr>
          </w:p>
          <w:p w14:paraId="1BB42D83" w14:textId="77777777" w:rsidR="008C5A3C" w:rsidRPr="008C5A3C" w:rsidRDefault="008C5A3C" w:rsidP="008C5A3C">
            <w:pPr>
              <w:jc w:val="both"/>
              <w:rPr>
                <w:rFonts w:ascii="Verdana" w:eastAsia="Calibri" w:hAnsi="Verdana" w:cs="Arial"/>
                <w:b/>
                <w:bCs/>
                <w:lang w:val="es-ES" w:eastAsia="es-ES"/>
              </w:rPr>
            </w:pPr>
          </w:p>
        </w:tc>
      </w:tr>
      <w:tr w:rsidR="008C5A3C" w:rsidRPr="008C5A3C" w14:paraId="716B62F8" w14:textId="77777777" w:rsidTr="00391E94">
        <w:trPr>
          <w:trHeight w:val="884"/>
        </w:trPr>
        <w:tc>
          <w:tcPr>
            <w:tcW w:w="1985" w:type="dxa"/>
          </w:tcPr>
          <w:p w14:paraId="1DA6369F" w14:textId="77777777" w:rsidR="008C5A3C" w:rsidRPr="008C5A3C" w:rsidRDefault="008C5A3C" w:rsidP="008C5A3C">
            <w:pPr>
              <w:jc w:val="both"/>
              <w:rPr>
                <w:rFonts w:ascii="Verdana" w:eastAsia="Calibri" w:hAnsi="Verdana" w:cs="Arial"/>
                <w:lang w:val="es-ES_tradnl" w:eastAsia="es-ES_tradnl"/>
              </w:rPr>
            </w:pPr>
            <w:r w:rsidRPr="008C5A3C">
              <w:rPr>
                <w:rFonts w:ascii="Verdana" w:eastAsia="Calibri" w:hAnsi="Verdana" w:cs="Arial"/>
                <w:b/>
                <w:lang w:val="es-ES_tradnl" w:eastAsia="es-ES_tradnl"/>
              </w:rPr>
              <w:t>Temas:</w:t>
            </w:r>
            <w:r w:rsidRPr="008C5A3C">
              <w:rPr>
                <w:rFonts w:ascii="Verdana" w:eastAsia="Calibri" w:hAnsi="Verdana" w:cs="Arial"/>
                <w:lang w:val="es-ES_tradnl" w:eastAsia="es-ES_tradnl"/>
              </w:rPr>
              <w:t xml:space="preserve">                   </w:t>
            </w:r>
          </w:p>
        </w:tc>
        <w:tc>
          <w:tcPr>
            <w:tcW w:w="6383" w:type="dxa"/>
          </w:tcPr>
          <w:p w14:paraId="0C8A4084" w14:textId="77777777" w:rsidR="008C5A3C" w:rsidRPr="008C5A3C" w:rsidRDefault="008C5A3C" w:rsidP="008C5A3C">
            <w:pPr>
              <w:snapToGrid w:val="0"/>
              <w:jc w:val="both"/>
              <w:rPr>
                <w:rFonts w:ascii="Verdana" w:eastAsia="Calibri" w:hAnsi="Verdana" w:cs="Arial"/>
                <w:color w:val="000000"/>
                <w:lang w:eastAsia="es-ES_tradnl"/>
              </w:rPr>
            </w:pPr>
            <w:r w:rsidRPr="008C5A3C">
              <w:rPr>
                <w:rFonts w:ascii="Verdana" w:eastAsia="Calibri" w:hAnsi="Verdana" w:cs="Arial"/>
                <w:lang w:val="es-ES_tradnl"/>
              </w:rPr>
              <w:t xml:space="preserve">DOCUMENTOS TIPO – Fundamento normativo – Obligatoriedad / </w:t>
            </w:r>
            <w:r w:rsidRPr="008C5A3C">
              <w:rPr>
                <w:rFonts w:ascii="Verdana" w:eastAsia="Calibri" w:hAnsi="Verdana" w:cs="Times New Roman"/>
                <w:lang w:val="es-ES"/>
              </w:rPr>
              <w:t xml:space="preserve">DOCUMENTOS TIPO – Aplicación – Matriz de Experiencia / CERRAMIENTOS – Aplicación – Documentos tipo / </w:t>
            </w:r>
            <w:r w:rsidRPr="008C5A3C">
              <w:rPr>
                <w:rFonts w:ascii="Verdana" w:eastAsia="Calibri" w:hAnsi="Verdana" w:cs="Arial"/>
                <w:color w:val="000000"/>
                <w:lang w:eastAsia="es-ES_tradnl"/>
              </w:rPr>
              <w:t>DOCUMENTOS TIPO – Criterio de buenas prácticas</w:t>
            </w:r>
          </w:p>
          <w:p w14:paraId="2ED9B7C2" w14:textId="77777777" w:rsidR="008C5A3C" w:rsidRPr="008C5A3C" w:rsidRDefault="008C5A3C" w:rsidP="008C5A3C">
            <w:pPr>
              <w:widowControl w:val="0"/>
              <w:autoSpaceDE w:val="0"/>
              <w:autoSpaceDN w:val="0"/>
              <w:jc w:val="both"/>
              <w:rPr>
                <w:rFonts w:ascii="Verdana" w:eastAsia="Calibri" w:hAnsi="Verdana" w:cs="Times New Roman"/>
                <w:highlight w:val="yellow"/>
                <w:lang w:val="es-ES"/>
              </w:rPr>
            </w:pPr>
            <w:r w:rsidRPr="008C5A3C">
              <w:rPr>
                <w:rFonts w:ascii="Verdana" w:eastAsia="Calibri" w:hAnsi="Verdana" w:cs="Times New Roman"/>
                <w:highlight w:val="yellow"/>
                <w:lang w:val="es-ES"/>
              </w:rPr>
              <w:t xml:space="preserve"> </w:t>
            </w:r>
          </w:p>
        </w:tc>
      </w:tr>
      <w:tr w:rsidR="008C5A3C" w:rsidRPr="008C5A3C" w14:paraId="2A765C6C" w14:textId="77777777" w:rsidTr="00391E94">
        <w:tc>
          <w:tcPr>
            <w:tcW w:w="1985" w:type="dxa"/>
          </w:tcPr>
          <w:p w14:paraId="3FC0A799" w14:textId="77777777" w:rsidR="008C5A3C" w:rsidRPr="008C5A3C" w:rsidRDefault="008C5A3C" w:rsidP="008C5A3C">
            <w:pPr>
              <w:jc w:val="both"/>
              <w:rPr>
                <w:rFonts w:ascii="Verdana" w:eastAsia="Calibri" w:hAnsi="Verdana" w:cs="Arial"/>
                <w:b/>
                <w:lang w:val="es-ES_tradnl" w:eastAsia="es-ES_tradnl"/>
              </w:rPr>
            </w:pPr>
            <w:r w:rsidRPr="008C5A3C">
              <w:rPr>
                <w:rFonts w:ascii="Verdana" w:eastAsia="Calibri" w:hAnsi="Verdana" w:cs="Arial"/>
                <w:b/>
                <w:lang w:val="es-ES_tradnl" w:eastAsia="es-ES_tradnl"/>
              </w:rPr>
              <w:t>Radicación:</w:t>
            </w:r>
            <w:r w:rsidRPr="008C5A3C">
              <w:rPr>
                <w:rFonts w:ascii="Verdana" w:eastAsia="Calibri" w:hAnsi="Verdana" w:cs="Arial"/>
                <w:lang w:val="es-ES_tradnl" w:eastAsia="es-ES_tradnl"/>
              </w:rPr>
              <w:t xml:space="preserve">               </w:t>
            </w:r>
          </w:p>
        </w:tc>
        <w:tc>
          <w:tcPr>
            <w:tcW w:w="6383" w:type="dxa"/>
          </w:tcPr>
          <w:p w14:paraId="5CEA7AD0" w14:textId="77777777" w:rsidR="008C5A3C" w:rsidRPr="008C5A3C" w:rsidRDefault="008C5A3C" w:rsidP="008C5A3C">
            <w:pPr>
              <w:ind w:left="3" w:hanging="3"/>
              <w:jc w:val="both"/>
              <w:rPr>
                <w:rFonts w:ascii="Verdana" w:eastAsia="Calibri" w:hAnsi="Verdana" w:cs="Arial"/>
                <w:lang w:val="es-ES_tradnl" w:eastAsia="es-ES_tradnl"/>
              </w:rPr>
            </w:pPr>
            <w:r w:rsidRPr="008C5A3C">
              <w:rPr>
                <w:rFonts w:ascii="Verdana" w:eastAsia="Calibri" w:hAnsi="Verdana" w:cs="Arial"/>
                <w:lang w:val="es-ES_tradnl" w:eastAsia="es-ES_tradnl"/>
              </w:rPr>
              <w:t>Respuesta a consultas con radicado No. 1_2025_10_23_011894</w:t>
            </w:r>
          </w:p>
        </w:tc>
      </w:tr>
    </w:tbl>
    <w:p w14:paraId="19C4736D" w14:textId="77777777" w:rsidR="008C5A3C" w:rsidRPr="008C5A3C" w:rsidRDefault="008C5A3C" w:rsidP="008C5A3C">
      <w:pPr>
        <w:spacing w:after="0" w:line="240" w:lineRule="auto"/>
        <w:jc w:val="both"/>
        <w:rPr>
          <w:rFonts w:ascii="Verdana" w:eastAsia="Calibri" w:hAnsi="Verdana" w:cs="Arial"/>
          <w:lang w:val="es-ES_tradnl" w:eastAsia="es-ES_tradnl"/>
        </w:rPr>
      </w:pPr>
    </w:p>
    <w:p w14:paraId="208CEE6C" w14:textId="77777777" w:rsidR="008C5A3C" w:rsidRPr="008C5A3C" w:rsidRDefault="008C5A3C" w:rsidP="008C5A3C">
      <w:pPr>
        <w:spacing w:after="0" w:line="276" w:lineRule="auto"/>
        <w:jc w:val="both"/>
        <w:rPr>
          <w:rFonts w:ascii="Verdana" w:eastAsia="Calibri" w:hAnsi="Verdana" w:cs="Arial"/>
          <w:lang w:val="es-ES" w:eastAsia="es-ES"/>
        </w:rPr>
      </w:pPr>
      <w:r w:rsidRPr="008C5A3C">
        <w:rPr>
          <w:rFonts w:ascii="Verdana" w:eastAsia="Calibri" w:hAnsi="Verdana" w:cs="Arial"/>
          <w:lang w:val="es-ES" w:eastAsia="es-ES"/>
        </w:rPr>
        <w:t xml:space="preserve">Estimada señora </w:t>
      </w:r>
      <w:r w:rsidRPr="008C5A3C">
        <w:rPr>
          <w:rFonts w:ascii="Verdana" w:eastAsia="Calibri" w:hAnsi="Verdana" w:cs="Arial"/>
          <w:kern w:val="2"/>
          <w:lang w:eastAsia="es-ES_tradnl"/>
          <w14:ligatures w14:val="standardContextual"/>
        </w:rPr>
        <w:t>Cornejo Carrascal</w:t>
      </w:r>
      <w:r w:rsidRPr="008C5A3C">
        <w:rPr>
          <w:rFonts w:ascii="Verdana" w:eastAsia="Calibri" w:hAnsi="Verdana" w:cs="Arial"/>
          <w:lang w:val="es-ES" w:eastAsia="es-ES"/>
        </w:rPr>
        <w:t xml:space="preserve">: </w:t>
      </w:r>
    </w:p>
    <w:p w14:paraId="59A36632" w14:textId="77777777" w:rsidR="008C5A3C" w:rsidRPr="008C5A3C" w:rsidRDefault="008C5A3C" w:rsidP="008C5A3C">
      <w:pPr>
        <w:tabs>
          <w:tab w:val="left" w:pos="3768"/>
        </w:tabs>
        <w:spacing w:after="0" w:line="276" w:lineRule="auto"/>
        <w:jc w:val="both"/>
        <w:rPr>
          <w:rFonts w:ascii="Verdana" w:eastAsia="Calibri" w:hAnsi="Verdana" w:cs="Arial"/>
          <w:lang w:val="es-ES" w:eastAsia="es-ES"/>
        </w:rPr>
      </w:pPr>
      <w:r w:rsidRPr="008C5A3C">
        <w:rPr>
          <w:rFonts w:ascii="Verdana" w:eastAsia="Calibri" w:hAnsi="Verdana" w:cs="Arial"/>
          <w:lang w:val="es-ES" w:eastAsia="es-ES"/>
        </w:rPr>
        <w:tab/>
      </w:r>
    </w:p>
    <w:p w14:paraId="6C947882" w14:textId="77777777" w:rsidR="008C5A3C" w:rsidRPr="008C5A3C" w:rsidRDefault="008C5A3C" w:rsidP="008C5A3C">
      <w:pPr>
        <w:spacing w:after="0" w:line="276" w:lineRule="auto"/>
        <w:jc w:val="both"/>
        <w:rPr>
          <w:rFonts w:ascii="Verdana" w:eastAsia="Calibri" w:hAnsi="Verdana" w:cs="Arial"/>
          <w:lang w:val="es-ES" w:eastAsia="es-ES"/>
        </w:rPr>
      </w:pPr>
      <w:r w:rsidRPr="008C5A3C">
        <w:rPr>
          <w:rFonts w:ascii="Verdana" w:eastAsia="Calibri" w:hAnsi="Verdana" w:cs="Arial"/>
          <w:lang w:val="es-ES" w:eastAsia="es-ES"/>
        </w:rPr>
        <w:t>En ejercicio de la competencia otorgada por los artículos 3, numeral 5º, y 11, numeral 8º, del Decreto Ley 4170 de 2011,</w:t>
      </w:r>
      <w:r w:rsidRPr="008C5A3C">
        <w:rPr>
          <w:rFonts w:ascii="Verdana" w:eastAsia="Arial MT" w:hAnsi="Verdana" w:cs="Arial MT"/>
          <w:lang w:val="es-ES" w:eastAsia="es-ES"/>
        </w:rPr>
        <w:t xml:space="preserve"> </w:t>
      </w:r>
      <w:r w:rsidRPr="008C5A3C">
        <w:rPr>
          <w:rFonts w:ascii="Verdana" w:eastAsia="Calibri" w:hAnsi="Verdana" w:cs="Arial"/>
        </w:rPr>
        <w:t xml:space="preserve">así como lo establecido en el artículo 4 de la Resolución 1707 de 2018 expedida por esta Entidad, </w:t>
      </w:r>
      <w:r w:rsidRPr="008C5A3C">
        <w:rPr>
          <w:rFonts w:ascii="Verdana" w:eastAsia="Calibri" w:hAnsi="Verdana" w:cs="Arial"/>
          <w:lang w:val="es-ES" w:eastAsia="es-ES"/>
        </w:rPr>
        <w:t>la Agencia Nacional de Contratación Pública – Colombia Compra Eficiente– responde su solicitud de consulta del 22 de octubre de 2025, en la cuales manifiesta lo siguiente:</w:t>
      </w:r>
    </w:p>
    <w:p w14:paraId="16E00618" w14:textId="77777777" w:rsidR="008C5A3C" w:rsidRPr="008C5A3C" w:rsidRDefault="008C5A3C" w:rsidP="008C5A3C">
      <w:pPr>
        <w:spacing w:after="0" w:line="276" w:lineRule="auto"/>
        <w:jc w:val="both"/>
        <w:rPr>
          <w:rFonts w:ascii="Verdana" w:eastAsia="Calibri" w:hAnsi="Verdana" w:cs="Arial"/>
          <w:lang w:val="es-ES" w:eastAsia="es-ES"/>
        </w:rPr>
      </w:pPr>
    </w:p>
    <w:p w14:paraId="2B568BBB" w14:textId="77777777" w:rsidR="008C5A3C" w:rsidRPr="008C5A3C" w:rsidRDefault="008C5A3C" w:rsidP="008C5A3C">
      <w:pPr>
        <w:spacing w:after="0" w:line="240" w:lineRule="auto"/>
        <w:ind w:left="709" w:right="709"/>
        <w:jc w:val="both"/>
        <w:rPr>
          <w:rFonts w:ascii="Verdana" w:eastAsia="Aptos" w:hAnsi="Verdana" w:cs="Helvetica"/>
          <w:color w:val="000000"/>
          <w:sz w:val="21"/>
          <w:szCs w:val="21"/>
          <w:lang w:val="es-MX"/>
          <w14:ligatures w14:val="standardContextual"/>
        </w:rPr>
      </w:pPr>
      <w:r w:rsidRPr="008C5A3C">
        <w:rPr>
          <w:rFonts w:ascii="Verdana" w:eastAsia="Aptos" w:hAnsi="Verdana" w:cs="Helvetica"/>
          <w:color w:val="000000"/>
          <w:sz w:val="21"/>
          <w:szCs w:val="21"/>
          <w14:ligatures w14:val="standardContextual"/>
        </w:rPr>
        <w:t xml:space="preserve">“(…) Ahora para la protección de áreas ambientales o estratégicas, las entidades deben proteger entre otros aspectos, el recurso hídrico que en ellas nace, para eso debe contratar cerramiento (alambre, cerca vivas) y también reforestar espacios de estas áreas para su conservación; sin embargo, siendo esto un contrato de obra y existiendo la obligación de aplicar pliegos tipo, una vez revisados los pliegos tipos de obra, no se considera que alguno de ellos aplica para esta clase de intervención en inmueble, en tal sentido, se tendría que ajustar este objeto a los pliegos tipo existentes o una entidad estaría en libertad de estructurar pliegos de manera autónoma que </w:t>
      </w:r>
      <w:r w:rsidRPr="008C5A3C">
        <w:rPr>
          <w:rFonts w:ascii="Verdana" w:eastAsia="Aptos" w:hAnsi="Verdana" w:cs="Helvetica"/>
          <w:color w:val="000000"/>
          <w:sz w:val="21"/>
          <w:szCs w:val="21"/>
          <w14:ligatures w14:val="standardContextual"/>
        </w:rPr>
        <w:lastRenderedPageBreak/>
        <w:t xml:space="preserve">correspondan a este objeto contractual, e igual sentido el pliego utilizada para la interventoría de esta obra?” (sic).  </w:t>
      </w:r>
    </w:p>
    <w:p w14:paraId="323B4393" w14:textId="77777777" w:rsidR="008C5A3C" w:rsidRPr="008C5A3C" w:rsidRDefault="008C5A3C" w:rsidP="008C5A3C">
      <w:pPr>
        <w:spacing w:after="0" w:line="276" w:lineRule="auto"/>
        <w:jc w:val="both"/>
        <w:rPr>
          <w:rFonts w:ascii="Verdana" w:eastAsia="Calibri" w:hAnsi="Verdana" w:cs="Arial"/>
          <w:lang w:val="es-ES" w:eastAsia="es-ES"/>
        </w:rPr>
      </w:pPr>
    </w:p>
    <w:p w14:paraId="269C328C" w14:textId="77777777" w:rsidR="008C5A3C" w:rsidRPr="008C5A3C" w:rsidRDefault="008C5A3C" w:rsidP="008C5A3C">
      <w:pPr>
        <w:spacing w:after="120" w:line="276" w:lineRule="auto"/>
        <w:ind w:firstLine="709"/>
        <w:jc w:val="both"/>
        <w:rPr>
          <w:rFonts w:ascii="Verdana" w:eastAsia="Calibri" w:hAnsi="Verdana" w:cs="Arial"/>
          <w:color w:val="000000"/>
          <w:lang w:val="es-ES" w:eastAsia="es-ES"/>
        </w:rPr>
      </w:pPr>
      <w:r w:rsidRPr="008C5A3C">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C5A3C">
        <w:rPr>
          <w:rFonts w:ascii="Verdana" w:eastAsia="Calibri" w:hAnsi="Verdana" w:cs="Arial"/>
          <w:color w:val="000000"/>
          <w:szCs w:val="24"/>
          <w:lang w:val="es-ES_tradnl" w:eastAsia="es-ES_tradnl"/>
        </w:rPr>
        <w:tab/>
      </w:r>
    </w:p>
    <w:p w14:paraId="514BFE06" w14:textId="77777777" w:rsidR="008C5A3C" w:rsidRPr="008C5A3C" w:rsidRDefault="008C5A3C" w:rsidP="008C5A3C">
      <w:pPr>
        <w:spacing w:after="0" w:line="276" w:lineRule="auto"/>
        <w:ind w:firstLine="709"/>
        <w:jc w:val="both"/>
        <w:rPr>
          <w:rFonts w:ascii="Verdana" w:eastAsia="Calibri" w:hAnsi="Verdana" w:cs="Arial"/>
          <w:color w:val="000000"/>
          <w:lang w:val="es-ES" w:eastAsia="es-ES"/>
        </w:rPr>
      </w:pPr>
      <w:r w:rsidRPr="008C5A3C">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8C5A3C">
        <w:rPr>
          <w:rFonts w:ascii="Verdana" w:eastAsia="Calibri" w:hAnsi="Verdana" w:cs="Arial"/>
          <w:color w:val="7030A0"/>
          <w:lang w:val="es-ES" w:eastAsia="es-ES"/>
        </w:rPr>
        <w:t xml:space="preserve"> </w:t>
      </w:r>
      <w:r w:rsidRPr="008C5A3C">
        <w:rPr>
          <w:rFonts w:ascii="Verdana" w:eastAsia="Calibri" w:hAnsi="Verdana" w:cs="Arial"/>
          <w:color w:val="000000"/>
          <w:lang w:val="es-ES" w:eastAsia="es-ES"/>
        </w:rPr>
        <w:t>problema</w:t>
      </w:r>
      <w:r w:rsidRPr="008C5A3C">
        <w:rPr>
          <w:rFonts w:ascii="Verdana" w:eastAsia="Calibri" w:hAnsi="Verdana" w:cs="Arial"/>
          <w:color w:val="7030A0"/>
          <w:lang w:val="es-ES" w:eastAsia="es-ES"/>
        </w:rPr>
        <w:t xml:space="preserve"> </w:t>
      </w:r>
      <w:r w:rsidRPr="008C5A3C">
        <w:rPr>
          <w:rFonts w:ascii="Verdana" w:eastAsia="Calibri" w:hAnsi="Verdana" w:cs="Arial"/>
          <w:color w:val="000000"/>
          <w:lang w:val="es-ES" w:eastAsia="es-ES"/>
        </w:rPr>
        <w:t>jurídico</w:t>
      </w:r>
      <w:r w:rsidRPr="008C5A3C">
        <w:rPr>
          <w:rFonts w:ascii="Verdana" w:eastAsia="Calibri" w:hAnsi="Verdana" w:cs="Arial"/>
          <w:color w:val="7030A0"/>
          <w:lang w:val="es-ES" w:eastAsia="es-ES"/>
        </w:rPr>
        <w:t xml:space="preserve"> </w:t>
      </w:r>
      <w:r w:rsidRPr="008C5A3C">
        <w:rPr>
          <w:rFonts w:ascii="Verdana" w:eastAsia="Calibri" w:hAnsi="Verdana" w:cs="Arial"/>
          <w:color w:val="000000"/>
          <w:lang w:val="es-ES" w:eastAsia="es-ES"/>
        </w:rPr>
        <w:t xml:space="preserve">de su consulta. </w:t>
      </w:r>
    </w:p>
    <w:p w14:paraId="6B5D0BDC" w14:textId="77777777" w:rsidR="008C5A3C" w:rsidRPr="008C5A3C" w:rsidRDefault="008C5A3C" w:rsidP="008C5A3C">
      <w:pPr>
        <w:spacing w:after="0" w:line="276" w:lineRule="auto"/>
        <w:jc w:val="both"/>
        <w:rPr>
          <w:rFonts w:ascii="Verdana" w:eastAsia="Calibri" w:hAnsi="Verdana" w:cs="Arial"/>
          <w:lang w:val="es-ES" w:eastAsia="es-ES"/>
        </w:rPr>
      </w:pPr>
    </w:p>
    <w:p w14:paraId="6B9CF566" w14:textId="77777777" w:rsidR="008C5A3C" w:rsidRPr="008C5A3C" w:rsidRDefault="008C5A3C" w:rsidP="008C5A3C">
      <w:pPr>
        <w:numPr>
          <w:ilvl w:val="0"/>
          <w:numId w:val="17"/>
        </w:numPr>
        <w:tabs>
          <w:tab w:val="left" w:pos="142"/>
          <w:tab w:val="left" w:pos="284"/>
        </w:tabs>
        <w:spacing w:after="0" w:line="276" w:lineRule="auto"/>
        <w:jc w:val="both"/>
        <w:rPr>
          <w:rFonts w:ascii="Verdana" w:eastAsia="Century Gothic" w:hAnsi="Verdana" w:cs="Century Gothic"/>
          <w:b/>
          <w:bCs/>
        </w:rPr>
      </w:pPr>
      <w:r w:rsidRPr="008C5A3C">
        <w:rPr>
          <w:rFonts w:ascii="Verdana" w:eastAsia="Century Gothic" w:hAnsi="Verdana" w:cs="Century Gothic"/>
          <w:b/>
          <w:bCs/>
        </w:rPr>
        <w:t>Problema planteado:</w:t>
      </w:r>
    </w:p>
    <w:p w14:paraId="7F7F3B45" w14:textId="77777777" w:rsidR="008C5A3C" w:rsidRPr="008C5A3C" w:rsidRDefault="008C5A3C" w:rsidP="008C5A3C">
      <w:pPr>
        <w:tabs>
          <w:tab w:val="left" w:pos="426"/>
        </w:tabs>
        <w:spacing w:after="0" w:line="276" w:lineRule="auto"/>
        <w:jc w:val="both"/>
        <w:rPr>
          <w:rFonts w:ascii="Verdana" w:eastAsia="Century Gothic" w:hAnsi="Verdana" w:cs="Century Gothic"/>
          <w:lang w:val="es-ES"/>
        </w:rPr>
      </w:pPr>
    </w:p>
    <w:p w14:paraId="4F11B197" w14:textId="77777777" w:rsidR="008C5A3C" w:rsidRPr="008C5A3C" w:rsidRDefault="008C5A3C" w:rsidP="008C5A3C">
      <w:pPr>
        <w:spacing w:after="0" w:line="276" w:lineRule="auto"/>
        <w:jc w:val="both"/>
        <w:rPr>
          <w:rFonts w:ascii="Verdana" w:eastAsia="Calibri" w:hAnsi="Verdana" w:cs="Arial"/>
          <w:bCs/>
          <w:lang w:val="es-ES_tradnl" w:eastAsia="es-ES_tradnl"/>
        </w:rPr>
      </w:pPr>
      <w:r w:rsidRPr="008C5A3C">
        <w:rPr>
          <w:rFonts w:ascii="Verdana" w:eastAsia="Century Gothic" w:hAnsi="Verdana" w:cs="Century Gothic"/>
        </w:rPr>
        <w:t xml:space="preserve">De acuerdo con el contenido de su solicitud, esta Agencia resolverá el siguiente problema jurídico: </w:t>
      </w:r>
      <w:r w:rsidRPr="008C5A3C">
        <w:rPr>
          <w:rFonts w:ascii="Verdana" w:eastAsia="Calibri" w:hAnsi="Verdana" w:cs="Arial"/>
          <w:bCs/>
          <w:lang w:val="es-ES_tradnl" w:eastAsia="es-ES_tradnl"/>
        </w:rPr>
        <w:t xml:space="preserve">¿Aplican los documentos tipo expedidos por la Agencia Nacional de Contratación Pública – Colombia Compra Eficiente, para un proceso de selección que tiene como objeto el </w:t>
      </w:r>
      <w:r w:rsidRPr="008C5A3C">
        <w:rPr>
          <w:rFonts w:ascii="Verdana" w:eastAsia="Calibri" w:hAnsi="Verdana" w:cs="Times New Roman"/>
          <w:i/>
          <w:iCs/>
          <w:lang w:val="es-ES"/>
        </w:rPr>
        <w:t xml:space="preserve">“(…) </w:t>
      </w:r>
      <w:r w:rsidRPr="008C5A3C">
        <w:rPr>
          <w:rFonts w:ascii="Verdana" w:eastAsia="Aptos" w:hAnsi="Verdana" w:cs="Helvetica"/>
          <w:i/>
          <w:iCs/>
          <w:color w:val="000000"/>
          <w14:ligatures w14:val="standardContextual"/>
        </w:rPr>
        <w:t>cerramiento (alambre, cerca vivas) y también reforestar espacios de estas áreas para su conservación</w:t>
      </w:r>
      <w:r w:rsidRPr="008C5A3C">
        <w:rPr>
          <w:rFonts w:ascii="Verdana" w:eastAsia="Calibri" w:hAnsi="Verdana" w:cs="Arial"/>
          <w:bCs/>
          <w:i/>
          <w:iCs/>
          <w:lang w:val="es-ES_tradnl" w:eastAsia="es-ES_tradnl"/>
        </w:rPr>
        <w:t xml:space="preserve">? </w:t>
      </w:r>
    </w:p>
    <w:p w14:paraId="74D6BA81" w14:textId="77777777" w:rsidR="008C5A3C" w:rsidRPr="008C5A3C" w:rsidRDefault="008C5A3C" w:rsidP="008C5A3C">
      <w:pPr>
        <w:spacing w:after="0" w:line="276" w:lineRule="auto"/>
        <w:jc w:val="both"/>
        <w:rPr>
          <w:rFonts w:ascii="Verdana" w:eastAsia="Century Gothic" w:hAnsi="Verdana" w:cs="Century Gothic"/>
        </w:rPr>
      </w:pPr>
    </w:p>
    <w:p w14:paraId="6CBDE018" w14:textId="77777777" w:rsidR="008C5A3C" w:rsidRPr="008C5A3C" w:rsidRDefault="008C5A3C" w:rsidP="008C5A3C">
      <w:pPr>
        <w:tabs>
          <w:tab w:val="left" w:pos="142"/>
          <w:tab w:val="left" w:pos="284"/>
        </w:tabs>
        <w:spacing w:after="0" w:line="276" w:lineRule="auto"/>
        <w:contextualSpacing/>
        <w:jc w:val="both"/>
        <w:rPr>
          <w:rFonts w:ascii="Verdana" w:eastAsia="Century Gothic" w:hAnsi="Verdana" w:cs="Century Gothic"/>
          <w:b/>
          <w:bCs/>
          <w:lang w:val="es-ES"/>
        </w:rPr>
      </w:pPr>
      <w:r w:rsidRPr="008C5A3C">
        <w:rPr>
          <w:rFonts w:ascii="Verdana" w:eastAsia="Century Gothic" w:hAnsi="Verdana" w:cs="Century Gothic"/>
          <w:b/>
          <w:bCs/>
          <w:lang w:val="es-ES"/>
        </w:rPr>
        <w:t>2. Respuestas:</w:t>
      </w:r>
    </w:p>
    <w:p w14:paraId="4B4AF506" w14:textId="77777777" w:rsidR="008C5A3C" w:rsidRPr="008C5A3C" w:rsidRDefault="008C5A3C" w:rsidP="008C5A3C">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C5A3C" w:rsidRPr="008C5A3C" w14:paraId="00757049" w14:textId="77777777" w:rsidTr="00391E94">
        <w:trPr>
          <w:trHeight w:val="40"/>
        </w:trPr>
        <w:tc>
          <w:tcPr>
            <w:tcW w:w="8828" w:type="dxa"/>
            <w:tcBorders>
              <w:top w:val="dotted" w:sz="4" w:space="0" w:color="auto"/>
              <w:left w:val="dotted" w:sz="4" w:space="0" w:color="auto"/>
              <w:bottom w:val="dotted" w:sz="4" w:space="0" w:color="auto"/>
              <w:right w:val="dotted" w:sz="4" w:space="0" w:color="auto"/>
            </w:tcBorders>
          </w:tcPr>
          <w:p w14:paraId="15A6CE36" w14:textId="77777777" w:rsidR="008C5A3C" w:rsidRPr="008C5A3C" w:rsidRDefault="008C5A3C" w:rsidP="008C5A3C">
            <w:pPr>
              <w:spacing w:after="120" w:line="276" w:lineRule="auto"/>
              <w:jc w:val="both"/>
              <w:rPr>
                <w:rFonts w:ascii="Verdana" w:eastAsia="Aptos" w:hAnsi="Verdana" w:cs="Aptos"/>
              </w:rPr>
            </w:pPr>
            <w:r w:rsidRPr="008C5A3C">
              <w:rPr>
                <w:rFonts w:ascii="Verdana" w:eastAsia="Aptos" w:hAnsi="Verdana" w:cs="Apto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w:t>
            </w:r>
            <w:r w:rsidRPr="008C5A3C">
              <w:rPr>
                <w:rFonts w:ascii="Verdana" w:eastAsia="Aptos" w:hAnsi="Verdana" w:cs="Aptos"/>
              </w:rPr>
              <w:lastRenderedPageBreak/>
              <w:t>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B4197BA" w14:textId="77777777" w:rsidR="008C5A3C" w:rsidRPr="008C5A3C" w:rsidRDefault="008C5A3C" w:rsidP="008C5A3C">
            <w:pPr>
              <w:spacing w:after="120" w:line="276" w:lineRule="auto"/>
              <w:ind w:firstLine="708"/>
              <w:jc w:val="both"/>
              <w:rPr>
                <w:rFonts w:ascii="Verdana" w:eastAsia="Aptos" w:hAnsi="Verdana" w:cs="Aptos"/>
              </w:rPr>
            </w:pPr>
            <w:r w:rsidRPr="008C5A3C">
              <w:rPr>
                <w:rFonts w:ascii="Verdana" w:eastAsia="Calibri" w:hAnsi="Verdana" w:cs="Times New Roman"/>
                <w:lang w:val="es-ES"/>
              </w:rPr>
              <w:t xml:space="preserve">Teniendo en cuenta que usted indaga sí un proceso de selección que tiene por objeto </w:t>
            </w:r>
            <w:r w:rsidRPr="008C5A3C">
              <w:rPr>
                <w:rFonts w:ascii="Verdana" w:eastAsia="Calibri" w:hAnsi="Verdana" w:cs="Times New Roman"/>
                <w:i/>
                <w:iCs/>
                <w:lang w:val="es-ES"/>
              </w:rPr>
              <w:t xml:space="preserve">“(…) </w:t>
            </w:r>
            <w:r w:rsidRPr="008C5A3C">
              <w:rPr>
                <w:rFonts w:ascii="Verdana" w:eastAsia="Aptos" w:hAnsi="Verdana" w:cs="Helvetica"/>
                <w:i/>
                <w:iCs/>
                <w:color w:val="000000"/>
              </w:rPr>
              <w:t>cerramiento (alambre, cerca vivas) y también reforestar espacios de estas áreas para su conservación (…)</w:t>
            </w:r>
            <w:r w:rsidRPr="008C5A3C">
              <w:rPr>
                <w:rFonts w:ascii="Verdana" w:eastAsia="Calibri" w:hAnsi="Verdana" w:cs="Times New Roman"/>
                <w:i/>
                <w:iCs/>
                <w:lang w:val="es-ES"/>
              </w:rPr>
              <w:t>”,</w:t>
            </w:r>
            <w:r w:rsidRPr="008C5A3C">
              <w:rPr>
                <w:rFonts w:ascii="Verdana" w:eastAsia="Calibri" w:hAnsi="Verdana" w:cs="Times New Roman"/>
                <w:lang w:val="es-ES"/>
              </w:rPr>
              <w:t xml:space="preserve"> debe realizarse bajo los documentos tipo adoptados por la Agencia Nacional de Contratación Pública – Colombia Compra Eficiente. Para efectos de resolver el problema jurídico planteado en este concepto, le indicamos que, conforme con la solicitud allegada, no es posible determinar si el objeto que se pretende contratar corresponde a infraestructura de transporte, agua potable y saneamiento básico o infraestructura social. En este sentido, es necesario revisar las actividades de los documentos tipo adoptados por esta Agencia en el sector transporte, agua potable y saneamiento básico, y social. </w:t>
            </w:r>
          </w:p>
          <w:p w14:paraId="5E66978E" w14:textId="77777777" w:rsidR="008C5A3C" w:rsidRPr="008C5A3C" w:rsidRDefault="008C5A3C" w:rsidP="008C5A3C">
            <w:pPr>
              <w:spacing w:after="120" w:line="276" w:lineRule="auto"/>
              <w:ind w:firstLine="708"/>
              <w:jc w:val="both"/>
              <w:rPr>
                <w:rFonts w:ascii="Verdana" w:eastAsia="Aptos" w:hAnsi="Verdana" w:cs="Aptos"/>
              </w:rPr>
            </w:pPr>
            <w:r w:rsidRPr="008C5A3C">
              <w:rPr>
                <w:rFonts w:ascii="Verdana" w:eastAsia="Aptos" w:hAnsi="Verdana" w:cs="Aptos"/>
              </w:rPr>
              <w:t>Con el propósito de establecer si el proyecto por el que se indaga se enmarca en las actividades de obra contenidas en documentos tipo expedidos por esta Agencia, le informamos que, la “Matriz 1 – Experiencia” del sector transporte para el tipo de obra “</w:t>
            </w:r>
            <w:r w:rsidRPr="008C5A3C">
              <w:rPr>
                <w:rFonts w:ascii="Verdana" w:eastAsia="Calibri" w:hAnsi="Verdana" w:cs="Times New Roman"/>
                <w:lang w:val="es-ES"/>
              </w:rPr>
              <w:t>6) obras de infraestructura vial urbana”</w:t>
            </w:r>
            <w:r w:rsidRPr="008C5A3C">
              <w:rPr>
                <w:rFonts w:ascii="Verdana" w:eastAsia="Aptos" w:hAnsi="Verdana" w:cs="Aptos"/>
              </w:rPr>
              <w:t>, incluye la actividad “</w:t>
            </w:r>
            <w:r w:rsidRPr="008C5A3C">
              <w:rPr>
                <w:rFonts w:ascii="Verdana" w:eastAsia="Aptos" w:hAnsi="Verdana" w:cs="Aptos"/>
                <w:i/>
                <w:iCs/>
              </w:rPr>
              <w:t xml:space="preserve">6.24. Proyectos de limpieza, construcción de cerramiento y mantenimiento de predios para intervención en vías, parques, espacio público asociado a la infraestructura de transporte”, </w:t>
            </w:r>
            <w:r w:rsidRPr="008C5A3C">
              <w:rPr>
                <w:rFonts w:ascii="Verdana" w:eastAsia="Aptos" w:hAnsi="Verdana" w:cs="Aptos"/>
              </w:rPr>
              <w:t xml:space="preserve">en el que eventualmente, puede enmarcarse el objeto del proceso de contratación que pretende adelantar la Entidad. Sin perjuicio de lo anterior, le corresponde a la entidad evaluar de acuerdo con el alcance del proceso de selección que pretende adelantar, si en la actividad señalada o en alguna otra se puede enmarcar el proceso de selección. </w:t>
            </w:r>
          </w:p>
          <w:p w14:paraId="20D10C63" w14:textId="77777777" w:rsidR="008C5A3C" w:rsidRPr="008C5A3C" w:rsidRDefault="008C5A3C" w:rsidP="008C5A3C">
            <w:pPr>
              <w:spacing w:after="120" w:line="276" w:lineRule="auto"/>
              <w:ind w:firstLine="708"/>
              <w:jc w:val="both"/>
              <w:rPr>
                <w:rFonts w:ascii="Verdana" w:eastAsia="Aptos" w:hAnsi="Verdana" w:cs="Aptos"/>
              </w:rPr>
            </w:pPr>
            <w:r w:rsidRPr="008C5A3C">
              <w:rPr>
                <w:rFonts w:ascii="Verdana" w:eastAsia="Aptos" w:hAnsi="Verdana" w:cs="Aptos"/>
              </w:rPr>
              <w:t>Asimismo, le indicamos que los documentos base de los documentos tipo de los sectores de infraestructura de transporte, agua potable y saneamiento básico, y social, incluyen en el numeral 3.5.2, “Características de los contratos presentados para acreditar la experiencia exigida”, la opción de combinación de experiencia. Esta constituye una herramienta que permite a las entidades combinar experiencias de actividades del mismo sector o de otros sectores.</w:t>
            </w:r>
          </w:p>
          <w:p w14:paraId="0ED4F7BA" w14:textId="77777777" w:rsidR="008C5A3C" w:rsidRPr="008C5A3C" w:rsidRDefault="008C5A3C" w:rsidP="008C5A3C">
            <w:pPr>
              <w:spacing w:after="120" w:line="276" w:lineRule="auto"/>
              <w:ind w:firstLine="708"/>
              <w:jc w:val="both"/>
              <w:rPr>
                <w:rFonts w:ascii="Verdana" w:eastAsia="Aptos" w:hAnsi="Verdana" w:cs="Aptos"/>
              </w:rPr>
            </w:pPr>
            <w:r w:rsidRPr="008C5A3C">
              <w:rPr>
                <w:rFonts w:ascii="Verdana" w:eastAsia="Aptos" w:hAnsi="Verdana" w:cs="Aptos"/>
              </w:rPr>
              <w:lastRenderedPageBreak/>
              <w:t>A su vez, el literal H del numeral mencionado establece la opción de incluir bienes adicionales a la obra pública. De esta forma, las entidades pueden incorporar experiencia del Clasificador de las Naciones Unidas cuando, de manera excepcional, se requiera acreditar una experiencia que no esté contenida en ninguno de los documentos tipo expedidos por la Agencia.</w:t>
            </w:r>
          </w:p>
          <w:p w14:paraId="1B30522B" w14:textId="77777777" w:rsidR="008C5A3C" w:rsidRPr="008C5A3C" w:rsidRDefault="008C5A3C" w:rsidP="008C5A3C">
            <w:pPr>
              <w:spacing w:after="120" w:line="276" w:lineRule="auto"/>
              <w:ind w:firstLine="708"/>
              <w:jc w:val="both"/>
              <w:rPr>
                <w:rFonts w:ascii="Verdana" w:eastAsia="Times New Roman" w:hAnsi="Verdana" w:cs="Arial"/>
                <w:shd w:val="clear" w:color="auto" w:fill="FFFFFF"/>
                <w:lang w:val="es-ES_tradnl" w:eastAsia="es-ES_tradnl"/>
              </w:rPr>
            </w:pPr>
            <w:r w:rsidRPr="008C5A3C">
              <w:rPr>
                <w:rFonts w:ascii="Verdana" w:eastAsia="Times New Roman" w:hAnsi="Verdana" w:cs="Arial"/>
                <w:kern w:val="2"/>
                <w:shd w:val="clear" w:color="auto" w:fill="FFFFFF"/>
                <w:lang w:val="es-ES_tradnl" w:eastAsia="es-ES_tradnl"/>
                <w14:ligatures w14:val="standardContextua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 </w:t>
            </w:r>
          </w:p>
          <w:p w14:paraId="27CD0CEC" w14:textId="77777777" w:rsidR="008C5A3C" w:rsidRPr="008C5A3C" w:rsidRDefault="008C5A3C" w:rsidP="008C5A3C">
            <w:pPr>
              <w:snapToGrid w:val="0"/>
              <w:spacing w:after="120" w:line="276" w:lineRule="auto"/>
              <w:ind w:firstLine="708"/>
              <w:jc w:val="both"/>
              <w:rPr>
                <w:rFonts w:ascii="Verdana" w:eastAsia="Times New Roman" w:hAnsi="Verdana" w:cs="Arial"/>
                <w:kern w:val="2"/>
                <w:shd w:val="clear" w:color="auto" w:fill="FFFFFF"/>
                <w:lang w:val="es-ES" w:eastAsia="es-ES"/>
                <w14:ligatures w14:val="standardContextual"/>
              </w:rPr>
            </w:pPr>
            <w:r w:rsidRPr="008C5A3C">
              <w:rPr>
                <w:rFonts w:ascii="Verdana" w:eastAsia="Times New Roman" w:hAnsi="Verdana" w:cs="Arial"/>
                <w:kern w:val="2"/>
                <w:shd w:val="clear" w:color="auto" w:fill="FFFFFF"/>
                <w:lang w:val="es-ES" w:eastAsia="es-ES"/>
                <w14:ligatures w14:val="standardContextual"/>
              </w:rPr>
              <w:t xml:space="preserve">Si la Entidad determina que no está obligada a aplicar de manera forzosa los documentos tipo para desarrollar los procesos de contratación —ya sea porque, normativamente, no le resultan aplicables o porque el proceso que se pretende adelantar no </w:t>
            </w:r>
            <w:proofErr w:type="gramStart"/>
            <w:r w:rsidRPr="008C5A3C">
              <w:rPr>
                <w:rFonts w:ascii="Verdana" w:eastAsia="Times New Roman" w:hAnsi="Verdana" w:cs="Arial"/>
                <w:kern w:val="2"/>
                <w:shd w:val="clear" w:color="auto" w:fill="FFFFFF"/>
                <w:lang w:val="es-ES" w:eastAsia="es-ES"/>
                <w14:ligatures w14:val="standardContextual"/>
              </w:rPr>
              <w:t>se enmarca dentro de</w:t>
            </w:r>
            <w:proofErr w:type="gramEnd"/>
            <w:r w:rsidRPr="008C5A3C">
              <w:rPr>
                <w:rFonts w:ascii="Verdana" w:eastAsia="Times New Roman" w:hAnsi="Verdana" w:cs="Arial"/>
                <w:kern w:val="2"/>
                <w:shd w:val="clear" w:color="auto" w:fill="FFFFFF"/>
                <w:lang w:val="es-ES" w:eastAsia="es-ES"/>
                <w14:ligatures w14:val="standardContextual"/>
              </w:rPr>
              <w:t xml:space="preserve"> las modalidades de selección y tipos de obra estandarizados en las respectivas matrices de experiencia—, en tales escenarios dichos documentos carecen de fuerza obligatoria. En consecuencia, la Entidad deberá estructurar sus procesos, atendiendo la normativa vigente en materia de compras y contratación pública.</w:t>
            </w:r>
            <w:r w:rsidRPr="008C5A3C">
              <w:rPr>
                <w:rFonts w:ascii="Verdana" w:eastAsia="Times New Roman" w:hAnsi="Verdana" w:cs="Arial"/>
                <w:shd w:val="clear" w:color="auto" w:fill="FFFFFF"/>
                <w:lang w:val="es-ES" w:eastAsia="es-ES"/>
              </w:rPr>
              <w:t xml:space="preserve"> </w:t>
            </w:r>
            <w:r w:rsidRPr="008C5A3C">
              <w:rPr>
                <w:rFonts w:ascii="Verdana" w:eastAsia="Times New Roman" w:hAnsi="Verdana" w:cs="Arial"/>
                <w:kern w:val="2"/>
                <w:shd w:val="clear" w:color="auto" w:fill="FFFFFF"/>
                <w:lang w:val="es-ES" w:eastAsia="es-ES"/>
                <w14:ligatures w14:val="standardContextual"/>
              </w:rPr>
              <w:t xml:space="preserve">No </w:t>
            </w:r>
            <w:proofErr w:type="gramStart"/>
            <w:r w:rsidRPr="008C5A3C">
              <w:rPr>
                <w:rFonts w:ascii="Verdana" w:eastAsia="Times New Roman" w:hAnsi="Verdana" w:cs="Arial"/>
                <w:kern w:val="2"/>
                <w:shd w:val="clear" w:color="auto" w:fill="FFFFFF"/>
                <w:lang w:val="es-ES" w:eastAsia="es-ES"/>
                <w14:ligatures w14:val="standardContextual"/>
              </w:rPr>
              <w:t>obstante</w:t>
            </w:r>
            <w:proofErr w:type="gramEnd"/>
            <w:r w:rsidRPr="008C5A3C">
              <w:rPr>
                <w:rFonts w:ascii="Verdana" w:eastAsia="Times New Roman" w:hAnsi="Verdana" w:cs="Arial"/>
                <w:kern w:val="2"/>
                <w:shd w:val="clear" w:color="auto" w:fill="FFFFFF"/>
                <w:lang w:val="es-ES" w:eastAsia="es-ES"/>
                <w14:ligatures w14:val="standardContextual"/>
              </w:rPr>
              <w:t xml:space="preserve"> lo anterior, las Entidades pueden observar los documentos tipo de forma facultativa, como una estrategia para adoptar e incorporar políticas de buenas prácticas contractuales, realizando en caso de que sea necesario las adaptaciones que consideren pertinentes.</w:t>
            </w:r>
          </w:p>
        </w:tc>
      </w:tr>
    </w:tbl>
    <w:p w14:paraId="34615CFD" w14:textId="77777777" w:rsidR="008C5A3C" w:rsidRPr="008C5A3C" w:rsidRDefault="008C5A3C" w:rsidP="008C5A3C">
      <w:pPr>
        <w:tabs>
          <w:tab w:val="left" w:pos="142"/>
          <w:tab w:val="left" w:pos="284"/>
        </w:tabs>
        <w:spacing w:after="0" w:line="276" w:lineRule="auto"/>
        <w:jc w:val="both"/>
        <w:rPr>
          <w:rFonts w:ascii="Verdana" w:eastAsia="Century Gothic" w:hAnsi="Verdana" w:cs="Century Gothic"/>
          <w:b/>
          <w:bCs/>
          <w:lang w:val="es-ES"/>
        </w:rPr>
      </w:pPr>
    </w:p>
    <w:p w14:paraId="16391FCB" w14:textId="77777777" w:rsidR="008C5A3C" w:rsidRPr="008C5A3C" w:rsidRDefault="008C5A3C" w:rsidP="008C5A3C">
      <w:pPr>
        <w:tabs>
          <w:tab w:val="left" w:pos="142"/>
          <w:tab w:val="left" w:pos="284"/>
        </w:tabs>
        <w:spacing w:after="0" w:line="276" w:lineRule="auto"/>
        <w:jc w:val="both"/>
        <w:rPr>
          <w:rFonts w:ascii="Verdana" w:eastAsia="Century Gothic" w:hAnsi="Verdana" w:cs="Century Gothic"/>
          <w:b/>
          <w:bCs/>
          <w:lang w:val="es-ES"/>
        </w:rPr>
      </w:pPr>
      <w:r w:rsidRPr="008C5A3C">
        <w:rPr>
          <w:rFonts w:ascii="Verdana" w:eastAsia="Century Gothic" w:hAnsi="Verdana" w:cs="Century Gothic"/>
          <w:b/>
          <w:bCs/>
          <w:lang w:val="es-ES"/>
        </w:rPr>
        <w:t>3. Razones de la respuesta:</w:t>
      </w:r>
    </w:p>
    <w:p w14:paraId="28857179" w14:textId="77777777" w:rsidR="008C5A3C" w:rsidRPr="008C5A3C" w:rsidRDefault="008C5A3C" w:rsidP="008C5A3C">
      <w:pPr>
        <w:spacing w:after="0" w:line="276" w:lineRule="auto"/>
        <w:jc w:val="both"/>
        <w:rPr>
          <w:rFonts w:ascii="Verdana" w:eastAsia="Calibri" w:hAnsi="Verdana" w:cs="Arial"/>
          <w:lang w:val="es-ES"/>
        </w:rPr>
      </w:pPr>
    </w:p>
    <w:p w14:paraId="225EEC10" w14:textId="77777777" w:rsidR="008C5A3C" w:rsidRPr="008C5A3C" w:rsidRDefault="008C5A3C" w:rsidP="008C5A3C">
      <w:pPr>
        <w:spacing w:after="0" w:line="276" w:lineRule="auto"/>
        <w:jc w:val="both"/>
        <w:rPr>
          <w:rFonts w:ascii="Verdana" w:eastAsia="Calibri" w:hAnsi="Verdana" w:cs="Arial"/>
          <w:lang w:val="es-ES"/>
        </w:rPr>
      </w:pPr>
      <w:r w:rsidRPr="008C5A3C">
        <w:rPr>
          <w:rFonts w:ascii="Verdana" w:eastAsia="Calibri" w:hAnsi="Verdana" w:cs="Arial"/>
          <w:lang w:val="es-ES"/>
        </w:rPr>
        <w:t xml:space="preserve">Lo anterior se sustenta en las siguientes consideraciones: </w:t>
      </w:r>
    </w:p>
    <w:p w14:paraId="2E92ED61" w14:textId="77777777" w:rsidR="008C5A3C" w:rsidRPr="008C5A3C" w:rsidRDefault="008C5A3C" w:rsidP="008C5A3C">
      <w:pPr>
        <w:widowControl w:val="0"/>
        <w:autoSpaceDE w:val="0"/>
        <w:autoSpaceDN w:val="0"/>
        <w:spacing w:after="0" w:line="276" w:lineRule="auto"/>
        <w:jc w:val="both"/>
        <w:rPr>
          <w:rFonts w:ascii="Verdana" w:eastAsia="Calibri" w:hAnsi="Verdana" w:cs="Times New Roman"/>
          <w:lang w:val="es-ES"/>
        </w:rPr>
      </w:pPr>
      <w:bookmarkStart w:id="1" w:name="_Hlk113022941"/>
    </w:p>
    <w:p w14:paraId="55A96FFA" w14:textId="77777777" w:rsidR="008C5A3C" w:rsidRPr="008C5A3C" w:rsidRDefault="008C5A3C" w:rsidP="008C5A3C">
      <w:pPr>
        <w:spacing w:after="120" w:line="276" w:lineRule="auto"/>
        <w:jc w:val="both"/>
        <w:rPr>
          <w:rFonts w:ascii="Verdana" w:eastAsia="Aptos" w:hAnsi="Verdana" w:cs="Arial"/>
          <w:kern w:val="2"/>
          <w14:ligatures w14:val="standardContextual"/>
        </w:rPr>
      </w:pPr>
      <w:r w:rsidRPr="008C5A3C">
        <w:rPr>
          <w:rFonts w:ascii="Verdana" w:eastAsia="Aptos" w:hAnsi="Verdana" w:cs="Arial"/>
          <w:kern w:val="2"/>
          <w14:ligatures w14:val="standardContextual"/>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w:t>
      </w:r>
      <w:r w:rsidRPr="008C5A3C">
        <w:rPr>
          <w:rFonts w:ascii="Verdana" w:eastAsia="Aptos" w:hAnsi="Verdana" w:cs="Arial"/>
          <w:kern w:val="2"/>
          <w14:ligatures w14:val="standardContextual"/>
        </w:rPr>
        <w:lastRenderedPageBreak/>
        <w:t>contractual de todas las entidades sometidas al Estatuto General de la Administración Pública.</w:t>
      </w:r>
    </w:p>
    <w:p w14:paraId="6039A1D2" w14:textId="77777777" w:rsidR="008C5A3C" w:rsidRPr="008C5A3C" w:rsidRDefault="008C5A3C" w:rsidP="008C5A3C">
      <w:pPr>
        <w:spacing w:after="120" w:line="276" w:lineRule="auto"/>
        <w:ind w:firstLine="708"/>
        <w:jc w:val="both"/>
        <w:rPr>
          <w:rFonts w:ascii="Verdana" w:eastAsia="Aptos" w:hAnsi="Verdana" w:cs="Arial"/>
          <w:kern w:val="2"/>
          <w:lang w:val="es-ES"/>
          <w14:ligatures w14:val="standardContextual"/>
        </w:rPr>
      </w:pPr>
      <w:r w:rsidRPr="008C5A3C">
        <w:rPr>
          <w:rFonts w:ascii="Verdana" w:eastAsia="Aptos" w:hAnsi="Verdana" w:cs="Arial"/>
          <w:kern w:val="2"/>
          <w:lang w:val="es-ES"/>
          <w14:ligatures w14:val="standardContextual"/>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1E01EF46" w14:textId="77777777" w:rsidR="008C5A3C" w:rsidRPr="008C5A3C" w:rsidRDefault="008C5A3C" w:rsidP="008C5A3C">
      <w:pPr>
        <w:widowControl w:val="0"/>
        <w:autoSpaceDE w:val="0"/>
        <w:autoSpaceDN w:val="0"/>
        <w:spacing w:after="120" w:line="276" w:lineRule="auto"/>
        <w:ind w:firstLine="708"/>
        <w:jc w:val="both"/>
        <w:rPr>
          <w:rFonts w:ascii="Verdana" w:eastAsia="Aptos" w:hAnsi="Verdana" w:cs="Arial"/>
          <w:kern w:val="2"/>
          <w14:ligatures w14:val="standardContextual"/>
        </w:rPr>
      </w:pPr>
      <w:r w:rsidRPr="008C5A3C">
        <w:rPr>
          <w:rFonts w:ascii="Verdana" w:eastAsia="Aptos" w:hAnsi="Verdana" w:cs="Arial"/>
          <w:kern w:val="2"/>
          <w14:ligatures w14:val="standardContextual"/>
        </w:rPr>
        <w:t>Actualmente, los documentos tipo expedidos por la Agencia Nacional de Contratación Pública – Colombia Compra Eficiente, en los sectores y modalidades señalados, que se encuentran vigentes son los siguientes:</w:t>
      </w:r>
    </w:p>
    <w:p w14:paraId="4B451F2E" w14:textId="77777777" w:rsidR="008C5A3C" w:rsidRPr="008C5A3C" w:rsidRDefault="008C5A3C" w:rsidP="008C5A3C">
      <w:pPr>
        <w:widowControl w:val="0"/>
        <w:autoSpaceDE w:val="0"/>
        <w:autoSpaceDN w:val="0"/>
        <w:spacing w:after="120" w:line="276" w:lineRule="auto"/>
        <w:ind w:firstLine="708"/>
        <w:jc w:val="both"/>
        <w:rPr>
          <w:rFonts w:ascii="Verdana" w:eastAsia="Aptos" w:hAnsi="Verdana" w:cs="Arial"/>
          <w:b/>
          <w:bCs/>
          <w:kern w:val="2"/>
          <w14:ligatures w14:val="standardContextual"/>
        </w:rPr>
      </w:pPr>
      <w:r w:rsidRPr="008C5A3C">
        <w:rPr>
          <w:rFonts w:ascii="Verdana" w:eastAsia="Aptos" w:hAnsi="Verdana" w:cs="Arial"/>
          <w:b/>
          <w:bCs/>
          <w:kern w:val="2"/>
          <w14:ligatures w14:val="standardContextual"/>
        </w:rPr>
        <w:t>DOCUMENTOS TIPO DEL SECTOR TRANSPORTE</w:t>
      </w:r>
    </w:p>
    <w:p w14:paraId="35C9FDE1" w14:textId="77777777" w:rsidR="008C5A3C" w:rsidRPr="008C5A3C" w:rsidRDefault="008C5A3C" w:rsidP="008C5A3C">
      <w:pPr>
        <w:numPr>
          <w:ilvl w:val="0"/>
          <w:numId w:val="18"/>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para los procesos de selección de licitación de obra pública de infraestructura de transporte – versión 4. Resolución 456 del 10 de septiembre de 2024.</w:t>
      </w:r>
    </w:p>
    <w:p w14:paraId="211D763C" w14:textId="77777777" w:rsidR="008C5A3C" w:rsidRPr="008C5A3C" w:rsidRDefault="008C5A3C" w:rsidP="008C5A3C">
      <w:pPr>
        <w:numPr>
          <w:ilvl w:val="0"/>
          <w:numId w:val="18"/>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para los procesos de selección abreviada de menor cuantía de obra pública de infraestructura de transporte – versión 3. Resolución 463 del 10 de septiembre de 2024.</w:t>
      </w:r>
    </w:p>
    <w:p w14:paraId="024D98F1" w14:textId="77777777" w:rsidR="008C5A3C" w:rsidRPr="008C5A3C" w:rsidRDefault="008C5A3C" w:rsidP="008C5A3C">
      <w:pPr>
        <w:numPr>
          <w:ilvl w:val="0"/>
          <w:numId w:val="18"/>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para procesos de selección de mínima cuantía de obra pública de infraestructura de transporte – versión 2. Resolución 464 del 10 de septiembre de 2024.</w:t>
      </w:r>
    </w:p>
    <w:p w14:paraId="75F1116A" w14:textId="77777777" w:rsidR="008C5A3C" w:rsidRPr="008C5A3C" w:rsidRDefault="008C5A3C" w:rsidP="008C5A3C">
      <w:pPr>
        <w:numPr>
          <w:ilvl w:val="0"/>
          <w:numId w:val="18"/>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para los procesos de selección de concurso de méritos para contratar la interventoría de obra pública de infraestructura de transporte – versión 3. Resolución 725 del 19 de diciembre de 2024.</w:t>
      </w:r>
    </w:p>
    <w:p w14:paraId="3C3614BC" w14:textId="77777777" w:rsidR="008C5A3C" w:rsidRPr="008C5A3C" w:rsidRDefault="008C5A3C" w:rsidP="008C5A3C">
      <w:pPr>
        <w:numPr>
          <w:ilvl w:val="0"/>
          <w:numId w:val="18"/>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para los procesos de selección de concurso de méritos para contratar la consultoría de ingeniería de infraestructura de transporte – versión 2. Resolución 726 del 19 de diciembre de 2024.</w:t>
      </w:r>
    </w:p>
    <w:p w14:paraId="01C63935" w14:textId="77777777" w:rsidR="008C5A3C" w:rsidRPr="008C5A3C" w:rsidRDefault="008C5A3C" w:rsidP="008C5A3C">
      <w:pPr>
        <w:widowControl w:val="0"/>
        <w:autoSpaceDE w:val="0"/>
        <w:autoSpaceDN w:val="0"/>
        <w:spacing w:after="120" w:line="276" w:lineRule="auto"/>
        <w:ind w:left="708"/>
        <w:jc w:val="both"/>
        <w:rPr>
          <w:rFonts w:ascii="Verdana" w:eastAsia="Aptos" w:hAnsi="Verdana" w:cs="Arial"/>
          <w:b/>
          <w:bCs/>
          <w:kern w:val="2"/>
          <w14:ligatures w14:val="standardContextual"/>
        </w:rPr>
      </w:pPr>
      <w:r w:rsidRPr="008C5A3C">
        <w:rPr>
          <w:rFonts w:ascii="Verdana" w:eastAsia="Aptos" w:hAnsi="Verdana" w:cs="Arial"/>
          <w:b/>
          <w:bCs/>
          <w:kern w:val="2"/>
          <w14:ligatures w14:val="standardContextual"/>
        </w:rPr>
        <w:t>DOCUMENTOS TIPO DEL SECTOR DE AGUA POTABLE Y SANEAMIENTO BÁSICO</w:t>
      </w:r>
    </w:p>
    <w:p w14:paraId="2C8D4F9E" w14:textId="77777777" w:rsidR="008C5A3C" w:rsidRPr="008C5A3C" w:rsidRDefault="008C5A3C" w:rsidP="008C5A3C">
      <w:pPr>
        <w:numPr>
          <w:ilvl w:val="0"/>
          <w:numId w:val="19"/>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lastRenderedPageBreak/>
        <w:t>Documentos tipo para los procesos de selección de licitación para obras de infraestructura de agua potable y saneamiento básico. Resolución 248 del 1 de diciembre de 2020.</w:t>
      </w:r>
    </w:p>
    <w:p w14:paraId="1E724F77" w14:textId="77777777" w:rsidR="008C5A3C" w:rsidRPr="008C5A3C" w:rsidRDefault="008C5A3C" w:rsidP="008C5A3C">
      <w:pPr>
        <w:numPr>
          <w:ilvl w:val="0"/>
          <w:numId w:val="19"/>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para los procesos de selección de licitación para obras públicas de infraestructura de agua potable y saneamiento básico en la modalidad de lleve en mano. Resolución 249 del del 1 de diciembre de 2020.</w:t>
      </w:r>
    </w:p>
    <w:p w14:paraId="225F412E" w14:textId="77777777" w:rsidR="008C5A3C" w:rsidRPr="008C5A3C" w:rsidRDefault="008C5A3C" w:rsidP="008C5A3C">
      <w:pPr>
        <w:numPr>
          <w:ilvl w:val="0"/>
          <w:numId w:val="19"/>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para los procesos de selección de concurso de méritos para contratar la interventoría de obras públicas de infraestructura de agua potable y saneamiento básico. Resolución 333 del 27 de julio de 2022.</w:t>
      </w:r>
    </w:p>
    <w:p w14:paraId="3B5436FC" w14:textId="77777777" w:rsidR="008C5A3C" w:rsidRPr="008C5A3C" w:rsidRDefault="008C5A3C" w:rsidP="008C5A3C">
      <w:pPr>
        <w:spacing w:after="120" w:line="240" w:lineRule="auto"/>
        <w:ind w:firstLine="708"/>
        <w:jc w:val="both"/>
        <w:rPr>
          <w:rFonts w:ascii="Verdana" w:eastAsia="Aptos" w:hAnsi="Verdana" w:cs="Times New Roman"/>
          <w:b/>
          <w:bCs/>
          <w:kern w:val="2"/>
          <w14:ligatures w14:val="standardContextual"/>
        </w:rPr>
      </w:pPr>
      <w:r w:rsidRPr="008C5A3C">
        <w:rPr>
          <w:rFonts w:ascii="Verdana" w:eastAsia="Aptos" w:hAnsi="Verdana" w:cs="Times New Roman"/>
          <w:b/>
          <w:bCs/>
          <w:kern w:val="2"/>
          <w14:ligatures w14:val="standardContextual"/>
        </w:rPr>
        <w:t>DOCUMENTOS TIPO DEL SECTOR DE INFRAESTRUCTURA SOCIAL</w:t>
      </w:r>
      <w:r w:rsidRPr="008C5A3C">
        <w:rPr>
          <w:rFonts w:ascii="Verdana" w:eastAsia="Aptos" w:hAnsi="Verdana" w:cs="Times New Roman"/>
          <w:b/>
          <w:bCs/>
          <w:kern w:val="2"/>
          <w:vertAlign w:val="superscript"/>
          <w14:ligatures w14:val="standardContextual"/>
        </w:rPr>
        <w:footnoteReference w:id="1"/>
      </w:r>
    </w:p>
    <w:p w14:paraId="4A1693C5" w14:textId="77777777" w:rsidR="000D0D63" w:rsidRPr="008C5A3C" w:rsidRDefault="000D0D63" w:rsidP="000D0D63">
      <w:pPr>
        <w:numPr>
          <w:ilvl w:val="0"/>
          <w:numId w:val="20"/>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 xml:space="preserve">Documentos tipo </w:t>
      </w:r>
      <w:r>
        <w:rPr>
          <w:rFonts w:ascii="Verdana" w:eastAsia="Aptos" w:hAnsi="Verdana" w:cs="Times New Roman"/>
          <w:kern w:val="2"/>
          <w14:ligatures w14:val="standardContextual"/>
        </w:rPr>
        <w:t xml:space="preserve">transversales de licitación de obra pública </w:t>
      </w:r>
      <w:r w:rsidRPr="008C5A3C">
        <w:rPr>
          <w:rFonts w:ascii="Verdana" w:eastAsia="Aptos" w:hAnsi="Verdana" w:cs="Times New Roman"/>
          <w:kern w:val="2"/>
          <w14:ligatures w14:val="standardContextual"/>
        </w:rPr>
        <w:t>del sector de infraestructura social. Resolución 219 del 6 de agosto de 2021.</w:t>
      </w:r>
    </w:p>
    <w:p w14:paraId="0BA0ACF1" w14:textId="77777777" w:rsidR="008C5A3C" w:rsidRPr="008C5A3C" w:rsidRDefault="008C5A3C" w:rsidP="008C5A3C">
      <w:pPr>
        <w:numPr>
          <w:ilvl w:val="0"/>
          <w:numId w:val="20"/>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complementarios para procesos de licitación de obra pública del sector educación. Resolución 220 del 6 de agosto de 2021.</w:t>
      </w:r>
    </w:p>
    <w:p w14:paraId="2E174A68" w14:textId="77777777" w:rsidR="008C5A3C" w:rsidRPr="008C5A3C" w:rsidRDefault="008C5A3C" w:rsidP="008C5A3C">
      <w:pPr>
        <w:numPr>
          <w:ilvl w:val="0"/>
          <w:numId w:val="20"/>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complementarios para los procesos de licitación de obra pública de infraestructura social relacionados con el sector salud. Resolución 392 del 18 de noviembre de 2021.</w:t>
      </w:r>
    </w:p>
    <w:p w14:paraId="4E8E3BBE" w14:textId="77777777" w:rsidR="008C5A3C" w:rsidRPr="008C5A3C" w:rsidRDefault="008C5A3C" w:rsidP="008C5A3C">
      <w:pPr>
        <w:numPr>
          <w:ilvl w:val="0"/>
          <w:numId w:val="20"/>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complementarios para los procesos de licitación de obra pública de infraestructura social relacionados con el sector cultura, recreación. Resolución 454 de 2021 del 16 de diciembre de 2021.</w:t>
      </w:r>
    </w:p>
    <w:p w14:paraId="4196B832" w14:textId="77777777" w:rsidR="008C5A3C" w:rsidRPr="008C5A3C" w:rsidRDefault="008C5A3C" w:rsidP="008C5A3C">
      <w:pPr>
        <w:numPr>
          <w:ilvl w:val="0"/>
          <w:numId w:val="20"/>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para los procesos de concurso de méritos para contratar la interventoría de obras públicas de infraestructura social, que agrupan los sectores de educación, salud, cultura, recreación y deporte. Resolución 798 del 29 de diciembre de 2023.</w:t>
      </w:r>
    </w:p>
    <w:p w14:paraId="4E253DA4" w14:textId="77777777" w:rsidR="008C5A3C" w:rsidRPr="008C5A3C" w:rsidRDefault="008C5A3C" w:rsidP="008C5A3C">
      <w:pPr>
        <w:spacing w:after="120" w:line="240" w:lineRule="auto"/>
        <w:ind w:firstLine="708"/>
        <w:jc w:val="both"/>
        <w:rPr>
          <w:rFonts w:ascii="Verdana" w:eastAsia="Aptos" w:hAnsi="Verdana" w:cs="Times New Roman"/>
          <w:b/>
          <w:bCs/>
          <w:kern w:val="2"/>
          <w14:ligatures w14:val="standardContextual"/>
        </w:rPr>
      </w:pPr>
      <w:r w:rsidRPr="008C5A3C">
        <w:rPr>
          <w:rFonts w:ascii="Verdana" w:eastAsia="Aptos" w:hAnsi="Verdana" w:cs="Times New Roman"/>
          <w:b/>
          <w:bCs/>
          <w:kern w:val="2"/>
          <w14:ligatures w14:val="standardContextual"/>
        </w:rPr>
        <w:t>CONVENIOS SOLIDARIOS</w:t>
      </w:r>
    </w:p>
    <w:p w14:paraId="05BA9080" w14:textId="77777777" w:rsidR="008C5A3C" w:rsidRPr="008C5A3C" w:rsidRDefault="008C5A3C" w:rsidP="008C5A3C">
      <w:pPr>
        <w:numPr>
          <w:ilvl w:val="0"/>
          <w:numId w:val="21"/>
        </w:numPr>
        <w:spacing w:after="12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lastRenderedPageBreak/>
        <w:t>Documento tipo para la contratación directa de convenios solidarios para la ejecución de obras hasta la menor cuantía con organismos de acción comunal. Resolución 358 del 30 de junio de 2023.</w:t>
      </w:r>
    </w:p>
    <w:p w14:paraId="614642C2" w14:textId="77777777" w:rsidR="008C5A3C" w:rsidRPr="008C5A3C" w:rsidRDefault="008C5A3C" w:rsidP="008C5A3C">
      <w:pPr>
        <w:spacing w:after="120" w:line="240" w:lineRule="auto"/>
        <w:ind w:firstLine="708"/>
        <w:jc w:val="both"/>
        <w:rPr>
          <w:rFonts w:ascii="Verdana" w:eastAsia="Aptos" w:hAnsi="Verdana" w:cs="Times New Roman"/>
          <w:b/>
          <w:bCs/>
          <w:kern w:val="2"/>
          <w14:ligatures w14:val="standardContextual"/>
        </w:rPr>
      </w:pPr>
      <w:r w:rsidRPr="008C5A3C">
        <w:rPr>
          <w:rFonts w:ascii="Verdana" w:eastAsia="Aptos" w:hAnsi="Verdana" w:cs="Times New Roman"/>
          <w:b/>
          <w:bCs/>
          <w:kern w:val="2"/>
          <w14:ligatures w14:val="standardContextual"/>
        </w:rPr>
        <w:t>GESTIÓN CATASTRAL</w:t>
      </w:r>
    </w:p>
    <w:p w14:paraId="5F7BF886" w14:textId="77777777" w:rsidR="008C5A3C" w:rsidRPr="008C5A3C" w:rsidRDefault="008C5A3C" w:rsidP="008C5A3C">
      <w:pPr>
        <w:numPr>
          <w:ilvl w:val="0"/>
          <w:numId w:val="22"/>
        </w:numPr>
        <w:spacing w:after="120" w:line="240" w:lineRule="auto"/>
        <w:ind w:hanging="654"/>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Documentos tipo para los procesos de gestión catastral con enfoque multipropósito que se celebren a través de contratos interadministrativos. Resolución 269 del 16 de diciembre de 2020.</w:t>
      </w:r>
    </w:p>
    <w:p w14:paraId="31FA03AC" w14:textId="77777777" w:rsidR="008C5A3C" w:rsidRPr="008C5A3C" w:rsidRDefault="008C5A3C" w:rsidP="008C5A3C">
      <w:pPr>
        <w:spacing w:after="0" w:line="240" w:lineRule="auto"/>
        <w:ind w:left="1080"/>
        <w:jc w:val="both"/>
        <w:rPr>
          <w:rFonts w:ascii="Aptos" w:eastAsia="Aptos" w:hAnsi="Aptos" w:cs="Times New Roman"/>
          <w:kern w:val="2"/>
          <w:sz w:val="24"/>
          <w:szCs w:val="24"/>
          <w14:ligatures w14:val="standardContextual"/>
        </w:rPr>
      </w:pPr>
    </w:p>
    <w:p w14:paraId="5F6BB2E7" w14:textId="77777777" w:rsidR="008C5A3C" w:rsidRPr="008C5A3C" w:rsidRDefault="008C5A3C" w:rsidP="008C5A3C">
      <w:pPr>
        <w:widowControl w:val="0"/>
        <w:autoSpaceDE w:val="0"/>
        <w:autoSpaceDN w:val="0"/>
        <w:spacing w:after="120" w:line="276" w:lineRule="auto"/>
        <w:ind w:firstLine="708"/>
        <w:jc w:val="both"/>
        <w:rPr>
          <w:rFonts w:ascii="Verdana" w:eastAsia="Calibri" w:hAnsi="Verdana" w:cs="Times New Roman"/>
          <w:lang w:val="es-ES"/>
        </w:rPr>
      </w:pPr>
      <w:r w:rsidRPr="008C5A3C">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8C5A3C">
        <w:rPr>
          <w:rFonts w:ascii="Verdana" w:eastAsia="Calibri" w:hAnsi="Verdana" w:cs="Times New Roman"/>
          <w:shd w:val="clear" w:color="auto" w:fill="E8E8E8"/>
          <w:lang w:val="es-ES"/>
        </w:rPr>
        <w:t>–[texto]–,</w:t>
      </w:r>
      <w:r w:rsidRPr="008C5A3C">
        <w:rPr>
          <w:rFonts w:ascii="Verdana" w:eastAsia="Calibri" w:hAnsi="Verdana" w:cs="Times New Roman"/>
          <w:lang w:val="es-ES"/>
        </w:rPr>
        <w:t xml:space="preserve"> para lo cual deberán observarse las instrucciones contenidas en los mismos para su diligenciamiento.</w:t>
      </w:r>
    </w:p>
    <w:p w14:paraId="41BB2474" w14:textId="77777777" w:rsidR="008C5A3C" w:rsidRPr="008C5A3C" w:rsidRDefault="008C5A3C" w:rsidP="008C5A3C">
      <w:pPr>
        <w:widowControl w:val="0"/>
        <w:autoSpaceDE w:val="0"/>
        <w:autoSpaceDN w:val="0"/>
        <w:spacing w:after="120" w:line="276" w:lineRule="auto"/>
        <w:ind w:firstLine="708"/>
        <w:jc w:val="both"/>
        <w:rPr>
          <w:rFonts w:ascii="Verdana" w:eastAsia="Calibri" w:hAnsi="Verdana" w:cs="Times New Roman"/>
          <w:lang w:val="es-ES"/>
        </w:rPr>
      </w:pPr>
      <w:r w:rsidRPr="008C5A3C">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43725C7E" w14:textId="77777777" w:rsidR="008C5A3C" w:rsidRPr="008C5A3C" w:rsidRDefault="008C5A3C" w:rsidP="008C5A3C">
      <w:pPr>
        <w:widowControl w:val="0"/>
        <w:autoSpaceDE w:val="0"/>
        <w:autoSpaceDN w:val="0"/>
        <w:spacing w:after="120" w:line="276" w:lineRule="auto"/>
        <w:ind w:firstLine="708"/>
        <w:jc w:val="both"/>
        <w:rPr>
          <w:rFonts w:ascii="Verdana" w:eastAsia="Calibri" w:hAnsi="Verdana" w:cs="Times New Roman"/>
          <w:lang w:val="es-ES"/>
        </w:rPr>
      </w:pPr>
      <w:r w:rsidRPr="008C5A3C">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5532C43" w14:textId="77777777" w:rsidR="008C5A3C" w:rsidRPr="008C5A3C" w:rsidRDefault="008C5A3C" w:rsidP="008C5A3C">
      <w:pPr>
        <w:widowControl w:val="0"/>
        <w:autoSpaceDE w:val="0"/>
        <w:autoSpaceDN w:val="0"/>
        <w:spacing w:after="120" w:line="276" w:lineRule="auto"/>
        <w:ind w:firstLine="708"/>
        <w:jc w:val="both"/>
        <w:rPr>
          <w:rFonts w:ascii="Verdana" w:eastAsia="Calibri" w:hAnsi="Verdana" w:cs="Times New Roman"/>
          <w:lang w:val="es-ES"/>
        </w:rPr>
      </w:pPr>
      <w:r w:rsidRPr="008C5A3C">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32D5BBB1" w14:textId="77777777" w:rsidR="008C5A3C" w:rsidRPr="008C5A3C" w:rsidRDefault="008C5A3C" w:rsidP="008C5A3C">
      <w:pPr>
        <w:widowControl w:val="0"/>
        <w:autoSpaceDE w:val="0"/>
        <w:autoSpaceDN w:val="0"/>
        <w:spacing w:after="120" w:line="276" w:lineRule="auto"/>
        <w:ind w:firstLine="708"/>
        <w:jc w:val="both"/>
        <w:rPr>
          <w:rFonts w:ascii="Verdana" w:eastAsia="Calibri" w:hAnsi="Verdana" w:cs="Times New Roman"/>
          <w:lang w:val="es-ES"/>
        </w:rPr>
      </w:pPr>
      <w:r w:rsidRPr="008C5A3C">
        <w:rPr>
          <w:rFonts w:ascii="Verdana" w:eastAsia="Calibri" w:hAnsi="Verdana" w:cs="Times New Roman"/>
          <w:lang w:val="es-ES"/>
        </w:rPr>
        <w:lastRenderedPageBreak/>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4C8E355D" w14:textId="77777777" w:rsidR="008C5A3C" w:rsidRPr="008C5A3C" w:rsidRDefault="008C5A3C" w:rsidP="008C5A3C">
      <w:pPr>
        <w:widowControl w:val="0"/>
        <w:autoSpaceDE w:val="0"/>
        <w:autoSpaceDN w:val="0"/>
        <w:spacing w:after="120" w:line="276" w:lineRule="auto"/>
        <w:ind w:firstLine="708"/>
        <w:jc w:val="both"/>
        <w:rPr>
          <w:rFonts w:ascii="Verdana" w:eastAsia="Calibri" w:hAnsi="Verdana" w:cs="Times New Roman"/>
          <w:lang w:val="es-ES"/>
        </w:rPr>
      </w:pPr>
      <w:r w:rsidRPr="008C5A3C">
        <w:rPr>
          <w:rFonts w:ascii="Verdana" w:eastAsia="Calibri" w:hAnsi="Verdana" w:cs="Times New Roman"/>
          <w:lang w:val="es-ES"/>
        </w:rPr>
        <w:t>De esta manera, para saber a qué actividades deben aplicarse los documentos tipo expedidos por la Agencia Nacional de Contratación Pública – Colombia Compra Eficiente,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r w:rsidRPr="008C5A3C">
        <w:rPr>
          <w:rFonts w:ascii="Verdana" w:eastAsia="Times New Roman" w:hAnsi="Verdana" w:cs="Arial"/>
          <w:kern w:val="2"/>
          <w:shd w:val="clear" w:color="auto" w:fill="FFFFFF"/>
          <w:lang w:val="es-ES_tradnl" w:eastAsia="es-ES_tradnl"/>
          <w14:ligatures w14:val="standardContextual"/>
        </w:rPr>
        <w:t xml:space="preserve">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06A2163E" w14:textId="77777777" w:rsidR="008C5A3C" w:rsidRPr="008C5A3C" w:rsidRDefault="008C5A3C" w:rsidP="008C5A3C">
      <w:pPr>
        <w:autoSpaceDE w:val="0"/>
        <w:autoSpaceDN w:val="0"/>
        <w:adjustRightInd w:val="0"/>
        <w:spacing w:after="120" w:line="276" w:lineRule="auto"/>
        <w:ind w:firstLine="708"/>
        <w:jc w:val="both"/>
        <w:rPr>
          <w:rFonts w:ascii="Verdana" w:eastAsia="Calibri" w:hAnsi="Verdana" w:cs="Times New Roman"/>
          <w:lang w:val="es-ES"/>
        </w:rPr>
      </w:pPr>
      <w:r w:rsidRPr="008C5A3C">
        <w:rPr>
          <w:rFonts w:ascii="Verdana" w:eastAsia="Calibri" w:hAnsi="Verdana" w:cs="Times New Roman"/>
          <w:lang w:val="es-ES"/>
        </w:rPr>
        <w:t xml:space="preserve">Teniendo en cuenta que usted indaga sí un proceso de selección que tiene por objeto </w:t>
      </w:r>
      <w:r w:rsidRPr="008C5A3C">
        <w:rPr>
          <w:rFonts w:ascii="Verdana" w:eastAsia="Calibri" w:hAnsi="Verdana" w:cs="Times New Roman"/>
          <w:i/>
          <w:iCs/>
          <w:lang w:val="es-ES"/>
        </w:rPr>
        <w:t xml:space="preserve">“(…) </w:t>
      </w:r>
      <w:r w:rsidRPr="008C5A3C">
        <w:rPr>
          <w:rFonts w:ascii="Verdana" w:eastAsia="Aptos" w:hAnsi="Verdana" w:cs="Helvetica"/>
          <w:i/>
          <w:iCs/>
          <w:color w:val="000000"/>
          <w14:ligatures w14:val="standardContextual"/>
        </w:rPr>
        <w:t>cerramiento (alambre, cerca vivas) y también reforestar espacios de estas áreas para su conservación (…)</w:t>
      </w:r>
      <w:r w:rsidRPr="008C5A3C">
        <w:rPr>
          <w:rFonts w:ascii="Verdana" w:eastAsia="Calibri" w:hAnsi="Verdana" w:cs="Times New Roman"/>
          <w:i/>
          <w:iCs/>
          <w:lang w:val="es-ES"/>
        </w:rPr>
        <w:t>”,</w:t>
      </w:r>
      <w:r w:rsidRPr="008C5A3C">
        <w:rPr>
          <w:rFonts w:ascii="Verdana" w:eastAsia="Calibri" w:hAnsi="Verdana" w:cs="Times New Roman"/>
          <w:lang w:val="es-ES"/>
        </w:rPr>
        <w:t xml:space="preserve"> debe realizarse bajo los documentos tipo adoptados por la Agencia Nacional de Contratación Pública – Colombia Compra Eficiente. Para efectos de resolver el problema jurídico planteado en este concepto, le informamos que, conforme con la solicitud allegada, no es posible determinar si el objeto que se pretende contratar corresponde a infraestructura de transporte, agua potable y saneamiento básico o infraestructura social. En este sentido, es necesario revisar las actividades de los documentos tipo adoptados por esta Agencia en los sectores indicados, de la forma que se señala a continuación:</w:t>
      </w:r>
    </w:p>
    <w:p w14:paraId="133BF9C1" w14:textId="77777777" w:rsidR="008C5A3C" w:rsidRPr="008C5A3C" w:rsidRDefault="008C5A3C" w:rsidP="008C5A3C">
      <w:pPr>
        <w:autoSpaceDE w:val="0"/>
        <w:autoSpaceDN w:val="0"/>
        <w:adjustRightInd w:val="0"/>
        <w:spacing w:after="120" w:line="276" w:lineRule="auto"/>
        <w:ind w:firstLine="708"/>
        <w:jc w:val="both"/>
        <w:rPr>
          <w:rFonts w:ascii="Verdana" w:eastAsia="Calibri" w:hAnsi="Verdana" w:cs="Times New Roman"/>
          <w:lang w:val="es-ES"/>
        </w:rPr>
      </w:pPr>
      <w:r w:rsidRPr="008C5A3C">
        <w:rPr>
          <w:rFonts w:ascii="Verdana" w:eastAsia="Calibri" w:hAnsi="Verdana" w:cs="Times New Roman"/>
          <w:lang w:val="es-ES"/>
        </w:rPr>
        <w:t xml:space="preserve">i) Si el proceso de selección incluye actividades relacionadas con infraestructura de transporte, la Matriz 1 – Experiencia de los documentos tipo de obra pública de este sector contempla dos alternativas para su aplicación:  </w:t>
      </w:r>
      <w:r w:rsidRPr="008C5A3C">
        <w:rPr>
          <w:rFonts w:ascii="Verdana" w:eastAsia="Calibri" w:hAnsi="Verdana" w:cs="Times New Roman"/>
          <w:lang w:val="es-ES"/>
        </w:rPr>
        <w:lastRenderedPageBreak/>
        <w:t xml:space="preserve">una matriz de baja – media complejidad, y otra de alta complejidad. Cada una de ellas está conformada por nueve (9) tipos de obras de infraestructura de transporte, identificadas con un número y su respectiva descripción, así: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w:t>
      </w:r>
    </w:p>
    <w:p w14:paraId="7EE9218C" w14:textId="77777777" w:rsidR="008C5A3C" w:rsidRPr="008C5A3C" w:rsidRDefault="008C5A3C" w:rsidP="008C5A3C">
      <w:pPr>
        <w:spacing w:after="120" w:line="276" w:lineRule="auto"/>
        <w:ind w:firstLine="708"/>
        <w:jc w:val="both"/>
        <w:rPr>
          <w:rFonts w:ascii="Verdana" w:eastAsia="Calibri" w:hAnsi="Verdana" w:cs="Times New Roman"/>
          <w:lang w:val="es-ES"/>
        </w:rPr>
      </w:pPr>
      <w:proofErr w:type="spellStart"/>
      <w:r w:rsidRPr="008C5A3C">
        <w:rPr>
          <w:rFonts w:ascii="Verdana" w:eastAsia="Calibri" w:hAnsi="Verdana" w:cs="Times New Roman"/>
          <w:lang w:val="es-ES"/>
        </w:rPr>
        <w:t>ii</w:t>
      </w:r>
      <w:proofErr w:type="spellEnd"/>
      <w:r w:rsidRPr="008C5A3C">
        <w:rPr>
          <w:rFonts w:ascii="Verdana" w:eastAsia="Calibri" w:hAnsi="Verdana" w:cs="Times New Roman"/>
          <w:lang w:val="es-ES"/>
        </w:rPr>
        <w:t>) Si el proceso de selección hace parte del sector de infraestructura de agua potable y saneamiento básico, la Matriz 1 – Experiencia de los documentos tipo de obra pública de este sector incluye siete (7) tipos de obras de infraestructura, identificadas con un número y su descripción, así: 1) Obras de Acueductos, 2) Obras de alcantarillados (sanitarios y/o pluviales y/o combinado),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y construcción).</w:t>
      </w:r>
    </w:p>
    <w:p w14:paraId="50B90027" w14:textId="77777777" w:rsidR="008C5A3C" w:rsidRPr="008C5A3C" w:rsidRDefault="008C5A3C" w:rsidP="008C5A3C">
      <w:pPr>
        <w:spacing w:after="120" w:line="276" w:lineRule="auto"/>
        <w:ind w:firstLine="708"/>
        <w:jc w:val="both"/>
        <w:rPr>
          <w:rFonts w:ascii="Verdana" w:eastAsia="Calibri" w:hAnsi="Verdana" w:cs="Times New Roman"/>
          <w:lang w:val="es-ES"/>
        </w:rPr>
      </w:pPr>
      <w:proofErr w:type="spellStart"/>
      <w:r w:rsidRPr="008C5A3C">
        <w:rPr>
          <w:rFonts w:ascii="Verdana" w:eastAsia="Calibri" w:hAnsi="Verdana" w:cs="Times New Roman"/>
          <w:lang w:val="es-ES"/>
        </w:rPr>
        <w:t>iii</w:t>
      </w:r>
      <w:proofErr w:type="spellEnd"/>
      <w:r w:rsidRPr="008C5A3C">
        <w:rPr>
          <w:rFonts w:ascii="Verdana" w:eastAsia="Calibri" w:hAnsi="Verdana" w:cs="Times New Roman"/>
          <w:lang w:val="es-ES"/>
        </w:rPr>
        <w:t xml:space="preserve">) Igualmente, la entidad podrá avaluar si el proceso se enmarca en alguna de las matrices de experiencia del sector de infraestructura social, el cual incluye los subsectores de: i) Educación, </w:t>
      </w:r>
      <w:proofErr w:type="spellStart"/>
      <w:r w:rsidRPr="008C5A3C">
        <w:rPr>
          <w:rFonts w:ascii="Verdana" w:eastAsia="Calibri" w:hAnsi="Verdana" w:cs="Times New Roman"/>
          <w:lang w:val="es-ES"/>
        </w:rPr>
        <w:t>ii</w:t>
      </w:r>
      <w:proofErr w:type="spellEnd"/>
      <w:r w:rsidRPr="008C5A3C">
        <w:rPr>
          <w:rFonts w:ascii="Verdana" w:eastAsia="Calibri" w:hAnsi="Verdana" w:cs="Times New Roman"/>
          <w:lang w:val="es-ES"/>
        </w:rPr>
        <w:t xml:space="preserve">) salud, </w:t>
      </w:r>
      <w:proofErr w:type="spellStart"/>
      <w:r w:rsidRPr="008C5A3C">
        <w:rPr>
          <w:rFonts w:ascii="Verdana" w:eastAsia="Calibri" w:hAnsi="Verdana" w:cs="Times New Roman"/>
          <w:lang w:val="es-ES"/>
        </w:rPr>
        <w:t>iii</w:t>
      </w:r>
      <w:proofErr w:type="spellEnd"/>
      <w:r w:rsidRPr="008C5A3C">
        <w:rPr>
          <w:rFonts w:ascii="Verdana" w:eastAsia="Calibri" w:hAnsi="Verdana" w:cs="Times New Roman"/>
          <w:lang w:val="es-ES"/>
        </w:rPr>
        <w:t xml:space="preserve">) cultura, recreación y deporte, </w:t>
      </w:r>
      <w:proofErr w:type="spellStart"/>
      <w:r w:rsidRPr="008C5A3C">
        <w:rPr>
          <w:rFonts w:ascii="Verdana" w:eastAsia="Calibri" w:hAnsi="Verdana" w:cs="Times New Roman"/>
          <w:lang w:val="es-ES"/>
        </w:rPr>
        <w:t>iv</w:t>
      </w:r>
      <w:proofErr w:type="spellEnd"/>
      <w:r w:rsidRPr="008C5A3C">
        <w:rPr>
          <w:rFonts w:ascii="Verdana" w:eastAsia="Calibri" w:hAnsi="Verdana" w:cs="Times New Roman"/>
          <w:lang w:val="es-ES"/>
        </w:rPr>
        <w:t>) vivienda y v) institucional.</w:t>
      </w:r>
    </w:p>
    <w:p w14:paraId="6447C197" w14:textId="77777777" w:rsidR="008C5A3C" w:rsidRPr="008C5A3C" w:rsidRDefault="008C5A3C" w:rsidP="008C5A3C">
      <w:pPr>
        <w:spacing w:after="120" w:line="276" w:lineRule="auto"/>
        <w:ind w:firstLine="708"/>
        <w:jc w:val="both"/>
        <w:rPr>
          <w:rFonts w:ascii="Verdana" w:eastAsia="Aptos" w:hAnsi="Verdana" w:cs="Aptos"/>
          <w:kern w:val="2"/>
          <w14:ligatures w14:val="standardContextual"/>
        </w:rPr>
      </w:pPr>
      <w:r w:rsidRPr="008C5A3C">
        <w:rPr>
          <w:rFonts w:ascii="Verdana" w:eastAsia="Aptos" w:hAnsi="Verdana" w:cs="Aptos"/>
          <w:kern w:val="2"/>
          <w14:ligatures w14:val="standardContextual"/>
        </w:rPr>
        <w:t>Con el propósito de establecer si el proyecto por el que usted indaga se enmarca en las actividades de obra contenidas en documentos tipo expedidos por esta Agencia, le informamos que, la “Matriz 1 – Experiencia” del sector transporte para el tipo de obra “</w:t>
      </w:r>
      <w:r w:rsidRPr="008C5A3C">
        <w:rPr>
          <w:rFonts w:ascii="Verdana" w:eastAsia="Calibri" w:hAnsi="Verdana" w:cs="Times New Roman"/>
          <w:lang w:val="es-ES"/>
        </w:rPr>
        <w:t>6) obras de infraestructura vial urbana”</w:t>
      </w:r>
      <w:r w:rsidRPr="008C5A3C">
        <w:rPr>
          <w:rFonts w:ascii="Verdana" w:eastAsia="Aptos" w:hAnsi="Verdana" w:cs="Aptos"/>
          <w:kern w:val="2"/>
          <w14:ligatures w14:val="standardContextual"/>
        </w:rPr>
        <w:t>, incluye la actividad “</w:t>
      </w:r>
      <w:r w:rsidRPr="008C5A3C">
        <w:rPr>
          <w:rFonts w:ascii="Verdana" w:eastAsia="Aptos" w:hAnsi="Verdana" w:cs="Aptos"/>
          <w:i/>
          <w:iCs/>
          <w:kern w:val="2"/>
          <w14:ligatures w14:val="standardContextual"/>
        </w:rPr>
        <w:t xml:space="preserve">6.24. Proyectos de limpieza, construcción de cerramiento y mantenimiento de predios para intervención en vías, parques, espacio público asociado a la infraestructura de transporte”, </w:t>
      </w:r>
      <w:r w:rsidRPr="008C5A3C">
        <w:rPr>
          <w:rFonts w:ascii="Verdana" w:eastAsia="Aptos" w:hAnsi="Verdana" w:cs="Aptos"/>
          <w:kern w:val="2"/>
          <w14:ligatures w14:val="standardContextual"/>
        </w:rPr>
        <w:t xml:space="preserve">en el que eventualmente, puede enmarcarse el objeto del proceso de contratación que pretende adelantar la Entidad. Sin perjuicio de lo anterior, le corresponde a la entidad evaluar de acuerdo con el alcance del proceso de selección que pretende adelantar, si en la actividad señalada o en alguna otra se puede enmarcar el proceso de selección. </w:t>
      </w:r>
    </w:p>
    <w:p w14:paraId="2FDAAD80" w14:textId="77777777" w:rsidR="008C5A3C" w:rsidRPr="008C5A3C" w:rsidRDefault="008C5A3C" w:rsidP="008C5A3C">
      <w:pPr>
        <w:spacing w:after="120" w:line="276" w:lineRule="auto"/>
        <w:ind w:firstLine="708"/>
        <w:jc w:val="both"/>
        <w:rPr>
          <w:rFonts w:ascii="Verdana" w:eastAsia="Aptos" w:hAnsi="Verdana" w:cs="Aptos"/>
          <w:kern w:val="2"/>
          <w14:ligatures w14:val="standardContextual"/>
        </w:rPr>
      </w:pPr>
      <w:r w:rsidRPr="008C5A3C">
        <w:rPr>
          <w:rFonts w:ascii="Verdana" w:eastAsia="Aptos" w:hAnsi="Verdana" w:cs="Aptos"/>
          <w:kern w:val="2"/>
          <w14:ligatures w14:val="standardContextual"/>
        </w:rPr>
        <w:lastRenderedPageBreak/>
        <w:t>Asimismo, le indicamos que los documentos base de los documentos tipo de los sectores de infraestructura de transporte, agua potable y saneamiento básico, y social, incluyen en el numeral 3.5.2, “Características de los contratos presentados para acreditar la experiencia exigida”, la opción de combinación de experiencia. Esta constituye una herramienta que permite a las entidades combinar experiencias de actividades del mismo sector o de otros sectores.</w:t>
      </w:r>
    </w:p>
    <w:p w14:paraId="733ED3B3" w14:textId="77777777" w:rsidR="008C5A3C" w:rsidRPr="008C5A3C" w:rsidRDefault="008C5A3C" w:rsidP="008C5A3C">
      <w:pPr>
        <w:spacing w:after="120" w:line="276" w:lineRule="auto"/>
        <w:ind w:firstLine="708"/>
        <w:jc w:val="both"/>
        <w:rPr>
          <w:rFonts w:ascii="Verdana" w:eastAsia="Aptos" w:hAnsi="Verdana" w:cs="Aptos"/>
          <w:kern w:val="2"/>
          <w14:ligatures w14:val="standardContextual"/>
        </w:rPr>
      </w:pPr>
      <w:r w:rsidRPr="008C5A3C">
        <w:rPr>
          <w:rFonts w:ascii="Verdana" w:eastAsia="Aptos" w:hAnsi="Verdana" w:cs="Aptos"/>
          <w:kern w:val="2"/>
          <w14:ligatures w14:val="standardContextual"/>
        </w:rPr>
        <w:t>A su vez, el literal H del numeral mencionado establece la opción de incluir bienes adicionales a la obra pública. De esta forma, las entidades pueden incorporar experiencia del Clasificador de las Naciones Unidas cuando, de manera excepcional, se requiera acreditar una experiencia que no esté contenida en ninguno de los documentos tipo expedidos por la Agencia.</w:t>
      </w:r>
    </w:p>
    <w:p w14:paraId="4C4C6FD0" w14:textId="77777777" w:rsidR="008C5A3C" w:rsidRPr="008C5A3C" w:rsidRDefault="008C5A3C" w:rsidP="008C5A3C">
      <w:pPr>
        <w:spacing w:after="120" w:line="276" w:lineRule="auto"/>
        <w:ind w:firstLine="708"/>
        <w:jc w:val="both"/>
        <w:rPr>
          <w:rFonts w:ascii="Verdana" w:eastAsia="Times New Roman" w:hAnsi="Verdana" w:cs="Arial"/>
          <w:kern w:val="2"/>
          <w:shd w:val="clear" w:color="auto" w:fill="FFFFFF"/>
          <w:lang w:val="es-ES_tradnl" w:eastAsia="es-ES_tradnl"/>
          <w14:ligatures w14:val="standardContextual"/>
        </w:rPr>
      </w:pPr>
      <w:r w:rsidRPr="008C5A3C">
        <w:rPr>
          <w:rFonts w:ascii="Verdana" w:eastAsia="Times New Roman" w:hAnsi="Verdana" w:cs="Arial"/>
          <w:kern w:val="2"/>
          <w:shd w:val="clear" w:color="auto" w:fill="FFFFFF"/>
          <w:lang w:val="es-ES_tradnl" w:eastAsia="es-ES_tradnl"/>
          <w14:ligatures w14:val="standardContextua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 </w:t>
      </w:r>
    </w:p>
    <w:p w14:paraId="2B6A6D15" w14:textId="77777777" w:rsidR="008C5A3C" w:rsidRPr="008C5A3C" w:rsidRDefault="008C5A3C" w:rsidP="008C5A3C">
      <w:pPr>
        <w:snapToGrid w:val="0"/>
        <w:spacing w:after="120" w:line="276" w:lineRule="auto"/>
        <w:ind w:firstLine="708"/>
        <w:jc w:val="both"/>
        <w:rPr>
          <w:rFonts w:ascii="Verdana" w:eastAsia="Times New Roman" w:hAnsi="Verdana" w:cs="Arial"/>
          <w:kern w:val="2"/>
          <w:shd w:val="clear" w:color="auto" w:fill="FFFFFF"/>
          <w:lang w:val="es-ES" w:eastAsia="es-ES"/>
          <w14:ligatures w14:val="standardContextual"/>
        </w:rPr>
      </w:pPr>
      <w:r w:rsidRPr="008C5A3C">
        <w:rPr>
          <w:rFonts w:ascii="Verdana" w:eastAsia="Times New Roman" w:hAnsi="Verdana" w:cs="Arial"/>
          <w:kern w:val="2"/>
          <w:shd w:val="clear" w:color="auto" w:fill="FFFFFF"/>
          <w:lang w:val="es-ES" w:eastAsia="es-ES"/>
          <w14:ligatures w14:val="standardContextual"/>
        </w:rPr>
        <w:t xml:space="preserve">Si la Entidad determina que no está obligada a aplicar de manera forzosa los documentos tipo para desarrollar los procesos de contratación —ya sea porque, normativamente, no le resultan aplicables o porque el proceso que se pretende adelantar no </w:t>
      </w:r>
      <w:proofErr w:type="gramStart"/>
      <w:r w:rsidRPr="008C5A3C">
        <w:rPr>
          <w:rFonts w:ascii="Verdana" w:eastAsia="Times New Roman" w:hAnsi="Verdana" w:cs="Arial"/>
          <w:kern w:val="2"/>
          <w:shd w:val="clear" w:color="auto" w:fill="FFFFFF"/>
          <w:lang w:val="es-ES" w:eastAsia="es-ES"/>
          <w14:ligatures w14:val="standardContextual"/>
        </w:rPr>
        <w:t>se enmarca dentro de</w:t>
      </w:r>
      <w:proofErr w:type="gramEnd"/>
      <w:r w:rsidRPr="008C5A3C">
        <w:rPr>
          <w:rFonts w:ascii="Verdana" w:eastAsia="Times New Roman" w:hAnsi="Verdana" w:cs="Arial"/>
          <w:kern w:val="2"/>
          <w:shd w:val="clear" w:color="auto" w:fill="FFFFFF"/>
          <w:lang w:val="es-ES" w:eastAsia="es-ES"/>
          <w14:ligatures w14:val="standardContextual"/>
        </w:rPr>
        <w:t xml:space="preserve"> las modalidades de selección y tipos de obra estandarizados en las respectivas matrices de experiencia—, en tales escenarios dichos documentos carecen de fuerza obligatoria. En consecuencia, la Entidad deberá estructurar sus procesos, atendiendo la normativa vigente en materia de compras y contratación pública. No </w:t>
      </w:r>
      <w:proofErr w:type="gramStart"/>
      <w:r w:rsidRPr="008C5A3C">
        <w:rPr>
          <w:rFonts w:ascii="Verdana" w:eastAsia="Times New Roman" w:hAnsi="Verdana" w:cs="Arial"/>
          <w:kern w:val="2"/>
          <w:shd w:val="clear" w:color="auto" w:fill="FFFFFF"/>
          <w:lang w:val="es-ES" w:eastAsia="es-ES"/>
          <w14:ligatures w14:val="standardContextual"/>
        </w:rPr>
        <w:t>obstante</w:t>
      </w:r>
      <w:proofErr w:type="gramEnd"/>
      <w:r w:rsidRPr="008C5A3C">
        <w:rPr>
          <w:rFonts w:ascii="Verdana" w:eastAsia="Times New Roman" w:hAnsi="Verdana" w:cs="Arial"/>
          <w:kern w:val="2"/>
          <w:shd w:val="clear" w:color="auto" w:fill="FFFFFF"/>
          <w:lang w:val="es-ES" w:eastAsia="es-ES"/>
          <w14:ligatures w14:val="standardContextual"/>
        </w:rPr>
        <w:t xml:space="preserve"> lo anterior, las Entidades pueden observar los documentos tipo de forma facultativa, como una estrategia para adoptar e incorporar políticas de buenas prácticas contractuales, realizando en caso de que sea necesario las adaptaciones que consideren pertinentes.</w:t>
      </w:r>
    </w:p>
    <w:bookmarkEnd w:id="1"/>
    <w:p w14:paraId="2CE79566" w14:textId="77777777" w:rsidR="008C5A3C" w:rsidRPr="008C5A3C" w:rsidRDefault="008C5A3C" w:rsidP="008C5A3C">
      <w:pPr>
        <w:spacing w:after="120" w:line="276" w:lineRule="auto"/>
        <w:ind w:firstLine="708"/>
        <w:jc w:val="both"/>
        <w:rPr>
          <w:rFonts w:ascii="Verdana" w:eastAsia="Calibri" w:hAnsi="Verdana" w:cs="Arial"/>
        </w:rPr>
      </w:pPr>
      <w:r w:rsidRPr="008C5A3C">
        <w:rPr>
          <w:rFonts w:ascii="Verdana" w:eastAsia="Times New Roman" w:hAnsi="Verdana" w:cs="Arial"/>
          <w:kern w:val="2"/>
          <w:shd w:val="clear" w:color="auto" w:fill="FFFFFF"/>
          <w:lang w:val="es-ES_tradnl" w:eastAsia="es-ES_tradnl"/>
          <w14:ligatures w14:val="standardContextual"/>
        </w:rPr>
        <w:t xml:space="preserve">Finalmente le informamos que, </w:t>
      </w:r>
      <w:r w:rsidRPr="008C5A3C">
        <w:rPr>
          <w:rFonts w:ascii="Verdana" w:eastAsia="Calibri" w:hAnsi="Verdana" w:cs="Times New Roman"/>
          <w:lang w:val="es-ES"/>
        </w:rPr>
        <w:t xml:space="preserve">el análisis requerido para resolver problemas específicos en torno a la contratación de las entidades estatales debe ser realizado por quienes tengan interés en ello. De esta manera, las afirmaciones aquí realizadas no pueden ser interpretadas como juicios de valor </w:t>
      </w:r>
      <w:r w:rsidRPr="008C5A3C">
        <w:rPr>
          <w:rFonts w:ascii="Verdana" w:eastAsia="Calibri" w:hAnsi="Verdana" w:cs="Times New Roman"/>
          <w:lang w:val="es-ES"/>
        </w:rPr>
        <w:lastRenderedPageBreak/>
        <w:t>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8C5A3C">
        <w:rPr>
          <w:rFonts w:ascii="Verdana" w:eastAsia="Aptos" w:hAnsi="Verdana" w:cs="Arial"/>
          <w:color w:val="000000"/>
          <w:kern w:val="2"/>
          <w14:ligatures w14:val="standardContextual"/>
        </w:rPr>
        <w:t>.</w:t>
      </w:r>
    </w:p>
    <w:p w14:paraId="4B5B2A91" w14:textId="77777777" w:rsidR="008C5A3C" w:rsidRPr="008C5A3C" w:rsidRDefault="008C5A3C" w:rsidP="008C5A3C">
      <w:pPr>
        <w:spacing w:after="0" w:line="276" w:lineRule="auto"/>
        <w:ind w:firstLine="708"/>
        <w:jc w:val="both"/>
        <w:rPr>
          <w:rFonts w:ascii="Century Gothic" w:eastAsia="Times New Roman" w:hAnsi="Century Gothic" w:cs="Times New Roman"/>
          <w:color w:val="000000"/>
          <w:lang w:eastAsia="es-MX"/>
        </w:rPr>
      </w:pPr>
      <w:r w:rsidRPr="008C5A3C">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37CE594" w14:textId="77777777" w:rsidR="008C5A3C" w:rsidRPr="008C5A3C" w:rsidRDefault="008C5A3C" w:rsidP="008C5A3C">
      <w:pPr>
        <w:spacing w:after="0" w:line="276" w:lineRule="auto"/>
        <w:jc w:val="both"/>
        <w:rPr>
          <w:rFonts w:ascii="Verdana" w:eastAsia="Calibri" w:hAnsi="Verdana" w:cs="Times New Roman"/>
        </w:rPr>
      </w:pPr>
    </w:p>
    <w:p w14:paraId="69801DA1" w14:textId="77777777" w:rsidR="008C5A3C" w:rsidRPr="008C5A3C" w:rsidRDefault="008C5A3C" w:rsidP="008C5A3C">
      <w:pPr>
        <w:tabs>
          <w:tab w:val="left" w:pos="142"/>
          <w:tab w:val="left" w:pos="284"/>
        </w:tabs>
        <w:spacing w:after="0" w:line="276" w:lineRule="auto"/>
        <w:jc w:val="both"/>
        <w:rPr>
          <w:rFonts w:ascii="Verdana" w:eastAsia="Century Gothic" w:hAnsi="Verdana" w:cs="Century Gothic"/>
          <w:b/>
          <w:bCs/>
          <w:lang w:val="es-ES_tradnl"/>
        </w:rPr>
      </w:pPr>
      <w:r w:rsidRPr="008C5A3C">
        <w:rPr>
          <w:rFonts w:ascii="Verdana" w:eastAsia="Century Gothic" w:hAnsi="Verdana" w:cs="Century Gothic"/>
          <w:b/>
          <w:bCs/>
          <w:lang w:val="es-ES_tradnl"/>
        </w:rPr>
        <w:t>4. Referencias normativas, jurisprudenciales y otras fuentes:</w:t>
      </w:r>
    </w:p>
    <w:p w14:paraId="72FD9289" w14:textId="77777777" w:rsidR="008C5A3C" w:rsidRPr="008C5A3C" w:rsidRDefault="008C5A3C" w:rsidP="008C5A3C">
      <w:pPr>
        <w:spacing w:after="0"/>
        <w:ind w:left="-15840"/>
        <w:jc w:val="both"/>
        <w:rPr>
          <w:rFonts w:ascii="Verdana" w:eastAsia="Calibri" w:hAnsi="Verdana" w:cs="Arial"/>
          <w:b/>
          <w:bCs/>
        </w:rPr>
      </w:pPr>
      <w:r w:rsidRPr="008C5A3C">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C5A3C" w:rsidRPr="008C5A3C" w14:paraId="01FB980F" w14:textId="77777777" w:rsidTr="00391E94">
        <w:trPr>
          <w:trHeight w:val="870"/>
        </w:trPr>
        <w:tc>
          <w:tcPr>
            <w:tcW w:w="8647" w:type="dxa"/>
            <w:tcBorders>
              <w:top w:val="dotted" w:sz="4" w:space="0" w:color="auto"/>
              <w:left w:val="dotted" w:sz="4" w:space="0" w:color="auto"/>
              <w:bottom w:val="dotted" w:sz="4" w:space="0" w:color="auto"/>
              <w:right w:val="dotted" w:sz="4" w:space="0" w:color="auto"/>
            </w:tcBorders>
          </w:tcPr>
          <w:p w14:paraId="04EB84F0" w14:textId="77777777" w:rsidR="008C5A3C" w:rsidRPr="008C5A3C" w:rsidRDefault="008C5A3C" w:rsidP="008C5A3C">
            <w:pPr>
              <w:ind w:left="720"/>
              <w:contextualSpacing/>
              <w:jc w:val="both"/>
              <w:rPr>
                <w:rFonts w:ascii="Verdana" w:eastAsia="Calibri" w:hAnsi="Verdana" w:cs="Arial"/>
                <w:bCs/>
              </w:rPr>
            </w:pPr>
          </w:p>
          <w:p w14:paraId="5A57A5B5" w14:textId="77777777" w:rsidR="008C5A3C" w:rsidRPr="008C5A3C" w:rsidRDefault="008C5A3C" w:rsidP="008C5A3C">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8C5A3C">
              <w:rPr>
                <w:rFonts w:ascii="Verdana" w:eastAsia="Calibri" w:hAnsi="Verdana" w:cs="Arial"/>
                <w:lang w:val="es-ES_tradnl"/>
              </w:rPr>
              <w:t xml:space="preserve">Ley 2022 de 2020, artículo 1. </w:t>
            </w:r>
          </w:p>
          <w:p w14:paraId="6F7CE545" w14:textId="77777777" w:rsidR="008C5A3C" w:rsidRPr="008C5A3C" w:rsidRDefault="008C5A3C" w:rsidP="008C5A3C">
            <w:pPr>
              <w:widowControl w:val="0"/>
              <w:numPr>
                <w:ilvl w:val="0"/>
                <w:numId w:val="16"/>
              </w:numPr>
              <w:autoSpaceDE w:val="0"/>
              <w:autoSpaceDN w:val="0"/>
              <w:spacing w:line="276" w:lineRule="auto"/>
              <w:jc w:val="both"/>
              <w:rPr>
                <w:rFonts w:ascii="Verdana" w:eastAsia="Calibri" w:hAnsi="Verdana" w:cs="Arial"/>
              </w:rPr>
            </w:pPr>
            <w:r w:rsidRPr="008C5A3C">
              <w:rPr>
                <w:rFonts w:ascii="Verdana" w:eastAsia="Calibri" w:hAnsi="Verdana" w:cs="Arial"/>
              </w:rPr>
              <w:t>Ley 1150 de 2007, artículo 2.</w:t>
            </w:r>
          </w:p>
          <w:p w14:paraId="25748413" w14:textId="77777777" w:rsidR="008C5A3C" w:rsidRPr="008C5A3C" w:rsidRDefault="008C5A3C" w:rsidP="008C5A3C">
            <w:pPr>
              <w:widowControl w:val="0"/>
              <w:numPr>
                <w:ilvl w:val="0"/>
                <w:numId w:val="16"/>
              </w:numPr>
              <w:autoSpaceDE w:val="0"/>
              <w:autoSpaceDN w:val="0"/>
              <w:spacing w:line="276" w:lineRule="auto"/>
              <w:contextualSpacing/>
              <w:jc w:val="both"/>
              <w:rPr>
                <w:rFonts w:ascii="Verdana" w:eastAsia="Calibri" w:hAnsi="Verdana" w:cs="Arial"/>
              </w:rPr>
            </w:pPr>
            <w:r w:rsidRPr="008C5A3C">
              <w:rPr>
                <w:rFonts w:ascii="Verdana" w:eastAsia="Calibri" w:hAnsi="Verdana" w:cs="Arial"/>
                <w:lang w:val="es-ES_tradnl"/>
              </w:rPr>
              <w:t xml:space="preserve">Documentos Tipo. Disponibles en: </w:t>
            </w:r>
            <w:hyperlink r:id="rId11" w:history="1">
              <w:r w:rsidRPr="008C5A3C">
                <w:rPr>
                  <w:rFonts w:ascii="Verdana" w:eastAsia="Calibri" w:hAnsi="Verdana" w:cs="Arial"/>
                  <w:color w:val="0000FF"/>
                  <w:u w:val="single"/>
                  <w:lang w:val="es-ES_tradnl"/>
                </w:rPr>
                <w:t>https://www.colombiacompra.gov.co/documentos-tipo/documentos-tipo</w:t>
              </w:r>
            </w:hyperlink>
            <w:r w:rsidRPr="008C5A3C">
              <w:rPr>
                <w:rFonts w:ascii="Verdana" w:eastAsia="Calibri" w:hAnsi="Verdana" w:cs="Arial"/>
                <w:lang w:val="es-ES_tradnl"/>
              </w:rPr>
              <w:t>.</w:t>
            </w:r>
          </w:p>
        </w:tc>
      </w:tr>
    </w:tbl>
    <w:p w14:paraId="2C05320B" w14:textId="77777777" w:rsidR="008C5A3C" w:rsidRPr="008C5A3C" w:rsidRDefault="008C5A3C" w:rsidP="008C5A3C">
      <w:pPr>
        <w:tabs>
          <w:tab w:val="left" w:pos="142"/>
          <w:tab w:val="left" w:pos="284"/>
        </w:tabs>
        <w:spacing w:after="0" w:line="276" w:lineRule="auto"/>
        <w:jc w:val="both"/>
        <w:rPr>
          <w:rFonts w:ascii="Verdana" w:eastAsia="Calibri" w:hAnsi="Verdana" w:cs="Arial"/>
        </w:rPr>
      </w:pPr>
    </w:p>
    <w:p w14:paraId="5E5DAB7C" w14:textId="77777777" w:rsidR="008C5A3C" w:rsidRPr="008C5A3C" w:rsidRDefault="008C5A3C" w:rsidP="008C5A3C">
      <w:pPr>
        <w:tabs>
          <w:tab w:val="left" w:pos="142"/>
          <w:tab w:val="left" w:pos="284"/>
        </w:tabs>
        <w:spacing w:after="0" w:line="276" w:lineRule="auto"/>
        <w:jc w:val="both"/>
        <w:rPr>
          <w:rFonts w:ascii="Verdana" w:eastAsia="Century Gothic" w:hAnsi="Verdana" w:cs="Century Gothic"/>
          <w:b/>
          <w:bCs/>
          <w:lang w:val="es-ES"/>
        </w:rPr>
      </w:pPr>
      <w:r w:rsidRPr="008C5A3C">
        <w:rPr>
          <w:rFonts w:ascii="Verdana" w:eastAsia="Calibri" w:hAnsi="Verdana" w:cs="Arial"/>
          <w:b/>
          <w:bCs/>
        </w:rPr>
        <w:t>5</w:t>
      </w:r>
      <w:r w:rsidRPr="008C5A3C">
        <w:rPr>
          <w:rFonts w:ascii="Verdana" w:eastAsia="Calibri" w:hAnsi="Verdana" w:cs="Arial"/>
        </w:rPr>
        <w:t>.</w:t>
      </w:r>
      <w:r w:rsidRPr="008C5A3C">
        <w:rPr>
          <w:rFonts w:ascii="Verdana" w:eastAsia="Century Gothic" w:hAnsi="Verdana" w:cs="Century Gothic"/>
          <w:b/>
          <w:bCs/>
          <w:lang w:val="es-ES"/>
        </w:rPr>
        <w:t>Doctrina de la Agencia Nacional de Contratación Pública:</w:t>
      </w:r>
    </w:p>
    <w:p w14:paraId="4A889C92" w14:textId="77777777" w:rsidR="008C5A3C" w:rsidRPr="008C5A3C" w:rsidRDefault="008C5A3C" w:rsidP="008C5A3C">
      <w:pPr>
        <w:widowControl w:val="0"/>
        <w:autoSpaceDE w:val="0"/>
        <w:autoSpaceDN w:val="0"/>
        <w:spacing w:after="0" w:line="276" w:lineRule="auto"/>
        <w:jc w:val="both"/>
        <w:rPr>
          <w:rFonts w:ascii="Verdana" w:eastAsia="Calibri" w:hAnsi="Verdana" w:cs="Arial"/>
        </w:rPr>
      </w:pPr>
    </w:p>
    <w:p w14:paraId="75EB75C9" w14:textId="77777777" w:rsidR="008C5A3C" w:rsidRPr="008C5A3C" w:rsidRDefault="008C5A3C" w:rsidP="008C5A3C">
      <w:pPr>
        <w:spacing w:after="0" w:line="276" w:lineRule="auto"/>
        <w:jc w:val="both"/>
        <w:rPr>
          <w:rFonts w:ascii="Verdana" w:eastAsia="Calibri" w:hAnsi="Verdana" w:cs="Arial"/>
          <w:lang w:val="es-ES"/>
        </w:rPr>
      </w:pPr>
      <w:r w:rsidRPr="008C5A3C">
        <w:rPr>
          <w:rFonts w:ascii="Verdana" w:eastAsia="Calibri" w:hAnsi="Verdana" w:cs="Arial"/>
          <w:shd w:val="clear" w:color="auto" w:fill="FFFFFF"/>
          <w:lang w:val="es-ES"/>
        </w:rPr>
        <w:t>La Agencia Nacional de Contratación Pública – Colombia Compra Eficiente se pronunció</w:t>
      </w:r>
      <w:r w:rsidRPr="008C5A3C">
        <w:rPr>
          <w:rFonts w:ascii="Verdana" w:eastAsia="Calibri" w:hAnsi="Verdana" w:cs="Times New Roman"/>
        </w:rPr>
        <w:t xml:space="preserve"> </w:t>
      </w:r>
      <w:r w:rsidRPr="008C5A3C">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8C5A3C">
        <w:rPr>
          <w:rFonts w:ascii="Verdana" w:eastAsia="Calibri" w:hAnsi="Verdana" w:cs="Arial"/>
          <w:shd w:val="clear" w:color="auto" w:fill="FFFFFF"/>
          <w:lang w:val="es-ES"/>
        </w:rPr>
        <w:tab/>
        <w:t xml:space="preserve">C-636 del 1 de noviembre de 2024, C-777 del 9 de diciembre de 2024, C-971 del 21 de enero de 2025, C-1154 del 15 de septiembre de 2025 y C-1399 del 6 de noviembre de 2025, entre otros. </w:t>
      </w:r>
    </w:p>
    <w:p w14:paraId="65129DAC" w14:textId="77777777" w:rsidR="008C5A3C" w:rsidRPr="008C5A3C" w:rsidRDefault="008C5A3C" w:rsidP="008C5A3C">
      <w:pPr>
        <w:spacing w:after="0" w:line="276" w:lineRule="auto"/>
        <w:jc w:val="both"/>
        <w:rPr>
          <w:rFonts w:ascii="Verdana" w:eastAsia="Times New Roman" w:hAnsi="Verdana" w:cs="Arial"/>
          <w:shd w:val="clear" w:color="auto" w:fill="FFFFFF"/>
          <w:lang w:val="es-ES"/>
        </w:rPr>
      </w:pPr>
    </w:p>
    <w:p w14:paraId="1637C0DB" w14:textId="77777777" w:rsidR="008C5A3C" w:rsidRPr="008C5A3C" w:rsidRDefault="008C5A3C" w:rsidP="008C5A3C">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8C5A3C">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8C5A3C">
        <w:rPr>
          <w:rFonts w:ascii="Verdana" w:eastAsia="Aptos" w:hAnsi="Verdana" w:cs="Times New Roman"/>
          <w:kern w:val="2"/>
          <w14:ligatures w14:val="standardContextual"/>
        </w:rPr>
        <w:t xml:space="preserve"> </w:t>
      </w:r>
      <w:r w:rsidRPr="008C5A3C">
        <w:rPr>
          <w:rFonts w:ascii="Verdana" w:eastAsia="Calibri" w:hAnsi="Verdana" w:cs="Arial"/>
          <w:kern w:val="2"/>
          <w:shd w:val="clear" w:color="auto" w:fill="FFFFFF"/>
          <w:lang w:val="es-ES_tradnl"/>
          <w14:ligatures w14:val="standardContextual"/>
        </w:rPr>
        <w:t>pronunció</w:t>
      </w:r>
      <w:r w:rsidRPr="008C5A3C">
        <w:rPr>
          <w:rFonts w:ascii="Verdana" w:eastAsia="Aptos" w:hAnsi="Verdana" w:cs="Times New Roman"/>
          <w:kern w:val="2"/>
          <w:lang w:val="es-ES_tradnl"/>
          <w14:ligatures w14:val="standardContextual"/>
        </w:rPr>
        <w:t xml:space="preserve"> </w:t>
      </w:r>
      <w:r w:rsidRPr="008C5A3C">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w:t>
      </w:r>
      <w:r w:rsidRPr="008C5A3C">
        <w:rPr>
          <w:rFonts w:ascii="Verdana" w:eastAsia="Calibri" w:hAnsi="Verdana" w:cs="Arial"/>
          <w:shd w:val="clear" w:color="auto" w:fill="FFFFFF"/>
          <w:lang w:val="es-ES"/>
        </w:rPr>
        <w:t xml:space="preserve">C-854 del 4 de agosto de 2025 y C-1154 del 15 de septiembre de 2025, </w:t>
      </w:r>
      <w:r w:rsidRPr="008C5A3C">
        <w:rPr>
          <w:rFonts w:ascii="Verdana" w:eastAsia="Calibri" w:hAnsi="Verdana" w:cs="Arial"/>
          <w:kern w:val="2"/>
          <w:shd w:val="clear" w:color="auto" w:fill="FFFFFF"/>
          <w:lang w:val="es-ES"/>
          <w14:ligatures w14:val="standardContextual"/>
        </w:rPr>
        <w:t>entre otros</w:t>
      </w:r>
      <w:r w:rsidRPr="008C5A3C">
        <w:rPr>
          <w:rFonts w:ascii="Verdana" w:eastAsia="Calibri" w:hAnsi="Verdana" w:cs="Arial"/>
          <w:kern w:val="2"/>
          <w:shd w:val="clear" w:color="auto" w:fill="FFFFFF"/>
          <w:lang w:val="es-ES_tradnl"/>
          <w14:ligatures w14:val="standardContextual"/>
        </w:rPr>
        <w:t xml:space="preserve">. </w:t>
      </w:r>
      <w:r w:rsidRPr="008C5A3C">
        <w:rPr>
          <w:rFonts w:ascii="Verdana" w:eastAsia="Aptos" w:hAnsi="Verdana" w:cs="Times New Roman"/>
          <w:kern w:val="2"/>
          <w:lang w:val="es-ES_tradnl"/>
          <w14:ligatures w14:val="standardContextual"/>
        </w:rPr>
        <w:t xml:space="preserve"> </w:t>
      </w:r>
    </w:p>
    <w:p w14:paraId="73EE3E37" w14:textId="77777777" w:rsidR="008C5A3C" w:rsidRPr="008C5A3C" w:rsidRDefault="008C5A3C" w:rsidP="008C5A3C">
      <w:pPr>
        <w:widowControl w:val="0"/>
        <w:autoSpaceDE w:val="0"/>
        <w:autoSpaceDN w:val="0"/>
        <w:spacing w:after="0" w:line="276" w:lineRule="auto"/>
        <w:jc w:val="both"/>
        <w:rPr>
          <w:rFonts w:ascii="Verdana" w:eastAsia="Times New Roman" w:hAnsi="Verdana" w:cs="Arial"/>
          <w:shd w:val="clear" w:color="auto" w:fill="FFFFFF"/>
          <w:lang w:val="es-ES"/>
        </w:rPr>
      </w:pPr>
    </w:p>
    <w:p w14:paraId="15D5A7B7" w14:textId="77777777" w:rsidR="008C5A3C" w:rsidRPr="008C5A3C" w:rsidRDefault="008C5A3C" w:rsidP="008C5A3C">
      <w:pPr>
        <w:widowControl w:val="0"/>
        <w:autoSpaceDE w:val="0"/>
        <w:autoSpaceDN w:val="0"/>
        <w:spacing w:after="0" w:line="276" w:lineRule="auto"/>
        <w:jc w:val="both"/>
        <w:rPr>
          <w:rFonts w:ascii="Verdana" w:eastAsia="Times New Roman" w:hAnsi="Verdana" w:cs="Arial"/>
          <w:shd w:val="clear" w:color="auto" w:fill="FFFFFF"/>
          <w:lang w:val="es-ES"/>
        </w:rPr>
      </w:pPr>
      <w:r w:rsidRPr="008C5A3C">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8C5A3C">
          <w:rPr>
            <w:rFonts w:ascii="Verdana" w:eastAsia="Calibri" w:hAnsi="Verdana" w:cs="Arial"/>
            <w:color w:val="0000FF"/>
            <w:kern w:val="2"/>
            <w:u w:val="single"/>
            <w:shd w:val="clear" w:color="auto" w:fill="FFFFFF"/>
            <w14:ligatures w14:val="standardContextual"/>
          </w:rPr>
          <w:t>https://relatoria.colombiacompra.gov.co/</w:t>
        </w:r>
      </w:hyperlink>
      <w:r w:rsidRPr="008C5A3C">
        <w:rPr>
          <w:rFonts w:ascii="Verdana" w:eastAsia="Calibri" w:hAnsi="Verdana" w:cs="Arial"/>
          <w:color w:val="0000FF"/>
          <w:kern w:val="2"/>
          <w:u w:val="single"/>
          <w:shd w:val="clear" w:color="auto" w:fill="FFFFFF"/>
          <w14:ligatures w14:val="standardContextual"/>
        </w:rPr>
        <w:t> .</w:t>
      </w:r>
    </w:p>
    <w:p w14:paraId="408FC1F7" w14:textId="77777777" w:rsidR="008C5A3C" w:rsidRPr="008C5A3C" w:rsidRDefault="008C5A3C" w:rsidP="008C5A3C">
      <w:pPr>
        <w:spacing w:after="0" w:line="240" w:lineRule="auto"/>
        <w:jc w:val="both"/>
        <w:rPr>
          <w:rFonts w:ascii="Verdana" w:eastAsia="Calibri" w:hAnsi="Verdana" w:cs="Arial"/>
          <w:color w:val="000000"/>
          <w:shd w:val="clear" w:color="auto" w:fill="FFFFFF"/>
        </w:rPr>
      </w:pPr>
    </w:p>
    <w:bookmarkEnd w:id="0"/>
    <w:p w14:paraId="6610FA31" w14:textId="77777777" w:rsidR="008C5A3C" w:rsidRPr="008C5A3C" w:rsidRDefault="008C5A3C" w:rsidP="008C5A3C">
      <w:pPr>
        <w:spacing w:after="0" w:line="240" w:lineRule="auto"/>
        <w:jc w:val="both"/>
        <w:rPr>
          <w:rFonts w:ascii="Verdana" w:eastAsia="Calibri" w:hAnsi="Verdana" w:cs="Arial"/>
          <w:color w:val="000000"/>
          <w:kern w:val="2"/>
          <w:shd w:val="clear" w:color="auto" w:fill="FFFFFF"/>
          <w14:ligatures w14:val="standardContextual"/>
        </w:rPr>
      </w:pPr>
      <w:r w:rsidRPr="008C5A3C">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8C5A3C">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8C5A3C">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w:t>
      </w:r>
      <w:r w:rsidRPr="008C5A3C">
        <w:rPr>
          <w:rFonts w:ascii="Verdana" w:eastAsia="Calibri" w:hAnsi="Verdana" w:cs="Arial"/>
          <w:color w:val="000000"/>
          <w:kern w:val="2"/>
          <w:shd w:val="clear" w:color="auto" w:fill="FFFFFF"/>
          <w14:ligatures w14:val="standardContextual"/>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8C5A3C">
        <w:rPr>
          <w:rFonts w:ascii="Verdana" w:eastAsia="Calibri" w:hAnsi="Verdana" w:cs="Arial"/>
          <w:color w:val="000000"/>
          <w:kern w:val="2"/>
          <w:shd w:val="clear" w:color="auto" w:fill="FFFFFF"/>
          <w14:ligatures w14:val="standardContextual"/>
        </w:rPr>
        <w:t>Wayúu</w:t>
      </w:r>
      <w:proofErr w:type="spellEnd"/>
      <w:r w:rsidRPr="008C5A3C">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8C5A3C">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8C5A3C">
        <w:rPr>
          <w:rFonts w:ascii="Verdana" w:eastAsia="Calibri" w:hAnsi="Verdana" w:cs="Arial"/>
          <w:color w:val="000000"/>
          <w:kern w:val="2"/>
          <w:u w:val="single"/>
          <w:shd w:val="clear" w:color="auto" w:fill="FFFFFF"/>
          <w14:ligatures w14:val="standardContextual"/>
        </w:rPr>
        <w:t>"</w:t>
      </w:r>
    </w:p>
    <w:p w14:paraId="345B255C" w14:textId="77777777" w:rsidR="008C5A3C" w:rsidRPr="008C5A3C" w:rsidRDefault="008C5A3C" w:rsidP="008C5A3C">
      <w:pPr>
        <w:spacing w:after="0" w:line="278" w:lineRule="auto"/>
        <w:jc w:val="both"/>
        <w:rPr>
          <w:rFonts w:ascii="Verdana" w:eastAsia="Aptos" w:hAnsi="Verdana" w:cs="Times New Roman"/>
          <w:color w:val="212121"/>
          <w:kern w:val="2"/>
          <w:sz w:val="24"/>
          <w:szCs w:val="24"/>
          <w14:ligatures w14:val="standardContextual"/>
        </w:rPr>
      </w:pPr>
    </w:p>
    <w:p w14:paraId="27B5020E" w14:textId="77777777" w:rsidR="008C5A3C" w:rsidRPr="008C5A3C" w:rsidRDefault="008C5A3C" w:rsidP="008C5A3C">
      <w:pPr>
        <w:spacing w:after="0" w:line="240" w:lineRule="auto"/>
        <w:jc w:val="both"/>
        <w:rPr>
          <w:rFonts w:ascii="Verdana" w:eastAsia="Calibri" w:hAnsi="Verdana" w:cs="Times New Roman"/>
          <w:kern w:val="2"/>
          <w14:ligatures w14:val="standardContextual"/>
        </w:rPr>
      </w:pPr>
      <w:r w:rsidRPr="008C5A3C">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661C9F70" w14:textId="77777777" w:rsidR="008C5A3C" w:rsidRPr="008C5A3C" w:rsidRDefault="008C5A3C" w:rsidP="008C5A3C">
      <w:pPr>
        <w:spacing w:after="0" w:line="240" w:lineRule="auto"/>
        <w:jc w:val="both"/>
        <w:rPr>
          <w:rFonts w:ascii="Verdana" w:eastAsia="Aptos" w:hAnsi="Verdana" w:cs="Times New Roman"/>
          <w:kern w:val="2"/>
          <w14:ligatures w14:val="standardContextual"/>
        </w:rPr>
      </w:pPr>
    </w:p>
    <w:p w14:paraId="731D690C" w14:textId="77777777" w:rsidR="008C5A3C" w:rsidRPr="008C5A3C" w:rsidRDefault="008C5A3C" w:rsidP="008C5A3C">
      <w:pPr>
        <w:spacing w:after="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 xml:space="preserve">Twitter: </w:t>
      </w:r>
      <w:r w:rsidRPr="008C5A3C">
        <w:rPr>
          <w:rFonts w:ascii="Verdana" w:eastAsia="Calibri" w:hAnsi="Verdana" w:cs="Times New Roman"/>
          <w:color w:val="156082"/>
          <w:kern w:val="2"/>
          <w:u w:val="single"/>
          <w14:ligatures w14:val="standardContextual"/>
        </w:rPr>
        <w:t>@colombiacompra</w:t>
      </w:r>
      <w:r w:rsidRPr="008C5A3C">
        <w:rPr>
          <w:rFonts w:ascii="Verdana" w:eastAsia="Calibri" w:hAnsi="Verdana" w:cs="Times New Roman"/>
          <w:color w:val="156082"/>
          <w:kern w:val="2"/>
          <w14:ligatures w14:val="standardContextual"/>
        </w:rPr>
        <w:t xml:space="preserve"> </w:t>
      </w:r>
    </w:p>
    <w:p w14:paraId="4A53D7A3" w14:textId="77777777" w:rsidR="008C5A3C" w:rsidRPr="008C5A3C" w:rsidRDefault="008C5A3C" w:rsidP="008C5A3C">
      <w:pPr>
        <w:spacing w:after="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 xml:space="preserve">Facebook: </w:t>
      </w:r>
      <w:proofErr w:type="spellStart"/>
      <w:r w:rsidRPr="008C5A3C">
        <w:rPr>
          <w:rFonts w:ascii="Verdana" w:eastAsia="Calibri" w:hAnsi="Verdana" w:cs="Times New Roman"/>
          <w:color w:val="156082"/>
          <w:kern w:val="2"/>
          <w:u w:val="single"/>
          <w14:ligatures w14:val="standardContextual"/>
        </w:rPr>
        <w:t>ColombiaCompraEficiente</w:t>
      </w:r>
      <w:proofErr w:type="spellEnd"/>
    </w:p>
    <w:p w14:paraId="0D845FCF" w14:textId="77777777" w:rsidR="008C5A3C" w:rsidRPr="008C5A3C" w:rsidRDefault="008C5A3C" w:rsidP="008C5A3C">
      <w:pPr>
        <w:spacing w:after="0" w:line="240" w:lineRule="auto"/>
        <w:jc w:val="both"/>
        <w:rPr>
          <w:rFonts w:ascii="Verdana" w:eastAsia="Aptos" w:hAnsi="Verdana" w:cs="Times New Roman"/>
          <w:kern w:val="2"/>
          <w14:ligatures w14:val="standardContextual"/>
        </w:rPr>
      </w:pPr>
      <w:r w:rsidRPr="008C5A3C">
        <w:rPr>
          <w:rFonts w:ascii="Verdana" w:eastAsia="Aptos" w:hAnsi="Verdana" w:cs="Times New Roman"/>
          <w:kern w:val="2"/>
          <w14:ligatures w14:val="standardContextual"/>
        </w:rPr>
        <w:t xml:space="preserve">LinkedIn: </w:t>
      </w:r>
      <w:r w:rsidRPr="008C5A3C">
        <w:rPr>
          <w:rFonts w:ascii="Verdana" w:eastAsia="Calibri" w:hAnsi="Verdana" w:cs="Times New Roman"/>
          <w:color w:val="156082"/>
          <w:kern w:val="2"/>
          <w:u w:val="single"/>
          <w14:ligatures w14:val="standardContextual"/>
        </w:rPr>
        <w:t>Agencia Nacional de Contratación Pública - Colombia Compra Eficiente</w:t>
      </w:r>
      <w:r w:rsidRPr="008C5A3C">
        <w:rPr>
          <w:rFonts w:ascii="Verdana" w:eastAsia="Calibri" w:hAnsi="Verdana" w:cs="Times New Roman"/>
          <w:color w:val="156082"/>
          <w:kern w:val="2"/>
          <w14:ligatures w14:val="standardContextual"/>
        </w:rPr>
        <w:t xml:space="preserve"> </w:t>
      </w:r>
      <w:r w:rsidRPr="008C5A3C">
        <w:rPr>
          <w:rFonts w:ascii="Verdana" w:eastAsia="Aptos" w:hAnsi="Verdana" w:cs="Times New Roman"/>
          <w:kern w:val="2"/>
          <w14:ligatures w14:val="standardContextual"/>
        </w:rPr>
        <w:t xml:space="preserve">Instagram: </w:t>
      </w:r>
      <w:r w:rsidRPr="008C5A3C">
        <w:rPr>
          <w:rFonts w:ascii="Verdana" w:eastAsia="Calibri" w:hAnsi="Verdana" w:cs="Times New Roman"/>
          <w:color w:val="156082"/>
          <w:kern w:val="2"/>
          <w:u w:val="single"/>
          <w14:ligatures w14:val="standardContextual"/>
        </w:rPr>
        <w:t>@colombiacompraeficiente_cce</w:t>
      </w:r>
    </w:p>
    <w:p w14:paraId="2A5C48A4" w14:textId="77777777" w:rsidR="008C5A3C" w:rsidRPr="008C5A3C" w:rsidRDefault="008C5A3C" w:rsidP="008C5A3C">
      <w:pPr>
        <w:spacing w:after="0" w:line="276" w:lineRule="auto"/>
        <w:jc w:val="both"/>
        <w:rPr>
          <w:rFonts w:ascii="Verdana" w:eastAsia="Aptos" w:hAnsi="Verdana" w:cs="Times New Roman"/>
          <w:kern w:val="2"/>
          <w14:ligatures w14:val="standardContextual"/>
        </w:rPr>
      </w:pPr>
    </w:p>
    <w:p w14:paraId="315B7726" w14:textId="77777777" w:rsidR="008C5A3C" w:rsidRPr="008C5A3C" w:rsidRDefault="008C5A3C" w:rsidP="008C5A3C">
      <w:pPr>
        <w:spacing w:after="0" w:line="276" w:lineRule="auto"/>
        <w:jc w:val="both"/>
        <w:rPr>
          <w:rFonts w:ascii="Verdana" w:eastAsia="Calibri" w:hAnsi="Verdana" w:cs="Times New Roman"/>
          <w:bCs/>
          <w:kern w:val="2"/>
          <w:lang w:val="es-ES_tradnl"/>
          <w14:ligatures w14:val="standardContextual"/>
        </w:rPr>
      </w:pPr>
      <w:r w:rsidRPr="008C5A3C">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CF6AFCB" w14:textId="77777777" w:rsidR="008C5A3C" w:rsidRPr="008C5A3C" w:rsidRDefault="008C5A3C" w:rsidP="008C5A3C">
      <w:pPr>
        <w:spacing w:after="0" w:line="276" w:lineRule="auto"/>
        <w:jc w:val="both"/>
        <w:rPr>
          <w:rFonts w:ascii="Verdana" w:eastAsia="Calibri" w:hAnsi="Verdana" w:cs="Times New Roman"/>
          <w:kern w:val="2"/>
          <w14:ligatures w14:val="standardContextual"/>
        </w:rPr>
      </w:pPr>
    </w:p>
    <w:p w14:paraId="3EC2C10F" w14:textId="77777777" w:rsidR="008C5A3C" w:rsidRPr="008C5A3C" w:rsidRDefault="008C5A3C" w:rsidP="008C5A3C">
      <w:pPr>
        <w:spacing w:after="0" w:line="276" w:lineRule="auto"/>
        <w:jc w:val="both"/>
        <w:rPr>
          <w:rFonts w:ascii="Verdana" w:eastAsia="Calibri" w:hAnsi="Verdana" w:cs="Times New Roman"/>
          <w:kern w:val="2"/>
          <w14:ligatures w14:val="standardContextual"/>
        </w:rPr>
      </w:pPr>
      <w:r w:rsidRPr="008C5A3C">
        <w:rPr>
          <w:rFonts w:ascii="Verdana" w:eastAsia="Calibri" w:hAnsi="Verdana" w:cs="Times New Roman"/>
          <w:kern w:val="2"/>
          <w14:ligatures w14:val="standardContextual"/>
        </w:rPr>
        <w:t>Atentamente,</w:t>
      </w:r>
    </w:p>
    <w:p w14:paraId="3A4376FB" w14:textId="1DF69B48" w:rsidR="008C5A3C" w:rsidRPr="008C5A3C" w:rsidRDefault="00DD11F9" w:rsidP="008C5A3C">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18AFEC1B" wp14:editId="30017E35">
            <wp:extent cx="1926219" cy="826936"/>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1969598" cy="845559"/>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C5A3C" w:rsidRPr="008C5A3C" w14:paraId="334E5E65" w14:textId="77777777" w:rsidTr="00391E94">
        <w:trPr>
          <w:trHeight w:val="315"/>
        </w:trPr>
        <w:tc>
          <w:tcPr>
            <w:tcW w:w="893" w:type="dxa"/>
            <w:vAlign w:val="center"/>
            <w:hideMark/>
          </w:tcPr>
          <w:p w14:paraId="493846DC" w14:textId="77777777" w:rsidR="008C5A3C" w:rsidRPr="008C5A3C" w:rsidRDefault="008C5A3C" w:rsidP="008C5A3C">
            <w:pPr>
              <w:rPr>
                <w:rFonts w:ascii="Verdana" w:eastAsia="Calibri" w:hAnsi="Verdana" w:cs="Arial"/>
                <w:sz w:val="16"/>
                <w:szCs w:val="16"/>
                <w:lang w:eastAsia="es-ES"/>
              </w:rPr>
            </w:pPr>
            <w:r w:rsidRPr="008C5A3C">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0F03514C" w14:textId="77777777" w:rsidR="008C5A3C" w:rsidRPr="008C5A3C" w:rsidRDefault="008C5A3C" w:rsidP="008C5A3C">
            <w:pPr>
              <w:rPr>
                <w:rFonts w:ascii="Verdana" w:eastAsia="Arial" w:hAnsi="Verdana" w:cs="Arial"/>
                <w:sz w:val="16"/>
                <w:szCs w:val="16"/>
              </w:rPr>
            </w:pPr>
            <w:r w:rsidRPr="008C5A3C">
              <w:rPr>
                <w:rFonts w:ascii="Verdana" w:eastAsia="Arial" w:hAnsi="Verdana" w:cs="Arial"/>
                <w:sz w:val="16"/>
                <w:szCs w:val="16"/>
              </w:rPr>
              <w:t xml:space="preserve">Carlos Mario </w:t>
            </w:r>
            <w:proofErr w:type="spellStart"/>
            <w:r w:rsidRPr="008C5A3C">
              <w:rPr>
                <w:rFonts w:ascii="Verdana" w:eastAsia="Arial" w:hAnsi="Verdana" w:cs="Arial"/>
                <w:sz w:val="16"/>
                <w:szCs w:val="16"/>
              </w:rPr>
              <w:t>Castrillon</w:t>
            </w:r>
            <w:proofErr w:type="spellEnd"/>
            <w:r w:rsidRPr="008C5A3C">
              <w:rPr>
                <w:rFonts w:ascii="Verdana" w:eastAsia="Arial" w:hAnsi="Verdana" w:cs="Arial"/>
                <w:sz w:val="16"/>
                <w:szCs w:val="16"/>
              </w:rPr>
              <w:t xml:space="preserve"> Endo </w:t>
            </w:r>
          </w:p>
          <w:p w14:paraId="0D528F41" w14:textId="77777777" w:rsidR="008C5A3C" w:rsidRPr="008C5A3C" w:rsidRDefault="008C5A3C" w:rsidP="008C5A3C">
            <w:pPr>
              <w:rPr>
                <w:rFonts w:ascii="Verdana" w:eastAsia="Arial" w:hAnsi="Verdana" w:cs="Arial"/>
                <w:sz w:val="16"/>
                <w:szCs w:val="16"/>
              </w:rPr>
            </w:pPr>
            <w:r w:rsidRPr="008C5A3C">
              <w:rPr>
                <w:rFonts w:ascii="Verdana" w:eastAsia="Arial" w:hAnsi="Verdana" w:cs="Arial"/>
                <w:sz w:val="16"/>
                <w:szCs w:val="16"/>
              </w:rPr>
              <w:t>Contratista de la Subdirección de Gestión Contractual</w:t>
            </w:r>
          </w:p>
        </w:tc>
      </w:tr>
      <w:tr w:rsidR="008C5A3C" w:rsidRPr="008C5A3C" w14:paraId="299772C1" w14:textId="77777777" w:rsidTr="00391E94">
        <w:trPr>
          <w:trHeight w:val="330"/>
        </w:trPr>
        <w:tc>
          <w:tcPr>
            <w:tcW w:w="893" w:type="dxa"/>
            <w:vAlign w:val="center"/>
            <w:hideMark/>
          </w:tcPr>
          <w:p w14:paraId="608821DB" w14:textId="77777777" w:rsidR="008C5A3C" w:rsidRPr="008C5A3C" w:rsidRDefault="008C5A3C" w:rsidP="008C5A3C">
            <w:pPr>
              <w:rPr>
                <w:rFonts w:ascii="Verdana" w:eastAsia="Calibri" w:hAnsi="Verdana" w:cs="Arial"/>
                <w:sz w:val="16"/>
                <w:szCs w:val="16"/>
                <w:lang w:eastAsia="es-ES"/>
              </w:rPr>
            </w:pPr>
            <w:r w:rsidRPr="008C5A3C">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6187AE3E" w14:textId="77777777" w:rsidR="008C5A3C" w:rsidRPr="008C5A3C" w:rsidRDefault="008C5A3C" w:rsidP="008C5A3C">
            <w:pPr>
              <w:rPr>
                <w:rFonts w:ascii="Verdana" w:eastAsia="Times New Roman" w:hAnsi="Verdana" w:cs="Segoe UI"/>
                <w:sz w:val="16"/>
                <w:szCs w:val="16"/>
                <w:lang w:eastAsia="es-ES_tradnl"/>
              </w:rPr>
            </w:pPr>
            <w:r w:rsidRPr="008C5A3C">
              <w:rPr>
                <w:rFonts w:ascii="Verdana" w:eastAsia="Times New Roman" w:hAnsi="Verdana" w:cs="Segoe UI"/>
                <w:sz w:val="16"/>
                <w:szCs w:val="16"/>
                <w:lang w:eastAsia="es-ES_tradnl"/>
              </w:rPr>
              <w:t xml:space="preserve">Juan David Cárdenas Cabeza </w:t>
            </w:r>
          </w:p>
          <w:p w14:paraId="2D3458A4" w14:textId="77777777" w:rsidR="008C5A3C" w:rsidRPr="008C5A3C" w:rsidRDefault="008C5A3C" w:rsidP="008C5A3C">
            <w:pPr>
              <w:rPr>
                <w:rFonts w:ascii="Verdana" w:eastAsia="Times New Roman" w:hAnsi="Verdana" w:cs="Segoe UI"/>
                <w:sz w:val="16"/>
                <w:szCs w:val="16"/>
                <w:lang w:eastAsia="es-ES_tradnl"/>
              </w:rPr>
            </w:pPr>
            <w:r w:rsidRPr="008C5A3C">
              <w:rPr>
                <w:rFonts w:ascii="Verdana" w:eastAsia="Arial" w:hAnsi="Verdana" w:cs="Arial"/>
                <w:sz w:val="16"/>
                <w:szCs w:val="16"/>
              </w:rPr>
              <w:t>Contratista de la Subdirección de Gestión Contractual</w:t>
            </w:r>
          </w:p>
          <w:p w14:paraId="4C39566E" w14:textId="77777777" w:rsidR="008C5A3C" w:rsidRPr="008C5A3C" w:rsidRDefault="008C5A3C" w:rsidP="008C5A3C">
            <w:pPr>
              <w:rPr>
                <w:rFonts w:ascii="Verdana" w:eastAsia="Times New Roman" w:hAnsi="Verdana" w:cs="Segoe UI"/>
                <w:sz w:val="16"/>
                <w:szCs w:val="16"/>
                <w:lang w:eastAsia="es-ES_tradnl"/>
              </w:rPr>
            </w:pPr>
            <w:r w:rsidRPr="008C5A3C">
              <w:rPr>
                <w:rFonts w:ascii="Verdana" w:eastAsia="Times New Roman" w:hAnsi="Verdana" w:cs="Segoe UI"/>
                <w:sz w:val="16"/>
                <w:szCs w:val="16"/>
                <w:lang w:eastAsia="es-ES_tradnl"/>
              </w:rPr>
              <w:t xml:space="preserve">Lida Milena </w:t>
            </w:r>
            <w:proofErr w:type="spellStart"/>
            <w:r w:rsidRPr="008C5A3C">
              <w:rPr>
                <w:rFonts w:ascii="Verdana" w:eastAsia="Times New Roman" w:hAnsi="Verdana" w:cs="Segoe UI"/>
                <w:sz w:val="16"/>
                <w:szCs w:val="16"/>
                <w:lang w:eastAsia="es-ES_tradnl"/>
              </w:rPr>
              <w:t>Guanumen</w:t>
            </w:r>
            <w:proofErr w:type="spellEnd"/>
            <w:r w:rsidRPr="008C5A3C">
              <w:rPr>
                <w:rFonts w:ascii="Verdana" w:eastAsia="Times New Roman" w:hAnsi="Verdana" w:cs="Segoe UI"/>
                <w:sz w:val="16"/>
                <w:szCs w:val="16"/>
                <w:lang w:eastAsia="es-ES_tradnl"/>
              </w:rPr>
              <w:t xml:space="preserve"> Pacheco</w:t>
            </w:r>
          </w:p>
          <w:p w14:paraId="4EB5A568" w14:textId="77777777" w:rsidR="008C5A3C" w:rsidRPr="008C5A3C" w:rsidRDefault="008C5A3C" w:rsidP="008C5A3C">
            <w:pPr>
              <w:rPr>
                <w:rFonts w:ascii="Verdana" w:eastAsia="Times New Roman" w:hAnsi="Verdana" w:cs="Segoe UI"/>
                <w:sz w:val="16"/>
                <w:szCs w:val="16"/>
                <w:lang w:eastAsia="es-ES_tradnl"/>
              </w:rPr>
            </w:pPr>
            <w:r w:rsidRPr="008C5A3C">
              <w:rPr>
                <w:rFonts w:ascii="Verdana" w:eastAsia="Arial" w:hAnsi="Verdana" w:cs="Arial"/>
                <w:sz w:val="16"/>
                <w:szCs w:val="16"/>
              </w:rPr>
              <w:t>Contratista de la Subdirección de Gestión Contractual</w:t>
            </w:r>
          </w:p>
        </w:tc>
      </w:tr>
      <w:tr w:rsidR="008C5A3C" w:rsidRPr="008C5A3C" w14:paraId="0C35C0CF" w14:textId="77777777" w:rsidTr="00391E94">
        <w:trPr>
          <w:trHeight w:val="300"/>
        </w:trPr>
        <w:tc>
          <w:tcPr>
            <w:tcW w:w="893" w:type="dxa"/>
            <w:vAlign w:val="center"/>
          </w:tcPr>
          <w:p w14:paraId="321A2623" w14:textId="77777777" w:rsidR="008C5A3C" w:rsidRPr="008C5A3C" w:rsidRDefault="008C5A3C" w:rsidP="008C5A3C">
            <w:pPr>
              <w:rPr>
                <w:rFonts w:ascii="Verdana" w:eastAsia="Calibri" w:hAnsi="Verdana" w:cs="Arial"/>
                <w:sz w:val="16"/>
                <w:szCs w:val="16"/>
                <w:lang w:eastAsia="es-ES"/>
              </w:rPr>
            </w:pPr>
            <w:r w:rsidRPr="008C5A3C">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3035E641" w14:textId="77777777" w:rsidR="008C5A3C" w:rsidRPr="008C5A3C" w:rsidRDefault="008C5A3C" w:rsidP="008C5A3C">
            <w:pPr>
              <w:rPr>
                <w:rFonts w:ascii="Verdana" w:eastAsia="Calibri" w:hAnsi="Verdana" w:cs="Arial"/>
                <w:sz w:val="16"/>
                <w:szCs w:val="16"/>
                <w:lang w:eastAsia="es-ES"/>
              </w:rPr>
            </w:pPr>
            <w:r w:rsidRPr="008C5A3C">
              <w:rPr>
                <w:rFonts w:ascii="Verdana" w:eastAsia="Calibri" w:hAnsi="Verdana" w:cs="Arial"/>
                <w:sz w:val="16"/>
                <w:szCs w:val="16"/>
                <w:lang w:eastAsia="es-ES"/>
              </w:rPr>
              <w:t xml:space="preserve">Carolina Quintero </w:t>
            </w:r>
            <w:proofErr w:type="spellStart"/>
            <w:r w:rsidRPr="008C5A3C">
              <w:rPr>
                <w:rFonts w:ascii="Verdana" w:eastAsia="Calibri" w:hAnsi="Verdana" w:cs="Arial"/>
                <w:sz w:val="16"/>
                <w:szCs w:val="16"/>
                <w:lang w:eastAsia="es-ES"/>
              </w:rPr>
              <w:t>Gacharná</w:t>
            </w:r>
            <w:proofErr w:type="spellEnd"/>
          </w:p>
          <w:p w14:paraId="1ECF27C7" w14:textId="77777777" w:rsidR="008C5A3C" w:rsidRPr="008C5A3C" w:rsidRDefault="008C5A3C" w:rsidP="008C5A3C">
            <w:pPr>
              <w:rPr>
                <w:rFonts w:ascii="Verdana" w:eastAsia="Calibri" w:hAnsi="Verdana" w:cs="Arial"/>
                <w:sz w:val="16"/>
                <w:szCs w:val="16"/>
                <w:lang w:eastAsia="es-ES"/>
              </w:rPr>
            </w:pPr>
            <w:r w:rsidRPr="008C5A3C">
              <w:rPr>
                <w:rFonts w:ascii="Verdana" w:eastAsia="Calibri" w:hAnsi="Verdana" w:cs="Arial"/>
                <w:sz w:val="16"/>
                <w:szCs w:val="16"/>
                <w:lang w:eastAsia="es-ES"/>
              </w:rPr>
              <w:t>Subdirectora de Gestión Contractual ANCP – CCE</w:t>
            </w:r>
          </w:p>
        </w:tc>
      </w:tr>
    </w:tbl>
    <w:p w14:paraId="05326B91" w14:textId="77777777" w:rsidR="008C5A3C" w:rsidRPr="008C5A3C" w:rsidRDefault="008C5A3C" w:rsidP="008C5A3C">
      <w:pPr>
        <w:tabs>
          <w:tab w:val="left" w:pos="1320"/>
        </w:tabs>
        <w:rPr>
          <w:rFonts w:ascii="Calibri" w:eastAsia="Calibri" w:hAnsi="Calibri" w:cs="Times New Roman"/>
        </w:rPr>
      </w:pPr>
    </w:p>
    <w:p w14:paraId="7A554D26" w14:textId="77777777" w:rsidR="008C5A3C" w:rsidRPr="008C5A3C" w:rsidRDefault="008C5A3C" w:rsidP="008C5A3C">
      <w:pPr>
        <w:rPr>
          <w:rFonts w:ascii="Calibri" w:eastAsia="Calibri" w:hAnsi="Calibri" w:cs="Times New Roman"/>
        </w:rPr>
      </w:pPr>
    </w:p>
    <w:p w14:paraId="0F293BF4" w14:textId="216C8A7A" w:rsidR="00127233" w:rsidRPr="002C23C5" w:rsidRDefault="00127233" w:rsidP="002C23C5"/>
    <w:sectPr w:rsidR="00127233" w:rsidRPr="002C23C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C2596F" w14:textId="77777777" w:rsidR="00CF62A4" w:rsidRDefault="00CF62A4" w:rsidP="004A1847">
      <w:pPr>
        <w:spacing w:after="0" w:line="240" w:lineRule="auto"/>
      </w:pPr>
      <w:r>
        <w:separator/>
      </w:r>
    </w:p>
  </w:endnote>
  <w:endnote w:type="continuationSeparator" w:id="0">
    <w:p w14:paraId="14508E88" w14:textId="77777777" w:rsidR="00CF62A4" w:rsidRDefault="00CF62A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Vrinda">
    <w:panose1 w:val="00000400000000000000"/>
    <w:charset w:val="00"/>
    <w:family w:val="swiss"/>
    <w:pitch w:val="variable"/>
    <w:sig w:usb0="00010003" w:usb1="00000000" w:usb2="00000000" w:usb3="00000000" w:csb0="00000001"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8C5A3C">
      <w:rPr>
        <w:rFonts w:ascii="Verdana" w:eastAsia="Times New Roman" w:hAnsi="Verdana" w:cs="Times New Roman"/>
        <w:b/>
        <w:bCs/>
        <w:sz w:val="16"/>
        <w:szCs w:val="16"/>
        <w:lang w:val="es-ES"/>
      </w:rPr>
      <w:t xml:space="preserve">pág. </w:t>
    </w:r>
    <w:r w:rsidRPr="008C5A3C">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8C5A3C">
      <w:rPr>
        <w:rFonts w:ascii="Verdana" w:eastAsia="Times New Roman" w:hAnsi="Verdana"/>
        <w:b/>
        <w:bCs/>
        <w:sz w:val="16"/>
        <w:szCs w:val="16"/>
      </w:rPr>
      <w:fldChar w:fldCharType="separate"/>
    </w:r>
    <w:r w:rsidRPr="008C5A3C">
      <w:rPr>
        <w:rFonts w:ascii="Verdana" w:eastAsia="Times New Roman" w:hAnsi="Verdana"/>
        <w:b/>
        <w:bCs/>
        <w:sz w:val="16"/>
        <w:szCs w:val="16"/>
      </w:rPr>
      <w:t>1</w:t>
    </w:r>
    <w:r w:rsidRPr="008C5A3C">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008C5A3C">
      <w:rPr>
        <w:rFonts w:ascii="Century Gothic" w:eastAsia="Geo" w:hAnsi="Century Gothic" w:cs="Geo"/>
        <w:b/>
        <w:bCs/>
        <w:color w:val="000000"/>
        <w:sz w:val="16"/>
        <w:szCs w:val="16"/>
        <w:lang w:eastAsia="es-CO"/>
      </w:rPr>
      <w:t xml:space="preserve">Código: </w:t>
    </w:r>
    <w:r w:rsidRPr="008C5A3C">
      <w:rPr>
        <w:rFonts w:ascii="Century Gothic" w:eastAsia="Geo" w:hAnsi="Century Gothic" w:cs="Geo"/>
        <w:color w:val="000000"/>
        <w:sz w:val="16"/>
        <w:szCs w:val="16"/>
        <w:lang w:eastAsia="es-CO"/>
      </w:rPr>
      <w:t xml:space="preserve">CCE-REC-FM-17 </w:t>
    </w:r>
    <w:r w:rsidRPr="008C5A3C">
      <w:rPr>
        <w:rFonts w:ascii="Century Gothic" w:eastAsia="Geo" w:hAnsi="Century Gothic" w:cs="Geo"/>
        <w:b/>
        <w:bCs/>
        <w:color w:val="000000"/>
        <w:sz w:val="16"/>
        <w:szCs w:val="16"/>
        <w:lang w:eastAsia="es-CO"/>
      </w:rPr>
      <w:t>V</w:t>
    </w:r>
    <w:r w:rsidRPr="008C5A3C">
      <w:rPr>
        <w:rFonts w:ascii="Century Gothic" w:eastAsia="Arial Nova" w:hAnsi="Century Gothic" w:cs="Arial Nova"/>
        <w:b/>
        <w:bCs/>
        <w:color w:val="000000"/>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7E771" w14:textId="77777777" w:rsidR="00CF62A4" w:rsidRDefault="00CF62A4" w:rsidP="004A1847">
      <w:pPr>
        <w:spacing w:after="0" w:line="240" w:lineRule="auto"/>
      </w:pPr>
      <w:r>
        <w:separator/>
      </w:r>
    </w:p>
  </w:footnote>
  <w:footnote w:type="continuationSeparator" w:id="0">
    <w:p w14:paraId="57B8C878" w14:textId="77777777" w:rsidR="00CF62A4" w:rsidRDefault="00CF62A4" w:rsidP="004A1847">
      <w:pPr>
        <w:spacing w:after="0" w:line="240" w:lineRule="auto"/>
      </w:pPr>
      <w:r>
        <w:continuationSeparator/>
      </w:r>
    </w:p>
  </w:footnote>
  <w:footnote w:id="1">
    <w:p w14:paraId="2117A685" w14:textId="77777777" w:rsidR="008C5A3C" w:rsidRPr="00E80BCF" w:rsidRDefault="008C5A3C" w:rsidP="008C5A3C">
      <w:pPr>
        <w:pStyle w:val="Textonotapie"/>
        <w:ind w:firstLine="708"/>
        <w:jc w:val="both"/>
        <w:rPr>
          <w:rFonts w:ascii="Verdana" w:hAnsi="Verdana"/>
          <w:sz w:val="19"/>
          <w:szCs w:val="19"/>
        </w:rPr>
      </w:pPr>
      <w:r w:rsidRPr="00E80BCF">
        <w:rPr>
          <w:rStyle w:val="Refdenotaalpie"/>
          <w:rFonts w:ascii="Verdana" w:hAnsi="Verdana"/>
          <w:sz w:val="19"/>
          <w:szCs w:val="19"/>
        </w:rPr>
        <w:footnoteRef/>
      </w:r>
      <w:r w:rsidRPr="00E80BCF">
        <w:rPr>
          <w:rFonts w:ascii="Verdana" w:hAnsi="Verdana"/>
          <w:sz w:val="19"/>
          <w:szCs w:val="19"/>
        </w:rPr>
        <w:t xml:space="preserve"> </w:t>
      </w:r>
      <w:r>
        <w:rPr>
          <w:rFonts w:ascii="Verdana" w:hAnsi="Verdana"/>
          <w:sz w:val="19"/>
          <w:szCs w:val="19"/>
        </w:rPr>
        <w:t>L</w:t>
      </w:r>
      <w:r w:rsidRPr="00E80BCF">
        <w:rPr>
          <w:rFonts w:ascii="Verdana" w:hAnsi="Verdana"/>
          <w:sz w:val="19"/>
          <w:szCs w:val="19"/>
        </w:rPr>
        <w:t xml:space="preserve">a Agencia Nacional de Contratación Pública – Colombia Compra Eficiente </w:t>
      </w:r>
      <w:r>
        <w:rPr>
          <w:rFonts w:ascii="Verdana" w:hAnsi="Verdana"/>
          <w:sz w:val="19"/>
          <w:szCs w:val="19"/>
        </w:rPr>
        <w:t xml:space="preserve">expidió </w:t>
      </w:r>
      <w:r w:rsidRPr="00E80BCF">
        <w:rPr>
          <w:rFonts w:ascii="Verdana" w:hAnsi="Verdana"/>
          <w:sz w:val="19"/>
          <w:szCs w:val="19"/>
        </w:rPr>
        <w:t xml:space="preserve">las </w:t>
      </w:r>
      <w:r w:rsidRPr="00E80BCF">
        <w:rPr>
          <w:rFonts w:ascii="Verdana" w:eastAsia="Calibri" w:hAnsi="Verdana" w:cs="Arial"/>
          <w:sz w:val="19"/>
          <w:szCs w:val="19"/>
        </w:rPr>
        <w:t>Resoluciones 539, 540 y 541 2025</w:t>
      </w:r>
      <w:r>
        <w:rPr>
          <w:rFonts w:ascii="Verdana" w:eastAsia="Calibri" w:hAnsi="Verdana" w:cs="Arial"/>
          <w:sz w:val="19"/>
          <w:szCs w:val="19"/>
        </w:rPr>
        <w:t xml:space="preserve"> del 21 de agosto de 2025</w:t>
      </w:r>
      <w:r w:rsidRPr="00E80BCF">
        <w:rPr>
          <w:rFonts w:ascii="Verdana" w:eastAsia="Calibri" w:hAnsi="Verdana" w:cs="Arial"/>
          <w:sz w:val="19"/>
          <w:szCs w:val="19"/>
        </w:rPr>
        <w:t>,</w:t>
      </w:r>
      <w:r>
        <w:rPr>
          <w:rFonts w:ascii="Verdana" w:eastAsia="Calibri" w:hAnsi="Verdana" w:cs="Arial"/>
          <w:sz w:val="19"/>
          <w:szCs w:val="19"/>
        </w:rPr>
        <w:t xml:space="preserve"> en estas se acogieron</w:t>
      </w:r>
      <w:r w:rsidRPr="00E80BCF">
        <w:rPr>
          <w:rFonts w:ascii="Verdana" w:eastAsia="Calibri" w:hAnsi="Verdana" w:cs="Arial"/>
          <w:sz w:val="19"/>
          <w:szCs w:val="19"/>
        </w:rPr>
        <w:t xml:space="preserve"> en el sector de obra pública de infraestructura social, </w:t>
      </w:r>
      <w:r>
        <w:rPr>
          <w:rFonts w:ascii="Verdana" w:eastAsia="Calibri" w:hAnsi="Verdana" w:cs="Arial"/>
          <w:sz w:val="19"/>
          <w:szCs w:val="19"/>
        </w:rPr>
        <w:t xml:space="preserve">los documentos tipo </w:t>
      </w:r>
      <w:r w:rsidRPr="00E80BCF">
        <w:rPr>
          <w:rFonts w:ascii="Verdana" w:eastAsia="Calibri" w:hAnsi="Verdana" w:cs="Arial"/>
          <w:sz w:val="19"/>
          <w:szCs w:val="19"/>
        </w:rPr>
        <w:t xml:space="preserve">transversal </w:t>
      </w:r>
      <w:r>
        <w:rPr>
          <w:rFonts w:ascii="Verdana" w:eastAsia="Calibri" w:hAnsi="Verdana" w:cs="Arial"/>
          <w:sz w:val="19"/>
          <w:szCs w:val="19"/>
        </w:rPr>
        <w:t xml:space="preserve">que aplican </w:t>
      </w:r>
      <w:r w:rsidRPr="00E80BCF">
        <w:rPr>
          <w:rFonts w:ascii="Verdana" w:eastAsia="Calibri" w:hAnsi="Verdana" w:cs="Arial"/>
          <w:sz w:val="19"/>
          <w:szCs w:val="19"/>
        </w:rPr>
        <w:t xml:space="preserve">en las modalidades de selección </w:t>
      </w:r>
      <w:r>
        <w:rPr>
          <w:rFonts w:ascii="Verdana" w:eastAsia="Calibri" w:hAnsi="Verdana" w:cs="Arial"/>
          <w:sz w:val="19"/>
          <w:szCs w:val="19"/>
        </w:rPr>
        <w:t>de licitación pública, selección abreviada de menor cuantía y mínima cuantía,</w:t>
      </w:r>
      <w:r w:rsidRPr="00E80BCF">
        <w:rPr>
          <w:rFonts w:ascii="Verdana" w:eastAsia="Calibri" w:hAnsi="Verdana" w:cs="Arial"/>
          <w:sz w:val="19"/>
          <w:szCs w:val="19"/>
        </w:rPr>
        <w:t xml:space="preserve"> a los proyectos de infraestructura social enmarcados dentro del sector educativo, salud, cultura, recreación y deporte, institucional y vivienda, </w:t>
      </w:r>
      <w:r w:rsidRPr="00E80BCF">
        <w:rPr>
          <w:rFonts w:ascii="Verdana" w:eastAsia="Calibri" w:hAnsi="Verdana" w:cs="Arial"/>
          <w:i/>
          <w:iCs/>
          <w:sz w:val="19"/>
          <w:szCs w:val="19"/>
        </w:rPr>
        <w:t>en los procesos de selección cuyo aviso de convocatoria se publique a partir del 16 de febrero de 2026</w:t>
      </w:r>
      <w:r>
        <w:rPr>
          <w:rFonts w:ascii="Verdana" w:eastAsia="Calibri" w:hAnsi="Verdana" w:cs="Arial"/>
          <w:i/>
          <w:iCs/>
          <w:sz w:val="19"/>
          <w:szCs w:val="19"/>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5CE264D"/>
    <w:multiLevelType w:val="hybridMultilevel"/>
    <w:tmpl w:val="4F6C4664"/>
    <w:lvl w:ilvl="0" w:tplc="2AE4B40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BE5525D"/>
    <w:multiLevelType w:val="hybridMultilevel"/>
    <w:tmpl w:val="36CA4F60"/>
    <w:lvl w:ilvl="0" w:tplc="2A2654F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48C4F67"/>
    <w:multiLevelType w:val="hybridMultilevel"/>
    <w:tmpl w:val="0B90DF56"/>
    <w:lvl w:ilvl="0" w:tplc="68AC282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CE6F25"/>
    <w:multiLevelType w:val="hybridMultilevel"/>
    <w:tmpl w:val="1ED43642"/>
    <w:lvl w:ilvl="0" w:tplc="4B62491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D330B8"/>
    <w:multiLevelType w:val="hybridMultilevel"/>
    <w:tmpl w:val="B80EA4F8"/>
    <w:lvl w:ilvl="0" w:tplc="1EDA18D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0"/>
  </w:num>
  <w:num w:numId="2" w16cid:durableId="19822139">
    <w:abstractNumId w:val="2"/>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8"/>
  </w:num>
  <w:num w:numId="7" w16cid:durableId="1946422806">
    <w:abstractNumId w:val="9"/>
  </w:num>
  <w:num w:numId="8" w16cid:durableId="152644682">
    <w:abstractNumId w:val="16"/>
  </w:num>
  <w:num w:numId="9" w16cid:durableId="1317221377">
    <w:abstractNumId w:val="11"/>
  </w:num>
  <w:num w:numId="10" w16cid:durableId="1471245386">
    <w:abstractNumId w:val="15"/>
  </w:num>
  <w:num w:numId="11" w16cid:durableId="289172385">
    <w:abstractNumId w:val="12"/>
  </w:num>
  <w:num w:numId="12" w16cid:durableId="1470781324">
    <w:abstractNumId w:val="1"/>
  </w:num>
  <w:num w:numId="13" w16cid:durableId="1512908409">
    <w:abstractNumId w:val="6"/>
  </w:num>
  <w:num w:numId="14" w16cid:durableId="895897244">
    <w:abstractNumId w:val="19"/>
  </w:num>
  <w:num w:numId="15" w16cid:durableId="390349800">
    <w:abstractNumId w:val="14"/>
  </w:num>
  <w:num w:numId="16" w16cid:durableId="827985604">
    <w:abstractNumId w:val="13"/>
  </w:num>
  <w:num w:numId="17" w16cid:durableId="341274352">
    <w:abstractNumId w:val="0"/>
  </w:num>
  <w:num w:numId="18" w16cid:durableId="851071091">
    <w:abstractNumId w:val="3"/>
  </w:num>
  <w:num w:numId="19" w16cid:durableId="2066756594">
    <w:abstractNumId w:val="17"/>
  </w:num>
  <w:num w:numId="20" w16cid:durableId="1032462959">
    <w:abstractNumId w:val="7"/>
  </w:num>
  <w:num w:numId="21" w16cid:durableId="766774032">
    <w:abstractNumId w:val="4"/>
  </w:num>
  <w:num w:numId="22" w16cid:durableId="2381719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38B5"/>
    <w:rsid w:val="000D0334"/>
    <w:rsid w:val="000D0D63"/>
    <w:rsid w:val="000D5DA7"/>
    <w:rsid w:val="000F6486"/>
    <w:rsid w:val="00116940"/>
    <w:rsid w:val="00125105"/>
    <w:rsid w:val="00127233"/>
    <w:rsid w:val="0015699B"/>
    <w:rsid w:val="001A33BF"/>
    <w:rsid w:val="001B4E07"/>
    <w:rsid w:val="001E4177"/>
    <w:rsid w:val="001F0B24"/>
    <w:rsid w:val="001F7DC6"/>
    <w:rsid w:val="0022400B"/>
    <w:rsid w:val="002421BB"/>
    <w:rsid w:val="0025796E"/>
    <w:rsid w:val="002707A2"/>
    <w:rsid w:val="002951A0"/>
    <w:rsid w:val="002962BC"/>
    <w:rsid w:val="002A093D"/>
    <w:rsid w:val="002A0DD0"/>
    <w:rsid w:val="002A49AC"/>
    <w:rsid w:val="002A64FD"/>
    <w:rsid w:val="002C23C5"/>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D5F50"/>
    <w:rsid w:val="006200BF"/>
    <w:rsid w:val="006219F8"/>
    <w:rsid w:val="006302F7"/>
    <w:rsid w:val="00646B9F"/>
    <w:rsid w:val="00665D70"/>
    <w:rsid w:val="006900D9"/>
    <w:rsid w:val="00690886"/>
    <w:rsid w:val="006A01FF"/>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427D"/>
    <w:rsid w:val="008843B6"/>
    <w:rsid w:val="00891928"/>
    <w:rsid w:val="008A446D"/>
    <w:rsid w:val="008B25F1"/>
    <w:rsid w:val="008C5A3C"/>
    <w:rsid w:val="008D180B"/>
    <w:rsid w:val="008F0EA7"/>
    <w:rsid w:val="00923EEF"/>
    <w:rsid w:val="00937CF8"/>
    <w:rsid w:val="009419F9"/>
    <w:rsid w:val="0095685E"/>
    <w:rsid w:val="00961B09"/>
    <w:rsid w:val="00965334"/>
    <w:rsid w:val="0097093E"/>
    <w:rsid w:val="00977386"/>
    <w:rsid w:val="009A0DFA"/>
    <w:rsid w:val="009A1C6F"/>
    <w:rsid w:val="009B2D26"/>
    <w:rsid w:val="009C71FA"/>
    <w:rsid w:val="009C72E7"/>
    <w:rsid w:val="009C7F7E"/>
    <w:rsid w:val="009D3058"/>
    <w:rsid w:val="009F3A13"/>
    <w:rsid w:val="00A00104"/>
    <w:rsid w:val="00A122D3"/>
    <w:rsid w:val="00A14468"/>
    <w:rsid w:val="00A17F13"/>
    <w:rsid w:val="00A20739"/>
    <w:rsid w:val="00A23AF9"/>
    <w:rsid w:val="00A327C4"/>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62A4"/>
    <w:rsid w:val="00D361FD"/>
    <w:rsid w:val="00D423A2"/>
    <w:rsid w:val="00D44E26"/>
    <w:rsid w:val="00D520D8"/>
    <w:rsid w:val="00D63AC2"/>
    <w:rsid w:val="00D7383B"/>
    <w:rsid w:val="00D7788A"/>
    <w:rsid w:val="00DA231B"/>
    <w:rsid w:val="00DC39FC"/>
    <w:rsid w:val="00DD11F9"/>
    <w:rsid w:val="00DE64E6"/>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0C20"/>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8C5A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8C5A3C"/>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93D551B9-3373-4A9E-BBEE-099F6845A2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23</TotalTime>
  <Pages>15</Pages>
  <Words>5118</Words>
  <Characters>27897</Characters>
  <Application>Microsoft Office Word</Application>
  <DocSecurity>0</DocSecurity>
  <Lines>569</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2025-12-02T13:18:00Z</dcterms:created>
  <dcterms:modified xsi:type="dcterms:W3CDTF">2025-12-02T17:06:00Z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