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908C8" w14:textId="77777777" w:rsidR="000B7CC1" w:rsidRPr="000C6E3B" w:rsidRDefault="000B7CC1" w:rsidP="000B7CC1">
      <w:pPr>
        <w:spacing w:after="0" w:line="240" w:lineRule="auto"/>
        <w:contextualSpacing/>
        <w:jc w:val="both"/>
        <w:rPr>
          <w:rFonts w:ascii="Verdana" w:hAnsi="Verdana" w:cs="Arial"/>
          <w:b/>
          <w:lang w:val="es-ES" w:eastAsia="es-ES_tradnl"/>
        </w:rPr>
      </w:pPr>
      <w:bookmarkStart w:id="0" w:name="_Hlk181166130"/>
      <w:bookmarkStart w:id="1" w:name="_Hlk209714638"/>
      <w:r w:rsidRPr="000C6E3B">
        <w:rPr>
          <w:rFonts w:ascii="Verdana" w:hAnsi="Verdana" w:cs="Arial"/>
          <w:b/>
          <w:lang w:val="es-ES" w:eastAsia="es-ES_tradnl"/>
        </w:rPr>
        <w:t>REGISTRO ÚNICO DE PROPONENTES – RUP – Concepto</w:t>
      </w:r>
    </w:p>
    <w:p w14:paraId="0902DEB0" w14:textId="77777777" w:rsidR="000B7CC1" w:rsidRPr="000C6E3B" w:rsidRDefault="000B7CC1" w:rsidP="000B7CC1">
      <w:pPr>
        <w:spacing w:after="0" w:line="240" w:lineRule="auto"/>
        <w:contextualSpacing/>
        <w:jc w:val="both"/>
        <w:rPr>
          <w:rFonts w:ascii="Verdana" w:hAnsi="Verdana" w:cs="Arial"/>
          <w:bCs/>
          <w:sz w:val="20"/>
          <w:szCs w:val="20"/>
          <w:lang w:val="es-ES" w:eastAsia="es-ES_tradnl"/>
        </w:rPr>
      </w:pPr>
    </w:p>
    <w:p w14:paraId="4E25CD7E" w14:textId="77777777" w:rsidR="000B7CC1" w:rsidRPr="000C6E3B" w:rsidRDefault="000B7CC1" w:rsidP="000B7CC1">
      <w:pPr>
        <w:spacing w:after="0" w:line="240" w:lineRule="auto"/>
        <w:contextualSpacing/>
        <w:jc w:val="both"/>
        <w:rPr>
          <w:rFonts w:ascii="Verdana" w:hAnsi="Verdana" w:cs="Arial"/>
          <w:bCs/>
          <w:sz w:val="20"/>
          <w:szCs w:val="20"/>
          <w:lang w:val="es-ES" w:eastAsia="es-ES_tradnl"/>
        </w:rPr>
      </w:pPr>
      <w:r w:rsidRPr="000C6E3B">
        <w:rPr>
          <w:rFonts w:ascii="Verdana" w:eastAsia="Times New Roman" w:hAnsi="Verdana" w:cs="Arial"/>
          <w:sz w:val="20"/>
          <w:szCs w:val="20"/>
          <w:lang w:eastAsia="es-ES_tradnl"/>
        </w:rPr>
        <w:t>El Registro Único de Proponentes – en adelante RUP – como instrumento en el que consta la información relacionada con las personas naturales y jurídicas, con el fin de que puedan participar en los Procedimientos de Contratación realizados por las Entidades Estatales, tiene por objeto contemplar en un único documento la información relativa a la capacidad jurídica, técnica, financiera y organizacional de los posibles proponentes.</w:t>
      </w:r>
    </w:p>
    <w:p w14:paraId="1B494686" w14:textId="77777777" w:rsidR="000B7CC1" w:rsidRPr="000C6E3B" w:rsidRDefault="000B7CC1" w:rsidP="000B7CC1">
      <w:pPr>
        <w:spacing w:after="0" w:line="240" w:lineRule="auto"/>
        <w:contextualSpacing/>
        <w:jc w:val="both"/>
        <w:rPr>
          <w:rFonts w:ascii="Verdana" w:hAnsi="Verdana" w:cs="Arial"/>
          <w:bCs/>
          <w:sz w:val="20"/>
          <w:szCs w:val="20"/>
          <w:lang w:val="es-ES" w:eastAsia="es-ES_tradnl"/>
        </w:rPr>
      </w:pPr>
    </w:p>
    <w:p w14:paraId="65233DCC" w14:textId="77777777" w:rsidR="000B7CC1" w:rsidRPr="000C6E3B" w:rsidRDefault="000B7CC1" w:rsidP="000B7CC1">
      <w:pPr>
        <w:spacing w:after="0" w:line="240" w:lineRule="auto"/>
        <w:contextualSpacing/>
        <w:jc w:val="both"/>
        <w:rPr>
          <w:rFonts w:ascii="Verdana" w:hAnsi="Verdana" w:cs="Arial"/>
          <w:b/>
          <w:lang w:val="es-ES" w:eastAsia="es-ES_tradnl"/>
        </w:rPr>
      </w:pPr>
      <w:r w:rsidRPr="000C6E3B">
        <w:rPr>
          <w:rFonts w:ascii="Verdana" w:hAnsi="Verdana" w:cs="Arial"/>
          <w:b/>
          <w:lang w:val="es-ES" w:eastAsia="es-ES_tradnl"/>
        </w:rPr>
        <w:t>REGISTRO ÚNICO DE PROPONENTES – RUP – Firmeza</w:t>
      </w:r>
    </w:p>
    <w:p w14:paraId="1406A104" w14:textId="77777777" w:rsidR="000B7CC1" w:rsidRPr="000C6E3B" w:rsidRDefault="000B7CC1" w:rsidP="000B7CC1">
      <w:pPr>
        <w:spacing w:after="0" w:line="240" w:lineRule="auto"/>
        <w:contextualSpacing/>
        <w:jc w:val="both"/>
        <w:rPr>
          <w:rFonts w:ascii="Verdana" w:hAnsi="Verdana" w:cs="Arial"/>
          <w:bCs/>
          <w:sz w:val="20"/>
          <w:szCs w:val="20"/>
          <w:lang w:val="es-ES" w:eastAsia="es-ES_tradnl"/>
        </w:rPr>
      </w:pPr>
    </w:p>
    <w:p w14:paraId="5D5BCB20" w14:textId="77777777" w:rsidR="000B7CC1" w:rsidRPr="000C6E3B" w:rsidRDefault="000B7CC1" w:rsidP="000B7CC1">
      <w:pPr>
        <w:spacing w:after="0" w:line="240" w:lineRule="auto"/>
        <w:contextualSpacing/>
        <w:jc w:val="both"/>
        <w:rPr>
          <w:rFonts w:ascii="Verdana" w:hAnsi="Verdana" w:cs="Arial"/>
          <w:bCs/>
          <w:sz w:val="20"/>
          <w:szCs w:val="20"/>
          <w:lang w:val="es-ES" w:eastAsia="es-ES_tradnl"/>
        </w:rPr>
      </w:pPr>
      <w:r w:rsidRPr="000C6E3B">
        <w:rPr>
          <w:rFonts w:ascii="Verdana" w:hAnsi="Verdana" w:cs="Arial"/>
          <w:sz w:val="20"/>
          <w:szCs w:val="20"/>
        </w:rPr>
        <w:t>[…] las</w:t>
      </w:r>
      <w:r w:rsidRPr="000C6E3B">
        <w:rPr>
          <w:rFonts w:ascii="Verdana" w:hAnsi="Verdana" w:cs="Arial"/>
          <w:spacing w:val="-10"/>
          <w:sz w:val="20"/>
          <w:szCs w:val="20"/>
        </w:rPr>
        <w:t xml:space="preserve"> </w:t>
      </w:r>
      <w:r w:rsidRPr="000C6E3B">
        <w:rPr>
          <w:rFonts w:ascii="Verdana" w:hAnsi="Verdana" w:cs="Arial"/>
          <w:sz w:val="20"/>
          <w:szCs w:val="20"/>
        </w:rPr>
        <w:t>cámaras</w:t>
      </w:r>
      <w:r w:rsidRPr="000C6E3B">
        <w:rPr>
          <w:rFonts w:ascii="Verdana" w:hAnsi="Verdana" w:cs="Arial"/>
          <w:spacing w:val="-10"/>
          <w:sz w:val="20"/>
          <w:szCs w:val="20"/>
        </w:rPr>
        <w:t xml:space="preserve"> </w:t>
      </w:r>
      <w:r w:rsidRPr="000C6E3B">
        <w:rPr>
          <w:rFonts w:ascii="Verdana" w:hAnsi="Verdana" w:cs="Arial"/>
          <w:sz w:val="20"/>
          <w:szCs w:val="20"/>
        </w:rPr>
        <w:t>de</w:t>
      </w:r>
      <w:r w:rsidRPr="000C6E3B">
        <w:rPr>
          <w:rFonts w:ascii="Verdana" w:hAnsi="Verdana" w:cs="Arial"/>
          <w:spacing w:val="-9"/>
          <w:sz w:val="20"/>
          <w:szCs w:val="20"/>
        </w:rPr>
        <w:t xml:space="preserve"> </w:t>
      </w:r>
      <w:r w:rsidRPr="000C6E3B">
        <w:rPr>
          <w:rFonts w:ascii="Verdana" w:hAnsi="Verdana" w:cs="Arial"/>
          <w:sz w:val="20"/>
          <w:szCs w:val="20"/>
        </w:rPr>
        <w:t>comercio,</w:t>
      </w:r>
      <w:r w:rsidRPr="000C6E3B">
        <w:rPr>
          <w:rFonts w:ascii="Verdana" w:hAnsi="Verdana" w:cs="Arial"/>
          <w:spacing w:val="-10"/>
          <w:sz w:val="20"/>
          <w:szCs w:val="20"/>
        </w:rPr>
        <w:t xml:space="preserve"> </w:t>
      </w:r>
      <w:r w:rsidRPr="000C6E3B">
        <w:rPr>
          <w:rFonts w:ascii="Verdana" w:hAnsi="Verdana" w:cs="Arial"/>
          <w:sz w:val="20"/>
          <w:szCs w:val="20"/>
        </w:rPr>
        <w:t>de</w:t>
      </w:r>
      <w:r w:rsidRPr="000C6E3B">
        <w:rPr>
          <w:rFonts w:ascii="Verdana" w:hAnsi="Verdana" w:cs="Arial"/>
          <w:spacing w:val="-9"/>
          <w:sz w:val="20"/>
          <w:szCs w:val="20"/>
        </w:rPr>
        <w:t xml:space="preserve"> </w:t>
      </w:r>
      <w:r w:rsidRPr="000C6E3B">
        <w:rPr>
          <w:rFonts w:ascii="Verdana" w:hAnsi="Verdana" w:cs="Arial"/>
          <w:sz w:val="20"/>
          <w:szCs w:val="20"/>
        </w:rPr>
        <w:t>acuerdo</w:t>
      </w:r>
      <w:r w:rsidRPr="000C6E3B">
        <w:rPr>
          <w:rFonts w:ascii="Verdana" w:hAnsi="Verdana" w:cs="Arial"/>
          <w:spacing w:val="-9"/>
          <w:sz w:val="20"/>
          <w:szCs w:val="20"/>
        </w:rPr>
        <w:t xml:space="preserve"> </w:t>
      </w:r>
      <w:r w:rsidRPr="000C6E3B">
        <w:rPr>
          <w:rFonts w:ascii="Verdana" w:hAnsi="Verdana" w:cs="Arial"/>
          <w:sz w:val="20"/>
          <w:szCs w:val="20"/>
        </w:rPr>
        <w:t>con</w:t>
      </w:r>
      <w:r w:rsidRPr="000C6E3B">
        <w:rPr>
          <w:rFonts w:ascii="Verdana" w:hAnsi="Verdana" w:cs="Arial"/>
          <w:spacing w:val="-10"/>
          <w:sz w:val="20"/>
          <w:szCs w:val="20"/>
        </w:rPr>
        <w:t xml:space="preserve"> </w:t>
      </w:r>
      <w:r w:rsidRPr="000C6E3B">
        <w:rPr>
          <w:rFonts w:ascii="Verdana" w:hAnsi="Verdana" w:cs="Arial"/>
          <w:sz w:val="20"/>
          <w:szCs w:val="20"/>
        </w:rPr>
        <w:t>el</w:t>
      </w:r>
      <w:r w:rsidRPr="000C6E3B">
        <w:rPr>
          <w:rFonts w:ascii="Verdana" w:hAnsi="Verdana" w:cs="Arial"/>
          <w:spacing w:val="-9"/>
          <w:sz w:val="20"/>
          <w:szCs w:val="20"/>
        </w:rPr>
        <w:t xml:space="preserve"> </w:t>
      </w:r>
      <w:r w:rsidRPr="000C6E3B">
        <w:rPr>
          <w:rFonts w:ascii="Verdana" w:hAnsi="Verdana" w:cs="Arial"/>
          <w:sz w:val="20"/>
          <w:szCs w:val="20"/>
        </w:rPr>
        <w:t>artículo</w:t>
      </w:r>
      <w:r w:rsidRPr="000C6E3B">
        <w:rPr>
          <w:rFonts w:ascii="Verdana" w:hAnsi="Verdana" w:cs="Arial"/>
          <w:spacing w:val="-9"/>
          <w:sz w:val="20"/>
          <w:szCs w:val="20"/>
        </w:rPr>
        <w:t xml:space="preserve"> </w:t>
      </w:r>
      <w:r w:rsidRPr="000C6E3B">
        <w:rPr>
          <w:rFonts w:ascii="Verdana" w:hAnsi="Verdana" w:cs="Arial"/>
          <w:sz w:val="20"/>
          <w:szCs w:val="20"/>
        </w:rPr>
        <w:t>6.1</w:t>
      </w:r>
      <w:r w:rsidRPr="000C6E3B">
        <w:rPr>
          <w:rFonts w:ascii="Verdana" w:hAnsi="Verdana" w:cs="Arial"/>
          <w:spacing w:val="-9"/>
          <w:sz w:val="20"/>
          <w:szCs w:val="20"/>
        </w:rPr>
        <w:t xml:space="preserve"> </w:t>
      </w:r>
      <w:r w:rsidRPr="000C6E3B">
        <w:rPr>
          <w:rFonts w:ascii="Verdana" w:hAnsi="Verdana" w:cs="Arial"/>
          <w:sz w:val="20"/>
          <w:szCs w:val="20"/>
        </w:rPr>
        <w:t>de</w:t>
      </w:r>
      <w:r w:rsidRPr="000C6E3B">
        <w:rPr>
          <w:rFonts w:ascii="Verdana" w:hAnsi="Verdana" w:cs="Arial"/>
          <w:spacing w:val="-9"/>
          <w:sz w:val="20"/>
          <w:szCs w:val="20"/>
        </w:rPr>
        <w:t xml:space="preserve"> </w:t>
      </w:r>
      <w:r w:rsidRPr="000C6E3B">
        <w:rPr>
          <w:rFonts w:ascii="Verdana" w:hAnsi="Verdana" w:cs="Arial"/>
          <w:sz w:val="20"/>
          <w:szCs w:val="20"/>
        </w:rPr>
        <w:t>la</w:t>
      </w:r>
      <w:r w:rsidRPr="000C6E3B">
        <w:rPr>
          <w:rFonts w:ascii="Verdana" w:hAnsi="Verdana" w:cs="Arial"/>
          <w:spacing w:val="-9"/>
          <w:sz w:val="20"/>
          <w:szCs w:val="20"/>
        </w:rPr>
        <w:t xml:space="preserve"> </w:t>
      </w:r>
      <w:r w:rsidRPr="000C6E3B">
        <w:rPr>
          <w:rFonts w:ascii="Verdana" w:hAnsi="Verdana" w:cs="Arial"/>
          <w:sz w:val="20"/>
          <w:szCs w:val="20"/>
        </w:rPr>
        <w:t>Ley</w:t>
      </w:r>
      <w:r w:rsidRPr="000C6E3B">
        <w:rPr>
          <w:rFonts w:ascii="Verdana" w:hAnsi="Verdana" w:cs="Arial"/>
          <w:spacing w:val="-9"/>
          <w:sz w:val="20"/>
          <w:szCs w:val="20"/>
        </w:rPr>
        <w:t xml:space="preserve"> </w:t>
      </w:r>
      <w:r w:rsidRPr="000C6E3B">
        <w:rPr>
          <w:rFonts w:ascii="Verdana" w:hAnsi="Verdana" w:cs="Arial"/>
          <w:sz w:val="20"/>
          <w:szCs w:val="20"/>
        </w:rPr>
        <w:t>1150</w:t>
      </w:r>
      <w:r w:rsidRPr="000C6E3B">
        <w:rPr>
          <w:rFonts w:ascii="Verdana" w:hAnsi="Verdana" w:cs="Arial"/>
          <w:spacing w:val="-9"/>
          <w:sz w:val="20"/>
          <w:szCs w:val="20"/>
        </w:rPr>
        <w:t xml:space="preserve"> </w:t>
      </w:r>
      <w:r w:rsidRPr="000C6E3B">
        <w:rPr>
          <w:rFonts w:ascii="Verdana" w:hAnsi="Verdana" w:cs="Arial"/>
          <w:sz w:val="20"/>
          <w:szCs w:val="20"/>
        </w:rPr>
        <w:t>de 2007 y</w:t>
      </w:r>
      <w:r w:rsidRPr="000C6E3B">
        <w:rPr>
          <w:rFonts w:ascii="Verdana" w:hAnsi="Verdana" w:cs="Arial"/>
          <w:spacing w:val="-9"/>
          <w:sz w:val="20"/>
          <w:szCs w:val="20"/>
        </w:rPr>
        <w:t xml:space="preserve"> </w:t>
      </w:r>
      <w:r w:rsidRPr="000C6E3B">
        <w:rPr>
          <w:rFonts w:ascii="Verdana" w:hAnsi="Verdana" w:cs="Arial"/>
          <w:sz w:val="20"/>
          <w:szCs w:val="20"/>
        </w:rPr>
        <w:t>con el artículo 2.2.1.1.1.5.3. del Decreto 1082 de 2015, verificarán y certificarán los</w:t>
      </w:r>
      <w:r w:rsidRPr="000C6E3B">
        <w:rPr>
          <w:rFonts w:ascii="Verdana" w:hAnsi="Verdana" w:cs="Arial"/>
          <w:spacing w:val="1"/>
          <w:sz w:val="20"/>
          <w:szCs w:val="20"/>
        </w:rPr>
        <w:t xml:space="preserve"> </w:t>
      </w:r>
      <w:r w:rsidRPr="000C6E3B">
        <w:rPr>
          <w:rFonts w:ascii="Verdana" w:hAnsi="Verdana" w:cs="Arial"/>
          <w:sz w:val="20"/>
          <w:szCs w:val="20"/>
        </w:rPr>
        <w:t>requisitos habilitantes de experiencia, capacidad jurídica, capacidad financiera y de</w:t>
      </w:r>
      <w:r w:rsidRPr="000C6E3B">
        <w:rPr>
          <w:rFonts w:ascii="Verdana" w:hAnsi="Verdana" w:cs="Arial"/>
          <w:spacing w:val="1"/>
          <w:sz w:val="20"/>
          <w:szCs w:val="20"/>
        </w:rPr>
        <w:t xml:space="preserve"> </w:t>
      </w:r>
      <w:r w:rsidRPr="000C6E3B">
        <w:rPr>
          <w:rFonts w:ascii="Verdana" w:hAnsi="Verdana" w:cs="Arial"/>
          <w:sz w:val="20"/>
          <w:szCs w:val="20"/>
        </w:rPr>
        <w:t>organización.</w:t>
      </w:r>
      <w:r w:rsidRPr="000C6E3B">
        <w:rPr>
          <w:rFonts w:ascii="Verdana" w:hAnsi="Verdana" w:cs="Arial"/>
          <w:spacing w:val="-5"/>
          <w:sz w:val="20"/>
          <w:szCs w:val="20"/>
        </w:rPr>
        <w:t xml:space="preserve"> </w:t>
      </w:r>
      <w:r w:rsidRPr="000C6E3B">
        <w:rPr>
          <w:rFonts w:ascii="Verdana" w:hAnsi="Verdana" w:cs="Arial"/>
          <w:sz w:val="20"/>
          <w:szCs w:val="20"/>
        </w:rPr>
        <w:t>En concordancia</w:t>
      </w:r>
      <w:r w:rsidRPr="000C6E3B">
        <w:rPr>
          <w:rFonts w:ascii="Verdana" w:hAnsi="Verdana" w:cs="Arial"/>
          <w:spacing w:val="-4"/>
          <w:sz w:val="20"/>
          <w:szCs w:val="20"/>
        </w:rPr>
        <w:t xml:space="preserve"> </w:t>
      </w:r>
      <w:r w:rsidRPr="000C6E3B">
        <w:rPr>
          <w:rFonts w:ascii="Verdana" w:hAnsi="Verdana" w:cs="Arial"/>
          <w:sz w:val="20"/>
          <w:szCs w:val="20"/>
        </w:rPr>
        <w:t>con</w:t>
      </w:r>
      <w:r w:rsidRPr="000C6E3B">
        <w:rPr>
          <w:rFonts w:ascii="Verdana" w:hAnsi="Verdana" w:cs="Arial"/>
          <w:spacing w:val="-5"/>
          <w:sz w:val="20"/>
          <w:szCs w:val="20"/>
        </w:rPr>
        <w:t xml:space="preserve"> </w:t>
      </w:r>
      <w:r w:rsidRPr="000C6E3B">
        <w:rPr>
          <w:rFonts w:ascii="Verdana" w:hAnsi="Verdana" w:cs="Arial"/>
          <w:sz w:val="20"/>
          <w:szCs w:val="20"/>
        </w:rPr>
        <w:t>lo</w:t>
      </w:r>
      <w:r w:rsidRPr="000C6E3B">
        <w:rPr>
          <w:rFonts w:ascii="Verdana" w:hAnsi="Verdana" w:cs="Arial"/>
          <w:spacing w:val="-4"/>
          <w:sz w:val="20"/>
          <w:szCs w:val="20"/>
        </w:rPr>
        <w:t xml:space="preserve"> </w:t>
      </w:r>
      <w:r w:rsidRPr="000C6E3B">
        <w:rPr>
          <w:rFonts w:ascii="Verdana" w:hAnsi="Verdana" w:cs="Arial"/>
          <w:sz w:val="20"/>
          <w:szCs w:val="20"/>
        </w:rPr>
        <w:t>establecido</w:t>
      </w:r>
      <w:r w:rsidRPr="000C6E3B">
        <w:rPr>
          <w:rFonts w:ascii="Verdana" w:hAnsi="Verdana" w:cs="Arial"/>
          <w:spacing w:val="-4"/>
          <w:sz w:val="20"/>
          <w:szCs w:val="20"/>
        </w:rPr>
        <w:t xml:space="preserve"> </w:t>
      </w:r>
      <w:r w:rsidRPr="000C6E3B">
        <w:rPr>
          <w:rFonts w:ascii="Verdana" w:hAnsi="Verdana" w:cs="Arial"/>
          <w:sz w:val="20"/>
          <w:szCs w:val="20"/>
        </w:rPr>
        <w:t>en</w:t>
      </w:r>
      <w:r w:rsidRPr="000C6E3B">
        <w:rPr>
          <w:rFonts w:ascii="Verdana" w:hAnsi="Verdana" w:cs="Arial"/>
          <w:spacing w:val="-5"/>
          <w:sz w:val="20"/>
          <w:szCs w:val="20"/>
        </w:rPr>
        <w:t xml:space="preserve"> </w:t>
      </w:r>
      <w:r w:rsidRPr="000C6E3B">
        <w:rPr>
          <w:rFonts w:ascii="Verdana" w:hAnsi="Verdana" w:cs="Arial"/>
          <w:sz w:val="20"/>
          <w:szCs w:val="20"/>
        </w:rPr>
        <w:t>el</w:t>
      </w:r>
      <w:r w:rsidRPr="000C6E3B">
        <w:rPr>
          <w:rFonts w:ascii="Verdana" w:hAnsi="Verdana" w:cs="Arial"/>
          <w:spacing w:val="-4"/>
          <w:sz w:val="20"/>
          <w:szCs w:val="20"/>
        </w:rPr>
        <w:t xml:space="preserve"> </w:t>
      </w:r>
      <w:r w:rsidRPr="000C6E3B">
        <w:rPr>
          <w:rFonts w:ascii="Verdana" w:hAnsi="Verdana" w:cs="Arial"/>
          <w:sz w:val="20"/>
          <w:szCs w:val="20"/>
        </w:rPr>
        <w:t>numeral</w:t>
      </w:r>
      <w:r w:rsidRPr="000C6E3B">
        <w:rPr>
          <w:rFonts w:ascii="Verdana" w:hAnsi="Verdana" w:cs="Arial"/>
          <w:spacing w:val="-4"/>
          <w:sz w:val="20"/>
          <w:szCs w:val="20"/>
        </w:rPr>
        <w:t xml:space="preserve"> </w:t>
      </w:r>
      <w:r w:rsidRPr="000C6E3B">
        <w:rPr>
          <w:rFonts w:ascii="Verdana" w:hAnsi="Verdana" w:cs="Arial"/>
          <w:sz w:val="20"/>
          <w:szCs w:val="20"/>
        </w:rPr>
        <w:t>6.3</w:t>
      </w:r>
      <w:r w:rsidRPr="000C6E3B">
        <w:rPr>
          <w:rFonts w:ascii="Verdana" w:hAnsi="Verdana" w:cs="Arial"/>
          <w:spacing w:val="-5"/>
          <w:sz w:val="20"/>
          <w:szCs w:val="20"/>
        </w:rPr>
        <w:t xml:space="preserve"> </w:t>
      </w:r>
      <w:r w:rsidRPr="000C6E3B">
        <w:rPr>
          <w:rFonts w:ascii="Verdana" w:hAnsi="Verdana" w:cs="Arial"/>
          <w:sz w:val="20"/>
          <w:szCs w:val="20"/>
        </w:rPr>
        <w:t>de</w:t>
      </w:r>
      <w:r w:rsidRPr="000C6E3B">
        <w:rPr>
          <w:rFonts w:ascii="Verdana" w:hAnsi="Verdana" w:cs="Arial"/>
          <w:spacing w:val="-4"/>
          <w:sz w:val="20"/>
          <w:szCs w:val="20"/>
        </w:rPr>
        <w:t xml:space="preserve"> </w:t>
      </w:r>
      <w:r w:rsidRPr="000C6E3B">
        <w:rPr>
          <w:rFonts w:ascii="Verdana" w:hAnsi="Verdana" w:cs="Arial"/>
          <w:sz w:val="20"/>
          <w:szCs w:val="20"/>
        </w:rPr>
        <w:t>la</w:t>
      </w:r>
      <w:r w:rsidRPr="000C6E3B">
        <w:rPr>
          <w:rFonts w:ascii="Verdana" w:hAnsi="Verdana" w:cs="Arial"/>
          <w:spacing w:val="-4"/>
          <w:sz w:val="20"/>
          <w:szCs w:val="20"/>
        </w:rPr>
        <w:t xml:space="preserve"> </w:t>
      </w:r>
      <w:r w:rsidRPr="000C6E3B">
        <w:rPr>
          <w:rFonts w:ascii="Verdana" w:hAnsi="Verdana" w:cs="Arial"/>
          <w:sz w:val="20"/>
          <w:szCs w:val="20"/>
        </w:rPr>
        <w:t>Ley</w:t>
      </w:r>
      <w:r w:rsidRPr="000C6E3B">
        <w:rPr>
          <w:rFonts w:ascii="Verdana" w:hAnsi="Verdana" w:cs="Arial"/>
          <w:spacing w:val="-4"/>
          <w:sz w:val="20"/>
          <w:szCs w:val="20"/>
        </w:rPr>
        <w:t xml:space="preserve"> </w:t>
      </w:r>
      <w:r w:rsidRPr="000C6E3B">
        <w:rPr>
          <w:rFonts w:ascii="Verdana" w:hAnsi="Verdana" w:cs="Arial"/>
          <w:sz w:val="20"/>
          <w:szCs w:val="20"/>
        </w:rPr>
        <w:t>1150</w:t>
      </w:r>
      <w:r w:rsidRPr="000C6E3B">
        <w:rPr>
          <w:rFonts w:ascii="Verdana" w:hAnsi="Verdana" w:cs="Arial"/>
          <w:spacing w:val="-5"/>
          <w:sz w:val="20"/>
          <w:szCs w:val="20"/>
        </w:rPr>
        <w:t xml:space="preserve"> </w:t>
      </w:r>
      <w:r w:rsidRPr="000C6E3B">
        <w:rPr>
          <w:rFonts w:ascii="Verdana" w:hAnsi="Verdana" w:cs="Arial"/>
          <w:sz w:val="20"/>
          <w:szCs w:val="20"/>
        </w:rPr>
        <w:t>de</w:t>
      </w:r>
      <w:r w:rsidRPr="000C6E3B">
        <w:rPr>
          <w:rFonts w:ascii="Verdana" w:hAnsi="Verdana" w:cs="Arial"/>
          <w:spacing w:val="-4"/>
          <w:sz w:val="20"/>
          <w:szCs w:val="20"/>
        </w:rPr>
        <w:t xml:space="preserve"> </w:t>
      </w:r>
      <w:r w:rsidRPr="000C6E3B">
        <w:rPr>
          <w:rFonts w:ascii="Verdana" w:hAnsi="Verdana" w:cs="Arial"/>
          <w:sz w:val="20"/>
          <w:szCs w:val="20"/>
        </w:rPr>
        <w:t>2007, la cámara de comercio, verificada la información aportada por el proponente, publicará el acto de inscripción del RUP, contra el cual cualquier</w:t>
      </w:r>
      <w:r w:rsidRPr="000C6E3B">
        <w:rPr>
          <w:rFonts w:ascii="Verdana" w:hAnsi="Verdana" w:cs="Arial"/>
          <w:spacing w:val="1"/>
          <w:sz w:val="20"/>
          <w:szCs w:val="20"/>
        </w:rPr>
        <w:t xml:space="preserve"> </w:t>
      </w:r>
      <w:r w:rsidRPr="000C6E3B">
        <w:rPr>
          <w:rFonts w:ascii="Verdana" w:hAnsi="Verdana" w:cs="Arial"/>
          <w:sz w:val="20"/>
          <w:szCs w:val="20"/>
        </w:rPr>
        <w:t>persona podrá interponer recurso de reposición dentro de los diez (10) días hábiles</w:t>
      </w:r>
      <w:r w:rsidRPr="000C6E3B">
        <w:rPr>
          <w:rFonts w:ascii="Verdana" w:hAnsi="Verdana" w:cs="Arial"/>
          <w:spacing w:val="1"/>
          <w:sz w:val="20"/>
          <w:szCs w:val="20"/>
        </w:rPr>
        <w:t xml:space="preserve"> </w:t>
      </w:r>
      <w:r w:rsidRPr="000C6E3B">
        <w:rPr>
          <w:rFonts w:ascii="Verdana" w:hAnsi="Verdana" w:cs="Arial"/>
          <w:sz w:val="20"/>
          <w:szCs w:val="20"/>
        </w:rPr>
        <w:t>siguientes</w:t>
      </w:r>
      <w:r w:rsidRPr="000C6E3B">
        <w:rPr>
          <w:rFonts w:ascii="Verdana" w:hAnsi="Verdana" w:cs="Arial"/>
          <w:spacing w:val="1"/>
          <w:sz w:val="20"/>
          <w:szCs w:val="20"/>
        </w:rPr>
        <w:t xml:space="preserve"> </w:t>
      </w:r>
      <w:r w:rsidRPr="000C6E3B">
        <w:rPr>
          <w:rFonts w:ascii="Verdana" w:hAnsi="Verdana" w:cs="Arial"/>
          <w:sz w:val="20"/>
          <w:szCs w:val="20"/>
        </w:rPr>
        <w:t>contados</w:t>
      </w:r>
      <w:r w:rsidRPr="000C6E3B">
        <w:rPr>
          <w:rFonts w:ascii="Verdana" w:hAnsi="Verdana" w:cs="Arial"/>
          <w:spacing w:val="1"/>
          <w:sz w:val="20"/>
          <w:szCs w:val="20"/>
        </w:rPr>
        <w:t xml:space="preserve"> </w:t>
      </w:r>
      <w:r w:rsidRPr="000C6E3B">
        <w:rPr>
          <w:rFonts w:ascii="Verdana" w:hAnsi="Verdana" w:cs="Arial"/>
          <w:sz w:val="20"/>
          <w:szCs w:val="20"/>
        </w:rPr>
        <w:t>a</w:t>
      </w:r>
      <w:r w:rsidRPr="000C6E3B">
        <w:rPr>
          <w:rFonts w:ascii="Verdana" w:hAnsi="Verdana" w:cs="Arial"/>
          <w:spacing w:val="1"/>
          <w:sz w:val="20"/>
          <w:szCs w:val="20"/>
        </w:rPr>
        <w:t xml:space="preserve"> </w:t>
      </w:r>
      <w:r w:rsidRPr="000C6E3B">
        <w:rPr>
          <w:rFonts w:ascii="Verdana" w:hAnsi="Verdana" w:cs="Arial"/>
          <w:sz w:val="20"/>
          <w:szCs w:val="20"/>
        </w:rPr>
        <w:t>partir</w:t>
      </w:r>
      <w:r w:rsidRPr="000C6E3B">
        <w:rPr>
          <w:rFonts w:ascii="Verdana" w:hAnsi="Verdana" w:cs="Arial"/>
          <w:spacing w:val="1"/>
          <w:sz w:val="20"/>
          <w:szCs w:val="20"/>
        </w:rPr>
        <w:t xml:space="preserve"> </w:t>
      </w:r>
      <w:r w:rsidRPr="000C6E3B">
        <w:rPr>
          <w:rFonts w:ascii="Verdana" w:hAnsi="Verdana" w:cs="Arial"/>
          <w:sz w:val="20"/>
          <w:szCs w:val="20"/>
        </w:rPr>
        <w:t>de</w:t>
      </w:r>
      <w:r w:rsidRPr="000C6E3B">
        <w:rPr>
          <w:rFonts w:ascii="Verdana" w:hAnsi="Verdana" w:cs="Arial"/>
          <w:spacing w:val="1"/>
          <w:sz w:val="20"/>
          <w:szCs w:val="20"/>
        </w:rPr>
        <w:t xml:space="preserve"> </w:t>
      </w:r>
      <w:r w:rsidRPr="000C6E3B">
        <w:rPr>
          <w:rFonts w:ascii="Verdana" w:hAnsi="Verdana" w:cs="Arial"/>
          <w:sz w:val="20"/>
          <w:szCs w:val="20"/>
        </w:rPr>
        <w:t>su</w:t>
      </w:r>
      <w:r w:rsidRPr="000C6E3B">
        <w:rPr>
          <w:rFonts w:ascii="Verdana" w:hAnsi="Verdana" w:cs="Arial"/>
          <w:spacing w:val="1"/>
          <w:sz w:val="20"/>
          <w:szCs w:val="20"/>
        </w:rPr>
        <w:t xml:space="preserve"> </w:t>
      </w:r>
      <w:r w:rsidRPr="000C6E3B">
        <w:rPr>
          <w:rFonts w:ascii="Verdana" w:hAnsi="Verdana" w:cs="Arial"/>
          <w:sz w:val="20"/>
          <w:szCs w:val="20"/>
        </w:rPr>
        <w:t>publicación</w:t>
      </w:r>
      <w:r w:rsidRPr="000C6E3B">
        <w:rPr>
          <w:rFonts w:ascii="Verdana" w:hAnsi="Verdana" w:cs="Arial"/>
          <w:spacing w:val="1"/>
          <w:sz w:val="20"/>
          <w:szCs w:val="20"/>
        </w:rPr>
        <w:t xml:space="preserve"> </w:t>
      </w:r>
      <w:r w:rsidRPr="000C6E3B">
        <w:rPr>
          <w:rFonts w:ascii="Verdana" w:hAnsi="Verdana" w:cs="Arial"/>
          <w:sz w:val="20"/>
          <w:szCs w:val="20"/>
        </w:rPr>
        <w:t>–posibilidad</w:t>
      </w:r>
      <w:r w:rsidRPr="000C6E3B">
        <w:rPr>
          <w:rFonts w:ascii="Verdana" w:hAnsi="Verdana" w:cs="Arial"/>
          <w:spacing w:val="1"/>
          <w:sz w:val="20"/>
          <w:szCs w:val="20"/>
        </w:rPr>
        <w:t xml:space="preserve"> </w:t>
      </w:r>
      <w:r w:rsidRPr="000C6E3B">
        <w:rPr>
          <w:rFonts w:ascii="Verdana" w:hAnsi="Verdana" w:cs="Arial"/>
          <w:sz w:val="20"/>
          <w:szCs w:val="20"/>
        </w:rPr>
        <w:t>aplicable</w:t>
      </w:r>
      <w:r w:rsidRPr="000C6E3B">
        <w:rPr>
          <w:rFonts w:ascii="Verdana" w:hAnsi="Verdana" w:cs="Arial"/>
          <w:spacing w:val="1"/>
          <w:sz w:val="20"/>
          <w:szCs w:val="20"/>
        </w:rPr>
        <w:t xml:space="preserve"> </w:t>
      </w:r>
      <w:r w:rsidRPr="000C6E3B">
        <w:rPr>
          <w:rFonts w:ascii="Verdana" w:hAnsi="Verdana" w:cs="Arial"/>
          <w:sz w:val="20"/>
          <w:szCs w:val="20"/>
        </w:rPr>
        <w:t>frente</w:t>
      </w:r>
      <w:r w:rsidRPr="000C6E3B">
        <w:rPr>
          <w:rFonts w:ascii="Verdana" w:hAnsi="Verdana" w:cs="Arial"/>
          <w:spacing w:val="1"/>
          <w:sz w:val="20"/>
          <w:szCs w:val="20"/>
        </w:rPr>
        <w:t xml:space="preserve"> </w:t>
      </w:r>
      <w:r w:rsidRPr="000C6E3B">
        <w:rPr>
          <w:rFonts w:ascii="Verdana" w:hAnsi="Verdana" w:cs="Arial"/>
          <w:sz w:val="20"/>
          <w:szCs w:val="20"/>
        </w:rPr>
        <w:t>a</w:t>
      </w:r>
      <w:r w:rsidRPr="000C6E3B">
        <w:rPr>
          <w:rFonts w:ascii="Verdana" w:hAnsi="Verdana" w:cs="Arial"/>
          <w:spacing w:val="1"/>
          <w:sz w:val="20"/>
          <w:szCs w:val="20"/>
        </w:rPr>
        <w:t xml:space="preserve"> </w:t>
      </w:r>
      <w:r w:rsidRPr="000C6E3B">
        <w:rPr>
          <w:rFonts w:ascii="Verdana" w:hAnsi="Verdana" w:cs="Arial"/>
          <w:sz w:val="20"/>
          <w:szCs w:val="20"/>
        </w:rPr>
        <w:t>la</w:t>
      </w:r>
      <w:r w:rsidRPr="000C6E3B">
        <w:rPr>
          <w:rFonts w:ascii="Verdana" w:hAnsi="Verdana" w:cs="Arial"/>
          <w:spacing w:val="1"/>
          <w:sz w:val="20"/>
          <w:szCs w:val="20"/>
        </w:rPr>
        <w:t xml:space="preserve"> </w:t>
      </w:r>
      <w:r w:rsidRPr="000C6E3B">
        <w:rPr>
          <w:rFonts w:ascii="Verdana" w:hAnsi="Verdana" w:cs="Arial"/>
          <w:i/>
          <w:sz w:val="20"/>
          <w:szCs w:val="20"/>
        </w:rPr>
        <w:t>inscripción, renovación o actualización–</w:t>
      </w:r>
      <w:r w:rsidRPr="000C6E3B">
        <w:rPr>
          <w:rFonts w:ascii="Verdana" w:hAnsi="Verdana" w:cs="Arial"/>
          <w:sz w:val="20"/>
          <w:szCs w:val="20"/>
        </w:rPr>
        <w:t>.</w:t>
      </w:r>
    </w:p>
    <w:p w14:paraId="258C7F11" w14:textId="77777777" w:rsidR="000B7CC1" w:rsidRPr="000C6E3B" w:rsidRDefault="000B7CC1" w:rsidP="000B7CC1">
      <w:pPr>
        <w:spacing w:after="0" w:line="240" w:lineRule="auto"/>
        <w:contextualSpacing/>
        <w:jc w:val="both"/>
        <w:rPr>
          <w:rFonts w:ascii="Verdana" w:hAnsi="Verdana" w:cs="Arial"/>
          <w:bCs/>
          <w:sz w:val="20"/>
          <w:szCs w:val="20"/>
          <w:lang w:val="es-ES" w:eastAsia="es-ES_tradnl"/>
        </w:rPr>
      </w:pPr>
    </w:p>
    <w:p w14:paraId="19F36CFF" w14:textId="77777777" w:rsidR="000B7CC1" w:rsidRPr="000C6E3B" w:rsidRDefault="000B7CC1" w:rsidP="000B7CC1">
      <w:pPr>
        <w:spacing w:after="0" w:line="240" w:lineRule="auto"/>
        <w:contextualSpacing/>
        <w:jc w:val="both"/>
        <w:rPr>
          <w:rFonts w:ascii="Verdana" w:hAnsi="Verdana" w:cs="Arial"/>
          <w:b/>
          <w:lang w:val="es-ES" w:eastAsia="es-ES_tradnl"/>
        </w:rPr>
      </w:pPr>
      <w:r w:rsidRPr="000C6E3B">
        <w:rPr>
          <w:rFonts w:ascii="Verdana" w:hAnsi="Verdana" w:cs="Arial"/>
          <w:b/>
          <w:lang w:val="es-ES" w:eastAsia="es-ES_tradnl"/>
        </w:rPr>
        <w:t xml:space="preserve">REGISTRO ÚNICO DE PROPONENTES – RUP – Firmeza – Inscripción </w:t>
      </w:r>
    </w:p>
    <w:p w14:paraId="2AA9207F" w14:textId="77777777" w:rsidR="000B7CC1" w:rsidRPr="000C6E3B" w:rsidRDefault="000B7CC1" w:rsidP="000B7CC1">
      <w:pPr>
        <w:spacing w:after="0" w:line="240" w:lineRule="auto"/>
        <w:contextualSpacing/>
        <w:jc w:val="both"/>
        <w:rPr>
          <w:rFonts w:ascii="Verdana" w:hAnsi="Verdana" w:cs="Arial"/>
          <w:bCs/>
          <w:sz w:val="20"/>
          <w:szCs w:val="20"/>
          <w:lang w:val="es-ES" w:eastAsia="es-ES_tradnl"/>
        </w:rPr>
      </w:pPr>
    </w:p>
    <w:p w14:paraId="355061E8" w14:textId="77777777" w:rsidR="000B7CC1" w:rsidRPr="000C6E3B" w:rsidRDefault="000B7CC1" w:rsidP="000B7CC1">
      <w:pPr>
        <w:spacing w:after="0" w:line="240" w:lineRule="auto"/>
        <w:contextualSpacing/>
        <w:jc w:val="both"/>
        <w:rPr>
          <w:rFonts w:ascii="Verdana" w:hAnsi="Verdana" w:cs="Arial"/>
          <w:sz w:val="20"/>
          <w:szCs w:val="20"/>
        </w:rPr>
      </w:pPr>
      <w:r w:rsidRPr="000C6E3B">
        <w:rPr>
          <w:rFonts w:ascii="Verdana" w:hAnsi="Verdana" w:cs="Arial"/>
          <w:sz w:val="20"/>
          <w:szCs w:val="20"/>
        </w:rPr>
        <w:t xml:space="preserve">En relación con la </w:t>
      </w:r>
      <w:r w:rsidRPr="000C6E3B">
        <w:rPr>
          <w:rFonts w:ascii="Verdana" w:hAnsi="Verdana" w:cs="Arial"/>
          <w:i/>
          <w:iCs/>
          <w:sz w:val="20"/>
          <w:szCs w:val="20"/>
        </w:rPr>
        <w:t>inscripción</w:t>
      </w:r>
      <w:r w:rsidRPr="000C6E3B">
        <w:rPr>
          <w:rFonts w:ascii="Verdana" w:hAnsi="Verdana" w:cs="Arial"/>
          <w:sz w:val="20"/>
          <w:szCs w:val="20"/>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 que establece que los proponentes no pueden acreditar circunstancias ocurridas con posterioridad al cierre del proceso, unido a lo expresado por la Sala de Consulta y Servicio Civil del Consejo de Estado, quien interpretó una norma de igual contenido a la anterior,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w:t>
      </w:r>
    </w:p>
    <w:p w14:paraId="67C8DCD7" w14:textId="77777777" w:rsidR="000B7CC1" w:rsidRPr="000C6E3B" w:rsidRDefault="000B7CC1" w:rsidP="000B7CC1">
      <w:pPr>
        <w:spacing w:after="0" w:line="240" w:lineRule="auto"/>
        <w:contextualSpacing/>
        <w:jc w:val="both"/>
        <w:rPr>
          <w:rFonts w:ascii="Verdana" w:hAnsi="Verdana" w:cs="Arial"/>
          <w:sz w:val="20"/>
          <w:szCs w:val="20"/>
        </w:rPr>
      </w:pPr>
    </w:p>
    <w:p w14:paraId="1FCD22F6" w14:textId="77777777" w:rsidR="000B7CC1" w:rsidRPr="000C6E3B" w:rsidRDefault="000B7CC1" w:rsidP="000B7CC1">
      <w:pPr>
        <w:spacing w:after="0" w:line="240" w:lineRule="auto"/>
        <w:contextualSpacing/>
        <w:jc w:val="both"/>
        <w:rPr>
          <w:rFonts w:ascii="Verdana" w:hAnsi="Verdana" w:cs="Arial"/>
          <w:sz w:val="20"/>
          <w:szCs w:val="20"/>
        </w:rPr>
      </w:pPr>
      <w:r w:rsidRPr="000C6E3B">
        <w:rPr>
          <w:rFonts w:ascii="Verdana" w:hAnsi="Verdana" w:cs="Arial"/>
          <w:sz w:val="20"/>
          <w:szCs w:val="20"/>
        </w:rPr>
        <w:t>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p w14:paraId="1BC2FEB4" w14:textId="77777777" w:rsidR="000B7CC1" w:rsidRPr="000C6E3B" w:rsidRDefault="000B7CC1" w:rsidP="000B7CC1">
      <w:pPr>
        <w:spacing w:after="0" w:line="240" w:lineRule="auto"/>
        <w:contextualSpacing/>
        <w:jc w:val="both"/>
        <w:rPr>
          <w:rFonts w:ascii="Verdana" w:hAnsi="Verdana" w:cs="Arial"/>
          <w:b/>
          <w:sz w:val="20"/>
          <w:szCs w:val="20"/>
          <w:lang w:val="es-ES" w:eastAsia="es-ES_tradnl"/>
        </w:rPr>
      </w:pPr>
    </w:p>
    <w:p w14:paraId="22B1EFDF" w14:textId="77777777" w:rsidR="000B7CC1" w:rsidRPr="000C6E3B" w:rsidRDefault="000B7CC1" w:rsidP="000B7CC1">
      <w:pPr>
        <w:spacing w:after="0" w:line="240" w:lineRule="auto"/>
        <w:contextualSpacing/>
        <w:jc w:val="both"/>
        <w:rPr>
          <w:rFonts w:ascii="Verdana" w:hAnsi="Verdana" w:cs="Arial"/>
          <w:b/>
          <w:lang w:val="es-ES" w:eastAsia="es-ES_tradnl"/>
        </w:rPr>
      </w:pPr>
      <w:r w:rsidRPr="000C6E3B">
        <w:rPr>
          <w:rFonts w:ascii="Verdana" w:hAnsi="Verdana" w:cs="Arial"/>
          <w:b/>
          <w:lang w:val="es-ES" w:eastAsia="es-ES_tradnl"/>
        </w:rPr>
        <w:t xml:space="preserve">REGISTRO ÚNICO DE PROPONENTES – RUP – Firmeza – Renovación </w:t>
      </w:r>
    </w:p>
    <w:p w14:paraId="1F4C057F" w14:textId="77777777" w:rsidR="000B7CC1" w:rsidRPr="000C6E3B" w:rsidRDefault="000B7CC1" w:rsidP="000B7CC1">
      <w:pPr>
        <w:spacing w:after="0" w:line="240" w:lineRule="auto"/>
        <w:contextualSpacing/>
        <w:jc w:val="both"/>
        <w:rPr>
          <w:rFonts w:ascii="Verdana" w:hAnsi="Verdana" w:cs="Arial"/>
          <w:b/>
          <w:sz w:val="20"/>
          <w:szCs w:val="20"/>
          <w:lang w:val="es-ES" w:eastAsia="es-ES_tradnl"/>
        </w:rPr>
      </w:pPr>
    </w:p>
    <w:p w14:paraId="427B978D" w14:textId="77777777" w:rsidR="000B7CC1" w:rsidRPr="000C6E3B" w:rsidRDefault="000B7CC1" w:rsidP="000B7CC1">
      <w:pPr>
        <w:spacing w:after="0" w:line="240" w:lineRule="auto"/>
        <w:contextualSpacing/>
        <w:jc w:val="both"/>
        <w:rPr>
          <w:rFonts w:ascii="Verdana" w:hAnsi="Verdana" w:cs="Arial"/>
          <w:sz w:val="20"/>
          <w:szCs w:val="20"/>
        </w:rPr>
      </w:pPr>
      <w:r w:rsidRPr="000C6E3B">
        <w:rPr>
          <w:rFonts w:ascii="Verdana" w:hAnsi="Verdana" w:cs="Arial"/>
          <w:sz w:val="20"/>
          <w:szCs w:val="20"/>
        </w:rPr>
        <w:lastRenderedPageBreak/>
        <w:t xml:space="preserve">Tratándose del trámite de </w:t>
      </w:r>
      <w:r w:rsidRPr="000C6E3B">
        <w:rPr>
          <w:rFonts w:ascii="Verdana" w:hAnsi="Verdana" w:cs="Arial"/>
          <w:i/>
          <w:iCs/>
          <w:sz w:val="20"/>
          <w:szCs w:val="20"/>
        </w:rPr>
        <w:t>renovación</w:t>
      </w:r>
      <w:r w:rsidRPr="000C6E3B">
        <w:rPr>
          <w:rFonts w:ascii="Verdana" w:hAnsi="Verdana" w:cs="Arial"/>
          <w:sz w:val="20"/>
          <w:szCs w:val="20"/>
        </w:rPr>
        <w:t>,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1A71E1D4" w14:textId="77777777" w:rsidR="000B7CC1" w:rsidRPr="000C6E3B" w:rsidRDefault="000B7CC1" w:rsidP="000B7CC1">
      <w:pPr>
        <w:spacing w:after="0" w:line="240" w:lineRule="auto"/>
        <w:contextualSpacing/>
        <w:jc w:val="both"/>
        <w:rPr>
          <w:rFonts w:ascii="Verdana" w:hAnsi="Verdana" w:cs="Arial"/>
          <w:sz w:val="20"/>
          <w:szCs w:val="20"/>
        </w:rPr>
      </w:pPr>
    </w:p>
    <w:p w14:paraId="1DF1412F" w14:textId="77777777" w:rsidR="000B7CC1" w:rsidRPr="000C6E3B" w:rsidRDefault="000B7CC1" w:rsidP="000B7CC1">
      <w:pPr>
        <w:spacing w:after="0" w:line="240" w:lineRule="auto"/>
        <w:contextualSpacing/>
        <w:jc w:val="both"/>
        <w:rPr>
          <w:rFonts w:ascii="Verdana" w:eastAsia="Calibri" w:hAnsi="Verdana" w:cs="Arial"/>
          <w:color w:val="000000"/>
          <w:sz w:val="20"/>
          <w:szCs w:val="20"/>
        </w:rPr>
      </w:pPr>
      <w:r w:rsidRPr="000C6E3B">
        <w:rPr>
          <w:rFonts w:ascii="Verdana" w:eastAsia="Calibri" w:hAnsi="Verdana" w:cs="Arial"/>
          <w:color w:val="000000"/>
          <w:sz w:val="20"/>
          <w:szCs w:val="20"/>
        </w:rPr>
        <w:t xml:space="preserve">Debe tenerse en cuenta, en relación con este aspecto, que el parágrafo 1, inciso segundo del artículo 5 de la Ley 1150 de 2007, modificado por el artículo 5 de la Ley 1882 de 2018, establece que: “Durante el término otorgado para subsanar las ofertas, los proponentes no podrán acreditar circunstancias ocurridas con posterioridad al cierre del proceso”. Esta regla tiene un alcance muy amplio, pues no expresa, como pudo haberlo hecho, que durante dicho término no se pueden </w:t>
      </w:r>
      <w:r w:rsidRPr="000C6E3B">
        <w:rPr>
          <w:rFonts w:ascii="Verdana" w:eastAsia="Calibri" w:hAnsi="Verdana" w:cs="Arial"/>
          <w:i/>
          <w:iCs/>
          <w:color w:val="000000"/>
          <w:sz w:val="20"/>
          <w:szCs w:val="20"/>
        </w:rPr>
        <w:t>subsanar</w:t>
      </w:r>
      <w:r w:rsidRPr="000C6E3B">
        <w:rPr>
          <w:rFonts w:ascii="Verdana" w:eastAsia="Calibri" w:hAnsi="Verdana" w:cs="Arial"/>
          <w:color w:val="000000"/>
          <w:sz w:val="20"/>
          <w:szCs w:val="20"/>
        </w:rPr>
        <w:t xml:space="preserve"> circunstancias ocurridas con posterioridad al cierre; sino que optó por establecer una regla más amplia, consistente en que durante dicho término los proponentes no pueden acreditar ningún tipo de “circunstancias ocurridas con posterioridad al cierre del proceso”. En tal sentido, se incurriría en la prohibición anterior si se presentara o acreditara un RUP diferente </w:t>
      </w:r>
      <w:r w:rsidRPr="000C6E3B">
        <w:rPr>
          <w:rFonts w:ascii="Verdana" w:eastAsia="Calibri" w:hAnsi="Verdana" w:cs="Arial"/>
          <w:i/>
          <w:iCs/>
          <w:color w:val="000000"/>
          <w:sz w:val="20"/>
          <w:szCs w:val="20"/>
        </w:rPr>
        <w:t xml:space="preserve">renovado, </w:t>
      </w:r>
      <w:r w:rsidRPr="000C6E3B">
        <w:rPr>
          <w:rFonts w:ascii="Verdana" w:eastAsia="Calibri" w:hAnsi="Verdana" w:cs="Arial"/>
          <w:color w:val="000000"/>
          <w:sz w:val="20"/>
          <w:szCs w:val="20"/>
        </w:rPr>
        <w:t>que no estaba en firme para el cierre del proceso; independientemente de que este nuevo RUP favorezca o perjudique al interesado.</w:t>
      </w:r>
    </w:p>
    <w:p w14:paraId="4B5E6045" w14:textId="77777777" w:rsidR="000B7CC1" w:rsidRPr="000C6E3B" w:rsidRDefault="000B7CC1" w:rsidP="000B7CC1">
      <w:pPr>
        <w:spacing w:after="0" w:line="240" w:lineRule="auto"/>
        <w:contextualSpacing/>
        <w:jc w:val="both"/>
        <w:rPr>
          <w:rFonts w:ascii="Verdana" w:hAnsi="Verdana" w:cs="Arial"/>
          <w:b/>
          <w:sz w:val="20"/>
          <w:szCs w:val="20"/>
          <w:lang w:val="es-ES" w:eastAsia="es-ES_tradnl"/>
        </w:rPr>
      </w:pPr>
    </w:p>
    <w:p w14:paraId="7EA019BE" w14:textId="77777777" w:rsidR="000B7CC1" w:rsidRPr="000C6E3B" w:rsidRDefault="000B7CC1" w:rsidP="000B7CC1">
      <w:pPr>
        <w:spacing w:after="0" w:line="240" w:lineRule="auto"/>
        <w:contextualSpacing/>
        <w:jc w:val="both"/>
        <w:rPr>
          <w:rFonts w:ascii="Verdana" w:hAnsi="Verdana" w:cs="Arial"/>
          <w:b/>
          <w:lang w:val="es-ES" w:eastAsia="es-ES_tradnl"/>
        </w:rPr>
      </w:pPr>
      <w:r w:rsidRPr="000C6E3B">
        <w:rPr>
          <w:rFonts w:ascii="Verdana" w:hAnsi="Verdana" w:cs="Arial"/>
          <w:b/>
          <w:lang w:val="es-ES" w:eastAsia="es-ES_tradnl"/>
        </w:rPr>
        <w:t xml:space="preserve">REGISTRO ÚNICO DE PROPONENTES – RUP – Firmeza – Actualización </w:t>
      </w:r>
    </w:p>
    <w:p w14:paraId="5F0896B1" w14:textId="77777777" w:rsidR="000B7CC1" w:rsidRPr="000C6E3B" w:rsidRDefault="000B7CC1" w:rsidP="000B7CC1">
      <w:pPr>
        <w:spacing w:after="0" w:line="240" w:lineRule="auto"/>
        <w:contextualSpacing/>
        <w:jc w:val="both"/>
        <w:rPr>
          <w:rFonts w:ascii="Verdana" w:hAnsi="Verdana" w:cs="Arial"/>
          <w:b/>
          <w:sz w:val="20"/>
          <w:szCs w:val="20"/>
          <w:lang w:val="es-ES" w:eastAsia="es-ES_tradnl"/>
        </w:rPr>
      </w:pPr>
    </w:p>
    <w:p w14:paraId="6789EA20" w14:textId="77777777" w:rsidR="000B7CC1" w:rsidRPr="000C6E3B" w:rsidRDefault="000B7CC1" w:rsidP="000B7CC1">
      <w:pPr>
        <w:spacing w:after="0" w:line="240" w:lineRule="auto"/>
        <w:contextualSpacing/>
        <w:jc w:val="both"/>
        <w:rPr>
          <w:rFonts w:ascii="Verdana" w:hAnsi="Verdana" w:cs="Arial"/>
          <w:sz w:val="20"/>
          <w:szCs w:val="20"/>
        </w:rPr>
      </w:pPr>
      <w:r w:rsidRPr="000C6E3B">
        <w:rPr>
          <w:rFonts w:ascii="Verdana" w:hAnsi="Verdana" w:cs="Arial"/>
          <w:sz w:val="20"/>
          <w:szCs w:val="20"/>
        </w:rPr>
        <w:t>Ahora bien, el deber de renovación, para impedir que el RUP deje de producir efectos consiste en “presentar la información para renovar su registro antes del quinto día hábil del mes de abril de cada año”.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p w14:paraId="30E7C80F" w14:textId="77777777" w:rsidR="000B7CC1" w:rsidRPr="000C6E3B" w:rsidRDefault="000B7CC1" w:rsidP="000B7CC1">
      <w:pPr>
        <w:spacing w:after="0" w:line="240" w:lineRule="auto"/>
        <w:contextualSpacing/>
        <w:jc w:val="both"/>
        <w:rPr>
          <w:rFonts w:ascii="Verdana" w:hAnsi="Verdana" w:cs="Arial"/>
          <w:bCs/>
          <w:sz w:val="20"/>
          <w:szCs w:val="20"/>
          <w:lang w:val="es-ES" w:eastAsia="es-ES_tradnl"/>
        </w:rPr>
      </w:pPr>
    </w:p>
    <w:p w14:paraId="46F2B9A5" w14:textId="77777777" w:rsidR="000B7CC1" w:rsidRPr="000C6E3B" w:rsidRDefault="000B7CC1" w:rsidP="000B7CC1">
      <w:pPr>
        <w:spacing w:after="0" w:line="240" w:lineRule="auto"/>
        <w:contextualSpacing/>
        <w:jc w:val="both"/>
        <w:rPr>
          <w:rFonts w:ascii="Verdana" w:hAnsi="Verdana" w:cs="Arial"/>
          <w:b/>
          <w:lang w:val="es-ES" w:eastAsia="es-ES_tradnl"/>
        </w:rPr>
      </w:pPr>
      <w:r w:rsidRPr="000C6E3B">
        <w:rPr>
          <w:rFonts w:ascii="Verdana" w:hAnsi="Verdana" w:cs="Arial"/>
          <w:b/>
          <w:lang w:val="es-ES" w:eastAsia="es-ES_tradnl"/>
        </w:rPr>
        <w:t>REGISTRO ÚNICO DE PROPONENTES – RUP – Firmeza – Cierre del Proceso</w:t>
      </w:r>
    </w:p>
    <w:p w14:paraId="68C8D2BE" w14:textId="77777777" w:rsidR="000B7CC1" w:rsidRDefault="000B7CC1" w:rsidP="000B7CC1">
      <w:pPr>
        <w:spacing w:after="0" w:line="240" w:lineRule="auto"/>
        <w:contextualSpacing/>
        <w:jc w:val="both"/>
        <w:rPr>
          <w:rFonts w:ascii="Verdana" w:hAnsi="Verdana" w:cs="Arial"/>
          <w:sz w:val="20"/>
          <w:szCs w:val="20"/>
        </w:rPr>
      </w:pPr>
    </w:p>
    <w:p w14:paraId="7B49C120" w14:textId="77777777" w:rsidR="000B7CC1" w:rsidRDefault="000B7CC1" w:rsidP="000B7CC1">
      <w:pPr>
        <w:spacing w:after="0" w:line="240" w:lineRule="auto"/>
        <w:contextualSpacing/>
        <w:jc w:val="both"/>
        <w:rPr>
          <w:rFonts w:ascii="Verdana" w:hAnsi="Verdana" w:cs="Arial"/>
          <w:sz w:val="20"/>
          <w:szCs w:val="20"/>
          <w:lang w:val="es-MX"/>
        </w:rPr>
      </w:pPr>
      <w:r w:rsidRPr="000C6E3B">
        <w:rPr>
          <w:rFonts w:ascii="Verdana" w:hAnsi="Verdana" w:cs="Arial"/>
          <w:sz w:val="20"/>
          <w:szCs w:val="20"/>
        </w:rPr>
        <w:t xml:space="preserve">[…] es menester analizar si el RUP debe estar en firme para el momento cierre del proceso de selección o se es necesario que se mantenga vigente y esté en firme hasta el momento en que se celebre la audiencia de subasta. Al respecto, esta Agencia considera que, </w:t>
      </w:r>
      <w:proofErr w:type="spellStart"/>
      <w:r w:rsidRPr="000C6E3B">
        <w:rPr>
          <w:rFonts w:ascii="Verdana" w:hAnsi="Verdana" w:cs="Arial"/>
          <w:sz w:val="20"/>
          <w:szCs w:val="20"/>
          <w:lang w:val="es-MX"/>
        </w:rPr>
        <w:t>si</w:t>
      </w:r>
      <w:proofErr w:type="spellEnd"/>
      <w:r w:rsidRPr="000C6E3B">
        <w:rPr>
          <w:rFonts w:ascii="Verdana" w:hAnsi="Verdana" w:cs="Arial"/>
          <w:sz w:val="20"/>
          <w:szCs w:val="20"/>
          <w:lang w:val="es-MX"/>
        </w:rPr>
        <w:t xml:space="preserve"> para ese momento del cierre del proceso el Proponente tenía en firme el RUP estará habilitado para participar en el proceso y ser adjudicatario del contrato. </w:t>
      </w:r>
    </w:p>
    <w:p w14:paraId="5782DD5D" w14:textId="77777777" w:rsidR="000B7CC1" w:rsidRPr="000C6E3B" w:rsidRDefault="000B7CC1" w:rsidP="000B7CC1">
      <w:pPr>
        <w:spacing w:after="0" w:line="240" w:lineRule="auto"/>
        <w:contextualSpacing/>
        <w:jc w:val="both"/>
        <w:rPr>
          <w:rFonts w:ascii="Verdana" w:hAnsi="Verdana" w:cs="Arial"/>
          <w:sz w:val="20"/>
          <w:szCs w:val="20"/>
          <w:lang w:val="es-MX"/>
        </w:rPr>
      </w:pPr>
    </w:p>
    <w:p w14:paraId="527312A0" w14:textId="77777777" w:rsidR="000B7CC1" w:rsidRPr="000C6E3B" w:rsidRDefault="000B7CC1" w:rsidP="000B7CC1">
      <w:pPr>
        <w:spacing w:after="0" w:line="240" w:lineRule="auto"/>
        <w:contextualSpacing/>
        <w:jc w:val="both"/>
        <w:rPr>
          <w:rFonts w:ascii="Verdana" w:hAnsi="Verdana"/>
          <w:sz w:val="20"/>
          <w:szCs w:val="20"/>
          <w:lang w:val="es-ES"/>
        </w:rPr>
      </w:pPr>
      <w:r w:rsidRPr="000C6E3B">
        <w:rPr>
          <w:rFonts w:ascii="Verdana" w:hAnsi="Verdana" w:cs="Arial"/>
          <w:sz w:val="20"/>
          <w:szCs w:val="20"/>
        </w:rPr>
        <w:t>Dicha posición coincide con la tesis defendida por el Consejo de Estado, en sentencia proferida el pasado 17 de julio. Dicha Corporación, al analizar si la oferta ganadora en un Proceso de Contratación debió ser descalificada porque uno de los integrantes del consorcio adjudicatario no contaba con una inscripción vigente en el RÚP entre la fecha del cierre de la licitación y el acto de adjudicación</w:t>
      </w:r>
    </w:p>
    <w:p w14:paraId="239E55CD" w14:textId="77777777" w:rsidR="000B7CC1" w:rsidRDefault="000B7CC1" w:rsidP="000B7CC1">
      <w:pPr>
        <w:rPr>
          <w:rFonts w:ascii="Verdana" w:eastAsia="Geomanist Light" w:hAnsi="Verdana" w:cs="Arial"/>
          <w:lang w:val="es-MX"/>
        </w:rPr>
      </w:pPr>
      <w:r>
        <w:rPr>
          <w:rFonts w:ascii="Verdana" w:eastAsia="Geomanist Light" w:hAnsi="Verdana" w:cs="Arial"/>
          <w:lang w:val="es-MX"/>
        </w:rPr>
        <w:br w:type="page"/>
      </w:r>
    </w:p>
    <w:p w14:paraId="7B7FC8A6" w14:textId="3D68E76B" w:rsidR="00C1511F" w:rsidRDefault="00C1511F" w:rsidP="00C1511F">
      <w:pPr>
        <w:spacing w:after="0" w:line="240" w:lineRule="auto"/>
        <w:rPr>
          <w:rFonts w:ascii="Verdana" w:hAnsi="Verdana"/>
        </w:rPr>
      </w:pPr>
      <w:r>
        <w:rPr>
          <w:rFonts w:ascii="Verdana" w:hAnsi="Verdana"/>
        </w:rPr>
        <w:t>B</w:t>
      </w:r>
      <w:r w:rsidRPr="0044528D">
        <w:rPr>
          <w:rFonts w:ascii="Verdana" w:hAnsi="Verdana"/>
        </w:rPr>
        <w:t xml:space="preserve">ogotá D.C., </w:t>
      </w:r>
      <w:r w:rsidR="002A5038">
        <w:rPr>
          <w:rFonts w:ascii="Verdana" w:hAnsi="Verdana"/>
        </w:rPr>
        <w:t>02</w:t>
      </w:r>
      <w:r>
        <w:rPr>
          <w:rFonts w:ascii="Verdana" w:hAnsi="Verdana"/>
        </w:rPr>
        <w:t xml:space="preserve"> de </w:t>
      </w:r>
      <w:r w:rsidR="002A5038">
        <w:rPr>
          <w:rFonts w:ascii="Verdana" w:hAnsi="Verdana"/>
        </w:rPr>
        <w:t>diciembre</w:t>
      </w:r>
      <w:r w:rsidR="00CA4CCC">
        <w:rPr>
          <w:rFonts w:ascii="Verdana" w:hAnsi="Verdana"/>
        </w:rPr>
        <w:t xml:space="preserve"> </w:t>
      </w:r>
      <w:r>
        <w:rPr>
          <w:rFonts w:ascii="Verdana" w:hAnsi="Verdana"/>
        </w:rPr>
        <w:t xml:space="preserve">de </w:t>
      </w:r>
      <w:r w:rsidR="00131D54">
        <w:rPr>
          <w:rFonts w:ascii="Verdana" w:hAnsi="Verdana"/>
        </w:rPr>
        <w:t>2025</w:t>
      </w:r>
      <w:r>
        <w:rPr>
          <w:rFonts w:ascii="Verdana" w:hAnsi="Verdana"/>
        </w:rPr>
        <w:t>.</w:t>
      </w:r>
    </w:p>
    <w:bookmarkEnd w:id="0"/>
    <w:p w14:paraId="704194A5" w14:textId="77777777" w:rsidR="00C1511F" w:rsidRDefault="00C1511F" w:rsidP="00C1511F">
      <w:pPr>
        <w:spacing w:after="0" w:line="240" w:lineRule="auto"/>
        <w:rPr>
          <w:rFonts w:ascii="Verdana" w:hAnsi="Verdana"/>
        </w:rPr>
      </w:pPr>
    </w:p>
    <w:p w14:paraId="04E9DEC2" w14:textId="1F34866A" w:rsidR="002A5038" w:rsidRDefault="002A5038" w:rsidP="002A5038">
      <w:pPr>
        <w:spacing w:after="0" w:line="240" w:lineRule="auto"/>
        <w:jc w:val="right"/>
        <w:rPr>
          <w:rFonts w:ascii="Verdana" w:hAnsi="Verdana"/>
        </w:rPr>
      </w:pPr>
      <w:r>
        <w:rPr>
          <w:rFonts w:ascii="Verdana" w:hAnsi="Verdana"/>
          <w:noProof/>
        </w:rPr>
        <w:drawing>
          <wp:inline distT="0" distB="0" distL="0" distR="0" wp14:anchorId="0B9F337B" wp14:editId="1FB288BD">
            <wp:extent cx="2695575" cy="800100"/>
            <wp:effectExtent l="0" t="0" r="9525" b="0"/>
            <wp:docPr id="2154083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5575" cy="800100"/>
                    </a:xfrm>
                    <a:prstGeom prst="rect">
                      <a:avLst/>
                    </a:prstGeom>
                    <a:noFill/>
                    <a:ln>
                      <a:noFill/>
                    </a:ln>
                  </pic:spPr>
                </pic:pic>
              </a:graphicData>
            </a:graphic>
          </wp:inline>
        </w:drawing>
      </w:r>
    </w:p>
    <w:p w14:paraId="547751EC" w14:textId="77777777" w:rsidR="002A5038" w:rsidRDefault="002A5038" w:rsidP="00C1511F">
      <w:pPr>
        <w:spacing w:after="0" w:line="240" w:lineRule="auto"/>
        <w:rPr>
          <w:rFonts w:ascii="Verdana" w:hAnsi="Verdana"/>
        </w:rPr>
      </w:pPr>
    </w:p>
    <w:p w14:paraId="6EA1D3E2" w14:textId="77777777" w:rsidR="000B7CC1" w:rsidRDefault="000B7CC1" w:rsidP="00C1511F">
      <w:pPr>
        <w:spacing w:after="0" w:line="240" w:lineRule="auto"/>
        <w:rPr>
          <w:rFonts w:ascii="Verdana" w:hAnsi="Verdana"/>
        </w:rPr>
      </w:pPr>
    </w:p>
    <w:p w14:paraId="06A0972E" w14:textId="518B4B63" w:rsidR="00C1511F" w:rsidRPr="003575D1" w:rsidRDefault="00C1511F" w:rsidP="00C1511F">
      <w:pPr>
        <w:spacing w:after="0" w:line="240" w:lineRule="auto"/>
        <w:jc w:val="both"/>
        <w:rPr>
          <w:rFonts w:ascii="Verdana" w:eastAsia="Calibri" w:hAnsi="Verdana" w:cs="Arial"/>
          <w:lang w:eastAsia="es-ES"/>
        </w:rPr>
      </w:pPr>
      <w:r w:rsidRPr="003575D1">
        <w:rPr>
          <w:rFonts w:ascii="Verdana" w:eastAsia="Calibri" w:hAnsi="Verdana" w:cs="Arial"/>
          <w:lang w:eastAsia="es-ES"/>
        </w:rPr>
        <w:t>Señor</w:t>
      </w:r>
      <w:r w:rsidRPr="003575D1">
        <w:rPr>
          <w:rFonts w:ascii="Verdana" w:eastAsia="Calibri" w:hAnsi="Verdana" w:cs="Arial"/>
          <w:lang w:eastAsia="es-ES"/>
        </w:rPr>
        <w:tab/>
      </w:r>
    </w:p>
    <w:p w14:paraId="6C3FEF5E" w14:textId="62E04F9C" w:rsidR="0075379F" w:rsidRDefault="0033720F" w:rsidP="00C1511F">
      <w:pPr>
        <w:spacing w:after="0" w:line="240" w:lineRule="auto"/>
        <w:rPr>
          <w:rFonts w:ascii="Verdana" w:eastAsia="Calibri" w:hAnsi="Verdana" w:cs="Arial"/>
          <w:b/>
          <w:bCs/>
          <w:lang w:eastAsia="es-ES"/>
        </w:rPr>
      </w:pPr>
      <w:r>
        <w:rPr>
          <w:rFonts w:ascii="Verdana" w:eastAsia="Calibri" w:hAnsi="Verdana" w:cs="Arial"/>
          <w:b/>
          <w:bCs/>
          <w:lang w:eastAsia="es-ES"/>
        </w:rPr>
        <w:t>JUAN DE CASTRO</w:t>
      </w:r>
    </w:p>
    <w:p w14:paraId="485C12B4" w14:textId="74555375" w:rsidR="00C1511F" w:rsidRDefault="0033720F" w:rsidP="00C1511F">
      <w:pPr>
        <w:spacing w:after="0" w:line="240" w:lineRule="auto"/>
        <w:rPr>
          <w:rFonts w:ascii="Verdana" w:hAnsi="Verdana"/>
        </w:rPr>
      </w:pPr>
      <w:hyperlink r:id="rId12" w:history="1">
        <w:r w:rsidRPr="00D176B0">
          <w:rPr>
            <w:rStyle w:val="Hipervnculo"/>
            <w:rFonts w:ascii="Verdana" w:hAnsi="Verdana"/>
          </w:rPr>
          <w:t>jdcastro.dcobras@gmail.com</w:t>
        </w:r>
      </w:hyperlink>
      <w:r>
        <w:rPr>
          <w:rFonts w:ascii="Verdana" w:hAnsi="Verdana"/>
        </w:rPr>
        <w:t xml:space="preserve"> </w:t>
      </w:r>
    </w:p>
    <w:p w14:paraId="5B850941" w14:textId="2A418BAD" w:rsidR="006370D8" w:rsidRPr="003575D1" w:rsidRDefault="0075379F" w:rsidP="00C1511F">
      <w:pPr>
        <w:spacing w:after="0" w:line="240" w:lineRule="auto"/>
        <w:rPr>
          <w:rFonts w:ascii="Verdana" w:hAnsi="Verdana"/>
          <w:highlight w:val="yellow"/>
        </w:rPr>
      </w:pPr>
      <w:r>
        <w:rPr>
          <w:rFonts w:ascii="Verdana" w:hAnsi="Verdana"/>
        </w:rPr>
        <w:t>Bogotá D.C.</w:t>
      </w:r>
      <w:r w:rsidR="006370D8">
        <w:rPr>
          <w:rFonts w:ascii="Verdana" w:hAnsi="Verdana"/>
        </w:rPr>
        <w:t xml:space="preserve"> </w:t>
      </w:r>
    </w:p>
    <w:p w14:paraId="0F464BC6" w14:textId="77777777" w:rsidR="00C1511F" w:rsidRPr="00FE3DEC" w:rsidRDefault="00C1511F" w:rsidP="00C1511F">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C1511F" w:rsidRPr="00593A5F" w14:paraId="2CC523E4" w14:textId="77777777" w:rsidTr="00660F64">
        <w:trPr>
          <w:trHeight w:val="273"/>
        </w:trPr>
        <w:tc>
          <w:tcPr>
            <w:tcW w:w="2295" w:type="dxa"/>
          </w:tcPr>
          <w:p w14:paraId="16D5B03E" w14:textId="77777777" w:rsidR="00C1511F" w:rsidRPr="00E5644F" w:rsidRDefault="00C1511F" w:rsidP="00660F64">
            <w:pPr>
              <w:jc w:val="both"/>
              <w:rPr>
                <w:rFonts w:ascii="Verdana" w:eastAsia="Calibri" w:hAnsi="Verdana" w:cs="Arial"/>
                <w:b/>
                <w:bCs/>
                <w:color w:val="7030A0"/>
                <w:lang w:val="es-ES_tradnl" w:eastAsia="es-ES_tradnl"/>
              </w:rPr>
            </w:pPr>
          </w:p>
        </w:tc>
        <w:tc>
          <w:tcPr>
            <w:tcW w:w="6481" w:type="dxa"/>
            <w:gridSpan w:val="2"/>
          </w:tcPr>
          <w:p w14:paraId="1ED6EEAD" w14:textId="4DDD36EC" w:rsidR="00C1511F" w:rsidRDefault="00C1511F" w:rsidP="00660F6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5034D2">
              <w:rPr>
                <w:rFonts w:ascii="Verdana" w:eastAsia="Calibri" w:hAnsi="Verdana" w:cs="Arial"/>
                <w:b/>
                <w:bCs/>
                <w:lang w:val="es-ES" w:eastAsia="es-ES"/>
              </w:rPr>
              <w:t>15</w:t>
            </w:r>
            <w:r w:rsidR="000D1076">
              <w:rPr>
                <w:rFonts w:ascii="Verdana" w:eastAsia="Calibri" w:hAnsi="Verdana" w:cs="Arial"/>
                <w:b/>
                <w:bCs/>
                <w:lang w:val="es-ES" w:eastAsia="es-ES"/>
              </w:rPr>
              <w:t>5</w:t>
            </w:r>
            <w:r w:rsidR="0033720F">
              <w:rPr>
                <w:rFonts w:ascii="Verdana" w:eastAsia="Calibri" w:hAnsi="Verdana" w:cs="Arial"/>
                <w:b/>
                <w:bCs/>
                <w:lang w:val="es-ES" w:eastAsia="es-ES"/>
              </w:rPr>
              <w:t>1</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68F2682" w14:textId="77777777" w:rsidR="00C1511F" w:rsidRPr="00E5644F" w:rsidRDefault="00C1511F" w:rsidP="00660F64">
            <w:pPr>
              <w:jc w:val="both"/>
              <w:rPr>
                <w:rFonts w:ascii="Verdana" w:eastAsia="Calibri" w:hAnsi="Verdana" w:cs="Arial"/>
                <w:b/>
                <w:bCs/>
                <w:color w:val="7030A0"/>
                <w:lang w:val="es-ES" w:eastAsia="es-ES"/>
              </w:rPr>
            </w:pPr>
          </w:p>
        </w:tc>
      </w:tr>
      <w:tr w:rsidR="00C1511F" w:rsidRPr="005034D2" w14:paraId="49EB07A3" w14:textId="77777777" w:rsidTr="00AA6344">
        <w:trPr>
          <w:trHeight w:val="651"/>
        </w:trPr>
        <w:tc>
          <w:tcPr>
            <w:tcW w:w="2295" w:type="dxa"/>
          </w:tcPr>
          <w:p w14:paraId="21FEB36D" w14:textId="77777777" w:rsidR="00C1511F" w:rsidRPr="00593A5F" w:rsidRDefault="00C1511F" w:rsidP="00660F6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5A4B528A" w14:textId="587F6F0B" w:rsidR="000B7CC1" w:rsidRPr="00392E37" w:rsidRDefault="000B7CC1" w:rsidP="000B7CC1">
            <w:pPr>
              <w:jc w:val="both"/>
              <w:rPr>
                <w:rFonts w:ascii="Verdana" w:hAnsi="Verdana" w:cs="Arial"/>
                <w:bCs/>
                <w:lang w:val="es-ES" w:eastAsia="es-ES_tradnl"/>
              </w:rPr>
            </w:pPr>
            <w:r w:rsidRPr="00392E37">
              <w:rPr>
                <w:rFonts w:ascii="Verdana" w:hAnsi="Verdana" w:cs="Arial"/>
                <w:bCs/>
                <w:lang w:val="es-ES" w:eastAsia="es-ES_tradnl"/>
              </w:rPr>
              <w:t xml:space="preserve">REGISTRO ÚNICO DE PROPONENTES – RUP – Concepto / REGISTRO ÚNICO DE PROPONENTES – RUP – Firmeza / REGISTRO ÚNICO DE PROPONENTES – RUP – Firmeza – Inscripción / REGISTRO ÚNICO DE PROPONENTES – RUP – Firmeza – Renovación / REGISTRO ÚNICO DE PROPONENTES – RUP – Firmeza – Actualización / REGISTRO ÚNICO DE PROPONENTES – RUP – Firmeza – </w:t>
            </w:r>
            <w:r>
              <w:rPr>
                <w:rFonts w:ascii="Verdana" w:hAnsi="Verdana" w:cs="Arial"/>
                <w:bCs/>
                <w:lang w:val="es-ES" w:eastAsia="es-ES_tradnl"/>
              </w:rPr>
              <w:t>Cierre del Proceso.</w:t>
            </w:r>
          </w:p>
          <w:p w14:paraId="10B6A52A" w14:textId="324E66B0" w:rsidR="00C1511F" w:rsidRPr="005034D2" w:rsidRDefault="00C1511F" w:rsidP="00AA6344">
            <w:pPr>
              <w:jc w:val="both"/>
              <w:rPr>
                <w:rFonts w:ascii="Verdana" w:eastAsia="Calibri" w:hAnsi="Verdana" w:cs="Arial"/>
                <w:b/>
                <w:highlight w:val="yellow"/>
                <w:lang w:val="es-ES" w:eastAsia="es-ES"/>
              </w:rPr>
            </w:pPr>
          </w:p>
        </w:tc>
      </w:tr>
      <w:tr w:rsidR="00C1511F" w:rsidRPr="00593A5F" w14:paraId="571ABAF4" w14:textId="77777777" w:rsidTr="00660F64">
        <w:trPr>
          <w:trHeight w:val="545"/>
        </w:trPr>
        <w:tc>
          <w:tcPr>
            <w:tcW w:w="2295" w:type="dxa"/>
          </w:tcPr>
          <w:p w14:paraId="5890C7B6" w14:textId="77777777" w:rsidR="00C1511F" w:rsidRPr="006730E9" w:rsidRDefault="00C1511F" w:rsidP="00660F6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454A869B" w14:textId="7DDF749D" w:rsidR="00C1511F" w:rsidRPr="006730E9" w:rsidRDefault="00C1511F" w:rsidP="00660F6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0D1076" w:rsidRPr="000D1076">
              <w:rPr>
                <w:rFonts w:ascii="Verdana" w:eastAsia="Calibri" w:hAnsi="Verdana" w:cs="Arial"/>
                <w:lang w:val="es-ES_tradnl" w:eastAsia="es-ES_tradnl"/>
              </w:rPr>
              <w:t>1_2025_10_22_011866</w:t>
            </w:r>
            <w:r w:rsidR="000D1076">
              <w:rPr>
                <w:rFonts w:ascii="Verdana" w:eastAsia="Calibri" w:hAnsi="Verdana" w:cs="Arial"/>
                <w:lang w:val="es-ES_tradnl" w:eastAsia="es-ES_tradnl"/>
              </w:rPr>
              <w:t>.</w:t>
            </w:r>
          </w:p>
        </w:tc>
      </w:tr>
      <w:tr w:rsidR="00C1511F" w:rsidRPr="00DB23D2" w14:paraId="391F5535" w14:textId="77777777" w:rsidTr="00660F64">
        <w:trPr>
          <w:gridAfter w:val="1"/>
          <w:wAfter w:w="319" w:type="dxa"/>
          <w:trHeight w:val="242"/>
        </w:trPr>
        <w:tc>
          <w:tcPr>
            <w:tcW w:w="8457" w:type="dxa"/>
            <w:gridSpan w:val="2"/>
          </w:tcPr>
          <w:p w14:paraId="378309E5" w14:textId="77777777" w:rsidR="00C1511F" w:rsidRPr="00DB23D2" w:rsidRDefault="00C1511F" w:rsidP="00660F64">
            <w:pPr>
              <w:spacing w:line="276" w:lineRule="auto"/>
              <w:jc w:val="both"/>
              <w:rPr>
                <w:rFonts w:ascii="Verdana" w:eastAsia="Calibri" w:hAnsi="Verdana" w:cs="Arial"/>
                <w:lang w:val="es-ES_tradnl" w:eastAsia="es-ES"/>
              </w:rPr>
            </w:pPr>
          </w:p>
        </w:tc>
      </w:tr>
    </w:tbl>
    <w:p w14:paraId="0214A2E1" w14:textId="0397811D" w:rsidR="00C1511F" w:rsidRPr="006730E9" w:rsidRDefault="00C1511F" w:rsidP="00C1511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2739F6">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33720F">
        <w:rPr>
          <w:rFonts w:ascii="Verdana" w:eastAsia="Calibri" w:hAnsi="Verdana" w:cs="Arial"/>
          <w:lang w:val="es-ES" w:eastAsia="es-ES"/>
        </w:rPr>
        <w:t>De Castro</w:t>
      </w:r>
      <w:r>
        <w:rPr>
          <w:rFonts w:ascii="Verdana" w:eastAsia="Calibri" w:hAnsi="Verdana" w:cs="Arial"/>
          <w:lang w:val="es-ES" w:eastAsia="es-ES"/>
        </w:rPr>
        <w:t>;</w:t>
      </w:r>
    </w:p>
    <w:p w14:paraId="6CB9564C" w14:textId="77777777" w:rsidR="00C1511F" w:rsidRDefault="00C1511F" w:rsidP="00C1511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1D30832C" w14:textId="51CBE72F" w:rsidR="00C1511F" w:rsidRPr="006730E9" w:rsidRDefault="00C1511F" w:rsidP="00C1511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w:t>
      </w:r>
      <w:r w:rsidR="002739F6">
        <w:rPr>
          <w:rFonts w:ascii="Verdana" w:eastAsia="Calibri" w:hAnsi="Verdana" w:cs="Arial"/>
          <w:lang w:val="es-ES" w:eastAsia="es-ES"/>
        </w:rPr>
        <w:t xml:space="preserve">radicada </w:t>
      </w:r>
      <w:r>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2739F6">
        <w:rPr>
          <w:rFonts w:ascii="Verdana" w:eastAsia="Calibri" w:hAnsi="Verdana" w:cs="Arial"/>
          <w:lang w:val="es-ES" w:eastAsia="es-ES"/>
        </w:rPr>
        <w:t>2</w:t>
      </w:r>
      <w:r w:rsidR="00C2302E">
        <w:rPr>
          <w:rFonts w:ascii="Verdana" w:eastAsia="Calibri" w:hAnsi="Verdana" w:cs="Arial"/>
          <w:lang w:val="es-ES" w:eastAsia="es-ES"/>
        </w:rPr>
        <w:t>2</w:t>
      </w:r>
      <w:r w:rsidRPr="00656A22">
        <w:rPr>
          <w:rFonts w:ascii="Verdana" w:eastAsia="Calibri" w:hAnsi="Verdana" w:cs="Arial"/>
          <w:lang w:val="es-ES" w:eastAsia="es-ES"/>
        </w:rPr>
        <w:t xml:space="preserve"> de </w:t>
      </w:r>
      <w:r w:rsidR="006370D8">
        <w:rPr>
          <w:rFonts w:ascii="Verdana" w:eastAsia="Calibri" w:hAnsi="Verdana" w:cs="Arial"/>
          <w:lang w:val="es-ES" w:eastAsia="es-ES"/>
        </w:rPr>
        <w:t>octu</w:t>
      </w:r>
      <w:r>
        <w:rPr>
          <w:rFonts w:ascii="Verdana" w:eastAsia="Calibri" w:hAnsi="Verdana" w:cs="Arial"/>
          <w:lang w:val="es-ES" w:eastAsia="es-ES"/>
        </w:rPr>
        <w:t>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6924E634" w14:textId="77777777" w:rsidR="00C1511F" w:rsidRPr="00326382" w:rsidRDefault="00C1511F" w:rsidP="00C1511F">
      <w:pPr>
        <w:spacing w:after="0" w:line="276" w:lineRule="auto"/>
        <w:ind w:left="709" w:right="474"/>
        <w:jc w:val="both"/>
        <w:rPr>
          <w:rFonts w:ascii="Verdana" w:hAnsi="Verdana" w:cs="Arial"/>
          <w:sz w:val="20"/>
          <w:szCs w:val="20"/>
          <w:shd w:val="clear" w:color="auto" w:fill="FFFFFF"/>
        </w:rPr>
      </w:pPr>
      <w:bookmarkStart w:id="2" w:name="_Hlk95313578"/>
    </w:p>
    <w:bookmarkEnd w:id="2"/>
    <w:p w14:paraId="47A05413" w14:textId="77777777" w:rsidR="00C1511F" w:rsidRDefault="00C1511F" w:rsidP="00C1511F">
      <w:pPr>
        <w:tabs>
          <w:tab w:val="left" w:pos="142"/>
          <w:tab w:val="left" w:pos="567"/>
        </w:tabs>
        <w:spacing w:after="0" w:line="240" w:lineRule="auto"/>
        <w:ind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          “(…) </w:t>
      </w:r>
    </w:p>
    <w:p w14:paraId="0AD9DA82" w14:textId="089C8951" w:rsidR="003D4704" w:rsidRDefault="0058668D" w:rsidP="0058668D">
      <w:pPr>
        <w:tabs>
          <w:tab w:val="left" w:pos="142"/>
          <w:tab w:val="left" w:pos="567"/>
        </w:tabs>
        <w:spacing w:after="0" w:line="240" w:lineRule="auto"/>
        <w:ind w:left="709" w:right="709"/>
        <w:jc w:val="both"/>
        <w:rPr>
          <w:rFonts w:ascii="Verdana" w:eastAsia="Century Gothic" w:hAnsi="Verdana" w:cs="Century Gothic"/>
          <w:i/>
          <w:iCs/>
          <w:sz w:val="20"/>
          <w:szCs w:val="20"/>
        </w:rPr>
      </w:pPr>
      <w:r w:rsidRPr="0058668D">
        <w:rPr>
          <w:rFonts w:ascii="Verdana" w:eastAsia="Century Gothic" w:hAnsi="Verdana" w:cs="Century Gothic"/>
          <w:i/>
          <w:iCs/>
          <w:sz w:val="20"/>
          <w:szCs w:val="20"/>
        </w:rPr>
        <w:t>Solicito comedidamente a ustedes sírvanse darme respuesta a lo siguiente:</w:t>
      </w:r>
      <w:r>
        <w:rPr>
          <w:rFonts w:ascii="Verdana" w:eastAsia="Century Gothic" w:hAnsi="Verdana" w:cs="Century Gothic"/>
          <w:i/>
          <w:iCs/>
          <w:sz w:val="20"/>
          <w:szCs w:val="20"/>
        </w:rPr>
        <w:t xml:space="preserve"> </w:t>
      </w:r>
      <w:r w:rsidRPr="0058668D">
        <w:rPr>
          <w:rFonts w:ascii="Verdana" w:eastAsia="Century Gothic" w:hAnsi="Verdana" w:cs="Century Gothic"/>
          <w:i/>
          <w:iCs/>
          <w:sz w:val="20"/>
          <w:szCs w:val="20"/>
        </w:rPr>
        <w:t>¿En los procesos de Licitación de Obras Públicas adelantadas en el Secop II, las entidades estatales deben aceptar o tener como válidos los Certificados de existencias y de Registro único de Proponentes que sean descargados desde la misma plataforma del Secop II?</w:t>
      </w:r>
    </w:p>
    <w:p w14:paraId="08FB820C" w14:textId="27C7E7DF" w:rsidR="00C1511F" w:rsidRPr="00EA70F7" w:rsidRDefault="00C1511F" w:rsidP="00C1511F">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33B8BBA2" w14:textId="77777777" w:rsidR="00C1511F" w:rsidRDefault="00C1511F" w:rsidP="00C1511F">
      <w:pPr>
        <w:spacing w:after="0" w:line="276" w:lineRule="auto"/>
        <w:ind w:firstLine="709"/>
        <w:jc w:val="both"/>
        <w:rPr>
          <w:rFonts w:ascii="Verdana" w:eastAsia="Calibri" w:hAnsi="Verdana" w:cs="Arial"/>
          <w:lang w:val="es-ES" w:eastAsia="es-ES"/>
        </w:rPr>
      </w:pPr>
    </w:p>
    <w:p w14:paraId="5103154F" w14:textId="77777777" w:rsidR="00C1511F" w:rsidRPr="00AA3B9F" w:rsidRDefault="00C1511F" w:rsidP="00C1511F">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7E556145" w14:textId="77777777" w:rsidR="00C1511F" w:rsidRDefault="00C1511F" w:rsidP="00C1511F">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C8191A6" w14:textId="77777777" w:rsidR="00C1511F" w:rsidRDefault="00C1511F" w:rsidP="00C1511F">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1BD5145" w14:textId="27A165EA" w:rsidR="00C1511F" w:rsidRDefault="00C1511F" w:rsidP="00C1511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s jurídicos </w:t>
      </w:r>
      <w:r w:rsidRPr="00593A5F">
        <w:rPr>
          <w:rFonts w:ascii="Verdana" w:eastAsia="Century Gothic" w:hAnsi="Verdana" w:cs="Century Gothic"/>
          <w:b/>
          <w:bCs/>
        </w:rPr>
        <w:t>planteado</w:t>
      </w:r>
      <w:r>
        <w:rPr>
          <w:rFonts w:ascii="Verdana" w:eastAsia="Century Gothic" w:hAnsi="Verdana" w:cs="Century Gothic"/>
          <w:b/>
          <w:bCs/>
        </w:rPr>
        <w:t>s</w:t>
      </w:r>
      <w:r w:rsidR="001672A5">
        <w:rPr>
          <w:rFonts w:ascii="Verdana" w:eastAsia="Century Gothic" w:hAnsi="Verdana" w:cs="Century Gothic"/>
          <w:b/>
          <w:bCs/>
        </w:rPr>
        <w:t xml:space="preserve"> </w:t>
      </w:r>
      <w:r w:rsidRPr="00593A5F">
        <w:rPr>
          <w:rFonts w:ascii="Verdana" w:eastAsia="Century Gothic" w:hAnsi="Verdana" w:cs="Century Gothic"/>
          <w:b/>
          <w:bCs/>
        </w:rPr>
        <w:t>:</w:t>
      </w:r>
    </w:p>
    <w:p w14:paraId="56E36DE0" w14:textId="77777777" w:rsidR="00C1511F" w:rsidRDefault="00C1511F" w:rsidP="00C1511F">
      <w:pPr>
        <w:pStyle w:val="Prrafodelista"/>
        <w:tabs>
          <w:tab w:val="left" w:pos="142"/>
          <w:tab w:val="left" w:pos="284"/>
        </w:tabs>
        <w:spacing w:after="0" w:line="276" w:lineRule="auto"/>
        <w:ind w:left="0"/>
        <w:jc w:val="both"/>
        <w:rPr>
          <w:rFonts w:ascii="Verdana" w:eastAsia="Century Gothic" w:hAnsi="Verdana" w:cs="Century Gothic"/>
          <w:b/>
          <w:bCs/>
        </w:rPr>
      </w:pPr>
    </w:p>
    <w:p w14:paraId="2D8D0406" w14:textId="2B6EB355" w:rsidR="0058668D" w:rsidRDefault="00C1511F" w:rsidP="002C187B">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sidR="002C187B">
        <w:rPr>
          <w:rFonts w:ascii="Verdana" w:eastAsia="Calibri" w:hAnsi="Verdana" w:cs="Arial"/>
          <w:lang w:eastAsia="es-ES"/>
        </w:rPr>
        <w:t>el</w:t>
      </w:r>
      <w:r>
        <w:rPr>
          <w:rFonts w:ascii="Verdana" w:eastAsia="Calibri" w:hAnsi="Verdana" w:cs="Arial"/>
          <w:lang w:eastAsia="es-ES"/>
        </w:rPr>
        <w:t xml:space="preserve">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002D1330" w:rsidRPr="002D1330">
        <w:rPr>
          <w:rFonts w:ascii="Verdana" w:eastAsia="Calibri" w:hAnsi="Verdana" w:cs="Arial"/>
          <w:lang w:eastAsia="es-ES"/>
        </w:rPr>
        <w:t>¿</w:t>
      </w:r>
      <w:r w:rsidR="00686C73">
        <w:rPr>
          <w:rFonts w:ascii="Verdana" w:eastAsia="Calibri" w:hAnsi="Verdana" w:cs="Arial"/>
          <w:lang w:eastAsia="es-ES"/>
        </w:rPr>
        <w:t>Es posible jurídicamente que</w:t>
      </w:r>
      <w:r w:rsidR="00B317CE" w:rsidRPr="00B317CE">
        <w:rPr>
          <w:rFonts w:ascii="Verdana" w:eastAsia="Calibri" w:hAnsi="Verdana" w:cs="Arial"/>
          <w:lang w:eastAsia="es-ES"/>
        </w:rPr>
        <w:t xml:space="preserve"> las entidades estatales, </w:t>
      </w:r>
      <w:r w:rsidR="00686C73">
        <w:rPr>
          <w:rFonts w:ascii="Verdana" w:eastAsia="Calibri" w:hAnsi="Verdana" w:cs="Arial"/>
          <w:lang w:eastAsia="es-ES"/>
        </w:rPr>
        <w:t>puedan</w:t>
      </w:r>
      <w:r w:rsidR="00B317CE" w:rsidRPr="00B317CE">
        <w:rPr>
          <w:rFonts w:ascii="Verdana" w:eastAsia="Calibri" w:hAnsi="Verdana" w:cs="Arial"/>
          <w:lang w:eastAsia="es-ES"/>
        </w:rPr>
        <w:t xml:space="preserve"> aceptar como válidos los certificados de existencia y representación legal y el Registro Único de Proponentes (RUP) que se generan o se consultan directamente desde la misma plataforma del SECOP II?</w:t>
      </w:r>
      <w:r w:rsidR="0033720F">
        <w:rPr>
          <w:rFonts w:ascii="Verdana" w:eastAsia="Calibri" w:hAnsi="Verdana" w:cs="Arial"/>
          <w:lang w:eastAsia="es-ES"/>
        </w:rPr>
        <w:t xml:space="preserve"> </w:t>
      </w:r>
    </w:p>
    <w:p w14:paraId="47071BB0" w14:textId="77777777" w:rsidR="00C2302E" w:rsidRDefault="00C2302E" w:rsidP="002C187B">
      <w:pPr>
        <w:spacing w:after="0" w:line="276" w:lineRule="auto"/>
        <w:jc w:val="both"/>
        <w:rPr>
          <w:rFonts w:ascii="Verdana" w:eastAsia="Century Gothic" w:hAnsi="Verdana" w:cs="Century Gothic"/>
        </w:rPr>
      </w:pPr>
    </w:p>
    <w:bookmarkEnd w:id="3"/>
    <w:p w14:paraId="23923788" w14:textId="77777777" w:rsidR="00C1511F" w:rsidRDefault="00C1511F" w:rsidP="00C151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B6929E2" w14:textId="77777777" w:rsidR="00C1511F" w:rsidRPr="00593A5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1511F" w:rsidRPr="00593A5F" w14:paraId="10B80104" w14:textId="77777777" w:rsidTr="00660F64">
        <w:tc>
          <w:tcPr>
            <w:tcW w:w="8828" w:type="dxa"/>
          </w:tcPr>
          <w:p w14:paraId="31C04FAD" w14:textId="43ABA3C7" w:rsidR="004529F0" w:rsidRPr="00EB16E8" w:rsidRDefault="002E3EA0" w:rsidP="004529F0">
            <w:pPr>
              <w:spacing w:line="276" w:lineRule="auto"/>
              <w:jc w:val="both"/>
              <w:rPr>
                <w:rFonts w:ascii="Verdana" w:eastAsia="Calibri" w:hAnsi="Verdana" w:cs="Arial"/>
                <w:lang w:val="es-ES"/>
              </w:rPr>
            </w:pPr>
            <w:r>
              <w:rPr>
                <w:rFonts w:ascii="Verdana" w:eastAsia="Calibri" w:hAnsi="Verdana" w:cs="Arial"/>
                <w:bCs/>
              </w:rPr>
              <w:t xml:space="preserve">         </w:t>
            </w:r>
            <w:bookmarkStart w:id="4" w:name="_Hlk193352504"/>
            <w:r w:rsidR="004529F0">
              <w:rPr>
                <w:rFonts w:ascii="Verdana" w:eastAsia="Calibri" w:hAnsi="Verdana" w:cs="Arial"/>
                <w:bCs/>
              </w:rPr>
              <w:t>De manera preliminar es pertinente indicar que e</w:t>
            </w:r>
            <w:r w:rsidR="004529F0" w:rsidRPr="00EB16E8">
              <w:rPr>
                <w:rFonts w:ascii="Verdana" w:hAnsi="Verdana" w:cs="Arial"/>
                <w:iCs/>
                <w:lang w:val="es-ES"/>
              </w:rPr>
              <w:t xml:space="preserve">l artículo 5 de la Ley 1150 de 2007 </w:t>
            </w:r>
            <w:bookmarkEnd w:id="4"/>
            <w:r w:rsidR="004529F0" w:rsidRPr="00EB16E8">
              <w:rPr>
                <w:rFonts w:ascii="Verdana" w:hAnsi="Verdana" w:cs="Arial"/>
                <w:iCs/>
                <w:lang w:val="es-ES"/>
              </w:rPr>
              <w:t xml:space="preserve">refiere que los factores de escogencia y calificación que establezcan las entidades en los pliegos de condiciones o sus equivalentes tendrán en cuenta criterios como la capacidad jurídica, la </w:t>
            </w:r>
            <w:r w:rsidR="004529F0" w:rsidRPr="004529F0">
              <w:rPr>
                <w:rFonts w:ascii="Verdana" w:hAnsi="Verdana" w:cs="Arial"/>
                <w:iCs/>
                <w:lang w:val="es-ES"/>
              </w:rPr>
              <w:t>experiencia</w:t>
            </w:r>
            <w:r w:rsidR="004529F0" w:rsidRPr="00EB16E8">
              <w:rPr>
                <w:rFonts w:ascii="Verdana" w:hAnsi="Verdana" w:cs="Arial"/>
                <w:iCs/>
                <w:lang w:val="es-ES"/>
              </w:rPr>
              <w:t xml:space="preserve">, la capacidad financiera y de organización de los proponentes para la participación en el proceso de selección. De igual forma indicó que la verificación documental de las condiciones antes señaladas será efectuada por las Cámaras de Comercio de conformidad con lo establecido en el artículo 6 de la misma ley, de acuerdo con lo cual se expedirá la respectiva certificación en el </w:t>
            </w:r>
            <w:r w:rsidR="004529F0" w:rsidRPr="00EB16E8">
              <w:rPr>
                <w:rFonts w:ascii="Verdana" w:eastAsia="Calibri" w:hAnsi="Verdana" w:cs="Arial"/>
                <w:lang w:val="es-ES"/>
              </w:rPr>
              <w:t xml:space="preserve">Registro Único de Proponentes (RUP).  </w:t>
            </w:r>
          </w:p>
          <w:p w14:paraId="3B2D203B" w14:textId="36F1E76B" w:rsidR="00C1511F" w:rsidRDefault="00645A3D" w:rsidP="004529F0">
            <w:pPr>
              <w:tabs>
                <w:tab w:val="left" w:pos="450"/>
              </w:tabs>
              <w:spacing w:before="120" w:line="276" w:lineRule="auto"/>
              <w:jc w:val="both"/>
              <w:rPr>
                <w:rFonts w:ascii="Verdana" w:eastAsia="Calibri" w:hAnsi="Verdana" w:cs="Arial"/>
                <w:lang w:val="es-ES"/>
              </w:rPr>
            </w:pPr>
            <w:r>
              <w:rPr>
                <w:rFonts w:ascii="Verdana" w:eastAsia="Calibri" w:hAnsi="Verdana" w:cs="Arial"/>
                <w:lang w:val="es-ES"/>
              </w:rPr>
              <w:t xml:space="preserve">    </w:t>
            </w:r>
            <w:r w:rsidR="006B3F1D">
              <w:rPr>
                <w:rFonts w:ascii="Verdana" w:eastAsia="Calibri" w:hAnsi="Verdana" w:cs="Arial"/>
                <w:lang w:val="es-ES"/>
              </w:rPr>
              <w:t xml:space="preserve"> </w:t>
            </w:r>
            <w:r>
              <w:rPr>
                <w:rFonts w:ascii="Verdana" w:eastAsia="Calibri" w:hAnsi="Verdana" w:cs="Arial"/>
                <w:lang w:val="es-ES"/>
              </w:rPr>
              <w:t xml:space="preserve">  </w:t>
            </w:r>
            <w:r w:rsidR="00786654">
              <w:rPr>
                <w:rFonts w:ascii="Verdana" w:eastAsia="Calibri" w:hAnsi="Verdana" w:cs="Arial"/>
                <w:lang w:val="es-ES"/>
              </w:rPr>
              <w:t xml:space="preserve">  </w:t>
            </w:r>
            <w:r w:rsidR="004529F0" w:rsidRPr="00EB16E8">
              <w:rPr>
                <w:rFonts w:ascii="Verdana" w:eastAsia="Calibri" w:hAnsi="Verdana" w:cs="Arial"/>
                <w:lang w:val="es-ES"/>
              </w:rPr>
              <w:t>En ese orden de ideas, el RUP es el instrumento a través del cual los proponentes acreditan la capacidad financiera, jurídica, organizacional y la experiencia, y es plena prueba de las circunstancias que se hagan constar</w:t>
            </w:r>
            <w:r w:rsidR="004529F0" w:rsidRPr="00EB16E8">
              <w:rPr>
                <w:rFonts w:ascii="Verdana" w:eastAsia="Calibri" w:hAnsi="Verdana" w:cs="Arial"/>
                <w:vertAlign w:val="superscript"/>
                <w:lang w:val="es-ES"/>
              </w:rPr>
              <w:footnoteReference w:id="2"/>
            </w:r>
            <w:r w:rsidR="004529F0">
              <w:rPr>
                <w:rFonts w:ascii="Verdana" w:eastAsia="Calibri" w:hAnsi="Verdana" w:cs="Arial"/>
                <w:lang w:val="es-ES"/>
              </w:rPr>
              <w:t>.</w:t>
            </w:r>
          </w:p>
          <w:p w14:paraId="128F0D46" w14:textId="2CE70D31" w:rsidR="00645A3D" w:rsidRDefault="00645A3D" w:rsidP="00645A3D">
            <w:pPr>
              <w:tabs>
                <w:tab w:val="left" w:pos="450"/>
              </w:tabs>
              <w:spacing w:before="120" w:line="276" w:lineRule="auto"/>
              <w:jc w:val="both"/>
              <w:rPr>
                <w:rFonts w:ascii="Verdana" w:hAnsi="Verdana" w:cs="Arial"/>
                <w:lang w:val="es-ES"/>
              </w:rPr>
            </w:pPr>
            <w:r>
              <w:rPr>
                <w:rFonts w:ascii="Verdana" w:hAnsi="Verdana" w:cs="Arial"/>
                <w:lang w:val="es-ES"/>
              </w:rPr>
              <w:t xml:space="preserve">     </w:t>
            </w:r>
            <w:r w:rsidR="006B3F1D">
              <w:rPr>
                <w:rFonts w:ascii="Verdana" w:hAnsi="Verdana" w:cs="Arial"/>
                <w:lang w:val="es-ES"/>
              </w:rPr>
              <w:t xml:space="preserve"> </w:t>
            </w:r>
            <w:r w:rsidR="00786654">
              <w:rPr>
                <w:rFonts w:ascii="Verdana" w:hAnsi="Verdana" w:cs="Arial"/>
                <w:lang w:val="es-ES"/>
              </w:rPr>
              <w:t xml:space="preserve">  </w:t>
            </w:r>
            <w:r>
              <w:rPr>
                <w:rFonts w:ascii="Verdana" w:hAnsi="Verdana" w:cs="Arial"/>
                <w:lang w:val="es-ES"/>
              </w:rPr>
              <w:t xml:space="preserve"> Ahora bien, e</w:t>
            </w:r>
            <w:r w:rsidRPr="00645A3D">
              <w:rPr>
                <w:rFonts w:ascii="Verdana" w:hAnsi="Verdana" w:cs="Arial"/>
                <w:lang w:val="es-ES"/>
              </w:rPr>
              <w:t>n atención al problema jurídico planteado, debe señalarse que el Registro Único de Proponentes (RUP) puede ser verificado o descargado directamente desde la plataforma SECOP II o mediante el acceso en línea y gratuito al sistema dispuesto por las Cámaras de Comercio, conforme a las reglas de interoperabilidad previstas en la normatividad vigente. En consecuencia, corresponde a la entidad estatal asumir la carga de verificar que el RUP del proponente se encuentre vigente y que cumpla los requisitos habilitantes al momento del cierre del proceso de licitación, utilizando para ello la información que el sistema ya pone a su disposición. Por lo anterior, es deber de la entidad contratante —a través de sus equipos jurídicos y de evaluación— determinar el valor probatorio de los documentos aportados o consultados en la plataforma, de acuerdo con las disposiciones legales antes citadas y con los principios de eficiencia, economía y transparencia que rigen la contratación estatal.</w:t>
            </w:r>
          </w:p>
          <w:p w14:paraId="06C38D82" w14:textId="5511F4BE" w:rsidR="0033720F" w:rsidRPr="00645A3D" w:rsidRDefault="00645A3D" w:rsidP="00645A3D">
            <w:pPr>
              <w:tabs>
                <w:tab w:val="left" w:pos="450"/>
              </w:tabs>
              <w:spacing w:before="120" w:line="276" w:lineRule="auto"/>
              <w:jc w:val="both"/>
              <w:rPr>
                <w:rFonts w:ascii="Verdana" w:hAnsi="Verdana" w:cs="Arial"/>
                <w:lang w:val="es-ES"/>
              </w:rPr>
            </w:pPr>
            <w:r>
              <w:rPr>
                <w:rFonts w:ascii="Verdana" w:eastAsia="Calibri" w:hAnsi="Verdana" w:cs="Arial"/>
                <w:bCs/>
                <w:color w:val="000000" w:themeColor="text1"/>
              </w:rPr>
              <w:t xml:space="preserve">      </w:t>
            </w:r>
            <w:r w:rsidR="006B3F1D">
              <w:rPr>
                <w:rFonts w:ascii="Verdana" w:eastAsia="Calibri" w:hAnsi="Verdana" w:cs="Arial"/>
                <w:bCs/>
                <w:color w:val="000000" w:themeColor="text1"/>
              </w:rPr>
              <w:t xml:space="preserve">  </w:t>
            </w:r>
            <w:r>
              <w:rPr>
                <w:rFonts w:ascii="Verdana" w:eastAsia="Calibri" w:hAnsi="Verdana" w:cs="Arial"/>
                <w:bCs/>
                <w:color w:val="000000" w:themeColor="text1"/>
              </w:rPr>
              <w:t xml:space="preserve"> </w:t>
            </w:r>
            <w:r w:rsidR="0033720F">
              <w:rPr>
                <w:rFonts w:ascii="Verdana" w:eastAsia="Calibri" w:hAnsi="Verdana" w:cs="Arial"/>
                <w:bCs/>
                <w:color w:val="000000" w:themeColor="text1"/>
              </w:rPr>
              <w:t>Finalmente</w:t>
            </w:r>
            <w:r w:rsidR="0033720F">
              <w:rPr>
                <w:rFonts w:ascii="Verdana" w:eastAsia="Calibri" w:hAnsi="Verdana" w:cs="Times New Roman"/>
                <w:lang w:val="es-ES"/>
              </w:rPr>
              <w:t>,</w:t>
            </w:r>
            <w:r w:rsidR="0033720F" w:rsidRPr="00DB4737">
              <w:rPr>
                <w:rFonts w:ascii="Verdana" w:eastAsia="Calibri" w:hAnsi="Verdana" w:cs="Times New Roman"/>
                <w:lang w:val="es-ES"/>
              </w:rPr>
              <w:t xml:space="preserve"> debe advertirse que el análisis en torno </w:t>
            </w:r>
            <w:r w:rsidR="0033720F">
              <w:rPr>
                <w:rFonts w:ascii="Verdana" w:eastAsia="Calibri" w:hAnsi="Verdana" w:cs="Times New Roman"/>
                <w:lang w:val="es-ES"/>
              </w:rPr>
              <w:t>a un proceso de contratación especifico debe</w:t>
            </w:r>
            <w:r w:rsidR="0033720F" w:rsidRPr="0012388D">
              <w:rPr>
                <w:rFonts w:ascii="Verdana" w:eastAsia="Calibri" w:hAnsi="Verdana" w:cs="Times New Roman"/>
                <w:lang w:val="es-ES"/>
              </w:rPr>
              <w:t xml:space="preserve"> ser realizado por quienes tengan interés en ello.</w:t>
            </w:r>
            <w:r w:rsidR="0033720F"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33720F">
              <w:t xml:space="preserve"> </w:t>
            </w:r>
          </w:p>
          <w:p w14:paraId="1A38D109" w14:textId="14B65751" w:rsidR="0033720F" w:rsidRPr="00E529C2" w:rsidRDefault="00645A3D" w:rsidP="0033720F">
            <w:pPr>
              <w:tabs>
                <w:tab w:val="left" w:pos="450"/>
              </w:tabs>
              <w:spacing w:before="120" w:line="276" w:lineRule="auto"/>
              <w:jc w:val="both"/>
              <w:rPr>
                <w:rFonts w:ascii="Verdana" w:eastAsia="Calibri" w:hAnsi="Verdana" w:cs="Times New Roman"/>
                <w:lang w:val="es-ES"/>
              </w:rPr>
            </w:pPr>
            <w:r>
              <w:rPr>
                <w:rFonts w:ascii="Verdana" w:eastAsia="Calibri" w:hAnsi="Verdana" w:cs="Times New Roman"/>
                <w:lang w:val="es-ES"/>
              </w:rPr>
              <w:t xml:space="preserve">         </w:t>
            </w:r>
            <w:r w:rsidR="0033720F"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sidR="0033720F">
              <w:rPr>
                <w:rFonts w:ascii="Verdana" w:eastAsia="Calibri" w:hAnsi="Verdana" w:cs="Times New Roman"/>
                <w:lang w:val="es-ES"/>
              </w:rPr>
              <w:t>.</w:t>
            </w:r>
          </w:p>
        </w:tc>
      </w:tr>
      <w:tr w:rsidR="00C1511F" w:rsidRPr="00593A5F" w14:paraId="22D8C63C" w14:textId="77777777" w:rsidTr="00660F64">
        <w:tc>
          <w:tcPr>
            <w:tcW w:w="8828" w:type="dxa"/>
          </w:tcPr>
          <w:p w14:paraId="7E0BB983" w14:textId="77777777" w:rsidR="00C1511F" w:rsidRDefault="00C1511F" w:rsidP="00660F64">
            <w:pPr>
              <w:spacing w:after="120" w:line="276" w:lineRule="auto"/>
              <w:jc w:val="both"/>
              <w:rPr>
                <w:rFonts w:ascii="Verdana" w:eastAsia="Calibri" w:hAnsi="Verdana" w:cs="Arial"/>
                <w:bCs/>
                <w:lang w:eastAsia="es-ES_tradnl"/>
              </w:rPr>
            </w:pPr>
          </w:p>
        </w:tc>
      </w:tr>
    </w:tbl>
    <w:p w14:paraId="7139B825" w14:textId="77777777" w:rsidR="00C1511F" w:rsidRDefault="00C1511F" w:rsidP="00C1511F">
      <w:pPr>
        <w:tabs>
          <w:tab w:val="left" w:pos="142"/>
          <w:tab w:val="left" w:pos="284"/>
        </w:tabs>
        <w:spacing w:after="0" w:line="276" w:lineRule="auto"/>
        <w:jc w:val="both"/>
        <w:rPr>
          <w:rFonts w:ascii="Verdana" w:eastAsia="Century Gothic" w:hAnsi="Verdana" w:cs="Century Gothic"/>
          <w:b/>
          <w:bCs/>
          <w:lang w:val="es-ES"/>
        </w:rPr>
      </w:pPr>
    </w:p>
    <w:p w14:paraId="4E5A672A" w14:textId="77777777" w:rsidR="00C1511F" w:rsidRDefault="00C1511F" w:rsidP="00C151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D349CAE" w14:textId="77777777" w:rsidR="00C1511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BFA52AD" w14:textId="77777777" w:rsidR="006B3F1D" w:rsidRPr="00392E37" w:rsidRDefault="006B3F1D" w:rsidP="006B3F1D">
      <w:pPr>
        <w:spacing w:after="0" w:line="276" w:lineRule="auto"/>
        <w:ind w:firstLine="708"/>
        <w:contextualSpacing/>
        <w:jc w:val="both"/>
        <w:rPr>
          <w:rFonts w:ascii="Verdana" w:eastAsia="Times New Roman" w:hAnsi="Verdana" w:cs="Arial"/>
          <w:szCs w:val="24"/>
          <w:lang w:eastAsia="es-ES_tradnl"/>
        </w:rPr>
      </w:pPr>
      <w:r w:rsidRPr="00392E37">
        <w:rPr>
          <w:rFonts w:ascii="Verdana" w:eastAsia="Times New Roman" w:hAnsi="Verdana" w:cs="Arial"/>
          <w:szCs w:val="24"/>
          <w:lang w:eastAsia="es-ES_tradnl"/>
        </w:rPr>
        <w:t>El RUP como instrumento en el que consta la información relacionada con las personas naturales y jurídicas, tiene por objeto contemplar en un único documento la información relativa a la capacidad jurídica, técnica, financiera y organizacional de los posibles proponentes, con el fin de que puedan participar en los Procedimientos de Contratación realizados por las Entidades Estatales. El Consejo de Estado definió la naturaleza y finalidad del RUP de la siguiente forma:</w:t>
      </w:r>
    </w:p>
    <w:p w14:paraId="7D42A164" w14:textId="77777777" w:rsidR="006B3F1D" w:rsidRPr="00392E37" w:rsidRDefault="006B3F1D" w:rsidP="006B3F1D">
      <w:pPr>
        <w:spacing w:after="0" w:line="276" w:lineRule="auto"/>
        <w:ind w:right="426"/>
        <w:contextualSpacing/>
        <w:rPr>
          <w:rFonts w:ascii="Verdana" w:eastAsia="Times New Roman" w:hAnsi="Verdana" w:cs="Arial"/>
          <w:szCs w:val="24"/>
          <w:lang w:eastAsia="es-ES_tradnl"/>
        </w:rPr>
      </w:pPr>
    </w:p>
    <w:p w14:paraId="003684EC" w14:textId="77777777" w:rsidR="006B3F1D" w:rsidRPr="00392E37" w:rsidRDefault="006B3F1D" w:rsidP="006B3F1D">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392E37">
        <w:rPr>
          <w:rFonts w:ascii="Verdana" w:eastAsia="Times New Roman" w:hAnsi="Verdana" w:cs="Arial"/>
          <w:sz w:val="20"/>
          <w:szCs w:val="20"/>
          <w:lang w:eastAsia="es-ES_tradnl"/>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w:t>
      </w:r>
      <w:proofErr w:type="gramStart"/>
      <w:r w:rsidRPr="00392E37">
        <w:rPr>
          <w:rFonts w:ascii="Verdana" w:eastAsia="Times New Roman" w:hAnsi="Verdana" w:cs="Arial"/>
          <w:sz w:val="20"/>
          <w:szCs w:val="20"/>
          <w:lang w:eastAsia="es-ES_tradnl"/>
        </w:rPr>
        <w:t>estatales,</w:t>
      </w:r>
      <w:proofErr w:type="gramEnd"/>
      <w:r w:rsidRPr="00392E37">
        <w:rPr>
          <w:rFonts w:ascii="Verdana" w:eastAsia="Times New Roman" w:hAnsi="Verdana" w:cs="Arial"/>
          <w:sz w:val="20"/>
          <w:szCs w:val="20"/>
          <w:lang w:eastAsia="es-ES_tradnl"/>
        </w:rPr>
        <w:t xml:space="preserve"> deberán inscribirse en el Registro de Proponentes de la Cámara de Comercio de su jurisdicción y deberán estar clasificadas y calificadas según lo dispuesto en esta norma</w:t>
      </w:r>
      <w:r w:rsidRPr="00392E37">
        <w:rPr>
          <w:rFonts w:ascii="Verdana" w:eastAsia="Times New Roman" w:hAnsi="Verdana" w:cs="Arial"/>
          <w:sz w:val="20"/>
          <w:szCs w:val="20"/>
          <w:vertAlign w:val="superscript"/>
          <w:lang w:eastAsia="es-ES_tradnl"/>
        </w:rPr>
        <w:footnoteReference w:id="3"/>
      </w:r>
      <w:r w:rsidRPr="00392E37">
        <w:rPr>
          <w:rFonts w:ascii="Verdana" w:eastAsia="Times New Roman" w:hAnsi="Verdana" w:cs="Arial"/>
          <w:sz w:val="20"/>
          <w:szCs w:val="20"/>
          <w:lang w:eastAsia="es-ES_tradnl"/>
        </w:rPr>
        <w:t>.</w:t>
      </w:r>
    </w:p>
    <w:p w14:paraId="4696147F" w14:textId="77777777" w:rsidR="006B3F1D" w:rsidRPr="00392E37" w:rsidRDefault="006B3F1D" w:rsidP="006B3F1D">
      <w:pPr>
        <w:spacing w:after="0" w:line="276" w:lineRule="auto"/>
        <w:contextualSpacing/>
        <w:jc w:val="both"/>
        <w:rPr>
          <w:rFonts w:ascii="Verdana" w:eastAsia="Times New Roman" w:hAnsi="Verdana" w:cs="Arial"/>
          <w:lang w:eastAsia="es-ES_tradnl"/>
        </w:rPr>
      </w:pPr>
    </w:p>
    <w:p w14:paraId="069D1FE9" w14:textId="77777777" w:rsidR="006B3F1D" w:rsidRPr="00392E37" w:rsidRDefault="006B3F1D" w:rsidP="006B3F1D">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El artículo 6.1 de la Ley 1150 de 2007 dispone que el RUP es plena prueba de la información que contiene</w:t>
      </w:r>
      <w:r w:rsidRPr="00392E37">
        <w:rPr>
          <w:rFonts w:ascii="Verdana" w:eastAsia="Times New Roman" w:hAnsi="Verdana" w:cs="Arial"/>
          <w:vertAlign w:val="superscript"/>
          <w:lang w:eastAsia="es-ES_tradnl"/>
        </w:rPr>
        <w:footnoteReference w:id="4"/>
      </w:r>
      <w:r w:rsidRPr="00392E37">
        <w:rPr>
          <w:rFonts w:ascii="Verdana" w:eastAsia="Times New Roman" w:hAnsi="Verdana" w:cs="Arial"/>
          <w:lang w:eastAsia="es-ES_tradnl"/>
        </w:rPr>
        <w:t>. Por su parte, el artículo 5.1, al fijar los criterios que deben tener en cuenta las Entidades Estatales para garantizar la selección objetiva, 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w:t>
      </w:r>
      <w:r w:rsidRPr="00392E37">
        <w:rPr>
          <w:rFonts w:ascii="Verdana" w:eastAsia="Times New Roman" w:hAnsi="Verdana" w:cs="Arial"/>
          <w:vertAlign w:val="superscript"/>
          <w:lang w:eastAsia="es-ES_tradnl"/>
        </w:rPr>
        <w:footnoteReference w:id="5"/>
      </w:r>
      <w:r w:rsidRPr="00392E37">
        <w:rPr>
          <w:rFonts w:ascii="Verdana" w:eastAsia="Times New Roman" w:hAnsi="Verdana" w:cs="Arial"/>
          <w:lang w:eastAsia="es-ES_tradnl"/>
        </w:rPr>
        <w:t xml:space="preserve">. </w:t>
      </w:r>
    </w:p>
    <w:p w14:paraId="54DDF25A" w14:textId="77777777" w:rsidR="006B3F1D" w:rsidRDefault="006B3F1D" w:rsidP="006B3F1D">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r>
        <w:rPr>
          <w:rFonts w:ascii="Verdana" w:eastAsia="Times New Roman" w:hAnsi="Verdana" w:cs="Arial"/>
          <w:lang w:eastAsia="es-ES_tradnl"/>
        </w:rPr>
        <w:t xml:space="preserve">. </w:t>
      </w:r>
    </w:p>
    <w:p w14:paraId="61A75630" w14:textId="77777777" w:rsidR="006B3F1D" w:rsidRPr="00392E37" w:rsidRDefault="006B3F1D" w:rsidP="006B3F1D">
      <w:pPr>
        <w:spacing w:after="120" w:line="276" w:lineRule="auto"/>
        <w:ind w:firstLine="709"/>
        <w:jc w:val="both"/>
        <w:rPr>
          <w:rFonts w:ascii="Verdana" w:eastAsia="Times New Roman" w:hAnsi="Verdana" w:cs="Arial"/>
          <w:lang w:eastAsia="es-ES_tradnl"/>
        </w:rPr>
      </w:pPr>
      <w:r>
        <w:rPr>
          <w:rFonts w:ascii="Verdana" w:eastAsia="Times New Roman" w:hAnsi="Verdana" w:cs="Arial"/>
          <w:lang w:val="es-ES_tradnl" w:eastAsia="es-ES_tradnl"/>
        </w:rPr>
        <w:t>Las anteriores</w:t>
      </w:r>
      <w:r w:rsidRPr="00392E37">
        <w:rPr>
          <w:rFonts w:ascii="Verdana" w:eastAsia="Times New Roman" w:hAnsi="Verdana" w:cs="Arial"/>
          <w:lang w:val="es-ES_tradnl" w:eastAsia="es-ES_tradnl"/>
        </w:rPr>
        <w:t xml:space="preserve">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w:t>
      </w:r>
      <w:r w:rsidRPr="00392E37">
        <w:rPr>
          <w:rFonts w:ascii="Verdana" w:eastAsia="Times New Roman" w:hAnsi="Verdana" w:cs="Arial"/>
          <w:lang w:eastAsia="es-ES_tradnl"/>
        </w:rPr>
        <w:t>Adicionalmente, el numeral 6.1. del artículo 6 de la Ley 1150 de 2007 establece que cuando sea necesario verificar requisitos o información que no reposa en RUP, la entidad podrá solicitar información adicional –por ejemplo, longitudes de obra, especificaciones técnicas, etc.– solo para complementar la información contenida en el RUP</w:t>
      </w:r>
      <w:r w:rsidRPr="00392E37">
        <w:rPr>
          <w:rFonts w:ascii="Verdana" w:eastAsia="Times New Roman" w:hAnsi="Verdana" w:cs="Arial"/>
          <w:vertAlign w:val="superscript"/>
          <w:lang w:eastAsia="es-ES_tradnl"/>
        </w:rPr>
        <w:footnoteReference w:id="6"/>
      </w:r>
      <w:r w:rsidRPr="00392E37">
        <w:rPr>
          <w:rFonts w:ascii="Verdana" w:eastAsia="Times New Roman" w:hAnsi="Verdana" w:cs="Arial"/>
          <w:lang w:eastAsia="es-ES_tradnl"/>
        </w:rPr>
        <w:t>.</w:t>
      </w:r>
    </w:p>
    <w:p w14:paraId="6BA25410" w14:textId="77777777" w:rsidR="006B3F1D" w:rsidRPr="00392E37" w:rsidRDefault="006B3F1D" w:rsidP="006B3F1D">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w:t>
      </w:r>
      <w:r w:rsidRPr="00392E37">
        <w:rPr>
          <w:rFonts w:ascii="Verdana" w:eastAsia="Times New Roman" w:hAnsi="Verdana" w:cs="Arial"/>
          <w:vertAlign w:val="superscript"/>
          <w:lang w:eastAsia="es-ES_tradnl"/>
        </w:rPr>
        <w:footnoteReference w:id="7"/>
      </w:r>
      <w:r w:rsidRPr="00392E37">
        <w:rPr>
          <w:rFonts w:ascii="Verdana" w:eastAsia="Times New Roman" w:hAnsi="Verdana" w:cs="Arial"/>
          <w:lang w:eastAsia="es-ES_tradnl"/>
        </w:rPr>
        <w:t>. Lo anterior fue ratificado por el Consejo de Estado cuando enumeró las excepciones en las cuales las entidades tienen la obligación de verificar los requisitos habilitantes de los proponentes</w:t>
      </w:r>
      <w:r w:rsidRPr="00392E37">
        <w:rPr>
          <w:rFonts w:ascii="Verdana" w:eastAsia="Times New Roman" w:hAnsi="Verdana" w:cs="Arial"/>
          <w:vertAlign w:val="superscript"/>
          <w:lang w:eastAsia="es-ES_tradnl"/>
        </w:rPr>
        <w:footnoteReference w:id="8"/>
      </w:r>
      <w:r w:rsidRPr="00392E37">
        <w:rPr>
          <w:rFonts w:ascii="Verdana" w:eastAsia="Times New Roman" w:hAnsi="Verdana" w:cs="Arial"/>
          <w:lang w:eastAsia="es-ES_tradnl"/>
        </w:rPr>
        <w:t xml:space="preserve">.  </w:t>
      </w:r>
    </w:p>
    <w:p w14:paraId="4D7FE7D7" w14:textId="77777777" w:rsidR="006B3F1D" w:rsidRPr="00392E37" w:rsidRDefault="006B3F1D" w:rsidP="006B3F1D">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Ahora bien, el inciso 1 del artículo 6 de la Ley 1150 de 2007</w:t>
      </w:r>
      <w:r w:rsidRPr="00392E37">
        <w:rPr>
          <w:rFonts w:ascii="Verdana" w:eastAsia="Times New Roman" w:hAnsi="Verdana" w:cs="Arial"/>
          <w:vertAlign w:val="superscript"/>
          <w:lang w:eastAsia="es-ES_tradnl"/>
        </w:rPr>
        <w:footnoteReference w:id="9"/>
      </w:r>
      <w:r w:rsidRPr="00392E37">
        <w:rPr>
          <w:rFonts w:ascii="Verdana" w:eastAsia="Times New Roman" w:hAnsi="Verdana" w:cs="Arial"/>
          <w:lang w:eastAsia="es-ES_tradnl"/>
        </w:rPr>
        <w:t>, mediante el cual se regulan los sujetos que deben inscribirse en el RUP, señaló que deben hacerlo las personas, naturales o jurídicas, nacionales o extranjeras que tengan domicilio o sucursal en el país. Estas personas tienen la obligación de registrarse en el RUP, en dos (2) casos: a) pretendan celebrar contratos estatales y b) el Procedimiento de Contratación sea de aquellos en los cuales no se exceptúa el RUP, de acuerdo con el inciso 2 del artículo 6 de la Ley 1150 de 2007</w:t>
      </w:r>
      <w:r w:rsidRPr="00392E37">
        <w:rPr>
          <w:rFonts w:ascii="Verdana" w:eastAsia="Times New Roman" w:hAnsi="Verdana" w:cs="Arial"/>
          <w:vertAlign w:val="superscript"/>
          <w:lang w:eastAsia="es-ES_tradnl"/>
        </w:rPr>
        <w:footnoteReference w:id="10"/>
      </w:r>
      <w:r w:rsidRPr="00392E37">
        <w:rPr>
          <w:rFonts w:ascii="Verdana" w:eastAsia="Times New Roman" w:hAnsi="Verdana" w:cs="Arial"/>
          <w:lang w:eastAsia="es-ES_tradnl"/>
        </w:rPr>
        <w:t xml:space="preserve">. </w:t>
      </w:r>
    </w:p>
    <w:p w14:paraId="3EEE1107" w14:textId="77777777" w:rsidR="006B3F1D" w:rsidRPr="00392E37" w:rsidRDefault="006B3F1D" w:rsidP="006B3F1D">
      <w:pPr>
        <w:widowControl w:val="0"/>
        <w:autoSpaceDE w:val="0"/>
        <w:autoSpaceDN w:val="0"/>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En desarrollo del marco legal expuesto</w:t>
      </w:r>
      <w:r w:rsidRPr="00392E37">
        <w:rPr>
          <w:rFonts w:ascii="Verdana" w:eastAsia="Times New Roman" w:hAnsi="Verdana" w:cs="Arial"/>
          <w:lang w:eastAsia="es-ES_tradnl"/>
        </w:rPr>
        <w:t>, el Decreto 1082 de 2015</w:t>
      </w:r>
      <w:r w:rsidRPr="00392E37">
        <w:rPr>
          <w:rFonts w:ascii="Verdana" w:eastAsia="Times New Roman" w:hAnsi="Verdana" w:cs="Arial"/>
          <w:vertAlign w:val="superscript"/>
          <w:lang w:eastAsia="es-ES_tradnl"/>
        </w:rPr>
        <w:footnoteReference w:id="11"/>
      </w:r>
      <w:r w:rsidRPr="00392E37">
        <w:rPr>
          <w:rFonts w:ascii="Verdana" w:eastAsia="Times New Roman" w:hAnsi="Verdana" w:cs="Arial"/>
          <w:lang w:eastAsia="es-ES_tradnl"/>
        </w:rPr>
        <w:t xml:space="preserve"> dispone quiénes deben inscribirse en el RUP, el momento de la renovación del registro, la información requerida para la inscripción, renovación o actualización</w:t>
      </w:r>
      <w:r w:rsidRPr="00392E37">
        <w:rPr>
          <w:rStyle w:val="Refdenotaalpie"/>
          <w:rFonts w:ascii="Verdana" w:eastAsia="Times New Roman" w:hAnsi="Verdana" w:cs="Arial"/>
          <w:lang w:eastAsia="es-ES_tradnl"/>
        </w:rPr>
        <w:footnoteReference w:id="12"/>
      </w:r>
      <w:r w:rsidRPr="00392E37">
        <w:rPr>
          <w:rFonts w:ascii="Verdana" w:eastAsia="Times New Roman" w:hAnsi="Verdana" w:cs="Arial"/>
          <w:lang w:eastAsia="es-ES_tradnl"/>
        </w:rPr>
        <w:t xml:space="preserve"> y la posibilidad de solicitar la cancelación de la inscripción, en cualquier momento ante la cámara de comercio correspondiente</w:t>
      </w:r>
      <w:r w:rsidRPr="00392E37">
        <w:rPr>
          <w:rFonts w:ascii="Verdana" w:eastAsia="Times New Roman" w:hAnsi="Verdana" w:cs="Arial"/>
          <w:vertAlign w:val="superscript"/>
          <w:lang w:eastAsia="es-ES_tradnl"/>
        </w:rPr>
        <w:footnoteReference w:id="13"/>
      </w:r>
      <w:r w:rsidRPr="00392E37">
        <w:rPr>
          <w:rFonts w:ascii="Verdana" w:eastAsia="Times New Roman" w:hAnsi="Verdana" w:cs="Arial"/>
          <w:lang w:eastAsia="es-ES_tradnl"/>
        </w:rPr>
        <w:t>.</w:t>
      </w:r>
    </w:p>
    <w:p w14:paraId="4E0FFEED" w14:textId="77777777" w:rsidR="006B3F1D" w:rsidRPr="00392E37" w:rsidRDefault="006B3F1D" w:rsidP="006B3F1D">
      <w:pPr>
        <w:widowControl w:val="0"/>
        <w:autoSpaceDE w:val="0"/>
        <w:autoSpaceDN w:val="0"/>
        <w:spacing w:after="120" w:line="276" w:lineRule="auto"/>
        <w:ind w:firstLine="709"/>
        <w:jc w:val="both"/>
        <w:rPr>
          <w:rFonts w:ascii="Verdana" w:eastAsia="Arial" w:hAnsi="Verdana" w:cs="Arial"/>
          <w:b/>
          <w:lang w:val="es-ES"/>
        </w:rPr>
      </w:pPr>
      <w:r w:rsidRPr="00392E37">
        <w:rPr>
          <w:rFonts w:ascii="Verdana" w:eastAsia="Times New Roman" w:hAnsi="Verdana" w:cs="Arial"/>
          <w:lang w:eastAsia="es-ES_tradnl"/>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p>
    <w:p w14:paraId="624EB41A" w14:textId="77777777" w:rsidR="006B3F1D" w:rsidRDefault="006B3F1D" w:rsidP="006B3F1D">
      <w:pPr>
        <w:tabs>
          <w:tab w:val="left" w:pos="450"/>
        </w:tabs>
        <w:spacing w:before="120" w:line="276" w:lineRule="auto"/>
        <w:jc w:val="both"/>
        <w:rPr>
          <w:rFonts w:ascii="Verdana" w:hAnsi="Verdana" w:cs="Arial"/>
          <w:lang w:val="es-ES"/>
        </w:rPr>
      </w:pPr>
      <w:r>
        <w:rPr>
          <w:rFonts w:ascii="Verdana" w:hAnsi="Verdana" w:cs="Arial"/>
          <w:lang w:val="es-ES"/>
        </w:rPr>
        <w:t xml:space="preserve">         Ahora bien, e</w:t>
      </w:r>
      <w:r w:rsidRPr="00645A3D">
        <w:rPr>
          <w:rFonts w:ascii="Verdana" w:hAnsi="Verdana" w:cs="Arial"/>
          <w:lang w:val="es-ES"/>
        </w:rPr>
        <w:t>n atención al problema jurídico planteado, debe señalarse que el Registro Único de Proponentes (RUP) puede ser verificado o descargado directamente desde la plataforma SECOP II o mediante el acceso en línea y gratuito al sistema dispuesto por las Cámaras de Comercio, conforme a las reglas de interoperabilidad previstas en la normatividad vigente. En consecuencia, corresponde a la entidad estatal asumir la carga de verificar que el RUP del proponente se encuentre vigente y que cumpla los requisitos habilitantes al momento del cierre del proceso de licitación, utilizando para ello la información que el sistema ya pone a su disposición. Por lo anterior, es deber de la entidad contratante —a través de sus equipos jurídicos y de evaluación— determinar el valor probatorio de los documentos aportados o consultados en la plataforma, de acuerdo con las disposiciones legales antes citadas y con los principios de eficiencia, economía y transparencia que rigen la contratación estatal.</w:t>
      </w:r>
    </w:p>
    <w:p w14:paraId="00603C77" w14:textId="77777777" w:rsidR="006B3F1D" w:rsidRPr="00645A3D" w:rsidRDefault="006B3F1D" w:rsidP="006B3F1D">
      <w:pPr>
        <w:tabs>
          <w:tab w:val="left" w:pos="450"/>
        </w:tabs>
        <w:spacing w:before="120" w:line="276" w:lineRule="auto"/>
        <w:jc w:val="both"/>
        <w:rPr>
          <w:rFonts w:ascii="Verdana" w:hAnsi="Verdana" w:cs="Arial"/>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D068914" w14:textId="67BEA1AB" w:rsidR="0033720F" w:rsidRDefault="006B3F1D" w:rsidP="006B3F1D">
      <w:pPr>
        <w:spacing w:after="0" w:line="276" w:lineRule="auto"/>
        <w:ind w:firstLine="708"/>
        <w:jc w:val="both"/>
        <w:rPr>
          <w:rFonts w:ascii="Verdana" w:eastAsia="Times New Roman" w:hAnsi="Verdana" w:cs="Arial"/>
          <w:lang w:val="es-ES_tradnl" w:eastAsia="es-ES_tradnl"/>
          <w14:ligatures w14:val="standardContextual"/>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F12BAB0" w14:textId="77777777" w:rsidR="0033720F" w:rsidRDefault="0033720F" w:rsidP="0033720F">
      <w:pPr>
        <w:spacing w:after="0" w:line="276" w:lineRule="auto"/>
        <w:ind w:firstLine="708"/>
        <w:jc w:val="both"/>
        <w:rPr>
          <w:rFonts w:ascii="Verdana" w:eastAsia="Times New Roman" w:hAnsi="Verdana" w:cs="Arial"/>
          <w:lang w:val="es-ES_tradnl" w:eastAsia="es-ES_tradnl"/>
          <w14:ligatures w14:val="standardContextual"/>
        </w:rPr>
      </w:pPr>
    </w:p>
    <w:p w14:paraId="0FF5E7E8" w14:textId="0A0F2813" w:rsidR="00C1511F" w:rsidRPr="0033720F" w:rsidRDefault="00C1511F" w:rsidP="0033720F">
      <w:pPr>
        <w:pStyle w:val="Prrafodelista"/>
        <w:numPr>
          <w:ilvl w:val="0"/>
          <w:numId w:val="16"/>
        </w:numPr>
        <w:spacing w:after="0" w:line="276" w:lineRule="auto"/>
        <w:ind w:left="426"/>
        <w:jc w:val="both"/>
        <w:rPr>
          <w:rFonts w:ascii="Verdana" w:eastAsia="Century Gothic" w:hAnsi="Verdana" w:cs="Century Gothic"/>
          <w:b/>
          <w:bCs/>
        </w:rPr>
      </w:pPr>
      <w:r w:rsidRPr="0033720F">
        <w:rPr>
          <w:rFonts w:ascii="Verdana" w:eastAsia="Century Gothic" w:hAnsi="Verdana" w:cs="Century Gothic"/>
          <w:b/>
          <w:bCs/>
        </w:rPr>
        <w:t>Referencias normativas, jurisprudenciales y otras fuentes:</w:t>
      </w:r>
    </w:p>
    <w:p w14:paraId="67CE5891" w14:textId="77777777" w:rsidR="00C1511F" w:rsidRPr="00593A5F" w:rsidRDefault="00C1511F" w:rsidP="00C1511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1511F" w:rsidRPr="00593A5F" w14:paraId="04A8BED6" w14:textId="77777777" w:rsidTr="00660F64">
        <w:trPr>
          <w:trHeight w:val="870"/>
        </w:trPr>
        <w:tc>
          <w:tcPr>
            <w:tcW w:w="8647" w:type="dxa"/>
          </w:tcPr>
          <w:p w14:paraId="225C651F" w14:textId="77777777" w:rsidR="006B3F1D" w:rsidRPr="00007B41" w:rsidRDefault="006B3F1D" w:rsidP="006B3F1D">
            <w:pPr>
              <w:pStyle w:val="Prrafodelista"/>
              <w:widowControl w:val="0"/>
              <w:numPr>
                <w:ilvl w:val="0"/>
                <w:numId w:val="22"/>
              </w:numPr>
              <w:autoSpaceDE w:val="0"/>
              <w:autoSpaceDN w:val="0"/>
              <w:spacing w:line="276" w:lineRule="auto"/>
              <w:jc w:val="both"/>
              <w:rPr>
                <w:rFonts w:ascii="Verdana" w:hAnsi="Verdana" w:cs="Arial"/>
              </w:rPr>
            </w:pPr>
            <w:r w:rsidRPr="00007B41">
              <w:rPr>
                <w:rFonts w:ascii="Verdana" w:hAnsi="Verdana" w:cs="Arial"/>
              </w:rPr>
              <w:t>Ley 1150 de 2007, artículos 5 y 6.</w:t>
            </w:r>
          </w:p>
          <w:p w14:paraId="4DA02323" w14:textId="77777777" w:rsidR="006B3F1D" w:rsidRPr="00007B41" w:rsidRDefault="006B3F1D" w:rsidP="006B3F1D">
            <w:pPr>
              <w:pStyle w:val="Prrafodelista"/>
              <w:widowControl w:val="0"/>
              <w:numPr>
                <w:ilvl w:val="0"/>
                <w:numId w:val="22"/>
              </w:numPr>
              <w:autoSpaceDE w:val="0"/>
              <w:autoSpaceDN w:val="0"/>
              <w:spacing w:line="276" w:lineRule="auto"/>
              <w:jc w:val="both"/>
              <w:rPr>
                <w:rFonts w:ascii="Verdana" w:hAnsi="Verdana" w:cs="Arial"/>
              </w:rPr>
            </w:pPr>
            <w:r w:rsidRPr="00007B41">
              <w:rPr>
                <w:rFonts w:ascii="Verdana" w:hAnsi="Verdana" w:cs="Arial"/>
              </w:rPr>
              <w:t>Ley 1437 de 2011, artículo 87.</w:t>
            </w:r>
          </w:p>
          <w:p w14:paraId="1370DD7E" w14:textId="77777777" w:rsidR="006B3F1D" w:rsidRPr="00007B41" w:rsidRDefault="006B3F1D" w:rsidP="006B3F1D">
            <w:pPr>
              <w:pStyle w:val="Prrafodelista"/>
              <w:widowControl w:val="0"/>
              <w:numPr>
                <w:ilvl w:val="0"/>
                <w:numId w:val="22"/>
              </w:numPr>
              <w:autoSpaceDE w:val="0"/>
              <w:autoSpaceDN w:val="0"/>
              <w:spacing w:line="276" w:lineRule="auto"/>
              <w:jc w:val="both"/>
              <w:rPr>
                <w:rFonts w:ascii="Verdana" w:hAnsi="Verdana" w:cs="Arial"/>
              </w:rPr>
            </w:pPr>
            <w:r w:rsidRPr="00007B41">
              <w:rPr>
                <w:rFonts w:ascii="Verdana" w:hAnsi="Verdana" w:cs="Arial"/>
              </w:rPr>
              <w:t>Decreto 1082 de 2015, artículos 2.2.1.1.1.5.1. y 2.2.1.1.1.5.2.</w:t>
            </w:r>
          </w:p>
          <w:p w14:paraId="6BEDF433" w14:textId="77777777" w:rsidR="006B3F1D" w:rsidRPr="00007B41" w:rsidRDefault="006B3F1D" w:rsidP="006B3F1D">
            <w:pPr>
              <w:pStyle w:val="Prrafodelista"/>
              <w:widowControl w:val="0"/>
              <w:numPr>
                <w:ilvl w:val="0"/>
                <w:numId w:val="22"/>
              </w:numPr>
              <w:autoSpaceDE w:val="0"/>
              <w:autoSpaceDN w:val="0"/>
              <w:spacing w:line="276" w:lineRule="auto"/>
              <w:jc w:val="both"/>
              <w:rPr>
                <w:rFonts w:ascii="Verdana" w:hAnsi="Verdana" w:cs="Arial"/>
              </w:rPr>
            </w:pPr>
            <w:r w:rsidRPr="00007B41">
              <w:rPr>
                <w:rFonts w:ascii="Verdana" w:hAnsi="Verdana" w:cs="Arial"/>
              </w:rPr>
              <w:t>Decreto 2474 de 2008, artículo 10.</w:t>
            </w:r>
          </w:p>
          <w:p w14:paraId="22BE4908" w14:textId="77777777" w:rsidR="006B3F1D" w:rsidRPr="00007B41" w:rsidRDefault="006B3F1D" w:rsidP="006B3F1D">
            <w:pPr>
              <w:pStyle w:val="Prrafodelista"/>
              <w:widowControl w:val="0"/>
              <w:numPr>
                <w:ilvl w:val="0"/>
                <w:numId w:val="22"/>
              </w:numPr>
              <w:autoSpaceDE w:val="0"/>
              <w:autoSpaceDN w:val="0"/>
              <w:spacing w:line="276" w:lineRule="auto"/>
              <w:jc w:val="both"/>
              <w:rPr>
                <w:rFonts w:ascii="Verdana" w:hAnsi="Verdana" w:cs="Arial"/>
              </w:rPr>
            </w:pPr>
            <w:r w:rsidRPr="00007B41">
              <w:rPr>
                <w:rFonts w:ascii="Verdana" w:hAnsi="Verdana" w:cs="Arial"/>
              </w:rPr>
              <w:t xml:space="preserve">Consejo de Estado. Sección Tercera. Subsección A. Sentencia del 19 de septiembre de 2019. </w:t>
            </w:r>
            <w:proofErr w:type="spellStart"/>
            <w:r w:rsidRPr="00007B41">
              <w:rPr>
                <w:rFonts w:ascii="Verdana" w:hAnsi="Verdana" w:cs="Arial"/>
              </w:rPr>
              <w:t>Exp</w:t>
            </w:r>
            <w:proofErr w:type="spellEnd"/>
            <w:r w:rsidRPr="00007B41">
              <w:rPr>
                <w:rFonts w:ascii="Verdana" w:hAnsi="Verdana" w:cs="Arial"/>
              </w:rPr>
              <w:t>. 59.432. C.P. Marta Nubia Velásquez Rico.</w:t>
            </w:r>
          </w:p>
          <w:p w14:paraId="79047F29" w14:textId="77777777" w:rsidR="006B3F1D" w:rsidRPr="00007B41" w:rsidRDefault="006B3F1D" w:rsidP="006B3F1D">
            <w:pPr>
              <w:pStyle w:val="Prrafodelista"/>
              <w:widowControl w:val="0"/>
              <w:numPr>
                <w:ilvl w:val="0"/>
                <w:numId w:val="22"/>
              </w:numPr>
              <w:autoSpaceDE w:val="0"/>
              <w:autoSpaceDN w:val="0"/>
              <w:spacing w:line="276" w:lineRule="auto"/>
              <w:jc w:val="both"/>
              <w:rPr>
                <w:rFonts w:ascii="Verdana" w:hAnsi="Verdana" w:cs="Arial"/>
              </w:rPr>
            </w:pPr>
            <w:r w:rsidRPr="00007B41">
              <w:rPr>
                <w:rFonts w:ascii="Verdana" w:hAnsi="Verdana" w:cs="Arial"/>
              </w:rPr>
              <w:t xml:space="preserve">Consejo de Estado. Sección Cuarta. Sentencia del 19 de noviembre de 1999. </w:t>
            </w:r>
            <w:proofErr w:type="spellStart"/>
            <w:r w:rsidRPr="00007B41">
              <w:rPr>
                <w:rFonts w:ascii="Verdana" w:hAnsi="Verdana" w:cs="Arial"/>
              </w:rPr>
              <w:t>Exp</w:t>
            </w:r>
            <w:proofErr w:type="spellEnd"/>
            <w:r w:rsidRPr="00007B41">
              <w:rPr>
                <w:rFonts w:ascii="Verdana" w:hAnsi="Verdana" w:cs="Arial"/>
              </w:rPr>
              <w:t>. 9.453. CP. Daniel Manrique Guzmán.</w:t>
            </w:r>
          </w:p>
          <w:p w14:paraId="3C8F3E22" w14:textId="77777777" w:rsidR="006B3F1D" w:rsidRPr="00007B41" w:rsidRDefault="006B3F1D" w:rsidP="006B3F1D">
            <w:pPr>
              <w:pStyle w:val="Prrafodelista"/>
              <w:widowControl w:val="0"/>
              <w:numPr>
                <w:ilvl w:val="0"/>
                <w:numId w:val="22"/>
              </w:numPr>
              <w:autoSpaceDE w:val="0"/>
              <w:autoSpaceDN w:val="0"/>
              <w:spacing w:line="276" w:lineRule="auto"/>
              <w:jc w:val="both"/>
              <w:rPr>
                <w:rFonts w:ascii="Verdana" w:hAnsi="Verdana" w:cs="Arial"/>
              </w:rPr>
            </w:pPr>
            <w:r w:rsidRPr="00007B41">
              <w:rPr>
                <w:rFonts w:ascii="Verdana" w:hAnsi="Verdana" w:cs="Arial"/>
              </w:rPr>
              <w:t xml:space="preserve">Consejo de Estado. Sala de Consulta y Servicio Civil. Concepto del 6 de noviembre de 2008. </w:t>
            </w:r>
            <w:proofErr w:type="spellStart"/>
            <w:r w:rsidRPr="00007B41">
              <w:rPr>
                <w:rFonts w:ascii="Verdana" w:hAnsi="Verdana" w:cs="Arial"/>
              </w:rPr>
              <w:t>Exp</w:t>
            </w:r>
            <w:proofErr w:type="spellEnd"/>
            <w:r w:rsidRPr="00007B41">
              <w:rPr>
                <w:rFonts w:ascii="Verdana" w:hAnsi="Verdana" w:cs="Arial"/>
              </w:rPr>
              <w:t>. 1.927. C.P. William Zambrano Cetina.</w:t>
            </w:r>
          </w:p>
          <w:p w14:paraId="5E4F6A1A" w14:textId="77777777" w:rsidR="006B3F1D" w:rsidRPr="00007B41" w:rsidRDefault="006B3F1D" w:rsidP="006B3F1D">
            <w:pPr>
              <w:pStyle w:val="Prrafodelista"/>
              <w:widowControl w:val="0"/>
              <w:numPr>
                <w:ilvl w:val="0"/>
                <w:numId w:val="22"/>
              </w:numPr>
              <w:autoSpaceDE w:val="0"/>
              <w:autoSpaceDN w:val="0"/>
              <w:spacing w:line="276" w:lineRule="auto"/>
              <w:jc w:val="both"/>
              <w:rPr>
                <w:rFonts w:ascii="Verdana" w:hAnsi="Verdana" w:cs="Arial"/>
              </w:rPr>
            </w:pPr>
            <w:r w:rsidRPr="00007B41">
              <w:rPr>
                <w:rFonts w:ascii="Verdana" w:hAnsi="Verdana" w:cs="Arial"/>
              </w:rPr>
              <w:t xml:space="preserve">Consejo de Estado. Sección Tercera. Sentencia del 17 de junio del 2024. </w:t>
            </w:r>
            <w:proofErr w:type="spellStart"/>
            <w:r w:rsidRPr="00007B41">
              <w:rPr>
                <w:rFonts w:ascii="Verdana" w:hAnsi="Verdana" w:cs="Arial"/>
              </w:rPr>
              <w:t>Exp</w:t>
            </w:r>
            <w:proofErr w:type="spellEnd"/>
            <w:r w:rsidRPr="00007B41">
              <w:rPr>
                <w:rFonts w:ascii="Verdana" w:hAnsi="Verdana" w:cs="Arial"/>
              </w:rPr>
              <w:t xml:space="preserve">. 70.326. </w:t>
            </w:r>
            <w:r>
              <w:rPr>
                <w:rFonts w:ascii="Verdana" w:hAnsi="Verdana" w:cs="Arial"/>
              </w:rPr>
              <w:t>C</w:t>
            </w:r>
            <w:r w:rsidRPr="00007B41">
              <w:rPr>
                <w:rFonts w:ascii="Verdana" w:hAnsi="Verdana" w:cs="Arial"/>
              </w:rPr>
              <w:t>.P.</w:t>
            </w:r>
            <w:r w:rsidRPr="00007B41">
              <w:rPr>
                <w:rFonts w:ascii="Verdana" w:hAnsi="Verdana"/>
                <w:lang w:val="es-CO"/>
              </w:rPr>
              <w:t xml:space="preserve"> </w:t>
            </w:r>
            <w:r w:rsidRPr="00007B41">
              <w:rPr>
                <w:rFonts w:ascii="Verdana" w:hAnsi="Verdana" w:cs="Arial"/>
                <w:lang w:val="es-CO"/>
              </w:rPr>
              <w:t>Fredy Ibarra Martínez.</w:t>
            </w:r>
          </w:p>
          <w:p w14:paraId="27A51F26" w14:textId="27A659CA" w:rsidR="00C1511F" w:rsidRPr="0096584D" w:rsidRDefault="006B3F1D" w:rsidP="006B3F1D">
            <w:pPr>
              <w:pStyle w:val="Prrafodelista"/>
              <w:widowControl w:val="0"/>
              <w:numPr>
                <w:ilvl w:val="0"/>
                <w:numId w:val="22"/>
              </w:numPr>
              <w:autoSpaceDE w:val="0"/>
              <w:autoSpaceDN w:val="0"/>
              <w:spacing w:after="120" w:line="276" w:lineRule="auto"/>
              <w:rPr>
                <w:rFonts w:ascii="Verdana" w:eastAsia="Calibri" w:hAnsi="Verdana" w:cs="Arial"/>
                <w:color w:val="000000"/>
              </w:rPr>
            </w:pPr>
            <w:r w:rsidRPr="00007B41">
              <w:rPr>
                <w:rFonts w:ascii="Verdana" w:hAnsi="Verdana" w:cs="Arial"/>
              </w:rPr>
              <w:t xml:space="preserve">Colombia Compra Eficiente, Circular Externa Única. Disponible en: </w:t>
            </w:r>
            <w:hyperlink r:id="rId13" w:history="1">
              <w:r w:rsidRPr="00007B41">
                <w:rPr>
                  <w:rStyle w:val="Hipervnculo"/>
                  <w:rFonts w:ascii="Verdana" w:hAnsi="Verdana" w:cs="Arial"/>
                </w:rPr>
                <w:t>https://colombiacompra.gov.co/sites/cce_public/files/cce_circulares/cce-eicp-ma-06_circular_externa_con_comentarios_de_ciudadanos-_v2f_002.pdf</w:t>
              </w:r>
            </w:hyperlink>
          </w:p>
        </w:tc>
      </w:tr>
    </w:tbl>
    <w:p w14:paraId="58ADDCE6" w14:textId="77777777" w:rsidR="00C1511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100567F" w14:textId="77777777" w:rsidR="00C1511F" w:rsidRDefault="00C1511F" w:rsidP="00C1511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503120B" w14:textId="77777777" w:rsidR="00C1511F" w:rsidRPr="00593A5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1D7E38D" w14:textId="466F008D" w:rsidR="00C1511F" w:rsidRPr="00C95794" w:rsidRDefault="006B3F1D" w:rsidP="00C1511F">
      <w:pPr>
        <w:widowControl w:val="0"/>
        <w:autoSpaceDE w:val="0"/>
        <w:autoSpaceDN w:val="0"/>
        <w:spacing w:after="0" w:line="276" w:lineRule="auto"/>
        <w:jc w:val="both"/>
        <w:rPr>
          <w:rFonts w:ascii="Verdana" w:eastAsia="Times New Roman" w:hAnsi="Verdana" w:cs="Arial"/>
          <w:color w:val="4472C4"/>
          <w:szCs w:val="24"/>
          <w:lang w:eastAsia="es-ES_tradnl"/>
        </w:rPr>
      </w:pPr>
      <w:r w:rsidRPr="00CC5C68">
        <w:rPr>
          <w:rFonts w:ascii="Verdana" w:eastAsia="Calibri" w:hAnsi="Verdana" w:cs="Arial"/>
          <w:lang w:val="es-ES_tradnl" w:eastAsia="es-ES_tradnl"/>
        </w:rPr>
        <w:t>Sobre las problemáticas asociadas al RUP, relacionadas con la firmeza de la inscripción, renovación y actualización, se pronunció esta Subdirección en los conceptos C–005  del 14 de febrero de 2020, C–148 del 22 de abril de 2020, C–330 del 27 de mayo de 2020, C–303 del 3 de junio de 2020, C–328 de 30 de junio de 2020, C–454 del 6 de julio de 2020, C–374 del 23 de julio de 2020, C–466 del 24 de julio de 2020, C–420 del 28 de julio de 2020, C–534 del 12 de agosto de 2020, C-703 del 12 de enero de 2022, C-360 del 25 de mayo de 2022, C-426 del 5 de julio de 2022</w:t>
      </w:r>
      <w:r>
        <w:rPr>
          <w:rFonts w:ascii="Verdana" w:eastAsia="Calibri" w:hAnsi="Verdana" w:cs="Arial"/>
          <w:lang w:val="es-ES_tradnl" w:eastAsia="es-ES_tradnl"/>
        </w:rPr>
        <w:t>, C-353 del 30 de agosto de 2024 y C-206 del 26 de marzo de 2025</w:t>
      </w:r>
      <w:r w:rsidR="00887A8D">
        <w:rPr>
          <w:rFonts w:ascii="Verdana" w:eastAsia="Times New Roman" w:hAnsi="Verdana" w:cs="Arial"/>
          <w:szCs w:val="24"/>
          <w:lang w:eastAsia="es-ES_tradnl"/>
        </w:rPr>
        <w:t>.</w:t>
      </w:r>
      <w:r w:rsidR="00C1511F">
        <w:rPr>
          <w:rFonts w:ascii="Verdana" w:eastAsia="Times New Roman" w:hAnsi="Verdana" w:cs="Arial"/>
          <w:szCs w:val="24"/>
          <w:lang w:eastAsia="es-ES_tradnl"/>
        </w:rPr>
        <w:t xml:space="preserve"> </w:t>
      </w:r>
      <w:r w:rsidR="00C1511F" w:rsidRPr="00C95794">
        <w:rPr>
          <w:rFonts w:ascii="Verdana" w:eastAsia="Times New Roman" w:hAnsi="Verdana" w:cs="Arial"/>
          <w:szCs w:val="24"/>
          <w:lang w:eastAsia="es-ES_tradnl"/>
        </w:rPr>
        <w:t xml:space="preserve">Estos y otros conceptos se encuentran disponibles para consulta en el Sistema de relatoría de la Agencia, al cual se puede acceder a través del siguiente enlace: </w:t>
      </w:r>
      <w:hyperlink r:id="rId14" w:history="1">
        <w:r w:rsidR="0033720F" w:rsidRPr="00D176B0">
          <w:rPr>
            <w:rStyle w:val="Hipervnculo"/>
            <w:rFonts w:ascii="Verdana" w:eastAsia="Times New Roman" w:hAnsi="Verdana" w:cs="Arial"/>
            <w:szCs w:val="24"/>
            <w:lang w:eastAsia="es-ES_tradnl"/>
          </w:rPr>
          <w:t>https://relatoria.colombiacompra.gov.co</w:t>
        </w:r>
      </w:hyperlink>
    </w:p>
    <w:p w14:paraId="52414A80" w14:textId="77777777" w:rsidR="00C1511F" w:rsidRDefault="00C1511F" w:rsidP="00C1511F">
      <w:pPr>
        <w:widowControl w:val="0"/>
        <w:autoSpaceDE w:val="0"/>
        <w:autoSpaceDN w:val="0"/>
        <w:spacing w:after="0" w:line="276" w:lineRule="auto"/>
        <w:jc w:val="both"/>
        <w:rPr>
          <w:rFonts w:ascii="Verdana" w:hAnsi="Verdana" w:cs="Arial"/>
          <w:color w:val="000000" w:themeColor="text1"/>
          <w:shd w:val="clear" w:color="auto" w:fill="FFFFFF"/>
        </w:rPr>
      </w:pPr>
    </w:p>
    <w:p w14:paraId="2DD3E5C6" w14:textId="77777777" w:rsidR="00C1511F" w:rsidRPr="00103B90" w:rsidRDefault="00C1511F" w:rsidP="00C1511F">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5229C2C" w14:textId="77777777" w:rsidR="00C1511F" w:rsidRPr="00103B90" w:rsidRDefault="00C1511F" w:rsidP="00C1511F">
      <w:pPr>
        <w:widowControl w:val="0"/>
        <w:autoSpaceDE w:val="0"/>
        <w:autoSpaceDN w:val="0"/>
        <w:spacing w:after="0" w:line="276" w:lineRule="auto"/>
        <w:jc w:val="both"/>
        <w:rPr>
          <w:rFonts w:ascii="Verdana" w:hAnsi="Verdana"/>
        </w:rPr>
      </w:pPr>
    </w:p>
    <w:p w14:paraId="0BCE0327" w14:textId="77777777" w:rsidR="00C1511F" w:rsidRPr="00505CD6" w:rsidRDefault="00C1511F" w:rsidP="00C1511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95BA75C" w14:textId="77777777" w:rsidR="00C1511F" w:rsidRPr="00505CD6" w:rsidRDefault="00C1511F" w:rsidP="00C1511F">
      <w:pPr>
        <w:widowControl w:val="0"/>
        <w:autoSpaceDE w:val="0"/>
        <w:autoSpaceDN w:val="0"/>
        <w:spacing w:after="0" w:line="276" w:lineRule="auto"/>
        <w:jc w:val="both"/>
        <w:rPr>
          <w:rFonts w:ascii="Verdana" w:hAnsi="Verdana" w:cs="Arial"/>
        </w:rPr>
      </w:pPr>
    </w:p>
    <w:p w14:paraId="4C307D77" w14:textId="77777777" w:rsidR="00C1511F" w:rsidRDefault="00C1511F" w:rsidP="00C1511F">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B4A209C" w14:textId="77777777" w:rsidR="00C1511F" w:rsidRDefault="00C1511F" w:rsidP="00C1511F">
      <w:pPr>
        <w:spacing w:after="0" w:line="276" w:lineRule="auto"/>
        <w:jc w:val="both"/>
        <w:rPr>
          <w:noProof/>
        </w:rPr>
      </w:pPr>
    </w:p>
    <w:p w14:paraId="65D1ED77" w14:textId="5A3618C8" w:rsidR="00C1511F" w:rsidRDefault="00C1511F" w:rsidP="00C1511F">
      <w:pPr>
        <w:spacing w:line="276" w:lineRule="auto"/>
        <w:jc w:val="center"/>
        <w:rPr>
          <w:noProof/>
        </w:rPr>
      </w:pPr>
    </w:p>
    <w:p w14:paraId="032483A1" w14:textId="7C82BF9F" w:rsidR="00CA4CCC" w:rsidRDefault="00CA4CCC" w:rsidP="00C1511F">
      <w:pPr>
        <w:spacing w:line="276" w:lineRule="auto"/>
        <w:jc w:val="center"/>
        <w:rPr>
          <w:noProof/>
        </w:rPr>
      </w:pPr>
    </w:p>
    <w:p w14:paraId="377BAB7A" w14:textId="77777777" w:rsidR="002A5038" w:rsidRDefault="002A5038" w:rsidP="00C1511F">
      <w:pPr>
        <w:spacing w:line="276" w:lineRule="auto"/>
        <w:jc w:val="center"/>
        <w:rPr>
          <w:noProof/>
        </w:rPr>
      </w:pPr>
    </w:p>
    <w:p w14:paraId="3CA1DAED" w14:textId="13F454B1" w:rsidR="002A5038" w:rsidRDefault="002A5038" w:rsidP="00C1511F">
      <w:pPr>
        <w:spacing w:line="276" w:lineRule="auto"/>
        <w:jc w:val="center"/>
        <w:rPr>
          <w:noProof/>
        </w:rPr>
      </w:pPr>
      <w:r>
        <w:rPr>
          <w:noProof/>
        </w:rPr>
        <w:drawing>
          <wp:inline distT="0" distB="0" distL="0" distR="0" wp14:anchorId="0C3800C4" wp14:editId="1F1C4B98">
            <wp:extent cx="3621405" cy="1554606"/>
            <wp:effectExtent l="0" t="0" r="0" b="7620"/>
            <wp:docPr id="1363658972"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658972" name="Imagen 2" descr="Texto&#10;&#10;El contenido generado por IA puede ser incorrect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28888" cy="1557818"/>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1511F" w:rsidRPr="00593A5F" w14:paraId="16674101" w14:textId="77777777" w:rsidTr="00660F64">
        <w:trPr>
          <w:trHeight w:val="315"/>
        </w:trPr>
        <w:tc>
          <w:tcPr>
            <w:tcW w:w="893" w:type="dxa"/>
            <w:vAlign w:val="center"/>
            <w:hideMark/>
          </w:tcPr>
          <w:p w14:paraId="418FE48B" w14:textId="77777777" w:rsidR="00C1511F" w:rsidRPr="003751C7" w:rsidRDefault="00C1511F"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3F7B11" w14:textId="34FBD586" w:rsidR="00C1511F" w:rsidRPr="007911EE" w:rsidRDefault="00CA4CCC" w:rsidP="00660F64">
            <w:pPr>
              <w:contextualSpacing/>
              <w:rPr>
                <w:rFonts w:ascii="Verdana" w:hAnsi="Verdana"/>
                <w:sz w:val="16"/>
                <w:szCs w:val="16"/>
              </w:rPr>
            </w:pPr>
            <w:r>
              <w:rPr>
                <w:rFonts w:ascii="Verdana" w:hAnsi="Verdana"/>
                <w:sz w:val="16"/>
                <w:szCs w:val="16"/>
              </w:rPr>
              <w:t xml:space="preserve">Nicolas Andres Guzman </w:t>
            </w:r>
          </w:p>
          <w:p w14:paraId="46611B75" w14:textId="77777777" w:rsidR="00C1511F" w:rsidRPr="007911EE" w:rsidRDefault="00C1511F" w:rsidP="00660F6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C1511F" w:rsidRPr="00593A5F" w14:paraId="6FBDD3A9" w14:textId="77777777" w:rsidTr="00660F64">
        <w:trPr>
          <w:trHeight w:val="330"/>
        </w:trPr>
        <w:tc>
          <w:tcPr>
            <w:tcW w:w="893" w:type="dxa"/>
            <w:vAlign w:val="center"/>
            <w:hideMark/>
          </w:tcPr>
          <w:p w14:paraId="1235939D" w14:textId="77777777" w:rsidR="00C1511F" w:rsidRPr="003751C7" w:rsidRDefault="00C1511F"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89D5D7" w14:textId="77777777" w:rsidR="00887A8D" w:rsidRDefault="00887A8D" w:rsidP="00660F64">
            <w:pPr>
              <w:spacing w:line="276" w:lineRule="auto"/>
              <w:contextualSpacing/>
              <w:jc w:val="both"/>
              <w:rPr>
                <w:rFonts w:ascii="Verdana" w:hAnsi="Verdana"/>
                <w:sz w:val="16"/>
                <w:szCs w:val="16"/>
              </w:rPr>
            </w:pPr>
            <w:r w:rsidRPr="00887A8D">
              <w:rPr>
                <w:rFonts w:ascii="Verdana" w:hAnsi="Verdana"/>
                <w:sz w:val="16"/>
                <w:szCs w:val="16"/>
              </w:rPr>
              <w:t>Juan Carlos González</w:t>
            </w:r>
          </w:p>
          <w:p w14:paraId="61936CB2" w14:textId="234A541E" w:rsidR="00C1511F" w:rsidRPr="007911EE" w:rsidRDefault="00C1511F" w:rsidP="00660F6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C1511F" w:rsidRPr="00593A5F" w14:paraId="3849128E" w14:textId="77777777" w:rsidTr="00660F64">
        <w:trPr>
          <w:trHeight w:val="330"/>
        </w:trPr>
        <w:tc>
          <w:tcPr>
            <w:tcW w:w="893" w:type="dxa"/>
            <w:vAlign w:val="center"/>
          </w:tcPr>
          <w:p w14:paraId="606DE2EB" w14:textId="77777777" w:rsidR="00C1511F" w:rsidRPr="003751C7" w:rsidRDefault="00C1511F" w:rsidP="00660F6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A73A31" w14:textId="77777777" w:rsidR="00C1511F" w:rsidRDefault="00C1511F" w:rsidP="00660F64">
            <w:pPr>
              <w:spacing w:line="276" w:lineRule="auto"/>
              <w:contextualSpacing/>
              <w:jc w:val="both"/>
              <w:rPr>
                <w:rFonts w:ascii="Verdana" w:hAnsi="Verdana"/>
                <w:sz w:val="16"/>
                <w:szCs w:val="16"/>
              </w:rPr>
            </w:pPr>
            <w:r>
              <w:rPr>
                <w:rFonts w:ascii="Verdana" w:hAnsi="Verdana"/>
                <w:sz w:val="16"/>
                <w:szCs w:val="16"/>
              </w:rPr>
              <w:t xml:space="preserve">Carolina Quintero Gacharná. </w:t>
            </w:r>
          </w:p>
          <w:p w14:paraId="14706E6D" w14:textId="77777777" w:rsidR="00C1511F" w:rsidRDefault="00C1511F" w:rsidP="00660F6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6659ABF3" w14:textId="77777777" w:rsidR="00C1511F" w:rsidRPr="00F30C63" w:rsidRDefault="00C1511F" w:rsidP="00C1511F"/>
    <w:p w14:paraId="0F293BF4" w14:textId="020DDFED" w:rsidR="00127233" w:rsidRPr="00D55B9E" w:rsidRDefault="00127233" w:rsidP="00D55B9E"/>
    <w:sectPr w:rsidR="00127233" w:rsidRPr="00D55B9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87BCA" w14:textId="77777777" w:rsidR="002870F4" w:rsidRDefault="002870F4" w:rsidP="004A1847">
      <w:pPr>
        <w:spacing w:after="0" w:line="240" w:lineRule="auto"/>
      </w:pPr>
      <w:r>
        <w:separator/>
      </w:r>
    </w:p>
  </w:endnote>
  <w:endnote w:type="continuationSeparator" w:id="0">
    <w:p w14:paraId="5601C390" w14:textId="77777777" w:rsidR="002870F4" w:rsidRDefault="002870F4" w:rsidP="004A1847">
      <w:pPr>
        <w:spacing w:after="0" w:line="240" w:lineRule="auto"/>
      </w:pPr>
      <w:r>
        <w:continuationSeparator/>
      </w:r>
    </w:p>
  </w:endnote>
  <w:endnote w:type="continuationNotice" w:id="1">
    <w:p w14:paraId="64D7341D" w14:textId="77777777" w:rsidR="002870F4" w:rsidRDefault="002870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E6A95" w14:textId="77777777" w:rsidR="002870F4" w:rsidRDefault="002870F4" w:rsidP="004A1847">
      <w:pPr>
        <w:spacing w:after="0" w:line="240" w:lineRule="auto"/>
      </w:pPr>
      <w:r>
        <w:separator/>
      </w:r>
    </w:p>
  </w:footnote>
  <w:footnote w:type="continuationSeparator" w:id="0">
    <w:p w14:paraId="3C3A71FC" w14:textId="77777777" w:rsidR="002870F4" w:rsidRDefault="002870F4" w:rsidP="004A1847">
      <w:pPr>
        <w:spacing w:after="0" w:line="240" w:lineRule="auto"/>
      </w:pPr>
      <w:r>
        <w:continuationSeparator/>
      </w:r>
    </w:p>
  </w:footnote>
  <w:footnote w:type="continuationNotice" w:id="1">
    <w:p w14:paraId="3E58C6EC" w14:textId="77777777" w:rsidR="002870F4" w:rsidRDefault="002870F4">
      <w:pPr>
        <w:spacing w:after="0" w:line="240" w:lineRule="auto"/>
      </w:pPr>
    </w:p>
  </w:footnote>
  <w:footnote w:id="2">
    <w:p w14:paraId="39A804A8" w14:textId="77777777" w:rsidR="004529F0" w:rsidRPr="00750F79" w:rsidRDefault="004529F0" w:rsidP="004529F0">
      <w:pPr>
        <w:pStyle w:val="Textonotapie"/>
        <w:jc w:val="both"/>
        <w:rPr>
          <w:rFonts w:ascii="Verdana" w:hAnsi="Verdana" w:cs="Arial"/>
          <w:sz w:val="18"/>
          <w:szCs w:val="18"/>
        </w:rPr>
      </w:pPr>
      <w:r w:rsidRPr="00750F79">
        <w:rPr>
          <w:rStyle w:val="Refdenotaalpie"/>
          <w:rFonts w:ascii="Verdana" w:hAnsi="Verdana" w:cs="Arial"/>
          <w:sz w:val="18"/>
          <w:szCs w:val="18"/>
        </w:rPr>
        <w:footnoteRef/>
      </w:r>
      <w:r w:rsidRPr="00750F79">
        <w:rPr>
          <w:rFonts w:ascii="Verdana" w:hAnsi="Verdana" w:cs="Arial"/>
          <w:sz w:val="18"/>
          <w:szCs w:val="18"/>
        </w:rPr>
        <w:t xml:space="preserve"> Sin perjuicio de aquellos eventos en los cuales la inscripción en el RUP no es obligatoria, caso en el cual “corresponderá a las entidades contratantes cumplir con la labor de verificación” de los requisitos habilitantes, como lo prevé el artículo 6 de la Ley 1150 de 2007.</w:t>
      </w:r>
    </w:p>
  </w:footnote>
  <w:footnote w:id="3">
    <w:p w14:paraId="56B3AB94" w14:textId="77777777" w:rsidR="006B3F1D" w:rsidRPr="00A60AC8" w:rsidRDefault="006B3F1D" w:rsidP="006B3F1D">
      <w:pPr>
        <w:pStyle w:val="Textonotapie"/>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Consejo de Estado. Sección Tercera. Subsección B. Sentencia del 6 de junio de 2013. </w:t>
      </w:r>
      <w:proofErr w:type="spellStart"/>
      <w:r w:rsidRPr="00A60AC8">
        <w:rPr>
          <w:rFonts w:ascii="Verdana" w:hAnsi="Verdana" w:cs="Arial"/>
          <w:sz w:val="16"/>
          <w:szCs w:val="16"/>
        </w:rPr>
        <w:t>Exp</w:t>
      </w:r>
      <w:proofErr w:type="spellEnd"/>
      <w:r w:rsidRPr="00A60AC8">
        <w:rPr>
          <w:rFonts w:ascii="Verdana" w:hAnsi="Verdana" w:cs="Arial"/>
          <w:sz w:val="16"/>
          <w:szCs w:val="16"/>
        </w:rPr>
        <w:t>. 25151. C.P. Stella Conto Díaz del Castillo.</w:t>
      </w:r>
    </w:p>
    <w:p w14:paraId="45CA32AB" w14:textId="77777777" w:rsidR="006B3F1D" w:rsidRPr="00A60AC8" w:rsidRDefault="006B3F1D" w:rsidP="006B3F1D">
      <w:pPr>
        <w:pStyle w:val="Textonotapie"/>
        <w:ind w:firstLine="709"/>
        <w:contextualSpacing/>
        <w:jc w:val="both"/>
        <w:rPr>
          <w:rFonts w:ascii="Verdana" w:hAnsi="Verdana" w:cs="Arial"/>
          <w:sz w:val="16"/>
          <w:szCs w:val="16"/>
        </w:rPr>
      </w:pPr>
    </w:p>
  </w:footnote>
  <w:footnote w:id="4">
    <w:p w14:paraId="7906A528" w14:textId="77777777" w:rsidR="006B3F1D" w:rsidRPr="00A60AC8" w:rsidRDefault="006B3F1D" w:rsidP="006B3F1D">
      <w:pPr>
        <w:pStyle w:val="Textonotapie"/>
        <w:ind w:firstLine="709"/>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Ley 1150 de 2007: “Artículo 6. De la verificación de las condiciones de los proponentes.</w:t>
      </w:r>
    </w:p>
    <w:p w14:paraId="0EFAE3F9"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w:t>
      </w:r>
    </w:p>
    <w:p w14:paraId="4A08856C"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6.1. […]</w:t>
      </w:r>
    </w:p>
    <w:p w14:paraId="43F36264"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6B126E37"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 xml:space="preserve">No </w:t>
      </w:r>
      <w:proofErr w:type="gramStart"/>
      <w:r w:rsidRPr="00A60AC8">
        <w:rPr>
          <w:rFonts w:ascii="Verdana" w:hAnsi="Verdana" w:cs="Arial"/>
          <w:sz w:val="16"/>
          <w:szCs w:val="16"/>
          <w:lang w:eastAsia="es-CO"/>
        </w:rPr>
        <w:t>obstante</w:t>
      </w:r>
      <w:proofErr w:type="gramEnd"/>
      <w:r w:rsidRPr="00A60AC8">
        <w:rPr>
          <w:rFonts w:ascii="Verdana" w:hAnsi="Verdana" w:cs="Arial"/>
          <w:sz w:val="16"/>
          <w:szCs w:val="16"/>
          <w:lang w:eastAsia="es-CO"/>
        </w:rPr>
        <w:t xml:space="preserve"> lo anterior, sólo en aquellos casos en que por las características del objeto a contratar se requiera la verificación de requisitos del proponente adicionales a los contenidos en el Registro, la entidad podrá hacer tal verificación en forma directa.</w:t>
      </w:r>
    </w:p>
    <w:p w14:paraId="3D1B36A8"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w:t>
      </w:r>
    </w:p>
    <w:p w14:paraId="580C9C7A" w14:textId="77777777" w:rsidR="006B3F1D" w:rsidRPr="00A60AC8" w:rsidRDefault="006B3F1D" w:rsidP="006B3F1D">
      <w:pPr>
        <w:pStyle w:val="Textonotapie"/>
        <w:ind w:firstLine="709"/>
        <w:contextualSpacing/>
        <w:jc w:val="both"/>
        <w:rPr>
          <w:rFonts w:ascii="Verdana" w:hAnsi="Verdana" w:cs="Arial"/>
          <w:sz w:val="16"/>
          <w:szCs w:val="16"/>
          <w:lang w:val="es-ES"/>
        </w:rPr>
      </w:pPr>
    </w:p>
  </w:footnote>
  <w:footnote w:id="5">
    <w:p w14:paraId="76DBDF2A"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Ley 1150 de 2007: “Artículo 5. De la selección objetiva.</w:t>
      </w:r>
      <w:r w:rsidRPr="00A60AC8">
        <w:rPr>
          <w:rFonts w:ascii="Verdana" w:hAnsi="Verdana" w:cs="Arial"/>
          <w:sz w:val="16"/>
          <w:szCs w:val="16"/>
          <w:lang w:eastAsia="es-CO"/>
        </w:rPr>
        <w:t xml:space="preserve"> </w:t>
      </w:r>
    </w:p>
    <w:p w14:paraId="6C0D4F35"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w:t>
      </w:r>
    </w:p>
    <w:p w14:paraId="55A49552"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p w14:paraId="26014860" w14:textId="77777777" w:rsidR="006B3F1D" w:rsidRPr="00A60AC8" w:rsidRDefault="006B3F1D" w:rsidP="006B3F1D">
      <w:pPr>
        <w:pStyle w:val="Textonotapie"/>
        <w:ind w:firstLine="709"/>
        <w:contextualSpacing/>
        <w:jc w:val="both"/>
        <w:rPr>
          <w:rFonts w:ascii="Verdana" w:hAnsi="Verdana" w:cs="Arial"/>
          <w:sz w:val="16"/>
          <w:szCs w:val="16"/>
          <w:lang w:val="es-ES"/>
        </w:rPr>
      </w:pPr>
    </w:p>
  </w:footnote>
  <w:footnote w:id="6">
    <w:p w14:paraId="1A425FB2"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7F5DFAD0" w14:textId="77777777" w:rsidR="006B3F1D" w:rsidRPr="00A60AC8" w:rsidRDefault="006B3F1D" w:rsidP="006B3F1D">
      <w:pPr>
        <w:pStyle w:val="Textonotapie"/>
        <w:ind w:firstLine="709"/>
        <w:contextualSpacing/>
        <w:jc w:val="both"/>
        <w:rPr>
          <w:rFonts w:ascii="Verdana" w:hAnsi="Verdana" w:cs="Arial"/>
          <w:sz w:val="16"/>
          <w:szCs w:val="16"/>
          <w:lang w:eastAsia="es-CO"/>
        </w:rPr>
      </w:pPr>
    </w:p>
  </w:footnote>
  <w:footnote w:id="7">
    <w:p w14:paraId="536C04E2"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 xml:space="preserve">Ley 1150 de 2007: “Artículo 6.  De la verificación de las condiciones de los proponentes. </w:t>
      </w:r>
    </w:p>
    <w:p w14:paraId="72042DBC"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 xml:space="preserve">[...] </w:t>
      </w:r>
    </w:p>
    <w:p w14:paraId="255B8B1F" w14:textId="77777777" w:rsidR="006B3F1D" w:rsidRPr="00A60AC8" w:rsidRDefault="006B3F1D" w:rsidP="006B3F1D">
      <w:pPr>
        <w:pStyle w:val="Textonotapie"/>
        <w:contextualSpacing/>
        <w:jc w:val="both"/>
        <w:rPr>
          <w:rFonts w:ascii="Verdana" w:hAnsi="Verdana" w:cs="Arial"/>
          <w:sz w:val="16"/>
          <w:szCs w:val="16"/>
          <w:lang w:eastAsia="es-CO"/>
        </w:rPr>
      </w:pPr>
      <w:r w:rsidRPr="00A60AC8">
        <w:rPr>
          <w:rFonts w:ascii="Verdana" w:hAnsi="Verdana" w:cs="Arial"/>
          <w:sz w:val="16"/>
          <w:szCs w:val="16"/>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p w14:paraId="43F4E79F" w14:textId="77777777" w:rsidR="006B3F1D" w:rsidRPr="00A60AC8" w:rsidRDefault="006B3F1D" w:rsidP="006B3F1D">
      <w:pPr>
        <w:pStyle w:val="Textonotapie"/>
        <w:ind w:firstLine="709"/>
        <w:contextualSpacing/>
        <w:jc w:val="both"/>
        <w:rPr>
          <w:rFonts w:ascii="Verdana" w:hAnsi="Verdana" w:cs="Arial"/>
          <w:sz w:val="16"/>
          <w:szCs w:val="16"/>
        </w:rPr>
      </w:pPr>
    </w:p>
  </w:footnote>
  <w:footnote w:id="8">
    <w:p w14:paraId="2566A3EB" w14:textId="77777777" w:rsidR="006B3F1D" w:rsidRPr="00A60AC8" w:rsidRDefault="006B3F1D" w:rsidP="006B3F1D">
      <w:pPr>
        <w:pStyle w:val="Textonotapie"/>
        <w:ind w:firstLine="709"/>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Consejo de Estado. Sala de Consulta y Servicio Civil. Consulta del 20 de mayo de 2010. Exp.1992. C. P. Enrique José Arboleda Perdomo.</w:t>
      </w:r>
    </w:p>
    <w:p w14:paraId="6DAB2A16" w14:textId="77777777" w:rsidR="006B3F1D" w:rsidRPr="00A60AC8" w:rsidRDefault="006B3F1D" w:rsidP="006B3F1D">
      <w:pPr>
        <w:pStyle w:val="Textonotapie"/>
        <w:ind w:firstLine="709"/>
        <w:contextualSpacing/>
        <w:jc w:val="both"/>
        <w:rPr>
          <w:rFonts w:ascii="Verdana" w:hAnsi="Verdana" w:cs="Arial"/>
          <w:sz w:val="16"/>
          <w:szCs w:val="16"/>
        </w:rPr>
      </w:pPr>
    </w:p>
  </w:footnote>
  <w:footnote w:id="9">
    <w:p w14:paraId="5A7A8547" w14:textId="77777777" w:rsidR="006B3F1D" w:rsidRPr="00A60AC8" w:rsidRDefault="006B3F1D" w:rsidP="006B3F1D">
      <w:pPr>
        <w:pStyle w:val="Textonotapie"/>
        <w:ind w:firstLine="709"/>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lang w:eastAsia="es-CO"/>
        </w:rPr>
        <w:t xml:space="preserve">Ley 1150 de 2007: “Artículo 6.  </w:t>
      </w:r>
      <w:r w:rsidRPr="00A60AC8">
        <w:rPr>
          <w:rFonts w:ascii="Verdana" w:hAnsi="Verdana" w:cs="Arial"/>
          <w:sz w:val="16"/>
          <w:szCs w:val="16"/>
          <w:lang w:eastAsia="es-CO"/>
        </w:rPr>
        <w:t xml:space="preserve">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w:t>
      </w:r>
      <w:r w:rsidRPr="00A60AC8">
        <w:rPr>
          <w:rFonts w:ascii="Verdana" w:hAnsi="Verdana" w:cs="Arial"/>
          <w:sz w:val="16"/>
          <w:szCs w:val="16"/>
        </w:rPr>
        <w:t xml:space="preserve"> </w:t>
      </w:r>
    </w:p>
    <w:p w14:paraId="2957D53A" w14:textId="77777777" w:rsidR="006B3F1D" w:rsidRPr="00A60AC8" w:rsidRDefault="006B3F1D" w:rsidP="006B3F1D">
      <w:pPr>
        <w:pStyle w:val="Textonotapie"/>
        <w:ind w:firstLine="708"/>
        <w:contextualSpacing/>
        <w:jc w:val="both"/>
        <w:rPr>
          <w:rFonts w:ascii="Verdana" w:hAnsi="Verdana" w:cs="Arial"/>
          <w:sz w:val="16"/>
          <w:szCs w:val="16"/>
          <w:lang w:val="es-CO"/>
        </w:rPr>
      </w:pPr>
    </w:p>
  </w:footnote>
  <w:footnote w:id="10">
    <w:p w14:paraId="299BE325" w14:textId="77777777" w:rsidR="006B3F1D" w:rsidRPr="00A60AC8" w:rsidRDefault="006B3F1D" w:rsidP="006B3F1D">
      <w:pPr>
        <w:pStyle w:val="Textonotapie"/>
        <w:ind w:firstLine="708"/>
        <w:contextualSpacing/>
        <w:jc w:val="both"/>
        <w:rPr>
          <w:rFonts w:ascii="Verdana" w:hAnsi="Verdana" w:cs="Arial"/>
          <w:sz w:val="16"/>
          <w:szCs w:val="16"/>
          <w:lang w:val="es-CO"/>
        </w:rPr>
      </w:pPr>
      <w:r w:rsidRPr="00A60AC8">
        <w:rPr>
          <w:rStyle w:val="Refdenotaalpie"/>
          <w:rFonts w:ascii="Verdana" w:hAnsi="Verdana" w:cs="Arial"/>
          <w:sz w:val="16"/>
          <w:szCs w:val="16"/>
        </w:rPr>
        <w:footnoteRef/>
      </w:r>
      <w:r w:rsidRPr="00A60AC8">
        <w:rPr>
          <w:rFonts w:ascii="Verdana" w:hAnsi="Verdana" w:cs="Arial"/>
          <w:sz w:val="16"/>
          <w:szCs w:val="16"/>
          <w:lang w:eastAsia="es-CO"/>
        </w:rPr>
        <w:t xml:space="preserve"> “¨[...]</w:t>
      </w:r>
      <w:r w:rsidRPr="00A60AC8">
        <w:rPr>
          <w:rFonts w:ascii="Verdana" w:hAnsi="Verdana" w:cs="Arial"/>
          <w:sz w:val="16"/>
          <w:szCs w:val="16"/>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A60AC8">
        <w:rPr>
          <w:rFonts w:ascii="Verdana" w:hAnsi="Verdana" w:cs="Arial"/>
          <w:sz w:val="16"/>
          <w:szCs w:val="16"/>
          <w:lang w:eastAsia="es-CO"/>
        </w:rPr>
        <w:t xml:space="preserve">[...]”. </w:t>
      </w:r>
      <w:r w:rsidRPr="00A60AC8">
        <w:rPr>
          <w:rFonts w:ascii="Verdana" w:hAnsi="Verdana" w:cs="Arial"/>
          <w:sz w:val="16"/>
          <w:szCs w:val="16"/>
        </w:rPr>
        <w:t xml:space="preserve"> </w:t>
      </w:r>
    </w:p>
    <w:p w14:paraId="5C65CA72" w14:textId="77777777" w:rsidR="006B3F1D" w:rsidRPr="00A60AC8" w:rsidRDefault="006B3F1D" w:rsidP="006B3F1D">
      <w:pPr>
        <w:pStyle w:val="Textonotapie"/>
        <w:ind w:firstLine="709"/>
        <w:contextualSpacing/>
        <w:jc w:val="both"/>
        <w:rPr>
          <w:rFonts w:ascii="Verdana" w:hAnsi="Verdana" w:cs="Arial"/>
          <w:b/>
          <w:bCs/>
          <w:sz w:val="16"/>
          <w:szCs w:val="16"/>
        </w:rPr>
      </w:pPr>
    </w:p>
  </w:footnote>
  <w:footnote w:id="11">
    <w:p w14:paraId="4814669C" w14:textId="77777777" w:rsidR="006B3F1D" w:rsidRPr="00A60AC8" w:rsidRDefault="006B3F1D" w:rsidP="006B3F1D">
      <w:pPr>
        <w:pStyle w:val="Textonotapie"/>
        <w:ind w:firstLine="708"/>
        <w:contextualSpacing/>
        <w:jc w:val="both"/>
        <w:rPr>
          <w:rFonts w:ascii="Verdana" w:hAnsi="Verdana" w:cs="Arial"/>
          <w:sz w:val="16"/>
          <w:szCs w:val="16"/>
          <w:shd w:val="clear" w:color="auto" w:fill="FFFFFF"/>
        </w:rPr>
      </w:pPr>
      <w:r w:rsidRPr="00A60AC8">
        <w:rPr>
          <w:rStyle w:val="Refdenotaalpie"/>
          <w:rFonts w:ascii="Verdana" w:hAnsi="Verdana" w:cs="Arial"/>
          <w:b/>
          <w:bCs/>
          <w:sz w:val="16"/>
          <w:szCs w:val="16"/>
        </w:rPr>
        <w:footnoteRef/>
      </w:r>
      <w:r w:rsidRPr="00A60AC8">
        <w:rPr>
          <w:rFonts w:ascii="Verdana" w:hAnsi="Verdana" w:cs="Arial"/>
          <w:b/>
          <w:bCs/>
          <w:sz w:val="16"/>
          <w:szCs w:val="16"/>
          <w:lang w:eastAsia="es-CO"/>
        </w:rPr>
        <w:t xml:space="preserve"> </w:t>
      </w:r>
      <w:r w:rsidRPr="00A60AC8">
        <w:rPr>
          <w:rFonts w:ascii="Verdana" w:hAnsi="Verdana" w:cs="Arial"/>
          <w:sz w:val="16"/>
          <w:szCs w:val="16"/>
        </w:rPr>
        <w:t>Decreto 1082 de 2015: “</w:t>
      </w:r>
      <w:r w:rsidRPr="00A60AC8">
        <w:rPr>
          <w:rStyle w:val="Textoennegrita"/>
          <w:rFonts w:ascii="Verdana" w:hAnsi="Verdana" w:cs="Arial"/>
          <w:sz w:val="16"/>
          <w:szCs w:val="16"/>
          <w:shd w:val="clear" w:color="auto" w:fill="FFFFFF"/>
        </w:rPr>
        <w:t xml:space="preserve">Artículo 2.2.1.1.1.5.1. </w:t>
      </w:r>
      <w:r w:rsidRPr="00A60AC8">
        <w:rPr>
          <w:rStyle w:val="nfasis"/>
          <w:rFonts w:ascii="Verdana" w:hAnsi="Verdana" w:cs="Arial"/>
          <w:bCs/>
          <w:sz w:val="16"/>
          <w:szCs w:val="16"/>
          <w:shd w:val="clear" w:color="auto" w:fill="FFFFFF"/>
        </w:rPr>
        <w:t>Inscripción, renovación, actualización y cancelación del RUP.</w:t>
      </w:r>
      <w:r w:rsidRPr="00A60AC8">
        <w:rPr>
          <w:rStyle w:val="nfasis"/>
          <w:rFonts w:ascii="Verdana" w:hAnsi="Verdana" w:cs="Arial"/>
          <w:sz w:val="16"/>
          <w:szCs w:val="16"/>
          <w:shd w:val="clear" w:color="auto" w:fill="FFFFFF"/>
        </w:rPr>
        <w:t xml:space="preserve"> </w:t>
      </w:r>
      <w:r w:rsidRPr="00A60AC8">
        <w:rPr>
          <w:rFonts w:ascii="Verdana" w:hAnsi="Verdana" w:cs="Arial"/>
          <w:sz w:val="16"/>
          <w:szCs w:val="16"/>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A60AC8">
        <w:rPr>
          <w:rFonts w:ascii="Verdana" w:hAnsi="Verdana" w:cs="Arial"/>
          <w:sz w:val="16"/>
          <w:szCs w:val="16"/>
          <w:lang w:eastAsia="es-CO"/>
        </w:rPr>
        <w:t>”</w:t>
      </w:r>
      <w:r w:rsidRPr="00A60AC8">
        <w:rPr>
          <w:rFonts w:ascii="Verdana" w:hAnsi="Verdana" w:cs="Arial"/>
          <w:sz w:val="16"/>
          <w:szCs w:val="16"/>
          <w:shd w:val="clear" w:color="auto" w:fill="FFFFFF"/>
        </w:rPr>
        <w:t>.</w:t>
      </w:r>
    </w:p>
    <w:p w14:paraId="51B1376D" w14:textId="77777777" w:rsidR="006B3F1D" w:rsidRPr="00A60AC8" w:rsidRDefault="006B3F1D" w:rsidP="006B3F1D">
      <w:pPr>
        <w:pStyle w:val="Textonotapie"/>
        <w:ind w:firstLine="708"/>
        <w:contextualSpacing/>
        <w:jc w:val="both"/>
        <w:rPr>
          <w:rFonts w:ascii="Verdana" w:hAnsi="Verdana" w:cs="Arial"/>
          <w:sz w:val="16"/>
          <w:szCs w:val="16"/>
          <w:lang w:val="es-CO"/>
        </w:rPr>
      </w:pPr>
    </w:p>
  </w:footnote>
  <w:footnote w:id="12">
    <w:p w14:paraId="16A838C0"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Decreto 1082 de 2015: “</w:t>
      </w:r>
      <w:r w:rsidRPr="00A60AC8">
        <w:rPr>
          <w:rStyle w:val="Textoennegrita"/>
          <w:rFonts w:ascii="Verdana" w:hAnsi="Verdana" w:cs="Arial"/>
          <w:sz w:val="16"/>
          <w:szCs w:val="16"/>
        </w:rPr>
        <w:t xml:space="preserve">Artículo 2.2.1.1.1.5.2. </w:t>
      </w:r>
      <w:r w:rsidRPr="00A60AC8">
        <w:rPr>
          <w:rStyle w:val="nfasis"/>
          <w:rFonts w:ascii="Verdana" w:eastAsiaTheme="majorEastAsia" w:hAnsi="Verdana" w:cs="Arial"/>
          <w:sz w:val="16"/>
          <w:szCs w:val="16"/>
        </w:rPr>
        <w:t xml:space="preserve">Información para inscripción, renovación o actualización. </w:t>
      </w:r>
      <w:r w:rsidRPr="00A60AC8">
        <w:rPr>
          <w:rFonts w:ascii="Verdana" w:hAnsi="Verdana" w:cs="Arial"/>
          <w:sz w:val="16"/>
          <w:szCs w:val="16"/>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E95E3A8" w14:textId="77777777" w:rsidR="006B3F1D" w:rsidRPr="00A60AC8" w:rsidRDefault="006B3F1D" w:rsidP="006B3F1D">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1. Si es una persona natural:</w:t>
      </w:r>
    </w:p>
    <w:p w14:paraId="674B8FED" w14:textId="77777777" w:rsidR="006B3F1D" w:rsidRPr="00A60AC8" w:rsidRDefault="006B3F1D" w:rsidP="006B3F1D">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1.1. Bienes, obras y servicios que ofrecerá a las Entidades Estatales, identificados con el Clasificador de Bienes y Servicios en el tercer nivel.</w:t>
      </w:r>
    </w:p>
    <w:p w14:paraId="58DD6684"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sidRPr="00A60AC8">
        <w:rPr>
          <w:rFonts w:ascii="Verdana" w:hAnsi="Verdana" w:cs="Arial"/>
          <w:sz w:val="16"/>
          <w:szCs w:val="16"/>
        </w:rPr>
        <w:softHyphen/>
        <w:t>sificador de Bienes y Servicios en el tercer nivel.</w:t>
      </w:r>
    </w:p>
    <w:p w14:paraId="40B2B39D"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1.3. Si la persona está obligada a llevar contabilidad, copia de la información contable del último año exigida por las normas tributarias.</w:t>
      </w:r>
    </w:p>
    <w:p w14:paraId="22A169D3"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1.4. Certificado expedido por la persona natural o su contador, relativa al tamaño empre</w:t>
      </w:r>
      <w:r w:rsidRPr="00A60AC8">
        <w:rPr>
          <w:rFonts w:ascii="Verdana" w:hAnsi="Verdana" w:cs="Arial"/>
          <w:sz w:val="16"/>
          <w:szCs w:val="16"/>
        </w:rPr>
        <w:softHyphen/>
        <w:t>sarial de acuerdo con la definición legal y reglamentaria.</w:t>
      </w:r>
    </w:p>
    <w:p w14:paraId="25658AB0" w14:textId="77777777" w:rsidR="006B3F1D" w:rsidRPr="00A60AC8" w:rsidRDefault="006B3F1D" w:rsidP="006B3F1D">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2. Si es una persona jurídica:</w:t>
      </w:r>
    </w:p>
    <w:p w14:paraId="43863CE8" w14:textId="77777777" w:rsidR="006B3F1D" w:rsidRPr="00A60AC8" w:rsidRDefault="006B3F1D" w:rsidP="006B3F1D">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2.1. Bienes, obras y servicios que ofrecerá a las Entidades Estatales, identificados con el Clasificador de Bienes y Servicios en el tercer nivel.</w:t>
      </w:r>
    </w:p>
    <w:p w14:paraId="0FDB6840"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2.2.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Si el grupo empresarial o la circunstancia de control existe, en el certificado debe constar la identificación de los miembros del grupo empresarial, la situación de control y los controlantes y controlados.</w:t>
      </w:r>
    </w:p>
    <w:p w14:paraId="6F3B1C2A"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w:t>
      </w:r>
    </w:p>
    <w:p w14:paraId="49B46AF2" w14:textId="77777777" w:rsidR="006B3F1D" w:rsidRPr="00A60AC8" w:rsidRDefault="006B3F1D" w:rsidP="006B3F1D">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 xml:space="preserve"> </w:t>
      </w:r>
      <w:r w:rsidRPr="00A60AC8">
        <w:rPr>
          <w:rFonts w:ascii="Verdana" w:hAnsi="Verdana" w:cs="Arial"/>
          <w:sz w:val="16"/>
          <w:szCs w:val="16"/>
        </w:rPr>
        <w:tab/>
        <w:t>I. Principales cuentas detalladas del balance general.</w:t>
      </w:r>
    </w:p>
    <w:p w14:paraId="2977B123"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II. Principales cuentas del estado de pérdidas y ganancias.</w:t>
      </w:r>
    </w:p>
    <w:p w14:paraId="6FD362C7"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III. Cuentas contingentes deudoras y acreedoras.</w:t>
      </w:r>
    </w:p>
    <w:p w14:paraId="1B816F0C"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4F8DD17C"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2.4. Copia de los documentos adicionales exigidos por la Superintendencia de Sociedades respecto de las sociedades sometidas a su inspección, vigilancia o control.</w:t>
      </w:r>
    </w:p>
    <w:p w14:paraId="0EAA6FBF"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A60AC8">
        <w:rPr>
          <w:rFonts w:ascii="Verdana" w:hAnsi="Verdana" w:cs="Arial"/>
          <w:sz w:val="16"/>
          <w:szCs w:val="16"/>
        </w:rPr>
        <w:softHyphen/>
        <w:t>ficador de Bienes y Servicios en el tercer nivel. Si la constitución del interesado es menor a tres (3) años, puede acreditar la experiencia de sus accionistas, socios o constituyentes.</w:t>
      </w:r>
    </w:p>
    <w:p w14:paraId="3B8DA2DE"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2.6. Certificado expedido por el representante legal y el revisor fiscal, si la persona jurídica está obligada a tenerlo, o el auditor o contador, relativa al tamaño empresarial de acuerdo con la definición legal y reglamentaria.</w:t>
      </w:r>
    </w:p>
    <w:p w14:paraId="43ADE621" w14:textId="77777777" w:rsidR="006B3F1D" w:rsidRPr="00A60AC8" w:rsidRDefault="006B3F1D" w:rsidP="006B3F1D">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Las sucursales de sociedad extranjera deben presentar para registro la información contable y financiera de su casa matriz. Los estados financieros de las sociedades extranjeras deben ser presentados de conformidad con las normas aplicables en el país en el que son emitidos.</w:t>
      </w:r>
    </w:p>
    <w:p w14:paraId="016264C5" w14:textId="77777777" w:rsidR="006B3F1D" w:rsidRPr="00A60AC8" w:rsidRDefault="006B3F1D" w:rsidP="006B3F1D">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Los proponentes que terminan su año contable en una fecha distinta al 31 de diciembre, deben actualizar la información financiera en la fecha correspondiente; sin perjuicio de la obligación de renovar el RUP de acuerdo con lo establecido en el artículo 2.2.1.1.1.5.1</w:t>
      </w:r>
      <w:r w:rsidRPr="00A60AC8">
        <w:rPr>
          <w:rStyle w:val="Textoennegrita"/>
          <w:rFonts w:ascii="Verdana" w:hAnsi="Verdana" w:cs="Arial"/>
          <w:sz w:val="16"/>
          <w:szCs w:val="16"/>
        </w:rPr>
        <w:t xml:space="preserve"> </w:t>
      </w:r>
      <w:r w:rsidRPr="00A60AC8">
        <w:rPr>
          <w:rFonts w:ascii="Verdana" w:hAnsi="Verdana" w:cs="Arial"/>
          <w:sz w:val="16"/>
          <w:szCs w:val="16"/>
        </w:rPr>
        <w:t>del presente decreto”.</w:t>
      </w:r>
    </w:p>
    <w:p w14:paraId="36C098CF" w14:textId="77777777" w:rsidR="006B3F1D" w:rsidRPr="00A60AC8" w:rsidRDefault="006B3F1D" w:rsidP="006B3F1D">
      <w:pPr>
        <w:pStyle w:val="Textonotapie"/>
        <w:ind w:firstLine="708"/>
        <w:contextualSpacing/>
        <w:jc w:val="both"/>
        <w:rPr>
          <w:rFonts w:ascii="Verdana" w:hAnsi="Verdana" w:cs="Arial"/>
          <w:sz w:val="16"/>
          <w:szCs w:val="16"/>
        </w:rPr>
      </w:pPr>
    </w:p>
  </w:footnote>
  <w:footnote w:id="13">
    <w:p w14:paraId="15B2FC5E"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Decreto 1082 de 2015:</w:t>
      </w:r>
      <w:r w:rsidRPr="00A60AC8">
        <w:rPr>
          <w:rFonts w:ascii="Verdana" w:hAnsi="Verdana" w:cs="Arial"/>
          <w:sz w:val="16"/>
          <w:szCs w:val="16"/>
        </w:rPr>
        <w:t xml:space="preserve"> </w:t>
      </w:r>
      <w:r w:rsidRPr="00A60AC8">
        <w:rPr>
          <w:rFonts w:ascii="Verdana" w:hAnsi="Verdana" w:cs="Arial"/>
          <w:sz w:val="16"/>
          <w:szCs w:val="16"/>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0E8865D0"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21B690DD" w14:textId="77777777" w:rsidR="006B3F1D" w:rsidRPr="00A60AC8" w:rsidRDefault="006B3F1D" w:rsidP="006B3F1D">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Los inscritos en el RUP pueden en cualquier momento solicitar a la cámara de comercio cancelar su inscripción”.</w:t>
      </w:r>
    </w:p>
    <w:p w14:paraId="73E03FE1" w14:textId="77777777" w:rsidR="006B3F1D" w:rsidRPr="00A60AC8" w:rsidRDefault="006B3F1D" w:rsidP="006B3F1D">
      <w:pPr>
        <w:pStyle w:val="Textonotapie"/>
        <w:ind w:firstLine="709"/>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1EDB7981"/>
    <w:multiLevelType w:val="hybridMultilevel"/>
    <w:tmpl w:val="5582A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DF33853"/>
    <w:multiLevelType w:val="hybridMultilevel"/>
    <w:tmpl w:val="21ECB3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32464B1"/>
    <w:multiLevelType w:val="hybridMultilevel"/>
    <w:tmpl w:val="4864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80613F6"/>
    <w:multiLevelType w:val="hybridMultilevel"/>
    <w:tmpl w:val="032AA33E"/>
    <w:lvl w:ilvl="0" w:tplc="4B766AF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2F61192"/>
    <w:multiLevelType w:val="hybridMultilevel"/>
    <w:tmpl w:val="7D440B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7"/>
  </w:num>
  <w:num w:numId="8" w16cid:durableId="152644682">
    <w:abstractNumId w:val="17"/>
  </w:num>
  <w:num w:numId="9" w16cid:durableId="1317221377">
    <w:abstractNumId w:val="9"/>
  </w:num>
  <w:num w:numId="10" w16cid:durableId="1471245386">
    <w:abstractNumId w:val="16"/>
  </w:num>
  <w:num w:numId="11" w16cid:durableId="289172385">
    <w:abstractNumId w:val="10"/>
  </w:num>
  <w:num w:numId="12" w16cid:durableId="1470781324">
    <w:abstractNumId w:val="1"/>
  </w:num>
  <w:num w:numId="13" w16cid:durableId="1512908409">
    <w:abstractNumId w:val="5"/>
  </w:num>
  <w:num w:numId="14" w16cid:durableId="895897244">
    <w:abstractNumId w:val="19"/>
  </w:num>
  <w:num w:numId="15" w16cid:durableId="390349800">
    <w:abstractNumId w:val="15"/>
  </w:num>
  <w:num w:numId="16" w16cid:durableId="1609659350">
    <w:abstractNumId w:val="0"/>
  </w:num>
  <w:num w:numId="17" w16cid:durableId="798687251">
    <w:abstractNumId w:val="11"/>
  </w:num>
  <w:num w:numId="18" w16cid:durableId="26950456">
    <w:abstractNumId w:val="13"/>
  </w:num>
  <w:num w:numId="19" w16cid:durableId="1934971269">
    <w:abstractNumId w:val="14"/>
  </w:num>
  <w:num w:numId="20" w16cid:durableId="693657684">
    <w:abstractNumId w:val="12"/>
  </w:num>
  <w:num w:numId="21" w16cid:durableId="613639331">
    <w:abstractNumId w:val="4"/>
  </w:num>
  <w:num w:numId="22" w16cid:durableId="1364478319">
    <w:abstractNumId w:val="20"/>
  </w:num>
  <w:num w:numId="23" w16cid:durableId="17004236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836"/>
    <w:rsid w:val="00046945"/>
    <w:rsid w:val="00061B2A"/>
    <w:rsid w:val="000812B8"/>
    <w:rsid w:val="00082362"/>
    <w:rsid w:val="00096743"/>
    <w:rsid w:val="000A683E"/>
    <w:rsid w:val="000B19B9"/>
    <w:rsid w:val="000B7CC1"/>
    <w:rsid w:val="000D0334"/>
    <w:rsid w:val="000D1076"/>
    <w:rsid w:val="000D716E"/>
    <w:rsid w:val="000E2446"/>
    <w:rsid w:val="000E670E"/>
    <w:rsid w:val="000F6486"/>
    <w:rsid w:val="001026F1"/>
    <w:rsid w:val="00103537"/>
    <w:rsid w:val="00125105"/>
    <w:rsid w:val="00127233"/>
    <w:rsid w:val="00131D54"/>
    <w:rsid w:val="001672A5"/>
    <w:rsid w:val="001E4177"/>
    <w:rsid w:val="001F0DF0"/>
    <w:rsid w:val="001F7DC6"/>
    <w:rsid w:val="002318C4"/>
    <w:rsid w:val="002421BB"/>
    <w:rsid w:val="00254C5E"/>
    <w:rsid w:val="0025796E"/>
    <w:rsid w:val="002707A2"/>
    <w:rsid w:val="002739F6"/>
    <w:rsid w:val="0028393C"/>
    <w:rsid w:val="002870F4"/>
    <w:rsid w:val="002951A0"/>
    <w:rsid w:val="002962BC"/>
    <w:rsid w:val="002A093D"/>
    <w:rsid w:val="002A0DD0"/>
    <w:rsid w:val="002A49AC"/>
    <w:rsid w:val="002A5038"/>
    <w:rsid w:val="002A64FD"/>
    <w:rsid w:val="002C187B"/>
    <w:rsid w:val="002C7A84"/>
    <w:rsid w:val="002D1330"/>
    <w:rsid w:val="002E0A0B"/>
    <w:rsid w:val="002E3EA0"/>
    <w:rsid w:val="002E4FD9"/>
    <w:rsid w:val="00304B70"/>
    <w:rsid w:val="00310D71"/>
    <w:rsid w:val="00322A85"/>
    <w:rsid w:val="00324168"/>
    <w:rsid w:val="00332246"/>
    <w:rsid w:val="0033720F"/>
    <w:rsid w:val="003448F4"/>
    <w:rsid w:val="003547E0"/>
    <w:rsid w:val="003604E7"/>
    <w:rsid w:val="00374F5E"/>
    <w:rsid w:val="00377E3E"/>
    <w:rsid w:val="0038533D"/>
    <w:rsid w:val="003A779E"/>
    <w:rsid w:val="003D0F4D"/>
    <w:rsid w:val="003D4704"/>
    <w:rsid w:val="003D5B0D"/>
    <w:rsid w:val="003E0499"/>
    <w:rsid w:val="003F3941"/>
    <w:rsid w:val="00406575"/>
    <w:rsid w:val="00414C74"/>
    <w:rsid w:val="0042722E"/>
    <w:rsid w:val="0044528D"/>
    <w:rsid w:val="004529F0"/>
    <w:rsid w:val="004A1847"/>
    <w:rsid w:val="004A305D"/>
    <w:rsid w:val="004C3576"/>
    <w:rsid w:val="004D7F2F"/>
    <w:rsid w:val="004F21C4"/>
    <w:rsid w:val="004F685F"/>
    <w:rsid w:val="00500D40"/>
    <w:rsid w:val="005034D2"/>
    <w:rsid w:val="005226A3"/>
    <w:rsid w:val="005566E8"/>
    <w:rsid w:val="00574867"/>
    <w:rsid w:val="0058668D"/>
    <w:rsid w:val="00591460"/>
    <w:rsid w:val="005C3777"/>
    <w:rsid w:val="005C5CDC"/>
    <w:rsid w:val="005D476C"/>
    <w:rsid w:val="006105DF"/>
    <w:rsid w:val="00610A35"/>
    <w:rsid w:val="006150CA"/>
    <w:rsid w:val="006219F8"/>
    <w:rsid w:val="006302F7"/>
    <w:rsid w:val="006370D8"/>
    <w:rsid w:val="00645A3D"/>
    <w:rsid w:val="00653D1E"/>
    <w:rsid w:val="00665D70"/>
    <w:rsid w:val="00686C73"/>
    <w:rsid w:val="006900D9"/>
    <w:rsid w:val="006A150C"/>
    <w:rsid w:val="006A760C"/>
    <w:rsid w:val="006B3F1D"/>
    <w:rsid w:val="006C6036"/>
    <w:rsid w:val="00706C16"/>
    <w:rsid w:val="0075379F"/>
    <w:rsid w:val="00756841"/>
    <w:rsid w:val="007649AB"/>
    <w:rsid w:val="00771D0C"/>
    <w:rsid w:val="007833AC"/>
    <w:rsid w:val="00786654"/>
    <w:rsid w:val="007A0AF5"/>
    <w:rsid w:val="007B268C"/>
    <w:rsid w:val="007B7171"/>
    <w:rsid w:val="007B7846"/>
    <w:rsid w:val="007C0C0F"/>
    <w:rsid w:val="007C3DC2"/>
    <w:rsid w:val="007E5497"/>
    <w:rsid w:val="00806F5F"/>
    <w:rsid w:val="00820278"/>
    <w:rsid w:val="00867F95"/>
    <w:rsid w:val="00883444"/>
    <w:rsid w:val="008843B6"/>
    <w:rsid w:val="00887A8D"/>
    <w:rsid w:val="00891928"/>
    <w:rsid w:val="00897A3A"/>
    <w:rsid w:val="008A446D"/>
    <w:rsid w:val="008B6BC9"/>
    <w:rsid w:val="008C00BE"/>
    <w:rsid w:val="008D1297"/>
    <w:rsid w:val="008D180B"/>
    <w:rsid w:val="008F0EA7"/>
    <w:rsid w:val="008F38FC"/>
    <w:rsid w:val="00923EEF"/>
    <w:rsid w:val="00927E23"/>
    <w:rsid w:val="009419F9"/>
    <w:rsid w:val="0095685E"/>
    <w:rsid w:val="00961B09"/>
    <w:rsid w:val="00965334"/>
    <w:rsid w:val="0096584D"/>
    <w:rsid w:val="0097093E"/>
    <w:rsid w:val="009A0DFA"/>
    <w:rsid w:val="009B25A8"/>
    <w:rsid w:val="009B2D26"/>
    <w:rsid w:val="009C71FA"/>
    <w:rsid w:val="009C72E7"/>
    <w:rsid w:val="009D3058"/>
    <w:rsid w:val="009D67EE"/>
    <w:rsid w:val="009F3A13"/>
    <w:rsid w:val="00A122D3"/>
    <w:rsid w:val="00A17F13"/>
    <w:rsid w:val="00A20739"/>
    <w:rsid w:val="00A33C78"/>
    <w:rsid w:val="00A427F5"/>
    <w:rsid w:val="00A870D4"/>
    <w:rsid w:val="00AA6344"/>
    <w:rsid w:val="00AB0ADB"/>
    <w:rsid w:val="00AC58B2"/>
    <w:rsid w:val="00B00C0E"/>
    <w:rsid w:val="00B01B1A"/>
    <w:rsid w:val="00B317CE"/>
    <w:rsid w:val="00B44A47"/>
    <w:rsid w:val="00B575D3"/>
    <w:rsid w:val="00B72CD3"/>
    <w:rsid w:val="00B72FFF"/>
    <w:rsid w:val="00B809BA"/>
    <w:rsid w:val="00BC3D36"/>
    <w:rsid w:val="00BD7F72"/>
    <w:rsid w:val="00C04FB3"/>
    <w:rsid w:val="00C1511F"/>
    <w:rsid w:val="00C2302E"/>
    <w:rsid w:val="00C330EB"/>
    <w:rsid w:val="00C34916"/>
    <w:rsid w:val="00C46E6B"/>
    <w:rsid w:val="00C754BE"/>
    <w:rsid w:val="00C76B1C"/>
    <w:rsid w:val="00CA4CCC"/>
    <w:rsid w:val="00CB6357"/>
    <w:rsid w:val="00CC1B26"/>
    <w:rsid w:val="00CF6A47"/>
    <w:rsid w:val="00D25B7B"/>
    <w:rsid w:val="00D423A2"/>
    <w:rsid w:val="00D47FE5"/>
    <w:rsid w:val="00D520D8"/>
    <w:rsid w:val="00D530FB"/>
    <w:rsid w:val="00D55B9E"/>
    <w:rsid w:val="00D56871"/>
    <w:rsid w:val="00D63AC2"/>
    <w:rsid w:val="00D7383B"/>
    <w:rsid w:val="00DA231B"/>
    <w:rsid w:val="00DC39FC"/>
    <w:rsid w:val="00DC6176"/>
    <w:rsid w:val="00DF00F0"/>
    <w:rsid w:val="00DF5254"/>
    <w:rsid w:val="00E031CE"/>
    <w:rsid w:val="00E16408"/>
    <w:rsid w:val="00E17C3A"/>
    <w:rsid w:val="00E20894"/>
    <w:rsid w:val="00E245AB"/>
    <w:rsid w:val="00E2764C"/>
    <w:rsid w:val="00E27F2E"/>
    <w:rsid w:val="00E50AFE"/>
    <w:rsid w:val="00E54D8A"/>
    <w:rsid w:val="00E75C92"/>
    <w:rsid w:val="00E771DC"/>
    <w:rsid w:val="00E8772A"/>
    <w:rsid w:val="00E90F6B"/>
    <w:rsid w:val="00E92C27"/>
    <w:rsid w:val="00EA0E3D"/>
    <w:rsid w:val="00EC38A7"/>
    <w:rsid w:val="00EE1AA8"/>
    <w:rsid w:val="00F31EDC"/>
    <w:rsid w:val="00F433CC"/>
    <w:rsid w:val="00F462B3"/>
    <w:rsid w:val="00F5664F"/>
    <w:rsid w:val="00F62755"/>
    <w:rsid w:val="00F666C4"/>
    <w:rsid w:val="00F74E3C"/>
    <w:rsid w:val="00F76AFC"/>
    <w:rsid w:val="00FA47C0"/>
    <w:rsid w:val="00FA667E"/>
    <w:rsid w:val="00FA724C"/>
    <w:rsid w:val="00FB5DD1"/>
    <w:rsid w:val="00FC2B5D"/>
    <w:rsid w:val="00FC5B6A"/>
    <w:rsid w:val="00FC5E1A"/>
    <w:rsid w:val="00FF1449"/>
    <w:rsid w:val="05F96E65"/>
    <w:rsid w:val="06090C9D"/>
    <w:rsid w:val="0998F53A"/>
    <w:rsid w:val="09CBEA51"/>
    <w:rsid w:val="0B06CA8E"/>
    <w:rsid w:val="0E4FE082"/>
    <w:rsid w:val="167D2C41"/>
    <w:rsid w:val="198C1964"/>
    <w:rsid w:val="1DA0FC8D"/>
    <w:rsid w:val="1ED87BA7"/>
    <w:rsid w:val="1EDA87ED"/>
    <w:rsid w:val="23DBCB4D"/>
    <w:rsid w:val="2504CB05"/>
    <w:rsid w:val="270E1229"/>
    <w:rsid w:val="2765B3BA"/>
    <w:rsid w:val="27CC9A10"/>
    <w:rsid w:val="2C5E855B"/>
    <w:rsid w:val="2DC16A4C"/>
    <w:rsid w:val="2E116E98"/>
    <w:rsid w:val="3047398B"/>
    <w:rsid w:val="3523D436"/>
    <w:rsid w:val="365D653C"/>
    <w:rsid w:val="38C9EECD"/>
    <w:rsid w:val="3B7D9243"/>
    <w:rsid w:val="3EE9DC86"/>
    <w:rsid w:val="4344087E"/>
    <w:rsid w:val="45F0E6E4"/>
    <w:rsid w:val="46A5D335"/>
    <w:rsid w:val="49580EE6"/>
    <w:rsid w:val="4BEA0D57"/>
    <w:rsid w:val="4E49A36A"/>
    <w:rsid w:val="4F40F1A6"/>
    <w:rsid w:val="50566CEE"/>
    <w:rsid w:val="526E35E6"/>
    <w:rsid w:val="5800A332"/>
    <w:rsid w:val="5E4F8E4F"/>
    <w:rsid w:val="5FBC865D"/>
    <w:rsid w:val="60D71CD1"/>
    <w:rsid w:val="60E9D9B8"/>
    <w:rsid w:val="64A157D9"/>
    <w:rsid w:val="6C959D56"/>
    <w:rsid w:val="6DA7E6B4"/>
    <w:rsid w:val="74DBBA0B"/>
    <w:rsid w:val="7665A5F6"/>
    <w:rsid w:val="792F6EA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1511F"/>
    <w:rPr>
      <w:rFonts w:ascii="Geomanist Light" w:hAnsi="Geomanist Light"/>
      <w:lang w:val="es-ES"/>
    </w:rPr>
  </w:style>
  <w:style w:type="paragraph" w:customStyle="1" w:styleId="Appelnotedebasde">
    <w:name w:val="Appel note de bas de..."/>
    <w:basedOn w:val="Normal"/>
    <w:link w:val="Refdenotaalpie"/>
    <w:uiPriority w:val="99"/>
    <w:rsid w:val="00C1511F"/>
    <w:pPr>
      <w:spacing w:line="240" w:lineRule="exact"/>
    </w:pPr>
    <w:rPr>
      <w:vertAlign w:val="superscript"/>
    </w:rPr>
  </w:style>
  <w:style w:type="character" w:customStyle="1" w:styleId="NormalWebCar">
    <w:name w:val="Normal (Web) Car"/>
    <w:link w:val="NormalWeb"/>
    <w:uiPriority w:val="99"/>
    <w:rsid w:val="00C1511F"/>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C1511F"/>
    <w:rPr>
      <w:i/>
      <w:iCs/>
    </w:rPr>
  </w:style>
  <w:style w:type="character" w:customStyle="1" w:styleId="baj">
    <w:name w:val="b_aj"/>
    <w:basedOn w:val="Fuentedeprrafopredeter"/>
    <w:rsid w:val="002E3EA0"/>
  </w:style>
  <w:style w:type="character" w:styleId="Textoennegrita">
    <w:name w:val="Strong"/>
    <w:basedOn w:val="Fuentedeprrafopredeter"/>
    <w:uiPriority w:val="22"/>
    <w:qFormat/>
    <w:rsid w:val="006B3F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circulares/cce-eicp-ma-06_circular_externa_con_comentarios_de_ciudadanos-_v2f_002.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dcastro.dcobras@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204F0B5-1DA1-425B-BFA9-D36B30430F8F}"/>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76D5BB1B-6B12-4FF3-AB7D-4FC2B5F5C7A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664</TotalTime>
  <Pages>14</Pages>
  <Words>3941</Words>
  <Characters>21169</Characters>
  <Application>Microsoft Office Word</Application>
  <DocSecurity>0</DocSecurity>
  <Lines>415</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41</cp:revision>
  <cp:lastPrinted>2023-01-10T21:18:00Z</cp:lastPrinted>
  <dcterms:created xsi:type="dcterms:W3CDTF">2025-10-30T18:16:00Z</dcterms:created>
  <dcterms:modified xsi:type="dcterms:W3CDTF">2025-12-05T15:20:00Z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