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6F818B" w14:textId="77777777" w:rsidR="000D4734" w:rsidRPr="000D4734" w:rsidRDefault="000D4734" w:rsidP="000D4734">
      <w:pPr>
        <w:spacing w:after="0" w:line="240" w:lineRule="auto"/>
        <w:rPr>
          <w:rFonts w:ascii="Verdana" w:hAnsi="Verdana"/>
          <w:b/>
          <w:bCs/>
          <w:lang w:val="es-ES"/>
        </w:rPr>
      </w:pPr>
      <w:bookmarkStart w:id="0" w:name="_Hlk143780582"/>
      <w:r w:rsidRPr="000D4734">
        <w:rPr>
          <w:rFonts w:ascii="Verdana" w:hAnsi="Verdana"/>
          <w:b/>
          <w:bCs/>
          <w:lang w:val="es-ES"/>
        </w:rPr>
        <w:t xml:space="preserve">CONTRATO ESTATAL – Ejercicio – Funciones de control y vigilancia </w:t>
      </w:r>
    </w:p>
    <w:p w14:paraId="022AF636" w14:textId="76EE205F" w:rsidR="000D4734" w:rsidRDefault="000D4734" w:rsidP="000D4734">
      <w:pPr>
        <w:spacing w:after="0" w:line="240" w:lineRule="auto"/>
        <w:rPr>
          <w:rFonts w:ascii="Verdana" w:hAnsi="Verdana"/>
          <w:b/>
          <w:bCs/>
          <w:lang w:val="es-ES"/>
        </w:rPr>
      </w:pPr>
    </w:p>
    <w:p w14:paraId="4E6CB94F" w14:textId="4E18ADC7" w:rsidR="000D4734" w:rsidRDefault="000D4734" w:rsidP="000D4734">
      <w:pPr>
        <w:spacing w:after="0" w:line="240" w:lineRule="auto"/>
        <w:jc w:val="both"/>
        <w:rPr>
          <w:rFonts w:ascii="Verdana" w:hAnsi="Verdana"/>
          <w:bCs/>
          <w:sz w:val="20"/>
          <w:lang w:val="es-ES"/>
        </w:rPr>
      </w:pPr>
      <w:r w:rsidRPr="000D4734">
        <w:rPr>
          <w:rFonts w:ascii="Verdana" w:hAnsi="Verdana"/>
          <w:bCs/>
          <w:sz w:val="20"/>
          <w:lang w:val="es-ES"/>
        </w:rPr>
        <w:t>A través de la actividad contractual, el Estado adquiere bienes, obras y servicios para cumplir los fines que le impone el ordenamiento jurídico, garantizando así la continua y eficiente prestación de los servicios públicos y la efectividad de los derechos e intereses de los administrados. Para la garantía de los fines de interés general, involucrados en la contratación de las entidades estatales, el Estatuto General de Contratación de la Administración Pública –en adelante EGCAP– dispone que, en la etapa de ejecución del contrato, las entidades estatales y los servidores públicos que participan en ella tienen la obligación de controlar y vigilar la correcta ejecución del objeto contratado. Lo anterior busca que las finalidades perseguidas con la celebración de los contratos estatales se logren de manera satisfactoria.</w:t>
      </w:r>
    </w:p>
    <w:p w14:paraId="23CF7BB1" w14:textId="77777777" w:rsidR="000D4734" w:rsidRPr="000D4734" w:rsidRDefault="000D4734" w:rsidP="000D4734">
      <w:pPr>
        <w:spacing w:after="0" w:line="240" w:lineRule="auto"/>
        <w:jc w:val="both"/>
        <w:rPr>
          <w:rFonts w:ascii="Verdana" w:hAnsi="Verdana"/>
          <w:bCs/>
          <w:sz w:val="20"/>
          <w:lang w:val="es-ES"/>
        </w:rPr>
      </w:pPr>
    </w:p>
    <w:p w14:paraId="3C0DE3F7" w14:textId="31D0E0D7" w:rsidR="000D4734" w:rsidRPr="000D4734" w:rsidRDefault="000D4734" w:rsidP="000D4734">
      <w:pPr>
        <w:spacing w:after="0" w:line="240" w:lineRule="auto"/>
        <w:jc w:val="both"/>
        <w:rPr>
          <w:rFonts w:ascii="Verdana" w:hAnsi="Verdana"/>
          <w:bCs/>
          <w:sz w:val="20"/>
          <w:lang w:val="es-ES"/>
        </w:rPr>
      </w:pPr>
      <w:r w:rsidRPr="000D4734">
        <w:rPr>
          <w:rFonts w:ascii="Verdana" w:hAnsi="Verdana"/>
          <w:bCs/>
          <w:sz w:val="20"/>
          <w:lang w:val="es-ES"/>
        </w:rPr>
        <w:t xml:space="preserve">El seguimiento de la ejecución del contrato para la dirección, control y vigilancia de su correcto cumplimiento es un deber legal que permite a las entidades estatales tomar medidas orientadas a la satisfacción de los fines de la contratación. Por esto, el EGCAP alude a la obligación mencionada, que guarda relación con el principio de responsabilidad que rige la celebración y ejecución de los contratos estatales. </w:t>
      </w:r>
    </w:p>
    <w:p w14:paraId="49F7BCCB" w14:textId="7A5434FC" w:rsidR="000D4734" w:rsidRPr="000D4734" w:rsidRDefault="000D4734" w:rsidP="000D4734">
      <w:pPr>
        <w:spacing w:after="0" w:line="240" w:lineRule="auto"/>
        <w:jc w:val="both"/>
        <w:rPr>
          <w:rFonts w:ascii="Verdana" w:hAnsi="Verdana"/>
          <w:bCs/>
          <w:sz w:val="20"/>
          <w:lang w:val="es-ES"/>
        </w:rPr>
      </w:pPr>
      <w:r w:rsidRPr="000D4734">
        <w:rPr>
          <w:rFonts w:ascii="Verdana" w:hAnsi="Verdana"/>
          <w:bCs/>
          <w:sz w:val="20"/>
          <w:lang w:val="es-ES"/>
        </w:rPr>
        <w:t>[…]</w:t>
      </w:r>
    </w:p>
    <w:p w14:paraId="0B81A80D" w14:textId="63351FB0" w:rsidR="000D4734" w:rsidRPr="000D4734" w:rsidRDefault="000D4734" w:rsidP="000D4734">
      <w:pPr>
        <w:spacing w:after="0" w:line="240" w:lineRule="auto"/>
        <w:jc w:val="both"/>
        <w:rPr>
          <w:rFonts w:ascii="Verdana" w:hAnsi="Verdana"/>
          <w:bCs/>
          <w:sz w:val="20"/>
          <w:lang w:val="es-ES"/>
        </w:rPr>
      </w:pPr>
      <w:r w:rsidRPr="000D4734">
        <w:rPr>
          <w:rFonts w:ascii="Verdana" w:hAnsi="Verdana"/>
          <w:bCs/>
          <w:sz w:val="20"/>
          <w:lang w:val="es-ES"/>
        </w:rPr>
        <w:t>De esta forma,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entidades estatales para vigilar el contrato […].</w:t>
      </w:r>
    </w:p>
    <w:p w14:paraId="080D89CD" w14:textId="77777777" w:rsidR="000D4734" w:rsidRPr="000D4734" w:rsidRDefault="000D4734" w:rsidP="000D4734">
      <w:pPr>
        <w:spacing w:after="0" w:line="240" w:lineRule="auto"/>
        <w:rPr>
          <w:rFonts w:ascii="Verdana" w:hAnsi="Verdana"/>
          <w:b/>
          <w:bCs/>
          <w:lang w:val="es-ES"/>
        </w:rPr>
      </w:pPr>
    </w:p>
    <w:p w14:paraId="397E0125" w14:textId="77777777" w:rsidR="000D4734" w:rsidRPr="000D4734" w:rsidRDefault="000D4734" w:rsidP="000D4734">
      <w:pPr>
        <w:spacing w:after="0" w:line="240" w:lineRule="auto"/>
        <w:rPr>
          <w:rFonts w:ascii="Verdana" w:hAnsi="Verdana"/>
          <w:b/>
          <w:bCs/>
          <w:lang w:val="es-ES"/>
        </w:rPr>
      </w:pPr>
      <w:r w:rsidRPr="000D4734">
        <w:rPr>
          <w:rFonts w:ascii="Verdana" w:hAnsi="Verdana"/>
          <w:b/>
          <w:bCs/>
          <w:lang w:val="es-ES"/>
        </w:rPr>
        <w:t xml:space="preserve">CONTRATO ESTATAL – Supervisión – Interventoría – características </w:t>
      </w:r>
    </w:p>
    <w:p w14:paraId="4797B8B3" w14:textId="23E13E2C" w:rsidR="000D4734" w:rsidRDefault="000D4734" w:rsidP="000D4734">
      <w:pPr>
        <w:spacing w:after="0" w:line="240" w:lineRule="auto"/>
        <w:rPr>
          <w:rFonts w:ascii="Verdana" w:hAnsi="Verdana"/>
          <w:b/>
          <w:bCs/>
          <w:lang w:val="es-ES"/>
        </w:rPr>
      </w:pPr>
    </w:p>
    <w:p w14:paraId="131AE5B2" w14:textId="3B804C12" w:rsidR="000D4734" w:rsidRDefault="000D4734" w:rsidP="000D4734">
      <w:pPr>
        <w:spacing w:after="0" w:line="240" w:lineRule="auto"/>
        <w:jc w:val="both"/>
        <w:rPr>
          <w:rFonts w:ascii="Verdana" w:hAnsi="Verdana"/>
          <w:bCs/>
          <w:sz w:val="20"/>
        </w:rPr>
      </w:pPr>
      <w:r w:rsidRPr="000D4734">
        <w:rPr>
          <w:rFonts w:ascii="Verdana" w:hAnsi="Verdana"/>
          <w:bCs/>
          <w:sz w:val="20"/>
          <w:lang w:val="es-ES"/>
        </w:rPr>
        <w:t xml:space="preserve">Por otro lado, </w:t>
      </w:r>
      <w:r w:rsidRPr="000D4734">
        <w:rPr>
          <w:rFonts w:ascii="Verdana" w:hAnsi="Verdana"/>
          <w:bCs/>
          <w:sz w:val="20"/>
        </w:rPr>
        <w:t xml:space="preserve">la interventoría puede caracterizarse de la siguiente manera: i) es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del mismo lo justifique” –art, 83, Ley 1474 de 2011–; ii) es un mecanismo de vigilancia que exige, en su ejecución, la utilización de conocimientos especializados; iii) por lo anterior, la entidad contrata un experto, por regla general, mediante la modalidad de selección de concurso de méritos, al tratarse la interventoría de una especie del contrato de consultoría –art. 32, numeral 2, inciso 2, Ley 80 de 1993‒, de manera que la interventoría es realizada por “una persona natural o jurídica contratada para tal fin por la Entidad Estatal” –art. 83, Ley 1474–; iv) le es inherente el seguimiento técnico, frente a la vigilancia de la correcta ejecución del contrato vigilado; sin embargo, el artículo 83 de la Ley 1474 de 2011 permite que en el contrato de interventoría también se pacten </w:t>
      </w:r>
      <w:r w:rsidRPr="000D4734">
        <w:rPr>
          <w:rFonts w:ascii="Verdana" w:hAnsi="Verdana"/>
          <w:bCs/>
          <w:sz w:val="20"/>
        </w:rPr>
        <w:lastRenderedPageBreak/>
        <w:t>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inciso 4–, y finalmente, vi) el contrato de interventoría será supervisado directamente por la entidad –art. 83, inciso 4–</w:t>
      </w:r>
      <w:r>
        <w:rPr>
          <w:rFonts w:ascii="Verdana" w:hAnsi="Verdana"/>
          <w:bCs/>
          <w:sz w:val="20"/>
        </w:rPr>
        <w:t>.</w:t>
      </w:r>
    </w:p>
    <w:p w14:paraId="26DCEB4E" w14:textId="77777777" w:rsidR="000D4734" w:rsidRPr="000D4734" w:rsidRDefault="000D4734" w:rsidP="000D4734">
      <w:pPr>
        <w:spacing w:after="0" w:line="240" w:lineRule="auto"/>
        <w:jc w:val="both"/>
        <w:rPr>
          <w:rFonts w:ascii="Verdana" w:hAnsi="Verdana"/>
          <w:bCs/>
          <w:sz w:val="20"/>
          <w:lang w:val="es-ES"/>
        </w:rPr>
      </w:pPr>
    </w:p>
    <w:p w14:paraId="4A4D92D7" w14:textId="77777777" w:rsidR="000D4734" w:rsidRPr="000D4734" w:rsidRDefault="000D4734" w:rsidP="000D4734">
      <w:pPr>
        <w:spacing w:after="0" w:line="240" w:lineRule="auto"/>
        <w:rPr>
          <w:rFonts w:ascii="Verdana" w:hAnsi="Verdana"/>
          <w:b/>
          <w:bCs/>
          <w:lang w:val="es-ES"/>
        </w:rPr>
      </w:pPr>
      <w:r w:rsidRPr="000D4734">
        <w:rPr>
          <w:rFonts w:ascii="Verdana" w:hAnsi="Verdana"/>
          <w:b/>
          <w:bCs/>
          <w:lang w:val="es-ES"/>
        </w:rPr>
        <w:t xml:space="preserve">SUPERVISIÓN – Designación – Servidor Público – Lineamientos </w:t>
      </w:r>
    </w:p>
    <w:p w14:paraId="4F862E77" w14:textId="77777777" w:rsidR="000D4734" w:rsidRPr="000D4734" w:rsidRDefault="000D4734" w:rsidP="000D4734">
      <w:pPr>
        <w:spacing w:after="0" w:line="240" w:lineRule="auto"/>
        <w:rPr>
          <w:rFonts w:ascii="Verdana" w:hAnsi="Verdana"/>
          <w:b/>
          <w:bCs/>
          <w:lang w:val="es-ES"/>
        </w:rPr>
      </w:pPr>
    </w:p>
    <w:p w14:paraId="423C0F5D" w14:textId="4A2A6809" w:rsidR="000D4734" w:rsidRDefault="000D4734" w:rsidP="000D4734">
      <w:pPr>
        <w:spacing w:after="0" w:line="240" w:lineRule="auto"/>
        <w:jc w:val="both"/>
        <w:rPr>
          <w:rFonts w:ascii="Verdana" w:hAnsi="Verdana"/>
          <w:bCs/>
          <w:sz w:val="20"/>
          <w:lang w:val="es-ES"/>
        </w:rPr>
      </w:pPr>
      <w:r w:rsidRPr="000D4734">
        <w:rPr>
          <w:rFonts w:ascii="Verdana" w:hAnsi="Verdana"/>
          <w:bCs/>
          <w:sz w:val="20"/>
          <w:lang w:val="es-ES"/>
        </w:rPr>
        <w:t xml:space="preserve">En referencia a la designación de la supervisión en los procesos de contratación estatal, se acude a la “Guía para el ejercicio de las funciones de supervisión e interventoría de los contratos suscritos por las Entidades Estatales” expedida por esta Agencia, en la que se expresa que el ordenador del gasto de la entidad estatal es responsable de la vigilancia y control de la ejecución debida del contrato estatal, por lo cual es quien debe designar el supervisor de un contrato. En tal sentido, en la etapa de planeación del proceso de contratación, la entidad estatal debe identificar el perfil del supervisor para designarlo a más tardar al final de la audiencia de adjudicación, cuando el proceso de contratación es competitivo o en la fecha que suscriba el contrato cuando sea en ocasión de procesos no competitivos, como la contratación. </w:t>
      </w:r>
    </w:p>
    <w:p w14:paraId="57E5F1D1" w14:textId="77777777" w:rsidR="000D4734" w:rsidRPr="000D4734" w:rsidRDefault="000D4734" w:rsidP="000D4734">
      <w:pPr>
        <w:spacing w:after="0" w:line="240" w:lineRule="auto"/>
        <w:jc w:val="both"/>
        <w:rPr>
          <w:rFonts w:ascii="Verdana" w:hAnsi="Verdana"/>
          <w:bCs/>
          <w:sz w:val="20"/>
          <w:lang w:val="es-ES"/>
        </w:rPr>
      </w:pPr>
    </w:p>
    <w:p w14:paraId="15262A58" w14:textId="5692363D" w:rsidR="000D4734" w:rsidRPr="000D4734" w:rsidRDefault="000D4734" w:rsidP="000D4734">
      <w:pPr>
        <w:spacing w:after="0" w:line="240" w:lineRule="auto"/>
        <w:jc w:val="both"/>
        <w:rPr>
          <w:rFonts w:ascii="Verdana" w:hAnsi="Verdana"/>
          <w:bCs/>
          <w:sz w:val="20"/>
        </w:rPr>
      </w:pPr>
      <w:r w:rsidRPr="000D4734">
        <w:rPr>
          <w:rFonts w:ascii="Verdana" w:hAnsi="Verdana"/>
          <w:bCs/>
          <w:sz w:val="20"/>
          <w:lang w:val="es-ES"/>
        </w:rPr>
        <w:t xml:space="preserve">En principio, en la Guía también se expresa que el supervisor no requiere un perfil predeterminado; sin embargo, es recomendable que pueda actuar como par del contratista supervisado. Para designar a un funcionario como supervisor, la entidad estatal debe verificar que el objeto del proceso de contratación guarde relación con las funciones propias de su empleo, ya sea de nivel directivo, profesional, técnico o asistencial. </w:t>
      </w:r>
      <w:r w:rsidRPr="000D4734">
        <w:rPr>
          <w:rFonts w:ascii="Verdana" w:hAnsi="Verdana"/>
          <w:bCs/>
          <w:sz w:val="20"/>
        </w:rPr>
        <w:t xml:space="preserve">Esto implica que la supervisión debe ser una actividad administrativa compatible con el perfil y el nivel del empleo. </w:t>
      </w:r>
    </w:p>
    <w:p w14:paraId="04D3C562" w14:textId="77777777" w:rsidR="000D4734" w:rsidRPr="000D4734" w:rsidRDefault="000D4734" w:rsidP="000D4734">
      <w:pPr>
        <w:spacing w:after="0" w:line="240" w:lineRule="auto"/>
        <w:rPr>
          <w:rFonts w:ascii="Verdana" w:hAnsi="Verdana"/>
          <w:b/>
          <w:bCs/>
        </w:rPr>
      </w:pPr>
    </w:p>
    <w:p w14:paraId="35B140CD" w14:textId="77777777" w:rsidR="000D4734" w:rsidRPr="000D4734" w:rsidRDefault="000D4734" w:rsidP="000D4734">
      <w:pPr>
        <w:spacing w:after="0" w:line="240" w:lineRule="auto"/>
        <w:rPr>
          <w:rFonts w:ascii="Verdana" w:hAnsi="Verdana"/>
          <w:b/>
          <w:bCs/>
          <w:lang w:val="es-ES"/>
        </w:rPr>
      </w:pPr>
      <w:r w:rsidRPr="000D4734">
        <w:rPr>
          <w:rFonts w:ascii="Verdana" w:hAnsi="Verdana"/>
          <w:b/>
          <w:bCs/>
          <w:lang w:val="es-ES"/>
        </w:rPr>
        <w:t>SUPERVISIÓN – Conflictos de interés</w:t>
      </w:r>
    </w:p>
    <w:p w14:paraId="2753BCD9" w14:textId="2E9836AF" w:rsidR="000D4734" w:rsidRDefault="000D4734" w:rsidP="000D4734">
      <w:pPr>
        <w:spacing w:after="0" w:line="240" w:lineRule="auto"/>
        <w:rPr>
          <w:rFonts w:ascii="Verdana" w:hAnsi="Verdana"/>
          <w:b/>
          <w:bCs/>
          <w:lang w:val="es-ES"/>
        </w:rPr>
      </w:pPr>
    </w:p>
    <w:p w14:paraId="2076970A" w14:textId="2AF3E587" w:rsidR="000D4734" w:rsidRPr="000D4734" w:rsidRDefault="000D4734" w:rsidP="000D4734">
      <w:pPr>
        <w:spacing w:after="0" w:line="240" w:lineRule="auto"/>
        <w:jc w:val="both"/>
        <w:rPr>
          <w:rFonts w:ascii="Verdana" w:hAnsi="Verdana"/>
          <w:bCs/>
          <w:sz w:val="20"/>
          <w:lang w:val="es-ES"/>
        </w:rPr>
      </w:pPr>
      <w:r w:rsidRPr="000D4734">
        <w:rPr>
          <w:rFonts w:ascii="Verdana" w:hAnsi="Verdana"/>
          <w:bCs/>
          <w:sz w:val="20"/>
          <w:lang w:val="es-ES"/>
        </w:rPr>
        <w:t xml:space="preserve">En el escenario de la supervisión no existe esta limitación con respecto a los servidores que participan en la estructuración del proceso de contratación, pero debe actuar conforme a las reglas de la moralidad administrativa. En esta línea, 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1437 de 2011–. En desarrollo de esta directriz, el régimen de los </w:t>
      </w:r>
      <w:r w:rsidRPr="000D4734">
        <w:rPr>
          <w:rFonts w:ascii="Verdana" w:hAnsi="Verdana"/>
          <w:bCs/>
          <w:i/>
          <w:iCs/>
          <w:sz w:val="20"/>
          <w:lang w:val="es-ES"/>
        </w:rPr>
        <w:t>conflictos de interés</w:t>
      </w:r>
      <w:r w:rsidRPr="000D4734">
        <w:rPr>
          <w:rFonts w:ascii="Verdana" w:hAnsi="Verdana"/>
          <w:bCs/>
          <w:sz w:val="20"/>
          <w:lang w:val="es-ES"/>
        </w:rPr>
        <w:t xml:space="preserve"> tiene como objetivo la prevalencia del bien común sobre el particular, razón por la cual se configuran cuando actúan influenciados por consideraciones personales que colisionan con el beber de preservar su independencia e imparcialidad. En este sentido, se definen como la concurrencia de intereses antagónicos que afectan la transparencia de las decisiones, al implicar –en detrimento del interés general– el aprovechamiento personal, familiar o particular.</w:t>
      </w:r>
    </w:p>
    <w:p w14:paraId="1538E471" w14:textId="77777777" w:rsidR="000D4734" w:rsidRPr="000D4734" w:rsidRDefault="000D4734" w:rsidP="000D4734">
      <w:pPr>
        <w:spacing w:after="0" w:line="240" w:lineRule="auto"/>
        <w:rPr>
          <w:rFonts w:ascii="Verdana" w:hAnsi="Verdana"/>
          <w:b/>
          <w:bCs/>
          <w:lang w:val="es-ES"/>
        </w:rPr>
      </w:pPr>
      <w:r w:rsidRPr="000D4734">
        <w:rPr>
          <w:rFonts w:ascii="Verdana" w:hAnsi="Verdana"/>
          <w:b/>
          <w:bCs/>
          <w:lang w:val="es-ES"/>
        </w:rPr>
        <w:lastRenderedPageBreak/>
        <w:t xml:space="preserve"> SUPERVISIÓN – Rol – Estructurador – Procedencia – Limitaciones </w:t>
      </w:r>
    </w:p>
    <w:p w14:paraId="4EEA722F" w14:textId="77777777" w:rsidR="000D4734" w:rsidRPr="000D4734" w:rsidRDefault="000D4734" w:rsidP="000D4734">
      <w:pPr>
        <w:spacing w:after="0" w:line="240" w:lineRule="auto"/>
        <w:rPr>
          <w:rFonts w:ascii="Verdana" w:hAnsi="Verdana"/>
          <w:b/>
          <w:bCs/>
          <w:lang w:val="es-ES"/>
        </w:rPr>
      </w:pPr>
    </w:p>
    <w:p w14:paraId="3C153DBB" w14:textId="7E4B4D97" w:rsidR="003B0DFC" w:rsidRDefault="003B0DFC" w:rsidP="003B0DFC">
      <w:pPr>
        <w:spacing w:after="0" w:line="240" w:lineRule="auto"/>
        <w:jc w:val="both"/>
        <w:rPr>
          <w:rFonts w:ascii="Verdana" w:hAnsi="Verdana"/>
          <w:bCs/>
          <w:sz w:val="20"/>
          <w:lang w:val="es-ES"/>
        </w:rPr>
      </w:pPr>
      <w:r w:rsidRPr="003B0DFC">
        <w:rPr>
          <w:rFonts w:ascii="Verdana" w:hAnsi="Verdana"/>
          <w:bCs/>
          <w:sz w:val="20"/>
          <w:lang w:val="es-ES_tradnl"/>
        </w:rPr>
        <w:t xml:space="preserve">Ahora bien, si no se presenta una causal de conflictos de interés por parte de la supervisión, </w:t>
      </w:r>
      <w:r w:rsidRPr="003B0DFC">
        <w:rPr>
          <w:rFonts w:ascii="Verdana" w:hAnsi="Verdana"/>
          <w:bCs/>
          <w:sz w:val="20"/>
          <w:lang w:val="es-ES"/>
        </w:rPr>
        <w:t>es fundamental reconocer que la acumulación de funciones críticas puede generar riesgos de parcialidad. Por ello, aunque sea procedente, se recomienda que la entidad evalúe la conveniencia de designar la supervisión a quien participó en la estructuración, considerando la necesidad de preservar la transparencia. El punto importante está en garantizar que la supervisión no se constituya en una extensión o prolongación automática de las decisiones tomadas en la etapa de planeación, sino en un ejercicio independiente y autónomo que garantice el cumplimiento de las obligaciones pactadas, la calidad de los bienes y servicios contratados y la protección de los intereses de la Entidad Estatal.</w:t>
      </w:r>
    </w:p>
    <w:p w14:paraId="25494B53" w14:textId="4BA84698" w:rsidR="000D4734" w:rsidRPr="000D4734" w:rsidRDefault="000D4734" w:rsidP="000D4734">
      <w:pPr>
        <w:spacing w:after="0" w:line="240" w:lineRule="auto"/>
        <w:rPr>
          <w:rFonts w:ascii="Verdana" w:hAnsi="Verdana"/>
          <w:b/>
          <w:bCs/>
          <w:lang w:val="es-ES"/>
        </w:rPr>
      </w:pPr>
    </w:p>
    <w:p w14:paraId="1E61AEDA" w14:textId="2E26E5C4" w:rsidR="000D4734" w:rsidRPr="000D4734" w:rsidRDefault="000D4734" w:rsidP="000D4734">
      <w:pPr>
        <w:spacing w:after="0" w:line="240" w:lineRule="auto"/>
        <w:rPr>
          <w:rFonts w:ascii="Verdana" w:hAnsi="Verdana"/>
          <w:b/>
        </w:rPr>
      </w:pPr>
      <w:r w:rsidRPr="000D4734">
        <w:rPr>
          <w:rFonts w:ascii="Verdana" w:hAnsi="Verdana"/>
          <w:b/>
          <w:bCs/>
          <w:lang w:val="es-ES"/>
        </w:rPr>
        <w:t xml:space="preserve"> SUPERVISIÓN – Controles - Transparencia.</w:t>
      </w:r>
    </w:p>
    <w:p w14:paraId="1F191334" w14:textId="77777777" w:rsidR="000D4734" w:rsidRDefault="000D4734" w:rsidP="0045785F">
      <w:pPr>
        <w:spacing w:after="0" w:line="240" w:lineRule="auto"/>
        <w:rPr>
          <w:rFonts w:ascii="Verdana" w:hAnsi="Verdana"/>
        </w:rPr>
      </w:pPr>
    </w:p>
    <w:p w14:paraId="4779C04B" w14:textId="58825581" w:rsidR="003B0DFC" w:rsidRDefault="003B0DFC" w:rsidP="003B0DFC">
      <w:pPr>
        <w:spacing w:after="0" w:line="240" w:lineRule="auto"/>
        <w:jc w:val="both"/>
        <w:rPr>
          <w:rFonts w:ascii="Verdana" w:hAnsi="Verdana"/>
          <w:bCs/>
          <w:sz w:val="20"/>
          <w:lang w:val="es-ES"/>
        </w:rPr>
      </w:pPr>
      <w:r w:rsidRPr="003B0DFC">
        <w:rPr>
          <w:rFonts w:ascii="Verdana" w:hAnsi="Verdana"/>
          <w:bCs/>
          <w:sz w:val="20"/>
          <w:lang w:val="es-ES"/>
        </w:rPr>
        <w:t xml:space="preserve">Para asegurar esa independencia, deben implementarse controles institucionales claros. Entre estos controles, puede señalarse la obligación de presentar declaraciones de conflicto de interés y la posibilidad de aplicar mecanismos de impedimento y recusación cuando existan vínculos que afecten la imparcialidad, la separación de funciones en las etapas críticas del proceso de contratación, la designación de una supervisión colegiada que atienda a los diferentes tipos de seguimiento. De igual modo, es posible la rotación de supervisores y la revisión periódica de sus informes por parte del representante legal o su delegado, teniendo en cuenta que hay un deber de </w:t>
      </w:r>
      <w:r w:rsidRPr="003B0DFC">
        <w:rPr>
          <w:rFonts w:ascii="Verdana" w:hAnsi="Verdana"/>
          <w:bCs/>
          <w:sz w:val="20"/>
        </w:rPr>
        <w:t xml:space="preserve">dirección general y la responsabilidad de ejercer el control y vigilancia de la ejecución del contrato, </w:t>
      </w:r>
      <w:r w:rsidRPr="003B0DFC">
        <w:rPr>
          <w:rFonts w:ascii="Verdana" w:hAnsi="Verdana"/>
          <w:bCs/>
          <w:sz w:val="20"/>
          <w:lang w:val="es-ES"/>
        </w:rPr>
        <w:t xml:space="preserve">de conformidad con el artículo 14, numeral 1° de la Ley 80. </w:t>
      </w:r>
    </w:p>
    <w:p w14:paraId="1B171E2B" w14:textId="728B4A4D" w:rsidR="003B0DFC" w:rsidRDefault="003B0DFC" w:rsidP="003B0DFC">
      <w:pPr>
        <w:spacing w:after="0" w:line="240" w:lineRule="auto"/>
        <w:jc w:val="both"/>
        <w:rPr>
          <w:rFonts w:ascii="Verdana" w:hAnsi="Verdana"/>
          <w:bCs/>
          <w:sz w:val="20"/>
          <w:lang w:val="es-ES"/>
        </w:rPr>
      </w:pPr>
    </w:p>
    <w:p w14:paraId="64AE51E0" w14:textId="2E33F24D" w:rsidR="003B0DFC" w:rsidRDefault="003B0DFC" w:rsidP="003B0DFC">
      <w:pPr>
        <w:spacing w:after="0" w:line="240" w:lineRule="auto"/>
        <w:jc w:val="both"/>
        <w:rPr>
          <w:rFonts w:ascii="Verdana" w:hAnsi="Verdana"/>
          <w:bCs/>
          <w:sz w:val="20"/>
          <w:lang w:val="es-ES"/>
        </w:rPr>
      </w:pPr>
    </w:p>
    <w:p w14:paraId="19E34559" w14:textId="6B97ECF4" w:rsidR="003B0DFC" w:rsidRDefault="003B0DFC" w:rsidP="003B0DFC">
      <w:pPr>
        <w:spacing w:after="0" w:line="240" w:lineRule="auto"/>
        <w:jc w:val="both"/>
        <w:rPr>
          <w:rFonts w:ascii="Verdana" w:hAnsi="Verdana"/>
          <w:bCs/>
          <w:sz w:val="20"/>
          <w:lang w:val="es-ES"/>
        </w:rPr>
      </w:pPr>
    </w:p>
    <w:p w14:paraId="3E6A42BA" w14:textId="4D878940" w:rsidR="003B0DFC" w:rsidRDefault="003B0DFC" w:rsidP="003B0DFC">
      <w:pPr>
        <w:spacing w:after="0" w:line="240" w:lineRule="auto"/>
        <w:jc w:val="both"/>
        <w:rPr>
          <w:rFonts w:ascii="Verdana" w:hAnsi="Verdana"/>
          <w:bCs/>
          <w:sz w:val="20"/>
          <w:lang w:val="es-ES"/>
        </w:rPr>
      </w:pPr>
    </w:p>
    <w:p w14:paraId="63A92B13" w14:textId="0AAAC809" w:rsidR="003B0DFC" w:rsidRDefault="003B0DFC" w:rsidP="003B0DFC">
      <w:pPr>
        <w:spacing w:after="0" w:line="240" w:lineRule="auto"/>
        <w:jc w:val="both"/>
        <w:rPr>
          <w:rFonts w:ascii="Verdana" w:hAnsi="Verdana"/>
          <w:bCs/>
          <w:sz w:val="20"/>
          <w:lang w:val="es-ES"/>
        </w:rPr>
      </w:pPr>
    </w:p>
    <w:p w14:paraId="54C8AB4E" w14:textId="61FCC3ED" w:rsidR="003B0DFC" w:rsidRDefault="003B0DFC" w:rsidP="003B0DFC">
      <w:pPr>
        <w:spacing w:after="0" w:line="240" w:lineRule="auto"/>
        <w:jc w:val="both"/>
        <w:rPr>
          <w:rFonts w:ascii="Verdana" w:hAnsi="Verdana"/>
          <w:bCs/>
          <w:sz w:val="20"/>
          <w:lang w:val="es-ES"/>
        </w:rPr>
      </w:pPr>
    </w:p>
    <w:p w14:paraId="38F53B9B" w14:textId="2D297FD9" w:rsidR="003B0DFC" w:rsidRDefault="003B0DFC" w:rsidP="003B0DFC">
      <w:pPr>
        <w:spacing w:after="0" w:line="240" w:lineRule="auto"/>
        <w:jc w:val="both"/>
        <w:rPr>
          <w:rFonts w:ascii="Verdana" w:hAnsi="Verdana"/>
          <w:bCs/>
          <w:sz w:val="20"/>
          <w:lang w:val="es-ES"/>
        </w:rPr>
      </w:pPr>
    </w:p>
    <w:p w14:paraId="2C1A62A7" w14:textId="5D940733" w:rsidR="003B0DFC" w:rsidRDefault="003B0DFC" w:rsidP="003B0DFC">
      <w:pPr>
        <w:spacing w:after="0" w:line="240" w:lineRule="auto"/>
        <w:jc w:val="both"/>
        <w:rPr>
          <w:rFonts w:ascii="Verdana" w:hAnsi="Verdana"/>
          <w:bCs/>
          <w:sz w:val="20"/>
          <w:lang w:val="es-ES"/>
        </w:rPr>
      </w:pPr>
    </w:p>
    <w:p w14:paraId="12E5259E" w14:textId="4E4D9A18" w:rsidR="003B0DFC" w:rsidRDefault="003B0DFC" w:rsidP="003B0DFC">
      <w:pPr>
        <w:spacing w:after="0" w:line="240" w:lineRule="auto"/>
        <w:jc w:val="both"/>
        <w:rPr>
          <w:rFonts w:ascii="Verdana" w:hAnsi="Verdana"/>
          <w:bCs/>
          <w:sz w:val="20"/>
          <w:lang w:val="es-ES"/>
        </w:rPr>
      </w:pPr>
    </w:p>
    <w:p w14:paraId="121D6995" w14:textId="2598F274" w:rsidR="003B0DFC" w:rsidRDefault="003B0DFC" w:rsidP="003B0DFC">
      <w:pPr>
        <w:spacing w:after="0" w:line="240" w:lineRule="auto"/>
        <w:jc w:val="both"/>
        <w:rPr>
          <w:rFonts w:ascii="Verdana" w:hAnsi="Verdana"/>
          <w:bCs/>
          <w:sz w:val="20"/>
          <w:lang w:val="es-ES"/>
        </w:rPr>
      </w:pPr>
    </w:p>
    <w:p w14:paraId="779A235B" w14:textId="7E339B65" w:rsidR="003B0DFC" w:rsidRDefault="003B0DFC" w:rsidP="003B0DFC">
      <w:pPr>
        <w:spacing w:after="0" w:line="240" w:lineRule="auto"/>
        <w:jc w:val="both"/>
        <w:rPr>
          <w:rFonts w:ascii="Verdana" w:hAnsi="Verdana"/>
          <w:bCs/>
          <w:sz w:val="20"/>
          <w:lang w:val="es-ES"/>
        </w:rPr>
      </w:pPr>
    </w:p>
    <w:p w14:paraId="1CDD6CF3" w14:textId="1E390DEE" w:rsidR="003B0DFC" w:rsidRDefault="003B0DFC" w:rsidP="003B0DFC">
      <w:pPr>
        <w:spacing w:after="0" w:line="240" w:lineRule="auto"/>
        <w:jc w:val="both"/>
        <w:rPr>
          <w:rFonts w:ascii="Verdana" w:hAnsi="Verdana"/>
          <w:bCs/>
          <w:sz w:val="20"/>
          <w:lang w:val="es-ES"/>
        </w:rPr>
      </w:pPr>
    </w:p>
    <w:p w14:paraId="0DD81E35" w14:textId="5DC9A989" w:rsidR="003B0DFC" w:rsidRDefault="003B0DFC" w:rsidP="003B0DFC">
      <w:pPr>
        <w:spacing w:after="0" w:line="240" w:lineRule="auto"/>
        <w:jc w:val="both"/>
        <w:rPr>
          <w:rFonts w:ascii="Verdana" w:hAnsi="Verdana"/>
          <w:bCs/>
          <w:sz w:val="20"/>
          <w:lang w:val="es-ES"/>
        </w:rPr>
      </w:pPr>
    </w:p>
    <w:p w14:paraId="1C79C809" w14:textId="3C45718E" w:rsidR="003B0DFC" w:rsidRDefault="003B0DFC" w:rsidP="003B0DFC">
      <w:pPr>
        <w:spacing w:after="0" w:line="240" w:lineRule="auto"/>
        <w:jc w:val="both"/>
        <w:rPr>
          <w:rFonts w:ascii="Verdana" w:hAnsi="Verdana"/>
          <w:bCs/>
          <w:sz w:val="20"/>
          <w:lang w:val="es-ES"/>
        </w:rPr>
      </w:pPr>
    </w:p>
    <w:p w14:paraId="4F222522" w14:textId="22A3CEB5" w:rsidR="003B0DFC" w:rsidRDefault="003B0DFC" w:rsidP="003B0DFC">
      <w:pPr>
        <w:spacing w:after="0" w:line="240" w:lineRule="auto"/>
        <w:jc w:val="both"/>
        <w:rPr>
          <w:rFonts w:ascii="Verdana" w:hAnsi="Verdana"/>
          <w:bCs/>
          <w:sz w:val="20"/>
          <w:lang w:val="es-ES"/>
        </w:rPr>
      </w:pPr>
    </w:p>
    <w:p w14:paraId="013DC136" w14:textId="1B1D8124" w:rsidR="003B0DFC" w:rsidRDefault="003B0DFC" w:rsidP="003B0DFC">
      <w:pPr>
        <w:spacing w:after="0" w:line="240" w:lineRule="auto"/>
        <w:jc w:val="both"/>
        <w:rPr>
          <w:rFonts w:ascii="Verdana" w:hAnsi="Verdana"/>
          <w:bCs/>
          <w:sz w:val="20"/>
          <w:lang w:val="es-ES"/>
        </w:rPr>
      </w:pPr>
    </w:p>
    <w:p w14:paraId="55EFF4BB" w14:textId="33D07CB4" w:rsidR="003B0DFC" w:rsidRDefault="003B0DFC" w:rsidP="003B0DFC">
      <w:pPr>
        <w:spacing w:after="0" w:line="240" w:lineRule="auto"/>
        <w:jc w:val="both"/>
        <w:rPr>
          <w:rFonts w:ascii="Verdana" w:hAnsi="Verdana"/>
          <w:bCs/>
          <w:sz w:val="20"/>
          <w:lang w:val="es-ES"/>
        </w:rPr>
      </w:pPr>
    </w:p>
    <w:p w14:paraId="604CE380" w14:textId="62363512" w:rsidR="003B0DFC" w:rsidRDefault="003B0DFC" w:rsidP="003B0DFC">
      <w:pPr>
        <w:spacing w:after="0" w:line="240" w:lineRule="auto"/>
        <w:jc w:val="both"/>
        <w:rPr>
          <w:rFonts w:ascii="Verdana" w:hAnsi="Verdana"/>
          <w:bCs/>
          <w:sz w:val="20"/>
          <w:lang w:val="es-ES"/>
        </w:rPr>
      </w:pPr>
    </w:p>
    <w:p w14:paraId="4D2EF7E1" w14:textId="4AAE1618" w:rsidR="000D4734" w:rsidRPr="003B0DFC" w:rsidRDefault="000D4734" w:rsidP="0045785F">
      <w:pPr>
        <w:spacing w:after="0" w:line="240" w:lineRule="auto"/>
        <w:rPr>
          <w:rFonts w:ascii="Verdana" w:hAnsi="Verdana"/>
          <w:lang w:val="es-ES"/>
        </w:rPr>
      </w:pPr>
    </w:p>
    <w:p w14:paraId="46DA4C3F" w14:textId="12F6492C" w:rsidR="0045785F" w:rsidRPr="002B4BE9" w:rsidRDefault="000D4734" w:rsidP="0045785F">
      <w:pPr>
        <w:spacing w:after="0" w:line="240" w:lineRule="auto"/>
        <w:rPr>
          <w:rFonts w:ascii="Verdana" w:hAnsi="Verdana"/>
        </w:rPr>
      </w:pPr>
      <w:r>
        <w:rPr>
          <w:rFonts w:ascii="Verdana" w:hAnsi="Verdana"/>
        </w:rPr>
        <w:lastRenderedPageBreak/>
        <w:t>Bogotá D.C., 3 de diciembre de 2025</w:t>
      </w:r>
      <w:r w:rsidR="0045785F" w:rsidRPr="002B4BE9">
        <w:rPr>
          <w:rFonts w:ascii="Verdana" w:hAnsi="Verdana"/>
        </w:rPr>
        <w:tab/>
      </w:r>
    </w:p>
    <w:p w14:paraId="3FABF9FC" w14:textId="1CC1B4F1" w:rsidR="0045785F" w:rsidRPr="002B4BE9" w:rsidRDefault="003B0DFC" w:rsidP="0045785F">
      <w:pPr>
        <w:spacing w:after="0" w:line="240" w:lineRule="auto"/>
        <w:rPr>
          <w:rFonts w:ascii="Verdana" w:hAnsi="Verdana"/>
        </w:rPr>
      </w:pPr>
      <w:r w:rsidRPr="003B0DFC">
        <w:rPr>
          <w:rFonts w:ascii="Verdana" w:hAnsi="Verdana"/>
          <w:noProof/>
          <w:lang w:val="en-US"/>
        </w:rPr>
        <w:drawing>
          <wp:anchor distT="0" distB="0" distL="114300" distR="114300" simplePos="0" relativeHeight="251658240" behindDoc="0" locked="0" layoutInCell="1" allowOverlap="1" wp14:anchorId="2232B26F" wp14:editId="04DF5D64">
            <wp:simplePos x="0" y="0"/>
            <wp:positionH relativeFrom="margin">
              <wp:posOffset>584200</wp:posOffset>
            </wp:positionH>
            <wp:positionV relativeFrom="paragraph">
              <wp:posOffset>30544</wp:posOffset>
            </wp:positionV>
            <wp:extent cx="2404110" cy="72453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04110" cy="7245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B0DFC">
        <w:rPr>
          <w:rFonts w:ascii="Verdana" w:hAnsi="Verdana"/>
          <w:noProof/>
          <w:lang w:val="en-US"/>
        </w:rPr>
        <w:drawing>
          <wp:anchor distT="0" distB="0" distL="114300" distR="114300" simplePos="0" relativeHeight="251659264" behindDoc="0" locked="0" layoutInCell="1" allowOverlap="1" wp14:anchorId="412AD6D5" wp14:editId="47D7A742">
            <wp:simplePos x="0" y="0"/>
            <wp:positionH relativeFrom="page">
              <wp:posOffset>4068445</wp:posOffset>
            </wp:positionH>
            <wp:positionV relativeFrom="paragraph">
              <wp:posOffset>5715</wp:posOffset>
            </wp:positionV>
            <wp:extent cx="2424430" cy="74930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24430" cy="7493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4F328C6" w14:textId="068D94E2" w:rsidR="003B0DFC" w:rsidRDefault="003B0DFC" w:rsidP="0045785F">
      <w:pPr>
        <w:spacing w:after="0" w:line="240" w:lineRule="auto"/>
        <w:rPr>
          <w:rFonts w:ascii="Verdana" w:hAnsi="Verdana"/>
        </w:rPr>
      </w:pPr>
    </w:p>
    <w:p w14:paraId="5F810B71" w14:textId="41123B98" w:rsidR="003B0DFC" w:rsidRDefault="003B0DFC" w:rsidP="0045785F">
      <w:pPr>
        <w:spacing w:after="0" w:line="240" w:lineRule="auto"/>
        <w:rPr>
          <w:rFonts w:ascii="Verdana" w:hAnsi="Verdana"/>
        </w:rPr>
      </w:pPr>
    </w:p>
    <w:p w14:paraId="475F5022" w14:textId="0CEC5E07" w:rsidR="003B0DFC" w:rsidRDefault="003B0DFC" w:rsidP="0045785F">
      <w:pPr>
        <w:spacing w:after="0" w:line="240" w:lineRule="auto"/>
        <w:rPr>
          <w:rFonts w:ascii="Verdana" w:hAnsi="Verdana"/>
        </w:rPr>
      </w:pPr>
    </w:p>
    <w:p w14:paraId="43A1FE01" w14:textId="6FE7B66C" w:rsidR="0045785F" w:rsidRDefault="003B0DFC" w:rsidP="0045785F">
      <w:pPr>
        <w:spacing w:after="0" w:line="240" w:lineRule="auto"/>
        <w:rPr>
          <w:rFonts w:ascii="Verdana" w:hAnsi="Verdana"/>
        </w:rPr>
      </w:pPr>
      <w:r w:rsidRPr="003B0DFC">
        <w:rPr>
          <w:rFonts w:ascii="Verdana" w:eastAsia="Calibri" w:hAnsi="Verdana" w:cs="Times New Roman"/>
          <w:b/>
          <w:noProof/>
          <w:lang w:val="en-US"/>
        </w:rPr>
        <w:drawing>
          <wp:anchor distT="0" distB="0" distL="114300" distR="114300" simplePos="0" relativeHeight="251660288" behindDoc="0" locked="0" layoutInCell="1" allowOverlap="1" wp14:anchorId="6B748E59" wp14:editId="5E028F5C">
            <wp:simplePos x="0" y="0"/>
            <wp:positionH relativeFrom="column">
              <wp:posOffset>521970</wp:posOffset>
            </wp:positionH>
            <wp:positionV relativeFrom="paragraph">
              <wp:posOffset>92710</wp:posOffset>
            </wp:positionV>
            <wp:extent cx="2465705" cy="718820"/>
            <wp:effectExtent l="0" t="0" r="0" b="508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65705" cy="7188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B0DFC">
        <w:rPr>
          <w:rFonts w:ascii="Verdana" w:hAnsi="Verdana"/>
          <w:noProof/>
          <w:lang w:val="en-US"/>
        </w:rPr>
        <w:drawing>
          <wp:anchor distT="0" distB="0" distL="114300" distR="114300" simplePos="0" relativeHeight="251661312" behindDoc="0" locked="0" layoutInCell="1" allowOverlap="1" wp14:anchorId="2EF938E7" wp14:editId="4C223B6E">
            <wp:simplePos x="0" y="0"/>
            <wp:positionH relativeFrom="column">
              <wp:posOffset>2988310</wp:posOffset>
            </wp:positionH>
            <wp:positionV relativeFrom="paragraph">
              <wp:posOffset>96520</wp:posOffset>
            </wp:positionV>
            <wp:extent cx="2404110" cy="715010"/>
            <wp:effectExtent l="0" t="0" r="0" b="889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04110" cy="7150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14CE65F" w14:textId="2C7EDDC8" w:rsidR="003B0DFC" w:rsidRDefault="003B0DFC" w:rsidP="0045785F">
      <w:pPr>
        <w:spacing w:after="0" w:line="240" w:lineRule="auto"/>
        <w:rPr>
          <w:rFonts w:ascii="Verdana" w:hAnsi="Verdana"/>
        </w:rPr>
      </w:pPr>
    </w:p>
    <w:p w14:paraId="418C51C5" w14:textId="3E4A2C9B" w:rsidR="003B0DFC" w:rsidRDefault="003B0DFC" w:rsidP="0045785F">
      <w:pPr>
        <w:spacing w:after="0" w:line="240" w:lineRule="auto"/>
        <w:rPr>
          <w:rFonts w:ascii="Verdana" w:hAnsi="Verdana"/>
        </w:rPr>
      </w:pPr>
    </w:p>
    <w:p w14:paraId="415A26BA" w14:textId="4634AF06" w:rsidR="003B0DFC" w:rsidRDefault="003B0DFC" w:rsidP="0045785F">
      <w:pPr>
        <w:spacing w:after="0" w:line="240" w:lineRule="auto"/>
        <w:rPr>
          <w:rFonts w:ascii="Verdana" w:hAnsi="Verdana"/>
        </w:rPr>
      </w:pPr>
    </w:p>
    <w:p w14:paraId="1316A51C" w14:textId="548960FF" w:rsidR="003B0DFC" w:rsidRDefault="003B0DFC" w:rsidP="0045785F">
      <w:pPr>
        <w:spacing w:after="0" w:line="240" w:lineRule="auto"/>
        <w:rPr>
          <w:rFonts w:ascii="Verdana" w:hAnsi="Verdana"/>
        </w:rPr>
      </w:pPr>
      <w:r w:rsidRPr="003B0DFC">
        <w:rPr>
          <w:rStyle w:val="Hipervnculo"/>
          <w:rFonts w:ascii="Verdana" w:eastAsia="Calibri" w:hAnsi="Verdana" w:cs="Times New Roman"/>
          <w:bCs/>
          <w:noProof/>
          <w:lang w:val="en-US"/>
        </w:rPr>
        <w:drawing>
          <wp:anchor distT="0" distB="0" distL="114300" distR="114300" simplePos="0" relativeHeight="251662336" behindDoc="0" locked="0" layoutInCell="1" allowOverlap="1" wp14:anchorId="36031C79" wp14:editId="4362C814">
            <wp:simplePos x="0" y="0"/>
            <wp:positionH relativeFrom="margin">
              <wp:posOffset>2988310</wp:posOffset>
            </wp:positionH>
            <wp:positionV relativeFrom="paragraph">
              <wp:posOffset>127000</wp:posOffset>
            </wp:positionV>
            <wp:extent cx="2404110" cy="723265"/>
            <wp:effectExtent l="0" t="0" r="0" b="63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04110" cy="7232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5DC606E" w14:textId="13B11D3A" w:rsidR="003B0DFC" w:rsidRDefault="003B0DFC" w:rsidP="0045785F">
      <w:pPr>
        <w:spacing w:after="0" w:line="240" w:lineRule="auto"/>
        <w:rPr>
          <w:rFonts w:ascii="Verdana" w:hAnsi="Verdana"/>
        </w:rPr>
      </w:pPr>
    </w:p>
    <w:p w14:paraId="0CBAE336" w14:textId="77777777" w:rsidR="003B0DFC" w:rsidRPr="002B4BE9" w:rsidRDefault="003B0DFC" w:rsidP="0045785F">
      <w:pPr>
        <w:spacing w:after="0" w:line="240" w:lineRule="auto"/>
        <w:rPr>
          <w:rFonts w:ascii="Verdana" w:hAnsi="Verdana"/>
        </w:rPr>
      </w:pPr>
    </w:p>
    <w:p w14:paraId="389A54D0" w14:textId="329BD455" w:rsidR="0045785F" w:rsidRPr="002B4BE9" w:rsidRDefault="0045785F" w:rsidP="0045785F">
      <w:pPr>
        <w:spacing w:after="0" w:line="240" w:lineRule="auto"/>
        <w:rPr>
          <w:rFonts w:ascii="Verdana" w:eastAsia="Calibri" w:hAnsi="Verdana" w:cs="Times New Roman"/>
          <w:lang w:val="es-MX"/>
        </w:rPr>
      </w:pPr>
      <w:r w:rsidRPr="002B4BE9">
        <w:rPr>
          <w:rFonts w:ascii="Verdana" w:eastAsia="Calibri" w:hAnsi="Verdana" w:cs="Times New Roman"/>
          <w:lang w:val="es-MX"/>
        </w:rPr>
        <w:t>Señor</w:t>
      </w:r>
    </w:p>
    <w:p w14:paraId="13B49159" w14:textId="6C4083A3" w:rsidR="0045785F" w:rsidRPr="002B4BE9" w:rsidRDefault="003B0DFC" w:rsidP="0045785F">
      <w:pPr>
        <w:spacing w:after="0" w:line="240" w:lineRule="auto"/>
        <w:rPr>
          <w:rFonts w:ascii="Verdana" w:eastAsia="Calibri" w:hAnsi="Verdana" w:cs="Times New Roman"/>
          <w:b/>
        </w:rPr>
      </w:pPr>
      <w:r w:rsidRPr="003B0DFC">
        <w:rPr>
          <w:rFonts w:ascii="Verdana" w:eastAsia="Calibri" w:hAnsi="Verdana" w:cs="Times New Roman"/>
          <w:bCs/>
          <w:noProof/>
          <w:lang w:val="en-US"/>
        </w:rPr>
        <w:drawing>
          <wp:anchor distT="0" distB="0" distL="114300" distR="114300" simplePos="0" relativeHeight="251663360" behindDoc="0" locked="0" layoutInCell="1" allowOverlap="1" wp14:anchorId="177C3F95" wp14:editId="6A080924">
            <wp:simplePos x="0" y="0"/>
            <wp:positionH relativeFrom="column">
              <wp:posOffset>2988310</wp:posOffset>
            </wp:positionH>
            <wp:positionV relativeFrom="paragraph">
              <wp:posOffset>167005</wp:posOffset>
            </wp:positionV>
            <wp:extent cx="2424430" cy="701040"/>
            <wp:effectExtent l="0" t="0" r="0" b="381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24430" cy="701040"/>
                    </a:xfrm>
                    <a:prstGeom prst="rect">
                      <a:avLst/>
                    </a:prstGeom>
                    <a:noFill/>
                    <a:ln>
                      <a:noFill/>
                    </a:ln>
                  </pic:spPr>
                </pic:pic>
              </a:graphicData>
            </a:graphic>
            <wp14:sizeRelH relativeFrom="margin">
              <wp14:pctWidth>0</wp14:pctWidth>
            </wp14:sizeRelH>
          </wp:anchor>
        </w:drawing>
      </w:r>
      <w:proofErr w:type="spellStart"/>
      <w:r w:rsidR="0045785F" w:rsidRPr="002B4BE9">
        <w:rPr>
          <w:rFonts w:ascii="Verdana" w:eastAsia="Calibri" w:hAnsi="Verdana" w:cs="Times New Roman"/>
          <w:b/>
        </w:rPr>
        <w:t>Victor</w:t>
      </w:r>
      <w:proofErr w:type="spellEnd"/>
      <w:r w:rsidR="0045785F" w:rsidRPr="002B4BE9">
        <w:rPr>
          <w:rFonts w:ascii="Verdana" w:eastAsia="Calibri" w:hAnsi="Verdana" w:cs="Times New Roman"/>
          <w:b/>
        </w:rPr>
        <w:t xml:space="preserve"> Eduardo López Pedraza</w:t>
      </w:r>
      <w:r w:rsidRPr="003B0DFC">
        <w:rPr>
          <w:rFonts w:ascii="Verdana" w:eastAsia="Calibri" w:hAnsi="Verdana" w:cs="Times New Roman"/>
          <w:b/>
        </w:rPr>
        <w:t xml:space="preserve"> </w:t>
      </w:r>
    </w:p>
    <w:p w14:paraId="1138B862" w14:textId="620EE9D4" w:rsidR="0045785F" w:rsidRPr="002B4BE9" w:rsidRDefault="00C96B64" w:rsidP="0045785F">
      <w:pPr>
        <w:spacing w:after="0" w:line="240" w:lineRule="auto"/>
        <w:rPr>
          <w:rFonts w:ascii="Verdana" w:eastAsia="Calibri" w:hAnsi="Verdana" w:cs="Times New Roman"/>
          <w:bCs/>
        </w:rPr>
      </w:pPr>
      <w:hyperlink r:id="rId17" w:history="1">
        <w:r w:rsidR="0045785F" w:rsidRPr="002B4BE9">
          <w:rPr>
            <w:rStyle w:val="Hipervnculo"/>
            <w:rFonts w:ascii="Verdana" w:eastAsia="Calibri" w:hAnsi="Verdana" w:cs="Times New Roman"/>
            <w:bCs/>
          </w:rPr>
          <w:t>vepedrazap@sena.edu.co</w:t>
        </w:r>
      </w:hyperlink>
      <w:r w:rsidR="003B0DFC" w:rsidRPr="003B0DFC">
        <w:rPr>
          <w:rStyle w:val="Hipervnculo"/>
          <w:rFonts w:ascii="Verdana" w:eastAsia="Calibri" w:hAnsi="Verdana" w:cs="Times New Roman"/>
          <w:bCs/>
        </w:rPr>
        <w:t xml:space="preserve"> </w:t>
      </w:r>
    </w:p>
    <w:p w14:paraId="48065228" w14:textId="0C852DF3" w:rsidR="0045785F" w:rsidRPr="002B4BE9" w:rsidRDefault="0045785F" w:rsidP="0045785F">
      <w:pPr>
        <w:spacing w:after="0" w:line="240" w:lineRule="auto"/>
        <w:rPr>
          <w:rFonts w:ascii="Verdana" w:eastAsia="Calibri" w:hAnsi="Verdana" w:cs="Times New Roman"/>
          <w:bCs/>
        </w:rPr>
      </w:pPr>
      <w:r w:rsidRPr="002B4BE9">
        <w:rPr>
          <w:rFonts w:ascii="Verdana" w:eastAsia="Calibri" w:hAnsi="Verdana" w:cs="Times New Roman"/>
          <w:bCs/>
        </w:rPr>
        <w:t>Vélez, Santander</w:t>
      </w:r>
      <w:r w:rsidR="003B0DFC" w:rsidRPr="003B0DFC">
        <w:rPr>
          <w:rFonts w:ascii="Verdana" w:eastAsia="Calibri" w:hAnsi="Verdana" w:cs="Times New Roman"/>
          <w:bCs/>
        </w:rPr>
        <w:t xml:space="preserve"> </w:t>
      </w:r>
    </w:p>
    <w:p w14:paraId="358A981B" w14:textId="77777777" w:rsidR="0045785F" w:rsidRPr="002B4BE9" w:rsidRDefault="0045785F" w:rsidP="0045785F">
      <w:pPr>
        <w:spacing w:after="0" w:line="240" w:lineRule="auto"/>
        <w:rPr>
          <w:rFonts w:ascii="Verdana" w:eastAsia="Calibri" w:hAnsi="Verdana" w:cs="Times New Roman"/>
        </w:rPr>
      </w:pPr>
    </w:p>
    <w:p w14:paraId="20FA19E7" w14:textId="1E457A73" w:rsidR="0045785F" w:rsidRDefault="0045785F" w:rsidP="0045785F">
      <w:pPr>
        <w:spacing w:after="0" w:line="240" w:lineRule="auto"/>
        <w:rPr>
          <w:rFonts w:ascii="Verdana" w:eastAsia="Calibri" w:hAnsi="Verdana" w:cs="Times New Roman"/>
        </w:rPr>
      </w:pPr>
    </w:p>
    <w:p w14:paraId="6A7740E0" w14:textId="77777777" w:rsidR="003B0DFC" w:rsidRPr="002B4BE9" w:rsidRDefault="003B0DFC" w:rsidP="0045785F">
      <w:pPr>
        <w:spacing w:after="0" w:line="240" w:lineRule="auto"/>
        <w:rPr>
          <w:rFonts w:ascii="Verdana" w:eastAsia="Calibri" w:hAnsi="Verdana" w:cs="Times New Roman"/>
        </w:rPr>
      </w:pPr>
    </w:p>
    <w:p w14:paraId="35C08172" w14:textId="77777777" w:rsidR="0045785F" w:rsidRPr="002B4BE9" w:rsidRDefault="0045785F" w:rsidP="0045785F">
      <w:pPr>
        <w:spacing w:after="0" w:line="240" w:lineRule="auto"/>
        <w:rPr>
          <w:rFonts w:ascii="Verdana" w:eastAsia="Calibri" w:hAnsi="Verdana" w:cs="Times New Roman"/>
          <w:b/>
          <w:bCs/>
          <w:lang w:val="es-ES"/>
        </w:rPr>
      </w:pPr>
      <w:r w:rsidRPr="002B4BE9">
        <w:rPr>
          <w:rFonts w:ascii="Verdana" w:eastAsia="Calibri" w:hAnsi="Verdana" w:cs="Times New Roman"/>
          <w:b/>
          <w:bCs/>
          <w:lang w:val="es-ES"/>
        </w:rPr>
        <w:t xml:space="preserve">                                    Concepto C–1553 de 2025</w:t>
      </w:r>
    </w:p>
    <w:p w14:paraId="3532B3AD" w14:textId="77777777" w:rsidR="0045785F" w:rsidRPr="002B4BE9" w:rsidRDefault="0045785F" w:rsidP="0045785F">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45785F" w:rsidRPr="002B4BE9" w14:paraId="418A25AE" w14:textId="77777777" w:rsidTr="00227991">
        <w:trPr>
          <w:trHeight w:val="645"/>
        </w:trPr>
        <w:tc>
          <w:tcPr>
            <w:tcW w:w="2685" w:type="dxa"/>
            <w:hideMark/>
          </w:tcPr>
          <w:p w14:paraId="7523D5B3" w14:textId="77777777" w:rsidR="0045785F" w:rsidRPr="002B4BE9" w:rsidRDefault="0045785F" w:rsidP="00227991">
            <w:pPr>
              <w:rPr>
                <w:rFonts w:ascii="Verdana" w:hAnsi="Verdana"/>
                <w:b/>
                <w:bCs/>
                <w:lang w:val="es-ES_tradnl"/>
              </w:rPr>
            </w:pPr>
            <w:r w:rsidRPr="002B4BE9">
              <w:rPr>
                <w:rFonts w:ascii="Verdana" w:hAnsi="Verdana"/>
                <w:b/>
                <w:bCs/>
                <w:lang w:val="es-ES_tradnl"/>
              </w:rPr>
              <w:t xml:space="preserve">Temas:                  </w:t>
            </w:r>
          </w:p>
        </w:tc>
        <w:tc>
          <w:tcPr>
            <w:tcW w:w="6241" w:type="dxa"/>
            <w:hideMark/>
          </w:tcPr>
          <w:p w14:paraId="7ACA3CC5" w14:textId="77777777" w:rsidR="0045785F" w:rsidRPr="002B4BE9" w:rsidRDefault="0045785F" w:rsidP="00227991">
            <w:pPr>
              <w:snapToGrid w:val="0"/>
              <w:jc w:val="both"/>
              <w:rPr>
                <w:rFonts w:ascii="Verdana" w:hAnsi="Verdana" w:cs="Arial"/>
                <w:bCs/>
                <w:lang w:val="es-ES" w:eastAsia="es-ES"/>
              </w:rPr>
            </w:pPr>
            <w:r w:rsidRPr="002B4BE9">
              <w:rPr>
                <w:rFonts w:ascii="Verdana" w:hAnsi="Verdana" w:cs="Arial"/>
                <w:bCs/>
                <w:lang w:val="es-ES" w:eastAsia="es-ES"/>
              </w:rPr>
              <w:t xml:space="preserve">CONTRATO ESTATAL – Ejercicio – Funciones de control y vigilancia / CONTRATO ESTATAL – Supervisión – Interventoría – características / SUPERVISIÓN – Designación – Servidor Público – Lineamientos / SUPERVISIÓN – Conflictos de interés / SUPERVISIÓN – Rol – Estructurador – Procedencia – Limitaciones / SUPERVISIÓN – Controles - Transparencia. </w:t>
            </w:r>
          </w:p>
        </w:tc>
        <w:tc>
          <w:tcPr>
            <w:tcW w:w="6237" w:type="dxa"/>
          </w:tcPr>
          <w:p w14:paraId="3B8A3E70" w14:textId="77777777" w:rsidR="0045785F" w:rsidRPr="002B4BE9" w:rsidRDefault="0045785F" w:rsidP="00227991">
            <w:pPr>
              <w:rPr>
                <w:rFonts w:ascii="Verdana" w:hAnsi="Verdana"/>
                <w:lang w:val="es-ES"/>
              </w:rPr>
            </w:pPr>
          </w:p>
        </w:tc>
      </w:tr>
      <w:tr w:rsidR="0045785F" w:rsidRPr="002B4BE9" w14:paraId="149824FC" w14:textId="77777777" w:rsidTr="00227991">
        <w:tc>
          <w:tcPr>
            <w:tcW w:w="2685" w:type="dxa"/>
          </w:tcPr>
          <w:p w14:paraId="6BD459A0" w14:textId="77777777" w:rsidR="0045785F" w:rsidRPr="002B4BE9" w:rsidRDefault="0045785F" w:rsidP="00227991">
            <w:pPr>
              <w:rPr>
                <w:rFonts w:ascii="Verdana" w:hAnsi="Verdana"/>
                <w:b/>
                <w:bCs/>
                <w:lang w:val="es-ES_tradnl"/>
              </w:rPr>
            </w:pPr>
          </w:p>
          <w:p w14:paraId="4C7F5206" w14:textId="77777777" w:rsidR="0045785F" w:rsidRPr="002B4BE9" w:rsidRDefault="0045785F" w:rsidP="00227991">
            <w:pPr>
              <w:rPr>
                <w:rFonts w:ascii="Verdana" w:hAnsi="Verdana"/>
                <w:b/>
                <w:bCs/>
                <w:lang w:val="es-ES_tradnl"/>
              </w:rPr>
            </w:pPr>
          </w:p>
          <w:p w14:paraId="4B7A969B" w14:textId="77777777" w:rsidR="0045785F" w:rsidRPr="00995618" w:rsidRDefault="0045785F" w:rsidP="00227991">
            <w:pPr>
              <w:rPr>
                <w:rFonts w:ascii="Verdana" w:hAnsi="Verdana"/>
                <w:b/>
                <w:bCs/>
                <w:lang w:val="es-ES_tradnl"/>
              </w:rPr>
            </w:pPr>
            <w:r w:rsidRPr="002B4BE9">
              <w:rPr>
                <w:rFonts w:ascii="Verdana" w:hAnsi="Verdana"/>
                <w:b/>
                <w:bCs/>
                <w:lang w:val="es-ES_tradnl"/>
              </w:rPr>
              <w:t xml:space="preserve">Radicación:               </w:t>
            </w:r>
          </w:p>
        </w:tc>
        <w:tc>
          <w:tcPr>
            <w:tcW w:w="6241" w:type="dxa"/>
          </w:tcPr>
          <w:p w14:paraId="38F09DC3" w14:textId="77777777" w:rsidR="0045785F" w:rsidRPr="002B4BE9" w:rsidRDefault="0045785F" w:rsidP="00227991">
            <w:pPr>
              <w:jc w:val="both"/>
              <w:rPr>
                <w:rFonts w:ascii="Verdana" w:hAnsi="Verdana"/>
                <w:lang w:val="es-ES_tradnl"/>
              </w:rPr>
            </w:pPr>
          </w:p>
          <w:p w14:paraId="01E1196F" w14:textId="77777777" w:rsidR="0045785F" w:rsidRPr="002B4BE9" w:rsidRDefault="0045785F" w:rsidP="00227991">
            <w:pPr>
              <w:jc w:val="both"/>
              <w:rPr>
                <w:rFonts w:ascii="Verdana" w:hAnsi="Verdana"/>
                <w:lang w:val="es-ES_tradnl"/>
              </w:rPr>
            </w:pPr>
            <w:r w:rsidRPr="002B4BE9">
              <w:rPr>
                <w:rFonts w:ascii="Verdana" w:hAnsi="Verdana"/>
                <w:lang w:val="es-ES_tradnl"/>
              </w:rPr>
              <w:t xml:space="preserve">Respuesta a consulta con radicados </w:t>
            </w:r>
            <w:r w:rsidRPr="002B4BE9">
              <w:rPr>
                <w:rFonts w:ascii="Verdana" w:hAnsi="Verdana"/>
              </w:rPr>
              <w:t>1_2025_10_23_011890, 1_2025_10_24_011969, 1_2025_10_27_012020, 1_2025_10_28_012101, 1_2025_10_28_012120 y 1_2025_10_31_012335 (acumulados)</w:t>
            </w:r>
          </w:p>
          <w:p w14:paraId="339977C3" w14:textId="77777777" w:rsidR="0045785F" w:rsidRPr="002B4BE9" w:rsidRDefault="0045785F" w:rsidP="00227991">
            <w:pPr>
              <w:jc w:val="both"/>
              <w:rPr>
                <w:rFonts w:ascii="Verdana" w:hAnsi="Verdana"/>
              </w:rPr>
            </w:pPr>
          </w:p>
          <w:p w14:paraId="219455C7" w14:textId="77777777" w:rsidR="0045785F" w:rsidRPr="002B4BE9" w:rsidRDefault="0045785F" w:rsidP="00227991">
            <w:pPr>
              <w:jc w:val="both"/>
              <w:rPr>
                <w:rFonts w:ascii="Verdana" w:hAnsi="Verdana"/>
              </w:rPr>
            </w:pPr>
          </w:p>
        </w:tc>
        <w:tc>
          <w:tcPr>
            <w:tcW w:w="6237" w:type="dxa"/>
          </w:tcPr>
          <w:p w14:paraId="52AB66EB" w14:textId="77777777" w:rsidR="0045785F" w:rsidRPr="002B4BE9" w:rsidRDefault="0045785F" w:rsidP="00227991">
            <w:pPr>
              <w:rPr>
                <w:rFonts w:ascii="Verdana" w:hAnsi="Verdana"/>
              </w:rPr>
            </w:pPr>
          </w:p>
        </w:tc>
      </w:tr>
    </w:tbl>
    <w:p w14:paraId="2BCF8255" w14:textId="77777777" w:rsidR="0045785F" w:rsidRPr="009037F6" w:rsidRDefault="0045785F" w:rsidP="0045785F">
      <w:pPr>
        <w:spacing w:after="0" w:line="256" w:lineRule="auto"/>
        <w:rPr>
          <w:rFonts w:ascii="Verdana" w:eastAsia="Calibri" w:hAnsi="Verdana" w:cs="Times New Roman"/>
          <w:lang w:val="es-ES"/>
        </w:rPr>
      </w:pPr>
      <w:r>
        <w:rPr>
          <w:rFonts w:ascii="Verdana" w:eastAsia="Calibri" w:hAnsi="Verdana" w:cs="Times New Roman"/>
          <w:lang w:val="es-ES"/>
        </w:rPr>
        <w:t>Estimado Señor López</w:t>
      </w:r>
      <w:r w:rsidRPr="009037F6">
        <w:rPr>
          <w:rFonts w:ascii="Verdana" w:eastAsia="Calibri" w:hAnsi="Verdana" w:cs="Times New Roman"/>
          <w:lang w:val="es-ES"/>
        </w:rPr>
        <w:t xml:space="preserve">: </w:t>
      </w:r>
    </w:p>
    <w:p w14:paraId="52C7C5DA" w14:textId="77777777" w:rsidR="0045785F" w:rsidRPr="009037F6" w:rsidRDefault="0045785F" w:rsidP="0045785F">
      <w:pPr>
        <w:spacing w:after="0" w:line="276" w:lineRule="auto"/>
        <w:rPr>
          <w:rFonts w:ascii="Verdana" w:eastAsia="Calibri" w:hAnsi="Verdana" w:cs="Times New Roman"/>
          <w:lang w:val="es-ES"/>
        </w:rPr>
      </w:pPr>
    </w:p>
    <w:p w14:paraId="54FE2744" w14:textId="77777777" w:rsidR="0045785F" w:rsidRPr="009037F6" w:rsidRDefault="0045785F" w:rsidP="0045785F">
      <w:pPr>
        <w:spacing w:after="0" w:line="276" w:lineRule="auto"/>
        <w:jc w:val="both"/>
        <w:rPr>
          <w:rFonts w:ascii="Verdana" w:eastAsia="Calibri" w:hAnsi="Verdana" w:cs="Times New Roman"/>
          <w:bCs/>
          <w:lang w:val="es-ES" w:bidi="es-ES"/>
        </w:rPr>
      </w:pPr>
      <w:r w:rsidRPr="009037F6">
        <w:rPr>
          <w:rFonts w:ascii="Verdana" w:eastAsia="Calibri" w:hAnsi="Verdana" w:cs="Times New Roman"/>
          <w:bCs/>
          <w:lang w:bidi="es-ES"/>
        </w:rPr>
        <w:t xml:space="preserve">La Agencia Nacional de Contratación Pública – Colombia Compra Eficiente –, en ejercicio de las competencias otorgadas por los Decretos 4170 de 2011 y 1822 </w:t>
      </w:r>
      <w:r w:rsidRPr="009037F6">
        <w:rPr>
          <w:rFonts w:ascii="Verdana" w:eastAsia="Calibri" w:hAnsi="Verdana" w:cs="Times New Roman"/>
          <w:bCs/>
          <w:lang w:bidi="es-ES"/>
        </w:rPr>
        <w:lastRenderedPageBreak/>
        <w:t xml:space="preserve">de 2019 y de conformidad con las modalidades del derecho de petición contempladas en la Ley 1755 de 2015, así como lo establecido en la Resolución N° 469 del 2025 expedida por esta Agencia, </w:t>
      </w:r>
      <w:r w:rsidRPr="009037F6">
        <w:rPr>
          <w:rFonts w:ascii="Verdana" w:eastAsia="Calibri" w:hAnsi="Verdana" w:cs="Times New Roman"/>
          <w:bCs/>
          <w:lang w:val="es-ES" w:bidi="es-ES"/>
        </w:rPr>
        <w:t>respond</w:t>
      </w:r>
      <w:r>
        <w:rPr>
          <w:rFonts w:ascii="Verdana" w:eastAsia="Calibri" w:hAnsi="Verdana" w:cs="Times New Roman"/>
          <w:bCs/>
          <w:lang w:val="es-ES" w:bidi="es-ES"/>
        </w:rPr>
        <w:t>e las solicitudes de consulta de octubre 23, 24, 27, 28 y 31 de 2025</w:t>
      </w:r>
      <w:r w:rsidRPr="009037F6">
        <w:rPr>
          <w:rFonts w:ascii="Verdana" w:eastAsia="Calibri" w:hAnsi="Verdana" w:cs="Times New Roman"/>
          <w:bCs/>
          <w:lang w:val="es-ES" w:bidi="es-ES"/>
        </w:rPr>
        <w:t xml:space="preserve">, en la cual manifiesta: </w:t>
      </w:r>
    </w:p>
    <w:p w14:paraId="35354B33" w14:textId="77777777" w:rsidR="0045785F" w:rsidRPr="003C0ED7" w:rsidRDefault="0045785F" w:rsidP="0045785F">
      <w:pPr>
        <w:spacing w:after="0" w:line="276" w:lineRule="auto"/>
        <w:ind w:right="709"/>
        <w:jc w:val="both"/>
        <w:rPr>
          <w:rFonts w:ascii="Verdana" w:eastAsia="Calibri" w:hAnsi="Verdana" w:cs="Times New Roman"/>
          <w:bCs/>
          <w:sz w:val="20"/>
          <w:szCs w:val="20"/>
          <w:lang w:bidi="es-ES"/>
        </w:rPr>
      </w:pPr>
    </w:p>
    <w:p w14:paraId="5892A1CB" w14:textId="77777777" w:rsidR="0045785F" w:rsidRDefault="0045785F" w:rsidP="0045785F">
      <w:pPr>
        <w:spacing w:after="0" w:line="240" w:lineRule="auto"/>
        <w:ind w:left="709" w:right="709"/>
        <w:jc w:val="both"/>
        <w:rPr>
          <w:rFonts w:ascii="Verdana" w:eastAsia="Calibri" w:hAnsi="Verdana" w:cs="Times New Roman"/>
          <w:bCs/>
          <w:sz w:val="20"/>
          <w:szCs w:val="20"/>
          <w:lang w:bidi="es-ES"/>
        </w:rPr>
      </w:pPr>
      <w:r w:rsidRPr="00A53338">
        <w:rPr>
          <w:rFonts w:ascii="Verdana" w:eastAsia="Calibri" w:hAnsi="Verdana" w:cs="Times New Roman"/>
          <w:bCs/>
          <w:sz w:val="20"/>
          <w:szCs w:val="20"/>
          <w:lang w:bidi="es-ES"/>
        </w:rPr>
        <w:t>2. Problema jurídico a resolver</w:t>
      </w:r>
    </w:p>
    <w:p w14:paraId="0C55C06A" w14:textId="77777777" w:rsidR="0045785F" w:rsidRDefault="0045785F" w:rsidP="0045785F">
      <w:pPr>
        <w:spacing w:after="0" w:line="240" w:lineRule="auto"/>
        <w:ind w:left="709" w:right="709"/>
        <w:jc w:val="both"/>
        <w:rPr>
          <w:rFonts w:ascii="Verdana" w:eastAsia="Calibri" w:hAnsi="Verdana" w:cs="Times New Roman"/>
          <w:bCs/>
          <w:sz w:val="20"/>
          <w:szCs w:val="20"/>
          <w:lang w:bidi="es-ES"/>
        </w:rPr>
      </w:pPr>
      <w:r w:rsidRPr="00A53338">
        <w:rPr>
          <w:rFonts w:ascii="Verdana" w:eastAsia="Calibri" w:hAnsi="Verdana" w:cs="Times New Roman"/>
          <w:bCs/>
          <w:sz w:val="20"/>
          <w:szCs w:val="20"/>
          <w:lang w:bidi="es-ES"/>
        </w:rPr>
        <w:t>¿Es compa</w:t>
      </w:r>
      <w:r>
        <w:rPr>
          <w:rFonts w:ascii="Verdana" w:eastAsia="Verdana" w:hAnsi="Verdana" w:cs="Verdana"/>
          <w:bCs/>
          <w:sz w:val="20"/>
          <w:szCs w:val="20"/>
          <w:lang w:bidi="es-ES"/>
        </w:rPr>
        <w:t>ti</w:t>
      </w:r>
      <w:r w:rsidRPr="00A53338">
        <w:rPr>
          <w:rFonts w:ascii="Verdana" w:eastAsia="Calibri" w:hAnsi="Verdana" w:cs="Times New Roman"/>
          <w:bCs/>
          <w:sz w:val="20"/>
          <w:szCs w:val="20"/>
          <w:lang w:bidi="es-ES"/>
        </w:rPr>
        <w:t>ble, con la norma</w:t>
      </w:r>
      <w:r>
        <w:rPr>
          <w:rFonts w:ascii="Verdana" w:eastAsia="Verdana" w:hAnsi="Verdana" w:cs="Verdana"/>
          <w:bCs/>
          <w:sz w:val="20"/>
          <w:szCs w:val="20"/>
          <w:lang w:bidi="es-ES"/>
        </w:rPr>
        <w:t>ti</w:t>
      </w:r>
      <w:r w:rsidRPr="00A53338">
        <w:rPr>
          <w:rFonts w:ascii="Verdana" w:eastAsia="Calibri" w:hAnsi="Verdana" w:cs="Times New Roman"/>
          <w:bCs/>
          <w:sz w:val="20"/>
          <w:szCs w:val="20"/>
          <w:lang w:bidi="es-ES"/>
        </w:rPr>
        <w:t>vidad y el régimen general,</w:t>
      </w:r>
      <w:r>
        <w:rPr>
          <w:rFonts w:ascii="Verdana" w:eastAsia="Calibri" w:hAnsi="Verdana" w:cs="Times New Roman"/>
          <w:bCs/>
          <w:sz w:val="20"/>
          <w:szCs w:val="20"/>
          <w:lang w:bidi="es-ES"/>
        </w:rPr>
        <w:t xml:space="preserve"> </w:t>
      </w:r>
      <w:r w:rsidRPr="00A53338">
        <w:rPr>
          <w:rFonts w:ascii="Verdana" w:eastAsia="Calibri" w:hAnsi="Verdana" w:cs="Times New Roman"/>
          <w:bCs/>
          <w:sz w:val="20"/>
          <w:szCs w:val="20"/>
          <w:lang w:bidi="es-ES"/>
        </w:rPr>
        <w:t>que un servidor público que intervino en la</w:t>
      </w:r>
      <w:r>
        <w:rPr>
          <w:rFonts w:ascii="Verdana" w:eastAsia="Calibri" w:hAnsi="Verdana" w:cs="Times New Roman"/>
          <w:bCs/>
          <w:sz w:val="20"/>
          <w:szCs w:val="20"/>
          <w:lang w:bidi="es-ES"/>
        </w:rPr>
        <w:t xml:space="preserve"> </w:t>
      </w:r>
      <w:r w:rsidRPr="00A53338">
        <w:rPr>
          <w:rFonts w:ascii="Verdana" w:eastAsia="Calibri" w:hAnsi="Verdana" w:cs="Times New Roman"/>
          <w:bCs/>
          <w:sz w:val="20"/>
          <w:szCs w:val="20"/>
          <w:lang w:bidi="es-ES"/>
        </w:rPr>
        <w:t>estructuración de procesos de contratación pueda ser</w:t>
      </w:r>
      <w:r>
        <w:rPr>
          <w:rFonts w:ascii="Verdana" w:eastAsia="Calibri" w:hAnsi="Verdana" w:cs="Times New Roman"/>
          <w:bCs/>
          <w:sz w:val="20"/>
          <w:szCs w:val="20"/>
          <w:lang w:bidi="es-ES"/>
        </w:rPr>
        <w:t xml:space="preserve"> </w:t>
      </w:r>
      <w:r w:rsidRPr="00A53338">
        <w:rPr>
          <w:rFonts w:ascii="Verdana" w:eastAsia="Calibri" w:hAnsi="Verdana" w:cs="Times New Roman"/>
          <w:bCs/>
          <w:sz w:val="20"/>
          <w:szCs w:val="20"/>
          <w:lang w:bidi="es-ES"/>
        </w:rPr>
        <w:t>designado como supervisor(a) de los contratos</w:t>
      </w:r>
      <w:r>
        <w:rPr>
          <w:rFonts w:ascii="Verdana" w:eastAsia="Calibri" w:hAnsi="Verdana" w:cs="Times New Roman"/>
          <w:bCs/>
          <w:sz w:val="20"/>
          <w:szCs w:val="20"/>
          <w:lang w:bidi="es-ES"/>
        </w:rPr>
        <w:t xml:space="preserve"> </w:t>
      </w:r>
      <w:r w:rsidRPr="00A53338">
        <w:rPr>
          <w:rFonts w:ascii="Verdana" w:eastAsia="Calibri" w:hAnsi="Verdana" w:cs="Times New Roman"/>
          <w:bCs/>
          <w:sz w:val="20"/>
          <w:szCs w:val="20"/>
          <w:lang w:bidi="es-ES"/>
        </w:rPr>
        <w:t>resultantes?</w:t>
      </w:r>
    </w:p>
    <w:p w14:paraId="50C369EA" w14:textId="77777777" w:rsidR="0045785F" w:rsidRPr="00A53338" w:rsidRDefault="0045785F" w:rsidP="0045785F">
      <w:pPr>
        <w:spacing w:after="0" w:line="240" w:lineRule="auto"/>
        <w:ind w:left="709" w:right="709"/>
        <w:jc w:val="both"/>
        <w:rPr>
          <w:rFonts w:ascii="Verdana" w:eastAsia="Calibri" w:hAnsi="Verdana" w:cs="Times New Roman"/>
          <w:bCs/>
          <w:sz w:val="20"/>
          <w:szCs w:val="20"/>
          <w:lang w:bidi="es-ES"/>
        </w:rPr>
      </w:pPr>
      <w:r w:rsidRPr="00A53338">
        <w:rPr>
          <w:rFonts w:ascii="Verdana" w:eastAsia="Calibri" w:hAnsi="Verdana" w:cs="Times New Roman"/>
          <w:bCs/>
          <w:sz w:val="20"/>
          <w:szCs w:val="20"/>
          <w:lang w:bidi="es-ES"/>
        </w:rPr>
        <w:t>De ser viable, ¿Qué controles de independencia y de</w:t>
      </w:r>
      <w:r>
        <w:rPr>
          <w:rFonts w:ascii="Verdana" w:eastAsia="Calibri" w:hAnsi="Verdana" w:cs="Times New Roman"/>
          <w:bCs/>
          <w:sz w:val="20"/>
          <w:szCs w:val="20"/>
          <w:lang w:bidi="es-ES"/>
        </w:rPr>
        <w:t xml:space="preserve"> </w:t>
      </w:r>
      <w:r w:rsidRPr="00A53338">
        <w:rPr>
          <w:rFonts w:ascii="Verdana" w:eastAsia="Calibri" w:hAnsi="Verdana" w:cs="Times New Roman"/>
          <w:bCs/>
          <w:sz w:val="20"/>
          <w:szCs w:val="20"/>
          <w:lang w:bidi="es-ES"/>
        </w:rPr>
        <w:t>ges</w:t>
      </w:r>
      <w:r>
        <w:rPr>
          <w:rFonts w:ascii="Verdana" w:eastAsia="Verdana" w:hAnsi="Verdana" w:cs="Verdana"/>
          <w:bCs/>
          <w:sz w:val="20"/>
          <w:szCs w:val="20"/>
          <w:lang w:bidi="es-ES"/>
        </w:rPr>
        <w:t>ti</w:t>
      </w:r>
      <w:r w:rsidRPr="00A53338">
        <w:rPr>
          <w:rFonts w:ascii="Verdana" w:eastAsia="Calibri" w:hAnsi="Verdana" w:cs="Times New Roman"/>
          <w:bCs/>
          <w:sz w:val="20"/>
          <w:szCs w:val="20"/>
          <w:lang w:bidi="es-ES"/>
        </w:rPr>
        <w:t>ón de conflictos de interés deben implementarse?</w:t>
      </w:r>
    </w:p>
    <w:p w14:paraId="73C313D1" w14:textId="77777777" w:rsidR="0045785F" w:rsidRPr="00A53338" w:rsidRDefault="0045785F" w:rsidP="0045785F">
      <w:pPr>
        <w:spacing w:after="0" w:line="240" w:lineRule="auto"/>
        <w:ind w:left="709" w:right="709"/>
        <w:jc w:val="both"/>
        <w:rPr>
          <w:rFonts w:ascii="Verdana" w:eastAsia="Calibri" w:hAnsi="Verdana" w:cs="Times New Roman"/>
          <w:bCs/>
          <w:sz w:val="20"/>
          <w:szCs w:val="20"/>
          <w:lang w:bidi="es-ES"/>
        </w:rPr>
      </w:pPr>
      <w:r w:rsidRPr="00A53338">
        <w:rPr>
          <w:rFonts w:ascii="Verdana" w:eastAsia="Calibri" w:hAnsi="Verdana" w:cs="Times New Roman"/>
          <w:bCs/>
          <w:sz w:val="20"/>
          <w:szCs w:val="20"/>
          <w:lang w:bidi="es-ES"/>
        </w:rPr>
        <w:t>3. Otras preguntas:</w:t>
      </w:r>
    </w:p>
    <w:p w14:paraId="1DDC22A7" w14:textId="77777777" w:rsidR="0045785F" w:rsidRPr="00A53338" w:rsidRDefault="0045785F" w:rsidP="0045785F">
      <w:pPr>
        <w:spacing w:after="0" w:line="240" w:lineRule="auto"/>
        <w:ind w:left="709" w:right="709"/>
        <w:jc w:val="both"/>
        <w:rPr>
          <w:rFonts w:ascii="Verdana" w:eastAsia="Calibri" w:hAnsi="Verdana" w:cs="Times New Roman"/>
          <w:bCs/>
          <w:sz w:val="20"/>
          <w:szCs w:val="20"/>
          <w:lang w:bidi="es-ES"/>
        </w:rPr>
      </w:pPr>
      <w:r w:rsidRPr="00A53338">
        <w:rPr>
          <w:rFonts w:ascii="Verdana" w:eastAsia="Calibri" w:hAnsi="Verdana" w:cs="Times New Roman"/>
          <w:bCs/>
          <w:sz w:val="20"/>
          <w:szCs w:val="20"/>
          <w:lang w:bidi="es-ES"/>
        </w:rPr>
        <w:t>a) ¿Confirmar la viabilidad general de designar como</w:t>
      </w:r>
      <w:r>
        <w:rPr>
          <w:rFonts w:ascii="Verdana" w:eastAsia="Calibri" w:hAnsi="Verdana" w:cs="Times New Roman"/>
          <w:bCs/>
          <w:sz w:val="20"/>
          <w:szCs w:val="20"/>
          <w:lang w:bidi="es-ES"/>
        </w:rPr>
        <w:t xml:space="preserve"> </w:t>
      </w:r>
      <w:r w:rsidRPr="00A53338">
        <w:rPr>
          <w:rFonts w:ascii="Verdana" w:eastAsia="Calibri" w:hAnsi="Verdana" w:cs="Times New Roman"/>
          <w:bCs/>
          <w:sz w:val="20"/>
          <w:szCs w:val="20"/>
          <w:lang w:bidi="es-ES"/>
        </w:rPr>
        <w:t>supervisor(a) a un servidor que estructuró procesos de</w:t>
      </w:r>
      <w:r>
        <w:rPr>
          <w:rFonts w:ascii="Verdana" w:eastAsia="Calibri" w:hAnsi="Verdana" w:cs="Times New Roman"/>
          <w:bCs/>
          <w:sz w:val="20"/>
          <w:szCs w:val="20"/>
          <w:lang w:bidi="es-ES"/>
        </w:rPr>
        <w:t xml:space="preserve"> </w:t>
      </w:r>
      <w:r w:rsidRPr="00A53338">
        <w:rPr>
          <w:rFonts w:ascii="Verdana" w:eastAsia="Calibri" w:hAnsi="Verdana" w:cs="Times New Roman"/>
          <w:bCs/>
          <w:sz w:val="20"/>
          <w:szCs w:val="20"/>
          <w:lang w:bidi="es-ES"/>
        </w:rPr>
        <w:t>contratación, sin caso concreto?</w:t>
      </w:r>
    </w:p>
    <w:p w14:paraId="212A1F89" w14:textId="77777777" w:rsidR="0045785F" w:rsidRPr="00A53338" w:rsidRDefault="0045785F" w:rsidP="0045785F">
      <w:pPr>
        <w:spacing w:after="0" w:line="240" w:lineRule="auto"/>
        <w:ind w:left="709" w:right="709"/>
        <w:jc w:val="both"/>
        <w:rPr>
          <w:rFonts w:ascii="Verdana" w:eastAsia="Calibri" w:hAnsi="Verdana" w:cs="Times New Roman"/>
          <w:bCs/>
          <w:sz w:val="20"/>
          <w:szCs w:val="20"/>
          <w:lang w:bidi="es-ES"/>
        </w:rPr>
      </w:pPr>
      <w:r w:rsidRPr="00A53338">
        <w:rPr>
          <w:rFonts w:ascii="Verdana" w:eastAsia="Calibri" w:hAnsi="Verdana" w:cs="Times New Roman"/>
          <w:bCs/>
          <w:sz w:val="20"/>
          <w:szCs w:val="20"/>
          <w:lang w:bidi="es-ES"/>
        </w:rPr>
        <w:t>b) ¿Qué controles de independencia recomienda</w:t>
      </w:r>
      <w:r>
        <w:rPr>
          <w:rFonts w:ascii="Verdana" w:eastAsia="Calibri" w:hAnsi="Verdana" w:cs="Times New Roman"/>
          <w:bCs/>
          <w:sz w:val="20"/>
          <w:szCs w:val="20"/>
          <w:lang w:bidi="es-ES"/>
        </w:rPr>
        <w:t xml:space="preserve"> </w:t>
      </w:r>
      <w:r w:rsidRPr="00A53338">
        <w:rPr>
          <w:rFonts w:ascii="Verdana" w:eastAsia="Calibri" w:hAnsi="Verdana" w:cs="Times New Roman"/>
          <w:bCs/>
          <w:sz w:val="20"/>
          <w:szCs w:val="20"/>
          <w:lang w:bidi="es-ES"/>
        </w:rPr>
        <w:t>ins</w:t>
      </w:r>
      <w:r>
        <w:rPr>
          <w:rFonts w:ascii="Verdana" w:eastAsia="Verdana" w:hAnsi="Verdana" w:cs="Verdana"/>
          <w:bCs/>
          <w:sz w:val="20"/>
          <w:szCs w:val="20"/>
          <w:lang w:bidi="es-ES"/>
        </w:rPr>
        <w:t>ti</w:t>
      </w:r>
      <w:r w:rsidRPr="00A53338">
        <w:rPr>
          <w:rFonts w:ascii="Verdana" w:eastAsia="Calibri" w:hAnsi="Verdana" w:cs="Times New Roman"/>
          <w:bCs/>
          <w:sz w:val="20"/>
          <w:szCs w:val="20"/>
          <w:lang w:bidi="es-ES"/>
        </w:rPr>
        <w:t>tucionalizar para</w:t>
      </w:r>
      <w:r>
        <w:rPr>
          <w:rFonts w:ascii="Verdana" w:eastAsia="Calibri" w:hAnsi="Verdana" w:cs="Times New Roman"/>
          <w:bCs/>
          <w:sz w:val="20"/>
          <w:szCs w:val="20"/>
          <w:lang w:bidi="es-ES"/>
        </w:rPr>
        <w:t xml:space="preserve"> </w:t>
      </w:r>
      <w:r w:rsidRPr="00A53338">
        <w:rPr>
          <w:rFonts w:ascii="Verdana" w:eastAsia="Calibri" w:hAnsi="Verdana" w:cs="Times New Roman"/>
          <w:bCs/>
          <w:sz w:val="20"/>
          <w:szCs w:val="20"/>
          <w:lang w:bidi="es-ES"/>
        </w:rPr>
        <w:t>estos eventos (p. ej., revisión por</w:t>
      </w:r>
      <w:r>
        <w:rPr>
          <w:rFonts w:ascii="Verdana" w:eastAsia="Calibri" w:hAnsi="Verdana" w:cs="Times New Roman"/>
          <w:bCs/>
          <w:sz w:val="20"/>
          <w:szCs w:val="20"/>
          <w:lang w:bidi="es-ES"/>
        </w:rPr>
        <w:t xml:space="preserve"> </w:t>
      </w:r>
      <w:r w:rsidRPr="00A53338">
        <w:rPr>
          <w:rFonts w:ascii="Verdana" w:eastAsia="Calibri" w:hAnsi="Verdana" w:cs="Times New Roman"/>
          <w:bCs/>
          <w:sz w:val="20"/>
          <w:szCs w:val="20"/>
          <w:lang w:bidi="es-ES"/>
        </w:rPr>
        <w:t>par/</w:t>
      </w:r>
      <w:proofErr w:type="spellStart"/>
      <w:r w:rsidRPr="00A53338">
        <w:rPr>
          <w:rFonts w:ascii="Verdana" w:eastAsia="Calibri" w:hAnsi="Verdana" w:cs="Times New Roman"/>
          <w:bCs/>
          <w:sz w:val="20"/>
          <w:szCs w:val="20"/>
          <w:lang w:bidi="es-ES"/>
        </w:rPr>
        <w:t>co</w:t>
      </w:r>
      <w:proofErr w:type="spellEnd"/>
      <w:r w:rsidRPr="00A53338">
        <w:rPr>
          <w:rFonts w:ascii="Verdana" w:eastAsia="Calibri" w:hAnsi="Verdana" w:cs="Times New Roman"/>
          <w:bCs/>
          <w:sz w:val="20"/>
          <w:szCs w:val="20"/>
          <w:lang w:bidi="es-ES"/>
        </w:rPr>
        <w:t>-supervisión del área usuaria, plan de supervisión,</w:t>
      </w:r>
      <w:r>
        <w:rPr>
          <w:rFonts w:ascii="Verdana" w:eastAsia="Calibri" w:hAnsi="Verdana" w:cs="Times New Roman"/>
          <w:bCs/>
          <w:sz w:val="20"/>
          <w:szCs w:val="20"/>
          <w:lang w:bidi="es-ES"/>
        </w:rPr>
        <w:t xml:space="preserve"> </w:t>
      </w:r>
      <w:r w:rsidRPr="00A53338">
        <w:rPr>
          <w:rFonts w:ascii="Verdana" w:eastAsia="Calibri" w:hAnsi="Verdana" w:cs="Times New Roman"/>
          <w:bCs/>
          <w:sz w:val="20"/>
          <w:szCs w:val="20"/>
          <w:lang w:bidi="es-ES"/>
        </w:rPr>
        <w:t>matriz de riesgos, periodicidad y contenido mínimo de</w:t>
      </w:r>
      <w:r>
        <w:rPr>
          <w:rFonts w:ascii="Verdana" w:eastAsia="Calibri" w:hAnsi="Verdana" w:cs="Times New Roman"/>
          <w:bCs/>
          <w:sz w:val="20"/>
          <w:szCs w:val="20"/>
          <w:lang w:bidi="es-ES"/>
        </w:rPr>
        <w:t xml:space="preserve"> </w:t>
      </w:r>
      <w:r w:rsidRPr="00A53338">
        <w:rPr>
          <w:rFonts w:ascii="Verdana" w:eastAsia="Calibri" w:hAnsi="Verdana" w:cs="Times New Roman"/>
          <w:bCs/>
          <w:sz w:val="20"/>
          <w:szCs w:val="20"/>
          <w:lang w:bidi="es-ES"/>
        </w:rPr>
        <w:t>informes, publicación en SECOP)?</w:t>
      </w:r>
    </w:p>
    <w:p w14:paraId="68088D74" w14:textId="77777777" w:rsidR="0045785F" w:rsidRPr="00A53338" w:rsidRDefault="0045785F" w:rsidP="0045785F">
      <w:pPr>
        <w:spacing w:after="0" w:line="240" w:lineRule="auto"/>
        <w:ind w:left="709" w:right="709"/>
        <w:jc w:val="both"/>
        <w:rPr>
          <w:rFonts w:ascii="Verdana" w:eastAsia="Calibri" w:hAnsi="Verdana" w:cs="Times New Roman"/>
          <w:bCs/>
          <w:sz w:val="20"/>
          <w:szCs w:val="20"/>
          <w:lang w:bidi="es-ES"/>
        </w:rPr>
      </w:pPr>
      <w:r w:rsidRPr="00A53338">
        <w:rPr>
          <w:rFonts w:ascii="Verdana" w:eastAsia="Calibri" w:hAnsi="Verdana" w:cs="Times New Roman"/>
          <w:bCs/>
          <w:sz w:val="20"/>
          <w:szCs w:val="20"/>
          <w:lang w:bidi="es-ES"/>
        </w:rPr>
        <w:t>c) ¿Qué situaciones obje</w:t>
      </w:r>
      <w:r>
        <w:rPr>
          <w:rFonts w:ascii="Verdana" w:eastAsia="Verdana" w:hAnsi="Verdana" w:cs="Verdana"/>
          <w:bCs/>
          <w:sz w:val="20"/>
          <w:szCs w:val="20"/>
          <w:lang w:bidi="es-ES"/>
        </w:rPr>
        <w:t>ti</w:t>
      </w:r>
      <w:r w:rsidRPr="00A53338">
        <w:rPr>
          <w:rFonts w:ascii="Verdana" w:eastAsia="Calibri" w:hAnsi="Verdana" w:cs="Times New Roman"/>
          <w:bCs/>
          <w:sz w:val="20"/>
          <w:szCs w:val="20"/>
          <w:lang w:bidi="es-ES"/>
        </w:rPr>
        <w:t>vas ac</w:t>
      </w:r>
      <w:r>
        <w:rPr>
          <w:rFonts w:ascii="Verdana" w:eastAsia="Verdana" w:hAnsi="Verdana" w:cs="Verdana"/>
          <w:bCs/>
          <w:sz w:val="20"/>
          <w:szCs w:val="20"/>
          <w:lang w:bidi="es-ES"/>
        </w:rPr>
        <w:t>ti</w:t>
      </w:r>
      <w:r w:rsidRPr="00A53338">
        <w:rPr>
          <w:rFonts w:ascii="Verdana" w:eastAsia="Calibri" w:hAnsi="Verdana" w:cs="Times New Roman"/>
          <w:bCs/>
          <w:sz w:val="20"/>
          <w:szCs w:val="20"/>
          <w:lang w:bidi="es-ES"/>
        </w:rPr>
        <w:t>varían impedimento o</w:t>
      </w:r>
      <w:r>
        <w:rPr>
          <w:rFonts w:ascii="Verdana" w:eastAsia="Calibri" w:hAnsi="Verdana" w:cs="Times New Roman"/>
          <w:bCs/>
          <w:sz w:val="20"/>
          <w:szCs w:val="20"/>
          <w:lang w:bidi="es-ES"/>
        </w:rPr>
        <w:t xml:space="preserve"> </w:t>
      </w:r>
      <w:r w:rsidRPr="00A53338">
        <w:rPr>
          <w:rFonts w:ascii="Verdana" w:eastAsia="Calibri" w:hAnsi="Verdana" w:cs="Times New Roman"/>
          <w:bCs/>
          <w:sz w:val="20"/>
          <w:szCs w:val="20"/>
          <w:lang w:bidi="es-ES"/>
        </w:rPr>
        <w:t>conflicto de intereses en estos casos y cuál es el</w:t>
      </w:r>
      <w:r>
        <w:rPr>
          <w:rFonts w:ascii="Verdana" w:eastAsia="Calibri" w:hAnsi="Verdana" w:cs="Times New Roman"/>
          <w:bCs/>
          <w:sz w:val="20"/>
          <w:szCs w:val="20"/>
          <w:lang w:bidi="es-ES"/>
        </w:rPr>
        <w:t xml:space="preserve"> </w:t>
      </w:r>
      <w:r w:rsidRPr="00A53338">
        <w:rPr>
          <w:rFonts w:ascii="Verdana" w:eastAsia="Calibri" w:hAnsi="Verdana" w:cs="Times New Roman"/>
          <w:bCs/>
          <w:sz w:val="20"/>
          <w:szCs w:val="20"/>
          <w:lang w:bidi="es-ES"/>
        </w:rPr>
        <w:t>procedimiento aplicable (declaración y abstención)?</w:t>
      </w:r>
    </w:p>
    <w:p w14:paraId="2B278E4F" w14:textId="77777777" w:rsidR="0045785F" w:rsidRPr="003C0ED7" w:rsidRDefault="0045785F" w:rsidP="0045785F">
      <w:pPr>
        <w:spacing w:after="0" w:line="240" w:lineRule="auto"/>
        <w:ind w:left="709" w:right="709"/>
        <w:jc w:val="both"/>
        <w:rPr>
          <w:rFonts w:ascii="Verdana" w:eastAsia="Calibri" w:hAnsi="Verdana" w:cs="Times New Roman"/>
          <w:bCs/>
          <w:sz w:val="20"/>
          <w:szCs w:val="20"/>
          <w:lang w:bidi="es-ES"/>
        </w:rPr>
      </w:pPr>
      <w:r w:rsidRPr="00A53338">
        <w:rPr>
          <w:rFonts w:ascii="Verdana" w:eastAsia="Calibri" w:hAnsi="Verdana" w:cs="Times New Roman"/>
          <w:bCs/>
          <w:sz w:val="20"/>
          <w:szCs w:val="20"/>
          <w:lang w:bidi="es-ES"/>
        </w:rPr>
        <w:t>d) ¿Se aconseja, como regla de polí</w:t>
      </w:r>
      <w:r>
        <w:rPr>
          <w:rFonts w:ascii="Verdana" w:eastAsia="Verdana" w:hAnsi="Verdana" w:cs="Verdana"/>
          <w:bCs/>
          <w:sz w:val="20"/>
          <w:szCs w:val="20"/>
          <w:lang w:bidi="es-ES"/>
        </w:rPr>
        <w:t>ti</w:t>
      </w:r>
      <w:r w:rsidRPr="00A53338">
        <w:rPr>
          <w:rFonts w:ascii="Verdana" w:eastAsia="Calibri" w:hAnsi="Verdana" w:cs="Times New Roman"/>
          <w:bCs/>
          <w:sz w:val="20"/>
          <w:szCs w:val="20"/>
          <w:lang w:bidi="es-ES"/>
        </w:rPr>
        <w:t>ca interna, que la</w:t>
      </w:r>
      <w:r>
        <w:rPr>
          <w:rFonts w:ascii="Verdana" w:eastAsia="Calibri" w:hAnsi="Verdana" w:cs="Times New Roman"/>
          <w:bCs/>
          <w:sz w:val="20"/>
          <w:szCs w:val="20"/>
          <w:lang w:bidi="es-ES"/>
        </w:rPr>
        <w:t xml:space="preserve"> </w:t>
      </w:r>
      <w:r w:rsidRPr="00A53338">
        <w:rPr>
          <w:rFonts w:ascii="Verdana" w:eastAsia="Calibri" w:hAnsi="Verdana" w:cs="Times New Roman"/>
          <w:bCs/>
          <w:sz w:val="20"/>
          <w:szCs w:val="20"/>
          <w:lang w:bidi="es-ES"/>
        </w:rPr>
        <w:t>supervisión recaiga preferentemente en el área</w:t>
      </w:r>
      <w:r>
        <w:rPr>
          <w:rFonts w:ascii="Verdana" w:eastAsia="Calibri" w:hAnsi="Verdana" w:cs="Times New Roman"/>
          <w:bCs/>
          <w:sz w:val="20"/>
          <w:szCs w:val="20"/>
          <w:lang w:bidi="es-ES"/>
        </w:rPr>
        <w:t xml:space="preserve"> </w:t>
      </w:r>
      <w:r w:rsidRPr="00A53338">
        <w:rPr>
          <w:rFonts w:ascii="Verdana" w:eastAsia="Calibri" w:hAnsi="Verdana" w:cs="Times New Roman"/>
          <w:bCs/>
          <w:sz w:val="20"/>
          <w:szCs w:val="20"/>
          <w:lang w:bidi="es-ES"/>
        </w:rPr>
        <w:t>usuaria/técnica, dejando a contratación en rol de apoyo?</w:t>
      </w:r>
      <w:r w:rsidRPr="003C0ED7">
        <w:rPr>
          <w:rFonts w:ascii="Verdana" w:eastAsia="Calibri" w:hAnsi="Verdana" w:cs="Times New Roman"/>
          <w:bCs/>
          <w:sz w:val="20"/>
          <w:szCs w:val="20"/>
          <w:lang w:bidi="es-ES"/>
        </w:rPr>
        <w:t xml:space="preserve"> </w:t>
      </w:r>
    </w:p>
    <w:p w14:paraId="278B2725" w14:textId="77777777" w:rsidR="0045785F" w:rsidRPr="00E27341" w:rsidRDefault="0045785F" w:rsidP="0045785F">
      <w:pPr>
        <w:spacing w:after="0" w:line="240" w:lineRule="auto"/>
        <w:ind w:right="709"/>
        <w:jc w:val="both"/>
        <w:rPr>
          <w:rFonts w:ascii="Verdana" w:eastAsia="Calibri" w:hAnsi="Verdana" w:cs="Times New Roman"/>
          <w:bCs/>
          <w:sz w:val="21"/>
          <w:szCs w:val="21"/>
          <w:lang w:bidi="es-ES"/>
        </w:rPr>
      </w:pPr>
    </w:p>
    <w:p w14:paraId="206983FF" w14:textId="77777777" w:rsidR="0045785F" w:rsidRPr="009037F6" w:rsidRDefault="0045785F" w:rsidP="0045785F">
      <w:pPr>
        <w:spacing w:after="120" w:line="276" w:lineRule="auto"/>
        <w:ind w:firstLine="709"/>
        <w:jc w:val="both"/>
        <w:rPr>
          <w:rFonts w:ascii="Verdana" w:eastAsia="Calibri" w:hAnsi="Verdana" w:cs="Times New Roman"/>
          <w:lang w:val="es-ES"/>
        </w:rPr>
      </w:pPr>
      <w:r w:rsidRPr="009037F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0AF9810B" w14:textId="77777777" w:rsidR="0045785F" w:rsidRPr="009037F6" w:rsidRDefault="0045785F" w:rsidP="0045785F">
      <w:pPr>
        <w:spacing w:after="0" w:line="276" w:lineRule="auto"/>
        <w:ind w:firstLine="708"/>
        <w:jc w:val="both"/>
        <w:rPr>
          <w:rFonts w:ascii="Verdana" w:eastAsia="Calibri" w:hAnsi="Verdana" w:cs="Times New Roman"/>
          <w:lang w:val="es-ES"/>
        </w:rPr>
      </w:pPr>
      <w:r w:rsidRPr="009037F6">
        <w:rPr>
          <w:rFonts w:ascii="Verdana" w:eastAsia="Calibri" w:hAnsi="Verdana" w:cs="Times New Roman"/>
          <w:lang w:val="es-ES"/>
        </w:rPr>
        <w:lastRenderedPageBreak/>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los problemas jurídicos de su consulta. </w:t>
      </w:r>
    </w:p>
    <w:p w14:paraId="20D82757" w14:textId="77777777" w:rsidR="0045785F" w:rsidRPr="009037F6" w:rsidRDefault="0045785F" w:rsidP="0045785F">
      <w:pPr>
        <w:spacing w:after="0" w:line="276" w:lineRule="auto"/>
        <w:rPr>
          <w:rFonts w:ascii="Verdana" w:eastAsia="Calibri" w:hAnsi="Verdana" w:cs="Times New Roman"/>
          <w:lang w:val="es-ES"/>
        </w:rPr>
      </w:pPr>
    </w:p>
    <w:p w14:paraId="1F69EBC1" w14:textId="77777777" w:rsidR="0045785F" w:rsidRPr="009037F6" w:rsidRDefault="0045785F" w:rsidP="0045785F">
      <w:pPr>
        <w:numPr>
          <w:ilvl w:val="0"/>
          <w:numId w:val="16"/>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Problema planteado:</w:t>
      </w:r>
    </w:p>
    <w:p w14:paraId="3D8618F7" w14:textId="77777777" w:rsidR="0045785F" w:rsidRPr="009037F6" w:rsidRDefault="0045785F" w:rsidP="0045785F">
      <w:pPr>
        <w:spacing w:after="0" w:line="276" w:lineRule="auto"/>
        <w:rPr>
          <w:rFonts w:ascii="Verdana" w:eastAsia="Calibri" w:hAnsi="Verdana" w:cs="Times New Roman"/>
        </w:rPr>
      </w:pPr>
    </w:p>
    <w:p w14:paraId="5C788B01" w14:textId="77777777" w:rsidR="0045785F" w:rsidRPr="00D1210B" w:rsidRDefault="0045785F" w:rsidP="0045785F">
      <w:pPr>
        <w:spacing w:after="0" w:line="276" w:lineRule="auto"/>
        <w:jc w:val="both"/>
        <w:rPr>
          <w:rFonts w:ascii="Verdana" w:eastAsia="Calibri" w:hAnsi="Verdana" w:cs="Times New Roman"/>
        </w:rPr>
      </w:pPr>
      <w:r w:rsidRPr="009037F6">
        <w:rPr>
          <w:rFonts w:ascii="Verdana" w:eastAsia="Calibri" w:hAnsi="Verdana" w:cs="Times New Roman"/>
        </w:rPr>
        <w:t>De acuerdo con</w:t>
      </w:r>
      <w:r>
        <w:rPr>
          <w:rFonts w:ascii="Verdana" w:eastAsia="Calibri" w:hAnsi="Verdana" w:cs="Times New Roman"/>
        </w:rPr>
        <w:t xml:space="preserve"> el contenido de sus solicitudes, la Agencia procede a resolver los siguientes problemas jurídicos: i) ¿</w:t>
      </w:r>
      <w:r w:rsidRPr="00D1210B">
        <w:rPr>
          <w:rFonts w:ascii="Verdana" w:eastAsia="Calibri" w:hAnsi="Verdana" w:cs="Times New Roman"/>
        </w:rPr>
        <w:t xml:space="preserve">Es </w:t>
      </w:r>
      <w:r>
        <w:rPr>
          <w:rFonts w:ascii="Verdana" w:eastAsia="Calibri" w:hAnsi="Verdana" w:cs="Times New Roman"/>
        </w:rPr>
        <w:t xml:space="preserve">procedente </w:t>
      </w:r>
      <w:r w:rsidRPr="00D1210B">
        <w:rPr>
          <w:rFonts w:ascii="Verdana" w:eastAsia="Calibri" w:hAnsi="Verdana" w:cs="Times New Roman"/>
        </w:rPr>
        <w:t>que un servidor que participó en la estructuración de un proceso contractual sea designado como supervisor(a) de los contratos derivados?</w:t>
      </w:r>
      <w:r>
        <w:rPr>
          <w:rFonts w:ascii="Verdana" w:eastAsia="Calibri" w:hAnsi="Verdana" w:cs="Times New Roman"/>
        </w:rPr>
        <w:t>; ii) ¿Qu</w:t>
      </w:r>
      <w:r w:rsidRPr="00D1210B">
        <w:rPr>
          <w:rFonts w:ascii="Verdana" w:eastAsia="Calibri" w:hAnsi="Verdana" w:cs="Times New Roman"/>
        </w:rPr>
        <w:t>é controles de independencia y de gestión de conflictos de interés deben implementarse para garantizar transparencia y objetividad en la supervisión?</w:t>
      </w:r>
    </w:p>
    <w:p w14:paraId="177985F3" w14:textId="77777777" w:rsidR="0045785F" w:rsidRPr="009037F6" w:rsidRDefault="0045785F" w:rsidP="0045785F">
      <w:pPr>
        <w:spacing w:after="0" w:line="276" w:lineRule="auto"/>
        <w:jc w:val="both"/>
        <w:rPr>
          <w:rFonts w:ascii="Verdana" w:eastAsia="Calibri" w:hAnsi="Verdana" w:cs="Times New Roman"/>
          <w:i/>
          <w:iCs/>
          <w:lang w:val="es-ES"/>
        </w:rPr>
      </w:pPr>
    </w:p>
    <w:p w14:paraId="2C1473ED" w14:textId="77777777" w:rsidR="0045785F" w:rsidRPr="009037F6" w:rsidRDefault="0045785F" w:rsidP="0045785F">
      <w:pPr>
        <w:numPr>
          <w:ilvl w:val="0"/>
          <w:numId w:val="16"/>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Respuesta:</w:t>
      </w:r>
    </w:p>
    <w:p w14:paraId="27B00ADD" w14:textId="77777777" w:rsidR="0045785F" w:rsidRPr="009037F6" w:rsidRDefault="0045785F" w:rsidP="0045785F">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45785F" w:rsidRPr="009037F6" w14:paraId="5AAC5D69" w14:textId="77777777" w:rsidTr="00227991">
        <w:trPr>
          <w:trHeight w:val="345"/>
          <w:jc w:val="center"/>
        </w:trPr>
        <w:tc>
          <w:tcPr>
            <w:tcW w:w="8784" w:type="dxa"/>
            <w:tcBorders>
              <w:bottom w:val="single" w:sz="4" w:space="0" w:color="auto"/>
            </w:tcBorders>
          </w:tcPr>
          <w:p w14:paraId="279D89DE" w14:textId="77777777" w:rsidR="0045785F" w:rsidRDefault="0045785F" w:rsidP="00227991">
            <w:pPr>
              <w:spacing w:line="276" w:lineRule="auto"/>
              <w:jc w:val="both"/>
              <w:rPr>
                <w:rFonts w:ascii="Verdana" w:eastAsia="Calibri" w:hAnsi="Verdana" w:cs="Arial"/>
                <w:color w:val="000000" w:themeColor="text1"/>
              </w:rPr>
            </w:pPr>
            <w:r>
              <w:rPr>
                <w:rFonts w:ascii="Verdana" w:eastAsia="Calibri" w:hAnsi="Verdana" w:cs="Arial"/>
                <w:color w:val="000000" w:themeColor="text1"/>
              </w:rPr>
              <w:t>Para resolver los problemas jurídicos, objeto de consulta, se señala:</w:t>
            </w:r>
          </w:p>
          <w:p w14:paraId="61BECB5C" w14:textId="77777777" w:rsidR="0045785F" w:rsidRDefault="0045785F" w:rsidP="00227991">
            <w:pPr>
              <w:spacing w:line="276" w:lineRule="auto"/>
              <w:jc w:val="both"/>
              <w:rPr>
                <w:rFonts w:ascii="Verdana" w:eastAsia="Calibri" w:hAnsi="Verdana" w:cs="Arial"/>
                <w:color w:val="000000" w:themeColor="text1"/>
              </w:rPr>
            </w:pPr>
          </w:p>
          <w:p w14:paraId="6F8C6DB9" w14:textId="77777777" w:rsidR="0045785F" w:rsidRDefault="0045785F" w:rsidP="00227991">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rPr>
              <w:t xml:space="preserve">i. En torno a la participación de un servidor público </w:t>
            </w:r>
            <w:r w:rsidRPr="00963E12">
              <w:rPr>
                <w:rFonts w:ascii="Verdana" w:eastAsia="Calibri" w:hAnsi="Verdana" w:cs="Arial"/>
                <w:color w:val="000000" w:themeColor="text1"/>
                <w:lang w:val="es-ES"/>
              </w:rPr>
              <w:t xml:space="preserve">en la estructuración de un proceso contractual no lo inhabilita para ejercer la supervisión de los contratos </w:t>
            </w:r>
            <w:r>
              <w:rPr>
                <w:rFonts w:ascii="Verdana" w:eastAsia="Calibri" w:hAnsi="Verdana" w:cs="Arial"/>
                <w:color w:val="000000" w:themeColor="text1"/>
                <w:lang w:val="es-ES"/>
              </w:rPr>
              <w:t>estatales</w:t>
            </w:r>
            <w:r w:rsidRPr="00963E12">
              <w:rPr>
                <w:rFonts w:ascii="Verdana" w:eastAsia="Calibri" w:hAnsi="Verdana" w:cs="Arial"/>
                <w:color w:val="000000" w:themeColor="text1"/>
                <w:lang w:val="es-ES"/>
              </w:rPr>
              <w:t>. La</w:t>
            </w:r>
            <w:r>
              <w:rPr>
                <w:rFonts w:ascii="Verdana" w:eastAsia="Calibri" w:hAnsi="Verdana" w:cs="Arial"/>
                <w:color w:val="000000" w:themeColor="text1"/>
                <w:lang w:val="es-ES"/>
              </w:rPr>
              <w:t xml:space="preserve">s reglas del Sistema de Compras Públicas permiten </w:t>
            </w:r>
            <w:r w:rsidRPr="00963E12">
              <w:rPr>
                <w:rFonts w:ascii="Verdana" w:eastAsia="Calibri" w:hAnsi="Verdana" w:cs="Arial"/>
                <w:color w:val="000000" w:themeColor="text1"/>
                <w:lang w:val="es-ES"/>
              </w:rPr>
              <w:t>que funcionarios de la misma entidad</w:t>
            </w:r>
            <w:r>
              <w:rPr>
                <w:rFonts w:ascii="Verdana" w:eastAsia="Calibri" w:hAnsi="Verdana" w:cs="Arial"/>
                <w:color w:val="000000" w:themeColor="text1"/>
                <w:lang w:val="es-ES"/>
              </w:rPr>
              <w:t>, que participaron de la estructuración del proceso de contratación,</w:t>
            </w:r>
            <w:r w:rsidRPr="00963E12">
              <w:rPr>
                <w:rFonts w:ascii="Verdana" w:eastAsia="Calibri" w:hAnsi="Verdana" w:cs="Arial"/>
                <w:color w:val="000000" w:themeColor="text1"/>
                <w:lang w:val="es-ES"/>
              </w:rPr>
              <w:t xml:space="preserve"> asuman esta función, siempre que no exista un beneficio personal o familiar y que se respeten las reglas de inhabilidades e incompatibilidades</w:t>
            </w:r>
            <w:r>
              <w:rPr>
                <w:rFonts w:ascii="Verdana" w:eastAsia="Calibri" w:hAnsi="Verdana" w:cs="Arial"/>
                <w:color w:val="000000" w:themeColor="text1"/>
                <w:lang w:val="es-ES"/>
              </w:rPr>
              <w:t xml:space="preserve">, así como los conflictos de interés. </w:t>
            </w:r>
          </w:p>
          <w:p w14:paraId="795A4239" w14:textId="77777777" w:rsidR="0045785F" w:rsidRPr="00D85F06" w:rsidRDefault="0045785F" w:rsidP="00227991">
            <w:pPr>
              <w:spacing w:after="120" w:line="276" w:lineRule="auto"/>
              <w:ind w:firstLine="708"/>
              <w:jc w:val="both"/>
              <w:rPr>
                <w:rFonts w:ascii="Verdana" w:eastAsia="Calibri" w:hAnsi="Verdana" w:cs="Arial"/>
                <w:color w:val="000000" w:themeColor="text1"/>
                <w:lang w:val="es-ES"/>
              </w:rPr>
            </w:pPr>
            <w:r>
              <w:rPr>
                <w:rFonts w:ascii="Verdana" w:eastAsia="Calibri" w:hAnsi="Verdana" w:cs="Arial"/>
                <w:bCs/>
                <w:color w:val="000000" w:themeColor="text1"/>
                <w:lang w:val="es-ES"/>
              </w:rPr>
              <w:t xml:space="preserve">En el escenario de la supervisión no existe esta limitación respecto a los servidores que participan en la estructuración del proceso de contratación, pero debe actuar conforme a las reglas de la moralidad administrativa. </w:t>
            </w:r>
            <w:r w:rsidRPr="00617E91">
              <w:rPr>
                <w:rFonts w:ascii="Verdana" w:eastAsia="Calibri" w:hAnsi="Verdana" w:cs="Arial"/>
                <w:lang w:val="es-ES"/>
              </w:rPr>
              <w:t xml:space="preserve">En esta línea, 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w:t>
            </w:r>
            <w:r w:rsidRPr="00617E91">
              <w:rPr>
                <w:rFonts w:ascii="Verdana" w:eastAsia="Calibri" w:hAnsi="Verdana" w:cs="Arial"/>
                <w:lang w:val="es-ES"/>
              </w:rPr>
              <w:lastRenderedPageBreak/>
              <w:t xml:space="preserve">1437 de 2011–. En desarrollo de esta directriz, el régimen de los </w:t>
            </w:r>
            <w:r w:rsidRPr="00617E91">
              <w:rPr>
                <w:rFonts w:ascii="Verdana" w:eastAsia="Calibri" w:hAnsi="Verdana" w:cs="Arial"/>
                <w:i/>
                <w:iCs/>
                <w:lang w:val="es-ES"/>
              </w:rPr>
              <w:t>conflictos de interés</w:t>
            </w:r>
            <w:r w:rsidRPr="00617E91">
              <w:rPr>
                <w:rFonts w:ascii="Verdana" w:eastAsia="Calibri" w:hAnsi="Verdana" w:cs="Arial"/>
                <w:lang w:val="es-ES"/>
              </w:rPr>
              <w:t xml:space="preserve"> tiene como objetivo la prevalencia del bien común sobre el particular, razón por la cual se configuran cuando actúan influenciados por consideraciones personales que colisionan con el beber de preservar su independencia e imparcialidad. En este sentido, se definen como la concurrencia de intereses antagónicos que afectan la transparencia de las decisiones, al implicar –en detrimento del interés general– el aprovechamiento personal, familiar o particular.</w:t>
            </w:r>
          </w:p>
          <w:p w14:paraId="16AB73D4" w14:textId="77777777" w:rsidR="0045785F" w:rsidRPr="00963E12" w:rsidRDefault="0045785F" w:rsidP="00227991">
            <w:pPr>
              <w:spacing w:line="276" w:lineRule="auto"/>
              <w:ind w:firstLine="708"/>
              <w:jc w:val="both"/>
              <w:rPr>
                <w:rFonts w:ascii="Verdana" w:eastAsia="Calibri" w:hAnsi="Verdana" w:cs="Arial"/>
                <w:color w:val="000000" w:themeColor="text1"/>
                <w:lang w:val="es-ES"/>
              </w:rPr>
            </w:pPr>
            <w:r>
              <w:rPr>
                <w:rFonts w:ascii="Verdana" w:eastAsia="Calibri" w:hAnsi="Verdana" w:cs="Arial"/>
                <w:bCs/>
                <w:lang w:val="es-ES_tradnl"/>
              </w:rPr>
              <w:t xml:space="preserve">Ahora bien, si no se presenta una causal de conflictos de interés por parte de la supervisión, </w:t>
            </w:r>
            <w:r w:rsidRPr="00963E12">
              <w:rPr>
                <w:rFonts w:ascii="Verdana" w:eastAsia="Calibri" w:hAnsi="Verdana" w:cs="Arial"/>
                <w:color w:val="000000" w:themeColor="text1"/>
                <w:lang w:val="es-ES"/>
              </w:rPr>
              <w:t xml:space="preserve">es fundamental reconocer que la acumulación de funciones críticas puede generar riesgos de parcialidad. Por ello, aunque sea </w:t>
            </w:r>
            <w:r>
              <w:rPr>
                <w:rFonts w:ascii="Verdana" w:eastAsia="Calibri" w:hAnsi="Verdana" w:cs="Arial"/>
                <w:color w:val="000000" w:themeColor="text1"/>
                <w:lang w:val="es-ES"/>
              </w:rPr>
              <w:t>procedente</w:t>
            </w:r>
            <w:r w:rsidRPr="00963E12">
              <w:rPr>
                <w:rFonts w:ascii="Verdana" w:eastAsia="Calibri" w:hAnsi="Verdana" w:cs="Arial"/>
                <w:color w:val="000000" w:themeColor="text1"/>
                <w:lang w:val="es-ES"/>
              </w:rPr>
              <w:t xml:space="preserve">, se recomienda que la entidad evalúe la conveniencia de </w:t>
            </w:r>
            <w:r>
              <w:rPr>
                <w:rFonts w:ascii="Verdana" w:eastAsia="Calibri" w:hAnsi="Verdana" w:cs="Arial"/>
                <w:color w:val="000000" w:themeColor="text1"/>
                <w:lang w:val="es-ES"/>
              </w:rPr>
              <w:t>de</w:t>
            </w:r>
            <w:r w:rsidRPr="00963E12">
              <w:rPr>
                <w:rFonts w:ascii="Verdana" w:eastAsia="Calibri" w:hAnsi="Verdana" w:cs="Arial"/>
                <w:color w:val="000000" w:themeColor="text1"/>
                <w:lang w:val="es-ES"/>
              </w:rPr>
              <w:t>signar la supervisión a quien participó en la estructuración, considerando la necesidad de preservar la</w:t>
            </w:r>
            <w:r>
              <w:rPr>
                <w:rFonts w:ascii="Verdana" w:eastAsia="Calibri" w:hAnsi="Verdana" w:cs="Arial"/>
                <w:color w:val="000000" w:themeColor="text1"/>
                <w:lang w:val="es-ES"/>
              </w:rPr>
              <w:t xml:space="preserve"> transparencia</w:t>
            </w:r>
            <w:r w:rsidRPr="00963E12">
              <w:rPr>
                <w:rFonts w:ascii="Verdana" w:eastAsia="Calibri" w:hAnsi="Verdana" w:cs="Arial"/>
                <w:color w:val="000000" w:themeColor="text1"/>
                <w:lang w:val="es-ES"/>
              </w:rPr>
              <w:t xml:space="preserve">. </w:t>
            </w:r>
            <w:r>
              <w:rPr>
                <w:rFonts w:ascii="Verdana" w:eastAsia="Calibri" w:hAnsi="Verdana" w:cs="Arial"/>
                <w:color w:val="000000" w:themeColor="text1"/>
                <w:lang w:val="es-ES"/>
              </w:rPr>
              <w:t xml:space="preserve">El punto importante </w:t>
            </w:r>
            <w:r w:rsidRPr="00963E12">
              <w:rPr>
                <w:rFonts w:ascii="Verdana" w:eastAsia="Calibri" w:hAnsi="Verdana" w:cs="Arial"/>
                <w:color w:val="000000" w:themeColor="text1"/>
                <w:lang w:val="es-ES"/>
              </w:rPr>
              <w:t>está en garantizar que la supervisión no se con</w:t>
            </w:r>
            <w:r>
              <w:rPr>
                <w:rFonts w:ascii="Verdana" w:eastAsia="Calibri" w:hAnsi="Verdana" w:cs="Arial"/>
                <w:color w:val="000000" w:themeColor="text1"/>
                <w:lang w:val="es-ES"/>
              </w:rPr>
              <w:t>stituya</w:t>
            </w:r>
            <w:r w:rsidRPr="00963E12">
              <w:rPr>
                <w:rFonts w:ascii="Verdana" w:eastAsia="Calibri" w:hAnsi="Verdana" w:cs="Arial"/>
                <w:color w:val="000000" w:themeColor="text1"/>
                <w:lang w:val="es-ES"/>
              </w:rPr>
              <w:t xml:space="preserve"> en una extensión </w:t>
            </w:r>
            <w:r>
              <w:rPr>
                <w:rFonts w:ascii="Verdana" w:eastAsia="Calibri" w:hAnsi="Verdana" w:cs="Arial"/>
                <w:color w:val="000000" w:themeColor="text1"/>
                <w:lang w:val="es-ES"/>
              </w:rPr>
              <w:t xml:space="preserve">o prolongación </w:t>
            </w:r>
            <w:r w:rsidRPr="00963E12">
              <w:rPr>
                <w:rFonts w:ascii="Verdana" w:eastAsia="Calibri" w:hAnsi="Verdana" w:cs="Arial"/>
                <w:color w:val="000000" w:themeColor="text1"/>
                <w:lang w:val="es-ES"/>
              </w:rPr>
              <w:t xml:space="preserve">automática de las decisiones tomadas en la </w:t>
            </w:r>
            <w:r>
              <w:rPr>
                <w:rFonts w:ascii="Verdana" w:eastAsia="Calibri" w:hAnsi="Verdana" w:cs="Arial"/>
                <w:color w:val="000000" w:themeColor="text1"/>
                <w:lang w:val="es-ES"/>
              </w:rPr>
              <w:t xml:space="preserve">etapa </w:t>
            </w:r>
            <w:r w:rsidRPr="00963E12">
              <w:rPr>
                <w:rFonts w:ascii="Verdana" w:eastAsia="Calibri" w:hAnsi="Verdana" w:cs="Arial"/>
                <w:color w:val="000000" w:themeColor="text1"/>
                <w:lang w:val="es-ES"/>
              </w:rPr>
              <w:t>de planeación, sino en un ejercicio independiente</w:t>
            </w:r>
            <w:r>
              <w:rPr>
                <w:rFonts w:ascii="Verdana" w:eastAsia="Calibri" w:hAnsi="Verdana" w:cs="Arial"/>
                <w:color w:val="000000" w:themeColor="text1"/>
                <w:lang w:val="es-ES"/>
              </w:rPr>
              <w:t xml:space="preserve"> y autónomo</w:t>
            </w:r>
            <w:r w:rsidRPr="00963E12">
              <w:rPr>
                <w:rFonts w:ascii="Verdana" w:eastAsia="Calibri" w:hAnsi="Verdana" w:cs="Arial"/>
                <w:color w:val="000000" w:themeColor="text1"/>
                <w:lang w:val="es-ES"/>
              </w:rPr>
              <w:t xml:space="preserve"> </w:t>
            </w:r>
            <w:r w:rsidRPr="004E2B92">
              <w:rPr>
                <w:rFonts w:ascii="Verdana" w:eastAsia="Calibri" w:hAnsi="Verdana" w:cs="Arial"/>
                <w:color w:val="000000" w:themeColor="text1"/>
                <w:lang w:val="es-ES"/>
              </w:rPr>
              <w:t>que garantice el cumplimiento de las obligaciones pactadas, la calidad de los bienes y servicios contratados y la protección de los intereses de la Entidad Estatal.</w:t>
            </w:r>
          </w:p>
          <w:p w14:paraId="4A874DE1" w14:textId="77777777" w:rsidR="0045785F" w:rsidRDefault="0045785F" w:rsidP="00227991">
            <w:pPr>
              <w:spacing w:line="276" w:lineRule="auto"/>
              <w:jc w:val="both"/>
              <w:rPr>
                <w:rFonts w:ascii="Verdana" w:eastAsia="Calibri" w:hAnsi="Verdana" w:cs="Arial"/>
                <w:color w:val="000000" w:themeColor="text1"/>
                <w:lang w:val="es-ES"/>
              </w:rPr>
            </w:pPr>
          </w:p>
          <w:p w14:paraId="43C37D9D" w14:textId="77777777" w:rsidR="0045785F" w:rsidRPr="00963E12" w:rsidRDefault="0045785F" w:rsidP="00227991">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ii. </w:t>
            </w:r>
            <w:r w:rsidRPr="00963E12">
              <w:rPr>
                <w:rFonts w:ascii="Verdana" w:eastAsia="Calibri" w:hAnsi="Verdana" w:cs="Arial"/>
                <w:color w:val="000000" w:themeColor="text1"/>
                <w:lang w:val="es-ES"/>
              </w:rPr>
              <w:t>Para asegurar</w:t>
            </w:r>
            <w:r>
              <w:rPr>
                <w:rFonts w:ascii="Verdana" w:eastAsia="Calibri" w:hAnsi="Verdana" w:cs="Arial"/>
                <w:color w:val="000000" w:themeColor="text1"/>
                <w:lang w:val="es-ES"/>
              </w:rPr>
              <w:t xml:space="preserve"> la independencia de la supervisión</w:t>
            </w:r>
            <w:r w:rsidRPr="00963E12">
              <w:rPr>
                <w:rFonts w:ascii="Verdana" w:eastAsia="Calibri" w:hAnsi="Verdana" w:cs="Arial"/>
                <w:color w:val="000000" w:themeColor="text1"/>
                <w:lang w:val="es-ES"/>
              </w:rPr>
              <w:t>, deben implementarse controles institucionales claros. Entre e</w:t>
            </w:r>
            <w:r>
              <w:rPr>
                <w:rFonts w:ascii="Verdana" w:eastAsia="Calibri" w:hAnsi="Verdana" w:cs="Arial"/>
                <w:color w:val="000000" w:themeColor="text1"/>
                <w:lang w:val="es-ES"/>
              </w:rPr>
              <w:t xml:space="preserve">stos controles, puede señalarse </w:t>
            </w:r>
            <w:r w:rsidRPr="00963E12">
              <w:rPr>
                <w:rFonts w:ascii="Verdana" w:eastAsia="Calibri" w:hAnsi="Verdana" w:cs="Arial"/>
                <w:color w:val="000000" w:themeColor="text1"/>
                <w:lang w:val="es-ES"/>
              </w:rPr>
              <w:t>la obligación de presentar declaraciones de conflicto de interés</w:t>
            </w:r>
            <w:r>
              <w:rPr>
                <w:rFonts w:ascii="Verdana" w:eastAsia="Calibri" w:hAnsi="Verdana" w:cs="Arial"/>
                <w:color w:val="000000" w:themeColor="text1"/>
                <w:lang w:val="es-ES"/>
              </w:rPr>
              <w:t xml:space="preserve"> </w:t>
            </w:r>
            <w:r w:rsidRPr="00BA2EB9">
              <w:rPr>
                <w:rFonts w:ascii="Verdana" w:eastAsia="Calibri" w:hAnsi="Verdana" w:cs="Arial"/>
                <w:color w:val="000000" w:themeColor="text1"/>
                <w:lang w:val="es-ES"/>
              </w:rPr>
              <w:t>y la posibilidad de aplicar mecanismos de impedimento y recusación cuando existan vínculos que afecten la imparcialidad</w:t>
            </w:r>
            <w:r w:rsidRPr="00963E12">
              <w:rPr>
                <w:rFonts w:ascii="Verdana" w:eastAsia="Calibri" w:hAnsi="Verdana" w:cs="Arial"/>
                <w:color w:val="000000" w:themeColor="text1"/>
                <w:lang w:val="es-ES"/>
              </w:rPr>
              <w:t>, la separación de funciones en las etapas críticas del</w:t>
            </w:r>
            <w:r>
              <w:rPr>
                <w:rFonts w:ascii="Verdana" w:eastAsia="Calibri" w:hAnsi="Verdana" w:cs="Arial"/>
                <w:color w:val="000000" w:themeColor="text1"/>
                <w:lang w:val="es-ES"/>
              </w:rPr>
              <w:t xml:space="preserve"> proceso de contratación, la designación de una supervisión colegiada que atienda a los diferentes tipos de seguimiento</w:t>
            </w:r>
            <w:r w:rsidRPr="00963E12">
              <w:rPr>
                <w:rFonts w:ascii="Verdana" w:eastAsia="Calibri" w:hAnsi="Verdana" w:cs="Arial"/>
                <w:color w:val="000000" w:themeColor="text1"/>
                <w:lang w:val="es-ES"/>
              </w:rPr>
              <w:t xml:space="preserve">. </w:t>
            </w:r>
            <w:r>
              <w:rPr>
                <w:rFonts w:ascii="Verdana" w:eastAsia="Calibri" w:hAnsi="Verdana" w:cs="Arial"/>
                <w:color w:val="000000" w:themeColor="text1"/>
                <w:lang w:val="es-ES"/>
              </w:rPr>
              <w:t>De igual modo, es posible l</w:t>
            </w:r>
            <w:r w:rsidRPr="00963E12">
              <w:rPr>
                <w:rFonts w:ascii="Verdana" w:eastAsia="Calibri" w:hAnsi="Verdana" w:cs="Arial"/>
                <w:color w:val="000000" w:themeColor="text1"/>
                <w:lang w:val="es-ES"/>
              </w:rPr>
              <w:t>a rotación de supervisores y la revisión periódica de sus informes por</w:t>
            </w:r>
            <w:r>
              <w:rPr>
                <w:rFonts w:ascii="Verdana" w:eastAsia="Calibri" w:hAnsi="Verdana" w:cs="Arial"/>
                <w:color w:val="000000" w:themeColor="text1"/>
                <w:lang w:val="es-ES"/>
              </w:rPr>
              <w:t xml:space="preserve"> parte del representante legal o su delegado, teniendo en cuenta que hay un </w:t>
            </w:r>
            <w:r w:rsidRPr="004E2B92">
              <w:rPr>
                <w:rFonts w:ascii="Verdana" w:eastAsia="Calibri" w:hAnsi="Verdana" w:cs="Arial"/>
                <w:color w:val="000000" w:themeColor="text1"/>
                <w:lang w:val="es-ES"/>
              </w:rPr>
              <w:t xml:space="preserve">deber de </w:t>
            </w:r>
            <w:r w:rsidRPr="004E2B92">
              <w:rPr>
                <w:rFonts w:ascii="Verdana" w:eastAsia="Calibri" w:hAnsi="Verdana" w:cs="Arial"/>
                <w:color w:val="000000" w:themeColor="text1"/>
              </w:rPr>
              <w:t xml:space="preserve">dirección general y la responsabilidad de ejercer el control y vigilancia de la ejecución del contrato, </w:t>
            </w:r>
            <w:r w:rsidRPr="004E2B92">
              <w:rPr>
                <w:rFonts w:ascii="Verdana" w:eastAsia="Calibri" w:hAnsi="Verdana" w:cs="Arial"/>
                <w:color w:val="000000" w:themeColor="text1"/>
                <w:lang w:val="es-ES"/>
              </w:rPr>
              <w:t>de conformidad con el artículo 14, numeral 1° de la Ley 80.</w:t>
            </w:r>
          </w:p>
          <w:p w14:paraId="3DB6D7D0" w14:textId="77777777" w:rsidR="0045785F" w:rsidRDefault="0045785F" w:rsidP="00227991">
            <w:pPr>
              <w:spacing w:after="120" w:line="276" w:lineRule="auto"/>
              <w:ind w:firstLine="708"/>
              <w:jc w:val="both"/>
              <w:rPr>
                <w:rFonts w:ascii="Verdana" w:eastAsia="Calibri" w:hAnsi="Verdana" w:cs="Arial"/>
                <w:color w:val="000000" w:themeColor="text1"/>
                <w:lang w:val="es-ES"/>
              </w:rPr>
            </w:pPr>
            <w:r w:rsidRPr="00963E12">
              <w:rPr>
                <w:rFonts w:ascii="Verdana" w:eastAsia="Calibri" w:hAnsi="Verdana" w:cs="Arial"/>
                <w:color w:val="000000" w:themeColor="text1"/>
                <w:lang w:val="es-ES"/>
              </w:rPr>
              <w:t>Finalmente, la transparencia</w:t>
            </w:r>
            <w:r>
              <w:rPr>
                <w:rFonts w:ascii="Verdana" w:eastAsia="Calibri" w:hAnsi="Verdana" w:cs="Arial"/>
                <w:color w:val="000000" w:themeColor="text1"/>
                <w:lang w:val="es-ES"/>
              </w:rPr>
              <w:t xml:space="preserve"> y moralidad administrativa</w:t>
            </w:r>
            <w:r w:rsidRPr="00963E12">
              <w:rPr>
                <w:rFonts w:ascii="Verdana" w:eastAsia="Calibri" w:hAnsi="Verdana" w:cs="Arial"/>
                <w:color w:val="000000" w:themeColor="text1"/>
                <w:lang w:val="es-ES"/>
              </w:rPr>
              <w:t xml:space="preserve"> se garantiza mediante la trazabilidad documental y la publicidad de los informes de supervisión en plataformas como SECOP II, acompañada de programas de </w:t>
            </w:r>
            <w:r w:rsidRPr="00963E12">
              <w:rPr>
                <w:rFonts w:ascii="Verdana" w:eastAsia="Calibri" w:hAnsi="Verdana" w:cs="Arial"/>
                <w:color w:val="000000" w:themeColor="text1"/>
                <w:lang w:val="es-ES"/>
              </w:rPr>
              <w:lastRenderedPageBreak/>
              <w:t xml:space="preserve">capacitación para los servidores </w:t>
            </w:r>
            <w:r>
              <w:rPr>
                <w:rFonts w:ascii="Verdana" w:eastAsia="Calibri" w:hAnsi="Verdana" w:cs="Arial"/>
                <w:color w:val="000000" w:themeColor="text1"/>
                <w:lang w:val="es-ES"/>
              </w:rPr>
              <w:t>públicos designados como supervisores, así como ejercicios de control por parte de la ciudadanía</w:t>
            </w:r>
            <w:r w:rsidRPr="00963E12">
              <w:rPr>
                <w:rFonts w:ascii="Verdana" w:eastAsia="Calibri" w:hAnsi="Verdana" w:cs="Arial"/>
                <w:color w:val="000000" w:themeColor="text1"/>
                <w:lang w:val="es-ES"/>
              </w:rPr>
              <w:t>. Estos mecanismos</w:t>
            </w:r>
            <w:r>
              <w:rPr>
                <w:rFonts w:ascii="Verdana" w:eastAsia="Calibri" w:hAnsi="Verdana" w:cs="Arial"/>
                <w:color w:val="000000" w:themeColor="text1"/>
                <w:lang w:val="es-ES"/>
              </w:rPr>
              <w:t xml:space="preserve"> buscan garantizar </w:t>
            </w:r>
            <w:r w:rsidRPr="00963E12">
              <w:rPr>
                <w:rFonts w:ascii="Verdana" w:eastAsia="Calibri" w:hAnsi="Verdana" w:cs="Arial"/>
                <w:color w:val="000000" w:themeColor="text1"/>
                <w:lang w:val="es-ES"/>
              </w:rPr>
              <w:t xml:space="preserve">la </w:t>
            </w:r>
            <w:r>
              <w:rPr>
                <w:rFonts w:ascii="Verdana" w:eastAsia="Calibri" w:hAnsi="Verdana" w:cs="Arial"/>
                <w:color w:val="000000" w:themeColor="text1"/>
                <w:lang w:val="es-ES"/>
              </w:rPr>
              <w:t xml:space="preserve">buena </w:t>
            </w:r>
            <w:r w:rsidRPr="00963E12">
              <w:rPr>
                <w:rFonts w:ascii="Verdana" w:eastAsia="Calibri" w:hAnsi="Verdana" w:cs="Arial"/>
                <w:color w:val="000000" w:themeColor="text1"/>
                <w:lang w:val="es-ES"/>
              </w:rPr>
              <w:t xml:space="preserve">gestión contractual </w:t>
            </w:r>
            <w:r>
              <w:rPr>
                <w:rFonts w:ascii="Verdana" w:eastAsia="Calibri" w:hAnsi="Verdana" w:cs="Arial"/>
                <w:color w:val="000000" w:themeColor="text1"/>
                <w:lang w:val="es-ES"/>
              </w:rPr>
              <w:t xml:space="preserve">y el cumplimiento de los fines del Estado. </w:t>
            </w:r>
          </w:p>
          <w:p w14:paraId="2A820FFE" w14:textId="77777777" w:rsidR="0045785F" w:rsidRPr="00624EEC" w:rsidRDefault="0045785F" w:rsidP="00227991">
            <w:pPr>
              <w:spacing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218872B1" w14:textId="77777777" w:rsidR="0045785F" w:rsidRPr="00B57A1B" w:rsidRDefault="0045785F" w:rsidP="0045785F">
      <w:pPr>
        <w:spacing w:after="0" w:line="276" w:lineRule="auto"/>
        <w:jc w:val="both"/>
        <w:rPr>
          <w:rFonts w:ascii="Verdana" w:eastAsia="Calibri" w:hAnsi="Verdana" w:cs="Arial"/>
          <w:bCs/>
          <w:color w:val="000000" w:themeColor="text1"/>
        </w:rPr>
      </w:pPr>
      <w:bookmarkStart w:id="1" w:name="_Hlk78820161"/>
      <w:bookmarkStart w:id="2" w:name="_Hlk37703813"/>
    </w:p>
    <w:p w14:paraId="0AA4B936" w14:textId="77777777" w:rsidR="0045785F" w:rsidRPr="00B57A1B" w:rsidRDefault="0045785F" w:rsidP="0045785F">
      <w:pPr>
        <w:numPr>
          <w:ilvl w:val="0"/>
          <w:numId w:val="16"/>
        </w:numPr>
        <w:tabs>
          <w:tab w:val="left" w:pos="2268"/>
        </w:tabs>
        <w:spacing w:after="0" w:line="27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6C61F5FA" w14:textId="77777777" w:rsidR="0045785F" w:rsidRPr="00B57A1B" w:rsidRDefault="0045785F" w:rsidP="0045785F">
      <w:pPr>
        <w:spacing w:after="0" w:line="276" w:lineRule="auto"/>
        <w:rPr>
          <w:rFonts w:ascii="Verdana" w:eastAsia="Calibri" w:hAnsi="Verdana" w:cs="Times New Roman"/>
          <w:b/>
          <w:bCs/>
          <w:lang w:val="es-ES"/>
        </w:rPr>
      </w:pPr>
    </w:p>
    <w:p w14:paraId="05265BDA" w14:textId="77777777" w:rsidR="0045785F" w:rsidRDefault="0045785F" w:rsidP="0045785F">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2B9E808E" w14:textId="77777777" w:rsidR="0045785F" w:rsidRPr="003C0ED7" w:rsidRDefault="0045785F" w:rsidP="0045785F">
      <w:pPr>
        <w:spacing w:after="0" w:line="276" w:lineRule="auto"/>
        <w:jc w:val="both"/>
        <w:rPr>
          <w:rFonts w:ascii="Verdana" w:eastAsia="Calibri" w:hAnsi="Verdana" w:cs="Arial"/>
          <w:lang w:val="es-ES"/>
        </w:rPr>
      </w:pPr>
    </w:p>
    <w:p w14:paraId="7AB69090" w14:textId="77777777" w:rsidR="0045785F" w:rsidRPr="00E7254D" w:rsidRDefault="0045785F" w:rsidP="0045785F">
      <w:pPr>
        <w:spacing w:after="120" w:line="276" w:lineRule="auto"/>
        <w:jc w:val="both"/>
        <w:rPr>
          <w:rFonts w:ascii="Verdana" w:eastAsia="Calibri" w:hAnsi="Verdana" w:cs="Arial"/>
          <w:color w:val="000000"/>
          <w:lang w:val="es-ES"/>
        </w:rPr>
      </w:pPr>
      <w:r w:rsidRPr="00E7254D">
        <w:rPr>
          <w:rFonts w:ascii="Verdana" w:eastAsia="Calibri" w:hAnsi="Verdana" w:cs="Arial"/>
          <w:color w:val="000000"/>
          <w:lang w:val="es-ES"/>
        </w:rPr>
        <w:t>i. A través de la actividad contractual, el Estado adquiere bienes, obras y servicios para cumplir los fines que le impone el ordenamiento jurídico, garantizando así la continu</w:t>
      </w:r>
      <w:r>
        <w:rPr>
          <w:rFonts w:ascii="Verdana" w:eastAsia="Calibri" w:hAnsi="Verdana" w:cs="Arial"/>
          <w:color w:val="000000"/>
          <w:lang w:val="es-ES"/>
        </w:rPr>
        <w:t>a</w:t>
      </w:r>
      <w:r w:rsidRPr="00E7254D">
        <w:rPr>
          <w:rFonts w:ascii="Verdana" w:eastAsia="Calibri" w:hAnsi="Verdana" w:cs="Arial"/>
          <w:color w:val="000000"/>
          <w:lang w:val="es-ES"/>
        </w:rPr>
        <w:t xml:space="preserve"> y eficiente prestación de los servicios públicos y la efectividad de los derechos e intereses de los administrados. Para la garantía de los fines de interés general, involucrados en la contratación de las entidades estatales, el Estatuto General de Contratación de la Administración Pública –en adelante EGCAP– dispone que, en la etapa de ejecución del contrato, las entidades estatales y los servidores públicos que participan en ella tienen la obligación de controlar y vigilar la correcta ejecución del objeto contratado. Lo anterior busca que las finalidades perseguidas con la celebración de los contratos estatales se logren de manera satisfactoria.</w:t>
      </w:r>
    </w:p>
    <w:p w14:paraId="48D4E15E" w14:textId="77777777" w:rsidR="0045785F" w:rsidRDefault="0045785F" w:rsidP="0045785F">
      <w:pPr>
        <w:spacing w:after="120" w:line="276" w:lineRule="auto"/>
        <w:ind w:firstLine="708"/>
        <w:jc w:val="both"/>
        <w:rPr>
          <w:rFonts w:ascii="Verdana" w:eastAsia="Calibri" w:hAnsi="Verdana" w:cs="Arial"/>
          <w:color w:val="000000"/>
          <w:lang w:val="es-ES"/>
        </w:rPr>
      </w:pPr>
      <w:r w:rsidRPr="00E7254D">
        <w:rPr>
          <w:rFonts w:ascii="Verdana" w:eastAsia="Calibri" w:hAnsi="Verdana" w:cs="Arial"/>
          <w:color w:val="000000"/>
          <w:lang w:val="es-ES"/>
        </w:rPr>
        <w:t xml:space="preserve">El seguimiento de la ejecución del contrato para la dirección, control y vigilancia de su correcto cumplimiento es un deber legal que permite a las entidades estatales tomar medidas orientadas a la satisfacción de los fines de la contratación. Por esto, el EGCAP alude a la obligación mencionada, que guarda relación con el principio de responsabilidad que rige la celebración y ejecución de los contratos estatales. </w:t>
      </w:r>
    </w:p>
    <w:p w14:paraId="29D6B322" w14:textId="77777777" w:rsidR="0045785F" w:rsidRPr="00E7254D" w:rsidRDefault="0045785F" w:rsidP="0045785F">
      <w:pPr>
        <w:spacing w:after="120" w:line="276" w:lineRule="auto"/>
        <w:ind w:firstLine="708"/>
        <w:jc w:val="both"/>
        <w:rPr>
          <w:rFonts w:ascii="Verdana" w:eastAsia="Calibri" w:hAnsi="Verdana" w:cs="Arial"/>
          <w:color w:val="000000"/>
          <w:lang w:val="es-ES"/>
        </w:rPr>
      </w:pPr>
      <w:r w:rsidRPr="00E7254D">
        <w:rPr>
          <w:rFonts w:ascii="Verdana" w:eastAsia="Calibri" w:hAnsi="Verdana" w:cs="Arial"/>
          <w:color w:val="000000"/>
          <w:lang w:val="es-ES"/>
        </w:rPr>
        <w:lastRenderedPageBreak/>
        <w:t>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entre otras.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2CA2ECFB" w14:textId="77777777" w:rsidR="0045785F" w:rsidRPr="00E7254D" w:rsidRDefault="0045785F" w:rsidP="0045785F">
      <w:pPr>
        <w:spacing w:after="0" w:line="276" w:lineRule="auto"/>
        <w:ind w:firstLine="708"/>
        <w:jc w:val="both"/>
        <w:rPr>
          <w:rFonts w:ascii="Verdana" w:eastAsia="Times New Roman" w:hAnsi="Verdana" w:cs="Arial"/>
          <w:lang w:val="es-ES" w:eastAsia="es-MX"/>
        </w:rPr>
      </w:pPr>
      <w:r w:rsidRPr="00E7254D">
        <w:rPr>
          <w:rFonts w:ascii="Verdana" w:eastAsia="Times New Roman" w:hAnsi="Verdana" w:cs="Arial"/>
          <w:lang w:val="es-ES" w:eastAsia="es-MX"/>
        </w:rPr>
        <w:t>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E7254D">
        <w:rPr>
          <w:rFonts w:ascii="Verdana" w:eastAsia="Times New Roman" w:hAnsi="Verdana" w:cs="Arial"/>
          <w:vertAlign w:val="superscript"/>
          <w:lang w:val="es-ES" w:eastAsia="es-MX"/>
        </w:rPr>
        <w:footnoteReference w:id="1"/>
      </w:r>
      <w:r w:rsidRPr="00E7254D">
        <w:rPr>
          <w:rFonts w:ascii="Verdana" w:eastAsia="Times New Roman" w:hAnsi="Verdana" w:cs="Arial"/>
          <w:lang w:val="es-ES" w:eastAsia="es-MX"/>
        </w:rPr>
        <w:t>. También se establecen los límites de la responsabilidad del representante legal ante la delegación de sus funciones en materia contractual</w:t>
      </w:r>
      <w:r w:rsidRPr="00E7254D">
        <w:rPr>
          <w:rFonts w:ascii="Verdana" w:eastAsia="Times New Roman" w:hAnsi="Verdana" w:cs="Arial"/>
          <w:vertAlign w:val="superscript"/>
          <w:lang w:val="es-ES" w:eastAsia="es-MX"/>
        </w:rPr>
        <w:footnoteReference w:id="2"/>
      </w:r>
      <w:r w:rsidRPr="00E7254D">
        <w:rPr>
          <w:rFonts w:ascii="Verdana" w:eastAsia="Times New Roman" w:hAnsi="Verdana" w:cs="Arial"/>
          <w:lang w:val="es-ES" w:eastAsia="es-MX"/>
        </w:rPr>
        <w:t xml:space="preserve"> y se regula la supervisión y la interventoría de los contratos estatales</w:t>
      </w:r>
      <w:r w:rsidRPr="00E7254D">
        <w:rPr>
          <w:rFonts w:ascii="Verdana" w:eastAsia="Times New Roman" w:hAnsi="Verdana" w:cs="Arial"/>
          <w:vertAlign w:val="superscript"/>
          <w:lang w:val="es-ES" w:eastAsia="es-MX"/>
        </w:rPr>
        <w:footnoteReference w:id="3"/>
      </w:r>
      <w:r w:rsidRPr="00E7254D">
        <w:rPr>
          <w:rFonts w:ascii="Verdana" w:eastAsia="Times New Roman" w:hAnsi="Verdana" w:cs="Arial"/>
          <w:lang w:val="es-ES" w:eastAsia="es-MX"/>
        </w:rPr>
        <w:t xml:space="preserve">. En consecuencia, se tiene que, la jurisprudencia contencioso-administrativa, por su parte, ha considerado que la obligación de vigilar la correcta ejecución del objeto contractual es una función de la entidad contratante, en los siguientes términos: </w:t>
      </w:r>
    </w:p>
    <w:p w14:paraId="016A138F" w14:textId="77777777" w:rsidR="0045785F" w:rsidRPr="00624EEC" w:rsidRDefault="0045785F" w:rsidP="0045785F">
      <w:pPr>
        <w:spacing w:after="0"/>
        <w:ind w:left="709"/>
        <w:contextualSpacing/>
        <w:jc w:val="both"/>
        <w:rPr>
          <w:rFonts w:ascii="Verdana" w:eastAsia="Times New Roman" w:hAnsi="Verdana" w:cs="Arial"/>
          <w:sz w:val="20"/>
          <w:szCs w:val="20"/>
          <w:lang w:val="es-ES_tradnl" w:eastAsia="es-MX"/>
        </w:rPr>
      </w:pPr>
    </w:p>
    <w:p w14:paraId="5D7CF52B" w14:textId="77777777" w:rsidR="0045785F" w:rsidRPr="00624EEC" w:rsidRDefault="0045785F" w:rsidP="0045785F">
      <w:pPr>
        <w:spacing w:after="0" w:line="240" w:lineRule="auto"/>
        <w:ind w:left="709" w:right="709"/>
        <w:contextualSpacing/>
        <w:jc w:val="both"/>
        <w:rPr>
          <w:rFonts w:ascii="Verdana" w:eastAsia="Times New Roman" w:hAnsi="Verdana" w:cs="Arial"/>
          <w:sz w:val="20"/>
          <w:szCs w:val="20"/>
          <w:lang w:val="es-ES_tradnl" w:eastAsia="es-MX"/>
        </w:rPr>
      </w:pPr>
      <w:r w:rsidRPr="00624EEC">
        <w:rPr>
          <w:rFonts w:ascii="Verdana" w:eastAsia="Times New Roman" w:hAnsi="Verdana" w:cs="Arial"/>
          <w:sz w:val="20"/>
          <w:szCs w:val="20"/>
          <w:lang w:val="es-ES_tradnl" w:eastAsia="es-MX"/>
        </w:rPr>
        <w:t>“La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624EEC">
        <w:rPr>
          <w:rFonts w:ascii="Verdana" w:eastAsia="Times New Roman" w:hAnsi="Verdana" w:cs="Arial"/>
          <w:sz w:val="20"/>
          <w:szCs w:val="20"/>
          <w:vertAlign w:val="superscript"/>
          <w:lang w:val="es-ES_tradnl" w:eastAsia="es-MX"/>
        </w:rPr>
        <w:footnoteReference w:id="4"/>
      </w:r>
      <w:r w:rsidRPr="00624EEC">
        <w:rPr>
          <w:rFonts w:ascii="Verdana" w:eastAsia="Times New Roman" w:hAnsi="Verdana" w:cs="Arial"/>
          <w:sz w:val="20"/>
          <w:szCs w:val="20"/>
          <w:lang w:val="es-ES_tradnl" w:eastAsia="es-MX"/>
        </w:rPr>
        <w:t>.</w:t>
      </w:r>
    </w:p>
    <w:p w14:paraId="1DD65083" w14:textId="77777777" w:rsidR="0045785F" w:rsidRPr="00E7254D" w:rsidRDefault="0045785F" w:rsidP="0045785F">
      <w:pPr>
        <w:snapToGrid w:val="0"/>
        <w:spacing w:after="0" w:line="276" w:lineRule="auto"/>
        <w:ind w:left="720"/>
        <w:rPr>
          <w:rFonts w:ascii="Verdana" w:eastAsia="Times New Roman" w:hAnsi="Verdana" w:cs="Arial"/>
          <w:lang w:val="es-ES_tradnl" w:eastAsia="es-MX"/>
        </w:rPr>
      </w:pPr>
    </w:p>
    <w:p w14:paraId="41DB6105" w14:textId="77777777" w:rsidR="0045785F" w:rsidRPr="00E7254D" w:rsidRDefault="0045785F" w:rsidP="0045785F">
      <w:pPr>
        <w:spacing w:after="0" w:line="276" w:lineRule="auto"/>
        <w:ind w:firstLine="709"/>
        <w:jc w:val="both"/>
        <w:rPr>
          <w:rFonts w:ascii="Verdana" w:eastAsia="Times New Roman" w:hAnsi="Verdana" w:cs="Arial"/>
          <w:lang w:val="es-ES" w:eastAsia="es-MX"/>
        </w:rPr>
      </w:pPr>
      <w:r w:rsidRPr="00E7254D">
        <w:rPr>
          <w:rFonts w:ascii="Verdana" w:eastAsia="Times New Roman" w:hAnsi="Verdana" w:cs="Arial"/>
          <w:lang w:val="es-ES" w:eastAsia="es-MX"/>
        </w:rPr>
        <w:lastRenderedPageBreak/>
        <w:t xml:space="preserve">De esta forma,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w:t>
      </w:r>
      <w:r>
        <w:rPr>
          <w:rFonts w:ascii="Verdana" w:eastAsia="Times New Roman" w:hAnsi="Verdana" w:cs="Arial"/>
          <w:lang w:val="es-ES" w:eastAsia="es-MX"/>
        </w:rPr>
        <w:t>e</w:t>
      </w:r>
      <w:r w:rsidRPr="00E7254D">
        <w:rPr>
          <w:rFonts w:ascii="Verdana" w:eastAsia="Times New Roman" w:hAnsi="Verdana" w:cs="Arial"/>
          <w:lang w:val="es-ES" w:eastAsia="es-MX"/>
        </w:rPr>
        <w:t xml:space="preserve">ntidades </w:t>
      </w:r>
      <w:r>
        <w:rPr>
          <w:rFonts w:ascii="Verdana" w:eastAsia="Times New Roman" w:hAnsi="Verdana" w:cs="Arial"/>
          <w:lang w:val="es-ES" w:eastAsia="es-MX"/>
        </w:rPr>
        <w:t>e</w:t>
      </w:r>
      <w:r w:rsidRPr="00E7254D">
        <w:rPr>
          <w:rFonts w:ascii="Verdana" w:eastAsia="Times New Roman" w:hAnsi="Verdana" w:cs="Arial"/>
          <w:lang w:val="es-ES" w:eastAsia="es-MX"/>
        </w:rPr>
        <w:t xml:space="preserve">statales para vigilar el contrato, en estos términos: </w:t>
      </w:r>
    </w:p>
    <w:p w14:paraId="1825D5D5" w14:textId="77777777" w:rsidR="0045785F" w:rsidRPr="00E7254D" w:rsidRDefault="0045785F" w:rsidP="0045785F">
      <w:pPr>
        <w:spacing w:after="0" w:line="276" w:lineRule="auto"/>
        <w:ind w:left="720"/>
        <w:jc w:val="both"/>
        <w:textAlignment w:val="baseline"/>
        <w:rPr>
          <w:rFonts w:ascii="Verdana" w:eastAsia="Times New Roman" w:hAnsi="Verdana" w:cs="Arial"/>
          <w:lang w:val="es-ES_tradnl" w:eastAsia="es-MX"/>
        </w:rPr>
      </w:pPr>
    </w:p>
    <w:p w14:paraId="7E891E1F" w14:textId="77777777" w:rsidR="0045785F" w:rsidRDefault="0045785F" w:rsidP="0045785F">
      <w:pPr>
        <w:spacing w:after="0" w:line="240" w:lineRule="auto"/>
        <w:ind w:left="709" w:right="709"/>
        <w:jc w:val="both"/>
        <w:textAlignment w:val="baseline"/>
        <w:rPr>
          <w:rFonts w:ascii="Verdana" w:eastAsia="Times New Roman" w:hAnsi="Verdana" w:cs="Arial"/>
          <w:sz w:val="20"/>
          <w:szCs w:val="20"/>
          <w:lang w:val="es-ES" w:eastAsia="es-MX"/>
        </w:rPr>
      </w:pPr>
      <w:r w:rsidRPr="00624EEC">
        <w:rPr>
          <w:rFonts w:ascii="Verdana" w:eastAsia="Times New Roman" w:hAnsi="Verdana" w:cs="Arial"/>
          <w:sz w:val="20"/>
          <w:szCs w:val="20"/>
          <w:lang w:val="es-ES" w:eastAsia="es-MX"/>
        </w:rPr>
        <w:t xml:space="preserve">“La supervisión consistirá en el seguimiento técnico, administrativo, financiero, contable, y jurídico </w:t>
      </w:r>
      <w:proofErr w:type="gramStart"/>
      <w:r w:rsidRPr="00624EEC">
        <w:rPr>
          <w:rFonts w:ascii="Verdana" w:eastAsia="Times New Roman" w:hAnsi="Verdana" w:cs="Arial"/>
          <w:sz w:val="20"/>
          <w:szCs w:val="20"/>
          <w:lang w:val="es-ES" w:eastAsia="es-MX"/>
        </w:rPr>
        <w:t>que</w:t>
      </w:r>
      <w:proofErr w:type="gramEnd"/>
      <w:r w:rsidRPr="00624EEC">
        <w:rPr>
          <w:rFonts w:ascii="Verdana" w:eastAsia="Times New Roman" w:hAnsi="Verdana" w:cs="Arial"/>
          <w:sz w:val="20"/>
          <w:szCs w:val="20"/>
          <w:lang w:val="es-ES" w:eastAsia="es-MX"/>
        </w:rPr>
        <w:t xml:space="preserve"> sobre el cumplimiento del objeto del contrato, es ejercida por la misma entidad estatal cuando no requieran conocimientos especializadas. Para la supervisión, la entidad estatal podrá contratar personal de apoyo, a través de los contratos de prestación de servicio que sean requeridos.</w:t>
      </w:r>
    </w:p>
    <w:p w14:paraId="6D5591FB" w14:textId="77777777" w:rsidR="0045785F" w:rsidRPr="00624EEC" w:rsidRDefault="0045785F" w:rsidP="0045785F">
      <w:pPr>
        <w:spacing w:after="0" w:line="240" w:lineRule="auto"/>
        <w:ind w:left="709" w:right="709"/>
        <w:jc w:val="both"/>
        <w:textAlignment w:val="baseline"/>
        <w:rPr>
          <w:rFonts w:ascii="Verdana" w:eastAsia="Times New Roman" w:hAnsi="Verdana" w:cs="Arial"/>
          <w:sz w:val="20"/>
          <w:szCs w:val="20"/>
          <w:lang w:val="es-ES" w:eastAsia="es-MX"/>
        </w:rPr>
      </w:pPr>
    </w:p>
    <w:p w14:paraId="06CE3ACE" w14:textId="77777777" w:rsidR="0045785F" w:rsidRPr="00624EEC" w:rsidRDefault="0045785F" w:rsidP="0045785F">
      <w:pPr>
        <w:spacing w:after="0" w:line="240" w:lineRule="auto"/>
        <w:ind w:left="709" w:right="709"/>
        <w:jc w:val="both"/>
        <w:textAlignment w:val="baseline"/>
        <w:rPr>
          <w:rFonts w:ascii="Verdana" w:eastAsia="Times New Roman" w:hAnsi="Verdana" w:cs="Arial"/>
          <w:sz w:val="20"/>
          <w:szCs w:val="20"/>
          <w:lang w:val="es-ES" w:eastAsia="es-MX"/>
        </w:rPr>
      </w:pPr>
      <w:r w:rsidRPr="00624EEC">
        <w:rPr>
          <w:rFonts w:ascii="Verdana" w:eastAsia="Times New Roman" w:hAnsi="Verdana" w:cs="Arial"/>
          <w:sz w:val="20"/>
          <w:szCs w:val="20"/>
          <w:lang w:val="es-ES" w:eastAsia="es-MX"/>
        </w:rPr>
        <w:t>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w:t>
      </w:r>
      <w:r w:rsidRPr="00624EEC">
        <w:rPr>
          <w:rFonts w:ascii="Verdana" w:eastAsia="Times New Roman" w:hAnsi="Verdana" w:cs="Arial"/>
          <w:sz w:val="20"/>
          <w:szCs w:val="20"/>
          <w:vertAlign w:val="superscript"/>
          <w:lang w:val="es-ES" w:eastAsia="es-MX"/>
        </w:rPr>
        <w:footnoteReference w:id="5"/>
      </w:r>
      <w:r w:rsidRPr="00624EEC">
        <w:rPr>
          <w:rFonts w:ascii="Verdana" w:eastAsia="Times New Roman" w:hAnsi="Verdana" w:cs="Arial"/>
          <w:sz w:val="20"/>
          <w:szCs w:val="20"/>
          <w:lang w:val="es-ES" w:eastAsia="es-MX"/>
        </w:rPr>
        <w:t>.</w:t>
      </w:r>
    </w:p>
    <w:p w14:paraId="30B2A49D" w14:textId="77777777" w:rsidR="0045785F" w:rsidRPr="00E7254D" w:rsidRDefault="0045785F" w:rsidP="0045785F">
      <w:pPr>
        <w:spacing w:after="0" w:line="276" w:lineRule="auto"/>
        <w:ind w:left="720"/>
        <w:contextualSpacing/>
        <w:jc w:val="both"/>
        <w:textAlignment w:val="baseline"/>
        <w:rPr>
          <w:rFonts w:ascii="Verdana" w:eastAsia="Times New Roman" w:hAnsi="Verdana" w:cs="Arial"/>
          <w:lang w:val="es-ES" w:eastAsia="es-MX"/>
        </w:rPr>
      </w:pPr>
    </w:p>
    <w:p w14:paraId="5061E237" w14:textId="77777777" w:rsidR="0045785F" w:rsidRPr="00E7254D" w:rsidRDefault="0045785F" w:rsidP="0045785F">
      <w:pPr>
        <w:spacing w:after="120" w:line="276" w:lineRule="auto"/>
        <w:ind w:firstLine="709"/>
        <w:jc w:val="both"/>
        <w:rPr>
          <w:rFonts w:ascii="Verdana" w:eastAsia="Times New Roman" w:hAnsi="Verdana" w:cs="Arial"/>
          <w:shd w:val="clear" w:color="auto" w:fill="FFFFFF"/>
          <w:lang w:val="es-ES"/>
        </w:rPr>
      </w:pPr>
      <w:r w:rsidRPr="00E7254D">
        <w:rPr>
          <w:rFonts w:ascii="Verdana" w:eastAsia="Times New Roman" w:hAnsi="Verdana" w:cs="Arial"/>
          <w:bCs/>
          <w:lang w:val="es-ES"/>
        </w:rPr>
        <w:t>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E7254D">
        <w:rPr>
          <w:rFonts w:ascii="Verdana" w:eastAsia="Times New Roman" w:hAnsi="Verdana" w:cs="Arial"/>
          <w:bCs/>
          <w:vertAlign w:val="superscript"/>
          <w:lang w:val="es-ES"/>
        </w:rPr>
        <w:footnoteReference w:id="6"/>
      </w:r>
      <w:r w:rsidRPr="00E7254D">
        <w:rPr>
          <w:rFonts w:ascii="Verdana" w:eastAsia="Times New Roman" w:hAnsi="Verdana" w:cs="Arial"/>
          <w:bCs/>
          <w:lang w:val="es-ES"/>
        </w:rPr>
        <w:t xml:space="preserve">–; ii) no requiere conocimientos tan especializados como la interventoría; iii) se ejerce </w:t>
      </w:r>
      <w:r w:rsidRPr="00E7254D">
        <w:rPr>
          <w:rFonts w:ascii="Verdana" w:eastAsia="Times New Roman" w:hAnsi="Verdana" w:cs="Arial"/>
          <w:bCs/>
          <w:lang w:val="es-ES"/>
        </w:rPr>
        <w:lastRenderedPageBreak/>
        <w:t>por la Entidad Estatal por conducto de la designación de servidores públicos idóneos para cumplir la función; iv) puede recibir apoyo de personal contratado para tal fin mediante contratos de prestación de servicios; y v) le es inseparable el seguimiento técnico, administrativo, financiero, contable y jurídico del contrato vigilado.</w:t>
      </w:r>
    </w:p>
    <w:p w14:paraId="5630473F" w14:textId="77777777" w:rsidR="0045785F" w:rsidRPr="00E7254D" w:rsidRDefault="0045785F" w:rsidP="0045785F">
      <w:pPr>
        <w:tabs>
          <w:tab w:val="left" w:pos="709"/>
        </w:tabs>
        <w:snapToGrid w:val="0"/>
        <w:spacing w:after="0" w:line="276" w:lineRule="auto"/>
        <w:jc w:val="both"/>
        <w:rPr>
          <w:rFonts w:ascii="Verdana" w:eastAsia="Aptos" w:hAnsi="Verdana" w:cs="Arial"/>
          <w:bCs/>
        </w:rPr>
      </w:pPr>
      <w:r w:rsidRPr="00E7254D">
        <w:rPr>
          <w:rFonts w:ascii="Verdana" w:eastAsia="Aptos" w:hAnsi="Verdana" w:cs="Arial"/>
          <w:bCs/>
          <w:lang w:val="es-ES"/>
        </w:rPr>
        <w:tab/>
        <w:t xml:space="preserve">Por otro lado, </w:t>
      </w:r>
      <w:r w:rsidRPr="00E7254D">
        <w:rPr>
          <w:rFonts w:ascii="Verdana" w:eastAsia="Aptos" w:hAnsi="Verdana" w:cs="Arial"/>
          <w:bCs/>
        </w:rPr>
        <w:t>la interventoría puede caracterizarse de la siguiente manera: i) es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del mismo lo justifique” –art, 83, Ley 1474 de 2011–; ii) es un mecanismo de vigilancia que exige, en su ejecución, la utilización de conocimientos especializados; iii) por lo anterior, la entidad contrata un experto, por regla general, mediante la modalidad de selección de concurso de méritos, al tratarse la interventoría de una especie del contrato de consultoría –art. 32, numeral 2, inciso 2, Ley 80 de 1993</w:t>
      </w:r>
      <w:r w:rsidRPr="00E7254D">
        <w:rPr>
          <w:rFonts w:ascii="Verdana" w:eastAsia="Aptos" w:hAnsi="Verdana" w:cs="Times New Roman"/>
          <w:kern w:val="2"/>
          <w:vertAlign w:val="superscript"/>
          <w14:ligatures w14:val="standardContextual"/>
        </w:rPr>
        <w:footnoteReference w:id="7"/>
      </w:r>
      <w:r w:rsidRPr="00E7254D">
        <w:rPr>
          <w:rFonts w:ascii="Verdana" w:eastAsia="Aptos" w:hAnsi="Verdana" w:cs="Arial"/>
          <w:bCs/>
        </w:rPr>
        <w:t>‒, de manera que la interventoría es realizada por “una persona natural o jurídica contratada para tal fin por la Entidad Estatal” –art. 83, Ley 1474–; iv)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inciso 4–, y finalmente, vi) el contrato de interventoría será supervisado directamente por la entidad –art. 83, inciso 4–.</w:t>
      </w:r>
    </w:p>
    <w:p w14:paraId="152A31FA" w14:textId="77777777" w:rsidR="0045785F" w:rsidRPr="00C82667" w:rsidRDefault="0045785F" w:rsidP="0045785F">
      <w:pPr>
        <w:spacing w:after="0" w:line="276" w:lineRule="auto"/>
        <w:jc w:val="both"/>
        <w:rPr>
          <w:rFonts w:ascii="Verdana" w:eastAsia="Calibri" w:hAnsi="Verdana" w:cs="Arial"/>
          <w:color w:val="000000" w:themeColor="text1"/>
        </w:rPr>
      </w:pPr>
    </w:p>
    <w:bookmarkEnd w:id="1"/>
    <w:bookmarkEnd w:id="2"/>
    <w:p w14:paraId="0ECC017D" w14:textId="77777777" w:rsidR="0045785F" w:rsidRDefault="0045785F" w:rsidP="0045785F">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ii. En referencia a la designación de la supervisión en los procesos de contratación estatal, se acude a la “</w:t>
      </w:r>
      <w:r w:rsidRPr="00AA1E47">
        <w:rPr>
          <w:rFonts w:ascii="Verdana" w:eastAsia="Calibri" w:hAnsi="Verdana" w:cs="Arial"/>
          <w:color w:val="000000" w:themeColor="text1"/>
          <w:lang w:val="es-ES"/>
        </w:rPr>
        <w:t>Guía para el ejercicio de las funciones de supervisión e interventoría de los contratos suscritos por las Entidades Estatales</w:t>
      </w:r>
      <w:r>
        <w:rPr>
          <w:rFonts w:ascii="Verdana" w:eastAsia="Calibri" w:hAnsi="Verdana" w:cs="Arial"/>
          <w:color w:val="000000" w:themeColor="text1"/>
          <w:lang w:val="es-ES"/>
        </w:rPr>
        <w:t xml:space="preserve">” expedida por esta Agencia, en la que se expresa que el </w:t>
      </w:r>
      <w:r w:rsidRPr="00AA1E47">
        <w:rPr>
          <w:rFonts w:ascii="Verdana" w:eastAsia="Calibri" w:hAnsi="Verdana" w:cs="Arial"/>
          <w:color w:val="000000" w:themeColor="text1"/>
          <w:lang w:val="es-ES"/>
        </w:rPr>
        <w:t xml:space="preserve">ordenador del gasto de la </w:t>
      </w:r>
      <w:r>
        <w:rPr>
          <w:rFonts w:ascii="Verdana" w:eastAsia="Calibri" w:hAnsi="Verdana" w:cs="Arial"/>
          <w:color w:val="000000" w:themeColor="text1"/>
          <w:lang w:val="es-ES"/>
        </w:rPr>
        <w:t>e</w:t>
      </w:r>
      <w:r w:rsidRPr="00AA1E47">
        <w:rPr>
          <w:rFonts w:ascii="Verdana" w:eastAsia="Calibri" w:hAnsi="Verdana" w:cs="Arial"/>
          <w:color w:val="000000" w:themeColor="text1"/>
          <w:lang w:val="es-ES"/>
        </w:rPr>
        <w:t xml:space="preserve">ntidad </w:t>
      </w:r>
      <w:r>
        <w:rPr>
          <w:rFonts w:ascii="Verdana" w:eastAsia="Calibri" w:hAnsi="Verdana" w:cs="Arial"/>
          <w:color w:val="000000" w:themeColor="text1"/>
          <w:lang w:val="es-ES"/>
        </w:rPr>
        <w:t>e</w:t>
      </w:r>
      <w:r w:rsidRPr="00AA1E47">
        <w:rPr>
          <w:rFonts w:ascii="Verdana" w:eastAsia="Calibri" w:hAnsi="Verdana" w:cs="Arial"/>
          <w:color w:val="000000" w:themeColor="text1"/>
          <w:lang w:val="es-ES"/>
        </w:rPr>
        <w:t>statal es responsable de la vigilancia y control de la ejecución</w:t>
      </w:r>
      <w:r>
        <w:rPr>
          <w:rFonts w:ascii="Verdana" w:eastAsia="Calibri" w:hAnsi="Verdana" w:cs="Arial"/>
          <w:color w:val="000000" w:themeColor="text1"/>
          <w:lang w:val="es-ES"/>
        </w:rPr>
        <w:t xml:space="preserve"> debida del contrato estatal</w:t>
      </w:r>
      <w:r w:rsidRPr="00AA1E47">
        <w:rPr>
          <w:rFonts w:ascii="Verdana" w:eastAsia="Calibri" w:hAnsi="Verdana" w:cs="Arial"/>
          <w:color w:val="000000" w:themeColor="text1"/>
          <w:lang w:val="es-ES"/>
        </w:rPr>
        <w:t xml:space="preserve">, por lo cual es quien debe designar el supervisor de un </w:t>
      </w:r>
      <w:r w:rsidRPr="00AA1E47">
        <w:rPr>
          <w:rFonts w:ascii="Verdana" w:eastAsia="Calibri" w:hAnsi="Verdana" w:cs="Arial"/>
          <w:color w:val="000000" w:themeColor="text1"/>
          <w:lang w:val="es-ES"/>
        </w:rPr>
        <w:lastRenderedPageBreak/>
        <w:t>contrato</w:t>
      </w:r>
      <w:r>
        <w:rPr>
          <w:rStyle w:val="Refdenotaalpie"/>
          <w:rFonts w:ascii="Verdana" w:eastAsia="Calibri" w:hAnsi="Verdana" w:cs="Arial"/>
          <w:color w:val="000000" w:themeColor="text1"/>
          <w:lang w:val="es-ES"/>
        </w:rPr>
        <w:footnoteReference w:id="8"/>
      </w:r>
      <w:r w:rsidRPr="00AA1E47">
        <w:rPr>
          <w:rFonts w:ascii="Verdana" w:eastAsia="Calibri" w:hAnsi="Verdana" w:cs="Arial"/>
          <w:color w:val="000000" w:themeColor="text1"/>
          <w:lang w:val="es-ES"/>
        </w:rPr>
        <w:t>. En</w:t>
      </w:r>
      <w:r>
        <w:rPr>
          <w:rFonts w:ascii="Verdana" w:eastAsia="Calibri" w:hAnsi="Verdana" w:cs="Arial"/>
          <w:color w:val="000000" w:themeColor="text1"/>
          <w:lang w:val="es-ES"/>
        </w:rPr>
        <w:t xml:space="preserve"> tal sentido, en</w:t>
      </w:r>
      <w:r w:rsidRPr="00AA1E47">
        <w:rPr>
          <w:rFonts w:ascii="Verdana" w:eastAsia="Calibri" w:hAnsi="Verdana" w:cs="Arial"/>
          <w:color w:val="000000" w:themeColor="text1"/>
          <w:lang w:val="es-ES"/>
        </w:rPr>
        <w:t xml:space="preserve"> la etapa de planeación del </w:t>
      </w:r>
      <w:r>
        <w:rPr>
          <w:rFonts w:ascii="Verdana" w:eastAsia="Calibri" w:hAnsi="Verdana" w:cs="Arial"/>
          <w:color w:val="000000" w:themeColor="text1"/>
          <w:lang w:val="es-ES"/>
        </w:rPr>
        <w:t>p</w:t>
      </w:r>
      <w:r w:rsidRPr="00AA1E47">
        <w:rPr>
          <w:rFonts w:ascii="Verdana" w:eastAsia="Calibri" w:hAnsi="Verdana" w:cs="Arial"/>
          <w:color w:val="000000" w:themeColor="text1"/>
          <w:lang w:val="es-ES"/>
        </w:rPr>
        <w:t xml:space="preserve">roceso de </w:t>
      </w:r>
      <w:r>
        <w:rPr>
          <w:rFonts w:ascii="Verdana" w:eastAsia="Calibri" w:hAnsi="Verdana" w:cs="Arial"/>
          <w:color w:val="000000" w:themeColor="text1"/>
          <w:lang w:val="es-ES"/>
        </w:rPr>
        <w:t>c</w:t>
      </w:r>
      <w:r w:rsidRPr="00AA1E47">
        <w:rPr>
          <w:rFonts w:ascii="Verdana" w:eastAsia="Calibri" w:hAnsi="Verdana" w:cs="Arial"/>
          <w:color w:val="000000" w:themeColor="text1"/>
          <w:lang w:val="es-ES"/>
        </w:rPr>
        <w:t xml:space="preserve">ontratación, la </w:t>
      </w:r>
      <w:r>
        <w:rPr>
          <w:rFonts w:ascii="Verdana" w:eastAsia="Calibri" w:hAnsi="Verdana" w:cs="Arial"/>
          <w:color w:val="000000" w:themeColor="text1"/>
          <w:lang w:val="es-ES"/>
        </w:rPr>
        <w:t>e</w:t>
      </w:r>
      <w:r w:rsidRPr="00AA1E47">
        <w:rPr>
          <w:rFonts w:ascii="Verdana" w:eastAsia="Calibri" w:hAnsi="Verdana" w:cs="Arial"/>
          <w:color w:val="000000" w:themeColor="text1"/>
          <w:lang w:val="es-ES"/>
        </w:rPr>
        <w:t xml:space="preserve">ntidad </w:t>
      </w:r>
      <w:r>
        <w:rPr>
          <w:rFonts w:ascii="Verdana" w:eastAsia="Calibri" w:hAnsi="Verdana" w:cs="Arial"/>
          <w:color w:val="000000" w:themeColor="text1"/>
          <w:lang w:val="es-ES"/>
        </w:rPr>
        <w:t>e</w:t>
      </w:r>
      <w:r w:rsidRPr="00AA1E47">
        <w:rPr>
          <w:rFonts w:ascii="Verdana" w:eastAsia="Calibri" w:hAnsi="Verdana" w:cs="Arial"/>
          <w:color w:val="000000" w:themeColor="text1"/>
          <w:lang w:val="es-ES"/>
        </w:rPr>
        <w:t xml:space="preserve">statal debe identificar el perfil del supervisor para </w:t>
      </w:r>
      <w:r>
        <w:rPr>
          <w:rFonts w:ascii="Verdana" w:eastAsia="Calibri" w:hAnsi="Verdana" w:cs="Arial"/>
          <w:color w:val="000000" w:themeColor="text1"/>
          <w:lang w:val="es-ES"/>
        </w:rPr>
        <w:t xml:space="preserve">designarlo </w:t>
      </w:r>
      <w:r w:rsidRPr="00AA1E47">
        <w:rPr>
          <w:rFonts w:ascii="Verdana" w:eastAsia="Calibri" w:hAnsi="Verdana" w:cs="Arial"/>
          <w:color w:val="000000" w:themeColor="text1"/>
          <w:lang w:val="es-ES"/>
        </w:rPr>
        <w:t xml:space="preserve">a más tardar al final de la audiencia de adjudicación, cuando el </w:t>
      </w:r>
      <w:r>
        <w:rPr>
          <w:rFonts w:ascii="Verdana" w:eastAsia="Calibri" w:hAnsi="Verdana" w:cs="Arial"/>
          <w:color w:val="000000" w:themeColor="text1"/>
          <w:lang w:val="es-ES"/>
        </w:rPr>
        <w:t>p</w:t>
      </w:r>
      <w:r w:rsidRPr="00AA1E47">
        <w:rPr>
          <w:rFonts w:ascii="Verdana" w:eastAsia="Calibri" w:hAnsi="Verdana" w:cs="Arial"/>
          <w:color w:val="000000" w:themeColor="text1"/>
          <w:lang w:val="es-ES"/>
        </w:rPr>
        <w:t xml:space="preserve">roceso de </w:t>
      </w:r>
      <w:r>
        <w:rPr>
          <w:rFonts w:ascii="Verdana" w:eastAsia="Calibri" w:hAnsi="Verdana" w:cs="Arial"/>
          <w:color w:val="000000" w:themeColor="text1"/>
          <w:lang w:val="es-ES"/>
        </w:rPr>
        <w:t>c</w:t>
      </w:r>
      <w:r w:rsidRPr="00AA1E47">
        <w:rPr>
          <w:rFonts w:ascii="Verdana" w:eastAsia="Calibri" w:hAnsi="Verdana" w:cs="Arial"/>
          <w:color w:val="000000" w:themeColor="text1"/>
          <w:lang w:val="es-ES"/>
        </w:rPr>
        <w:t xml:space="preserve">ontratación es competitivo o en la fecha </w:t>
      </w:r>
      <w:r>
        <w:rPr>
          <w:rFonts w:ascii="Verdana" w:eastAsia="Calibri" w:hAnsi="Verdana" w:cs="Arial"/>
          <w:color w:val="000000" w:themeColor="text1"/>
          <w:lang w:val="es-ES"/>
        </w:rPr>
        <w:t>que suscriba el contrato cuando sea en ocasión de procesos no competitivos, como la contratación</w:t>
      </w:r>
      <w:r>
        <w:rPr>
          <w:rStyle w:val="Refdenotaalpie"/>
          <w:rFonts w:ascii="Verdana" w:eastAsia="Calibri" w:hAnsi="Verdana" w:cs="Arial"/>
          <w:color w:val="000000" w:themeColor="text1"/>
          <w:lang w:val="es-ES"/>
        </w:rPr>
        <w:footnoteReference w:id="9"/>
      </w:r>
      <w:r>
        <w:rPr>
          <w:rFonts w:ascii="Verdana" w:eastAsia="Calibri" w:hAnsi="Verdana" w:cs="Arial"/>
          <w:color w:val="000000" w:themeColor="text1"/>
          <w:lang w:val="es-ES"/>
        </w:rPr>
        <w:t xml:space="preserve">. </w:t>
      </w:r>
    </w:p>
    <w:p w14:paraId="4361DEB1" w14:textId="77777777" w:rsidR="0045785F" w:rsidRDefault="0045785F" w:rsidP="0045785F">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lang w:val="es-ES"/>
        </w:rPr>
        <w:t>En principio, en la Guía también se expresa que e</w:t>
      </w:r>
      <w:r w:rsidRPr="00AA1E47">
        <w:rPr>
          <w:rFonts w:ascii="Verdana" w:eastAsia="Calibri" w:hAnsi="Verdana" w:cs="Arial"/>
          <w:color w:val="000000" w:themeColor="text1"/>
          <w:lang w:val="es-ES"/>
        </w:rPr>
        <w:t>l supervisor no requiere un perfil predeterminado</w:t>
      </w:r>
      <w:r w:rsidRPr="003F1FD8">
        <w:rPr>
          <w:rFonts w:ascii="Verdana" w:eastAsia="Calibri" w:hAnsi="Verdana" w:cs="Arial"/>
          <w:color w:val="000000" w:themeColor="text1"/>
          <w:lang w:val="es-ES"/>
        </w:rPr>
        <w:t>; sin embargo, es recomendable que pueda actuar como par del contratista supervisado</w:t>
      </w:r>
      <w:r>
        <w:rPr>
          <w:rStyle w:val="Refdenotaalpie"/>
          <w:rFonts w:ascii="Verdana" w:eastAsia="Calibri" w:hAnsi="Verdana" w:cs="Arial"/>
          <w:color w:val="000000" w:themeColor="text1"/>
          <w:lang w:val="es-ES"/>
        </w:rPr>
        <w:footnoteReference w:id="10"/>
      </w:r>
      <w:r w:rsidRPr="003F1FD8">
        <w:rPr>
          <w:rFonts w:ascii="Verdana" w:eastAsia="Calibri" w:hAnsi="Verdana" w:cs="Arial"/>
          <w:color w:val="000000" w:themeColor="text1"/>
          <w:lang w:val="es-ES"/>
        </w:rPr>
        <w:t xml:space="preserve">. Para designar a un funcionario como supervisor, la </w:t>
      </w:r>
      <w:r>
        <w:rPr>
          <w:rFonts w:ascii="Verdana" w:eastAsia="Calibri" w:hAnsi="Verdana" w:cs="Arial"/>
          <w:color w:val="000000" w:themeColor="text1"/>
          <w:lang w:val="es-ES"/>
        </w:rPr>
        <w:t>e</w:t>
      </w:r>
      <w:r w:rsidRPr="003F1FD8">
        <w:rPr>
          <w:rFonts w:ascii="Verdana" w:eastAsia="Calibri" w:hAnsi="Verdana" w:cs="Arial"/>
          <w:color w:val="000000" w:themeColor="text1"/>
          <w:lang w:val="es-ES"/>
        </w:rPr>
        <w:t xml:space="preserve">ntidad </w:t>
      </w:r>
      <w:r>
        <w:rPr>
          <w:rFonts w:ascii="Verdana" w:eastAsia="Calibri" w:hAnsi="Verdana" w:cs="Arial"/>
          <w:color w:val="000000" w:themeColor="text1"/>
          <w:lang w:val="es-ES"/>
        </w:rPr>
        <w:t>e</w:t>
      </w:r>
      <w:r w:rsidRPr="003F1FD8">
        <w:rPr>
          <w:rFonts w:ascii="Verdana" w:eastAsia="Calibri" w:hAnsi="Verdana" w:cs="Arial"/>
          <w:color w:val="000000" w:themeColor="text1"/>
          <w:lang w:val="es-ES"/>
        </w:rPr>
        <w:t xml:space="preserve">statal debe verificar que el objeto del proceso de contratación guarde relación con las funciones propias de su </w:t>
      </w:r>
      <w:r>
        <w:rPr>
          <w:rFonts w:ascii="Verdana" w:eastAsia="Calibri" w:hAnsi="Verdana" w:cs="Arial"/>
          <w:color w:val="000000" w:themeColor="text1"/>
          <w:lang w:val="es-ES"/>
        </w:rPr>
        <w:t>empleo, ya sea de nivel directivo, profesional, técnico o asistencial</w:t>
      </w:r>
      <w:r w:rsidRPr="003F1FD8">
        <w:rPr>
          <w:rFonts w:ascii="Verdana" w:eastAsia="Calibri" w:hAnsi="Verdana" w:cs="Arial"/>
          <w:color w:val="000000" w:themeColor="text1"/>
          <w:lang w:val="es-ES"/>
        </w:rPr>
        <w:t>.</w:t>
      </w:r>
      <w:r>
        <w:rPr>
          <w:rFonts w:ascii="Verdana" w:eastAsia="Calibri" w:hAnsi="Verdana" w:cs="Arial"/>
          <w:color w:val="000000" w:themeColor="text1"/>
          <w:lang w:val="es-ES"/>
        </w:rPr>
        <w:t xml:space="preserve"> </w:t>
      </w:r>
      <w:r w:rsidRPr="003F1FD8">
        <w:rPr>
          <w:rFonts w:ascii="Verdana" w:eastAsia="Calibri" w:hAnsi="Verdana" w:cs="Arial"/>
          <w:color w:val="000000" w:themeColor="text1"/>
        </w:rPr>
        <w:t xml:space="preserve">Esto implica que la supervisión debe ser una actividad administrativa compatible con el perfil </w:t>
      </w:r>
      <w:r>
        <w:rPr>
          <w:rFonts w:ascii="Verdana" w:eastAsia="Calibri" w:hAnsi="Verdana" w:cs="Arial"/>
          <w:color w:val="000000" w:themeColor="text1"/>
        </w:rPr>
        <w:t>y el nivel</w:t>
      </w:r>
      <w:r w:rsidRPr="003F1FD8">
        <w:rPr>
          <w:rFonts w:ascii="Verdana" w:eastAsia="Calibri" w:hAnsi="Verdana" w:cs="Arial"/>
          <w:color w:val="000000" w:themeColor="text1"/>
        </w:rPr>
        <w:t xml:space="preserve"> del empleo. </w:t>
      </w:r>
    </w:p>
    <w:p w14:paraId="1CA914AE" w14:textId="77777777" w:rsidR="0045785F" w:rsidRPr="00AD173A" w:rsidRDefault="0045785F" w:rsidP="0045785F">
      <w:pPr>
        <w:spacing w:after="120" w:line="276" w:lineRule="auto"/>
        <w:ind w:firstLine="708"/>
        <w:jc w:val="both"/>
        <w:rPr>
          <w:rFonts w:ascii="Verdana" w:eastAsia="Calibri" w:hAnsi="Verdana" w:cs="Arial"/>
          <w:color w:val="000000" w:themeColor="text1"/>
          <w:lang w:val="es-ES"/>
        </w:rPr>
      </w:pPr>
      <w:r w:rsidRPr="003F1FD8">
        <w:rPr>
          <w:rFonts w:ascii="Verdana" w:eastAsia="Calibri" w:hAnsi="Verdana" w:cs="Arial"/>
          <w:color w:val="000000" w:themeColor="text1"/>
        </w:rPr>
        <w:t xml:space="preserve">En este sentido, la entidad debe evaluar la idoneidad del funcionario designado, garantice la capacitación necesaria y formalice la asignación conforme a los lineamientos legales y que sea acorde con el </w:t>
      </w:r>
      <w:r>
        <w:rPr>
          <w:rFonts w:ascii="Verdana" w:eastAsia="Calibri" w:hAnsi="Verdana" w:cs="Arial"/>
          <w:color w:val="000000" w:themeColor="text1"/>
        </w:rPr>
        <w:t>perfil</w:t>
      </w:r>
      <w:r w:rsidRPr="003F1FD8">
        <w:rPr>
          <w:rFonts w:ascii="Verdana" w:eastAsia="Calibri" w:hAnsi="Verdana" w:cs="Arial"/>
          <w:color w:val="000000" w:themeColor="text1"/>
        </w:rPr>
        <w:t xml:space="preserve"> </w:t>
      </w:r>
      <w:r>
        <w:rPr>
          <w:rFonts w:ascii="Verdana" w:eastAsia="Calibri" w:hAnsi="Verdana" w:cs="Arial"/>
          <w:color w:val="000000" w:themeColor="text1"/>
        </w:rPr>
        <w:t>y el</w:t>
      </w:r>
      <w:r w:rsidRPr="003F1FD8">
        <w:rPr>
          <w:rFonts w:ascii="Verdana" w:eastAsia="Calibri" w:hAnsi="Verdana" w:cs="Arial"/>
          <w:color w:val="000000" w:themeColor="text1"/>
        </w:rPr>
        <w:t xml:space="preserve"> nivel</w:t>
      </w:r>
      <w:r>
        <w:rPr>
          <w:rFonts w:ascii="Verdana" w:eastAsia="Calibri" w:hAnsi="Verdana" w:cs="Arial"/>
          <w:color w:val="000000" w:themeColor="text1"/>
        </w:rPr>
        <w:t xml:space="preserve"> del empleo. </w:t>
      </w:r>
      <w:r>
        <w:rPr>
          <w:rFonts w:ascii="Verdana" w:eastAsia="Calibri" w:hAnsi="Verdana" w:cs="Arial"/>
          <w:color w:val="000000" w:themeColor="text1"/>
          <w:lang w:val="es-ES"/>
        </w:rPr>
        <w:t>En todo caso, n</w:t>
      </w:r>
      <w:r w:rsidRPr="003F1FD8">
        <w:rPr>
          <w:rFonts w:ascii="Verdana" w:eastAsia="Calibri" w:hAnsi="Verdana" w:cs="Arial"/>
          <w:color w:val="000000" w:themeColor="text1"/>
          <w:lang w:val="es-ES"/>
        </w:rPr>
        <w:t xml:space="preserve">o es necesario que el </w:t>
      </w:r>
      <w:r>
        <w:rPr>
          <w:rFonts w:ascii="Verdana" w:eastAsia="Calibri" w:hAnsi="Verdana" w:cs="Arial"/>
          <w:color w:val="000000" w:themeColor="text1"/>
          <w:lang w:val="es-ES"/>
        </w:rPr>
        <w:t xml:space="preserve">Manual Específico de Funciones y Competencias Laborales </w:t>
      </w:r>
      <w:r w:rsidRPr="003F1FD8">
        <w:rPr>
          <w:rFonts w:ascii="Verdana" w:eastAsia="Calibri" w:hAnsi="Verdana" w:cs="Arial"/>
          <w:color w:val="000000" w:themeColor="text1"/>
          <w:lang w:val="es-ES"/>
        </w:rPr>
        <w:t xml:space="preserve">consigne expresamente la supervisión de contratos, </w:t>
      </w:r>
      <w:r>
        <w:rPr>
          <w:rFonts w:ascii="Verdana" w:eastAsia="Calibri" w:hAnsi="Verdana" w:cs="Arial"/>
          <w:color w:val="000000" w:themeColor="text1"/>
          <w:lang w:val="es-ES"/>
        </w:rPr>
        <w:t xml:space="preserve">ya que </w:t>
      </w:r>
      <w:r w:rsidRPr="003F1FD8">
        <w:rPr>
          <w:rFonts w:ascii="Verdana" w:eastAsia="Calibri" w:hAnsi="Verdana" w:cs="Arial"/>
          <w:color w:val="000000" w:themeColor="text1"/>
          <w:lang w:val="es-ES"/>
        </w:rPr>
        <w:t xml:space="preserve">se entiende como una </w:t>
      </w:r>
      <w:r>
        <w:rPr>
          <w:rFonts w:ascii="Verdana" w:eastAsia="Calibri" w:hAnsi="Verdana" w:cs="Arial"/>
          <w:color w:val="000000" w:themeColor="text1"/>
          <w:lang w:val="es-ES"/>
        </w:rPr>
        <w:t xml:space="preserve">función </w:t>
      </w:r>
      <w:r w:rsidRPr="003F1FD8">
        <w:rPr>
          <w:rFonts w:ascii="Verdana" w:eastAsia="Calibri" w:hAnsi="Verdana" w:cs="Arial"/>
          <w:color w:val="000000" w:themeColor="text1"/>
          <w:lang w:val="es-ES"/>
        </w:rPr>
        <w:t>inherente al ejercicio ordinario de los servidores públicos.</w:t>
      </w:r>
      <w:r>
        <w:rPr>
          <w:rFonts w:ascii="Verdana" w:eastAsia="Calibri" w:hAnsi="Verdana" w:cs="Arial"/>
          <w:color w:val="000000" w:themeColor="text1"/>
          <w:lang w:val="es-ES"/>
        </w:rPr>
        <w:t xml:space="preserve"> </w:t>
      </w:r>
      <w:r w:rsidRPr="00AD173A">
        <w:rPr>
          <w:rFonts w:ascii="Verdana" w:eastAsia="Calibri" w:hAnsi="Verdana" w:cs="Arial"/>
          <w:color w:val="000000" w:themeColor="text1"/>
          <w:lang w:val="es-ES"/>
        </w:rPr>
        <w:t xml:space="preserve">Así mismo, la </w:t>
      </w:r>
      <w:r>
        <w:rPr>
          <w:rFonts w:ascii="Verdana" w:eastAsia="Calibri" w:hAnsi="Verdana" w:cs="Arial"/>
          <w:color w:val="000000" w:themeColor="text1"/>
          <w:lang w:val="es-ES"/>
        </w:rPr>
        <w:t>e</w:t>
      </w:r>
      <w:r w:rsidRPr="00AD173A">
        <w:rPr>
          <w:rFonts w:ascii="Verdana" w:eastAsia="Calibri" w:hAnsi="Verdana" w:cs="Arial"/>
          <w:color w:val="000000" w:themeColor="text1"/>
          <w:lang w:val="es-ES"/>
        </w:rPr>
        <w:t xml:space="preserve">ntidad </w:t>
      </w:r>
      <w:r>
        <w:rPr>
          <w:rFonts w:ascii="Verdana" w:eastAsia="Calibri" w:hAnsi="Verdana" w:cs="Arial"/>
          <w:color w:val="000000" w:themeColor="text1"/>
          <w:lang w:val="es-ES"/>
        </w:rPr>
        <w:t>e</w:t>
      </w:r>
      <w:r w:rsidRPr="00AD173A">
        <w:rPr>
          <w:rFonts w:ascii="Verdana" w:eastAsia="Calibri" w:hAnsi="Verdana" w:cs="Arial"/>
          <w:color w:val="000000" w:themeColor="text1"/>
          <w:lang w:val="es-ES"/>
        </w:rPr>
        <w:t>statal debe evaluar la carga operativa del funcionario designado, con el fin de evitar los riesgos derivados de una supervisión deficiente por falta de tiempo.</w:t>
      </w:r>
    </w:p>
    <w:p w14:paraId="1D8B0BAA" w14:textId="77777777" w:rsidR="0045785F" w:rsidRDefault="0045785F" w:rsidP="0045785F">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rPr>
        <w:tab/>
        <w:t xml:space="preserve">Ahora bien, en torno a la participación de un servidor público </w:t>
      </w:r>
      <w:r w:rsidRPr="00963E12">
        <w:rPr>
          <w:rFonts w:ascii="Verdana" w:eastAsia="Calibri" w:hAnsi="Verdana" w:cs="Arial"/>
          <w:color w:val="000000" w:themeColor="text1"/>
          <w:lang w:val="es-ES"/>
        </w:rPr>
        <w:t xml:space="preserve">en la estructuración de un proceso contractual no lo inhabilita para ejercer la supervisión de los contratos </w:t>
      </w:r>
      <w:r>
        <w:rPr>
          <w:rFonts w:ascii="Verdana" w:eastAsia="Calibri" w:hAnsi="Verdana" w:cs="Arial"/>
          <w:color w:val="000000" w:themeColor="text1"/>
          <w:lang w:val="es-ES"/>
        </w:rPr>
        <w:t>estatales</w:t>
      </w:r>
      <w:r w:rsidRPr="00963E12">
        <w:rPr>
          <w:rFonts w:ascii="Verdana" w:eastAsia="Calibri" w:hAnsi="Verdana" w:cs="Arial"/>
          <w:color w:val="000000" w:themeColor="text1"/>
          <w:lang w:val="es-ES"/>
        </w:rPr>
        <w:t>. La</w:t>
      </w:r>
      <w:r>
        <w:rPr>
          <w:rFonts w:ascii="Verdana" w:eastAsia="Calibri" w:hAnsi="Verdana" w:cs="Arial"/>
          <w:color w:val="000000" w:themeColor="text1"/>
          <w:lang w:val="es-ES"/>
        </w:rPr>
        <w:t xml:space="preserve">s reglas del sistema de compras públicas permiten </w:t>
      </w:r>
      <w:r w:rsidRPr="00963E12">
        <w:rPr>
          <w:rFonts w:ascii="Verdana" w:eastAsia="Calibri" w:hAnsi="Verdana" w:cs="Arial"/>
          <w:color w:val="000000" w:themeColor="text1"/>
          <w:lang w:val="es-ES"/>
        </w:rPr>
        <w:t>que funcionarios de la misma entidad asuman esta función, siempre que no exista un beneficio personal o familiar y que se respeten las reglas de inhabilidades e incompatibilidades</w:t>
      </w:r>
      <w:r>
        <w:rPr>
          <w:rFonts w:ascii="Verdana" w:eastAsia="Calibri" w:hAnsi="Verdana" w:cs="Arial"/>
          <w:color w:val="000000" w:themeColor="text1"/>
          <w:lang w:val="es-ES"/>
        </w:rPr>
        <w:t xml:space="preserve">, así como los conflictos de interés. </w:t>
      </w:r>
    </w:p>
    <w:p w14:paraId="7A4B31ED" w14:textId="77777777" w:rsidR="0045785F" w:rsidRDefault="0045785F" w:rsidP="0045785F">
      <w:pPr>
        <w:spacing w:after="120" w:line="276" w:lineRule="auto"/>
        <w:ind w:firstLine="708"/>
        <w:jc w:val="both"/>
        <w:rPr>
          <w:rFonts w:ascii="Verdana" w:eastAsia="Calibri" w:hAnsi="Verdana" w:cs="Arial"/>
          <w:bCs/>
          <w:color w:val="000000" w:themeColor="text1"/>
          <w:lang w:val="es-ES"/>
        </w:rPr>
      </w:pPr>
      <w:r w:rsidRPr="00617E91">
        <w:rPr>
          <w:rFonts w:ascii="Verdana" w:eastAsia="Calibri" w:hAnsi="Verdana" w:cs="Arial"/>
          <w:lang w:val="es-ES"/>
        </w:rPr>
        <w:t xml:space="preserve">La procedencia de la designación depende de que el servidor sea independiente frente al contratista y que su rol previo no comprometa la objetividad de la vigilancia de la ejecución contractual. </w:t>
      </w:r>
      <w:bookmarkStart w:id="4" w:name="_Hlk36672256"/>
      <w:r>
        <w:rPr>
          <w:rFonts w:ascii="Verdana" w:eastAsia="Calibri" w:hAnsi="Verdana" w:cs="Arial"/>
          <w:lang w:val="es-ES"/>
        </w:rPr>
        <w:t xml:space="preserve">A modo de ejemplo, se </w:t>
      </w:r>
      <w:r>
        <w:rPr>
          <w:rFonts w:ascii="Verdana" w:eastAsia="Calibri" w:hAnsi="Verdana" w:cs="Arial"/>
          <w:lang w:val="es-ES"/>
        </w:rPr>
        <w:lastRenderedPageBreak/>
        <w:t xml:space="preserve">encuentra </w:t>
      </w:r>
      <w:r w:rsidRPr="004B73B9">
        <w:rPr>
          <w:rFonts w:ascii="Verdana" w:eastAsia="Calibri" w:hAnsi="Verdana" w:cs="Arial"/>
          <w:bCs/>
          <w:color w:val="000000" w:themeColor="text1"/>
        </w:rPr>
        <w:t xml:space="preserve">en </w:t>
      </w:r>
      <w:r w:rsidRPr="004B73B9">
        <w:rPr>
          <w:rFonts w:ascii="Verdana" w:eastAsia="Calibri" w:hAnsi="Verdana" w:cs="Arial"/>
          <w:bCs/>
          <w:color w:val="000000" w:themeColor="text1"/>
          <w:lang w:val="es-ES_tradnl"/>
        </w:rPr>
        <w:t xml:space="preserve">el literal c) del numeral 4° del artículo 2 de la Ley 1150 de 2007, en torno a la celebración de contratos interadministrativos. Según el inciso cuarto de este literal </w:t>
      </w:r>
      <w:r w:rsidRPr="004B73B9">
        <w:rPr>
          <w:rFonts w:ascii="Verdana" w:eastAsia="Calibri" w:hAnsi="Verdana" w:cs="Arial"/>
          <w:color w:val="000000" w:themeColor="text1"/>
          <w:lang w:val="es-ES_tradnl"/>
        </w:rPr>
        <w:t>“</w:t>
      </w:r>
      <w:r w:rsidRPr="004B73B9">
        <w:rPr>
          <w:rFonts w:ascii="Verdana" w:eastAsia="Calibri" w:hAnsi="Verdana" w:cs="Arial"/>
          <w:bCs/>
          <w:color w:val="000000" w:themeColor="text1"/>
          <w:lang w:val="es-ES_tradnl"/>
        </w:rPr>
        <w:t xml:space="preserve">En aquellos casos en que la entidad estatal ejecutora deba </w:t>
      </w:r>
      <w:r w:rsidRPr="004B73B9">
        <w:rPr>
          <w:rFonts w:ascii="Verdana" w:eastAsia="Calibri" w:hAnsi="Verdana" w:cs="Arial"/>
          <w:bCs/>
          <w:i/>
          <w:iCs/>
          <w:color w:val="000000" w:themeColor="text1"/>
          <w:lang w:val="es-ES_tradnl"/>
        </w:rPr>
        <w:t>subcontratar algunas de las actividades</w:t>
      </w:r>
      <w:r w:rsidRPr="004B73B9">
        <w:rPr>
          <w:rFonts w:ascii="Verdana" w:eastAsia="Calibri" w:hAnsi="Verdana" w:cs="Arial"/>
          <w:bCs/>
          <w:color w:val="000000" w:themeColor="text1"/>
          <w:lang w:val="es-ES_tradnl"/>
        </w:rPr>
        <w:t xml:space="preserve"> derivadas del contrato principal, no podrá ni ella ni el subcontratista, contratar o vincular a las personas naturales o jurídicas que hayan participado en la elaboración de los estudios, diseños y proyectos que tengan relación directa con el objeto del contrato principal</w:t>
      </w:r>
      <w:r w:rsidRPr="004B73B9">
        <w:rPr>
          <w:rFonts w:ascii="Verdana" w:eastAsia="Calibri" w:hAnsi="Verdana" w:cs="Arial"/>
          <w:color w:val="000000" w:themeColor="text1"/>
          <w:lang w:val="es-ES_tradnl"/>
        </w:rPr>
        <w:t>” (Énfasis por fuera de texto)</w:t>
      </w:r>
      <w:r w:rsidRPr="004B73B9">
        <w:rPr>
          <w:rFonts w:ascii="Verdana" w:eastAsia="Calibri" w:hAnsi="Verdana" w:cs="Arial"/>
          <w:bCs/>
          <w:color w:val="000000" w:themeColor="text1"/>
        </w:rPr>
        <w:t>.</w:t>
      </w:r>
      <w:r w:rsidRPr="004B73B9">
        <w:rPr>
          <w:rFonts w:ascii="Verdana" w:eastAsia="Calibri" w:hAnsi="Verdana" w:cs="Arial"/>
          <w:color w:val="000000" w:themeColor="text1"/>
          <w:lang w:val="es-ES"/>
        </w:rPr>
        <w:t xml:space="preserve"> </w:t>
      </w:r>
      <w:r w:rsidRPr="004B73B9">
        <w:rPr>
          <w:rFonts w:ascii="Verdana" w:eastAsia="Calibri" w:hAnsi="Verdana" w:cs="Arial"/>
          <w:bCs/>
          <w:color w:val="000000" w:themeColor="text1"/>
          <w:lang w:val="es-ES"/>
        </w:rPr>
        <w:t xml:space="preserve">De este modo, en los supuestos en que la entidad estatal sea la ejecutora deba contratar algunas de las actividades enmarcadas en el contrato interadministrativo –contrato principal- prohíbe que esta o el subcontratista contrate a una persona natural o jurídica que hayan participado en la elaboración </w:t>
      </w:r>
      <w:r w:rsidRPr="004B73B9">
        <w:rPr>
          <w:rFonts w:ascii="Verdana" w:eastAsia="Calibri" w:hAnsi="Verdana" w:cs="Arial"/>
          <w:bCs/>
          <w:color w:val="000000" w:themeColor="text1"/>
          <w:lang w:val="es-ES_tradnl"/>
        </w:rPr>
        <w:t>de los estudios, diseños y proyectos que tengan relación directa con el objeto del contrato principal.</w:t>
      </w:r>
      <w:r w:rsidRPr="004B73B9">
        <w:rPr>
          <w:rFonts w:ascii="Verdana" w:eastAsia="Calibri" w:hAnsi="Verdana" w:cs="Arial"/>
          <w:bCs/>
          <w:color w:val="000000" w:themeColor="text1"/>
          <w:lang w:val="es-ES"/>
        </w:rPr>
        <w:t xml:space="preserve"> </w:t>
      </w:r>
    </w:p>
    <w:p w14:paraId="31C741A4" w14:textId="77777777" w:rsidR="0045785F" w:rsidRPr="00D85F06" w:rsidRDefault="0045785F" w:rsidP="0045785F">
      <w:pPr>
        <w:spacing w:after="120" w:line="276" w:lineRule="auto"/>
        <w:ind w:firstLine="708"/>
        <w:jc w:val="both"/>
        <w:rPr>
          <w:rFonts w:ascii="Verdana" w:eastAsia="Calibri" w:hAnsi="Verdana" w:cs="Arial"/>
          <w:color w:val="000000" w:themeColor="text1"/>
          <w:lang w:val="es-ES"/>
        </w:rPr>
      </w:pPr>
      <w:r>
        <w:rPr>
          <w:rFonts w:ascii="Verdana" w:eastAsia="Calibri" w:hAnsi="Verdana" w:cs="Arial"/>
          <w:bCs/>
          <w:color w:val="000000" w:themeColor="text1"/>
          <w:lang w:val="es-ES"/>
        </w:rPr>
        <w:t xml:space="preserve">En el escenario de la supervisión no existe esta limitación con respecto a los servidores que participan en la estructuración del proceso de contratación, pero debe actuar conforme a las reglas de la moralidad administrativa. </w:t>
      </w:r>
      <w:r w:rsidRPr="00617E91">
        <w:rPr>
          <w:rFonts w:ascii="Verdana" w:eastAsia="Calibri" w:hAnsi="Verdana" w:cs="Arial"/>
          <w:lang w:val="es-ES"/>
        </w:rPr>
        <w:t xml:space="preserve">En esta línea, 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1437 de 2011–. En desarrollo de esta directriz, </w:t>
      </w:r>
      <w:bookmarkStart w:id="5" w:name="_Hlk36672204"/>
      <w:r w:rsidRPr="00617E91">
        <w:rPr>
          <w:rFonts w:ascii="Verdana" w:eastAsia="Calibri" w:hAnsi="Verdana" w:cs="Arial"/>
          <w:lang w:val="es-ES"/>
        </w:rPr>
        <w:t xml:space="preserve">el régimen de los </w:t>
      </w:r>
      <w:r w:rsidRPr="00617E91">
        <w:rPr>
          <w:rFonts w:ascii="Verdana" w:eastAsia="Calibri" w:hAnsi="Verdana" w:cs="Arial"/>
          <w:i/>
          <w:iCs/>
          <w:lang w:val="es-ES"/>
        </w:rPr>
        <w:t>conflictos de interés</w:t>
      </w:r>
      <w:r w:rsidRPr="00617E91">
        <w:rPr>
          <w:rFonts w:ascii="Verdana" w:eastAsia="Calibri" w:hAnsi="Verdana" w:cs="Arial"/>
          <w:lang w:val="es-ES"/>
        </w:rPr>
        <w:t xml:space="preserve"> tiene como objetivo la prevalencia del bien común sobre el particular, razón por la cual se configuran cuando actúan influenciados por consideraciones personales que colisionan con el beber de preservar su independencia e imparcialidad. En este sentido, se definen como la </w:t>
      </w:r>
      <w:bookmarkStart w:id="6" w:name="_Hlk36668905"/>
      <w:r w:rsidRPr="00617E91">
        <w:rPr>
          <w:rFonts w:ascii="Verdana" w:eastAsia="Calibri" w:hAnsi="Verdana" w:cs="Arial"/>
          <w:lang w:val="es-ES"/>
        </w:rPr>
        <w:t>concurrencia de intereses antagónicos que afectan la transparencia de las decisiones, al implicar –en detrimento del interés general– el aprovechamiento personal, familiar o particular</w:t>
      </w:r>
      <w:bookmarkEnd w:id="4"/>
      <w:bookmarkEnd w:id="5"/>
      <w:bookmarkEnd w:id="6"/>
      <w:r w:rsidRPr="00617E91">
        <w:rPr>
          <w:rFonts w:ascii="Verdana" w:eastAsia="Calibri" w:hAnsi="Verdana" w:cs="Arial"/>
          <w:vertAlign w:val="superscript"/>
          <w:lang w:val="es-ES"/>
        </w:rPr>
        <w:footnoteReference w:id="11"/>
      </w:r>
      <w:r w:rsidRPr="00617E91">
        <w:rPr>
          <w:rFonts w:ascii="Verdana" w:eastAsia="Calibri" w:hAnsi="Verdana" w:cs="Arial"/>
          <w:lang w:val="es-ES"/>
        </w:rPr>
        <w:t>.</w:t>
      </w:r>
    </w:p>
    <w:p w14:paraId="442E03D3" w14:textId="77777777" w:rsidR="0045785F" w:rsidRPr="00617E91" w:rsidRDefault="0045785F" w:rsidP="0045785F">
      <w:pPr>
        <w:spacing w:before="120" w:after="120" w:line="276" w:lineRule="auto"/>
        <w:ind w:firstLine="709"/>
        <w:jc w:val="both"/>
        <w:rPr>
          <w:rFonts w:ascii="Verdana" w:eastAsia="Calibri" w:hAnsi="Verdana" w:cs="Arial"/>
          <w:lang w:val="es-ES_tradnl"/>
        </w:rPr>
      </w:pPr>
      <w:r w:rsidRPr="00617E91">
        <w:rPr>
          <w:rFonts w:ascii="Verdana" w:eastAsia="Calibri" w:hAnsi="Verdana" w:cs="Arial"/>
          <w:lang w:val="es-ES_tradnl"/>
        </w:rPr>
        <w:t xml:space="preserve">La institución de los conflictos de interés no está definida con carácter general en las normas que regulan la contratación estatal, por lo que es un asunto no regulado en el EGCAP. Sin embargo, el artículo 77 de la Ley 80 ha señalado que “en cuanto sean compatibles con la finalidad y los principios de esta ley, las normas que rigen los procedimientos y actuaciones en la función </w:t>
      </w:r>
      <w:r w:rsidRPr="00617E91">
        <w:rPr>
          <w:rFonts w:ascii="Verdana" w:eastAsia="Calibri" w:hAnsi="Verdana" w:cs="Arial"/>
          <w:lang w:val="es-ES_tradnl"/>
        </w:rPr>
        <w:lastRenderedPageBreak/>
        <w:t xml:space="preserve">administrativa serán aplicables en las actuaciones contractuales”. Esta disposición es armónica, además, con lo establecido en el artículo 2 de la Ley 1437 de 2011, Código de procedimiento Administrativo y de lo Contencioso Administrativo –CPACA–, que en su artículo segundo establece que las disposiciones de dicho código se aplicarán de forma </w:t>
      </w:r>
      <w:proofErr w:type="spellStart"/>
      <w:r w:rsidRPr="00617E91">
        <w:rPr>
          <w:rFonts w:ascii="Verdana" w:eastAsia="Calibri" w:hAnsi="Verdana" w:cs="Arial"/>
          <w:lang w:val="es-ES_tradnl"/>
        </w:rPr>
        <w:t>supletiva</w:t>
      </w:r>
      <w:proofErr w:type="spellEnd"/>
      <w:r w:rsidRPr="00617E91">
        <w:rPr>
          <w:rFonts w:ascii="Verdana" w:eastAsia="Calibri" w:hAnsi="Verdana" w:cs="Arial"/>
          <w:lang w:val="es-ES_tradnl"/>
        </w:rPr>
        <w:t xml:space="preserve"> en los aspectos no regulados en procedimientos administrativos especiales, como sería en los procedimientos administrativos de selección de contratistas</w:t>
      </w:r>
      <w:r w:rsidRPr="00617E91">
        <w:rPr>
          <w:rFonts w:ascii="Verdana" w:eastAsia="Calibri" w:hAnsi="Verdana" w:cs="Arial"/>
          <w:vertAlign w:val="superscript"/>
          <w:lang w:val="es-ES_tradnl"/>
        </w:rPr>
        <w:footnoteReference w:id="12"/>
      </w:r>
      <w:r w:rsidRPr="00617E91">
        <w:rPr>
          <w:rFonts w:ascii="Verdana" w:eastAsia="Calibri" w:hAnsi="Verdana" w:cs="Arial"/>
          <w:lang w:val="es-ES_tradnl"/>
        </w:rPr>
        <w:t xml:space="preserve">. </w:t>
      </w:r>
    </w:p>
    <w:p w14:paraId="345587ED" w14:textId="77777777" w:rsidR="0045785F" w:rsidRPr="00617E91" w:rsidRDefault="0045785F" w:rsidP="0045785F">
      <w:pPr>
        <w:spacing w:before="120" w:after="0" w:line="276" w:lineRule="auto"/>
        <w:ind w:firstLine="709"/>
        <w:jc w:val="both"/>
        <w:rPr>
          <w:rFonts w:ascii="Verdana" w:eastAsia="Calibri" w:hAnsi="Verdana" w:cs="Arial"/>
          <w:lang w:val="es-ES"/>
        </w:rPr>
      </w:pPr>
      <w:r w:rsidRPr="00617E91">
        <w:rPr>
          <w:rFonts w:ascii="Verdana" w:eastAsia="Calibri" w:hAnsi="Verdana" w:cs="Arial"/>
          <w:lang w:val="es-ES"/>
        </w:rPr>
        <w:t xml:space="preserve">De esta manera, en los procesos de contratación resultan aplicables, de forma </w:t>
      </w:r>
      <w:proofErr w:type="spellStart"/>
      <w:r w:rsidRPr="00617E91">
        <w:rPr>
          <w:rFonts w:ascii="Verdana" w:eastAsia="Calibri" w:hAnsi="Verdana" w:cs="Arial"/>
          <w:lang w:val="es-ES"/>
        </w:rPr>
        <w:t>supletiva</w:t>
      </w:r>
      <w:proofErr w:type="spellEnd"/>
      <w:r w:rsidRPr="00617E91">
        <w:rPr>
          <w:rFonts w:ascii="Verdana" w:eastAsia="Calibri" w:hAnsi="Verdana" w:cs="Arial"/>
          <w:lang w:val="es-ES"/>
        </w:rPr>
        <w:t xml:space="preserve">, la regulación de los conflictos de interés, las causales de impedimento y recusación, al igual que el trámite de los impedimentos y recusaciones, esto es, los artículos 11 y 12 de la Ley 1437 de 2011. En este sentido, en caso de que estos servidores públicos que fungen como supervisores adviertan que incurren en alguna de las causales establecidas en el artículo 11 del CPACA, dada su relación, de acuerdo con las causales establecidas en dicho artículo, con alguno de los proponentes, correspondería aplicar el trámite establecido en el artículo 12 de la misma ley. Sobre el particular el artículo 11 de la mencionada Ley ha establecido frente al conflicto de interés lo siguiente: </w:t>
      </w:r>
    </w:p>
    <w:p w14:paraId="504C5382" w14:textId="77777777" w:rsidR="0045785F" w:rsidRPr="0049722A" w:rsidRDefault="0045785F" w:rsidP="0045785F">
      <w:pPr>
        <w:spacing w:before="120" w:after="0" w:line="276" w:lineRule="auto"/>
        <w:ind w:firstLine="709"/>
        <w:jc w:val="both"/>
        <w:rPr>
          <w:rFonts w:ascii="Verdana" w:eastAsia="Calibri" w:hAnsi="Verdana" w:cs="Arial"/>
          <w:color w:val="000000"/>
          <w:lang w:val="es-ES_tradnl"/>
        </w:rPr>
      </w:pPr>
    </w:p>
    <w:p w14:paraId="1B2C75D9" w14:textId="77777777" w:rsidR="0045785F" w:rsidRPr="00624EEC" w:rsidRDefault="0045785F" w:rsidP="0045785F">
      <w:pPr>
        <w:spacing w:after="0" w:line="240" w:lineRule="auto"/>
        <w:ind w:left="709" w:right="709"/>
        <w:jc w:val="both"/>
        <w:rPr>
          <w:rFonts w:ascii="Verdana" w:eastAsia="Calibri" w:hAnsi="Verdana" w:cs="Arial"/>
          <w:color w:val="000000"/>
          <w:sz w:val="20"/>
          <w:szCs w:val="20"/>
          <w:lang w:val="es-ES_tradnl"/>
        </w:rPr>
      </w:pPr>
      <w:r w:rsidRPr="00624EEC">
        <w:rPr>
          <w:rFonts w:ascii="Verdana" w:eastAsia="Calibri" w:hAnsi="Verdana" w:cs="Arial"/>
          <w:color w:val="000000"/>
          <w:sz w:val="20"/>
          <w:szCs w:val="20"/>
          <w:lang w:val="es-ES_tradnl"/>
        </w:rPr>
        <w:t>Cuando el interés general propio de la función pública entre en conflicto con el interés particular y directo del servidor público, este deberá declararse impedido. Todo servidor público que deba adelantar o sustanciar actuaciones administrativas, realizar investigaciones, practicar pruebas o pronunciar decisiones definitivas podrá ser recusado si no manifiesta su impedimento por: […]</w:t>
      </w:r>
    </w:p>
    <w:p w14:paraId="13B1D496" w14:textId="77777777" w:rsidR="0045785F" w:rsidRPr="0049722A" w:rsidRDefault="0045785F" w:rsidP="0045785F">
      <w:pPr>
        <w:spacing w:after="0" w:line="240" w:lineRule="auto"/>
        <w:ind w:left="709" w:right="709"/>
        <w:jc w:val="both"/>
        <w:rPr>
          <w:rFonts w:ascii="Verdana" w:eastAsia="Calibri" w:hAnsi="Verdana" w:cs="Arial"/>
          <w:color w:val="000000"/>
          <w:sz w:val="21"/>
          <w:szCs w:val="21"/>
          <w:lang w:val="es-ES_tradnl"/>
        </w:rPr>
      </w:pPr>
    </w:p>
    <w:p w14:paraId="28352E4C" w14:textId="77777777" w:rsidR="0045785F" w:rsidRPr="008C7534" w:rsidRDefault="0045785F" w:rsidP="0045785F">
      <w:pPr>
        <w:spacing w:before="120" w:after="120" w:line="276" w:lineRule="auto"/>
        <w:ind w:firstLine="709"/>
        <w:jc w:val="both"/>
        <w:rPr>
          <w:rFonts w:ascii="Verdana" w:eastAsia="Calibri" w:hAnsi="Verdana" w:cs="Arial"/>
          <w:color w:val="000000"/>
          <w:lang w:val="es-MX"/>
        </w:rPr>
      </w:pPr>
      <w:r w:rsidRPr="0049722A">
        <w:rPr>
          <w:rFonts w:ascii="Verdana" w:eastAsia="Calibri" w:hAnsi="Verdana" w:cs="Arial"/>
          <w:color w:val="000000"/>
          <w:lang w:val="es-ES_tradnl"/>
        </w:rPr>
        <w:t>Por tanto, el régimen de conflicto de interés es aplicable a los</w:t>
      </w:r>
      <w:r>
        <w:rPr>
          <w:rFonts w:ascii="Verdana" w:eastAsia="Calibri" w:hAnsi="Verdana" w:cs="Arial"/>
          <w:color w:val="000000"/>
          <w:lang w:val="es-ES_tradnl"/>
        </w:rPr>
        <w:t xml:space="preserve"> </w:t>
      </w:r>
      <w:r w:rsidRPr="00C93F4F">
        <w:rPr>
          <w:rFonts w:ascii="Verdana" w:eastAsia="Calibri" w:hAnsi="Verdana" w:cs="Arial"/>
          <w:color w:val="000000"/>
          <w:lang w:val="es-ES"/>
        </w:rPr>
        <w:t>servidores</w:t>
      </w:r>
      <w:r>
        <w:rPr>
          <w:rFonts w:ascii="Verdana" w:eastAsia="Calibri" w:hAnsi="Verdana" w:cs="Arial"/>
          <w:color w:val="000000"/>
          <w:lang w:val="es-ES"/>
        </w:rPr>
        <w:t xml:space="preserve"> públicos. En efecto, se presentaría un conflicto de interés por parte del servidor público para supervisar el contrato, al encontrarse en las causales reguladas</w:t>
      </w:r>
      <w:r w:rsidRPr="0049722A">
        <w:rPr>
          <w:rFonts w:ascii="Verdana" w:eastAsia="Calibri" w:hAnsi="Verdana" w:cs="Arial"/>
          <w:color w:val="000000"/>
          <w:lang w:val="es-ES_tradnl"/>
        </w:rPr>
        <w:t xml:space="preserve"> en el artículo 11 de la Ley 1437 de 2011, </w:t>
      </w:r>
      <w:r>
        <w:rPr>
          <w:rFonts w:ascii="Verdana" w:eastAsia="Calibri" w:hAnsi="Verdana" w:cs="Arial"/>
          <w:color w:val="000000"/>
          <w:lang w:val="es-ES_tradnl"/>
        </w:rPr>
        <w:t>siendo necesario que se declare</w:t>
      </w:r>
      <w:r w:rsidRPr="0049722A">
        <w:rPr>
          <w:rFonts w:ascii="Verdana" w:eastAsia="Calibri" w:hAnsi="Verdana" w:cs="Arial"/>
          <w:color w:val="000000"/>
          <w:lang w:val="es-ES_tradnl"/>
        </w:rPr>
        <w:t xml:space="preserve"> impedido </w:t>
      </w:r>
      <w:r w:rsidRPr="0049722A">
        <w:rPr>
          <w:rFonts w:ascii="Verdana" w:eastAsia="Calibri" w:hAnsi="Verdana" w:cs="Arial"/>
          <w:color w:val="000000"/>
          <w:lang w:val="es-ES_tradnl"/>
        </w:rPr>
        <w:lastRenderedPageBreak/>
        <w:t xml:space="preserve">conforme </w:t>
      </w:r>
      <w:r>
        <w:rPr>
          <w:rFonts w:ascii="Verdana" w:eastAsia="Calibri" w:hAnsi="Verdana" w:cs="Arial"/>
          <w:color w:val="000000"/>
          <w:lang w:val="es-ES_tradnl"/>
        </w:rPr>
        <w:t xml:space="preserve">a </w:t>
      </w:r>
      <w:r w:rsidRPr="0049722A">
        <w:rPr>
          <w:rFonts w:ascii="Verdana" w:eastAsia="Calibri" w:hAnsi="Verdana" w:cs="Arial"/>
          <w:color w:val="000000"/>
          <w:lang w:val="es-ES_tradnl"/>
        </w:rPr>
        <w:t xml:space="preserve">lo </w:t>
      </w:r>
      <w:r>
        <w:rPr>
          <w:rFonts w:ascii="Verdana" w:eastAsia="Calibri" w:hAnsi="Verdana" w:cs="Arial"/>
          <w:color w:val="000000"/>
          <w:lang w:val="es-ES_tradnl"/>
        </w:rPr>
        <w:t xml:space="preserve">que </w:t>
      </w:r>
      <w:r w:rsidRPr="0049722A">
        <w:rPr>
          <w:rFonts w:ascii="Verdana" w:eastAsia="Calibri" w:hAnsi="Verdana" w:cs="Arial"/>
          <w:color w:val="000000"/>
          <w:lang w:val="es-ES_tradnl"/>
        </w:rPr>
        <w:t>dispone el artículo 12 de la Ley 1437 de 2011. De no hacerlo, el mismo podrá ser recusado por cualquier persona que haya detectado la situación siguiendo igualmente el procedimiento descrito en la misma disposición, por afectarse su imparcialidad y objetividad.</w:t>
      </w:r>
      <w:r>
        <w:rPr>
          <w:rFonts w:ascii="Verdana" w:eastAsia="Calibri" w:hAnsi="Verdana" w:cs="Arial"/>
          <w:color w:val="000000"/>
          <w:lang w:val="es-MX"/>
        </w:rPr>
        <w:t xml:space="preserve"> </w:t>
      </w:r>
    </w:p>
    <w:p w14:paraId="1B3DEF1B" w14:textId="77777777" w:rsidR="0045785F" w:rsidRPr="00963E12" w:rsidRDefault="0045785F" w:rsidP="0045785F">
      <w:pPr>
        <w:spacing w:after="120" w:line="276" w:lineRule="auto"/>
        <w:ind w:firstLine="708"/>
        <w:jc w:val="both"/>
        <w:rPr>
          <w:rFonts w:ascii="Verdana" w:eastAsia="Calibri" w:hAnsi="Verdana" w:cs="Arial"/>
          <w:color w:val="000000" w:themeColor="text1"/>
          <w:lang w:val="es-ES"/>
        </w:rPr>
      </w:pPr>
      <w:r>
        <w:rPr>
          <w:rFonts w:ascii="Verdana" w:eastAsia="Calibri" w:hAnsi="Verdana" w:cs="Arial"/>
          <w:bCs/>
          <w:lang w:val="es-ES_tradnl"/>
        </w:rPr>
        <w:t xml:space="preserve">Ahora bien, si no se presenta una causal de conflictos de interés por parte de la supervisión, </w:t>
      </w:r>
      <w:r w:rsidRPr="00963E12">
        <w:rPr>
          <w:rFonts w:ascii="Verdana" w:eastAsia="Calibri" w:hAnsi="Verdana" w:cs="Arial"/>
          <w:color w:val="000000" w:themeColor="text1"/>
          <w:lang w:val="es-ES"/>
        </w:rPr>
        <w:t xml:space="preserve">es fundamental reconocer que la acumulación de funciones críticas puede generar riesgos de parcialidad. Por ello, aunque sea </w:t>
      </w:r>
      <w:r>
        <w:rPr>
          <w:rFonts w:ascii="Verdana" w:eastAsia="Calibri" w:hAnsi="Verdana" w:cs="Arial"/>
          <w:color w:val="000000" w:themeColor="text1"/>
          <w:lang w:val="es-ES"/>
        </w:rPr>
        <w:t>procedente</w:t>
      </w:r>
      <w:r w:rsidRPr="00963E12">
        <w:rPr>
          <w:rFonts w:ascii="Verdana" w:eastAsia="Calibri" w:hAnsi="Verdana" w:cs="Arial"/>
          <w:color w:val="000000" w:themeColor="text1"/>
          <w:lang w:val="es-ES"/>
        </w:rPr>
        <w:t xml:space="preserve">, se recomienda que la entidad evalúe la conveniencia de </w:t>
      </w:r>
      <w:r>
        <w:rPr>
          <w:rFonts w:ascii="Verdana" w:eastAsia="Calibri" w:hAnsi="Verdana" w:cs="Arial"/>
          <w:color w:val="000000" w:themeColor="text1"/>
          <w:lang w:val="es-ES"/>
        </w:rPr>
        <w:t>de</w:t>
      </w:r>
      <w:r w:rsidRPr="00963E12">
        <w:rPr>
          <w:rFonts w:ascii="Verdana" w:eastAsia="Calibri" w:hAnsi="Verdana" w:cs="Arial"/>
          <w:color w:val="000000" w:themeColor="text1"/>
          <w:lang w:val="es-ES"/>
        </w:rPr>
        <w:t>signar la supervisión a quien participó en la estructuración, considerando la necesidad de preservar la</w:t>
      </w:r>
      <w:r>
        <w:rPr>
          <w:rFonts w:ascii="Verdana" w:eastAsia="Calibri" w:hAnsi="Verdana" w:cs="Arial"/>
          <w:color w:val="000000" w:themeColor="text1"/>
          <w:lang w:val="es-ES"/>
        </w:rPr>
        <w:t xml:space="preserve"> transparencia</w:t>
      </w:r>
      <w:r w:rsidRPr="00963E12">
        <w:rPr>
          <w:rFonts w:ascii="Verdana" w:eastAsia="Calibri" w:hAnsi="Verdana" w:cs="Arial"/>
          <w:color w:val="000000" w:themeColor="text1"/>
          <w:lang w:val="es-ES"/>
        </w:rPr>
        <w:t xml:space="preserve">. </w:t>
      </w:r>
      <w:r>
        <w:rPr>
          <w:rFonts w:ascii="Verdana" w:eastAsia="Calibri" w:hAnsi="Verdana" w:cs="Arial"/>
          <w:color w:val="000000" w:themeColor="text1"/>
          <w:lang w:val="es-ES"/>
        </w:rPr>
        <w:t xml:space="preserve">El punto importante </w:t>
      </w:r>
      <w:r w:rsidRPr="00963E12">
        <w:rPr>
          <w:rFonts w:ascii="Verdana" w:eastAsia="Calibri" w:hAnsi="Verdana" w:cs="Arial"/>
          <w:color w:val="000000" w:themeColor="text1"/>
          <w:lang w:val="es-ES"/>
        </w:rPr>
        <w:t>está en garantizar que la supervisión no se con</w:t>
      </w:r>
      <w:r>
        <w:rPr>
          <w:rFonts w:ascii="Verdana" w:eastAsia="Calibri" w:hAnsi="Verdana" w:cs="Arial"/>
          <w:color w:val="000000" w:themeColor="text1"/>
          <w:lang w:val="es-ES"/>
        </w:rPr>
        <w:t>stituya</w:t>
      </w:r>
      <w:r w:rsidRPr="00963E12">
        <w:rPr>
          <w:rFonts w:ascii="Verdana" w:eastAsia="Calibri" w:hAnsi="Verdana" w:cs="Arial"/>
          <w:color w:val="000000" w:themeColor="text1"/>
          <w:lang w:val="es-ES"/>
        </w:rPr>
        <w:t xml:space="preserve"> en una extensión </w:t>
      </w:r>
      <w:r>
        <w:rPr>
          <w:rFonts w:ascii="Verdana" w:eastAsia="Calibri" w:hAnsi="Verdana" w:cs="Arial"/>
          <w:color w:val="000000" w:themeColor="text1"/>
          <w:lang w:val="es-ES"/>
        </w:rPr>
        <w:t xml:space="preserve">o prolongación </w:t>
      </w:r>
      <w:r w:rsidRPr="00963E12">
        <w:rPr>
          <w:rFonts w:ascii="Verdana" w:eastAsia="Calibri" w:hAnsi="Verdana" w:cs="Arial"/>
          <w:color w:val="000000" w:themeColor="text1"/>
          <w:lang w:val="es-ES"/>
        </w:rPr>
        <w:t xml:space="preserve">automática de las decisiones tomadas en la </w:t>
      </w:r>
      <w:r>
        <w:rPr>
          <w:rFonts w:ascii="Verdana" w:eastAsia="Calibri" w:hAnsi="Verdana" w:cs="Arial"/>
          <w:color w:val="000000" w:themeColor="text1"/>
          <w:lang w:val="es-ES"/>
        </w:rPr>
        <w:t xml:space="preserve">etapa </w:t>
      </w:r>
      <w:r w:rsidRPr="00963E12">
        <w:rPr>
          <w:rFonts w:ascii="Verdana" w:eastAsia="Calibri" w:hAnsi="Verdana" w:cs="Arial"/>
          <w:color w:val="000000" w:themeColor="text1"/>
          <w:lang w:val="es-ES"/>
        </w:rPr>
        <w:t>de planeación, sino en un ejercicio independiente</w:t>
      </w:r>
      <w:r>
        <w:rPr>
          <w:rFonts w:ascii="Verdana" w:eastAsia="Calibri" w:hAnsi="Verdana" w:cs="Arial"/>
          <w:color w:val="000000" w:themeColor="text1"/>
          <w:lang w:val="es-ES"/>
        </w:rPr>
        <w:t xml:space="preserve"> y autónomo</w:t>
      </w:r>
      <w:r w:rsidRPr="00963E12">
        <w:rPr>
          <w:rFonts w:ascii="Verdana" w:eastAsia="Calibri" w:hAnsi="Verdana" w:cs="Arial"/>
          <w:color w:val="000000" w:themeColor="text1"/>
          <w:lang w:val="es-ES"/>
        </w:rPr>
        <w:t xml:space="preserve"> </w:t>
      </w:r>
      <w:r w:rsidRPr="004E2B92">
        <w:rPr>
          <w:rFonts w:ascii="Verdana" w:eastAsia="Calibri" w:hAnsi="Verdana" w:cs="Arial"/>
          <w:color w:val="000000" w:themeColor="text1"/>
          <w:lang w:val="es-ES"/>
        </w:rPr>
        <w:t>que garantice el cumplimiento de las obligaciones pactadas, la calidad de los bienes y servicios contratados y la protección de los intereses de la Entidad Estatal.</w:t>
      </w:r>
    </w:p>
    <w:p w14:paraId="320A9BF4" w14:textId="77777777" w:rsidR="0045785F" w:rsidRPr="00963E12" w:rsidRDefault="0045785F" w:rsidP="0045785F">
      <w:pPr>
        <w:spacing w:after="120" w:line="276" w:lineRule="auto"/>
        <w:ind w:firstLine="708"/>
        <w:jc w:val="both"/>
        <w:rPr>
          <w:rFonts w:ascii="Verdana" w:eastAsia="Calibri" w:hAnsi="Verdana" w:cs="Arial"/>
          <w:color w:val="000000" w:themeColor="text1"/>
          <w:lang w:val="es-ES"/>
        </w:rPr>
      </w:pPr>
      <w:r w:rsidRPr="00963E12">
        <w:rPr>
          <w:rFonts w:ascii="Verdana" w:eastAsia="Calibri" w:hAnsi="Verdana" w:cs="Arial"/>
          <w:color w:val="000000" w:themeColor="text1"/>
          <w:lang w:val="es-ES"/>
        </w:rPr>
        <w:t>Para asegurar esa independencia, deben implementarse controles institucionales claros. Entre e</w:t>
      </w:r>
      <w:r>
        <w:rPr>
          <w:rFonts w:ascii="Verdana" w:eastAsia="Calibri" w:hAnsi="Verdana" w:cs="Arial"/>
          <w:color w:val="000000" w:themeColor="text1"/>
          <w:lang w:val="es-ES"/>
        </w:rPr>
        <w:t xml:space="preserve">stos controles, puede señalarse </w:t>
      </w:r>
      <w:r w:rsidRPr="00963E12">
        <w:rPr>
          <w:rFonts w:ascii="Verdana" w:eastAsia="Calibri" w:hAnsi="Verdana" w:cs="Arial"/>
          <w:color w:val="000000" w:themeColor="text1"/>
          <w:lang w:val="es-ES"/>
        </w:rPr>
        <w:t>la obligación de presentar declaraciones de conflicto de interés</w:t>
      </w:r>
      <w:r>
        <w:rPr>
          <w:rFonts w:ascii="Verdana" w:eastAsia="Calibri" w:hAnsi="Verdana" w:cs="Arial"/>
          <w:color w:val="000000" w:themeColor="text1"/>
          <w:lang w:val="es-ES"/>
        </w:rPr>
        <w:t xml:space="preserve"> </w:t>
      </w:r>
      <w:r w:rsidRPr="00BA2EB9">
        <w:rPr>
          <w:rFonts w:ascii="Verdana" w:eastAsia="Calibri" w:hAnsi="Verdana" w:cs="Arial"/>
          <w:color w:val="000000" w:themeColor="text1"/>
          <w:lang w:val="es-ES"/>
        </w:rPr>
        <w:t>y la posibilidad de aplicar mecanismos de impedimento y recusación cuando existan vínculos que afecten la imparcialidad</w:t>
      </w:r>
      <w:r w:rsidRPr="00963E12">
        <w:rPr>
          <w:rFonts w:ascii="Verdana" w:eastAsia="Calibri" w:hAnsi="Verdana" w:cs="Arial"/>
          <w:color w:val="000000" w:themeColor="text1"/>
          <w:lang w:val="es-ES"/>
        </w:rPr>
        <w:t>, la separación de funciones en las etapas críticas del</w:t>
      </w:r>
      <w:r>
        <w:rPr>
          <w:rFonts w:ascii="Verdana" w:eastAsia="Calibri" w:hAnsi="Verdana" w:cs="Arial"/>
          <w:color w:val="000000" w:themeColor="text1"/>
          <w:lang w:val="es-ES"/>
        </w:rPr>
        <w:t xml:space="preserve"> proceso de contratación, la designación de una supervisión colegiada que atienda a los diferentes tipos de seguimiento</w:t>
      </w:r>
      <w:r w:rsidRPr="00963E12">
        <w:rPr>
          <w:rFonts w:ascii="Verdana" w:eastAsia="Calibri" w:hAnsi="Verdana" w:cs="Arial"/>
          <w:color w:val="000000" w:themeColor="text1"/>
          <w:lang w:val="es-ES"/>
        </w:rPr>
        <w:t xml:space="preserve">. </w:t>
      </w:r>
      <w:r>
        <w:rPr>
          <w:rFonts w:ascii="Verdana" w:eastAsia="Calibri" w:hAnsi="Verdana" w:cs="Arial"/>
          <w:color w:val="000000" w:themeColor="text1"/>
          <w:lang w:val="es-ES"/>
        </w:rPr>
        <w:t>De igual modo, es posible l</w:t>
      </w:r>
      <w:r w:rsidRPr="00963E12">
        <w:rPr>
          <w:rFonts w:ascii="Verdana" w:eastAsia="Calibri" w:hAnsi="Verdana" w:cs="Arial"/>
          <w:color w:val="000000" w:themeColor="text1"/>
          <w:lang w:val="es-ES"/>
        </w:rPr>
        <w:t>a rotación de supervisores y la revisión periódica de sus informes por</w:t>
      </w:r>
      <w:r>
        <w:rPr>
          <w:rFonts w:ascii="Verdana" w:eastAsia="Calibri" w:hAnsi="Verdana" w:cs="Arial"/>
          <w:color w:val="000000" w:themeColor="text1"/>
          <w:lang w:val="es-ES"/>
        </w:rPr>
        <w:t xml:space="preserve"> parte del representante legal o su delegado, teniendo en cuenta que hay un </w:t>
      </w:r>
      <w:r w:rsidRPr="004E2B92">
        <w:rPr>
          <w:rFonts w:ascii="Verdana" w:eastAsia="Calibri" w:hAnsi="Verdana" w:cs="Arial"/>
          <w:color w:val="000000" w:themeColor="text1"/>
          <w:lang w:val="es-ES"/>
        </w:rPr>
        <w:t xml:space="preserve">deber de </w:t>
      </w:r>
      <w:r w:rsidRPr="004E2B92">
        <w:rPr>
          <w:rFonts w:ascii="Verdana" w:eastAsia="Calibri" w:hAnsi="Verdana" w:cs="Arial"/>
          <w:color w:val="000000" w:themeColor="text1"/>
        </w:rPr>
        <w:t xml:space="preserve">dirección general y la responsabilidad de ejercer el control y vigilancia de la ejecución del contrato, </w:t>
      </w:r>
      <w:r w:rsidRPr="004E2B92">
        <w:rPr>
          <w:rFonts w:ascii="Verdana" w:eastAsia="Calibri" w:hAnsi="Verdana" w:cs="Arial"/>
          <w:color w:val="000000" w:themeColor="text1"/>
          <w:lang w:val="es-ES"/>
        </w:rPr>
        <w:t xml:space="preserve">de conformidad con el artículo 14, numeral 1° de la Ley 80. </w:t>
      </w:r>
    </w:p>
    <w:p w14:paraId="5C0D9B82" w14:textId="77777777" w:rsidR="0045785F" w:rsidRDefault="0045785F" w:rsidP="0045785F">
      <w:pPr>
        <w:spacing w:after="0" w:line="276" w:lineRule="auto"/>
        <w:ind w:firstLine="708"/>
        <w:jc w:val="both"/>
        <w:rPr>
          <w:rFonts w:ascii="Verdana" w:eastAsia="Calibri" w:hAnsi="Verdana" w:cs="Arial"/>
          <w:color w:val="000000" w:themeColor="text1"/>
          <w:lang w:val="es-ES"/>
        </w:rPr>
      </w:pPr>
      <w:r w:rsidRPr="00963E12">
        <w:rPr>
          <w:rFonts w:ascii="Verdana" w:eastAsia="Calibri" w:hAnsi="Verdana" w:cs="Arial"/>
          <w:color w:val="000000" w:themeColor="text1"/>
          <w:lang w:val="es-ES"/>
        </w:rPr>
        <w:t>Finalmente, la transparencia</w:t>
      </w:r>
      <w:r>
        <w:rPr>
          <w:rFonts w:ascii="Verdana" w:eastAsia="Calibri" w:hAnsi="Verdana" w:cs="Arial"/>
          <w:color w:val="000000" w:themeColor="text1"/>
          <w:lang w:val="es-ES"/>
        </w:rPr>
        <w:t xml:space="preserve"> y moralidad administrativa</w:t>
      </w:r>
      <w:r w:rsidRPr="00963E12">
        <w:rPr>
          <w:rFonts w:ascii="Verdana" w:eastAsia="Calibri" w:hAnsi="Verdana" w:cs="Arial"/>
          <w:color w:val="000000" w:themeColor="text1"/>
          <w:lang w:val="es-ES"/>
        </w:rPr>
        <w:t xml:space="preserve"> se garantiza mediante la trazabilidad documental y la publicidad de los informes de supervisión en plataformas como SECOP II, acompañada de programas de capacitación para los servidores </w:t>
      </w:r>
      <w:r>
        <w:rPr>
          <w:rFonts w:ascii="Verdana" w:eastAsia="Calibri" w:hAnsi="Verdana" w:cs="Arial"/>
          <w:color w:val="000000" w:themeColor="text1"/>
          <w:lang w:val="es-ES"/>
        </w:rPr>
        <w:t>públicos designados como supervisores, así como ejercicios de control por parte de la ciudadanía</w:t>
      </w:r>
      <w:r w:rsidRPr="00963E12">
        <w:rPr>
          <w:rFonts w:ascii="Verdana" w:eastAsia="Calibri" w:hAnsi="Verdana" w:cs="Arial"/>
          <w:color w:val="000000" w:themeColor="text1"/>
          <w:lang w:val="es-ES"/>
        </w:rPr>
        <w:t>. Estos mecanismos</w:t>
      </w:r>
      <w:r>
        <w:rPr>
          <w:rFonts w:ascii="Verdana" w:eastAsia="Calibri" w:hAnsi="Verdana" w:cs="Arial"/>
          <w:color w:val="000000" w:themeColor="text1"/>
          <w:lang w:val="es-ES"/>
        </w:rPr>
        <w:t xml:space="preserve"> buscan garantizar </w:t>
      </w:r>
      <w:r w:rsidRPr="00963E12">
        <w:rPr>
          <w:rFonts w:ascii="Verdana" w:eastAsia="Calibri" w:hAnsi="Verdana" w:cs="Arial"/>
          <w:color w:val="000000" w:themeColor="text1"/>
          <w:lang w:val="es-ES"/>
        </w:rPr>
        <w:t xml:space="preserve">la </w:t>
      </w:r>
      <w:r>
        <w:rPr>
          <w:rFonts w:ascii="Verdana" w:eastAsia="Calibri" w:hAnsi="Verdana" w:cs="Arial"/>
          <w:color w:val="000000" w:themeColor="text1"/>
          <w:lang w:val="es-ES"/>
        </w:rPr>
        <w:t xml:space="preserve">buena </w:t>
      </w:r>
      <w:r w:rsidRPr="00963E12">
        <w:rPr>
          <w:rFonts w:ascii="Verdana" w:eastAsia="Calibri" w:hAnsi="Verdana" w:cs="Arial"/>
          <w:color w:val="000000" w:themeColor="text1"/>
          <w:lang w:val="es-ES"/>
        </w:rPr>
        <w:t xml:space="preserve">gestión contractual </w:t>
      </w:r>
      <w:r>
        <w:rPr>
          <w:rFonts w:ascii="Verdana" w:eastAsia="Calibri" w:hAnsi="Verdana" w:cs="Arial"/>
          <w:color w:val="000000" w:themeColor="text1"/>
          <w:lang w:val="es-ES"/>
        </w:rPr>
        <w:t xml:space="preserve">y el cumplimiento de los fines del Estado. </w:t>
      </w:r>
    </w:p>
    <w:p w14:paraId="1113A917" w14:textId="77777777" w:rsidR="0045785F" w:rsidRDefault="0045785F" w:rsidP="0045785F">
      <w:pPr>
        <w:spacing w:after="0" w:line="276" w:lineRule="auto"/>
        <w:jc w:val="both"/>
        <w:rPr>
          <w:rFonts w:ascii="Verdana" w:eastAsia="Calibri" w:hAnsi="Verdana" w:cs="Arial"/>
          <w:color w:val="000000" w:themeColor="text1"/>
          <w:lang w:val="es-ES"/>
        </w:rPr>
      </w:pPr>
    </w:p>
    <w:p w14:paraId="3A4A892F" w14:textId="77777777" w:rsidR="0045785F" w:rsidRPr="009037F6" w:rsidRDefault="0045785F" w:rsidP="0045785F">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lastRenderedPageBreak/>
        <w:t xml:space="preserve">iii. </w:t>
      </w:r>
      <w:r w:rsidRPr="009037F6">
        <w:rPr>
          <w:rFonts w:ascii="Verdana" w:eastAsia="Calibri" w:hAnsi="Verdana" w:cs="Arial"/>
          <w:color w:val="000000" w:themeColor="text1"/>
          <w:lang w:val="es-ES"/>
        </w:rPr>
        <w:t xml:space="preserve">Al </w:t>
      </w:r>
      <w:r w:rsidRPr="009037F6">
        <w:rPr>
          <w:rFonts w:ascii="Verdana" w:hAnsi="Verdana" w:cs="Arial"/>
          <w:lang w:val="es-ES_tradnl" w:eastAsia="es-ES"/>
        </w:rPr>
        <w:t xml:space="preserve">margen de la explicación precedente debe advertirse que el análisis requerido para resolver problemas específicos </w:t>
      </w:r>
      <w:r w:rsidRPr="009B28B9">
        <w:rPr>
          <w:rFonts w:ascii="Verdana" w:hAnsi="Verdana" w:cs="Arial"/>
          <w:lang w:val="es-ES_tradnl" w:eastAsia="es-ES"/>
        </w:rPr>
        <w:t>en torno a</w:t>
      </w:r>
      <w:r>
        <w:rPr>
          <w:rFonts w:ascii="Verdana" w:hAnsi="Verdana" w:cs="Arial"/>
          <w:lang w:val="es-ES_tradnl" w:eastAsia="es-ES"/>
        </w:rPr>
        <w:t xml:space="preserve"> la designación de la supervisión </w:t>
      </w:r>
      <w:r w:rsidRPr="009037F6">
        <w:rPr>
          <w:rFonts w:ascii="Verdana" w:hAnsi="Verdana" w:cs="Arial"/>
          <w:lang w:val="es-ES_tradnl" w:eastAsia="es-ES"/>
        </w:rPr>
        <w:t>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87DA1E5" w14:textId="77777777" w:rsidR="0045785F" w:rsidRPr="009037F6" w:rsidRDefault="0045785F" w:rsidP="0045785F">
      <w:pPr>
        <w:spacing w:after="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6B8B584" w14:textId="77777777" w:rsidR="0045785F" w:rsidRPr="009037F6" w:rsidRDefault="0045785F" w:rsidP="0045785F">
      <w:pPr>
        <w:spacing w:after="0" w:line="276" w:lineRule="auto"/>
        <w:jc w:val="both"/>
        <w:rPr>
          <w:rFonts w:ascii="Verdana" w:eastAsia="Calibri" w:hAnsi="Verdana" w:cs="Arial"/>
          <w:lang w:val="es-ES" w:eastAsia="es-MX"/>
        </w:rPr>
      </w:pPr>
    </w:p>
    <w:p w14:paraId="5718754C" w14:textId="77777777" w:rsidR="0045785F" w:rsidRPr="009037F6" w:rsidRDefault="0045785F" w:rsidP="0045785F">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 xml:space="preserve">Referencias normativas, jurisprudenciales y otras fuentes </w:t>
      </w:r>
    </w:p>
    <w:p w14:paraId="6058D779" w14:textId="77777777" w:rsidR="0045785F" w:rsidRPr="009037F6" w:rsidRDefault="0045785F" w:rsidP="0045785F">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5785F" w:rsidRPr="009037F6" w14:paraId="36F0E628" w14:textId="77777777" w:rsidTr="00227991">
        <w:trPr>
          <w:trHeight w:val="487"/>
          <w:jc w:val="center"/>
        </w:trPr>
        <w:tc>
          <w:tcPr>
            <w:tcW w:w="8647" w:type="dxa"/>
          </w:tcPr>
          <w:p w14:paraId="4B4F2841" w14:textId="77777777" w:rsidR="0045785F" w:rsidRPr="00624EEC" w:rsidRDefault="0045785F" w:rsidP="006F4199">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624EEC">
              <w:rPr>
                <w:rFonts w:ascii="Verdana" w:eastAsia="Arial MT" w:hAnsi="Verdana" w:cs="Arial"/>
                <w:lang w:val="es-ES" w:eastAsia="es-ES" w:bidi="es-ES"/>
              </w:rPr>
              <w:t>Ley 80 de 1993, artículos 4, 5, 12, 14, 26, 32, 51, 53</w:t>
            </w:r>
            <w:r>
              <w:rPr>
                <w:rFonts w:ascii="Verdana" w:eastAsia="Arial MT" w:hAnsi="Verdana" w:cs="Arial"/>
                <w:lang w:val="es-ES" w:eastAsia="es-ES" w:bidi="es-ES"/>
              </w:rPr>
              <w:t xml:space="preserve"> y 77. </w:t>
            </w:r>
            <w:r w:rsidRPr="00624EEC">
              <w:rPr>
                <w:rFonts w:ascii="Verdana" w:eastAsia="Arial MT" w:hAnsi="Verdana" w:cs="Arial"/>
                <w:lang w:val="es-ES" w:eastAsia="es-ES" w:bidi="es-ES"/>
              </w:rPr>
              <w:t xml:space="preserve"> </w:t>
            </w:r>
          </w:p>
          <w:p w14:paraId="36C823A6" w14:textId="77777777" w:rsidR="0045785F" w:rsidRDefault="0045785F" w:rsidP="006F4199">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624EEC">
              <w:rPr>
                <w:rFonts w:ascii="Verdana" w:eastAsia="Arial MT" w:hAnsi="Verdana" w:cs="Arial"/>
                <w:lang w:val="es-ES" w:eastAsia="es-ES" w:bidi="es-ES"/>
              </w:rPr>
              <w:t>Ley 1150 de 2007</w:t>
            </w:r>
            <w:r>
              <w:rPr>
                <w:rFonts w:ascii="Verdana" w:eastAsia="Arial MT" w:hAnsi="Verdana" w:cs="Arial"/>
                <w:lang w:val="es-ES" w:eastAsia="es-ES" w:bidi="es-ES"/>
              </w:rPr>
              <w:t>, a</w:t>
            </w:r>
            <w:r w:rsidRPr="00624EEC">
              <w:rPr>
                <w:rFonts w:ascii="Verdana" w:eastAsia="Arial MT" w:hAnsi="Verdana" w:cs="Arial"/>
                <w:lang w:val="es-ES" w:eastAsia="es-ES" w:bidi="es-ES"/>
              </w:rPr>
              <w:t xml:space="preserve">rtículos 17 y 21. </w:t>
            </w:r>
          </w:p>
          <w:p w14:paraId="370C6F92" w14:textId="77777777" w:rsidR="0045785F" w:rsidRPr="00624EEC" w:rsidRDefault="0045785F" w:rsidP="006F4199">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1437 de 2011, artículos 2, 11 y 12. </w:t>
            </w:r>
          </w:p>
          <w:p w14:paraId="73210CD4" w14:textId="77777777" w:rsidR="0045785F" w:rsidRDefault="0045785F" w:rsidP="006F4199">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624EEC">
              <w:rPr>
                <w:rFonts w:ascii="Verdana" w:eastAsia="Arial MT" w:hAnsi="Verdana" w:cs="Arial"/>
                <w:lang w:val="es-ES" w:eastAsia="es-ES" w:bidi="es-ES"/>
              </w:rPr>
              <w:t xml:space="preserve">Ley 1474 de 2011, artículos 83 y 84. </w:t>
            </w:r>
          </w:p>
          <w:p w14:paraId="55F60438" w14:textId="77777777" w:rsidR="0045785F" w:rsidRPr="00624EEC" w:rsidRDefault="0045785F" w:rsidP="006F4199">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624EEC">
              <w:rPr>
                <w:rFonts w:ascii="Verdana" w:eastAsia="Arial MT" w:hAnsi="Verdana" w:cs="Arial"/>
                <w:lang w:val="es-ES" w:eastAsia="es-ES" w:bidi="es-ES"/>
              </w:rPr>
              <w:t>CONSEJO DE ESTADO. Sala de Consulta y de Servicio Civil. Concepto del 23 de marzo de 2011. Rad. 2.045. C.P. Enrique José Arboleda Perdomo.</w:t>
            </w:r>
          </w:p>
          <w:p w14:paraId="5A0CC510" w14:textId="77777777" w:rsidR="0045785F" w:rsidRPr="00624EEC" w:rsidRDefault="0045785F" w:rsidP="006F4199">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bookmarkStart w:id="7" w:name="_Hlk215586792"/>
            <w:r>
              <w:rPr>
                <w:rFonts w:ascii="Verdana" w:eastAsia="Arial MT" w:hAnsi="Verdana" w:cs="Arial"/>
                <w:lang w:val="es-ES" w:eastAsia="es-ES" w:bidi="es-ES"/>
              </w:rPr>
              <w:t>Agencia Nacional de Contratación Públic</w:t>
            </w:r>
            <w:bookmarkStart w:id="8" w:name="_GoBack"/>
            <w:bookmarkEnd w:id="8"/>
            <w:r>
              <w:rPr>
                <w:rFonts w:ascii="Verdana" w:eastAsia="Arial MT" w:hAnsi="Verdana" w:cs="Arial"/>
                <w:lang w:val="es-ES" w:eastAsia="es-ES" w:bidi="es-ES"/>
              </w:rPr>
              <w:t xml:space="preserve">a - </w:t>
            </w:r>
            <w:r w:rsidRPr="00624EEC">
              <w:rPr>
                <w:rFonts w:ascii="Verdana" w:eastAsia="Arial MT" w:hAnsi="Verdana" w:cs="Arial"/>
                <w:lang w:val="es-ES" w:eastAsia="es-ES" w:bidi="es-ES"/>
              </w:rPr>
              <w:t xml:space="preserve">Colombia Compra Eficiente, Guía para el ejercicio de las funciones de Supervisión e Interventoría de los contratos del Estado. </w:t>
            </w:r>
            <w:bookmarkEnd w:id="7"/>
          </w:p>
        </w:tc>
      </w:tr>
    </w:tbl>
    <w:p w14:paraId="52BA6339" w14:textId="77777777" w:rsidR="0045785F" w:rsidRPr="009037F6" w:rsidRDefault="0045785F" w:rsidP="0045785F">
      <w:pPr>
        <w:widowControl w:val="0"/>
        <w:autoSpaceDE w:val="0"/>
        <w:autoSpaceDN w:val="0"/>
        <w:spacing w:after="0" w:line="276" w:lineRule="auto"/>
        <w:jc w:val="both"/>
        <w:rPr>
          <w:rFonts w:ascii="Verdana" w:hAnsi="Verdana" w:cs="Arial"/>
        </w:rPr>
      </w:pPr>
    </w:p>
    <w:p w14:paraId="537D619D" w14:textId="77777777" w:rsidR="0045785F" w:rsidRPr="009037F6" w:rsidRDefault="0045785F" w:rsidP="0045785F">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Doctrina de la Agencia Nacional de Contratación Pública:</w:t>
      </w:r>
    </w:p>
    <w:p w14:paraId="0C16B10F" w14:textId="77777777" w:rsidR="0045785F" w:rsidRPr="009037F6" w:rsidRDefault="0045785F" w:rsidP="0045785F">
      <w:pPr>
        <w:widowControl w:val="0"/>
        <w:autoSpaceDE w:val="0"/>
        <w:autoSpaceDN w:val="0"/>
        <w:spacing w:after="0" w:line="276" w:lineRule="auto"/>
        <w:jc w:val="both"/>
        <w:rPr>
          <w:rFonts w:ascii="Verdana" w:hAnsi="Verdana" w:cs="Arial"/>
        </w:rPr>
      </w:pPr>
    </w:p>
    <w:p w14:paraId="5D934AF0" w14:textId="77777777" w:rsidR="0045785F" w:rsidRPr="00AD7D5F" w:rsidRDefault="0045785F" w:rsidP="0045785F">
      <w:pPr>
        <w:widowControl w:val="0"/>
        <w:autoSpaceDE w:val="0"/>
        <w:autoSpaceDN w:val="0"/>
        <w:spacing w:after="0" w:line="276" w:lineRule="auto"/>
        <w:jc w:val="both"/>
        <w:rPr>
          <w:rFonts w:ascii="Verdana" w:eastAsia="Calibri" w:hAnsi="Verdana" w:cs="Arial"/>
          <w:lang w:val="es-ES"/>
        </w:rPr>
      </w:pPr>
      <w:r w:rsidRPr="00E7254D">
        <w:rPr>
          <w:rFonts w:ascii="Verdana" w:eastAsia="Aptos" w:hAnsi="Verdana" w:cs="Arial"/>
          <w:color w:val="000000"/>
          <w:shd w:val="clear" w:color="auto" w:fill="FFFFFF"/>
          <w:lang w:val="es-ES"/>
        </w:rPr>
        <w:t xml:space="preserve">Sobre la obligación de controlar y vigilar la ejecución de los contratos estatales, esta Subdirección se ha referido en los Conceptos </w:t>
      </w:r>
      <w:r w:rsidRPr="00E7254D">
        <w:rPr>
          <w:rFonts w:ascii="Verdana" w:eastAsia="Aptos" w:hAnsi="Verdana" w:cs="Arial"/>
          <w:color w:val="000000"/>
          <w:shd w:val="clear" w:color="auto" w:fill="FFFFFF"/>
          <w:lang w:val="es-ES_tradnl"/>
        </w:rPr>
        <w:t>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w:t>
      </w:r>
      <w:r w:rsidRPr="00E7254D">
        <w:rPr>
          <w:rFonts w:ascii="Verdana" w:eastAsia="Aptos" w:hAnsi="Verdana" w:cs="Arial"/>
          <w:color w:val="000000"/>
          <w:shd w:val="clear" w:color="auto" w:fill="FFFFFF"/>
          <w:lang w:val="es-ES"/>
        </w:rPr>
        <w:t xml:space="preserve">,C-600 del 7 de octubre de 2024, C-800 del 13 de diciembre de 2025, C-972 de 22 de enero de 2025, C-987 del 21 de enero de 2025, C-091 del 13 de febrero de 2025, </w:t>
      </w:r>
      <w:r>
        <w:rPr>
          <w:rFonts w:ascii="Verdana" w:eastAsia="Aptos" w:hAnsi="Verdana" w:cs="Arial"/>
          <w:color w:val="000000"/>
          <w:shd w:val="clear" w:color="auto" w:fill="FFFFFF"/>
          <w:lang w:val="es-ES"/>
        </w:rPr>
        <w:t xml:space="preserve">C-219 del 28 de marzo de 2025, C-265 del 7 de abril de 2025, C-1484 del 24 de noviembre de 2025, </w:t>
      </w:r>
      <w:r w:rsidRPr="00E7254D">
        <w:rPr>
          <w:rFonts w:ascii="Verdana" w:eastAsia="Aptos" w:hAnsi="Verdana" w:cs="Arial"/>
          <w:color w:val="000000"/>
          <w:shd w:val="clear" w:color="auto" w:fill="FFFFFF"/>
          <w:lang w:val="es-ES"/>
        </w:rPr>
        <w:t>entre otros</w:t>
      </w:r>
      <w:r>
        <w:rPr>
          <w:rFonts w:ascii="Verdana" w:eastAsia="Calibri" w:hAnsi="Verdana" w:cs="Arial"/>
        </w:rPr>
        <w:t xml:space="preserve">. </w:t>
      </w:r>
      <w:r w:rsidRPr="009037F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76AEC5C1" w14:textId="77777777" w:rsidR="0045785F" w:rsidRPr="009037F6" w:rsidRDefault="00C96B64" w:rsidP="0045785F">
      <w:pPr>
        <w:spacing w:after="0" w:line="256" w:lineRule="auto"/>
        <w:jc w:val="both"/>
        <w:rPr>
          <w:rFonts w:ascii="Verdana" w:eastAsia="Calibri" w:hAnsi="Verdana" w:cs="Times New Roman"/>
        </w:rPr>
      </w:pPr>
      <w:hyperlink r:id="rId18" w:history="1">
        <w:r w:rsidR="0045785F" w:rsidRPr="009037F6">
          <w:rPr>
            <w:rFonts w:ascii="Verdana" w:eastAsia="Calibri" w:hAnsi="Verdana" w:cs="Times New Roman"/>
            <w:color w:val="0000FF"/>
            <w:u w:val="single"/>
            <w:lang w:val="es-ES"/>
          </w:rPr>
          <w:t>https://relatoria.colombiacompra.gov.co/busqueda/conceptos</w:t>
        </w:r>
      </w:hyperlink>
      <w:r w:rsidR="0045785F" w:rsidRPr="009037F6">
        <w:rPr>
          <w:rFonts w:ascii="Verdana" w:eastAsia="Calibri" w:hAnsi="Verdana" w:cs="Times New Roman"/>
        </w:rPr>
        <w:t xml:space="preserve">. </w:t>
      </w:r>
    </w:p>
    <w:p w14:paraId="29E584E3" w14:textId="77777777" w:rsidR="0045785F" w:rsidRPr="009037F6" w:rsidRDefault="0045785F" w:rsidP="0045785F">
      <w:pPr>
        <w:spacing w:after="0"/>
        <w:jc w:val="both"/>
        <w:rPr>
          <w:rFonts w:ascii="Verdana" w:hAnsi="Verdana"/>
        </w:rPr>
      </w:pPr>
    </w:p>
    <w:p w14:paraId="6527B109" w14:textId="77777777" w:rsidR="0045785F" w:rsidRPr="009037F6" w:rsidRDefault="0045785F" w:rsidP="0045785F">
      <w:pPr>
        <w:spacing w:after="0" w:line="256" w:lineRule="auto"/>
        <w:jc w:val="both"/>
        <w:rPr>
          <w:rFonts w:ascii="Verdana" w:eastAsia="Calibri" w:hAnsi="Verdana" w:cs="Times New Roman"/>
        </w:rPr>
      </w:pPr>
      <w:r w:rsidRPr="009037F6">
        <w:rPr>
          <w:rFonts w:ascii="Verdana" w:eastAsia="Calibri" w:hAnsi="Verdana" w:cs="Times New Roman"/>
        </w:rPr>
        <w:t xml:space="preserve">Te informamos que ya se encuentra disponible la </w:t>
      </w:r>
      <w:r w:rsidRPr="009037F6">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9037F6">
        <w:rPr>
          <w:rFonts w:ascii="Verdana" w:eastAsia="Calibri" w:hAnsi="Verdana" w:cs="Times New Roman"/>
        </w:rPr>
        <w:t xml:space="preserve">Esta Guía se </w:t>
      </w:r>
      <w:proofErr w:type="spellStart"/>
      <w:r w:rsidRPr="009037F6">
        <w:rPr>
          <w:rFonts w:ascii="Verdana" w:eastAsia="Calibri" w:hAnsi="Verdana" w:cs="Times New Roman"/>
        </w:rPr>
        <w:t>expedide</w:t>
      </w:r>
      <w:proofErr w:type="spellEnd"/>
      <w:r w:rsidRPr="009037F6">
        <w:rPr>
          <w:rFonts w:ascii="Verdana" w:eastAsia="Calibri" w:hAnsi="Verdana" w:cs="Times New Roman"/>
        </w:rPr>
        <w:t xml:space="preserv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9037F6">
        <w:rPr>
          <w:rFonts w:ascii="Verdana" w:eastAsia="Calibri" w:hAnsi="Verdana" w:cs="Times New Roman"/>
        </w:rPr>
        <w:t>Wayúu</w:t>
      </w:r>
      <w:proofErr w:type="spellEnd"/>
      <w:r w:rsidRPr="009037F6">
        <w:rPr>
          <w:rFonts w:ascii="Verdana" w:eastAsia="Calibri" w:hAnsi="Verdana" w:cs="Times New Roman"/>
        </w:rPr>
        <w:t xml:space="preserve">. Puede consultar la guía en el siguiente enlace: Guía de lineamientos de transparencia y selección </w:t>
      </w:r>
      <w:r w:rsidRPr="009037F6">
        <w:rPr>
          <w:rFonts w:ascii="Verdana" w:eastAsia="Calibri" w:hAnsi="Verdana" w:cs="Times New Roman"/>
        </w:rPr>
        <w:lastRenderedPageBreak/>
        <w:t xml:space="preserve">objetiva para el departamento de La Guajira – Objetivo sexto constitucional de la Sentencia T-302 del 2017". </w:t>
      </w:r>
    </w:p>
    <w:p w14:paraId="3EBF856E" w14:textId="77777777" w:rsidR="0045785F" w:rsidRPr="009037F6" w:rsidRDefault="0045785F" w:rsidP="0045785F">
      <w:pPr>
        <w:spacing w:after="0" w:line="240" w:lineRule="auto"/>
        <w:jc w:val="both"/>
        <w:rPr>
          <w:rFonts w:ascii="Verdana" w:hAnsi="Verdana"/>
        </w:rPr>
      </w:pPr>
    </w:p>
    <w:p w14:paraId="546E9AA9" w14:textId="77777777" w:rsidR="0045785F" w:rsidRPr="009037F6" w:rsidRDefault="0045785F" w:rsidP="0045785F">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2302D19" w14:textId="77777777" w:rsidR="0045785F" w:rsidRPr="009037F6" w:rsidRDefault="0045785F" w:rsidP="0045785F">
      <w:pPr>
        <w:spacing w:after="0" w:line="256" w:lineRule="auto"/>
        <w:jc w:val="both"/>
        <w:rPr>
          <w:rFonts w:ascii="Verdana" w:eastAsia="Calibri" w:hAnsi="Verdana" w:cs="Times New Roman"/>
        </w:rPr>
      </w:pPr>
    </w:p>
    <w:p w14:paraId="7D3EDA8A" w14:textId="77777777" w:rsidR="0045785F" w:rsidRDefault="0045785F" w:rsidP="0045785F">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6F52E4C1" w14:textId="77777777" w:rsidR="0045785F" w:rsidRDefault="0045785F" w:rsidP="0045785F">
      <w:pPr>
        <w:spacing w:after="0" w:line="256" w:lineRule="auto"/>
        <w:jc w:val="both"/>
        <w:rPr>
          <w:rFonts w:ascii="Verdana" w:eastAsia="Calibri" w:hAnsi="Verdana" w:cs="Times New Roman"/>
        </w:rPr>
      </w:pPr>
    </w:p>
    <w:p w14:paraId="5A1EAD6F" w14:textId="34C3F1DA" w:rsidR="0045785F" w:rsidRDefault="003B0DFC" w:rsidP="0045785F">
      <w:pPr>
        <w:spacing w:after="0" w:line="256" w:lineRule="auto"/>
        <w:jc w:val="center"/>
        <w:rPr>
          <w:noProof/>
          <w:lang w:val="en-US"/>
        </w:rPr>
      </w:pPr>
      <w:r w:rsidRPr="002C3AD6">
        <w:rPr>
          <w:rFonts w:ascii="Century Gothic" w:hAnsi="Century Gothic"/>
          <w:noProof/>
          <w:lang w:val="en-US"/>
        </w:rPr>
        <w:drawing>
          <wp:inline distT="0" distB="0" distL="0" distR="0" wp14:anchorId="5C220DE9" wp14:editId="217C9C0E">
            <wp:extent cx="3279697" cy="1217463"/>
            <wp:effectExtent l="0" t="0" r="0" b="1905"/>
            <wp:docPr id="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312722" cy="1229722"/>
                    </a:xfrm>
                    <a:prstGeom prst="rect">
                      <a:avLst/>
                    </a:prstGeom>
                  </pic:spPr>
                </pic:pic>
              </a:graphicData>
            </a:graphic>
          </wp:inline>
        </w:drawing>
      </w:r>
      <w:r w:rsidR="0045785F" w:rsidRPr="00FD1DDC">
        <w:rPr>
          <w:rFonts w:ascii="Verdana" w:hAnsi="Verdana"/>
          <w:sz w:val="16"/>
          <w:szCs w:val="16"/>
        </w:rPr>
        <w:t xml:space="preserve"> </w:t>
      </w:r>
    </w:p>
    <w:p w14:paraId="7570FF09" w14:textId="77777777" w:rsidR="003B0DFC" w:rsidRPr="00771AEF" w:rsidRDefault="003B0DFC" w:rsidP="0045785F">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45785F" w:rsidRPr="00771AEF" w14:paraId="5A68370B" w14:textId="77777777" w:rsidTr="00227991">
        <w:trPr>
          <w:trHeight w:val="409"/>
        </w:trPr>
        <w:tc>
          <w:tcPr>
            <w:tcW w:w="817" w:type="dxa"/>
            <w:tcBorders>
              <w:top w:val="nil"/>
              <w:left w:val="nil"/>
              <w:bottom w:val="nil"/>
              <w:right w:val="nil"/>
            </w:tcBorders>
            <w:vAlign w:val="center"/>
            <w:hideMark/>
          </w:tcPr>
          <w:p w14:paraId="65F055C3" w14:textId="77777777" w:rsidR="0045785F" w:rsidRPr="00771AEF" w:rsidRDefault="0045785F" w:rsidP="00227991">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5016FCE5" w14:textId="77777777" w:rsidR="0045785F" w:rsidRPr="00771AEF" w:rsidRDefault="0045785F" w:rsidP="00227991">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José Luis Sánchez Cardona</w:t>
            </w:r>
          </w:p>
          <w:p w14:paraId="1CF0BBFA" w14:textId="77777777" w:rsidR="0045785F" w:rsidRPr="00771AEF" w:rsidRDefault="0045785F" w:rsidP="00227991">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Contratista de la Subdirección de Gestión Contractual</w:t>
            </w:r>
          </w:p>
        </w:tc>
      </w:tr>
      <w:tr w:rsidR="0045785F" w:rsidRPr="00771AEF" w14:paraId="087246FB" w14:textId="77777777" w:rsidTr="00227991">
        <w:trPr>
          <w:trHeight w:val="409"/>
        </w:trPr>
        <w:tc>
          <w:tcPr>
            <w:tcW w:w="817" w:type="dxa"/>
            <w:tcBorders>
              <w:top w:val="nil"/>
              <w:left w:val="nil"/>
              <w:bottom w:val="nil"/>
              <w:right w:val="nil"/>
            </w:tcBorders>
            <w:vAlign w:val="center"/>
            <w:hideMark/>
          </w:tcPr>
          <w:p w14:paraId="6B1476F0" w14:textId="77777777" w:rsidR="0045785F" w:rsidRPr="00771AEF" w:rsidRDefault="0045785F" w:rsidP="00227991">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B23BC24" w14:textId="77777777" w:rsidR="0045785F" w:rsidRDefault="0045785F" w:rsidP="00227991">
            <w:pPr>
              <w:spacing w:after="0" w:line="256" w:lineRule="auto"/>
              <w:rPr>
                <w:rFonts w:ascii="Verdana" w:eastAsia="Calibri" w:hAnsi="Verdana" w:cs="Times New Roman"/>
                <w:sz w:val="16"/>
                <w:szCs w:val="16"/>
              </w:rPr>
            </w:pPr>
            <w:r>
              <w:rPr>
                <w:rFonts w:ascii="Verdana" w:eastAsia="Calibri" w:hAnsi="Verdana" w:cs="Times New Roman"/>
                <w:sz w:val="16"/>
                <w:szCs w:val="16"/>
              </w:rPr>
              <w:t>Diana Lucía Saavedra Castañeda</w:t>
            </w:r>
          </w:p>
          <w:p w14:paraId="74F57ABB" w14:textId="77777777" w:rsidR="0045785F" w:rsidRPr="00771AEF" w:rsidRDefault="0045785F" w:rsidP="00227991">
            <w:pPr>
              <w:spacing w:after="0" w:line="256" w:lineRule="auto"/>
              <w:rPr>
                <w:rFonts w:ascii="Verdana" w:eastAsia="Calibri" w:hAnsi="Verdana" w:cs="Times New Roman"/>
                <w:sz w:val="16"/>
                <w:szCs w:val="16"/>
              </w:rPr>
            </w:pPr>
            <w:r>
              <w:rPr>
                <w:rFonts w:ascii="Verdana" w:eastAsia="Calibri" w:hAnsi="Verdana" w:cs="Times New Roman"/>
                <w:sz w:val="16"/>
                <w:szCs w:val="16"/>
              </w:rPr>
              <w:t>Contratista</w:t>
            </w:r>
            <w:r w:rsidRPr="00771AEF">
              <w:rPr>
                <w:rFonts w:ascii="Verdana" w:eastAsia="Calibri" w:hAnsi="Verdana" w:cs="Times New Roman"/>
                <w:sz w:val="16"/>
                <w:szCs w:val="16"/>
              </w:rPr>
              <w:t xml:space="preserve"> de la Subdirección de Gestión Contractual </w:t>
            </w:r>
          </w:p>
        </w:tc>
      </w:tr>
      <w:tr w:rsidR="0045785F" w:rsidRPr="00771AEF" w14:paraId="7DBC512D" w14:textId="77777777" w:rsidTr="00227991">
        <w:trPr>
          <w:trHeight w:val="389"/>
        </w:trPr>
        <w:tc>
          <w:tcPr>
            <w:tcW w:w="817" w:type="dxa"/>
            <w:tcBorders>
              <w:top w:val="nil"/>
              <w:left w:val="nil"/>
              <w:bottom w:val="nil"/>
              <w:right w:val="nil"/>
            </w:tcBorders>
            <w:vAlign w:val="center"/>
            <w:hideMark/>
          </w:tcPr>
          <w:p w14:paraId="2319C627" w14:textId="77777777" w:rsidR="0045785F" w:rsidRPr="00771AEF" w:rsidRDefault="0045785F" w:rsidP="00227991">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ED39E23" w14:textId="77777777" w:rsidR="0045785F" w:rsidRPr="00771AEF" w:rsidRDefault="0045785F" w:rsidP="00227991">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 xml:space="preserve">Carolina Quintero </w:t>
            </w:r>
            <w:proofErr w:type="spellStart"/>
            <w:r w:rsidRPr="00771AEF">
              <w:rPr>
                <w:rFonts w:ascii="Verdana" w:eastAsia="Calibri" w:hAnsi="Verdana" w:cs="Times New Roman"/>
                <w:sz w:val="16"/>
                <w:szCs w:val="16"/>
              </w:rPr>
              <w:t>Gacharná</w:t>
            </w:r>
            <w:proofErr w:type="spellEnd"/>
          </w:p>
          <w:p w14:paraId="076661A3" w14:textId="77777777" w:rsidR="0045785F" w:rsidRPr="00771AEF" w:rsidRDefault="0045785F" w:rsidP="00227991">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Subdirectora de Gestión Contractual ANCP – CCE</w:t>
            </w:r>
          </w:p>
        </w:tc>
      </w:tr>
    </w:tbl>
    <w:p w14:paraId="3C831692" w14:textId="77777777" w:rsidR="0045785F" w:rsidRPr="0024624F" w:rsidRDefault="0045785F" w:rsidP="0045785F">
      <w:pPr>
        <w:spacing w:after="0"/>
        <w:rPr>
          <w:rFonts w:ascii="Verdana" w:hAnsi="Verdana"/>
        </w:rPr>
      </w:pPr>
    </w:p>
    <w:bookmarkEnd w:id="0"/>
    <w:p w14:paraId="73C61EC8" w14:textId="64F38A2F" w:rsidR="00EB224C" w:rsidRPr="0045785F" w:rsidRDefault="00EB224C" w:rsidP="0045785F"/>
    <w:sectPr w:rsidR="00EB224C" w:rsidRPr="0045785F"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FAC11D" w14:textId="77777777" w:rsidR="00C96B64" w:rsidRDefault="00C96B64" w:rsidP="004A1847">
      <w:pPr>
        <w:spacing w:after="0" w:line="240" w:lineRule="auto"/>
      </w:pPr>
      <w:r>
        <w:separator/>
      </w:r>
    </w:p>
  </w:endnote>
  <w:endnote w:type="continuationSeparator" w:id="0">
    <w:p w14:paraId="0195850A" w14:textId="77777777" w:rsidR="00C96B64" w:rsidRDefault="00C96B6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altName w:val="Arial"/>
    <w:charset w:val="00"/>
    <w:family w:val="swiss"/>
    <w:pitch w:val="variable"/>
    <w:sig w:usb0="20000287" w:usb1="00000003" w:usb2="0000000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3332A8" w:rsidRDefault="003332A8">
    <w:pPr>
      <w:pStyle w:val="Piedepgina"/>
    </w:pPr>
  </w:p>
  <w:p w14:paraId="594D6D9F" w14:textId="66418FC8" w:rsidR="003332A8" w:rsidRPr="00174B77" w:rsidRDefault="003332A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6F4199" w:rsidRPr="006F4199">
      <w:rPr>
        <w:rFonts w:ascii="Verdana" w:eastAsiaTheme="minorEastAsia" w:hAnsi="Verdana"/>
        <w:b/>
        <w:bCs/>
        <w:noProof/>
        <w:sz w:val="16"/>
        <w:szCs w:val="16"/>
      </w:rPr>
      <w:t>18</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332A8" w:rsidRDefault="003332A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332A8" w:rsidRPr="00E41027" w:rsidRDefault="003332A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3332A8" w:rsidRDefault="003332A8">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B7A8F9" w14:textId="77777777" w:rsidR="00C96B64" w:rsidRDefault="00C96B64" w:rsidP="004A1847">
      <w:pPr>
        <w:spacing w:after="0" w:line="240" w:lineRule="auto"/>
      </w:pPr>
      <w:r>
        <w:separator/>
      </w:r>
    </w:p>
  </w:footnote>
  <w:footnote w:type="continuationSeparator" w:id="0">
    <w:p w14:paraId="6405961D" w14:textId="77777777" w:rsidR="00C96B64" w:rsidRDefault="00C96B64" w:rsidP="004A1847">
      <w:pPr>
        <w:spacing w:after="0" w:line="240" w:lineRule="auto"/>
      </w:pPr>
      <w:r>
        <w:continuationSeparator/>
      </w:r>
    </w:p>
  </w:footnote>
  <w:footnote w:id="1">
    <w:p w14:paraId="52C8EE78" w14:textId="77777777" w:rsidR="0045785F" w:rsidRPr="00FD0A03" w:rsidRDefault="0045785F" w:rsidP="0045785F">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 17 de la Ley 1150 de 2007</w:t>
      </w:r>
    </w:p>
  </w:footnote>
  <w:footnote w:id="2">
    <w:p w14:paraId="017158B3" w14:textId="77777777" w:rsidR="0045785F" w:rsidRPr="00FD0A03" w:rsidRDefault="0045785F" w:rsidP="0045785F">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 21 de la Ley 1150 de 2007</w:t>
      </w:r>
    </w:p>
  </w:footnote>
  <w:footnote w:id="3">
    <w:p w14:paraId="74647C1A" w14:textId="77777777" w:rsidR="0045785F" w:rsidRPr="00FD0A03" w:rsidRDefault="0045785F" w:rsidP="0045785F">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Artículos 83 a 86 de la Ley 1474 de 2011</w:t>
      </w:r>
    </w:p>
  </w:footnote>
  <w:footnote w:id="4">
    <w:p w14:paraId="4DF9F0AD" w14:textId="77777777" w:rsidR="0045785F" w:rsidRPr="00FD0A03" w:rsidRDefault="0045785F" w:rsidP="0045785F">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Consejo de Estado. Sección Tercera –Subsección C. Sentencia del 27 de noviembre de 2017. M.P. Jaime Orlando </w:t>
      </w:r>
      <w:proofErr w:type="spellStart"/>
      <w:r w:rsidRPr="00FD0A03">
        <w:rPr>
          <w:rFonts w:ascii="Verdana" w:hAnsi="Verdana"/>
          <w:sz w:val="16"/>
          <w:szCs w:val="16"/>
        </w:rPr>
        <w:t>Santofimio</w:t>
      </w:r>
      <w:proofErr w:type="spellEnd"/>
      <w:r w:rsidRPr="00FD0A03">
        <w:rPr>
          <w:rFonts w:ascii="Verdana" w:hAnsi="Verdana"/>
          <w:sz w:val="16"/>
          <w:szCs w:val="16"/>
        </w:rPr>
        <w:t xml:space="preserve">. </w:t>
      </w:r>
      <w:proofErr w:type="spellStart"/>
      <w:r w:rsidRPr="00FD0A03">
        <w:rPr>
          <w:rFonts w:ascii="Verdana" w:hAnsi="Verdana"/>
          <w:sz w:val="16"/>
          <w:szCs w:val="16"/>
        </w:rPr>
        <w:t>Exp</w:t>
      </w:r>
      <w:proofErr w:type="spellEnd"/>
      <w:r w:rsidRPr="00FD0A03">
        <w:rPr>
          <w:rFonts w:ascii="Verdana" w:hAnsi="Verdana"/>
          <w:sz w:val="16"/>
          <w:szCs w:val="16"/>
        </w:rPr>
        <w:t>. 51.802</w:t>
      </w:r>
    </w:p>
  </w:footnote>
  <w:footnote w:id="5">
    <w:p w14:paraId="0892EC33" w14:textId="77777777" w:rsidR="0045785F" w:rsidRPr="00FD0A03" w:rsidRDefault="0045785F" w:rsidP="0045785F">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 83 de la Ley 1474 de 2011</w:t>
      </w:r>
    </w:p>
  </w:footnote>
  <w:footnote w:id="6">
    <w:p w14:paraId="077C21B8" w14:textId="77777777" w:rsidR="0045785F" w:rsidRPr="00FD0A03" w:rsidRDefault="0045785F" w:rsidP="0045785F">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 excepción de la interventoría del contrato de obra adjudicado por licitación pública que es obligatoria según el numeral 1° del artículo 32 de la Ley 80 de 1993.</w:t>
      </w:r>
    </w:p>
  </w:footnote>
  <w:footnote w:id="7">
    <w:p w14:paraId="4026445E" w14:textId="77777777" w:rsidR="0045785F" w:rsidRPr="0087460F" w:rsidRDefault="0045785F" w:rsidP="0045785F">
      <w:pPr>
        <w:pStyle w:val="Textonotapie"/>
        <w:adjustRightInd w:val="0"/>
        <w:snapToGrid w:val="0"/>
        <w:ind w:firstLine="709"/>
        <w:jc w:val="both"/>
        <w:rPr>
          <w:rFonts w:ascii="Verdana" w:hAnsi="Verdana" w:cs="Arial"/>
          <w:color w:val="161616"/>
          <w:sz w:val="16"/>
          <w:szCs w:val="16"/>
        </w:rPr>
      </w:pPr>
      <w:r w:rsidRPr="00FD0A03">
        <w:rPr>
          <w:rStyle w:val="Refdenotaalpie"/>
          <w:rFonts w:ascii="Verdana" w:hAnsi="Verdana"/>
          <w:sz w:val="16"/>
          <w:szCs w:val="16"/>
        </w:rPr>
        <w:footnoteRef/>
      </w:r>
      <w:r w:rsidRPr="00FD0A03">
        <w:rPr>
          <w:rFonts w:ascii="Verdana" w:hAnsi="Verdana"/>
          <w:sz w:val="16"/>
          <w:szCs w:val="16"/>
        </w:rPr>
        <w:t xml:space="preserve"> </w:t>
      </w:r>
      <w:r w:rsidRPr="00FD0A03">
        <w:rPr>
          <w:rFonts w:ascii="Verdana" w:hAnsi="Verdana" w:cs="Arial"/>
          <w:color w:val="161616"/>
          <w:sz w:val="16"/>
          <w:szCs w:val="16"/>
        </w:rPr>
        <w:t>“Son también contratos de consultoría los que tienen por objeto la interventoría […]”</w:t>
      </w:r>
    </w:p>
  </w:footnote>
  <w:footnote w:id="8">
    <w:p w14:paraId="1719B0A7" w14:textId="77777777" w:rsidR="0045785F" w:rsidRPr="00841E29" w:rsidRDefault="0045785F" w:rsidP="0045785F">
      <w:pPr>
        <w:pStyle w:val="Textonotapie"/>
        <w:ind w:firstLine="708"/>
        <w:jc w:val="both"/>
        <w:rPr>
          <w:rFonts w:ascii="Verdana" w:hAnsi="Verdana"/>
          <w:sz w:val="16"/>
          <w:szCs w:val="16"/>
          <w:lang w:val="es-ES"/>
        </w:rPr>
      </w:pPr>
      <w:r w:rsidRPr="00841E29">
        <w:rPr>
          <w:rStyle w:val="Refdenotaalpie"/>
          <w:rFonts w:ascii="Verdana" w:hAnsi="Verdana"/>
          <w:sz w:val="16"/>
          <w:szCs w:val="16"/>
        </w:rPr>
        <w:footnoteRef/>
      </w:r>
      <w:r w:rsidRPr="00841E29">
        <w:rPr>
          <w:rFonts w:ascii="Verdana" w:hAnsi="Verdana"/>
          <w:sz w:val="16"/>
          <w:szCs w:val="16"/>
        </w:rPr>
        <w:t xml:space="preserve"> Agencia Nacional de Contratación Pública -</w:t>
      </w:r>
      <w:r w:rsidRPr="00841E29">
        <w:rPr>
          <w:rFonts w:ascii="Verdana" w:hAnsi="Verdana"/>
          <w:sz w:val="16"/>
          <w:szCs w:val="16"/>
          <w:lang w:val="es-ES"/>
        </w:rPr>
        <w:t xml:space="preserve">Colombia Compra Eficiente, Guía para el ejercicio de las funciones de Supervisión e Interventoría de los contratos del Estado. 2018, p. 6. </w:t>
      </w:r>
    </w:p>
  </w:footnote>
  <w:footnote w:id="9">
    <w:p w14:paraId="4F9ABCBA" w14:textId="77777777" w:rsidR="0045785F" w:rsidRPr="00841E29" w:rsidRDefault="0045785F" w:rsidP="0045785F">
      <w:pPr>
        <w:pStyle w:val="Textonotapie"/>
        <w:ind w:firstLine="708"/>
        <w:jc w:val="both"/>
        <w:rPr>
          <w:rFonts w:ascii="Verdana" w:hAnsi="Verdana"/>
          <w:sz w:val="16"/>
          <w:szCs w:val="16"/>
          <w:lang w:val="es-CO"/>
        </w:rPr>
      </w:pPr>
      <w:r w:rsidRPr="00841E29">
        <w:rPr>
          <w:rStyle w:val="Refdenotaalpie"/>
          <w:rFonts w:ascii="Verdana" w:hAnsi="Verdana"/>
          <w:sz w:val="16"/>
          <w:szCs w:val="16"/>
        </w:rPr>
        <w:footnoteRef/>
      </w:r>
      <w:r w:rsidRPr="00841E29">
        <w:rPr>
          <w:rFonts w:ascii="Verdana" w:hAnsi="Verdana"/>
          <w:sz w:val="16"/>
          <w:szCs w:val="16"/>
        </w:rPr>
        <w:t xml:space="preserve"> </w:t>
      </w:r>
      <w:bookmarkStart w:id="3" w:name="_Hlk215586879"/>
      <w:r w:rsidRPr="00841E29">
        <w:rPr>
          <w:rFonts w:ascii="Verdana" w:hAnsi="Verdana"/>
          <w:sz w:val="16"/>
          <w:szCs w:val="16"/>
        </w:rPr>
        <w:t xml:space="preserve">Ibídem., p. 6. </w:t>
      </w:r>
      <w:bookmarkEnd w:id="3"/>
    </w:p>
  </w:footnote>
  <w:footnote w:id="10">
    <w:p w14:paraId="7E46FF09" w14:textId="77777777" w:rsidR="0045785F" w:rsidRPr="003F1FD8" w:rsidRDefault="0045785F" w:rsidP="0045785F">
      <w:pPr>
        <w:pStyle w:val="Textonotapie"/>
        <w:ind w:firstLine="708"/>
        <w:jc w:val="both"/>
        <w:rPr>
          <w:lang w:val="es-CO"/>
        </w:rPr>
      </w:pPr>
      <w:r w:rsidRPr="00841E29">
        <w:rPr>
          <w:rStyle w:val="Refdenotaalpie"/>
          <w:rFonts w:ascii="Verdana" w:hAnsi="Verdana"/>
          <w:sz w:val="16"/>
          <w:szCs w:val="16"/>
        </w:rPr>
        <w:footnoteRef/>
      </w:r>
      <w:r w:rsidRPr="00841E29">
        <w:rPr>
          <w:rFonts w:ascii="Verdana" w:hAnsi="Verdana"/>
          <w:sz w:val="16"/>
          <w:szCs w:val="16"/>
        </w:rPr>
        <w:t xml:space="preserve"> Ibídem., p. 6.</w:t>
      </w:r>
    </w:p>
  </w:footnote>
  <w:footnote w:id="11">
    <w:p w14:paraId="04B309D0" w14:textId="77777777" w:rsidR="0045785F" w:rsidRPr="005E7090" w:rsidRDefault="0045785F" w:rsidP="0045785F">
      <w:pPr>
        <w:pStyle w:val="Textonotapie"/>
        <w:ind w:firstLine="708"/>
        <w:jc w:val="both"/>
        <w:rPr>
          <w:rFonts w:ascii="Verdana" w:hAnsi="Verdana" w:cs="Arial"/>
          <w:color w:val="000000"/>
          <w:sz w:val="14"/>
          <w:szCs w:val="14"/>
        </w:rPr>
      </w:pPr>
      <w:r w:rsidRPr="005E7090">
        <w:rPr>
          <w:rStyle w:val="Refdenotaalpie"/>
          <w:rFonts w:ascii="Verdana" w:hAnsi="Verdana" w:cs="Arial"/>
          <w:color w:val="000000"/>
          <w:sz w:val="14"/>
          <w:szCs w:val="14"/>
        </w:rPr>
        <w:footnoteRef/>
      </w:r>
      <w:r w:rsidRPr="005E7090">
        <w:rPr>
          <w:rFonts w:ascii="Verdana" w:hAnsi="Verdana" w:cs="Arial"/>
          <w:color w:val="000000"/>
          <w:sz w:val="14"/>
          <w:szCs w:val="14"/>
        </w:rPr>
        <w:t xml:space="preserve"> CONSEJO DE ESTADO. Sala de Consulta y de Servicio Civil. Concepto del 23 de marzo de 2011. Rad. 2.045. C.P. Enrique José Arboleda Perdomo.</w:t>
      </w:r>
    </w:p>
  </w:footnote>
  <w:footnote w:id="12">
    <w:p w14:paraId="638C28AF" w14:textId="77777777" w:rsidR="0045785F" w:rsidRPr="005E7090" w:rsidRDefault="0045785F" w:rsidP="0045785F">
      <w:pPr>
        <w:pStyle w:val="Textonotapie"/>
        <w:ind w:firstLine="708"/>
        <w:jc w:val="both"/>
        <w:rPr>
          <w:rFonts w:ascii="Verdana" w:hAnsi="Verdana" w:cs="Arial"/>
          <w:sz w:val="14"/>
          <w:szCs w:val="14"/>
        </w:rPr>
      </w:pPr>
      <w:r w:rsidRPr="005E7090">
        <w:rPr>
          <w:rStyle w:val="Refdenotaalpie"/>
          <w:rFonts w:ascii="Verdana" w:hAnsi="Verdana" w:cs="Arial"/>
          <w:sz w:val="14"/>
          <w:szCs w:val="14"/>
        </w:rPr>
        <w:footnoteRef/>
      </w:r>
      <w:r w:rsidRPr="005E7090">
        <w:rPr>
          <w:rFonts w:ascii="Verdana" w:hAnsi="Verdana" w:cs="Arial"/>
          <w:sz w:val="14"/>
          <w:szCs w:val="14"/>
        </w:rPr>
        <w:t xml:space="preserve"> Ley 1437 de 2011: “Artículo 2°. Ámbito de aplicación. Las normas de esta Parte Primera del Código se aplican a todos los organismos y entidades que conforman las ramas del poder público en sus distintos órdenes, sectores y niveles, a los órganos autónomos e independientes del Estado y a los particulares, cuando cumplan funciones administrativas. A todos ellos se les dará el nombre de autoridades. </w:t>
      </w:r>
    </w:p>
    <w:p w14:paraId="13019D4A" w14:textId="77777777" w:rsidR="0045785F" w:rsidRPr="005E7090" w:rsidRDefault="0045785F" w:rsidP="0045785F">
      <w:pPr>
        <w:pStyle w:val="Textonotapie"/>
        <w:ind w:firstLine="708"/>
        <w:jc w:val="both"/>
        <w:rPr>
          <w:rFonts w:ascii="Verdana" w:hAnsi="Verdana" w:cs="Arial"/>
          <w:sz w:val="14"/>
          <w:szCs w:val="14"/>
        </w:rPr>
      </w:pPr>
      <w:r w:rsidRPr="005E7090">
        <w:rPr>
          <w:rFonts w:ascii="Verdana" w:hAnsi="Verdana" w:cs="Arial"/>
          <w:sz w:val="14"/>
          <w:szCs w:val="14"/>
        </w:rPr>
        <w:t xml:space="preserve">Las disposiciones de esta Parte Primera no se aplicarán en los procedimientos militares o de policía que por su naturaleza requieran decisiones de aplicación inmediata, para evitar o remediar perturbaciones de orden público en los aspectos de defensa nacional, seguridad, tranquilidad, salubridad, y circulación de personas y cosas. Tampoco se aplicarán para ejercer la facultad de libre nombramiento y remoción. </w:t>
      </w:r>
    </w:p>
    <w:p w14:paraId="3FFBDFF2" w14:textId="77777777" w:rsidR="0045785F" w:rsidRPr="00B350BE" w:rsidRDefault="0045785F" w:rsidP="0045785F">
      <w:pPr>
        <w:pStyle w:val="Textonotapie"/>
        <w:ind w:firstLine="708"/>
        <w:jc w:val="both"/>
        <w:rPr>
          <w:rFonts w:ascii="Verdana" w:hAnsi="Verdana" w:cs="Arial"/>
          <w:sz w:val="15"/>
          <w:szCs w:val="15"/>
        </w:rPr>
      </w:pPr>
      <w:r w:rsidRPr="005E7090">
        <w:rPr>
          <w:rFonts w:ascii="Verdana" w:hAnsi="Verdana" w:cs="Arial"/>
          <w:sz w:val="14"/>
          <w:szCs w:val="14"/>
        </w:rPr>
        <w:t>Las autoridades sujetarán sus actuaciones a los procedimientos que se establecen en este Código, sin perjuicio de los procedimientos regulados en leyes especiales. En lo no previsto en los mismos se aplicarán las disposiciones de este Código”.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3332A8" w:rsidRDefault="003332A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332A8" w:rsidRDefault="003332A8">
    <w:pPr>
      <w:pStyle w:val="Encabezado"/>
    </w:pPr>
  </w:p>
  <w:p w14:paraId="5E18350A" w14:textId="705F7B76" w:rsidR="003332A8" w:rsidRPr="004A305D" w:rsidRDefault="003332A8" w:rsidP="00B01B1A">
    <w:pPr>
      <w:spacing w:after="0" w:line="120" w:lineRule="auto"/>
      <w:rPr>
        <w:rFonts w:ascii="Century Gothic" w:eastAsia="Geo" w:hAnsi="Century Gothic" w:cs="Geo"/>
        <w:sz w:val="16"/>
        <w:szCs w:val="16"/>
        <w:lang w:eastAsia="es-CO"/>
      </w:rPr>
    </w:pPr>
  </w:p>
  <w:p w14:paraId="211B7F5D" w14:textId="77777777" w:rsidR="003332A8" w:rsidRDefault="003332A8" w:rsidP="00844AE9">
    <w:pPr>
      <w:spacing w:after="0" w:line="240" w:lineRule="auto"/>
      <w:rPr>
        <w:rFonts w:ascii="Verdana" w:hAnsi="Verdana"/>
        <w:sz w:val="24"/>
        <w:szCs w:val="24"/>
      </w:rPr>
    </w:pPr>
  </w:p>
  <w:p w14:paraId="5A0054B1" w14:textId="77777777" w:rsidR="003332A8" w:rsidRPr="00C925AC" w:rsidRDefault="003332A8" w:rsidP="00844AE9">
    <w:pPr>
      <w:spacing w:after="0" w:line="240" w:lineRule="auto"/>
      <w:rPr>
        <w:rFonts w:ascii="Verdana" w:hAnsi="Verdana"/>
        <w:sz w:val="24"/>
        <w:szCs w:val="24"/>
      </w:rPr>
    </w:pPr>
  </w:p>
  <w:p w14:paraId="1FD1C243" w14:textId="37C5500A" w:rsidR="003332A8" w:rsidRPr="00C925AC" w:rsidRDefault="003332A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6"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0"/>
  </w:num>
  <w:num w:numId="2">
    <w:abstractNumId w:val="2"/>
  </w:num>
  <w:num w:numId="3">
    <w:abstractNumId w:val="8"/>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7"/>
  </w:num>
  <w:num w:numId="7">
    <w:abstractNumId w:val="9"/>
  </w:num>
  <w:num w:numId="8">
    <w:abstractNumId w:val="16"/>
  </w:num>
  <w:num w:numId="9">
    <w:abstractNumId w:val="11"/>
  </w:num>
  <w:num w:numId="10">
    <w:abstractNumId w:val="15"/>
  </w:num>
  <w:num w:numId="11">
    <w:abstractNumId w:val="12"/>
  </w:num>
  <w:num w:numId="12">
    <w:abstractNumId w:val="0"/>
  </w:num>
  <w:num w:numId="13">
    <w:abstractNumId w:val="5"/>
  </w:num>
  <w:num w:numId="14">
    <w:abstractNumId w:val="18"/>
  </w:num>
  <w:num w:numId="15">
    <w:abstractNumId w:val="14"/>
  </w:num>
  <w:num w:numId="16">
    <w:abstractNumId w:val="6"/>
  </w:num>
  <w:num w:numId="17">
    <w:abstractNumId w:val="13"/>
  </w:num>
  <w:num w:numId="18">
    <w:abstractNumId w:val="21"/>
  </w:num>
  <w:num w:numId="19">
    <w:abstractNumId w:val="20"/>
  </w:num>
  <w:num w:numId="20">
    <w:abstractNumId w:val="1"/>
  </w:num>
  <w:num w:numId="21">
    <w:abstractNumId w:val="4"/>
  </w:num>
  <w:num w:numId="22">
    <w:abstractNumId w:val="7"/>
  </w:num>
  <w:num w:numId="23">
    <w:abstractNumId w:val="3"/>
  </w:num>
  <w:num w:numId="2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134D5"/>
    <w:rsid w:val="00016F78"/>
    <w:rsid w:val="000353BD"/>
    <w:rsid w:val="00046945"/>
    <w:rsid w:val="00061B2A"/>
    <w:rsid w:val="000711CF"/>
    <w:rsid w:val="00076D52"/>
    <w:rsid w:val="00080B1D"/>
    <w:rsid w:val="00082362"/>
    <w:rsid w:val="0009079C"/>
    <w:rsid w:val="000A66E5"/>
    <w:rsid w:val="000A683E"/>
    <w:rsid w:val="000B19B9"/>
    <w:rsid w:val="000B27F0"/>
    <w:rsid w:val="000C5A9E"/>
    <w:rsid w:val="000D0334"/>
    <w:rsid w:val="000D1DC8"/>
    <w:rsid w:val="000D4734"/>
    <w:rsid w:val="000D5DA7"/>
    <w:rsid w:val="000E6E2C"/>
    <w:rsid w:val="000F078F"/>
    <w:rsid w:val="000F3444"/>
    <w:rsid w:val="000F512E"/>
    <w:rsid w:val="000F6486"/>
    <w:rsid w:val="00105C57"/>
    <w:rsid w:val="001161CA"/>
    <w:rsid w:val="001168F2"/>
    <w:rsid w:val="00116940"/>
    <w:rsid w:val="00125105"/>
    <w:rsid w:val="00127233"/>
    <w:rsid w:val="001328F3"/>
    <w:rsid w:val="001428DC"/>
    <w:rsid w:val="0015699B"/>
    <w:rsid w:val="00171640"/>
    <w:rsid w:val="00174D6E"/>
    <w:rsid w:val="001A33BF"/>
    <w:rsid w:val="001C5AE4"/>
    <w:rsid w:val="001C61B3"/>
    <w:rsid w:val="001D02CC"/>
    <w:rsid w:val="001E2E05"/>
    <w:rsid w:val="001E4177"/>
    <w:rsid w:val="001F0B24"/>
    <w:rsid w:val="001F7DC6"/>
    <w:rsid w:val="00207466"/>
    <w:rsid w:val="00212AD1"/>
    <w:rsid w:val="002209DE"/>
    <w:rsid w:val="0022400B"/>
    <w:rsid w:val="002421BB"/>
    <w:rsid w:val="00253436"/>
    <w:rsid w:val="0025796E"/>
    <w:rsid w:val="002707A2"/>
    <w:rsid w:val="00275482"/>
    <w:rsid w:val="0028778F"/>
    <w:rsid w:val="002951A0"/>
    <w:rsid w:val="002962BC"/>
    <w:rsid w:val="002A093D"/>
    <w:rsid w:val="002A0DD0"/>
    <w:rsid w:val="002A49AC"/>
    <w:rsid w:val="002A64FD"/>
    <w:rsid w:val="002B730F"/>
    <w:rsid w:val="002C7A84"/>
    <w:rsid w:val="002E05EF"/>
    <w:rsid w:val="002E2BF8"/>
    <w:rsid w:val="002E4FD9"/>
    <w:rsid w:val="002F0847"/>
    <w:rsid w:val="0030657A"/>
    <w:rsid w:val="003136DC"/>
    <w:rsid w:val="00316053"/>
    <w:rsid w:val="00322A85"/>
    <w:rsid w:val="00322C00"/>
    <w:rsid w:val="00322D77"/>
    <w:rsid w:val="00324168"/>
    <w:rsid w:val="00330834"/>
    <w:rsid w:val="003332A8"/>
    <w:rsid w:val="003448F4"/>
    <w:rsid w:val="00374F5E"/>
    <w:rsid w:val="003769E1"/>
    <w:rsid w:val="00377E3E"/>
    <w:rsid w:val="00381BAB"/>
    <w:rsid w:val="003A779E"/>
    <w:rsid w:val="003B0DFC"/>
    <w:rsid w:val="003C0ED7"/>
    <w:rsid w:val="003D0F4D"/>
    <w:rsid w:val="003D5B0D"/>
    <w:rsid w:val="003E0499"/>
    <w:rsid w:val="003E4F80"/>
    <w:rsid w:val="003E6439"/>
    <w:rsid w:val="003F1FD8"/>
    <w:rsid w:val="003F3941"/>
    <w:rsid w:val="00403EFA"/>
    <w:rsid w:val="00406575"/>
    <w:rsid w:val="004140B3"/>
    <w:rsid w:val="00414C74"/>
    <w:rsid w:val="0042722E"/>
    <w:rsid w:val="0044528D"/>
    <w:rsid w:val="00451137"/>
    <w:rsid w:val="004555EA"/>
    <w:rsid w:val="0045785F"/>
    <w:rsid w:val="00466E39"/>
    <w:rsid w:val="00484E40"/>
    <w:rsid w:val="0048787A"/>
    <w:rsid w:val="00494F04"/>
    <w:rsid w:val="004A0A0B"/>
    <w:rsid w:val="004A0E5C"/>
    <w:rsid w:val="004A1847"/>
    <w:rsid w:val="004A305D"/>
    <w:rsid w:val="004B3DAC"/>
    <w:rsid w:val="004B73B9"/>
    <w:rsid w:val="004C0DBB"/>
    <w:rsid w:val="004E2B92"/>
    <w:rsid w:val="004F21C4"/>
    <w:rsid w:val="004F685F"/>
    <w:rsid w:val="00513BF7"/>
    <w:rsid w:val="00517955"/>
    <w:rsid w:val="005229DB"/>
    <w:rsid w:val="00534886"/>
    <w:rsid w:val="00536A0E"/>
    <w:rsid w:val="00553040"/>
    <w:rsid w:val="005566E8"/>
    <w:rsid w:val="00560892"/>
    <w:rsid w:val="00570B00"/>
    <w:rsid w:val="00572622"/>
    <w:rsid w:val="00573280"/>
    <w:rsid w:val="00574867"/>
    <w:rsid w:val="00591460"/>
    <w:rsid w:val="00592C94"/>
    <w:rsid w:val="005A2CAB"/>
    <w:rsid w:val="005A52A7"/>
    <w:rsid w:val="005A65E0"/>
    <w:rsid w:val="005C0881"/>
    <w:rsid w:val="005C3777"/>
    <w:rsid w:val="005C5CDC"/>
    <w:rsid w:val="005D2566"/>
    <w:rsid w:val="005D476C"/>
    <w:rsid w:val="005F20A4"/>
    <w:rsid w:val="00600D92"/>
    <w:rsid w:val="00603C5B"/>
    <w:rsid w:val="00611CE6"/>
    <w:rsid w:val="006137E1"/>
    <w:rsid w:val="00617E91"/>
    <w:rsid w:val="006200BF"/>
    <w:rsid w:val="0062143E"/>
    <w:rsid w:val="006219F8"/>
    <w:rsid w:val="00624A89"/>
    <w:rsid w:val="00624EEC"/>
    <w:rsid w:val="006302F7"/>
    <w:rsid w:val="00646B9F"/>
    <w:rsid w:val="00646F24"/>
    <w:rsid w:val="006547C3"/>
    <w:rsid w:val="00663A04"/>
    <w:rsid w:val="00665D70"/>
    <w:rsid w:val="00684F67"/>
    <w:rsid w:val="006900D9"/>
    <w:rsid w:val="0069741A"/>
    <w:rsid w:val="006A2BE4"/>
    <w:rsid w:val="006B4707"/>
    <w:rsid w:val="006D13BA"/>
    <w:rsid w:val="006D591D"/>
    <w:rsid w:val="006F2238"/>
    <w:rsid w:val="006F4199"/>
    <w:rsid w:val="007009D7"/>
    <w:rsid w:val="007025D7"/>
    <w:rsid w:val="00706C16"/>
    <w:rsid w:val="0071557C"/>
    <w:rsid w:val="00731F30"/>
    <w:rsid w:val="007340C3"/>
    <w:rsid w:val="0073510E"/>
    <w:rsid w:val="007458D3"/>
    <w:rsid w:val="0075235A"/>
    <w:rsid w:val="00752CDB"/>
    <w:rsid w:val="0075557D"/>
    <w:rsid w:val="00756841"/>
    <w:rsid w:val="007649AB"/>
    <w:rsid w:val="00771AEF"/>
    <w:rsid w:val="00771D0C"/>
    <w:rsid w:val="00782ED2"/>
    <w:rsid w:val="007833AC"/>
    <w:rsid w:val="00795086"/>
    <w:rsid w:val="007A037B"/>
    <w:rsid w:val="007A1830"/>
    <w:rsid w:val="007B268C"/>
    <w:rsid w:val="007B7171"/>
    <w:rsid w:val="007C0C0F"/>
    <w:rsid w:val="007C3DC2"/>
    <w:rsid w:val="007C4353"/>
    <w:rsid w:val="007D3058"/>
    <w:rsid w:val="007D4B12"/>
    <w:rsid w:val="007E43AC"/>
    <w:rsid w:val="007E5497"/>
    <w:rsid w:val="00806F5F"/>
    <w:rsid w:val="00820278"/>
    <w:rsid w:val="008258C9"/>
    <w:rsid w:val="00830893"/>
    <w:rsid w:val="00833286"/>
    <w:rsid w:val="00836232"/>
    <w:rsid w:val="00841E29"/>
    <w:rsid w:val="00844AE9"/>
    <w:rsid w:val="0085545E"/>
    <w:rsid w:val="00867F95"/>
    <w:rsid w:val="00871AAC"/>
    <w:rsid w:val="008843B6"/>
    <w:rsid w:val="00886410"/>
    <w:rsid w:val="00891928"/>
    <w:rsid w:val="008A446D"/>
    <w:rsid w:val="008B0D0F"/>
    <w:rsid w:val="008B25F1"/>
    <w:rsid w:val="008C11FD"/>
    <w:rsid w:val="008C4DD5"/>
    <w:rsid w:val="008C517A"/>
    <w:rsid w:val="008C6AE5"/>
    <w:rsid w:val="008D1660"/>
    <w:rsid w:val="008D180B"/>
    <w:rsid w:val="008F0EA7"/>
    <w:rsid w:val="008F17DC"/>
    <w:rsid w:val="008F4334"/>
    <w:rsid w:val="008F6705"/>
    <w:rsid w:val="009037F6"/>
    <w:rsid w:val="0091143C"/>
    <w:rsid w:val="00920817"/>
    <w:rsid w:val="00923EEF"/>
    <w:rsid w:val="009419F9"/>
    <w:rsid w:val="0095685E"/>
    <w:rsid w:val="00961B09"/>
    <w:rsid w:val="00963E12"/>
    <w:rsid w:val="00964321"/>
    <w:rsid w:val="00965334"/>
    <w:rsid w:val="0097093E"/>
    <w:rsid w:val="009722DE"/>
    <w:rsid w:val="00984DB3"/>
    <w:rsid w:val="00992E19"/>
    <w:rsid w:val="009A0486"/>
    <w:rsid w:val="009A0DFA"/>
    <w:rsid w:val="009B28B9"/>
    <w:rsid w:val="009B2D26"/>
    <w:rsid w:val="009C71FA"/>
    <w:rsid w:val="009C72E7"/>
    <w:rsid w:val="009C7F7E"/>
    <w:rsid w:val="009D23F2"/>
    <w:rsid w:val="009D3058"/>
    <w:rsid w:val="009E1F28"/>
    <w:rsid w:val="009E6924"/>
    <w:rsid w:val="009E7AED"/>
    <w:rsid w:val="009F3A13"/>
    <w:rsid w:val="009F7A6E"/>
    <w:rsid w:val="00A0334B"/>
    <w:rsid w:val="00A0526C"/>
    <w:rsid w:val="00A122D3"/>
    <w:rsid w:val="00A14468"/>
    <w:rsid w:val="00A17F13"/>
    <w:rsid w:val="00A20739"/>
    <w:rsid w:val="00A23AF9"/>
    <w:rsid w:val="00A31A76"/>
    <w:rsid w:val="00A33C78"/>
    <w:rsid w:val="00A53338"/>
    <w:rsid w:val="00A73F45"/>
    <w:rsid w:val="00AA1E47"/>
    <w:rsid w:val="00AB0ADB"/>
    <w:rsid w:val="00AB436E"/>
    <w:rsid w:val="00AD173A"/>
    <w:rsid w:val="00AD7D5F"/>
    <w:rsid w:val="00AE3513"/>
    <w:rsid w:val="00AF5A10"/>
    <w:rsid w:val="00B00C0E"/>
    <w:rsid w:val="00B01B1A"/>
    <w:rsid w:val="00B04DA1"/>
    <w:rsid w:val="00B11075"/>
    <w:rsid w:val="00B37EB5"/>
    <w:rsid w:val="00B44A47"/>
    <w:rsid w:val="00B54271"/>
    <w:rsid w:val="00B5550F"/>
    <w:rsid w:val="00B6149C"/>
    <w:rsid w:val="00B64484"/>
    <w:rsid w:val="00B71FD5"/>
    <w:rsid w:val="00B72CD3"/>
    <w:rsid w:val="00B72FFF"/>
    <w:rsid w:val="00B74092"/>
    <w:rsid w:val="00B95DAC"/>
    <w:rsid w:val="00BA2EB9"/>
    <w:rsid w:val="00BA703D"/>
    <w:rsid w:val="00BC3D36"/>
    <w:rsid w:val="00BC70CB"/>
    <w:rsid w:val="00BD13AC"/>
    <w:rsid w:val="00BD54A6"/>
    <w:rsid w:val="00BD7F72"/>
    <w:rsid w:val="00BF056C"/>
    <w:rsid w:val="00BF3B66"/>
    <w:rsid w:val="00BF5C08"/>
    <w:rsid w:val="00BF7425"/>
    <w:rsid w:val="00C04FB3"/>
    <w:rsid w:val="00C11D8B"/>
    <w:rsid w:val="00C251B0"/>
    <w:rsid w:val="00C330EB"/>
    <w:rsid w:val="00C419DF"/>
    <w:rsid w:val="00C50D69"/>
    <w:rsid w:val="00C5365C"/>
    <w:rsid w:val="00C619D4"/>
    <w:rsid w:val="00C61D93"/>
    <w:rsid w:val="00C754BE"/>
    <w:rsid w:val="00C76B1C"/>
    <w:rsid w:val="00C82667"/>
    <w:rsid w:val="00C90C96"/>
    <w:rsid w:val="00C925AC"/>
    <w:rsid w:val="00C94828"/>
    <w:rsid w:val="00C963BE"/>
    <w:rsid w:val="00C96B64"/>
    <w:rsid w:val="00CA2858"/>
    <w:rsid w:val="00CB02F1"/>
    <w:rsid w:val="00CB6357"/>
    <w:rsid w:val="00CC1B26"/>
    <w:rsid w:val="00CD4C85"/>
    <w:rsid w:val="00CE3C1C"/>
    <w:rsid w:val="00CE4026"/>
    <w:rsid w:val="00D06146"/>
    <w:rsid w:val="00D0699E"/>
    <w:rsid w:val="00D1210B"/>
    <w:rsid w:val="00D22D2B"/>
    <w:rsid w:val="00D334DD"/>
    <w:rsid w:val="00D34EA3"/>
    <w:rsid w:val="00D361FD"/>
    <w:rsid w:val="00D423A2"/>
    <w:rsid w:val="00D44E26"/>
    <w:rsid w:val="00D51A5D"/>
    <w:rsid w:val="00D520D8"/>
    <w:rsid w:val="00D532D4"/>
    <w:rsid w:val="00D62B9C"/>
    <w:rsid w:val="00D63AC2"/>
    <w:rsid w:val="00D7383B"/>
    <w:rsid w:val="00D73DBD"/>
    <w:rsid w:val="00D7788A"/>
    <w:rsid w:val="00D85F06"/>
    <w:rsid w:val="00D936A2"/>
    <w:rsid w:val="00DA231B"/>
    <w:rsid w:val="00DB13F4"/>
    <w:rsid w:val="00DB55DA"/>
    <w:rsid w:val="00DC39FC"/>
    <w:rsid w:val="00DC7CCB"/>
    <w:rsid w:val="00DE6EC3"/>
    <w:rsid w:val="00DF5254"/>
    <w:rsid w:val="00E02524"/>
    <w:rsid w:val="00E1159D"/>
    <w:rsid w:val="00E1451E"/>
    <w:rsid w:val="00E16408"/>
    <w:rsid w:val="00E20894"/>
    <w:rsid w:val="00E245AB"/>
    <w:rsid w:val="00E27341"/>
    <w:rsid w:val="00E2764C"/>
    <w:rsid w:val="00E27F2E"/>
    <w:rsid w:val="00E31225"/>
    <w:rsid w:val="00E501E7"/>
    <w:rsid w:val="00E50AFE"/>
    <w:rsid w:val="00E577E2"/>
    <w:rsid w:val="00E615C4"/>
    <w:rsid w:val="00E75C92"/>
    <w:rsid w:val="00E771DC"/>
    <w:rsid w:val="00E8772A"/>
    <w:rsid w:val="00E90F6B"/>
    <w:rsid w:val="00E91AED"/>
    <w:rsid w:val="00E92C27"/>
    <w:rsid w:val="00E96B5C"/>
    <w:rsid w:val="00EA0E3D"/>
    <w:rsid w:val="00EA426C"/>
    <w:rsid w:val="00EB224C"/>
    <w:rsid w:val="00EC006D"/>
    <w:rsid w:val="00EC297F"/>
    <w:rsid w:val="00EC38A7"/>
    <w:rsid w:val="00ED4980"/>
    <w:rsid w:val="00EE1AA8"/>
    <w:rsid w:val="00EE265D"/>
    <w:rsid w:val="00EE3D99"/>
    <w:rsid w:val="00EF1D4F"/>
    <w:rsid w:val="00EF5E13"/>
    <w:rsid w:val="00EF647F"/>
    <w:rsid w:val="00F03314"/>
    <w:rsid w:val="00F0580C"/>
    <w:rsid w:val="00F23FEA"/>
    <w:rsid w:val="00F27B7B"/>
    <w:rsid w:val="00F31EDC"/>
    <w:rsid w:val="00F34294"/>
    <w:rsid w:val="00F462B3"/>
    <w:rsid w:val="00F5664F"/>
    <w:rsid w:val="00F666C4"/>
    <w:rsid w:val="00F76AFC"/>
    <w:rsid w:val="00F81BF0"/>
    <w:rsid w:val="00F82E88"/>
    <w:rsid w:val="00F86E11"/>
    <w:rsid w:val="00F86E3E"/>
    <w:rsid w:val="00F95C74"/>
    <w:rsid w:val="00FA47C0"/>
    <w:rsid w:val="00FA5FFD"/>
    <w:rsid w:val="00FB5DD1"/>
    <w:rsid w:val="00FC2B5D"/>
    <w:rsid w:val="00FD1DDC"/>
    <w:rsid w:val="00FD3AD2"/>
    <w:rsid w:val="00FF1449"/>
    <w:rsid w:val="00FF227D"/>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785F"/>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Fuentedeprrafopredeter"/>
    <w:uiPriority w:val="99"/>
    <w:semiHidden/>
    <w:unhideWhenUsed/>
    <w:rsid w:val="00DB13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96905">
      <w:bodyDiv w:val="1"/>
      <w:marLeft w:val="0"/>
      <w:marRight w:val="0"/>
      <w:marTop w:val="0"/>
      <w:marBottom w:val="0"/>
      <w:divBdr>
        <w:top w:val="none" w:sz="0" w:space="0" w:color="auto"/>
        <w:left w:val="none" w:sz="0" w:space="0" w:color="auto"/>
        <w:bottom w:val="none" w:sz="0" w:space="0" w:color="auto"/>
        <w:right w:val="none" w:sz="0" w:space="0" w:color="auto"/>
      </w:divBdr>
    </w:div>
    <w:div w:id="47410249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419089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1436534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4.emf"/><Relationship Id="rId18" Type="http://schemas.openxmlformats.org/officeDocument/2006/relationships/hyperlink" Target="https://relatoria.colombiacompra.gov.co/busqueda/concepto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3.emf"/><Relationship Id="rId17" Type="http://schemas.openxmlformats.org/officeDocument/2006/relationships/hyperlink" Target="mailto:vepedrazap@sena.edu.co" TargetMode="External"/><Relationship Id="rId2" Type="http://schemas.openxmlformats.org/officeDocument/2006/relationships/customXml" Target="../customXml/item2.xml"/><Relationship Id="rId16" Type="http://schemas.openxmlformats.org/officeDocument/2006/relationships/image" Target="media/image7.emf"/><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6.emf"/><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5.emf"/><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9.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2.xml><?xml version="1.0" encoding="utf-8"?>
<ds:datastoreItem xmlns:ds="http://schemas.openxmlformats.org/officeDocument/2006/customXml" ds:itemID="{17525ED9-60B7-4EA7-8EBA-782980846BD4}"/>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F412C613-C396-40AC-86D4-D2BABBA5C5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18</Pages>
  <Words>5913</Words>
  <Characters>33705</Characters>
  <Application>Microsoft Office Word</Application>
  <DocSecurity>0</DocSecurity>
  <Lines>280</Lines>
  <Paragraphs>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3</cp:revision>
  <cp:lastPrinted>2023-01-10T21:18:00Z</cp:lastPrinted>
  <dcterms:created xsi:type="dcterms:W3CDTF">2025-12-03T20:24:00Z</dcterms:created>
  <dcterms:modified xsi:type="dcterms:W3CDTF">2025-12-04T13:20:00Z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