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6A7429" w14:textId="77777777" w:rsidR="000B3237" w:rsidRDefault="000B3237" w:rsidP="000B3237">
      <w:pPr>
        <w:snapToGrid w:val="0"/>
        <w:spacing w:after="0" w:line="240" w:lineRule="auto"/>
        <w:contextualSpacing/>
        <w:jc w:val="both"/>
        <w:rPr>
          <w:rFonts w:ascii="Verdana" w:eastAsia="Calibri" w:hAnsi="Verdana" w:cs="Arial"/>
          <w:b/>
          <w:bCs/>
          <w:lang w:val="es-ES" w:eastAsia="es-ES"/>
        </w:rPr>
      </w:pPr>
      <w:bookmarkStart w:id="0" w:name="_Hlk143780582"/>
      <w:r w:rsidRPr="003C6B10">
        <w:rPr>
          <w:rFonts w:ascii="Verdana" w:eastAsia="Calibri" w:hAnsi="Verdana" w:cs="Arial"/>
          <w:b/>
          <w:bCs/>
          <w:lang w:val="es-ES" w:eastAsia="es-ES"/>
        </w:rPr>
        <w:t xml:space="preserve">CONTRATO DE OBRA PÚBLICA – Concepto </w:t>
      </w:r>
    </w:p>
    <w:p w14:paraId="31F74713" w14:textId="77777777" w:rsidR="000B3237" w:rsidRDefault="000B3237" w:rsidP="000B3237">
      <w:pPr>
        <w:snapToGrid w:val="0"/>
        <w:spacing w:after="0" w:line="240" w:lineRule="auto"/>
        <w:contextualSpacing/>
        <w:jc w:val="both"/>
        <w:rPr>
          <w:rFonts w:ascii="Verdana" w:eastAsia="Calibri" w:hAnsi="Verdana" w:cs="Arial"/>
          <w:color w:val="000000"/>
          <w:sz w:val="20"/>
          <w:szCs w:val="20"/>
          <w:lang w:eastAsia="es-ES" w:bidi="es-ES"/>
        </w:rPr>
      </w:pPr>
      <w:r w:rsidRPr="0099491A">
        <w:rPr>
          <w:rFonts w:ascii="Verdana" w:eastAsia="Calibri" w:hAnsi="Verdana" w:cs="Arial"/>
          <w:sz w:val="20"/>
          <w:szCs w:val="20"/>
        </w:rPr>
        <w:t>La</w:t>
      </w:r>
      <w:r w:rsidRPr="0099491A">
        <w:rPr>
          <w:rFonts w:ascii="Verdana" w:eastAsia="Calibri" w:hAnsi="Verdana" w:cs="Arial"/>
          <w:color w:val="000000"/>
          <w:sz w:val="20"/>
          <w:szCs w:val="20"/>
          <w:lang w:eastAsia="es-ES" w:bidi="es-ES"/>
        </w:rPr>
        <w:t xml:space="preserve"> obra pública es una tipología de los contratos estatales regulada en el numeral 1 del artículo 32 de la Ley 80 de 1993, el cual dispone que “Son contratos de obra los que celebren las entidades estatales para la construcción, mantenimiento, instalación y, en general, para la realización de cualquier otro trabajo material sobre bienes inmuebles, cualquiera que sea la modalidad de ejecución y pago”, de manera que este tipo de contrato no aplica a los trabajos materiales realizados sobre bienes muebles.</w:t>
      </w:r>
    </w:p>
    <w:p w14:paraId="766E793E" w14:textId="77777777" w:rsidR="000B3237" w:rsidRPr="0099491A" w:rsidRDefault="000B3237" w:rsidP="000B3237">
      <w:pPr>
        <w:snapToGrid w:val="0"/>
        <w:spacing w:after="0" w:line="240" w:lineRule="auto"/>
        <w:contextualSpacing/>
        <w:jc w:val="both"/>
        <w:rPr>
          <w:rFonts w:ascii="Verdana" w:hAnsi="Verdana" w:cs="Arial"/>
          <w:sz w:val="20"/>
          <w:szCs w:val="20"/>
          <w:lang w:val="es-ES"/>
        </w:rPr>
      </w:pPr>
    </w:p>
    <w:p w14:paraId="072E3B75" w14:textId="77777777" w:rsidR="000B3237" w:rsidRDefault="000B3237" w:rsidP="000B3237">
      <w:pPr>
        <w:snapToGrid w:val="0"/>
        <w:spacing w:after="0" w:line="240" w:lineRule="auto"/>
        <w:contextualSpacing/>
        <w:jc w:val="both"/>
        <w:rPr>
          <w:rFonts w:ascii="Verdana" w:eastAsia="Calibri" w:hAnsi="Verdana" w:cs="Arial"/>
          <w:b/>
          <w:bCs/>
          <w:lang w:val="es-ES" w:eastAsia="es-ES"/>
        </w:rPr>
      </w:pPr>
      <w:r w:rsidRPr="003C6B10">
        <w:rPr>
          <w:rFonts w:ascii="Verdana" w:eastAsia="Calibri" w:hAnsi="Verdana" w:cs="Arial"/>
          <w:b/>
          <w:bCs/>
          <w:lang w:val="es-ES" w:eastAsia="es-ES"/>
        </w:rPr>
        <w:t>DISEÑOS, ESTUDIOS Y OBRA – Contratación – Viabilidad del proyecto</w:t>
      </w:r>
    </w:p>
    <w:p w14:paraId="13ABBBC4" w14:textId="77777777" w:rsidR="000B3237" w:rsidRDefault="000B3237" w:rsidP="000B3237">
      <w:pPr>
        <w:snapToGrid w:val="0"/>
        <w:spacing w:after="0" w:line="240" w:lineRule="auto"/>
        <w:contextualSpacing/>
        <w:jc w:val="both"/>
        <w:rPr>
          <w:rFonts w:ascii="Verdana" w:hAnsi="Verdana" w:cs="Arial"/>
          <w:bCs/>
          <w:color w:val="000000" w:themeColor="text1"/>
          <w:sz w:val="20"/>
          <w:szCs w:val="20"/>
          <w:lang w:val="es-ES"/>
        </w:rPr>
      </w:pPr>
    </w:p>
    <w:p w14:paraId="3E4F13E3" w14:textId="77777777" w:rsidR="000B3237" w:rsidRDefault="000B3237" w:rsidP="000B3237">
      <w:pPr>
        <w:snapToGrid w:val="0"/>
        <w:spacing w:after="0" w:line="240" w:lineRule="auto"/>
        <w:contextualSpacing/>
        <w:jc w:val="both"/>
        <w:rPr>
          <w:rFonts w:ascii="Verdana" w:hAnsi="Verdana"/>
          <w:sz w:val="20"/>
          <w:szCs w:val="20"/>
          <w:lang w:val="es-ES"/>
        </w:rPr>
      </w:pPr>
      <w:r w:rsidRPr="0099491A">
        <w:rPr>
          <w:rFonts w:ascii="Verdana" w:hAnsi="Verdana" w:cs="Arial"/>
          <w:bCs/>
          <w:color w:val="000000" w:themeColor="text1"/>
          <w:sz w:val="20"/>
          <w:szCs w:val="20"/>
          <w:lang w:val="es-ES"/>
        </w:rPr>
        <w:t xml:space="preserve">Con respecto a los requisitos que debe cumplir la Entidad Estatal para la contratación de una obra pública, el numeral 12 del artículo 25 de la Ley 80 de 1993, modificado por el artículo 87 de la Ley 1474 de 2011, establece que, previo </w:t>
      </w:r>
      <w:proofErr w:type="gramStart"/>
      <w:r w:rsidRPr="0099491A">
        <w:rPr>
          <w:rFonts w:ascii="Verdana" w:hAnsi="Verdana" w:cs="Arial"/>
          <w:bCs/>
          <w:color w:val="000000" w:themeColor="text1"/>
          <w:sz w:val="20"/>
          <w:szCs w:val="20"/>
          <w:lang w:val="es-ES"/>
        </w:rPr>
        <w:t>al apertura</w:t>
      </w:r>
      <w:proofErr w:type="gramEnd"/>
      <w:r w:rsidRPr="0099491A">
        <w:rPr>
          <w:rFonts w:ascii="Verdana" w:hAnsi="Verdana" w:cs="Arial"/>
          <w:bCs/>
          <w:color w:val="000000" w:themeColor="text1"/>
          <w:sz w:val="20"/>
          <w:szCs w:val="20"/>
          <w:lang w:val="es-ES"/>
        </w:rPr>
        <w:t xml:space="preserve"> del proceso de selección, la Entidad Estatal debe contar con “los estudios y diseños que permitan establecer la viabilidad del proyecto y su impacto social, económico y ambiental”</w:t>
      </w:r>
      <w:r w:rsidRPr="0099491A">
        <w:rPr>
          <w:rFonts w:ascii="Verdana" w:hAnsi="Verdana"/>
          <w:sz w:val="20"/>
          <w:szCs w:val="20"/>
          <w:lang w:val="es-ES"/>
        </w:rPr>
        <w:t xml:space="preserve">. Incluso, el numeral 3 del artículo 26 del Estatuto General de Contratación de la Administración Pública prescribe que las entidades y los servidores públicos responderán cuando hubieren iniciado procedimientos de selección sin haber elaborado los diseños correspondientes. </w:t>
      </w:r>
    </w:p>
    <w:p w14:paraId="7ABAC274" w14:textId="77777777" w:rsidR="000B3237" w:rsidRPr="0099491A" w:rsidRDefault="000B3237" w:rsidP="000B3237">
      <w:pPr>
        <w:spacing w:after="0" w:line="240" w:lineRule="auto"/>
        <w:jc w:val="both"/>
        <w:rPr>
          <w:rFonts w:ascii="Verdana" w:hAnsi="Verdana"/>
          <w:sz w:val="20"/>
          <w:szCs w:val="20"/>
          <w:lang w:val="es-ES"/>
        </w:rPr>
      </w:pPr>
    </w:p>
    <w:p w14:paraId="69C2D7EC" w14:textId="77777777" w:rsidR="000B3237" w:rsidRDefault="000B3237" w:rsidP="000B3237">
      <w:pPr>
        <w:spacing w:after="0" w:line="240" w:lineRule="auto"/>
        <w:jc w:val="both"/>
        <w:rPr>
          <w:rFonts w:ascii="Verdana" w:eastAsia="Calibri" w:hAnsi="Verdana" w:cs="Arial"/>
          <w:b/>
          <w:bCs/>
          <w:lang w:val="es-ES" w:eastAsia="es-ES"/>
        </w:rPr>
      </w:pPr>
      <w:r w:rsidRPr="003C6B10">
        <w:rPr>
          <w:rFonts w:ascii="Verdana" w:eastAsia="Calibri" w:hAnsi="Verdana" w:cs="Arial"/>
          <w:b/>
          <w:bCs/>
          <w:lang w:val="es-ES" w:eastAsia="es-ES"/>
        </w:rPr>
        <w:t xml:space="preserve">DISEÑOS Y ESTUDIOS DE LA OBRA – </w:t>
      </w:r>
      <w:r>
        <w:rPr>
          <w:rFonts w:ascii="Verdana" w:eastAsia="Calibri" w:hAnsi="Verdana" w:cs="Arial"/>
          <w:b/>
          <w:bCs/>
          <w:lang w:val="es-ES" w:eastAsia="es-ES"/>
        </w:rPr>
        <w:t>Alcance</w:t>
      </w:r>
    </w:p>
    <w:p w14:paraId="72E25545" w14:textId="77777777" w:rsidR="000B3237" w:rsidRDefault="000B3237" w:rsidP="000B3237">
      <w:pPr>
        <w:snapToGrid w:val="0"/>
        <w:spacing w:after="0" w:line="240" w:lineRule="auto"/>
        <w:jc w:val="both"/>
        <w:rPr>
          <w:rFonts w:ascii="Verdana" w:hAnsi="Verdana"/>
          <w:sz w:val="20"/>
          <w:szCs w:val="20"/>
          <w:lang w:val="es-ES"/>
        </w:rPr>
      </w:pPr>
    </w:p>
    <w:p w14:paraId="6FEE1E6A" w14:textId="77777777" w:rsidR="000B3237" w:rsidRDefault="000B3237" w:rsidP="000B3237">
      <w:pPr>
        <w:snapToGrid w:val="0"/>
        <w:spacing w:after="0" w:line="240" w:lineRule="auto"/>
        <w:jc w:val="both"/>
        <w:rPr>
          <w:rFonts w:ascii="Verdana" w:hAnsi="Verdana"/>
          <w:sz w:val="20"/>
          <w:szCs w:val="20"/>
          <w:lang w:val="es-ES"/>
        </w:rPr>
      </w:pPr>
      <w:r w:rsidRPr="0099491A">
        <w:rPr>
          <w:rFonts w:ascii="Verdana" w:hAnsi="Verdana"/>
          <w:sz w:val="20"/>
          <w:szCs w:val="20"/>
          <w:lang w:val="es-ES"/>
        </w:rPr>
        <w:t xml:space="preserve">En cualquiera de los supuestos señalados, es importante subrayar que el ordenamiento jurídico establece distintas fases para la elaboración y contratación de los estudios de viabilidad de un proyecto de construcción. En efecto, el artículo 12 de la Ley 1862 de 2013 define y clasifica los diversos estudios de ingeniería que se adelantan para la ejecución de los proyectos de infraestructura de transporte en: i) Fase I - Prefactibilidad, </w:t>
      </w:r>
      <w:proofErr w:type="spellStart"/>
      <w:r w:rsidRPr="0099491A">
        <w:rPr>
          <w:rFonts w:ascii="Verdana" w:hAnsi="Verdana"/>
          <w:sz w:val="20"/>
          <w:szCs w:val="20"/>
          <w:lang w:val="es-ES"/>
        </w:rPr>
        <w:t>ii</w:t>
      </w:r>
      <w:proofErr w:type="spellEnd"/>
      <w:r w:rsidRPr="0099491A">
        <w:rPr>
          <w:rFonts w:ascii="Verdana" w:hAnsi="Verdana"/>
          <w:sz w:val="20"/>
          <w:szCs w:val="20"/>
          <w:lang w:val="es-ES"/>
        </w:rPr>
        <w:t xml:space="preserve">) Fase II - Factibilidad y </w:t>
      </w:r>
      <w:proofErr w:type="spellStart"/>
      <w:r w:rsidRPr="0099491A">
        <w:rPr>
          <w:rFonts w:ascii="Verdana" w:hAnsi="Verdana"/>
          <w:sz w:val="20"/>
          <w:szCs w:val="20"/>
          <w:lang w:val="es-ES"/>
        </w:rPr>
        <w:t>iii</w:t>
      </w:r>
      <w:proofErr w:type="spellEnd"/>
      <w:r w:rsidRPr="0099491A">
        <w:rPr>
          <w:rFonts w:ascii="Verdana" w:hAnsi="Verdana"/>
          <w:sz w:val="20"/>
          <w:szCs w:val="20"/>
          <w:lang w:val="es-ES"/>
        </w:rPr>
        <w:t>) Fase III - Estudios y diseños</w:t>
      </w:r>
      <w:r w:rsidRPr="0099491A">
        <w:rPr>
          <w:rFonts w:ascii="Verdana" w:hAnsi="Verdana"/>
          <w:spacing w:val="-1"/>
          <w:sz w:val="20"/>
          <w:szCs w:val="20"/>
          <w:lang w:val="es-ES"/>
        </w:rPr>
        <w:t xml:space="preserve"> </w:t>
      </w:r>
      <w:r w:rsidRPr="0099491A">
        <w:rPr>
          <w:rFonts w:ascii="Verdana" w:hAnsi="Verdana"/>
          <w:sz w:val="20"/>
          <w:szCs w:val="20"/>
          <w:lang w:val="es-ES"/>
        </w:rPr>
        <w:t xml:space="preserve">definitivos. </w:t>
      </w:r>
    </w:p>
    <w:p w14:paraId="1D11CD82" w14:textId="77777777" w:rsidR="000B3237" w:rsidRPr="0099491A" w:rsidRDefault="000B3237" w:rsidP="000B3237">
      <w:pPr>
        <w:snapToGrid w:val="0"/>
        <w:spacing w:after="0" w:line="240" w:lineRule="auto"/>
        <w:jc w:val="both"/>
        <w:rPr>
          <w:rFonts w:ascii="Verdana" w:hAnsi="Verdana"/>
          <w:sz w:val="20"/>
          <w:szCs w:val="20"/>
          <w:lang w:val="es-ES"/>
        </w:rPr>
      </w:pPr>
    </w:p>
    <w:p w14:paraId="4F05B796" w14:textId="77777777" w:rsidR="000B3237" w:rsidRPr="0099491A" w:rsidRDefault="000B3237" w:rsidP="000B3237">
      <w:pPr>
        <w:snapToGrid w:val="0"/>
        <w:spacing w:line="240" w:lineRule="auto"/>
        <w:jc w:val="both"/>
        <w:rPr>
          <w:rFonts w:ascii="Verdana" w:hAnsi="Verdana"/>
          <w:sz w:val="20"/>
          <w:szCs w:val="20"/>
          <w:lang w:val="es-ES"/>
        </w:rPr>
      </w:pPr>
      <w:r w:rsidRPr="0099491A">
        <w:rPr>
          <w:rFonts w:ascii="Verdana" w:hAnsi="Verdana"/>
          <w:sz w:val="20"/>
          <w:szCs w:val="20"/>
          <w:lang w:val="es-ES"/>
        </w:rPr>
        <w:t xml:space="preserve">De acuerdo con las definiciones de estos estudios de ingeniería es posible concluir que las Entidades Estatales que pretendan adelantar un proceso de contratación para la construcción de obra pública deberán contar de forma previa a la apertura con los estudios de </w:t>
      </w:r>
      <w:r w:rsidRPr="0099491A">
        <w:rPr>
          <w:rFonts w:ascii="Verdana" w:hAnsi="Verdana"/>
          <w:i/>
          <w:iCs/>
          <w:sz w:val="20"/>
          <w:szCs w:val="20"/>
          <w:lang w:val="es-ES"/>
        </w:rPr>
        <w:t>prefactibilidad</w:t>
      </w:r>
      <w:r w:rsidRPr="0099491A">
        <w:rPr>
          <w:rFonts w:ascii="Verdana" w:hAnsi="Verdana"/>
          <w:sz w:val="20"/>
          <w:szCs w:val="20"/>
          <w:lang w:val="es-ES"/>
        </w:rPr>
        <w:t xml:space="preserve"> y estudios de </w:t>
      </w:r>
      <w:r w:rsidRPr="0099491A">
        <w:rPr>
          <w:rFonts w:ascii="Verdana" w:hAnsi="Verdana"/>
          <w:i/>
          <w:iCs/>
          <w:sz w:val="20"/>
          <w:szCs w:val="20"/>
          <w:lang w:val="es-ES"/>
        </w:rPr>
        <w:t>factibilidad</w:t>
      </w:r>
      <w:r w:rsidRPr="0099491A">
        <w:rPr>
          <w:rFonts w:ascii="Verdana" w:hAnsi="Verdana"/>
          <w:sz w:val="20"/>
          <w:szCs w:val="20"/>
          <w:lang w:val="es-ES"/>
        </w:rPr>
        <w:t xml:space="preserve">, porque a través de estos se verifica la </w:t>
      </w:r>
      <w:r w:rsidRPr="0099491A">
        <w:rPr>
          <w:rFonts w:ascii="Verdana" w:hAnsi="Verdana"/>
          <w:i/>
          <w:iCs/>
          <w:sz w:val="20"/>
          <w:szCs w:val="20"/>
          <w:lang w:val="es-ES"/>
        </w:rPr>
        <w:t xml:space="preserve">viabilidad </w:t>
      </w:r>
      <w:r w:rsidRPr="0099491A">
        <w:rPr>
          <w:rFonts w:ascii="Verdana" w:hAnsi="Verdana"/>
          <w:sz w:val="20"/>
          <w:szCs w:val="20"/>
          <w:lang w:val="es-ES"/>
        </w:rPr>
        <w:t>del</w:t>
      </w:r>
      <w:r w:rsidRPr="0099491A">
        <w:rPr>
          <w:rFonts w:ascii="Verdana" w:hAnsi="Verdana"/>
          <w:spacing w:val="-9"/>
          <w:sz w:val="20"/>
          <w:szCs w:val="20"/>
          <w:lang w:val="es-ES"/>
        </w:rPr>
        <w:t xml:space="preserve"> </w:t>
      </w:r>
      <w:r w:rsidRPr="0099491A">
        <w:rPr>
          <w:rFonts w:ascii="Verdana" w:hAnsi="Verdana"/>
          <w:sz w:val="20"/>
          <w:szCs w:val="20"/>
          <w:lang w:val="es-ES"/>
        </w:rPr>
        <w:t xml:space="preserve">proyecto, tal como lo requiere el numeral 12 del artículo 25 de la Ley 80 de 1993. Este será el objeto del proceso de consultoría que contrate la entidad para determinar la viabilidad del proyecto, previo a la contratación de la obra pública. </w:t>
      </w:r>
    </w:p>
    <w:p w14:paraId="2960DAA6" w14:textId="77777777" w:rsidR="000B3237" w:rsidRDefault="000B3237" w:rsidP="000B3237">
      <w:pPr>
        <w:spacing w:after="0"/>
        <w:rPr>
          <w:rFonts w:ascii="Verdana" w:hAnsi="Verdana"/>
          <w:lang w:val="es-ES"/>
        </w:rPr>
      </w:pPr>
    </w:p>
    <w:p w14:paraId="03B0CE07" w14:textId="77777777" w:rsidR="000B3237" w:rsidRDefault="000B3237" w:rsidP="000B3237">
      <w:pPr>
        <w:spacing w:after="0"/>
        <w:rPr>
          <w:rFonts w:ascii="Verdana" w:hAnsi="Verdana"/>
          <w:lang w:val="es-ES"/>
        </w:rPr>
      </w:pPr>
    </w:p>
    <w:p w14:paraId="30DC8D1A" w14:textId="77777777" w:rsidR="000B3237" w:rsidRDefault="000B3237" w:rsidP="000B3237">
      <w:pPr>
        <w:spacing w:after="0"/>
        <w:rPr>
          <w:rFonts w:ascii="Verdana" w:hAnsi="Verdana"/>
          <w:lang w:val="es-ES"/>
        </w:rPr>
      </w:pPr>
    </w:p>
    <w:p w14:paraId="181DFEE1" w14:textId="77777777" w:rsidR="000B3237" w:rsidRDefault="000B3237" w:rsidP="000B3237">
      <w:pPr>
        <w:spacing w:after="0"/>
        <w:rPr>
          <w:rFonts w:ascii="Verdana" w:hAnsi="Verdana"/>
          <w:lang w:val="es-ES"/>
        </w:rPr>
      </w:pPr>
    </w:p>
    <w:p w14:paraId="51C7CECF" w14:textId="77777777" w:rsidR="000B3237" w:rsidRDefault="000B3237" w:rsidP="000B3237">
      <w:pPr>
        <w:spacing w:after="0"/>
        <w:rPr>
          <w:rFonts w:ascii="Verdana" w:hAnsi="Verdana"/>
          <w:lang w:val="es-ES"/>
        </w:rPr>
      </w:pPr>
    </w:p>
    <w:p w14:paraId="7955C991" w14:textId="77777777" w:rsidR="000B3237" w:rsidRDefault="000B3237" w:rsidP="000B3237">
      <w:pPr>
        <w:spacing w:after="0"/>
        <w:rPr>
          <w:rFonts w:ascii="Verdana" w:hAnsi="Verdana"/>
          <w:lang w:val="es-ES"/>
        </w:rPr>
      </w:pPr>
    </w:p>
    <w:p w14:paraId="6B22AEDE" w14:textId="77777777" w:rsidR="000B3237" w:rsidRDefault="000B3237" w:rsidP="000B3237">
      <w:pPr>
        <w:spacing w:after="0"/>
        <w:rPr>
          <w:rFonts w:ascii="Verdana" w:hAnsi="Verdana"/>
          <w:lang w:val="es-ES"/>
        </w:rPr>
      </w:pPr>
    </w:p>
    <w:p w14:paraId="689B1876" w14:textId="1623F83C" w:rsidR="00E60E78" w:rsidRDefault="00E60E78" w:rsidP="00E60E78">
      <w:pPr>
        <w:spacing w:after="0" w:line="240" w:lineRule="auto"/>
        <w:jc w:val="both"/>
        <w:rPr>
          <w:rFonts w:ascii="Verdana" w:hAnsi="Verdana"/>
          <w:lang w:val="es-ES"/>
        </w:rPr>
      </w:pPr>
      <w:r w:rsidRPr="00E60E78">
        <w:rPr>
          <w:rFonts w:ascii="Verdana" w:eastAsia="Calibri" w:hAnsi="Verdana" w:cs="Arial"/>
          <w:color w:val="000000" w:themeColor="text1"/>
          <w:lang w:val="es-ES" w:eastAsia="es-ES"/>
        </w:rPr>
        <w:lastRenderedPageBreak/>
        <w:t>Bogotá D.C., 03 de diciembre de 2025</w:t>
      </w:r>
    </w:p>
    <w:p w14:paraId="2C9B69C5" w14:textId="38DBF036" w:rsidR="000B3237" w:rsidRDefault="00E60E78" w:rsidP="00E60E78">
      <w:pPr>
        <w:spacing w:after="0" w:line="240" w:lineRule="auto"/>
        <w:ind w:left="4956"/>
        <w:jc w:val="both"/>
        <w:rPr>
          <w:rFonts w:ascii="Verdana" w:hAnsi="Verdana"/>
          <w:lang w:val="es-ES"/>
        </w:rPr>
      </w:pPr>
      <w:r>
        <w:rPr>
          <w:noProof/>
        </w:rPr>
        <w:drawing>
          <wp:inline distT="0" distB="0" distL="0" distR="0" wp14:anchorId="2C4045F4" wp14:editId="38C870D7">
            <wp:extent cx="2686050" cy="733425"/>
            <wp:effectExtent l="0" t="0" r="0" b="9525"/>
            <wp:docPr id="118591901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919011" name=""/>
                    <pic:cNvPicPr/>
                  </pic:nvPicPr>
                  <pic:blipFill>
                    <a:blip r:embed="rId10"/>
                    <a:stretch>
                      <a:fillRect/>
                    </a:stretch>
                  </pic:blipFill>
                  <pic:spPr>
                    <a:xfrm>
                      <a:off x="0" y="0"/>
                      <a:ext cx="2686050" cy="733425"/>
                    </a:xfrm>
                    <a:prstGeom prst="rect">
                      <a:avLst/>
                    </a:prstGeom>
                  </pic:spPr>
                </pic:pic>
              </a:graphicData>
            </a:graphic>
          </wp:inline>
        </w:drawing>
      </w:r>
    </w:p>
    <w:p w14:paraId="61356C6D" w14:textId="77777777" w:rsidR="000B3237" w:rsidRDefault="000B3237" w:rsidP="000B3237">
      <w:pPr>
        <w:spacing w:after="0" w:line="240" w:lineRule="auto"/>
        <w:jc w:val="both"/>
        <w:rPr>
          <w:rFonts w:ascii="Verdana" w:eastAsia="Calibri" w:hAnsi="Verdana" w:cs="Arial"/>
          <w:color w:val="000000" w:themeColor="text1"/>
          <w:lang w:val="es-ES" w:eastAsia="es-ES"/>
        </w:rPr>
      </w:pPr>
    </w:p>
    <w:p w14:paraId="598D84D6" w14:textId="77777777" w:rsidR="000B3237" w:rsidRPr="0099029E" w:rsidRDefault="000B3237" w:rsidP="000B3237">
      <w:pPr>
        <w:spacing w:after="0" w:line="240" w:lineRule="auto"/>
        <w:jc w:val="both"/>
        <w:rPr>
          <w:rFonts w:ascii="Verdana" w:eastAsia="Calibri" w:hAnsi="Verdana" w:cs="Arial"/>
          <w:b/>
          <w:bCs/>
          <w:color w:val="000000" w:themeColor="text1"/>
          <w:lang w:val="es-ES" w:eastAsia="es-ES"/>
        </w:rPr>
      </w:pPr>
      <w:r w:rsidRPr="0099029E">
        <w:rPr>
          <w:rFonts w:ascii="Verdana" w:eastAsia="Calibri" w:hAnsi="Verdana" w:cs="Arial"/>
          <w:b/>
          <w:bCs/>
          <w:color w:val="000000" w:themeColor="text1"/>
          <w:lang w:val="es-ES" w:eastAsia="es-ES"/>
        </w:rPr>
        <w:t>PETICIONARIO ANONIMO</w:t>
      </w:r>
    </w:p>
    <w:p w14:paraId="252DED85" w14:textId="77777777" w:rsidR="000B3237" w:rsidRPr="00F57F5A" w:rsidRDefault="00000000" w:rsidP="000B3237">
      <w:pPr>
        <w:spacing w:after="0" w:line="240" w:lineRule="auto"/>
        <w:jc w:val="both"/>
        <w:rPr>
          <w:rFonts w:ascii="Verdana" w:eastAsia="Calibri" w:hAnsi="Verdana" w:cs="Arial"/>
          <w:color w:val="000000" w:themeColor="text1"/>
          <w:lang w:val="es-ES" w:eastAsia="es-ES_tradnl"/>
        </w:rPr>
      </w:pPr>
      <w:hyperlink r:id="rId11" w:history="1">
        <w:r w:rsidR="000B3237" w:rsidRPr="00F8370B">
          <w:rPr>
            <w:rStyle w:val="Hipervnculo"/>
            <w:rFonts w:ascii="Verdana" w:eastAsia="Calibri" w:hAnsi="Verdana" w:cs="Arial"/>
            <w:lang w:val="pt-BR" w:eastAsia="es-ES"/>
          </w:rPr>
          <w:t>wilsonpiragauta@hotmail.com</w:t>
        </w:r>
      </w:hyperlink>
    </w:p>
    <w:p w14:paraId="6DFDD0BE" w14:textId="77777777" w:rsidR="000B3237" w:rsidRPr="00F57F5A" w:rsidRDefault="000B3237" w:rsidP="000B3237">
      <w:pPr>
        <w:spacing w:after="0" w:line="240" w:lineRule="auto"/>
        <w:rPr>
          <w:rFonts w:ascii="Verdana" w:eastAsia="Calibri" w:hAnsi="Verdana" w:cs="Arial"/>
          <w:b/>
          <w:bCs/>
          <w:color w:val="000000" w:themeColor="text1"/>
          <w:lang w:val="es-ES"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B3237" w:rsidRPr="00F57F5A" w14:paraId="67BFDACD" w14:textId="77777777" w:rsidTr="001E4D43">
        <w:trPr>
          <w:trHeight w:val="304"/>
        </w:trPr>
        <w:tc>
          <w:tcPr>
            <w:tcW w:w="2689" w:type="dxa"/>
          </w:tcPr>
          <w:p w14:paraId="3D3E0987" w14:textId="77777777" w:rsidR="000B3237" w:rsidRPr="00F57F5A" w:rsidRDefault="000B3237" w:rsidP="001E4D43">
            <w:pPr>
              <w:jc w:val="both"/>
              <w:rPr>
                <w:rFonts w:ascii="Verdana" w:eastAsia="Calibri" w:hAnsi="Verdana" w:cs="Arial"/>
                <w:b/>
                <w:bCs/>
                <w:color w:val="000000" w:themeColor="text1"/>
                <w:lang w:val="es-ES" w:eastAsia="es-ES_tradnl"/>
              </w:rPr>
            </w:pPr>
          </w:p>
        </w:tc>
        <w:tc>
          <w:tcPr>
            <w:tcW w:w="6100" w:type="dxa"/>
          </w:tcPr>
          <w:p w14:paraId="1000474E" w14:textId="77777777" w:rsidR="000B3237" w:rsidRDefault="000B3237" w:rsidP="001E4D43">
            <w:pPr>
              <w:jc w:val="both"/>
              <w:rPr>
                <w:rFonts w:ascii="Verdana" w:eastAsia="Calibri" w:hAnsi="Verdana" w:cs="Arial"/>
                <w:b/>
                <w:bCs/>
                <w:color w:val="000000" w:themeColor="text1"/>
                <w:lang w:val="es-ES" w:eastAsia="es-ES"/>
              </w:rPr>
            </w:pPr>
          </w:p>
          <w:p w14:paraId="75BC24D8" w14:textId="4D797F48" w:rsidR="000B3237" w:rsidRPr="00F57F5A" w:rsidRDefault="000B3237" w:rsidP="001E4D43">
            <w:pPr>
              <w:jc w:val="both"/>
              <w:rPr>
                <w:rFonts w:ascii="Verdana" w:eastAsia="Calibri" w:hAnsi="Verdana" w:cs="Arial"/>
                <w:b/>
                <w:bCs/>
                <w:color w:val="000000" w:themeColor="text1"/>
                <w:lang w:val="es-ES" w:eastAsia="es-ES"/>
              </w:rPr>
            </w:pPr>
            <w:r w:rsidRPr="00F57F5A">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 xml:space="preserve">1554 </w:t>
            </w:r>
            <w:r w:rsidRPr="00F57F5A">
              <w:rPr>
                <w:rFonts w:ascii="Verdana" w:eastAsia="Calibri" w:hAnsi="Verdana" w:cs="Arial"/>
                <w:b/>
                <w:bCs/>
                <w:color w:val="000000" w:themeColor="text1"/>
                <w:lang w:val="es-ES" w:eastAsia="es-ES"/>
              </w:rPr>
              <w:t>de 2025</w:t>
            </w:r>
          </w:p>
          <w:p w14:paraId="4DDE646F" w14:textId="77777777" w:rsidR="000B3237" w:rsidRPr="00F57F5A" w:rsidRDefault="000B3237" w:rsidP="001E4D43">
            <w:pPr>
              <w:jc w:val="both"/>
              <w:rPr>
                <w:rFonts w:ascii="Verdana" w:eastAsia="Calibri" w:hAnsi="Verdana" w:cs="Arial"/>
                <w:b/>
                <w:bCs/>
                <w:color w:val="000000" w:themeColor="text1"/>
                <w:lang w:val="es-ES" w:eastAsia="es-ES"/>
              </w:rPr>
            </w:pPr>
          </w:p>
        </w:tc>
      </w:tr>
      <w:tr w:rsidR="000B3237" w:rsidRPr="00F57F5A" w14:paraId="38259D63" w14:textId="77777777" w:rsidTr="001E4D43">
        <w:trPr>
          <w:trHeight w:val="884"/>
        </w:trPr>
        <w:tc>
          <w:tcPr>
            <w:tcW w:w="2689" w:type="dxa"/>
          </w:tcPr>
          <w:p w14:paraId="4639DA91" w14:textId="77777777" w:rsidR="000B3237" w:rsidRPr="00F57F5A" w:rsidRDefault="000B3237" w:rsidP="001E4D43">
            <w:pPr>
              <w:jc w:val="both"/>
              <w:rPr>
                <w:rFonts w:ascii="Verdana" w:eastAsia="Calibri" w:hAnsi="Verdana" w:cs="Arial"/>
                <w:color w:val="000000" w:themeColor="text1"/>
                <w:lang w:val="es-ES" w:eastAsia="es-ES_tradnl"/>
              </w:rPr>
            </w:pPr>
            <w:r w:rsidRPr="00F57F5A">
              <w:rPr>
                <w:rFonts w:ascii="Verdana" w:eastAsia="Calibri" w:hAnsi="Verdana" w:cs="Arial"/>
                <w:b/>
                <w:color w:val="000000" w:themeColor="text1"/>
                <w:lang w:val="es-ES" w:eastAsia="es-ES_tradnl"/>
              </w:rPr>
              <w:t>Temas:</w:t>
            </w:r>
            <w:r w:rsidRPr="00F57F5A">
              <w:rPr>
                <w:rFonts w:ascii="Verdana" w:eastAsia="Calibri" w:hAnsi="Verdana" w:cs="Arial"/>
                <w:color w:val="000000" w:themeColor="text1"/>
                <w:lang w:val="es-ES" w:eastAsia="es-ES_tradnl"/>
              </w:rPr>
              <w:t xml:space="preserve">                    </w:t>
            </w:r>
          </w:p>
        </w:tc>
        <w:tc>
          <w:tcPr>
            <w:tcW w:w="6100" w:type="dxa"/>
          </w:tcPr>
          <w:p w14:paraId="3482BC53" w14:textId="77777777" w:rsidR="000B3237" w:rsidRPr="00F57F5A" w:rsidRDefault="000B3237" w:rsidP="001E4D43">
            <w:pPr>
              <w:spacing w:line="276" w:lineRule="auto"/>
              <w:jc w:val="both"/>
              <w:rPr>
                <w:rFonts w:ascii="Verdana" w:eastAsia="Calibri" w:hAnsi="Verdana" w:cs="Arial"/>
                <w:lang w:val="es-ES" w:eastAsia="es-ES"/>
              </w:rPr>
            </w:pPr>
            <w:r w:rsidRPr="00F57F5A">
              <w:rPr>
                <w:rFonts w:ascii="Verdana" w:eastAsia="Calibri" w:hAnsi="Verdana" w:cs="Arial"/>
                <w:lang w:val="es-ES" w:eastAsia="es-ES"/>
              </w:rPr>
              <w:t xml:space="preserve">CONTRATO DE OBRA PÚBLICA – Concepto – Sentido restringido / DISEÑOS, ESTUDIOS Y OBRA – Contratación – Viabilidad del proyecto / DISEÑOS Y ESTUDIOS DE LA OBRA – </w:t>
            </w:r>
            <w:r>
              <w:rPr>
                <w:rFonts w:ascii="Verdana" w:eastAsia="Calibri" w:hAnsi="Verdana" w:cs="Arial"/>
                <w:lang w:val="es-ES" w:eastAsia="es-ES"/>
              </w:rPr>
              <w:t>Alcance</w:t>
            </w:r>
          </w:p>
          <w:p w14:paraId="167F9937" w14:textId="77777777" w:rsidR="000B3237" w:rsidRPr="00F57F5A" w:rsidRDefault="000B3237" w:rsidP="001E4D43">
            <w:pPr>
              <w:contextualSpacing/>
              <w:jc w:val="both"/>
              <w:rPr>
                <w:rFonts w:ascii="Verdana" w:eastAsia="Calibri" w:hAnsi="Verdana" w:cs="Arial"/>
                <w:color w:val="000000" w:themeColor="text1"/>
                <w:lang w:val="es-ES" w:eastAsia="es-ES"/>
              </w:rPr>
            </w:pPr>
          </w:p>
        </w:tc>
      </w:tr>
      <w:tr w:rsidR="000B3237" w:rsidRPr="00F57F5A" w14:paraId="7F9B21EE" w14:textId="77777777" w:rsidTr="001E4D43">
        <w:tc>
          <w:tcPr>
            <w:tcW w:w="2689" w:type="dxa"/>
          </w:tcPr>
          <w:p w14:paraId="1613A09B" w14:textId="77777777" w:rsidR="000B3237" w:rsidRPr="00F57F5A" w:rsidRDefault="000B3237" w:rsidP="001E4D43">
            <w:pPr>
              <w:jc w:val="both"/>
              <w:rPr>
                <w:rFonts w:ascii="Verdana" w:eastAsia="Calibri" w:hAnsi="Verdana" w:cs="Arial"/>
                <w:b/>
                <w:color w:val="000000" w:themeColor="text1"/>
                <w:lang w:val="es-ES" w:eastAsia="es-ES_tradnl"/>
              </w:rPr>
            </w:pPr>
            <w:r w:rsidRPr="00F57F5A">
              <w:rPr>
                <w:rFonts w:ascii="Verdana" w:eastAsia="Calibri" w:hAnsi="Verdana" w:cs="Arial"/>
                <w:b/>
                <w:color w:val="000000" w:themeColor="text1"/>
                <w:lang w:val="es-ES" w:eastAsia="es-ES_tradnl"/>
              </w:rPr>
              <w:t>Radicación:</w:t>
            </w:r>
            <w:r w:rsidRPr="00F57F5A">
              <w:rPr>
                <w:rFonts w:ascii="Verdana" w:eastAsia="Calibri" w:hAnsi="Verdana" w:cs="Arial"/>
                <w:color w:val="000000" w:themeColor="text1"/>
                <w:lang w:val="es-ES" w:eastAsia="es-ES_tradnl"/>
              </w:rPr>
              <w:t xml:space="preserve">               </w:t>
            </w:r>
          </w:p>
        </w:tc>
        <w:tc>
          <w:tcPr>
            <w:tcW w:w="6100" w:type="dxa"/>
          </w:tcPr>
          <w:p w14:paraId="0A051249" w14:textId="77777777" w:rsidR="000B3237" w:rsidRPr="00F57F5A" w:rsidRDefault="000B3237" w:rsidP="001E4D43">
            <w:pPr>
              <w:jc w:val="both"/>
              <w:rPr>
                <w:rFonts w:ascii="Verdana" w:eastAsia="Calibri" w:hAnsi="Verdana" w:cs="Arial"/>
                <w:color w:val="000000" w:themeColor="text1"/>
                <w:lang w:val="es-ES" w:eastAsia="es-ES_tradnl"/>
              </w:rPr>
            </w:pPr>
            <w:r w:rsidRPr="00F57F5A">
              <w:rPr>
                <w:rFonts w:ascii="Verdana" w:eastAsia="Calibri" w:hAnsi="Verdana" w:cs="Arial"/>
                <w:color w:val="000000" w:themeColor="text1"/>
                <w:lang w:val="es-ES" w:eastAsia="es-ES_tradnl"/>
              </w:rPr>
              <w:t xml:space="preserve">Respuesta a </w:t>
            </w:r>
            <w:r>
              <w:rPr>
                <w:rFonts w:ascii="Verdana" w:eastAsia="Calibri" w:hAnsi="Verdana" w:cs="Arial"/>
                <w:color w:val="000000" w:themeColor="text1"/>
                <w:lang w:val="es-ES" w:eastAsia="es-ES_tradnl"/>
              </w:rPr>
              <w:t xml:space="preserve">la </w:t>
            </w:r>
            <w:r w:rsidRPr="00F57F5A">
              <w:rPr>
                <w:rFonts w:ascii="Verdana" w:eastAsia="Calibri" w:hAnsi="Verdana" w:cs="Arial"/>
                <w:color w:val="000000" w:themeColor="text1"/>
                <w:lang w:val="es-ES" w:eastAsia="es-ES_tradnl"/>
              </w:rPr>
              <w:t>consulta con radicado No. 1_2025_</w:t>
            </w:r>
            <w:r>
              <w:rPr>
                <w:rFonts w:ascii="Verdana" w:eastAsia="Calibri" w:hAnsi="Verdana" w:cs="Arial"/>
                <w:color w:val="000000" w:themeColor="text1"/>
                <w:lang w:val="es-ES" w:eastAsia="es-ES_tradnl"/>
              </w:rPr>
              <w:t>10</w:t>
            </w:r>
            <w:r w:rsidRPr="00F57F5A">
              <w:rPr>
                <w:rFonts w:ascii="Verdana" w:eastAsia="Calibri" w:hAnsi="Verdana" w:cs="Arial"/>
                <w:color w:val="000000" w:themeColor="text1"/>
                <w:lang w:val="es-ES" w:eastAsia="es-ES_tradnl"/>
              </w:rPr>
              <w:t>_</w:t>
            </w:r>
            <w:r>
              <w:rPr>
                <w:rFonts w:ascii="Verdana" w:eastAsia="Calibri" w:hAnsi="Verdana" w:cs="Arial"/>
                <w:color w:val="000000" w:themeColor="text1"/>
                <w:lang w:val="es-ES" w:eastAsia="es-ES_tradnl"/>
              </w:rPr>
              <w:t>23</w:t>
            </w:r>
            <w:r w:rsidRPr="00F57F5A">
              <w:rPr>
                <w:rFonts w:ascii="Verdana" w:eastAsia="Calibri" w:hAnsi="Verdana" w:cs="Arial"/>
                <w:color w:val="000000" w:themeColor="text1"/>
                <w:lang w:val="es-ES" w:eastAsia="es-ES_tradnl"/>
              </w:rPr>
              <w:t>_</w:t>
            </w:r>
            <w:r>
              <w:rPr>
                <w:rFonts w:ascii="Verdana" w:eastAsia="Calibri" w:hAnsi="Verdana" w:cs="Arial"/>
                <w:color w:val="000000" w:themeColor="text1"/>
                <w:lang w:val="es-ES" w:eastAsia="es-ES_tradnl"/>
              </w:rPr>
              <w:t>011899</w:t>
            </w:r>
          </w:p>
        </w:tc>
      </w:tr>
    </w:tbl>
    <w:p w14:paraId="7D719620" w14:textId="77777777" w:rsidR="000B3237" w:rsidRPr="00F57F5A" w:rsidRDefault="000B3237" w:rsidP="000B3237">
      <w:pPr>
        <w:spacing w:after="0" w:line="276" w:lineRule="auto"/>
        <w:jc w:val="both"/>
        <w:rPr>
          <w:rFonts w:ascii="Verdana" w:eastAsia="Calibri" w:hAnsi="Verdana" w:cs="Arial"/>
          <w:color w:val="000000" w:themeColor="text1"/>
          <w:lang w:val="es-ES" w:eastAsia="es-ES_tradnl"/>
        </w:rPr>
      </w:pPr>
    </w:p>
    <w:p w14:paraId="099954C5" w14:textId="77777777" w:rsidR="000B3237" w:rsidRPr="00F57F5A" w:rsidRDefault="000B3237" w:rsidP="000B3237">
      <w:pPr>
        <w:spacing w:after="0" w:line="276" w:lineRule="auto"/>
        <w:jc w:val="both"/>
        <w:rPr>
          <w:rFonts w:ascii="Verdana" w:eastAsia="Calibri" w:hAnsi="Verdana" w:cs="Arial"/>
          <w:color w:val="000000" w:themeColor="text1"/>
          <w:lang w:val="es-ES" w:eastAsia="es-ES"/>
        </w:rPr>
      </w:pPr>
      <w:r w:rsidRPr="00F57F5A">
        <w:rPr>
          <w:rFonts w:ascii="Verdana" w:eastAsia="Calibri" w:hAnsi="Verdana" w:cs="Arial"/>
          <w:color w:val="000000" w:themeColor="text1"/>
          <w:lang w:val="es-ES" w:eastAsia="es-ES"/>
        </w:rPr>
        <w:t xml:space="preserve"> </w:t>
      </w:r>
    </w:p>
    <w:p w14:paraId="5A55C8E1" w14:textId="77777777" w:rsidR="000B3237" w:rsidRPr="00F57F5A" w:rsidRDefault="000B3237" w:rsidP="000B3237">
      <w:pPr>
        <w:tabs>
          <w:tab w:val="left" w:pos="3768"/>
        </w:tabs>
        <w:spacing w:after="0" w:line="276" w:lineRule="auto"/>
        <w:jc w:val="both"/>
        <w:rPr>
          <w:rFonts w:ascii="Verdana" w:eastAsia="Calibri" w:hAnsi="Verdana" w:cs="Arial"/>
          <w:color w:val="000000" w:themeColor="text1"/>
          <w:lang w:val="es-ES" w:eastAsia="es-ES"/>
        </w:rPr>
      </w:pPr>
      <w:r w:rsidRPr="00F57F5A">
        <w:rPr>
          <w:rFonts w:ascii="Verdana" w:eastAsia="Calibri" w:hAnsi="Verdana" w:cs="Arial"/>
          <w:color w:val="000000" w:themeColor="text1"/>
          <w:lang w:val="es-ES" w:eastAsia="es-ES"/>
        </w:rPr>
        <w:tab/>
      </w:r>
    </w:p>
    <w:p w14:paraId="28084C3C" w14:textId="77777777" w:rsidR="000B3237" w:rsidRPr="00F57F5A" w:rsidRDefault="000B3237" w:rsidP="000B3237">
      <w:pPr>
        <w:spacing w:after="0" w:line="276" w:lineRule="auto"/>
        <w:jc w:val="both"/>
        <w:rPr>
          <w:rFonts w:ascii="Verdana" w:eastAsia="Calibri" w:hAnsi="Verdana" w:cs="Arial"/>
          <w:color w:val="000000" w:themeColor="text1"/>
          <w:lang w:val="es-ES" w:eastAsia="es-ES"/>
        </w:rPr>
      </w:pPr>
      <w:r w:rsidRPr="00F57F5A">
        <w:rPr>
          <w:rFonts w:ascii="Verdana" w:eastAsia="Calibri" w:hAnsi="Verdana" w:cs="Arial"/>
          <w:color w:val="000000" w:themeColor="text1"/>
          <w:lang w:val="es-ES" w:eastAsia="es-ES"/>
        </w:rPr>
        <w:t>En ejercicio de la competencia otorgada por los artículos 3, numeral 5º, y 11, numeral 8º, del Decreto Ley 4170 de 2011,</w:t>
      </w:r>
      <w:r w:rsidRPr="00F57F5A">
        <w:rPr>
          <w:rFonts w:ascii="Verdana" w:eastAsia="Arial MT" w:hAnsi="Verdana" w:cs="Arial MT"/>
          <w:color w:val="000000" w:themeColor="text1"/>
          <w:lang w:val="es-ES" w:eastAsia="es-ES"/>
        </w:rPr>
        <w:t xml:space="preserve"> </w:t>
      </w:r>
      <w:r w:rsidRPr="00F57F5A">
        <w:rPr>
          <w:rFonts w:ascii="Verdana" w:hAnsi="Verdana" w:cs="Arial"/>
          <w:color w:val="000000" w:themeColor="text1"/>
          <w:lang w:val="es-ES"/>
        </w:rPr>
        <w:t xml:space="preserve">así como lo establecido en el artículo 4 de la Resolución 1707 de 2018 expedida por esta Entidad, la Agencia Nacional de Contratación Pública – Colombia Compra Eficiente– responde su solicitud de consulta del </w:t>
      </w:r>
      <w:r>
        <w:rPr>
          <w:rFonts w:ascii="Verdana" w:hAnsi="Verdana" w:cs="Arial"/>
          <w:color w:val="000000" w:themeColor="text1"/>
          <w:lang w:val="es-ES"/>
        </w:rPr>
        <w:t xml:space="preserve">23 de octubre </w:t>
      </w:r>
      <w:r w:rsidRPr="00F57F5A">
        <w:rPr>
          <w:rFonts w:ascii="Verdana" w:hAnsi="Verdana" w:cs="Arial"/>
          <w:color w:val="000000" w:themeColor="text1"/>
          <w:lang w:val="es-ES"/>
        </w:rPr>
        <w:t>de 2025, en la cual manifiesta lo siguiente:</w:t>
      </w:r>
      <w:r w:rsidRPr="00F57F5A">
        <w:rPr>
          <w:rFonts w:ascii="Verdana" w:eastAsia="Calibri" w:hAnsi="Verdana" w:cs="Arial"/>
          <w:color w:val="000000" w:themeColor="text1"/>
          <w:lang w:val="es-ES" w:eastAsia="es-ES"/>
        </w:rPr>
        <w:t xml:space="preserve"> </w:t>
      </w:r>
    </w:p>
    <w:p w14:paraId="6161743C" w14:textId="77777777" w:rsidR="000B3237" w:rsidRPr="00F57F5A" w:rsidRDefault="000B3237" w:rsidP="000B3237">
      <w:pPr>
        <w:spacing w:after="0" w:line="276" w:lineRule="auto"/>
        <w:jc w:val="both"/>
        <w:rPr>
          <w:rFonts w:ascii="Verdana" w:eastAsia="Calibri" w:hAnsi="Verdana" w:cs="Arial"/>
          <w:color w:val="000000" w:themeColor="text1"/>
          <w:lang w:val="es-ES" w:eastAsia="es-ES"/>
        </w:rPr>
      </w:pPr>
    </w:p>
    <w:p w14:paraId="72B504D9" w14:textId="73B65CB9" w:rsidR="000B3237" w:rsidRPr="00404328" w:rsidRDefault="000B3237" w:rsidP="000B3237">
      <w:pPr>
        <w:snapToGrid w:val="0"/>
        <w:spacing w:after="0"/>
        <w:ind w:left="720" w:right="709"/>
        <w:contextualSpacing/>
        <w:jc w:val="both"/>
        <w:rPr>
          <w:rFonts w:ascii="Verdana" w:eastAsia="Century Gothic" w:hAnsi="Verdana" w:cs="Century Gothic"/>
          <w:color w:val="000000" w:themeColor="text1"/>
          <w:sz w:val="20"/>
          <w:szCs w:val="20"/>
          <w:lang w:val="es-ES"/>
        </w:rPr>
      </w:pPr>
      <w:bookmarkStart w:id="1" w:name="_Hlk95313578"/>
      <w:r w:rsidRPr="00F57F5A">
        <w:rPr>
          <w:rFonts w:ascii="Verdana" w:eastAsia="Century Gothic" w:hAnsi="Verdana" w:cs="Century Gothic"/>
          <w:color w:val="000000" w:themeColor="text1"/>
          <w:sz w:val="20"/>
          <w:szCs w:val="20"/>
          <w:lang w:val="es-ES"/>
        </w:rPr>
        <w:t>“</w:t>
      </w:r>
      <w:r w:rsidRPr="00404328">
        <w:rPr>
          <w:rFonts w:ascii="Verdana" w:hAnsi="Verdana"/>
          <w:sz w:val="20"/>
          <w:szCs w:val="20"/>
        </w:rPr>
        <w:t xml:space="preserve">Conforme a lo establecido por la normatividad que rige la contratación pública es necesario que las entidades territoriales adelanten sus procesos de contratación conforme a lo establecido en los pliegos tipo, para el caso particular la consulta surge para el siguiente proceso "Una entidad se encuentra estructurando un proceso de selección por concurso de méritos para la determinación de estudios de demanda de transporte público, al consultar Documentos tipo para los procesos de selección de consultoría de obra pública de infraestructura de transporte – versión 2. en la matriz de experiencia del pliego tipo se encuentra existe un numeral que dice 6.38 PROYECTOS DE CONSULTORÍA PARA ESTUDIOS DE TRANSPORTE PUBLICO, el estudio de demanda propuesto consiste en cuantificar la demanda insatisfecha de transporte para el servicio individual tipo taxi y </w:t>
      </w:r>
      <w:r w:rsidRPr="00404328">
        <w:rPr>
          <w:rFonts w:ascii="Verdana" w:hAnsi="Verdana"/>
          <w:sz w:val="20"/>
          <w:szCs w:val="20"/>
        </w:rPr>
        <w:lastRenderedPageBreak/>
        <w:t xml:space="preserve">de transporte mixto. </w:t>
      </w:r>
      <w:r w:rsidR="00E60E78" w:rsidRPr="00404328">
        <w:rPr>
          <w:rFonts w:ascii="Verdana" w:hAnsi="Verdana"/>
          <w:sz w:val="20"/>
          <w:szCs w:val="20"/>
        </w:rPr>
        <w:t>¿Es necesario y obligatorio para la entidad adelantar esta contratación por pliego tipo?</w:t>
      </w:r>
      <w:r w:rsidRPr="00F57F5A">
        <w:rPr>
          <w:rFonts w:ascii="Verdana" w:eastAsia="Century Gothic" w:hAnsi="Verdana" w:cs="Century Gothic"/>
          <w:color w:val="000000" w:themeColor="text1"/>
          <w:sz w:val="20"/>
          <w:szCs w:val="20"/>
          <w:lang w:val="es-ES"/>
        </w:rPr>
        <w:t>”</w:t>
      </w:r>
      <w:r>
        <w:rPr>
          <w:rFonts w:ascii="Verdana" w:eastAsia="Century Gothic" w:hAnsi="Verdana" w:cs="Century Gothic"/>
          <w:color w:val="000000" w:themeColor="text1"/>
          <w:sz w:val="20"/>
          <w:szCs w:val="20"/>
          <w:lang w:val="es-ES"/>
        </w:rPr>
        <w:t xml:space="preserve"> (SIC)</w:t>
      </w:r>
    </w:p>
    <w:bookmarkEnd w:id="1"/>
    <w:p w14:paraId="2587FDFB" w14:textId="77777777" w:rsidR="000B3237" w:rsidRPr="00F57F5A" w:rsidRDefault="000B3237" w:rsidP="000B3237">
      <w:pPr>
        <w:spacing w:after="0" w:line="240" w:lineRule="auto"/>
        <w:contextualSpacing/>
        <w:jc w:val="both"/>
        <w:rPr>
          <w:rFonts w:ascii="Verdana" w:eastAsia="Calibri" w:hAnsi="Verdana" w:cs="Arial"/>
          <w:color w:val="000000" w:themeColor="text1"/>
          <w:lang w:val="es-ES" w:eastAsia="es-ES"/>
        </w:rPr>
      </w:pPr>
    </w:p>
    <w:p w14:paraId="6D27577A" w14:textId="77777777" w:rsidR="000B3237" w:rsidRPr="00F57F5A" w:rsidRDefault="000B3237" w:rsidP="000B3237">
      <w:pPr>
        <w:spacing w:after="0" w:line="276" w:lineRule="auto"/>
        <w:ind w:firstLine="709"/>
        <w:contextualSpacing/>
        <w:jc w:val="both"/>
        <w:rPr>
          <w:rFonts w:ascii="Verdana" w:eastAsia="Calibri" w:hAnsi="Verdana" w:cs="Arial"/>
          <w:color w:val="000000" w:themeColor="text1"/>
          <w:szCs w:val="24"/>
          <w:lang w:val="es-ES" w:eastAsia="es-ES_tradnl"/>
        </w:rPr>
      </w:pPr>
      <w:r w:rsidRPr="00F57F5A">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57F5A">
        <w:rPr>
          <w:rFonts w:ascii="Verdana" w:eastAsia="Calibri" w:hAnsi="Verdana" w:cs="Arial"/>
          <w:color w:val="000000" w:themeColor="text1"/>
          <w:szCs w:val="24"/>
          <w:lang w:val="es-ES" w:eastAsia="es-ES_tradnl"/>
        </w:rPr>
        <w:tab/>
      </w:r>
    </w:p>
    <w:p w14:paraId="1953E699" w14:textId="77777777" w:rsidR="000B3237" w:rsidRPr="00F57F5A" w:rsidRDefault="000B3237" w:rsidP="000B3237">
      <w:pPr>
        <w:spacing w:before="120" w:after="0" w:line="276" w:lineRule="auto"/>
        <w:ind w:firstLine="709"/>
        <w:jc w:val="both"/>
        <w:rPr>
          <w:rFonts w:ascii="Verdana" w:eastAsia="Calibri" w:hAnsi="Verdana" w:cs="Arial"/>
          <w:color w:val="000000" w:themeColor="text1"/>
          <w:lang w:val="es-ES" w:eastAsia="es-ES"/>
        </w:rPr>
      </w:pPr>
      <w:r w:rsidRPr="00F57F5A">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color w:val="000000" w:themeColor="text1"/>
          <w:lang w:val="es-ES" w:eastAsia="es-ES"/>
        </w:rPr>
        <w:t xml:space="preserve">el </w:t>
      </w:r>
      <w:r w:rsidRPr="00F57F5A">
        <w:rPr>
          <w:rFonts w:ascii="Verdana" w:eastAsia="Calibri" w:hAnsi="Verdana" w:cs="Arial"/>
          <w:color w:val="000000" w:themeColor="text1"/>
          <w:lang w:val="es-ES" w:eastAsia="es-ES"/>
        </w:rPr>
        <w:t>problema</w:t>
      </w:r>
      <w:r>
        <w:rPr>
          <w:rFonts w:ascii="Verdana" w:eastAsia="Calibri" w:hAnsi="Verdana" w:cs="Arial"/>
          <w:color w:val="000000" w:themeColor="text1"/>
          <w:lang w:val="es-ES" w:eastAsia="es-ES"/>
        </w:rPr>
        <w:t xml:space="preserve"> </w:t>
      </w:r>
      <w:r w:rsidRPr="00F57F5A">
        <w:rPr>
          <w:rFonts w:ascii="Verdana" w:eastAsia="Calibri" w:hAnsi="Verdana" w:cs="Arial"/>
          <w:color w:val="000000" w:themeColor="text1"/>
          <w:lang w:val="es-ES" w:eastAsia="es-ES"/>
        </w:rPr>
        <w:t>jurídic</w:t>
      </w:r>
      <w:r>
        <w:rPr>
          <w:rFonts w:ascii="Verdana" w:eastAsia="Calibri" w:hAnsi="Verdana" w:cs="Arial"/>
          <w:color w:val="000000" w:themeColor="text1"/>
          <w:lang w:val="es-ES" w:eastAsia="es-ES"/>
        </w:rPr>
        <w:t xml:space="preserve">o </w:t>
      </w:r>
      <w:r w:rsidRPr="00F57F5A">
        <w:rPr>
          <w:rFonts w:ascii="Verdana" w:eastAsia="Calibri" w:hAnsi="Verdana" w:cs="Arial"/>
          <w:color w:val="000000" w:themeColor="text1"/>
          <w:lang w:val="es-ES" w:eastAsia="es-ES"/>
        </w:rPr>
        <w:t xml:space="preserve">de su consulta. </w:t>
      </w:r>
    </w:p>
    <w:p w14:paraId="42C2380D" w14:textId="77777777" w:rsidR="000B3237" w:rsidRPr="00F57F5A" w:rsidRDefault="000B3237" w:rsidP="000B3237">
      <w:pPr>
        <w:spacing w:after="0" w:line="276" w:lineRule="auto"/>
        <w:ind w:firstLine="709"/>
        <w:jc w:val="both"/>
        <w:rPr>
          <w:rFonts w:ascii="Verdana" w:eastAsia="Calibri" w:hAnsi="Verdana" w:cs="Arial"/>
          <w:color w:val="000000" w:themeColor="text1"/>
          <w:lang w:val="es-ES" w:eastAsia="es-ES"/>
        </w:rPr>
      </w:pPr>
    </w:p>
    <w:p w14:paraId="2FED149A" w14:textId="77777777" w:rsidR="000B3237" w:rsidRPr="00F57F5A" w:rsidRDefault="000B3237" w:rsidP="000B323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F57F5A">
        <w:rPr>
          <w:rFonts w:ascii="Verdana" w:eastAsia="Century Gothic" w:hAnsi="Verdana" w:cs="Century Gothic"/>
          <w:b/>
          <w:bCs/>
          <w:color w:val="000000" w:themeColor="text1"/>
        </w:rPr>
        <w:t>Problema planteado:</w:t>
      </w:r>
    </w:p>
    <w:p w14:paraId="353C3588" w14:textId="77777777" w:rsidR="000B3237" w:rsidRPr="00F57F5A" w:rsidRDefault="000B3237" w:rsidP="000B3237">
      <w:pPr>
        <w:tabs>
          <w:tab w:val="left" w:pos="426"/>
        </w:tabs>
        <w:spacing w:after="0" w:line="276" w:lineRule="auto"/>
        <w:jc w:val="both"/>
        <w:rPr>
          <w:rFonts w:ascii="Verdana" w:eastAsia="Century Gothic" w:hAnsi="Verdana" w:cs="Century Gothic"/>
          <w:color w:val="000000" w:themeColor="text1"/>
          <w:lang w:val="es-ES"/>
        </w:rPr>
      </w:pPr>
    </w:p>
    <w:p w14:paraId="61DE7739" w14:textId="77777777" w:rsidR="000B3237" w:rsidRDefault="000B3237" w:rsidP="000B3237">
      <w:pPr>
        <w:spacing w:after="0" w:line="276" w:lineRule="auto"/>
        <w:jc w:val="both"/>
        <w:rPr>
          <w:rFonts w:ascii="Verdana" w:eastAsia="Century Gothic" w:hAnsi="Verdana" w:cs="Century Gothic"/>
          <w:color w:val="000000" w:themeColor="text1"/>
          <w:lang w:val="es-ES"/>
        </w:rPr>
      </w:pPr>
      <w:r w:rsidRPr="00F57F5A">
        <w:rPr>
          <w:rFonts w:ascii="Verdana" w:eastAsia="Century Gothic" w:hAnsi="Verdana" w:cs="Century Gothic"/>
          <w:color w:val="000000" w:themeColor="text1"/>
          <w:lang w:val="es-ES"/>
        </w:rPr>
        <w:t xml:space="preserve">De acuerdo con el contenido de su solicitud, esta Agencia resolverá </w:t>
      </w:r>
      <w:r>
        <w:rPr>
          <w:rFonts w:ascii="Verdana" w:eastAsia="Century Gothic" w:hAnsi="Verdana" w:cs="Century Gothic"/>
          <w:color w:val="000000" w:themeColor="text1"/>
          <w:lang w:val="es-ES"/>
        </w:rPr>
        <w:t xml:space="preserve">el </w:t>
      </w:r>
      <w:r w:rsidRPr="00F57F5A">
        <w:rPr>
          <w:rFonts w:ascii="Verdana" w:eastAsia="Century Gothic" w:hAnsi="Verdana" w:cs="Century Gothic"/>
          <w:color w:val="000000" w:themeColor="text1"/>
          <w:lang w:val="es-ES"/>
        </w:rPr>
        <w:t>siguiente problema jurídico:</w:t>
      </w:r>
      <w:r w:rsidRPr="00F57F5A">
        <w:rPr>
          <w:rFonts w:ascii="Verdana" w:eastAsia="Century Gothic" w:hAnsi="Verdana" w:cs="Century Gothic"/>
          <w:b/>
          <w:bCs/>
          <w:color w:val="000000" w:themeColor="text1"/>
          <w:lang w:val="es-ES"/>
        </w:rPr>
        <w:t xml:space="preserve"> ¿</w:t>
      </w:r>
      <w:r>
        <w:rPr>
          <w:rFonts w:ascii="Verdana" w:eastAsia="Century Gothic" w:hAnsi="Verdana" w:cs="Century Gothic"/>
          <w:color w:val="000000" w:themeColor="text1"/>
          <w:lang w:val="es-ES"/>
        </w:rPr>
        <w:t>Cuándo resulta obligatorio el uso del documento tipo de consultoría de estudios de ingeniería de infraestructura de transporte expedido por la Agencia Nacional de Contratación Pública – Colombia Compra Eficiente?</w:t>
      </w:r>
    </w:p>
    <w:p w14:paraId="2E90B73A" w14:textId="77777777" w:rsidR="000B3237" w:rsidRDefault="000B3237" w:rsidP="000B3237">
      <w:pPr>
        <w:spacing w:after="0" w:line="276" w:lineRule="auto"/>
        <w:jc w:val="both"/>
        <w:rPr>
          <w:rFonts w:ascii="Verdana" w:eastAsia="Century Gothic" w:hAnsi="Verdana" w:cs="Century Gothic"/>
          <w:color w:val="000000" w:themeColor="text1"/>
          <w:lang w:val="es-ES"/>
        </w:rPr>
      </w:pPr>
    </w:p>
    <w:p w14:paraId="00D1E6AB" w14:textId="77777777" w:rsidR="000B3237" w:rsidRDefault="000B3237" w:rsidP="000B3237">
      <w:pPr>
        <w:spacing w:after="0" w:line="276" w:lineRule="auto"/>
        <w:jc w:val="both"/>
        <w:rPr>
          <w:rFonts w:ascii="Verdana" w:eastAsia="Century Gothic" w:hAnsi="Verdana" w:cs="Century Gothic"/>
          <w:color w:val="000000" w:themeColor="text1"/>
          <w:lang w:val="es-ES"/>
        </w:rPr>
      </w:pPr>
    </w:p>
    <w:p w14:paraId="0F8AE340" w14:textId="77777777" w:rsidR="000B3237" w:rsidRPr="00F57F5A" w:rsidRDefault="000B3237" w:rsidP="000B323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57F5A">
        <w:rPr>
          <w:rFonts w:ascii="Verdana" w:eastAsia="Century Gothic" w:hAnsi="Verdana" w:cs="Century Gothic"/>
          <w:b/>
          <w:bCs/>
          <w:color w:val="000000" w:themeColor="text1"/>
        </w:rPr>
        <w:t>Respuesta:</w:t>
      </w:r>
    </w:p>
    <w:p w14:paraId="5E3CB969" w14:textId="77777777" w:rsidR="000B3237" w:rsidRPr="00F57F5A" w:rsidRDefault="000B3237" w:rsidP="000B3237">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B3237" w:rsidRPr="00F57F5A" w14:paraId="7FB0E4B8" w14:textId="77777777" w:rsidTr="001E4D43">
        <w:tc>
          <w:tcPr>
            <w:tcW w:w="8828" w:type="dxa"/>
          </w:tcPr>
          <w:p w14:paraId="5AA1C819" w14:textId="77777777" w:rsidR="000B3237" w:rsidRDefault="000B3237" w:rsidP="001E4D43">
            <w:pPr>
              <w:spacing w:before="120" w:after="120" w:line="276" w:lineRule="auto"/>
              <w:jc w:val="both"/>
              <w:rPr>
                <w:rFonts w:ascii="Verdana" w:eastAsia="Calibri" w:hAnsi="Verdana" w:cs="Arial"/>
                <w:bCs/>
              </w:rPr>
            </w:pPr>
            <w:r>
              <w:rPr>
                <w:rFonts w:ascii="Verdana" w:eastAsia="Calibri" w:hAnsi="Verdana" w:cs="Arial"/>
                <w:bCs/>
              </w:rPr>
              <w:t xml:space="preserve">El uso de manera obligatoria del documento tipo de consultoría de estudios de ingeniería de infraestructura de transporte expedido por esta agencia es para todas las Entidades Estatales sometidas al estatuto general de contratación de la administración pública _Ley 80 de 1993, y exclusivamente para aquellos </w:t>
            </w:r>
            <w:r>
              <w:rPr>
                <w:rFonts w:ascii="Verdana" w:eastAsia="Calibri" w:hAnsi="Verdana" w:cs="Arial"/>
                <w:bCs/>
              </w:rPr>
              <w:lastRenderedPageBreak/>
              <w:t>procesos en los que se pretenda ejecutar una obra pública en el sector de infraestructura de transporte.</w:t>
            </w:r>
          </w:p>
          <w:p w14:paraId="0B864C3D" w14:textId="77777777" w:rsidR="000B3237" w:rsidRDefault="000B3237" w:rsidP="001E4D43">
            <w:pPr>
              <w:spacing w:before="120" w:after="120" w:line="276" w:lineRule="auto"/>
              <w:jc w:val="both"/>
              <w:rPr>
                <w:rFonts w:ascii="Verdana" w:eastAsia="Calibri" w:hAnsi="Verdana" w:cs="Arial"/>
                <w:bCs/>
              </w:rPr>
            </w:pPr>
          </w:p>
          <w:p w14:paraId="3A277BE1" w14:textId="77777777" w:rsidR="000B3237" w:rsidRPr="005D0A64" w:rsidRDefault="000B3237" w:rsidP="001E4D43">
            <w:pPr>
              <w:spacing w:before="120" w:after="120" w:line="276" w:lineRule="auto"/>
              <w:jc w:val="both"/>
              <w:rPr>
                <w:rFonts w:ascii="Verdana" w:eastAsia="Calibri" w:hAnsi="Verdana" w:cs="Arial"/>
                <w:bCs/>
              </w:rPr>
            </w:pPr>
            <w:r w:rsidRPr="005D0A64">
              <w:rPr>
                <w:rFonts w:ascii="Verdana" w:eastAsia="Calibri" w:hAnsi="Verdana" w:cs="Arial"/>
                <w:bCs/>
              </w:rPr>
              <w:t xml:space="preserve">De acuerdo </w:t>
            </w:r>
            <w:r>
              <w:rPr>
                <w:rFonts w:ascii="Verdana" w:eastAsia="Calibri" w:hAnsi="Verdana" w:cs="Arial"/>
                <w:bCs/>
              </w:rPr>
              <w:t>con el</w:t>
            </w:r>
            <w:r w:rsidRPr="005D0A64">
              <w:rPr>
                <w:rFonts w:ascii="Verdana" w:eastAsia="Calibri" w:hAnsi="Verdana" w:cs="Arial"/>
                <w:bCs/>
              </w:rPr>
              <w:t xml:space="preserve"> numeral 2 del artículo 32 de la Ley 80 de 1993, los contratos de consultoría son aquellos que suscriben las entidades públicas que se refieran a los estudios necesarios para la ejecución de proyectos de inversión, estudios de diagnóstico, prefactibilidad o factibilidad para programas o proyectos específicos, así como las asesorías técnicas de coordinación, control y supervisión. Así mismo, son contratos de consultoría los que tienen por objeto la interventoría, asesoría, gerencia de obra o de proyectos, dirección, programación y la ejecución de diseños, planos, anteproyectos y proyectos</w:t>
            </w:r>
          </w:p>
          <w:p w14:paraId="17C837AA" w14:textId="77777777" w:rsidR="000B3237" w:rsidRDefault="000B3237" w:rsidP="001E4D43">
            <w:pPr>
              <w:spacing w:after="120" w:line="276" w:lineRule="auto"/>
              <w:ind w:firstLine="708"/>
              <w:jc w:val="both"/>
              <w:rPr>
                <w:rFonts w:ascii="Verdana" w:hAnsi="Verdana" w:cs="Arial"/>
                <w:lang w:val="es-ES"/>
              </w:rPr>
            </w:pPr>
            <w:r w:rsidRPr="00F57F5A">
              <w:rPr>
                <w:rFonts w:ascii="Verdana" w:hAnsi="Verdana"/>
                <w:lang w:val="es-ES"/>
              </w:rPr>
              <w:t xml:space="preserve">De acuerdo con esto, lo que define al contrato de consultoría </w:t>
            </w:r>
            <w:r w:rsidRPr="00F57F5A">
              <w:rPr>
                <w:rFonts w:ascii="Verdana" w:hAnsi="Verdana" w:cs="Arial"/>
                <w:lang w:val="es-ES"/>
              </w:rPr>
              <w:t>es el desarrollo de actividades que implican el despliegue de actividades de carácter eminentemente intelectivo, dirigidas específicamente al cumplimiento de los cometidos expresamente definidos por el numeral 2° del artículo 32 de la Ley 80 de 1993; esto es, para la realización de estudios necesarios para la ejecución de proyectos de inversión, estudios de diagnóstico, prefactibilidad o factibilidad para programas o proyectos específicos, así como a las asesorías técnicas de coordinación, control o supervisión.</w:t>
            </w:r>
          </w:p>
          <w:p w14:paraId="770C2ED3" w14:textId="77777777" w:rsidR="000B3237" w:rsidRPr="005D0A64" w:rsidRDefault="000B3237" w:rsidP="001E4D43">
            <w:pPr>
              <w:spacing w:after="120" w:line="276" w:lineRule="auto"/>
              <w:ind w:firstLine="708"/>
              <w:jc w:val="both"/>
              <w:rPr>
                <w:rFonts w:ascii="Verdana" w:hAnsi="Verdana" w:cs="Arial"/>
                <w:lang w:val="es-ES"/>
              </w:rPr>
            </w:pPr>
            <w:r w:rsidRPr="005D0A64">
              <w:rPr>
                <w:rFonts w:ascii="Verdana" w:hAnsi="Verdana" w:cs="Arial"/>
              </w:rPr>
              <w:t xml:space="preserve">Por su parte, </w:t>
            </w:r>
            <w:r w:rsidRPr="005D0A64">
              <w:rPr>
                <w:rFonts w:ascii="Verdana" w:eastAsia="Calibri" w:hAnsi="Verdana" w:cs="Arial"/>
              </w:rPr>
              <w:t>la</w:t>
            </w:r>
            <w:r w:rsidRPr="005D0A64">
              <w:rPr>
                <w:rFonts w:ascii="Verdana" w:eastAsia="Calibri" w:hAnsi="Verdana" w:cs="Arial"/>
                <w:color w:val="000000"/>
                <w:lang w:eastAsia="es-ES" w:bidi="es-ES"/>
              </w:rPr>
              <w:t xml:space="preserve"> obra pública es una tipología de los contratos estatales regulada en el numeral 1 del artículo 32 de la Ley 80 de 1993, el cual dispone que “Son contratos de obra los que celebren las entidades estatales para la construcción, mantenimiento, instalación y, en general, para la realización de cualquier otro trabajo material sobre bienes inmuebles, cualquiera que sea la modalidad de ejecución y pago”, de manera que este tipo de contrato no aplica a los trabajos materiales realizados sobre bienes muebles</w:t>
            </w:r>
            <w:r>
              <w:rPr>
                <w:rFonts w:ascii="Verdana" w:eastAsia="Calibri" w:hAnsi="Verdana" w:cs="Arial"/>
                <w:color w:val="000000"/>
                <w:lang w:eastAsia="es-ES" w:bidi="es-ES"/>
              </w:rPr>
              <w:t>.</w:t>
            </w:r>
          </w:p>
          <w:p w14:paraId="296D4C17" w14:textId="77777777" w:rsidR="000B3237" w:rsidRDefault="000B3237" w:rsidP="001E4D43">
            <w:pPr>
              <w:spacing w:after="120" w:line="276" w:lineRule="auto"/>
              <w:ind w:firstLine="708"/>
              <w:jc w:val="both"/>
              <w:rPr>
                <w:rFonts w:ascii="Verdana" w:hAnsi="Verdana"/>
                <w:lang w:val="es-ES"/>
              </w:rPr>
            </w:pPr>
            <w:r w:rsidRPr="00F57F5A">
              <w:rPr>
                <w:rFonts w:ascii="Verdana" w:hAnsi="Verdana" w:cs="Arial"/>
                <w:bCs/>
                <w:color w:val="000000" w:themeColor="text1"/>
                <w:lang w:val="es-ES"/>
              </w:rPr>
              <w:t>Con respecto a los requisitos que debe cumplir la Entidad Estatal para la contratación de una obra pública, el numeral 12 del artículo 25 de la Ley 80 de 1993, modificado por el artículo 87 de la Ley 1474 de 2011, establece que</w:t>
            </w:r>
            <w:r>
              <w:rPr>
                <w:rFonts w:ascii="Verdana" w:hAnsi="Verdana" w:cs="Arial"/>
                <w:bCs/>
                <w:color w:val="000000" w:themeColor="text1"/>
                <w:lang w:val="es-ES"/>
              </w:rPr>
              <w:t>,</w:t>
            </w:r>
            <w:r w:rsidRPr="00F57F5A">
              <w:rPr>
                <w:rFonts w:ascii="Verdana" w:hAnsi="Verdana" w:cs="Arial"/>
                <w:bCs/>
                <w:color w:val="000000" w:themeColor="text1"/>
                <w:lang w:val="es-ES"/>
              </w:rPr>
              <w:t xml:space="preserve"> previo a</w:t>
            </w:r>
            <w:r>
              <w:rPr>
                <w:rFonts w:ascii="Verdana" w:hAnsi="Verdana" w:cs="Arial"/>
                <w:bCs/>
                <w:color w:val="000000" w:themeColor="text1"/>
                <w:lang w:val="es-ES"/>
              </w:rPr>
              <w:t xml:space="preserve"> la </w:t>
            </w:r>
            <w:r w:rsidRPr="00F57F5A">
              <w:rPr>
                <w:rFonts w:ascii="Verdana" w:hAnsi="Verdana" w:cs="Arial"/>
                <w:bCs/>
                <w:color w:val="000000" w:themeColor="text1"/>
                <w:lang w:val="es-ES"/>
              </w:rPr>
              <w:t>apertura del proceso de selección</w:t>
            </w:r>
            <w:r>
              <w:rPr>
                <w:rFonts w:ascii="Verdana" w:hAnsi="Verdana" w:cs="Arial"/>
                <w:bCs/>
                <w:color w:val="000000" w:themeColor="text1"/>
                <w:lang w:val="es-ES"/>
              </w:rPr>
              <w:t>,</w:t>
            </w:r>
            <w:r w:rsidRPr="00F57F5A">
              <w:rPr>
                <w:rFonts w:ascii="Verdana" w:hAnsi="Verdana" w:cs="Arial"/>
                <w:bCs/>
                <w:color w:val="000000" w:themeColor="text1"/>
                <w:lang w:val="es-ES"/>
              </w:rPr>
              <w:t xml:space="preserve"> la Entidad Estatal debe contar con “los estudios y diseños que permitan establecer la viabilidad del proyecto y su impacto social, económico y ambiental”</w:t>
            </w:r>
            <w:r w:rsidRPr="00F57F5A">
              <w:rPr>
                <w:rFonts w:ascii="Verdana" w:hAnsi="Verdana"/>
                <w:lang w:val="es-ES"/>
              </w:rPr>
              <w:t xml:space="preserve">. Incluso, el numeral 3 del artículo 26 del Estatuto General de Contratación de la Administración Pública prescribe que las entidades y los servidores públicos responderán cuando hubieren </w:t>
            </w:r>
            <w:r w:rsidRPr="00F57F5A">
              <w:rPr>
                <w:rFonts w:ascii="Verdana" w:hAnsi="Verdana"/>
                <w:lang w:val="es-ES"/>
              </w:rPr>
              <w:lastRenderedPageBreak/>
              <w:t xml:space="preserve">iniciado procedimientos de selección sin haber elaborado los diseños correspondientes. </w:t>
            </w:r>
          </w:p>
          <w:p w14:paraId="610CD682" w14:textId="77777777" w:rsidR="000B3237" w:rsidRDefault="000B3237" w:rsidP="001E4D43">
            <w:pPr>
              <w:snapToGrid w:val="0"/>
              <w:spacing w:before="120" w:after="120" w:line="276" w:lineRule="auto"/>
              <w:ind w:firstLine="709"/>
              <w:jc w:val="both"/>
              <w:rPr>
                <w:rFonts w:ascii="Verdana" w:hAnsi="Verdana" w:cs="Arial"/>
                <w:bCs/>
                <w:color w:val="000000" w:themeColor="text1"/>
                <w:lang w:val="es-ES"/>
              </w:rPr>
            </w:pPr>
            <w:r w:rsidRPr="00F57F5A">
              <w:rPr>
                <w:rFonts w:ascii="Verdana" w:hAnsi="Verdana"/>
                <w:lang w:val="es-ES"/>
              </w:rPr>
              <w:t xml:space="preserve">En este sentido, la entidad podrá </w:t>
            </w:r>
            <w:r>
              <w:rPr>
                <w:rFonts w:ascii="Verdana" w:hAnsi="Verdana"/>
                <w:lang w:val="es-ES"/>
              </w:rPr>
              <w:t xml:space="preserve">contratar la </w:t>
            </w:r>
            <w:r w:rsidRPr="00F57F5A">
              <w:rPr>
                <w:rFonts w:ascii="Verdana" w:hAnsi="Verdana"/>
                <w:lang w:val="es-ES"/>
              </w:rPr>
              <w:t xml:space="preserve">consultoría con el objetivo de adelantar </w:t>
            </w:r>
            <w:r w:rsidRPr="00F57F5A">
              <w:rPr>
                <w:rFonts w:ascii="Verdana" w:hAnsi="Verdana" w:cs="Arial"/>
                <w:bCs/>
                <w:color w:val="000000" w:themeColor="text1"/>
                <w:lang w:val="es-ES"/>
              </w:rPr>
              <w:t xml:space="preserve">los estudios y diseños que </w:t>
            </w:r>
            <w:r>
              <w:rPr>
                <w:rFonts w:ascii="Verdana" w:hAnsi="Verdana" w:cs="Arial"/>
                <w:bCs/>
                <w:color w:val="000000" w:themeColor="text1"/>
                <w:lang w:val="es-ES"/>
              </w:rPr>
              <w:t xml:space="preserve">le </w:t>
            </w:r>
            <w:r w:rsidRPr="00F57F5A">
              <w:rPr>
                <w:rFonts w:ascii="Verdana" w:hAnsi="Verdana" w:cs="Arial"/>
                <w:bCs/>
                <w:color w:val="000000" w:themeColor="text1"/>
                <w:lang w:val="es-ES"/>
              </w:rPr>
              <w:t xml:space="preserve">permitan establecer la </w:t>
            </w:r>
            <w:r w:rsidRPr="00F57F5A">
              <w:rPr>
                <w:rFonts w:ascii="Verdana" w:hAnsi="Verdana" w:cs="Arial"/>
                <w:bCs/>
                <w:i/>
                <w:iCs/>
                <w:color w:val="000000" w:themeColor="text1"/>
                <w:lang w:val="es-ES"/>
              </w:rPr>
              <w:t>viabilidad</w:t>
            </w:r>
            <w:r w:rsidRPr="00F57F5A">
              <w:rPr>
                <w:rFonts w:ascii="Verdana" w:hAnsi="Verdana" w:cs="Arial"/>
                <w:bCs/>
                <w:color w:val="000000" w:themeColor="text1"/>
                <w:lang w:val="es-ES"/>
              </w:rPr>
              <w:t xml:space="preserve"> del proyecto y su impacto social, económico y ambiental. Los resultados del contrato de consultoría permitirán a la entidad determinar si el proyecto</w:t>
            </w:r>
            <w:r>
              <w:rPr>
                <w:rFonts w:ascii="Verdana" w:hAnsi="Verdana" w:cs="Arial"/>
                <w:bCs/>
                <w:color w:val="000000" w:themeColor="text1"/>
                <w:lang w:val="es-ES"/>
              </w:rPr>
              <w:t xml:space="preserve"> es viable y,</w:t>
            </w:r>
            <w:r w:rsidRPr="00F57F5A">
              <w:rPr>
                <w:rFonts w:ascii="Verdana" w:hAnsi="Verdana" w:cs="Arial"/>
                <w:bCs/>
                <w:color w:val="000000" w:themeColor="text1"/>
                <w:lang w:val="es-ES"/>
              </w:rPr>
              <w:t xml:space="preserve"> </w:t>
            </w:r>
            <w:r>
              <w:rPr>
                <w:rFonts w:ascii="Verdana" w:hAnsi="Verdana" w:cs="Arial"/>
                <w:bCs/>
                <w:color w:val="000000" w:themeColor="text1"/>
                <w:lang w:val="es-ES"/>
              </w:rPr>
              <w:t>d</w:t>
            </w:r>
            <w:r w:rsidRPr="00F57F5A">
              <w:rPr>
                <w:rFonts w:ascii="Verdana" w:hAnsi="Verdana" w:cs="Arial"/>
                <w:bCs/>
                <w:color w:val="000000" w:themeColor="text1"/>
                <w:lang w:val="es-ES"/>
              </w:rPr>
              <w:t xml:space="preserve">e ser este el caso, proceder con la contratación de la obra pública bajo las modalidades </w:t>
            </w:r>
            <w:r w:rsidRPr="00EC1AAD">
              <w:rPr>
                <w:rFonts w:ascii="Verdana" w:hAnsi="Verdana" w:cs="Arial"/>
                <w:bCs/>
                <w:color w:val="000000" w:themeColor="text1"/>
                <w:lang w:val="es-ES"/>
              </w:rPr>
              <w:t>previstas para ello en el Estatuto.</w:t>
            </w:r>
          </w:p>
          <w:p w14:paraId="448E365B" w14:textId="77777777" w:rsidR="000B3237" w:rsidRDefault="000B3237" w:rsidP="001E4D43">
            <w:pPr>
              <w:spacing w:after="120" w:line="276" w:lineRule="auto"/>
              <w:ind w:firstLine="708"/>
              <w:jc w:val="both"/>
              <w:rPr>
                <w:rFonts w:ascii="Verdana" w:eastAsia="Calibri" w:hAnsi="Verdana" w:cs="Arial"/>
                <w:bCs/>
                <w:color w:val="000000" w:themeColor="text1"/>
              </w:rPr>
            </w:pPr>
            <w:r>
              <w:rPr>
                <w:rFonts w:ascii="Verdana" w:eastAsia="Calibri" w:hAnsi="Verdana" w:cs="Arial"/>
                <w:bCs/>
                <w:color w:val="000000" w:themeColor="text1"/>
              </w:rPr>
              <w:t xml:space="preserve">Con todo y lo anterior, se precisa que en el desarrollo de este concepto se hará un análisis amplio y riguroso sobre los contratos de consultoría y las generalidades de los contratos de obra, esto con el fin de poder ampliar el espectro y así poder brindar premisas que permita tomar una decisión sobre si el objeto descrito por usted en su petición corresponde a una obra pública. </w:t>
            </w:r>
          </w:p>
          <w:p w14:paraId="1EC827F0" w14:textId="77777777" w:rsidR="000B3237" w:rsidRPr="00767D67" w:rsidRDefault="000B3237" w:rsidP="001E4D43">
            <w:pPr>
              <w:spacing w:after="120" w:line="276" w:lineRule="auto"/>
              <w:jc w:val="both"/>
              <w:rPr>
                <w:rFonts w:ascii="Verdana" w:hAnsi="Verdana"/>
              </w:rPr>
            </w:pPr>
            <w:r>
              <w:rPr>
                <w:rFonts w:ascii="Verdana" w:eastAsia="Calibri" w:hAnsi="Verdana" w:cs="Arial"/>
                <w:bCs/>
                <w:color w:val="000000" w:themeColor="text1"/>
              </w:rPr>
              <w:t xml:space="preserve">   </w:t>
            </w:r>
            <w:r w:rsidRPr="00E853DE">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w:t>
            </w:r>
            <w:r>
              <w:rPr>
                <w:rFonts w:ascii="Verdana" w:eastAsia="Calibri" w:hAnsi="Verdana" w:cs="Arial"/>
                <w:bCs/>
                <w:color w:val="000000" w:themeColor="text1"/>
              </w:rPr>
              <w:t xml:space="preserve">en </w:t>
            </w:r>
            <w:r w:rsidRPr="00E853DE">
              <w:rPr>
                <w:rFonts w:ascii="Verdana" w:eastAsia="Calibri" w:hAnsi="Verdana" w:cs="Arial"/>
                <w:bCs/>
                <w:color w:val="000000" w:themeColor="text1"/>
              </w:rPr>
              <w:t>adoptar la decisión correspondiente y, en caso de conflicto, a las autoridades judiciales, fiscales y disciplinarias.</w:t>
            </w:r>
          </w:p>
        </w:tc>
      </w:tr>
    </w:tbl>
    <w:p w14:paraId="4043726F" w14:textId="77777777" w:rsidR="000B3237" w:rsidRPr="00F57F5A" w:rsidRDefault="000B3237" w:rsidP="000B3237">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7689F572" w14:textId="77777777" w:rsidR="000B3237" w:rsidRPr="00F57F5A" w:rsidRDefault="000B3237" w:rsidP="000B323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57F5A">
        <w:rPr>
          <w:rFonts w:ascii="Verdana" w:eastAsia="Century Gothic" w:hAnsi="Verdana" w:cs="Century Gothic"/>
          <w:b/>
          <w:bCs/>
          <w:color w:val="000000" w:themeColor="text1"/>
        </w:rPr>
        <w:t>Razones de la respuesta:</w:t>
      </w:r>
    </w:p>
    <w:p w14:paraId="259A108D" w14:textId="77777777" w:rsidR="000B3237" w:rsidRPr="00F57F5A" w:rsidRDefault="000B3237" w:rsidP="000B3237">
      <w:pPr>
        <w:spacing w:after="0" w:line="276" w:lineRule="auto"/>
        <w:jc w:val="both"/>
        <w:rPr>
          <w:rFonts w:ascii="Verdana" w:eastAsia="Calibri" w:hAnsi="Verdana" w:cs="Arial"/>
          <w:color w:val="000000" w:themeColor="text1"/>
          <w:lang w:val="es-ES"/>
        </w:rPr>
      </w:pPr>
    </w:p>
    <w:p w14:paraId="2279A7B3" w14:textId="77777777" w:rsidR="000B3237" w:rsidRPr="00F57F5A" w:rsidRDefault="000B3237" w:rsidP="000B3237">
      <w:pPr>
        <w:spacing w:after="0" w:line="276" w:lineRule="auto"/>
        <w:jc w:val="both"/>
        <w:rPr>
          <w:rFonts w:ascii="Verdana" w:eastAsia="Calibri" w:hAnsi="Verdana" w:cs="Arial"/>
          <w:color w:val="000000" w:themeColor="text1"/>
          <w:lang w:val="es-ES"/>
        </w:rPr>
      </w:pPr>
      <w:r w:rsidRPr="00F57F5A">
        <w:rPr>
          <w:rFonts w:ascii="Verdana" w:eastAsia="Calibri" w:hAnsi="Verdana" w:cs="Arial"/>
          <w:color w:val="000000" w:themeColor="text1"/>
          <w:lang w:val="es-ES"/>
        </w:rPr>
        <w:t xml:space="preserve">Lo anterior se sustenta en las siguientes consideraciones: </w:t>
      </w:r>
    </w:p>
    <w:p w14:paraId="30233387" w14:textId="77777777" w:rsidR="000B3237" w:rsidRPr="00F57F5A" w:rsidRDefault="000B3237" w:rsidP="000B3237">
      <w:pPr>
        <w:spacing w:after="0" w:line="276" w:lineRule="auto"/>
        <w:jc w:val="both"/>
        <w:rPr>
          <w:rFonts w:ascii="Verdana" w:eastAsia="Calibri" w:hAnsi="Verdana" w:cs="Arial"/>
          <w:color w:val="000000" w:themeColor="text1"/>
          <w:lang w:val="es-ES"/>
        </w:rPr>
      </w:pPr>
    </w:p>
    <w:p w14:paraId="517C900B" w14:textId="77777777" w:rsidR="000B3237" w:rsidRPr="00F57F5A" w:rsidRDefault="000B3237" w:rsidP="000B3237">
      <w:pPr>
        <w:spacing w:after="120" w:line="276" w:lineRule="auto"/>
        <w:jc w:val="both"/>
        <w:rPr>
          <w:rFonts w:ascii="Verdana" w:hAnsi="Verdana" w:cs="Arial"/>
          <w:lang w:val="es-ES"/>
        </w:rPr>
      </w:pPr>
      <w:r w:rsidRPr="00F57F5A">
        <w:rPr>
          <w:rFonts w:ascii="Verdana" w:hAnsi="Verdana" w:cs="Arial"/>
          <w:lang w:val="es-ES"/>
        </w:rPr>
        <w:t xml:space="preserve">i) El artículo 32, numeral 2 de la Ley 80 de 1993 define los contratos de consultoría como aquellos que suscriben las entidades públicas que se refieran a los estudios necesarios para la ejecución de proyectos de inversión, estudios de diagnóstico, prefactibilidad o factibilidad para programas o proyectos específicos, así como las asesorías técnicas de coordinación, control y supervisión. Así mismo, son contratos de consultoría los que tienen por objeto </w:t>
      </w:r>
      <w:r w:rsidRPr="00F57F5A">
        <w:rPr>
          <w:rFonts w:ascii="Verdana" w:hAnsi="Verdana" w:cs="Arial"/>
          <w:lang w:val="es-ES"/>
        </w:rPr>
        <w:lastRenderedPageBreak/>
        <w:t>la interventoría, asesoría, gerencia de obra o de proyectos, dirección, programación y la ejecución de diseños, planos, anteproyectos y proyectos</w:t>
      </w:r>
      <w:r w:rsidRPr="00F57F5A">
        <w:rPr>
          <w:rFonts w:ascii="Verdana" w:hAnsi="Verdana" w:cs="Arial"/>
          <w:vertAlign w:val="superscript"/>
          <w:lang w:val="es-ES"/>
        </w:rPr>
        <w:footnoteReference w:id="1"/>
      </w:r>
      <w:r w:rsidRPr="00F57F5A">
        <w:rPr>
          <w:rFonts w:ascii="Verdana" w:hAnsi="Verdana" w:cs="Arial"/>
          <w:lang w:val="es-ES"/>
        </w:rPr>
        <w:t>.</w:t>
      </w:r>
    </w:p>
    <w:p w14:paraId="32AED335" w14:textId="77777777" w:rsidR="000B3237" w:rsidRPr="00F57F5A" w:rsidRDefault="000B3237" w:rsidP="000B3237">
      <w:pPr>
        <w:spacing w:after="0" w:line="276" w:lineRule="auto"/>
        <w:ind w:firstLine="708"/>
        <w:jc w:val="both"/>
        <w:rPr>
          <w:rFonts w:ascii="Verdana" w:hAnsi="Verdana"/>
          <w:lang w:val="es-ES"/>
        </w:rPr>
      </w:pPr>
      <w:r w:rsidRPr="00F57F5A">
        <w:rPr>
          <w:rFonts w:ascii="Verdana" w:hAnsi="Verdana"/>
          <w:lang w:val="es-ES"/>
        </w:rPr>
        <w:t>La doctrina expresa que el artículo 32, numeral 2, no establece una definición de contrato de consultoría, sino que, simplemente, enuncia una serie de actividades que pueden hacer parte de este tipo contractual</w:t>
      </w:r>
      <w:r w:rsidRPr="00F57F5A">
        <w:rPr>
          <w:rFonts w:ascii="Verdana" w:hAnsi="Verdana"/>
          <w:vertAlign w:val="superscript"/>
          <w:lang w:val="es-ES"/>
        </w:rPr>
        <w:footnoteReference w:id="2"/>
      </w:r>
      <w:r w:rsidRPr="00F57F5A">
        <w:rPr>
          <w:rFonts w:ascii="Verdana" w:hAnsi="Verdana"/>
          <w:lang w:val="es-ES"/>
        </w:rPr>
        <w:t xml:space="preserve">. Es decir, no hay un concepto propio de consultoría dentro de la Ley 80 de 1993, pero sí se establecen elementos o actividades que configuran este tipo de contratos. Al respecto, el Consejo de Estado expresa: </w:t>
      </w:r>
    </w:p>
    <w:p w14:paraId="77E97097" w14:textId="77777777" w:rsidR="000B3237" w:rsidRPr="00F57F5A" w:rsidRDefault="000B3237" w:rsidP="000B3237">
      <w:pPr>
        <w:spacing w:after="0" w:line="276" w:lineRule="auto"/>
        <w:ind w:firstLine="708"/>
        <w:jc w:val="both"/>
        <w:rPr>
          <w:rFonts w:ascii="Verdana" w:hAnsi="Verdana" w:cs="Arial"/>
          <w:lang w:val="es-ES"/>
        </w:rPr>
      </w:pPr>
    </w:p>
    <w:p w14:paraId="519156FA" w14:textId="77777777" w:rsidR="000B3237" w:rsidRPr="00F57F5A" w:rsidRDefault="000B3237" w:rsidP="000B3237">
      <w:pPr>
        <w:spacing w:after="0" w:line="240" w:lineRule="auto"/>
        <w:ind w:left="709" w:right="709"/>
        <w:jc w:val="both"/>
        <w:rPr>
          <w:rFonts w:ascii="Verdana" w:hAnsi="Verdana"/>
          <w:sz w:val="21"/>
          <w:szCs w:val="21"/>
          <w:lang w:val="es-ES"/>
        </w:rPr>
      </w:pPr>
      <w:r w:rsidRPr="00F57F5A">
        <w:rPr>
          <w:rFonts w:ascii="Verdana" w:hAnsi="Verdana" w:cs="Arial"/>
          <w:sz w:val="21"/>
          <w:szCs w:val="21"/>
          <w:lang w:val="es-ES"/>
        </w:rPr>
        <w:t>“</w:t>
      </w:r>
      <w:r w:rsidRPr="00F57F5A">
        <w:rPr>
          <w:rFonts w:ascii="Verdana" w:hAnsi="Verdana"/>
          <w:sz w:val="21"/>
          <w:szCs w:val="21"/>
          <w:lang w:val="es-ES"/>
        </w:rPr>
        <w:t>Son de la esencia del contrato de consultoría el que una parte se obligue a prestar un servicio consistente en realizar estudios para la ejecución de proyectos de inversión, estudios de diagnóstico, prefactibilidad o factibilidad para programas o proyectos determinados, prestar asesoría técnica de coordinación, control y supervisión, realizar actividades de interventoría, asesoría y gerencia de obra o de proyectos, así como la dirección, programación y la ejecución de diseños, planos, anteproyectos y proyectos, y el que la otra se obligue a pagar una determinada remuneración como retribución por el servicio prestado”</w:t>
      </w:r>
      <w:r w:rsidRPr="00F57F5A">
        <w:rPr>
          <w:rFonts w:ascii="Verdana" w:hAnsi="Verdana"/>
          <w:sz w:val="21"/>
          <w:szCs w:val="21"/>
          <w:vertAlign w:val="superscript"/>
          <w:lang w:val="es-ES"/>
        </w:rPr>
        <w:footnoteReference w:id="3"/>
      </w:r>
      <w:r w:rsidRPr="00F57F5A">
        <w:rPr>
          <w:rFonts w:ascii="Verdana" w:hAnsi="Verdana"/>
          <w:sz w:val="21"/>
          <w:szCs w:val="21"/>
          <w:lang w:val="es-ES"/>
        </w:rPr>
        <w:t>.</w:t>
      </w:r>
    </w:p>
    <w:p w14:paraId="4FC2940E" w14:textId="77777777" w:rsidR="000B3237" w:rsidRPr="00F57F5A" w:rsidRDefault="000B3237" w:rsidP="000B3237">
      <w:pPr>
        <w:spacing w:after="0" w:line="240" w:lineRule="auto"/>
        <w:ind w:left="709" w:right="709"/>
        <w:jc w:val="both"/>
        <w:rPr>
          <w:rFonts w:ascii="Verdana" w:hAnsi="Verdana" w:cs="Arial"/>
          <w:sz w:val="20"/>
          <w:szCs w:val="20"/>
          <w:lang w:val="es-ES"/>
        </w:rPr>
      </w:pPr>
    </w:p>
    <w:p w14:paraId="76B6B1C0" w14:textId="77777777" w:rsidR="000B3237" w:rsidRPr="00F57F5A" w:rsidRDefault="000B3237" w:rsidP="000B3237">
      <w:pPr>
        <w:spacing w:after="0" w:line="276" w:lineRule="auto"/>
        <w:ind w:firstLine="708"/>
        <w:jc w:val="both"/>
        <w:rPr>
          <w:rFonts w:ascii="Verdana" w:eastAsia="Calibri" w:hAnsi="Verdana" w:cs="Arial"/>
          <w:bCs/>
          <w:lang w:val="es-ES"/>
        </w:rPr>
      </w:pPr>
      <w:r w:rsidRPr="00F57F5A">
        <w:rPr>
          <w:rFonts w:ascii="Verdana" w:eastAsia="Calibri" w:hAnsi="Verdana" w:cs="Arial"/>
          <w:bCs/>
          <w:lang w:val="es-ES"/>
        </w:rPr>
        <w:t xml:space="preserve">De acuerdo el numeral 2 del artículo 32 de la Ley 80 de 1993, los contratos de consultoría son entonces aquellos que suscriben las entidades públicas que se refieran a los estudios necesarios para la ejecución de proyectos de inversión, estudios de diagnóstico, prefactibilidad o factibilidad para programas o proyectos específicos, así como las asesorías técnicas de coordinación, control y supervisión. Así mismo, son contratos de consultoría los que tienen por objeto la interventoría, asesoría, gerencia de obra o de proyectos, dirección, </w:t>
      </w:r>
      <w:r w:rsidRPr="00F57F5A">
        <w:rPr>
          <w:rFonts w:ascii="Verdana" w:eastAsia="Calibri" w:hAnsi="Verdana" w:cs="Arial"/>
          <w:bCs/>
          <w:lang w:val="es-ES"/>
        </w:rPr>
        <w:lastRenderedPageBreak/>
        <w:t>programación y la ejecución de diseños, planos, anteproyectos y proyectos</w:t>
      </w:r>
      <w:r w:rsidRPr="00F57F5A">
        <w:rPr>
          <w:rStyle w:val="Refdenotaalpie"/>
          <w:rFonts w:ascii="Verdana" w:eastAsia="Calibri" w:hAnsi="Verdana" w:cs="Arial"/>
          <w:lang w:val="es-ES"/>
        </w:rPr>
        <w:footnoteReference w:id="4"/>
      </w:r>
      <w:r w:rsidRPr="00F57F5A">
        <w:rPr>
          <w:rFonts w:ascii="Verdana" w:eastAsia="Calibri" w:hAnsi="Verdana" w:cs="Arial"/>
          <w:bCs/>
          <w:lang w:val="es-ES"/>
        </w:rPr>
        <w:t>. Al respecto, la Sección Tercera del Consejo de Estado en Sentencia de Unificación con radicado 41.179 señaló frente al contrato de consultoría lo siguiente:</w:t>
      </w:r>
    </w:p>
    <w:p w14:paraId="59CE1CB1" w14:textId="77777777" w:rsidR="000B3237" w:rsidRPr="00F57F5A" w:rsidRDefault="000B3237" w:rsidP="000B3237">
      <w:pPr>
        <w:spacing w:after="0" w:line="276" w:lineRule="auto"/>
        <w:ind w:firstLine="708"/>
        <w:jc w:val="both"/>
        <w:rPr>
          <w:rFonts w:ascii="Verdana" w:eastAsia="Calibri" w:hAnsi="Verdana" w:cs="Arial"/>
          <w:bCs/>
          <w:lang w:val="es-ES"/>
        </w:rPr>
      </w:pPr>
    </w:p>
    <w:p w14:paraId="532F9B93" w14:textId="77777777" w:rsidR="000B3237" w:rsidRDefault="000B3237" w:rsidP="000B3237">
      <w:pPr>
        <w:spacing w:after="0" w:line="240" w:lineRule="auto"/>
        <w:ind w:left="709" w:right="709"/>
        <w:jc w:val="both"/>
        <w:rPr>
          <w:rFonts w:ascii="Verdana" w:hAnsi="Verdana" w:cs="Arial"/>
          <w:sz w:val="21"/>
          <w:szCs w:val="21"/>
          <w:lang w:val="es-ES"/>
        </w:rPr>
      </w:pPr>
      <w:r w:rsidRPr="00F57F5A">
        <w:rPr>
          <w:rFonts w:ascii="Verdana" w:hAnsi="Verdana" w:cs="Arial"/>
          <w:sz w:val="21"/>
          <w:szCs w:val="21"/>
          <w:lang w:val="es-ES"/>
        </w:rPr>
        <w:t xml:space="preserve">“Su objeto contractual está centrado hacia el desarrollo de actividades que implican el despliegue de actividades de carácter eminentemente intelectivo, pero presenta como particularidad sustantiva que tales esfuerzos están dirigidos, específicamente, al cumplimiento de ciertos cometidos expresamente definidos por el numeral 2° del artículo 32 de la Ley 80 de 1993; esto es, para la realización de estudios necesarios para la ejecución de proyectos de inversión, estudios de diagnóstico, prefactibilidad o factibilidad para programas o proyectos específicos, así como a las asesorías técnicas de coordinación, control o supervisión. Se incluyen dentro de este tipo aquellos contratos que tienen por objeto la interventoría, asesoría, gerencia de obra o de proyectos, dirección, programas y la ejecución de diseños, planos, anteproyectos y proyectos.  </w:t>
      </w:r>
    </w:p>
    <w:p w14:paraId="6470381B" w14:textId="77777777" w:rsidR="000B3237" w:rsidRPr="00F57F5A" w:rsidRDefault="000B3237" w:rsidP="000B3237">
      <w:pPr>
        <w:spacing w:after="0" w:line="240" w:lineRule="auto"/>
        <w:ind w:left="709" w:right="709"/>
        <w:jc w:val="both"/>
        <w:rPr>
          <w:rFonts w:ascii="Verdana" w:hAnsi="Verdana" w:cs="Arial"/>
          <w:sz w:val="21"/>
          <w:szCs w:val="21"/>
          <w:lang w:val="es-ES"/>
        </w:rPr>
      </w:pPr>
    </w:p>
    <w:p w14:paraId="40255E9E" w14:textId="77777777" w:rsidR="000B3237" w:rsidRPr="00F57F5A" w:rsidRDefault="000B3237" w:rsidP="000B3237">
      <w:pPr>
        <w:spacing w:after="0" w:line="240" w:lineRule="auto"/>
        <w:ind w:left="709" w:right="709"/>
        <w:jc w:val="both"/>
        <w:rPr>
          <w:rFonts w:ascii="Verdana" w:hAnsi="Verdana" w:cs="Arial"/>
          <w:sz w:val="21"/>
          <w:szCs w:val="21"/>
          <w:lang w:val="es-ES"/>
        </w:rPr>
      </w:pPr>
      <w:r w:rsidRPr="00F57F5A">
        <w:rPr>
          <w:rFonts w:ascii="Verdana" w:hAnsi="Verdana" w:cs="Arial"/>
          <w:sz w:val="21"/>
          <w:szCs w:val="21"/>
          <w:lang w:val="es-ES"/>
        </w:rPr>
        <w:t>Además de estos objetos contractuales, se incluyen allí aquellos que las demás disposiciones legales especiales (y reglamentarias) establezcan”</w:t>
      </w:r>
      <w:r w:rsidRPr="00F57F5A">
        <w:rPr>
          <w:rStyle w:val="Refdenotaalpie"/>
          <w:rFonts w:ascii="Verdana" w:hAnsi="Verdana" w:cs="Arial"/>
          <w:sz w:val="21"/>
          <w:szCs w:val="21"/>
          <w:lang w:val="es-ES"/>
        </w:rPr>
        <w:footnoteReference w:id="5"/>
      </w:r>
      <w:r w:rsidRPr="00F57F5A">
        <w:rPr>
          <w:rFonts w:ascii="Verdana" w:hAnsi="Verdana" w:cs="Arial"/>
          <w:sz w:val="21"/>
          <w:szCs w:val="21"/>
          <w:lang w:val="es-ES"/>
        </w:rPr>
        <w:t>.</w:t>
      </w:r>
    </w:p>
    <w:p w14:paraId="74ABA212" w14:textId="77777777" w:rsidR="000B3237" w:rsidRPr="00F57F5A" w:rsidRDefault="000B3237" w:rsidP="000B3237">
      <w:pPr>
        <w:spacing w:after="0" w:line="276" w:lineRule="auto"/>
        <w:ind w:left="992" w:right="709"/>
        <w:jc w:val="both"/>
        <w:rPr>
          <w:rFonts w:ascii="Verdana" w:eastAsia="Calibri" w:hAnsi="Verdana" w:cs="Arial"/>
          <w:bCs/>
          <w:sz w:val="20"/>
          <w:szCs w:val="20"/>
          <w:lang w:val="es-ES"/>
        </w:rPr>
      </w:pPr>
    </w:p>
    <w:p w14:paraId="77758219" w14:textId="77777777" w:rsidR="000B3237" w:rsidRPr="00F57F5A" w:rsidRDefault="000B3237" w:rsidP="000B3237">
      <w:pPr>
        <w:spacing w:after="120" w:line="276" w:lineRule="auto"/>
        <w:ind w:firstLine="708"/>
        <w:jc w:val="both"/>
        <w:rPr>
          <w:rFonts w:ascii="Verdana" w:hAnsi="Verdana" w:cs="Arial"/>
          <w:lang w:val="es-ES"/>
        </w:rPr>
      </w:pPr>
      <w:r w:rsidRPr="00F57F5A">
        <w:rPr>
          <w:rFonts w:ascii="Verdana" w:hAnsi="Verdana" w:cs="Arial"/>
          <w:lang w:val="es-ES"/>
        </w:rPr>
        <w:t xml:space="preserve">Con todo es importante aclarar que, las actividades de asesoría técnica expuestas en los párrafos anteriores son enunciativas e ilustrativas, para identificar los conceptos de asesoría técnica de coordinación, control y supervisión, como objetos posibles de los contratos de consultoría. En tal sentido, la Entidad Estatal, en el momento de estructurar un proceso de selección, deberá determinar con qué tipo de consultoría ejecutará determinado proyecto. </w:t>
      </w:r>
    </w:p>
    <w:p w14:paraId="720CF922" w14:textId="77777777" w:rsidR="000B3237" w:rsidRPr="00F57F5A" w:rsidRDefault="000B3237" w:rsidP="000B3237">
      <w:pPr>
        <w:spacing w:after="120" w:line="276" w:lineRule="auto"/>
        <w:ind w:firstLine="708"/>
        <w:jc w:val="both"/>
        <w:rPr>
          <w:rFonts w:ascii="Verdana" w:hAnsi="Verdana" w:cs="Arial"/>
          <w:lang w:val="es-ES"/>
        </w:rPr>
      </w:pPr>
      <w:r w:rsidRPr="00F57F5A">
        <w:rPr>
          <w:rFonts w:ascii="Verdana" w:hAnsi="Verdana"/>
          <w:lang w:val="es-ES"/>
        </w:rPr>
        <w:lastRenderedPageBreak/>
        <w:t xml:space="preserve">De acuerdo con esto, es posible concluir que lo que define al contrato de consultoría </w:t>
      </w:r>
      <w:r w:rsidRPr="00F57F5A">
        <w:rPr>
          <w:rFonts w:ascii="Verdana" w:hAnsi="Verdana" w:cs="Arial"/>
          <w:lang w:val="es-ES"/>
        </w:rPr>
        <w:t>es el desarrollo de actividades que implican el despliegue de actividades de carácter eminentemente intelectivo, dirigidas específicamente al cumplimiento de los cometidos expresamente definidos por el numeral 2° del artículo 32 de la Ley 80 de 1993; esto es, para la realización de estudios necesarios para la ejecución de proyectos de inversión, estudios de diagnóstico, prefactibilidad o factibilidad para programas o proyectos específicos, así como a las asesorías técnicas de coordinación, control o supervisión. En ese sentido, es el desarrollo de estas actividades lo que tipifica a un contrato de consultoría.</w:t>
      </w:r>
    </w:p>
    <w:p w14:paraId="76BE7786" w14:textId="77777777" w:rsidR="000B3237" w:rsidRDefault="000B3237" w:rsidP="000B3237">
      <w:pPr>
        <w:spacing w:after="0" w:line="276" w:lineRule="auto"/>
        <w:ind w:firstLine="708"/>
        <w:jc w:val="both"/>
        <w:rPr>
          <w:rFonts w:ascii="Verdana" w:hAnsi="Verdana" w:cs="Arial"/>
          <w:sz w:val="20"/>
          <w:szCs w:val="20"/>
          <w:lang w:val="es-ES"/>
        </w:rPr>
      </w:pPr>
      <w:r w:rsidRPr="00F57F5A">
        <w:rPr>
          <w:rFonts w:ascii="Verdana" w:hAnsi="Verdana" w:cs="Arial"/>
          <w:lang w:val="es-ES"/>
        </w:rPr>
        <w:t xml:space="preserve">De esta forma, </w:t>
      </w:r>
      <w:r>
        <w:rPr>
          <w:rFonts w:ascii="Verdana" w:hAnsi="Verdana" w:cs="Arial"/>
          <w:lang w:val="es-ES"/>
        </w:rPr>
        <w:t xml:space="preserve">antes de adelantar un proceso de contratación de </w:t>
      </w:r>
      <w:r w:rsidRPr="00F57F5A">
        <w:rPr>
          <w:rFonts w:ascii="Verdana" w:hAnsi="Verdana" w:cs="Arial"/>
          <w:lang w:val="es-ES"/>
        </w:rPr>
        <w:t xml:space="preserve">obra pública, las entidades estatales pueden </w:t>
      </w:r>
      <w:r>
        <w:rPr>
          <w:rFonts w:ascii="Verdana" w:hAnsi="Verdana" w:cs="Arial"/>
          <w:lang w:val="es-ES"/>
        </w:rPr>
        <w:t xml:space="preserve">suscribir </w:t>
      </w:r>
      <w:r w:rsidRPr="00F57F5A">
        <w:rPr>
          <w:rFonts w:ascii="Verdana" w:hAnsi="Verdana" w:cs="Arial"/>
          <w:lang w:val="es-ES"/>
        </w:rPr>
        <w:t xml:space="preserve">contratos de </w:t>
      </w:r>
      <w:proofErr w:type="gramStart"/>
      <w:r w:rsidRPr="00F57F5A">
        <w:rPr>
          <w:rFonts w:ascii="Verdana" w:hAnsi="Verdana" w:cs="Arial"/>
          <w:lang w:val="es-ES"/>
        </w:rPr>
        <w:t>consultoría  con</w:t>
      </w:r>
      <w:proofErr w:type="gramEnd"/>
      <w:r w:rsidRPr="00F57F5A">
        <w:rPr>
          <w:rFonts w:ascii="Verdana" w:hAnsi="Verdana" w:cs="Arial"/>
          <w:lang w:val="es-ES"/>
        </w:rPr>
        <w:t xml:space="preserve"> el objeto de </w:t>
      </w:r>
      <w:r>
        <w:rPr>
          <w:rFonts w:ascii="Verdana" w:hAnsi="Verdana" w:cs="Arial"/>
          <w:lang w:val="es-ES"/>
        </w:rPr>
        <w:t xml:space="preserve">realizar </w:t>
      </w:r>
      <w:r w:rsidRPr="00F57F5A">
        <w:rPr>
          <w:rFonts w:ascii="Verdana" w:hAnsi="Verdana" w:cs="Arial"/>
          <w:lang w:val="es-ES"/>
        </w:rPr>
        <w:t>los estudios de prefactibilidad o factibilidad. En estos supuestos, la consultoría sirve para que la entidad determine la viabilidad de adelantar el proceso de contratación de obra pública</w:t>
      </w:r>
      <w:r w:rsidRPr="00F57F5A">
        <w:rPr>
          <w:rStyle w:val="Refdenotaalpie"/>
          <w:rFonts w:ascii="Verdana" w:hAnsi="Verdana" w:cs="Arial"/>
          <w:sz w:val="20"/>
          <w:szCs w:val="20"/>
          <w:lang w:val="es-ES"/>
        </w:rPr>
        <w:footnoteReference w:id="6"/>
      </w:r>
      <w:r w:rsidRPr="00F57F5A">
        <w:rPr>
          <w:rFonts w:ascii="Verdana" w:hAnsi="Verdana" w:cs="Arial"/>
          <w:sz w:val="20"/>
          <w:szCs w:val="20"/>
          <w:lang w:val="es-ES"/>
        </w:rPr>
        <w:t>.</w:t>
      </w:r>
    </w:p>
    <w:p w14:paraId="03FC385C" w14:textId="77777777" w:rsidR="000B3237" w:rsidRPr="00F57F5A" w:rsidRDefault="000B3237" w:rsidP="000B3237">
      <w:pPr>
        <w:spacing w:after="0" w:line="276" w:lineRule="auto"/>
        <w:ind w:firstLine="708"/>
        <w:jc w:val="both"/>
        <w:rPr>
          <w:rFonts w:ascii="Verdana" w:hAnsi="Verdana" w:cs="Arial"/>
          <w:lang w:val="es-ES"/>
        </w:rPr>
      </w:pPr>
    </w:p>
    <w:p w14:paraId="7E0ACB74" w14:textId="77777777" w:rsidR="000B3237" w:rsidRPr="00F57F5A" w:rsidRDefault="000B3237" w:rsidP="000B3237">
      <w:pPr>
        <w:spacing w:after="0" w:line="276" w:lineRule="auto"/>
        <w:jc w:val="both"/>
        <w:rPr>
          <w:rFonts w:ascii="Verdana" w:eastAsia="Calibri" w:hAnsi="Verdana" w:cs="Arial"/>
          <w:color w:val="000000"/>
          <w:lang w:val="es-ES" w:eastAsia="es-ES" w:bidi="es-ES"/>
        </w:rPr>
      </w:pPr>
      <w:proofErr w:type="spellStart"/>
      <w:r w:rsidRPr="00F57F5A">
        <w:rPr>
          <w:rFonts w:ascii="Verdana" w:hAnsi="Verdana" w:cs="Arial"/>
          <w:lang w:val="es-ES"/>
        </w:rPr>
        <w:t>ii</w:t>
      </w:r>
      <w:proofErr w:type="spellEnd"/>
      <w:r w:rsidRPr="00F57F5A">
        <w:rPr>
          <w:rFonts w:ascii="Verdana" w:hAnsi="Verdana" w:cs="Arial"/>
          <w:lang w:val="es-ES"/>
        </w:rPr>
        <w:t xml:space="preserve">) Por su parte, </w:t>
      </w:r>
      <w:r w:rsidRPr="00F57F5A">
        <w:rPr>
          <w:rFonts w:ascii="Verdana" w:eastAsia="Calibri" w:hAnsi="Verdana" w:cs="Arial"/>
          <w:lang w:val="es-ES"/>
        </w:rPr>
        <w:t>la</w:t>
      </w:r>
      <w:r w:rsidRPr="00F57F5A">
        <w:rPr>
          <w:rFonts w:ascii="Verdana" w:eastAsia="Calibri" w:hAnsi="Verdana" w:cs="Arial"/>
          <w:color w:val="000000"/>
          <w:lang w:val="es-ES" w:eastAsia="es-ES" w:bidi="es-ES"/>
        </w:rPr>
        <w:t xml:space="preserve"> obra pública es una tipología de los contratos estatales regulada en el </w:t>
      </w:r>
      <w:bookmarkStart w:id="2" w:name="_Hlk35420344"/>
      <w:bookmarkStart w:id="3" w:name="_Hlk81428563"/>
      <w:r w:rsidRPr="00F57F5A">
        <w:rPr>
          <w:rFonts w:ascii="Verdana" w:eastAsia="Calibri" w:hAnsi="Verdana" w:cs="Arial"/>
          <w:color w:val="000000"/>
          <w:lang w:val="es-ES" w:eastAsia="es-ES" w:bidi="es-ES"/>
        </w:rPr>
        <w:t xml:space="preserve">numeral 1 del artículo 32 de la Ley 80 de 1993, el cual dispone que “Son contratos de obra los que celebren las entidades estatales para la </w:t>
      </w:r>
      <w:bookmarkStart w:id="4" w:name="_Hlk171668266"/>
      <w:r w:rsidRPr="00F57F5A">
        <w:rPr>
          <w:rFonts w:ascii="Verdana" w:eastAsia="Calibri" w:hAnsi="Verdana" w:cs="Arial"/>
          <w:color w:val="000000"/>
          <w:lang w:val="es-ES" w:eastAsia="es-ES" w:bidi="es-ES"/>
        </w:rPr>
        <w:t>construcción, mantenimiento, instalación</w:t>
      </w:r>
      <w:bookmarkEnd w:id="4"/>
      <w:r w:rsidRPr="00F57F5A">
        <w:rPr>
          <w:rFonts w:ascii="Verdana" w:eastAsia="Calibri" w:hAnsi="Verdana" w:cs="Arial"/>
          <w:color w:val="000000"/>
          <w:lang w:val="es-ES" w:eastAsia="es-ES" w:bidi="es-ES"/>
        </w:rPr>
        <w:t xml:space="preserve"> y, en general, para la realización de cualquier otro trabajo material sobre bienes inmuebles, </w:t>
      </w:r>
      <w:bookmarkStart w:id="5" w:name="_Hlk171667437"/>
      <w:r w:rsidRPr="00F57F5A">
        <w:rPr>
          <w:rFonts w:ascii="Verdana" w:eastAsia="Calibri" w:hAnsi="Verdana" w:cs="Arial"/>
          <w:color w:val="000000"/>
          <w:lang w:val="es-ES" w:eastAsia="es-ES" w:bidi="es-ES"/>
        </w:rPr>
        <w:t>cualquiera que sea la modalidad de ejecución y pago</w:t>
      </w:r>
      <w:bookmarkEnd w:id="5"/>
      <w:r w:rsidRPr="00F57F5A">
        <w:rPr>
          <w:rFonts w:ascii="Verdana" w:eastAsia="Calibri" w:hAnsi="Verdana" w:cs="Arial"/>
          <w:color w:val="000000"/>
          <w:lang w:val="es-ES" w:eastAsia="es-ES" w:bidi="es-ES"/>
        </w:rPr>
        <w:t>”, de manera que este tipo de contrato no aplica a los trabajos materiales realizados sobre bienes muebles</w:t>
      </w:r>
      <w:r w:rsidRPr="00F57F5A">
        <w:rPr>
          <w:rStyle w:val="Refdenotaalpie"/>
          <w:rFonts w:ascii="Verdana" w:eastAsia="Calibri" w:hAnsi="Verdana" w:cs="Arial"/>
          <w:color w:val="000000"/>
          <w:lang w:val="es-ES" w:eastAsia="es-ES" w:bidi="es-ES"/>
        </w:rPr>
        <w:footnoteReference w:id="7"/>
      </w:r>
      <w:r w:rsidRPr="00F57F5A">
        <w:rPr>
          <w:rFonts w:ascii="Verdana" w:eastAsia="Calibri" w:hAnsi="Verdana" w:cs="Arial"/>
          <w:color w:val="000000"/>
          <w:lang w:val="es-ES" w:eastAsia="es-ES" w:bidi="es-ES"/>
        </w:rPr>
        <w:t xml:space="preserve">. </w:t>
      </w:r>
      <w:bookmarkEnd w:id="2"/>
      <w:bookmarkEnd w:id="3"/>
      <w:r w:rsidRPr="00F57F5A">
        <w:rPr>
          <w:rFonts w:ascii="Verdana" w:eastAsia="Calibri" w:hAnsi="Verdana" w:cs="Arial"/>
          <w:color w:val="000000"/>
          <w:lang w:val="es-ES" w:eastAsia="es-ES" w:bidi="es-ES"/>
        </w:rPr>
        <w:t>De esta manera:</w:t>
      </w:r>
    </w:p>
    <w:p w14:paraId="7F2C1D85" w14:textId="77777777" w:rsidR="000B3237" w:rsidRPr="00F57F5A" w:rsidRDefault="000B3237" w:rsidP="000B3237">
      <w:pPr>
        <w:spacing w:after="0" w:line="276" w:lineRule="auto"/>
        <w:jc w:val="both"/>
        <w:rPr>
          <w:rFonts w:ascii="Verdana" w:hAnsi="Verdana" w:cs="Arial"/>
          <w:lang w:val="es-ES"/>
        </w:rPr>
      </w:pPr>
    </w:p>
    <w:p w14:paraId="5A75653C" w14:textId="77777777" w:rsidR="000B3237" w:rsidRPr="00F57F5A" w:rsidRDefault="000B3237" w:rsidP="000B3237">
      <w:pPr>
        <w:widowControl w:val="0"/>
        <w:autoSpaceDE w:val="0"/>
        <w:autoSpaceDN w:val="0"/>
        <w:spacing w:after="0" w:line="240" w:lineRule="auto"/>
        <w:ind w:left="709" w:right="709"/>
        <w:jc w:val="both"/>
        <w:rPr>
          <w:rFonts w:ascii="Verdana" w:eastAsia="Calibri" w:hAnsi="Verdana" w:cs="Arial"/>
          <w:color w:val="000000"/>
          <w:sz w:val="21"/>
          <w:szCs w:val="21"/>
          <w:lang w:val="es-ES" w:eastAsia="es-ES" w:bidi="es-ES"/>
        </w:rPr>
      </w:pPr>
      <w:r w:rsidRPr="00F57F5A">
        <w:rPr>
          <w:rFonts w:ascii="Verdana" w:eastAsia="Calibri" w:hAnsi="Verdana" w:cs="Arial"/>
          <w:color w:val="000000"/>
          <w:sz w:val="21"/>
          <w:szCs w:val="21"/>
          <w:lang w:val="es-ES" w:eastAsia="es-ES" w:bidi="es-ES"/>
        </w:rPr>
        <w:t xml:space="preserve">“[…] el legislador limitó la naturaleza de los contratos de obra a las actividades de trabajos materiales exclusivamente sobre bienes inmuebles, independientemente de su modalidad de ejecución y pago. De esta forma, acogió la posición de una parte de la doctrina y del derecho comparado, que vinculan la tipificación del contrato de obra a aquellas actividades realizadas sobre bienes inmuebles. </w:t>
      </w:r>
    </w:p>
    <w:p w14:paraId="64B99A9E" w14:textId="77777777" w:rsidR="000B3237" w:rsidRPr="00F57F5A" w:rsidRDefault="000B3237" w:rsidP="000B3237">
      <w:pPr>
        <w:widowControl w:val="0"/>
        <w:autoSpaceDE w:val="0"/>
        <w:autoSpaceDN w:val="0"/>
        <w:spacing w:after="0" w:line="240" w:lineRule="auto"/>
        <w:ind w:left="709" w:right="709"/>
        <w:jc w:val="both"/>
        <w:rPr>
          <w:rFonts w:ascii="Verdana" w:eastAsia="Calibri" w:hAnsi="Verdana" w:cs="Arial"/>
          <w:color w:val="000000"/>
          <w:sz w:val="21"/>
          <w:szCs w:val="21"/>
          <w:lang w:val="es-ES" w:eastAsia="es-ES" w:bidi="es-ES"/>
        </w:rPr>
      </w:pPr>
      <w:r w:rsidRPr="00F57F5A">
        <w:rPr>
          <w:rFonts w:ascii="Verdana" w:eastAsia="Calibri" w:hAnsi="Verdana" w:cs="Arial"/>
          <w:color w:val="000000"/>
          <w:sz w:val="21"/>
          <w:szCs w:val="21"/>
          <w:lang w:val="es-ES" w:eastAsia="es-ES" w:bidi="es-ES"/>
        </w:rPr>
        <w:t xml:space="preserve">La ejecución de obras sobre otro tipo de bienes, no estarán regulados por el contrato estatal de obra y podrán corresponder a una prestación de servicios general, o a cualquier otra modalidad típica o atípica, </w:t>
      </w:r>
      <w:r w:rsidRPr="00F57F5A">
        <w:rPr>
          <w:rFonts w:ascii="Verdana" w:eastAsia="Calibri" w:hAnsi="Verdana" w:cs="Arial"/>
          <w:color w:val="000000"/>
          <w:sz w:val="21"/>
          <w:szCs w:val="21"/>
          <w:lang w:val="es-ES" w:eastAsia="es-ES" w:bidi="es-ES"/>
        </w:rPr>
        <w:lastRenderedPageBreak/>
        <w:t>nominada o innominada que pueda celebrarse entre la entidad estatal y un contratista, en los términos de la autonomía de la voluntad de las partes, de acuerdo con lo previsto en los artículos 32 y 40 de la ley 80 de 1993”</w:t>
      </w:r>
      <w:r w:rsidRPr="00F57F5A">
        <w:rPr>
          <w:rFonts w:ascii="Verdana" w:eastAsia="Calibri" w:hAnsi="Verdana" w:cs="Arial"/>
          <w:color w:val="000000"/>
          <w:sz w:val="21"/>
          <w:szCs w:val="21"/>
          <w:vertAlign w:val="superscript"/>
          <w:lang w:val="es-ES" w:eastAsia="es-ES" w:bidi="es-ES"/>
        </w:rPr>
        <w:footnoteReference w:id="8"/>
      </w:r>
      <w:r w:rsidRPr="00F57F5A">
        <w:rPr>
          <w:rFonts w:ascii="Verdana" w:eastAsia="Calibri" w:hAnsi="Verdana" w:cs="Arial"/>
          <w:color w:val="000000"/>
          <w:sz w:val="21"/>
          <w:szCs w:val="21"/>
          <w:lang w:val="es-ES" w:eastAsia="es-ES" w:bidi="es-ES"/>
        </w:rPr>
        <w:t>.</w:t>
      </w:r>
    </w:p>
    <w:p w14:paraId="3F6D87D9" w14:textId="77777777" w:rsidR="000B3237" w:rsidRPr="00F57F5A" w:rsidRDefault="000B3237" w:rsidP="000B3237">
      <w:pPr>
        <w:spacing w:after="0" w:line="276" w:lineRule="auto"/>
        <w:jc w:val="both"/>
        <w:rPr>
          <w:rFonts w:ascii="Verdana" w:eastAsia="Calibri" w:hAnsi="Verdana" w:cs="Arial"/>
          <w:color w:val="000000" w:themeColor="text1"/>
          <w:lang w:val="es-ES"/>
        </w:rPr>
      </w:pPr>
    </w:p>
    <w:p w14:paraId="6801719D" w14:textId="77777777" w:rsidR="000B3237" w:rsidRPr="00F57F5A" w:rsidRDefault="000B3237" w:rsidP="000B3237">
      <w:pPr>
        <w:spacing w:after="120" w:line="276" w:lineRule="auto"/>
        <w:ind w:firstLine="708"/>
        <w:jc w:val="both"/>
        <w:rPr>
          <w:rFonts w:ascii="Verdana" w:hAnsi="Verdana" w:cs="Arial"/>
          <w:bCs/>
          <w:color w:val="000000" w:themeColor="text1"/>
          <w:lang w:val="es-ES"/>
        </w:rPr>
      </w:pPr>
      <w:bookmarkStart w:id="6" w:name="2.2.1.1.2.1.1.5"/>
      <w:bookmarkEnd w:id="6"/>
      <w:r w:rsidRPr="00F57F5A">
        <w:rPr>
          <w:rFonts w:ascii="Verdana" w:hAnsi="Verdana" w:cs="Arial"/>
          <w:bCs/>
          <w:color w:val="000000" w:themeColor="text1"/>
          <w:lang w:val="es-ES"/>
        </w:rPr>
        <w:t xml:space="preserve">Con respecto a los requisitos que debe cumplir la Entidad Estatal para la contratación de una obra pública, el numeral 12 del artículo 25 de la Ley 80 de 1993, modificado por el artículo 87 de la Ley 1474 de 2011, establece que previo </w:t>
      </w:r>
      <w:proofErr w:type="gramStart"/>
      <w:r w:rsidRPr="00F57F5A">
        <w:rPr>
          <w:rFonts w:ascii="Verdana" w:hAnsi="Verdana" w:cs="Arial"/>
          <w:bCs/>
          <w:color w:val="000000" w:themeColor="text1"/>
          <w:lang w:val="es-ES"/>
        </w:rPr>
        <w:t>al apertura</w:t>
      </w:r>
      <w:proofErr w:type="gramEnd"/>
      <w:r w:rsidRPr="00F57F5A">
        <w:rPr>
          <w:rFonts w:ascii="Verdana" w:hAnsi="Verdana" w:cs="Arial"/>
          <w:bCs/>
          <w:color w:val="000000" w:themeColor="text1"/>
          <w:lang w:val="es-ES"/>
        </w:rPr>
        <w:t xml:space="preserve"> del proceso de selección la Entidad Estatal debe contar con “los estudios y diseños que permitan establecer la viabilidad del proyecto y su impacto social, económico y ambiental”</w:t>
      </w:r>
      <w:r w:rsidRPr="00F57F5A">
        <w:rPr>
          <w:rStyle w:val="Refdenotaalpie"/>
          <w:rFonts w:ascii="Verdana" w:hAnsi="Verdana" w:cs="Arial"/>
          <w:bCs/>
          <w:color w:val="000000" w:themeColor="text1"/>
          <w:lang w:val="es-ES"/>
        </w:rPr>
        <w:footnoteReference w:id="9"/>
      </w:r>
      <w:r w:rsidRPr="00F57F5A">
        <w:rPr>
          <w:rFonts w:ascii="Verdana" w:hAnsi="Verdana"/>
          <w:lang w:val="es-ES"/>
        </w:rPr>
        <w:t>. Incluso, el numeral 3 del artículo 26 del Estatuto General de Contratación de la Administración Pública prescribe que las entidades y los servidores públicos responderán cuando hubieren iniciado procedimientos de selección sin haber elaborado los diseños correspondientes</w:t>
      </w:r>
      <w:r w:rsidRPr="00F57F5A">
        <w:rPr>
          <w:rStyle w:val="Refdenotaalpie"/>
          <w:rFonts w:ascii="Verdana" w:hAnsi="Verdana"/>
          <w:lang w:val="es-ES"/>
        </w:rPr>
        <w:footnoteReference w:id="10"/>
      </w:r>
      <w:r w:rsidRPr="00F57F5A">
        <w:rPr>
          <w:rFonts w:ascii="Verdana" w:hAnsi="Verdana"/>
          <w:lang w:val="es-ES"/>
        </w:rPr>
        <w:t xml:space="preserve">. </w:t>
      </w:r>
    </w:p>
    <w:p w14:paraId="1A706F73" w14:textId="77777777" w:rsidR="000B3237" w:rsidRPr="00F57F5A" w:rsidRDefault="000B3237" w:rsidP="000B3237">
      <w:pPr>
        <w:spacing w:after="120" w:line="276" w:lineRule="auto"/>
        <w:ind w:firstLine="708"/>
        <w:jc w:val="both"/>
        <w:rPr>
          <w:rFonts w:ascii="Verdana" w:hAnsi="Verdana"/>
          <w:lang w:val="es-ES"/>
        </w:rPr>
      </w:pPr>
      <w:r w:rsidRPr="00F57F5A">
        <w:rPr>
          <w:rFonts w:ascii="Verdana" w:hAnsi="Verdana"/>
          <w:lang w:val="es-ES"/>
        </w:rPr>
        <w:t xml:space="preserve">Igualmente, para los procesos de licitación pública, el numeral primero del artículo 30 </w:t>
      </w:r>
      <w:r w:rsidRPr="00F57F5A">
        <w:rPr>
          <w:rFonts w:ascii="Verdana" w:hAnsi="Verdana"/>
          <w:i/>
          <w:iCs/>
          <w:lang w:val="es-ES"/>
        </w:rPr>
        <w:t>ibidem</w:t>
      </w:r>
      <w:r w:rsidRPr="00F57F5A">
        <w:rPr>
          <w:rFonts w:ascii="Verdana" w:hAnsi="Verdana"/>
          <w:lang w:val="es-ES"/>
        </w:rPr>
        <w:t xml:space="preserve"> prescribe que </w:t>
      </w:r>
      <w:r w:rsidRPr="00F57F5A">
        <w:rPr>
          <w:lang w:val="es-ES"/>
        </w:rPr>
        <w:t>“</w:t>
      </w:r>
      <w:r w:rsidRPr="00F57F5A">
        <w:rPr>
          <w:rFonts w:ascii="Verdana" w:hAnsi="Verdana"/>
          <w:lang w:val="es-ES"/>
        </w:rPr>
        <w:t xml:space="preserve">De conformidad con lo previsto en el numeral 12 del artículo 25 de esta ley, la resolución de apertura debe estar precedida de un estudio realizado por la entidad respectiva en el cual se analice la conveniencia y oportunidad del contrato y su adecuación a los planes de inversión, de adquisición o compras, presupuesto y ley de apropiaciones, según el caso. </w:t>
      </w:r>
      <w:r w:rsidRPr="00F57F5A">
        <w:rPr>
          <w:rFonts w:ascii="Verdana" w:hAnsi="Verdana"/>
          <w:i/>
          <w:iCs/>
          <w:lang w:val="es-ES"/>
        </w:rPr>
        <w:t>Cuando sea necesario, el estudio deberá estar acompañado, además, de los diseños, planos y evaluaciones de prefactibilidad o factibilidad</w:t>
      </w:r>
      <w:r w:rsidRPr="00F57F5A">
        <w:rPr>
          <w:lang w:val="es-ES"/>
        </w:rPr>
        <w:t>”</w:t>
      </w:r>
      <w:r w:rsidRPr="00F57F5A">
        <w:rPr>
          <w:rFonts w:ascii="Verdana" w:hAnsi="Verdana"/>
          <w:lang w:val="es-ES"/>
        </w:rPr>
        <w:t xml:space="preserve"> (Énfasis fuera de texto).</w:t>
      </w:r>
    </w:p>
    <w:p w14:paraId="66705954" w14:textId="77777777" w:rsidR="000B3237" w:rsidRPr="00F57F5A" w:rsidRDefault="000B3237" w:rsidP="000B3237">
      <w:pPr>
        <w:snapToGrid w:val="0"/>
        <w:spacing w:before="120" w:after="120" w:line="276" w:lineRule="auto"/>
        <w:ind w:firstLine="709"/>
        <w:jc w:val="both"/>
        <w:rPr>
          <w:rFonts w:ascii="Verdana" w:hAnsi="Verdana" w:cs="Arial"/>
          <w:bCs/>
          <w:color w:val="000000" w:themeColor="text1"/>
          <w:lang w:val="es-ES"/>
        </w:rPr>
      </w:pPr>
      <w:r w:rsidRPr="00F57F5A">
        <w:rPr>
          <w:rFonts w:ascii="Verdana" w:hAnsi="Verdana"/>
          <w:lang w:val="es-ES"/>
        </w:rPr>
        <w:t xml:space="preserve">En este sentido, la entidad podrá </w:t>
      </w:r>
      <w:r>
        <w:rPr>
          <w:rFonts w:ascii="Verdana" w:hAnsi="Verdana"/>
          <w:lang w:val="es-ES"/>
        </w:rPr>
        <w:t xml:space="preserve">contratar la </w:t>
      </w:r>
      <w:r w:rsidRPr="00F57F5A">
        <w:rPr>
          <w:rFonts w:ascii="Verdana" w:hAnsi="Verdana"/>
          <w:lang w:val="es-ES"/>
        </w:rPr>
        <w:t xml:space="preserve">consultoría con el objetivo de adelantar </w:t>
      </w:r>
      <w:r w:rsidRPr="00F57F5A">
        <w:rPr>
          <w:rFonts w:ascii="Verdana" w:hAnsi="Verdana" w:cs="Arial"/>
          <w:bCs/>
          <w:color w:val="000000" w:themeColor="text1"/>
          <w:lang w:val="es-ES"/>
        </w:rPr>
        <w:t xml:space="preserve">los estudios y diseños que permitan establecer la </w:t>
      </w:r>
      <w:r w:rsidRPr="00F57F5A">
        <w:rPr>
          <w:rFonts w:ascii="Verdana" w:hAnsi="Verdana" w:cs="Arial"/>
          <w:bCs/>
          <w:i/>
          <w:iCs/>
          <w:color w:val="000000" w:themeColor="text1"/>
          <w:lang w:val="es-ES"/>
        </w:rPr>
        <w:t>viabilidad</w:t>
      </w:r>
      <w:r w:rsidRPr="00F57F5A">
        <w:rPr>
          <w:rFonts w:ascii="Verdana" w:hAnsi="Verdana" w:cs="Arial"/>
          <w:bCs/>
          <w:color w:val="000000" w:themeColor="text1"/>
          <w:lang w:val="es-ES"/>
        </w:rPr>
        <w:t xml:space="preserve"> del </w:t>
      </w:r>
      <w:r w:rsidRPr="00F57F5A">
        <w:rPr>
          <w:rFonts w:ascii="Verdana" w:hAnsi="Verdana" w:cs="Arial"/>
          <w:bCs/>
          <w:color w:val="000000" w:themeColor="text1"/>
          <w:lang w:val="es-ES"/>
        </w:rPr>
        <w:lastRenderedPageBreak/>
        <w:t>proyecto y su impacto social, económico y ambiental. Los resultados del contrato de consultoría permitirán a la entidad determinar si el proyecto</w:t>
      </w:r>
      <w:r>
        <w:rPr>
          <w:rFonts w:ascii="Verdana" w:hAnsi="Verdana" w:cs="Arial"/>
          <w:bCs/>
          <w:color w:val="000000" w:themeColor="text1"/>
          <w:lang w:val="es-ES"/>
        </w:rPr>
        <w:t xml:space="preserve"> es viable y,</w:t>
      </w:r>
      <w:r w:rsidRPr="00F57F5A">
        <w:rPr>
          <w:rFonts w:ascii="Verdana" w:hAnsi="Verdana" w:cs="Arial"/>
          <w:bCs/>
          <w:color w:val="000000" w:themeColor="text1"/>
          <w:lang w:val="es-ES"/>
        </w:rPr>
        <w:t xml:space="preserve"> </w:t>
      </w:r>
      <w:r>
        <w:rPr>
          <w:rFonts w:ascii="Verdana" w:hAnsi="Verdana" w:cs="Arial"/>
          <w:bCs/>
          <w:color w:val="000000" w:themeColor="text1"/>
          <w:lang w:val="es-ES"/>
        </w:rPr>
        <w:t>d</w:t>
      </w:r>
      <w:r w:rsidRPr="00F57F5A">
        <w:rPr>
          <w:rFonts w:ascii="Verdana" w:hAnsi="Verdana" w:cs="Arial"/>
          <w:bCs/>
          <w:color w:val="000000" w:themeColor="text1"/>
          <w:lang w:val="es-ES"/>
        </w:rPr>
        <w:t>e ser este el caso, la entidad podrá proceder con la contratación de la obra pública bajo las modalidades previstas para ello en el Estatuto.</w:t>
      </w:r>
    </w:p>
    <w:p w14:paraId="7F1FE173" w14:textId="77777777" w:rsidR="000B3237" w:rsidRPr="00F57F5A" w:rsidRDefault="000B3237" w:rsidP="000B3237">
      <w:pPr>
        <w:snapToGrid w:val="0"/>
        <w:spacing w:before="120" w:after="0" w:line="276" w:lineRule="auto"/>
        <w:ind w:firstLine="709"/>
        <w:jc w:val="both"/>
        <w:rPr>
          <w:rFonts w:ascii="Verdana" w:hAnsi="Verdana"/>
          <w:lang w:val="es-ES"/>
        </w:rPr>
      </w:pPr>
      <w:r w:rsidRPr="00F57F5A">
        <w:rPr>
          <w:rFonts w:ascii="Verdana" w:hAnsi="Verdana"/>
          <w:lang w:val="es-ES"/>
        </w:rPr>
        <w:t xml:space="preserve">Otra opción es que la entidad incluya como parte de un mismo proceso la elaboración de los estudios y diseños que expliquen con mayor detalle a las obras y estructuras que se requieran, junto con el proceso de construcción. Lo anterior es posible, pues el numeral 12 del artículo 25 de la Ley 80 de 1993 no impide que en un mismo proceso de contratación se adelanten de forma conjunta la construcción de la obra y la elaboración de los estudios y diseños, de tal forma que el constructor pueda materializar el proyecto, ya que sólo se requiere que existan unos estudios de viabilidad. Lo anterior se reitera con lo previsto en el artículo 2.2.1.1.2.1.1 del Decreto 1082 de 2015, el cual señala </w:t>
      </w:r>
      <w:proofErr w:type="gramStart"/>
      <w:r w:rsidRPr="00F57F5A">
        <w:rPr>
          <w:rFonts w:ascii="Verdana" w:hAnsi="Verdana"/>
          <w:lang w:val="es-ES"/>
        </w:rPr>
        <w:t>que</w:t>
      </w:r>
      <w:proofErr w:type="gramEnd"/>
      <w:r w:rsidRPr="00F57F5A">
        <w:rPr>
          <w:rFonts w:ascii="Verdana" w:hAnsi="Verdana"/>
          <w:lang w:val="es-ES"/>
        </w:rPr>
        <w:t xml:space="preserve"> dentro de los estudios previos, cuando el objeto de contratación incluye el diseño y construcción, se requieren los documentos técnicos del proyecto</w:t>
      </w:r>
      <w:r w:rsidRPr="00F57F5A">
        <w:rPr>
          <w:rFonts w:ascii="Verdana" w:hAnsi="Verdana"/>
          <w:vertAlign w:val="superscript"/>
          <w:lang w:val="es-ES"/>
        </w:rPr>
        <w:footnoteReference w:id="11"/>
      </w:r>
      <w:r w:rsidRPr="00F57F5A">
        <w:rPr>
          <w:rFonts w:ascii="Verdana" w:hAnsi="Verdana"/>
          <w:lang w:val="es-ES"/>
        </w:rPr>
        <w:t xml:space="preserve">. </w:t>
      </w:r>
    </w:p>
    <w:p w14:paraId="0518F53D" w14:textId="77777777" w:rsidR="000B3237" w:rsidRPr="00F57F5A" w:rsidRDefault="000B3237" w:rsidP="000B3237">
      <w:pPr>
        <w:snapToGrid w:val="0"/>
        <w:spacing w:before="120" w:after="0" w:line="276" w:lineRule="auto"/>
        <w:ind w:firstLine="709"/>
        <w:jc w:val="both"/>
        <w:rPr>
          <w:rFonts w:ascii="Verdana" w:hAnsi="Verdana"/>
          <w:bCs/>
          <w:color w:val="000000" w:themeColor="text1"/>
          <w:lang w:val="es-ES"/>
        </w:rPr>
      </w:pPr>
      <w:r w:rsidRPr="00F57F5A">
        <w:rPr>
          <w:rFonts w:ascii="Verdana" w:hAnsi="Verdana"/>
          <w:lang w:val="es-ES"/>
        </w:rPr>
        <w:t>En este sentido, la normativa prevé de forma expresa la posibilidad que en un mismo proceso de contratación la entidad adelante la elaboración de los diseños y la construcción de una obra. En otras palabras, debe quedar claro que la consagración de la obligación a cargo del contratista de realizar los estudios y diseños para la obra pública constituye una forma en la que satisface plenamente el deber legal de contar, de manera p</w:t>
      </w:r>
      <w:r w:rsidRPr="00F57F5A">
        <w:rPr>
          <w:rFonts w:ascii="Verdana" w:hAnsi="Verdana"/>
          <w:bCs/>
          <w:color w:val="000000" w:themeColor="text1"/>
          <w:lang w:val="es-ES"/>
        </w:rPr>
        <w:t>revia a la apertura, con los estudios y diseños que permitan establecer la viabilidad del proyecto y su impacto social, económico y ambiental</w:t>
      </w:r>
      <w:r w:rsidRPr="00F57F5A">
        <w:rPr>
          <w:rStyle w:val="Refdenotaalpie"/>
          <w:rFonts w:ascii="Verdana" w:hAnsi="Verdana"/>
          <w:bCs/>
          <w:color w:val="000000" w:themeColor="text1"/>
          <w:lang w:val="es-ES"/>
        </w:rPr>
        <w:footnoteReference w:id="12"/>
      </w:r>
      <w:r w:rsidRPr="00F57F5A">
        <w:rPr>
          <w:rFonts w:ascii="Verdana" w:hAnsi="Verdana"/>
          <w:bCs/>
          <w:color w:val="000000" w:themeColor="text1"/>
          <w:lang w:val="es-ES"/>
        </w:rPr>
        <w:t>.</w:t>
      </w:r>
    </w:p>
    <w:p w14:paraId="2984CD66" w14:textId="77777777" w:rsidR="000B3237" w:rsidRPr="00F57F5A" w:rsidRDefault="000B3237" w:rsidP="000B3237">
      <w:pPr>
        <w:snapToGrid w:val="0"/>
        <w:spacing w:before="120" w:after="0" w:line="276" w:lineRule="auto"/>
        <w:ind w:firstLine="709"/>
        <w:jc w:val="both"/>
        <w:rPr>
          <w:rFonts w:ascii="Verdana" w:hAnsi="Verdana"/>
          <w:lang w:val="es-ES"/>
        </w:rPr>
      </w:pPr>
      <w:r w:rsidRPr="00F57F5A">
        <w:rPr>
          <w:rFonts w:ascii="Verdana" w:hAnsi="Verdana"/>
          <w:lang w:val="es-ES"/>
        </w:rPr>
        <w:t xml:space="preserve">En cualquiera de los supuestos señalados, es importante subrayar que el ordenamiento jurídico establece distintas fases para la elaboración y contratación de los estudios de viabilidad de un proyecto de construcción. En </w:t>
      </w:r>
      <w:r w:rsidRPr="00F57F5A">
        <w:rPr>
          <w:rFonts w:ascii="Verdana" w:hAnsi="Verdana"/>
          <w:lang w:val="es-ES"/>
        </w:rPr>
        <w:lastRenderedPageBreak/>
        <w:t xml:space="preserve">efecto, el artículo 12 de la Ley 1862 de 2013 define y clasifica los diversos estudios de ingeniería que se adelantan para la ejecución de los proyectos de infraestructura de transporte en: i) Fase I - Prefactibilidad, </w:t>
      </w:r>
      <w:proofErr w:type="spellStart"/>
      <w:r w:rsidRPr="00F57F5A">
        <w:rPr>
          <w:rFonts w:ascii="Verdana" w:hAnsi="Verdana"/>
          <w:lang w:val="es-ES"/>
        </w:rPr>
        <w:t>ii</w:t>
      </w:r>
      <w:proofErr w:type="spellEnd"/>
      <w:r w:rsidRPr="00F57F5A">
        <w:rPr>
          <w:rFonts w:ascii="Verdana" w:hAnsi="Verdana"/>
          <w:lang w:val="es-ES"/>
        </w:rPr>
        <w:t xml:space="preserve">) Fase II - Factibilidad y </w:t>
      </w:r>
      <w:proofErr w:type="spellStart"/>
      <w:r w:rsidRPr="00F57F5A">
        <w:rPr>
          <w:rFonts w:ascii="Verdana" w:hAnsi="Verdana"/>
          <w:lang w:val="es-ES"/>
        </w:rPr>
        <w:t>iii</w:t>
      </w:r>
      <w:proofErr w:type="spellEnd"/>
      <w:r w:rsidRPr="00F57F5A">
        <w:rPr>
          <w:rFonts w:ascii="Verdana" w:hAnsi="Verdana"/>
          <w:lang w:val="es-ES"/>
        </w:rPr>
        <w:t>) Fase III - Estudios y diseños</w:t>
      </w:r>
      <w:r w:rsidRPr="00F57F5A">
        <w:rPr>
          <w:rFonts w:ascii="Verdana" w:hAnsi="Verdana"/>
          <w:spacing w:val="-1"/>
          <w:lang w:val="es-ES"/>
        </w:rPr>
        <w:t xml:space="preserve"> </w:t>
      </w:r>
      <w:r w:rsidRPr="00F57F5A">
        <w:rPr>
          <w:rFonts w:ascii="Verdana" w:hAnsi="Verdana"/>
          <w:lang w:val="es-ES"/>
        </w:rPr>
        <w:t>definitivos.</w:t>
      </w:r>
    </w:p>
    <w:p w14:paraId="66C88A49" w14:textId="77777777" w:rsidR="000B3237" w:rsidRPr="00F57F5A" w:rsidRDefault="000B3237" w:rsidP="000B3237">
      <w:pPr>
        <w:pStyle w:val="Textoindependiente"/>
        <w:spacing w:before="120" w:beforeAutospacing="0" w:after="120" w:afterAutospacing="0" w:line="276" w:lineRule="auto"/>
        <w:ind w:firstLine="709"/>
        <w:jc w:val="both"/>
        <w:rPr>
          <w:rFonts w:ascii="Verdana" w:hAnsi="Verdana"/>
          <w:sz w:val="22"/>
          <w:szCs w:val="22"/>
          <w:lang w:val="es-ES"/>
        </w:rPr>
      </w:pPr>
      <w:r w:rsidRPr="00F57F5A">
        <w:rPr>
          <w:rFonts w:ascii="Verdana" w:hAnsi="Verdana"/>
          <w:sz w:val="22"/>
          <w:szCs w:val="22"/>
          <w:lang w:val="es-ES"/>
        </w:rPr>
        <w:t>En el estudio de la “Fase 1 - Prefactibilidad” se realiza el prediseño aproximado del proyecto, presentando alternativas y realizando la evaluación económica preliminar, recurriendo a costos obtenidos en proyectos con condiciones similares, y utilizando modelos de simulación debidamente aprobados por las entidades solicitantes. En el estudio de la “Fase 2 - Factibilidad” se debe diseñar el proyecto y efectuar la evaluación económica final; además, tiene por finalidad establecer si el proyecto es factible para su ejecución, considerando todos los aspectos relacionados con el mismo. Finalmente, en el estudio de la “Fase 3 - Estudios y diseños definitivos” se deben elaborar los diseños detallados tanto geométricos como de todas las estructuras y obras que se requieran, de tal forma que un constructor pueda materializar el proyecto</w:t>
      </w:r>
      <w:r w:rsidRPr="00F57F5A">
        <w:rPr>
          <w:rStyle w:val="Refdenotaalpie"/>
          <w:rFonts w:ascii="Verdana" w:hAnsi="Verdana"/>
          <w:sz w:val="22"/>
          <w:szCs w:val="22"/>
          <w:lang w:val="es-ES"/>
        </w:rPr>
        <w:footnoteReference w:id="13"/>
      </w:r>
      <w:r w:rsidRPr="00F57F5A">
        <w:rPr>
          <w:rFonts w:ascii="Verdana" w:hAnsi="Verdana"/>
          <w:sz w:val="22"/>
          <w:szCs w:val="22"/>
          <w:lang w:val="es-ES"/>
        </w:rPr>
        <w:t xml:space="preserve">. </w:t>
      </w:r>
    </w:p>
    <w:p w14:paraId="366DF041" w14:textId="77777777" w:rsidR="000B3237" w:rsidRPr="00F57F5A" w:rsidRDefault="000B3237" w:rsidP="000B3237">
      <w:pPr>
        <w:pStyle w:val="Textoindependiente"/>
        <w:spacing w:before="120" w:beforeAutospacing="0" w:after="120" w:afterAutospacing="0" w:line="276" w:lineRule="auto"/>
        <w:ind w:firstLine="709"/>
        <w:jc w:val="both"/>
        <w:rPr>
          <w:rFonts w:ascii="Verdana" w:hAnsi="Verdana"/>
          <w:sz w:val="22"/>
          <w:szCs w:val="22"/>
          <w:lang w:val="es-ES"/>
        </w:rPr>
      </w:pPr>
      <w:r w:rsidRPr="00F57F5A">
        <w:rPr>
          <w:rFonts w:ascii="Verdana" w:hAnsi="Verdana"/>
          <w:sz w:val="22"/>
          <w:szCs w:val="22"/>
          <w:lang w:val="es-ES"/>
        </w:rPr>
        <w:lastRenderedPageBreak/>
        <w:t xml:space="preserve">De acuerdo con estas definiciones de los estudios de ingeniería es posible concluir que las Entidades Estatales que pretendan adelantar un proceso de contratación para la construcción de obra pública deberán contar de forma previa a la apertura con los estudios de </w:t>
      </w:r>
      <w:r w:rsidRPr="00F57F5A">
        <w:rPr>
          <w:rFonts w:ascii="Verdana" w:hAnsi="Verdana"/>
          <w:i/>
          <w:iCs/>
          <w:sz w:val="22"/>
          <w:szCs w:val="22"/>
          <w:lang w:val="es-ES"/>
        </w:rPr>
        <w:t>prefactibilidad</w:t>
      </w:r>
      <w:r w:rsidRPr="00F57F5A">
        <w:rPr>
          <w:rFonts w:ascii="Verdana" w:hAnsi="Verdana"/>
          <w:sz w:val="22"/>
          <w:szCs w:val="22"/>
          <w:lang w:val="es-ES"/>
        </w:rPr>
        <w:t xml:space="preserve"> y estudios de </w:t>
      </w:r>
      <w:r w:rsidRPr="00F57F5A">
        <w:rPr>
          <w:rFonts w:ascii="Verdana" w:hAnsi="Verdana"/>
          <w:i/>
          <w:iCs/>
          <w:sz w:val="22"/>
          <w:szCs w:val="22"/>
          <w:lang w:val="es-ES"/>
        </w:rPr>
        <w:t>factibilidad</w:t>
      </w:r>
      <w:r w:rsidRPr="00F57F5A">
        <w:rPr>
          <w:rFonts w:ascii="Verdana" w:hAnsi="Verdana"/>
          <w:sz w:val="22"/>
          <w:szCs w:val="22"/>
          <w:lang w:val="es-ES"/>
        </w:rPr>
        <w:t xml:space="preserve">, porque a través de estos se verifica la </w:t>
      </w:r>
      <w:r w:rsidRPr="00F57F5A">
        <w:rPr>
          <w:rFonts w:ascii="Verdana" w:hAnsi="Verdana"/>
          <w:i/>
          <w:iCs/>
          <w:sz w:val="22"/>
          <w:szCs w:val="22"/>
          <w:lang w:val="es-ES"/>
        </w:rPr>
        <w:t xml:space="preserve">viabilidad </w:t>
      </w:r>
      <w:r w:rsidRPr="00F57F5A">
        <w:rPr>
          <w:rFonts w:ascii="Verdana" w:hAnsi="Verdana"/>
          <w:sz w:val="22"/>
          <w:szCs w:val="22"/>
          <w:lang w:val="es-ES"/>
        </w:rPr>
        <w:t>del</w:t>
      </w:r>
      <w:r w:rsidRPr="00F57F5A">
        <w:rPr>
          <w:rFonts w:ascii="Verdana" w:hAnsi="Verdana"/>
          <w:spacing w:val="-9"/>
          <w:sz w:val="22"/>
          <w:szCs w:val="22"/>
          <w:lang w:val="es-ES"/>
        </w:rPr>
        <w:t xml:space="preserve"> </w:t>
      </w:r>
      <w:r w:rsidRPr="00F57F5A">
        <w:rPr>
          <w:rFonts w:ascii="Verdana" w:hAnsi="Verdana"/>
          <w:sz w:val="22"/>
          <w:szCs w:val="22"/>
          <w:lang w:val="es-ES"/>
        </w:rPr>
        <w:t xml:space="preserve">proyecto, tal como lo requiere el numeral 12 del artículo 25 de la Ley 80 de 1993. </w:t>
      </w:r>
      <w:r>
        <w:rPr>
          <w:rFonts w:ascii="Verdana" w:hAnsi="Verdana"/>
          <w:sz w:val="22"/>
          <w:szCs w:val="22"/>
          <w:lang w:val="es-ES"/>
        </w:rPr>
        <w:t xml:space="preserve">Este será </w:t>
      </w:r>
      <w:r w:rsidRPr="00F57F5A">
        <w:rPr>
          <w:rFonts w:ascii="Verdana" w:hAnsi="Verdana"/>
          <w:sz w:val="22"/>
          <w:szCs w:val="22"/>
          <w:lang w:val="es-ES"/>
        </w:rPr>
        <w:t xml:space="preserve">el objeto </w:t>
      </w:r>
      <w:r>
        <w:rPr>
          <w:rFonts w:ascii="Verdana" w:hAnsi="Verdana"/>
          <w:sz w:val="22"/>
          <w:szCs w:val="22"/>
          <w:lang w:val="es-ES"/>
        </w:rPr>
        <w:t xml:space="preserve">del proceso de consultoría que </w:t>
      </w:r>
      <w:r w:rsidRPr="00F57F5A">
        <w:rPr>
          <w:rFonts w:ascii="Verdana" w:hAnsi="Verdana"/>
          <w:sz w:val="22"/>
          <w:szCs w:val="22"/>
          <w:lang w:val="es-ES"/>
        </w:rPr>
        <w:t>contrate</w:t>
      </w:r>
      <w:r>
        <w:rPr>
          <w:rFonts w:ascii="Verdana" w:hAnsi="Verdana"/>
          <w:sz w:val="22"/>
          <w:szCs w:val="22"/>
          <w:lang w:val="es-ES"/>
        </w:rPr>
        <w:t xml:space="preserve"> la entidad para determinar l</w:t>
      </w:r>
      <w:r w:rsidRPr="00F57F5A">
        <w:rPr>
          <w:rFonts w:ascii="Verdana" w:hAnsi="Verdana"/>
          <w:sz w:val="22"/>
          <w:szCs w:val="22"/>
          <w:lang w:val="es-ES"/>
        </w:rPr>
        <w:t xml:space="preserve">a viabilidad </w:t>
      </w:r>
      <w:r>
        <w:rPr>
          <w:rFonts w:ascii="Verdana" w:hAnsi="Verdana"/>
          <w:sz w:val="22"/>
          <w:szCs w:val="22"/>
          <w:lang w:val="es-ES"/>
        </w:rPr>
        <w:t xml:space="preserve">del proyecto, previo a la contratación de la obra pública. </w:t>
      </w:r>
    </w:p>
    <w:p w14:paraId="32A6D05F" w14:textId="77777777" w:rsidR="000B3237" w:rsidRPr="00F57F5A" w:rsidRDefault="000B3237" w:rsidP="000B3237">
      <w:pPr>
        <w:spacing w:after="0" w:line="276" w:lineRule="auto"/>
        <w:ind w:firstLine="708"/>
        <w:jc w:val="both"/>
        <w:rPr>
          <w:rFonts w:ascii="Verdana" w:hAnsi="Verdana" w:cs="Arial"/>
          <w:lang w:val="es-ES"/>
        </w:rPr>
      </w:pPr>
      <w:r w:rsidRPr="00F57F5A">
        <w:rPr>
          <w:rFonts w:ascii="Verdana" w:hAnsi="Verdana" w:cs="Arial"/>
          <w:bCs/>
          <w:color w:val="000000" w:themeColor="text1"/>
          <w:lang w:val="es-ES"/>
        </w:rPr>
        <w:t>Por otra parte, en el evento en que la Entidad Estatal ya cuente con estudios y diseños para la obra pública, podrá modificarlos o ajustarlos, siempre en cumplimiento del principio de planeación y con el fin de corroborar la “viabilidad</w:t>
      </w:r>
      <w:r w:rsidRPr="00F57F5A">
        <w:rPr>
          <w:rFonts w:ascii="Verdana" w:hAnsi="Verdana" w:cs="Arial"/>
          <w:lang w:val="es-ES"/>
        </w:rPr>
        <w:t xml:space="preserve">” del proyecto. En relación con este supuesto, la Sala de Consulta y Servicio Civil del Consejo de Estado considera sobre este supuesto que: </w:t>
      </w:r>
    </w:p>
    <w:p w14:paraId="44948F6C" w14:textId="77777777" w:rsidR="000B3237" w:rsidRPr="00F57F5A" w:rsidRDefault="000B3237" w:rsidP="000B3237">
      <w:pPr>
        <w:spacing w:after="0" w:line="276" w:lineRule="auto"/>
        <w:ind w:firstLine="708"/>
        <w:jc w:val="both"/>
        <w:rPr>
          <w:rFonts w:ascii="Verdana" w:hAnsi="Verdana" w:cs="Arial"/>
          <w:lang w:val="es-ES"/>
        </w:rPr>
      </w:pPr>
    </w:p>
    <w:p w14:paraId="124F03F2" w14:textId="77777777" w:rsidR="000B3237" w:rsidRPr="00F57F5A" w:rsidRDefault="000B3237" w:rsidP="000B3237">
      <w:pPr>
        <w:spacing w:line="240" w:lineRule="auto"/>
        <w:ind w:left="709" w:right="709"/>
        <w:jc w:val="both"/>
        <w:rPr>
          <w:rFonts w:ascii="Verdana" w:hAnsi="Verdana" w:cs="Arial"/>
          <w:sz w:val="21"/>
          <w:szCs w:val="21"/>
          <w:lang w:val="es-ES"/>
        </w:rPr>
      </w:pPr>
      <w:r w:rsidRPr="00F57F5A">
        <w:rPr>
          <w:rFonts w:ascii="Verdana" w:hAnsi="Verdana" w:cs="Arial"/>
          <w:sz w:val="21"/>
          <w:szCs w:val="21"/>
          <w:lang w:val="es-ES"/>
        </w:rPr>
        <w:t xml:space="preserve">“La contratación, entendida como un instrumento para alcanzar los fines estatales y satisfacer el interés público, </w:t>
      </w:r>
      <w:r w:rsidRPr="00F57F5A">
        <w:rPr>
          <w:rFonts w:ascii="Verdana" w:hAnsi="Verdana" w:cs="Arial"/>
          <w:i/>
          <w:sz w:val="21"/>
          <w:szCs w:val="21"/>
          <w:lang w:val="es-ES"/>
        </w:rPr>
        <w:t>hace que la administración se encuentre facultada para modificar los diseños y estudios previstos inicialmente para la ejecución de una obra pública, cuando éstos adolezcan de errores o sean insuficientes o inadecuados</w:t>
      </w:r>
      <w:r w:rsidRPr="00F57F5A">
        <w:rPr>
          <w:rFonts w:ascii="Verdana" w:hAnsi="Verdana" w:cs="Arial"/>
          <w:b/>
          <w:bCs/>
          <w:sz w:val="21"/>
          <w:szCs w:val="21"/>
          <w:lang w:val="es-ES"/>
        </w:rPr>
        <w:t>,</w:t>
      </w:r>
      <w:r w:rsidRPr="00F57F5A">
        <w:rPr>
          <w:rFonts w:ascii="Verdana" w:hAnsi="Verdana" w:cs="Arial"/>
          <w:sz w:val="21"/>
          <w:szCs w:val="21"/>
          <w:lang w:val="es-ES"/>
        </w:rPr>
        <w:t xml:space="preserve"> independientemente de la responsabilidad que ello pueda</w:t>
      </w:r>
      <w:r w:rsidRPr="00F57F5A">
        <w:rPr>
          <w:rFonts w:ascii="Verdana" w:hAnsi="Verdana" w:cs="Arial"/>
          <w:spacing w:val="-5"/>
          <w:sz w:val="21"/>
          <w:szCs w:val="21"/>
          <w:lang w:val="es-ES"/>
        </w:rPr>
        <w:t xml:space="preserve"> </w:t>
      </w:r>
      <w:r w:rsidRPr="00F57F5A">
        <w:rPr>
          <w:rFonts w:ascii="Verdana" w:hAnsi="Verdana" w:cs="Arial"/>
          <w:sz w:val="21"/>
          <w:szCs w:val="21"/>
          <w:lang w:val="es-ES"/>
        </w:rPr>
        <w:t xml:space="preserve">generar. </w:t>
      </w:r>
    </w:p>
    <w:p w14:paraId="7C5708FE" w14:textId="77777777" w:rsidR="000B3237" w:rsidRPr="00F57F5A" w:rsidRDefault="000B3237" w:rsidP="000B3237">
      <w:pPr>
        <w:spacing w:before="121" w:line="240" w:lineRule="auto"/>
        <w:ind w:left="709" w:right="709"/>
        <w:jc w:val="both"/>
        <w:rPr>
          <w:rFonts w:ascii="Verdana" w:hAnsi="Verdana" w:cs="Arial"/>
          <w:sz w:val="21"/>
          <w:szCs w:val="21"/>
          <w:lang w:val="es-ES"/>
        </w:rPr>
      </w:pPr>
      <w:r w:rsidRPr="00F57F5A">
        <w:rPr>
          <w:rFonts w:ascii="Verdana" w:hAnsi="Verdana" w:cs="Arial"/>
          <w:sz w:val="21"/>
          <w:szCs w:val="21"/>
          <w:lang w:val="es-ES"/>
        </w:rPr>
        <w:t>Por consiguiente, si para alcanzar el objeto contractual se hace necesario corregir errores de diseño o buscar soluciones técnicas alternativas frente a eventos no previstos</w:t>
      </w:r>
      <w:r w:rsidRPr="00F57F5A">
        <w:rPr>
          <w:rFonts w:ascii="Verdana" w:hAnsi="Verdana" w:cs="Arial"/>
          <w:b/>
          <w:sz w:val="21"/>
          <w:szCs w:val="21"/>
          <w:lang w:val="es-ES"/>
        </w:rPr>
        <w:t xml:space="preserve">, </w:t>
      </w:r>
      <w:r w:rsidRPr="00F57F5A">
        <w:rPr>
          <w:rFonts w:ascii="Verdana" w:hAnsi="Verdana" w:cs="Arial"/>
          <w:i/>
          <w:sz w:val="21"/>
          <w:szCs w:val="21"/>
          <w:lang w:val="es-ES"/>
        </w:rPr>
        <w:t xml:space="preserve">la administración está en la posibilidad, y en el deber jurídico, de adecuar los diseños y estudios, así ello implique la ejecución de una mayor cantidad de obra y el desarrollo de obras adicionales al objeto </w:t>
      </w:r>
      <w:r w:rsidRPr="00F57F5A">
        <w:rPr>
          <w:rFonts w:ascii="Verdana" w:hAnsi="Verdana" w:cs="Arial"/>
          <w:sz w:val="21"/>
          <w:szCs w:val="21"/>
          <w:lang w:val="es-ES"/>
        </w:rPr>
        <w:t>contractual</w:t>
      </w:r>
      <w:r>
        <w:rPr>
          <w:rFonts w:ascii="Verdana" w:hAnsi="Verdana" w:cs="Arial"/>
          <w:sz w:val="21"/>
          <w:szCs w:val="21"/>
          <w:lang w:val="es-ES"/>
        </w:rPr>
        <w:t>.</w:t>
      </w:r>
    </w:p>
    <w:p w14:paraId="3200ED50" w14:textId="77777777" w:rsidR="000B3237" w:rsidRPr="00F57F5A" w:rsidRDefault="000B3237" w:rsidP="000B3237">
      <w:pPr>
        <w:spacing w:before="120" w:after="0" w:line="240" w:lineRule="auto"/>
        <w:ind w:left="709" w:right="709"/>
        <w:jc w:val="both"/>
        <w:rPr>
          <w:rFonts w:ascii="Verdana" w:hAnsi="Verdana" w:cs="Arial"/>
          <w:sz w:val="21"/>
          <w:szCs w:val="21"/>
          <w:lang w:val="es-ES"/>
        </w:rPr>
      </w:pPr>
      <w:r w:rsidRPr="00F57F5A">
        <w:rPr>
          <w:rFonts w:ascii="Verdana" w:hAnsi="Verdana" w:cs="Arial"/>
          <w:i/>
          <w:sz w:val="21"/>
          <w:szCs w:val="21"/>
          <w:lang w:val="es-ES"/>
        </w:rPr>
        <w:t xml:space="preserve">De lo anterior resulta claro que es un deber de la administración ordenar las modificaciones necesarias para responder por la buena ejecución </w:t>
      </w:r>
      <w:r w:rsidRPr="00F57F5A">
        <w:rPr>
          <w:rFonts w:ascii="Verdana" w:hAnsi="Verdana" w:cs="Arial"/>
          <w:sz w:val="21"/>
          <w:szCs w:val="21"/>
          <w:lang w:val="es-ES"/>
        </w:rPr>
        <w:t>de los trabajos y el logro del fin perseguido con la contratación; es un imperativo de su gestión, al cual no puede sustraerse so pena de incurrir en responsabilidad por omisión, pues iría en contra de lo previsto en el artículo 3º de la Ley 80 de 1993”</w:t>
      </w:r>
      <w:r w:rsidRPr="00F57F5A">
        <w:rPr>
          <w:rStyle w:val="Refdenotaalpie"/>
          <w:rFonts w:ascii="Verdana" w:hAnsi="Verdana" w:cs="Arial"/>
          <w:sz w:val="21"/>
          <w:szCs w:val="21"/>
          <w:lang w:val="es-ES"/>
        </w:rPr>
        <w:footnoteReference w:id="14"/>
      </w:r>
      <w:r w:rsidRPr="00F57F5A">
        <w:rPr>
          <w:rFonts w:ascii="Verdana" w:hAnsi="Verdana" w:cs="Arial"/>
          <w:sz w:val="21"/>
          <w:szCs w:val="21"/>
          <w:lang w:val="es-ES"/>
        </w:rPr>
        <w:t>. (Énfasis fuera del texto)</w:t>
      </w:r>
    </w:p>
    <w:p w14:paraId="689CE569" w14:textId="77777777" w:rsidR="000B3237" w:rsidRPr="00F57F5A" w:rsidRDefault="000B3237" w:rsidP="000B3237">
      <w:pPr>
        <w:pStyle w:val="Textoindependiente"/>
        <w:spacing w:line="276" w:lineRule="auto"/>
        <w:ind w:firstLine="709"/>
        <w:jc w:val="both"/>
        <w:rPr>
          <w:rFonts w:ascii="Verdana" w:eastAsiaTheme="minorHAnsi" w:hAnsi="Verdana" w:cs="Arial"/>
          <w:bCs/>
          <w:color w:val="000000" w:themeColor="text1"/>
          <w:sz w:val="22"/>
          <w:szCs w:val="22"/>
          <w:lang w:val="es-ES" w:eastAsia="en-US"/>
        </w:rPr>
      </w:pPr>
      <w:r w:rsidRPr="00F57F5A">
        <w:rPr>
          <w:rFonts w:ascii="Verdana" w:eastAsiaTheme="minorHAnsi" w:hAnsi="Verdana" w:cs="Arial"/>
          <w:bCs/>
          <w:color w:val="000000" w:themeColor="text1"/>
          <w:sz w:val="22"/>
          <w:szCs w:val="22"/>
          <w:lang w:val="es-ES" w:eastAsia="en-US"/>
        </w:rPr>
        <w:t xml:space="preserve">Dicho lo anterior, es un deber jurídico de la Entidad Estatal adecuar los diseños y estudios, con el fin de procurar que la ejecución de la obra cumpla con </w:t>
      </w:r>
      <w:r w:rsidRPr="00F57F5A">
        <w:rPr>
          <w:rFonts w:ascii="Verdana" w:eastAsiaTheme="minorHAnsi" w:hAnsi="Verdana" w:cs="Arial"/>
          <w:bCs/>
          <w:color w:val="000000" w:themeColor="text1"/>
          <w:sz w:val="22"/>
          <w:szCs w:val="22"/>
          <w:lang w:val="es-ES" w:eastAsia="en-US"/>
        </w:rPr>
        <w:lastRenderedPageBreak/>
        <w:t>las finalidades previstas. En este sentido, el alcance del objeto del contrato de obra pública permitiría que una de las obligaciones del contratista sea ajustar, revisar y/o modificar los estudios con que cuenta la entidad contratante. En el mismo sentido, la doctrina considera lo siguiente:</w:t>
      </w:r>
    </w:p>
    <w:p w14:paraId="6619D4B2" w14:textId="77777777" w:rsidR="000B3237" w:rsidRPr="00F57F5A" w:rsidRDefault="000B3237" w:rsidP="000B3237">
      <w:pPr>
        <w:spacing w:after="0" w:line="240" w:lineRule="auto"/>
        <w:ind w:left="709" w:right="709"/>
        <w:jc w:val="both"/>
        <w:rPr>
          <w:rFonts w:ascii="Verdana" w:hAnsi="Verdana" w:cs="Arial"/>
          <w:sz w:val="21"/>
          <w:szCs w:val="21"/>
        </w:rPr>
      </w:pPr>
      <w:r w:rsidRPr="5B12E9D8">
        <w:rPr>
          <w:rFonts w:ascii="Verdana" w:hAnsi="Verdana" w:cs="Arial"/>
          <w:sz w:val="21"/>
          <w:szCs w:val="21"/>
        </w:rPr>
        <w:t xml:space="preserve">“A menos de que el contrato se ordene, el constructor no está obligado a revisar ni a completar los diseños constitutivos del proyecto, porque el diseño y la construcción son actividades especializadas. </w:t>
      </w:r>
      <w:r w:rsidRPr="5B12E9D8">
        <w:rPr>
          <w:rFonts w:ascii="Verdana" w:hAnsi="Verdana" w:cs="Arial"/>
          <w:i/>
          <w:sz w:val="21"/>
          <w:szCs w:val="21"/>
        </w:rPr>
        <w:t xml:space="preserve">Pero en ocasiones el constructor es llamado a verificar y al complementar los diseños, e incluso adoptarlos como suyos. Entonces el dueño le traslada verdaderas obligaciones profesionales tocantes con la concepción misma del proyecto cuya ejecución le ha confiado </w:t>
      </w:r>
      <w:r w:rsidRPr="5B12E9D8">
        <w:rPr>
          <w:rFonts w:ascii="Verdana" w:hAnsi="Verdana" w:cs="Arial"/>
          <w:sz w:val="21"/>
          <w:szCs w:val="21"/>
        </w:rPr>
        <w:t>[…]”</w:t>
      </w:r>
      <w:r w:rsidRPr="5B12E9D8">
        <w:rPr>
          <w:rStyle w:val="Refdenotaalpie"/>
          <w:rFonts w:ascii="Verdana" w:hAnsi="Verdana" w:cs="Arial"/>
          <w:sz w:val="21"/>
          <w:szCs w:val="21"/>
        </w:rPr>
        <w:footnoteReference w:id="15"/>
      </w:r>
      <w:r w:rsidRPr="5B12E9D8">
        <w:rPr>
          <w:rFonts w:ascii="Verdana" w:hAnsi="Verdana" w:cs="Arial"/>
          <w:sz w:val="21"/>
          <w:szCs w:val="21"/>
        </w:rPr>
        <w:t>. (Énfasis fuera de</w:t>
      </w:r>
      <w:r w:rsidRPr="5B12E9D8">
        <w:rPr>
          <w:rFonts w:ascii="Verdana" w:hAnsi="Verdana" w:cs="Arial"/>
          <w:spacing w:val="-10"/>
          <w:sz w:val="21"/>
          <w:szCs w:val="21"/>
        </w:rPr>
        <w:t xml:space="preserve"> </w:t>
      </w:r>
      <w:r w:rsidRPr="5B12E9D8">
        <w:rPr>
          <w:rFonts w:ascii="Verdana" w:hAnsi="Verdana" w:cs="Arial"/>
          <w:sz w:val="21"/>
          <w:szCs w:val="21"/>
        </w:rPr>
        <w:t>texto)</w:t>
      </w:r>
    </w:p>
    <w:p w14:paraId="08018B8E" w14:textId="77777777" w:rsidR="000B3237" w:rsidRPr="00F57F5A" w:rsidRDefault="000B3237" w:rsidP="000B3237">
      <w:pPr>
        <w:tabs>
          <w:tab w:val="left" w:pos="426"/>
        </w:tabs>
        <w:spacing w:after="0" w:line="276" w:lineRule="auto"/>
        <w:jc w:val="both"/>
        <w:rPr>
          <w:rFonts w:ascii="Verdana" w:hAnsi="Verdana" w:cs="Arial"/>
          <w:b/>
          <w:bCs/>
          <w:lang w:val="es-ES"/>
        </w:rPr>
      </w:pPr>
    </w:p>
    <w:p w14:paraId="3E5386BA" w14:textId="77777777" w:rsidR="000B3237" w:rsidRPr="00D414BA" w:rsidRDefault="000B3237" w:rsidP="000B3237">
      <w:pPr>
        <w:spacing w:after="120" w:line="276" w:lineRule="auto"/>
        <w:ind w:firstLine="707"/>
        <w:jc w:val="both"/>
        <w:rPr>
          <w:rFonts w:ascii="Verdana" w:hAnsi="Verdana" w:cs="Arial"/>
          <w:bCs/>
          <w:color w:val="000000" w:themeColor="text1"/>
          <w:lang w:val="es-ES"/>
        </w:rPr>
      </w:pPr>
      <w:r w:rsidRPr="00F57F5A">
        <w:rPr>
          <w:rFonts w:ascii="Verdana" w:hAnsi="Verdana" w:cs="Arial"/>
          <w:bCs/>
          <w:color w:val="000000" w:themeColor="text1"/>
          <w:lang w:val="es-ES"/>
        </w:rPr>
        <w:t xml:space="preserve">Cuando la entidad pretenda incluir en el contrato de obra actividades relacionadas con los estudios y diseños podrá </w:t>
      </w:r>
      <w:r>
        <w:rPr>
          <w:rFonts w:ascii="Verdana" w:hAnsi="Verdana" w:cs="Arial"/>
          <w:bCs/>
          <w:color w:val="000000" w:themeColor="text1"/>
          <w:lang w:val="es-ES"/>
        </w:rPr>
        <w:t>emplear</w:t>
      </w:r>
      <w:r w:rsidRPr="00F57F5A">
        <w:rPr>
          <w:rFonts w:ascii="Verdana" w:hAnsi="Verdana" w:cs="Arial"/>
          <w:bCs/>
          <w:color w:val="000000" w:themeColor="text1"/>
          <w:lang w:val="es-ES"/>
        </w:rPr>
        <w:t xml:space="preserve"> la tipología contractual denominada “llave en mano”. En efecto, según la Guía de Obra Pública de esta Agencia, en esta tipología contractual “</w:t>
      </w:r>
      <w:bookmarkStart w:id="7" w:name="_Hlk69292474"/>
      <w:r w:rsidRPr="00F57F5A">
        <w:rPr>
          <w:rFonts w:ascii="Verdana" w:hAnsi="Verdana" w:cs="Arial"/>
          <w:bCs/>
          <w:color w:val="000000" w:themeColor="text1"/>
          <w:lang w:val="es-ES"/>
        </w:rPr>
        <w:t>el contratista se compromete a realizar todas las labores relacionadas con la obra incluyendo los diseños, estudios de factibilidad, construcción, contratación del personal, instalaciones y suministros y la contraprestación a cargo del contratista es la obra terminada y en funcionamiento</w:t>
      </w:r>
      <w:bookmarkEnd w:id="7"/>
      <w:r w:rsidRPr="00F57F5A">
        <w:rPr>
          <w:rFonts w:ascii="Verdana" w:eastAsia="Calibri" w:hAnsi="Verdana" w:cs="Arial"/>
          <w:color w:val="000000" w:themeColor="text1"/>
          <w:lang w:val="es-ES"/>
        </w:rPr>
        <w:t>”</w:t>
      </w:r>
      <w:r w:rsidRPr="00F57F5A">
        <w:rPr>
          <w:rStyle w:val="Refdenotaalpie"/>
          <w:rFonts w:ascii="Verdana" w:eastAsia="Calibri" w:hAnsi="Verdana" w:cs="Arial"/>
          <w:color w:val="000000" w:themeColor="text1"/>
          <w:lang w:val="es-ES"/>
        </w:rPr>
        <w:footnoteReference w:id="16"/>
      </w:r>
      <w:r w:rsidRPr="00F57F5A">
        <w:rPr>
          <w:rFonts w:ascii="Verdana" w:eastAsia="Calibri" w:hAnsi="Verdana" w:cs="Arial"/>
          <w:color w:val="000000" w:themeColor="text1"/>
          <w:lang w:val="es-ES"/>
        </w:rPr>
        <w:t>.</w:t>
      </w:r>
      <w:r w:rsidRPr="00F57F5A">
        <w:rPr>
          <w:rFonts w:ascii="Verdana" w:hAnsi="Verdana"/>
          <w:lang w:val="es-ES"/>
        </w:rPr>
        <w:t xml:space="preserve"> </w:t>
      </w:r>
      <w:r w:rsidRPr="00F57F5A">
        <w:rPr>
          <w:rFonts w:ascii="Verdana" w:hAnsi="Verdana" w:cs="Arial"/>
          <w:lang w:val="es-ES"/>
        </w:rPr>
        <w:t>De este modo, resulta claro que el contrato “llave en mano” es un sistema de contratación para construcción de obras, en el que el contratista se compromete a ejecutar la totalidad de prestaciones, incluyendo estudios previos, diseños, suministro de equipos, ejecución de la obra en condiciones tales que, al finalizar la labor, permita a la entidad contratante la puesta en marcha de obra en el momento en que se efectúe su</w:t>
      </w:r>
      <w:r w:rsidRPr="00F57F5A">
        <w:rPr>
          <w:rFonts w:ascii="Verdana" w:hAnsi="Verdana" w:cs="Arial"/>
          <w:spacing w:val="-16"/>
          <w:lang w:val="es-ES"/>
        </w:rPr>
        <w:t xml:space="preserve"> </w:t>
      </w:r>
      <w:r w:rsidRPr="00F57F5A">
        <w:rPr>
          <w:rFonts w:ascii="Verdana" w:hAnsi="Verdana" w:cs="Arial"/>
          <w:lang w:val="es-ES"/>
        </w:rPr>
        <w:t xml:space="preserve">entrega. </w:t>
      </w:r>
    </w:p>
    <w:p w14:paraId="256453A1" w14:textId="77777777" w:rsidR="000B3237" w:rsidRPr="00F57F5A" w:rsidRDefault="000B3237" w:rsidP="000B3237">
      <w:pPr>
        <w:spacing w:after="120" w:line="276" w:lineRule="auto"/>
        <w:ind w:firstLine="707"/>
        <w:jc w:val="both"/>
        <w:rPr>
          <w:rFonts w:ascii="Verdana" w:hAnsi="Verdana"/>
          <w:lang w:val="es-ES"/>
        </w:rPr>
      </w:pPr>
      <w:r w:rsidRPr="00F57F5A">
        <w:rPr>
          <w:rFonts w:ascii="Verdana" w:hAnsi="Verdana"/>
          <w:lang w:val="es-ES"/>
        </w:rPr>
        <w:t xml:space="preserve">Por lo tanto, el contrato de obra de llave en mano no se agota en la labor constructiva típica, pues incluye tanto la elaboración de los diseños como la puesta en funcionamiento de la obra contratada, lo que justifica una contraprestación a precio global y alzado. En esta forma de contratación, la obra “[…] debe estar provista de todo lo que fuere necesario, según las normas </w:t>
      </w:r>
      <w:r w:rsidRPr="00F57F5A">
        <w:rPr>
          <w:rFonts w:ascii="Verdana" w:hAnsi="Verdana"/>
          <w:lang w:val="es-ES"/>
        </w:rPr>
        <w:lastRenderedPageBreak/>
        <w:t>técnicas aplicables, para operar en condiciones de eficiencia y seguridad […]”</w:t>
      </w:r>
      <w:r w:rsidRPr="00F57F5A">
        <w:rPr>
          <w:rStyle w:val="Refdenotaalpie"/>
          <w:rFonts w:ascii="Verdana" w:hAnsi="Verdana"/>
          <w:lang w:val="es-ES"/>
        </w:rPr>
        <w:footnoteReference w:id="17"/>
      </w:r>
      <w:r w:rsidRPr="00F57F5A">
        <w:rPr>
          <w:rFonts w:ascii="Verdana" w:hAnsi="Verdana"/>
          <w:lang w:val="es-ES"/>
        </w:rPr>
        <w:t>. Además, “[…] El contrato llave en mano incluye el diseño básico y de detalle, la construcción, la adquisición e instalación de los equipos y sistemas necesarios, la transferencia al propietario de tecnología, las pruebas de funcionamiento previas a la recepción y, en algunos casos, el entrenamiento del personal del comitente y la puesta en marcha comercial […]”</w:t>
      </w:r>
      <w:r w:rsidRPr="00F57F5A">
        <w:rPr>
          <w:rStyle w:val="Refdenotaalpie"/>
          <w:rFonts w:ascii="Verdana" w:hAnsi="Verdana"/>
          <w:lang w:val="es-ES"/>
        </w:rPr>
        <w:footnoteReference w:id="18"/>
      </w:r>
      <w:r w:rsidRPr="00F57F5A">
        <w:rPr>
          <w:rFonts w:ascii="Verdana" w:hAnsi="Verdana"/>
          <w:lang w:val="es-ES"/>
        </w:rPr>
        <w:t xml:space="preserve">. Estas características especiales del contrato son una solución eficaz para reducir costos y plazos de transacción en la licitación de obras, ya que en un solo proceso se lleva a cabo la licitación del diseño de las obras y su construcción, responsabilizando al contratante de la planeación de la obra y reduciendo los riesgos asociados con “errores de diseño” que son una causa normal de sobrecostos. </w:t>
      </w:r>
    </w:p>
    <w:p w14:paraId="14E91AF6" w14:textId="77777777" w:rsidR="000B3237" w:rsidRPr="00F57F5A" w:rsidRDefault="000B3237" w:rsidP="000B3237">
      <w:pPr>
        <w:spacing w:after="120" w:line="276" w:lineRule="auto"/>
        <w:ind w:firstLine="707"/>
        <w:jc w:val="both"/>
        <w:rPr>
          <w:rFonts w:ascii="Verdana" w:hAnsi="Verdana"/>
          <w:lang w:val="es-ES"/>
        </w:rPr>
      </w:pPr>
      <w:r w:rsidRPr="00F57F5A">
        <w:rPr>
          <w:rFonts w:ascii="Verdana" w:hAnsi="Verdana"/>
          <w:lang w:val="es-ES"/>
        </w:rPr>
        <w:t>Conforme al alcance normativo del objeto del contrato de obra, en dicha tipología contractual es posible establecer cláusulas para realización de los diseños. De lo anterior se desprende que la entidad pública contratante, en ejercicio de su discrecionalidad, también puede contratar los diseños mediante un contrato de consultoría que sea resultado de un concurso de méritos, pues dicha actividad se enmarca en el alcance del artículo 32.2 de la Ley 80 de 1993. De esta manera, “[…] si la necesidad […] es ‘diseñar y construir’, la misma se satisface contratando ambas cosas. Si por el contrario es solo ‘diseñar’, se entiende contratado únicamente el diseño. Por lo dicho, los ‘diseños’ que se requieren previamente son los proporcionales a la necesidad a satisfacer”</w:t>
      </w:r>
      <w:r w:rsidRPr="00F57F5A">
        <w:rPr>
          <w:rStyle w:val="Refdenotaalpie"/>
          <w:rFonts w:ascii="Verdana" w:hAnsi="Verdana"/>
          <w:lang w:val="es-ES"/>
        </w:rPr>
        <w:footnoteReference w:id="19"/>
      </w:r>
      <w:r w:rsidRPr="00F57F5A">
        <w:rPr>
          <w:rFonts w:ascii="Verdana" w:hAnsi="Verdana"/>
          <w:lang w:val="es-ES"/>
        </w:rPr>
        <w:t xml:space="preserve">. </w:t>
      </w:r>
    </w:p>
    <w:p w14:paraId="4DBC102E" w14:textId="77777777" w:rsidR="000B3237" w:rsidRDefault="000B3237" w:rsidP="000B3237">
      <w:pPr>
        <w:spacing w:after="0" w:line="276" w:lineRule="auto"/>
        <w:ind w:firstLine="707"/>
        <w:jc w:val="both"/>
        <w:rPr>
          <w:rFonts w:ascii="Verdana" w:hAnsi="Verdana"/>
          <w:lang w:val="es-ES"/>
        </w:rPr>
      </w:pPr>
      <w:r w:rsidRPr="00F57F5A">
        <w:rPr>
          <w:rFonts w:ascii="Verdana" w:hAnsi="Verdana"/>
          <w:lang w:val="es-ES"/>
        </w:rPr>
        <w:t xml:space="preserve">Según lo expuesto, el objeto de los contratos de consultoría para la realización de los estudios y diseños tiene un alcance distinto al de la obra pública que contrate la entidad una vez ha determinado la viabilidad del proyecto. Lo anterior implica que la labor de planeación en ambos casos debe responder a esta diferencia con el fin de que la entidad pueda identificar de manera apropiada su necesidad y la forma para satisfacerla. Por ejemplo, la estimación de los riesgos que realice la entidad en la fase de planeación del proceso de obra pública se diferencia de la consultoría de estudios y diseños en que debe considerar aspectos como: el monto y oportunidad de la obra y las eventuales variaciones por cantidades de obra, plazo y precios; aspectos geológicos; interferencia y presencia de redes de servicios públicos domiciliarios; costos de operación y mantenimiento mayores a los proyectados o falta de </w:t>
      </w:r>
      <w:r w:rsidRPr="00F57F5A">
        <w:rPr>
          <w:rFonts w:ascii="Verdana" w:hAnsi="Verdana"/>
          <w:lang w:val="es-ES"/>
        </w:rPr>
        <w:lastRenderedPageBreak/>
        <w:t xml:space="preserve">disponibilidad de la obra para efectos de mantenimiento; la financiación del contratista y variación de condiciones financieras durante el plazo de ejecución de la obra; cambios regulatorios o tributarios que pueden afectar la obra: la definición, costo y disponibilidad oportuna de los predios; así como las licencias ambientales, urbanísticas, consultas previas, y otros permisos necesarios para el proyecto. De este modo la entidad deberá adelantar en cada proceso una planeación adecuada con respecto al objeto del procedimiento de contratación en concreto. </w:t>
      </w:r>
    </w:p>
    <w:p w14:paraId="42C5931F" w14:textId="77777777" w:rsidR="000B3237" w:rsidRPr="00F57F5A" w:rsidRDefault="000B3237" w:rsidP="000B3237">
      <w:pPr>
        <w:spacing w:after="0" w:line="276" w:lineRule="auto"/>
        <w:ind w:firstLine="707"/>
        <w:jc w:val="both"/>
        <w:rPr>
          <w:rFonts w:ascii="Verdana" w:hAnsi="Verdana"/>
          <w:lang w:val="es-ES"/>
        </w:rPr>
      </w:pPr>
    </w:p>
    <w:p w14:paraId="30A9E102" w14:textId="77777777" w:rsidR="000B3237" w:rsidRPr="008415A2" w:rsidRDefault="000B3237" w:rsidP="000B3237">
      <w:pPr>
        <w:spacing w:after="120" w:line="276" w:lineRule="auto"/>
        <w:ind w:firstLine="708"/>
        <w:jc w:val="both"/>
        <w:rPr>
          <w:rFonts w:ascii="Verdana" w:hAnsi="Verdana"/>
        </w:rPr>
      </w:pPr>
      <w:r w:rsidRPr="00E853DE">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w:t>
      </w:r>
      <w:r>
        <w:rPr>
          <w:rFonts w:ascii="Verdana" w:eastAsia="Calibri" w:hAnsi="Verdana" w:cs="Arial"/>
          <w:bCs/>
          <w:color w:val="000000" w:themeColor="text1"/>
        </w:rPr>
        <w:t xml:space="preserve">en </w:t>
      </w:r>
      <w:r w:rsidRPr="00E853DE">
        <w:rPr>
          <w:rFonts w:ascii="Verdana" w:eastAsia="Calibri" w:hAnsi="Verdana" w:cs="Arial"/>
          <w:bCs/>
          <w:color w:val="000000" w:themeColor="text1"/>
        </w:rPr>
        <w:t>adoptar la decisión correspondiente y, en caso de conflicto, a las autoridades judiciales, fiscales y disciplinarias.</w:t>
      </w:r>
    </w:p>
    <w:p w14:paraId="0029CDEA" w14:textId="77777777" w:rsidR="000B3237" w:rsidRPr="000172FA" w:rsidRDefault="000B3237" w:rsidP="000B3237">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w:t>
      </w:r>
      <w:r>
        <w:rPr>
          <w:rFonts w:ascii="Verdana" w:eastAsia="Calibri" w:hAnsi="Verdana" w:cs="Arial"/>
          <w:bCs/>
          <w:color w:val="000000" w:themeColor="text1"/>
        </w:rPr>
        <w:t xml:space="preserve"> </w:t>
      </w:r>
      <w:r w:rsidRPr="00E853DE">
        <w:rPr>
          <w:rFonts w:ascii="Verdana" w:eastAsia="Calibri" w:hAnsi="Verdana" w:cs="Arial"/>
          <w:bCs/>
          <w:color w:val="000000" w:themeColor="text1"/>
        </w:rPr>
        <w:t>sin que sea atribución de Colombia Compra Eficiente validar sus actuaciones.</w:t>
      </w:r>
      <w:r w:rsidRPr="00185EE9">
        <w:rPr>
          <w:rFonts w:ascii="Verdana" w:eastAsia="Calibri" w:hAnsi="Verdana" w:cs="Arial"/>
          <w:bCs/>
          <w:color w:val="000000" w:themeColor="text1"/>
        </w:rPr>
        <w:t xml:space="preserve"> </w:t>
      </w:r>
    </w:p>
    <w:p w14:paraId="5ECD48B9" w14:textId="77777777" w:rsidR="000B3237" w:rsidRPr="00F57F5A" w:rsidRDefault="000B3237" w:rsidP="000B3237">
      <w:pPr>
        <w:spacing w:before="120" w:after="0" w:line="276" w:lineRule="auto"/>
        <w:jc w:val="both"/>
        <w:rPr>
          <w:rFonts w:ascii="Verdana" w:eastAsia="Calibri" w:hAnsi="Verdana" w:cs="Arial"/>
          <w:bCs/>
          <w:color w:val="000000"/>
          <w:lang w:val="es-ES"/>
        </w:rPr>
      </w:pPr>
    </w:p>
    <w:p w14:paraId="046BBC53" w14:textId="77777777" w:rsidR="000B3237" w:rsidRPr="00F57F5A" w:rsidRDefault="000B3237" w:rsidP="000B323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F57F5A">
        <w:rPr>
          <w:rFonts w:ascii="Verdana" w:eastAsia="Century Gothic" w:hAnsi="Verdana" w:cs="Century Gothic"/>
          <w:b/>
          <w:bCs/>
          <w:color w:val="000000" w:themeColor="text1"/>
        </w:rPr>
        <w:t>Referencias normativas, jurisprudenciales y otras fuentes:</w:t>
      </w:r>
    </w:p>
    <w:p w14:paraId="34247938" w14:textId="77777777" w:rsidR="000B3237" w:rsidRPr="00F57F5A" w:rsidRDefault="000B3237" w:rsidP="000B3237">
      <w:pPr>
        <w:pStyle w:val="Prrafodelista"/>
        <w:tabs>
          <w:tab w:val="left" w:pos="142"/>
          <w:tab w:val="left" w:pos="284"/>
        </w:tabs>
        <w:spacing w:after="0" w:line="276" w:lineRule="auto"/>
        <w:ind w:left="0"/>
        <w:jc w:val="both"/>
        <w:rPr>
          <w:rFonts w:ascii="Verdana" w:eastAsia="Century Gothic" w:hAnsi="Verdana" w:cs="Century Gothic"/>
          <w:b/>
          <w:bCs/>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B3237" w:rsidRPr="00F57F5A" w14:paraId="46E766F8" w14:textId="77777777" w:rsidTr="001E4D43">
        <w:trPr>
          <w:trHeight w:val="870"/>
        </w:trPr>
        <w:tc>
          <w:tcPr>
            <w:tcW w:w="8647" w:type="dxa"/>
          </w:tcPr>
          <w:p w14:paraId="764B349A" w14:textId="77777777" w:rsidR="000B3237" w:rsidRDefault="000B3237" w:rsidP="001E4D43">
            <w:pPr>
              <w:pStyle w:val="Prrafodelista"/>
              <w:widowControl w:val="0"/>
              <w:numPr>
                <w:ilvl w:val="0"/>
                <w:numId w:val="17"/>
              </w:numPr>
              <w:autoSpaceDE w:val="0"/>
              <w:autoSpaceDN w:val="0"/>
              <w:spacing w:before="120" w:line="276" w:lineRule="auto"/>
              <w:contextualSpacing w:val="0"/>
              <w:jc w:val="both"/>
              <w:rPr>
                <w:rFonts w:ascii="Verdana" w:hAnsi="Verdana" w:cs="Arial"/>
                <w:color w:val="000000" w:themeColor="text1"/>
              </w:rPr>
            </w:pPr>
            <w:r>
              <w:rPr>
                <w:rFonts w:ascii="Verdana" w:hAnsi="Verdana" w:cs="Arial"/>
                <w:color w:val="000000" w:themeColor="text1"/>
              </w:rPr>
              <w:t>Ley 80 de 1993, artículos 3, 25, 32, 44, 46</w:t>
            </w:r>
          </w:p>
          <w:p w14:paraId="3E2E014A" w14:textId="77777777" w:rsidR="000B3237" w:rsidRDefault="000B3237" w:rsidP="001E4D43">
            <w:pPr>
              <w:pStyle w:val="Prrafodelista"/>
              <w:widowControl w:val="0"/>
              <w:numPr>
                <w:ilvl w:val="0"/>
                <w:numId w:val="17"/>
              </w:numPr>
              <w:autoSpaceDE w:val="0"/>
              <w:autoSpaceDN w:val="0"/>
              <w:spacing w:before="120" w:line="276" w:lineRule="auto"/>
              <w:contextualSpacing w:val="0"/>
              <w:jc w:val="both"/>
              <w:rPr>
                <w:rFonts w:ascii="Verdana" w:hAnsi="Verdana" w:cs="Arial"/>
                <w:color w:val="000000" w:themeColor="text1"/>
              </w:rPr>
            </w:pPr>
            <w:r w:rsidRPr="00F57F5A">
              <w:rPr>
                <w:rFonts w:ascii="Verdana" w:hAnsi="Verdana"/>
              </w:rPr>
              <w:t>Ley 1862 de 2013</w:t>
            </w:r>
            <w:r>
              <w:rPr>
                <w:rFonts w:ascii="Verdana" w:hAnsi="Verdana"/>
              </w:rPr>
              <w:t>, artículo 12.</w:t>
            </w:r>
          </w:p>
          <w:p w14:paraId="05F44BC7" w14:textId="77777777" w:rsidR="000B3237" w:rsidRPr="008145BE" w:rsidRDefault="000B3237" w:rsidP="001E4D43">
            <w:pPr>
              <w:pStyle w:val="Prrafodelista"/>
              <w:widowControl w:val="0"/>
              <w:numPr>
                <w:ilvl w:val="0"/>
                <w:numId w:val="17"/>
              </w:numPr>
              <w:autoSpaceDE w:val="0"/>
              <w:autoSpaceDN w:val="0"/>
              <w:spacing w:before="120" w:line="276" w:lineRule="auto"/>
              <w:contextualSpacing w:val="0"/>
              <w:jc w:val="both"/>
              <w:rPr>
                <w:rFonts w:ascii="Verdana" w:hAnsi="Verdana" w:cs="Arial"/>
                <w:color w:val="000000" w:themeColor="text1"/>
              </w:rPr>
            </w:pPr>
            <w:r>
              <w:rPr>
                <w:rFonts w:ascii="Verdana" w:hAnsi="Verdana" w:cs="Arial"/>
                <w:color w:val="000000" w:themeColor="text1"/>
              </w:rPr>
              <w:t xml:space="preserve">Decreto 1082 de 2015, artículo </w:t>
            </w:r>
            <w:r w:rsidRPr="00F57F5A">
              <w:rPr>
                <w:rFonts w:ascii="Verdana" w:eastAsia="Calibri" w:hAnsi="Verdana" w:cs="Arial"/>
                <w:bCs/>
                <w:color w:val="000000"/>
              </w:rPr>
              <w:t>2.2.1.2.1.5.1.</w:t>
            </w:r>
            <w:r>
              <w:rPr>
                <w:rFonts w:ascii="Verdana" w:eastAsia="Calibri" w:hAnsi="Verdana" w:cs="Arial"/>
                <w:bCs/>
                <w:color w:val="000000"/>
              </w:rPr>
              <w:t xml:space="preserve"> y </w:t>
            </w:r>
            <w:r w:rsidRPr="00F57F5A">
              <w:rPr>
                <w:rFonts w:ascii="Verdana" w:hAnsi="Verdana"/>
              </w:rPr>
              <w:t>2.2.1.1.2.1.1</w:t>
            </w:r>
            <w:r>
              <w:rPr>
                <w:rFonts w:ascii="Verdana" w:hAnsi="Verdana"/>
              </w:rPr>
              <w:t>.</w:t>
            </w:r>
          </w:p>
          <w:p w14:paraId="080BC73F" w14:textId="77777777" w:rsidR="000B3237" w:rsidRPr="004B29AD" w:rsidRDefault="000B3237" w:rsidP="001E4D43">
            <w:pPr>
              <w:pStyle w:val="Prrafodelista"/>
              <w:widowControl w:val="0"/>
              <w:numPr>
                <w:ilvl w:val="0"/>
                <w:numId w:val="17"/>
              </w:numPr>
              <w:autoSpaceDE w:val="0"/>
              <w:autoSpaceDN w:val="0"/>
              <w:spacing w:before="120" w:line="276" w:lineRule="auto"/>
              <w:contextualSpacing w:val="0"/>
              <w:jc w:val="both"/>
              <w:rPr>
                <w:rFonts w:ascii="Verdana" w:hAnsi="Verdana" w:cs="Arial"/>
                <w:color w:val="000000" w:themeColor="text1"/>
              </w:rPr>
            </w:pPr>
            <w:r w:rsidRPr="00F57F5A">
              <w:rPr>
                <w:rFonts w:ascii="Verdana" w:eastAsia="Calibri" w:hAnsi="Verdana" w:cs="Arial"/>
                <w:color w:val="000000" w:themeColor="text1"/>
              </w:rPr>
              <w:lastRenderedPageBreak/>
              <w:t>Ley 1150 de 2007</w:t>
            </w:r>
            <w:r w:rsidRPr="00F57F5A">
              <w:rPr>
                <w:rFonts w:ascii="Verdana" w:hAnsi="Verdana" w:cs="Arial"/>
                <w:color w:val="000000" w:themeColor="text1"/>
              </w:rPr>
              <w:t xml:space="preserve"> </w:t>
            </w:r>
            <w:r w:rsidRPr="00F57F5A">
              <w:rPr>
                <w:rFonts w:ascii="Verdana" w:eastAsia="Calibri" w:hAnsi="Verdana" w:cs="Arial"/>
                <w:color w:val="000000" w:themeColor="text1"/>
              </w:rPr>
              <w:t>–</w:t>
            </w:r>
            <w:r w:rsidRPr="00F57F5A">
              <w:rPr>
                <w:rFonts w:ascii="Verdana" w:hAnsi="Verdana" w:cs="Arial"/>
                <w:color w:val="000000" w:themeColor="text1"/>
              </w:rPr>
              <w:t xml:space="preserve"> A</w:t>
            </w:r>
            <w:r w:rsidRPr="00F57F5A">
              <w:rPr>
                <w:rFonts w:ascii="Verdana" w:eastAsia="Calibri" w:hAnsi="Verdana" w:cs="Arial"/>
                <w:color w:val="000000" w:themeColor="text1"/>
              </w:rPr>
              <w:t>rtículo 2 numeral 2.</w:t>
            </w:r>
          </w:p>
        </w:tc>
      </w:tr>
    </w:tbl>
    <w:p w14:paraId="366622F1" w14:textId="77777777" w:rsidR="000B3237" w:rsidRPr="00F57F5A" w:rsidRDefault="000B3237" w:rsidP="000B3237">
      <w:pPr>
        <w:widowControl w:val="0"/>
        <w:autoSpaceDE w:val="0"/>
        <w:autoSpaceDN w:val="0"/>
        <w:spacing w:after="0" w:line="276" w:lineRule="auto"/>
        <w:jc w:val="both"/>
        <w:rPr>
          <w:rFonts w:ascii="Verdana" w:hAnsi="Verdana" w:cs="Arial"/>
          <w:color w:val="000000" w:themeColor="text1"/>
          <w:lang w:val="es-ES"/>
        </w:rPr>
      </w:pPr>
    </w:p>
    <w:p w14:paraId="07575225" w14:textId="77777777" w:rsidR="000B3237" w:rsidRPr="00F57F5A" w:rsidRDefault="000B3237" w:rsidP="000B323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57F5A">
        <w:rPr>
          <w:rFonts w:ascii="Verdana" w:eastAsia="Century Gothic" w:hAnsi="Verdana" w:cs="Century Gothic"/>
          <w:b/>
          <w:bCs/>
          <w:color w:val="000000" w:themeColor="text1"/>
        </w:rPr>
        <w:t>Doctrina de la Agencia Nacional de Contratación Pública:</w:t>
      </w:r>
    </w:p>
    <w:p w14:paraId="3BF6F9B5" w14:textId="77777777" w:rsidR="000B3237" w:rsidRPr="00F57F5A" w:rsidRDefault="000B3237" w:rsidP="000B3237">
      <w:pPr>
        <w:widowControl w:val="0"/>
        <w:autoSpaceDE w:val="0"/>
        <w:autoSpaceDN w:val="0"/>
        <w:spacing w:after="0" w:line="276" w:lineRule="auto"/>
        <w:jc w:val="both"/>
        <w:rPr>
          <w:rFonts w:ascii="Verdana" w:hAnsi="Verdana" w:cs="Arial"/>
          <w:color w:val="000000" w:themeColor="text1"/>
          <w:lang w:val="es-ES"/>
        </w:rPr>
      </w:pPr>
    </w:p>
    <w:p w14:paraId="0CD66B4D" w14:textId="77777777" w:rsidR="000B3237" w:rsidRPr="00F57F5A" w:rsidRDefault="000B3237" w:rsidP="000B3237">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F57F5A">
        <w:rPr>
          <w:rStyle w:val="normaltextrun"/>
          <w:rFonts w:ascii="Verdana" w:hAnsi="Verdana" w:cs="Arial"/>
          <w:color w:val="000000" w:themeColor="text1"/>
          <w:shd w:val="clear" w:color="auto" w:fill="FFFFFF"/>
          <w:lang w:val="es-ES"/>
        </w:rPr>
        <w:t xml:space="preserve">La Agencia Nacional de Contratación Pública – Colombia Compra Eficiente </w:t>
      </w:r>
      <w:r w:rsidRPr="00F57F5A">
        <w:rPr>
          <w:rFonts w:ascii="Verdana" w:hAnsi="Verdana" w:cs="Arial"/>
          <w:shd w:val="clear" w:color="auto" w:fill="FFFFFF"/>
          <w:lang w:val="es-ES"/>
        </w:rPr>
        <w:t>se ha pronunciado sobre el objeto y las características del contrato de obra pública en los Conceptos 4201913000008014 del 24 de diciembre del año 2019, C-530 del 13 de agosto de 2020 y C-038 del 5 de abril de 2021. Por otra parte, en los Conceptos 4201912000005784 del 7 de octubre de 2019, C-702 del 11 de diciembre de 2020, C-177 del 26 de abril de 2021, C-255 del 1 de junio de 2021, C-284 del 11 de mayo de 2022, C-359 del 21 de julio de 2022 y C-174 del 16 de mayo de 2023 estudió la figura del contrato llave en mano</w:t>
      </w:r>
      <w:r w:rsidRPr="00F57F5A">
        <w:rPr>
          <w:rFonts w:ascii="Verdana" w:hAnsi="Verdana" w:cs="Arial"/>
          <w:lang w:val="es-ES"/>
        </w:rPr>
        <w:t xml:space="preserve">. </w:t>
      </w:r>
      <w:r w:rsidRPr="00F57F5A">
        <w:rPr>
          <w:rFonts w:ascii="Verdana" w:hAnsi="Verdana" w:cs="Arial"/>
          <w:color w:val="000000" w:themeColor="text1"/>
          <w:shd w:val="clear" w:color="auto" w:fill="FFFFFF"/>
          <w:lang w:val="es-ES"/>
        </w:rPr>
        <w:t xml:space="preserve">Estos </w:t>
      </w:r>
      <w:r w:rsidRPr="00F57F5A">
        <w:rPr>
          <w:rStyle w:val="normaltextrun"/>
          <w:rFonts w:ascii="Verdana" w:hAnsi="Verdana" w:cs="Arial"/>
          <w:color w:val="000000" w:themeColor="text1"/>
          <w:shd w:val="clear" w:color="auto" w:fill="FFFFFF"/>
          <w:lang w:val="es-ES"/>
        </w:rPr>
        <w:t xml:space="preserve">se encuentran disponibles para consulta en el Sistema de relatoría de la Agencia, al cual puede accederse a través del siguiente enlace: </w:t>
      </w:r>
      <w:hyperlink r:id="rId12" w:history="1">
        <w:r w:rsidRPr="00F57F5A">
          <w:rPr>
            <w:rStyle w:val="Hipervnculo"/>
            <w:rFonts w:ascii="Verdana" w:hAnsi="Verdana" w:cs="Arial"/>
            <w:shd w:val="clear" w:color="auto" w:fill="FFFFFF"/>
            <w:lang w:val="es-ES"/>
          </w:rPr>
          <w:t>https://relatoria.colombiacompra.gov.co/busqueda/conceptos</w:t>
        </w:r>
      </w:hyperlink>
      <w:r w:rsidRPr="00F57F5A">
        <w:rPr>
          <w:rStyle w:val="Hipervnculo"/>
          <w:rFonts w:ascii="Verdana" w:hAnsi="Verdana"/>
          <w:lang w:val="es-ES"/>
        </w:rPr>
        <w:t>.</w:t>
      </w:r>
      <w:r w:rsidRPr="00F57F5A">
        <w:rPr>
          <w:rStyle w:val="normaltextrun"/>
          <w:rFonts w:ascii="Verdana" w:hAnsi="Verdana" w:cs="Arial"/>
          <w:color w:val="000000" w:themeColor="text1"/>
          <w:shd w:val="clear" w:color="auto" w:fill="FFFFFF"/>
          <w:lang w:val="es-ES"/>
        </w:rPr>
        <w:t xml:space="preserve">  </w:t>
      </w:r>
    </w:p>
    <w:p w14:paraId="18DF1495" w14:textId="77777777" w:rsidR="000B3237" w:rsidRPr="00F57F5A" w:rsidRDefault="000B3237" w:rsidP="000B3237">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p>
    <w:p w14:paraId="41256707" w14:textId="77777777" w:rsidR="000B3237" w:rsidRPr="00F57F5A" w:rsidRDefault="000B3237" w:rsidP="000B3237">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52EE5BA5" w14:textId="77777777" w:rsidR="000B3237" w:rsidRPr="00F57F5A" w:rsidRDefault="000B3237" w:rsidP="000B3237">
      <w:pPr>
        <w:spacing w:after="0" w:line="276" w:lineRule="auto"/>
        <w:jc w:val="both"/>
        <w:rPr>
          <w:rFonts w:ascii="Verdana" w:hAnsi="Verdana"/>
          <w:lang w:val="es-ES"/>
        </w:rPr>
      </w:pPr>
      <w:r w:rsidRPr="00F57F5A">
        <w:rPr>
          <w:rFonts w:ascii="Verdana" w:hAnsi="Verdana"/>
          <w:lang w:val="es-ES"/>
        </w:rPr>
        <w:t xml:space="preserve">Por último, lo invitamos a seguirnos en las redes sociales en las cuales se difunde información institucional: </w:t>
      </w:r>
    </w:p>
    <w:p w14:paraId="1D3EBC8F" w14:textId="77777777" w:rsidR="000B3237" w:rsidRPr="00F57F5A" w:rsidRDefault="000B3237" w:rsidP="000B3237">
      <w:pPr>
        <w:spacing w:after="0" w:line="276" w:lineRule="auto"/>
        <w:jc w:val="both"/>
        <w:rPr>
          <w:rFonts w:ascii="Verdana" w:hAnsi="Verdana"/>
          <w:lang w:val="es-ES"/>
        </w:rPr>
      </w:pPr>
    </w:p>
    <w:p w14:paraId="0AD477D8" w14:textId="77777777" w:rsidR="000B3237" w:rsidRPr="00F57F5A" w:rsidRDefault="000B3237" w:rsidP="000B3237">
      <w:pPr>
        <w:spacing w:after="0" w:line="276" w:lineRule="auto"/>
        <w:jc w:val="both"/>
        <w:rPr>
          <w:rFonts w:ascii="Verdana" w:hAnsi="Verdana"/>
          <w:lang w:val="es-ES"/>
        </w:rPr>
      </w:pPr>
      <w:r w:rsidRPr="00F57F5A">
        <w:rPr>
          <w:rFonts w:ascii="Verdana" w:hAnsi="Verdana"/>
          <w:lang w:val="es-ES"/>
        </w:rPr>
        <w:t xml:space="preserve">Twitter: </w:t>
      </w:r>
      <w:r w:rsidRPr="00F57F5A">
        <w:rPr>
          <w:rStyle w:val="Hipervnculo"/>
          <w:rFonts w:ascii="Verdana" w:hAnsi="Verdana" w:cs="Arial"/>
          <w:shd w:val="clear" w:color="auto" w:fill="FFFFFF"/>
          <w:lang w:val="es-ES"/>
        </w:rPr>
        <w:t>@colombiacompra</w:t>
      </w:r>
      <w:r w:rsidRPr="00F57F5A">
        <w:rPr>
          <w:rFonts w:ascii="Verdana" w:hAnsi="Verdana"/>
          <w:color w:val="4472C4" w:themeColor="accent1"/>
          <w:lang w:val="es-ES"/>
        </w:rPr>
        <w:t xml:space="preserve"> </w:t>
      </w:r>
    </w:p>
    <w:p w14:paraId="14064E4C" w14:textId="77777777" w:rsidR="000B3237" w:rsidRPr="00F57F5A" w:rsidRDefault="000B3237" w:rsidP="000B3237">
      <w:pPr>
        <w:spacing w:after="0" w:line="276" w:lineRule="auto"/>
        <w:jc w:val="both"/>
        <w:rPr>
          <w:rFonts w:ascii="Verdana" w:hAnsi="Verdana"/>
          <w:lang w:val="es-ES"/>
        </w:rPr>
      </w:pPr>
      <w:r w:rsidRPr="00F57F5A">
        <w:rPr>
          <w:rFonts w:ascii="Verdana" w:hAnsi="Verdana"/>
          <w:lang w:val="es-ES"/>
        </w:rPr>
        <w:t xml:space="preserve">Facebook: </w:t>
      </w:r>
      <w:proofErr w:type="spellStart"/>
      <w:r w:rsidRPr="00F57F5A">
        <w:rPr>
          <w:rStyle w:val="Hipervnculo"/>
          <w:rFonts w:ascii="Verdana" w:hAnsi="Verdana" w:cs="Arial"/>
          <w:shd w:val="clear" w:color="auto" w:fill="FFFFFF"/>
          <w:lang w:val="es-ES"/>
        </w:rPr>
        <w:t>ColombiaCompraEficiente</w:t>
      </w:r>
      <w:proofErr w:type="spellEnd"/>
    </w:p>
    <w:p w14:paraId="50F66F42" w14:textId="77777777" w:rsidR="000B3237" w:rsidRPr="00F57F5A" w:rsidRDefault="000B3237" w:rsidP="000B3237">
      <w:pPr>
        <w:spacing w:after="0" w:line="276" w:lineRule="auto"/>
        <w:jc w:val="both"/>
        <w:rPr>
          <w:rFonts w:ascii="Verdana" w:hAnsi="Verdana"/>
          <w:lang w:val="es-ES"/>
        </w:rPr>
      </w:pPr>
      <w:r w:rsidRPr="00F57F5A">
        <w:rPr>
          <w:rFonts w:ascii="Verdana" w:hAnsi="Verdana"/>
          <w:lang w:val="es-ES"/>
        </w:rPr>
        <w:t xml:space="preserve">LinkedIn: </w:t>
      </w:r>
      <w:r w:rsidRPr="00F57F5A">
        <w:rPr>
          <w:rStyle w:val="Hipervnculo"/>
          <w:rFonts w:ascii="Verdana" w:hAnsi="Verdana" w:cs="Arial"/>
          <w:shd w:val="clear" w:color="auto" w:fill="FFFFFF"/>
          <w:lang w:val="es-ES"/>
        </w:rPr>
        <w:t xml:space="preserve">Agencia Nacional de Contratación Pública - Colombia Compra Eficiente </w:t>
      </w:r>
      <w:r w:rsidRPr="00F57F5A">
        <w:rPr>
          <w:rFonts w:ascii="Verdana" w:hAnsi="Verdana"/>
          <w:lang w:val="es-ES"/>
        </w:rPr>
        <w:t xml:space="preserve">Instagram: </w:t>
      </w:r>
      <w:r w:rsidRPr="00F57F5A">
        <w:rPr>
          <w:rStyle w:val="Hipervnculo"/>
          <w:rFonts w:ascii="Verdana" w:hAnsi="Verdana" w:cs="Arial"/>
          <w:shd w:val="clear" w:color="auto" w:fill="FFFFFF"/>
          <w:lang w:val="es-ES"/>
        </w:rPr>
        <w:t>@colombiacompraeficiente_cce</w:t>
      </w:r>
    </w:p>
    <w:p w14:paraId="191712EB" w14:textId="77777777" w:rsidR="000B3237" w:rsidRPr="00F57F5A" w:rsidRDefault="000B3237" w:rsidP="000B3237">
      <w:pPr>
        <w:widowControl w:val="0"/>
        <w:autoSpaceDE w:val="0"/>
        <w:autoSpaceDN w:val="0"/>
        <w:spacing w:after="0" w:line="276" w:lineRule="auto"/>
        <w:jc w:val="both"/>
        <w:rPr>
          <w:rFonts w:ascii="Verdana" w:hAnsi="Verdana" w:cs="Arial"/>
          <w:color w:val="000000" w:themeColor="text1"/>
          <w:lang w:val="es-ES"/>
        </w:rPr>
      </w:pPr>
    </w:p>
    <w:p w14:paraId="253D6FFA" w14:textId="77777777" w:rsidR="000B3237" w:rsidRPr="00F57F5A" w:rsidRDefault="000B3237" w:rsidP="000B3237">
      <w:pPr>
        <w:widowControl w:val="0"/>
        <w:autoSpaceDE w:val="0"/>
        <w:autoSpaceDN w:val="0"/>
        <w:spacing w:after="0" w:line="276" w:lineRule="auto"/>
        <w:jc w:val="both"/>
        <w:rPr>
          <w:rFonts w:ascii="Verdana" w:hAnsi="Verdana" w:cs="Arial"/>
          <w:color w:val="000000" w:themeColor="text1"/>
          <w:lang w:val="es-ES"/>
        </w:rPr>
      </w:pPr>
      <w:r w:rsidRPr="00F57F5A">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0FDA2E9" w14:textId="77777777" w:rsidR="000B3237" w:rsidRPr="00F57F5A" w:rsidRDefault="000B3237" w:rsidP="000B3237">
      <w:pPr>
        <w:widowControl w:val="0"/>
        <w:autoSpaceDE w:val="0"/>
        <w:autoSpaceDN w:val="0"/>
        <w:spacing w:after="0" w:line="276" w:lineRule="auto"/>
        <w:jc w:val="both"/>
        <w:rPr>
          <w:rFonts w:ascii="Verdana" w:hAnsi="Verdana" w:cs="Arial"/>
          <w:color w:val="000000" w:themeColor="text1"/>
          <w:lang w:val="es-ES"/>
        </w:rPr>
      </w:pPr>
    </w:p>
    <w:p w14:paraId="5D5F9D5C" w14:textId="77777777" w:rsidR="000B3237" w:rsidRDefault="000B3237" w:rsidP="000B3237">
      <w:pPr>
        <w:spacing w:after="0" w:line="276" w:lineRule="auto"/>
        <w:rPr>
          <w:rFonts w:ascii="Verdana" w:hAnsi="Verdana" w:cs="Arial"/>
          <w:color w:val="000000" w:themeColor="text1"/>
          <w:lang w:val="es-ES" w:eastAsia="es-CO"/>
        </w:rPr>
      </w:pPr>
      <w:r w:rsidRPr="00F57F5A">
        <w:rPr>
          <w:rFonts w:ascii="Verdana" w:eastAsia="Times New Roman" w:hAnsi="Verdana" w:cs="Arial"/>
          <w:color w:val="000000" w:themeColor="text1"/>
          <w:lang w:val="es-ES" w:eastAsia="es-CO"/>
        </w:rPr>
        <w:t>Atentamente,</w:t>
      </w:r>
      <w:r w:rsidRPr="00F57F5A">
        <w:rPr>
          <w:rFonts w:ascii="Verdana" w:hAnsi="Verdana" w:cs="Arial"/>
          <w:color w:val="000000" w:themeColor="text1"/>
          <w:lang w:val="es-ES" w:eastAsia="es-CO"/>
        </w:rPr>
        <w:t xml:space="preserve"> </w:t>
      </w:r>
    </w:p>
    <w:p w14:paraId="3824AEA9" w14:textId="5C4075A7" w:rsidR="000B3237" w:rsidRPr="00F57F5A" w:rsidRDefault="00E60E78" w:rsidP="000B3237">
      <w:pPr>
        <w:spacing w:after="0" w:line="276" w:lineRule="auto"/>
        <w:jc w:val="center"/>
        <w:rPr>
          <w:rFonts w:ascii="Verdana" w:hAnsi="Verdana" w:cs="Arial"/>
          <w:color w:val="000000" w:themeColor="text1"/>
          <w:lang w:val="es-ES" w:eastAsia="es-CO"/>
        </w:rPr>
      </w:pPr>
      <w:r>
        <w:rPr>
          <w:rFonts w:ascii="Verdana" w:hAnsi="Verdana" w:cs="Arial"/>
          <w:noProof/>
          <w:color w:val="000000" w:themeColor="text1"/>
          <w:lang w:val="es-ES" w:eastAsia="es-CO"/>
        </w:rPr>
        <w:lastRenderedPageBreak/>
        <w:drawing>
          <wp:inline distT="0" distB="0" distL="0" distR="0" wp14:anchorId="2FEE7FA1" wp14:editId="7A5D0572">
            <wp:extent cx="4659630" cy="2003462"/>
            <wp:effectExtent l="0" t="0" r="7620" b="0"/>
            <wp:docPr id="8328168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81686" name="Imagen 83281686"/>
                    <pic:cNvPicPr/>
                  </pic:nvPicPr>
                  <pic:blipFill>
                    <a:blip r:embed="rId13">
                      <a:extLst>
                        <a:ext uri="{28A0092B-C50C-407E-A947-70E740481C1C}">
                          <a14:useLocalDpi xmlns:a14="http://schemas.microsoft.com/office/drawing/2010/main" val="0"/>
                        </a:ext>
                      </a:extLst>
                    </a:blip>
                    <a:stretch>
                      <a:fillRect/>
                    </a:stretch>
                  </pic:blipFill>
                  <pic:spPr>
                    <a:xfrm>
                      <a:off x="0" y="0"/>
                      <a:ext cx="4662728" cy="2004794"/>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B3237" w:rsidRPr="00F57F5A" w14:paraId="7D91B212" w14:textId="77777777" w:rsidTr="001E4D43">
        <w:trPr>
          <w:trHeight w:val="315"/>
        </w:trPr>
        <w:tc>
          <w:tcPr>
            <w:tcW w:w="893" w:type="dxa"/>
            <w:vAlign w:val="center"/>
            <w:hideMark/>
          </w:tcPr>
          <w:p w14:paraId="724D53DF" w14:textId="77777777" w:rsidR="000B3237" w:rsidRPr="00F57F5A" w:rsidRDefault="000B3237" w:rsidP="001E4D43">
            <w:pPr>
              <w:contextualSpacing/>
              <w:rPr>
                <w:rFonts w:ascii="Verdana" w:hAnsi="Verdana" w:cs="Arial"/>
                <w:sz w:val="16"/>
                <w:szCs w:val="16"/>
                <w:lang w:val="es-ES" w:eastAsia="es-ES"/>
              </w:rPr>
            </w:pPr>
            <w:r w:rsidRPr="00F57F5A">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B612C03" w14:textId="2A73A182" w:rsidR="000B3237" w:rsidRPr="00F57F5A" w:rsidRDefault="000B3237" w:rsidP="000B3237">
            <w:pPr>
              <w:spacing w:line="276" w:lineRule="auto"/>
              <w:contextualSpacing/>
              <w:textAlignment w:val="baseline"/>
              <w:rPr>
                <w:rFonts w:ascii="Verdana" w:eastAsia="Times New Roman" w:hAnsi="Verdana" w:cs="Arial"/>
                <w:sz w:val="16"/>
                <w:szCs w:val="16"/>
                <w:lang w:val="es-ES" w:eastAsia="es-ES_tradnl"/>
              </w:rPr>
            </w:pPr>
            <w:r>
              <w:rPr>
                <w:rFonts w:ascii="Verdana" w:eastAsia="Times New Roman" w:hAnsi="Verdana" w:cs="Arial"/>
                <w:sz w:val="16"/>
                <w:szCs w:val="16"/>
                <w:lang w:val="es-ES" w:eastAsia="es-ES_tradnl"/>
              </w:rPr>
              <w:t>Karol Andrea Gonzalez Marin</w:t>
            </w:r>
          </w:p>
          <w:p w14:paraId="1E3BF779" w14:textId="49E23333" w:rsidR="000B3237" w:rsidRPr="00F57F5A" w:rsidRDefault="000B3237" w:rsidP="000B3237">
            <w:pPr>
              <w:contextualSpacing/>
              <w:rPr>
                <w:rFonts w:ascii="Verdana" w:eastAsia="Arial" w:hAnsi="Verdana" w:cs="Arial"/>
                <w:sz w:val="16"/>
                <w:szCs w:val="16"/>
                <w:lang w:val="es-ES"/>
              </w:rPr>
            </w:pPr>
            <w:r>
              <w:rPr>
                <w:rStyle w:val="normaltextrun"/>
                <w:rFonts w:ascii="Verdana" w:hAnsi="Verdana" w:cs="Arial"/>
                <w:sz w:val="16"/>
                <w:szCs w:val="16"/>
                <w:lang w:val="es-ES"/>
              </w:rPr>
              <w:t xml:space="preserve">Contratista </w:t>
            </w:r>
            <w:r w:rsidRPr="00F57F5A">
              <w:rPr>
                <w:rStyle w:val="normaltextrun"/>
                <w:rFonts w:ascii="Verdana" w:hAnsi="Verdana" w:cs="Arial"/>
                <w:sz w:val="16"/>
                <w:szCs w:val="16"/>
                <w:lang w:val="es-ES"/>
              </w:rPr>
              <w:t>de la Subdirección de Gestión Contractual</w:t>
            </w:r>
            <w:r w:rsidRPr="00F57F5A">
              <w:rPr>
                <w:rStyle w:val="eop"/>
                <w:rFonts w:ascii="Verdana" w:hAnsi="Verdana" w:cs="Arial"/>
                <w:sz w:val="16"/>
                <w:szCs w:val="16"/>
                <w:lang w:val="es-ES"/>
              </w:rPr>
              <w:t> </w:t>
            </w:r>
          </w:p>
        </w:tc>
      </w:tr>
      <w:tr w:rsidR="000B3237" w:rsidRPr="00F57F5A" w14:paraId="710808E3" w14:textId="77777777" w:rsidTr="001E4D43">
        <w:trPr>
          <w:trHeight w:val="330"/>
        </w:trPr>
        <w:tc>
          <w:tcPr>
            <w:tcW w:w="893" w:type="dxa"/>
            <w:vAlign w:val="center"/>
            <w:hideMark/>
          </w:tcPr>
          <w:p w14:paraId="596969ED" w14:textId="77777777" w:rsidR="000B3237" w:rsidRPr="00F57F5A" w:rsidRDefault="000B3237" w:rsidP="001E4D43">
            <w:pPr>
              <w:contextualSpacing/>
              <w:rPr>
                <w:rFonts w:ascii="Verdana" w:hAnsi="Verdana" w:cs="Arial"/>
                <w:sz w:val="16"/>
                <w:szCs w:val="16"/>
                <w:lang w:val="es-ES" w:eastAsia="es-ES"/>
              </w:rPr>
            </w:pPr>
            <w:r w:rsidRPr="00F57F5A">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C11A002" w14:textId="77777777" w:rsidR="000B3237" w:rsidRPr="00F57F5A" w:rsidRDefault="000B3237" w:rsidP="001E4D43">
            <w:pPr>
              <w:spacing w:line="276" w:lineRule="auto"/>
              <w:contextualSpacing/>
              <w:textAlignment w:val="baseline"/>
              <w:rPr>
                <w:rFonts w:ascii="Verdana" w:eastAsia="Times New Roman" w:hAnsi="Verdana" w:cs="Arial"/>
                <w:sz w:val="16"/>
                <w:szCs w:val="16"/>
                <w:lang w:val="es-ES" w:eastAsia="es-ES_tradnl"/>
              </w:rPr>
            </w:pPr>
            <w:r>
              <w:rPr>
                <w:rFonts w:ascii="Verdana" w:eastAsia="Times New Roman" w:hAnsi="Verdana" w:cs="Arial"/>
                <w:sz w:val="16"/>
                <w:szCs w:val="16"/>
                <w:lang w:val="es-ES" w:eastAsia="es-ES_tradnl"/>
              </w:rPr>
              <w:t>Juan David Cárdenas Cabeza</w:t>
            </w:r>
          </w:p>
          <w:p w14:paraId="0B3450AF" w14:textId="77777777" w:rsidR="000B3237" w:rsidRPr="00F57F5A" w:rsidRDefault="000B3237" w:rsidP="001E4D43">
            <w:pPr>
              <w:pStyle w:val="paragraph"/>
              <w:spacing w:before="0" w:beforeAutospacing="0" w:after="0" w:afterAutospacing="0"/>
              <w:contextualSpacing/>
              <w:textAlignment w:val="baseline"/>
              <w:rPr>
                <w:rFonts w:ascii="Verdana" w:hAnsi="Verdana" w:cs="Segoe UI"/>
                <w:sz w:val="16"/>
                <w:szCs w:val="16"/>
                <w:lang w:val="es-ES"/>
              </w:rPr>
            </w:pPr>
            <w:r>
              <w:rPr>
                <w:rStyle w:val="normaltextrun"/>
                <w:rFonts w:ascii="Verdana" w:hAnsi="Verdana" w:cs="Arial"/>
                <w:sz w:val="16"/>
                <w:szCs w:val="16"/>
                <w:lang w:val="es-ES"/>
              </w:rPr>
              <w:t xml:space="preserve">Contratista </w:t>
            </w:r>
            <w:r w:rsidRPr="00F57F5A">
              <w:rPr>
                <w:rStyle w:val="normaltextrun"/>
                <w:rFonts w:ascii="Verdana" w:hAnsi="Verdana" w:cs="Arial"/>
                <w:sz w:val="16"/>
                <w:szCs w:val="16"/>
                <w:lang w:val="es-ES"/>
              </w:rPr>
              <w:t>de la Subdirección de Gestión Contractual</w:t>
            </w:r>
            <w:r w:rsidRPr="00F57F5A">
              <w:rPr>
                <w:rStyle w:val="eop"/>
                <w:rFonts w:ascii="Verdana" w:hAnsi="Verdana" w:cs="Arial"/>
                <w:sz w:val="16"/>
                <w:szCs w:val="16"/>
                <w:lang w:val="es-ES"/>
              </w:rPr>
              <w:t> </w:t>
            </w:r>
          </w:p>
        </w:tc>
      </w:tr>
      <w:tr w:rsidR="000B3237" w:rsidRPr="00F57F5A" w14:paraId="160F0D9E" w14:textId="77777777" w:rsidTr="001E4D43">
        <w:trPr>
          <w:trHeight w:val="300"/>
        </w:trPr>
        <w:tc>
          <w:tcPr>
            <w:tcW w:w="893" w:type="dxa"/>
            <w:vAlign w:val="center"/>
          </w:tcPr>
          <w:p w14:paraId="5C49D8F6" w14:textId="77777777" w:rsidR="000B3237" w:rsidRPr="00F57F5A" w:rsidRDefault="000B3237" w:rsidP="001E4D43">
            <w:pPr>
              <w:contextualSpacing/>
              <w:rPr>
                <w:rFonts w:ascii="Verdana" w:hAnsi="Verdana" w:cs="Arial"/>
                <w:sz w:val="16"/>
                <w:szCs w:val="16"/>
                <w:lang w:val="es-ES" w:eastAsia="es-ES"/>
              </w:rPr>
            </w:pPr>
            <w:r w:rsidRPr="00F57F5A">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8152FCF" w14:textId="77777777" w:rsidR="000B3237" w:rsidRPr="00F57F5A" w:rsidRDefault="000B3237" w:rsidP="001E4D43">
            <w:pPr>
              <w:contextualSpacing/>
              <w:rPr>
                <w:rFonts w:ascii="Verdana" w:eastAsia="Calibri" w:hAnsi="Verdana" w:cs="Arial"/>
                <w:sz w:val="16"/>
                <w:szCs w:val="16"/>
                <w:lang w:val="es-ES" w:eastAsia="es-ES"/>
              </w:rPr>
            </w:pPr>
            <w:r w:rsidRPr="00F57F5A">
              <w:rPr>
                <w:rFonts w:ascii="Verdana" w:eastAsia="Calibri" w:hAnsi="Verdana" w:cs="Arial"/>
                <w:sz w:val="16"/>
                <w:szCs w:val="16"/>
                <w:lang w:val="es-ES" w:eastAsia="es-ES"/>
              </w:rPr>
              <w:t xml:space="preserve">Carolina Quintero </w:t>
            </w:r>
            <w:proofErr w:type="spellStart"/>
            <w:r w:rsidRPr="00F57F5A">
              <w:rPr>
                <w:rFonts w:ascii="Verdana" w:eastAsia="Calibri" w:hAnsi="Verdana" w:cs="Arial"/>
                <w:sz w:val="16"/>
                <w:szCs w:val="16"/>
                <w:lang w:val="es-ES" w:eastAsia="es-ES"/>
              </w:rPr>
              <w:t>Gacharná</w:t>
            </w:r>
            <w:proofErr w:type="spellEnd"/>
          </w:p>
          <w:p w14:paraId="7FD7D4E3" w14:textId="77777777" w:rsidR="000B3237" w:rsidRPr="00F57F5A" w:rsidRDefault="000B3237" w:rsidP="001E4D43">
            <w:pPr>
              <w:contextualSpacing/>
              <w:rPr>
                <w:rFonts w:ascii="Verdana" w:eastAsia="Calibri" w:hAnsi="Verdana" w:cs="Arial"/>
                <w:sz w:val="16"/>
                <w:szCs w:val="16"/>
                <w:lang w:val="es-ES" w:eastAsia="es-ES"/>
              </w:rPr>
            </w:pPr>
            <w:r w:rsidRPr="00F57F5A">
              <w:rPr>
                <w:rFonts w:ascii="Verdana" w:eastAsia="Calibri" w:hAnsi="Verdana" w:cs="Arial"/>
                <w:sz w:val="16"/>
                <w:szCs w:val="16"/>
                <w:lang w:val="es-ES" w:eastAsia="es-ES"/>
              </w:rPr>
              <w:t>Subdirectora de Gestión Contractual ANCP – CCE</w:t>
            </w:r>
          </w:p>
        </w:tc>
      </w:tr>
      <w:bookmarkEnd w:id="0"/>
    </w:tbl>
    <w:p w14:paraId="5A8A1155" w14:textId="77777777" w:rsidR="000B3237" w:rsidRPr="00F57F5A" w:rsidRDefault="000B3237" w:rsidP="000B3237">
      <w:pPr>
        <w:spacing w:after="0"/>
        <w:rPr>
          <w:rFonts w:ascii="Verdana" w:hAnsi="Verdana"/>
          <w:lang w:val="es-ES"/>
        </w:rPr>
      </w:pPr>
    </w:p>
    <w:p w14:paraId="7DC7C6C9" w14:textId="77777777" w:rsidR="000B3237" w:rsidRPr="00EE7BB8" w:rsidRDefault="000B3237" w:rsidP="000B3237"/>
    <w:p w14:paraId="0F293BF4" w14:textId="45FCCED9" w:rsidR="00127233" w:rsidRPr="000B3237" w:rsidRDefault="00127233" w:rsidP="000B3237"/>
    <w:sectPr w:rsidR="00127233" w:rsidRPr="000B3237"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144CB0" w14:textId="77777777" w:rsidR="00DB0789" w:rsidRDefault="00DB0789" w:rsidP="004A1847">
      <w:pPr>
        <w:spacing w:after="0" w:line="240" w:lineRule="auto"/>
      </w:pPr>
      <w:r>
        <w:separator/>
      </w:r>
    </w:p>
  </w:endnote>
  <w:endnote w:type="continuationSeparator" w:id="0">
    <w:p w14:paraId="2432DCD3" w14:textId="77777777" w:rsidR="00DB0789" w:rsidRDefault="00DB078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0B3237" w:rsidRDefault="356CEDFD" w:rsidP="356CEDFD">
    <w:pPr>
      <w:pBdr>
        <w:top w:val="nil"/>
        <w:left w:val="nil"/>
        <w:bottom w:val="nil"/>
        <w:right w:val="nil"/>
        <w:between w:val="nil"/>
      </w:pBdr>
      <w:tabs>
        <w:tab w:val="center" w:pos="4419"/>
        <w:tab w:val="right" w:pos="8838"/>
        <w:tab w:val="center" w:pos="5400"/>
      </w:tabs>
      <w:spacing w:after="0"/>
      <w:jc w:val="right"/>
      <w:rPr>
        <w:lang w:val="pt-PT"/>
      </w:rPr>
    </w:pPr>
    <w:r w:rsidRPr="000B3237">
      <w:rPr>
        <w:rFonts w:ascii="Century Gothic" w:eastAsia="Geo" w:hAnsi="Century Gothic" w:cs="Geo"/>
        <w:b/>
        <w:bCs/>
        <w:color w:val="000000" w:themeColor="text1"/>
        <w:sz w:val="16"/>
        <w:szCs w:val="16"/>
        <w:lang w:val="pt-PT" w:eastAsia="es-CO"/>
      </w:rPr>
      <w:t xml:space="preserve">Código: </w:t>
    </w:r>
    <w:r w:rsidRPr="000B3237">
      <w:rPr>
        <w:rFonts w:ascii="Century Gothic" w:eastAsia="Geo" w:hAnsi="Century Gothic" w:cs="Geo"/>
        <w:color w:val="000000" w:themeColor="text1"/>
        <w:sz w:val="16"/>
        <w:szCs w:val="16"/>
        <w:lang w:val="pt-PT" w:eastAsia="es-CO"/>
      </w:rPr>
      <w:t xml:space="preserve">CCE-REC-FM-17 </w:t>
    </w:r>
    <w:r w:rsidRPr="000B3237">
      <w:rPr>
        <w:rFonts w:ascii="Century Gothic" w:eastAsia="Geo" w:hAnsi="Century Gothic" w:cs="Geo"/>
        <w:b/>
        <w:bCs/>
        <w:color w:val="000000" w:themeColor="text1"/>
        <w:sz w:val="16"/>
        <w:szCs w:val="16"/>
        <w:lang w:val="pt-PT" w:eastAsia="es-CO"/>
      </w:rPr>
      <w:t>V</w:t>
    </w:r>
    <w:r w:rsidRPr="000B3237">
      <w:rPr>
        <w:rFonts w:ascii="Century Gothic" w:eastAsia="Arial Nova" w:hAnsi="Century Gothic" w:cs="Arial Nova"/>
        <w:b/>
        <w:bCs/>
        <w:color w:val="000000" w:themeColor="text1"/>
        <w:sz w:val="16"/>
        <w:szCs w:val="16"/>
        <w:lang w:val="pt-PT" w:eastAsia="es-CO"/>
      </w:rPr>
      <w:t xml:space="preserve">: </w:t>
    </w:r>
    <w:r w:rsidRPr="000B3237">
      <w:rPr>
        <w:rFonts w:ascii="Century Gothic" w:eastAsia="Geo" w:hAnsi="Century Gothic" w:cs="Geo"/>
        <w:sz w:val="16"/>
        <w:szCs w:val="16"/>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3ACE0F" w14:textId="77777777" w:rsidR="00DB0789" w:rsidRDefault="00DB0789" w:rsidP="004A1847">
      <w:pPr>
        <w:spacing w:after="0" w:line="240" w:lineRule="auto"/>
      </w:pPr>
      <w:r>
        <w:separator/>
      </w:r>
    </w:p>
  </w:footnote>
  <w:footnote w:type="continuationSeparator" w:id="0">
    <w:p w14:paraId="6D940425" w14:textId="77777777" w:rsidR="00DB0789" w:rsidRDefault="00DB0789" w:rsidP="004A1847">
      <w:pPr>
        <w:spacing w:after="0" w:line="240" w:lineRule="auto"/>
      </w:pPr>
      <w:r>
        <w:continuationSeparator/>
      </w:r>
    </w:p>
  </w:footnote>
  <w:footnote w:id="1">
    <w:p w14:paraId="53DF8674" w14:textId="77777777" w:rsidR="000B3237" w:rsidRPr="00F356F5" w:rsidRDefault="000B3237" w:rsidP="000B3237">
      <w:pPr>
        <w:pStyle w:val="Textonotapie"/>
        <w:snapToGrid w:val="0"/>
        <w:ind w:firstLine="720"/>
        <w:contextualSpacing/>
        <w:jc w:val="both"/>
        <w:rPr>
          <w:rFonts w:ascii="Verdana" w:hAnsi="Verdana" w:cs="Arial"/>
          <w:sz w:val="16"/>
          <w:szCs w:val="16"/>
        </w:rPr>
      </w:pPr>
      <w:r w:rsidRPr="00F356F5">
        <w:rPr>
          <w:rStyle w:val="Refdenotaalpie"/>
          <w:rFonts w:ascii="Verdana" w:hAnsi="Verdana" w:cs="Arial"/>
          <w:sz w:val="16"/>
          <w:szCs w:val="16"/>
        </w:rPr>
        <w:footnoteRef/>
      </w:r>
      <w:r w:rsidRPr="00F356F5">
        <w:rPr>
          <w:rFonts w:ascii="Verdana" w:hAnsi="Verdana" w:cs="Arial"/>
          <w:sz w:val="16"/>
          <w:szCs w:val="16"/>
        </w:rPr>
        <w:t xml:space="preserve"> Según este artículo: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 </w:t>
      </w:r>
    </w:p>
    <w:p w14:paraId="4135E7CF" w14:textId="77777777" w:rsidR="000B3237" w:rsidRPr="00F356F5" w:rsidRDefault="000B3237" w:rsidP="000B3237">
      <w:pPr>
        <w:snapToGrid w:val="0"/>
        <w:spacing w:after="0" w:line="240" w:lineRule="auto"/>
        <w:ind w:firstLine="708"/>
        <w:contextualSpacing/>
        <w:jc w:val="both"/>
        <w:rPr>
          <w:rFonts w:ascii="Verdana" w:hAnsi="Verdana" w:cs="Arial"/>
          <w:sz w:val="16"/>
          <w:szCs w:val="16"/>
          <w:lang w:val="es-MX"/>
        </w:rPr>
      </w:pPr>
      <w:r w:rsidRPr="00F356F5">
        <w:rPr>
          <w:rFonts w:ascii="Verdana" w:hAnsi="Verdana" w:cs="Arial"/>
          <w:sz w:val="16"/>
          <w:szCs w:val="16"/>
          <w:lang w:val="es-MX"/>
        </w:rPr>
        <w:t xml:space="preserve">“Son también contratos de consultoría los que tienen por objeto la interventoría, asesoría, gerencia de obra o de proyectos, dirección, programación y la ejecución de diseños, planos, anteproyectos y proyectos. </w:t>
      </w:r>
    </w:p>
    <w:p w14:paraId="4C0AB79B" w14:textId="77777777" w:rsidR="000B3237" w:rsidRPr="00F356F5" w:rsidRDefault="000B3237" w:rsidP="000B3237">
      <w:pPr>
        <w:pStyle w:val="Textonotapie"/>
        <w:snapToGrid w:val="0"/>
        <w:ind w:firstLine="708"/>
        <w:contextualSpacing/>
        <w:jc w:val="both"/>
        <w:rPr>
          <w:rFonts w:ascii="Verdana" w:hAnsi="Verdana" w:cs="Arial"/>
          <w:sz w:val="16"/>
          <w:szCs w:val="16"/>
          <w:lang w:val="es-CO"/>
        </w:rPr>
      </w:pPr>
      <w:r w:rsidRPr="00F356F5">
        <w:rPr>
          <w:rFonts w:ascii="Verdana" w:hAnsi="Verdana" w:cs="Arial"/>
          <w:sz w:val="16"/>
          <w:szCs w:val="16"/>
          <w:lang w:val="es-CO"/>
        </w:rPr>
        <w:t>“Ninguna orden del interventor de una obra podrá darse verbalmente. Es obligatorio para el interventor entregar por escrito sus órdenes o sugerencias y ellas deben enmarcarse en los términos del respectivo contrato”.</w:t>
      </w:r>
    </w:p>
  </w:footnote>
  <w:footnote w:id="2">
    <w:p w14:paraId="5232931E" w14:textId="77777777" w:rsidR="000B3237" w:rsidRPr="00F356F5" w:rsidRDefault="000B3237" w:rsidP="000B3237">
      <w:pPr>
        <w:pStyle w:val="Textonotapie"/>
        <w:snapToGrid w:val="0"/>
        <w:ind w:firstLine="708"/>
        <w:contextualSpacing/>
        <w:jc w:val="both"/>
        <w:rPr>
          <w:rFonts w:ascii="Verdana" w:hAnsi="Verdana" w:cs="Arial"/>
          <w:sz w:val="16"/>
          <w:szCs w:val="16"/>
        </w:rPr>
      </w:pPr>
      <w:r w:rsidRPr="00F356F5">
        <w:rPr>
          <w:rStyle w:val="Refdenotaalpie"/>
          <w:rFonts w:ascii="Verdana" w:hAnsi="Verdana" w:cs="Arial"/>
          <w:sz w:val="16"/>
          <w:szCs w:val="16"/>
        </w:rPr>
        <w:footnoteRef/>
      </w:r>
      <w:r w:rsidRPr="00F356F5">
        <w:rPr>
          <w:rFonts w:ascii="Verdana" w:hAnsi="Verdana" w:cs="Arial"/>
          <w:sz w:val="16"/>
          <w:szCs w:val="16"/>
        </w:rPr>
        <w:t xml:space="preserve"> DÁVILA VINUEZA, Guillermo. Régimen jurídico de la contratación estatal. Bogotá: Legis, 2016. p. 849.</w:t>
      </w:r>
    </w:p>
  </w:footnote>
  <w:footnote w:id="3">
    <w:p w14:paraId="7942CF9E" w14:textId="77777777" w:rsidR="000B3237" w:rsidRPr="00F356F5" w:rsidRDefault="000B3237" w:rsidP="000B3237">
      <w:pPr>
        <w:pStyle w:val="Textonotapie"/>
        <w:snapToGrid w:val="0"/>
        <w:ind w:firstLine="708"/>
        <w:contextualSpacing/>
        <w:jc w:val="both"/>
        <w:rPr>
          <w:rFonts w:ascii="Verdana" w:hAnsi="Verdana" w:cs="Arial"/>
          <w:sz w:val="16"/>
          <w:szCs w:val="16"/>
          <w:lang w:val="es-ES"/>
        </w:rPr>
      </w:pPr>
      <w:r w:rsidRPr="00F356F5">
        <w:rPr>
          <w:rStyle w:val="Refdenotaalpie"/>
          <w:rFonts w:ascii="Verdana" w:hAnsi="Verdana" w:cs="Arial"/>
          <w:sz w:val="16"/>
          <w:szCs w:val="16"/>
        </w:rPr>
        <w:footnoteRef/>
      </w:r>
      <w:r w:rsidRPr="00F356F5">
        <w:rPr>
          <w:rFonts w:ascii="Verdana" w:hAnsi="Verdana" w:cs="Arial"/>
          <w:sz w:val="16"/>
          <w:szCs w:val="16"/>
        </w:rPr>
        <w:t xml:space="preserve"> CONSEJO DE ESTADO. Sección Tercera. Subsección C. Sentencia del 25 de abril del 2012. Radicado. 52001-23-31-000-2000-00173-01(22167). Magistrado Ponente: Jaime Orlando Santofimio Gamboa.</w:t>
      </w:r>
    </w:p>
  </w:footnote>
  <w:footnote w:id="4">
    <w:p w14:paraId="1323EBEB" w14:textId="77777777" w:rsidR="000B3237" w:rsidRPr="00F356F5" w:rsidRDefault="000B3237" w:rsidP="000B3237">
      <w:pPr>
        <w:pStyle w:val="Textonotapie"/>
        <w:snapToGrid w:val="0"/>
        <w:ind w:firstLine="709"/>
        <w:contextualSpacing/>
        <w:jc w:val="both"/>
        <w:rPr>
          <w:rFonts w:ascii="Verdana" w:hAnsi="Verdana" w:cs="Arial"/>
          <w:color w:val="000000" w:themeColor="text1"/>
          <w:sz w:val="16"/>
          <w:szCs w:val="16"/>
          <w:lang w:val="es-ES"/>
        </w:rPr>
      </w:pPr>
      <w:r w:rsidRPr="00F356F5">
        <w:rPr>
          <w:rStyle w:val="Refdenotaalpie"/>
          <w:rFonts w:ascii="Verdana" w:hAnsi="Verdana" w:cs="Arial"/>
          <w:sz w:val="16"/>
          <w:szCs w:val="16"/>
        </w:rPr>
        <w:footnoteRef/>
      </w:r>
      <w:r w:rsidRPr="00F356F5">
        <w:rPr>
          <w:rFonts w:ascii="Verdana" w:hAnsi="Verdana" w:cs="Arial"/>
          <w:color w:val="000000" w:themeColor="text1"/>
          <w:sz w:val="16"/>
          <w:szCs w:val="16"/>
        </w:rPr>
        <w:t xml:space="preserve"> Según este artículo: </w:t>
      </w:r>
      <w:r w:rsidRPr="00F356F5">
        <w:rPr>
          <w:rFonts w:ascii="Verdana" w:hAnsi="Verdana" w:cs="Arial"/>
          <w:color w:val="000000" w:themeColor="text1"/>
          <w:sz w:val="16"/>
          <w:szCs w:val="16"/>
          <w:lang w:val="es-ES"/>
        </w:rPr>
        <w:t>«Son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641E523D" w14:textId="77777777" w:rsidR="000B3237" w:rsidRPr="00F356F5" w:rsidRDefault="000B3237" w:rsidP="000B3237">
      <w:pPr>
        <w:pStyle w:val="Textonotapie"/>
        <w:snapToGrid w:val="0"/>
        <w:ind w:firstLine="709"/>
        <w:contextualSpacing/>
        <w:jc w:val="both"/>
        <w:rPr>
          <w:rFonts w:ascii="Verdana" w:hAnsi="Verdana" w:cs="Arial"/>
          <w:color w:val="000000" w:themeColor="text1"/>
          <w:sz w:val="16"/>
          <w:szCs w:val="16"/>
          <w:lang w:val="es-ES"/>
        </w:rPr>
      </w:pPr>
      <w:proofErr w:type="gramStart"/>
      <w:r w:rsidRPr="00F356F5">
        <w:rPr>
          <w:rFonts w:ascii="Verdana" w:hAnsi="Verdana" w:cs="Arial"/>
          <w:color w:val="000000" w:themeColor="text1"/>
          <w:sz w:val="16"/>
          <w:szCs w:val="16"/>
          <w:lang w:val="es-ES"/>
        </w:rPr>
        <w:t>»Son</w:t>
      </w:r>
      <w:proofErr w:type="gramEnd"/>
      <w:r w:rsidRPr="00F356F5">
        <w:rPr>
          <w:rFonts w:ascii="Verdana" w:hAnsi="Verdana" w:cs="Arial"/>
          <w:color w:val="000000" w:themeColor="text1"/>
          <w:sz w:val="16"/>
          <w:szCs w:val="16"/>
          <w:lang w:val="es-ES"/>
        </w:rPr>
        <w:t xml:space="preserve"> también contratos de consultoría los que tienen por objeto la interventoría, asesoría, gerencia de obra o de proyectos, dirección, programación y la ejecución de diseños, planos, anteproyectos y proyectos.</w:t>
      </w:r>
    </w:p>
    <w:p w14:paraId="7A45CD04" w14:textId="77777777" w:rsidR="000B3237" w:rsidRPr="00F356F5" w:rsidRDefault="000B3237" w:rsidP="000B3237">
      <w:pPr>
        <w:pStyle w:val="Textonotapie"/>
        <w:snapToGrid w:val="0"/>
        <w:ind w:firstLine="709"/>
        <w:contextualSpacing/>
        <w:jc w:val="both"/>
        <w:rPr>
          <w:rFonts w:ascii="Verdana" w:hAnsi="Verdana" w:cs="Arial"/>
          <w:color w:val="000000" w:themeColor="text1"/>
          <w:sz w:val="16"/>
          <w:szCs w:val="16"/>
          <w:lang w:val="es-ES"/>
        </w:rPr>
      </w:pPr>
      <w:proofErr w:type="gramStart"/>
      <w:r w:rsidRPr="00F356F5">
        <w:rPr>
          <w:rFonts w:ascii="Verdana" w:hAnsi="Verdana" w:cs="Arial"/>
          <w:color w:val="000000" w:themeColor="text1"/>
          <w:sz w:val="16"/>
          <w:szCs w:val="16"/>
          <w:lang w:val="es-ES"/>
        </w:rPr>
        <w:t>»Ninguna</w:t>
      </w:r>
      <w:proofErr w:type="gramEnd"/>
      <w:r w:rsidRPr="00F356F5">
        <w:rPr>
          <w:rFonts w:ascii="Verdana" w:hAnsi="Verdana" w:cs="Arial"/>
          <w:color w:val="000000" w:themeColor="text1"/>
          <w:sz w:val="16"/>
          <w:szCs w:val="16"/>
          <w:lang w:val="es-ES"/>
        </w:rPr>
        <w:t xml:space="preserve"> orden del interventor de una obra podrá darse verbalmente. Es obligatorio para el interventor entregar por escrito sus órdenes o sugerencias y ellas deben enmarcarse dentro de los términos del respectivo contrato».</w:t>
      </w:r>
    </w:p>
  </w:footnote>
  <w:footnote w:id="5">
    <w:p w14:paraId="62D71101" w14:textId="77777777" w:rsidR="000B3237" w:rsidRPr="00F356F5" w:rsidRDefault="000B3237" w:rsidP="000B3237">
      <w:pPr>
        <w:pStyle w:val="Textonotapie"/>
        <w:snapToGrid w:val="0"/>
        <w:ind w:firstLine="708"/>
        <w:contextualSpacing/>
        <w:jc w:val="both"/>
        <w:rPr>
          <w:rFonts w:ascii="Verdana" w:hAnsi="Verdana" w:cs="Arial"/>
          <w:bCs/>
          <w:sz w:val="16"/>
          <w:szCs w:val="16"/>
          <w:shd w:val="clear" w:color="auto" w:fill="FFFFFF"/>
        </w:rPr>
      </w:pPr>
      <w:r w:rsidRPr="00F356F5">
        <w:rPr>
          <w:rStyle w:val="Refdenotaalpie"/>
          <w:rFonts w:ascii="Verdana" w:hAnsi="Verdana" w:cs="Arial"/>
          <w:sz w:val="16"/>
          <w:szCs w:val="16"/>
        </w:rPr>
        <w:footnoteRef/>
      </w:r>
      <w:r w:rsidRPr="00F356F5">
        <w:rPr>
          <w:rFonts w:ascii="Verdana" w:hAnsi="Verdana" w:cs="Arial"/>
          <w:sz w:val="16"/>
          <w:szCs w:val="16"/>
        </w:rPr>
        <w:t xml:space="preserve"> CONSEJO DE ESTADO. Sección Tercera. Subsección C. Sentencia de Unificación del 2 de diciembre de 2013. Radicado. </w:t>
      </w:r>
      <w:r w:rsidRPr="00F356F5">
        <w:rPr>
          <w:rFonts w:ascii="Verdana" w:hAnsi="Verdana" w:cs="Arial"/>
          <w:bCs/>
          <w:sz w:val="16"/>
          <w:szCs w:val="16"/>
          <w:shd w:val="clear" w:color="auto" w:fill="FFFFFF"/>
        </w:rPr>
        <w:t>11001-03-26-000-2011-00039-00(41719). Magistrado Ponente: Jaime Orlando Santofimio Gamboa.</w:t>
      </w:r>
    </w:p>
  </w:footnote>
  <w:footnote w:id="6">
    <w:p w14:paraId="6FB44B9F" w14:textId="77777777" w:rsidR="000B3237" w:rsidRPr="00F356F5" w:rsidRDefault="000B3237" w:rsidP="000B3237">
      <w:pPr>
        <w:pStyle w:val="Textonotapie"/>
        <w:snapToGrid w:val="0"/>
        <w:ind w:firstLine="708"/>
        <w:contextualSpacing/>
        <w:jc w:val="both"/>
        <w:rPr>
          <w:rFonts w:ascii="Verdana" w:hAnsi="Verdana" w:cs="Arial"/>
          <w:sz w:val="16"/>
          <w:szCs w:val="16"/>
          <w:lang w:val="es-ES"/>
        </w:rPr>
      </w:pPr>
      <w:r w:rsidRPr="00F356F5">
        <w:rPr>
          <w:rStyle w:val="Refdenotaalpie"/>
          <w:rFonts w:ascii="Verdana" w:hAnsi="Verdana" w:cs="Arial"/>
          <w:sz w:val="16"/>
          <w:szCs w:val="16"/>
        </w:rPr>
        <w:footnoteRef/>
      </w:r>
      <w:r w:rsidRPr="00F356F5">
        <w:rPr>
          <w:rFonts w:ascii="Verdana" w:hAnsi="Verdana" w:cs="Arial"/>
          <w:sz w:val="16"/>
          <w:szCs w:val="16"/>
        </w:rPr>
        <w:t xml:space="preserve"> MATALLANA CAMACHO, Ernesto. Manual de Contratación de la Administración Pública. Reforma de la Ley 80 de 1993. Bogotá: Universidad Externado de Colombia, 2015. p. 968.</w:t>
      </w:r>
    </w:p>
  </w:footnote>
  <w:footnote w:id="7">
    <w:p w14:paraId="72C6010E" w14:textId="77777777" w:rsidR="000B3237" w:rsidRPr="00F356F5" w:rsidRDefault="000B3237" w:rsidP="000B3237">
      <w:pPr>
        <w:pStyle w:val="Textonotapie"/>
        <w:snapToGrid w:val="0"/>
        <w:ind w:firstLine="708"/>
        <w:contextualSpacing/>
        <w:jc w:val="both"/>
        <w:rPr>
          <w:rFonts w:ascii="Verdana" w:hAnsi="Verdana" w:cs="Arial"/>
          <w:sz w:val="16"/>
          <w:szCs w:val="16"/>
          <w:lang w:val="es-ES_tradnl"/>
        </w:rPr>
      </w:pPr>
      <w:r w:rsidRPr="00F356F5">
        <w:rPr>
          <w:rStyle w:val="Refdenotaalpie"/>
          <w:rFonts w:ascii="Verdana" w:hAnsi="Verdana" w:cs="Arial"/>
          <w:sz w:val="16"/>
          <w:szCs w:val="16"/>
        </w:rPr>
        <w:footnoteRef/>
      </w:r>
      <w:r w:rsidRPr="00F356F5">
        <w:rPr>
          <w:rFonts w:ascii="Verdana" w:hAnsi="Verdana" w:cs="Arial"/>
          <w:sz w:val="16"/>
          <w:szCs w:val="16"/>
        </w:rPr>
        <w:t xml:space="preserve"> </w:t>
      </w:r>
      <w:r w:rsidRPr="00F356F5">
        <w:rPr>
          <w:rFonts w:ascii="Verdana" w:hAnsi="Verdana" w:cs="Arial"/>
          <w:sz w:val="16"/>
          <w:szCs w:val="16"/>
          <w:lang w:val="es-ES_tradnl"/>
        </w:rPr>
        <w:t xml:space="preserve">Respecto a la referencia a los bienes inmuebles, debe considerarse la definición de los artículos 656 y 658 del Código Civil, que incluye en esa categoría tanto a los inmuebles por adhesión como por destinación. De esta manera, la referencia contenida en el numeral 1 del artículo 32 la Ley 80 de 1993 a inmuebles debe entenderse que se extiende a los inmuebles anteriormente mencionados, razón por la cual la tipicidad del contrato de obra incluye cualquier clase de trabajo sobre inmuebles por adhesión o por destinación. </w:t>
      </w:r>
    </w:p>
  </w:footnote>
  <w:footnote w:id="8">
    <w:p w14:paraId="31235E50" w14:textId="77777777" w:rsidR="000B3237" w:rsidRPr="00F356F5" w:rsidRDefault="000B3237" w:rsidP="000B3237">
      <w:pPr>
        <w:pStyle w:val="Textonotapie"/>
        <w:snapToGrid w:val="0"/>
        <w:ind w:firstLine="709"/>
        <w:contextualSpacing/>
        <w:jc w:val="both"/>
        <w:rPr>
          <w:rFonts w:ascii="Verdana" w:hAnsi="Verdana" w:cs="Arial"/>
          <w:color w:val="000000"/>
          <w:sz w:val="16"/>
          <w:szCs w:val="16"/>
        </w:rPr>
      </w:pPr>
      <w:r w:rsidRPr="00F356F5">
        <w:rPr>
          <w:rStyle w:val="Refdenotaalpie"/>
          <w:rFonts w:ascii="Verdana" w:hAnsi="Verdana" w:cs="Arial"/>
          <w:color w:val="000000"/>
          <w:sz w:val="16"/>
          <w:szCs w:val="16"/>
        </w:rPr>
        <w:footnoteRef/>
      </w:r>
      <w:r w:rsidRPr="00F356F5">
        <w:rPr>
          <w:rFonts w:ascii="Verdana" w:hAnsi="Verdana" w:cs="Arial"/>
          <w:color w:val="000000"/>
          <w:sz w:val="16"/>
          <w:szCs w:val="16"/>
        </w:rPr>
        <w:t xml:space="preserve"> CONSEJO DE ESTADO. Sala de Consulta y Servicio Civil. Concepto del 5 de septiembre de 2018. Rad. 2.386. C.P. Edgar González López.</w:t>
      </w:r>
    </w:p>
  </w:footnote>
  <w:footnote w:id="9">
    <w:p w14:paraId="34E5F004" w14:textId="77777777" w:rsidR="000B3237" w:rsidRPr="00F356F5" w:rsidRDefault="000B3237" w:rsidP="000B3237">
      <w:pPr>
        <w:pStyle w:val="Textonotapie"/>
        <w:snapToGrid w:val="0"/>
        <w:ind w:firstLine="708"/>
        <w:contextualSpacing/>
        <w:jc w:val="both"/>
        <w:rPr>
          <w:rFonts w:ascii="Verdana" w:hAnsi="Verdana"/>
          <w:sz w:val="16"/>
          <w:szCs w:val="16"/>
        </w:rPr>
      </w:pPr>
      <w:r w:rsidRPr="00F356F5">
        <w:rPr>
          <w:rStyle w:val="Refdenotaalpie"/>
          <w:rFonts w:ascii="Verdana" w:hAnsi="Verdana"/>
          <w:sz w:val="16"/>
          <w:szCs w:val="16"/>
        </w:rPr>
        <w:footnoteRef/>
      </w:r>
      <w:r w:rsidRPr="00F356F5">
        <w:rPr>
          <w:rFonts w:ascii="Verdana" w:hAnsi="Verdana"/>
          <w:sz w:val="16"/>
          <w:szCs w:val="16"/>
        </w:rPr>
        <w:t xml:space="preserve"> De acuerdo con la norma citada: “Artículo 87. Maduración de proyectos. El numeral 12 del artículo 25 de la Ley 80 de 1993 quedará así:</w:t>
      </w:r>
    </w:p>
    <w:p w14:paraId="743591D5" w14:textId="77777777" w:rsidR="000B3237" w:rsidRPr="00F356F5" w:rsidRDefault="000B3237" w:rsidP="000B3237">
      <w:pPr>
        <w:pStyle w:val="Textonotapie"/>
        <w:snapToGrid w:val="0"/>
        <w:ind w:firstLine="708"/>
        <w:contextualSpacing/>
        <w:jc w:val="both"/>
        <w:rPr>
          <w:rFonts w:ascii="Verdana" w:hAnsi="Verdana"/>
          <w:sz w:val="16"/>
          <w:szCs w:val="16"/>
        </w:rPr>
      </w:pPr>
      <w:r w:rsidRPr="00F356F5">
        <w:rPr>
          <w:rFonts w:ascii="Verdana" w:hAnsi="Verdana"/>
          <w:sz w:val="16"/>
          <w:szCs w:val="16"/>
        </w:rPr>
        <w:t>12. Previo a la apertura de un proceso de selección, o a la firma del contrato en el caso en que la modalidad de selección sea contratación directa, deberán elaborarse los estudios, diseños y proyectos requeridos, y los pliegos de condiciones, según corresponda.</w:t>
      </w:r>
    </w:p>
    <w:p w14:paraId="4628840D" w14:textId="77777777" w:rsidR="000B3237" w:rsidRPr="00F356F5" w:rsidRDefault="000B3237" w:rsidP="000B3237">
      <w:pPr>
        <w:pStyle w:val="Textonotapie"/>
        <w:snapToGrid w:val="0"/>
        <w:ind w:firstLine="708"/>
        <w:contextualSpacing/>
        <w:jc w:val="both"/>
        <w:rPr>
          <w:rFonts w:ascii="Verdana" w:hAnsi="Verdana"/>
          <w:sz w:val="16"/>
          <w:szCs w:val="16"/>
        </w:rPr>
      </w:pPr>
      <w:r w:rsidRPr="00F356F5">
        <w:rPr>
          <w:rFonts w:ascii="Verdana" w:hAnsi="Verdana"/>
          <w:sz w:val="16"/>
          <w:szCs w:val="16"/>
        </w:rPr>
        <w:t>Cuando el objeto de la contratación incluya la realización de una obra, en la misma oportunidad señalada en el inciso primero, la entidad contratante deberá contar con los estudios y diseños que permitan establecer la viabilidad del proyecto y su impacto social, económico y ambiental. Esta condición será aplicable incluso para los contratos que incluyan dentro del objeto el diseño”.</w:t>
      </w:r>
    </w:p>
  </w:footnote>
  <w:footnote w:id="10">
    <w:p w14:paraId="1B5EC150" w14:textId="77777777" w:rsidR="000B3237" w:rsidRPr="00F356F5" w:rsidRDefault="000B3237" w:rsidP="000B3237">
      <w:pPr>
        <w:pStyle w:val="Textonotapie"/>
        <w:snapToGrid w:val="0"/>
        <w:ind w:firstLine="708"/>
        <w:contextualSpacing/>
        <w:jc w:val="both"/>
        <w:rPr>
          <w:rFonts w:ascii="Verdana" w:hAnsi="Verdana" w:cs="Arial"/>
          <w:sz w:val="16"/>
          <w:szCs w:val="16"/>
        </w:rPr>
      </w:pPr>
      <w:r w:rsidRPr="00F356F5">
        <w:rPr>
          <w:rStyle w:val="Refdenotaalpie"/>
          <w:rFonts w:ascii="Verdana" w:hAnsi="Verdana" w:cs="Arial"/>
          <w:sz w:val="16"/>
          <w:szCs w:val="16"/>
        </w:rPr>
        <w:footnoteRef/>
      </w:r>
      <w:r w:rsidRPr="00F356F5">
        <w:rPr>
          <w:rFonts w:ascii="Verdana" w:hAnsi="Verdana" w:cs="Arial"/>
          <w:sz w:val="16"/>
          <w:szCs w:val="16"/>
        </w:rPr>
        <w:t xml:space="preserve"> El artículo 26.3 de la Ley 80 de 1993 dispone que “Las entidades y los servidores públicos, responderán cuando hubieren abierto licitaciones o concursos sin haber elaborado previamente los correspondientes pliegos de condiciones, diseños, estudios, planos y evaluaciones que fueren necesarios, o cuando los pliegos de condiciones hayan sido elaborados en forma incompleta, ambigua o confusa que conduzcan a interpretaciones o decisiones de carácter subjetivo por parte de aquellos”.</w:t>
      </w:r>
    </w:p>
  </w:footnote>
  <w:footnote w:id="11">
    <w:p w14:paraId="1D2AE4B2" w14:textId="77777777" w:rsidR="000B3237" w:rsidRPr="00F356F5" w:rsidRDefault="000B3237" w:rsidP="000B3237">
      <w:pPr>
        <w:snapToGrid w:val="0"/>
        <w:spacing w:after="0" w:line="240" w:lineRule="auto"/>
        <w:ind w:firstLine="709"/>
        <w:contextualSpacing/>
        <w:jc w:val="both"/>
        <w:rPr>
          <w:rFonts w:ascii="Verdana" w:hAnsi="Verdana" w:cs="Arial"/>
          <w:sz w:val="16"/>
          <w:szCs w:val="16"/>
        </w:rPr>
      </w:pPr>
      <w:r w:rsidRPr="00F356F5">
        <w:rPr>
          <w:rStyle w:val="Refdenotaalpie"/>
          <w:rFonts w:ascii="Verdana" w:hAnsi="Verdana" w:cs="Arial"/>
          <w:sz w:val="16"/>
          <w:szCs w:val="16"/>
        </w:rPr>
        <w:footnoteRef/>
      </w:r>
      <w:r w:rsidRPr="00F356F5">
        <w:rPr>
          <w:rFonts w:ascii="Verdana" w:hAnsi="Verdana" w:cs="Arial"/>
          <w:sz w:val="16"/>
          <w:szCs w:val="16"/>
        </w:rPr>
        <w:t xml:space="preserve"> Decreto 1082 de 2015: “Artículo 2.2.1.1.2.1.1</w:t>
      </w:r>
      <w:r w:rsidRPr="00F356F5">
        <w:rPr>
          <w:rFonts w:ascii="Verdana" w:hAnsi="Verdana" w:cs="Arial"/>
          <w:b/>
          <w:sz w:val="16"/>
          <w:szCs w:val="16"/>
        </w:rPr>
        <w:t xml:space="preserve">. </w:t>
      </w:r>
      <w:r w:rsidRPr="00F356F5">
        <w:rPr>
          <w:rFonts w:ascii="Verdana" w:hAnsi="Verdana" w:cs="Arial"/>
          <w:sz w:val="16"/>
          <w:szCs w:val="16"/>
        </w:rPr>
        <w:t>Estudios y documentos previos</w:t>
      </w:r>
      <w:r w:rsidRPr="00F356F5">
        <w:rPr>
          <w:rFonts w:ascii="Verdana" w:hAnsi="Verdana" w:cs="Arial"/>
          <w:b/>
          <w:i/>
          <w:sz w:val="16"/>
          <w:szCs w:val="16"/>
        </w:rPr>
        <w:t xml:space="preserve">. </w:t>
      </w:r>
      <w:r w:rsidRPr="00F356F5">
        <w:rPr>
          <w:rFonts w:ascii="Verdana" w:hAnsi="Verdana" w:cs="Arial"/>
          <w:sz w:val="16"/>
          <w:szCs w:val="16"/>
        </w:rPr>
        <w:t>Los estudios y documentos previos son el soporte para elaborar el proyecto de pliegos, los pliegos de condiciones, y el contrato. Deben permanecer a disposición del público durante el desarrollo del Proceso de Contratación y contener los siguientes elementos, además de los indicados para cada modalidad de selección: “[…] 2. El objeto a contratar, con sus especificaciones, las autorizaciones, permisos y licencias requeridos para su ejecución, y cuando el contrato incluye diseño y construcción, los documentos técnicos para el desarrollo del proyecto [...]”.</w:t>
      </w:r>
    </w:p>
  </w:footnote>
  <w:footnote w:id="12">
    <w:p w14:paraId="119430D9" w14:textId="77777777" w:rsidR="000B3237" w:rsidRPr="00F356F5" w:rsidRDefault="000B3237" w:rsidP="000B3237">
      <w:pPr>
        <w:pStyle w:val="Textonotapie"/>
        <w:snapToGrid w:val="0"/>
        <w:ind w:firstLine="708"/>
        <w:contextualSpacing/>
        <w:jc w:val="both"/>
        <w:rPr>
          <w:rFonts w:ascii="Verdana" w:hAnsi="Verdana" w:cs="Arial"/>
          <w:sz w:val="16"/>
          <w:szCs w:val="16"/>
        </w:rPr>
      </w:pPr>
      <w:r w:rsidRPr="00F356F5">
        <w:rPr>
          <w:rStyle w:val="Refdenotaalpie"/>
          <w:rFonts w:ascii="Verdana" w:hAnsi="Verdana" w:cs="Arial"/>
          <w:sz w:val="16"/>
          <w:szCs w:val="16"/>
        </w:rPr>
        <w:footnoteRef/>
      </w:r>
      <w:r w:rsidRPr="00F356F5">
        <w:rPr>
          <w:rFonts w:ascii="Verdana" w:hAnsi="Verdana" w:cs="Arial"/>
          <w:sz w:val="16"/>
          <w:szCs w:val="16"/>
        </w:rPr>
        <w:t xml:space="preserve"> Al respecto, la doctrina considera que “[…] resulta legalmente posible que se contrate en un mismo proceso el diseño de la obra y su ejecución, en la medida que los estudios previos realizados por la entidad soporten esa necesidad, lo que resulta consistente con la frase final del numeral 2° del artículo 20 del Decreto 1510 de 2013, al disponer que cuando el objeto a contratar comprenda el diseño y construcción de la obra, deberán publicarse los documentos técnicos para el desarrollo del proyecto […]” (Cfr. SUÁREZ BELTRÁN, Gonzalo. Estudios de derecho público contractual: Bogotá: Legis, 2014. p. 6).  </w:t>
      </w:r>
    </w:p>
  </w:footnote>
  <w:footnote w:id="13">
    <w:p w14:paraId="7D22A070" w14:textId="77777777" w:rsidR="000B3237" w:rsidRPr="00F356F5" w:rsidRDefault="000B3237" w:rsidP="000B3237">
      <w:pPr>
        <w:snapToGrid w:val="0"/>
        <w:spacing w:after="0" w:line="240" w:lineRule="auto"/>
        <w:ind w:firstLine="709"/>
        <w:contextualSpacing/>
        <w:jc w:val="both"/>
        <w:rPr>
          <w:rFonts w:ascii="Verdana" w:hAnsi="Verdana"/>
          <w:sz w:val="16"/>
          <w:szCs w:val="16"/>
        </w:rPr>
      </w:pPr>
      <w:r w:rsidRPr="00F356F5">
        <w:rPr>
          <w:rStyle w:val="Refdenotaalpie"/>
          <w:rFonts w:ascii="Verdana" w:hAnsi="Verdana" w:cs="Arial"/>
          <w:sz w:val="16"/>
          <w:szCs w:val="16"/>
        </w:rPr>
        <w:footnoteRef/>
      </w:r>
      <w:r w:rsidRPr="00F356F5">
        <w:rPr>
          <w:rFonts w:ascii="Verdana" w:hAnsi="Verdana" w:cs="Arial"/>
          <w:sz w:val="16"/>
          <w:szCs w:val="16"/>
        </w:rPr>
        <w:t xml:space="preserve"> Ley 1682 de 2013: “Artículo 12. En lo que se refiere a la infraestructura de transporte terrestre, aeronáutica, aeroportuaria y acuática, se tendrán en cuenta las siguientes definiciones:</w:t>
      </w:r>
    </w:p>
    <w:p w14:paraId="3471DDF4" w14:textId="77777777" w:rsidR="000B3237" w:rsidRPr="00F356F5" w:rsidRDefault="000B3237" w:rsidP="000B3237">
      <w:pPr>
        <w:snapToGrid w:val="0"/>
        <w:spacing w:after="0" w:line="240" w:lineRule="auto"/>
        <w:ind w:firstLine="709"/>
        <w:contextualSpacing/>
        <w:jc w:val="both"/>
        <w:rPr>
          <w:rFonts w:ascii="Verdana" w:hAnsi="Verdana"/>
          <w:sz w:val="16"/>
          <w:szCs w:val="16"/>
        </w:rPr>
      </w:pPr>
      <w:r w:rsidRPr="00F356F5">
        <w:rPr>
          <w:rFonts w:ascii="Verdana" w:hAnsi="Verdana" w:cs="Arial"/>
          <w:sz w:val="16"/>
          <w:szCs w:val="16"/>
        </w:rPr>
        <w:t>Estudios de Ingeniería. Sin perjuicio de lo previsto en la Ley</w:t>
      </w:r>
      <w:hyperlink r:id="rId1" w:anchor="Inicio">
        <w:r w:rsidRPr="00F356F5">
          <w:rPr>
            <w:rFonts w:ascii="Verdana" w:hAnsi="Verdana" w:cs="Arial"/>
            <w:sz w:val="16"/>
            <w:szCs w:val="16"/>
          </w:rPr>
          <w:t xml:space="preserve"> 1508 </w:t>
        </w:r>
      </w:hyperlink>
      <w:r w:rsidRPr="00F356F5">
        <w:rPr>
          <w:rFonts w:ascii="Verdana" w:hAnsi="Verdana" w:cs="Arial"/>
          <w:sz w:val="16"/>
          <w:szCs w:val="16"/>
        </w:rPr>
        <w:t>de 2012 y sus decretos reglamentarios, las siguientes definiciones deben tenerse en cuenta en la preparación de los diversos estudios de ingeniería que se adelanten para la ejecución de los proyectos de</w:t>
      </w:r>
      <w:r w:rsidRPr="00F356F5">
        <w:rPr>
          <w:rFonts w:ascii="Verdana" w:hAnsi="Verdana" w:cs="Arial"/>
          <w:spacing w:val="-10"/>
          <w:sz w:val="16"/>
          <w:szCs w:val="16"/>
        </w:rPr>
        <w:t xml:space="preserve"> </w:t>
      </w:r>
      <w:r w:rsidRPr="00F356F5">
        <w:rPr>
          <w:rFonts w:ascii="Verdana" w:hAnsi="Verdana" w:cs="Arial"/>
          <w:sz w:val="16"/>
          <w:szCs w:val="16"/>
        </w:rPr>
        <w:t>infraestructura:</w:t>
      </w:r>
    </w:p>
    <w:p w14:paraId="0F5C9776" w14:textId="77777777" w:rsidR="000B3237" w:rsidRPr="00F356F5" w:rsidRDefault="000B3237" w:rsidP="000B3237">
      <w:pPr>
        <w:snapToGrid w:val="0"/>
        <w:spacing w:after="0" w:line="240" w:lineRule="auto"/>
        <w:ind w:firstLine="709"/>
        <w:contextualSpacing/>
        <w:jc w:val="both"/>
        <w:rPr>
          <w:rFonts w:ascii="Verdana" w:hAnsi="Verdana"/>
          <w:sz w:val="16"/>
          <w:szCs w:val="16"/>
        </w:rPr>
      </w:pPr>
      <w:r w:rsidRPr="00F356F5">
        <w:rPr>
          <w:rFonts w:ascii="Verdana" w:hAnsi="Verdana" w:cs="Arial"/>
          <w:sz w:val="16"/>
          <w:szCs w:val="16"/>
        </w:rPr>
        <w:t>Fase 1. Prefactibilidad. Es la fase en la cual se debe realizar el prediseño aproximado del proyecto, presentando alternativas y realizar la evaluación económica preliminar recurriendo a costos obtenidos en proyectos con condiciones similares, utilizando modelos de simulación debidamente aprobados por las entidades solicitantes. En esta fase se debe consultar la herramienta o base de datos que determine el Ministerio de Ambiente y Desarrollo Sostenible para tal fin, dentro de la Ventanilla Integral de Trámites Ambientales en Línea (Vital). El objetivo de la fase 1 es surtir el proceso para establecer la alternativa de trazado que a este nivel satisface en mayor medida los requisitos técnicos y financieros.</w:t>
      </w:r>
    </w:p>
    <w:p w14:paraId="6E2B37B9" w14:textId="77777777" w:rsidR="000B3237" w:rsidRPr="00F356F5" w:rsidRDefault="000B3237" w:rsidP="000B3237">
      <w:pPr>
        <w:snapToGrid w:val="0"/>
        <w:spacing w:after="0" w:line="240" w:lineRule="auto"/>
        <w:ind w:firstLine="709"/>
        <w:contextualSpacing/>
        <w:jc w:val="both"/>
        <w:rPr>
          <w:rFonts w:ascii="Verdana" w:hAnsi="Verdana"/>
          <w:sz w:val="16"/>
          <w:szCs w:val="16"/>
        </w:rPr>
      </w:pPr>
      <w:r w:rsidRPr="00F356F5">
        <w:rPr>
          <w:rFonts w:ascii="Verdana" w:hAnsi="Verdana" w:cs="Arial"/>
          <w:sz w:val="16"/>
          <w:szCs w:val="16"/>
        </w:rPr>
        <w:t>Fase 2. Factibilidad. Es la fase en la cual se debe diseñar el proyecto y efectuar la evaluación económica final, mediante la simulación con el modelo aprobado por las entidades contratantes. Tiene por finalidad establecer si el proyecto es factible para su ejecución, considerando todos los aspectos relacionados con el mismo.</w:t>
      </w:r>
    </w:p>
    <w:p w14:paraId="0B059458" w14:textId="77777777" w:rsidR="000B3237" w:rsidRPr="00F356F5" w:rsidRDefault="000B3237" w:rsidP="000B3237">
      <w:pPr>
        <w:snapToGrid w:val="0"/>
        <w:spacing w:after="0" w:line="240" w:lineRule="auto"/>
        <w:ind w:firstLine="709"/>
        <w:contextualSpacing/>
        <w:jc w:val="both"/>
        <w:rPr>
          <w:rFonts w:ascii="Verdana" w:hAnsi="Verdana"/>
          <w:sz w:val="16"/>
          <w:szCs w:val="16"/>
        </w:rPr>
      </w:pPr>
      <w:r w:rsidRPr="00F356F5">
        <w:rPr>
          <w:rFonts w:ascii="Verdana" w:hAnsi="Verdana" w:cs="Arial"/>
          <w:sz w:val="16"/>
          <w:szCs w:val="16"/>
        </w:rPr>
        <w:t>En esta fase se identifican las redes, infraestructuras y activos existentes, las comunidades étnicas y el patrimonio urbano, arquitectónico, cultural y arqueológico que puedan impactar el proyecto, así como títulos mineros en procesos de adjudicación, otorgados, existentes y en explotación.</w:t>
      </w:r>
    </w:p>
    <w:p w14:paraId="7018A93D" w14:textId="77777777" w:rsidR="000B3237" w:rsidRPr="00F356F5" w:rsidRDefault="000B3237" w:rsidP="000B3237">
      <w:pPr>
        <w:snapToGrid w:val="0"/>
        <w:spacing w:after="0" w:line="240" w:lineRule="auto"/>
        <w:ind w:firstLine="709"/>
        <w:contextualSpacing/>
        <w:jc w:val="both"/>
        <w:rPr>
          <w:rFonts w:ascii="Verdana" w:hAnsi="Verdana"/>
          <w:sz w:val="16"/>
          <w:szCs w:val="16"/>
        </w:rPr>
      </w:pPr>
      <w:r w:rsidRPr="00F356F5">
        <w:rPr>
          <w:rFonts w:ascii="Verdana" w:hAnsi="Verdana" w:cs="Arial"/>
          <w:sz w:val="16"/>
          <w:szCs w:val="16"/>
        </w:rPr>
        <w:t>Desarrollados los estudios de factibilidad del proyecto, podrá la entidad pública o el responsable del diseño si ya fue adjudicado el proyecto, continuar con la elaboración de los diseños definitivos.</w:t>
      </w:r>
    </w:p>
    <w:p w14:paraId="7D218EFB" w14:textId="77777777" w:rsidR="000B3237" w:rsidRPr="00F356F5" w:rsidRDefault="000B3237" w:rsidP="000B3237">
      <w:pPr>
        <w:snapToGrid w:val="0"/>
        <w:spacing w:after="0" w:line="240" w:lineRule="auto"/>
        <w:ind w:firstLine="709"/>
        <w:contextualSpacing/>
        <w:jc w:val="both"/>
        <w:rPr>
          <w:rFonts w:ascii="Verdana" w:hAnsi="Verdana"/>
          <w:sz w:val="16"/>
          <w:szCs w:val="16"/>
        </w:rPr>
      </w:pPr>
      <w:r w:rsidRPr="00F356F5">
        <w:rPr>
          <w:rFonts w:ascii="Verdana" w:hAnsi="Verdana" w:cs="Arial"/>
          <w:sz w:val="16"/>
          <w:szCs w:val="16"/>
        </w:rPr>
        <w:t>Finalizada esta fase de factibilidad, la entidad pública o el contratista, si ya fue adjudicado el proyecto de infraestructura de transporte, adelantará el estudio de impacto ambiental, el cual será sometido a aprobación de la autoridad ambiental quien otorgará la licencia</w:t>
      </w:r>
      <w:r w:rsidRPr="00F356F5">
        <w:rPr>
          <w:rFonts w:ascii="Verdana" w:hAnsi="Verdana" w:cs="Arial"/>
          <w:spacing w:val="-6"/>
          <w:sz w:val="16"/>
          <w:szCs w:val="16"/>
        </w:rPr>
        <w:t xml:space="preserve"> </w:t>
      </w:r>
      <w:r w:rsidRPr="00F356F5">
        <w:rPr>
          <w:rFonts w:ascii="Verdana" w:hAnsi="Verdana" w:cs="Arial"/>
          <w:sz w:val="16"/>
          <w:szCs w:val="16"/>
        </w:rPr>
        <w:t>respectiva.</w:t>
      </w:r>
    </w:p>
    <w:p w14:paraId="0B771CE9" w14:textId="77777777" w:rsidR="000B3237" w:rsidRPr="00F356F5" w:rsidRDefault="000B3237" w:rsidP="000B3237">
      <w:pPr>
        <w:snapToGrid w:val="0"/>
        <w:spacing w:after="0" w:line="240" w:lineRule="auto"/>
        <w:ind w:firstLine="708"/>
        <w:contextualSpacing/>
        <w:jc w:val="both"/>
        <w:rPr>
          <w:rFonts w:ascii="Verdana" w:hAnsi="Verdana" w:cs="Arial"/>
          <w:sz w:val="16"/>
          <w:szCs w:val="16"/>
        </w:rPr>
      </w:pPr>
      <w:r w:rsidRPr="00F356F5">
        <w:rPr>
          <w:rFonts w:ascii="Verdana" w:hAnsi="Verdana" w:cs="Arial"/>
          <w:sz w:val="16"/>
          <w:szCs w:val="16"/>
        </w:rPr>
        <w:t>Fase 3. Estudios y diseños definitivos. Es la fase en la cual se deben elaborar los diseños detallados tanto geométricos como de todas las estructuras y obras que se requieran, de tal forma que un constructor pueda materializar el proyecto. El objetivo de esta fase es materializar en campo el proyecto definitivo y diseñar todos sus componentes de tal manera que se pueda dar inicio a su construcción”.</w:t>
      </w:r>
    </w:p>
  </w:footnote>
  <w:footnote w:id="14">
    <w:p w14:paraId="739CD582" w14:textId="77777777" w:rsidR="000B3237" w:rsidRPr="00F356F5" w:rsidRDefault="000B3237" w:rsidP="000B3237">
      <w:pPr>
        <w:pStyle w:val="Textonotapie"/>
        <w:snapToGrid w:val="0"/>
        <w:ind w:firstLine="709"/>
        <w:contextualSpacing/>
        <w:jc w:val="both"/>
        <w:rPr>
          <w:rFonts w:ascii="Verdana" w:hAnsi="Verdana" w:cs="Arial"/>
          <w:sz w:val="16"/>
          <w:szCs w:val="16"/>
        </w:rPr>
      </w:pPr>
      <w:r w:rsidRPr="00F356F5">
        <w:rPr>
          <w:rStyle w:val="Refdenotaalpie"/>
          <w:rFonts w:ascii="Verdana" w:hAnsi="Verdana" w:cs="Arial"/>
          <w:sz w:val="16"/>
          <w:szCs w:val="16"/>
        </w:rPr>
        <w:footnoteRef/>
      </w:r>
      <w:r w:rsidRPr="00F356F5">
        <w:rPr>
          <w:rFonts w:ascii="Verdana" w:hAnsi="Verdana" w:cs="Arial"/>
          <w:sz w:val="16"/>
          <w:szCs w:val="16"/>
        </w:rPr>
        <w:t xml:space="preserve"> Consejo de Estado, Sala de Consulta y Servicio Civil, Concepto 1439 del 18 de julio de 2002. Consejera Ponente: Susana Montes de Echeverri.</w:t>
      </w:r>
    </w:p>
  </w:footnote>
  <w:footnote w:id="15">
    <w:p w14:paraId="62B7C546" w14:textId="77777777" w:rsidR="000B3237" w:rsidRPr="00F356F5" w:rsidRDefault="000B3237" w:rsidP="000B3237">
      <w:pPr>
        <w:snapToGrid w:val="0"/>
        <w:spacing w:after="0" w:line="240" w:lineRule="auto"/>
        <w:ind w:firstLine="707"/>
        <w:contextualSpacing/>
        <w:jc w:val="both"/>
        <w:rPr>
          <w:rFonts w:ascii="Verdana" w:hAnsi="Verdana" w:cs="Arial"/>
          <w:color w:val="000000" w:themeColor="text1"/>
          <w:sz w:val="16"/>
          <w:szCs w:val="16"/>
        </w:rPr>
      </w:pPr>
      <w:r w:rsidRPr="00F356F5">
        <w:rPr>
          <w:rStyle w:val="Refdenotaalpie"/>
          <w:rFonts w:ascii="Verdana" w:hAnsi="Verdana" w:cs="Arial"/>
          <w:color w:val="000000" w:themeColor="text1"/>
          <w:sz w:val="16"/>
          <w:szCs w:val="16"/>
        </w:rPr>
        <w:footnoteRef/>
      </w:r>
      <w:r w:rsidRPr="00F356F5">
        <w:rPr>
          <w:rFonts w:ascii="Verdana" w:hAnsi="Verdana" w:cs="Arial"/>
          <w:color w:val="000000" w:themeColor="text1"/>
          <w:sz w:val="16"/>
          <w:szCs w:val="16"/>
        </w:rPr>
        <w:t xml:space="preserve"> VALLEJO, Felipe. Responsabilidad profesional en la construcción de obras. Revista Derecho Del Estado, n.º 20 (1), 97-120. </w:t>
      </w:r>
      <w:hyperlink r:id="rId2">
        <w:r w:rsidRPr="00F356F5">
          <w:rPr>
            <w:rFonts w:ascii="Verdana" w:hAnsi="Verdana" w:cs="Arial"/>
            <w:color w:val="000000" w:themeColor="text1"/>
            <w:sz w:val="16"/>
            <w:szCs w:val="16"/>
            <w:u w:val="single" w:color="F1F1F1"/>
          </w:rPr>
          <w:t>https://revistas.uexternado.edu.co/index.php/derest/article/view/706</w:t>
        </w:r>
        <w:r w:rsidRPr="00F356F5">
          <w:rPr>
            <w:rFonts w:ascii="Verdana" w:hAnsi="Verdana" w:cs="Arial"/>
            <w:color w:val="000000" w:themeColor="text1"/>
            <w:sz w:val="16"/>
            <w:szCs w:val="16"/>
          </w:rPr>
          <w:t xml:space="preserve">. </w:t>
        </w:r>
      </w:hyperlink>
      <w:r w:rsidRPr="00F356F5">
        <w:rPr>
          <w:rFonts w:ascii="Verdana" w:hAnsi="Verdana" w:cs="Arial"/>
          <w:color w:val="000000" w:themeColor="text1"/>
          <w:sz w:val="16"/>
          <w:szCs w:val="16"/>
        </w:rPr>
        <w:t>pp. 106-107.</w:t>
      </w:r>
    </w:p>
  </w:footnote>
  <w:footnote w:id="16">
    <w:p w14:paraId="3F1801BF" w14:textId="77777777" w:rsidR="000B3237" w:rsidRPr="00F356F5" w:rsidRDefault="000B3237" w:rsidP="000B3237">
      <w:pPr>
        <w:pStyle w:val="Textonotapie"/>
        <w:snapToGrid w:val="0"/>
        <w:ind w:firstLine="709"/>
        <w:contextualSpacing/>
        <w:jc w:val="both"/>
        <w:rPr>
          <w:rFonts w:ascii="Verdana" w:hAnsi="Verdana" w:cs="Arial"/>
          <w:sz w:val="16"/>
          <w:szCs w:val="16"/>
          <w:lang w:val="es-ES"/>
        </w:rPr>
      </w:pPr>
      <w:r w:rsidRPr="00F356F5">
        <w:rPr>
          <w:rStyle w:val="Refdenotaalpie"/>
          <w:rFonts w:ascii="Verdana" w:hAnsi="Verdana" w:cs="Arial"/>
          <w:sz w:val="16"/>
          <w:szCs w:val="16"/>
        </w:rPr>
        <w:footnoteRef/>
      </w:r>
      <w:r w:rsidRPr="00F356F5">
        <w:rPr>
          <w:rFonts w:ascii="Verdana" w:hAnsi="Verdana" w:cs="Arial"/>
          <w:sz w:val="16"/>
          <w:szCs w:val="16"/>
        </w:rPr>
        <w:t xml:space="preserve"> </w:t>
      </w:r>
      <w:r w:rsidRPr="00F356F5">
        <w:rPr>
          <w:rFonts w:ascii="Verdana" w:hAnsi="Verdana" w:cs="Arial"/>
          <w:sz w:val="16"/>
          <w:szCs w:val="16"/>
          <w:lang w:val="es-ES"/>
        </w:rPr>
        <w:t xml:space="preserve">Guía para los procesos de contratación de obra pública, expedida por Colombia Compra Eficiente. </w:t>
      </w:r>
      <w:proofErr w:type="spellStart"/>
      <w:r w:rsidRPr="00F356F5">
        <w:rPr>
          <w:rFonts w:ascii="Verdana" w:hAnsi="Verdana" w:cs="Arial"/>
          <w:sz w:val="16"/>
          <w:szCs w:val="16"/>
          <w:lang w:val="es-ES"/>
        </w:rPr>
        <w:t>Pág</w:t>
      </w:r>
      <w:proofErr w:type="spellEnd"/>
      <w:r w:rsidRPr="00F356F5">
        <w:rPr>
          <w:rFonts w:ascii="Verdana" w:hAnsi="Verdana" w:cs="Arial"/>
          <w:sz w:val="16"/>
          <w:szCs w:val="16"/>
          <w:lang w:val="es-ES"/>
        </w:rPr>
        <w:t xml:space="preserve"> 9. </w:t>
      </w:r>
    </w:p>
  </w:footnote>
  <w:footnote w:id="17">
    <w:p w14:paraId="1707C4C5" w14:textId="77777777" w:rsidR="000B3237" w:rsidRPr="00F356F5" w:rsidRDefault="000B3237" w:rsidP="000B3237">
      <w:pPr>
        <w:snapToGrid w:val="0"/>
        <w:spacing w:after="0" w:line="240" w:lineRule="auto"/>
        <w:ind w:firstLine="709"/>
        <w:contextualSpacing/>
        <w:jc w:val="both"/>
        <w:rPr>
          <w:rFonts w:ascii="Verdana" w:hAnsi="Verdana" w:cs="Arial"/>
          <w:color w:val="000000" w:themeColor="text1"/>
          <w:sz w:val="16"/>
          <w:szCs w:val="16"/>
        </w:rPr>
      </w:pPr>
      <w:r w:rsidRPr="00F356F5">
        <w:rPr>
          <w:rStyle w:val="Refdenotaalpie"/>
          <w:rFonts w:ascii="Verdana" w:hAnsi="Verdana" w:cs="Arial"/>
          <w:color w:val="000000" w:themeColor="text1"/>
          <w:sz w:val="16"/>
          <w:szCs w:val="16"/>
        </w:rPr>
        <w:footnoteRef/>
      </w:r>
      <w:r w:rsidRPr="00F356F5">
        <w:rPr>
          <w:rFonts w:ascii="Verdana" w:hAnsi="Verdana" w:cs="Arial"/>
          <w:color w:val="000000" w:themeColor="text1"/>
          <w:sz w:val="16"/>
          <w:szCs w:val="16"/>
        </w:rPr>
        <w:t xml:space="preserve"> PODETTI, Humberto. El contrato de construcción. Buenos Aires: Editorial Astrea, 2004, p. 248.</w:t>
      </w:r>
    </w:p>
  </w:footnote>
  <w:footnote w:id="18">
    <w:p w14:paraId="20147EE1" w14:textId="77777777" w:rsidR="000B3237" w:rsidRPr="00F356F5" w:rsidRDefault="000B3237" w:rsidP="000B3237">
      <w:pPr>
        <w:snapToGrid w:val="0"/>
        <w:spacing w:after="0" w:line="240" w:lineRule="auto"/>
        <w:ind w:firstLine="709"/>
        <w:contextualSpacing/>
        <w:jc w:val="both"/>
        <w:rPr>
          <w:rFonts w:ascii="Verdana" w:hAnsi="Verdana" w:cs="Arial"/>
          <w:color w:val="000000" w:themeColor="text1"/>
          <w:sz w:val="16"/>
          <w:szCs w:val="16"/>
        </w:rPr>
      </w:pPr>
      <w:r w:rsidRPr="00F356F5">
        <w:rPr>
          <w:rStyle w:val="Refdenotaalpie"/>
          <w:rFonts w:ascii="Verdana" w:hAnsi="Verdana" w:cs="Arial"/>
          <w:color w:val="000000" w:themeColor="text1"/>
          <w:sz w:val="16"/>
          <w:szCs w:val="16"/>
        </w:rPr>
        <w:footnoteRef/>
      </w:r>
      <w:r w:rsidRPr="00F356F5">
        <w:rPr>
          <w:rFonts w:ascii="Verdana" w:hAnsi="Verdana" w:cs="Arial"/>
          <w:color w:val="000000" w:themeColor="text1"/>
          <w:sz w:val="16"/>
          <w:szCs w:val="16"/>
        </w:rPr>
        <w:t xml:space="preserve"> </w:t>
      </w:r>
      <w:r w:rsidRPr="00F356F5">
        <w:rPr>
          <w:rFonts w:ascii="Verdana" w:hAnsi="Verdana" w:cs="Arial"/>
          <w:i/>
          <w:color w:val="000000" w:themeColor="text1"/>
          <w:sz w:val="16"/>
          <w:szCs w:val="16"/>
        </w:rPr>
        <w:t>Ibidem</w:t>
      </w:r>
      <w:r w:rsidRPr="00F356F5">
        <w:rPr>
          <w:rFonts w:ascii="Verdana" w:hAnsi="Verdana" w:cs="Arial"/>
          <w:color w:val="000000" w:themeColor="text1"/>
          <w:sz w:val="16"/>
          <w:szCs w:val="16"/>
        </w:rPr>
        <w:t xml:space="preserve">., pp. 248-249. </w:t>
      </w:r>
    </w:p>
  </w:footnote>
  <w:footnote w:id="19">
    <w:p w14:paraId="4D5431E3" w14:textId="77777777" w:rsidR="000B3237" w:rsidRPr="00F356F5" w:rsidRDefault="000B3237" w:rsidP="000B3237">
      <w:pPr>
        <w:pStyle w:val="Textonotapie"/>
        <w:snapToGrid w:val="0"/>
        <w:ind w:firstLine="708"/>
        <w:contextualSpacing/>
        <w:jc w:val="both"/>
        <w:rPr>
          <w:rFonts w:ascii="Verdana" w:hAnsi="Verdana" w:cs="Arial"/>
          <w:sz w:val="16"/>
          <w:szCs w:val="16"/>
        </w:rPr>
      </w:pPr>
      <w:r w:rsidRPr="00F356F5">
        <w:rPr>
          <w:rStyle w:val="Refdenotaalpie"/>
          <w:rFonts w:ascii="Verdana" w:hAnsi="Verdana" w:cs="Arial"/>
          <w:sz w:val="16"/>
          <w:szCs w:val="16"/>
        </w:rPr>
        <w:footnoteRef/>
      </w:r>
      <w:r w:rsidRPr="00F356F5">
        <w:rPr>
          <w:rFonts w:ascii="Verdana" w:hAnsi="Verdana" w:cs="Arial"/>
          <w:sz w:val="16"/>
          <w:szCs w:val="16"/>
        </w:rPr>
        <w:t xml:space="preserve"> SUÁREZ BELTRÁN, Ob. cit., p. 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B3237"/>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92414"/>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B0789"/>
    <w:rsid w:val="00DC39FC"/>
    <w:rsid w:val="00DF5254"/>
    <w:rsid w:val="00E02524"/>
    <w:rsid w:val="00E16408"/>
    <w:rsid w:val="00E20894"/>
    <w:rsid w:val="00E245AB"/>
    <w:rsid w:val="00E2764C"/>
    <w:rsid w:val="00E27F2E"/>
    <w:rsid w:val="00E50AFE"/>
    <w:rsid w:val="00E60E78"/>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B3237"/>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B3237"/>
    <w:rPr>
      <w:rFonts w:ascii="Geomanist Light" w:hAnsi="Geomanist Light"/>
      <w:lang w:val="es-ES"/>
    </w:rPr>
  </w:style>
  <w:style w:type="paragraph" w:styleId="Textoindependiente">
    <w:name w:val="Body Text"/>
    <w:basedOn w:val="Normal"/>
    <w:link w:val="TextoindependienteCar"/>
    <w:uiPriority w:val="99"/>
    <w:unhideWhenUsed/>
    <w:rsid w:val="000B3237"/>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0B3237"/>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wilsonpiragauta@hot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s://revistas.uexternado.edu.co/index.php/derest/article/view/706" TargetMode="External"/><Relationship Id="rId1" Type="http://schemas.openxmlformats.org/officeDocument/2006/relationships/hyperlink" Target="http://www.secretariasenado.gov.co/senado/basedoc/ley_1508_2012.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BD034804-FF9E-4D7B-9EF2-AF04C65E3719}"/>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17</Pages>
  <Words>4990</Words>
  <Characters>27451</Characters>
  <Application>Microsoft Office Word</Application>
  <DocSecurity>0</DocSecurity>
  <Lines>228</Lines>
  <Paragraphs>64</Paragraphs>
  <ScaleCrop>false</ScaleCrop>
  <Company/>
  <LinksUpToDate>false</LinksUpToDate>
  <CharactersWithSpaces>32377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Karol Andrea Gonzalez Marin</cp:lastModifiedBy>
  <cp:revision>2</cp:revision>
  <cp:lastPrinted>2023-01-10T21:18:00Z</cp:lastPrinted>
  <dcterms:created xsi:type="dcterms:W3CDTF">2025-12-05T14:40:00Z</dcterms:created>
  <dcterms:modified xsi:type="dcterms:W3CDTF">2025-12-05T14:40:00Z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