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965AA6" w14:textId="77777777" w:rsidR="003F37D1" w:rsidRPr="0057702A" w:rsidRDefault="003F37D1" w:rsidP="003F37D1">
      <w:pPr>
        <w:spacing w:after="0" w:line="240" w:lineRule="auto"/>
        <w:jc w:val="both"/>
        <w:rPr>
          <w:rFonts w:ascii="Verdana" w:hAnsi="Verdana" w:cs="Arial"/>
          <w:b/>
          <w:bCs/>
          <w:lang w:val="es-MX" w:eastAsia="es-ES" w:bidi="es-ES"/>
        </w:rPr>
      </w:pPr>
      <w:bookmarkStart w:id="0" w:name="_Hlk143780582"/>
      <w:r w:rsidRPr="0057702A">
        <w:rPr>
          <w:rFonts w:ascii="Verdana" w:hAnsi="Verdana" w:cs="Arial"/>
          <w:b/>
          <w:bCs/>
          <w:lang w:val="es-MX" w:eastAsia="es-ES" w:bidi="es-ES"/>
        </w:rPr>
        <w:t xml:space="preserve">REQUISITOS HABILITANTES – Capacidad financiera – Autonomía de la entidad </w:t>
      </w:r>
    </w:p>
    <w:p w14:paraId="672042A2" w14:textId="77777777" w:rsidR="003F37D1" w:rsidRDefault="003F37D1" w:rsidP="003F37D1">
      <w:pPr>
        <w:spacing w:after="0" w:line="240" w:lineRule="auto"/>
        <w:jc w:val="both"/>
        <w:rPr>
          <w:rFonts w:ascii="Verdana" w:hAnsi="Verdana" w:cs="Arial"/>
          <w:bCs/>
          <w:sz w:val="20"/>
          <w:szCs w:val="20"/>
          <w:lang w:val="es-ES_tradnl" w:eastAsia="es-ES" w:bidi="es-ES"/>
        </w:rPr>
      </w:pPr>
    </w:p>
    <w:p w14:paraId="5BA920C2" w14:textId="77777777" w:rsidR="003F37D1" w:rsidRDefault="003F37D1" w:rsidP="003F37D1">
      <w:pPr>
        <w:spacing w:after="0" w:line="240" w:lineRule="auto"/>
        <w:jc w:val="both"/>
        <w:rPr>
          <w:rFonts w:ascii="Verdana" w:hAnsi="Verdana" w:cs="Arial"/>
          <w:bCs/>
          <w:sz w:val="20"/>
          <w:szCs w:val="20"/>
          <w:lang w:val="es-ES_tradnl" w:eastAsia="es-ES" w:bidi="es-ES"/>
        </w:rPr>
      </w:pPr>
      <w:r w:rsidRPr="0057702A">
        <w:rPr>
          <w:rFonts w:ascii="Verdana" w:hAnsi="Verdana" w:cs="Arial"/>
          <w:bCs/>
          <w:sz w:val="20"/>
          <w:szCs w:val="20"/>
          <w:lang w:val="es-ES_tradnl" w:eastAsia="es-ES" w:bidi="es-ES"/>
        </w:rPr>
        <w:t xml:space="preserve">Los </w:t>
      </w:r>
      <w:r w:rsidRPr="0057702A">
        <w:rPr>
          <w:rFonts w:ascii="Verdana" w:hAnsi="Verdana" w:cs="Arial"/>
          <w:bCs/>
          <w:i/>
          <w:iCs/>
          <w:sz w:val="20"/>
          <w:szCs w:val="20"/>
          <w:lang w:val="es-ES_tradnl" w:eastAsia="es-ES" w:bidi="es-ES"/>
        </w:rPr>
        <w:t>requisitos habilitantes</w:t>
      </w:r>
      <w:r w:rsidRPr="0057702A">
        <w:rPr>
          <w:rFonts w:ascii="Verdana" w:hAnsi="Verdana" w:cs="Arial"/>
          <w:bCs/>
          <w:sz w:val="20"/>
          <w:szCs w:val="20"/>
          <w:lang w:val="es-ES_tradnl" w:eastAsia="es-ES" w:bidi="es-ES"/>
        </w:rPr>
        <w:t xml:space="preserve"> se definen como exigencias de participación en los procedimientos de selección, establecidos en disposiciones normativas, de carácter legal o reglamentario, o contenidas en el acto administrativo que regula las reglas de la convocatoria, es decir, en el pliego de condiciones o el documento equivalente a este. Se diferencian de los </w:t>
      </w:r>
      <w:r w:rsidRPr="0057702A">
        <w:rPr>
          <w:rFonts w:ascii="Verdana" w:hAnsi="Verdana" w:cs="Arial"/>
          <w:bCs/>
          <w:i/>
          <w:iCs/>
          <w:sz w:val="20"/>
          <w:szCs w:val="20"/>
          <w:lang w:val="es-ES_tradnl" w:eastAsia="es-ES" w:bidi="es-ES"/>
        </w:rPr>
        <w:t>criterios de evaluación</w:t>
      </w:r>
      <w:r w:rsidRPr="0057702A">
        <w:rPr>
          <w:rFonts w:ascii="Verdana" w:hAnsi="Verdana" w:cs="Arial"/>
          <w:bCs/>
          <w:sz w:val="20"/>
          <w:szCs w:val="20"/>
          <w:lang w:val="es-ES_tradnl" w:eastAsia="es-ES" w:bidi="es-ES"/>
        </w:rPr>
        <w:t xml:space="preserve"> –también conocidos como </w:t>
      </w:r>
      <w:r w:rsidRPr="0057702A">
        <w:rPr>
          <w:rFonts w:ascii="Verdana" w:hAnsi="Verdana" w:cs="Arial"/>
          <w:bCs/>
          <w:i/>
          <w:iCs/>
          <w:sz w:val="20"/>
          <w:szCs w:val="20"/>
          <w:lang w:val="es-ES_tradnl" w:eastAsia="es-ES" w:bidi="es-ES"/>
        </w:rPr>
        <w:t>criterios de calificación</w:t>
      </w:r>
      <w:r w:rsidRPr="0057702A">
        <w:rPr>
          <w:rFonts w:ascii="Verdana" w:hAnsi="Verdana" w:cs="Arial"/>
          <w:bCs/>
          <w:sz w:val="20"/>
          <w:szCs w:val="20"/>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025A9F80" w14:textId="77777777" w:rsidR="003F37D1" w:rsidRDefault="003F37D1" w:rsidP="003F37D1">
      <w:pPr>
        <w:spacing w:after="0" w:line="240" w:lineRule="auto"/>
        <w:jc w:val="both"/>
        <w:rPr>
          <w:rFonts w:ascii="Verdana" w:hAnsi="Verdana" w:cs="Arial"/>
          <w:bCs/>
          <w:sz w:val="20"/>
          <w:szCs w:val="20"/>
          <w:lang w:val="es-ES_tradnl" w:eastAsia="es-ES" w:bidi="es-ES"/>
        </w:rPr>
      </w:pPr>
      <w:r>
        <w:rPr>
          <w:rFonts w:ascii="Verdana" w:hAnsi="Verdana" w:cs="Arial"/>
          <w:bCs/>
          <w:sz w:val="20"/>
          <w:szCs w:val="20"/>
          <w:lang w:val="es-ES_tradnl" w:eastAsia="es-ES" w:bidi="es-ES"/>
        </w:rPr>
        <w:t>[…]</w:t>
      </w:r>
    </w:p>
    <w:p w14:paraId="69A5AFFD" w14:textId="77777777" w:rsidR="003F37D1" w:rsidRPr="0057702A" w:rsidRDefault="003F37D1" w:rsidP="003F37D1">
      <w:pPr>
        <w:spacing w:after="0" w:line="240" w:lineRule="auto"/>
        <w:jc w:val="both"/>
        <w:rPr>
          <w:rFonts w:ascii="Verdana" w:hAnsi="Verdana" w:cs="Arial"/>
          <w:bCs/>
          <w:sz w:val="20"/>
          <w:szCs w:val="20"/>
          <w:lang w:val="es-ES_tradnl" w:eastAsia="es-ES" w:bidi="es-ES"/>
        </w:rPr>
      </w:pPr>
    </w:p>
    <w:p w14:paraId="145D697D" w14:textId="77777777" w:rsidR="003F37D1" w:rsidRDefault="003F37D1" w:rsidP="003F37D1">
      <w:pPr>
        <w:spacing w:after="0"/>
        <w:jc w:val="both"/>
        <w:rPr>
          <w:rFonts w:ascii="Verdana" w:hAnsi="Verdana" w:cs="Arial"/>
          <w:b/>
          <w:bCs/>
          <w:lang w:val="es-MX" w:eastAsia="es-ES" w:bidi="es-ES"/>
        </w:rPr>
      </w:pPr>
      <w:r w:rsidRPr="0057702A">
        <w:rPr>
          <w:rFonts w:ascii="Verdana" w:hAnsi="Verdana" w:cs="Arial"/>
          <w:b/>
          <w:bCs/>
          <w:lang w:val="es-MX" w:eastAsia="es-ES" w:bidi="es-ES"/>
        </w:rPr>
        <w:t>REQUISITOS HABILITANTES– Análisis del sector</w:t>
      </w:r>
    </w:p>
    <w:p w14:paraId="5EA48C18" w14:textId="77777777" w:rsidR="003F37D1" w:rsidRDefault="003F37D1" w:rsidP="003F37D1">
      <w:pPr>
        <w:spacing w:after="0"/>
        <w:jc w:val="both"/>
        <w:rPr>
          <w:rFonts w:ascii="Verdana" w:hAnsi="Verdana" w:cs="Arial"/>
          <w:b/>
          <w:bCs/>
          <w:lang w:val="es-MX" w:eastAsia="es-ES" w:bidi="es-ES"/>
        </w:rPr>
      </w:pPr>
    </w:p>
    <w:p w14:paraId="699F4A96" w14:textId="77777777" w:rsidR="003F37D1" w:rsidRPr="008C7645" w:rsidRDefault="003F37D1" w:rsidP="003F37D1">
      <w:pPr>
        <w:spacing w:after="0" w:line="240" w:lineRule="auto"/>
        <w:jc w:val="both"/>
        <w:rPr>
          <w:rFonts w:ascii="Verdana" w:hAnsi="Verdana" w:cs="Arial"/>
          <w:bCs/>
          <w:sz w:val="20"/>
          <w:szCs w:val="20"/>
          <w:lang w:val="es-MX" w:eastAsia="es-ES" w:bidi="es-ES"/>
        </w:rPr>
      </w:pPr>
      <w:r w:rsidRPr="008C7645">
        <w:rPr>
          <w:rFonts w:ascii="Verdana" w:hAnsi="Verdana" w:cs="Arial"/>
          <w:bCs/>
          <w:sz w:val="20"/>
          <w:szCs w:val="20"/>
          <w:lang w:val="es-MX" w:eastAsia="es-ES" w:bidi="es-ES"/>
        </w:rPr>
        <w:t xml:space="preserve">Ahora bien, dentro de los requisitos habilitantes se destaca la capacidad financiera, la cual se deriva del comportamiento contable de la empresa, su liquidez y endeudamiento, para determinar que sus recursos y solidez financiera le permita cumplir los compromisos que adquiera. Como explica esta Agencia en el </w:t>
      </w:r>
      <w:r w:rsidRPr="008C7645">
        <w:rPr>
          <w:rFonts w:ascii="Verdana" w:hAnsi="Verdana" w:cs="Arial"/>
          <w:bCs/>
          <w:i/>
          <w:iCs/>
          <w:sz w:val="20"/>
          <w:szCs w:val="20"/>
          <w:lang w:val="es-MX" w:eastAsia="es-ES" w:bidi="es-ES"/>
        </w:rPr>
        <w:t>Manual para determinar y verificar los requisitos habilitantes en los procesos de contratación</w:t>
      </w:r>
      <w:r w:rsidRPr="008C7645">
        <w:rPr>
          <w:rFonts w:ascii="Verdana" w:hAnsi="Verdana" w:cs="Arial"/>
          <w:bCs/>
          <w:sz w:val="20"/>
          <w:szCs w:val="20"/>
          <w:lang w:val="es-MX" w:eastAsia="es-ES" w:bidi="es-ES"/>
        </w:rPr>
        <w:t xml:space="preserve">: </w:t>
      </w:r>
      <w:r w:rsidRPr="008C7645">
        <w:rPr>
          <w:rFonts w:ascii="Verdana" w:hAnsi="Verdana" w:cs="Arial"/>
          <w:bCs/>
          <w:i/>
          <w:iCs/>
          <w:sz w:val="20"/>
          <w:szCs w:val="20"/>
          <w:lang w:val="es-MX" w:eastAsia="es-ES" w:bidi="es-ES"/>
        </w:rPr>
        <w:t>“Los indicadores de capacidad financiera buscan establecer unas condiciones mínimas que reflejan la salud financiera de los proponentes a través de su liquidez y endeudamiento. Estas condiciones muestran la aptitud del proponente para cumplir oportuna y cabalmente el objeto del contrato”</w:t>
      </w:r>
      <w:r w:rsidRPr="008C7645">
        <w:rPr>
          <w:rFonts w:ascii="Verdana" w:hAnsi="Verdana" w:cs="Arial"/>
          <w:bCs/>
          <w:i/>
          <w:iCs/>
          <w:sz w:val="20"/>
          <w:szCs w:val="20"/>
          <w:lang w:val="es-ES_tradnl" w:eastAsia="es-ES" w:bidi="es-ES"/>
        </w:rPr>
        <w:t>.</w:t>
      </w:r>
      <w:r w:rsidRPr="008C7645">
        <w:rPr>
          <w:rFonts w:ascii="Verdana" w:hAnsi="Verdana" w:cs="Arial"/>
          <w:bCs/>
          <w:sz w:val="20"/>
          <w:szCs w:val="20"/>
          <w:lang w:val="es-MX" w:eastAsia="es-ES" w:bidi="es-ES"/>
        </w:rPr>
        <w:t xml:space="preserve"> La Entidad Estatal, como responsable de la estructuración de su procedimiento de selección, es autónoma para determinar la capacidad financiera necesaria de acuerdo con el objeto contractual que se pretende satisfacer, no obstante, en atención a lo dispuesto en el artículo 2.2.1.1.1.6.2 del Decreto 1082 de 2015, debe ser establecida con sustento en el estudio del sector y sus componentes como la identificación de riesgos, el mercado y precio del bien, obra o servicio a contratar.</w:t>
      </w:r>
    </w:p>
    <w:p w14:paraId="1EFD3C7A" w14:textId="77777777" w:rsidR="003F37D1" w:rsidRDefault="003F37D1" w:rsidP="003F37D1">
      <w:pPr>
        <w:spacing w:after="0" w:line="240" w:lineRule="auto"/>
        <w:jc w:val="both"/>
        <w:rPr>
          <w:rFonts w:ascii="Verdana" w:hAnsi="Verdana" w:cs="Arial"/>
          <w:bCs/>
          <w:sz w:val="20"/>
          <w:szCs w:val="20"/>
          <w:lang w:val="es-ES_tradnl" w:eastAsia="es-ES" w:bidi="es-ES"/>
        </w:rPr>
      </w:pPr>
    </w:p>
    <w:p w14:paraId="7405E1F1" w14:textId="77777777" w:rsidR="003F37D1" w:rsidRDefault="003F37D1" w:rsidP="003F37D1">
      <w:pPr>
        <w:spacing w:after="0" w:line="240" w:lineRule="auto"/>
        <w:jc w:val="both"/>
        <w:rPr>
          <w:rFonts w:ascii="Verdana" w:hAnsi="Verdana" w:cs="Arial"/>
          <w:bCs/>
          <w:sz w:val="20"/>
          <w:szCs w:val="20"/>
          <w:lang w:val="es-ES_tradnl" w:eastAsia="es-ES" w:bidi="es-ES"/>
        </w:rPr>
      </w:pPr>
      <w:r w:rsidRPr="008C7645">
        <w:rPr>
          <w:rFonts w:ascii="Verdana" w:hAnsi="Verdana" w:cs="Arial"/>
          <w:bCs/>
          <w:sz w:val="20"/>
          <w:szCs w:val="20"/>
          <w:lang w:val="es-ES_tradnl" w:eastAsia="es-ES" w:bidi="es-ES"/>
        </w:rPr>
        <w:t xml:space="preserve">De conformidad con lo dispuesto en los artículos 5, numeral 1 de la Ley 1150 de 2007 y 2.2.1.1.1.5.3 del Decreto 1082 de 2015, por regla general, la acreditación del requisito habilitante de capacidad financiera se realiza mediante el RUP. En atención a esto, para los tramites de inscripción, renovación y actualización el numeral 2.3 del artículo 2.2.1.1.1.5.2 del Decreto 1082 de 2015 exige la presentación de los </w:t>
      </w:r>
      <w:r w:rsidRPr="008C7645">
        <w:rPr>
          <w:rFonts w:ascii="Verdana" w:hAnsi="Verdana" w:cs="Arial"/>
          <w:bCs/>
          <w:i/>
          <w:iCs/>
          <w:sz w:val="20"/>
          <w:szCs w:val="20"/>
          <w:lang w:val="es-ES_tradnl" w:eastAsia="es-ES" w:bidi="es-ES"/>
        </w:rPr>
        <w:t>“</w:t>
      </w:r>
      <w:r w:rsidRPr="008C7645">
        <w:rPr>
          <w:rFonts w:ascii="Verdana" w:hAnsi="Verdana" w:cs="Arial"/>
          <w:bCs/>
          <w:i/>
          <w:iCs/>
          <w:sz w:val="20"/>
          <w:szCs w:val="20"/>
          <w:lang w:eastAsia="es-ES" w:bidi="es-ES"/>
        </w:rPr>
        <w:t>Estados financieros de la sociedad y los estados financieros consolidados del grupo empresarial, cuando la norma aplicable lo exige, auditados con sus notas […]”</w:t>
      </w:r>
      <w:r w:rsidRPr="008C7645">
        <w:rPr>
          <w:rFonts w:ascii="Verdana" w:hAnsi="Verdana" w:cs="Arial"/>
          <w:bCs/>
          <w:sz w:val="20"/>
          <w:szCs w:val="20"/>
          <w:lang w:val="es-ES_tradnl" w:eastAsia="es-ES" w:bidi="es-ES"/>
        </w:rPr>
        <w:t xml:space="preserve">, además de unos anexos dirigidos a servir de medio de verificación de la salud financiera de los proponentes. De este modo, lo que se verifica con el registro es que el proponente cumpla con los indicadores financieros solicitados por la entidad para medir la capacidad financiera requerida para el procedimiento de selección. </w:t>
      </w:r>
    </w:p>
    <w:p w14:paraId="20B9E1A6" w14:textId="77777777" w:rsidR="003F37D1" w:rsidRDefault="003F37D1" w:rsidP="003F37D1">
      <w:pPr>
        <w:spacing w:after="0" w:line="240" w:lineRule="auto"/>
        <w:jc w:val="both"/>
        <w:rPr>
          <w:rFonts w:ascii="Verdana" w:hAnsi="Verdana" w:cs="Arial"/>
          <w:bCs/>
          <w:sz w:val="20"/>
          <w:szCs w:val="20"/>
          <w:lang w:val="es-ES_tradnl" w:eastAsia="es-ES" w:bidi="es-ES"/>
        </w:rPr>
      </w:pPr>
    </w:p>
    <w:p w14:paraId="129973D6" w14:textId="77777777" w:rsidR="003F37D1" w:rsidRDefault="003F37D1" w:rsidP="00C15139">
      <w:pPr>
        <w:spacing w:after="0"/>
        <w:rPr>
          <w:rFonts w:ascii="Verdana" w:hAnsi="Verdana"/>
        </w:rPr>
      </w:pPr>
    </w:p>
    <w:p w14:paraId="5004BD02" w14:textId="77777777" w:rsidR="003F37D1" w:rsidRDefault="003F37D1" w:rsidP="00C15139">
      <w:pPr>
        <w:spacing w:after="0"/>
        <w:rPr>
          <w:rFonts w:ascii="Verdana" w:hAnsi="Verdana"/>
        </w:rPr>
      </w:pPr>
    </w:p>
    <w:p w14:paraId="397E1776" w14:textId="77777777" w:rsidR="003F37D1" w:rsidRDefault="003F37D1" w:rsidP="00C15139">
      <w:pPr>
        <w:spacing w:after="0"/>
        <w:rPr>
          <w:rFonts w:ascii="Verdana" w:hAnsi="Verdana"/>
        </w:rPr>
      </w:pPr>
    </w:p>
    <w:p w14:paraId="1468C46D" w14:textId="6AD3F9E9" w:rsidR="00C15139" w:rsidRDefault="00C15139" w:rsidP="00C15139">
      <w:pPr>
        <w:spacing w:after="0"/>
        <w:rPr>
          <w:rFonts w:ascii="Verdana" w:hAnsi="Verdana"/>
        </w:rPr>
      </w:pPr>
      <w:r w:rsidRPr="0024624F">
        <w:rPr>
          <w:rFonts w:ascii="Verdana" w:hAnsi="Verdana"/>
        </w:rPr>
        <w:t xml:space="preserve">Bogotá D.C., </w:t>
      </w:r>
      <w:r w:rsidR="003F37D1">
        <w:rPr>
          <w:rFonts w:ascii="Verdana" w:hAnsi="Verdana"/>
        </w:rPr>
        <w:t>3 de diciembre de 2025</w:t>
      </w:r>
      <w:r w:rsidRPr="000E2B93">
        <w:rPr>
          <w:rFonts w:ascii="Verdana" w:hAnsi="Verdana"/>
        </w:rPr>
        <w:tab/>
      </w:r>
      <w:r w:rsidRPr="000E2B93">
        <w:rPr>
          <w:rFonts w:ascii="Verdana" w:hAnsi="Verdana"/>
        </w:rPr>
        <w:br/>
      </w:r>
    </w:p>
    <w:p w14:paraId="73B21D5E" w14:textId="1EAF1F21" w:rsidR="003A41C8" w:rsidRPr="00B878ED" w:rsidRDefault="003E1E89" w:rsidP="003A41C8">
      <w:pPr>
        <w:spacing w:after="0" w:line="240" w:lineRule="auto"/>
        <w:jc w:val="both"/>
        <w:rPr>
          <w:rFonts w:ascii="Verdana" w:hAnsi="Verdana" w:cs="Arial"/>
          <w:bCs/>
          <w:lang w:val="es-ES" w:eastAsia="es-ES" w:bidi="es-ES"/>
        </w:rPr>
      </w:pPr>
      <w:r w:rsidRPr="003E1E89">
        <w:rPr>
          <w:rFonts w:ascii="Verdana" w:hAnsi="Verdana" w:cs="Arial"/>
          <w:bCs/>
          <w:noProof/>
          <w:lang w:val="es-ES" w:eastAsia="es-ES" w:bidi="es-ES"/>
        </w:rPr>
        <w:drawing>
          <wp:anchor distT="0" distB="0" distL="114300" distR="114300" simplePos="0" relativeHeight="251658240" behindDoc="1" locked="0" layoutInCell="1" allowOverlap="1" wp14:anchorId="3F49E58B" wp14:editId="15F811AA">
            <wp:simplePos x="0" y="0"/>
            <wp:positionH relativeFrom="column">
              <wp:posOffset>2987116</wp:posOffset>
            </wp:positionH>
            <wp:positionV relativeFrom="paragraph">
              <wp:posOffset>113944</wp:posOffset>
            </wp:positionV>
            <wp:extent cx="2648379" cy="760781"/>
            <wp:effectExtent l="0" t="0" r="0" b="1270"/>
            <wp:wrapNone/>
            <wp:docPr id="199135181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35181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56357" cy="763073"/>
                    </a:xfrm>
                    <a:prstGeom prst="rect">
                      <a:avLst/>
                    </a:prstGeom>
                  </pic:spPr>
                </pic:pic>
              </a:graphicData>
            </a:graphic>
            <wp14:sizeRelH relativeFrom="margin">
              <wp14:pctWidth>0</wp14:pctWidth>
            </wp14:sizeRelH>
            <wp14:sizeRelV relativeFrom="margin">
              <wp14:pctHeight>0</wp14:pctHeight>
            </wp14:sizeRelV>
          </wp:anchor>
        </w:drawing>
      </w:r>
    </w:p>
    <w:p w14:paraId="131D9A55" w14:textId="77777777" w:rsidR="003A41C8" w:rsidRPr="00B878ED" w:rsidRDefault="003A41C8" w:rsidP="003A41C8">
      <w:pPr>
        <w:spacing w:after="0" w:line="240" w:lineRule="auto"/>
        <w:jc w:val="both"/>
        <w:rPr>
          <w:rFonts w:ascii="Verdana" w:hAnsi="Verdana" w:cs="Arial"/>
          <w:bCs/>
          <w:lang w:eastAsia="es-ES" w:bidi="es-ES"/>
        </w:rPr>
      </w:pPr>
      <w:r w:rsidRPr="00B878ED">
        <w:rPr>
          <w:rFonts w:ascii="Verdana" w:hAnsi="Verdana" w:cs="Arial"/>
          <w:bCs/>
          <w:lang w:eastAsia="es-ES" w:bidi="es-ES"/>
        </w:rPr>
        <w:t>Señor</w:t>
      </w:r>
      <w:r>
        <w:rPr>
          <w:rFonts w:ascii="Verdana" w:hAnsi="Verdana" w:cs="Arial"/>
          <w:bCs/>
          <w:lang w:eastAsia="es-ES" w:bidi="es-ES"/>
        </w:rPr>
        <w:t>es</w:t>
      </w:r>
    </w:p>
    <w:p w14:paraId="71B67A07" w14:textId="77777777" w:rsidR="003A41C8" w:rsidRDefault="003A41C8" w:rsidP="003A41C8">
      <w:pPr>
        <w:spacing w:after="0" w:line="240" w:lineRule="auto"/>
        <w:jc w:val="both"/>
        <w:rPr>
          <w:rFonts w:ascii="Verdana" w:hAnsi="Verdana" w:cs="Arial"/>
          <w:b/>
          <w:bCs/>
          <w:lang w:val="it-IT" w:eastAsia="es-ES" w:bidi="es-ES"/>
        </w:rPr>
      </w:pPr>
      <w:r w:rsidRPr="00077427">
        <w:rPr>
          <w:rFonts w:ascii="Verdana" w:hAnsi="Verdana" w:cs="Arial"/>
          <w:b/>
          <w:bCs/>
          <w:lang w:val="it-IT" w:eastAsia="es-ES" w:bidi="es-ES"/>
        </w:rPr>
        <w:t xml:space="preserve">VCA CONSULTING SAS </w:t>
      </w:r>
    </w:p>
    <w:p w14:paraId="007465DE" w14:textId="77777777" w:rsidR="003A41C8" w:rsidRDefault="003A41C8" w:rsidP="003A41C8">
      <w:pPr>
        <w:spacing w:after="0" w:line="240" w:lineRule="auto"/>
        <w:jc w:val="both"/>
        <w:rPr>
          <w:rFonts w:ascii="Verdana" w:hAnsi="Verdana" w:cs="Arial"/>
          <w:b/>
          <w:bCs/>
          <w:lang w:val="it-IT" w:eastAsia="es-ES" w:bidi="es-ES"/>
        </w:rPr>
      </w:pPr>
      <w:r w:rsidRPr="00077427">
        <w:rPr>
          <w:rFonts w:ascii="Verdana" w:hAnsi="Verdana" w:cs="Arial"/>
          <w:b/>
          <w:bCs/>
          <w:lang w:val="it-IT" w:eastAsia="es-ES" w:bidi="es-ES"/>
        </w:rPr>
        <w:t>Johanna Carolina Sepulveda Sierra</w:t>
      </w:r>
    </w:p>
    <w:p w14:paraId="0C74AAED" w14:textId="77777777" w:rsidR="003A41C8" w:rsidRDefault="003A41C8" w:rsidP="003A41C8">
      <w:pPr>
        <w:spacing w:after="0" w:line="240" w:lineRule="auto"/>
        <w:jc w:val="both"/>
        <w:rPr>
          <w:rFonts w:ascii="Verdana" w:hAnsi="Verdana" w:cs="Arial"/>
          <w:bCs/>
          <w:lang w:val="it-IT" w:eastAsia="es-ES" w:bidi="es-ES"/>
        </w:rPr>
      </w:pPr>
      <w:hyperlink r:id="rId11" w:history="1">
        <w:r w:rsidRPr="0052376E">
          <w:rPr>
            <w:rStyle w:val="Hipervnculo"/>
            <w:rFonts w:ascii="Verdana" w:hAnsi="Verdana" w:cs="Arial"/>
            <w:bCs/>
            <w:lang w:val="it-IT" w:eastAsia="es-ES" w:bidi="es-ES"/>
          </w:rPr>
          <w:t>director.comercial@vcaconsulting.com.co</w:t>
        </w:r>
      </w:hyperlink>
    </w:p>
    <w:p w14:paraId="72CDFF31" w14:textId="77777777" w:rsidR="003A41C8" w:rsidRPr="0041694B" w:rsidRDefault="003A41C8" w:rsidP="003A41C8">
      <w:pPr>
        <w:spacing w:after="0" w:line="240" w:lineRule="auto"/>
        <w:jc w:val="both"/>
        <w:rPr>
          <w:rFonts w:ascii="Verdana" w:hAnsi="Verdana" w:cs="Arial"/>
          <w:bCs/>
          <w:lang w:val="es-MX" w:eastAsia="es-ES" w:bidi="es-ES"/>
        </w:rPr>
      </w:pPr>
      <w:r w:rsidRPr="00B878ED">
        <w:rPr>
          <w:rFonts w:ascii="Verdana" w:hAnsi="Verdana" w:cs="Arial"/>
          <w:bCs/>
          <w:lang w:val="es-MX" w:eastAsia="es-ES" w:bidi="es-ES"/>
        </w:rPr>
        <w:t>Bogotá D.C.</w:t>
      </w:r>
      <w:r w:rsidRPr="0041694B">
        <w:rPr>
          <w:rFonts w:ascii="Verdana" w:hAnsi="Verdana" w:cs="Arial"/>
          <w:bCs/>
          <w:lang w:val="es-MX" w:eastAsia="es-ES" w:bidi="es-ES"/>
        </w:rPr>
        <w:t xml:space="preserve"> </w:t>
      </w:r>
    </w:p>
    <w:p w14:paraId="63C3EFE0" w14:textId="77777777" w:rsidR="003A41C8" w:rsidRPr="0041694B" w:rsidRDefault="003A41C8" w:rsidP="003A41C8">
      <w:pPr>
        <w:spacing w:after="0" w:line="240" w:lineRule="auto"/>
        <w:jc w:val="both"/>
        <w:rPr>
          <w:rFonts w:ascii="Verdana" w:hAnsi="Verdana" w:cs="Arial"/>
          <w:b/>
          <w:bCs/>
          <w:lang w:val="es-ES_tradnl" w:eastAsia="es-ES" w:bidi="es-ES"/>
        </w:rPr>
      </w:pPr>
    </w:p>
    <w:p w14:paraId="6ED64A5A" w14:textId="77777777" w:rsidR="003A41C8" w:rsidRPr="0041694B" w:rsidRDefault="003A41C8" w:rsidP="003A41C8">
      <w:pPr>
        <w:spacing w:after="0" w:line="240" w:lineRule="auto"/>
        <w:jc w:val="both"/>
        <w:rPr>
          <w:rFonts w:ascii="Verdana" w:hAnsi="Verdana" w:cs="Arial"/>
          <w:b/>
          <w:bCs/>
          <w:lang w:val="es-ES_tradnl" w:eastAsia="es-ES" w:bidi="es-ES"/>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3A41C8" w:rsidRPr="0041694B" w14:paraId="52972B86" w14:textId="77777777" w:rsidTr="00FF5D24">
        <w:trPr>
          <w:trHeight w:val="884"/>
        </w:trPr>
        <w:tc>
          <w:tcPr>
            <w:tcW w:w="2689" w:type="dxa"/>
          </w:tcPr>
          <w:p w14:paraId="2DEF40B4" w14:textId="77777777" w:rsidR="003A41C8" w:rsidRPr="0041694B" w:rsidRDefault="003A41C8" w:rsidP="00FF5D24">
            <w:pPr>
              <w:jc w:val="both"/>
              <w:rPr>
                <w:rFonts w:ascii="Verdana" w:hAnsi="Verdana" w:cs="Arial"/>
                <w:b/>
                <w:bCs/>
                <w:lang w:val="es-ES_tradnl" w:eastAsia="es-ES" w:bidi="es-ES"/>
              </w:rPr>
            </w:pPr>
          </w:p>
        </w:tc>
        <w:tc>
          <w:tcPr>
            <w:tcW w:w="6242" w:type="dxa"/>
          </w:tcPr>
          <w:p w14:paraId="4E920358" w14:textId="77777777" w:rsidR="003A41C8" w:rsidRPr="0041694B" w:rsidRDefault="003A41C8" w:rsidP="00FF5D24">
            <w:pPr>
              <w:jc w:val="both"/>
              <w:rPr>
                <w:rFonts w:ascii="Verdana" w:hAnsi="Verdana" w:cs="Arial"/>
                <w:b/>
                <w:bCs/>
                <w:lang w:val="es-MX" w:eastAsia="es-ES" w:bidi="es-ES"/>
              </w:rPr>
            </w:pPr>
            <w:r w:rsidRPr="0041694B">
              <w:rPr>
                <w:rFonts w:ascii="Verdana" w:hAnsi="Verdana" w:cs="Arial"/>
                <w:b/>
                <w:bCs/>
                <w:lang w:val="es-MX" w:eastAsia="es-ES" w:bidi="es-ES"/>
              </w:rPr>
              <w:t xml:space="preserve">Concepto C- </w:t>
            </w:r>
            <w:r>
              <w:rPr>
                <w:rFonts w:ascii="Verdana" w:hAnsi="Verdana" w:cs="Arial"/>
                <w:b/>
                <w:bCs/>
                <w:lang w:val="es-MX" w:eastAsia="es-ES" w:bidi="es-ES"/>
              </w:rPr>
              <w:t>1555 de 2025</w:t>
            </w:r>
          </w:p>
        </w:tc>
      </w:tr>
      <w:tr w:rsidR="003A41C8" w:rsidRPr="0041694B" w14:paraId="1C2EB844" w14:textId="77777777" w:rsidTr="00FF5D24">
        <w:trPr>
          <w:trHeight w:val="884"/>
        </w:trPr>
        <w:tc>
          <w:tcPr>
            <w:tcW w:w="2689" w:type="dxa"/>
          </w:tcPr>
          <w:p w14:paraId="0C6D8462" w14:textId="77777777" w:rsidR="003A41C8" w:rsidRPr="0041694B" w:rsidRDefault="003A41C8" w:rsidP="00FF5D24">
            <w:pPr>
              <w:jc w:val="both"/>
              <w:rPr>
                <w:rFonts w:ascii="Verdana" w:hAnsi="Verdana" w:cs="Arial"/>
                <w:bCs/>
                <w:lang w:val="es-MX" w:eastAsia="es-ES" w:bidi="es-ES"/>
              </w:rPr>
            </w:pPr>
            <w:r w:rsidRPr="0041694B">
              <w:rPr>
                <w:rFonts w:ascii="Verdana" w:hAnsi="Verdana" w:cs="Arial"/>
                <w:bCs/>
                <w:lang w:val="es-MX" w:eastAsia="es-ES" w:bidi="es-ES"/>
              </w:rPr>
              <w:t xml:space="preserve">Temas:                   </w:t>
            </w:r>
          </w:p>
        </w:tc>
        <w:tc>
          <w:tcPr>
            <w:tcW w:w="6242" w:type="dxa"/>
          </w:tcPr>
          <w:p w14:paraId="607C48C4" w14:textId="77944A24" w:rsidR="003A41C8" w:rsidRDefault="003A41C8" w:rsidP="00FF5D24">
            <w:pPr>
              <w:jc w:val="both"/>
              <w:rPr>
                <w:rFonts w:ascii="Verdana" w:hAnsi="Verdana" w:cs="Arial"/>
                <w:bCs/>
                <w:lang w:val="es-MX" w:eastAsia="es-ES" w:bidi="es-ES"/>
              </w:rPr>
            </w:pPr>
            <w:r w:rsidRPr="0041694B">
              <w:rPr>
                <w:rFonts w:ascii="Verdana" w:hAnsi="Verdana" w:cs="Arial"/>
                <w:bCs/>
                <w:lang w:val="es-MX" w:eastAsia="es-ES" w:bidi="es-ES"/>
              </w:rPr>
              <w:t>REQUISITOS HABILITANTES – Capacidad financiera – Autonomía</w:t>
            </w:r>
            <w:r>
              <w:rPr>
                <w:rFonts w:ascii="Verdana" w:hAnsi="Verdana" w:cs="Arial"/>
                <w:bCs/>
                <w:lang w:val="es-MX" w:eastAsia="es-ES" w:bidi="es-ES"/>
              </w:rPr>
              <w:t xml:space="preserve"> de la entidad</w:t>
            </w:r>
            <w:r w:rsidRPr="0041694B">
              <w:rPr>
                <w:rFonts w:ascii="Verdana" w:hAnsi="Verdana" w:cs="Arial"/>
                <w:bCs/>
                <w:lang w:val="es-MX" w:eastAsia="es-ES" w:bidi="es-ES"/>
              </w:rPr>
              <w:t xml:space="preserve"> /</w:t>
            </w:r>
            <w:r>
              <w:rPr>
                <w:rFonts w:ascii="Verdana" w:hAnsi="Verdana" w:cs="Arial"/>
                <w:bCs/>
                <w:lang w:val="es-MX" w:eastAsia="es-ES" w:bidi="es-ES"/>
              </w:rPr>
              <w:t xml:space="preserve"> REQUISITOS HABILITANTES– Análisis del sector </w:t>
            </w:r>
          </w:p>
          <w:p w14:paraId="7921AE75" w14:textId="77777777" w:rsidR="003A41C8" w:rsidRPr="0041694B" w:rsidRDefault="003A41C8" w:rsidP="00FF5D24">
            <w:pPr>
              <w:jc w:val="both"/>
              <w:rPr>
                <w:rFonts w:ascii="Verdana" w:hAnsi="Verdana" w:cs="Arial"/>
                <w:bCs/>
                <w:lang w:val="es-MX" w:eastAsia="es-ES" w:bidi="es-ES"/>
              </w:rPr>
            </w:pPr>
          </w:p>
        </w:tc>
      </w:tr>
      <w:tr w:rsidR="003A41C8" w:rsidRPr="0041694B" w14:paraId="639CC9EF" w14:textId="77777777" w:rsidTr="00FF5D24">
        <w:tc>
          <w:tcPr>
            <w:tcW w:w="2689" w:type="dxa"/>
          </w:tcPr>
          <w:p w14:paraId="475FC29F" w14:textId="77777777" w:rsidR="003A41C8" w:rsidRPr="0041694B" w:rsidRDefault="003A41C8" w:rsidP="00FF5D24">
            <w:pPr>
              <w:jc w:val="both"/>
              <w:rPr>
                <w:rFonts w:ascii="Verdana" w:hAnsi="Verdana" w:cs="Arial"/>
                <w:bCs/>
                <w:lang w:val="es-MX" w:eastAsia="es-ES" w:bidi="es-ES"/>
              </w:rPr>
            </w:pPr>
            <w:r w:rsidRPr="0041694B">
              <w:rPr>
                <w:rFonts w:ascii="Verdana" w:hAnsi="Verdana" w:cs="Arial"/>
                <w:bCs/>
                <w:lang w:val="es-MX" w:eastAsia="es-ES" w:bidi="es-ES"/>
              </w:rPr>
              <w:t xml:space="preserve">Radicación:               </w:t>
            </w:r>
          </w:p>
        </w:tc>
        <w:tc>
          <w:tcPr>
            <w:tcW w:w="6242" w:type="dxa"/>
          </w:tcPr>
          <w:p w14:paraId="3FBA3743" w14:textId="77777777" w:rsidR="003A41C8" w:rsidRPr="00E744BA" w:rsidRDefault="003A41C8" w:rsidP="00FF5D24">
            <w:pPr>
              <w:jc w:val="both"/>
              <w:rPr>
                <w:rFonts w:ascii="Verdana" w:hAnsi="Verdana" w:cs="Arial"/>
                <w:bCs/>
                <w:lang w:eastAsia="es-ES" w:bidi="es-ES"/>
              </w:rPr>
            </w:pPr>
            <w:r w:rsidRPr="0041694B">
              <w:rPr>
                <w:rFonts w:ascii="Verdana" w:hAnsi="Verdana" w:cs="Arial"/>
                <w:bCs/>
                <w:lang w:val="es-MX" w:eastAsia="es-ES" w:bidi="es-ES"/>
              </w:rPr>
              <w:t xml:space="preserve">Respuesta a consulta con radicado No. </w:t>
            </w:r>
            <w:r w:rsidRPr="007922D3">
              <w:rPr>
                <w:rFonts w:ascii="Times New Roman" w:eastAsia="Times New Roman" w:hAnsi="Times New Roman" w:cs="Times New Roman"/>
                <w:sz w:val="24"/>
                <w:szCs w:val="24"/>
              </w:rPr>
              <w:t xml:space="preserve"> </w:t>
            </w:r>
            <w:r w:rsidRPr="004D5EBE">
              <w:rPr>
                <w:rFonts w:ascii="Verdana" w:hAnsi="Verdana" w:cs="Arial"/>
                <w:bCs/>
                <w:lang w:eastAsia="es-ES" w:bidi="es-ES"/>
              </w:rPr>
              <w:t>1_2025_10_23_011916</w:t>
            </w:r>
          </w:p>
          <w:p w14:paraId="65E6D596" w14:textId="77777777" w:rsidR="003A41C8" w:rsidRPr="0041694B" w:rsidRDefault="003A41C8" w:rsidP="00FF5D24">
            <w:pPr>
              <w:jc w:val="both"/>
              <w:rPr>
                <w:rFonts w:ascii="Verdana" w:hAnsi="Verdana" w:cs="Arial"/>
                <w:bCs/>
                <w:lang w:val="es-MX" w:eastAsia="es-ES" w:bidi="es-ES"/>
              </w:rPr>
            </w:pPr>
          </w:p>
        </w:tc>
      </w:tr>
    </w:tbl>
    <w:p w14:paraId="10FBCBFD" w14:textId="77777777" w:rsidR="003A41C8" w:rsidRPr="0041694B" w:rsidRDefault="003A41C8" w:rsidP="003A41C8">
      <w:pPr>
        <w:spacing w:after="0" w:line="240" w:lineRule="auto"/>
        <w:jc w:val="both"/>
        <w:rPr>
          <w:rFonts w:ascii="Verdana" w:hAnsi="Verdana" w:cs="Arial"/>
          <w:bCs/>
          <w:lang w:val="es-ES_tradnl" w:eastAsia="es-ES" w:bidi="es-ES"/>
        </w:rPr>
      </w:pPr>
    </w:p>
    <w:p w14:paraId="26CD6D8C" w14:textId="77777777" w:rsidR="003A41C8" w:rsidRPr="0041694B" w:rsidRDefault="003A41C8" w:rsidP="003A41C8">
      <w:pPr>
        <w:spacing w:after="0" w:line="240" w:lineRule="auto"/>
        <w:jc w:val="both"/>
        <w:rPr>
          <w:rFonts w:ascii="Verdana" w:hAnsi="Verdana" w:cs="Arial"/>
          <w:bCs/>
          <w:lang w:val="es-MX" w:eastAsia="es-ES" w:bidi="es-ES"/>
        </w:rPr>
      </w:pPr>
      <w:r w:rsidRPr="00B878ED">
        <w:rPr>
          <w:rFonts w:ascii="Verdana" w:hAnsi="Verdana" w:cs="Arial"/>
          <w:bCs/>
          <w:lang w:val="es-MX" w:eastAsia="es-ES" w:bidi="es-ES"/>
        </w:rPr>
        <w:t>Estimad</w:t>
      </w:r>
      <w:r>
        <w:rPr>
          <w:rFonts w:ascii="Verdana" w:hAnsi="Verdana" w:cs="Arial"/>
          <w:bCs/>
          <w:lang w:val="es-MX" w:eastAsia="es-ES" w:bidi="es-ES"/>
        </w:rPr>
        <w:t>a</w:t>
      </w:r>
      <w:r w:rsidRPr="00B878ED">
        <w:rPr>
          <w:rFonts w:ascii="Verdana" w:hAnsi="Verdana" w:cs="Arial"/>
          <w:bCs/>
          <w:lang w:val="es-MX" w:eastAsia="es-ES" w:bidi="es-ES"/>
        </w:rPr>
        <w:t xml:space="preserve"> </w:t>
      </w:r>
      <w:r>
        <w:rPr>
          <w:rFonts w:ascii="Verdana" w:hAnsi="Verdana" w:cs="Arial"/>
          <w:bCs/>
          <w:lang w:val="es-MX" w:eastAsia="es-ES" w:bidi="es-ES"/>
        </w:rPr>
        <w:t>señora Sepúlveda</w:t>
      </w:r>
      <w:r w:rsidRPr="00B878ED">
        <w:rPr>
          <w:rFonts w:ascii="Verdana" w:hAnsi="Verdana" w:cs="Arial"/>
          <w:bCs/>
          <w:lang w:val="es-MX" w:eastAsia="es-ES" w:bidi="es-ES"/>
        </w:rPr>
        <w:t>:</w:t>
      </w:r>
    </w:p>
    <w:p w14:paraId="31F05606" w14:textId="77777777" w:rsidR="003A41C8" w:rsidRPr="0041694B" w:rsidRDefault="003A41C8" w:rsidP="003A41C8">
      <w:pPr>
        <w:spacing w:after="0" w:line="240" w:lineRule="auto"/>
        <w:jc w:val="both"/>
        <w:rPr>
          <w:rFonts w:ascii="Verdana" w:hAnsi="Verdana" w:cs="Arial"/>
          <w:bCs/>
          <w:lang w:val="es-ES" w:eastAsia="es-ES" w:bidi="es-ES"/>
        </w:rPr>
      </w:pPr>
      <w:r w:rsidRPr="0041694B">
        <w:rPr>
          <w:rFonts w:ascii="Verdana" w:hAnsi="Verdana" w:cs="Arial"/>
          <w:bCs/>
          <w:lang w:val="es-ES" w:eastAsia="es-ES" w:bidi="es-ES"/>
        </w:rPr>
        <w:tab/>
      </w:r>
    </w:p>
    <w:p w14:paraId="6C20E690" w14:textId="77777777" w:rsidR="003A41C8" w:rsidRPr="0041694B" w:rsidRDefault="003A41C8" w:rsidP="003A41C8">
      <w:pPr>
        <w:spacing w:after="0" w:line="276" w:lineRule="auto"/>
        <w:jc w:val="both"/>
        <w:rPr>
          <w:rFonts w:ascii="Verdana" w:hAnsi="Verdana" w:cs="Arial"/>
          <w:bCs/>
          <w:lang w:val="es-ES" w:eastAsia="es-ES" w:bidi="es-ES"/>
        </w:rPr>
      </w:pPr>
      <w:r w:rsidRPr="00152C0F">
        <w:rPr>
          <w:rFonts w:ascii="Verdana" w:eastAsia="Calibri" w:hAnsi="Verdana" w:cs="Arial"/>
          <w:color w:val="000000" w:themeColor="text1"/>
          <w:lang w:eastAsia="es-ES"/>
        </w:rPr>
        <w:t>En ejercicio de la competencia otorgada por los artículos 3, numeral 5º, y 11, numeral 8º, del Decreto Ley 4170 de 2011, y de conformidad con las modalidades del derecho de petición contempladas en la Ley 1755 de 2015, así como lo establecido en la resolución N° 469 del 2025 expedida por esta Agencia, damos respuesta a su solicitud de consulta de fecha </w:t>
      </w:r>
      <w:r>
        <w:rPr>
          <w:rFonts w:ascii="Verdana" w:eastAsia="Calibri" w:hAnsi="Verdana" w:cs="Arial"/>
          <w:lang w:val="es-ES" w:eastAsia="es-ES"/>
        </w:rPr>
        <w:t>23 de octubre de 2025</w:t>
      </w:r>
      <w:r w:rsidRPr="0041694B">
        <w:rPr>
          <w:rFonts w:ascii="Verdana" w:hAnsi="Verdana" w:cs="Arial"/>
          <w:bCs/>
          <w:lang w:val="es-ES" w:eastAsia="es-ES" w:bidi="es-ES"/>
        </w:rPr>
        <w:t xml:space="preserve">, en la cual manifiesta lo siguiente: </w:t>
      </w:r>
    </w:p>
    <w:p w14:paraId="453A1FF8" w14:textId="77777777" w:rsidR="003A41C8" w:rsidRPr="0041694B" w:rsidRDefault="003A41C8" w:rsidP="003A41C8">
      <w:pPr>
        <w:spacing w:after="0" w:line="240" w:lineRule="auto"/>
        <w:jc w:val="both"/>
        <w:rPr>
          <w:rFonts w:ascii="Verdana" w:hAnsi="Verdana" w:cs="Arial"/>
          <w:b/>
          <w:bCs/>
          <w:lang w:val="es-ES" w:eastAsia="es-ES" w:bidi="es-ES"/>
        </w:rPr>
      </w:pPr>
    </w:p>
    <w:p w14:paraId="61E93818" w14:textId="77777777" w:rsidR="003A41C8" w:rsidRPr="00121EA1" w:rsidRDefault="003A41C8" w:rsidP="003A41C8">
      <w:pPr>
        <w:spacing w:after="0" w:line="240" w:lineRule="auto"/>
        <w:ind w:left="709" w:right="709"/>
        <w:jc w:val="both"/>
        <w:rPr>
          <w:rFonts w:ascii="Verdana" w:hAnsi="Verdana" w:cs="Arial"/>
          <w:bCs/>
          <w:sz w:val="20"/>
          <w:lang w:eastAsia="es-ES" w:bidi="es-ES"/>
        </w:rPr>
      </w:pPr>
      <w:r w:rsidRPr="00121EA1">
        <w:rPr>
          <w:rFonts w:ascii="Verdana" w:hAnsi="Verdana" w:cs="Arial"/>
          <w:bCs/>
          <w:sz w:val="20"/>
          <w:lang w:val="es-ES" w:eastAsia="es-ES" w:bidi="es-ES"/>
        </w:rPr>
        <w:t>“</w:t>
      </w:r>
      <w:r w:rsidRPr="007001AE">
        <w:rPr>
          <w:rFonts w:ascii="Verdana" w:hAnsi="Verdana" w:cs="Arial"/>
          <w:bCs/>
          <w:sz w:val="20"/>
          <w:lang w:eastAsia="es-ES" w:bidi="es-ES"/>
        </w:rPr>
        <w:t>Solicito amablemente su concepto respecto a la inscripción ante cámara y comercio</w:t>
      </w:r>
      <w:r>
        <w:rPr>
          <w:rFonts w:ascii="Verdana" w:hAnsi="Verdana" w:cs="Arial"/>
          <w:bCs/>
          <w:sz w:val="20"/>
          <w:lang w:eastAsia="es-ES" w:bidi="es-ES"/>
        </w:rPr>
        <w:t xml:space="preserve"> </w:t>
      </w:r>
      <w:r w:rsidRPr="007001AE">
        <w:rPr>
          <w:rFonts w:ascii="Verdana" w:hAnsi="Verdana" w:cs="Arial"/>
          <w:bCs/>
          <w:sz w:val="20"/>
          <w:lang w:eastAsia="es-ES" w:bidi="es-ES"/>
        </w:rPr>
        <w:t xml:space="preserve">para la </w:t>
      </w:r>
      <w:proofErr w:type="spellStart"/>
      <w:r w:rsidRPr="007001AE">
        <w:rPr>
          <w:rFonts w:ascii="Verdana" w:hAnsi="Verdana" w:cs="Arial"/>
          <w:bCs/>
          <w:sz w:val="20"/>
          <w:lang w:eastAsia="es-ES" w:bidi="es-ES"/>
        </w:rPr>
        <w:t>Obtencion</w:t>
      </w:r>
      <w:proofErr w:type="spellEnd"/>
      <w:r w:rsidRPr="007001AE">
        <w:rPr>
          <w:rFonts w:ascii="Verdana" w:hAnsi="Verdana" w:cs="Arial"/>
          <w:bCs/>
          <w:sz w:val="20"/>
          <w:lang w:eastAsia="es-ES" w:bidi="es-ES"/>
        </w:rPr>
        <w:t xml:space="preserve"> del Registro </w:t>
      </w:r>
      <w:proofErr w:type="spellStart"/>
      <w:r w:rsidRPr="007001AE">
        <w:rPr>
          <w:rFonts w:ascii="Verdana" w:hAnsi="Verdana" w:cs="Arial"/>
          <w:bCs/>
          <w:sz w:val="20"/>
          <w:lang w:eastAsia="es-ES" w:bidi="es-ES"/>
        </w:rPr>
        <w:t>unico</w:t>
      </w:r>
      <w:proofErr w:type="spellEnd"/>
      <w:r w:rsidRPr="007001AE">
        <w:rPr>
          <w:rFonts w:ascii="Verdana" w:hAnsi="Verdana" w:cs="Arial"/>
          <w:bCs/>
          <w:sz w:val="20"/>
          <w:lang w:eastAsia="es-ES" w:bidi="es-ES"/>
        </w:rPr>
        <w:t xml:space="preserve"> de proponentes bajo mi </w:t>
      </w:r>
      <w:proofErr w:type="spellStart"/>
      <w:r w:rsidRPr="007001AE">
        <w:rPr>
          <w:rFonts w:ascii="Verdana" w:hAnsi="Verdana" w:cs="Arial"/>
          <w:bCs/>
          <w:sz w:val="20"/>
          <w:lang w:eastAsia="es-ES" w:bidi="es-ES"/>
        </w:rPr>
        <w:t>Razon</w:t>
      </w:r>
      <w:proofErr w:type="spellEnd"/>
      <w:r w:rsidRPr="007001AE">
        <w:rPr>
          <w:rFonts w:ascii="Verdana" w:hAnsi="Verdana" w:cs="Arial"/>
          <w:bCs/>
          <w:sz w:val="20"/>
          <w:lang w:eastAsia="es-ES" w:bidi="es-ES"/>
        </w:rPr>
        <w:t xml:space="preserve"> Social, VCA</w:t>
      </w:r>
      <w:r>
        <w:rPr>
          <w:rFonts w:ascii="Verdana" w:hAnsi="Verdana" w:cs="Arial"/>
          <w:bCs/>
          <w:sz w:val="20"/>
          <w:lang w:eastAsia="es-ES" w:bidi="es-ES"/>
        </w:rPr>
        <w:t xml:space="preserve"> </w:t>
      </w:r>
      <w:proofErr w:type="spellStart"/>
      <w:r w:rsidRPr="007001AE">
        <w:rPr>
          <w:rFonts w:ascii="Verdana" w:hAnsi="Verdana" w:cs="Arial"/>
          <w:bCs/>
          <w:sz w:val="20"/>
          <w:lang w:eastAsia="es-ES" w:bidi="es-ES"/>
        </w:rPr>
        <w:t>Consulting</w:t>
      </w:r>
      <w:proofErr w:type="spellEnd"/>
      <w:r w:rsidRPr="007001AE">
        <w:rPr>
          <w:rFonts w:ascii="Verdana" w:hAnsi="Verdana" w:cs="Arial"/>
          <w:bCs/>
          <w:sz w:val="20"/>
          <w:lang w:eastAsia="es-ES" w:bidi="es-ES"/>
        </w:rPr>
        <w:t xml:space="preserve"> </w:t>
      </w:r>
      <w:proofErr w:type="spellStart"/>
      <w:r w:rsidRPr="007001AE">
        <w:rPr>
          <w:rFonts w:ascii="Verdana" w:hAnsi="Verdana" w:cs="Arial"/>
          <w:bCs/>
          <w:sz w:val="20"/>
          <w:lang w:eastAsia="es-ES" w:bidi="es-ES"/>
        </w:rPr>
        <w:t>sas</w:t>
      </w:r>
      <w:proofErr w:type="spellEnd"/>
      <w:r w:rsidRPr="007001AE">
        <w:rPr>
          <w:rFonts w:ascii="Verdana" w:hAnsi="Verdana" w:cs="Arial"/>
          <w:bCs/>
          <w:sz w:val="20"/>
          <w:lang w:eastAsia="es-ES" w:bidi="es-ES"/>
        </w:rPr>
        <w:t>, quien actualmente en sus estados financieros no cuenta con</w:t>
      </w:r>
      <w:r>
        <w:rPr>
          <w:rFonts w:ascii="Verdana" w:hAnsi="Verdana" w:cs="Arial"/>
          <w:bCs/>
          <w:sz w:val="20"/>
          <w:lang w:eastAsia="es-ES" w:bidi="es-ES"/>
        </w:rPr>
        <w:t xml:space="preserve"> </w:t>
      </w:r>
      <w:r w:rsidRPr="007001AE">
        <w:rPr>
          <w:rFonts w:ascii="Verdana" w:hAnsi="Verdana" w:cs="Arial"/>
          <w:bCs/>
          <w:sz w:val="20"/>
          <w:lang w:eastAsia="es-ES" w:bidi="es-ES"/>
        </w:rPr>
        <w:t xml:space="preserve">endeudamiento alguno, es decir en sus indicadores financieros no figuraran el </w:t>
      </w:r>
      <w:r>
        <w:rPr>
          <w:rFonts w:ascii="Verdana" w:hAnsi="Verdana" w:cs="Arial"/>
          <w:bCs/>
          <w:sz w:val="20"/>
          <w:lang w:eastAsia="es-ES" w:bidi="es-ES"/>
        </w:rPr>
        <w:t xml:space="preserve">índice </w:t>
      </w:r>
      <w:r w:rsidRPr="007001AE">
        <w:rPr>
          <w:rFonts w:ascii="Verdana" w:hAnsi="Verdana" w:cs="Arial"/>
          <w:bCs/>
          <w:sz w:val="20"/>
          <w:lang w:eastAsia="es-ES" w:bidi="es-ES"/>
        </w:rPr>
        <w:t xml:space="preserve">de </w:t>
      </w:r>
      <w:proofErr w:type="spellStart"/>
      <w:r w:rsidRPr="007001AE">
        <w:rPr>
          <w:rFonts w:ascii="Verdana" w:hAnsi="Verdana" w:cs="Arial"/>
          <w:bCs/>
          <w:sz w:val="20"/>
          <w:lang w:eastAsia="es-ES" w:bidi="es-ES"/>
        </w:rPr>
        <w:t>endudamiento</w:t>
      </w:r>
      <w:proofErr w:type="spellEnd"/>
      <w:r w:rsidRPr="007001AE">
        <w:rPr>
          <w:rFonts w:ascii="Verdana" w:hAnsi="Verdana" w:cs="Arial"/>
          <w:bCs/>
          <w:sz w:val="20"/>
          <w:lang w:eastAsia="es-ES" w:bidi="es-ES"/>
        </w:rPr>
        <w:t xml:space="preserve"> ni la </w:t>
      </w:r>
      <w:proofErr w:type="spellStart"/>
      <w:r w:rsidRPr="007001AE">
        <w:rPr>
          <w:rFonts w:ascii="Verdana" w:hAnsi="Verdana" w:cs="Arial"/>
          <w:bCs/>
          <w:sz w:val="20"/>
          <w:lang w:eastAsia="es-ES" w:bidi="es-ES"/>
        </w:rPr>
        <w:t>razon</w:t>
      </w:r>
      <w:proofErr w:type="spellEnd"/>
      <w:r w:rsidRPr="007001AE">
        <w:rPr>
          <w:rFonts w:ascii="Verdana" w:hAnsi="Verdana" w:cs="Arial"/>
          <w:bCs/>
          <w:sz w:val="20"/>
          <w:lang w:eastAsia="es-ES" w:bidi="es-ES"/>
        </w:rPr>
        <w:t xml:space="preserve"> de cobertura de </w:t>
      </w:r>
      <w:proofErr w:type="spellStart"/>
      <w:r w:rsidRPr="007001AE">
        <w:rPr>
          <w:rFonts w:ascii="Verdana" w:hAnsi="Verdana" w:cs="Arial"/>
          <w:bCs/>
          <w:sz w:val="20"/>
          <w:lang w:eastAsia="es-ES" w:bidi="es-ES"/>
        </w:rPr>
        <w:t>interes</w:t>
      </w:r>
      <w:proofErr w:type="spellEnd"/>
      <w:r w:rsidRPr="007001AE">
        <w:rPr>
          <w:rFonts w:ascii="Verdana" w:hAnsi="Verdana" w:cs="Arial"/>
          <w:bCs/>
          <w:sz w:val="20"/>
          <w:lang w:eastAsia="es-ES" w:bidi="es-ES"/>
        </w:rPr>
        <w:t>, al ser estos indicadores valor</w:t>
      </w:r>
      <w:r>
        <w:rPr>
          <w:rFonts w:ascii="Verdana" w:hAnsi="Verdana" w:cs="Arial"/>
          <w:bCs/>
          <w:sz w:val="20"/>
          <w:lang w:eastAsia="es-ES" w:bidi="es-ES"/>
        </w:rPr>
        <w:t xml:space="preserve"> </w:t>
      </w:r>
      <w:r w:rsidRPr="007001AE">
        <w:rPr>
          <w:rFonts w:ascii="Verdana" w:hAnsi="Verdana" w:cs="Arial"/>
          <w:bCs/>
          <w:sz w:val="20"/>
          <w:lang w:eastAsia="es-ES" w:bidi="es-ES"/>
        </w:rPr>
        <w:t>0 es causal de rechazo para participar en los procesos licitatorios o por el contrario</w:t>
      </w:r>
      <w:r>
        <w:rPr>
          <w:rFonts w:ascii="Verdana" w:hAnsi="Verdana" w:cs="Arial"/>
          <w:bCs/>
          <w:sz w:val="20"/>
          <w:lang w:eastAsia="es-ES" w:bidi="es-ES"/>
        </w:rPr>
        <w:t xml:space="preserve"> </w:t>
      </w:r>
      <w:r w:rsidRPr="007001AE">
        <w:rPr>
          <w:rFonts w:ascii="Verdana" w:hAnsi="Verdana" w:cs="Arial"/>
          <w:bCs/>
          <w:sz w:val="20"/>
          <w:lang w:eastAsia="es-ES" w:bidi="es-ES"/>
        </w:rPr>
        <w:t xml:space="preserve">favorece quela </w:t>
      </w:r>
      <w:proofErr w:type="spellStart"/>
      <w:r w:rsidRPr="007001AE">
        <w:rPr>
          <w:rFonts w:ascii="Verdana" w:hAnsi="Verdana" w:cs="Arial"/>
          <w:bCs/>
          <w:sz w:val="20"/>
          <w:lang w:eastAsia="es-ES" w:bidi="es-ES"/>
        </w:rPr>
        <w:t>compañia</w:t>
      </w:r>
      <w:proofErr w:type="spellEnd"/>
      <w:r w:rsidRPr="007001AE">
        <w:rPr>
          <w:rFonts w:ascii="Verdana" w:hAnsi="Verdana" w:cs="Arial"/>
          <w:bCs/>
          <w:sz w:val="20"/>
          <w:lang w:eastAsia="es-ES" w:bidi="es-ES"/>
        </w:rPr>
        <w:t xml:space="preserve"> no tenga deudas</w:t>
      </w:r>
      <w:r w:rsidRPr="00121EA1">
        <w:rPr>
          <w:rFonts w:ascii="Verdana" w:hAnsi="Verdana" w:cs="Arial"/>
          <w:bCs/>
          <w:sz w:val="20"/>
          <w:lang w:eastAsia="es-ES" w:bidi="es-ES"/>
        </w:rPr>
        <w:t>.”</w:t>
      </w:r>
      <w:r w:rsidRPr="00121EA1">
        <w:rPr>
          <w:rFonts w:ascii="Verdana" w:hAnsi="Verdana" w:cs="Arial"/>
          <w:bCs/>
          <w:sz w:val="20"/>
          <w:lang w:val="es-ES" w:eastAsia="es-ES" w:bidi="es-ES"/>
        </w:rPr>
        <w:t xml:space="preserve"> </w:t>
      </w:r>
      <w:r>
        <w:rPr>
          <w:rFonts w:ascii="Verdana" w:hAnsi="Verdana" w:cs="Arial"/>
          <w:bCs/>
          <w:sz w:val="20"/>
          <w:lang w:val="es-ES" w:eastAsia="es-ES" w:bidi="es-ES"/>
        </w:rPr>
        <w:t>(sic)</w:t>
      </w:r>
    </w:p>
    <w:p w14:paraId="4B19EA1A" w14:textId="77777777" w:rsidR="003A41C8" w:rsidRPr="0041694B" w:rsidRDefault="003A41C8" w:rsidP="003A41C8">
      <w:pPr>
        <w:spacing w:after="0" w:line="240" w:lineRule="auto"/>
        <w:jc w:val="both"/>
        <w:rPr>
          <w:rFonts w:ascii="Verdana" w:hAnsi="Verdana" w:cs="Arial"/>
          <w:b/>
          <w:bCs/>
          <w:lang w:val="es-ES" w:eastAsia="es-ES" w:bidi="es-ES"/>
        </w:rPr>
      </w:pPr>
    </w:p>
    <w:p w14:paraId="3C36CB2D" w14:textId="77777777" w:rsidR="003A41C8" w:rsidRPr="00121EA1" w:rsidRDefault="003A41C8" w:rsidP="003A41C8">
      <w:pPr>
        <w:spacing w:after="120" w:line="276" w:lineRule="auto"/>
        <w:ind w:firstLine="709"/>
        <w:jc w:val="both"/>
        <w:rPr>
          <w:rFonts w:ascii="Verdana" w:eastAsia="Calibri" w:hAnsi="Verdana" w:cs="Times New Roman"/>
          <w:lang w:val="es-ES"/>
        </w:rPr>
      </w:pPr>
      <w:r w:rsidRPr="00121EA1">
        <w:rPr>
          <w:rFonts w:ascii="Verdana" w:eastAsia="Calibri" w:hAnsi="Verdana" w:cs="Times New Roman"/>
          <w:lang w:val="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D1D4E1F" w14:textId="77777777" w:rsidR="003A41C8" w:rsidRPr="00121EA1" w:rsidRDefault="003A41C8" w:rsidP="003A41C8">
      <w:pPr>
        <w:spacing w:after="0" w:line="276" w:lineRule="auto"/>
        <w:ind w:firstLine="708"/>
        <w:jc w:val="both"/>
        <w:rPr>
          <w:rFonts w:ascii="Verdana" w:eastAsia="Calibri" w:hAnsi="Verdana" w:cs="Times New Roman"/>
          <w:lang w:val="es-ES"/>
        </w:rPr>
      </w:pPr>
      <w:r w:rsidRPr="00121EA1">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084ACDC3" w14:textId="77777777" w:rsidR="003A41C8" w:rsidRPr="00121EA1" w:rsidRDefault="003A41C8" w:rsidP="003A41C8">
      <w:pPr>
        <w:spacing w:after="0" w:line="256" w:lineRule="auto"/>
        <w:rPr>
          <w:rFonts w:ascii="Verdana" w:eastAsia="Calibri" w:hAnsi="Verdana" w:cs="Times New Roman"/>
          <w:lang w:val="es-ES"/>
        </w:rPr>
      </w:pPr>
    </w:p>
    <w:p w14:paraId="38C464CB" w14:textId="77777777" w:rsidR="003A41C8" w:rsidRPr="00121EA1" w:rsidRDefault="003A41C8" w:rsidP="003A41C8">
      <w:pPr>
        <w:numPr>
          <w:ilvl w:val="0"/>
          <w:numId w:val="16"/>
        </w:numPr>
        <w:spacing w:after="0" w:line="256" w:lineRule="auto"/>
        <w:contextualSpacing/>
        <w:rPr>
          <w:rFonts w:ascii="Verdana" w:eastAsia="Calibri" w:hAnsi="Verdana" w:cs="Times New Roman"/>
          <w:b/>
          <w:bCs/>
          <w:lang w:val="es-ES"/>
        </w:rPr>
      </w:pPr>
      <w:r w:rsidRPr="00121EA1">
        <w:rPr>
          <w:rFonts w:ascii="Verdana" w:eastAsia="Calibri" w:hAnsi="Verdana" w:cs="Times New Roman"/>
          <w:b/>
          <w:bCs/>
          <w:lang w:val="es-ES"/>
        </w:rPr>
        <w:t>Problema planteado:</w:t>
      </w:r>
    </w:p>
    <w:p w14:paraId="615B8700" w14:textId="77777777" w:rsidR="003A41C8" w:rsidRPr="00121EA1" w:rsidRDefault="003A41C8" w:rsidP="003A41C8">
      <w:pPr>
        <w:spacing w:after="0" w:line="256" w:lineRule="auto"/>
        <w:rPr>
          <w:rFonts w:ascii="Verdana" w:eastAsia="Calibri" w:hAnsi="Verdana" w:cs="Times New Roman"/>
        </w:rPr>
      </w:pPr>
    </w:p>
    <w:p w14:paraId="0F57013D" w14:textId="77777777" w:rsidR="003A41C8" w:rsidRDefault="003A41C8" w:rsidP="003A41C8">
      <w:pPr>
        <w:spacing w:after="0" w:line="276" w:lineRule="auto"/>
        <w:jc w:val="both"/>
        <w:rPr>
          <w:rFonts w:ascii="Verdana" w:eastAsia="Calibri" w:hAnsi="Verdana" w:cs="Times New Roman"/>
        </w:rPr>
      </w:pPr>
      <w:r w:rsidRPr="00121EA1">
        <w:rPr>
          <w:rFonts w:ascii="Verdana" w:eastAsia="Calibri" w:hAnsi="Verdana" w:cs="Times New Roman"/>
        </w:rPr>
        <w:t>De acuerdo con el contenido de su solicitud, esta Agencia procede a resolver el siguiente problema jurídico:</w:t>
      </w:r>
      <w:r>
        <w:rPr>
          <w:rFonts w:ascii="Verdana" w:eastAsia="Calibri" w:hAnsi="Verdana" w:cs="Times New Roman"/>
        </w:rPr>
        <w:t xml:space="preserve"> </w:t>
      </w:r>
      <w:r w:rsidRPr="007E0EEE">
        <w:rPr>
          <w:rFonts w:ascii="Verdana" w:eastAsia="Calibri" w:hAnsi="Verdana" w:cs="Times New Roman"/>
        </w:rPr>
        <w:t>¿</w:t>
      </w:r>
      <w:r>
        <w:rPr>
          <w:rFonts w:ascii="Verdana" w:eastAsia="Calibri" w:hAnsi="Verdana" w:cs="Times New Roman"/>
        </w:rPr>
        <w:t xml:space="preserve">La </w:t>
      </w:r>
      <w:r w:rsidRPr="007E0EEE">
        <w:rPr>
          <w:rFonts w:ascii="Verdana" w:eastAsia="Calibri" w:hAnsi="Verdana" w:cs="Times New Roman"/>
        </w:rPr>
        <w:t xml:space="preserve">ausencia de endeudamiento en los estados financieros </w:t>
      </w:r>
      <w:r>
        <w:rPr>
          <w:rFonts w:ascii="Verdana" w:eastAsia="Calibri" w:hAnsi="Verdana" w:cs="Times New Roman"/>
        </w:rPr>
        <w:t xml:space="preserve">de una empresa puede </w:t>
      </w:r>
      <w:r w:rsidRPr="007E0EEE">
        <w:rPr>
          <w:rFonts w:ascii="Verdana" w:eastAsia="Calibri" w:hAnsi="Verdana" w:cs="Times New Roman"/>
        </w:rPr>
        <w:t>afecta</w:t>
      </w:r>
      <w:r>
        <w:rPr>
          <w:rFonts w:ascii="Verdana" w:eastAsia="Calibri" w:hAnsi="Verdana" w:cs="Times New Roman"/>
        </w:rPr>
        <w:t>r</w:t>
      </w:r>
      <w:r w:rsidRPr="007E0EEE">
        <w:rPr>
          <w:rFonts w:ascii="Verdana" w:eastAsia="Calibri" w:hAnsi="Verdana" w:cs="Times New Roman"/>
        </w:rPr>
        <w:t xml:space="preserve"> la habilitación financiera del proponente</w:t>
      </w:r>
      <w:r>
        <w:rPr>
          <w:rFonts w:ascii="Verdana" w:eastAsia="Calibri" w:hAnsi="Verdana" w:cs="Times New Roman"/>
        </w:rPr>
        <w:t xml:space="preserve"> dentro de un proceso de selección</w:t>
      </w:r>
      <w:r w:rsidRPr="007E0EEE">
        <w:rPr>
          <w:rFonts w:ascii="Verdana" w:eastAsia="Calibri" w:hAnsi="Verdana" w:cs="Times New Roman"/>
        </w:rPr>
        <w:t>?</w:t>
      </w:r>
      <w:r w:rsidRPr="007E0EEE" w:rsidDel="007E0EEE">
        <w:rPr>
          <w:rFonts w:ascii="Verdana" w:eastAsia="Calibri" w:hAnsi="Verdana" w:cs="Times New Roman"/>
        </w:rPr>
        <w:t xml:space="preserve"> </w:t>
      </w:r>
    </w:p>
    <w:p w14:paraId="17D74CC4" w14:textId="77777777" w:rsidR="003A41C8" w:rsidRPr="00121EA1" w:rsidRDefault="003A41C8" w:rsidP="003A41C8">
      <w:pPr>
        <w:spacing w:after="0" w:line="256" w:lineRule="auto"/>
        <w:rPr>
          <w:rFonts w:ascii="Verdana" w:eastAsia="Calibri" w:hAnsi="Verdana" w:cs="Times New Roman"/>
        </w:rPr>
      </w:pPr>
    </w:p>
    <w:p w14:paraId="39A8B93F" w14:textId="77777777" w:rsidR="003A41C8" w:rsidRPr="00121EA1" w:rsidRDefault="003A41C8" w:rsidP="003A41C8">
      <w:pPr>
        <w:numPr>
          <w:ilvl w:val="0"/>
          <w:numId w:val="16"/>
        </w:numPr>
        <w:spacing w:after="0" w:line="256" w:lineRule="auto"/>
        <w:contextualSpacing/>
        <w:rPr>
          <w:rFonts w:ascii="Verdana" w:eastAsia="Calibri" w:hAnsi="Verdana" w:cs="Times New Roman"/>
          <w:b/>
          <w:bCs/>
          <w:lang w:val="es-ES"/>
        </w:rPr>
      </w:pPr>
      <w:r w:rsidRPr="00121EA1">
        <w:rPr>
          <w:rFonts w:ascii="Verdana" w:eastAsia="Calibri" w:hAnsi="Verdana" w:cs="Times New Roman"/>
          <w:b/>
          <w:bCs/>
          <w:lang w:val="es-ES"/>
        </w:rPr>
        <w:t>Respuesta:</w:t>
      </w:r>
    </w:p>
    <w:p w14:paraId="18D768A7" w14:textId="77777777" w:rsidR="003A41C8" w:rsidRDefault="003A41C8" w:rsidP="003A41C8">
      <w:pPr>
        <w:spacing w:after="0" w:line="240" w:lineRule="auto"/>
        <w:jc w:val="both"/>
        <w:rPr>
          <w:rFonts w:ascii="Verdana" w:hAnsi="Verdana" w:cs="Arial"/>
          <w:bCs/>
          <w:lang w:val="es-ES" w:eastAsia="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A41C8" w:rsidRPr="001205D1" w14:paraId="0E0D4D05" w14:textId="77777777" w:rsidTr="6096479B">
        <w:trPr>
          <w:trHeight w:val="870"/>
          <w:jc w:val="center"/>
        </w:trPr>
        <w:tc>
          <w:tcPr>
            <w:tcW w:w="8647" w:type="dxa"/>
          </w:tcPr>
          <w:p w14:paraId="1AD67C14" w14:textId="29ADE0B9" w:rsidR="003A41C8" w:rsidRDefault="003A41C8" w:rsidP="00CE12A3">
            <w:pPr>
              <w:spacing w:after="120" w:line="276" w:lineRule="auto"/>
              <w:jc w:val="both"/>
              <w:rPr>
                <w:rFonts w:ascii="Verdana" w:hAnsi="Verdana" w:cs="Arial"/>
                <w:bCs/>
                <w:lang w:val="es-ES_tradnl" w:eastAsia="es-ES" w:bidi="es-ES"/>
              </w:rPr>
            </w:pPr>
            <w:r>
              <w:rPr>
                <w:rFonts w:ascii="Verdana" w:hAnsi="Verdana" w:cs="Arial"/>
                <w:bCs/>
                <w:lang w:val="es-ES_tradnl" w:eastAsia="es-ES" w:bidi="es-ES"/>
              </w:rPr>
              <w:t>E</w:t>
            </w:r>
            <w:r w:rsidRPr="003F4BAF">
              <w:rPr>
                <w:rFonts w:ascii="Verdana" w:hAnsi="Verdana" w:cs="Arial"/>
                <w:bCs/>
                <w:lang w:val="es-ES_tradnl" w:eastAsia="es-ES" w:bidi="es-ES"/>
              </w:rPr>
              <w:t>l numeral 3</w:t>
            </w:r>
            <w:r>
              <w:rPr>
                <w:rFonts w:ascii="Verdana" w:hAnsi="Verdana" w:cs="Arial"/>
                <w:bCs/>
                <w:lang w:val="es-ES_tradnl" w:eastAsia="es-ES" w:bidi="es-ES"/>
              </w:rPr>
              <w:t>°</w:t>
            </w:r>
            <w:r w:rsidRPr="003F4BAF">
              <w:rPr>
                <w:rFonts w:ascii="Verdana" w:hAnsi="Verdana" w:cs="Arial"/>
                <w:bCs/>
                <w:lang w:val="es-ES_tradnl" w:eastAsia="es-ES" w:bidi="es-ES"/>
              </w:rPr>
              <w:t xml:space="preserve"> del artículo 2.2.1.1.1.5.3. del Decreto 1082 de 2015 se refiere a los aspectos de la capacidad financiera que deben verificar las cámaras de comercio al momento de la inscripción, renovación o actualización del</w:t>
            </w:r>
            <w:r>
              <w:rPr>
                <w:rFonts w:ascii="Verdana" w:hAnsi="Verdana" w:cs="Arial"/>
                <w:bCs/>
                <w:lang w:val="es-ES_tradnl" w:eastAsia="es-ES" w:bidi="es-ES"/>
              </w:rPr>
              <w:t xml:space="preserve"> RUP</w:t>
            </w:r>
            <w:r w:rsidRPr="003F4BAF">
              <w:rPr>
                <w:rFonts w:ascii="Verdana" w:hAnsi="Verdana" w:cs="Arial"/>
                <w:bCs/>
                <w:lang w:val="es-ES_tradnl" w:eastAsia="es-ES" w:bidi="es-ES"/>
              </w:rPr>
              <w:t xml:space="preserve">. Sin embargo, no dispone expresamente que el índice de liquidez, el índice de endeudamiento y la razón de cobertura de intereses sean aspectos que deban validarse obligatoriamente en cada proceso de selección. Una cosa son los requisitos de capacidad financiera que debe certificar el registro y </w:t>
            </w:r>
            <w:r w:rsidRPr="003F4BAF">
              <w:rPr>
                <w:rFonts w:ascii="Verdana" w:hAnsi="Verdana" w:cs="Arial"/>
                <w:bCs/>
                <w:lang w:val="es-ES_tradnl" w:eastAsia="es-ES" w:bidi="es-ES"/>
              </w:rPr>
              <w:lastRenderedPageBreak/>
              <w:t>otra, muy diferente, los aspectos de este requisito habilitante que la entidad verifica en cada procedimiento contractual. Mientras</w:t>
            </w:r>
            <w:r>
              <w:rPr>
                <w:rFonts w:ascii="Verdana" w:hAnsi="Verdana" w:cs="Arial"/>
                <w:bCs/>
                <w:lang w:val="es-ES_tradnl" w:eastAsia="es-ES" w:bidi="es-ES"/>
              </w:rPr>
              <w:t>,</w:t>
            </w:r>
            <w:r w:rsidRPr="003F4BAF">
              <w:rPr>
                <w:rFonts w:ascii="Verdana" w:hAnsi="Verdana" w:cs="Arial"/>
                <w:bCs/>
                <w:lang w:val="es-ES_tradnl" w:eastAsia="es-ES" w:bidi="es-ES"/>
              </w:rPr>
              <w:t xml:space="preserve"> los primeros están regulados en el artículo 2.2.1.1.1.5.3. del Decreto 1082 de 2015, los segundos debe establecerlos la entidad contratante en el pliego de condiciones o la invitación, según corresponda.</w:t>
            </w:r>
          </w:p>
          <w:p w14:paraId="3162C197" w14:textId="77777777" w:rsidR="003A41C8" w:rsidRPr="007A59C5" w:rsidRDefault="003A41C8" w:rsidP="6096479B">
            <w:pPr>
              <w:spacing w:after="120" w:line="276" w:lineRule="auto"/>
              <w:ind w:firstLine="709"/>
              <w:jc w:val="both"/>
              <w:rPr>
                <w:rFonts w:ascii="Verdana" w:eastAsia="Calibri" w:hAnsi="Verdana" w:cs="Arial"/>
                <w:color w:val="000000"/>
                <w:lang w:val="es-ES" w:eastAsia="es-ES"/>
              </w:rPr>
            </w:pPr>
            <w:r w:rsidRPr="6096479B">
              <w:rPr>
                <w:rFonts w:ascii="Verdana" w:eastAsia="Calibri" w:hAnsi="Verdana" w:cs="Arial"/>
                <w:color w:val="000000" w:themeColor="text1"/>
                <w:lang w:val="es-ES" w:eastAsia="es-ES"/>
              </w:rPr>
              <w:t xml:space="preserve">Para el caso particular de su consulta, es preciso señalar que esta entidad tiene competencia exclusivamente para atender solicitudes relacionadas con la aplicación de normas de carácter general en materia de compras y contratación pública. Por tanto, no le corresponde emitir conceptos sobre trámites de inscripción ante la Cámara de Comercio ni pronunciarse sobre la validez de situaciones particulares como la descrita, dado que ello excede el ámbito de su función consultiva. </w:t>
            </w:r>
          </w:p>
          <w:p w14:paraId="34A98BC8" w14:textId="77777777" w:rsidR="003A41C8" w:rsidRDefault="003A41C8" w:rsidP="6096479B">
            <w:pPr>
              <w:widowControl w:val="0"/>
              <w:autoSpaceDE w:val="0"/>
              <w:autoSpaceDN w:val="0"/>
              <w:spacing w:after="120" w:line="276" w:lineRule="auto"/>
              <w:ind w:right="176" w:firstLine="709"/>
              <w:jc w:val="both"/>
              <w:rPr>
                <w:rFonts w:ascii="Verdana" w:eastAsia="Calibri" w:hAnsi="Verdana" w:cs="Arial"/>
                <w:color w:val="000000"/>
                <w:lang w:val="es-ES" w:eastAsia="es-ES"/>
              </w:rPr>
            </w:pPr>
            <w:r w:rsidRPr="6096479B">
              <w:rPr>
                <w:rFonts w:ascii="Verdana" w:eastAsia="Calibri" w:hAnsi="Verdana" w:cs="Arial"/>
                <w:color w:val="000000" w:themeColor="text1"/>
                <w:lang w:val="es-ES" w:eastAsia="es-ES"/>
              </w:rPr>
              <w:t xml:space="preserve">Sin perjuicio de lo anterior, es pertinente precisar que conforme lo señalado en el Manual para determinar y verificar los requisitos habilitantes en los procesos de contratación, es la Entidad Estatal quien debe establecer explícitamente en los Documentos del Proceso una regla para determinar cómo lo evaluará la propuesta cuando el denominador es cero (0), pues en este caso no es posible realizar esta operación matemática. Para estos casos, señala que debido a que hay indicadores que resultan de realizar divisiones entre valores, por ejemplo, en el caso del indicador de cobertura de intereses, puede haber empresas que no presentan obligaciones financieras y, por ende, no incurren en gastos financieros, es decir, el denominador es cero (0) y no sería posible calcular el indicador. En este evento, la regla </w:t>
            </w:r>
            <w:r w:rsidRPr="6096479B">
              <w:rPr>
                <w:rFonts w:ascii="Verdana" w:eastAsia="Calibri" w:hAnsi="Verdana" w:cs="Arial"/>
                <w:i/>
                <w:iCs/>
                <w:color w:val="000000" w:themeColor="text1"/>
                <w:lang w:val="es-ES" w:eastAsia="es-ES"/>
              </w:rPr>
              <w:t>puede ser</w:t>
            </w:r>
            <w:r w:rsidRPr="6096479B">
              <w:rPr>
                <w:rFonts w:ascii="Verdana" w:eastAsia="Calibri" w:hAnsi="Verdana" w:cs="Arial"/>
                <w:color w:val="000000" w:themeColor="text1"/>
                <w:lang w:val="es-ES" w:eastAsia="es-ES"/>
              </w:rPr>
              <w:t xml:space="preserve"> que el proponente que no tiene obligaciones financieras resulta habilitado. En todo caso, es responsabilidad de la Entidad Estatal contratante establecer con claridad en los pliegos de condiciones las reglas de evaluación aplicables a este tipo de situaciones.</w:t>
            </w:r>
          </w:p>
          <w:p w14:paraId="67644DE6" w14:textId="77777777" w:rsidR="003A41C8" w:rsidRPr="00FE42B3" w:rsidRDefault="003A41C8" w:rsidP="00FF5D24">
            <w:pPr>
              <w:widowControl w:val="0"/>
              <w:autoSpaceDE w:val="0"/>
              <w:autoSpaceDN w:val="0"/>
              <w:spacing w:after="120" w:line="276" w:lineRule="auto"/>
              <w:ind w:right="176" w:firstLine="709"/>
              <w:jc w:val="both"/>
              <w:rPr>
                <w:rFonts w:ascii="Verdana" w:hAnsi="Verdana" w:cs="Arial"/>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xml:space="preserve">, en ejercicio de su competencia y previa </w:t>
            </w:r>
            <w:r>
              <w:rPr>
                <w:rFonts w:ascii="Verdana" w:hAnsi="Verdana"/>
              </w:rPr>
              <w:t>elaboración del análisis del sector</w:t>
            </w:r>
            <w:r w:rsidRPr="00E61635">
              <w:rPr>
                <w:rFonts w:ascii="Verdana" w:hAnsi="Verdana"/>
              </w:rPr>
              <w:t>, así como de las disposiciones legales mencionadas,</w:t>
            </w:r>
            <w:r>
              <w:rPr>
                <w:rFonts w:ascii="Verdana" w:hAnsi="Verdana"/>
              </w:rPr>
              <w:t xml:space="preserve"> en la fase de planeación, identificar los índices financieros a solicitar dentro de cada proceso de selección. </w:t>
            </w:r>
            <w:r w:rsidRPr="00E61635">
              <w:rPr>
                <w:rFonts w:ascii="Verdana" w:hAnsi="Verdana"/>
              </w:rPr>
              <w:t xml:space="preserve">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w:t>
            </w:r>
            <w:r w:rsidRPr="00E61635">
              <w:rPr>
                <w:rFonts w:ascii="Verdana" w:hAnsi="Verdana"/>
              </w:rPr>
              <w:lastRenderedPageBreak/>
              <w:t>adopten la decisión que corresponda, lo cual es acorde con el principio de juridicidad. Así, cada Entidad definirá la forma de adelantar su gestión contractual, sin que sea atribución de Colombia Compra Eficiente validar sus actuaciones.</w:t>
            </w:r>
          </w:p>
        </w:tc>
      </w:tr>
    </w:tbl>
    <w:p w14:paraId="2F5071D7" w14:textId="77777777" w:rsidR="003A41C8" w:rsidRPr="003F4BAF" w:rsidRDefault="003A41C8" w:rsidP="003A41C8">
      <w:pPr>
        <w:spacing w:after="0" w:line="276" w:lineRule="auto"/>
        <w:jc w:val="both"/>
        <w:rPr>
          <w:rFonts w:ascii="Verdana" w:eastAsia="Calibri" w:hAnsi="Verdana" w:cs="Arial"/>
          <w:bCs/>
          <w:color w:val="000000" w:themeColor="text1"/>
        </w:rPr>
      </w:pPr>
    </w:p>
    <w:p w14:paraId="3C2C0159" w14:textId="77777777" w:rsidR="003A41C8" w:rsidRPr="003F4BAF" w:rsidRDefault="003A41C8" w:rsidP="003A41C8">
      <w:pPr>
        <w:numPr>
          <w:ilvl w:val="0"/>
          <w:numId w:val="16"/>
        </w:numPr>
        <w:spacing w:after="0" w:line="256" w:lineRule="auto"/>
        <w:ind w:left="0" w:firstLine="0"/>
        <w:rPr>
          <w:rFonts w:ascii="Verdana" w:eastAsia="Calibri" w:hAnsi="Verdana" w:cs="Times New Roman"/>
          <w:b/>
          <w:bCs/>
          <w:lang w:val="es-ES"/>
        </w:rPr>
      </w:pPr>
      <w:r w:rsidRPr="003F4BAF">
        <w:rPr>
          <w:rFonts w:ascii="Verdana" w:eastAsia="Calibri" w:hAnsi="Verdana" w:cs="Times New Roman"/>
          <w:b/>
          <w:bCs/>
          <w:lang w:val="es-ES"/>
        </w:rPr>
        <w:t>Razones de la respuesta:</w:t>
      </w:r>
    </w:p>
    <w:p w14:paraId="7F3C8EAB" w14:textId="77777777" w:rsidR="003A41C8" w:rsidRPr="003F4BAF" w:rsidRDefault="003A41C8" w:rsidP="003A41C8">
      <w:pPr>
        <w:spacing w:after="0" w:line="256" w:lineRule="auto"/>
        <w:rPr>
          <w:rFonts w:ascii="Verdana" w:eastAsia="Calibri" w:hAnsi="Verdana" w:cs="Times New Roman"/>
          <w:b/>
          <w:bCs/>
          <w:lang w:val="es-ES"/>
        </w:rPr>
      </w:pPr>
    </w:p>
    <w:p w14:paraId="513A2012" w14:textId="77777777" w:rsidR="003A41C8" w:rsidRPr="003F4BAF" w:rsidRDefault="003A41C8" w:rsidP="003A41C8">
      <w:pPr>
        <w:spacing w:after="0" w:line="276" w:lineRule="auto"/>
        <w:jc w:val="both"/>
        <w:rPr>
          <w:rFonts w:ascii="Verdana" w:eastAsia="Calibri" w:hAnsi="Verdana" w:cs="Arial"/>
          <w:lang w:val="es-ES"/>
        </w:rPr>
      </w:pPr>
      <w:r w:rsidRPr="003F4BAF">
        <w:rPr>
          <w:rFonts w:ascii="Verdana" w:eastAsia="Calibri" w:hAnsi="Verdana" w:cs="Arial"/>
          <w:lang w:val="es-ES"/>
        </w:rPr>
        <w:t xml:space="preserve">Lo anterior se sustenta en las siguientes consideraciones: </w:t>
      </w:r>
    </w:p>
    <w:p w14:paraId="3DED2662" w14:textId="77777777" w:rsidR="003A41C8" w:rsidRPr="0041694B" w:rsidRDefault="003A41C8" w:rsidP="003A41C8">
      <w:pPr>
        <w:spacing w:after="0" w:line="240" w:lineRule="auto"/>
        <w:jc w:val="both"/>
        <w:rPr>
          <w:rFonts w:ascii="Verdana" w:hAnsi="Verdana" w:cs="Arial"/>
          <w:bCs/>
          <w:lang w:val="es-ES" w:eastAsia="es-ES" w:bidi="es-ES"/>
        </w:rPr>
      </w:pPr>
    </w:p>
    <w:p w14:paraId="4DE66141" w14:textId="77777777" w:rsidR="003A41C8" w:rsidRPr="0041694B" w:rsidRDefault="003A41C8" w:rsidP="003A41C8">
      <w:pPr>
        <w:spacing w:after="120" w:line="276" w:lineRule="auto"/>
        <w:jc w:val="both"/>
        <w:rPr>
          <w:rFonts w:ascii="Verdana" w:hAnsi="Verdana" w:cs="Arial"/>
          <w:bCs/>
          <w:lang w:val="es-ES_tradnl" w:eastAsia="es-ES" w:bidi="es-ES"/>
        </w:rPr>
      </w:pPr>
      <w:r w:rsidRPr="0041694B">
        <w:rPr>
          <w:rFonts w:ascii="Verdana" w:hAnsi="Verdana" w:cs="Arial"/>
          <w:bCs/>
          <w:lang w:val="es-ES_tradnl" w:eastAsia="es-ES" w:bidi="es-ES"/>
        </w:rPr>
        <w:t xml:space="preserve">Los </w:t>
      </w:r>
      <w:r w:rsidRPr="0041694B">
        <w:rPr>
          <w:rFonts w:ascii="Verdana" w:hAnsi="Verdana" w:cs="Arial"/>
          <w:bCs/>
          <w:i/>
          <w:iCs/>
          <w:lang w:val="es-ES_tradnl" w:eastAsia="es-ES" w:bidi="es-ES"/>
        </w:rPr>
        <w:t>requisitos habilitantes</w:t>
      </w:r>
      <w:r w:rsidRPr="0041694B">
        <w:rPr>
          <w:rFonts w:ascii="Verdana" w:hAnsi="Verdana" w:cs="Arial"/>
          <w:bCs/>
          <w:lang w:val="es-ES_tradnl" w:eastAsia="es-ES" w:bidi="es-ES"/>
        </w:rPr>
        <w:t xml:space="preserve"> se definen como exigencias de participación en los procedimientos de selección, establecidos en disposiciones normativas, de carácter legal o reglamentario, o contenidas en el acto administrativo que regula las reglas de la convocatoria, es decir, en el pliego de condiciones o el documento equivalente a este. Se diferencian de los </w:t>
      </w:r>
      <w:r w:rsidRPr="0041694B">
        <w:rPr>
          <w:rFonts w:ascii="Verdana" w:hAnsi="Verdana" w:cs="Arial"/>
          <w:bCs/>
          <w:i/>
          <w:iCs/>
          <w:lang w:val="es-ES_tradnl" w:eastAsia="es-ES" w:bidi="es-ES"/>
        </w:rPr>
        <w:t>criterios de evaluación</w:t>
      </w:r>
      <w:r w:rsidRPr="0041694B">
        <w:rPr>
          <w:rFonts w:ascii="Verdana" w:hAnsi="Verdana" w:cs="Arial"/>
          <w:bCs/>
          <w:lang w:val="es-ES_tradnl" w:eastAsia="es-ES" w:bidi="es-ES"/>
        </w:rPr>
        <w:t xml:space="preserve"> –también conocidos como </w:t>
      </w:r>
      <w:r w:rsidRPr="0041694B">
        <w:rPr>
          <w:rFonts w:ascii="Verdana" w:hAnsi="Verdana" w:cs="Arial"/>
          <w:bCs/>
          <w:i/>
          <w:iCs/>
          <w:lang w:val="es-ES_tradnl" w:eastAsia="es-ES" w:bidi="es-ES"/>
        </w:rPr>
        <w:t>criterios de calificación</w:t>
      </w:r>
      <w:r w:rsidRPr="0041694B">
        <w:rPr>
          <w:rFonts w:ascii="Verdana" w:hAnsi="Verdana" w:cs="Arial"/>
          <w:bCs/>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1A2DEAC9" w14:textId="77777777" w:rsidR="003A41C8" w:rsidRPr="0041694B" w:rsidRDefault="003A41C8" w:rsidP="003A41C8">
      <w:pPr>
        <w:spacing w:after="120" w:line="276" w:lineRule="auto"/>
        <w:ind w:firstLine="708"/>
        <w:jc w:val="both"/>
        <w:rPr>
          <w:rFonts w:ascii="Verdana" w:hAnsi="Verdana" w:cs="Arial"/>
          <w:bCs/>
          <w:lang w:val="es-ES" w:eastAsia="es-ES" w:bidi="es-ES"/>
        </w:rPr>
      </w:pPr>
      <w:r w:rsidRPr="0041694B">
        <w:rPr>
          <w:rFonts w:ascii="Verdana" w:hAnsi="Verdana" w:cs="Arial"/>
          <w:bCs/>
          <w:lang w:val="es-ES" w:eastAsia="es-ES" w:bidi="es-ES"/>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6E94D145" w14:textId="77777777" w:rsidR="003A41C8" w:rsidRPr="0041694B" w:rsidRDefault="003A41C8" w:rsidP="003A41C8">
      <w:pPr>
        <w:spacing w:after="120" w:line="276" w:lineRule="auto"/>
        <w:ind w:firstLine="708"/>
        <w:jc w:val="both"/>
        <w:rPr>
          <w:rFonts w:ascii="Verdana" w:hAnsi="Verdana" w:cs="Arial"/>
          <w:bCs/>
          <w:lang w:val="es-ES" w:eastAsia="es-ES" w:bidi="es-ES"/>
        </w:rPr>
      </w:pPr>
      <w:r w:rsidRPr="0041694B">
        <w:rPr>
          <w:rFonts w:ascii="Verdana" w:hAnsi="Verdana" w:cs="Arial"/>
          <w:bCs/>
          <w:lang w:val="es-ES" w:eastAsia="es-ES" w:bidi="es-ES"/>
        </w:rPr>
        <w:t xml:space="preserve">El mencionado artículo dispone que se considera </w:t>
      </w:r>
      <w:r w:rsidRPr="0041694B">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41694B">
        <w:rPr>
          <w:rFonts w:ascii="Verdana" w:hAnsi="Verdana" w:cs="Arial"/>
          <w:bCs/>
          <w:lang w:val="es-ES" w:eastAsia="es-ES" w:bidi="es-ES"/>
        </w:rPr>
        <w:t xml:space="preserve"> En ese contexto, los factores de escogencia y calificación que establezcan las entidades en los pliegos de condiciones o sus documentos equivalentes deberán tener en cuenta, entre otras cuestiones, los criterios establecidos en dicha disposición. Específicamente, el numeral 1º del artículo referido establece que en los procesos de selección de </w:t>
      </w:r>
      <w:r w:rsidRPr="0041694B">
        <w:rPr>
          <w:rFonts w:ascii="Verdana" w:hAnsi="Verdana" w:cs="Arial"/>
          <w:bCs/>
          <w:lang w:val="es-ES" w:eastAsia="es-ES" w:bidi="es-ES"/>
        </w:rPr>
        <w:lastRenderedPageBreak/>
        <w:t xml:space="preserve">contratistas serán objeto de verificación, como requisitos habilitantes, </w:t>
      </w:r>
      <w:r w:rsidRPr="0041694B">
        <w:rPr>
          <w:rFonts w:ascii="Verdana" w:hAnsi="Verdana" w:cs="Arial"/>
          <w:bCs/>
          <w:i/>
          <w:iCs/>
          <w:lang w:val="es-ES" w:eastAsia="es-ES" w:bidi="es-ES"/>
        </w:rPr>
        <w:t>entre otros</w:t>
      </w:r>
      <w:r w:rsidRPr="0041694B">
        <w:rPr>
          <w:rFonts w:ascii="Verdana" w:hAnsi="Verdana" w:cs="Arial"/>
          <w:bCs/>
          <w:lang w:val="es-ES" w:eastAsia="es-ES" w:bidi="es-ES"/>
        </w:rPr>
        <w:t>, los siguientes: i) la capacidad jurídica; ii) la experiencia; iii) la capacidad financiera y iv) la capacidad de organización. En efecto, la normati</w:t>
      </w:r>
      <w:r>
        <w:rPr>
          <w:rFonts w:ascii="Verdana" w:hAnsi="Verdana" w:cs="Arial"/>
          <w:bCs/>
          <w:lang w:val="es-ES" w:eastAsia="es-ES" w:bidi="es-ES"/>
        </w:rPr>
        <w:t>va citada prescribe</w:t>
      </w:r>
      <w:r w:rsidRPr="0041694B">
        <w:rPr>
          <w:rFonts w:ascii="Verdana" w:hAnsi="Verdana" w:cs="Arial"/>
          <w:bCs/>
          <w:lang w:val="es-ES" w:eastAsia="es-ES" w:bidi="es-ES"/>
        </w:rPr>
        <w:t>:</w:t>
      </w:r>
    </w:p>
    <w:p w14:paraId="5E2D435E" w14:textId="77777777" w:rsidR="003A41C8" w:rsidRPr="009C34B8" w:rsidRDefault="003A41C8" w:rsidP="003A41C8">
      <w:pPr>
        <w:spacing w:after="0" w:line="240" w:lineRule="auto"/>
        <w:ind w:left="709" w:right="709"/>
        <w:jc w:val="both"/>
        <w:rPr>
          <w:rFonts w:ascii="Verdana" w:hAnsi="Verdana" w:cs="Arial"/>
          <w:bCs/>
          <w:sz w:val="20"/>
          <w:szCs w:val="20"/>
          <w:lang w:val="es-ES_tradnl" w:eastAsia="es-ES" w:bidi="es-ES"/>
        </w:rPr>
      </w:pPr>
      <w:r w:rsidRPr="009C34B8">
        <w:rPr>
          <w:rFonts w:ascii="Verdana" w:hAnsi="Verdana" w:cs="Arial"/>
          <w:bCs/>
          <w:i/>
          <w:iCs/>
          <w:sz w:val="20"/>
          <w:szCs w:val="20"/>
          <w:lang w:val="es-ES_tradnl" w:eastAsia="es-ES" w:bidi="es-ES"/>
        </w:rPr>
        <w:t>“</w:t>
      </w:r>
      <w:r w:rsidRPr="009C34B8">
        <w:rPr>
          <w:rFonts w:ascii="Verdana" w:hAnsi="Verdana" w:cs="Arial"/>
          <w:bCs/>
          <w:sz w:val="20"/>
          <w:szCs w:val="20"/>
          <w:lang w:val="es-ES_tradnl" w:eastAsia="es-ES" w:bidi="es-ES"/>
        </w:rPr>
        <w:t xml:space="preserve">Artículo 5. De la Selección Objetiva. </w:t>
      </w:r>
    </w:p>
    <w:p w14:paraId="097E5E5E" w14:textId="77777777" w:rsidR="003A41C8" w:rsidRPr="009C34B8" w:rsidRDefault="003A41C8" w:rsidP="003A41C8">
      <w:pPr>
        <w:spacing w:after="0" w:line="240" w:lineRule="auto"/>
        <w:ind w:left="709" w:right="709"/>
        <w:jc w:val="both"/>
        <w:rPr>
          <w:rFonts w:ascii="Verdana" w:hAnsi="Verdana" w:cs="Arial"/>
          <w:bCs/>
          <w:sz w:val="20"/>
          <w:szCs w:val="20"/>
          <w:lang w:val="es-ES_tradnl" w:eastAsia="es-ES" w:bidi="es-ES"/>
        </w:rPr>
      </w:pPr>
      <w:r w:rsidRPr="009C34B8">
        <w:rPr>
          <w:rFonts w:ascii="Verdana" w:hAnsi="Verdana" w:cs="Arial"/>
          <w:bCs/>
          <w:sz w:val="20"/>
          <w:szCs w:val="20"/>
          <w:lang w:val="es-ES_tradnl" w:eastAsia="es-ES" w:bidi="es-ES"/>
        </w:rPr>
        <w:t>[…]</w:t>
      </w:r>
    </w:p>
    <w:p w14:paraId="4FF7013B" w14:textId="77777777" w:rsidR="003A41C8" w:rsidRPr="009C34B8" w:rsidRDefault="003A41C8" w:rsidP="003A41C8">
      <w:pPr>
        <w:numPr>
          <w:ilvl w:val="0"/>
          <w:numId w:val="18"/>
        </w:numPr>
        <w:spacing w:after="0" w:line="240" w:lineRule="auto"/>
        <w:ind w:left="709" w:right="709"/>
        <w:jc w:val="both"/>
        <w:rPr>
          <w:rFonts w:ascii="Verdana" w:hAnsi="Verdana" w:cs="Arial"/>
          <w:bCs/>
          <w:sz w:val="20"/>
          <w:szCs w:val="20"/>
          <w:lang w:val="es-ES" w:eastAsia="es-ES" w:bidi="es-ES"/>
        </w:rPr>
      </w:pPr>
      <w:r w:rsidRPr="009C34B8">
        <w:rPr>
          <w:rFonts w:ascii="Verdana" w:hAnsi="Verdana" w:cs="Arial"/>
          <w:bCs/>
          <w:sz w:val="20"/>
          <w:szCs w:val="20"/>
          <w:lang w:val="es-ES" w:eastAsia="es-ES" w:bidi="es-ES"/>
        </w:rPr>
        <w:t>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51F72068" w14:textId="77777777" w:rsidR="003A41C8" w:rsidRPr="0041694B" w:rsidRDefault="003A41C8" w:rsidP="003A41C8">
      <w:pPr>
        <w:spacing w:after="0" w:line="240" w:lineRule="auto"/>
        <w:jc w:val="both"/>
        <w:rPr>
          <w:rFonts w:ascii="Verdana" w:hAnsi="Verdana" w:cs="Arial"/>
          <w:bCs/>
          <w:lang w:val="es-ES_tradnl" w:eastAsia="es-ES" w:bidi="es-ES"/>
        </w:rPr>
      </w:pPr>
    </w:p>
    <w:p w14:paraId="10A305CF" w14:textId="77777777" w:rsidR="003A41C8" w:rsidRPr="003F4BAF" w:rsidRDefault="003A41C8" w:rsidP="003A41C8">
      <w:pPr>
        <w:spacing w:after="120" w:line="276" w:lineRule="auto"/>
        <w:ind w:firstLine="709"/>
        <w:jc w:val="both"/>
        <w:rPr>
          <w:rFonts w:ascii="Verdana" w:hAnsi="Verdana" w:cs="Arial"/>
          <w:bCs/>
          <w:lang w:val="es-MX" w:eastAsia="es-ES" w:bidi="es-ES"/>
        </w:rPr>
      </w:pPr>
      <w:r w:rsidRPr="003F4BAF">
        <w:rPr>
          <w:rFonts w:ascii="Verdana" w:hAnsi="Verdana" w:cs="Arial"/>
          <w:bCs/>
          <w:lang w:val="es-MX" w:eastAsia="es-ES" w:bidi="es-ES"/>
        </w:rPr>
        <w:t>Una vez fijados los requisitos habilitantes por la Entidad Estatal, quienes presenten ofertas deben acreditar que cumplen con los mismos, pues, en el evento contrar</w:t>
      </w:r>
      <w:r>
        <w:rPr>
          <w:rFonts w:ascii="Verdana" w:hAnsi="Verdana" w:cs="Arial"/>
          <w:bCs/>
          <w:lang w:val="es-MX" w:eastAsia="es-ES" w:bidi="es-ES"/>
        </w:rPr>
        <w:t>io, las propuestas deberán rechazarse</w:t>
      </w:r>
      <w:r w:rsidRPr="003F4BAF">
        <w:rPr>
          <w:rFonts w:ascii="Verdana" w:hAnsi="Verdana" w:cs="Arial"/>
          <w:bCs/>
          <w:lang w:val="es-MX" w:eastAsia="es-ES" w:bidi="es-ES"/>
        </w:rPr>
        <w:t>. El ente encargado de verificar el cumplimiento por parte de los proponentes sobre los requisitos que haya considerado la entidad como habilitantes será la Cámara de Comercio, esto en la medida en que, mediante el Registro Único de Proponentes –RUP</w:t>
      </w:r>
      <w:r w:rsidRPr="003F4BAF">
        <w:rPr>
          <w:rFonts w:ascii="Verdana" w:hAnsi="Verdana" w:cs="Arial"/>
          <w:bCs/>
          <w:vertAlign w:val="superscript"/>
          <w:lang w:val="es-ES_tradnl" w:eastAsia="es-ES" w:bidi="es-ES"/>
        </w:rPr>
        <w:footnoteReference w:id="1"/>
      </w:r>
      <w:r w:rsidRPr="003F4BAF">
        <w:rPr>
          <w:rFonts w:ascii="Verdana" w:hAnsi="Verdana" w:cs="Arial"/>
          <w:bCs/>
          <w:lang w:val="es-MX" w:eastAsia="es-ES" w:bidi="es-ES"/>
        </w:rPr>
        <w:t xml:space="preserve">–, se pondrá de presente toda la información relacionada con la experiencia, capacidad jurídica, capacidad financiera y organizacional, así como la clasificación del proponente. </w:t>
      </w:r>
    </w:p>
    <w:p w14:paraId="59228960" w14:textId="77777777" w:rsidR="003A41C8" w:rsidRDefault="003A41C8" w:rsidP="00CA46CF">
      <w:pPr>
        <w:spacing w:after="120" w:line="276" w:lineRule="auto"/>
        <w:jc w:val="both"/>
        <w:rPr>
          <w:rFonts w:ascii="Verdana" w:hAnsi="Verdana" w:cs="Arial"/>
          <w:bCs/>
          <w:lang w:val="es-MX" w:eastAsia="es-ES" w:bidi="es-ES"/>
        </w:rPr>
      </w:pPr>
      <w:r w:rsidRPr="003F4BAF">
        <w:rPr>
          <w:rFonts w:ascii="Verdana" w:hAnsi="Verdana" w:cs="Arial"/>
          <w:bCs/>
          <w:lang w:val="es-MX" w:eastAsia="es-ES" w:bidi="es-ES"/>
        </w:rPr>
        <w:t xml:space="preserve">El artículo 6 de la Ley 1150 de 2007, que regula los sujetos que deben inscribirse en el RUP, señaló que deben hacerlo las personas naturales o jurídicas, </w:t>
      </w:r>
      <w:r w:rsidRPr="003F4BAF">
        <w:rPr>
          <w:rFonts w:ascii="Verdana" w:hAnsi="Verdana" w:cs="Arial"/>
          <w:bCs/>
          <w:lang w:val="es-MX" w:eastAsia="es-ES" w:bidi="es-ES"/>
        </w:rPr>
        <w:lastRenderedPageBreak/>
        <w:t>nacionales o extranjeras que tengan domicilio o sucursal en el país. Estas personas tienen la obligación de registrarse en el RUP, en dos casos: a) cuando pretendan celebrar contratos estatales y b) si el procedimiento de contratación es de aquellos en los cuales no se exceptúa el RUP, de acuerdo con el inciso segundo del artículo 6 de la Ley 1150 de 2007 –contratación directa, contratos para la prestación de servicios de salud, contratos de mínima cuantía, entre otros puestos de presente por la norma–. De esto</w:t>
      </w:r>
      <w:r>
        <w:rPr>
          <w:rFonts w:ascii="Verdana" w:hAnsi="Verdana" w:cs="Arial"/>
          <w:bCs/>
          <w:lang w:val="es-MX" w:eastAsia="es-ES" w:bidi="es-ES"/>
        </w:rPr>
        <w:t>,</w:t>
      </w:r>
      <w:r w:rsidRPr="003F4BAF">
        <w:rPr>
          <w:rFonts w:ascii="Verdana" w:hAnsi="Verdana" w:cs="Arial"/>
          <w:bCs/>
          <w:lang w:val="es-MX" w:eastAsia="es-ES" w:bidi="es-ES"/>
        </w:rPr>
        <w:t xml:space="preserve"> se desprende que las personas extranjeras sin domicilio o sucursal en Colombia que pretendan celebrar contratos con el Estado colombiano no están obligadas a inscribirse en el RUP, puesto que, tratándose de proponentes extranjeros la norma únicamente señala como obligados a quienes tengan domicilio o sucursal en el país. En consecuencia, este tipo de proponentes extranjeros deberán acreditar la experiencia y los demás requisitos habilitantes exigidos en los procesos de selección de contratación pública en los que participen mediante la presentación de los documentos que cumplan con los requisitos de validez dispuestos por la ley y el pliego de condiciones que haya determinado previamente la Entidad Estatal, para que sirvan de prueba, y la Entidad Estatal deberá realizar una verificación directa del cumplimiento de los requisitos habilitantes.</w:t>
      </w:r>
    </w:p>
    <w:p w14:paraId="4A835853" w14:textId="77777777" w:rsidR="00817AA1" w:rsidRPr="003F4BAF" w:rsidRDefault="00817AA1" w:rsidP="00CA46CF">
      <w:pPr>
        <w:spacing w:after="120" w:line="276" w:lineRule="auto"/>
        <w:jc w:val="both"/>
        <w:rPr>
          <w:rFonts w:ascii="Verdana" w:hAnsi="Verdana" w:cs="Arial"/>
          <w:bCs/>
          <w:lang w:val="es-MX" w:eastAsia="es-ES" w:bidi="es-ES"/>
        </w:rPr>
      </w:pPr>
    </w:p>
    <w:p w14:paraId="1CFD040A" w14:textId="77777777" w:rsidR="003A41C8" w:rsidRDefault="003A41C8" w:rsidP="003A41C8">
      <w:pPr>
        <w:spacing w:after="120" w:line="276" w:lineRule="auto"/>
        <w:ind w:firstLine="709"/>
        <w:jc w:val="both"/>
        <w:rPr>
          <w:rFonts w:ascii="Verdana" w:hAnsi="Verdana" w:cs="Arial"/>
          <w:bCs/>
          <w:lang w:val="es-MX" w:eastAsia="es-ES" w:bidi="es-ES"/>
        </w:rPr>
      </w:pPr>
      <w:r w:rsidRPr="003F4BAF">
        <w:rPr>
          <w:rFonts w:ascii="Verdana" w:hAnsi="Verdana" w:cs="Arial"/>
          <w:bCs/>
          <w:lang w:val="es-MX" w:eastAsia="es-ES" w:bidi="es-ES"/>
        </w:rPr>
        <w:t xml:space="preserve">Ahora bien, dentro de los requisitos habilitantes se destaca la capacidad financiera, la cual se deriva del comportamiento contable de la empresa, su liquidez y endeudamiento, para determinar que sus recursos y solidez financiera le permita cumplir los compromisos que adquiera. Como explica esta Agencia en el </w:t>
      </w:r>
      <w:r w:rsidRPr="003F4BAF">
        <w:rPr>
          <w:rFonts w:ascii="Verdana" w:hAnsi="Verdana" w:cs="Arial"/>
          <w:bCs/>
          <w:i/>
          <w:iCs/>
          <w:lang w:val="es-MX" w:eastAsia="es-ES" w:bidi="es-ES"/>
        </w:rPr>
        <w:t>Manual para determinar y verificar los requisitos habilitantes en los procesos de contratación</w:t>
      </w:r>
      <w:r w:rsidRPr="003F4BAF">
        <w:rPr>
          <w:rFonts w:ascii="Verdana" w:hAnsi="Verdana" w:cs="Arial"/>
          <w:bCs/>
          <w:lang w:val="es-MX" w:eastAsia="es-ES" w:bidi="es-ES"/>
        </w:rPr>
        <w:t xml:space="preserve">: </w:t>
      </w:r>
      <w:r w:rsidRPr="003F4BAF">
        <w:rPr>
          <w:rFonts w:ascii="Verdana" w:hAnsi="Verdana" w:cs="Arial"/>
          <w:bCs/>
          <w:i/>
          <w:iCs/>
          <w:lang w:val="es-MX" w:eastAsia="es-ES" w:bidi="es-ES"/>
        </w:rPr>
        <w:t>“Los indicadores de capacidad financiera buscan establecer unas condiciones mínimas que reflejan la salud financiera de los proponentes a través de su liquidez y endeudamiento. Estas condiciones muestran la aptitud del proponente para cumplir oportuna y cabalmente el objeto del contrato”</w:t>
      </w:r>
      <w:r w:rsidRPr="003F4BAF">
        <w:rPr>
          <w:rFonts w:ascii="Verdana" w:hAnsi="Verdana" w:cs="Arial"/>
          <w:bCs/>
          <w:i/>
          <w:iCs/>
          <w:vertAlign w:val="superscript"/>
          <w:lang w:val="es-ES_tradnl" w:eastAsia="es-ES" w:bidi="es-ES"/>
        </w:rPr>
        <w:footnoteReference w:id="2"/>
      </w:r>
      <w:r w:rsidRPr="003F4BAF">
        <w:rPr>
          <w:rFonts w:ascii="Verdana" w:hAnsi="Verdana" w:cs="Arial"/>
          <w:bCs/>
          <w:i/>
          <w:iCs/>
          <w:lang w:val="es-ES_tradnl" w:eastAsia="es-ES" w:bidi="es-ES"/>
        </w:rPr>
        <w:t>.</w:t>
      </w:r>
      <w:r w:rsidRPr="003F4BAF">
        <w:rPr>
          <w:rFonts w:ascii="Verdana" w:hAnsi="Verdana" w:cs="Arial"/>
          <w:bCs/>
          <w:lang w:val="es-MX" w:eastAsia="es-ES" w:bidi="es-ES"/>
        </w:rPr>
        <w:t xml:space="preserve"> La Entidad Estatal, como responsable de la estructuración de su procedimiento de selección, es autónoma para determinar la capacidad financiera necesaria de acuerdo con el objeto contractual que se pretende satisfacer, no obstante, en atención a lo dispuesto en el artículo 2.2.1.1.1.6.2 del Decreto 1082 de 2015, </w:t>
      </w:r>
      <w:r w:rsidRPr="003F4BAF">
        <w:rPr>
          <w:rFonts w:ascii="Verdana" w:hAnsi="Verdana" w:cs="Arial"/>
          <w:bCs/>
          <w:lang w:val="es-MX" w:eastAsia="es-ES" w:bidi="es-ES"/>
        </w:rPr>
        <w:lastRenderedPageBreak/>
        <w:t>debe ser establecida con sustento en el estudio del sector</w:t>
      </w:r>
      <w:r w:rsidRPr="003F4BAF">
        <w:rPr>
          <w:rFonts w:ascii="Verdana" w:hAnsi="Verdana" w:cs="Arial"/>
          <w:bCs/>
          <w:vertAlign w:val="superscript"/>
          <w:lang w:val="es-MX" w:eastAsia="es-ES" w:bidi="es-ES"/>
        </w:rPr>
        <w:footnoteReference w:id="3"/>
      </w:r>
      <w:r w:rsidRPr="003F4BAF">
        <w:rPr>
          <w:rFonts w:ascii="Verdana" w:hAnsi="Verdana" w:cs="Arial"/>
          <w:bCs/>
          <w:lang w:val="es-MX" w:eastAsia="es-ES" w:bidi="es-ES"/>
        </w:rPr>
        <w:t xml:space="preserve"> y sus componentes como la identificación de riesgos, el mercado y precio del bien, obra o servicio a contratar</w:t>
      </w:r>
      <w:r w:rsidRPr="003F4BAF">
        <w:rPr>
          <w:rFonts w:ascii="Verdana" w:hAnsi="Verdana" w:cs="Arial"/>
          <w:bCs/>
          <w:vertAlign w:val="superscript"/>
          <w:lang w:val="es-MX" w:eastAsia="es-ES" w:bidi="es-ES"/>
        </w:rPr>
        <w:footnoteReference w:id="4"/>
      </w:r>
      <w:r w:rsidRPr="003F4BAF">
        <w:rPr>
          <w:rFonts w:ascii="Verdana" w:hAnsi="Verdana" w:cs="Arial"/>
          <w:bCs/>
          <w:lang w:val="es-MX" w:eastAsia="es-ES" w:bidi="es-ES"/>
        </w:rPr>
        <w:t>.</w:t>
      </w:r>
    </w:p>
    <w:p w14:paraId="54452AF9" w14:textId="77777777" w:rsidR="00817AA1" w:rsidRPr="003F4BAF" w:rsidRDefault="00817AA1" w:rsidP="003A41C8">
      <w:pPr>
        <w:spacing w:after="120" w:line="276" w:lineRule="auto"/>
        <w:ind w:firstLine="709"/>
        <w:jc w:val="both"/>
        <w:rPr>
          <w:rFonts w:ascii="Verdana" w:hAnsi="Verdana" w:cs="Arial"/>
          <w:bCs/>
          <w:lang w:val="es-MX" w:eastAsia="es-ES" w:bidi="es-ES"/>
        </w:rPr>
      </w:pPr>
    </w:p>
    <w:p w14:paraId="01A2B5A8" w14:textId="77777777" w:rsidR="006A245A" w:rsidRDefault="003A41C8" w:rsidP="003A41C8">
      <w:pPr>
        <w:spacing w:after="120" w:line="276" w:lineRule="auto"/>
        <w:ind w:firstLine="709"/>
        <w:jc w:val="both"/>
        <w:rPr>
          <w:rFonts w:ascii="Verdana" w:hAnsi="Verdana" w:cs="Arial"/>
          <w:bCs/>
          <w:lang w:val="es-ES_tradnl" w:eastAsia="es-ES" w:bidi="es-ES"/>
        </w:rPr>
      </w:pPr>
      <w:r w:rsidRPr="003F4BAF">
        <w:rPr>
          <w:rFonts w:ascii="Verdana" w:hAnsi="Verdana" w:cs="Arial"/>
          <w:bCs/>
          <w:lang w:val="es-ES_tradnl" w:eastAsia="es-ES" w:bidi="es-ES"/>
        </w:rPr>
        <w:t xml:space="preserve">De conformidad con lo dispuesto en los artículos 5, numeral 1 de la Ley 1150 de 2007 y 2.2.1.1.1.5.3 del Decreto 1082 de 2015, por regla general, la acreditación del requisito habilitante de capacidad financiera se realiza </w:t>
      </w:r>
      <w:r>
        <w:rPr>
          <w:rFonts w:ascii="Verdana" w:hAnsi="Verdana" w:cs="Arial"/>
          <w:bCs/>
          <w:lang w:val="es-ES_tradnl" w:eastAsia="es-ES" w:bidi="es-ES"/>
        </w:rPr>
        <w:t xml:space="preserve">mediante </w:t>
      </w:r>
      <w:r w:rsidRPr="003F4BAF">
        <w:rPr>
          <w:rFonts w:ascii="Verdana" w:hAnsi="Verdana" w:cs="Arial"/>
          <w:bCs/>
          <w:lang w:val="es-ES_tradnl" w:eastAsia="es-ES" w:bidi="es-ES"/>
        </w:rPr>
        <w:t xml:space="preserve">el RUP. En atención a esto, para los tramites de inscripción, renovación y actualización el numeral 2.3 del artículo 2.2.1.1.1.5.2 del Decreto 1082 de 2015 exige la presentación de los </w:t>
      </w:r>
      <w:r w:rsidRPr="003F4BAF">
        <w:rPr>
          <w:rFonts w:ascii="Verdana" w:hAnsi="Verdana" w:cs="Arial"/>
          <w:bCs/>
          <w:i/>
          <w:iCs/>
          <w:lang w:val="es-ES_tradnl" w:eastAsia="es-ES" w:bidi="es-ES"/>
        </w:rPr>
        <w:t>“</w:t>
      </w:r>
      <w:r w:rsidRPr="003F4BAF">
        <w:rPr>
          <w:rFonts w:ascii="Verdana" w:hAnsi="Verdana" w:cs="Arial"/>
          <w:bCs/>
          <w:i/>
          <w:iCs/>
          <w:lang w:eastAsia="es-ES" w:bidi="es-ES"/>
        </w:rPr>
        <w:t>Estados financieros de la sociedad y los estados financieros consolidados del grupo empresarial, cuando la norma aplicable lo exige, auditados con sus notas […]”</w:t>
      </w:r>
      <w:r w:rsidRPr="003F4BAF">
        <w:rPr>
          <w:rFonts w:ascii="Verdana" w:hAnsi="Verdana" w:cs="Arial"/>
          <w:bCs/>
          <w:lang w:val="es-ES_tradnl" w:eastAsia="es-ES" w:bidi="es-ES"/>
        </w:rPr>
        <w:t>, además de unos anexos dirigidos a servir de medio de verificación de la salud financiera de los proponentes</w:t>
      </w:r>
      <w:r w:rsidRPr="003F4BAF">
        <w:rPr>
          <w:rFonts w:ascii="Verdana" w:hAnsi="Verdana" w:cs="Arial"/>
          <w:bCs/>
          <w:vertAlign w:val="superscript"/>
          <w:lang w:val="es-ES_tradnl" w:eastAsia="es-ES" w:bidi="es-ES"/>
        </w:rPr>
        <w:footnoteReference w:id="5"/>
      </w:r>
      <w:r>
        <w:rPr>
          <w:rFonts w:ascii="Verdana" w:hAnsi="Verdana" w:cs="Arial"/>
          <w:bCs/>
          <w:lang w:val="es-ES_tradnl" w:eastAsia="es-ES" w:bidi="es-ES"/>
        </w:rPr>
        <w:t xml:space="preserve">. </w:t>
      </w:r>
      <w:r w:rsidRPr="003F4BAF">
        <w:rPr>
          <w:rFonts w:ascii="Verdana" w:hAnsi="Verdana" w:cs="Arial"/>
          <w:bCs/>
          <w:lang w:val="es-ES_tradnl" w:eastAsia="es-ES" w:bidi="es-ES"/>
        </w:rPr>
        <w:t xml:space="preserve">De este modo, lo que se verifica con el registro es que el proponente cumpla con los </w:t>
      </w:r>
    </w:p>
    <w:p w14:paraId="40A3B007" w14:textId="77777777" w:rsidR="006A245A" w:rsidRDefault="006A245A" w:rsidP="006A245A">
      <w:pPr>
        <w:spacing w:after="120" w:line="276" w:lineRule="auto"/>
        <w:jc w:val="both"/>
        <w:rPr>
          <w:rFonts w:ascii="Verdana" w:hAnsi="Verdana" w:cs="Arial"/>
          <w:bCs/>
          <w:lang w:val="es-ES_tradnl" w:eastAsia="es-ES" w:bidi="es-ES"/>
        </w:rPr>
      </w:pPr>
    </w:p>
    <w:p w14:paraId="3190B725" w14:textId="74F6F1B5" w:rsidR="003A41C8" w:rsidRPr="003F4BAF" w:rsidRDefault="003A41C8" w:rsidP="006A245A">
      <w:pPr>
        <w:spacing w:after="120" w:line="276" w:lineRule="auto"/>
        <w:jc w:val="both"/>
        <w:rPr>
          <w:rFonts w:ascii="Verdana" w:hAnsi="Verdana" w:cs="Arial"/>
          <w:bCs/>
          <w:lang w:val="es-ES_tradnl" w:eastAsia="es-ES" w:bidi="es-ES"/>
        </w:rPr>
      </w:pPr>
      <w:r w:rsidRPr="003F4BAF">
        <w:rPr>
          <w:rFonts w:ascii="Verdana" w:hAnsi="Verdana" w:cs="Arial"/>
          <w:bCs/>
          <w:lang w:val="es-ES_tradnl" w:eastAsia="es-ES" w:bidi="es-ES"/>
        </w:rPr>
        <w:lastRenderedPageBreak/>
        <w:t xml:space="preserve">indicadores financieros solicitados por la entidad para medir la capacidad financiera requerida para el procedimiento de selección. </w:t>
      </w:r>
    </w:p>
    <w:p w14:paraId="17CED32C" w14:textId="77777777" w:rsidR="003A41C8" w:rsidRPr="003F4BAF" w:rsidRDefault="003A41C8" w:rsidP="003A41C8">
      <w:pPr>
        <w:spacing w:after="120" w:line="276" w:lineRule="auto"/>
        <w:ind w:firstLine="709"/>
        <w:jc w:val="both"/>
        <w:rPr>
          <w:rFonts w:ascii="Verdana" w:hAnsi="Verdana" w:cs="Arial"/>
          <w:bCs/>
          <w:lang w:val="es-ES" w:eastAsia="es-ES" w:bidi="es-ES"/>
        </w:rPr>
      </w:pPr>
      <w:r w:rsidRPr="003F4BAF">
        <w:rPr>
          <w:rFonts w:ascii="Verdana" w:hAnsi="Verdana" w:cs="Arial"/>
          <w:bCs/>
          <w:lang w:val="es-ES" w:eastAsia="es-ES" w:bidi="es-ES"/>
        </w:rPr>
        <w:t xml:space="preserve">Según el artículo 2.2.1.1.1.5.3. del Decreto 1082 de 2015, el RUP contempla como indicadores de capacidad financiera los siguientes: i) el </w:t>
      </w:r>
      <w:r w:rsidRPr="003F4BAF">
        <w:rPr>
          <w:rFonts w:ascii="Verdana" w:hAnsi="Verdana" w:cs="Arial"/>
          <w:bCs/>
          <w:i/>
          <w:iCs/>
          <w:lang w:val="es-ES" w:eastAsia="es-ES" w:bidi="es-ES"/>
        </w:rPr>
        <w:t>índice de liquidez</w:t>
      </w:r>
      <w:r w:rsidRPr="003F4BAF">
        <w:rPr>
          <w:rFonts w:ascii="Verdana" w:hAnsi="Verdana" w:cs="Arial"/>
          <w:bCs/>
          <w:lang w:val="es-ES" w:eastAsia="es-ES" w:bidi="es-ES"/>
        </w:rPr>
        <w:t xml:space="preserve">, que corresponde a la división entre el activo corriente y el pasivo corriente, y que determina la capacidad que tiene el proponente para cumplir con sus obligaciones de corto plazo; ii) el </w:t>
      </w:r>
      <w:r w:rsidRPr="003F4BAF">
        <w:rPr>
          <w:rFonts w:ascii="Verdana" w:hAnsi="Verdana" w:cs="Arial"/>
          <w:bCs/>
          <w:i/>
          <w:iCs/>
          <w:lang w:val="es-ES" w:eastAsia="es-ES" w:bidi="es-ES"/>
        </w:rPr>
        <w:t>índice de endeudamiento</w:t>
      </w:r>
      <w:r w:rsidRPr="003F4BAF">
        <w:rPr>
          <w:rFonts w:ascii="Verdana" w:hAnsi="Verdana" w:cs="Arial"/>
          <w:bCs/>
          <w:lang w:val="es-ES" w:eastAsia="es-ES" w:bidi="es-ES"/>
        </w:rPr>
        <w:t xml:space="preserve">, que se calcula dividiendo el pasivo total por el activo total, el cual determina el grado de endeudamiento en la estructura de financiación del proponente; y iii) la </w:t>
      </w:r>
      <w:r w:rsidRPr="003F4BAF">
        <w:rPr>
          <w:rFonts w:ascii="Verdana" w:hAnsi="Verdana" w:cs="Arial"/>
          <w:bCs/>
          <w:i/>
          <w:iCs/>
          <w:lang w:val="es-ES" w:eastAsia="es-ES" w:bidi="es-ES"/>
        </w:rPr>
        <w:t>razón de cobertura de intereses</w:t>
      </w:r>
      <w:r w:rsidRPr="003F4BAF">
        <w:rPr>
          <w:rFonts w:ascii="Verdana" w:hAnsi="Verdana" w:cs="Arial"/>
          <w:bCs/>
          <w:lang w:val="es-ES" w:eastAsia="es-ES" w:bidi="es-ES"/>
        </w:rPr>
        <w:t xml:space="preserve">, que es igual a la utilidad operacional, sobre los gastos de intereses, y que refleja la capacidad del proponente para cumplir con sus obligaciones financieras. Adicionalmente, la Agencia Nacional de Contratación Pública – Colombia Compra Eficiente recomienda valorar otro tipo de indicadores como el </w:t>
      </w:r>
      <w:r w:rsidRPr="003F4BAF">
        <w:rPr>
          <w:rFonts w:ascii="Verdana" w:hAnsi="Verdana" w:cs="Arial"/>
          <w:bCs/>
          <w:i/>
          <w:iCs/>
          <w:lang w:val="es-ES" w:eastAsia="es-ES" w:bidi="es-ES"/>
        </w:rPr>
        <w:t>capital de trabajo</w:t>
      </w:r>
      <w:r w:rsidRPr="003F4BAF">
        <w:rPr>
          <w:rFonts w:ascii="Verdana" w:hAnsi="Verdana" w:cs="Arial"/>
          <w:bCs/>
          <w:lang w:val="es-ES" w:eastAsia="es-ES" w:bidi="es-ES"/>
        </w:rPr>
        <w:t xml:space="preserve">, la </w:t>
      </w:r>
      <w:r w:rsidRPr="003F4BAF">
        <w:rPr>
          <w:rFonts w:ascii="Verdana" w:hAnsi="Verdana" w:cs="Arial"/>
          <w:bCs/>
          <w:i/>
          <w:iCs/>
          <w:lang w:val="es-ES" w:eastAsia="es-ES" w:bidi="es-ES"/>
        </w:rPr>
        <w:t>razón de efectivo</w:t>
      </w:r>
      <w:r w:rsidRPr="003F4BAF">
        <w:rPr>
          <w:rFonts w:ascii="Verdana" w:hAnsi="Verdana" w:cs="Arial"/>
          <w:bCs/>
          <w:lang w:val="es-ES" w:eastAsia="es-ES" w:bidi="es-ES"/>
        </w:rPr>
        <w:t xml:space="preserve">, la denominada </w:t>
      </w:r>
      <w:r w:rsidRPr="003F4BAF">
        <w:rPr>
          <w:rFonts w:ascii="Verdana" w:hAnsi="Verdana" w:cs="Arial"/>
          <w:bCs/>
          <w:i/>
          <w:iCs/>
          <w:lang w:val="es-ES" w:eastAsia="es-ES" w:bidi="es-ES"/>
        </w:rPr>
        <w:t>prueba ácida</w:t>
      </w:r>
      <w:r w:rsidRPr="003F4BAF">
        <w:rPr>
          <w:rFonts w:ascii="Verdana" w:hAnsi="Verdana" w:cs="Arial"/>
          <w:bCs/>
          <w:vertAlign w:val="superscript"/>
          <w:lang w:val="es-ES" w:eastAsia="es-ES" w:bidi="es-ES"/>
        </w:rPr>
        <w:footnoteReference w:id="6"/>
      </w:r>
      <w:r w:rsidRPr="003F4BAF">
        <w:rPr>
          <w:rFonts w:ascii="Verdana" w:hAnsi="Verdana" w:cs="Arial"/>
          <w:bCs/>
          <w:lang w:val="es-ES" w:eastAsia="es-ES" w:bidi="es-ES"/>
        </w:rPr>
        <w:t xml:space="preserve">, la </w:t>
      </w:r>
      <w:r w:rsidRPr="003F4BAF">
        <w:rPr>
          <w:rFonts w:ascii="Verdana" w:hAnsi="Verdana" w:cs="Arial"/>
          <w:bCs/>
          <w:i/>
          <w:iCs/>
          <w:lang w:val="es-ES" w:eastAsia="es-ES" w:bidi="es-ES"/>
        </w:rPr>
        <w:t xml:space="preserve">concentración de endeudamiento a corto </w:t>
      </w:r>
      <w:r w:rsidRPr="003F4BAF">
        <w:rPr>
          <w:rFonts w:ascii="Verdana" w:hAnsi="Verdana" w:cs="Arial"/>
          <w:bCs/>
          <w:lang w:val="es-ES" w:eastAsia="es-ES" w:bidi="es-ES"/>
        </w:rPr>
        <w:t>y</w:t>
      </w:r>
      <w:r w:rsidRPr="003F4BAF">
        <w:rPr>
          <w:rFonts w:ascii="Verdana" w:hAnsi="Verdana" w:cs="Arial"/>
          <w:bCs/>
          <w:i/>
          <w:iCs/>
          <w:lang w:val="es-ES" w:eastAsia="es-ES" w:bidi="es-ES"/>
        </w:rPr>
        <w:t xml:space="preserve"> a largo plazo</w:t>
      </w:r>
      <w:r w:rsidRPr="003F4BAF">
        <w:rPr>
          <w:rFonts w:ascii="Verdana" w:hAnsi="Verdana" w:cs="Arial"/>
          <w:bCs/>
          <w:lang w:val="es-ES" w:eastAsia="es-ES" w:bidi="es-ES"/>
        </w:rPr>
        <w:t xml:space="preserve"> y el </w:t>
      </w:r>
      <w:r w:rsidRPr="003F4BAF">
        <w:rPr>
          <w:rFonts w:ascii="Verdana" w:hAnsi="Verdana" w:cs="Arial"/>
          <w:bCs/>
          <w:i/>
          <w:iCs/>
          <w:lang w:val="es-ES" w:eastAsia="es-ES" w:bidi="es-ES"/>
        </w:rPr>
        <w:t>patrimonio</w:t>
      </w:r>
      <w:r w:rsidRPr="003F4BAF">
        <w:rPr>
          <w:rFonts w:ascii="Verdana" w:hAnsi="Verdana" w:cs="Arial"/>
          <w:bCs/>
          <w:i/>
          <w:iCs/>
          <w:vertAlign w:val="superscript"/>
          <w:lang w:val="es-ES" w:eastAsia="es-ES" w:bidi="es-ES"/>
        </w:rPr>
        <w:footnoteReference w:id="7"/>
      </w:r>
      <w:r w:rsidRPr="003F4BAF">
        <w:rPr>
          <w:rFonts w:ascii="Verdana" w:hAnsi="Verdana" w:cs="Arial"/>
          <w:bCs/>
          <w:lang w:val="es-ES" w:eastAsia="es-ES" w:bidi="es-ES"/>
        </w:rPr>
        <w:t>.</w:t>
      </w:r>
    </w:p>
    <w:p w14:paraId="0F78915D" w14:textId="77777777" w:rsidR="009711DB" w:rsidRDefault="003A41C8" w:rsidP="003A41C8">
      <w:pPr>
        <w:spacing w:after="120" w:line="276" w:lineRule="auto"/>
        <w:ind w:firstLine="709"/>
        <w:jc w:val="both"/>
        <w:rPr>
          <w:rFonts w:ascii="Verdana" w:hAnsi="Verdana" w:cs="Arial"/>
          <w:bCs/>
          <w:lang w:val="es-ES_tradnl" w:eastAsia="es-ES" w:bidi="es-ES"/>
        </w:rPr>
      </w:pPr>
      <w:r w:rsidRPr="003F4BAF">
        <w:rPr>
          <w:rFonts w:ascii="Verdana" w:hAnsi="Verdana" w:cs="Arial"/>
          <w:bCs/>
          <w:lang w:val="es-ES_tradnl" w:eastAsia="es-ES" w:bidi="es-ES"/>
        </w:rPr>
        <w:t>De igual forma, es importante tener en cuenta que el numeral 3</w:t>
      </w:r>
      <w:r>
        <w:rPr>
          <w:rFonts w:ascii="Verdana" w:hAnsi="Verdana" w:cs="Arial"/>
          <w:bCs/>
          <w:lang w:val="es-ES_tradnl" w:eastAsia="es-ES" w:bidi="es-ES"/>
        </w:rPr>
        <w:t>°</w:t>
      </w:r>
      <w:r w:rsidRPr="003F4BAF">
        <w:rPr>
          <w:rFonts w:ascii="Verdana" w:hAnsi="Verdana" w:cs="Arial"/>
          <w:bCs/>
          <w:lang w:val="es-ES_tradnl" w:eastAsia="es-ES" w:bidi="es-ES"/>
        </w:rPr>
        <w:t xml:space="preserve"> del artículo 2.2.1.1.1.5.3. del Decreto 1082 de 2015 se refiere a los aspectos de la capacidad financiera que deben verificar las cámaras de comercio al momento de la inscripción, renovación o actualización del</w:t>
      </w:r>
      <w:r>
        <w:rPr>
          <w:rFonts w:ascii="Verdana" w:hAnsi="Verdana" w:cs="Arial"/>
          <w:bCs/>
          <w:lang w:val="es-ES_tradnl" w:eastAsia="es-ES" w:bidi="es-ES"/>
        </w:rPr>
        <w:t xml:space="preserve"> RUP</w:t>
      </w:r>
      <w:r w:rsidRPr="003F4BAF">
        <w:rPr>
          <w:rFonts w:ascii="Verdana" w:hAnsi="Verdana" w:cs="Arial"/>
          <w:bCs/>
          <w:lang w:val="es-ES_tradnl" w:eastAsia="es-ES" w:bidi="es-ES"/>
        </w:rPr>
        <w:t xml:space="preserve">. Sin embargo, no dispone expresamente que el índice de liquidez, el índice de endeudamiento y la razón </w:t>
      </w:r>
    </w:p>
    <w:p w14:paraId="42FA05FD" w14:textId="77777777" w:rsidR="009711DB" w:rsidRDefault="009711DB" w:rsidP="003A41C8">
      <w:pPr>
        <w:spacing w:after="120" w:line="276" w:lineRule="auto"/>
        <w:ind w:firstLine="709"/>
        <w:jc w:val="both"/>
        <w:rPr>
          <w:rFonts w:ascii="Verdana" w:hAnsi="Verdana" w:cs="Arial"/>
          <w:bCs/>
          <w:lang w:val="es-ES_tradnl" w:eastAsia="es-ES" w:bidi="es-ES"/>
        </w:rPr>
      </w:pPr>
    </w:p>
    <w:p w14:paraId="6EE14085" w14:textId="77777777" w:rsidR="009711DB" w:rsidRDefault="009711DB" w:rsidP="003A41C8">
      <w:pPr>
        <w:spacing w:after="120" w:line="276" w:lineRule="auto"/>
        <w:ind w:firstLine="709"/>
        <w:jc w:val="both"/>
        <w:rPr>
          <w:rFonts w:ascii="Verdana" w:hAnsi="Verdana" w:cs="Arial"/>
          <w:bCs/>
          <w:lang w:val="es-ES_tradnl" w:eastAsia="es-ES" w:bidi="es-ES"/>
        </w:rPr>
      </w:pPr>
    </w:p>
    <w:p w14:paraId="727B4D99" w14:textId="77777777" w:rsidR="009711DB" w:rsidRDefault="009711DB" w:rsidP="003A41C8">
      <w:pPr>
        <w:spacing w:after="120" w:line="276" w:lineRule="auto"/>
        <w:ind w:firstLine="709"/>
        <w:jc w:val="both"/>
        <w:rPr>
          <w:rFonts w:ascii="Verdana" w:hAnsi="Verdana" w:cs="Arial"/>
          <w:bCs/>
          <w:lang w:val="es-ES_tradnl" w:eastAsia="es-ES" w:bidi="es-ES"/>
        </w:rPr>
      </w:pPr>
    </w:p>
    <w:p w14:paraId="28737130" w14:textId="77777777" w:rsidR="009711DB" w:rsidRDefault="009711DB" w:rsidP="003A41C8">
      <w:pPr>
        <w:spacing w:after="120" w:line="276" w:lineRule="auto"/>
        <w:ind w:firstLine="709"/>
        <w:jc w:val="both"/>
        <w:rPr>
          <w:rFonts w:ascii="Verdana" w:hAnsi="Verdana" w:cs="Arial"/>
          <w:bCs/>
          <w:lang w:val="es-ES_tradnl" w:eastAsia="es-ES" w:bidi="es-ES"/>
        </w:rPr>
      </w:pPr>
    </w:p>
    <w:p w14:paraId="6D365AB8" w14:textId="77777777" w:rsidR="009711DB" w:rsidRDefault="009711DB" w:rsidP="003A41C8">
      <w:pPr>
        <w:spacing w:after="120" w:line="276" w:lineRule="auto"/>
        <w:ind w:firstLine="709"/>
        <w:jc w:val="both"/>
        <w:rPr>
          <w:rFonts w:ascii="Verdana" w:hAnsi="Verdana" w:cs="Arial"/>
          <w:bCs/>
          <w:lang w:val="es-ES_tradnl" w:eastAsia="es-ES" w:bidi="es-ES"/>
        </w:rPr>
      </w:pPr>
    </w:p>
    <w:p w14:paraId="04CB0E63" w14:textId="77777777" w:rsidR="009711DB" w:rsidRDefault="009711DB" w:rsidP="003A41C8">
      <w:pPr>
        <w:spacing w:after="120" w:line="276" w:lineRule="auto"/>
        <w:ind w:firstLine="709"/>
        <w:jc w:val="both"/>
        <w:rPr>
          <w:rFonts w:ascii="Verdana" w:hAnsi="Verdana" w:cs="Arial"/>
          <w:bCs/>
          <w:lang w:val="es-ES_tradnl" w:eastAsia="es-ES" w:bidi="es-ES"/>
        </w:rPr>
      </w:pPr>
    </w:p>
    <w:p w14:paraId="7487F275" w14:textId="5943456B" w:rsidR="003A41C8" w:rsidRDefault="003A41C8" w:rsidP="009711DB">
      <w:pPr>
        <w:spacing w:after="120" w:line="276" w:lineRule="auto"/>
        <w:jc w:val="both"/>
        <w:rPr>
          <w:rFonts w:ascii="Verdana" w:hAnsi="Verdana" w:cs="Arial"/>
          <w:bCs/>
          <w:lang w:val="es-ES_tradnl" w:eastAsia="es-ES" w:bidi="es-ES"/>
        </w:rPr>
      </w:pPr>
      <w:r w:rsidRPr="003F4BAF">
        <w:rPr>
          <w:rFonts w:ascii="Verdana" w:hAnsi="Verdana" w:cs="Arial"/>
          <w:bCs/>
          <w:lang w:val="es-ES_tradnl" w:eastAsia="es-ES" w:bidi="es-ES"/>
        </w:rPr>
        <w:lastRenderedPageBreak/>
        <w:t>de cobertura de intereses sean aspectos que deban validarse obligatoriamente en cada proceso de selección. Una cosa son los requisitos de capacidad financiera que debe certificar el registro y otra, muy diferente, los aspectos de este requisito habilitante que la entidad verifica en cada procedimiento contractual. Mientras</w:t>
      </w:r>
      <w:r>
        <w:rPr>
          <w:rFonts w:ascii="Verdana" w:hAnsi="Verdana" w:cs="Arial"/>
          <w:bCs/>
          <w:lang w:val="es-ES_tradnl" w:eastAsia="es-ES" w:bidi="es-ES"/>
        </w:rPr>
        <w:t>,</w:t>
      </w:r>
      <w:r w:rsidRPr="003F4BAF">
        <w:rPr>
          <w:rFonts w:ascii="Verdana" w:hAnsi="Verdana" w:cs="Arial"/>
          <w:bCs/>
          <w:lang w:val="es-ES_tradnl" w:eastAsia="es-ES" w:bidi="es-ES"/>
        </w:rPr>
        <w:t xml:space="preserve"> los primeros están regulados en el artículo 2.2.1.1.1.5.3. del Decreto 1082 de 2015, los segundos debe establecerlos la entidad contratante en el pliego de condiciones o la invitación, según corresponda.</w:t>
      </w:r>
    </w:p>
    <w:p w14:paraId="1E6D6A8B" w14:textId="77777777" w:rsidR="003A41C8" w:rsidRDefault="003A41C8" w:rsidP="003A41C8">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lang w:val="es-ES_tradnl" w:eastAsia="es-ES_tradnl"/>
        </w:rPr>
        <w:t>Para entender un poco más, hay que acudir el</w:t>
      </w:r>
      <w:r w:rsidRPr="00160D5C">
        <w:rPr>
          <w:rFonts w:ascii="Verdana" w:eastAsia="Calibri" w:hAnsi="Verdana" w:cs="Arial"/>
          <w:color w:val="000000"/>
          <w:lang w:val="es-ES_tradnl" w:eastAsia="es-ES_tradnl"/>
        </w:rPr>
        <w:t xml:space="preserve"> “</w:t>
      </w:r>
      <w:r w:rsidRPr="00160D5C">
        <w:rPr>
          <w:rFonts w:ascii="Verdana" w:eastAsia="Calibri" w:hAnsi="Verdana" w:cs="Arial"/>
          <w:color w:val="000000"/>
          <w:lang w:eastAsia="es-ES_tradnl"/>
        </w:rPr>
        <w:t>El Manual para determinar y verificar los requisitos habilitantes en los procesos de contratación”</w:t>
      </w:r>
      <w:r>
        <w:rPr>
          <w:rFonts w:ascii="Verdana" w:eastAsia="Calibri" w:hAnsi="Verdana" w:cs="Arial"/>
          <w:color w:val="000000"/>
          <w:lang w:eastAsia="es-ES_tradnl"/>
        </w:rPr>
        <w:t>, que</w:t>
      </w:r>
      <w:r w:rsidRPr="00160D5C">
        <w:rPr>
          <w:rFonts w:ascii="Verdana" w:eastAsia="Calibri" w:hAnsi="Verdana" w:cs="Arial"/>
          <w:color w:val="000000"/>
          <w:lang w:eastAsia="es-ES_tradnl"/>
        </w:rPr>
        <w:t xml:space="preserve"> establece un marco detallado para evaluar la capacidad financiera de los proponentes, garantizando que estos puedan cumplir con las obligaciones del contrato de manera eficiente y oportuna. Para ello, las entidades estatales deben utilizar una serie de indicadores financieros clave, como el índice de liquidez, el índice de endeudamiento y la razón de cobertura de intereses. Estos indicadores se deben seleccionar en función de las características del contrato, como su naturaleza, valor, plazo y complejidad. Por ejemplo, el índice de liquidez se utiliza para medir la capacidad del proponente de cumplir con sus obligaciones de corto plazo, mientras que el índice de endeudamiento refleja el grado de apalancamiento financiero y la razón de cobertura de intereses evalúa la capacidad de la empresa para cubrir sus gastos financieros. </w:t>
      </w:r>
    </w:p>
    <w:p w14:paraId="669D09AC" w14:textId="77777777" w:rsidR="003A41C8" w:rsidRPr="00160D5C" w:rsidRDefault="003A41C8" w:rsidP="003A41C8">
      <w:pPr>
        <w:spacing w:after="120" w:line="276" w:lineRule="auto"/>
        <w:ind w:firstLine="709"/>
        <w:jc w:val="both"/>
        <w:rPr>
          <w:rFonts w:ascii="Verdana" w:eastAsia="Calibri" w:hAnsi="Verdana" w:cs="Arial"/>
          <w:color w:val="000000"/>
          <w:lang w:eastAsia="es-ES_tradnl"/>
        </w:rPr>
      </w:pPr>
      <w:r w:rsidRPr="00160D5C">
        <w:rPr>
          <w:rFonts w:ascii="Verdana" w:eastAsia="Calibri" w:hAnsi="Verdana" w:cs="Arial"/>
          <w:color w:val="000000"/>
          <w:lang w:eastAsia="es-ES_tradnl"/>
        </w:rPr>
        <w:t xml:space="preserve">La entidad también debe establecer valores mínimos o máximos para estos indicadores según el nivel de riesgo que representan: valores bajos de liquidez, altos índices de endeudamiento o una baja cobertura de intereses aumentan el riesgo de incumplimiento. En algunos casos, la entidad puede optar por utilizar indicadores adicionales, como el capital de trabajo o la razón de efectivo, para obtener una visión más completa de la situación financiera del proponente, especialmente si la liquidez o la capacidad de pago inmediato son factores críticos para el éxito del contrato. </w:t>
      </w:r>
    </w:p>
    <w:p w14:paraId="3188E7A6" w14:textId="77777777" w:rsidR="003A41C8" w:rsidRPr="00BE2120" w:rsidRDefault="003A41C8" w:rsidP="003A41C8">
      <w:pPr>
        <w:spacing w:after="120" w:line="276" w:lineRule="auto"/>
        <w:ind w:firstLine="709"/>
        <w:jc w:val="both"/>
        <w:rPr>
          <w:rFonts w:ascii="Verdana" w:eastAsia="Calibri" w:hAnsi="Verdana" w:cs="Arial"/>
          <w:color w:val="000000"/>
          <w:lang w:eastAsia="es-ES_tradnl"/>
        </w:rPr>
      </w:pPr>
      <w:r w:rsidRPr="00BE2120">
        <w:rPr>
          <w:rFonts w:ascii="Verdana" w:eastAsia="Calibri" w:hAnsi="Verdana" w:cs="Arial"/>
          <w:color w:val="000000"/>
          <w:lang w:eastAsia="es-ES_tradnl"/>
        </w:rPr>
        <w:t xml:space="preserve">La entidad también debe establecer valores mínimos o máximos para estos indicadores según el nivel de riesgo que representan: valores bajos de liquidez, altos índices de endeudamiento o una baja cobertura de intereses aumentan el riesgo de incumplimiento. En algunos casos, la entidad puede optar por utilizar indicadores adicionales, como el capital de trabajo o la razón de efectivo, para obtener una visión más completa de la situación financiera del </w:t>
      </w:r>
      <w:r w:rsidRPr="00BE2120">
        <w:rPr>
          <w:rFonts w:ascii="Verdana" w:eastAsia="Calibri" w:hAnsi="Verdana" w:cs="Arial"/>
          <w:color w:val="000000"/>
          <w:lang w:eastAsia="es-ES_tradnl"/>
        </w:rPr>
        <w:lastRenderedPageBreak/>
        <w:t xml:space="preserve">proponente, especialmente si la liquidez o la capacidad de pago inmediato son factores críticos para el éxito del contrato. </w:t>
      </w:r>
    </w:p>
    <w:p w14:paraId="6C2B8ED0" w14:textId="77777777" w:rsidR="003A41C8" w:rsidRDefault="003A41C8" w:rsidP="003A41C8">
      <w:pPr>
        <w:spacing w:after="120" w:line="276" w:lineRule="auto"/>
        <w:ind w:firstLine="709"/>
        <w:jc w:val="both"/>
        <w:rPr>
          <w:rFonts w:ascii="Verdana" w:eastAsia="Calibri" w:hAnsi="Verdana" w:cs="Arial"/>
          <w:color w:val="000000"/>
          <w:lang w:eastAsia="es-ES_tradnl"/>
        </w:rPr>
      </w:pPr>
      <w:r>
        <w:rPr>
          <w:rFonts w:ascii="Verdana" w:eastAsia="Calibri" w:hAnsi="Verdana" w:cs="Arial"/>
          <w:color w:val="000000"/>
          <w:lang w:val="es-ES_tradnl" w:eastAsia="es-ES_tradnl"/>
        </w:rPr>
        <w:t>P</w:t>
      </w:r>
      <w:r w:rsidRPr="00BE2120">
        <w:rPr>
          <w:rFonts w:ascii="Verdana" w:eastAsia="Calibri" w:hAnsi="Verdana" w:cs="Arial"/>
          <w:color w:val="000000"/>
          <w:lang w:eastAsia="es-ES_tradnl"/>
        </w:rPr>
        <w:t>ara el caso particular de su consulta</w:t>
      </w:r>
      <w:r w:rsidRPr="00EC0FA7">
        <w:rPr>
          <w:rFonts w:ascii="Verdana" w:eastAsia="Calibri" w:hAnsi="Verdana" w:cs="Arial"/>
          <w:color w:val="000000"/>
          <w:lang w:eastAsia="es-ES_tradnl"/>
        </w:rPr>
        <w:t>, es preciso señalar que esta entidad tiene competencia exclusivamente para atender solicitudes relacionadas con la aplicación de normas de carácter general en materia de compras y contratación pública. Por tanto, no le corresponde emitir conceptos sobre trámites de inscripción ante la Cámara de Comercio ni pronunciarse sobre la validez de situaciones particulares como la descrita, dado que ello excede el ámbito de su función consultiva.</w:t>
      </w:r>
      <w:r>
        <w:rPr>
          <w:rFonts w:ascii="Verdana" w:eastAsia="Calibri" w:hAnsi="Verdana" w:cs="Arial"/>
          <w:color w:val="000000"/>
          <w:lang w:eastAsia="es-ES_tradnl"/>
        </w:rPr>
        <w:t xml:space="preserve"> </w:t>
      </w:r>
    </w:p>
    <w:p w14:paraId="5E12B4A7" w14:textId="77777777" w:rsidR="003A41C8" w:rsidRDefault="003A41C8" w:rsidP="003A41C8">
      <w:pPr>
        <w:spacing w:after="120" w:line="276" w:lineRule="auto"/>
        <w:ind w:firstLine="709"/>
        <w:jc w:val="both"/>
      </w:pPr>
      <w:r w:rsidRPr="00BE0229">
        <w:rPr>
          <w:rFonts w:ascii="Verdana" w:eastAsia="Calibri" w:hAnsi="Verdana" w:cs="Arial"/>
          <w:color w:val="000000"/>
          <w:lang w:eastAsia="es-ES_tradnl"/>
        </w:rPr>
        <w:t xml:space="preserve">Sin perjuicio de lo anterior, </w:t>
      </w:r>
      <w:r>
        <w:rPr>
          <w:rFonts w:ascii="Verdana" w:eastAsia="Calibri" w:hAnsi="Verdana" w:cs="Arial"/>
          <w:color w:val="000000"/>
          <w:lang w:eastAsia="es-ES_tradnl"/>
        </w:rPr>
        <w:t xml:space="preserve">es pertinente precisar que conforme lo señalado en el </w:t>
      </w:r>
      <w:r w:rsidRPr="00BE0229">
        <w:rPr>
          <w:rFonts w:ascii="Verdana" w:eastAsia="Calibri" w:hAnsi="Verdana" w:cs="Arial"/>
          <w:color w:val="000000"/>
          <w:lang w:eastAsia="es-ES_tradnl"/>
        </w:rPr>
        <w:t>Manual para determinar y verificar los requisitos habilitantes en los procesos de contratación</w:t>
      </w:r>
      <w:r>
        <w:rPr>
          <w:rFonts w:ascii="Verdana" w:eastAsia="Calibri" w:hAnsi="Verdana" w:cs="Arial"/>
          <w:color w:val="000000"/>
          <w:lang w:eastAsia="es-ES_tradnl"/>
        </w:rPr>
        <w:t xml:space="preserve">, es </w:t>
      </w:r>
      <w:r w:rsidRPr="00D9146F">
        <w:rPr>
          <w:rFonts w:ascii="Verdana" w:eastAsia="Calibri" w:hAnsi="Verdana" w:cs="Arial"/>
          <w:color w:val="000000"/>
          <w:lang w:eastAsia="es-ES_tradnl"/>
        </w:rPr>
        <w:t xml:space="preserve">la Entidad Estatal </w:t>
      </w:r>
      <w:r>
        <w:rPr>
          <w:rFonts w:ascii="Verdana" w:eastAsia="Calibri" w:hAnsi="Verdana" w:cs="Arial"/>
          <w:color w:val="000000"/>
          <w:lang w:eastAsia="es-ES_tradnl"/>
        </w:rPr>
        <w:t xml:space="preserve">quien debe </w:t>
      </w:r>
      <w:r w:rsidRPr="00D9146F">
        <w:rPr>
          <w:rFonts w:ascii="Verdana" w:eastAsia="Calibri" w:hAnsi="Verdana" w:cs="Arial"/>
          <w:color w:val="000000"/>
          <w:lang w:eastAsia="es-ES_tradnl"/>
        </w:rPr>
        <w:t>establecer explícitamente en los Documentos del Proceso una regla para determinar cómo lo evaluará</w:t>
      </w:r>
      <w:r>
        <w:rPr>
          <w:rFonts w:ascii="Verdana" w:eastAsia="Calibri" w:hAnsi="Verdana" w:cs="Arial"/>
          <w:color w:val="000000"/>
          <w:lang w:eastAsia="es-ES_tradnl"/>
        </w:rPr>
        <w:t xml:space="preserve"> la propuesta</w:t>
      </w:r>
      <w:r w:rsidRPr="00D9146F">
        <w:rPr>
          <w:rFonts w:ascii="Verdana" w:eastAsia="Calibri" w:hAnsi="Verdana" w:cs="Arial"/>
          <w:color w:val="000000"/>
          <w:lang w:eastAsia="es-ES_tradnl"/>
        </w:rPr>
        <w:t xml:space="preserve"> cuando el denominador es cero</w:t>
      </w:r>
      <w:r>
        <w:rPr>
          <w:rFonts w:ascii="Verdana" w:eastAsia="Calibri" w:hAnsi="Verdana" w:cs="Arial"/>
          <w:color w:val="000000"/>
          <w:lang w:eastAsia="es-ES_tradnl"/>
        </w:rPr>
        <w:t xml:space="preserve"> (0)</w:t>
      </w:r>
      <w:r w:rsidRPr="00D9146F">
        <w:rPr>
          <w:rFonts w:ascii="Verdana" w:eastAsia="Calibri" w:hAnsi="Verdana" w:cs="Arial"/>
          <w:color w:val="000000"/>
          <w:lang w:eastAsia="es-ES_tradnl"/>
        </w:rPr>
        <w:t xml:space="preserve">, pues en este caso no es posible realizar esta operación matemática. </w:t>
      </w:r>
      <w:r>
        <w:rPr>
          <w:rFonts w:ascii="Verdana" w:eastAsia="Calibri" w:hAnsi="Verdana" w:cs="Arial"/>
          <w:color w:val="000000"/>
          <w:lang w:eastAsia="es-ES_tradnl"/>
        </w:rPr>
        <w:t>Para estos casos, señala que d</w:t>
      </w:r>
      <w:r w:rsidRPr="00D9146F">
        <w:rPr>
          <w:rFonts w:ascii="Verdana" w:eastAsia="Calibri" w:hAnsi="Verdana" w:cs="Arial"/>
          <w:color w:val="000000"/>
          <w:lang w:eastAsia="es-ES_tradnl"/>
        </w:rPr>
        <w:t>ebido a que hay indicadores que resultan de realizar divisiones entre valores</w:t>
      </w:r>
      <w:r>
        <w:rPr>
          <w:rFonts w:ascii="Verdana" w:eastAsia="Calibri" w:hAnsi="Verdana" w:cs="Arial"/>
          <w:color w:val="000000"/>
          <w:lang w:eastAsia="es-ES_tradnl"/>
        </w:rPr>
        <w:t>, po</w:t>
      </w:r>
      <w:r w:rsidRPr="00D9146F">
        <w:rPr>
          <w:rFonts w:ascii="Verdana" w:eastAsia="Calibri" w:hAnsi="Verdana" w:cs="Arial"/>
          <w:color w:val="000000"/>
          <w:lang w:eastAsia="es-ES_tradnl"/>
        </w:rPr>
        <w:t xml:space="preserve">r ejemplo, en el caso del indicador de cobertura de intereses, puede haber empresas que no presentan obligaciones financieras y, por ende, no incurren en gastos financieros, es decir, el denominador es cero (0) y no sería posible calcular el indicador. En este evento, la regla </w:t>
      </w:r>
      <w:r w:rsidRPr="000B4E93">
        <w:rPr>
          <w:rFonts w:ascii="Verdana" w:eastAsia="Calibri" w:hAnsi="Verdana" w:cs="Arial"/>
          <w:i/>
          <w:iCs/>
          <w:color w:val="000000"/>
          <w:lang w:eastAsia="es-ES_tradnl"/>
        </w:rPr>
        <w:t>puede ser</w:t>
      </w:r>
      <w:r w:rsidRPr="00D9146F">
        <w:rPr>
          <w:rFonts w:ascii="Verdana" w:eastAsia="Calibri" w:hAnsi="Verdana" w:cs="Arial"/>
          <w:color w:val="000000"/>
          <w:lang w:eastAsia="es-ES_tradnl"/>
        </w:rPr>
        <w:t xml:space="preserve"> que el proponente que no tiene obligaciones financieras resulta habilitado</w:t>
      </w:r>
      <w:r>
        <w:rPr>
          <w:rFonts w:ascii="Verdana" w:eastAsia="Calibri" w:hAnsi="Verdana" w:cs="Arial"/>
          <w:color w:val="000000"/>
          <w:lang w:eastAsia="es-ES_tradnl"/>
        </w:rPr>
        <w:t xml:space="preserve">. </w:t>
      </w:r>
      <w:r w:rsidRPr="00DD4B2D">
        <w:rPr>
          <w:rFonts w:ascii="Verdana" w:eastAsia="Calibri" w:hAnsi="Verdana" w:cs="Arial"/>
          <w:color w:val="000000"/>
          <w:lang w:eastAsia="es-ES_tradnl"/>
        </w:rPr>
        <w:t>En todo caso, es responsabilidad de la Entidad Estatal contratante establecer con claridad en los pliegos de condiciones las reglas de evaluación aplicables a este tipo de situaciones.</w:t>
      </w:r>
    </w:p>
    <w:p w14:paraId="0EA94483" w14:textId="77777777" w:rsidR="003A41C8" w:rsidRPr="00E61635" w:rsidRDefault="003A41C8" w:rsidP="003A41C8">
      <w:pPr>
        <w:widowControl w:val="0"/>
        <w:autoSpaceDE w:val="0"/>
        <w:autoSpaceDN w:val="0"/>
        <w:spacing w:after="120" w:line="276" w:lineRule="auto"/>
        <w:ind w:right="176" w:firstLine="709"/>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xml:space="preserve">, en ejercicio de su competencia y previa </w:t>
      </w:r>
      <w:r>
        <w:rPr>
          <w:rFonts w:ascii="Verdana" w:hAnsi="Verdana"/>
        </w:rPr>
        <w:t>elaboración del análisis del sector</w:t>
      </w:r>
      <w:r w:rsidRPr="00E61635">
        <w:rPr>
          <w:rFonts w:ascii="Verdana" w:hAnsi="Verdana"/>
        </w:rPr>
        <w:t>, así como de las disposiciones legales mencionadas,</w:t>
      </w:r>
      <w:r>
        <w:rPr>
          <w:rFonts w:ascii="Verdana" w:hAnsi="Verdana"/>
        </w:rPr>
        <w:t xml:space="preserve"> en la fase de planeación, identificar los índices financieros a solicitar dentro de cada proceso de selección.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EB600E7" w14:textId="77777777" w:rsidR="003A41C8" w:rsidRPr="00227C89" w:rsidRDefault="003A41C8" w:rsidP="003A41C8">
      <w:pPr>
        <w:spacing w:after="120" w:line="276" w:lineRule="auto"/>
        <w:ind w:firstLine="708"/>
        <w:jc w:val="both"/>
        <w:rPr>
          <w:rFonts w:ascii="Verdana" w:eastAsia="Arial" w:hAnsi="Verdana" w:cs="Arial"/>
          <w:sz w:val="20"/>
          <w:szCs w:val="20"/>
        </w:rPr>
      </w:pPr>
    </w:p>
    <w:p w14:paraId="774D50F1" w14:textId="77777777" w:rsidR="003A41C8" w:rsidRDefault="003A41C8" w:rsidP="003A41C8">
      <w:pPr>
        <w:numPr>
          <w:ilvl w:val="0"/>
          <w:numId w:val="16"/>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Referencias normativas, jurisprudenciales y otras fuentes:</w:t>
      </w:r>
    </w:p>
    <w:p w14:paraId="73D74A36" w14:textId="77777777" w:rsidR="002D0C1F" w:rsidRPr="00185EE9" w:rsidRDefault="002D0C1F" w:rsidP="002D0C1F">
      <w:pPr>
        <w:spacing w:after="0" w:line="256" w:lineRule="auto"/>
        <w:rPr>
          <w:rFonts w:ascii="Verdana" w:eastAsia="Calibri" w:hAnsi="Verdana" w:cs="Times New Roman"/>
          <w:b/>
          <w:bCs/>
          <w:lang w:val="es-ES"/>
        </w:rPr>
      </w:pPr>
    </w:p>
    <w:p w14:paraId="6C272223" w14:textId="77777777" w:rsidR="003A41C8" w:rsidRPr="00270FB6" w:rsidRDefault="003A41C8" w:rsidP="003A41C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A41C8" w:rsidRPr="001205D1" w14:paraId="1670233A" w14:textId="77777777" w:rsidTr="00FF5D24">
        <w:trPr>
          <w:trHeight w:val="870"/>
          <w:jc w:val="center"/>
        </w:trPr>
        <w:tc>
          <w:tcPr>
            <w:tcW w:w="8647" w:type="dxa"/>
          </w:tcPr>
          <w:p w14:paraId="34558AD5" w14:textId="77777777" w:rsidR="003A41C8" w:rsidRDefault="003A41C8" w:rsidP="00FF5D24">
            <w:pPr>
              <w:pStyle w:val="Prrafodelista"/>
              <w:rPr>
                <w:rFonts w:ascii="Verdana" w:hAnsi="Verdana" w:cs="Arial"/>
              </w:rPr>
            </w:pPr>
          </w:p>
          <w:p w14:paraId="50BBD96E" w14:textId="77777777" w:rsidR="003A41C8" w:rsidRPr="004B703F" w:rsidRDefault="003A41C8" w:rsidP="003A41C8">
            <w:pPr>
              <w:pStyle w:val="Prrafodelista"/>
              <w:widowControl w:val="0"/>
              <w:numPr>
                <w:ilvl w:val="0"/>
                <w:numId w:val="17"/>
              </w:numPr>
              <w:autoSpaceDE w:val="0"/>
              <w:autoSpaceDN w:val="0"/>
              <w:jc w:val="both"/>
              <w:rPr>
                <w:rFonts w:ascii="Verdana" w:hAnsi="Verdana" w:cs="Arial"/>
                <w:color w:val="000000" w:themeColor="text1"/>
              </w:rPr>
            </w:pPr>
            <w:r w:rsidRPr="00305654">
              <w:rPr>
                <w:rFonts w:ascii="Verdana" w:hAnsi="Verdana" w:cs="Arial"/>
                <w:color w:val="000000" w:themeColor="text1"/>
              </w:rPr>
              <w:t>Ley 1150 de 2007</w:t>
            </w:r>
            <w:r>
              <w:rPr>
                <w:rFonts w:ascii="Verdana" w:hAnsi="Verdana" w:cs="Arial"/>
                <w:color w:val="000000" w:themeColor="text1"/>
              </w:rPr>
              <w:t xml:space="preserve">, </w:t>
            </w:r>
            <w:r>
              <w:rPr>
                <w:rFonts w:ascii="Verdana" w:eastAsia="Calibri" w:hAnsi="Verdana" w:cs="Arial"/>
                <w:color w:val="000000" w:themeColor="text1"/>
                <w:lang w:eastAsia="es-ES"/>
              </w:rPr>
              <w:t xml:space="preserve">artículo 5. </w:t>
            </w:r>
          </w:p>
          <w:p w14:paraId="519138D0" w14:textId="77777777" w:rsidR="003A41C8" w:rsidRPr="00270FB6" w:rsidRDefault="003A41C8" w:rsidP="00FF5D24">
            <w:pPr>
              <w:pStyle w:val="Prrafodelista"/>
              <w:widowControl w:val="0"/>
              <w:autoSpaceDE w:val="0"/>
              <w:autoSpaceDN w:val="0"/>
              <w:jc w:val="both"/>
              <w:rPr>
                <w:rFonts w:ascii="Verdana" w:hAnsi="Verdana" w:cs="Arial"/>
                <w:color w:val="000000" w:themeColor="text1"/>
              </w:rPr>
            </w:pPr>
          </w:p>
          <w:p w14:paraId="4B3D53F6" w14:textId="77777777" w:rsidR="003A41C8" w:rsidRPr="004B703F" w:rsidRDefault="003A41C8" w:rsidP="003A41C8">
            <w:pPr>
              <w:pStyle w:val="Prrafodelista"/>
              <w:widowControl w:val="0"/>
              <w:numPr>
                <w:ilvl w:val="0"/>
                <w:numId w:val="17"/>
              </w:numPr>
              <w:autoSpaceDE w:val="0"/>
              <w:autoSpaceDN w:val="0"/>
              <w:jc w:val="both"/>
              <w:rPr>
                <w:rFonts w:ascii="Verdana" w:hAnsi="Verdana" w:cs="Arial"/>
                <w:color w:val="000000" w:themeColor="text1"/>
              </w:rPr>
            </w:pPr>
            <w:r>
              <w:rPr>
                <w:rFonts w:ascii="Verdana" w:hAnsi="Verdana" w:cs="Arial"/>
                <w:color w:val="000000" w:themeColor="text1"/>
              </w:rPr>
              <w:t xml:space="preserve">Decreto 1082 de 2015; Artículos </w:t>
            </w:r>
            <w:r w:rsidRPr="00005535">
              <w:rPr>
                <w:rFonts w:ascii="Verdana" w:eastAsia="Calibri" w:hAnsi="Verdana" w:cs="Arial"/>
                <w:color w:val="000000"/>
                <w:lang w:val="es-ES_tradnl" w:eastAsia="es-ES_tradnl"/>
              </w:rPr>
              <w:t>2.2.1.1.1.5.3</w:t>
            </w:r>
            <w:r>
              <w:rPr>
                <w:rFonts w:ascii="Verdana" w:eastAsia="Calibri" w:hAnsi="Verdana" w:cs="Arial"/>
                <w:color w:val="000000"/>
                <w:lang w:val="es-ES_tradnl" w:eastAsia="es-ES_tradnl"/>
              </w:rPr>
              <w:t xml:space="preserve">, </w:t>
            </w:r>
            <w:r w:rsidRPr="004B703F">
              <w:rPr>
                <w:rFonts w:ascii="Verdana" w:eastAsia="Calibri" w:hAnsi="Verdana" w:cs="Arial"/>
                <w:bCs/>
                <w:color w:val="000000"/>
                <w:lang w:val="es-CO" w:eastAsia="es-ES_tradnl"/>
              </w:rPr>
              <w:t>2.2.1.1.1.6.1., 2.2.1.1.1.6.2.</w:t>
            </w:r>
            <w:r>
              <w:rPr>
                <w:rFonts w:ascii="Verdana" w:eastAsia="Calibri" w:hAnsi="Verdana" w:cs="Arial"/>
                <w:bCs/>
                <w:color w:val="000000"/>
                <w:lang w:val="es-CO" w:eastAsia="es-ES_tradnl"/>
              </w:rPr>
              <w:t xml:space="preserve"> </w:t>
            </w:r>
          </w:p>
          <w:p w14:paraId="0ACADA63" w14:textId="77777777" w:rsidR="003A41C8" w:rsidRPr="004B703F" w:rsidRDefault="003A41C8" w:rsidP="00FF5D24">
            <w:pPr>
              <w:widowControl w:val="0"/>
              <w:autoSpaceDE w:val="0"/>
              <w:autoSpaceDN w:val="0"/>
              <w:jc w:val="both"/>
              <w:rPr>
                <w:rFonts w:ascii="Verdana" w:hAnsi="Verdana" w:cs="Arial"/>
                <w:color w:val="000000" w:themeColor="text1"/>
              </w:rPr>
            </w:pPr>
          </w:p>
          <w:p w14:paraId="2328CF86" w14:textId="77777777" w:rsidR="003A41C8" w:rsidRPr="004B703F" w:rsidRDefault="003A41C8" w:rsidP="003A41C8">
            <w:pPr>
              <w:pStyle w:val="Prrafodelista"/>
              <w:widowControl w:val="0"/>
              <w:numPr>
                <w:ilvl w:val="0"/>
                <w:numId w:val="17"/>
              </w:numPr>
              <w:autoSpaceDE w:val="0"/>
              <w:autoSpaceDN w:val="0"/>
              <w:jc w:val="both"/>
              <w:rPr>
                <w:rFonts w:ascii="Verdana" w:hAnsi="Verdana" w:cs="Arial"/>
                <w:color w:val="000000" w:themeColor="text1"/>
              </w:rPr>
            </w:pPr>
            <w:r w:rsidRPr="00996312">
              <w:rPr>
                <w:rFonts w:ascii="Verdana" w:eastAsia="Times New Roman" w:hAnsi="Verdana" w:cs="Times New Roman"/>
                <w:lang w:eastAsia="es-CO"/>
              </w:rPr>
              <w:t>Manual para determinar y verificar los requisitos habilitantes en los procesos de contratación</w:t>
            </w:r>
            <w:r>
              <w:rPr>
                <w:rFonts w:ascii="Verdana" w:eastAsia="Times New Roman" w:hAnsi="Verdana" w:cs="Times New Roman"/>
                <w:lang w:eastAsia="es-CO"/>
              </w:rPr>
              <w:t xml:space="preserve">: </w:t>
            </w:r>
            <w:hyperlink r:id="rId12" w:history="1">
              <w:r w:rsidRPr="00485205">
                <w:rPr>
                  <w:rStyle w:val="Hipervnculo"/>
                  <w:rFonts w:ascii="Verdana" w:eastAsia="Times New Roman" w:hAnsi="Verdana" w:cs="Times New Roman"/>
                  <w:lang w:eastAsia="es-CO"/>
                </w:rPr>
                <w:t>cce-eicp-ma-04._manual_requisitos_habilitantes_v3_29-09-2023.pdf</w:t>
              </w:r>
            </w:hyperlink>
            <w:r>
              <w:rPr>
                <w:rFonts w:ascii="Verdana" w:eastAsia="Times New Roman" w:hAnsi="Verdana" w:cs="Times New Roman"/>
                <w:lang w:eastAsia="es-CO"/>
              </w:rPr>
              <w:t xml:space="preserve"> </w:t>
            </w:r>
          </w:p>
          <w:p w14:paraId="6FAE0D10" w14:textId="77777777" w:rsidR="003A41C8" w:rsidRPr="00E744BA" w:rsidRDefault="003A41C8" w:rsidP="00FF5D24">
            <w:pPr>
              <w:pStyle w:val="Prrafodelista"/>
              <w:rPr>
                <w:rFonts w:ascii="Verdana" w:hAnsi="Verdana" w:cs="Arial"/>
              </w:rPr>
            </w:pPr>
          </w:p>
          <w:p w14:paraId="0338004C" w14:textId="77777777" w:rsidR="003A41C8" w:rsidRPr="001205D1" w:rsidRDefault="003A41C8" w:rsidP="00FF5D24">
            <w:pPr>
              <w:pStyle w:val="Prrafodelista"/>
              <w:widowControl w:val="0"/>
              <w:autoSpaceDE w:val="0"/>
              <w:autoSpaceDN w:val="0"/>
              <w:spacing w:line="276" w:lineRule="auto"/>
              <w:ind w:left="714"/>
              <w:contextualSpacing w:val="0"/>
              <w:jc w:val="both"/>
              <w:rPr>
                <w:rFonts w:ascii="Verdana" w:hAnsi="Verdana" w:cs="Arial"/>
                <w:lang w:val="es-ES_tradnl"/>
              </w:rPr>
            </w:pPr>
          </w:p>
        </w:tc>
      </w:tr>
    </w:tbl>
    <w:p w14:paraId="670423B7" w14:textId="77777777" w:rsidR="003A41C8" w:rsidRPr="00185EE9" w:rsidRDefault="003A41C8" w:rsidP="003A41C8">
      <w:pPr>
        <w:spacing w:after="0" w:line="276" w:lineRule="auto"/>
        <w:ind w:right="709"/>
        <w:jc w:val="both"/>
        <w:rPr>
          <w:rFonts w:ascii="Verdana" w:hAnsi="Verdana" w:cs="Arial"/>
          <w:color w:val="000000" w:themeColor="text1"/>
          <w:lang w:val="es-ES_tradnl"/>
        </w:rPr>
      </w:pPr>
    </w:p>
    <w:p w14:paraId="24DB0471" w14:textId="77777777" w:rsidR="003A41C8" w:rsidRPr="00185EE9" w:rsidRDefault="003A41C8" w:rsidP="003A41C8">
      <w:pPr>
        <w:numPr>
          <w:ilvl w:val="0"/>
          <w:numId w:val="16"/>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Doctrina de la Agencia Nacional de Contratación Pública:</w:t>
      </w:r>
    </w:p>
    <w:p w14:paraId="0146182E" w14:textId="77777777" w:rsidR="003A41C8" w:rsidRPr="003F4BAF" w:rsidRDefault="003A41C8" w:rsidP="003A41C8">
      <w:pPr>
        <w:widowControl w:val="0"/>
        <w:autoSpaceDE w:val="0"/>
        <w:autoSpaceDN w:val="0"/>
        <w:spacing w:after="0" w:line="276" w:lineRule="auto"/>
        <w:jc w:val="both"/>
        <w:rPr>
          <w:rFonts w:ascii="Verdana" w:hAnsi="Verdana" w:cs="Arial"/>
          <w:bCs/>
          <w:shd w:val="clear" w:color="auto" w:fill="FFFFFF"/>
        </w:rPr>
      </w:pPr>
    </w:p>
    <w:p w14:paraId="791A47DE" w14:textId="77777777" w:rsidR="003A41C8" w:rsidRPr="002A22D8" w:rsidRDefault="003A41C8" w:rsidP="003A41C8">
      <w:pPr>
        <w:widowControl w:val="0"/>
        <w:autoSpaceDE w:val="0"/>
        <w:autoSpaceDN w:val="0"/>
        <w:spacing w:after="0" w:line="276" w:lineRule="auto"/>
        <w:jc w:val="both"/>
        <w:rPr>
          <w:rFonts w:ascii="Verdana" w:hAnsi="Verdana" w:cs="Arial"/>
          <w:bCs/>
          <w:shd w:val="clear" w:color="auto" w:fill="FFFFFF"/>
        </w:rPr>
      </w:pPr>
      <w:r w:rsidRPr="005F0A61">
        <w:rPr>
          <w:rFonts w:ascii="Verdana" w:hAnsi="Verdana" w:cs="Arial"/>
          <w:color w:val="000000" w:themeColor="text1"/>
          <w:shd w:val="clear" w:color="auto" w:fill="FFFFFF"/>
          <w:lang w:val="es-ES"/>
        </w:rPr>
        <w:t xml:space="preserve">La Agencia Nacional de Contratación Pública – Colombia Compra Eficiente se ha referido a la acreditación de requisitos habilitantes y la capacidad financiera en los conceptos </w:t>
      </w:r>
      <w:r w:rsidRPr="005F0A61">
        <w:rPr>
          <w:rFonts w:ascii="Verdana" w:hAnsi="Verdana"/>
          <w:lang w:val="es-ES"/>
        </w:rPr>
        <w:t xml:space="preserve">C-868 del 19 de diciembre de 2022, C-877 del 26 de diciembre de 2022, </w:t>
      </w:r>
      <w:r w:rsidRPr="005F0A61">
        <w:rPr>
          <w:rFonts w:ascii="Verdana" w:hAnsi="Verdana" w:cs="Arial"/>
          <w:color w:val="000000" w:themeColor="text1"/>
          <w:shd w:val="clear" w:color="auto" w:fill="FFFFFF"/>
          <w:lang w:val="es-ES"/>
        </w:rPr>
        <w:t xml:space="preserve"> </w:t>
      </w:r>
      <w:r w:rsidRPr="005F0A61">
        <w:rPr>
          <w:rFonts w:ascii="Verdana" w:hAnsi="Verdana"/>
          <w:lang w:val="es-ES"/>
        </w:rPr>
        <w:t>C-417 del 27 de septiembre de 2023,</w:t>
      </w:r>
      <w:r>
        <w:rPr>
          <w:rFonts w:ascii="Verdana" w:hAnsi="Verdana"/>
          <w:lang w:val="es-ES"/>
        </w:rPr>
        <w:t xml:space="preserve"> </w:t>
      </w:r>
      <w:r w:rsidRPr="005F0A61">
        <w:rPr>
          <w:rFonts w:ascii="Verdana" w:hAnsi="Verdana"/>
          <w:lang w:val="es-ES"/>
        </w:rPr>
        <w:t xml:space="preserve">C-432 del 23 de octubre de 2023, C-174 del 23 de julio de 2024, </w:t>
      </w:r>
      <w:r w:rsidRPr="005F0A61">
        <w:rPr>
          <w:rFonts w:ascii="Verdana" w:eastAsia="Calibri" w:hAnsi="Verdana" w:cs="Arial"/>
          <w:lang w:val="es-ES" w:eastAsia="es-ES_tradnl"/>
        </w:rPr>
        <w:t xml:space="preserve">C- 530 del 4 de octubre de 2024, C-595 del 24 de octubre 2024, </w:t>
      </w:r>
      <w:r w:rsidRPr="005F0A61">
        <w:rPr>
          <w:rFonts w:ascii="Verdana" w:eastAsia="Calibri" w:hAnsi="Verdana" w:cs="Arial"/>
          <w:lang w:val="es-ES" w:eastAsia="es-ES"/>
        </w:rPr>
        <w:t xml:space="preserve">C-648 del 6 de noviembre 2024, </w:t>
      </w:r>
      <w:r>
        <w:rPr>
          <w:rFonts w:ascii="Verdana" w:eastAsia="Calibri" w:hAnsi="Verdana" w:cs="Arial"/>
          <w:lang w:val="es-ES" w:eastAsia="es-ES"/>
        </w:rPr>
        <w:t xml:space="preserve">C-116 del 11 de marzo de 2025, </w:t>
      </w:r>
      <w:r w:rsidRPr="005F0A61">
        <w:rPr>
          <w:rFonts w:ascii="Verdana" w:eastAsia="Calibri" w:hAnsi="Verdana" w:cs="Arial"/>
          <w:lang w:val="es-ES" w:eastAsia="es-ES"/>
        </w:rPr>
        <w:t>C-615 del 10 de junio de 2025</w:t>
      </w:r>
      <w:r>
        <w:rPr>
          <w:rFonts w:ascii="Verdana" w:eastAsia="Calibri" w:hAnsi="Verdana" w:cs="Arial"/>
          <w:lang w:val="es-ES" w:eastAsia="es-ES"/>
        </w:rPr>
        <w:t>, C-1084 de 2025 y C-1169 del 30 de septiembre de 2025</w:t>
      </w:r>
      <w:r w:rsidRPr="00E96AE3">
        <w:rPr>
          <w:rStyle w:val="normaltextrun"/>
          <w:rFonts w:ascii="Verdana" w:hAnsi="Verdana" w:cs="Arial"/>
          <w:shd w:val="clear" w:color="auto" w:fill="FFFFFF"/>
          <w:lang w:val="es-ES"/>
        </w:rPr>
        <w:t>.</w:t>
      </w:r>
      <w:r>
        <w:rPr>
          <w:rStyle w:val="normaltextrun"/>
          <w:rFonts w:ascii="Verdana" w:hAnsi="Verdana" w:cs="Arial"/>
          <w:shd w:val="clear" w:color="auto" w:fill="FFFFFF"/>
          <w:lang w:val="es-ES"/>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0440178" w14:textId="77777777" w:rsidR="003A41C8" w:rsidRPr="0065720B" w:rsidRDefault="003A41C8" w:rsidP="003A41C8">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4BF91450" w14:textId="77777777" w:rsidR="003A41C8" w:rsidRPr="00C91B94" w:rsidRDefault="003A41C8" w:rsidP="003A41C8">
      <w:pPr>
        <w:spacing w:after="0" w:line="256" w:lineRule="auto"/>
        <w:jc w:val="both"/>
        <w:rPr>
          <w:rFonts w:ascii="Verdana" w:eastAsia="Calibri" w:hAnsi="Verdana" w:cs="Times New Roman"/>
        </w:rPr>
      </w:pPr>
      <w:r w:rsidRPr="00C91B94">
        <w:rPr>
          <w:rFonts w:ascii="Verdana" w:eastAsia="Calibri" w:hAnsi="Verdana" w:cs="Times New Roman"/>
        </w:rPr>
        <w:br/>
        <w:t>Te informamos que ya se encuentra disponible la </w:t>
      </w:r>
      <w:r w:rsidRPr="00C91B94">
        <w:rPr>
          <w:rFonts w:ascii="Verdana" w:eastAsia="Calibri" w:hAnsi="Verdana" w:cs="Times New Roman"/>
          <w:b/>
          <w:bCs/>
        </w:rPr>
        <w:t>Cartilla para incentivar y fortalecer el acceso a las compras y contratación pública de los pueblos y comunidades étnicas en Colombia.</w:t>
      </w:r>
      <w:r w:rsidRPr="00C91B94">
        <w:rPr>
          <w:rFonts w:ascii="Verdana" w:eastAsia="Calibri" w:hAnsi="Verdana" w:cs="Times New Roman"/>
        </w:rPr>
        <w:t xml:space="preserve"> Esta cartilla es una apuesta de la Agencia Nacional de Contratación Pública – Colombia Compra Eficiente, para incentivar la participación de los pueblos y comunidades étnicas en las compras y contratación pública, mediante el desarrollo de los principios de igualdad, </w:t>
      </w:r>
      <w:r w:rsidRPr="00C91B94">
        <w:rPr>
          <w:rFonts w:ascii="Verdana" w:eastAsia="Calibri" w:hAnsi="Verdana" w:cs="Times New Roman"/>
        </w:rPr>
        <w:lastRenderedPageBreak/>
        <w:t>equidad e inclusión social. Puede consultar la versión actualizada en el siguiente enlace: </w:t>
      </w:r>
      <w:hyperlink r:id="rId14" w:tgtFrame="_blank" w:tooltip="Dirección URL original: https://www.colombiacompra.gov.co/manuales-guias-y-pliegos-tipo/manuales-y-guias/cartilla-para-incentivar-y-fortalecer-el-acceso-las. Haga clic o pulse si confía en este vínculo." w:history="1">
        <w:r w:rsidRPr="00C91B94">
          <w:rPr>
            <w:rStyle w:val="Hipervnculo"/>
            <w:rFonts w:ascii="Verdana" w:eastAsia="Calibri" w:hAnsi="Verdana" w:cs="Times New Roman"/>
          </w:rPr>
          <w:t>Cartilla para incentivar y fortalecer el acceso a las compras y contratación pública de los pueblos y comunidades étnicas en Colombia | Colombia Compra Eficiente | Agencia Nacional de Contratación Pública</w:t>
        </w:r>
      </w:hyperlink>
    </w:p>
    <w:p w14:paraId="2D8D11FD" w14:textId="77777777" w:rsidR="003A41C8" w:rsidRDefault="003A41C8" w:rsidP="003A41C8">
      <w:pPr>
        <w:spacing w:after="0" w:line="256" w:lineRule="auto"/>
        <w:jc w:val="both"/>
        <w:rPr>
          <w:rFonts w:ascii="Verdana" w:eastAsia="Calibri" w:hAnsi="Verdana" w:cs="Times New Roman"/>
        </w:rPr>
      </w:pPr>
    </w:p>
    <w:p w14:paraId="17F7DF5E" w14:textId="77777777" w:rsidR="003A41C8" w:rsidRPr="00067BB4" w:rsidRDefault="003A41C8" w:rsidP="003A41C8">
      <w:pPr>
        <w:spacing w:after="0" w:line="276" w:lineRule="auto"/>
        <w:jc w:val="both"/>
        <w:rPr>
          <w:rFonts w:ascii="Verdana" w:hAnsi="Verdana"/>
        </w:rPr>
      </w:pPr>
      <w:r w:rsidRPr="00067BB4">
        <w:rPr>
          <w:rFonts w:ascii="Verdana" w:hAnsi="Verdana"/>
        </w:rPr>
        <w:t>También le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67BB4">
        <w:rPr>
          <w:rFonts w:ascii="Verdana" w:hAnsi="Verdana"/>
        </w:rPr>
        <w:t>Wayúu</w:t>
      </w:r>
      <w:proofErr w:type="spellEnd"/>
      <w:r w:rsidRPr="00067BB4">
        <w:rPr>
          <w:rFonts w:ascii="Verdana" w:hAnsi="Verdana"/>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1B40E56E" w14:textId="77777777" w:rsidR="003A41C8" w:rsidRPr="00CC5C68" w:rsidRDefault="003A41C8" w:rsidP="003A41C8">
      <w:pPr>
        <w:spacing w:after="0" w:line="240" w:lineRule="auto"/>
        <w:jc w:val="both"/>
        <w:rPr>
          <w:rFonts w:ascii="Verdana" w:hAnsi="Verdana"/>
        </w:rPr>
      </w:pPr>
    </w:p>
    <w:p w14:paraId="23AE5CFE" w14:textId="77777777" w:rsidR="003A41C8" w:rsidRPr="00116940" w:rsidRDefault="003A41C8" w:rsidP="003A41C8">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332404E" w14:textId="77777777" w:rsidR="003A41C8" w:rsidRPr="00116940" w:rsidRDefault="003A41C8" w:rsidP="003A41C8">
      <w:pPr>
        <w:spacing w:after="0"/>
        <w:jc w:val="both"/>
        <w:rPr>
          <w:rFonts w:ascii="Verdana" w:hAnsi="Verdana"/>
        </w:rPr>
      </w:pPr>
    </w:p>
    <w:p w14:paraId="69D9EDD7" w14:textId="77777777" w:rsidR="003A41C8" w:rsidRPr="00116940" w:rsidRDefault="003A41C8" w:rsidP="003A41C8">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8863488" w14:textId="77777777" w:rsidR="003A41C8" w:rsidRPr="00116940" w:rsidRDefault="003A41C8" w:rsidP="003A41C8">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7F9A4707" w14:textId="77777777" w:rsidR="003A41C8" w:rsidRPr="00116940" w:rsidRDefault="003A41C8" w:rsidP="003A41C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5CA3E0E3" w14:textId="77777777" w:rsidR="003A41C8" w:rsidRPr="00116940" w:rsidRDefault="003A41C8" w:rsidP="003A41C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15F73C5C" w14:textId="77777777" w:rsidR="003A41C8" w:rsidRPr="00116940" w:rsidRDefault="003A41C8" w:rsidP="003A41C8">
      <w:pPr>
        <w:spacing w:after="0" w:line="240" w:lineRule="auto"/>
        <w:ind w:left="720"/>
        <w:jc w:val="both"/>
        <w:rPr>
          <w:rFonts w:ascii="Verdana" w:hAnsi="Verdana"/>
        </w:rPr>
      </w:pPr>
    </w:p>
    <w:p w14:paraId="48D34B5F" w14:textId="77777777" w:rsidR="003A41C8" w:rsidRPr="00116940" w:rsidRDefault="003A41C8" w:rsidP="003A41C8">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CFF4CF5" w14:textId="77777777" w:rsidR="003A41C8" w:rsidRPr="00116940" w:rsidRDefault="003A41C8" w:rsidP="003A41C8">
      <w:pPr>
        <w:spacing w:after="0" w:line="240" w:lineRule="auto"/>
        <w:rPr>
          <w:rFonts w:ascii="Verdana" w:hAnsi="Verdana"/>
        </w:rPr>
      </w:pPr>
    </w:p>
    <w:p w14:paraId="19383DDB" w14:textId="77777777" w:rsidR="003A41C8" w:rsidRPr="00116940" w:rsidRDefault="003A41C8" w:rsidP="003A41C8">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DA9AEF0" w14:textId="77777777" w:rsidR="003A41C8" w:rsidRPr="00116940" w:rsidRDefault="003A41C8" w:rsidP="003A41C8">
      <w:pPr>
        <w:spacing w:after="0" w:line="240" w:lineRule="auto"/>
        <w:jc w:val="both"/>
        <w:rPr>
          <w:rFonts w:ascii="Verdana" w:hAnsi="Verdana"/>
        </w:rPr>
      </w:pPr>
    </w:p>
    <w:p w14:paraId="11A8DF65" w14:textId="77777777" w:rsidR="003A41C8" w:rsidRPr="00116940" w:rsidRDefault="003A41C8" w:rsidP="003A41C8">
      <w:pPr>
        <w:spacing w:after="0" w:line="240" w:lineRule="auto"/>
        <w:jc w:val="both"/>
        <w:rPr>
          <w:rFonts w:ascii="Verdana" w:hAnsi="Verdana"/>
        </w:rPr>
      </w:pPr>
      <w:r w:rsidRPr="00116940">
        <w:rPr>
          <w:rFonts w:ascii="Verdana" w:hAnsi="Verdana"/>
        </w:rPr>
        <w:lastRenderedPageBreak/>
        <w:t xml:space="preserve">Twitter: </w:t>
      </w:r>
      <w:r w:rsidRPr="00116940">
        <w:rPr>
          <w:rStyle w:val="Hipervnculo"/>
          <w:rFonts w:ascii="Verdana" w:hAnsi="Verdana"/>
        </w:rPr>
        <w:t>@colombiacompra</w:t>
      </w:r>
      <w:r w:rsidRPr="00116940">
        <w:rPr>
          <w:rFonts w:ascii="Verdana" w:hAnsi="Verdana"/>
        </w:rPr>
        <w:t xml:space="preserve"> </w:t>
      </w:r>
    </w:p>
    <w:p w14:paraId="168ECDA2" w14:textId="77777777" w:rsidR="003A41C8" w:rsidRPr="00116940" w:rsidRDefault="003A41C8" w:rsidP="003A41C8">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F736C35" w14:textId="77777777" w:rsidR="003A41C8" w:rsidRPr="00116940" w:rsidRDefault="003A41C8" w:rsidP="003A41C8">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A0B1B7A" w14:textId="77777777" w:rsidR="003A41C8" w:rsidRPr="00116940" w:rsidRDefault="003A41C8" w:rsidP="003A41C8">
      <w:pPr>
        <w:spacing w:after="0" w:line="240" w:lineRule="auto"/>
        <w:jc w:val="both"/>
        <w:rPr>
          <w:rFonts w:ascii="Verdana" w:hAnsi="Verdana"/>
        </w:rPr>
      </w:pPr>
    </w:p>
    <w:p w14:paraId="6729D249" w14:textId="77777777" w:rsidR="003A41C8" w:rsidRPr="00CF2D08" w:rsidRDefault="003A41C8" w:rsidP="003A41C8">
      <w:pPr>
        <w:spacing w:after="0" w:line="256" w:lineRule="auto"/>
        <w:jc w:val="both"/>
        <w:rPr>
          <w:rFonts w:ascii="Verdana" w:eastAsia="Calibri" w:hAnsi="Verdana" w:cs="Times New Roman"/>
        </w:rPr>
      </w:pPr>
    </w:p>
    <w:p w14:paraId="4A7538D9" w14:textId="77777777" w:rsidR="003A41C8" w:rsidRPr="00AB70DD" w:rsidRDefault="003A41C8" w:rsidP="003A41C8">
      <w:pPr>
        <w:spacing w:after="0" w:line="256" w:lineRule="auto"/>
        <w:jc w:val="both"/>
        <w:rPr>
          <w:rFonts w:ascii="Verdana" w:eastAsia="Calibri" w:hAnsi="Verdana" w:cs="Times New Roman"/>
          <w:bCs/>
          <w:lang w:val="es-ES_tradnl"/>
        </w:rPr>
      </w:pPr>
      <w:r w:rsidRPr="00AB70D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E12C01E" w14:textId="77777777" w:rsidR="003A41C8" w:rsidRDefault="003A41C8" w:rsidP="003A41C8">
      <w:pPr>
        <w:spacing w:after="0" w:line="256" w:lineRule="auto"/>
        <w:jc w:val="both"/>
        <w:rPr>
          <w:rFonts w:ascii="Verdana" w:eastAsia="Calibri" w:hAnsi="Verdana" w:cs="Times New Roman"/>
        </w:rPr>
      </w:pPr>
    </w:p>
    <w:p w14:paraId="0060E5DE" w14:textId="77777777" w:rsidR="003A41C8" w:rsidRPr="005B7C42" w:rsidRDefault="003A41C8" w:rsidP="003A41C8">
      <w:pPr>
        <w:spacing w:after="0" w:line="276" w:lineRule="auto"/>
        <w:jc w:val="both"/>
        <w:rPr>
          <w:rFonts w:ascii="Verdana" w:eastAsia="Times New Roman" w:hAnsi="Verdana" w:cs="Arial"/>
          <w:lang w:eastAsia="es-CO"/>
        </w:rPr>
      </w:pPr>
      <w:bookmarkStart w:id="1" w:name="_Hlk117695077"/>
      <w:r w:rsidRPr="005B7C42">
        <w:rPr>
          <w:rFonts w:ascii="Verdana" w:eastAsia="Times New Roman" w:hAnsi="Verdana" w:cs="Arial"/>
          <w:lang w:eastAsia="es-CO"/>
        </w:rPr>
        <w:t>Atentamente,</w:t>
      </w:r>
    </w:p>
    <w:bookmarkEnd w:id="1"/>
    <w:p w14:paraId="205F1426" w14:textId="40DE36BE" w:rsidR="003A41C8" w:rsidRDefault="00CB2EDD" w:rsidP="003A41C8">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27E6F369" wp14:editId="3448E5E8">
            <wp:extent cx="3430828" cy="1273565"/>
            <wp:effectExtent l="0" t="0" r="0" b="317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444240" cy="1278544"/>
                    </a:xfrm>
                    <a:prstGeom prst="rect">
                      <a:avLst/>
                    </a:prstGeom>
                  </pic:spPr>
                </pic:pic>
              </a:graphicData>
            </a:graphic>
          </wp:inline>
        </w:drawing>
      </w:r>
    </w:p>
    <w:p w14:paraId="7A94A682" w14:textId="77777777" w:rsidR="003A41C8" w:rsidRDefault="003A41C8" w:rsidP="003A41C8">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A41C8" w:rsidRPr="007A0E81" w14:paraId="0311EAA7" w14:textId="77777777" w:rsidTr="00FF5D24">
        <w:trPr>
          <w:trHeight w:val="315"/>
        </w:trPr>
        <w:tc>
          <w:tcPr>
            <w:tcW w:w="893" w:type="dxa"/>
            <w:vAlign w:val="center"/>
            <w:hideMark/>
          </w:tcPr>
          <w:p w14:paraId="33C4B400" w14:textId="77777777" w:rsidR="003A41C8" w:rsidRPr="007A0E81" w:rsidRDefault="003A41C8" w:rsidP="00FF5D24">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1C3A37B3" w14:textId="77777777" w:rsidR="003A41C8" w:rsidRPr="007A0E81" w:rsidRDefault="003A41C8" w:rsidP="00FF5D24">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00777D63" w14:textId="77777777" w:rsidR="003A41C8" w:rsidRPr="007A0E81" w:rsidRDefault="003A41C8" w:rsidP="00FF5D24">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3A41C8" w:rsidRPr="007A0E81" w14:paraId="6396AB6E" w14:textId="77777777" w:rsidTr="00FF5D24">
        <w:trPr>
          <w:trHeight w:val="330"/>
        </w:trPr>
        <w:tc>
          <w:tcPr>
            <w:tcW w:w="893" w:type="dxa"/>
            <w:vAlign w:val="center"/>
            <w:hideMark/>
          </w:tcPr>
          <w:p w14:paraId="6163B82C" w14:textId="77777777" w:rsidR="003A41C8" w:rsidRPr="007A0E81" w:rsidRDefault="003A41C8" w:rsidP="00FF5D24">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499D5B77" w14:textId="77777777" w:rsidR="003A41C8" w:rsidRPr="007A0E81" w:rsidRDefault="003A41C8" w:rsidP="00FF5D24">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34CACFE7" w14:textId="77777777" w:rsidR="003A41C8" w:rsidRPr="007A0E81" w:rsidRDefault="003A41C8" w:rsidP="00FF5D24">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3A41C8" w:rsidRPr="007A0E81" w14:paraId="31F15767" w14:textId="77777777" w:rsidTr="00FF5D24">
        <w:trPr>
          <w:trHeight w:val="300"/>
        </w:trPr>
        <w:tc>
          <w:tcPr>
            <w:tcW w:w="893" w:type="dxa"/>
            <w:vAlign w:val="center"/>
          </w:tcPr>
          <w:p w14:paraId="263B84FD" w14:textId="77777777" w:rsidR="003A41C8" w:rsidRPr="007A0E81" w:rsidRDefault="003A41C8" w:rsidP="00FF5D24">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54699236" w14:textId="77777777" w:rsidR="003A41C8" w:rsidRPr="007A0E81" w:rsidRDefault="003A41C8" w:rsidP="00FF5D24">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711AF336" w14:textId="77777777" w:rsidR="003A41C8" w:rsidRPr="007A0E81" w:rsidRDefault="003A41C8" w:rsidP="00FF5D24">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12B2DCC4" w14:textId="77777777" w:rsidR="003A41C8" w:rsidRPr="0044528D" w:rsidRDefault="003A41C8" w:rsidP="003A41C8">
      <w:pPr>
        <w:spacing w:after="0" w:line="240" w:lineRule="auto"/>
        <w:jc w:val="both"/>
        <w:rPr>
          <w:rFonts w:ascii="Verdana" w:hAnsi="Verdana"/>
        </w:rPr>
      </w:pPr>
    </w:p>
    <w:p w14:paraId="72CC1694" w14:textId="77777777" w:rsidR="003A41C8" w:rsidRPr="0057702A" w:rsidRDefault="003A41C8" w:rsidP="003A41C8">
      <w:pPr>
        <w:spacing w:after="0" w:line="240" w:lineRule="auto"/>
        <w:jc w:val="center"/>
        <w:rPr>
          <w:rFonts w:ascii="Verdana" w:hAnsi="Verdana"/>
          <w:b/>
          <w:bCs/>
        </w:rPr>
      </w:pPr>
    </w:p>
    <w:bookmarkEnd w:id="0"/>
    <w:p w14:paraId="64180236" w14:textId="77777777" w:rsidR="003A41C8" w:rsidRPr="0024624F" w:rsidRDefault="003A41C8" w:rsidP="00C15139">
      <w:pPr>
        <w:spacing w:after="0"/>
        <w:rPr>
          <w:rFonts w:ascii="Verdana" w:hAnsi="Verdana"/>
        </w:rPr>
      </w:pPr>
    </w:p>
    <w:sectPr w:rsidR="003A41C8" w:rsidRPr="0024624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F77617" w14:textId="77777777" w:rsidR="00C60816" w:rsidRDefault="00C60816" w:rsidP="004A1847">
      <w:pPr>
        <w:spacing w:after="0" w:line="240" w:lineRule="auto"/>
      </w:pPr>
      <w:r>
        <w:separator/>
      </w:r>
    </w:p>
  </w:endnote>
  <w:endnote w:type="continuationSeparator" w:id="0">
    <w:p w14:paraId="063C0E2A" w14:textId="77777777" w:rsidR="00C60816" w:rsidRDefault="00C6081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A204D0" w14:textId="77777777" w:rsidR="00C60816" w:rsidRDefault="00C60816" w:rsidP="004A1847">
      <w:pPr>
        <w:spacing w:after="0" w:line="240" w:lineRule="auto"/>
      </w:pPr>
      <w:r>
        <w:separator/>
      </w:r>
    </w:p>
  </w:footnote>
  <w:footnote w:type="continuationSeparator" w:id="0">
    <w:p w14:paraId="6931916F" w14:textId="77777777" w:rsidR="00C60816" w:rsidRDefault="00C60816" w:rsidP="004A1847">
      <w:pPr>
        <w:spacing w:after="0" w:line="240" w:lineRule="auto"/>
      </w:pPr>
      <w:r>
        <w:continuationSeparator/>
      </w:r>
    </w:p>
  </w:footnote>
  <w:footnote w:id="1">
    <w:p w14:paraId="20A5F58E" w14:textId="77777777" w:rsidR="003A41C8" w:rsidRPr="0057702A" w:rsidRDefault="003A41C8" w:rsidP="003A41C8">
      <w:pPr>
        <w:pStyle w:val="NormalWeb"/>
        <w:spacing w:before="0" w:beforeAutospacing="0" w:after="0" w:afterAutospacing="0"/>
        <w:ind w:firstLine="708"/>
        <w:jc w:val="both"/>
        <w:rPr>
          <w:rFonts w:ascii="Verdana" w:eastAsia="Calibri" w:hAnsi="Verdana" w:cs="Arial"/>
          <w:color w:val="000000"/>
          <w:sz w:val="16"/>
          <w:szCs w:val="16"/>
          <w:lang w:val="es-ES_tradnl" w:eastAsia="es-ES_tradnl"/>
        </w:rPr>
      </w:pPr>
      <w:r w:rsidRPr="0057702A">
        <w:rPr>
          <w:rStyle w:val="Refdenotaalpie"/>
          <w:rFonts w:ascii="Verdana" w:hAnsi="Verdana" w:cs="Arial"/>
          <w:color w:val="000000" w:themeColor="text1"/>
          <w:sz w:val="16"/>
          <w:szCs w:val="16"/>
        </w:rPr>
        <w:footnoteRef/>
      </w:r>
      <w:r w:rsidRPr="0057702A">
        <w:rPr>
          <w:rFonts w:ascii="Verdana" w:hAnsi="Verdana" w:cs="Arial"/>
          <w:color w:val="000000" w:themeColor="text1"/>
          <w:sz w:val="16"/>
          <w:szCs w:val="16"/>
        </w:rPr>
        <w:t xml:space="preserve"> </w:t>
      </w:r>
      <w:r w:rsidRPr="0057702A">
        <w:rPr>
          <w:rFonts w:ascii="Verdana" w:eastAsia="Calibri" w:hAnsi="Verdana" w:cs="Arial"/>
          <w:color w:val="000000"/>
          <w:sz w:val="16"/>
          <w:szCs w:val="16"/>
          <w:lang w:val="es-ES_tradnl" w:eastAsia="es-ES_tradnl"/>
        </w:rPr>
        <w:t>Ley 1150 de 2007: “Artículo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9CA055B" w14:textId="77777777" w:rsidR="003A41C8" w:rsidRPr="0057702A" w:rsidRDefault="003A41C8" w:rsidP="003A41C8">
      <w:pPr>
        <w:pStyle w:val="NormalWeb"/>
        <w:spacing w:before="0" w:beforeAutospacing="0" w:after="0" w:afterAutospacing="0"/>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63C3372" w14:textId="77777777" w:rsidR="003A41C8" w:rsidRPr="0057702A" w:rsidRDefault="003A41C8" w:rsidP="003A41C8">
      <w:pPr>
        <w:pStyle w:val="NormalWeb"/>
        <w:spacing w:before="0" w:beforeAutospacing="0" w:after="0" w:afterAutospacing="0"/>
        <w:ind w:firstLine="708"/>
        <w:jc w:val="both"/>
        <w:rPr>
          <w:rFonts w:ascii="Verdana" w:hAnsi="Verdana" w:cs="Arial"/>
          <w:color w:val="000000" w:themeColor="text1"/>
          <w:sz w:val="16"/>
          <w:szCs w:val="16"/>
        </w:rPr>
      </w:pPr>
      <w:r w:rsidRPr="0057702A">
        <w:rPr>
          <w:rFonts w:ascii="Verdana" w:eastAsia="Calibri" w:hAnsi="Verdana" w:cs="Arial"/>
          <w:color w:val="000000"/>
          <w:sz w:val="16"/>
          <w:szCs w:val="16"/>
          <w:lang w:val="es-ES_tradnl" w:eastAsia="es-ES_tradnl"/>
        </w:rPr>
        <w:t>En dicho registro constará la información relacionada con la experiencia, capacidad jurídica, financiera y de organización del proponente y su clasificación”.</w:t>
      </w:r>
    </w:p>
  </w:footnote>
  <w:footnote w:id="2">
    <w:p w14:paraId="7E8E8FE0" w14:textId="77777777" w:rsidR="003A41C8" w:rsidRPr="0057702A" w:rsidRDefault="003A41C8" w:rsidP="003A41C8">
      <w:pPr>
        <w:pStyle w:val="Textonotapie"/>
        <w:ind w:firstLine="709"/>
        <w:jc w:val="both"/>
        <w:rPr>
          <w:rFonts w:ascii="Verdana" w:hAnsi="Verdana" w:cs="Arial"/>
          <w:sz w:val="16"/>
          <w:szCs w:val="16"/>
        </w:rPr>
      </w:pPr>
    </w:p>
    <w:p w14:paraId="3E328122" w14:textId="77777777" w:rsidR="003A41C8" w:rsidRPr="0057702A" w:rsidRDefault="003A41C8" w:rsidP="003A41C8">
      <w:pPr>
        <w:pStyle w:val="Textonotapie"/>
        <w:ind w:firstLine="709"/>
        <w:jc w:val="both"/>
        <w:rPr>
          <w:rFonts w:ascii="Verdana" w:hAnsi="Verdana" w:cs="Arial"/>
          <w:sz w:val="16"/>
          <w:szCs w:val="16"/>
          <w:lang w:val="es-ES"/>
        </w:rPr>
      </w:pPr>
      <w:r w:rsidRPr="0057702A">
        <w:rPr>
          <w:rStyle w:val="Refdenotaalpie"/>
          <w:rFonts w:ascii="Verdana" w:hAnsi="Verdana" w:cs="Arial"/>
          <w:sz w:val="16"/>
          <w:szCs w:val="16"/>
        </w:rPr>
        <w:footnoteRef/>
      </w:r>
      <w:r w:rsidRPr="0057702A">
        <w:rPr>
          <w:rFonts w:ascii="Verdana" w:hAnsi="Verdana" w:cs="Arial"/>
          <w:sz w:val="16"/>
          <w:szCs w:val="16"/>
        </w:rPr>
        <w:t xml:space="preserve"> </w:t>
      </w:r>
      <w:r w:rsidRPr="0057702A">
        <w:rPr>
          <w:rFonts w:ascii="Verdana" w:eastAsia="Calibri" w:hAnsi="Verdana" w:cs="Arial"/>
          <w:color w:val="000000"/>
          <w:sz w:val="16"/>
          <w:szCs w:val="16"/>
          <w:lang w:val="es-ES_tradnl" w:eastAsia="es-ES_tradnl"/>
        </w:rPr>
        <w:t>Ibídem.</w:t>
      </w:r>
    </w:p>
    <w:p w14:paraId="3290B976" w14:textId="77777777" w:rsidR="003A41C8" w:rsidRPr="0057702A" w:rsidRDefault="003A41C8" w:rsidP="003A41C8">
      <w:pPr>
        <w:pStyle w:val="Textonotapie"/>
        <w:ind w:firstLine="709"/>
        <w:jc w:val="both"/>
        <w:rPr>
          <w:rFonts w:ascii="Verdana" w:hAnsi="Verdana" w:cs="Arial"/>
          <w:sz w:val="16"/>
          <w:szCs w:val="16"/>
          <w:lang w:val="es-ES"/>
        </w:rPr>
      </w:pPr>
    </w:p>
  </w:footnote>
  <w:footnote w:id="3">
    <w:p w14:paraId="7527C1F9" w14:textId="77777777" w:rsidR="003A41C8" w:rsidRPr="0057702A" w:rsidRDefault="003A41C8" w:rsidP="003A41C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olor w:val="000000"/>
          <w:sz w:val="16"/>
          <w:szCs w:val="16"/>
          <w:lang w:val="es-ES_tradnl" w:eastAsia="es-ES_tradnl"/>
        </w:rPr>
        <w:footnoteRef/>
      </w:r>
      <w:r w:rsidRPr="0057702A">
        <w:rPr>
          <w:rFonts w:ascii="Verdana" w:eastAsia="Calibri" w:hAnsi="Verdana" w:cs="Arial"/>
          <w:color w:val="000000"/>
          <w:sz w:val="16"/>
          <w:szCs w:val="16"/>
          <w:lang w:val="es-ES_tradnl" w:eastAsia="es-ES_tradnl"/>
        </w:rPr>
        <w:t xml:space="preserve"> Para la realización de los respectivos análisis del sector de los Procesos de Contratación, esta Agencia recomienda tener en cuenta la última modificación de la “Guía de Elaboración de Estudios del Sector”, que puede ser consultada en el siguiente link: </w:t>
      </w:r>
      <w:hyperlink r:id="rId1" w:history="1">
        <w:r w:rsidRPr="0057702A">
          <w:rPr>
            <w:rFonts w:ascii="Verdana" w:hAnsi="Verdana"/>
            <w:color w:val="000000"/>
            <w:sz w:val="16"/>
            <w:szCs w:val="16"/>
            <w:lang w:val="es-ES_tradnl" w:eastAsia="es-ES_tradnl"/>
          </w:rPr>
          <w:t>https://www.colombiacompra.gov.co/sites/cce_public/files/cce_documentos/cce-eicp-gi-18._gees_v.2_2.pdf</w:t>
        </w:r>
      </w:hyperlink>
      <w:r w:rsidRPr="0057702A">
        <w:rPr>
          <w:rFonts w:ascii="Verdana" w:eastAsia="Calibri" w:hAnsi="Verdana" w:cs="Arial"/>
          <w:color w:val="000000"/>
          <w:sz w:val="16"/>
          <w:szCs w:val="16"/>
          <w:lang w:val="es-ES_tradnl" w:eastAsia="es-ES_tradnl"/>
        </w:rPr>
        <w:t xml:space="preserve"> </w:t>
      </w:r>
    </w:p>
    <w:p w14:paraId="1149730F" w14:textId="77777777" w:rsidR="003A41C8" w:rsidRPr="0057702A" w:rsidRDefault="003A41C8" w:rsidP="003A41C8">
      <w:pPr>
        <w:pStyle w:val="Textonotapie"/>
        <w:ind w:firstLine="708"/>
        <w:jc w:val="both"/>
        <w:rPr>
          <w:rFonts w:ascii="Verdana" w:eastAsia="Calibri" w:hAnsi="Verdana" w:cs="Arial"/>
          <w:color w:val="000000"/>
          <w:sz w:val="16"/>
          <w:szCs w:val="16"/>
          <w:lang w:val="es-ES_tradnl" w:eastAsia="es-ES_tradnl"/>
        </w:rPr>
      </w:pPr>
    </w:p>
  </w:footnote>
  <w:footnote w:id="4">
    <w:p w14:paraId="49CFB4D4" w14:textId="77777777" w:rsidR="003A41C8" w:rsidRPr="0057702A" w:rsidRDefault="003A41C8" w:rsidP="003A41C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olor w:val="000000"/>
          <w:sz w:val="16"/>
          <w:szCs w:val="16"/>
          <w:lang w:val="es-ES_tradnl" w:eastAsia="es-ES_tradnl"/>
        </w:rPr>
        <w:footnoteRef/>
      </w:r>
      <w:r w:rsidRPr="0057702A">
        <w:rPr>
          <w:rFonts w:ascii="Verdana" w:eastAsia="Calibri" w:hAnsi="Verdana" w:cs="Arial"/>
          <w:color w:val="000000"/>
          <w:sz w:val="16"/>
          <w:szCs w:val="16"/>
          <w:lang w:val="es-ES_tradnl" w:eastAsia="es-ES_tradnl"/>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5">
    <w:p w14:paraId="40591390" w14:textId="77777777" w:rsidR="003A41C8" w:rsidRPr="0057702A" w:rsidRDefault="003A41C8" w:rsidP="003A41C8">
      <w:pPr>
        <w:pStyle w:val="Textonotapie"/>
        <w:ind w:firstLine="708"/>
        <w:rPr>
          <w:rFonts w:ascii="Verdana" w:eastAsia="Calibri" w:hAnsi="Verdana" w:cs="Arial"/>
          <w:color w:val="000000"/>
          <w:sz w:val="16"/>
          <w:szCs w:val="16"/>
          <w:lang w:val="es-ES_tradnl" w:eastAsia="es-ES_tradnl"/>
        </w:rPr>
      </w:pPr>
    </w:p>
    <w:p w14:paraId="34506064" w14:textId="77777777" w:rsidR="003A41C8" w:rsidRPr="0057702A" w:rsidRDefault="003A41C8" w:rsidP="003A41C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olor w:val="000000"/>
          <w:sz w:val="16"/>
          <w:szCs w:val="16"/>
          <w:lang w:val="es-ES_tradnl" w:eastAsia="es-ES_tradnl"/>
        </w:rPr>
        <w:footnoteRef/>
      </w:r>
      <w:r w:rsidRPr="0057702A">
        <w:rPr>
          <w:rFonts w:ascii="Verdana" w:eastAsia="Calibri" w:hAnsi="Verdana" w:cs="Arial"/>
          <w:color w:val="000000"/>
          <w:sz w:val="16"/>
          <w:szCs w:val="16"/>
          <w:lang w:val="es-ES_tradnl" w:eastAsia="es-ES_tradnl"/>
        </w:rPr>
        <w:t xml:space="preserve"> Decreto 1082 de 2015: “</w:t>
      </w:r>
      <w:r w:rsidRPr="0057702A">
        <w:rPr>
          <w:rFonts w:ascii="Verdana" w:eastAsia="Calibri" w:hAnsi="Verdana"/>
          <w:sz w:val="16"/>
          <w:szCs w:val="16"/>
          <w:lang w:val="es-ES_tradnl" w:eastAsia="es-ES_tradnl"/>
        </w:rPr>
        <w:t>Artículo 2.2.1.1.1.5.2.</w:t>
      </w:r>
      <w:r w:rsidRPr="0057702A">
        <w:rPr>
          <w:rFonts w:ascii="Verdana" w:eastAsia="Calibri" w:hAnsi="Verdana"/>
          <w:b/>
          <w:sz w:val="16"/>
          <w:szCs w:val="16"/>
          <w:lang w:val="es-ES_tradnl" w:eastAsia="es-ES_tradnl"/>
        </w:rPr>
        <w:t> </w:t>
      </w:r>
      <w:r w:rsidRPr="0057702A">
        <w:rPr>
          <w:rFonts w:ascii="Verdana" w:eastAsia="Calibri" w:hAnsi="Verdana"/>
          <w:i/>
          <w:sz w:val="16"/>
          <w:szCs w:val="16"/>
          <w:lang w:val="es-ES_tradnl" w:eastAsia="es-ES_tradnl"/>
        </w:rPr>
        <w:t>Información para inscripción, renovación o actualización. </w:t>
      </w:r>
      <w:r w:rsidRPr="0057702A">
        <w:rPr>
          <w:rFonts w:ascii="Verdana" w:eastAsia="Calibri" w:hAnsi="Verdana" w:cs="Arial"/>
          <w:color w:val="000000"/>
          <w:sz w:val="16"/>
          <w:szCs w:val="16"/>
          <w:lang w:val="es-ES_tradnl" w:eastAsia="es-ES_tradnl"/>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0A8EB772" w14:textId="77777777" w:rsidR="003A41C8" w:rsidRPr="0057702A" w:rsidRDefault="003A41C8" w:rsidP="003A41C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w:t>
      </w:r>
    </w:p>
    <w:p w14:paraId="20203F19" w14:textId="77777777" w:rsidR="003A41C8" w:rsidRPr="0057702A" w:rsidRDefault="003A41C8" w:rsidP="003A41C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 xml:space="preserve">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w:t>
      </w:r>
    </w:p>
    <w:p w14:paraId="10215BC8" w14:textId="77777777" w:rsidR="003A41C8" w:rsidRPr="0057702A" w:rsidRDefault="003A41C8" w:rsidP="003A41C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 xml:space="preserve">I. Principales cuentas detalladas del balance general. </w:t>
      </w:r>
    </w:p>
    <w:p w14:paraId="6ACAB5E2" w14:textId="77777777" w:rsidR="003A41C8" w:rsidRPr="0057702A" w:rsidRDefault="003A41C8" w:rsidP="003A41C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 xml:space="preserve">II. Principales cuentas del estado de pérdidas y ganancias. </w:t>
      </w:r>
    </w:p>
    <w:p w14:paraId="7DB0A213" w14:textId="77777777" w:rsidR="003A41C8" w:rsidRPr="0057702A" w:rsidRDefault="003A41C8" w:rsidP="003A41C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 xml:space="preserve">III. Cuentas contingentes deudoras y acreedoras. </w:t>
      </w:r>
    </w:p>
    <w:p w14:paraId="7C46A038" w14:textId="77777777" w:rsidR="003A41C8" w:rsidRPr="0057702A" w:rsidRDefault="003A41C8" w:rsidP="003A41C8">
      <w:pPr>
        <w:pStyle w:val="Textonotapie"/>
        <w:ind w:firstLine="708"/>
        <w:jc w:val="both"/>
        <w:rPr>
          <w:rFonts w:ascii="Verdana" w:hAnsi="Verdana" w:cs="Arial"/>
          <w:sz w:val="16"/>
          <w:szCs w:val="16"/>
        </w:rPr>
      </w:pPr>
      <w:r w:rsidRPr="0057702A">
        <w:rPr>
          <w:rFonts w:ascii="Verdana" w:eastAsia="Calibri" w:hAnsi="Verdana" w:cs="Arial"/>
          <w:color w:val="000000"/>
          <w:sz w:val="16"/>
          <w:szCs w:val="16"/>
          <w:lang w:val="es-ES_tradnl" w:eastAsia="es-ES_tradnl"/>
        </w:rPr>
        <w:t>Si el interesado no tiene antigüedad suficiente para tener estados financieros auditados a 31 de diciembre, debe inscribirse con estados financieros de corte trimestral, suscritos por el representante legal y el auditor o contador o estados financieros de apertura[...]”</w:t>
      </w:r>
      <w:r w:rsidRPr="0057702A">
        <w:rPr>
          <w:rFonts w:ascii="Verdana" w:hAnsi="Verdana" w:cs="Arial"/>
          <w:sz w:val="16"/>
          <w:szCs w:val="16"/>
        </w:rPr>
        <w:t xml:space="preserve">  </w:t>
      </w:r>
    </w:p>
  </w:footnote>
  <w:footnote w:id="6">
    <w:p w14:paraId="3C7D8525" w14:textId="77777777" w:rsidR="003A41C8" w:rsidRPr="0057702A" w:rsidRDefault="003A41C8" w:rsidP="003A41C8">
      <w:pPr>
        <w:pStyle w:val="Textonotapie"/>
        <w:ind w:firstLine="708"/>
        <w:jc w:val="both"/>
        <w:rPr>
          <w:rFonts w:ascii="Verdana" w:eastAsia="Calibri" w:hAnsi="Verdana" w:cs="Arial"/>
          <w:color w:val="000000"/>
          <w:sz w:val="16"/>
          <w:szCs w:val="16"/>
          <w:lang w:val="es-ES_tradnl" w:eastAsia="es-ES_tradnl"/>
        </w:rPr>
      </w:pPr>
      <w:r w:rsidRPr="0057702A">
        <w:rPr>
          <w:rStyle w:val="Refdenotaalpie"/>
          <w:rFonts w:ascii="Verdana" w:hAnsi="Verdana" w:cs="Arial"/>
          <w:sz w:val="16"/>
          <w:szCs w:val="16"/>
        </w:rPr>
        <w:footnoteRef/>
      </w:r>
      <w:r w:rsidRPr="0057702A">
        <w:rPr>
          <w:rFonts w:ascii="Verdana" w:hAnsi="Verdana" w:cs="Arial"/>
          <w:sz w:val="16"/>
          <w:szCs w:val="16"/>
        </w:rPr>
        <w:t xml:space="preserve"> </w:t>
      </w:r>
      <w:r w:rsidRPr="0057702A">
        <w:rPr>
          <w:rFonts w:ascii="Verdana" w:eastAsia="Calibri" w:hAnsi="Verdana" w:cs="Arial"/>
          <w:color w:val="000000"/>
          <w:sz w:val="16"/>
          <w:szCs w:val="16"/>
          <w:lang w:val="es-ES_tradnl" w:eastAsia="es-ES_tradnl"/>
        </w:rPr>
        <w:t>Mide la liquidez del proponente de manera más estricta que el índice de liquidez, pues no tiene en cuenta su inventario. El inventario es excluido, teniendo en cuenta que es la cuenta menos líquida del activo corriente y no debe ser usada para pagar las obligaciones de corto plazo.</w:t>
      </w:r>
    </w:p>
    <w:p w14:paraId="3669BF93" w14:textId="77777777" w:rsidR="003A41C8" w:rsidRPr="0057702A" w:rsidRDefault="003A41C8" w:rsidP="003A41C8">
      <w:pPr>
        <w:pStyle w:val="Textonotapie"/>
        <w:ind w:firstLine="708"/>
        <w:jc w:val="both"/>
        <w:rPr>
          <w:rFonts w:ascii="Verdana" w:eastAsia="Calibri" w:hAnsi="Verdana" w:cs="Arial"/>
          <w:color w:val="000000"/>
          <w:sz w:val="16"/>
          <w:szCs w:val="16"/>
          <w:lang w:val="es-ES_tradnl" w:eastAsia="es-ES_tradnl"/>
        </w:rPr>
      </w:pPr>
    </w:p>
  </w:footnote>
  <w:footnote w:id="7">
    <w:p w14:paraId="11E729CB" w14:textId="77777777" w:rsidR="003A41C8" w:rsidRPr="0057702A" w:rsidRDefault="003A41C8" w:rsidP="003A41C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olor w:val="000000"/>
          <w:sz w:val="16"/>
          <w:szCs w:val="16"/>
          <w:vertAlign w:val="superscript"/>
          <w:lang w:val="es-ES_tradnl" w:eastAsia="es-ES_tradnl"/>
        </w:rPr>
        <w:footnoteRef/>
      </w:r>
      <w:r w:rsidRPr="0057702A">
        <w:rPr>
          <w:rFonts w:ascii="Verdana" w:eastAsia="Calibri" w:hAnsi="Verdana" w:cs="Arial"/>
          <w:color w:val="000000"/>
          <w:sz w:val="16"/>
          <w:szCs w:val="16"/>
          <w:vertAlign w:val="superscript"/>
          <w:lang w:val="es-ES_tradnl" w:eastAsia="es-ES_tradnl"/>
        </w:rPr>
        <w:t xml:space="preserve"> </w:t>
      </w:r>
      <w:r w:rsidRPr="0057702A">
        <w:rPr>
          <w:rFonts w:ascii="Verdana" w:eastAsia="Calibri" w:hAnsi="Verdana" w:cs="Arial"/>
          <w:color w:val="000000"/>
          <w:sz w:val="16"/>
          <w:szCs w:val="16"/>
          <w:lang w:val="es-ES_tradnl" w:eastAsia="es-ES_tradnl"/>
        </w:rPr>
        <w:t>Agencia Nacional de Contratación Pública – Colombia Compra Eficiente, “Manual para determinar y verificar los requisitos habilitantes en los Procesos de Contratación”.</w:t>
      </w:r>
    </w:p>
    <w:p w14:paraId="6C3B1DD8" w14:textId="77777777" w:rsidR="003A41C8" w:rsidRPr="0057702A" w:rsidRDefault="003A41C8" w:rsidP="003A41C8">
      <w:pPr>
        <w:pStyle w:val="Textonotapie"/>
        <w:ind w:firstLine="567"/>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9B3027EA"/>
    <w:lvl w:ilvl="0" w:tplc="240A000F">
      <w:start w:val="1"/>
      <w:numFmt w:val="decimal"/>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6033304">
    <w:abstractNumId w:val="6"/>
  </w:num>
  <w:num w:numId="2" w16cid:durableId="808597320">
    <w:abstractNumId w:val="1"/>
  </w:num>
  <w:num w:numId="3" w16cid:durableId="1844583413">
    <w:abstractNumId w:val="4"/>
  </w:num>
  <w:num w:numId="4" w16cid:durableId="20368734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74875518">
    <w:abstractNumId w:val="1"/>
  </w:num>
  <w:num w:numId="6" w16cid:durableId="789664441">
    <w:abstractNumId w:val="14"/>
  </w:num>
  <w:num w:numId="7" w16cid:durableId="1145270597">
    <w:abstractNumId w:val="5"/>
  </w:num>
  <w:num w:numId="8" w16cid:durableId="287589986">
    <w:abstractNumId w:val="13"/>
  </w:num>
  <w:num w:numId="9" w16cid:durableId="1361859847">
    <w:abstractNumId w:val="7"/>
  </w:num>
  <w:num w:numId="10" w16cid:durableId="1887989614">
    <w:abstractNumId w:val="12"/>
  </w:num>
  <w:num w:numId="11" w16cid:durableId="904608280">
    <w:abstractNumId w:val="8"/>
  </w:num>
  <w:num w:numId="12" w16cid:durableId="547451715">
    <w:abstractNumId w:val="0"/>
  </w:num>
  <w:num w:numId="13" w16cid:durableId="853958270">
    <w:abstractNumId w:val="2"/>
  </w:num>
  <w:num w:numId="14" w16cid:durableId="484861386">
    <w:abstractNumId w:val="15"/>
  </w:num>
  <w:num w:numId="15" w16cid:durableId="653535472">
    <w:abstractNumId w:val="11"/>
  </w:num>
  <w:num w:numId="16" w16cid:durableId="1966109920">
    <w:abstractNumId w:val="3"/>
  </w:num>
  <w:num w:numId="17" w16cid:durableId="1689478281">
    <w:abstractNumId w:val="9"/>
  </w:num>
  <w:num w:numId="18" w16cid:durableId="149090690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72841"/>
    <w:rsid w:val="002951A0"/>
    <w:rsid w:val="002962BC"/>
    <w:rsid w:val="002A093D"/>
    <w:rsid w:val="002A0DD0"/>
    <w:rsid w:val="002A49AC"/>
    <w:rsid w:val="002A64FD"/>
    <w:rsid w:val="002C7A84"/>
    <w:rsid w:val="002D0C1F"/>
    <w:rsid w:val="002E2BF8"/>
    <w:rsid w:val="002E4FD9"/>
    <w:rsid w:val="0030657A"/>
    <w:rsid w:val="00322A85"/>
    <w:rsid w:val="00324168"/>
    <w:rsid w:val="00330834"/>
    <w:rsid w:val="003448F4"/>
    <w:rsid w:val="00374F5E"/>
    <w:rsid w:val="00377E3E"/>
    <w:rsid w:val="003A41C8"/>
    <w:rsid w:val="003A779E"/>
    <w:rsid w:val="003D0F4D"/>
    <w:rsid w:val="003D5B0D"/>
    <w:rsid w:val="003E0499"/>
    <w:rsid w:val="003E1E89"/>
    <w:rsid w:val="003E4F80"/>
    <w:rsid w:val="003E6439"/>
    <w:rsid w:val="003F37D1"/>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92D06"/>
    <w:rsid w:val="006A245A"/>
    <w:rsid w:val="00706C16"/>
    <w:rsid w:val="00733630"/>
    <w:rsid w:val="007340C3"/>
    <w:rsid w:val="0075235A"/>
    <w:rsid w:val="00756841"/>
    <w:rsid w:val="007649AB"/>
    <w:rsid w:val="00771D0C"/>
    <w:rsid w:val="007833AC"/>
    <w:rsid w:val="007B268C"/>
    <w:rsid w:val="007B7171"/>
    <w:rsid w:val="007C0C0F"/>
    <w:rsid w:val="007C3DC2"/>
    <w:rsid w:val="007E5497"/>
    <w:rsid w:val="00806F5F"/>
    <w:rsid w:val="00817AA1"/>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4B0B"/>
    <w:rsid w:val="00965334"/>
    <w:rsid w:val="0097093E"/>
    <w:rsid w:val="009711DB"/>
    <w:rsid w:val="009A0DFA"/>
    <w:rsid w:val="009A1C6F"/>
    <w:rsid w:val="009B2D26"/>
    <w:rsid w:val="009C71FA"/>
    <w:rsid w:val="009C72E7"/>
    <w:rsid w:val="009C7F7E"/>
    <w:rsid w:val="009D3058"/>
    <w:rsid w:val="009D4F05"/>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1C54"/>
    <w:rsid w:val="00BF7425"/>
    <w:rsid w:val="00C04FB3"/>
    <w:rsid w:val="00C059CA"/>
    <w:rsid w:val="00C11D8B"/>
    <w:rsid w:val="00C15139"/>
    <w:rsid w:val="00C330EB"/>
    <w:rsid w:val="00C50D69"/>
    <w:rsid w:val="00C5365C"/>
    <w:rsid w:val="00C60816"/>
    <w:rsid w:val="00C754BE"/>
    <w:rsid w:val="00C76B1C"/>
    <w:rsid w:val="00C925AC"/>
    <w:rsid w:val="00CA46CF"/>
    <w:rsid w:val="00CB2EDD"/>
    <w:rsid w:val="00CB6357"/>
    <w:rsid w:val="00CC1B26"/>
    <w:rsid w:val="00CE12A3"/>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C2B88"/>
    <w:rsid w:val="00FF1449"/>
    <w:rsid w:val="00FF7963"/>
    <w:rsid w:val="09908A09"/>
    <w:rsid w:val="13CFC91B"/>
    <w:rsid w:val="19A2EC2C"/>
    <w:rsid w:val="2859CA1B"/>
    <w:rsid w:val="32A4F9CF"/>
    <w:rsid w:val="356CEDFD"/>
    <w:rsid w:val="6096479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A41C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A41C8"/>
    <w:rPr>
      <w:rFonts w:ascii="Geomanist Light" w:hAnsi="Geomanist Light"/>
      <w:lang w:val="es-ES"/>
    </w:rPr>
  </w:style>
  <w:style w:type="character" w:customStyle="1" w:styleId="NormalWebCar">
    <w:name w:val="Normal (Web) Car"/>
    <w:link w:val="NormalWeb"/>
    <w:uiPriority w:val="99"/>
    <w:locked/>
    <w:rsid w:val="003A41C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eicp-ma-04._manual_requisitos_habilitantes_v3_29-09-2023.pdf"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rector.comercial@vcaconsulting.com.co"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cartilla-para-incentivar-y-fortalecer-el-acceso-las&amp;data=05%7C02%7Cjose.sanchez%40colombiacompra.gov.co%7Ceb0fd05604104aa4d3bc08dd4c4ad35e%7C7b09041e245149d08cb179d5e3d8c1be%7C0%7C0%7C638750606444331455%7CUnknown%7CTWFpbGZsb3d8eyJFbXB0eU1hcGkiOnRydWUsIlYiOiIwLjAuMDAwMCIsIlAiOiJXaW4zMiIsIkFOIjoiTWFpbCIsIldUIjoyfQ%3D%3D%7C0%7C%7C%7C&amp;sdata=A4Rv4yPieCEbMtJ98dk1C9ixhvowiB6rmJenmMv9Lbo%3D&amp;reserved=0"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os/cce-eicp-gi-18._gees_v.2_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54E930CD-FA60-4E2D-833B-AEE1D84178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14</Pages>
  <Words>4541</Words>
  <Characters>25343</Characters>
  <Application>Microsoft Office Word</Application>
  <DocSecurity>0</DocSecurity>
  <Lines>506</Lines>
  <Paragraphs>103</Paragraphs>
  <ScaleCrop>false</ScaleCrop>
  <Company/>
  <LinksUpToDate>false</LinksUpToDate>
  <CharactersWithSpaces>29781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11</cp:revision>
  <cp:lastPrinted>2023-01-10T21:18:00Z</cp:lastPrinted>
  <dcterms:created xsi:type="dcterms:W3CDTF">2025-12-03T13:14:00Z</dcterms:created>
  <dcterms:modified xsi:type="dcterms:W3CDTF">2025-12-11T14:47:00Z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