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B659A" w14:textId="77777777" w:rsidR="00C1044E" w:rsidRPr="0037437B" w:rsidRDefault="00C1044E" w:rsidP="00C1044E">
      <w:pPr>
        <w:spacing w:after="0"/>
        <w:jc w:val="both"/>
        <w:rPr>
          <w:rFonts w:ascii="Verdana" w:hAnsi="Verdana" w:cs="Arial"/>
          <w:b/>
          <w:bCs/>
          <w:color w:val="000000" w:themeColor="text1"/>
          <w:lang w:val="es-ES"/>
        </w:rPr>
      </w:pPr>
      <w:bookmarkStart w:id="0" w:name="_Hlk143780582"/>
      <w:r w:rsidRPr="0037437B">
        <w:rPr>
          <w:rFonts w:ascii="Verdana" w:hAnsi="Verdana" w:cs="Arial"/>
          <w:b/>
          <w:bCs/>
          <w:color w:val="000000" w:themeColor="text1"/>
          <w:lang w:val="es-ES"/>
        </w:rPr>
        <w:t xml:space="preserve">PRINCIPIO DE ANUALIDAD – Fundamento </w:t>
      </w:r>
    </w:p>
    <w:p w14:paraId="0CB57A86" w14:textId="77777777" w:rsidR="00C1044E" w:rsidRDefault="00C1044E" w:rsidP="00C1044E">
      <w:pPr>
        <w:spacing w:after="0"/>
        <w:jc w:val="both"/>
        <w:rPr>
          <w:rFonts w:ascii="Verdana" w:hAnsi="Verdana" w:cs="Arial"/>
          <w:b/>
          <w:bCs/>
          <w:color w:val="000000" w:themeColor="text1"/>
          <w:lang w:val="es-ES"/>
        </w:rPr>
      </w:pPr>
    </w:p>
    <w:p w14:paraId="292A1549" w14:textId="77777777" w:rsidR="00C1044E" w:rsidRDefault="00C1044E" w:rsidP="00C1044E">
      <w:pPr>
        <w:spacing w:after="0"/>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p>
    <w:p w14:paraId="4E7F6A9C" w14:textId="77777777" w:rsidR="00C1044E" w:rsidRPr="0037437B" w:rsidRDefault="00C1044E" w:rsidP="00C1044E">
      <w:pPr>
        <w:spacing w:after="0"/>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0929BB64" w14:textId="77777777" w:rsidR="00C1044E" w:rsidRPr="0037437B" w:rsidRDefault="00C1044E" w:rsidP="00C1044E">
      <w:pPr>
        <w:spacing w:after="0"/>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2106A134" w14:textId="77777777" w:rsidR="00C1044E" w:rsidRPr="0037437B" w:rsidRDefault="00C1044E" w:rsidP="00C1044E">
      <w:pPr>
        <w:spacing w:after="0"/>
        <w:jc w:val="both"/>
        <w:rPr>
          <w:rFonts w:ascii="Verdana" w:hAnsi="Verdana" w:cs="Arial"/>
          <w:b/>
          <w:bCs/>
          <w:color w:val="000000" w:themeColor="text1"/>
          <w:lang w:val="es-ES_tradnl"/>
        </w:rPr>
      </w:pPr>
    </w:p>
    <w:p w14:paraId="1663125F" w14:textId="77777777" w:rsidR="00C1044E" w:rsidRPr="0037437B" w:rsidRDefault="00C1044E" w:rsidP="00C1044E">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Excepciones </w:t>
      </w:r>
    </w:p>
    <w:p w14:paraId="71C48F1D" w14:textId="77777777" w:rsidR="00C1044E" w:rsidRPr="0037437B" w:rsidRDefault="00C1044E" w:rsidP="00C1044E">
      <w:pPr>
        <w:spacing w:after="0"/>
        <w:jc w:val="both"/>
        <w:rPr>
          <w:rFonts w:ascii="Verdana" w:hAnsi="Verdana" w:cs="Arial"/>
          <w:b/>
          <w:lang w:val="es-ES" w:eastAsia="es-ES"/>
        </w:rPr>
      </w:pPr>
    </w:p>
    <w:p w14:paraId="1CB34C1D" w14:textId="77777777" w:rsidR="00C1044E" w:rsidRPr="0037437B" w:rsidRDefault="00C1044E" w:rsidP="00C1044E">
      <w:pPr>
        <w:spacing w:after="0"/>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ii) las cuentas por pagar y iii)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257BC2B0" w14:textId="77777777" w:rsidR="00C1044E" w:rsidRPr="0037437B" w:rsidRDefault="00C1044E" w:rsidP="00C1044E">
      <w:pPr>
        <w:spacing w:after="0"/>
        <w:jc w:val="both"/>
        <w:rPr>
          <w:rFonts w:ascii="Verdana" w:hAnsi="Verdana" w:cs="Arial"/>
          <w:b/>
          <w:lang w:val="es-ES_tradnl" w:eastAsia="es-ES"/>
        </w:rPr>
      </w:pPr>
    </w:p>
    <w:p w14:paraId="17E89EB9" w14:textId="77777777" w:rsidR="00C1044E" w:rsidRPr="0037437B" w:rsidRDefault="00C1044E" w:rsidP="00C1044E">
      <w:pPr>
        <w:spacing w:after="0"/>
        <w:jc w:val="both"/>
        <w:rPr>
          <w:rFonts w:ascii="Verdana" w:hAnsi="Verdana" w:cs="Arial"/>
          <w:b/>
          <w:lang w:val="es-ES" w:eastAsia="es-ES"/>
        </w:rPr>
      </w:pPr>
      <w:r w:rsidRPr="0037437B">
        <w:rPr>
          <w:rFonts w:ascii="Verdana" w:hAnsi="Verdana" w:cs="Arial"/>
          <w:b/>
          <w:lang w:val="es-ES" w:eastAsia="es-ES"/>
        </w:rPr>
        <w:t xml:space="preserve">VIGENCIAS FUTURAS – Tipos </w:t>
      </w:r>
    </w:p>
    <w:p w14:paraId="521DEF4E" w14:textId="77777777" w:rsidR="00C1044E" w:rsidRDefault="00C1044E" w:rsidP="00C1044E">
      <w:pPr>
        <w:spacing w:after="0"/>
        <w:jc w:val="both"/>
        <w:rPr>
          <w:rFonts w:ascii="Verdana" w:hAnsi="Verdana" w:cs="Arial"/>
          <w:lang w:val="es-ES" w:eastAsia="es-ES"/>
        </w:rPr>
      </w:pPr>
    </w:p>
    <w:p w14:paraId="617263D8" w14:textId="77777777" w:rsidR="00C1044E" w:rsidRPr="0037437B" w:rsidRDefault="00C1044E" w:rsidP="00C1044E">
      <w:pPr>
        <w:spacing w:after="0" w:line="240" w:lineRule="auto"/>
        <w:jc w:val="both"/>
        <w:rPr>
          <w:rFonts w:ascii="Verdana" w:hAnsi="Verdana" w:cs="Arial"/>
          <w:sz w:val="20"/>
          <w:lang w:eastAsia="es-ES"/>
        </w:rPr>
      </w:pPr>
      <w:r w:rsidRPr="0037437B">
        <w:rPr>
          <w:rFonts w:ascii="Verdana" w:hAnsi="Verdana" w:cs="Arial"/>
          <w:sz w:val="20"/>
          <w:lang w:eastAsia="es-ES"/>
        </w:rPr>
        <w:lastRenderedPageBreak/>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7C6D2D82" w14:textId="77777777" w:rsidR="00C1044E" w:rsidRPr="0037437B" w:rsidRDefault="00C1044E" w:rsidP="00C1044E">
      <w:pPr>
        <w:spacing w:after="0" w:line="240" w:lineRule="auto"/>
        <w:jc w:val="both"/>
        <w:rPr>
          <w:rFonts w:ascii="Verdana" w:hAnsi="Verdana" w:cs="Arial"/>
          <w:sz w:val="20"/>
          <w:lang w:eastAsia="es-ES"/>
        </w:rPr>
      </w:pPr>
    </w:p>
    <w:p w14:paraId="0377BE7B" w14:textId="77777777" w:rsidR="00C1044E" w:rsidRPr="0037437B" w:rsidRDefault="00C1044E" w:rsidP="00C1044E">
      <w:pPr>
        <w:spacing w:after="0" w:line="240" w:lineRule="auto"/>
        <w:jc w:val="both"/>
        <w:rPr>
          <w:rFonts w:ascii="Verdana" w:hAnsi="Verdana" w:cs="Arial"/>
          <w:sz w:val="20"/>
          <w:lang w:eastAsia="es-ES"/>
        </w:rPr>
      </w:pPr>
      <w:r w:rsidRPr="0037437B">
        <w:rPr>
          <w:rFonts w:ascii="Verdana" w:hAnsi="Verdana" w:cs="Arial"/>
          <w:sz w:val="20"/>
          <w:lang w:eastAsia="es-ES"/>
        </w:rPr>
        <w:t xml:space="preserve">Por su parte, el artículo 12 </w:t>
      </w:r>
      <w:r w:rsidRPr="0037437B">
        <w:rPr>
          <w:rFonts w:ascii="Verdana" w:hAnsi="Verdana" w:cs="Arial"/>
          <w:i/>
          <w:iCs/>
          <w:sz w:val="20"/>
          <w:lang w:eastAsia="es-ES"/>
        </w:rPr>
        <w:t>ibidem</w:t>
      </w:r>
      <w:r w:rsidRPr="0037437B">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23D317AD" w14:textId="77777777" w:rsidR="00C1044E" w:rsidRPr="0037437B" w:rsidRDefault="00C1044E" w:rsidP="00C1044E">
      <w:pPr>
        <w:spacing w:after="0" w:line="240" w:lineRule="auto"/>
        <w:jc w:val="both"/>
        <w:rPr>
          <w:rFonts w:ascii="Verdana" w:hAnsi="Verdana" w:cs="Arial"/>
          <w:sz w:val="20"/>
          <w:lang w:eastAsia="es-ES"/>
        </w:rPr>
      </w:pPr>
    </w:p>
    <w:p w14:paraId="74401B04" w14:textId="77777777" w:rsidR="00C1044E" w:rsidRDefault="00C1044E" w:rsidP="00C1044E">
      <w:pPr>
        <w:spacing w:after="0" w:line="240" w:lineRule="auto"/>
        <w:jc w:val="both"/>
        <w:rPr>
          <w:rFonts w:ascii="Verdana" w:hAnsi="Verdana" w:cs="Arial"/>
          <w:sz w:val="20"/>
          <w:lang w:val="es-ES" w:eastAsia="es-ES"/>
        </w:rPr>
      </w:pPr>
    </w:p>
    <w:p w14:paraId="5A595A1E" w14:textId="77777777" w:rsidR="00C1044E" w:rsidRDefault="00C1044E" w:rsidP="00C1044E">
      <w:pPr>
        <w:spacing w:after="0" w:line="240" w:lineRule="auto"/>
        <w:jc w:val="both"/>
        <w:rPr>
          <w:rFonts w:ascii="Verdana" w:hAnsi="Verdana" w:cs="Arial"/>
          <w:sz w:val="20"/>
          <w:lang w:val="es-ES" w:eastAsia="es-ES"/>
        </w:rPr>
      </w:pPr>
    </w:p>
    <w:p w14:paraId="30E31FDE" w14:textId="77777777" w:rsidR="00C1044E" w:rsidRDefault="00C1044E" w:rsidP="00C1044E">
      <w:pPr>
        <w:spacing w:after="0" w:line="240" w:lineRule="auto"/>
        <w:jc w:val="both"/>
        <w:rPr>
          <w:rFonts w:ascii="Verdana" w:hAnsi="Verdana" w:cs="Arial"/>
          <w:sz w:val="20"/>
          <w:lang w:val="es-ES" w:eastAsia="es-ES"/>
        </w:rPr>
      </w:pPr>
    </w:p>
    <w:p w14:paraId="29FF10BD" w14:textId="77777777" w:rsidR="00C1044E" w:rsidRDefault="00C1044E" w:rsidP="00C15139">
      <w:pPr>
        <w:spacing w:after="0"/>
        <w:rPr>
          <w:rFonts w:ascii="Verdana" w:hAnsi="Verdana"/>
        </w:rPr>
      </w:pPr>
    </w:p>
    <w:p w14:paraId="4BBC62AD" w14:textId="77777777" w:rsidR="00C1044E" w:rsidRDefault="00C1044E" w:rsidP="00C15139">
      <w:pPr>
        <w:spacing w:after="0"/>
        <w:rPr>
          <w:rFonts w:ascii="Verdana" w:hAnsi="Verdana"/>
        </w:rPr>
      </w:pPr>
    </w:p>
    <w:p w14:paraId="610CA6D1" w14:textId="77777777" w:rsidR="00C1044E" w:rsidRDefault="00C1044E" w:rsidP="00C15139">
      <w:pPr>
        <w:spacing w:after="0"/>
        <w:rPr>
          <w:rFonts w:ascii="Verdana" w:hAnsi="Verdana"/>
        </w:rPr>
      </w:pPr>
    </w:p>
    <w:p w14:paraId="6F8F3DC8" w14:textId="77777777" w:rsidR="00C1044E" w:rsidRDefault="00C1044E" w:rsidP="00C15139">
      <w:pPr>
        <w:spacing w:after="0"/>
        <w:rPr>
          <w:rFonts w:ascii="Verdana" w:hAnsi="Verdana"/>
        </w:rPr>
      </w:pPr>
    </w:p>
    <w:p w14:paraId="334DDB5D" w14:textId="77777777" w:rsidR="00C1044E" w:rsidRDefault="00C1044E" w:rsidP="00C15139">
      <w:pPr>
        <w:spacing w:after="0"/>
        <w:rPr>
          <w:rFonts w:ascii="Verdana" w:hAnsi="Verdana"/>
        </w:rPr>
      </w:pPr>
    </w:p>
    <w:p w14:paraId="11D40E59" w14:textId="77777777" w:rsidR="00C1044E" w:rsidRDefault="00C1044E" w:rsidP="00C15139">
      <w:pPr>
        <w:spacing w:after="0"/>
        <w:rPr>
          <w:rFonts w:ascii="Verdana" w:hAnsi="Verdana"/>
        </w:rPr>
      </w:pPr>
    </w:p>
    <w:p w14:paraId="52B1E404" w14:textId="77777777" w:rsidR="00C1044E" w:rsidRDefault="00C1044E" w:rsidP="00C15139">
      <w:pPr>
        <w:spacing w:after="0"/>
        <w:rPr>
          <w:rFonts w:ascii="Verdana" w:hAnsi="Verdana"/>
        </w:rPr>
      </w:pPr>
    </w:p>
    <w:p w14:paraId="4C1884E9" w14:textId="77777777" w:rsidR="00C1044E" w:rsidRDefault="00C1044E" w:rsidP="00C15139">
      <w:pPr>
        <w:spacing w:after="0"/>
        <w:rPr>
          <w:rFonts w:ascii="Verdana" w:hAnsi="Verdana"/>
        </w:rPr>
      </w:pPr>
    </w:p>
    <w:p w14:paraId="67F496D4" w14:textId="77777777" w:rsidR="00C1044E" w:rsidRDefault="00C1044E" w:rsidP="00C15139">
      <w:pPr>
        <w:spacing w:after="0"/>
        <w:rPr>
          <w:rFonts w:ascii="Verdana" w:hAnsi="Verdana"/>
        </w:rPr>
      </w:pPr>
    </w:p>
    <w:p w14:paraId="381FD264" w14:textId="77777777" w:rsidR="00C1044E" w:rsidRDefault="00C1044E" w:rsidP="00C15139">
      <w:pPr>
        <w:spacing w:after="0"/>
        <w:rPr>
          <w:rFonts w:ascii="Verdana" w:hAnsi="Verdana"/>
        </w:rPr>
      </w:pPr>
    </w:p>
    <w:p w14:paraId="532AC118" w14:textId="77777777" w:rsidR="00C1044E" w:rsidRDefault="00C1044E" w:rsidP="00C15139">
      <w:pPr>
        <w:spacing w:after="0"/>
        <w:rPr>
          <w:rFonts w:ascii="Verdana" w:hAnsi="Verdana"/>
        </w:rPr>
      </w:pPr>
    </w:p>
    <w:p w14:paraId="3E04C7E3" w14:textId="77777777" w:rsidR="00C1044E" w:rsidRDefault="00C1044E" w:rsidP="00C15139">
      <w:pPr>
        <w:spacing w:after="0"/>
        <w:rPr>
          <w:rFonts w:ascii="Verdana" w:hAnsi="Verdana"/>
        </w:rPr>
      </w:pPr>
    </w:p>
    <w:p w14:paraId="2228C23A" w14:textId="77777777" w:rsidR="00C1044E" w:rsidRDefault="00C1044E" w:rsidP="00C15139">
      <w:pPr>
        <w:spacing w:after="0"/>
        <w:rPr>
          <w:rFonts w:ascii="Verdana" w:hAnsi="Verdana"/>
        </w:rPr>
      </w:pPr>
    </w:p>
    <w:p w14:paraId="460D91A0" w14:textId="77777777" w:rsidR="00C1044E" w:rsidRDefault="00C1044E" w:rsidP="00C15139">
      <w:pPr>
        <w:spacing w:after="0"/>
        <w:rPr>
          <w:rFonts w:ascii="Verdana" w:hAnsi="Verdana"/>
        </w:rPr>
      </w:pPr>
    </w:p>
    <w:p w14:paraId="23F425C2" w14:textId="77777777" w:rsidR="00C1044E" w:rsidRDefault="00C1044E" w:rsidP="00C15139">
      <w:pPr>
        <w:spacing w:after="0"/>
        <w:rPr>
          <w:rFonts w:ascii="Verdana" w:hAnsi="Verdana"/>
        </w:rPr>
      </w:pPr>
    </w:p>
    <w:p w14:paraId="418FA0F6" w14:textId="77777777" w:rsidR="00C1044E" w:rsidRDefault="00C1044E" w:rsidP="00C15139">
      <w:pPr>
        <w:spacing w:after="0"/>
        <w:rPr>
          <w:rFonts w:ascii="Verdana" w:hAnsi="Verdana"/>
        </w:rPr>
      </w:pPr>
    </w:p>
    <w:p w14:paraId="3D785D5A" w14:textId="77777777" w:rsidR="00C1044E" w:rsidRDefault="00C1044E" w:rsidP="00C15139">
      <w:pPr>
        <w:spacing w:after="0"/>
        <w:rPr>
          <w:rFonts w:ascii="Verdana" w:hAnsi="Verdana"/>
        </w:rPr>
      </w:pPr>
    </w:p>
    <w:p w14:paraId="6027B65D" w14:textId="77777777" w:rsidR="00C1044E" w:rsidRDefault="00C1044E" w:rsidP="00C15139">
      <w:pPr>
        <w:spacing w:after="0"/>
        <w:rPr>
          <w:rFonts w:ascii="Verdana" w:hAnsi="Verdana"/>
        </w:rPr>
      </w:pPr>
    </w:p>
    <w:p w14:paraId="07E89ACF" w14:textId="77777777" w:rsidR="00C1044E" w:rsidRDefault="00C1044E" w:rsidP="00C15139">
      <w:pPr>
        <w:spacing w:after="0"/>
        <w:rPr>
          <w:rFonts w:ascii="Verdana" w:hAnsi="Verdana"/>
        </w:rPr>
      </w:pPr>
    </w:p>
    <w:p w14:paraId="1468C46D" w14:textId="6E8BE54D" w:rsidR="00C15139" w:rsidRPr="0024624F" w:rsidRDefault="00C15139" w:rsidP="00C15139">
      <w:pPr>
        <w:spacing w:after="0"/>
        <w:rPr>
          <w:rFonts w:ascii="Verdana" w:hAnsi="Verdana"/>
        </w:rPr>
      </w:pPr>
      <w:r w:rsidRPr="0024624F">
        <w:rPr>
          <w:rFonts w:ascii="Verdana" w:hAnsi="Verdana"/>
        </w:rPr>
        <w:lastRenderedPageBreak/>
        <w:t xml:space="preserve">Bogotá D.C., </w:t>
      </w:r>
      <w:r w:rsidR="00011AF1">
        <w:rPr>
          <w:rFonts w:ascii="Verdana" w:hAnsi="Verdana"/>
        </w:rPr>
        <w:t>4 de diciembre de 2025</w:t>
      </w:r>
      <w:r w:rsidRPr="000E2B93">
        <w:rPr>
          <w:rFonts w:ascii="Verdana" w:hAnsi="Verdana"/>
        </w:rPr>
        <w:tab/>
      </w:r>
      <w:r w:rsidRPr="000E2B93">
        <w:rPr>
          <w:rFonts w:ascii="Verdana" w:hAnsi="Verdana"/>
        </w:rPr>
        <w:br/>
      </w:r>
      <w:r w:rsidRPr="0024624F">
        <w:rPr>
          <w:rFonts w:ascii="Verdana" w:hAnsi="Verdana"/>
        </w:rPr>
        <w:tab/>
      </w:r>
    </w:p>
    <w:p w14:paraId="55E44B94" w14:textId="4C6132A6" w:rsidR="000146CB" w:rsidRDefault="00011AF1" w:rsidP="000146CB">
      <w:pPr>
        <w:spacing w:after="0" w:line="240" w:lineRule="auto"/>
        <w:jc w:val="both"/>
        <w:rPr>
          <w:rFonts w:ascii="Verdana" w:hAnsi="Verdana" w:cs="Arial"/>
          <w:sz w:val="20"/>
          <w:lang w:val="es-ES" w:eastAsia="es-ES"/>
        </w:rPr>
      </w:pPr>
      <w:r w:rsidRPr="00011AF1">
        <w:rPr>
          <w:rFonts w:ascii="Verdana" w:hAnsi="Verdana"/>
          <w:noProof/>
        </w:rPr>
        <w:drawing>
          <wp:anchor distT="0" distB="0" distL="114300" distR="114300" simplePos="0" relativeHeight="251658240" behindDoc="1" locked="0" layoutInCell="1" allowOverlap="1" wp14:anchorId="32E02B53" wp14:editId="46036675">
            <wp:simplePos x="0" y="0"/>
            <wp:positionH relativeFrom="column">
              <wp:posOffset>2615565</wp:posOffset>
            </wp:positionH>
            <wp:positionV relativeFrom="paragraph">
              <wp:posOffset>36830</wp:posOffset>
            </wp:positionV>
            <wp:extent cx="3143250" cy="1038225"/>
            <wp:effectExtent l="0" t="0" r="0" b="9525"/>
            <wp:wrapNone/>
            <wp:docPr id="8753672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367290" name=""/>
                    <pic:cNvPicPr/>
                  </pic:nvPicPr>
                  <pic:blipFill>
                    <a:blip r:embed="rId11">
                      <a:extLst>
                        <a:ext uri="{28A0092B-C50C-407E-A947-70E740481C1C}">
                          <a14:useLocalDpi xmlns:a14="http://schemas.microsoft.com/office/drawing/2010/main" val="0"/>
                        </a:ext>
                      </a:extLst>
                    </a:blip>
                    <a:stretch>
                      <a:fillRect/>
                    </a:stretch>
                  </pic:blipFill>
                  <pic:spPr>
                    <a:xfrm>
                      <a:off x="0" y="0"/>
                      <a:ext cx="3143250" cy="1038225"/>
                    </a:xfrm>
                    <a:prstGeom prst="rect">
                      <a:avLst/>
                    </a:prstGeom>
                  </pic:spPr>
                </pic:pic>
              </a:graphicData>
            </a:graphic>
          </wp:anchor>
        </w:drawing>
      </w:r>
    </w:p>
    <w:p w14:paraId="5D16F891" w14:textId="2800F4B8" w:rsidR="000146CB" w:rsidRPr="00A473DB" w:rsidRDefault="000146CB" w:rsidP="00A473DB">
      <w:pPr>
        <w:spacing w:after="0" w:line="240" w:lineRule="auto"/>
        <w:jc w:val="both"/>
        <w:rPr>
          <w:rFonts w:ascii="Verdana" w:eastAsia="Calibri" w:hAnsi="Verdana" w:cs="Arial"/>
          <w:lang w:val="en-US" w:eastAsia="es-ES"/>
        </w:rPr>
      </w:pPr>
      <w:r w:rsidRPr="00A473DB">
        <w:rPr>
          <w:rFonts w:ascii="Verdana" w:eastAsia="Calibri" w:hAnsi="Verdana" w:cs="Arial"/>
          <w:lang w:val="en-US" w:eastAsia="es-ES"/>
        </w:rPr>
        <w:t>Señora</w:t>
      </w:r>
    </w:p>
    <w:p w14:paraId="554AAF96" w14:textId="09B24819" w:rsidR="000146CB" w:rsidRPr="00A473DB" w:rsidRDefault="000146CB" w:rsidP="00A473DB">
      <w:pPr>
        <w:spacing w:after="0" w:line="240" w:lineRule="auto"/>
        <w:jc w:val="both"/>
        <w:rPr>
          <w:rFonts w:ascii="Verdana" w:eastAsia="Calibri" w:hAnsi="Verdana" w:cs="Arial"/>
          <w:b/>
          <w:lang w:val="en-US" w:eastAsia="es-ES_tradnl"/>
        </w:rPr>
      </w:pPr>
      <w:r w:rsidRPr="00A473DB">
        <w:rPr>
          <w:rFonts w:ascii="Verdana" w:eastAsia="Calibri" w:hAnsi="Verdana" w:cs="Arial"/>
          <w:b/>
          <w:lang w:val="en-US" w:eastAsia="es-ES_tradnl"/>
        </w:rPr>
        <w:t>Leidy Juliet Suárez Fernandez</w:t>
      </w:r>
    </w:p>
    <w:p w14:paraId="2D3EF053" w14:textId="77777777" w:rsidR="000146CB" w:rsidRPr="00A473DB" w:rsidRDefault="000146CB" w:rsidP="00A473DB">
      <w:pPr>
        <w:spacing w:after="0" w:line="240" w:lineRule="auto"/>
        <w:jc w:val="both"/>
        <w:rPr>
          <w:rFonts w:ascii="Verdana" w:hAnsi="Verdana"/>
          <w:b/>
          <w:bCs/>
          <w:lang w:val="en-US"/>
        </w:rPr>
      </w:pPr>
      <w:hyperlink r:id="rId12" w:history="1">
        <w:r w:rsidRPr="00A473DB">
          <w:rPr>
            <w:rStyle w:val="Hipervnculo"/>
            <w:rFonts w:ascii="Verdana" w:hAnsi="Verdana"/>
          </w:rPr>
          <w:t>diraseguramiento@cajica.gov.co</w:t>
        </w:r>
      </w:hyperlink>
    </w:p>
    <w:p w14:paraId="62966A08" w14:textId="5B43A015" w:rsidR="000146CB" w:rsidRDefault="000146CB" w:rsidP="00A473DB">
      <w:pPr>
        <w:spacing w:after="0" w:line="240" w:lineRule="auto"/>
        <w:jc w:val="both"/>
        <w:rPr>
          <w:rFonts w:ascii="Verdana" w:hAnsi="Verdana"/>
        </w:rPr>
      </w:pPr>
      <w:r w:rsidRPr="00A473DB">
        <w:rPr>
          <w:rFonts w:ascii="Verdana" w:hAnsi="Verdana"/>
        </w:rPr>
        <w:t>Cajicá, Cundinamarca</w:t>
      </w:r>
    </w:p>
    <w:p w14:paraId="311F6069" w14:textId="77777777" w:rsidR="000B429D" w:rsidRPr="00A473DB" w:rsidRDefault="000B429D" w:rsidP="00A473DB">
      <w:pPr>
        <w:spacing w:after="0" w:line="240" w:lineRule="auto"/>
        <w:jc w:val="both"/>
        <w:rPr>
          <w:rFonts w:ascii="Verdana" w:hAnsi="Verdana"/>
        </w:rPr>
      </w:pPr>
    </w:p>
    <w:p w14:paraId="08475260" w14:textId="1C41562C" w:rsidR="000146CB" w:rsidRPr="00A473DB" w:rsidRDefault="000146CB" w:rsidP="00022FC1">
      <w:pPr>
        <w:spacing w:after="0" w:line="240" w:lineRule="auto"/>
        <w:jc w:val="both"/>
        <w:rPr>
          <w:rFonts w:ascii="Verdana" w:eastAsia="Calibri" w:hAnsi="Verdana" w:cs="Times New Roman"/>
        </w:rPr>
      </w:pPr>
      <w:r w:rsidRPr="00A473DB">
        <w:rPr>
          <w:rFonts w:ascii="Verdana" w:hAnsi="Verdana"/>
        </w:rPr>
        <w:t xml:space="preserve"> </w:t>
      </w:r>
    </w:p>
    <w:p w14:paraId="332FE778" w14:textId="77777777" w:rsidR="000146CB" w:rsidRPr="00A473DB" w:rsidRDefault="000146CB" w:rsidP="00A473DB">
      <w:pPr>
        <w:spacing w:after="0" w:line="240" w:lineRule="auto"/>
        <w:rPr>
          <w:rFonts w:ascii="Verdana" w:eastAsia="Calibri" w:hAnsi="Verdana" w:cs="Times New Roman"/>
          <w:b/>
          <w:bCs/>
          <w:lang w:val="es-ES"/>
        </w:rPr>
      </w:pPr>
      <w:r w:rsidRPr="00A473DB">
        <w:rPr>
          <w:rFonts w:ascii="Verdana" w:eastAsia="Calibri" w:hAnsi="Verdana" w:cs="Times New Roman"/>
          <w:b/>
          <w:bCs/>
          <w:lang w:val="es-ES"/>
        </w:rPr>
        <w:t xml:space="preserve">                                    Concepto C–1557 de 2025</w:t>
      </w:r>
    </w:p>
    <w:p w14:paraId="4FCFC215" w14:textId="77777777" w:rsidR="000146CB" w:rsidRPr="00A473DB" w:rsidRDefault="000146CB" w:rsidP="00A473DB">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146CB" w:rsidRPr="00A473DB" w14:paraId="4836D6B0" w14:textId="77777777">
        <w:trPr>
          <w:trHeight w:val="80"/>
        </w:trPr>
        <w:tc>
          <w:tcPr>
            <w:tcW w:w="2685" w:type="dxa"/>
            <w:hideMark/>
          </w:tcPr>
          <w:p w14:paraId="70557126" w14:textId="77777777" w:rsidR="000146CB" w:rsidRPr="00A473DB" w:rsidRDefault="000146CB" w:rsidP="00935522">
            <w:pPr>
              <w:rPr>
                <w:rFonts w:ascii="Verdana" w:hAnsi="Verdana"/>
                <w:b/>
                <w:bCs/>
                <w:lang w:val="es-ES_tradnl"/>
              </w:rPr>
            </w:pPr>
            <w:r w:rsidRPr="00A473DB">
              <w:rPr>
                <w:rFonts w:ascii="Verdana" w:hAnsi="Verdana"/>
                <w:b/>
                <w:bCs/>
                <w:lang w:val="es-ES_tradnl"/>
              </w:rPr>
              <w:t xml:space="preserve">Temas:                   </w:t>
            </w:r>
          </w:p>
        </w:tc>
        <w:tc>
          <w:tcPr>
            <w:tcW w:w="6241" w:type="dxa"/>
            <w:hideMark/>
          </w:tcPr>
          <w:p w14:paraId="18E2B0A0" w14:textId="11939DFE" w:rsidR="000146CB" w:rsidRPr="00A473DB" w:rsidRDefault="000146CB">
            <w:pPr>
              <w:jc w:val="both"/>
              <w:rPr>
                <w:rFonts w:ascii="Verdana" w:hAnsi="Verdana" w:cs="Arial"/>
                <w:lang w:val="es-ES" w:eastAsia="es-ES"/>
              </w:rPr>
            </w:pPr>
            <w:r w:rsidRPr="00A473DB">
              <w:rPr>
                <w:rFonts w:ascii="Verdana" w:hAnsi="Verdana" w:cs="Arial"/>
                <w:bCs/>
                <w:color w:val="000000" w:themeColor="text1"/>
                <w:lang w:val="es-ES"/>
              </w:rPr>
              <w:t>PRINCIPIO DE ANUALIDAD – Fundamento / PRINCIPIO DE ANUALIDAD</w:t>
            </w:r>
            <w:r w:rsidRPr="00A473DB">
              <w:rPr>
                <w:rFonts w:ascii="Verdana" w:hAnsi="Verdana" w:cs="Arial"/>
                <w:lang w:val="es-ES" w:eastAsia="es-ES"/>
              </w:rPr>
              <w:t xml:space="preserve"> – Excepciones / VIGENCIAS FUTURAS – Tipos</w:t>
            </w:r>
          </w:p>
          <w:p w14:paraId="4B9E9A4E" w14:textId="77777777" w:rsidR="000146CB" w:rsidRPr="00A473DB" w:rsidRDefault="000146CB" w:rsidP="00022FC1">
            <w:pPr>
              <w:jc w:val="both"/>
              <w:rPr>
                <w:rFonts w:ascii="Verdana" w:hAnsi="Verdana"/>
                <w:lang w:val="es-MX"/>
              </w:rPr>
            </w:pPr>
          </w:p>
          <w:p w14:paraId="1E92744F" w14:textId="77777777" w:rsidR="000146CB" w:rsidRPr="00A473DB" w:rsidRDefault="000146CB" w:rsidP="00022FC1">
            <w:pPr>
              <w:jc w:val="both"/>
              <w:rPr>
                <w:rFonts w:ascii="Verdana" w:hAnsi="Verdana"/>
                <w:lang w:val="es-MX"/>
              </w:rPr>
            </w:pPr>
          </w:p>
        </w:tc>
        <w:tc>
          <w:tcPr>
            <w:tcW w:w="6237" w:type="dxa"/>
          </w:tcPr>
          <w:p w14:paraId="7384C999" w14:textId="77777777" w:rsidR="000146CB" w:rsidRPr="00A473DB" w:rsidRDefault="000146CB" w:rsidP="00A473DB">
            <w:pPr>
              <w:rPr>
                <w:rFonts w:ascii="Verdana" w:hAnsi="Verdana"/>
              </w:rPr>
            </w:pPr>
          </w:p>
        </w:tc>
      </w:tr>
    </w:tbl>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0146CB" w:rsidRPr="00A473DB" w14:paraId="5FCE85A3" w14:textId="77777777" w:rsidTr="0052341E">
        <w:tc>
          <w:tcPr>
            <w:tcW w:w="2694" w:type="dxa"/>
          </w:tcPr>
          <w:p w14:paraId="7AD6EB2F" w14:textId="77777777" w:rsidR="000146CB" w:rsidRPr="00A473DB" w:rsidRDefault="000146CB" w:rsidP="00A473DB">
            <w:pPr>
              <w:jc w:val="both"/>
              <w:rPr>
                <w:rFonts w:ascii="Verdana" w:eastAsia="Calibri" w:hAnsi="Verdana" w:cs="Arial"/>
                <w:b/>
                <w:lang w:eastAsia="es-ES_tradnl"/>
              </w:rPr>
            </w:pPr>
            <w:r w:rsidRPr="00A473DB">
              <w:rPr>
                <w:rFonts w:ascii="Verdana" w:eastAsia="Calibri" w:hAnsi="Verdana" w:cs="Arial"/>
                <w:b/>
                <w:lang w:eastAsia="es-ES_tradnl"/>
              </w:rPr>
              <w:t>Radicación:</w:t>
            </w:r>
            <w:r w:rsidRPr="00A473DB">
              <w:rPr>
                <w:rFonts w:ascii="Verdana" w:eastAsia="Calibri" w:hAnsi="Verdana" w:cs="Arial"/>
                <w:lang w:eastAsia="es-ES_tradnl"/>
              </w:rPr>
              <w:t xml:space="preserve">               </w:t>
            </w:r>
          </w:p>
        </w:tc>
        <w:tc>
          <w:tcPr>
            <w:tcW w:w="6095" w:type="dxa"/>
          </w:tcPr>
          <w:p w14:paraId="220974B2" w14:textId="6BAE7D49" w:rsidR="000146CB" w:rsidRPr="00A473DB" w:rsidRDefault="000146CB" w:rsidP="00A473DB">
            <w:pPr>
              <w:jc w:val="both"/>
              <w:rPr>
                <w:rFonts w:ascii="Verdana" w:eastAsia="Calibri" w:hAnsi="Verdana" w:cs="Arial"/>
                <w:lang w:eastAsia="es-ES_tradnl"/>
              </w:rPr>
            </w:pPr>
            <w:r w:rsidRPr="00A473DB">
              <w:rPr>
                <w:rFonts w:ascii="Verdana" w:eastAsia="Calibri" w:hAnsi="Verdana" w:cs="Arial"/>
                <w:lang w:eastAsia="es-ES_tradnl"/>
              </w:rPr>
              <w:t>Respuesta a consulta con radicado 1_2025_10_24_011955</w:t>
            </w:r>
          </w:p>
        </w:tc>
      </w:tr>
    </w:tbl>
    <w:p w14:paraId="10E9A82B" w14:textId="23CE14FC" w:rsidR="000146CB" w:rsidRDefault="000146CB" w:rsidP="00A473DB">
      <w:pPr>
        <w:spacing w:after="0" w:line="240" w:lineRule="auto"/>
        <w:jc w:val="both"/>
        <w:rPr>
          <w:rFonts w:ascii="Verdana" w:eastAsia="Calibri" w:hAnsi="Verdana" w:cs="Arial"/>
          <w:lang w:eastAsia="es-ES_tradnl"/>
        </w:rPr>
      </w:pPr>
    </w:p>
    <w:p w14:paraId="3407DBFE" w14:textId="77777777" w:rsidR="00A473DB" w:rsidRPr="00A473DB" w:rsidRDefault="00A473DB" w:rsidP="00022FC1">
      <w:pPr>
        <w:spacing w:after="0" w:line="240" w:lineRule="auto"/>
        <w:jc w:val="both"/>
        <w:rPr>
          <w:rFonts w:ascii="Verdana" w:eastAsia="Calibri" w:hAnsi="Verdana" w:cs="Arial"/>
          <w:lang w:eastAsia="es-ES_tradnl"/>
        </w:rPr>
      </w:pPr>
    </w:p>
    <w:p w14:paraId="6EE526F3" w14:textId="77777777" w:rsidR="000146CB" w:rsidRDefault="000146CB" w:rsidP="00A473DB">
      <w:pPr>
        <w:spacing w:after="0" w:line="276" w:lineRule="auto"/>
        <w:jc w:val="both"/>
        <w:rPr>
          <w:rFonts w:ascii="Verdana" w:eastAsia="Calibri" w:hAnsi="Verdana" w:cs="Arial"/>
          <w:lang w:eastAsia="es-ES"/>
        </w:rPr>
      </w:pPr>
      <w:r w:rsidRPr="007967F8">
        <w:rPr>
          <w:rFonts w:ascii="Verdana" w:eastAsia="Calibri" w:hAnsi="Verdana" w:cs="Arial"/>
          <w:lang w:eastAsia="es-ES"/>
        </w:rPr>
        <w:t>Estimad</w:t>
      </w:r>
      <w:r>
        <w:rPr>
          <w:rFonts w:ascii="Verdana" w:eastAsia="Calibri" w:hAnsi="Verdana" w:cs="Arial"/>
          <w:lang w:eastAsia="es-ES"/>
        </w:rPr>
        <w:t>a</w:t>
      </w:r>
      <w:r w:rsidRPr="007967F8">
        <w:rPr>
          <w:rFonts w:ascii="Verdana" w:eastAsia="Calibri" w:hAnsi="Verdana" w:cs="Arial"/>
          <w:lang w:eastAsia="es-ES"/>
        </w:rPr>
        <w:t xml:space="preserve"> señor</w:t>
      </w:r>
      <w:r>
        <w:rPr>
          <w:rFonts w:ascii="Verdana" w:eastAsia="Calibri" w:hAnsi="Verdana" w:cs="Arial"/>
          <w:lang w:eastAsia="es-ES"/>
        </w:rPr>
        <w:t>a Suárez:</w:t>
      </w:r>
    </w:p>
    <w:p w14:paraId="6814345B" w14:textId="77777777" w:rsidR="000146CB" w:rsidRPr="00FF007A" w:rsidRDefault="000146CB" w:rsidP="00A473DB">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p w14:paraId="6A297F77" w14:textId="791A7F27" w:rsidR="000146CB" w:rsidRDefault="000146CB" w:rsidP="00A473DB">
      <w:pPr>
        <w:tabs>
          <w:tab w:val="left" w:pos="3768"/>
        </w:tabs>
        <w:spacing w:after="0" w:line="276" w:lineRule="auto"/>
        <w:jc w:val="both"/>
        <w:rPr>
          <w:rFonts w:ascii="Verdana" w:eastAsia="Calibri" w:hAnsi="Verdana" w:cs="Arial"/>
          <w:lang w:eastAsia="es-ES"/>
        </w:rPr>
      </w:pPr>
      <w:r w:rsidRPr="001D531A">
        <w:rPr>
          <w:rFonts w:ascii="Verdana" w:eastAsia="Calibri" w:hAnsi="Verdana" w:cs="Arial"/>
          <w:lang w:eastAsia="es-ES"/>
        </w:rPr>
        <w:t>En ejercicio de la competencia otorgada por los artículos 3, numeral 5º, y 11, numeral 8º, del Decreto Ley 4170 de 2011, así como lo establecido por la Resolución 469 de 2025 expedida por esta Entidad, la Agencia Nacional de Contratación Pública – Colombia Compra Eficiente–</w:t>
      </w:r>
      <w:r>
        <w:rPr>
          <w:rFonts w:ascii="Verdana" w:eastAsia="Calibri" w:hAnsi="Verdana" w:cs="Arial"/>
          <w:lang w:eastAsia="es-ES"/>
        </w:rPr>
        <w:t xml:space="preserve"> </w:t>
      </w:r>
      <w:r w:rsidRPr="00E05649">
        <w:rPr>
          <w:rFonts w:ascii="Verdana" w:eastAsia="Calibri" w:hAnsi="Verdana" w:cs="Arial"/>
          <w:lang w:eastAsia="es-ES"/>
        </w:rPr>
        <w:t xml:space="preserve">responde su solicitud de consulta de fecha </w:t>
      </w:r>
      <w:r>
        <w:rPr>
          <w:rFonts w:ascii="Verdana" w:eastAsia="Calibri" w:hAnsi="Verdana" w:cs="Arial"/>
          <w:lang w:eastAsia="es-ES"/>
        </w:rPr>
        <w:t xml:space="preserve">6 de octubre de 2025, previamente trasladada por parte del Ministerio de Salud y Protección Social mediante radicado </w:t>
      </w:r>
      <w:r w:rsidRPr="00F60E87">
        <w:rPr>
          <w:rFonts w:ascii="Verdana" w:eastAsia="Calibri" w:hAnsi="Verdana" w:cs="Arial"/>
          <w:lang w:eastAsia="es-ES"/>
        </w:rPr>
        <w:t>2025116003094331</w:t>
      </w:r>
      <w:r>
        <w:rPr>
          <w:rFonts w:ascii="Verdana" w:eastAsia="Calibri" w:hAnsi="Verdana" w:cs="Arial"/>
          <w:lang w:eastAsia="es-ES"/>
        </w:rPr>
        <w:t xml:space="preserve">, enviado por correo electrónico certificado del 23 de octubre de 2025 a esta entidad, </w:t>
      </w:r>
      <w:r w:rsidRPr="00E05649">
        <w:rPr>
          <w:rFonts w:ascii="Verdana" w:eastAsia="Calibri" w:hAnsi="Verdana" w:cs="Arial"/>
          <w:lang w:eastAsia="es-ES"/>
        </w:rPr>
        <w:t xml:space="preserve">en la cual manifiesta lo siguiente: </w:t>
      </w:r>
    </w:p>
    <w:p w14:paraId="088CEFE9" w14:textId="77777777" w:rsidR="00A473DB" w:rsidRPr="00EA6E14" w:rsidRDefault="00A473DB" w:rsidP="00022FC1">
      <w:pPr>
        <w:tabs>
          <w:tab w:val="left" w:pos="3768"/>
        </w:tabs>
        <w:spacing w:after="0" w:line="276" w:lineRule="auto"/>
        <w:jc w:val="both"/>
        <w:rPr>
          <w:rFonts w:ascii="Verdana" w:eastAsia="Calibri" w:hAnsi="Verdana" w:cs="Arial"/>
          <w:lang w:eastAsia="es-ES"/>
        </w:rPr>
      </w:pPr>
    </w:p>
    <w:p w14:paraId="2DFF22F1" w14:textId="77777777" w:rsidR="0070436B" w:rsidRDefault="000146CB" w:rsidP="00A473DB">
      <w:pPr>
        <w:pStyle w:val="Prrafodelista"/>
        <w:spacing w:after="0" w:line="240" w:lineRule="auto"/>
        <w:ind w:right="709"/>
        <w:jc w:val="both"/>
        <w:rPr>
          <w:rFonts w:ascii="Verdana" w:eastAsia="Calibri" w:hAnsi="Verdana" w:cs="Times New Roman"/>
          <w:i/>
          <w:iCs/>
          <w:sz w:val="20"/>
          <w:szCs w:val="20"/>
        </w:rPr>
      </w:pPr>
      <w:r w:rsidRPr="00F64FF9">
        <w:rPr>
          <w:rFonts w:ascii="Verdana" w:eastAsia="Calibri" w:hAnsi="Verdana" w:cs="Times New Roman"/>
          <w:i/>
          <w:iCs/>
          <w:sz w:val="20"/>
          <w:szCs w:val="20"/>
        </w:rPr>
        <w:t xml:space="preserve">“(…) </w:t>
      </w:r>
      <w:r w:rsidRPr="00573CD7">
        <w:rPr>
          <w:rFonts w:ascii="Verdana" w:eastAsia="Calibri" w:hAnsi="Verdana" w:cs="Times New Roman"/>
          <w:i/>
          <w:iCs/>
          <w:sz w:val="20"/>
          <w:szCs w:val="20"/>
        </w:rPr>
        <w:t>Desde la Secretaría de Salud del municipio de Cajicá nos</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permitimos solicitar respetuosamente concepto jurídico y/o técnico respecto a la</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viabilidad de utilizar la figura de vigencias futuras para la suscripción de un convenio</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interadministrativo entre la Secretaría de Salud de Cajicá y la ESE Hospital Profesor</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Jorge Cavelier, en el marco de la transferencia de recursos del Sistema General de</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Participaciones (SGP), componente Oferta. Lo anterior, considerando que el</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cronograma habitual para la formalización de este convenio coincide con la aplicación</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de la Ley 996 de 2005 (Ley de Garantías Electorales) para el proceso electoral de</w:t>
      </w:r>
      <w:r>
        <w:rPr>
          <w:rFonts w:ascii="Verdana" w:eastAsia="Calibri" w:hAnsi="Verdana" w:cs="Times New Roman"/>
          <w:i/>
          <w:iCs/>
          <w:sz w:val="20"/>
          <w:szCs w:val="20"/>
        </w:rPr>
        <w:t xml:space="preserve"> </w:t>
      </w:r>
    </w:p>
    <w:p w14:paraId="550BF476" w14:textId="206DC3D9" w:rsidR="000146CB" w:rsidRPr="00573CD7" w:rsidRDefault="000146CB" w:rsidP="00A473DB">
      <w:pPr>
        <w:pStyle w:val="Prrafodelista"/>
        <w:spacing w:after="0" w:line="240" w:lineRule="auto"/>
        <w:ind w:right="709"/>
        <w:jc w:val="both"/>
        <w:rPr>
          <w:rFonts w:ascii="Verdana" w:eastAsia="Calibri" w:hAnsi="Verdana" w:cs="Times New Roman"/>
          <w:i/>
          <w:iCs/>
          <w:sz w:val="20"/>
          <w:szCs w:val="20"/>
        </w:rPr>
      </w:pPr>
      <w:r w:rsidRPr="00573CD7">
        <w:rPr>
          <w:rFonts w:ascii="Verdana" w:eastAsia="Calibri" w:hAnsi="Verdana" w:cs="Times New Roman"/>
          <w:i/>
          <w:iCs/>
          <w:sz w:val="20"/>
          <w:szCs w:val="20"/>
        </w:rPr>
        <w:lastRenderedPageBreak/>
        <w:t>presidencia y senado, lo que podría limitar la posibilidad de suscripción directa durante</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este periodo. Pese a tratarse de una obligación derivada del cumplimiento de metas</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del Plan de Desarrollo y la garantía del acceso a servicios de salud para la población</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del municipio en el subsidio a la oferta de los servicios de la ESE Hospital Profesor</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Jorge Cavelier. Dado que se trata de una destinación específica y una fuente de</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financiación con restricciones normativas claras, solicitamos muy comedidamente su</w:t>
      </w:r>
    </w:p>
    <w:p w14:paraId="46AE32DA" w14:textId="77777777" w:rsidR="000146CB" w:rsidRPr="00F64FF9" w:rsidRDefault="000146CB" w:rsidP="00935522">
      <w:pPr>
        <w:pStyle w:val="Prrafodelista"/>
        <w:spacing w:after="0" w:line="240" w:lineRule="auto"/>
        <w:ind w:right="709"/>
        <w:jc w:val="both"/>
        <w:rPr>
          <w:rFonts w:ascii="Verdana" w:eastAsia="Calibri" w:hAnsi="Verdana" w:cs="Times New Roman"/>
          <w:iCs/>
          <w:sz w:val="20"/>
          <w:szCs w:val="20"/>
          <w:lang w:val="es-CO"/>
        </w:rPr>
      </w:pPr>
      <w:r w:rsidRPr="00573CD7">
        <w:rPr>
          <w:rFonts w:ascii="Verdana" w:eastAsia="Calibri" w:hAnsi="Verdana" w:cs="Times New Roman"/>
          <w:i/>
          <w:iCs/>
          <w:sz w:val="20"/>
          <w:szCs w:val="20"/>
        </w:rPr>
        <w:t>orientación sobre la viabilidad de adelantar el proceso mediante la aprobación de</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vigencias futuras excepcionales, o de no ser posible dicho proceso, se nos oriente</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sobre otro mecanismo que permita garantizar la continuidad de la oferta de servicios</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de salud, garantizado la continuidad de servicios trazadores en el municipio en nuestra</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sede monopolio, sin contravenir lo dispuesto por la normatividad vigente.</w:t>
      </w:r>
      <w:r>
        <w:rPr>
          <w:rFonts w:ascii="Verdana" w:eastAsia="Calibri" w:hAnsi="Verdana" w:cs="Times New Roman"/>
          <w:i/>
          <w:iCs/>
          <w:sz w:val="20"/>
          <w:szCs w:val="20"/>
        </w:rPr>
        <w:t xml:space="preserve"> </w:t>
      </w:r>
      <w:r w:rsidRPr="00573CD7">
        <w:rPr>
          <w:rFonts w:ascii="Verdana" w:eastAsia="Calibri" w:hAnsi="Verdana" w:cs="Times New Roman"/>
          <w:i/>
          <w:iCs/>
          <w:sz w:val="20"/>
          <w:szCs w:val="20"/>
        </w:rPr>
        <w:t>Agradecemos su atención y orientación, y quedamos atentos a su valioso concepto</w:t>
      </w:r>
      <w:r>
        <w:rPr>
          <w:rFonts w:ascii="Verdana" w:eastAsia="Calibri" w:hAnsi="Verdana" w:cs="Times New Roman"/>
          <w:i/>
          <w:iCs/>
          <w:sz w:val="20"/>
          <w:szCs w:val="20"/>
        </w:rPr>
        <w:t xml:space="preserve"> </w:t>
      </w:r>
      <w:r w:rsidRPr="0069715F">
        <w:rPr>
          <w:rFonts w:ascii="Verdana" w:eastAsia="Calibri" w:hAnsi="Verdana" w:cs="Times New Roman"/>
          <w:i/>
          <w:iCs/>
          <w:sz w:val="20"/>
          <w:szCs w:val="20"/>
          <w:lang w:val="es-CO"/>
        </w:rPr>
        <w:t>para proceder conforme a los lineamientos legales y técnicos correspondientes</w:t>
      </w:r>
      <w:r>
        <w:rPr>
          <w:rFonts w:ascii="Verdana" w:eastAsia="Calibri" w:hAnsi="Verdana" w:cs="Times New Roman"/>
          <w:i/>
          <w:iCs/>
          <w:sz w:val="20"/>
          <w:szCs w:val="20"/>
        </w:rPr>
        <w:t xml:space="preserve">. (Sic)” </w:t>
      </w:r>
    </w:p>
    <w:p w14:paraId="23E1A2D3" w14:textId="77777777" w:rsidR="000146CB" w:rsidRPr="00D069D8" w:rsidRDefault="000146CB" w:rsidP="00022FC1">
      <w:pPr>
        <w:spacing w:after="0" w:line="276" w:lineRule="auto"/>
        <w:ind w:left="709" w:right="709"/>
        <w:jc w:val="both"/>
        <w:rPr>
          <w:rFonts w:ascii="Verdana" w:eastAsia="Calibri" w:hAnsi="Verdana" w:cs="Times New Roman"/>
          <w:iCs/>
        </w:rPr>
      </w:pPr>
    </w:p>
    <w:p w14:paraId="22303306" w14:textId="2863E23E" w:rsidR="000146CB" w:rsidRPr="00D069D8" w:rsidRDefault="000146CB" w:rsidP="004C44A8">
      <w:pPr>
        <w:spacing w:after="120" w:line="276" w:lineRule="auto"/>
        <w:ind w:firstLine="709"/>
        <w:jc w:val="both"/>
        <w:rPr>
          <w:rFonts w:ascii="Verdana" w:eastAsia="Calibri" w:hAnsi="Verdana" w:cs="Times New Roman"/>
          <w:lang w:val="es-ES"/>
        </w:rPr>
      </w:pPr>
      <w:r w:rsidRPr="00D069D8">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E91782">
        <w:rPr>
          <w:rFonts w:ascii="Verdana" w:eastAsia="Calibri" w:hAnsi="Verdana" w:cs="Times New Roman"/>
          <w:lang w:val="es-ES"/>
        </w:rPr>
        <w:t xml:space="preserve">la Agencia Nacional de Contratación Pública – </w:t>
      </w:r>
      <w:r w:rsidRPr="00D069D8">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E2233C3" w14:textId="77777777" w:rsidR="000146CB" w:rsidRPr="00D069D8" w:rsidRDefault="000146CB" w:rsidP="00935522">
      <w:pPr>
        <w:spacing w:after="0" w:line="276" w:lineRule="auto"/>
        <w:ind w:firstLine="708"/>
        <w:jc w:val="both"/>
        <w:rPr>
          <w:rFonts w:ascii="Verdana" w:eastAsia="Calibri" w:hAnsi="Verdana" w:cs="Times New Roman"/>
          <w:lang w:val="es-ES"/>
        </w:rPr>
      </w:pPr>
      <w:r w:rsidRPr="00D069D8">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71289DB9" w14:textId="77777777" w:rsidR="000146CB" w:rsidRPr="00D069D8" w:rsidRDefault="000146CB" w:rsidP="00022FC1">
      <w:pPr>
        <w:spacing w:after="0" w:line="276" w:lineRule="auto"/>
        <w:rPr>
          <w:rFonts w:ascii="Verdana" w:eastAsia="Calibri" w:hAnsi="Verdana" w:cs="Times New Roman"/>
          <w:lang w:val="es-ES"/>
        </w:rPr>
      </w:pPr>
    </w:p>
    <w:p w14:paraId="3E37B2E6" w14:textId="77777777" w:rsidR="000146CB" w:rsidRPr="00D069D8" w:rsidRDefault="000146CB" w:rsidP="00022FC1">
      <w:pPr>
        <w:numPr>
          <w:ilvl w:val="0"/>
          <w:numId w:val="16"/>
        </w:numPr>
        <w:spacing w:after="0" w:line="276" w:lineRule="auto"/>
        <w:rPr>
          <w:rFonts w:ascii="Verdana" w:eastAsia="Calibri" w:hAnsi="Verdana" w:cs="Times New Roman"/>
          <w:b/>
          <w:bCs/>
          <w:lang w:val="es-ES"/>
        </w:rPr>
      </w:pPr>
      <w:r w:rsidRPr="00D069D8">
        <w:rPr>
          <w:rFonts w:ascii="Verdana" w:eastAsia="Calibri" w:hAnsi="Verdana" w:cs="Times New Roman"/>
          <w:b/>
          <w:bCs/>
          <w:lang w:val="es-ES"/>
        </w:rPr>
        <w:t>Problema planteado:</w:t>
      </w:r>
    </w:p>
    <w:p w14:paraId="2697009C" w14:textId="55AA1E0D" w:rsidR="005F1EF7" w:rsidRPr="00D069D8" w:rsidRDefault="000146CB" w:rsidP="00A94F83">
      <w:pPr>
        <w:spacing w:after="0" w:line="276" w:lineRule="auto"/>
        <w:jc w:val="both"/>
        <w:rPr>
          <w:rFonts w:ascii="Verdana" w:eastAsia="Calibri" w:hAnsi="Verdana" w:cs="Times New Roman"/>
        </w:rPr>
      </w:pPr>
      <w:r w:rsidRPr="00D069D8">
        <w:rPr>
          <w:rFonts w:ascii="Verdana" w:eastAsia="Calibri" w:hAnsi="Verdana" w:cs="Times New Roman"/>
        </w:rPr>
        <w:lastRenderedPageBreak/>
        <w:t xml:space="preserve">De acuerdo con el contenido de su solicitud, esta Agencia procede a resolver el siguiente problema jurídico: ¿Puede </w:t>
      </w:r>
      <w:r>
        <w:rPr>
          <w:rFonts w:ascii="Verdana" w:eastAsia="Calibri" w:hAnsi="Verdana" w:cs="Times New Roman"/>
        </w:rPr>
        <w:t>una entidad territorial acudir a</w:t>
      </w:r>
      <w:r w:rsidRPr="00831465">
        <w:rPr>
          <w:rFonts w:ascii="Verdana" w:eastAsia="Calibri" w:hAnsi="Verdana" w:cs="Times New Roman"/>
        </w:rPr>
        <w:t xml:space="preserve"> la figura de vigencias futuras excepcionales para suscribir un convenio interadministrativo </w:t>
      </w:r>
      <w:r>
        <w:rPr>
          <w:rFonts w:ascii="Verdana" w:eastAsia="Calibri" w:hAnsi="Verdana" w:cs="Times New Roman"/>
        </w:rPr>
        <w:t>para ejecutar</w:t>
      </w:r>
      <w:r w:rsidRPr="00831465">
        <w:rPr>
          <w:rFonts w:ascii="Verdana" w:eastAsia="Calibri" w:hAnsi="Verdana" w:cs="Times New Roman"/>
        </w:rPr>
        <w:t xml:space="preserve"> recursos del Sistema General de Participaciones (SGP) – componente Oferta, </w:t>
      </w:r>
      <w:r>
        <w:rPr>
          <w:rFonts w:ascii="Verdana" w:eastAsia="Calibri" w:hAnsi="Verdana" w:cs="Times New Roman"/>
        </w:rPr>
        <w:t>considerando que se aproxima</w:t>
      </w:r>
      <w:r w:rsidRPr="00831465">
        <w:rPr>
          <w:rFonts w:ascii="Verdana" w:eastAsia="Calibri" w:hAnsi="Verdana" w:cs="Times New Roman"/>
        </w:rPr>
        <w:t xml:space="preserve"> el periodo de restricción </w:t>
      </w:r>
      <w:r w:rsidR="004C44A8">
        <w:rPr>
          <w:rFonts w:ascii="Verdana" w:eastAsia="Calibri" w:hAnsi="Verdana" w:cs="Times New Roman"/>
        </w:rPr>
        <w:t>establecidas en</w:t>
      </w:r>
      <w:r w:rsidRPr="00831465">
        <w:rPr>
          <w:rFonts w:ascii="Verdana" w:eastAsia="Calibri" w:hAnsi="Verdana" w:cs="Times New Roman"/>
        </w:rPr>
        <w:t xml:space="preserve"> la Ley </w:t>
      </w:r>
      <w:r>
        <w:rPr>
          <w:rFonts w:ascii="Verdana" w:eastAsia="Calibri" w:hAnsi="Verdana" w:cs="Times New Roman"/>
        </w:rPr>
        <w:t>de Garantías</w:t>
      </w:r>
      <w:r w:rsidR="004C44A8">
        <w:rPr>
          <w:rFonts w:ascii="Verdana" w:eastAsia="Calibri" w:hAnsi="Verdana" w:cs="Times New Roman"/>
        </w:rPr>
        <w:t xml:space="preserve"> Electorales</w:t>
      </w:r>
      <w:r w:rsidRPr="00D069D8">
        <w:rPr>
          <w:rFonts w:ascii="Verdana" w:eastAsia="Calibri" w:hAnsi="Verdana" w:cs="Times New Roman"/>
        </w:rPr>
        <w:t>?</w:t>
      </w:r>
    </w:p>
    <w:p w14:paraId="07FAC65D" w14:textId="15D8AAF5" w:rsidR="000146CB" w:rsidRDefault="000146CB" w:rsidP="00321236">
      <w:pPr>
        <w:numPr>
          <w:ilvl w:val="0"/>
          <w:numId w:val="16"/>
        </w:numPr>
        <w:spacing w:after="0" w:line="276" w:lineRule="auto"/>
        <w:rPr>
          <w:rFonts w:ascii="Verdana" w:eastAsia="Calibri" w:hAnsi="Verdana" w:cs="Times New Roman"/>
          <w:b/>
          <w:bCs/>
          <w:lang w:val="es-ES"/>
        </w:rPr>
      </w:pPr>
      <w:r w:rsidRPr="00A94F83">
        <w:rPr>
          <w:rFonts w:ascii="Verdana" w:eastAsia="Calibri" w:hAnsi="Verdana" w:cs="Times New Roman"/>
          <w:b/>
          <w:bCs/>
          <w:lang w:val="es-ES"/>
        </w:rPr>
        <w:t>Respuesta:</w:t>
      </w:r>
    </w:p>
    <w:p w14:paraId="1D74DC49" w14:textId="77777777" w:rsidR="005F1EF7" w:rsidRPr="00A94F83" w:rsidRDefault="005F1EF7" w:rsidP="005F1EF7">
      <w:pPr>
        <w:spacing w:after="0" w:line="276" w:lineRule="auto"/>
        <w:ind w:left="1080"/>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146CB" w:rsidRPr="00D069D8" w14:paraId="59102DAF" w14:textId="77777777">
        <w:trPr>
          <w:trHeight w:val="870"/>
          <w:jc w:val="center"/>
        </w:trPr>
        <w:tc>
          <w:tcPr>
            <w:tcW w:w="8784" w:type="dxa"/>
          </w:tcPr>
          <w:p w14:paraId="3A9894EF" w14:textId="77777777" w:rsidR="000146CB" w:rsidRPr="00D069D8" w:rsidRDefault="000146CB">
            <w:pPr>
              <w:spacing w:before="120" w:after="120" w:line="276" w:lineRule="auto"/>
              <w:ind w:right="79"/>
              <w:jc w:val="both"/>
              <w:rPr>
                <w:rFonts w:ascii="Verdana" w:eastAsia="Arial" w:hAnsi="Verdana" w:cs="Arial"/>
                <w:bCs/>
              </w:rPr>
            </w:pPr>
            <w:r w:rsidRPr="00D069D8">
              <w:rPr>
                <w:rFonts w:ascii="Verdana" w:hAnsi="Verdana" w:cs="Arial"/>
                <w:bCs/>
              </w:rPr>
              <w:t xml:space="preserve">Para responder el problema jurídico, objeto de consulta, se precisa </w:t>
            </w:r>
            <w:r w:rsidRPr="00D069D8">
              <w:rPr>
                <w:rFonts w:ascii="Verdana" w:eastAsia="Times New Roman" w:hAnsi="Verdana" w:cs="Arial"/>
                <w:szCs w:val="24"/>
                <w:lang w:val="es-ES" w:eastAsia="es-ES_tradnl"/>
              </w:rPr>
              <w:t xml:space="preserve">que, </w:t>
            </w:r>
            <w:r w:rsidRPr="00D069D8">
              <w:rPr>
                <w:rFonts w:ascii="Verdana" w:eastAsia="Arial" w:hAnsi="Verdana" w:cs="Arial"/>
                <w:bCs/>
              </w:rPr>
              <w:t>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0A9662AE" w14:textId="77777777" w:rsidR="000146CB" w:rsidRPr="00D069D8" w:rsidRDefault="000146CB">
            <w:pPr>
              <w:spacing w:before="120" w:after="120" w:line="276" w:lineRule="auto"/>
              <w:ind w:right="79" w:firstLine="743"/>
              <w:jc w:val="both"/>
              <w:rPr>
                <w:rFonts w:ascii="Verdana" w:eastAsia="Arial" w:hAnsi="Verdana" w:cs="Arial"/>
                <w:bCs/>
              </w:rPr>
            </w:pPr>
            <w:r w:rsidRPr="00D069D8">
              <w:rPr>
                <w:rFonts w:ascii="Verdana" w:eastAsia="Arial" w:hAnsi="Verdana" w:cs="Arial"/>
                <w:bCs/>
              </w:rPr>
              <w:t xml:space="preserve">Sin embargo, como excepción a este principio se establecen mecanismos presupuestales dentro de los cuales se identifican las vigencias futuras, que de conformidad con el artículo 23 del Estatuto Orgánico del Presupuesto, se refieren a la autorización que deben solicitar las entidades para asumir obligaciones que afectarán los presupuestos siguientes a los de la vigencia fiscal en la que inició la ejecución. De igual manera, como excepción a este principio se encuentran las cuentas por pagar y las reservas presupuestales, que tienen unos procedimientos particulares para su configuración. </w:t>
            </w:r>
          </w:p>
          <w:p w14:paraId="4654561F" w14:textId="77777777" w:rsidR="000146CB" w:rsidRPr="00D069D8" w:rsidRDefault="000146CB">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w:t>
            </w:r>
            <w:r w:rsidRPr="00D069D8">
              <w:rPr>
                <w:rFonts w:ascii="Verdana" w:eastAsia="Calibri" w:hAnsi="Verdana" w:cs="Arial"/>
                <w:color w:val="000000" w:themeColor="text1"/>
              </w:rPr>
              <w:lastRenderedPageBreak/>
              <w:t xml:space="preserve">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2C78C3D9" w14:textId="77777777" w:rsidR="000146CB" w:rsidRDefault="000146CB">
            <w:pPr>
              <w:spacing w:before="120" w:after="120" w:line="276" w:lineRule="auto"/>
              <w:ind w:right="79" w:firstLine="743"/>
              <w:jc w:val="both"/>
              <w:rPr>
                <w:rFonts w:ascii="Verdana" w:eastAsia="Arial" w:hAnsi="Verdana" w:cs="Arial"/>
                <w:bCs/>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w:t>
            </w:r>
          </w:p>
          <w:p w14:paraId="2FFE147B" w14:textId="738EEE90" w:rsidR="000146CB" w:rsidRDefault="00935522">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L</w:t>
            </w:r>
            <w:r w:rsidR="000146CB" w:rsidRPr="004E09A5">
              <w:rPr>
                <w:rFonts w:ascii="Verdana" w:eastAsia="Calibri" w:hAnsi="Verdana" w:cs="Arial"/>
                <w:color w:val="000000" w:themeColor="text1"/>
              </w:rPr>
              <w:t xml:space="preserve">a Ley 1483 de 2011 dispone que, en las vigencias futuras excepcionales, por la envergadura de los proyectos que se pretenden financiar, </w:t>
            </w:r>
            <w:r w:rsidR="000146CB">
              <w:rPr>
                <w:rFonts w:ascii="Verdana" w:eastAsia="Calibri" w:hAnsi="Verdana" w:cs="Arial"/>
                <w:color w:val="000000" w:themeColor="text1"/>
              </w:rPr>
              <w:t xml:space="preserve">serán </w:t>
            </w:r>
            <w:r w:rsidR="000146CB" w:rsidRPr="004E09A5">
              <w:rPr>
                <w:rFonts w:ascii="Verdana" w:eastAsia="Calibri" w:hAnsi="Verdana" w:cs="Arial"/>
                <w:color w:val="000000" w:themeColor="text1"/>
              </w:rPr>
              <w:t>las asambleas</w:t>
            </w:r>
            <w:r w:rsidR="000146CB">
              <w:rPr>
                <w:rFonts w:ascii="Verdana" w:eastAsia="Calibri" w:hAnsi="Verdana" w:cs="Arial"/>
                <w:color w:val="000000" w:themeColor="text1"/>
              </w:rPr>
              <w:t xml:space="preserve"> departamentales</w:t>
            </w:r>
            <w:r w:rsidR="000146CB" w:rsidRPr="004E09A5">
              <w:rPr>
                <w:rFonts w:ascii="Verdana" w:eastAsia="Calibri" w:hAnsi="Verdana" w:cs="Arial"/>
                <w:color w:val="000000" w:themeColor="text1"/>
              </w:rPr>
              <w:t xml:space="preserve"> o concejos</w:t>
            </w:r>
            <w:r w:rsidR="000146CB">
              <w:rPr>
                <w:rFonts w:ascii="Verdana" w:eastAsia="Calibri" w:hAnsi="Verdana" w:cs="Arial"/>
                <w:color w:val="000000" w:themeColor="text1"/>
              </w:rPr>
              <w:t xml:space="preserve"> municipales quienes</w:t>
            </w:r>
            <w:r w:rsidR="000146CB" w:rsidRPr="004E09A5">
              <w:rPr>
                <w:rFonts w:ascii="Verdana" w:eastAsia="Calibri" w:hAnsi="Verdana" w:cs="Arial"/>
                <w:color w:val="000000" w:themeColor="text1"/>
              </w:rPr>
              <w:t xml:space="preserve"> podrán autorizar la asunción de obligaciones que afecten presupuestos de vigencias futuras sin apropiación en el presupuesto del año en que se concede la autorización, a diferencia de lo que </w:t>
            </w:r>
            <w:r w:rsidR="000146CB">
              <w:rPr>
                <w:rFonts w:ascii="Verdana" w:eastAsia="Calibri" w:hAnsi="Verdana" w:cs="Arial"/>
                <w:color w:val="000000" w:themeColor="text1"/>
              </w:rPr>
              <w:t>sucede</w:t>
            </w:r>
            <w:r w:rsidR="000146CB" w:rsidRPr="004E09A5">
              <w:rPr>
                <w:rFonts w:ascii="Verdana" w:eastAsia="Calibri" w:hAnsi="Verdana" w:cs="Arial"/>
                <w:color w:val="000000" w:themeColor="text1"/>
              </w:rPr>
              <w:t xml:space="preserve"> con las vigencias futuras ordinarias previstas en el artículo 12 de la Ley 819 de 2003.</w:t>
            </w:r>
          </w:p>
          <w:p w14:paraId="45876F5B" w14:textId="6F373BB4" w:rsidR="000146CB" w:rsidRDefault="000146CB">
            <w:pPr>
              <w:shd w:val="clear" w:color="auto" w:fill="FFFFFF"/>
              <w:spacing w:after="120" w:line="276" w:lineRule="auto"/>
              <w:ind w:right="51" w:firstLine="709"/>
              <w:jc w:val="both"/>
              <w:rPr>
                <w:rFonts w:ascii="Verdana" w:eastAsia="Arial" w:hAnsi="Verdana" w:cs="Arial"/>
                <w:bCs/>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hAnsi="Verdana" w:cs="Symbol"/>
              </w:rPr>
              <w:t>.</w:t>
            </w:r>
            <w:r w:rsidRPr="00D069D8">
              <w:rPr>
                <w:rFonts w:ascii="Verdana" w:eastAsia="Arial" w:hAnsi="Verdana" w:cs="Arial"/>
                <w:bCs/>
              </w:rPr>
              <w:t xml:space="preserve">De esta manera, en caso de que en la etapa de planeación la entidad evidencie que el contrato a ejecutar exceda la vigencia fiscal correspondiente, deberá atender las previsiones legales sobre las excepciones al principio de anualidad del gasto y determinar cual resulta aplicable al caso en concreto. Dichas excepciones deben estar debidamente justificadas, cumplir con los requisitos establecidos por la normativa vigente y seguir los procedimientos correspondientes para su autorizaciones y ejecución, conforme a lo expuesto en las razones de la respuesta.  </w:t>
            </w:r>
          </w:p>
          <w:p w14:paraId="59D2EE76" w14:textId="77777777" w:rsidR="000146CB" w:rsidRDefault="000146CB" w:rsidP="003E23F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w:t>
            </w:r>
            <w:r w:rsidRPr="00D069D8">
              <w:rPr>
                <w:rFonts w:ascii="Verdana" w:eastAsia="Calibri" w:hAnsi="Verdana" w:cs="Arial"/>
                <w:color w:val="000000" w:themeColor="text1"/>
                <w:lang w:val="es-ES_tradnl"/>
              </w:rPr>
              <w:lastRenderedPageBreak/>
              <w:t xml:space="preserve">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mecanismos presupuestales dentro de los cuales se encuentran las vigencias futuras, que permite asumir compromisos que afecten el presupuesto de vigencias posteriores</w:t>
            </w:r>
            <w:r>
              <w:rPr>
                <w:rFonts w:ascii="Verdana" w:eastAsia="Calibri" w:hAnsi="Verdana" w:cs="Arial"/>
                <w:color w:val="000000" w:themeColor="text1"/>
              </w:rPr>
              <w:t>.</w:t>
            </w:r>
          </w:p>
          <w:p w14:paraId="0C3B2CFC" w14:textId="77777777" w:rsidR="007670AB" w:rsidRDefault="007670AB" w:rsidP="00211405">
            <w:pPr>
              <w:tabs>
                <w:tab w:val="num" w:pos="720"/>
              </w:tabs>
              <w:spacing w:before="120" w:after="120" w:line="276" w:lineRule="auto"/>
              <w:ind w:firstLine="709"/>
              <w:jc w:val="both"/>
              <w:rPr>
                <w:rFonts w:ascii="Verdana" w:eastAsia="Calibri" w:hAnsi="Verdana" w:cs="Arial"/>
              </w:rPr>
            </w:pPr>
            <w:r w:rsidRPr="79F3ED1A">
              <w:rPr>
                <w:rFonts w:ascii="Verdana" w:eastAsia="Calibri" w:hAnsi="Verdana" w:cs="Arial"/>
              </w:rPr>
              <w:t>Para ello, y en aplicación del principio de planeación, se recomienda a las entidades adoptar anticipadamente las medidas necesarias en su gestión contractual con el fin de evitar que las restricciones impuestas por la Ley de Garantías afecten el funcionamiento de las entidades y el cumplimiento de los fines institucionales. Asimismo, resulta aconsejable prever escenarios de contingencia que permitan atender necesidades urgentes o inaplazables, sin incurrir en actuaciones que puedan comprometer las restricciones de la Ley de Garantías, la legalidad o la transparencia del proceso contractual.</w:t>
            </w:r>
          </w:p>
          <w:p w14:paraId="49A1A3A8" w14:textId="3F4D4D05" w:rsidR="000B429D" w:rsidRPr="003E23F5" w:rsidRDefault="000B429D" w:rsidP="00211405">
            <w:pPr>
              <w:tabs>
                <w:tab w:val="num" w:pos="720"/>
              </w:tabs>
              <w:spacing w:before="120" w:after="120" w:line="276" w:lineRule="auto"/>
              <w:ind w:firstLine="709"/>
              <w:jc w:val="both"/>
              <w:rPr>
                <w:rFonts w:ascii="Verdana" w:eastAsia="Arial" w:hAnsi="Verdana" w:cs="Arial"/>
                <w:bCs/>
              </w:rPr>
            </w:pPr>
          </w:p>
        </w:tc>
      </w:tr>
    </w:tbl>
    <w:p w14:paraId="5CB5819E" w14:textId="77777777" w:rsidR="000146CB" w:rsidRPr="00D069D8" w:rsidRDefault="000146CB" w:rsidP="004C44A8">
      <w:pPr>
        <w:spacing w:after="0" w:line="276" w:lineRule="auto"/>
        <w:jc w:val="both"/>
        <w:rPr>
          <w:rFonts w:ascii="Verdana" w:eastAsia="Calibri" w:hAnsi="Verdana" w:cs="Arial"/>
          <w:bCs/>
          <w:color w:val="000000" w:themeColor="text1"/>
        </w:rPr>
      </w:pPr>
    </w:p>
    <w:p w14:paraId="3A3A6B95" w14:textId="77777777" w:rsidR="000146CB" w:rsidRPr="00D069D8" w:rsidRDefault="000146CB" w:rsidP="00022FC1">
      <w:pPr>
        <w:numPr>
          <w:ilvl w:val="0"/>
          <w:numId w:val="16"/>
        </w:numPr>
        <w:spacing w:after="0" w:line="276" w:lineRule="auto"/>
        <w:rPr>
          <w:rFonts w:ascii="Verdana" w:eastAsia="Calibri" w:hAnsi="Verdana" w:cs="Times New Roman"/>
          <w:b/>
          <w:bCs/>
          <w:lang w:val="es-ES"/>
        </w:rPr>
      </w:pPr>
      <w:r w:rsidRPr="00D069D8">
        <w:rPr>
          <w:rFonts w:ascii="Verdana" w:eastAsia="Calibri" w:hAnsi="Verdana" w:cs="Times New Roman"/>
          <w:b/>
          <w:bCs/>
          <w:lang w:val="es-ES"/>
        </w:rPr>
        <w:t>Razones de la respuesta:</w:t>
      </w:r>
    </w:p>
    <w:p w14:paraId="6E3DFD28" w14:textId="77777777" w:rsidR="000146CB" w:rsidRPr="00D069D8" w:rsidRDefault="000146CB" w:rsidP="004C44A8">
      <w:pPr>
        <w:spacing w:after="0" w:line="276" w:lineRule="auto"/>
        <w:rPr>
          <w:rFonts w:ascii="Verdana" w:eastAsia="Calibri" w:hAnsi="Verdana" w:cs="Times New Roman"/>
          <w:b/>
          <w:bCs/>
          <w:lang w:val="es-ES"/>
        </w:rPr>
      </w:pPr>
    </w:p>
    <w:p w14:paraId="5B25D30D" w14:textId="59698F46" w:rsidR="000146CB" w:rsidRPr="00D069D8" w:rsidRDefault="000146CB" w:rsidP="000146CB">
      <w:pPr>
        <w:shd w:val="clear" w:color="auto" w:fill="FFFFFF" w:themeFill="background1"/>
        <w:spacing w:after="120" w:line="276" w:lineRule="auto"/>
        <w:ind w:right="51"/>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 xml:space="preserve">Las entidades estatales deben sujetarse a los principios que rigen el sistema presupuestal, entre los cuales se encuentra el de anualidad del gasto público. Este principio encuentra fundamento constitucional </w:t>
      </w:r>
      <w:bookmarkStart w:id="1"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1"/>
      </w:r>
      <w:r w:rsidRPr="00D069D8">
        <w:rPr>
          <w:rFonts w:ascii="Verdana" w:eastAsia="Calibri" w:hAnsi="Verdana" w:cs="Arial"/>
          <w:color w:val="000000" w:themeColor="text1"/>
          <w:lang w:val="es-ES"/>
        </w:rPr>
        <w:t>, que deberá presentarse al Congreso dentro de los primeros diez días de cada legislatura, elaborarse y aprobarse dentro de un marco de sostenibilidad fiscal y corresponder al Plan Nacional de Desarrollo</w:t>
      </w:r>
      <w:r w:rsidRPr="00D069D8">
        <w:rPr>
          <w:rFonts w:ascii="Verdana" w:eastAsia="Calibri" w:hAnsi="Verdana" w:cs="Arial"/>
          <w:color w:val="000000" w:themeColor="text1"/>
          <w:vertAlign w:val="superscript"/>
          <w:lang w:val="es-ES"/>
        </w:rPr>
        <w:footnoteReference w:id="2"/>
      </w:r>
      <w:r w:rsidRPr="00D069D8">
        <w:rPr>
          <w:rFonts w:ascii="Verdana" w:eastAsia="Calibri" w:hAnsi="Verdana" w:cs="Arial"/>
          <w:color w:val="000000" w:themeColor="text1"/>
          <w:lang w:val="es-ES"/>
        </w:rPr>
        <w:t xml:space="preserve">. De </w:t>
      </w:r>
      <w:r w:rsidRPr="00D069D8">
        <w:rPr>
          <w:rFonts w:ascii="Verdana" w:eastAsia="Calibri" w:hAnsi="Verdana" w:cs="Arial"/>
          <w:color w:val="000000" w:themeColor="text1"/>
          <w:lang w:val="es-ES"/>
        </w:rPr>
        <w:lastRenderedPageBreak/>
        <w:t>conformidad con la misma norma constitucional, el presupuesto tiene vigencia anual y, por tanto, tienen como finalidad fijar los gastos y las rentas nacionales del Estado para la respectiva vigencia fiscal anual</w:t>
      </w:r>
      <w:bookmarkEnd w:id="1"/>
      <w:r w:rsidRPr="00D069D8">
        <w:rPr>
          <w:rFonts w:ascii="Verdana" w:eastAsia="Calibri" w:hAnsi="Verdana" w:cs="Arial"/>
          <w:color w:val="000000" w:themeColor="text1"/>
          <w:lang w:val="es-ES"/>
        </w:rPr>
        <w:t xml:space="preserve">. </w:t>
      </w:r>
    </w:p>
    <w:p w14:paraId="551E8CBD" w14:textId="77777777" w:rsidR="000146CB" w:rsidRPr="00D069D8" w:rsidRDefault="000146CB" w:rsidP="000146CB">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3"/>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r w:rsidRPr="00D069D8">
        <w:rPr>
          <w:rFonts w:ascii="Verdana" w:eastAsia="Calibri" w:hAnsi="Verdana" w:cs="Arial"/>
          <w:lang w:val="es-ES_tradnl"/>
        </w:rPr>
        <w:t xml:space="preserve">”. </w:t>
      </w:r>
    </w:p>
    <w:p w14:paraId="33582EEA" w14:textId="77777777" w:rsidR="008034C7" w:rsidRDefault="000146CB" w:rsidP="000146CB">
      <w:pPr>
        <w:shd w:val="clear" w:color="auto" w:fill="FFFFFF"/>
        <w:spacing w:after="120" w:line="276" w:lineRule="auto"/>
        <w:ind w:right="51" w:firstLine="709"/>
        <w:jc w:val="both"/>
        <w:rPr>
          <w:rFonts w:ascii="Verdana" w:eastAsia="Calibri" w:hAnsi="Verdana" w:cs="Aria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 xml:space="preserve">a preparación y elaboración del Presupuesto General de la Nación y el de las entidades territoriales, deberá sujetarse a los correspondientes Marcos Fiscales de Mediano Plazo de manera que las apropiaciones presupuestales aprobadas por el Congreso de la República, las </w:t>
      </w:r>
    </w:p>
    <w:p w14:paraId="51FF9379" w14:textId="77777777" w:rsidR="008034C7" w:rsidRDefault="008034C7" w:rsidP="000146CB">
      <w:pPr>
        <w:shd w:val="clear" w:color="auto" w:fill="FFFFFF"/>
        <w:spacing w:after="120" w:line="276" w:lineRule="auto"/>
        <w:ind w:right="51" w:firstLine="709"/>
        <w:jc w:val="both"/>
        <w:rPr>
          <w:rFonts w:ascii="Verdana" w:eastAsia="Calibri" w:hAnsi="Verdana" w:cs="Arial"/>
        </w:rPr>
      </w:pPr>
    </w:p>
    <w:p w14:paraId="4D2ABA6B" w14:textId="77777777" w:rsidR="008034C7" w:rsidRDefault="008034C7" w:rsidP="000146CB">
      <w:pPr>
        <w:shd w:val="clear" w:color="auto" w:fill="FFFFFF"/>
        <w:spacing w:after="120" w:line="276" w:lineRule="auto"/>
        <w:ind w:right="51" w:firstLine="709"/>
        <w:jc w:val="both"/>
        <w:rPr>
          <w:rFonts w:ascii="Verdana" w:eastAsia="Calibri" w:hAnsi="Verdana" w:cs="Arial"/>
        </w:rPr>
      </w:pPr>
    </w:p>
    <w:p w14:paraId="272FAEDC" w14:textId="77777777" w:rsidR="008034C7" w:rsidRDefault="008034C7" w:rsidP="000146CB">
      <w:pPr>
        <w:shd w:val="clear" w:color="auto" w:fill="FFFFFF"/>
        <w:spacing w:after="120" w:line="276" w:lineRule="auto"/>
        <w:ind w:right="51" w:firstLine="709"/>
        <w:jc w:val="both"/>
        <w:rPr>
          <w:rFonts w:ascii="Verdana" w:eastAsia="Calibri" w:hAnsi="Verdana" w:cs="Arial"/>
        </w:rPr>
      </w:pPr>
    </w:p>
    <w:p w14:paraId="0D6AC72D" w14:textId="77777777" w:rsidR="008034C7" w:rsidRDefault="008034C7" w:rsidP="000146CB">
      <w:pPr>
        <w:shd w:val="clear" w:color="auto" w:fill="FFFFFF"/>
        <w:spacing w:after="120" w:line="276" w:lineRule="auto"/>
        <w:ind w:right="51" w:firstLine="709"/>
        <w:jc w:val="both"/>
        <w:rPr>
          <w:rFonts w:ascii="Verdana" w:eastAsia="Calibri" w:hAnsi="Verdana" w:cs="Arial"/>
        </w:rPr>
      </w:pPr>
    </w:p>
    <w:p w14:paraId="2C0320BF" w14:textId="77777777" w:rsidR="008034C7" w:rsidRDefault="008034C7" w:rsidP="000146CB">
      <w:pPr>
        <w:shd w:val="clear" w:color="auto" w:fill="FFFFFF"/>
        <w:spacing w:after="120" w:line="276" w:lineRule="auto"/>
        <w:ind w:right="51" w:firstLine="709"/>
        <w:jc w:val="both"/>
        <w:rPr>
          <w:rFonts w:ascii="Verdana" w:eastAsia="Calibri" w:hAnsi="Verdana" w:cs="Arial"/>
        </w:rPr>
      </w:pPr>
    </w:p>
    <w:p w14:paraId="100A0189" w14:textId="47C6ADB7" w:rsidR="000146CB" w:rsidRPr="00D069D8" w:rsidRDefault="000146CB" w:rsidP="000146CB">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rPr>
        <w:lastRenderedPageBreak/>
        <w:t>Asambleas y los Concejos, puedan ejecutarse en su totalidad durante la vigencia fiscal correspondiente”.</w:t>
      </w:r>
    </w:p>
    <w:p w14:paraId="6AE99432" w14:textId="77777777" w:rsidR="000146CB" w:rsidRPr="00D069D8" w:rsidRDefault="000146CB" w:rsidP="000146CB">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08359515" w14:textId="79ADEEE6" w:rsidR="009231D4" w:rsidRPr="00D069D8" w:rsidRDefault="000146CB" w:rsidP="00022FC1">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4"/>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4BCA433E" w14:textId="5F020D26" w:rsidR="000146CB" w:rsidRDefault="000146CB" w:rsidP="000146CB">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Varias excepciones se presentan al momento de efectuar el cierre presupuestal, operación realizada al finalizar cada vigencia presupuestal en la cual se analiza la ejecución de las partidas así como el estado de las finanzas de la entidad respectiva que puede terminar en un balance de superávit, equilibrado o deficitario.</w:t>
      </w:r>
    </w:p>
    <w:p w14:paraId="6CBF48D6" w14:textId="77777777" w:rsidR="009231D4" w:rsidRPr="000D35F0" w:rsidRDefault="009231D4" w:rsidP="000146CB">
      <w:pPr>
        <w:autoSpaceDE w:val="0"/>
        <w:autoSpaceDN w:val="0"/>
        <w:adjustRightInd w:val="0"/>
        <w:spacing w:after="0" w:line="240" w:lineRule="auto"/>
        <w:ind w:left="709" w:right="709"/>
        <w:jc w:val="both"/>
        <w:rPr>
          <w:rFonts w:ascii="Verdana" w:hAnsi="Verdana" w:cs="Times-Roman"/>
          <w:sz w:val="20"/>
          <w:szCs w:val="20"/>
        </w:rPr>
      </w:pPr>
    </w:p>
    <w:p w14:paraId="298281E2" w14:textId="015A3860" w:rsidR="000146CB" w:rsidRDefault="000146CB" w:rsidP="000146CB">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7D316D73" w14:textId="77777777" w:rsidR="009231D4" w:rsidRPr="000D35F0" w:rsidRDefault="009231D4" w:rsidP="000146CB">
      <w:pPr>
        <w:autoSpaceDE w:val="0"/>
        <w:autoSpaceDN w:val="0"/>
        <w:adjustRightInd w:val="0"/>
        <w:spacing w:after="0" w:line="240" w:lineRule="auto"/>
        <w:ind w:left="709" w:right="709"/>
        <w:jc w:val="both"/>
        <w:rPr>
          <w:rFonts w:ascii="Verdana" w:hAnsi="Verdana" w:cs="Times-Roman"/>
          <w:sz w:val="20"/>
          <w:szCs w:val="20"/>
        </w:rPr>
      </w:pPr>
    </w:p>
    <w:p w14:paraId="0B102089" w14:textId="77777777" w:rsidR="00C45881" w:rsidRDefault="000146CB" w:rsidP="000146CB">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0D35F0">
        <w:rPr>
          <w:rFonts w:ascii="Verdana" w:hAnsi="Verdana" w:cs="Times-Italic"/>
          <w:i/>
          <w:iCs/>
          <w:sz w:val="20"/>
          <w:szCs w:val="20"/>
        </w:rPr>
        <w:t>v.gr</w:t>
      </w:r>
      <w:r w:rsidRPr="000D35F0">
        <w:rPr>
          <w:rFonts w:ascii="Verdana" w:hAnsi="Verdana" w:cs="Times-Roman"/>
          <w:sz w:val="20"/>
          <w:szCs w:val="20"/>
        </w:rPr>
        <w:t>. el 25 diciembre de 2004), porque las condiciones climáticas impidieron la ejecución de este durante dos o tres meses, y habrá de entregarse la obra terminada por fuera de la vigencia presupuestal en que fue aprobada la partida.</w:t>
      </w:r>
      <w:r w:rsidRPr="000D35F0">
        <w:rPr>
          <w:rFonts w:ascii="Times-Roman" w:hAnsi="Times-Roman" w:cs="Times-Roman"/>
          <w:sz w:val="20"/>
          <w:szCs w:val="20"/>
        </w:rPr>
        <w:t xml:space="preserve"> </w:t>
      </w:r>
      <w:r w:rsidRPr="000D35F0">
        <w:rPr>
          <w:rFonts w:ascii="Verdana" w:hAnsi="Verdana" w:cs="Times-Roman"/>
          <w:sz w:val="20"/>
          <w:szCs w:val="20"/>
        </w:rPr>
        <w:t>El contrato por la prórroga o suspensión, según fuere el caso, habría de extenderse hasta el 30 de marzo, razón por la cual</w:t>
      </w:r>
    </w:p>
    <w:p w14:paraId="0EBD8535" w14:textId="04BCDCAC" w:rsidR="000146CB" w:rsidRDefault="000146CB" w:rsidP="000146CB">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lastRenderedPageBreak/>
        <w:t>no podrá la administración cancelar la obligación correspondiente en la vigencia presupuestal originaria sino en la que se entregó la obra completamente ejecutada.</w:t>
      </w:r>
    </w:p>
    <w:p w14:paraId="0BF5B864" w14:textId="77777777" w:rsidR="009231D4" w:rsidRPr="000D35F0" w:rsidRDefault="009231D4" w:rsidP="000146CB">
      <w:pPr>
        <w:autoSpaceDE w:val="0"/>
        <w:autoSpaceDN w:val="0"/>
        <w:adjustRightInd w:val="0"/>
        <w:spacing w:after="0" w:line="240" w:lineRule="auto"/>
        <w:ind w:left="709" w:right="709"/>
        <w:jc w:val="both"/>
        <w:rPr>
          <w:rFonts w:ascii="Verdana" w:hAnsi="Verdana" w:cs="Times-Roman"/>
          <w:sz w:val="20"/>
          <w:szCs w:val="20"/>
        </w:rPr>
      </w:pPr>
    </w:p>
    <w:p w14:paraId="17AC0E62" w14:textId="31B079FD" w:rsidR="000146CB" w:rsidRPr="000D35F0" w:rsidRDefault="000146CB" w:rsidP="000146CB">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Por este tipo de circunstancias surgen las excepciones al principio de anualidad, como son: las reservas de apropiación (ra), las reservas de trámite negocial (rtn), los pasivos exigibles por vigencias expiradas (peve) y las vigencias futuras (vf),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00225E89">
        <w:rPr>
          <w:rStyle w:val="Refdenotaalpie"/>
          <w:rFonts w:ascii="Verdana" w:hAnsi="Verdana" w:cs="Times-Roman"/>
          <w:sz w:val="20"/>
          <w:szCs w:val="20"/>
        </w:rPr>
        <w:footnoteReference w:id="5"/>
      </w:r>
      <w:r w:rsidRPr="000D35F0">
        <w:rPr>
          <w:rFonts w:ascii="Verdana" w:hAnsi="Verdana" w:cs="Times-Roman"/>
          <w:sz w:val="20"/>
          <w:szCs w:val="20"/>
        </w:rPr>
        <w:t>.</w:t>
      </w:r>
    </w:p>
    <w:p w14:paraId="3EB08E0F" w14:textId="77777777" w:rsidR="000146CB" w:rsidRPr="000D35F0" w:rsidRDefault="000146CB" w:rsidP="00022FC1">
      <w:pPr>
        <w:autoSpaceDE w:val="0"/>
        <w:autoSpaceDN w:val="0"/>
        <w:adjustRightInd w:val="0"/>
        <w:spacing w:after="0" w:line="276" w:lineRule="auto"/>
        <w:jc w:val="both"/>
        <w:rPr>
          <w:rFonts w:ascii="Verdana" w:hAnsi="Verdana" w:cs="Times-Roman"/>
          <w:sz w:val="20"/>
          <w:szCs w:val="20"/>
        </w:rPr>
      </w:pPr>
    </w:p>
    <w:p w14:paraId="282A16C8" w14:textId="77777777" w:rsidR="009231D4" w:rsidRDefault="000146CB" w:rsidP="409D7308">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409D7308">
        <w:rPr>
          <w:rFonts w:ascii="Verdana" w:eastAsia="Calibri" w:hAnsi="Verdana" w:cs="Arial"/>
          <w:color w:val="000000" w:themeColor="text1"/>
          <w:lang w:val="es-ES"/>
        </w:rPr>
        <w:t xml:space="preserve">Dentro de los mecanismos presupuestales que constituyen excepciones al principio de anualidad se identifican: i) las vigencias futuras, ii) las cuentas por pagar y iii) las reservas presupuestales. Las </w:t>
      </w:r>
      <w:r w:rsidRPr="409D7308">
        <w:rPr>
          <w:rFonts w:ascii="Verdana" w:eastAsia="Calibri" w:hAnsi="Verdana" w:cs="Arial"/>
          <w:i/>
          <w:iCs/>
          <w:color w:val="000000" w:themeColor="text1"/>
          <w:lang w:val="es-ES"/>
        </w:rPr>
        <w:t>primeras</w:t>
      </w:r>
      <w:r w:rsidRPr="409D7308">
        <w:rPr>
          <w:rFonts w:ascii="Verdana" w:eastAsia="Calibri" w:hAnsi="Verdana" w:cs="Arial"/>
          <w:color w:val="000000" w:themeColor="text1"/>
          <w:lang w:val="es-ES"/>
        </w:rPr>
        <w:t>, de conformidad con el artículo 23 del Estatuto Orgánico del Presupuesto</w:t>
      </w:r>
      <w:r w:rsidRPr="409D7308">
        <w:rPr>
          <w:rFonts w:ascii="Verdana" w:eastAsia="Calibri" w:hAnsi="Verdana" w:cs="Arial"/>
          <w:color w:val="000000" w:themeColor="text1"/>
          <w:vertAlign w:val="superscript"/>
          <w:lang w:val="es-ES"/>
        </w:rPr>
        <w:footnoteReference w:id="6"/>
      </w:r>
      <w:r w:rsidRPr="409D7308">
        <w:rPr>
          <w:rFonts w:ascii="Verdana" w:eastAsia="Calibri" w:hAnsi="Verdana" w:cs="Arial"/>
          <w:i/>
          <w:iCs/>
          <w:color w:val="000000" w:themeColor="text1"/>
          <w:lang w:val="es-ES"/>
        </w:rPr>
        <w:t xml:space="preserve">, </w:t>
      </w:r>
      <w:r w:rsidRPr="409D7308">
        <w:rPr>
          <w:rFonts w:ascii="Verdana" w:eastAsia="Calibri" w:hAnsi="Verdana" w:cs="Arial"/>
          <w:color w:val="000000" w:themeColor="text1"/>
          <w:lang w:val="es-ES"/>
        </w:rPr>
        <w:t>se</w:t>
      </w:r>
      <w:r w:rsidRPr="409D7308">
        <w:rPr>
          <w:rFonts w:ascii="Verdana" w:eastAsia="Calibri" w:hAnsi="Verdana" w:cs="Arial"/>
          <w:i/>
          <w:iCs/>
          <w:color w:val="000000" w:themeColor="text1"/>
          <w:lang w:val="es-ES"/>
        </w:rPr>
        <w:t xml:space="preserve"> </w:t>
      </w:r>
      <w:r w:rsidRPr="409D7308">
        <w:rPr>
          <w:rFonts w:ascii="Verdana" w:eastAsia="Calibri" w:hAnsi="Verdana" w:cs="Arial"/>
          <w:color w:val="000000" w:themeColor="text1"/>
          <w:lang w:val="es-ES"/>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w:t>
      </w:r>
    </w:p>
    <w:p w14:paraId="1646A1BB" w14:textId="6CAF9D15" w:rsidR="000146CB" w:rsidRPr="00D069D8" w:rsidRDefault="000146CB" w:rsidP="000146CB">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 xml:space="preserve">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w:t>
      </w:r>
      <w:r w:rsidRPr="00D069D8">
        <w:rPr>
          <w:rFonts w:ascii="Verdana" w:eastAsia="Calibri" w:hAnsi="Verdana" w:cs="Arial"/>
          <w:color w:val="000000" w:themeColor="text1"/>
        </w:rPr>
        <w:lastRenderedPageBreak/>
        <w:t>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7"/>
      </w:r>
      <w:r w:rsidRPr="00D069D8">
        <w:rPr>
          <w:rFonts w:ascii="Verdana" w:eastAsia="Calibri" w:hAnsi="Verdana" w:cs="Arial"/>
          <w:lang w:val="es-ES_tradnl"/>
        </w:rPr>
        <w:t xml:space="preserve">. </w:t>
      </w:r>
    </w:p>
    <w:p w14:paraId="2EB732F7" w14:textId="77777777" w:rsidR="000146CB" w:rsidRPr="00D069D8" w:rsidRDefault="000146CB" w:rsidP="000146CB">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452AF1C4" w14:textId="1774CF29" w:rsidR="000146CB" w:rsidRDefault="000146CB" w:rsidP="009231D4">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r>
        <w:rPr>
          <w:rFonts w:ascii="Verdana" w:eastAsia="Calibri" w:hAnsi="Verdana" w:cs="Arial"/>
          <w:color w:val="000000" w:themeColor="text1"/>
        </w:rPr>
        <w:t>Dicha ley señala en su artículo primero los casos en los que procede las vigencias futuras excepcionales al indicar que:</w:t>
      </w:r>
    </w:p>
    <w:p w14:paraId="2851071A" w14:textId="77777777" w:rsidR="009231D4" w:rsidRDefault="009231D4" w:rsidP="00022FC1">
      <w:pPr>
        <w:shd w:val="clear" w:color="auto" w:fill="FFFFFF"/>
        <w:spacing w:after="0" w:line="276" w:lineRule="auto"/>
        <w:ind w:right="51" w:firstLine="709"/>
        <w:jc w:val="both"/>
        <w:rPr>
          <w:rFonts w:ascii="Verdana" w:eastAsia="Calibri" w:hAnsi="Verdana" w:cs="Arial"/>
          <w:color w:val="000000" w:themeColor="text1"/>
        </w:rPr>
      </w:pPr>
    </w:p>
    <w:p w14:paraId="1B89C359" w14:textId="607DEBE9"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b/>
          <w:bCs/>
          <w:color w:val="000000" w:themeColor="text1"/>
          <w:sz w:val="20"/>
          <w:szCs w:val="20"/>
        </w:rPr>
        <w:t>Artículo 1°. </w:t>
      </w:r>
      <w:r w:rsidRPr="00E87D16">
        <w:rPr>
          <w:rFonts w:ascii="Verdana" w:eastAsia="Calibri" w:hAnsi="Verdana" w:cs="Arial"/>
          <w:i/>
          <w:iCs/>
          <w:color w:val="000000" w:themeColor="text1"/>
          <w:sz w:val="20"/>
          <w:szCs w:val="20"/>
        </w:rPr>
        <w:t>Vigencias futuras excepcionales para entidades territoriales. </w:t>
      </w:r>
      <w:r w:rsidRPr="00E87D16">
        <w:rPr>
          <w:rFonts w:ascii="Verdana" w:eastAsia="Calibri" w:hAnsi="Verdana" w:cs="Arial"/>
          <w:color w:val="000000" w:themeColor="text1"/>
          <w:sz w:val="20"/>
          <w:szCs w:val="20"/>
        </w:rPr>
        <w:t>En las entidades territoriales, las asambleas o concejos respectivos, a iniciativa del gobierno local, podrán autorizar la asunción de obligaciones que afecten presupuestos de vigencias futuras sin apropiación en el presupuesto del año en que se concede la autorización, siempre y cuando se cumplan los siguientes requisitos:</w:t>
      </w:r>
    </w:p>
    <w:p w14:paraId="59D04294"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0F17EA54" w14:textId="77777777"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a). Las vigencias futuras excepcionales solo podrán ser autorizadas para proyectos de infraestructura, energía, comunicaciones, y en gasto público social en los sectores de educación, salud, agua potable y saneamiento básico, que se encuentren debidamente inscritos y viabilizados en los respectivos bancos de proyectos.</w:t>
      </w:r>
    </w:p>
    <w:p w14:paraId="2E1C9DDC"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23854673" w14:textId="2597080D"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lastRenderedPageBreak/>
        <w:t>b). El monto máximo de vigencias futuras, plazo y las condiciones de las mismas deben consultar las metas plurianuales del Marco Fiscal de Mediano Plazo de que trata el artículo </w:t>
      </w:r>
      <w:hyperlink r:id="rId13" w:anchor="5" w:history="1">
        <w:r w:rsidRPr="00E87D16">
          <w:rPr>
            <w:rFonts w:ascii="Verdana" w:hAnsi="Verdana"/>
            <w:color w:val="000000" w:themeColor="text1"/>
            <w:sz w:val="20"/>
            <w:szCs w:val="20"/>
          </w:rPr>
          <w:t>5°</w:t>
        </w:r>
      </w:hyperlink>
      <w:r w:rsidRPr="00E87D16">
        <w:rPr>
          <w:rFonts w:ascii="Verdana" w:eastAsia="Calibri" w:hAnsi="Verdana" w:cs="Arial"/>
          <w:color w:val="000000" w:themeColor="text1"/>
          <w:sz w:val="20"/>
          <w:szCs w:val="20"/>
        </w:rPr>
        <w:t> de la Ley 819 de 2003.</w:t>
      </w:r>
    </w:p>
    <w:p w14:paraId="3DC54D11"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4AEC6A84" w14:textId="1AE0D12C"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c). Se cuente con aprobación previa del Confis territorial o el órgano que haga sus veces.</w:t>
      </w:r>
    </w:p>
    <w:p w14:paraId="540ABF74"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6ABF2164" w14:textId="552A54F9"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d). Cuando se trate de proyectos que conlleven inversión nacional deberá obtenerse el concepto previo y favorable del Departamento Nacional de Planeación.</w:t>
      </w:r>
    </w:p>
    <w:p w14:paraId="60963B82"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4170F88E" w14:textId="3B5FADAB"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La corporación de elección popular se abstendrá de otorgar la autorización, si los proyectos objeto de la vigencia futura no están consignados en el Plan de Inversiones del Plan de Desarrollo respectivo y si sumados todos los compromisos que se pretendan adquirir por esta modalidad y sus costos futuros de mantenimiento y/o administración, excede la capacidad de endeudamiento de la entidad territorial, de forma que se garantice la sujeción territorial a la disciplina fiscal, en los términos del Capítulo II de la Ley 819 de 2003.</w:t>
      </w:r>
    </w:p>
    <w:p w14:paraId="068DD640"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25FC49C3" w14:textId="0A60FAF1"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Los montos por vigencia que se comprometan por parte de las entidades territoriales como vigencias futuras ordinarias y excepcionales, se descontarán de los ingresos que sirven de base para el cálculo de la capacidad de endeudamiento, teniendo en cuenta la inflexibilidad que se genera en la aprobación de los presupuestos de las vigencias afectadas con los gastos aprobados de manera anticipada.</w:t>
      </w:r>
    </w:p>
    <w:p w14:paraId="4587B10A"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5AA68013" w14:textId="019F9D09"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La autorización por parte de la asamblea o concejo respectivo, para comprometer presupuesto con cargo a vigencias futuras no podrá superar el respectivo período de gobierno. Se exceptúan los proyectos de gastos de inversión en aquellos casos en que el Consejo de Gobierno, con fundamento en estudios de reconocido valor técnico que contemplen la definición de obras prioritarias e ingeniería de detalle, de acuerdo a la reglamentación del Gobierno Nacional, previamente los declare de importancia estratégica.</w:t>
      </w:r>
    </w:p>
    <w:p w14:paraId="635811EC" w14:textId="77777777"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60CACEEE" w14:textId="44B478A8" w:rsidR="000146CB" w:rsidRPr="00E87D16"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PARÁGRAFO 1o. En las entidades territoriales, queda prohibida la aprobación de cualquier vigencia futura, en el último año de gobierno del respectivo gobernador o alcalde; excepto para aquellos proyectos de cofinanciación con participación total o mayoritaria de la Nación y la última doceava del Sistema General de Participaciones.</w:t>
      </w:r>
    </w:p>
    <w:p w14:paraId="5A8595E1" w14:textId="17FEA66A" w:rsidR="009231D4" w:rsidRPr="00E87D16" w:rsidRDefault="009231D4" w:rsidP="00E87D16">
      <w:pPr>
        <w:shd w:val="clear" w:color="auto" w:fill="FFFFFF"/>
        <w:spacing w:after="0" w:line="240" w:lineRule="auto"/>
        <w:ind w:left="709" w:right="760"/>
        <w:jc w:val="both"/>
        <w:rPr>
          <w:rFonts w:ascii="Verdana" w:eastAsia="Calibri" w:hAnsi="Verdana" w:cs="Arial"/>
          <w:color w:val="000000" w:themeColor="text1"/>
          <w:sz w:val="20"/>
          <w:szCs w:val="20"/>
        </w:rPr>
      </w:pPr>
    </w:p>
    <w:p w14:paraId="6ADC7AA5" w14:textId="7214AC5B" w:rsidR="0002378F" w:rsidRDefault="000146CB" w:rsidP="00E87D16">
      <w:pPr>
        <w:shd w:val="clear" w:color="auto" w:fill="FFFFFF"/>
        <w:spacing w:after="0" w:line="240" w:lineRule="auto"/>
        <w:ind w:left="709" w:right="760"/>
        <w:jc w:val="both"/>
        <w:rPr>
          <w:rFonts w:ascii="Verdana" w:eastAsia="Calibri" w:hAnsi="Verdana" w:cs="Arial"/>
          <w:color w:val="000000" w:themeColor="text1"/>
          <w:sz w:val="20"/>
          <w:szCs w:val="20"/>
        </w:rPr>
      </w:pPr>
      <w:r w:rsidRPr="00E87D16">
        <w:rPr>
          <w:rFonts w:ascii="Verdana" w:eastAsia="Calibri" w:hAnsi="Verdana" w:cs="Arial"/>
          <w:color w:val="000000" w:themeColor="text1"/>
          <w:sz w:val="20"/>
          <w:szCs w:val="20"/>
        </w:rPr>
        <w:t>PARÁGRAFO 2o. El plazo de ejecución de cualquier vigencia futura aprobada debe ser igual al plazo de ejecución del proyecto o gasto objeto de la misma.</w:t>
      </w:r>
    </w:p>
    <w:p w14:paraId="176345D7" w14:textId="77777777" w:rsidR="000B429D" w:rsidRDefault="000B429D" w:rsidP="00E87D16">
      <w:pPr>
        <w:shd w:val="clear" w:color="auto" w:fill="FFFFFF"/>
        <w:spacing w:after="0" w:line="240" w:lineRule="auto"/>
        <w:ind w:left="709" w:right="760"/>
        <w:jc w:val="both"/>
        <w:rPr>
          <w:rFonts w:ascii="Verdana" w:eastAsia="Calibri" w:hAnsi="Verdana" w:cs="Arial"/>
          <w:color w:val="000000" w:themeColor="text1"/>
        </w:rPr>
      </w:pPr>
    </w:p>
    <w:p w14:paraId="5169D590" w14:textId="46B6B8CD" w:rsidR="000146CB" w:rsidRDefault="000146CB" w:rsidP="000146CB">
      <w:pPr>
        <w:shd w:val="clear" w:color="auto" w:fill="FFFFFF"/>
        <w:spacing w:after="120" w:line="276" w:lineRule="auto"/>
        <w:ind w:right="51" w:firstLine="709"/>
        <w:jc w:val="both"/>
        <w:rPr>
          <w:rFonts w:ascii="Verdana" w:eastAsia="Calibri" w:hAnsi="Verdana" w:cs="Arial"/>
          <w:color w:val="000000" w:themeColor="text1"/>
        </w:rPr>
      </w:pPr>
      <w:r w:rsidRPr="004E09A5">
        <w:rPr>
          <w:rFonts w:ascii="Verdana" w:eastAsia="Calibri" w:hAnsi="Verdana" w:cs="Arial"/>
          <w:color w:val="000000" w:themeColor="text1"/>
        </w:rPr>
        <w:t xml:space="preserve">De esta manera, la Ley 1483 de 2011 dispone que, en las vigencias futuras excepcionales, por la envergadura de los proyectos que se pretenden financiar, </w:t>
      </w:r>
      <w:r>
        <w:rPr>
          <w:rFonts w:ascii="Verdana" w:eastAsia="Calibri" w:hAnsi="Verdana" w:cs="Arial"/>
          <w:color w:val="000000" w:themeColor="text1"/>
        </w:rPr>
        <w:t xml:space="preserve">serán </w:t>
      </w:r>
      <w:r w:rsidRPr="004E09A5">
        <w:rPr>
          <w:rFonts w:ascii="Verdana" w:eastAsia="Calibri" w:hAnsi="Verdana" w:cs="Arial"/>
          <w:color w:val="000000" w:themeColor="text1"/>
        </w:rPr>
        <w:t>las asambleas</w:t>
      </w:r>
      <w:r>
        <w:rPr>
          <w:rFonts w:ascii="Verdana" w:eastAsia="Calibri" w:hAnsi="Verdana" w:cs="Arial"/>
          <w:color w:val="000000" w:themeColor="text1"/>
        </w:rPr>
        <w:t xml:space="preserve"> departamentales</w:t>
      </w:r>
      <w:r w:rsidRPr="004E09A5">
        <w:rPr>
          <w:rFonts w:ascii="Verdana" w:eastAsia="Calibri" w:hAnsi="Verdana" w:cs="Arial"/>
          <w:color w:val="000000" w:themeColor="text1"/>
        </w:rPr>
        <w:t xml:space="preserve"> o concejos</w:t>
      </w:r>
      <w:r>
        <w:rPr>
          <w:rFonts w:ascii="Verdana" w:eastAsia="Calibri" w:hAnsi="Verdana" w:cs="Arial"/>
          <w:color w:val="000000" w:themeColor="text1"/>
        </w:rPr>
        <w:t xml:space="preserve"> municipales quienes</w:t>
      </w:r>
      <w:r w:rsidRPr="004E09A5">
        <w:rPr>
          <w:rFonts w:ascii="Verdana" w:eastAsia="Calibri" w:hAnsi="Verdana" w:cs="Arial"/>
          <w:color w:val="000000" w:themeColor="text1"/>
        </w:rPr>
        <w:t xml:space="preserve"> podrán autorizar la asunción de obligaciones que afecten presupuestos de vigencias futuras sin apropiación en el presupuesto del año en que se concede la autorización, a diferencia de lo que </w:t>
      </w:r>
      <w:r>
        <w:rPr>
          <w:rFonts w:ascii="Verdana" w:eastAsia="Calibri" w:hAnsi="Verdana" w:cs="Arial"/>
          <w:color w:val="000000" w:themeColor="text1"/>
        </w:rPr>
        <w:t>sucede</w:t>
      </w:r>
      <w:r w:rsidRPr="004E09A5">
        <w:rPr>
          <w:rFonts w:ascii="Verdana" w:eastAsia="Calibri" w:hAnsi="Verdana" w:cs="Arial"/>
          <w:color w:val="000000" w:themeColor="text1"/>
        </w:rPr>
        <w:t xml:space="preserve"> con las vigencias futuras ordinarias previstas en el artículo 12 de la Ley 819 de 2003.</w:t>
      </w:r>
    </w:p>
    <w:p w14:paraId="6432C795" w14:textId="77777777" w:rsidR="000146CB" w:rsidRPr="00D069D8" w:rsidRDefault="000146CB" w:rsidP="000146CB">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8"/>
      </w:r>
      <w:r w:rsidRPr="00D069D8">
        <w:rPr>
          <w:rFonts w:ascii="Verdana" w:hAnsi="Verdana" w:cs="Symbol"/>
        </w:rPr>
        <w:t>.</w:t>
      </w:r>
    </w:p>
    <w:p w14:paraId="11F0DD8F" w14:textId="77777777" w:rsidR="00C0730D" w:rsidRDefault="000146CB" w:rsidP="000146CB">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9"/>
      </w:r>
      <w:r w:rsidRPr="00D069D8">
        <w:rPr>
          <w:rFonts w:ascii="Verdana" w:eastAsia="Calibri" w:hAnsi="Verdana" w:cs="Arial"/>
          <w:color w:val="000000" w:themeColor="text1"/>
          <w:lang w:val="es-ES_tradnl"/>
        </w:rPr>
        <w:t xml:space="preserve">. </w:t>
      </w:r>
    </w:p>
    <w:p w14:paraId="21CA3107" w14:textId="77777777" w:rsidR="00A76101" w:rsidRDefault="000146CB" w:rsidP="00935522">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4"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 xml:space="preserve">suponen que </w:t>
      </w:r>
      <w:r w:rsidR="00C0730D">
        <w:rPr>
          <w:rFonts w:ascii="Verdana" w:eastAsia="Calibri" w:hAnsi="Verdana" w:cs="Arial"/>
          <w:color w:val="000000" w:themeColor="text1"/>
          <w:lang w:val="es-ES"/>
        </w:rPr>
        <w:t>“</w:t>
      </w:r>
      <w:r w:rsidRPr="00D069D8">
        <w:rPr>
          <w:rFonts w:ascii="Verdana" w:eastAsia="Calibri" w:hAnsi="Verdana" w:cs="Arial"/>
          <w:color w:val="000000" w:themeColor="text1"/>
          <w:lang w:val="es-ES"/>
        </w:rPr>
        <w:t>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00C0730D">
        <w:rPr>
          <w:rFonts w:ascii="Verdana" w:eastAsia="Calibri" w:hAnsi="Verdana" w:cs="Arial"/>
          <w:color w:val="000000" w:themeColor="text1"/>
          <w:lang w:val="es-ES"/>
        </w:rPr>
        <w:t>”</w:t>
      </w:r>
      <w:r w:rsidRPr="00D069D8">
        <w:rPr>
          <w:rFonts w:ascii="Verdana" w:eastAsia="Calibri" w:hAnsi="Verdana" w:cs="Arial"/>
          <w:color w:val="000000" w:themeColor="text1"/>
          <w:vertAlign w:val="superscript"/>
          <w:lang w:val="es-ES"/>
        </w:rPr>
        <w:footnoteReference w:id="10"/>
      </w:r>
      <w:r w:rsidRPr="00D069D8">
        <w:rPr>
          <w:rFonts w:ascii="Verdana" w:eastAsia="Calibri" w:hAnsi="Verdana" w:cs="Arial"/>
          <w:color w:val="000000" w:themeColor="text1"/>
          <w:lang w:val="es-ES"/>
        </w:rPr>
        <w:t xml:space="preserve">. </w:t>
      </w:r>
      <w:bookmarkEnd w:id="4"/>
      <w:r w:rsidRPr="00D069D8">
        <w:rPr>
          <w:rFonts w:ascii="Verdana" w:eastAsia="Calibri" w:hAnsi="Verdana" w:cs="Arial"/>
          <w:color w:val="000000" w:themeColor="text1"/>
          <w:lang w:val="es-ES_tradnl"/>
        </w:rPr>
        <w:t xml:space="preserve">En virtud de lo anterior, las entidades estatales pueden solicitar reservas presupuestales cuando habiendo adquirido compromisos en una vigencia fiscal, a 31 de diciembre no se han cumplido en su totalidad, y, por tanto, debe continuarse con la respectiva ejecución en la siguiente vigencia. </w:t>
      </w:r>
    </w:p>
    <w:p w14:paraId="53FA3689" w14:textId="22E0B69C" w:rsidR="000146CB" w:rsidRPr="00D069D8" w:rsidRDefault="000146CB" w:rsidP="00A76101">
      <w:pPr>
        <w:shd w:val="clear" w:color="auto" w:fill="FFFFFF"/>
        <w:spacing w:after="120" w:line="276" w:lineRule="auto"/>
        <w:ind w:right="51"/>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lastRenderedPageBreak/>
        <w:t>Las reservas 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1"/>
      </w:r>
      <w:r w:rsidRPr="00D069D8">
        <w:rPr>
          <w:rFonts w:ascii="Verdana" w:eastAsia="Calibri" w:hAnsi="Verdana" w:cs="Arial"/>
          <w:color w:val="000000" w:themeColor="text1"/>
          <w:lang w:val="es-ES_tradnl"/>
        </w:rPr>
        <w:t xml:space="preserve">. </w:t>
      </w:r>
    </w:p>
    <w:p w14:paraId="410B1AE2" w14:textId="77777777" w:rsidR="000146CB" w:rsidRPr="00D069D8" w:rsidRDefault="000146CB" w:rsidP="000146CB">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2"/>
      </w:r>
      <w:r w:rsidRPr="00D069D8">
        <w:rPr>
          <w:rFonts w:ascii="Verdana" w:eastAsia="Calibri" w:hAnsi="Verdana" w:cs="Arial"/>
          <w:color w:val="000000" w:themeColor="text1"/>
        </w:rPr>
        <w:t>.</w:t>
      </w:r>
    </w:p>
    <w:p w14:paraId="62132644" w14:textId="700F59BE" w:rsidR="000146CB" w:rsidRPr="00D069D8" w:rsidRDefault="000146CB" w:rsidP="000146CB">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autoridades públicas</w:t>
      </w:r>
      <w:r w:rsidR="00EA7369">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sidR="00EA7369">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3"/>
      </w:r>
      <w:r w:rsidRPr="00D069D8">
        <w:rPr>
          <w:rFonts w:ascii="Verdana" w:eastAsia="Calibri" w:hAnsi="Verdana" w:cs="Arial"/>
          <w:color w:val="000000" w:themeColor="text1"/>
        </w:rPr>
        <w:t xml:space="preserve">. </w:t>
      </w:r>
    </w:p>
    <w:p w14:paraId="13AFFA90" w14:textId="517FD664" w:rsidR="000146CB" w:rsidRDefault="000146CB" w:rsidP="00935522">
      <w:pPr>
        <w:shd w:val="clear" w:color="auto" w:fill="FFFFFF"/>
        <w:spacing w:after="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Finalmente, es importante hacer referencia a los “pagos de pasivos exigibles – vigencias expiradas</w:t>
      </w:r>
      <w:r w:rsidRPr="003018BB">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_tradnl"/>
        </w:rPr>
        <w:t xml:space="preserve">que procede en los casos en los que </w:t>
      </w:r>
      <w:r w:rsidRPr="003018BB">
        <w:rPr>
          <w:rFonts w:ascii="Verdana" w:eastAsia="Calibri" w:hAnsi="Verdana" w:cs="Arial"/>
          <w:color w:val="000000" w:themeColor="text1"/>
          <w:lang w:val="es-ES_tradnl"/>
        </w:rPr>
        <w:t>no se haya constituido la reserva presupuestal o la cuenta por pagar o cuando habiéndose constituido no se realizó el pago respectivo</w:t>
      </w:r>
      <w:r w:rsidRPr="00D069D8">
        <w:rPr>
          <w:rFonts w:ascii="Verdana" w:eastAsia="Calibri" w:hAnsi="Verdana" w:cs="Arial"/>
          <w:color w:val="000000" w:themeColor="text1"/>
          <w:lang w:val="es-ES_tradnl"/>
        </w:rPr>
        <w:t>. El artículo 49 de la Ley 2159 de 2021 “</w:t>
      </w:r>
      <w:r w:rsidRPr="003018BB">
        <w:rPr>
          <w:rFonts w:ascii="Verdana" w:eastAsia="Calibri" w:hAnsi="Verdana" w:cs="Arial"/>
          <w:color w:val="000000" w:themeColor="text1"/>
          <w:lang w:val="es-ES_tradnl"/>
        </w:rPr>
        <w:t xml:space="preserve">Por </w:t>
      </w:r>
      <w:r w:rsidRPr="00D069D8">
        <w:rPr>
          <w:rFonts w:ascii="Verdana" w:eastAsia="Calibri" w:hAnsi="Verdana" w:cs="Arial"/>
          <w:color w:val="000000" w:themeColor="text1"/>
          <w:lang w:val="es-ES_tradnl"/>
        </w:rPr>
        <w:t xml:space="preserve">la cual se decreta el presupuesto de rentas y recursos de capital y ley de apropiaciones para la vigencia fiscal del 1° de enero al 31 de diciembre de 2022” regula esta institución de la siguiente manera: </w:t>
      </w:r>
    </w:p>
    <w:p w14:paraId="612C2374" w14:textId="77777777" w:rsidR="000146CB" w:rsidRPr="000D35F0" w:rsidRDefault="000146CB" w:rsidP="00022FC1">
      <w:pPr>
        <w:spacing w:after="0" w:line="240" w:lineRule="auto"/>
        <w:ind w:left="709" w:right="709"/>
        <w:jc w:val="both"/>
        <w:rPr>
          <w:rFonts w:ascii="Verdana" w:eastAsia="Calibri" w:hAnsi="Verdana" w:cs="Arial"/>
          <w:i/>
          <w:iCs/>
          <w:sz w:val="20"/>
          <w:szCs w:val="20"/>
          <w:lang w:val="es-ES"/>
        </w:rPr>
      </w:pPr>
      <w:r w:rsidRPr="000D35F0">
        <w:rPr>
          <w:rFonts w:ascii="Verdana" w:eastAsia="Calibri" w:hAnsi="Verdana" w:cs="Arial"/>
          <w:sz w:val="20"/>
          <w:szCs w:val="20"/>
          <w:lang w:val="es-ES"/>
        </w:rPr>
        <w:lastRenderedPageBreak/>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Pr="000D35F0">
        <w:rPr>
          <w:rFonts w:ascii="Verdana" w:eastAsia="Calibri" w:hAnsi="Verdana" w:cs="Arial"/>
          <w:i/>
          <w:iCs/>
          <w:sz w:val="20"/>
          <w:szCs w:val="20"/>
          <w:lang w:val="es-ES"/>
        </w:rPr>
        <w:t xml:space="preserve">"Pago de Pasivos Exigibles - Vigencias Expiradas". </w:t>
      </w:r>
    </w:p>
    <w:p w14:paraId="7558FB5E" w14:textId="77777777" w:rsidR="000146CB" w:rsidRPr="000D35F0" w:rsidRDefault="000146CB" w:rsidP="000146CB">
      <w:pPr>
        <w:spacing w:after="0"/>
        <w:ind w:left="709" w:right="709"/>
        <w:jc w:val="both"/>
        <w:rPr>
          <w:rFonts w:ascii="Verdana" w:eastAsia="Calibri" w:hAnsi="Verdana" w:cs="Arial"/>
          <w:sz w:val="20"/>
          <w:szCs w:val="20"/>
          <w:lang w:val="es-ES_tradnl"/>
        </w:rPr>
      </w:pPr>
    </w:p>
    <w:p w14:paraId="71B04A5E" w14:textId="77777777" w:rsidR="000146CB" w:rsidRPr="000D35F0" w:rsidRDefault="000146CB" w:rsidP="000146CB">
      <w:pPr>
        <w:spacing w:after="0"/>
        <w:ind w:left="709" w:right="709"/>
        <w:jc w:val="both"/>
        <w:rPr>
          <w:rFonts w:ascii="Verdana" w:eastAsia="Calibri" w:hAnsi="Verdana" w:cs="Arial"/>
          <w:sz w:val="20"/>
          <w:szCs w:val="20"/>
          <w:lang w:val="es-ES_tradnl"/>
        </w:rPr>
      </w:pPr>
      <w:r w:rsidRPr="000D35F0">
        <w:rPr>
          <w:rFonts w:ascii="Verdana" w:eastAsia="Calibri" w:hAnsi="Verdana" w:cs="Arial"/>
          <w:sz w:val="20"/>
          <w:szCs w:val="20"/>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1321F6DB" w14:textId="77777777" w:rsidR="000146CB" w:rsidRPr="000D35F0" w:rsidRDefault="000146CB" w:rsidP="000146CB">
      <w:pPr>
        <w:spacing w:after="0"/>
        <w:ind w:left="709" w:right="709"/>
        <w:jc w:val="both"/>
        <w:rPr>
          <w:rFonts w:ascii="Verdana" w:eastAsia="Calibri" w:hAnsi="Verdana" w:cs="Arial"/>
          <w:sz w:val="20"/>
          <w:szCs w:val="20"/>
          <w:lang w:val="es-ES"/>
        </w:rPr>
      </w:pPr>
    </w:p>
    <w:p w14:paraId="1907E908" w14:textId="77777777" w:rsidR="000146CB" w:rsidRPr="000D35F0" w:rsidRDefault="000146CB" w:rsidP="000146CB">
      <w:pPr>
        <w:spacing w:after="0"/>
        <w:ind w:left="709" w:right="709"/>
        <w:jc w:val="both"/>
        <w:rPr>
          <w:rFonts w:ascii="Verdana" w:eastAsia="Calibri" w:hAnsi="Verdana" w:cs="Arial"/>
          <w:sz w:val="20"/>
          <w:szCs w:val="20"/>
          <w:lang w:val="es-ES"/>
        </w:rPr>
      </w:pPr>
      <w:r w:rsidRPr="000D35F0">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5F839798" w14:textId="77777777" w:rsidR="000146CB" w:rsidRPr="000D35F0" w:rsidRDefault="000146CB" w:rsidP="000146CB">
      <w:pPr>
        <w:spacing w:after="0"/>
        <w:ind w:left="709" w:right="709"/>
        <w:jc w:val="both"/>
        <w:rPr>
          <w:rFonts w:ascii="Verdana" w:eastAsia="Calibri" w:hAnsi="Verdana" w:cs="Arial"/>
          <w:sz w:val="20"/>
          <w:szCs w:val="20"/>
          <w:lang w:val="es-ES"/>
        </w:rPr>
      </w:pPr>
    </w:p>
    <w:p w14:paraId="565B8B31" w14:textId="77777777" w:rsidR="000146CB" w:rsidRPr="000D35F0" w:rsidRDefault="000146CB" w:rsidP="000146CB">
      <w:pPr>
        <w:spacing w:after="0"/>
        <w:ind w:left="709" w:right="709"/>
        <w:jc w:val="both"/>
        <w:rPr>
          <w:rFonts w:ascii="Verdana" w:eastAsia="Calibri" w:hAnsi="Verdana" w:cs="Arial"/>
          <w:sz w:val="20"/>
          <w:szCs w:val="20"/>
          <w:lang w:val="es-ES"/>
        </w:rPr>
      </w:pPr>
      <w:r w:rsidRPr="000D35F0">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 texto).</w:t>
      </w:r>
    </w:p>
    <w:p w14:paraId="10F7C300" w14:textId="77777777" w:rsidR="000146CB" w:rsidRPr="00D069D8" w:rsidRDefault="000146CB" w:rsidP="000146CB">
      <w:pPr>
        <w:spacing w:after="0"/>
        <w:ind w:left="709" w:right="709"/>
        <w:jc w:val="both"/>
        <w:rPr>
          <w:rFonts w:ascii="Verdana" w:eastAsia="Calibri" w:hAnsi="Verdana" w:cs="Arial"/>
          <w:sz w:val="21"/>
          <w:szCs w:val="21"/>
          <w:lang w:val="es-ES"/>
        </w:rPr>
      </w:pPr>
    </w:p>
    <w:p w14:paraId="0C009592" w14:textId="77777777" w:rsidR="000146CB" w:rsidRPr="00D069D8" w:rsidRDefault="000146CB" w:rsidP="000146CB">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0D76A8DB" w14:textId="77777777" w:rsidR="000146CB" w:rsidRPr="00D069D8" w:rsidRDefault="000146CB" w:rsidP="00D74A5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mecanismos presupuestales dentro de los cuales se encuentran las vigencias futuras, que permite asumir compromisos que afecten el presupuesto de vigencias posteriores</w:t>
      </w:r>
      <w:r>
        <w:rPr>
          <w:rFonts w:ascii="Verdana" w:eastAsia="Calibri" w:hAnsi="Verdana" w:cs="Arial"/>
          <w:color w:val="000000" w:themeColor="text1"/>
        </w:rPr>
        <w:t xml:space="preserve">. </w:t>
      </w:r>
    </w:p>
    <w:p w14:paraId="1C38907C" w14:textId="77777777" w:rsidR="000146CB" w:rsidRDefault="000146CB" w:rsidP="00D74A5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lastRenderedPageBreak/>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410B9DFE" w14:textId="7A906227" w:rsidR="000146CB" w:rsidRDefault="00DB57F5" w:rsidP="00D74A55">
      <w:pPr>
        <w:shd w:val="clear" w:color="auto" w:fill="FFFFFF"/>
        <w:spacing w:after="120" w:line="276" w:lineRule="auto"/>
        <w:ind w:right="51" w:firstLine="709"/>
        <w:jc w:val="both"/>
        <w:rPr>
          <w:rFonts w:ascii="Verdana" w:eastAsia="Calibri" w:hAnsi="Verdana" w:cs="Arial"/>
        </w:rPr>
      </w:pPr>
      <w:r w:rsidRPr="79F3ED1A">
        <w:rPr>
          <w:rFonts w:ascii="Verdana" w:eastAsia="Calibri" w:hAnsi="Verdana" w:cs="Arial"/>
        </w:rPr>
        <w:t>Para ello, y en aplicación del principio de planeación, se recomienda a las entidades adoptar anticipadamente las medidas necesarias en su gestión contractual con el fin de evitar que las restricciones impuestas por la Ley de Garantías</w:t>
      </w:r>
      <w:r w:rsidR="00935522">
        <w:rPr>
          <w:rFonts w:ascii="Verdana" w:eastAsia="Calibri" w:hAnsi="Verdana" w:cs="Arial"/>
        </w:rPr>
        <w:t xml:space="preserve"> Electorales</w:t>
      </w:r>
      <w:r w:rsidRPr="79F3ED1A">
        <w:rPr>
          <w:rFonts w:ascii="Verdana" w:eastAsia="Calibri" w:hAnsi="Verdana" w:cs="Arial"/>
        </w:rPr>
        <w:t xml:space="preserve"> afecten el funcionamiento de las entidades y el cumplimiento de los fines institucionales. Asimismo, resulta aconsejable prever escenarios de contingencia que permitan atender necesidades urgentes o inaplazables, sin incurrir en actuaciones que puedan comprometer las restricciones de la Ley de Garantías</w:t>
      </w:r>
      <w:r w:rsidR="00935522">
        <w:rPr>
          <w:rFonts w:ascii="Verdana" w:eastAsia="Calibri" w:hAnsi="Verdana" w:cs="Arial"/>
        </w:rPr>
        <w:t xml:space="preserve"> Electorales</w:t>
      </w:r>
      <w:r w:rsidRPr="79F3ED1A">
        <w:rPr>
          <w:rFonts w:ascii="Verdana" w:eastAsia="Calibri" w:hAnsi="Verdana" w:cs="Arial"/>
        </w:rPr>
        <w:t>, la legalidad o la transparencia del proceso contractual.</w:t>
      </w:r>
    </w:p>
    <w:p w14:paraId="75B8F4E8" w14:textId="77777777" w:rsidR="000146CB" w:rsidRPr="00D069D8" w:rsidRDefault="000146CB" w:rsidP="00D74A55">
      <w:pPr>
        <w:spacing w:after="120" w:line="276" w:lineRule="auto"/>
        <w:ind w:firstLine="709"/>
        <w:jc w:val="both"/>
        <w:rPr>
          <w:rFonts w:ascii="Verdana" w:hAnsi="Verdana"/>
        </w:rPr>
      </w:pPr>
      <w:r w:rsidRPr="00D069D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91E30D" w14:textId="43F2568E" w:rsidR="00935522" w:rsidRPr="00D069D8" w:rsidRDefault="000146CB" w:rsidP="00022FC1">
      <w:pPr>
        <w:spacing w:after="0" w:line="276" w:lineRule="auto"/>
        <w:ind w:firstLine="709"/>
        <w:jc w:val="both"/>
        <w:rPr>
          <w:rFonts w:ascii="Verdana" w:eastAsia="Calibri" w:hAnsi="Verdana" w:cs="Arial"/>
          <w:bCs/>
          <w:color w:val="000000" w:themeColor="text1"/>
        </w:rPr>
      </w:pPr>
      <w:r w:rsidRPr="00D069D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D069D8">
        <w:rPr>
          <w:rFonts w:ascii="Verdana" w:eastAsia="Calibri" w:hAnsi="Verdana" w:cs="Arial"/>
          <w:bCs/>
          <w:color w:val="000000" w:themeColor="text1"/>
        </w:rPr>
        <w:lastRenderedPageBreak/>
        <w:t xml:space="preserve">gestión contractual, sin que sea atribución de Colombia Compra Eficiente validar sus actuaciones. </w:t>
      </w:r>
    </w:p>
    <w:p w14:paraId="19C4C52C" w14:textId="77777777" w:rsidR="000146CB" w:rsidRPr="00D069D8" w:rsidRDefault="000146CB" w:rsidP="00022FC1">
      <w:pPr>
        <w:spacing w:after="0" w:line="276" w:lineRule="auto"/>
        <w:ind w:firstLine="709"/>
        <w:jc w:val="both"/>
        <w:rPr>
          <w:rFonts w:ascii="Verdana" w:eastAsia="Calibri" w:hAnsi="Verdana" w:cs="Arial"/>
          <w:color w:val="000000" w:themeColor="text1"/>
        </w:rPr>
      </w:pPr>
    </w:p>
    <w:p w14:paraId="2CCCE7C7" w14:textId="77777777" w:rsidR="000146CB" w:rsidRPr="00D069D8" w:rsidRDefault="000146CB" w:rsidP="000146CB">
      <w:pPr>
        <w:numPr>
          <w:ilvl w:val="0"/>
          <w:numId w:val="16"/>
        </w:numPr>
        <w:spacing w:after="0" w:line="276" w:lineRule="auto"/>
        <w:rPr>
          <w:rFonts w:ascii="Verdana" w:eastAsia="Calibri" w:hAnsi="Verdana" w:cs="Times New Roman"/>
          <w:b/>
          <w:bCs/>
          <w:lang w:val="es-ES"/>
        </w:rPr>
      </w:pPr>
      <w:r w:rsidRPr="00D069D8">
        <w:rPr>
          <w:rFonts w:ascii="Verdana" w:eastAsia="Calibri" w:hAnsi="Verdana" w:cs="Times New Roman"/>
          <w:b/>
          <w:bCs/>
          <w:lang w:val="es-ES"/>
        </w:rPr>
        <w:t>Referencias normativas, jurisprudenciales y otras fuentes</w:t>
      </w:r>
    </w:p>
    <w:p w14:paraId="4BE47903" w14:textId="77777777" w:rsidR="000146CB" w:rsidRPr="00D069D8" w:rsidRDefault="000146CB" w:rsidP="000146CB">
      <w:pPr>
        <w:spacing w:after="0" w:line="276" w:lineRule="auto"/>
        <w:jc w:val="both"/>
        <w:rPr>
          <w:rFonts w:ascii="Verdana" w:eastAsia="Calibri" w:hAnsi="Verdana" w:cs="Arial"/>
          <w:color w:val="000000"/>
          <w:szCs w:val="24"/>
          <w:lang w:eastAsia="es-ES_tradnl"/>
        </w:rPr>
      </w:pPr>
      <w:r w:rsidRPr="00D069D8">
        <w:rPr>
          <w:rFonts w:ascii="Verdana" w:eastAsia="Calibri" w:hAnsi="Verdana" w:cs="Arial"/>
          <w:color w:val="000000"/>
          <w:lang w:eastAsia="es-ES_tradnl"/>
        </w:rPr>
        <w:t xml:space="preserve">   </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46CB" w:rsidRPr="00D069D8" w14:paraId="479315E0" w14:textId="77777777">
        <w:trPr>
          <w:trHeight w:val="870"/>
          <w:jc w:val="center"/>
        </w:trPr>
        <w:tc>
          <w:tcPr>
            <w:tcW w:w="8647" w:type="dxa"/>
          </w:tcPr>
          <w:p w14:paraId="17033904" w14:textId="77777777" w:rsidR="000146CB" w:rsidRPr="00D069D8" w:rsidRDefault="000146CB" w:rsidP="00022FC1">
            <w:pPr>
              <w:numPr>
                <w:ilvl w:val="0"/>
                <w:numId w:val="17"/>
              </w:numPr>
              <w:spacing w:after="120" w:line="276" w:lineRule="auto"/>
              <w:ind w:left="714" w:hanging="357"/>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Constitución Política, artículo 352. </w:t>
            </w:r>
          </w:p>
          <w:p w14:paraId="71AF0885" w14:textId="77777777" w:rsidR="000146CB" w:rsidRPr="00D069D8" w:rsidRDefault="000146CB" w:rsidP="00022FC1">
            <w:pPr>
              <w:numPr>
                <w:ilvl w:val="0"/>
                <w:numId w:val="17"/>
              </w:numPr>
              <w:spacing w:after="120" w:line="276" w:lineRule="auto"/>
              <w:ind w:left="714" w:hanging="357"/>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Decreto 111 de 1996, artículo 23.  </w:t>
            </w:r>
          </w:p>
          <w:p w14:paraId="62E6CDC0" w14:textId="76998E55" w:rsidR="000146CB" w:rsidRPr="00D069D8" w:rsidRDefault="000146CB" w:rsidP="00022FC1">
            <w:pPr>
              <w:numPr>
                <w:ilvl w:val="0"/>
                <w:numId w:val="17"/>
              </w:numPr>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La Ley 813 de 2003</w:t>
            </w:r>
            <w:r w:rsidR="00935522">
              <w:rPr>
                <w:rFonts w:ascii="Verdana" w:hAnsi="Verdana"/>
                <w:bCs/>
                <w:color w:val="000000"/>
                <w:lang w:val="es-ES_tradnl" w:eastAsia="es-ES_tradnl" w:bidi="es-ES"/>
              </w:rPr>
              <w:t>, a</w:t>
            </w:r>
            <w:r w:rsidRPr="00D069D8">
              <w:rPr>
                <w:rFonts w:ascii="Verdana" w:hAnsi="Verdana"/>
                <w:bCs/>
                <w:color w:val="000000"/>
                <w:lang w:val="es-ES_tradnl" w:eastAsia="es-ES_tradnl" w:bidi="es-ES"/>
              </w:rPr>
              <w:t>rtículos 8, 10, 11 y 12.</w:t>
            </w:r>
          </w:p>
          <w:p w14:paraId="4B702D45" w14:textId="77777777" w:rsidR="000146CB" w:rsidRPr="00D069D8" w:rsidRDefault="000146CB" w:rsidP="00022FC1">
            <w:pPr>
              <w:numPr>
                <w:ilvl w:val="0"/>
                <w:numId w:val="17"/>
              </w:numPr>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Ley 1483 de 2011.</w:t>
            </w:r>
          </w:p>
          <w:p w14:paraId="298586D6" w14:textId="77777777" w:rsidR="000146CB" w:rsidRPr="00D069D8" w:rsidRDefault="000146CB" w:rsidP="00022FC1">
            <w:pPr>
              <w:numPr>
                <w:ilvl w:val="0"/>
                <w:numId w:val="17"/>
              </w:numPr>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Ley 2159 de 2021, artículo 49. </w:t>
            </w:r>
          </w:p>
          <w:p w14:paraId="02928042" w14:textId="77777777" w:rsidR="000146CB" w:rsidRPr="00D069D8" w:rsidRDefault="000146CB" w:rsidP="00022FC1">
            <w:pPr>
              <w:widowControl w:val="0"/>
              <w:numPr>
                <w:ilvl w:val="0"/>
                <w:numId w:val="17"/>
              </w:numPr>
              <w:autoSpaceDE w:val="0"/>
              <w:autoSpaceDN w:val="0"/>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Decreto 1068 de 2015: Artículo 2.8.3.4. </w:t>
            </w:r>
          </w:p>
          <w:p w14:paraId="494F2683" w14:textId="77777777" w:rsidR="000146CB" w:rsidRPr="00D069D8" w:rsidRDefault="000146CB" w:rsidP="00022FC1">
            <w:pPr>
              <w:widowControl w:val="0"/>
              <w:numPr>
                <w:ilvl w:val="0"/>
                <w:numId w:val="17"/>
              </w:numPr>
              <w:autoSpaceDE w:val="0"/>
              <w:autoSpaceDN w:val="0"/>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Consejo de Estado. Sección Tercera. Sentencia del 1 de febrero de 2018. Radicado Nro. 08001-2331-000-2010-00987-01. C.P. Oswaldo Giraldo López</w:t>
            </w:r>
          </w:p>
          <w:p w14:paraId="7C8554D1" w14:textId="77777777" w:rsidR="000146CB" w:rsidRPr="00D069D8" w:rsidRDefault="000146CB" w:rsidP="00022FC1">
            <w:pPr>
              <w:widowControl w:val="0"/>
              <w:numPr>
                <w:ilvl w:val="0"/>
                <w:numId w:val="17"/>
              </w:numPr>
              <w:autoSpaceDE w:val="0"/>
              <w:autoSpaceDN w:val="0"/>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Consejo de Estado. Sección Tercera. Sentencia del 12 de agosto de 2014. Radicado Nro. 05001-23-31-000-1998-01350-01(28565) C.P. Enrique Gil Botero</w:t>
            </w:r>
          </w:p>
          <w:p w14:paraId="2213D5FB" w14:textId="77777777" w:rsidR="000146CB" w:rsidRPr="00D069D8" w:rsidRDefault="000146CB" w:rsidP="00022FC1">
            <w:pPr>
              <w:widowControl w:val="0"/>
              <w:numPr>
                <w:ilvl w:val="0"/>
                <w:numId w:val="17"/>
              </w:numPr>
              <w:autoSpaceDE w:val="0"/>
              <w:autoSpaceDN w:val="0"/>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Contraloría General de la República. Circular Externa 43 de 2008.</w:t>
            </w:r>
          </w:p>
          <w:p w14:paraId="46023FC5" w14:textId="77777777" w:rsidR="000146CB" w:rsidRDefault="000146CB" w:rsidP="00022FC1">
            <w:pPr>
              <w:widowControl w:val="0"/>
              <w:numPr>
                <w:ilvl w:val="0"/>
                <w:numId w:val="17"/>
              </w:numPr>
              <w:autoSpaceDE w:val="0"/>
              <w:autoSpaceDN w:val="0"/>
              <w:spacing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NARANJO FLORES, Carlos Eduardo; CELY CUBIDES, Diego Mauricio. Las excepciones al principio de anualidad en la contratación estatal. Bogotá: Revista de Derecho Fiscal Universidad Externado de Colombia, 2008, no 4. pp. 247-259.</w:t>
            </w:r>
          </w:p>
          <w:p w14:paraId="6E04C1FE" w14:textId="77777777" w:rsidR="000B429D" w:rsidRPr="00D069D8" w:rsidRDefault="000B429D" w:rsidP="000B429D">
            <w:pPr>
              <w:widowControl w:val="0"/>
              <w:autoSpaceDE w:val="0"/>
              <w:autoSpaceDN w:val="0"/>
              <w:spacing w:after="120" w:line="276" w:lineRule="auto"/>
              <w:ind w:left="720"/>
              <w:jc w:val="both"/>
              <w:rPr>
                <w:rFonts w:ascii="Verdana" w:hAnsi="Verdana"/>
                <w:bCs/>
                <w:color w:val="000000"/>
                <w:lang w:val="es-ES_tradnl" w:eastAsia="es-ES_tradnl" w:bidi="es-ES"/>
              </w:rPr>
            </w:pPr>
          </w:p>
        </w:tc>
      </w:tr>
    </w:tbl>
    <w:p w14:paraId="70BAFBBA" w14:textId="77777777" w:rsidR="000146CB" w:rsidRPr="00935522" w:rsidRDefault="000146CB" w:rsidP="00935522">
      <w:pPr>
        <w:spacing w:after="0" w:line="276" w:lineRule="auto"/>
        <w:ind w:right="709"/>
        <w:jc w:val="both"/>
        <w:rPr>
          <w:rFonts w:ascii="Verdana" w:hAnsi="Verdana" w:cs="Arial"/>
          <w:color w:val="000000" w:themeColor="text1"/>
        </w:rPr>
      </w:pPr>
    </w:p>
    <w:p w14:paraId="5058081A" w14:textId="77777777" w:rsidR="000146CB" w:rsidRPr="00935522" w:rsidRDefault="000146CB">
      <w:pPr>
        <w:numPr>
          <w:ilvl w:val="0"/>
          <w:numId w:val="16"/>
        </w:numPr>
        <w:spacing w:after="0" w:line="276" w:lineRule="auto"/>
        <w:rPr>
          <w:rFonts w:ascii="Verdana" w:eastAsia="Calibri" w:hAnsi="Verdana" w:cs="Times New Roman"/>
          <w:b/>
          <w:bCs/>
          <w:lang w:val="es-ES"/>
        </w:rPr>
      </w:pPr>
      <w:r w:rsidRPr="00935522">
        <w:rPr>
          <w:rFonts w:ascii="Verdana" w:eastAsia="Calibri" w:hAnsi="Verdana" w:cs="Times New Roman"/>
          <w:b/>
          <w:bCs/>
          <w:lang w:val="es-ES"/>
        </w:rPr>
        <w:t>Doctrina de la Agencia Nacional de Contratación Pública:</w:t>
      </w:r>
    </w:p>
    <w:p w14:paraId="5C3BBF43" w14:textId="77777777" w:rsidR="000146CB" w:rsidRPr="00935522" w:rsidRDefault="000146CB">
      <w:pPr>
        <w:spacing w:after="0" w:line="276" w:lineRule="auto"/>
        <w:rPr>
          <w:rFonts w:ascii="Verdana" w:eastAsia="Calibri" w:hAnsi="Verdana" w:cs="Times New Roman"/>
          <w:lang w:val="es-ES"/>
        </w:rPr>
      </w:pPr>
    </w:p>
    <w:p w14:paraId="7B2543CE" w14:textId="77777777" w:rsidR="000146CB" w:rsidRPr="00935522" w:rsidRDefault="000146CB">
      <w:pPr>
        <w:widowControl w:val="0"/>
        <w:autoSpaceDE w:val="0"/>
        <w:autoSpaceDN w:val="0"/>
        <w:spacing w:after="0" w:line="276" w:lineRule="auto"/>
        <w:jc w:val="both"/>
        <w:rPr>
          <w:rFonts w:ascii="Verdana" w:hAnsi="Verdana" w:cs="Arial"/>
          <w:shd w:val="clear" w:color="auto" w:fill="FFFFFF"/>
        </w:rPr>
      </w:pPr>
      <w:r w:rsidRPr="00935522">
        <w:rPr>
          <w:rFonts w:ascii="Verdana" w:hAnsi="Verdana" w:cs="Arial"/>
          <w:shd w:val="clear" w:color="auto" w:fill="FFFFFF"/>
        </w:rPr>
        <w:t>La Subdirección de Gestión Contractual ha expedido los siguientes conceptos con respecto al Principio de Anualidad del Gasto Público y sus excepciones:</w:t>
      </w:r>
      <w:r w:rsidRPr="00935522">
        <w:rPr>
          <w:rFonts w:ascii="Verdana" w:eastAsia="Calibri" w:hAnsi="Verdana" w:cs="Arial"/>
          <w:lang w:val="es-ES" w:eastAsia="es-ES"/>
        </w:rPr>
        <w:t xml:space="preserve"> C-744 del 4 de febrero de 2022, C-850 del </w:t>
      </w:r>
      <w:r w:rsidRPr="00935522">
        <w:rPr>
          <w:rFonts w:ascii="Verdana" w:eastAsia="Geomanist Light" w:hAnsi="Verdana" w:cs="Arial"/>
          <w:lang w:val="es-MX"/>
        </w:rPr>
        <w:t>5 de diciembre de 2024</w:t>
      </w:r>
      <w:r w:rsidRPr="00935522">
        <w:rPr>
          <w:rFonts w:ascii="Verdana" w:eastAsia="Calibri" w:hAnsi="Verdana" w:cs="Arial"/>
          <w:lang w:val="es-ES" w:eastAsia="es-ES"/>
        </w:rPr>
        <w:t>, C-082 del 7 de marzo de 2025, C-1220 del 3 de octubre de 2025 entre otros.</w:t>
      </w:r>
      <w:r w:rsidRPr="00935522">
        <w:rPr>
          <w:rFonts w:ascii="Verdana" w:eastAsia="Aptos" w:hAnsi="Verdana" w:cs="Arial"/>
          <w:shd w:val="clear" w:color="auto" w:fill="FFFFFF"/>
          <w:lang w:val="es-ES"/>
        </w:rPr>
        <w:t xml:space="preserve"> </w:t>
      </w:r>
      <w:r w:rsidRPr="00935522">
        <w:rPr>
          <w:rFonts w:ascii="Verdana" w:hAnsi="Verdana" w:cs="Arial"/>
          <w:shd w:val="clear" w:color="auto" w:fill="FFFFFF"/>
        </w:rPr>
        <w:t xml:space="preserve">Estos y otros se encuentran disponibles para consulta en el Sistema de relatoría de la Agencia, </w:t>
      </w:r>
      <w:r w:rsidRPr="00935522">
        <w:rPr>
          <w:rFonts w:ascii="Verdana" w:hAnsi="Verdana" w:cs="Arial"/>
          <w:shd w:val="clear" w:color="auto" w:fill="FFFFFF"/>
        </w:rPr>
        <w:lastRenderedPageBreak/>
        <w:t xml:space="preserve">al cual puede accederse a través del siguiente enlace: </w:t>
      </w:r>
      <w:hyperlink r:id="rId14" w:history="1">
        <w:r w:rsidRPr="00935522">
          <w:rPr>
            <w:rFonts w:ascii="Verdana" w:hAnsi="Verdana" w:cs="Arial"/>
            <w:color w:val="0000FF"/>
            <w:u w:val="single"/>
            <w:shd w:val="clear" w:color="auto" w:fill="FFFFFF"/>
          </w:rPr>
          <w:t>https://relatoria.colombiacompra.gov.co/busqueda/conceptos</w:t>
        </w:r>
      </w:hyperlink>
      <w:r w:rsidRPr="00935522">
        <w:rPr>
          <w:rFonts w:ascii="Verdana" w:hAnsi="Verdana" w:cs="Arial"/>
          <w:shd w:val="clear" w:color="auto" w:fill="FFFFFF"/>
        </w:rPr>
        <w:t xml:space="preserve">. </w:t>
      </w:r>
      <w:r w:rsidRPr="00935522">
        <w:rPr>
          <w:rFonts w:ascii="Verdana" w:hAnsi="Verdana" w:cs="Arial"/>
          <w:shd w:val="clear" w:color="auto" w:fill="FFFFFF"/>
          <w:lang w:val="es-ES"/>
        </w:rPr>
        <w:t xml:space="preserve"> </w:t>
      </w:r>
    </w:p>
    <w:p w14:paraId="5FA72733" w14:textId="77777777" w:rsidR="000146CB" w:rsidRPr="00935522" w:rsidRDefault="000146CB">
      <w:pPr>
        <w:spacing w:after="0" w:line="276" w:lineRule="auto"/>
        <w:jc w:val="both"/>
        <w:rPr>
          <w:rFonts w:ascii="Verdana" w:hAnsi="Verdana"/>
        </w:rPr>
      </w:pPr>
    </w:p>
    <w:p w14:paraId="2A97C8FD" w14:textId="32A1EC9A" w:rsidR="000146CB" w:rsidRPr="00935522" w:rsidRDefault="000146CB" w:rsidP="00022FC1">
      <w:pPr>
        <w:spacing w:after="0" w:line="276" w:lineRule="auto"/>
        <w:jc w:val="both"/>
        <w:rPr>
          <w:rFonts w:ascii="Verdana" w:eastAsia="Calibri" w:hAnsi="Verdana" w:cs="Times New Roman"/>
        </w:rPr>
      </w:pPr>
      <w:r w:rsidRPr="00935522">
        <w:rPr>
          <w:rFonts w:ascii="Verdana" w:eastAsia="Calibri" w:hAnsi="Verdana" w:cs="Times New Roman"/>
        </w:rPr>
        <w:t xml:space="preserve">Te informamos que ya se encuentra disponible la </w:t>
      </w:r>
      <w:r w:rsidRPr="00935522">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35522">
        <w:rPr>
          <w:rFonts w:ascii="Verdana" w:eastAsia="Calibri" w:hAnsi="Verdana" w:cs="Times New Roman"/>
        </w:rPr>
        <w:t>Esta Guía se exp</w:t>
      </w:r>
      <w:r w:rsidR="00935522">
        <w:rPr>
          <w:rFonts w:ascii="Verdana" w:eastAsia="Calibri" w:hAnsi="Verdana" w:cs="Times New Roman"/>
        </w:rPr>
        <w:t>i</w:t>
      </w:r>
      <w:r w:rsidRPr="00935522">
        <w:rPr>
          <w:rFonts w:ascii="Verdana" w:eastAsia="Calibri" w:hAnsi="Verdana" w:cs="Times New Roman"/>
        </w:rPr>
        <w:t xml:space="preserve">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1C06563F" w14:textId="77777777" w:rsidR="000146CB" w:rsidRPr="00935522" w:rsidRDefault="000146CB" w:rsidP="00022FC1">
      <w:pPr>
        <w:spacing w:after="0" w:line="276" w:lineRule="auto"/>
        <w:jc w:val="both"/>
        <w:rPr>
          <w:rFonts w:ascii="Verdana" w:eastAsia="Calibri" w:hAnsi="Verdana" w:cs="Times New Roman"/>
        </w:rPr>
      </w:pPr>
    </w:p>
    <w:p w14:paraId="3A277B8A" w14:textId="77777777" w:rsidR="000146CB" w:rsidRPr="00935522" w:rsidRDefault="000146CB" w:rsidP="00022FC1">
      <w:pPr>
        <w:spacing w:after="0" w:line="276" w:lineRule="auto"/>
        <w:jc w:val="both"/>
        <w:rPr>
          <w:rFonts w:ascii="Verdana" w:hAnsi="Verdana"/>
        </w:rPr>
      </w:pPr>
      <w:r w:rsidRPr="00935522">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7BB3002" w14:textId="77777777" w:rsidR="000146CB" w:rsidRPr="00935522" w:rsidRDefault="000146CB" w:rsidP="00022FC1">
      <w:pPr>
        <w:spacing w:after="0" w:line="276" w:lineRule="auto"/>
        <w:jc w:val="both"/>
        <w:rPr>
          <w:rFonts w:ascii="Verdana" w:hAnsi="Verdana"/>
        </w:rPr>
      </w:pPr>
    </w:p>
    <w:p w14:paraId="032D6C29" w14:textId="77777777" w:rsidR="000146CB" w:rsidRPr="00935522" w:rsidRDefault="000146CB" w:rsidP="00022FC1">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935522">
        <w:rPr>
          <w:rFonts w:ascii="Verdana" w:eastAsia="Verdana" w:hAnsi="Verdana" w:cs="Verdana"/>
          <w:lang w:val="es-MX"/>
        </w:rPr>
        <w:t xml:space="preserve">Línea nacional gratuita o servicio a la ciudadanía (Mesa de servicio): </w:t>
      </w:r>
      <w:r w:rsidRPr="00935522">
        <w:rPr>
          <w:rStyle w:val="Hipervnculo"/>
          <w:rFonts w:ascii="Verdana" w:hAnsi="Verdana"/>
        </w:rPr>
        <w:t>01800 0520808</w:t>
      </w:r>
    </w:p>
    <w:p w14:paraId="009B138D" w14:textId="77777777" w:rsidR="000146CB" w:rsidRPr="00935522" w:rsidRDefault="000146CB" w:rsidP="00022FC1">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935522">
        <w:rPr>
          <w:rFonts w:ascii="Verdana" w:eastAsia="Verdana" w:hAnsi="Verdana" w:cs="Verdana"/>
          <w:lang w:val="es-MX"/>
        </w:rPr>
        <w:t>Línea en Bogotá (Mesa de servicio):</w:t>
      </w:r>
      <w:r w:rsidRPr="00935522">
        <w:rPr>
          <w:rStyle w:val="Hipervnculo"/>
          <w:rFonts w:ascii="Verdana" w:hAnsi="Verdana"/>
        </w:rPr>
        <w:t>+57 601 7456788</w:t>
      </w:r>
    </w:p>
    <w:p w14:paraId="5849B39B" w14:textId="77777777" w:rsidR="000146CB" w:rsidRPr="00935522" w:rsidRDefault="000146CB" w:rsidP="00022FC1">
      <w:pPr>
        <w:pStyle w:val="Prrafodelista"/>
        <w:numPr>
          <w:ilvl w:val="0"/>
          <w:numId w:val="15"/>
        </w:numPr>
        <w:spacing w:after="0" w:line="276" w:lineRule="auto"/>
        <w:contextualSpacing w:val="0"/>
        <w:rPr>
          <w:rFonts w:ascii="Verdana" w:eastAsia="Verdana" w:hAnsi="Verdana" w:cs="Verdana"/>
          <w:color w:val="0000FF"/>
          <w:u w:val="single"/>
          <w:lang w:val="es-MX"/>
        </w:rPr>
      </w:pPr>
      <w:r w:rsidRPr="00935522">
        <w:rPr>
          <w:rFonts w:ascii="Verdana" w:eastAsia="Verdana" w:hAnsi="Verdana" w:cs="Verdana"/>
          <w:lang w:val="es-MX"/>
        </w:rPr>
        <w:t xml:space="preserve">Correo de radicación de correspondencia: </w:t>
      </w:r>
      <w:hyperlink r:id="rId15">
        <w:r w:rsidRPr="00935522">
          <w:rPr>
            <w:rStyle w:val="Hipervnculo"/>
            <w:rFonts w:ascii="Verdana" w:eastAsia="Verdana" w:hAnsi="Verdana" w:cs="Verdana"/>
            <w:lang w:val="es-MX"/>
          </w:rPr>
          <w:t>ventanilladeradicacion@colombiacompra.gov.co</w:t>
        </w:r>
      </w:hyperlink>
    </w:p>
    <w:p w14:paraId="1E7C38AA" w14:textId="77777777" w:rsidR="000146CB" w:rsidRPr="00935522" w:rsidRDefault="000146CB" w:rsidP="00022FC1">
      <w:pPr>
        <w:pStyle w:val="Prrafodelista"/>
        <w:numPr>
          <w:ilvl w:val="0"/>
          <w:numId w:val="15"/>
        </w:numPr>
        <w:spacing w:after="0" w:line="276" w:lineRule="auto"/>
        <w:contextualSpacing w:val="0"/>
        <w:rPr>
          <w:rFonts w:ascii="Verdana" w:eastAsia="Verdana" w:hAnsi="Verdana" w:cs="Verdana"/>
          <w:color w:val="0000FF"/>
          <w:u w:val="single"/>
          <w:lang w:val="es-MX"/>
        </w:rPr>
      </w:pPr>
      <w:r w:rsidRPr="00935522">
        <w:rPr>
          <w:rFonts w:ascii="Verdana" w:eastAsia="Verdana" w:hAnsi="Verdana" w:cs="Verdana"/>
        </w:rPr>
        <w:t>Formulario web para</w:t>
      </w:r>
      <w:r w:rsidRPr="00935522">
        <w:rPr>
          <w:rFonts w:ascii="Verdana" w:eastAsia="Verdana" w:hAnsi="Verdana" w:cs="Verdana"/>
          <w:lang w:val="es"/>
        </w:rPr>
        <w:t xml:space="preserve"> PQRSD: </w:t>
      </w:r>
      <w:hyperlink r:id="rId16">
        <w:r w:rsidRPr="00935522">
          <w:rPr>
            <w:rStyle w:val="Hipervnculo"/>
            <w:rFonts w:ascii="Verdana" w:eastAsia="Verdana" w:hAnsi="Verdana" w:cs="Verdana"/>
            <w:lang w:val="es-MX"/>
          </w:rPr>
          <w:t>https://www.colombiacompra.gov.co/pqrsd/informacion-importante-antes-de-formular-una-pqrsd</w:t>
        </w:r>
      </w:hyperlink>
    </w:p>
    <w:p w14:paraId="1E96A60E" w14:textId="77777777" w:rsidR="000146CB" w:rsidRPr="00935522" w:rsidRDefault="000146CB" w:rsidP="00022FC1">
      <w:pPr>
        <w:spacing w:after="0" w:line="276" w:lineRule="auto"/>
        <w:ind w:left="720"/>
        <w:jc w:val="both"/>
        <w:rPr>
          <w:rFonts w:ascii="Verdana" w:hAnsi="Verdana"/>
        </w:rPr>
      </w:pPr>
    </w:p>
    <w:p w14:paraId="146D27D4" w14:textId="77777777" w:rsidR="000146CB" w:rsidRPr="00935522" w:rsidRDefault="000146CB" w:rsidP="00022FC1">
      <w:pPr>
        <w:spacing w:after="0" w:line="276" w:lineRule="auto"/>
        <w:jc w:val="both"/>
        <w:rPr>
          <w:rFonts w:ascii="Verdana" w:hAnsi="Verdana"/>
        </w:rPr>
      </w:pPr>
      <w:r w:rsidRPr="00935522">
        <w:rPr>
          <w:rFonts w:ascii="Verdana" w:hAnsi="Verdana"/>
        </w:rPr>
        <w:t xml:space="preserve">Evalúa el servicio que ofrece la Agencia por el canal de atención de PQRSD en el siguiente enlace: </w:t>
      </w:r>
      <w:hyperlink r:id="rId17" w:history="1">
        <w:r w:rsidRPr="00935522">
          <w:rPr>
            <w:rStyle w:val="Hipervnculo"/>
            <w:rFonts w:ascii="Verdana" w:hAnsi="Verdana"/>
          </w:rPr>
          <w:t>https://forms.office.com/r/pPHyWVs2SZ</w:t>
        </w:r>
      </w:hyperlink>
      <w:r w:rsidRPr="00935522">
        <w:rPr>
          <w:rFonts w:ascii="Verdana" w:hAnsi="Verdana"/>
        </w:rPr>
        <w:t>. ¡Ayúdanos a mejorar porque el compromiso es de todos!</w:t>
      </w:r>
    </w:p>
    <w:p w14:paraId="4C39EE95" w14:textId="77777777" w:rsidR="000146CB" w:rsidRPr="00935522" w:rsidRDefault="000146CB" w:rsidP="00022FC1">
      <w:pPr>
        <w:spacing w:after="0" w:line="276" w:lineRule="auto"/>
        <w:jc w:val="both"/>
        <w:rPr>
          <w:rFonts w:ascii="Verdana" w:hAnsi="Verdana"/>
        </w:rPr>
      </w:pPr>
      <w:r w:rsidRPr="00935522">
        <w:rPr>
          <w:rFonts w:ascii="Verdana" w:hAnsi="Verdana"/>
        </w:rPr>
        <w:t xml:space="preserve">Por último, lo invitamos a seguirnos en las redes sociales en las cuales se difunde información institucional: </w:t>
      </w:r>
    </w:p>
    <w:p w14:paraId="6582B44D" w14:textId="77777777" w:rsidR="000146CB" w:rsidRPr="00935522" w:rsidRDefault="000146CB" w:rsidP="00022FC1">
      <w:pPr>
        <w:spacing w:after="0" w:line="276" w:lineRule="auto"/>
        <w:jc w:val="both"/>
        <w:rPr>
          <w:rFonts w:ascii="Verdana" w:hAnsi="Verdana"/>
        </w:rPr>
      </w:pPr>
    </w:p>
    <w:p w14:paraId="624BD692" w14:textId="77777777" w:rsidR="000146CB" w:rsidRPr="00935522" w:rsidRDefault="000146CB" w:rsidP="00022FC1">
      <w:pPr>
        <w:spacing w:after="0" w:line="276" w:lineRule="auto"/>
        <w:jc w:val="both"/>
        <w:rPr>
          <w:rFonts w:ascii="Verdana" w:hAnsi="Verdana"/>
        </w:rPr>
      </w:pPr>
      <w:r w:rsidRPr="00935522">
        <w:rPr>
          <w:rFonts w:ascii="Verdana" w:hAnsi="Verdana"/>
        </w:rPr>
        <w:t xml:space="preserve">Twitter: </w:t>
      </w:r>
      <w:r w:rsidRPr="00935522">
        <w:rPr>
          <w:rStyle w:val="Hipervnculo"/>
          <w:rFonts w:ascii="Verdana" w:hAnsi="Verdana"/>
        </w:rPr>
        <w:t>@colombiacompra</w:t>
      </w:r>
      <w:r w:rsidRPr="00935522">
        <w:rPr>
          <w:rFonts w:ascii="Verdana" w:hAnsi="Verdana"/>
        </w:rPr>
        <w:t xml:space="preserve"> </w:t>
      </w:r>
    </w:p>
    <w:p w14:paraId="12738EC3" w14:textId="77777777" w:rsidR="000146CB" w:rsidRPr="00935522" w:rsidRDefault="000146CB" w:rsidP="00022FC1">
      <w:pPr>
        <w:spacing w:after="0" w:line="276" w:lineRule="auto"/>
        <w:jc w:val="both"/>
        <w:rPr>
          <w:rFonts w:ascii="Verdana" w:hAnsi="Verdana"/>
        </w:rPr>
      </w:pPr>
      <w:r w:rsidRPr="00935522">
        <w:rPr>
          <w:rFonts w:ascii="Verdana" w:hAnsi="Verdana"/>
        </w:rPr>
        <w:t xml:space="preserve">Facebook: </w:t>
      </w:r>
      <w:r w:rsidRPr="00935522">
        <w:rPr>
          <w:rStyle w:val="Hipervnculo"/>
          <w:rFonts w:ascii="Verdana" w:hAnsi="Verdana"/>
        </w:rPr>
        <w:t>ColombiaCompraEficiente</w:t>
      </w:r>
    </w:p>
    <w:p w14:paraId="76387BA5" w14:textId="77777777" w:rsidR="000146CB" w:rsidRPr="00935522" w:rsidRDefault="000146CB" w:rsidP="00022FC1">
      <w:pPr>
        <w:spacing w:after="0" w:line="276" w:lineRule="auto"/>
        <w:jc w:val="both"/>
        <w:rPr>
          <w:rFonts w:ascii="Verdana" w:hAnsi="Verdana"/>
        </w:rPr>
      </w:pPr>
      <w:r w:rsidRPr="00935522">
        <w:rPr>
          <w:rFonts w:ascii="Verdana" w:hAnsi="Verdana"/>
        </w:rPr>
        <w:t xml:space="preserve">LinkedIn: </w:t>
      </w:r>
      <w:r w:rsidRPr="00935522">
        <w:rPr>
          <w:rStyle w:val="Hipervnculo"/>
          <w:rFonts w:ascii="Verdana" w:hAnsi="Verdana"/>
        </w:rPr>
        <w:t>Agencia Nacional de Contratación Pública - Colombia Compra Eficiente</w:t>
      </w:r>
      <w:r w:rsidRPr="00935522">
        <w:rPr>
          <w:rFonts w:ascii="Verdana" w:hAnsi="Verdana"/>
        </w:rPr>
        <w:t xml:space="preserve"> Instagram: </w:t>
      </w:r>
      <w:r w:rsidRPr="00935522">
        <w:rPr>
          <w:rStyle w:val="Hipervnculo"/>
          <w:rFonts w:ascii="Verdana" w:hAnsi="Verdana"/>
        </w:rPr>
        <w:t>@colombiacompraeficiente_cce</w:t>
      </w:r>
    </w:p>
    <w:p w14:paraId="6FEC5A9B" w14:textId="77777777" w:rsidR="000146CB" w:rsidRPr="00935522" w:rsidRDefault="000146CB" w:rsidP="00022FC1">
      <w:pPr>
        <w:spacing w:after="0" w:line="276" w:lineRule="auto"/>
        <w:jc w:val="both"/>
        <w:rPr>
          <w:rFonts w:ascii="Verdana" w:hAnsi="Verdana"/>
        </w:rPr>
      </w:pPr>
    </w:p>
    <w:p w14:paraId="5A550D15" w14:textId="77777777" w:rsidR="000146CB" w:rsidRPr="00935522" w:rsidRDefault="000146CB" w:rsidP="00022FC1">
      <w:pPr>
        <w:spacing w:after="0" w:line="276" w:lineRule="auto"/>
        <w:jc w:val="both"/>
        <w:rPr>
          <w:rFonts w:ascii="Verdana" w:eastAsia="Calibri" w:hAnsi="Verdana" w:cs="Times New Roman"/>
          <w:bCs/>
          <w:lang w:val="es-ES_tradnl"/>
        </w:rPr>
      </w:pPr>
      <w:r w:rsidRPr="0093552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BE3B3C0" w14:textId="77777777" w:rsidR="000146CB" w:rsidRPr="00935522" w:rsidRDefault="000146CB" w:rsidP="00022FC1">
      <w:pPr>
        <w:spacing w:after="0" w:line="276" w:lineRule="auto"/>
        <w:jc w:val="both"/>
        <w:rPr>
          <w:rFonts w:ascii="Verdana" w:eastAsia="Calibri" w:hAnsi="Verdana" w:cs="Times New Roman"/>
        </w:rPr>
      </w:pPr>
    </w:p>
    <w:p w14:paraId="39738D6A" w14:textId="77777777" w:rsidR="000146CB" w:rsidRPr="00935522" w:rsidRDefault="000146CB" w:rsidP="00935522">
      <w:pPr>
        <w:spacing w:after="0" w:line="276" w:lineRule="auto"/>
        <w:jc w:val="both"/>
        <w:rPr>
          <w:rFonts w:ascii="Verdana" w:eastAsia="Times New Roman" w:hAnsi="Verdana" w:cs="Arial"/>
          <w:lang w:eastAsia="es-CO"/>
        </w:rPr>
      </w:pPr>
      <w:bookmarkStart w:id="6" w:name="_Hlk117695077"/>
      <w:r w:rsidRPr="00935522">
        <w:rPr>
          <w:rFonts w:ascii="Verdana" w:eastAsia="Times New Roman" w:hAnsi="Verdana" w:cs="Arial"/>
          <w:lang w:eastAsia="es-CO"/>
        </w:rPr>
        <w:t>Atentamente,</w:t>
      </w:r>
    </w:p>
    <w:bookmarkEnd w:id="6"/>
    <w:p w14:paraId="2104EBFC" w14:textId="68245F20" w:rsidR="000146CB" w:rsidRDefault="00FE667D" w:rsidP="000146CB">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56623221" wp14:editId="1029FE3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54DDD92B" w14:textId="77777777" w:rsidR="000146CB" w:rsidRDefault="000146CB" w:rsidP="000146CB">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46CB" w:rsidRPr="007A0E81" w14:paraId="14AFC919" w14:textId="77777777">
        <w:trPr>
          <w:trHeight w:val="315"/>
        </w:trPr>
        <w:tc>
          <w:tcPr>
            <w:tcW w:w="893" w:type="dxa"/>
            <w:vAlign w:val="center"/>
            <w:hideMark/>
          </w:tcPr>
          <w:p w14:paraId="5DE1306B" w14:textId="77777777" w:rsidR="000146CB" w:rsidRPr="007A0E81" w:rsidRDefault="000146CB">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230B64FF" w14:textId="77777777" w:rsidR="000146CB" w:rsidRPr="007A0E81" w:rsidRDefault="000146CB">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072E423D" w14:textId="77777777" w:rsidR="000146CB" w:rsidRPr="007A0E81" w:rsidRDefault="000146CB">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0146CB" w:rsidRPr="007A0E81" w14:paraId="1B7721B6" w14:textId="77777777">
        <w:trPr>
          <w:trHeight w:val="330"/>
        </w:trPr>
        <w:tc>
          <w:tcPr>
            <w:tcW w:w="893" w:type="dxa"/>
            <w:vAlign w:val="center"/>
            <w:hideMark/>
          </w:tcPr>
          <w:p w14:paraId="36C27AA1" w14:textId="77777777" w:rsidR="000146CB" w:rsidRPr="007A0E81" w:rsidRDefault="000146CB">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5DE75551" w14:textId="77777777" w:rsidR="000146CB" w:rsidRPr="007A0E81" w:rsidRDefault="000146CB">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0EC0F4AC" w14:textId="77777777" w:rsidR="000146CB" w:rsidRPr="007A0E81" w:rsidRDefault="000146CB">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0146CB" w:rsidRPr="007A0E81" w14:paraId="0ECBCEFD" w14:textId="77777777">
        <w:trPr>
          <w:trHeight w:val="300"/>
        </w:trPr>
        <w:tc>
          <w:tcPr>
            <w:tcW w:w="893" w:type="dxa"/>
            <w:vAlign w:val="center"/>
          </w:tcPr>
          <w:p w14:paraId="4454F193" w14:textId="77777777" w:rsidR="000146CB" w:rsidRPr="007A0E81" w:rsidRDefault="000146CB">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9C45F8F" w14:textId="77777777" w:rsidR="000146CB" w:rsidRPr="007A0E81" w:rsidRDefault="000146CB">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4D92AB8B" w14:textId="77777777" w:rsidR="000146CB" w:rsidRPr="007A0E81" w:rsidRDefault="000146CB">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bookmarkEnd w:id="0"/>
    </w:tbl>
    <w:p w14:paraId="12443EE0" w14:textId="77777777" w:rsidR="00C15139" w:rsidRPr="0024624F" w:rsidRDefault="00C15139" w:rsidP="007E0A09">
      <w:pPr>
        <w:spacing w:after="0"/>
        <w:rPr>
          <w:rFonts w:ascii="Verdana" w:hAnsi="Verdana"/>
        </w:rPr>
      </w:pPr>
    </w:p>
    <w:sectPr w:rsidR="00C15139" w:rsidRPr="0024624F" w:rsidSect="005F1EF7">
      <w:headerReference w:type="default" r:id="rId19"/>
      <w:footerReference w:type="default" r:id="rId20"/>
      <w:pgSz w:w="12240" w:h="15840" w:code="1"/>
      <w:pgMar w:top="1417" w:right="1701" w:bottom="1417" w:left="1701" w:header="709" w:footer="9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53FB2" w14:textId="77777777" w:rsidR="00D76CCD" w:rsidRDefault="00D76CCD" w:rsidP="004A1847">
      <w:pPr>
        <w:spacing w:after="0" w:line="240" w:lineRule="auto"/>
      </w:pPr>
      <w:r>
        <w:separator/>
      </w:r>
    </w:p>
  </w:endnote>
  <w:endnote w:type="continuationSeparator" w:id="0">
    <w:p w14:paraId="2463DA8A" w14:textId="77777777" w:rsidR="00D76CCD" w:rsidRDefault="00D76CC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EC240" w14:textId="77777777" w:rsidR="00D76CCD" w:rsidRDefault="00D76CCD" w:rsidP="004A1847">
      <w:pPr>
        <w:spacing w:after="0" w:line="240" w:lineRule="auto"/>
      </w:pPr>
      <w:r>
        <w:separator/>
      </w:r>
    </w:p>
  </w:footnote>
  <w:footnote w:type="continuationSeparator" w:id="0">
    <w:p w14:paraId="100CAA46" w14:textId="77777777" w:rsidR="00D76CCD" w:rsidRDefault="00D76CCD" w:rsidP="004A1847">
      <w:pPr>
        <w:spacing w:after="0" w:line="240" w:lineRule="auto"/>
      </w:pPr>
      <w:r>
        <w:continuationSeparator/>
      </w:r>
    </w:p>
  </w:footnote>
  <w:footnote w:id="1">
    <w:p w14:paraId="7E06790A" w14:textId="77777777" w:rsidR="000146CB" w:rsidRPr="00225E89" w:rsidRDefault="000146CB" w:rsidP="000146CB">
      <w:pPr>
        <w:pStyle w:val="Textonotapie"/>
        <w:ind w:firstLine="708"/>
        <w:jc w:val="both"/>
        <w:rPr>
          <w:rFonts w:ascii="Verdana" w:hAnsi="Verdana" w:cs="Arial"/>
          <w:sz w:val="12"/>
          <w:szCs w:val="12"/>
        </w:rPr>
      </w:pPr>
      <w:r w:rsidRPr="00225E89">
        <w:rPr>
          <w:rStyle w:val="Refdenotaalpie"/>
          <w:rFonts w:ascii="Verdana" w:hAnsi="Verdana" w:cs="Arial"/>
          <w:sz w:val="12"/>
          <w:szCs w:val="12"/>
        </w:rPr>
        <w:footnoteRef/>
      </w:r>
      <w:r w:rsidRPr="00225E89">
        <w:rPr>
          <w:rFonts w:ascii="Verdana" w:hAnsi="Verdana" w:cs="Arial"/>
          <w:sz w:val="12"/>
          <w:szCs w:val="12"/>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footnote>
  <w:footnote w:id="2">
    <w:p w14:paraId="595E6BC5" w14:textId="77777777" w:rsidR="000146CB" w:rsidRPr="00225E89" w:rsidRDefault="000146CB" w:rsidP="000146CB">
      <w:pPr>
        <w:pStyle w:val="Textonotapie"/>
        <w:ind w:firstLine="708"/>
        <w:jc w:val="both"/>
        <w:rPr>
          <w:rFonts w:ascii="Verdana" w:hAnsi="Verdana" w:cs="Arial"/>
          <w:sz w:val="12"/>
          <w:szCs w:val="12"/>
        </w:rPr>
      </w:pPr>
      <w:r w:rsidRPr="00225E89">
        <w:rPr>
          <w:rStyle w:val="Refdenotaalpie"/>
          <w:rFonts w:ascii="Verdana" w:hAnsi="Verdana" w:cs="Arial"/>
          <w:sz w:val="12"/>
          <w:szCs w:val="12"/>
        </w:rPr>
        <w:footnoteRef/>
      </w:r>
      <w:r w:rsidRPr="00225E89">
        <w:rPr>
          <w:rFonts w:ascii="Verdana" w:hAnsi="Verdana" w:cs="Arial"/>
          <w:sz w:val="12"/>
          <w:szCs w:val="12"/>
        </w:rPr>
        <w:t xml:space="preserve"> De conformidad con lo dispuesto en el artículo 10 del Decreto 111 de 1996 “La Ley Anual sobre el Presupuesto General de la Nación es el instrumento para el cumplimiento de los planes y programas de desarrollo económico y social” </w:t>
      </w:r>
    </w:p>
    <w:p w14:paraId="16593737" w14:textId="77777777" w:rsidR="000146CB" w:rsidRPr="00225E89" w:rsidRDefault="000146CB" w:rsidP="000146CB">
      <w:pPr>
        <w:pStyle w:val="Textonotapie"/>
        <w:ind w:firstLine="708"/>
        <w:jc w:val="both"/>
        <w:rPr>
          <w:rFonts w:ascii="Verdana" w:hAnsi="Verdana" w:cs="Arial"/>
          <w:sz w:val="12"/>
          <w:szCs w:val="12"/>
        </w:rPr>
      </w:pPr>
      <w:r w:rsidRPr="00225E89">
        <w:rPr>
          <w:rFonts w:ascii="Verdana" w:hAnsi="Verdana" w:cs="Arial"/>
          <w:sz w:val="12"/>
          <w:szCs w:val="12"/>
        </w:rPr>
        <w:t>A su turno, el artículo 11 del mismo Decreto indica que “El Presupuesto General de la Nación se compone de las siguientes partes:</w:t>
      </w:r>
    </w:p>
    <w:p w14:paraId="77A7F9DE" w14:textId="77777777" w:rsidR="000146CB" w:rsidRPr="00225E89" w:rsidRDefault="000146CB" w:rsidP="000146CB">
      <w:pPr>
        <w:pStyle w:val="Textonotapie"/>
        <w:ind w:firstLine="708"/>
        <w:jc w:val="both"/>
        <w:rPr>
          <w:rFonts w:ascii="Verdana" w:hAnsi="Verdana" w:cs="Arial"/>
          <w:sz w:val="12"/>
          <w:szCs w:val="12"/>
        </w:rPr>
      </w:pPr>
      <w:r w:rsidRPr="00225E89">
        <w:rPr>
          <w:rFonts w:ascii="Verdana" w:hAnsi="Verdana" w:cs="Arial"/>
          <w:sz w:val="12"/>
          <w:szCs w:val="12"/>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02299F08" w14:textId="77777777" w:rsidR="000146CB" w:rsidRPr="00225E89" w:rsidRDefault="000146CB" w:rsidP="000146CB">
      <w:pPr>
        <w:pStyle w:val="Textonotapie"/>
        <w:ind w:firstLine="708"/>
        <w:jc w:val="both"/>
        <w:rPr>
          <w:rFonts w:ascii="Verdana" w:hAnsi="Verdana" w:cs="Arial"/>
          <w:sz w:val="12"/>
          <w:szCs w:val="12"/>
        </w:rPr>
      </w:pPr>
      <w:r w:rsidRPr="00225E89">
        <w:rPr>
          <w:rFonts w:ascii="Verdana" w:hAnsi="Verdana" w:cs="Arial"/>
          <w:sz w:val="12"/>
          <w:szCs w:val="12"/>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11C6A03E" w14:textId="77777777" w:rsidR="000146CB" w:rsidRPr="00F73D92" w:rsidRDefault="000146CB" w:rsidP="000146CB">
      <w:pPr>
        <w:pStyle w:val="Textonotapie"/>
        <w:ind w:firstLine="708"/>
        <w:jc w:val="both"/>
        <w:rPr>
          <w:rFonts w:ascii="Verdana" w:hAnsi="Verdana" w:cs="Arial"/>
          <w:sz w:val="16"/>
          <w:szCs w:val="16"/>
          <w:lang w:val="es-CO"/>
        </w:rPr>
      </w:pPr>
      <w:r w:rsidRPr="00225E89">
        <w:rPr>
          <w:rFonts w:ascii="Verdana" w:hAnsi="Verdana" w:cs="Arial"/>
          <w:sz w:val="12"/>
          <w:szCs w:val="12"/>
        </w:rPr>
        <w:t xml:space="preserve"> c) Disposiciones generales. Corresponde a las normas tendientes a asegurar la correcta ejecución del Presupuesto General de la Nación, las cuales regirán únicamente para el año fiscal para el cual se expidan.»</w:t>
      </w:r>
    </w:p>
  </w:footnote>
  <w:footnote w:id="3">
    <w:p w14:paraId="0BFE360F" w14:textId="77777777" w:rsidR="000146CB" w:rsidRPr="00225E89" w:rsidRDefault="000146CB" w:rsidP="000146CB">
      <w:pPr>
        <w:pStyle w:val="Textonotapie"/>
        <w:ind w:firstLine="709"/>
        <w:jc w:val="both"/>
        <w:rPr>
          <w:rFonts w:ascii="Verdana" w:hAnsi="Verdana"/>
          <w:sz w:val="12"/>
          <w:szCs w:val="12"/>
          <w:lang w:val="es-CO"/>
        </w:rPr>
      </w:pPr>
      <w:r w:rsidRPr="00225E89">
        <w:rPr>
          <w:rStyle w:val="Refdenotaalpie"/>
          <w:rFonts w:ascii="Verdana" w:hAnsi="Verdana" w:cs="Arial"/>
          <w:sz w:val="12"/>
          <w:szCs w:val="12"/>
        </w:rPr>
        <w:footnoteRef/>
      </w:r>
      <w:r w:rsidRPr="00225E89">
        <w:rPr>
          <w:rFonts w:ascii="Verdana" w:hAnsi="Verdana" w:cs="Arial"/>
          <w:sz w:val="12"/>
          <w:szCs w:val="12"/>
        </w:rPr>
        <w:t xml:space="preserve"> Decreto 1068 de 2015 “</w:t>
      </w:r>
      <w:r w:rsidRPr="00225E89">
        <w:rPr>
          <w:rFonts w:ascii="Verdana" w:hAnsi="Verdana" w:cs="Arial"/>
          <w:sz w:val="12"/>
          <w:szCs w:val="12"/>
          <w:lang w:val="es-CO"/>
        </w:rPr>
        <w:t>Artículo </w:t>
      </w:r>
      <w:bookmarkStart w:id="2" w:name="2.8.3.4"/>
      <w:bookmarkEnd w:id="2"/>
      <w:r w:rsidRPr="00225E89">
        <w:rPr>
          <w:rFonts w:ascii="Verdana" w:hAnsi="Verdana" w:cs="Arial"/>
          <w:sz w:val="12"/>
          <w:szCs w:val="12"/>
          <w:lang w:val="es-CO"/>
        </w:rPr>
        <w:t>2.8.3.4. </w:t>
      </w:r>
      <w:r w:rsidRPr="00225E89">
        <w:rPr>
          <w:rFonts w:ascii="Verdana" w:hAnsi="Verdana" w:cs="Arial"/>
          <w:i/>
          <w:iCs/>
          <w:sz w:val="12"/>
          <w:szCs w:val="12"/>
          <w:lang w:val="es-CO"/>
        </w:rPr>
        <w:t>Anualidad.</w:t>
      </w:r>
      <w:r w:rsidRPr="00225E89">
        <w:rPr>
          <w:rFonts w:ascii="Verdana" w:hAnsi="Verdana" w:cs="Arial"/>
          <w:sz w:val="12"/>
          <w:szCs w:val="12"/>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4">
    <w:p w14:paraId="326C852A" w14:textId="77777777" w:rsidR="000146CB" w:rsidRPr="00225E89" w:rsidRDefault="000146CB" w:rsidP="000146CB">
      <w:pPr>
        <w:pStyle w:val="Textonotapie"/>
        <w:ind w:right="49" w:firstLine="708"/>
        <w:jc w:val="both"/>
        <w:rPr>
          <w:rFonts w:ascii="Verdana" w:hAnsi="Verdana" w:cs="Arial"/>
          <w:color w:val="000000"/>
          <w:sz w:val="12"/>
          <w:szCs w:val="12"/>
        </w:rPr>
      </w:pPr>
      <w:r w:rsidRPr="00F73D92">
        <w:rPr>
          <w:rStyle w:val="Refdenotaalpie"/>
          <w:rFonts w:ascii="Verdana" w:hAnsi="Verdana"/>
          <w:sz w:val="16"/>
          <w:szCs w:val="16"/>
        </w:rPr>
        <w:footnoteRef/>
      </w:r>
      <w:r w:rsidRPr="00F73D92">
        <w:rPr>
          <w:rFonts w:ascii="Verdana" w:hAnsi="Verdana"/>
          <w:sz w:val="16"/>
          <w:szCs w:val="16"/>
        </w:rPr>
        <w:t xml:space="preserve"> </w:t>
      </w:r>
      <w:r w:rsidRPr="00225E89">
        <w:rPr>
          <w:rFonts w:ascii="Verdana" w:hAnsi="Verdana" w:cs="Arial"/>
          <w:color w:val="000000"/>
          <w:sz w:val="12"/>
          <w:szCs w:val="12"/>
        </w:rPr>
        <w:t>Consejo de Estado. Sección Tercera. Sentencia del 1 de febrero de 2018. Radicado Nro.</w:t>
      </w:r>
      <w:r w:rsidRPr="00225E89">
        <w:rPr>
          <w:rFonts w:ascii="Verdana" w:hAnsi="Verdana" w:cs="Arial"/>
          <w:color w:val="000000"/>
          <w:sz w:val="12"/>
          <w:szCs w:val="12"/>
          <w:lang w:val="es-CO"/>
        </w:rPr>
        <w:t xml:space="preserve"> 08001-2331-000-2010-00987-01</w:t>
      </w:r>
      <w:r w:rsidRPr="00225E89">
        <w:rPr>
          <w:rFonts w:ascii="Verdana" w:hAnsi="Verdana" w:cs="Arial"/>
          <w:color w:val="000000"/>
          <w:sz w:val="12"/>
          <w:szCs w:val="12"/>
        </w:rPr>
        <w:t xml:space="preserve">. C.P. </w:t>
      </w:r>
      <w:r w:rsidRPr="00225E89">
        <w:rPr>
          <w:rFonts w:ascii="Verdana" w:hAnsi="Verdana" w:cs="Arial"/>
          <w:color w:val="000000"/>
          <w:sz w:val="12"/>
          <w:szCs w:val="12"/>
          <w:lang w:val="es-CO"/>
        </w:rPr>
        <w:t>Oswaldo Giraldo López</w:t>
      </w:r>
    </w:p>
    <w:p w14:paraId="083D5A14" w14:textId="77777777" w:rsidR="000146CB" w:rsidRPr="00225E89" w:rsidRDefault="000146CB" w:rsidP="000146CB">
      <w:pPr>
        <w:pStyle w:val="Textonotapie"/>
        <w:jc w:val="both"/>
        <w:rPr>
          <w:rFonts w:ascii="Verdana" w:hAnsi="Verdana"/>
          <w:sz w:val="12"/>
          <w:szCs w:val="12"/>
          <w:lang w:val="es-CO"/>
        </w:rPr>
      </w:pPr>
    </w:p>
  </w:footnote>
  <w:footnote w:id="5">
    <w:p w14:paraId="5A44A3EB" w14:textId="7B3BBEFA" w:rsidR="00225E89" w:rsidRPr="00225E89" w:rsidRDefault="00225E89" w:rsidP="00225E89">
      <w:pPr>
        <w:pStyle w:val="Textonotapie"/>
        <w:ind w:firstLine="708"/>
        <w:rPr>
          <w:lang w:val="es-ES"/>
        </w:rPr>
      </w:pPr>
      <w:r>
        <w:rPr>
          <w:rStyle w:val="Refdenotaalpie"/>
        </w:rPr>
        <w:footnoteRef/>
      </w:r>
      <w:r>
        <w:t xml:space="preserve"> </w:t>
      </w:r>
      <w:r w:rsidRPr="00225E89">
        <w:rPr>
          <w:rFonts w:ascii="Verdana" w:hAnsi="Verdana"/>
          <w:sz w:val="12"/>
          <w:szCs w:val="12"/>
        </w:rPr>
        <w:t>NARANJO FLORES, Carlos Eduardo; CELY CUBIDES, Diego Mauricio. Las excepciones al principio de anualidad en la contratación estatal. Bogotá: Revista de Derecho Fiscal Universidad Externado de Colombia, 2008, no 4. pp. 250-251.</w:t>
      </w:r>
    </w:p>
  </w:footnote>
  <w:footnote w:id="6">
    <w:p w14:paraId="2D0F0865" w14:textId="77777777" w:rsidR="000146CB" w:rsidRPr="00225E89" w:rsidRDefault="000146CB" w:rsidP="000146CB">
      <w:pPr>
        <w:pStyle w:val="Textonotapie"/>
        <w:ind w:firstLine="709"/>
        <w:jc w:val="both"/>
        <w:rPr>
          <w:rFonts w:ascii="Verdana" w:hAnsi="Verdana" w:cs="Arial"/>
          <w:sz w:val="12"/>
          <w:szCs w:val="12"/>
          <w:lang w:val="es-CO"/>
        </w:rPr>
      </w:pPr>
      <w:r w:rsidRPr="004746C4">
        <w:rPr>
          <w:rStyle w:val="Refdenotaalpie"/>
          <w:rFonts w:ascii="Verdana" w:hAnsi="Verdana" w:cs="Arial"/>
          <w:sz w:val="16"/>
          <w:szCs w:val="16"/>
        </w:rPr>
        <w:footnoteRef/>
      </w:r>
      <w:r w:rsidRPr="004746C4">
        <w:rPr>
          <w:rFonts w:ascii="Verdana" w:hAnsi="Verdana" w:cs="Arial"/>
          <w:sz w:val="16"/>
          <w:szCs w:val="16"/>
        </w:rPr>
        <w:t xml:space="preserve"> </w:t>
      </w:r>
      <w:bookmarkStart w:id="3" w:name="23"/>
      <w:r w:rsidRPr="00225E89">
        <w:rPr>
          <w:rFonts w:ascii="Verdana" w:eastAsia="Calibri" w:hAnsi="Verdana" w:cs="Arial"/>
          <w:sz w:val="12"/>
          <w:szCs w:val="12"/>
          <w:lang w:val="es-ES_tradnl"/>
        </w:rPr>
        <w:t>“</w:t>
      </w:r>
      <w:r w:rsidRPr="00225E89">
        <w:rPr>
          <w:rFonts w:ascii="Verdana" w:hAnsi="Verdana" w:cs="Arial"/>
          <w:sz w:val="12"/>
          <w:szCs w:val="12"/>
          <w:lang w:val="es-CO"/>
        </w:rPr>
        <w:t>Artículo 23.</w:t>
      </w:r>
      <w:bookmarkEnd w:id="3"/>
      <w:r w:rsidRPr="00225E89">
        <w:rPr>
          <w:rFonts w:ascii="Verdana" w:hAnsi="Verdana" w:cs="Arial"/>
          <w:sz w:val="12"/>
          <w:szCs w:val="12"/>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34C1E641" w14:textId="77777777" w:rsidR="000146CB" w:rsidRPr="00225E89" w:rsidRDefault="000146CB" w:rsidP="000146CB">
      <w:pPr>
        <w:pStyle w:val="Textonotapie"/>
        <w:ind w:firstLine="567"/>
        <w:jc w:val="both"/>
        <w:rPr>
          <w:rFonts w:ascii="Verdana" w:hAnsi="Verdana" w:cs="Arial"/>
          <w:sz w:val="12"/>
          <w:szCs w:val="12"/>
          <w:lang w:val="es-CO"/>
        </w:rPr>
      </w:pPr>
      <w:r w:rsidRPr="00225E89">
        <w:rPr>
          <w:rFonts w:ascii="Verdana" w:hAnsi="Verdana" w:cs="Arial"/>
          <w:sz w:val="12"/>
          <w:szCs w:val="12"/>
          <w:lang w:val="es-CO"/>
        </w:rPr>
        <w:t>a) El monto máximo de vigencias futuras, el plazo y las condiciones de las mismas consulte las metas plurianuales del Marco Fiscal de Mediano Plazo de que trata el artículo </w:t>
      </w:r>
      <w:hyperlink r:id="rId1" w:anchor="1" w:history="1">
        <w:r w:rsidRPr="00225E89">
          <w:rPr>
            <w:rStyle w:val="Hipervnculo"/>
            <w:rFonts w:ascii="Verdana" w:hAnsi="Verdana" w:cs="Arial"/>
            <w:sz w:val="12"/>
            <w:szCs w:val="12"/>
            <w:lang w:val="es-CO"/>
          </w:rPr>
          <w:t>1</w:t>
        </w:r>
      </w:hyperlink>
      <w:r w:rsidRPr="00225E89">
        <w:rPr>
          <w:rFonts w:ascii="Verdana" w:hAnsi="Verdana" w:cs="Arial"/>
          <w:sz w:val="12"/>
          <w:szCs w:val="12"/>
          <w:lang w:val="es-CO"/>
        </w:rPr>
        <w:t>o de esta ley;</w:t>
      </w:r>
    </w:p>
    <w:p w14:paraId="0DAB241B" w14:textId="77777777" w:rsidR="000146CB" w:rsidRPr="00225E89" w:rsidRDefault="000146CB" w:rsidP="000146CB">
      <w:pPr>
        <w:pStyle w:val="Textonotapie"/>
        <w:ind w:firstLine="567"/>
        <w:jc w:val="both"/>
        <w:rPr>
          <w:rFonts w:ascii="Verdana" w:hAnsi="Verdana" w:cs="Arial"/>
          <w:sz w:val="12"/>
          <w:szCs w:val="12"/>
          <w:lang w:val="es-CO"/>
        </w:rPr>
      </w:pPr>
      <w:r w:rsidRPr="00225E89">
        <w:rPr>
          <w:rFonts w:ascii="Verdana" w:hAnsi="Verdana" w:cs="Arial"/>
          <w:sz w:val="12"/>
          <w:szCs w:val="12"/>
          <w:lang w:val="es-CO"/>
        </w:rPr>
        <w:t>b) Como mínimo, de las vigencias futuras que se soliciten se deberá contar con apropiación del quince por ciento (15%) en la vigencia fiscal en la que estas sean autorizadas;</w:t>
      </w:r>
    </w:p>
    <w:p w14:paraId="7994E723" w14:textId="77777777" w:rsidR="000146CB" w:rsidRPr="00225E89" w:rsidRDefault="000146CB" w:rsidP="000146CB">
      <w:pPr>
        <w:pStyle w:val="Textonotapie"/>
        <w:ind w:firstLine="567"/>
        <w:jc w:val="both"/>
        <w:rPr>
          <w:rFonts w:ascii="Verdana" w:hAnsi="Verdana" w:cs="Arial"/>
          <w:sz w:val="12"/>
          <w:szCs w:val="12"/>
          <w:lang w:val="es-CO"/>
        </w:rPr>
      </w:pPr>
      <w:r w:rsidRPr="00225E89">
        <w:rPr>
          <w:rFonts w:ascii="Verdana" w:hAnsi="Verdana" w:cs="Arial"/>
          <w:sz w:val="12"/>
          <w:szCs w:val="12"/>
          <w:lang w:val="es-CO"/>
        </w:rPr>
        <w:t>c) Cuando se trate de proyectos de inversión nacional deberá obtenerse el concepto previo y favorable del Departamento Nacional de Planeación y del Ministerio del ramo.</w:t>
      </w:r>
    </w:p>
    <w:p w14:paraId="607426EB" w14:textId="77777777" w:rsidR="000146CB" w:rsidRPr="00225E89" w:rsidRDefault="000146CB" w:rsidP="000146CB">
      <w:pPr>
        <w:pStyle w:val="Textonotapie"/>
        <w:jc w:val="both"/>
        <w:rPr>
          <w:rFonts w:ascii="Verdana" w:hAnsi="Verdana" w:cs="Arial"/>
          <w:sz w:val="12"/>
          <w:szCs w:val="12"/>
          <w:lang w:val="es-CO"/>
        </w:rPr>
      </w:pPr>
      <w:r w:rsidRPr="00225E89">
        <w:rPr>
          <w:rFonts w:ascii="Verdana" w:hAnsi="Verdana" w:cs="Arial"/>
          <w:sz w:val="12"/>
          <w:szCs w:val="12"/>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6305F34A" w14:textId="77777777" w:rsidR="000146CB" w:rsidRPr="00225E89" w:rsidRDefault="000146CB" w:rsidP="000146CB">
      <w:pPr>
        <w:pStyle w:val="Textonotapie"/>
        <w:jc w:val="both"/>
        <w:rPr>
          <w:rFonts w:ascii="Verdana" w:hAnsi="Verdana" w:cs="Arial"/>
          <w:sz w:val="12"/>
          <w:szCs w:val="12"/>
          <w:lang w:val="es-CO"/>
        </w:rPr>
      </w:pPr>
      <w:r w:rsidRPr="00225E89">
        <w:rPr>
          <w:rFonts w:ascii="Verdana" w:hAnsi="Verdana" w:cs="Arial"/>
          <w:sz w:val="12"/>
          <w:szCs w:val="12"/>
          <w:lang w:val="es-CO"/>
        </w:rPr>
        <w:t>Esta disposición también se aplicará a las entidades de que trata el artículo 9o de la presente ley. El Gobierno reglamentará la materia.</w:t>
      </w:r>
    </w:p>
    <w:p w14:paraId="765349A0" w14:textId="77777777" w:rsidR="000146CB" w:rsidRPr="00225E89" w:rsidRDefault="000146CB" w:rsidP="000146CB">
      <w:pPr>
        <w:pStyle w:val="Textonotapie"/>
        <w:ind w:firstLine="709"/>
        <w:jc w:val="both"/>
        <w:rPr>
          <w:rFonts w:ascii="Verdana" w:hAnsi="Verdana" w:cs="Arial"/>
          <w:sz w:val="12"/>
          <w:szCs w:val="12"/>
          <w:lang w:val="es-CO"/>
        </w:rPr>
      </w:pPr>
      <w:r w:rsidRPr="00225E89">
        <w:rPr>
          <w:rFonts w:ascii="Verdana" w:hAnsi="Verdana" w:cs="Arial"/>
          <w:sz w:val="12"/>
          <w:szCs w:val="12"/>
          <w:lang w:val="es-CO"/>
        </w:rPr>
        <w:t>El Ministerio de Hacienda y Crédito Público, Dirección General del Presupuesto Público Nacional, incluirá en los proyectos de presupuesto las asignaciones necesarias para darle cumplimiento a lo dispuesto en este artículo. […]</w:t>
      </w:r>
      <w:r w:rsidRPr="00225E89">
        <w:rPr>
          <w:rFonts w:ascii="Verdana" w:eastAsia="Calibri" w:hAnsi="Verdana" w:cs="Arial"/>
          <w:sz w:val="12"/>
          <w:szCs w:val="12"/>
          <w:lang w:val="es-ES_tradnl"/>
        </w:rPr>
        <w:t>”</w:t>
      </w:r>
    </w:p>
  </w:footnote>
  <w:footnote w:id="7">
    <w:p w14:paraId="743C86F8" w14:textId="77777777" w:rsidR="000146CB" w:rsidRPr="00225E89" w:rsidRDefault="000146CB" w:rsidP="000146CB">
      <w:pPr>
        <w:pStyle w:val="Textonotapie"/>
        <w:ind w:firstLine="567"/>
        <w:jc w:val="both"/>
        <w:rPr>
          <w:rFonts w:ascii="Verdana" w:hAnsi="Verdana" w:cs="Arial"/>
          <w:sz w:val="12"/>
          <w:szCs w:val="12"/>
          <w:lang w:val="es-CO"/>
        </w:rPr>
      </w:pPr>
      <w:r w:rsidRPr="00225E89">
        <w:rPr>
          <w:rStyle w:val="Refdenotaalpie"/>
          <w:rFonts w:ascii="Verdana" w:hAnsi="Verdana" w:cs="Arial"/>
          <w:sz w:val="12"/>
          <w:szCs w:val="12"/>
        </w:rPr>
        <w:footnoteRef/>
      </w:r>
      <w:r w:rsidRPr="00225E89">
        <w:rPr>
          <w:rFonts w:ascii="Verdana" w:hAnsi="Verdana" w:cs="Arial"/>
          <w:sz w:val="12"/>
          <w:szCs w:val="12"/>
        </w:rPr>
        <w:t xml:space="preserve"> Consejo de Estado. Sección Tercera. Sentencia del 1 de febrero de 2018. Radicado Nro. 08001-2331-000-2010-00987-01. C.P. Oswaldo Giraldo López</w:t>
      </w:r>
    </w:p>
  </w:footnote>
  <w:footnote w:id="8">
    <w:p w14:paraId="5112BE12" w14:textId="77777777" w:rsidR="000146CB" w:rsidRPr="00225E89" w:rsidRDefault="000146CB" w:rsidP="000146CB">
      <w:pPr>
        <w:pStyle w:val="Textonotapie"/>
        <w:ind w:firstLine="709"/>
        <w:jc w:val="both"/>
        <w:rPr>
          <w:rFonts w:ascii="Verdana" w:hAnsi="Verdana" w:cs="Arial"/>
          <w:b/>
          <w:sz w:val="12"/>
          <w:szCs w:val="12"/>
          <w:lang w:val="es-ES"/>
        </w:rPr>
      </w:pPr>
      <w:r w:rsidRPr="00225E89">
        <w:rPr>
          <w:rStyle w:val="Refdenotaalpie"/>
          <w:rFonts w:ascii="Verdana" w:hAnsi="Verdana"/>
          <w:sz w:val="12"/>
          <w:szCs w:val="12"/>
        </w:rPr>
        <w:footnoteRef/>
      </w:r>
      <w:r w:rsidRPr="00225E89">
        <w:rPr>
          <w:rFonts w:ascii="Verdana" w:hAnsi="Verdana"/>
          <w:sz w:val="12"/>
          <w:szCs w:val="12"/>
        </w:rPr>
        <w:t xml:space="preserve"> </w:t>
      </w:r>
      <w:r w:rsidRPr="00225E89">
        <w:rPr>
          <w:rFonts w:ascii="Verdana" w:hAnsi="Verdana" w:cs="Arial"/>
          <w:sz w:val="12"/>
          <w:szCs w:val="12"/>
        </w:rPr>
        <w:t xml:space="preserve">Consejo de Estado. Sección Tercera. Sentencia del 12 de agosto de 2014. Radicado Nro. </w:t>
      </w:r>
      <w:r w:rsidRPr="00225E89">
        <w:rPr>
          <w:rFonts w:ascii="Verdana" w:hAnsi="Verdana" w:cs="Arial"/>
          <w:bCs/>
          <w:sz w:val="12"/>
          <w:szCs w:val="12"/>
          <w:lang w:val="es-ES"/>
        </w:rPr>
        <w:t xml:space="preserve">05001-23-31-000-1998-01350-01(28565) </w:t>
      </w:r>
      <w:r w:rsidRPr="00225E89">
        <w:rPr>
          <w:rFonts w:ascii="Verdana" w:hAnsi="Verdana" w:cs="Arial"/>
          <w:sz w:val="12"/>
          <w:szCs w:val="12"/>
        </w:rPr>
        <w:t>C.P. Enrique Gil Botero</w:t>
      </w:r>
    </w:p>
  </w:footnote>
  <w:footnote w:id="9">
    <w:p w14:paraId="57129A9E" w14:textId="77777777" w:rsidR="000146CB" w:rsidRPr="00225E89" w:rsidRDefault="000146CB" w:rsidP="000146CB">
      <w:pPr>
        <w:pStyle w:val="Textonotapie"/>
        <w:ind w:firstLine="709"/>
        <w:jc w:val="both"/>
        <w:rPr>
          <w:rFonts w:ascii="Verdana" w:eastAsia="Calibri" w:hAnsi="Verdana" w:cs="Arial"/>
          <w:sz w:val="12"/>
          <w:szCs w:val="12"/>
          <w:lang w:val="es-ES_tradnl"/>
        </w:rPr>
      </w:pPr>
      <w:r w:rsidRPr="00225E89">
        <w:rPr>
          <w:rStyle w:val="Refdenotaalpie"/>
          <w:rFonts w:ascii="Verdana" w:hAnsi="Verdana"/>
          <w:sz w:val="12"/>
          <w:szCs w:val="12"/>
        </w:rPr>
        <w:footnoteRef/>
      </w:r>
      <w:r w:rsidRPr="00225E89">
        <w:rPr>
          <w:rFonts w:ascii="Verdana" w:hAnsi="Verdana"/>
          <w:sz w:val="12"/>
          <w:szCs w:val="12"/>
        </w:rPr>
        <w:t xml:space="preserve"> </w:t>
      </w:r>
      <w:r w:rsidRPr="00225E89">
        <w:rPr>
          <w:rFonts w:ascii="Verdana" w:hAnsi="Verdana" w:cs="Arial"/>
          <w:sz w:val="12"/>
          <w:szCs w:val="12"/>
        </w:rPr>
        <w:t xml:space="preserve">Conforme al Artículo 89 del </w:t>
      </w:r>
      <w:r w:rsidRPr="00225E89">
        <w:rPr>
          <w:rFonts w:ascii="Verdana" w:eastAsia="Calibri" w:hAnsi="Verdana" w:cs="Arial"/>
          <w:color w:val="000000" w:themeColor="text1"/>
          <w:sz w:val="12"/>
          <w:szCs w:val="12"/>
          <w:lang w:val="es-ES"/>
        </w:rPr>
        <w:t>Estatuto Orgánico del Presupuesto</w:t>
      </w:r>
      <w:r w:rsidRPr="00225E89">
        <w:rPr>
          <w:rFonts w:ascii="Verdana" w:eastAsia="Times New Roman" w:hAnsi="Verdana" w:cs="Arial"/>
          <w:color w:val="4B4949"/>
          <w:sz w:val="12"/>
          <w:szCs w:val="12"/>
          <w:lang w:val="es-CO" w:eastAsia="es-ES_tradnl"/>
        </w:rPr>
        <w:t xml:space="preserve"> </w:t>
      </w:r>
      <w:r w:rsidRPr="00225E89">
        <w:rPr>
          <w:rFonts w:ascii="Verdana" w:eastAsia="Calibri" w:hAnsi="Verdana" w:cs="Arial"/>
          <w:sz w:val="12"/>
          <w:szCs w:val="12"/>
          <w:lang w:val="es-CO"/>
        </w:rPr>
        <w:t>“</w:t>
      </w:r>
      <w:r w:rsidRPr="00225E89">
        <w:rPr>
          <w:rFonts w:ascii="Verdana" w:eastAsia="Calibri" w:hAnsi="Verdana" w:cs="Arial"/>
          <w:sz w:val="12"/>
          <w:szCs w:val="12"/>
          <w:lang w:val="es-ES_tradnl"/>
        </w:rPr>
        <w:t xml:space="preserve">[…] </w:t>
      </w:r>
      <w:r w:rsidRPr="00225E89">
        <w:rPr>
          <w:rFonts w:ascii="Verdana" w:eastAsia="Times New Roman" w:hAnsi="Verdana" w:cs="Arial"/>
          <w:color w:val="4B4949"/>
          <w:sz w:val="12"/>
          <w:szCs w:val="12"/>
          <w:lang w:val="es-CO" w:eastAsia="es-ES_tradnl"/>
        </w:rPr>
        <w:t>c</w:t>
      </w:r>
      <w:r w:rsidRPr="00225E89">
        <w:rPr>
          <w:rFonts w:ascii="Verdana" w:eastAsia="Calibri" w:hAnsi="Verdana" w:cs="Arial"/>
          <w:color w:val="000000" w:themeColor="text1"/>
          <w:sz w:val="12"/>
          <w:szCs w:val="12"/>
          <w:lang w:val="es-CO"/>
        </w:rPr>
        <w:t>ada órgano constituirá al 31 de diciembre del año cuentas por pagar con las obligaciones correspondientes a los anticipos pactados en los contratos y a la entrega de bienes y servicios</w:t>
      </w:r>
      <w:r w:rsidRPr="00225E89">
        <w:rPr>
          <w:rFonts w:ascii="Verdana" w:eastAsia="Calibri" w:hAnsi="Verdana" w:cs="Arial"/>
          <w:sz w:val="12"/>
          <w:szCs w:val="12"/>
          <w:lang w:val="es-ES_tradnl"/>
        </w:rPr>
        <w:t>”.</w:t>
      </w:r>
    </w:p>
  </w:footnote>
  <w:footnote w:id="10">
    <w:p w14:paraId="7FC296AE" w14:textId="77777777" w:rsidR="000146CB" w:rsidRPr="00225E89" w:rsidRDefault="000146CB" w:rsidP="000146CB">
      <w:pPr>
        <w:pStyle w:val="Textonotapie"/>
        <w:ind w:firstLine="709"/>
        <w:jc w:val="both"/>
        <w:rPr>
          <w:rFonts w:ascii="Verdana" w:hAnsi="Verdana" w:cs="Arial"/>
          <w:sz w:val="12"/>
          <w:szCs w:val="12"/>
          <w:lang w:val="es-CO"/>
        </w:rPr>
      </w:pPr>
      <w:r w:rsidRPr="00225E89">
        <w:rPr>
          <w:rStyle w:val="Refdenotaalpie"/>
          <w:rFonts w:ascii="Verdana" w:hAnsi="Verdana"/>
          <w:sz w:val="12"/>
          <w:szCs w:val="12"/>
        </w:rPr>
        <w:footnoteRef/>
      </w:r>
      <w:r w:rsidRPr="00225E89">
        <w:rPr>
          <w:rFonts w:ascii="Verdana" w:hAnsi="Verdana"/>
          <w:sz w:val="12"/>
          <w:szCs w:val="12"/>
        </w:rPr>
        <w:t xml:space="preserve"> </w:t>
      </w:r>
      <w:r w:rsidRPr="00225E89">
        <w:rPr>
          <w:rFonts w:ascii="Verdana" w:eastAsia="Calibri" w:hAnsi="Verdana" w:cs="Arial"/>
          <w:color w:val="000000" w:themeColor="text1"/>
          <w:sz w:val="12"/>
          <w:szCs w:val="12"/>
          <w:lang w:val="es-ES"/>
        </w:rPr>
        <w:t>Artículo 89 del Estatuto Orgánico del Presupuesto</w:t>
      </w:r>
    </w:p>
  </w:footnote>
  <w:footnote w:id="11">
    <w:p w14:paraId="671B9801" w14:textId="77777777" w:rsidR="000146CB" w:rsidRPr="00F73D92" w:rsidRDefault="000146CB" w:rsidP="000146CB">
      <w:pPr>
        <w:pStyle w:val="Textonotapie"/>
        <w:ind w:firstLine="709"/>
        <w:jc w:val="both"/>
        <w:rPr>
          <w:rFonts w:ascii="Verdana" w:hAnsi="Verdana"/>
          <w:sz w:val="16"/>
          <w:szCs w:val="16"/>
          <w:lang w:val="es-CO"/>
        </w:rPr>
      </w:pPr>
      <w:r w:rsidRPr="00225E89">
        <w:rPr>
          <w:rStyle w:val="Refdenotaalpie"/>
          <w:rFonts w:ascii="Verdana" w:hAnsi="Verdana"/>
          <w:sz w:val="12"/>
          <w:szCs w:val="12"/>
        </w:rPr>
        <w:footnoteRef/>
      </w:r>
      <w:r w:rsidRPr="00225E89">
        <w:rPr>
          <w:rFonts w:ascii="Verdana" w:hAnsi="Verdana"/>
          <w:sz w:val="12"/>
          <w:szCs w:val="12"/>
        </w:rPr>
        <w:t xml:space="preserve"> </w:t>
      </w:r>
      <w:r w:rsidRPr="00225E89">
        <w:rPr>
          <w:rFonts w:ascii="Verdana" w:eastAsia="Calibri" w:hAnsi="Verdana" w:cs="Arial"/>
          <w:sz w:val="12"/>
          <w:szCs w:val="12"/>
          <w:lang w:val="es-ES_tradnl"/>
        </w:rPr>
        <w:t>“</w:t>
      </w:r>
      <w:r w:rsidRPr="00225E89">
        <w:rPr>
          <w:rFonts w:ascii="Verdana" w:hAnsi="Verdana" w:cs="Arial"/>
          <w:sz w:val="12"/>
          <w:szCs w:val="12"/>
          <w:lang w:val="es-CO"/>
        </w:rPr>
        <w:t>Artículo </w:t>
      </w:r>
      <w:bookmarkStart w:id="5" w:name="2.8.1.7.3.2"/>
      <w:bookmarkEnd w:id="5"/>
      <w:r w:rsidRPr="00225E89">
        <w:rPr>
          <w:rFonts w:ascii="Verdana" w:hAnsi="Verdana" w:cs="Arial"/>
          <w:sz w:val="12"/>
          <w:szCs w:val="12"/>
          <w:lang w:val="es-CO"/>
        </w:rPr>
        <w:t>2.8.1.7.3.2. </w:t>
      </w:r>
      <w:r w:rsidRPr="00225E89">
        <w:rPr>
          <w:rFonts w:ascii="Verdana" w:hAnsi="Verdana" w:cs="Arial"/>
          <w:i/>
          <w:iCs/>
          <w:sz w:val="12"/>
          <w:szCs w:val="12"/>
          <w:lang w:val="es-CO"/>
        </w:rPr>
        <w:t>Constitución de reservas presupuestales y cuentas por pagar. </w:t>
      </w:r>
      <w:r w:rsidRPr="00225E89">
        <w:rPr>
          <w:rFonts w:ascii="Verdana" w:hAnsi="Verdana" w:cs="Arial"/>
          <w:sz w:val="12"/>
          <w:szCs w:val="12"/>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225E89">
        <w:rPr>
          <w:rFonts w:ascii="Verdana" w:eastAsia="Calibri" w:hAnsi="Verdana" w:cs="Arial"/>
          <w:sz w:val="12"/>
          <w:szCs w:val="12"/>
          <w:lang w:val="es-CO"/>
        </w:rPr>
        <w:t>”</w:t>
      </w:r>
      <w:r w:rsidRPr="00225E89">
        <w:rPr>
          <w:rFonts w:ascii="Verdana" w:hAnsi="Verdana" w:cs="Arial"/>
          <w:sz w:val="12"/>
          <w:szCs w:val="12"/>
          <w:lang w:val="es-CO"/>
        </w:rPr>
        <w:t>.</w:t>
      </w:r>
    </w:p>
  </w:footnote>
  <w:footnote w:id="12">
    <w:p w14:paraId="28A355E0" w14:textId="77777777" w:rsidR="000146CB" w:rsidRPr="00225E89" w:rsidRDefault="000146CB" w:rsidP="000146CB">
      <w:pPr>
        <w:pStyle w:val="Textonotapie"/>
        <w:ind w:firstLine="709"/>
        <w:jc w:val="both"/>
        <w:rPr>
          <w:rFonts w:ascii="Verdana" w:hAnsi="Verdana" w:cs="Arial"/>
          <w:sz w:val="12"/>
          <w:szCs w:val="12"/>
          <w:lang w:val="es-CO"/>
        </w:rPr>
      </w:pPr>
      <w:r w:rsidRPr="00225E89">
        <w:rPr>
          <w:rStyle w:val="Refdenotaalpie"/>
          <w:rFonts w:ascii="Verdana" w:hAnsi="Verdana" w:cs="Arial"/>
          <w:sz w:val="12"/>
          <w:szCs w:val="12"/>
        </w:rPr>
        <w:footnoteRef/>
      </w:r>
      <w:r w:rsidRPr="00225E89">
        <w:rPr>
          <w:rFonts w:ascii="Verdana" w:hAnsi="Verdana" w:cs="Arial"/>
          <w:sz w:val="12"/>
          <w:szCs w:val="12"/>
        </w:rPr>
        <w:t xml:space="preserve"> </w:t>
      </w:r>
      <w:r w:rsidRPr="00225E89">
        <w:rPr>
          <w:rFonts w:ascii="Verdana" w:hAnsi="Verdana" w:cs="Arial"/>
          <w:sz w:val="12"/>
          <w:szCs w:val="12"/>
          <w:lang w:val="es-CO"/>
        </w:rPr>
        <w:t xml:space="preserve">Contraloría General de la República. Circular Externa 43 de 2008 </w:t>
      </w:r>
    </w:p>
  </w:footnote>
  <w:footnote w:id="13">
    <w:p w14:paraId="1D22415A" w14:textId="77777777" w:rsidR="000146CB" w:rsidRPr="002E718F" w:rsidRDefault="000146CB" w:rsidP="000146CB">
      <w:pPr>
        <w:pStyle w:val="Textonotapie"/>
        <w:ind w:right="49" w:firstLine="708"/>
        <w:jc w:val="both"/>
        <w:rPr>
          <w:rFonts w:ascii="Verdana" w:hAnsi="Verdana" w:cs="Arial"/>
          <w:color w:val="000000"/>
          <w:sz w:val="16"/>
          <w:szCs w:val="16"/>
        </w:rPr>
      </w:pPr>
      <w:r w:rsidRPr="00225E89">
        <w:rPr>
          <w:rStyle w:val="Refdenotaalpie"/>
          <w:rFonts w:ascii="Verdana" w:hAnsi="Verdana"/>
          <w:sz w:val="12"/>
          <w:szCs w:val="12"/>
        </w:rPr>
        <w:footnoteRef/>
      </w:r>
      <w:r w:rsidRPr="00225E89">
        <w:rPr>
          <w:rFonts w:ascii="Verdana" w:hAnsi="Verdana"/>
          <w:sz w:val="12"/>
          <w:szCs w:val="12"/>
        </w:rPr>
        <w:t xml:space="preserve"> </w:t>
      </w:r>
      <w:r w:rsidRPr="00225E89">
        <w:rPr>
          <w:rFonts w:ascii="Verdana" w:hAnsi="Verdana" w:cs="Arial"/>
          <w:color w:val="000000"/>
          <w:sz w:val="12"/>
          <w:szCs w:val="12"/>
        </w:rPr>
        <w:t>Consejo de Estado. Sección Tercera. Sentencia del 1 de febrero de 2018. Radicado Nro.</w:t>
      </w:r>
      <w:r w:rsidRPr="00225E89">
        <w:rPr>
          <w:rFonts w:ascii="Verdana" w:hAnsi="Verdana" w:cs="Arial"/>
          <w:color w:val="000000"/>
          <w:sz w:val="12"/>
          <w:szCs w:val="12"/>
          <w:lang w:val="es-CO"/>
        </w:rPr>
        <w:t xml:space="preserve"> 08001-2331-000-2010-00987-01</w:t>
      </w:r>
      <w:r w:rsidRPr="00225E89">
        <w:rPr>
          <w:rFonts w:ascii="Verdana" w:hAnsi="Verdana" w:cs="Arial"/>
          <w:color w:val="000000"/>
          <w:sz w:val="12"/>
          <w:szCs w:val="12"/>
        </w:rPr>
        <w:t xml:space="preserve">. C.P. </w:t>
      </w:r>
      <w:r w:rsidRPr="00225E89">
        <w:rPr>
          <w:rFonts w:ascii="Verdana" w:hAnsi="Verdana" w:cs="Arial"/>
          <w:color w:val="000000"/>
          <w:sz w:val="12"/>
          <w:szCs w:val="12"/>
          <w:lang w:val="es-CO"/>
        </w:rPr>
        <w:t>Oswaldo Giraldo López</w:t>
      </w:r>
      <w:r w:rsidRPr="00225E89">
        <w:rPr>
          <w:rFonts w:ascii="Verdana" w:hAnsi="Verdana" w:cs="Arial"/>
          <w:color w:val="000000"/>
          <w:sz w:val="12"/>
          <w:szCs w:val="1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97926195"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90526983" name="Imagen 1590526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73585860"/>
    <w:lvl w:ilvl="0" w:tplc="240A000F">
      <w:start w:val="1"/>
      <w:numFmt w:val="decimal"/>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0640658">
    <w:abstractNumId w:val="6"/>
  </w:num>
  <w:num w:numId="2" w16cid:durableId="1673099218">
    <w:abstractNumId w:val="1"/>
  </w:num>
  <w:num w:numId="3" w16cid:durableId="554505650">
    <w:abstractNumId w:val="4"/>
  </w:num>
  <w:num w:numId="4" w16cid:durableId="2129363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73332631">
    <w:abstractNumId w:val="1"/>
  </w:num>
  <w:num w:numId="6" w16cid:durableId="1313145765">
    <w:abstractNumId w:val="13"/>
  </w:num>
  <w:num w:numId="7" w16cid:durableId="1259025244">
    <w:abstractNumId w:val="5"/>
  </w:num>
  <w:num w:numId="8" w16cid:durableId="1844589254">
    <w:abstractNumId w:val="12"/>
  </w:num>
  <w:num w:numId="9" w16cid:durableId="848368491">
    <w:abstractNumId w:val="7"/>
  </w:num>
  <w:num w:numId="10" w16cid:durableId="1578401242">
    <w:abstractNumId w:val="11"/>
  </w:num>
  <w:num w:numId="11" w16cid:durableId="1753964201">
    <w:abstractNumId w:val="8"/>
  </w:num>
  <w:num w:numId="12" w16cid:durableId="1372806850">
    <w:abstractNumId w:val="0"/>
  </w:num>
  <w:num w:numId="13" w16cid:durableId="513157039">
    <w:abstractNumId w:val="2"/>
  </w:num>
  <w:num w:numId="14" w16cid:durableId="330060800">
    <w:abstractNumId w:val="14"/>
  </w:num>
  <w:num w:numId="15" w16cid:durableId="1160728821">
    <w:abstractNumId w:val="10"/>
  </w:num>
  <w:num w:numId="16" w16cid:durableId="1366252724">
    <w:abstractNumId w:val="3"/>
  </w:num>
  <w:num w:numId="17" w16cid:durableId="10417799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A56"/>
    <w:rsid w:val="00011AF1"/>
    <w:rsid w:val="000146CB"/>
    <w:rsid w:val="00016F78"/>
    <w:rsid w:val="00022FC1"/>
    <w:rsid w:val="0002378F"/>
    <w:rsid w:val="00046945"/>
    <w:rsid w:val="00061B2A"/>
    <w:rsid w:val="00082362"/>
    <w:rsid w:val="000A683E"/>
    <w:rsid w:val="000B19B9"/>
    <w:rsid w:val="000B429D"/>
    <w:rsid w:val="000D0334"/>
    <w:rsid w:val="000D5DA7"/>
    <w:rsid w:val="000F2671"/>
    <w:rsid w:val="000F4F2F"/>
    <w:rsid w:val="000F6486"/>
    <w:rsid w:val="00116940"/>
    <w:rsid w:val="00123227"/>
    <w:rsid w:val="00125105"/>
    <w:rsid w:val="00127233"/>
    <w:rsid w:val="0015699B"/>
    <w:rsid w:val="001A33BF"/>
    <w:rsid w:val="001E4177"/>
    <w:rsid w:val="001F0B24"/>
    <w:rsid w:val="001F7DC6"/>
    <w:rsid w:val="00211405"/>
    <w:rsid w:val="0022400B"/>
    <w:rsid w:val="00225E89"/>
    <w:rsid w:val="002421BB"/>
    <w:rsid w:val="0025796E"/>
    <w:rsid w:val="002707A2"/>
    <w:rsid w:val="002951A0"/>
    <w:rsid w:val="002962BC"/>
    <w:rsid w:val="002A093D"/>
    <w:rsid w:val="002A0DD0"/>
    <w:rsid w:val="002A49AC"/>
    <w:rsid w:val="002A64FD"/>
    <w:rsid w:val="002C7A84"/>
    <w:rsid w:val="002E2BF8"/>
    <w:rsid w:val="002E4FD9"/>
    <w:rsid w:val="002E7A81"/>
    <w:rsid w:val="0030657A"/>
    <w:rsid w:val="00322A85"/>
    <w:rsid w:val="00324168"/>
    <w:rsid w:val="00330834"/>
    <w:rsid w:val="003448F4"/>
    <w:rsid w:val="00345F24"/>
    <w:rsid w:val="00362A2B"/>
    <w:rsid w:val="00371BD4"/>
    <w:rsid w:val="00374F5E"/>
    <w:rsid w:val="00377E3E"/>
    <w:rsid w:val="003A779E"/>
    <w:rsid w:val="003D0F4D"/>
    <w:rsid w:val="003D5B0D"/>
    <w:rsid w:val="003E0499"/>
    <w:rsid w:val="003E23F5"/>
    <w:rsid w:val="003E4F80"/>
    <w:rsid w:val="003E6439"/>
    <w:rsid w:val="003F3941"/>
    <w:rsid w:val="00406575"/>
    <w:rsid w:val="00414C74"/>
    <w:rsid w:val="0042722E"/>
    <w:rsid w:val="0044528D"/>
    <w:rsid w:val="00466E39"/>
    <w:rsid w:val="004A1847"/>
    <w:rsid w:val="004A305D"/>
    <w:rsid w:val="004C44A8"/>
    <w:rsid w:val="004D6CA0"/>
    <w:rsid w:val="004F21C4"/>
    <w:rsid w:val="004F685F"/>
    <w:rsid w:val="0052341E"/>
    <w:rsid w:val="005566E8"/>
    <w:rsid w:val="00574867"/>
    <w:rsid w:val="00591460"/>
    <w:rsid w:val="005A65E0"/>
    <w:rsid w:val="005C3777"/>
    <w:rsid w:val="005C5CDC"/>
    <w:rsid w:val="005D476C"/>
    <w:rsid w:val="005F1EF7"/>
    <w:rsid w:val="006200BF"/>
    <w:rsid w:val="006219F8"/>
    <w:rsid w:val="006302F7"/>
    <w:rsid w:val="00646B9F"/>
    <w:rsid w:val="00665D70"/>
    <w:rsid w:val="006900D9"/>
    <w:rsid w:val="0070436B"/>
    <w:rsid w:val="00706C16"/>
    <w:rsid w:val="007340C3"/>
    <w:rsid w:val="00741999"/>
    <w:rsid w:val="0075235A"/>
    <w:rsid w:val="00756841"/>
    <w:rsid w:val="007649AB"/>
    <w:rsid w:val="007670AB"/>
    <w:rsid w:val="00771D0C"/>
    <w:rsid w:val="007833AC"/>
    <w:rsid w:val="007A7116"/>
    <w:rsid w:val="007B268C"/>
    <w:rsid w:val="007B7171"/>
    <w:rsid w:val="007C0C0F"/>
    <w:rsid w:val="007C3DC2"/>
    <w:rsid w:val="007E0A09"/>
    <w:rsid w:val="007E5497"/>
    <w:rsid w:val="008034C7"/>
    <w:rsid w:val="00806F5F"/>
    <w:rsid w:val="00820278"/>
    <w:rsid w:val="008258C9"/>
    <w:rsid w:val="00844AE9"/>
    <w:rsid w:val="00853487"/>
    <w:rsid w:val="00867F95"/>
    <w:rsid w:val="008843B6"/>
    <w:rsid w:val="00891928"/>
    <w:rsid w:val="008A446D"/>
    <w:rsid w:val="008B25F1"/>
    <w:rsid w:val="008D180B"/>
    <w:rsid w:val="008E14FB"/>
    <w:rsid w:val="008F0EA7"/>
    <w:rsid w:val="00917964"/>
    <w:rsid w:val="009231D4"/>
    <w:rsid w:val="00923EEF"/>
    <w:rsid w:val="00935522"/>
    <w:rsid w:val="009419F9"/>
    <w:rsid w:val="0095685E"/>
    <w:rsid w:val="00961B09"/>
    <w:rsid w:val="00965334"/>
    <w:rsid w:val="0097093E"/>
    <w:rsid w:val="009807D6"/>
    <w:rsid w:val="009A0DFA"/>
    <w:rsid w:val="009A1C6F"/>
    <w:rsid w:val="009B2D26"/>
    <w:rsid w:val="009B4002"/>
    <w:rsid w:val="009C71FA"/>
    <w:rsid w:val="009C72E7"/>
    <w:rsid w:val="009C7F7E"/>
    <w:rsid w:val="009D3058"/>
    <w:rsid w:val="009D4F05"/>
    <w:rsid w:val="009F3A13"/>
    <w:rsid w:val="00A122D3"/>
    <w:rsid w:val="00A14468"/>
    <w:rsid w:val="00A17F13"/>
    <w:rsid w:val="00A20739"/>
    <w:rsid w:val="00A23AF9"/>
    <w:rsid w:val="00A33C78"/>
    <w:rsid w:val="00A473DB"/>
    <w:rsid w:val="00A76101"/>
    <w:rsid w:val="00A94F83"/>
    <w:rsid w:val="00AB0ADB"/>
    <w:rsid w:val="00AD0C89"/>
    <w:rsid w:val="00AE3F6C"/>
    <w:rsid w:val="00B00C0E"/>
    <w:rsid w:val="00B01B1A"/>
    <w:rsid w:val="00B0381D"/>
    <w:rsid w:val="00B44A47"/>
    <w:rsid w:val="00B72CD3"/>
    <w:rsid w:val="00B72FFF"/>
    <w:rsid w:val="00BA645C"/>
    <w:rsid w:val="00BC3D36"/>
    <w:rsid w:val="00BD54A6"/>
    <w:rsid w:val="00BD7F72"/>
    <w:rsid w:val="00BF7425"/>
    <w:rsid w:val="00C04FB3"/>
    <w:rsid w:val="00C0730D"/>
    <w:rsid w:val="00C1044E"/>
    <w:rsid w:val="00C11D8B"/>
    <w:rsid w:val="00C15139"/>
    <w:rsid w:val="00C330EB"/>
    <w:rsid w:val="00C45881"/>
    <w:rsid w:val="00C50D69"/>
    <w:rsid w:val="00C5365C"/>
    <w:rsid w:val="00C754BE"/>
    <w:rsid w:val="00C76B1C"/>
    <w:rsid w:val="00C925AC"/>
    <w:rsid w:val="00CB6357"/>
    <w:rsid w:val="00CC1B26"/>
    <w:rsid w:val="00D361FD"/>
    <w:rsid w:val="00D423A2"/>
    <w:rsid w:val="00D44E26"/>
    <w:rsid w:val="00D520D8"/>
    <w:rsid w:val="00D63AC2"/>
    <w:rsid w:val="00D7383B"/>
    <w:rsid w:val="00D74A55"/>
    <w:rsid w:val="00D76CCD"/>
    <w:rsid w:val="00D7788A"/>
    <w:rsid w:val="00DA231B"/>
    <w:rsid w:val="00DB57F5"/>
    <w:rsid w:val="00DC39FC"/>
    <w:rsid w:val="00DF5254"/>
    <w:rsid w:val="00E02524"/>
    <w:rsid w:val="00E16408"/>
    <w:rsid w:val="00E20894"/>
    <w:rsid w:val="00E245AB"/>
    <w:rsid w:val="00E2764C"/>
    <w:rsid w:val="00E27F2E"/>
    <w:rsid w:val="00E50AFE"/>
    <w:rsid w:val="00E75C92"/>
    <w:rsid w:val="00E771DC"/>
    <w:rsid w:val="00E8772A"/>
    <w:rsid w:val="00E87D16"/>
    <w:rsid w:val="00E90F6B"/>
    <w:rsid w:val="00E91782"/>
    <w:rsid w:val="00E92C27"/>
    <w:rsid w:val="00EA0E3D"/>
    <w:rsid w:val="00EA7369"/>
    <w:rsid w:val="00EC38A7"/>
    <w:rsid w:val="00EE1AA8"/>
    <w:rsid w:val="00F23FEA"/>
    <w:rsid w:val="00F31EDC"/>
    <w:rsid w:val="00F462B3"/>
    <w:rsid w:val="00F5664F"/>
    <w:rsid w:val="00F666C4"/>
    <w:rsid w:val="00F76AFC"/>
    <w:rsid w:val="00FA47C0"/>
    <w:rsid w:val="00FB5DD1"/>
    <w:rsid w:val="00FC2B5D"/>
    <w:rsid w:val="00FE667D"/>
    <w:rsid w:val="00FF1449"/>
    <w:rsid w:val="00FF7963"/>
    <w:rsid w:val="09908A09"/>
    <w:rsid w:val="13CFC91B"/>
    <w:rsid w:val="19A2EC2C"/>
    <w:rsid w:val="2859CA1B"/>
    <w:rsid w:val="32A4F9CF"/>
    <w:rsid w:val="356CEDFD"/>
    <w:rsid w:val="409D7308"/>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7D56D4F-E9D8-4D1A-94E1-E3F7A6414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146C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146CB"/>
    <w:rPr>
      <w:rFonts w:ascii="Geomanist Light" w:hAnsi="Geomanist Light"/>
      <w:lang w:val="es-ES"/>
    </w:rPr>
  </w:style>
  <w:style w:type="table" w:customStyle="1" w:styleId="Tablaconcuadrcula11">
    <w:name w:val="Tabla con cuadrícula11"/>
    <w:basedOn w:val="Tablanormal"/>
    <w:next w:val="Tablaconcuadrcula"/>
    <w:uiPriority w:val="39"/>
    <w:qFormat/>
    <w:rsid w:val="00014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0146C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3712"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iraseguramiento@cajica.gov.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D70399-48E7-40B5-B4CD-5F87DB0540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B8A5A30-7395-4CC0-9621-8506338C8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19</Pages>
  <Words>5808</Words>
  <Characters>32585</Characters>
  <Application>Microsoft Office Word</Application>
  <DocSecurity>0</DocSecurity>
  <Lines>665</Lines>
  <Paragraphs>137</Paragraphs>
  <ScaleCrop>false</ScaleCrop>
  <Company/>
  <LinksUpToDate>false</LinksUpToDate>
  <CharactersWithSpaces>38256</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2555926</vt:i4>
      </vt:variant>
      <vt:variant>
        <vt:i4>3</vt:i4>
      </vt:variant>
      <vt:variant>
        <vt:i4>0</vt:i4>
      </vt:variant>
      <vt:variant>
        <vt:i4>5</vt:i4>
      </vt:variant>
      <vt:variant>
        <vt:lpwstr>https://www.funcionpublica.gov.co/eva/gestornormativo/norma.php?i=13712</vt:lpwstr>
      </vt:variant>
      <vt:variant>
        <vt:lpwstr>5</vt:lpwstr>
      </vt:variant>
      <vt:variant>
        <vt:i4>3473502</vt:i4>
      </vt:variant>
      <vt:variant>
        <vt:i4>0</vt:i4>
      </vt:variant>
      <vt:variant>
        <vt:i4>0</vt:i4>
      </vt:variant>
      <vt:variant>
        <vt:i4>5</vt:i4>
      </vt:variant>
      <vt:variant>
        <vt:lpwstr>mailto:diraseguramiento@cajica.gov.co</vt:lpwstr>
      </vt:variant>
      <vt:variant>
        <vt:lpwstr/>
      </vt:variant>
      <vt:variant>
        <vt:i4>3211295</vt:i4>
      </vt:variant>
      <vt:variant>
        <vt:i4>0</vt:i4>
      </vt:variant>
      <vt:variant>
        <vt:i4>0</vt:i4>
      </vt:variant>
      <vt:variant>
        <vt:i4>5</vt:i4>
      </vt:variant>
      <vt:variant>
        <vt:lpwstr>http://www.secretariasenado.gov.co/senado/basedoc/ley_0179_1994.html</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14</cp:revision>
  <cp:lastPrinted>2023-01-10T21:18:00Z</cp:lastPrinted>
  <dcterms:created xsi:type="dcterms:W3CDTF">2025-12-04T14:15:00Z</dcterms:created>
  <dcterms:modified xsi:type="dcterms:W3CDTF">2025-12-09T16:55:00Z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