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C4F1B" w14:textId="77777777" w:rsidR="00C851C7" w:rsidRPr="00C55BDE" w:rsidRDefault="00C851C7" w:rsidP="00C851C7">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13B3A3BD" w14:textId="77777777" w:rsidR="00C851C7" w:rsidRPr="00C55BDE" w:rsidRDefault="00C851C7" w:rsidP="00C851C7">
      <w:pPr>
        <w:snapToGrid w:val="0"/>
        <w:contextualSpacing/>
        <w:jc w:val="both"/>
        <w:rPr>
          <w:rFonts w:ascii="Verdana" w:hAnsi="Verdana" w:cs="Arial"/>
          <w:b/>
          <w:bCs/>
          <w:lang w:val="es-ES" w:eastAsia="es-ES"/>
        </w:rPr>
      </w:pPr>
    </w:p>
    <w:p w14:paraId="6D9D56D5" w14:textId="77777777" w:rsidR="00C851C7" w:rsidRPr="00C55BDE" w:rsidRDefault="00C851C7" w:rsidP="00C851C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8192D07" w14:textId="77777777" w:rsidR="00C851C7" w:rsidRPr="00C55BDE" w:rsidRDefault="00C851C7" w:rsidP="00C851C7">
      <w:pPr>
        <w:snapToGrid w:val="0"/>
        <w:contextualSpacing/>
        <w:jc w:val="both"/>
        <w:rPr>
          <w:rFonts w:ascii="Verdana" w:hAnsi="Verdana" w:cs="Arial"/>
          <w:b/>
          <w:bCs/>
          <w:lang w:val="es-ES" w:eastAsia="es-ES"/>
        </w:rPr>
      </w:pPr>
    </w:p>
    <w:p w14:paraId="08E144EE" w14:textId="77777777" w:rsidR="00C851C7" w:rsidRPr="00C55BDE" w:rsidRDefault="00C851C7" w:rsidP="00C851C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451E1AB4" w14:textId="77777777" w:rsidR="00C851C7" w:rsidRPr="00C55BDE" w:rsidRDefault="00C851C7" w:rsidP="00C851C7">
      <w:pPr>
        <w:snapToGrid w:val="0"/>
        <w:spacing w:after="0" w:line="240" w:lineRule="auto"/>
        <w:contextualSpacing/>
        <w:jc w:val="both"/>
        <w:rPr>
          <w:rFonts w:ascii="Verdana" w:hAnsi="Verdana" w:cs="Arial"/>
          <w:sz w:val="20"/>
          <w:szCs w:val="20"/>
          <w:lang w:val="es-ES" w:eastAsia="es-ES"/>
        </w:rPr>
      </w:pPr>
    </w:p>
    <w:p w14:paraId="2EF346BB"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p>
    <w:p w14:paraId="3877BD03" w14:textId="77777777" w:rsidR="00C851C7" w:rsidRPr="00C55BDE" w:rsidRDefault="00C851C7"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13E251E6" w14:textId="77777777" w:rsidR="003820DF" w:rsidRDefault="003820DF" w:rsidP="002133AC">
      <w:pPr>
        <w:spacing w:after="0" w:line="240" w:lineRule="auto"/>
        <w:jc w:val="both"/>
        <w:rPr>
          <w:rFonts w:ascii="Verdana" w:eastAsia="Calibri" w:hAnsi="Verdana" w:cs="Arial"/>
          <w:b/>
          <w:lang w:val="es-ES"/>
        </w:rPr>
      </w:pPr>
    </w:p>
    <w:p w14:paraId="5A4A7006" w14:textId="77777777" w:rsidR="000E6DA5" w:rsidRDefault="000E6DA5" w:rsidP="000E6DA5">
      <w:pPr>
        <w:spacing w:after="0" w:line="240" w:lineRule="auto"/>
        <w:jc w:val="both"/>
        <w:rPr>
          <w:rFonts w:ascii="Verdana" w:hAnsi="Verdana" w:cs="Arial"/>
          <w:b/>
          <w:bCs/>
          <w:lang w:val="es-MX" w:eastAsia="es-ES_tradnl"/>
        </w:rPr>
      </w:pPr>
      <w:r w:rsidRPr="00F07606">
        <w:rPr>
          <w:rFonts w:ascii="Verdana" w:hAnsi="Verdana" w:cs="Arial"/>
          <w:b/>
          <w:bCs/>
          <w:lang w:val="es-MX" w:eastAsia="es-ES_tradnl"/>
        </w:rPr>
        <w:t>CONVENIOS INTERADMINISTRATIVOS – Criterio orgánico</w:t>
      </w:r>
    </w:p>
    <w:p w14:paraId="74B8788F" w14:textId="77777777" w:rsidR="000E6DA5" w:rsidRDefault="000E6DA5" w:rsidP="000E6DA5">
      <w:pPr>
        <w:spacing w:after="0" w:line="240" w:lineRule="auto"/>
        <w:jc w:val="both"/>
        <w:rPr>
          <w:rFonts w:ascii="Verdana" w:hAnsi="Verdana" w:cs="Arial"/>
          <w:b/>
          <w:bCs/>
          <w:lang w:val="es-MX" w:eastAsia="es-ES_tradnl"/>
        </w:rPr>
      </w:pPr>
    </w:p>
    <w:p w14:paraId="19565063" w14:textId="63F5F2BE" w:rsidR="000E6DA5" w:rsidRDefault="000E6DA5" w:rsidP="000E6DA5">
      <w:pPr>
        <w:spacing w:after="0" w:line="240" w:lineRule="auto"/>
        <w:jc w:val="both"/>
        <w:rPr>
          <w:rFonts w:ascii="Verdana" w:hAnsi="Verdana" w:cs="Arial"/>
          <w:sz w:val="20"/>
          <w:szCs w:val="20"/>
          <w:lang w:eastAsia="es-ES_tradnl"/>
        </w:rPr>
      </w:pPr>
      <w:r>
        <w:rPr>
          <w:rFonts w:ascii="Verdana" w:hAnsi="Verdana" w:cs="Arial"/>
          <w:sz w:val="20"/>
          <w:szCs w:val="20"/>
          <w:lang w:val="es-ES" w:eastAsia="es-ES_tradnl"/>
        </w:rPr>
        <w:t>D</w:t>
      </w:r>
      <w:r w:rsidRPr="00F07606">
        <w:rPr>
          <w:rFonts w:ascii="Verdana" w:hAnsi="Verdana" w:cs="Arial"/>
          <w:sz w:val="20"/>
          <w:szCs w:val="20"/>
          <w:lang w:val="es-ES" w:eastAsia="es-ES_tradnl"/>
        </w:rPr>
        <w:t xml:space="preserve">ebe precisarse que los contratos o convenios interadministrativos están determinados por un criterio orgánico, pues es necesario que los extremos de la relación contractual sean entidades públicas, </w:t>
      </w:r>
      <w:r w:rsidRPr="00F07606">
        <w:rPr>
          <w:rFonts w:ascii="Verdana" w:hAnsi="Verdana" w:cs="Arial"/>
          <w:sz w:val="20"/>
          <w:szCs w:val="20"/>
          <w:lang w:eastAsia="es-ES_tradnl"/>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76A5350E" w14:textId="77777777" w:rsidR="000E6DA5" w:rsidRPr="00C55BDE" w:rsidRDefault="000E6DA5" w:rsidP="000E6DA5">
      <w:pPr>
        <w:spacing w:after="0" w:line="240" w:lineRule="auto"/>
        <w:jc w:val="both"/>
        <w:rPr>
          <w:rFonts w:ascii="Verdana" w:eastAsia="Calibri" w:hAnsi="Verdana" w:cs="Arial"/>
          <w:b/>
          <w:lang w:val="es-ES"/>
        </w:rPr>
      </w:pPr>
    </w:p>
    <w:p w14:paraId="4C6EF8E9" w14:textId="77777777" w:rsidR="007D4B2E" w:rsidRPr="00C55BDE" w:rsidRDefault="007D4B2E" w:rsidP="007D4B2E">
      <w:pPr>
        <w:spacing w:after="0"/>
        <w:jc w:val="both"/>
        <w:rPr>
          <w:rFonts w:ascii="Verdana" w:hAnsi="Verdana"/>
          <w:b/>
        </w:rPr>
      </w:pPr>
      <w:r w:rsidRPr="00C55BDE">
        <w:rPr>
          <w:rFonts w:ascii="Verdana" w:hAnsi="Verdana" w:cs="Arial"/>
          <w:b/>
          <w:lang w:val="es-MX" w:eastAsia="es-ES_tradnl"/>
        </w:rPr>
        <w:t>CONTRATOS Y CONVENIOS INTERADMINISTRATIVOS – Circular Externa Única – Auto de suspensión –numeral 16.2.</w:t>
      </w:r>
    </w:p>
    <w:p w14:paraId="1D236544" w14:textId="77777777" w:rsidR="00A66915" w:rsidRDefault="00A66915" w:rsidP="00C15139">
      <w:pPr>
        <w:spacing w:after="0"/>
        <w:rPr>
          <w:rFonts w:ascii="Verdana" w:hAnsi="Verdana"/>
        </w:rPr>
      </w:pPr>
    </w:p>
    <w:p w14:paraId="510B7A7F" w14:textId="77777777" w:rsidR="0007013D" w:rsidRPr="00482175" w:rsidRDefault="0007013D" w:rsidP="0007013D">
      <w:pPr>
        <w:spacing w:after="0" w:line="240" w:lineRule="auto"/>
        <w:jc w:val="both"/>
        <w:rPr>
          <w:rFonts w:ascii="Verdana" w:hAnsi="Verdana"/>
          <w:sz w:val="18"/>
          <w:szCs w:val="20"/>
        </w:rPr>
      </w:pPr>
      <w:r w:rsidRPr="00C55BDE">
        <w:rPr>
          <w:rFonts w:ascii="Verdana" w:eastAsia="Arial" w:hAnsi="Verdana" w:cs="Arial"/>
          <w:sz w:val="20"/>
          <w:lang w:val="es-MX" w:eastAsia="es-ES" w:bidi="es-ES"/>
        </w:rPr>
        <w:lastRenderedPageBreak/>
        <w:t xml:space="preserve">[…] conviene señalar que, mediante auto de 4 de octubre del 2024, el Consejo de Estado, Sección Tercera, decretó medida de suspensión provisional parcial del </w:t>
      </w:r>
      <w:r w:rsidRPr="00C55BDE">
        <w:rPr>
          <w:rFonts w:ascii="Verdana" w:hAnsi="Verdana"/>
          <w:sz w:val="20"/>
        </w:rPr>
        <w:t>numeral 16.2 de la Circular Externa Única de 2022 expedida por la Agencia Nacional de Contratación Pública -Colombia Compra Eficiente-, concretamente, respecto de los siguientes apartes normativos</w:t>
      </w:r>
      <w:r w:rsidRPr="00C55BDE">
        <w:rPr>
          <w:rFonts w:ascii="Verdana" w:hAnsi="Verdana"/>
          <w:sz w:val="18"/>
          <w:szCs w:val="20"/>
        </w:rPr>
        <w:t xml:space="preserve"> </w:t>
      </w:r>
    </w:p>
    <w:p w14:paraId="40673A92" w14:textId="77777777" w:rsidR="0007013D" w:rsidRDefault="0007013D" w:rsidP="0007013D">
      <w:pPr>
        <w:spacing w:after="0" w:line="240" w:lineRule="auto"/>
        <w:jc w:val="both"/>
        <w:rPr>
          <w:rFonts w:ascii="Verdana" w:eastAsia="Geomanist Light" w:hAnsi="Verdana" w:cs="Arial"/>
          <w:color w:val="000000" w:themeColor="text1"/>
          <w:sz w:val="20"/>
          <w:szCs w:val="20"/>
          <w:lang w:val="es-ES_tradnl"/>
        </w:rPr>
      </w:pPr>
    </w:p>
    <w:p w14:paraId="533EC41C" w14:textId="77777777" w:rsidR="0007013D" w:rsidRDefault="0007013D" w:rsidP="0007013D">
      <w:pPr>
        <w:spacing w:after="0" w:line="240" w:lineRule="auto"/>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29F6548B" w14:textId="77777777" w:rsidR="0007013D" w:rsidRPr="00482175" w:rsidRDefault="0007013D" w:rsidP="0007013D">
      <w:pPr>
        <w:spacing w:after="0" w:line="240" w:lineRule="auto"/>
        <w:jc w:val="both"/>
        <w:rPr>
          <w:rFonts w:ascii="Verdana" w:eastAsia="Geomanist Light" w:hAnsi="Verdana" w:cs="Arial"/>
          <w:color w:val="000000" w:themeColor="text1"/>
          <w:sz w:val="20"/>
          <w:szCs w:val="20"/>
          <w:lang w:val="es-ES_tradnl"/>
        </w:rPr>
      </w:pPr>
    </w:p>
    <w:p w14:paraId="6A162153" w14:textId="77777777" w:rsidR="0007013D" w:rsidRDefault="0007013D" w:rsidP="0007013D">
      <w:pPr>
        <w:spacing w:after="0" w:line="240" w:lineRule="auto"/>
        <w:jc w:val="both"/>
        <w:rPr>
          <w:rFonts w:ascii="Verdana" w:hAnsi="Verdana"/>
          <w:sz w:val="20"/>
          <w:szCs w:val="20"/>
        </w:rPr>
      </w:pPr>
      <w:r w:rsidRPr="00482175">
        <w:rPr>
          <w:rFonts w:ascii="Verdana" w:hAnsi="Verdana"/>
          <w:sz w:val="20"/>
          <w:szCs w:val="20"/>
        </w:rPr>
        <w:t>De igual manera, mediante auto del 6 de noviembre de 2025, el Consejo de Estado, Subsección A de la Sección Tercera, decretó</w:t>
      </w:r>
      <w:r w:rsidRPr="00482175">
        <w:rPr>
          <w:rFonts w:ascii="Verdana" w:hAnsi="Verdana"/>
          <w:b/>
          <w:bCs/>
          <w:sz w:val="20"/>
          <w:szCs w:val="20"/>
        </w:rPr>
        <w:t xml:space="preserve"> </w:t>
      </w:r>
      <w:r w:rsidRPr="00482175">
        <w:rPr>
          <w:rFonts w:ascii="Verdana" w:hAnsi="Verdana"/>
          <w:sz w:val="20"/>
          <w:szCs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482175">
        <w:rPr>
          <w:rFonts w:ascii="Verdana" w:hAnsi="Verdana"/>
          <w:sz w:val="20"/>
          <w:szCs w:val="20"/>
        </w:rPr>
        <w:t>legis</w:t>
      </w:r>
      <w:proofErr w:type="spellEnd"/>
      <w:r w:rsidRPr="00482175">
        <w:rPr>
          <w:rFonts w:ascii="Verdana" w:hAnsi="Verdana"/>
          <w:sz w:val="20"/>
          <w:szCs w:val="20"/>
        </w:rPr>
        <w:t xml:space="preserve"> o iuris y la interpretación extensiva y reiteró los argumentos sobre la diferencia entre contratos y convenios interadministrativos. </w:t>
      </w:r>
    </w:p>
    <w:p w14:paraId="6E095C45" w14:textId="77777777" w:rsidR="0007013D" w:rsidRDefault="0007013D" w:rsidP="0007013D">
      <w:pPr>
        <w:spacing w:after="0" w:line="240" w:lineRule="auto"/>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7825AB37" w14:textId="77777777" w:rsidR="0007013D" w:rsidRPr="00482175" w:rsidRDefault="0007013D" w:rsidP="0007013D">
      <w:pPr>
        <w:spacing w:after="0" w:line="240" w:lineRule="auto"/>
        <w:jc w:val="both"/>
        <w:rPr>
          <w:rFonts w:ascii="Verdana" w:hAnsi="Verdana"/>
          <w:sz w:val="20"/>
          <w:szCs w:val="20"/>
        </w:rPr>
      </w:pPr>
    </w:p>
    <w:p w14:paraId="58264967" w14:textId="77777777" w:rsidR="0007013D" w:rsidRPr="00482175" w:rsidRDefault="0007013D" w:rsidP="0007013D">
      <w:pPr>
        <w:spacing w:after="0" w:line="240" w:lineRule="auto"/>
        <w:jc w:val="both"/>
        <w:rPr>
          <w:rFonts w:ascii="Verdana" w:hAnsi="Verdana"/>
          <w:sz w:val="20"/>
          <w:szCs w:val="20"/>
        </w:rPr>
      </w:pPr>
      <w:r w:rsidRPr="00482175">
        <w:rPr>
          <w:rFonts w:ascii="Verdana" w:hAnsi="Verdana"/>
          <w:sz w:val="20"/>
          <w:szCs w:val="20"/>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8245A07" w14:textId="77777777" w:rsidR="00A66915" w:rsidRDefault="00A66915" w:rsidP="00C15139">
      <w:pPr>
        <w:spacing w:after="0"/>
        <w:rPr>
          <w:rFonts w:ascii="Verdana" w:hAnsi="Verdana"/>
        </w:rPr>
      </w:pPr>
    </w:p>
    <w:p w14:paraId="15C73D4B" w14:textId="77777777" w:rsidR="0007013D" w:rsidRDefault="0007013D" w:rsidP="00C15139">
      <w:pPr>
        <w:spacing w:after="0"/>
        <w:rPr>
          <w:rFonts w:ascii="Verdana" w:hAnsi="Verdana"/>
        </w:rPr>
      </w:pPr>
    </w:p>
    <w:p w14:paraId="355CFB18" w14:textId="77777777" w:rsidR="0007013D" w:rsidRDefault="0007013D" w:rsidP="00C15139">
      <w:pPr>
        <w:spacing w:after="0"/>
        <w:rPr>
          <w:rFonts w:ascii="Verdana" w:hAnsi="Verdana"/>
        </w:rPr>
      </w:pPr>
    </w:p>
    <w:p w14:paraId="316BDBB8" w14:textId="77777777" w:rsidR="0007013D" w:rsidRDefault="0007013D" w:rsidP="00C15139">
      <w:pPr>
        <w:spacing w:after="0"/>
        <w:rPr>
          <w:rFonts w:ascii="Verdana" w:hAnsi="Verdana"/>
        </w:rPr>
      </w:pPr>
    </w:p>
    <w:p w14:paraId="47D84CD0" w14:textId="77777777" w:rsidR="0007013D" w:rsidRDefault="0007013D" w:rsidP="00C15139">
      <w:pPr>
        <w:spacing w:after="0"/>
        <w:rPr>
          <w:rFonts w:ascii="Verdana" w:hAnsi="Verdana"/>
        </w:rPr>
      </w:pPr>
    </w:p>
    <w:p w14:paraId="4FB95EBC" w14:textId="77777777" w:rsidR="0007013D" w:rsidRDefault="0007013D" w:rsidP="00C15139">
      <w:pPr>
        <w:spacing w:after="0"/>
        <w:rPr>
          <w:rFonts w:ascii="Verdana" w:hAnsi="Verdana"/>
        </w:rPr>
      </w:pPr>
    </w:p>
    <w:p w14:paraId="6B826C36" w14:textId="77777777" w:rsidR="0007013D" w:rsidRDefault="0007013D" w:rsidP="00C15139">
      <w:pPr>
        <w:spacing w:after="0"/>
        <w:rPr>
          <w:rFonts w:ascii="Verdana" w:hAnsi="Verdana"/>
        </w:rPr>
      </w:pPr>
    </w:p>
    <w:p w14:paraId="3548AEEA" w14:textId="77777777" w:rsidR="00844575" w:rsidRDefault="00844575" w:rsidP="00C15139">
      <w:pPr>
        <w:spacing w:after="0"/>
        <w:rPr>
          <w:rFonts w:ascii="Verdana" w:hAnsi="Verdana"/>
        </w:rPr>
      </w:pPr>
    </w:p>
    <w:p w14:paraId="0E041367" w14:textId="77777777" w:rsidR="00A66915" w:rsidRDefault="00A66915" w:rsidP="00C15139">
      <w:pPr>
        <w:spacing w:after="0"/>
        <w:rPr>
          <w:rFonts w:ascii="Verdana" w:hAnsi="Verdana"/>
        </w:rPr>
      </w:pPr>
    </w:p>
    <w:p w14:paraId="4FE17C8E" w14:textId="77777777" w:rsidR="00A66915" w:rsidRDefault="00A66915" w:rsidP="00C15139">
      <w:pPr>
        <w:spacing w:after="0"/>
        <w:rPr>
          <w:rFonts w:ascii="Verdana" w:hAnsi="Verdana"/>
        </w:rPr>
      </w:pPr>
    </w:p>
    <w:p w14:paraId="3D0234A1" w14:textId="77777777" w:rsidR="00A66915" w:rsidRDefault="00A66915" w:rsidP="00C15139">
      <w:pPr>
        <w:spacing w:after="0"/>
        <w:rPr>
          <w:rFonts w:ascii="Verdana" w:hAnsi="Verdana"/>
        </w:rPr>
      </w:pPr>
    </w:p>
    <w:p w14:paraId="499A78FA" w14:textId="77777777" w:rsidR="00A66915" w:rsidRDefault="00A66915" w:rsidP="00C15139">
      <w:pPr>
        <w:spacing w:after="0"/>
        <w:rPr>
          <w:rFonts w:ascii="Verdana" w:hAnsi="Verdana"/>
        </w:rPr>
      </w:pPr>
    </w:p>
    <w:p w14:paraId="534F947E" w14:textId="77777777" w:rsidR="00A66915" w:rsidRDefault="00A66915" w:rsidP="00C15139">
      <w:pPr>
        <w:spacing w:after="0"/>
        <w:rPr>
          <w:rFonts w:ascii="Verdana" w:hAnsi="Verdana"/>
        </w:rPr>
      </w:pPr>
    </w:p>
    <w:p w14:paraId="447F556D" w14:textId="77777777" w:rsidR="00A66915" w:rsidRDefault="00A66915" w:rsidP="00C15139">
      <w:pPr>
        <w:spacing w:after="0"/>
        <w:rPr>
          <w:rFonts w:ascii="Verdana" w:hAnsi="Verdana"/>
        </w:rPr>
      </w:pPr>
    </w:p>
    <w:p w14:paraId="7F861DAF" w14:textId="77777777" w:rsidR="00A66915" w:rsidRDefault="00A66915" w:rsidP="00C15139">
      <w:pPr>
        <w:spacing w:after="0"/>
        <w:rPr>
          <w:rFonts w:ascii="Verdana" w:hAnsi="Verdana"/>
        </w:rPr>
      </w:pPr>
    </w:p>
    <w:p w14:paraId="0E7CC1BD" w14:textId="77777777" w:rsidR="00A66915" w:rsidRDefault="00A66915" w:rsidP="00C15139">
      <w:pPr>
        <w:spacing w:after="0"/>
        <w:rPr>
          <w:rFonts w:ascii="Verdana" w:hAnsi="Verdana"/>
        </w:rPr>
      </w:pPr>
    </w:p>
    <w:p w14:paraId="18012754" w14:textId="77777777" w:rsidR="000E6DA5" w:rsidRDefault="000E6DA5" w:rsidP="00741367">
      <w:pPr>
        <w:spacing w:after="0" w:line="240" w:lineRule="auto"/>
        <w:rPr>
          <w:rFonts w:ascii="Verdana" w:hAnsi="Verdana"/>
        </w:rPr>
      </w:pPr>
    </w:p>
    <w:p w14:paraId="461F1E80" w14:textId="6BF102B1" w:rsidR="00741367" w:rsidRDefault="00741367" w:rsidP="00741367">
      <w:pPr>
        <w:spacing w:after="0" w:line="240" w:lineRule="auto"/>
        <w:rPr>
          <w:rFonts w:ascii="Verdana" w:eastAsia="Geomanist Light" w:hAnsi="Verdana" w:cs="Arial"/>
          <w:color w:val="201F1E"/>
        </w:rPr>
      </w:pPr>
      <w:r w:rsidRPr="00C55BDE">
        <w:rPr>
          <w:rFonts w:ascii="Verdana" w:hAnsi="Verdana"/>
        </w:rPr>
        <w:lastRenderedPageBreak/>
        <w:t xml:space="preserve">Bogotá D.C., </w:t>
      </w:r>
      <w:r w:rsidR="00C942C8">
        <w:rPr>
          <w:rFonts w:ascii="Verdana" w:eastAsia="Geomanist Light" w:hAnsi="Verdana" w:cs="Arial"/>
          <w:color w:val="201F1E"/>
        </w:rPr>
        <w:t>17 de diciembre de 2025</w:t>
      </w:r>
    </w:p>
    <w:p w14:paraId="5E07C777" w14:textId="77777777" w:rsidR="00C942C8" w:rsidRDefault="00C942C8" w:rsidP="00741367">
      <w:pPr>
        <w:spacing w:after="0" w:line="240" w:lineRule="auto"/>
        <w:rPr>
          <w:rFonts w:ascii="Verdana" w:eastAsia="Geomanist Light" w:hAnsi="Verdana" w:cs="Arial"/>
          <w:color w:val="201F1E"/>
        </w:rPr>
      </w:pPr>
    </w:p>
    <w:p w14:paraId="32E1E32D" w14:textId="7F3D0846" w:rsidR="00741367" w:rsidRDefault="00741367" w:rsidP="00C942C8">
      <w:pPr>
        <w:spacing w:after="0"/>
        <w:jc w:val="right"/>
        <w:rPr>
          <w:rFonts w:ascii="Verdana" w:hAnsi="Verdana"/>
        </w:rPr>
      </w:pPr>
    </w:p>
    <w:p w14:paraId="1ED5048D" w14:textId="63736D7F" w:rsidR="00741367" w:rsidRDefault="00593461" w:rsidP="00741367">
      <w:pPr>
        <w:spacing w:after="0"/>
        <w:rPr>
          <w:rFonts w:ascii="Verdana" w:hAnsi="Verdana"/>
        </w:rPr>
      </w:pPr>
      <w:r w:rsidRPr="00C942C8">
        <w:rPr>
          <w:rFonts w:ascii="Verdana" w:hAnsi="Verdana"/>
          <w:noProof/>
        </w:rPr>
        <w:drawing>
          <wp:anchor distT="0" distB="0" distL="114300" distR="114300" simplePos="0" relativeHeight="251658240" behindDoc="0" locked="0" layoutInCell="1" allowOverlap="1" wp14:anchorId="238F463E" wp14:editId="74446090">
            <wp:simplePos x="0" y="0"/>
            <wp:positionH relativeFrom="margin">
              <wp:align>right</wp:align>
            </wp:positionH>
            <wp:positionV relativeFrom="paragraph">
              <wp:posOffset>11430</wp:posOffset>
            </wp:positionV>
            <wp:extent cx="2684145" cy="982980"/>
            <wp:effectExtent l="0" t="0" r="1905" b="7620"/>
            <wp:wrapSquare wrapText="bothSides"/>
            <wp:docPr id="2869476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4145" cy="982980"/>
                    </a:xfrm>
                    <a:prstGeom prst="rect">
                      <a:avLst/>
                    </a:prstGeom>
                    <a:noFill/>
                    <a:ln>
                      <a:noFill/>
                    </a:ln>
                  </pic:spPr>
                </pic:pic>
              </a:graphicData>
            </a:graphic>
            <wp14:sizeRelH relativeFrom="margin">
              <wp14:pctWidth>0</wp14:pctWidth>
            </wp14:sizeRelH>
          </wp:anchor>
        </w:drawing>
      </w:r>
    </w:p>
    <w:p w14:paraId="6D1C4879" w14:textId="77777777" w:rsidR="00741367" w:rsidRPr="00441CBA" w:rsidRDefault="00741367" w:rsidP="00741367">
      <w:pPr>
        <w:spacing w:after="0"/>
        <w:rPr>
          <w:rFonts w:ascii="Verdana" w:hAnsi="Verdana"/>
        </w:rPr>
      </w:pPr>
      <w:r w:rsidRPr="00C55BDE">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71152D16" w14:textId="77777777" w:rsidR="00741367" w:rsidRDefault="00741367" w:rsidP="00741367">
      <w:pPr>
        <w:spacing w:after="0" w:line="240" w:lineRule="auto"/>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 xml:space="preserve">Angy Carolina Rojas Rivas </w:t>
      </w:r>
    </w:p>
    <w:p w14:paraId="546F8AD2" w14:textId="77777777" w:rsidR="00741367" w:rsidRDefault="00741367" w:rsidP="00741367">
      <w:pPr>
        <w:spacing w:after="0" w:line="240" w:lineRule="auto"/>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 xml:space="preserve">Directora Técnica de Contratación </w:t>
      </w:r>
    </w:p>
    <w:p w14:paraId="562D6E6F" w14:textId="77777777" w:rsidR="00741367" w:rsidRDefault="00741367" w:rsidP="00741367">
      <w:pPr>
        <w:spacing w:after="0" w:line="240" w:lineRule="auto"/>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Gobernación del Caquetá</w:t>
      </w:r>
    </w:p>
    <w:p w14:paraId="27F2717E" w14:textId="77777777" w:rsidR="00741367" w:rsidRPr="0062761E" w:rsidRDefault="00741367" w:rsidP="00741367">
      <w:pPr>
        <w:spacing w:after="0" w:line="240" w:lineRule="auto"/>
        <w:jc w:val="both"/>
        <w:rPr>
          <w:rFonts w:ascii="Verdana" w:hAnsi="Verdana"/>
        </w:rPr>
      </w:pPr>
      <w:hyperlink r:id="rId12" w:history="1">
        <w:r w:rsidRPr="0062761E">
          <w:rPr>
            <w:rStyle w:val="Hipervnculo"/>
            <w:rFonts w:ascii="Verdana" w:hAnsi="Verdana"/>
          </w:rPr>
          <w:t>direccioncontratacion@caqueta.gov.co</w:t>
        </w:r>
      </w:hyperlink>
      <w:r w:rsidRPr="0062761E">
        <w:rPr>
          <w:rFonts w:ascii="Verdana" w:hAnsi="Verdana"/>
        </w:rPr>
        <w:t xml:space="preserve"> </w:t>
      </w:r>
    </w:p>
    <w:p w14:paraId="1AF8A819" w14:textId="77777777" w:rsidR="00741367" w:rsidRDefault="00741367" w:rsidP="00741367">
      <w:pPr>
        <w:spacing w:after="0" w:line="240" w:lineRule="auto"/>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Florencia, Caquetá</w:t>
      </w:r>
      <w:r w:rsidRPr="76B9ABC4">
        <w:rPr>
          <w:rFonts w:ascii="Verdana" w:eastAsia="Calibri" w:hAnsi="Verdana" w:cs="Arial"/>
          <w:color w:val="000000" w:themeColor="text1"/>
          <w:lang w:val="es-ES" w:eastAsia="es-ES"/>
        </w:rPr>
        <w:t xml:space="preserve"> </w:t>
      </w:r>
    </w:p>
    <w:p w14:paraId="505578D5" w14:textId="77777777" w:rsidR="00741367" w:rsidRPr="00C55BDE" w:rsidRDefault="00741367" w:rsidP="00741367">
      <w:pPr>
        <w:spacing w:after="0" w:line="240" w:lineRule="auto"/>
        <w:rPr>
          <w:rFonts w:ascii="Verdana" w:eastAsia="Calibri" w:hAnsi="Verdana" w:cs="Arial"/>
          <w:b/>
          <w:bCs/>
          <w:color w:val="000000" w:themeColor="text1"/>
          <w:lang w:val="es-ES_tradnl" w:eastAsia="es-ES"/>
        </w:rPr>
      </w:pPr>
      <w:r w:rsidRPr="00C55BDE">
        <w:rPr>
          <w:rFonts w:ascii="Verdana" w:eastAsia="Calibri" w:hAnsi="Verdana" w:cs="Arial"/>
          <w:color w:val="000000" w:themeColor="text1"/>
          <w:lang w:val="es-ES_tradnl" w:eastAsia="es-ES"/>
        </w:rPr>
        <w:t xml:space="preserve"> </w:t>
      </w:r>
    </w:p>
    <w:p w14:paraId="7A097498" w14:textId="77777777" w:rsidR="00741367" w:rsidRPr="00C55BDE" w:rsidRDefault="00741367" w:rsidP="00741367">
      <w:pPr>
        <w:spacing w:after="0" w:line="240" w:lineRule="auto"/>
        <w:rPr>
          <w:rFonts w:ascii="Verdana" w:eastAsia="Calibri" w:hAnsi="Verdana" w:cs="Arial"/>
          <w:b/>
          <w:bCs/>
          <w:color w:val="000000" w:themeColor="text1"/>
          <w:lang w:val="es-ES_tradnl" w:eastAsia="es-ES_tradnl"/>
        </w:rPr>
      </w:pPr>
    </w:p>
    <w:p w14:paraId="57CAD6AA" w14:textId="77777777" w:rsidR="00741367" w:rsidRPr="00C55BDE" w:rsidRDefault="00741367" w:rsidP="00741367">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1559</w:t>
      </w:r>
      <w:r w:rsidRPr="00C55BDE">
        <w:rPr>
          <w:rFonts w:ascii="Verdana" w:eastAsia="Calibri" w:hAnsi="Verdana" w:cs="Arial"/>
          <w:b/>
          <w:bCs/>
          <w:color w:val="000000" w:themeColor="text1"/>
          <w:lang w:val="es-ES_tradnl" w:eastAsia="es-ES_tradnl"/>
        </w:rPr>
        <w:t xml:space="preserve"> 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41367" w:rsidRPr="00C55BDE" w14:paraId="035F4CB4" w14:textId="77777777" w:rsidTr="00EB2A51">
        <w:trPr>
          <w:gridAfter w:val="1"/>
          <w:wAfter w:w="6100" w:type="dxa"/>
          <w:trHeight w:val="133"/>
        </w:trPr>
        <w:tc>
          <w:tcPr>
            <w:tcW w:w="2689" w:type="dxa"/>
          </w:tcPr>
          <w:p w14:paraId="1B9A23E2" w14:textId="77777777" w:rsidR="00741367" w:rsidRPr="00C55BDE" w:rsidRDefault="00741367" w:rsidP="00EB2A51">
            <w:pPr>
              <w:jc w:val="both"/>
              <w:rPr>
                <w:rFonts w:ascii="Verdana" w:eastAsia="Calibri" w:hAnsi="Verdana" w:cs="Arial"/>
                <w:b/>
                <w:bCs/>
                <w:color w:val="000000" w:themeColor="text1"/>
                <w:highlight w:val="cyan"/>
                <w:lang w:val="es-ES_tradnl" w:eastAsia="es-ES_tradnl"/>
              </w:rPr>
            </w:pPr>
          </w:p>
        </w:tc>
      </w:tr>
      <w:tr w:rsidR="00741367" w:rsidRPr="00C55BDE" w14:paraId="606060D2" w14:textId="77777777" w:rsidTr="00EB2A51">
        <w:trPr>
          <w:trHeight w:val="884"/>
        </w:trPr>
        <w:tc>
          <w:tcPr>
            <w:tcW w:w="2689" w:type="dxa"/>
          </w:tcPr>
          <w:p w14:paraId="7A0E4052" w14:textId="77777777" w:rsidR="00741367" w:rsidRPr="00C55BDE" w:rsidRDefault="00741367" w:rsidP="00EB2A51">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0FC68D11" w14:textId="77777777" w:rsidR="00741367" w:rsidRDefault="00741367" w:rsidP="00EB2A51">
            <w:pPr>
              <w:spacing w:line="276" w:lineRule="auto"/>
              <w:jc w:val="both"/>
              <w:rPr>
                <w:rFonts w:ascii="Verdana" w:hAnsi="Verdana" w:cs="Arial"/>
                <w:lang w:val="es-MX" w:eastAsia="es-ES_tradnl"/>
              </w:rPr>
            </w:pPr>
            <w:r w:rsidRPr="00C55BDE">
              <w:rPr>
                <w:rFonts w:ascii="Verdana" w:hAnsi="Verdana" w:cs="Arial"/>
                <w:lang w:val="es-ES" w:eastAsia="es-ES"/>
              </w:rPr>
              <w:t xml:space="preserve">LEY DE GARANTÍAS ELECTORALES – Finalidad / LEY DE GARANTÍAS ELECTORALES ‒ Restricciones ‒ Contratación ‒ Tipos de elección / </w:t>
            </w:r>
            <w:r w:rsidRPr="00C55BDE">
              <w:rPr>
                <w:rFonts w:ascii="Verdana" w:hAnsi="Verdana" w:cs="Arial"/>
                <w:lang w:val="es-MX" w:eastAsia="es-ES_tradnl"/>
              </w:rPr>
              <w:t>CONVENIOS INTERADMINISTRATIVOS – Criterio orgánico /</w:t>
            </w:r>
            <w:r w:rsidRPr="00C55BDE">
              <w:rPr>
                <w:rFonts w:ascii="Verdana" w:hAnsi="Verdana"/>
              </w:rPr>
              <w:t xml:space="preserve"> </w:t>
            </w:r>
            <w:r w:rsidRPr="00C55BDE">
              <w:rPr>
                <w:rFonts w:ascii="Verdana" w:hAnsi="Verdana" w:cs="Arial"/>
                <w:lang w:val="es-MX" w:eastAsia="es-ES_tradnl"/>
              </w:rPr>
              <w:t>CONTRATOS Y CONVENIOS INTERADMINISTRATIVOS – Circular Externa Única – Auto de suspensión –</w:t>
            </w:r>
            <w:r>
              <w:rPr>
                <w:rFonts w:ascii="Verdana" w:hAnsi="Verdana" w:cs="Arial"/>
                <w:lang w:val="es-MX" w:eastAsia="es-ES_tradnl"/>
              </w:rPr>
              <w:t xml:space="preserve"> N</w:t>
            </w:r>
            <w:r w:rsidRPr="00C55BDE">
              <w:rPr>
                <w:rFonts w:ascii="Verdana" w:hAnsi="Verdana" w:cs="Arial"/>
                <w:lang w:val="es-MX" w:eastAsia="es-ES_tradnl"/>
              </w:rPr>
              <w:t>umeral 16.2.</w:t>
            </w:r>
          </w:p>
          <w:p w14:paraId="4F1E81A4" w14:textId="77777777" w:rsidR="00741367" w:rsidRPr="00C55BDE" w:rsidRDefault="00741367" w:rsidP="00EB2A51">
            <w:pPr>
              <w:spacing w:line="276" w:lineRule="auto"/>
              <w:jc w:val="both"/>
              <w:rPr>
                <w:rFonts w:ascii="Verdana" w:hAnsi="Verdana" w:cs="Arial"/>
                <w:bCs/>
                <w:color w:val="000000" w:themeColor="text1"/>
                <w:highlight w:val="cyan"/>
              </w:rPr>
            </w:pPr>
          </w:p>
        </w:tc>
      </w:tr>
      <w:tr w:rsidR="00741367" w:rsidRPr="00C55BDE" w14:paraId="559DA862" w14:textId="77777777" w:rsidTr="00EB2A51">
        <w:tc>
          <w:tcPr>
            <w:tcW w:w="2689" w:type="dxa"/>
          </w:tcPr>
          <w:p w14:paraId="6C6F35DF" w14:textId="77777777" w:rsidR="00741367" w:rsidRPr="00C55BDE" w:rsidRDefault="00741367" w:rsidP="00EB2A51">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0172A733" w14:textId="77777777" w:rsidR="00741367" w:rsidRPr="00C55BDE" w:rsidRDefault="00741367" w:rsidP="00EB2A51">
            <w:pPr>
              <w:jc w:val="both"/>
              <w:rPr>
                <w:rFonts w:ascii="Verdana" w:hAnsi="Verdana" w:cs="Arial"/>
              </w:rPr>
            </w:pPr>
            <w:r w:rsidRPr="00C55BDE">
              <w:rPr>
                <w:rFonts w:ascii="Verdana" w:eastAsia="Calibri" w:hAnsi="Verdana" w:cs="Arial"/>
                <w:color w:val="000000" w:themeColor="text1"/>
                <w:lang w:val="es-ES_tradnl" w:eastAsia="es-ES_tradnl"/>
              </w:rPr>
              <w:t>Respuesta a consulta</w:t>
            </w:r>
            <w:r>
              <w:rPr>
                <w:rFonts w:ascii="Verdana" w:eastAsia="Calibri" w:hAnsi="Verdana" w:cs="Arial"/>
                <w:color w:val="000000" w:themeColor="text1"/>
                <w:lang w:val="es-ES_tradnl" w:eastAsia="es-ES_tradnl"/>
              </w:rPr>
              <w:t>s</w:t>
            </w:r>
            <w:r w:rsidRPr="00C55BDE">
              <w:rPr>
                <w:rFonts w:ascii="Verdana" w:eastAsia="Calibri" w:hAnsi="Verdana" w:cs="Arial"/>
                <w:color w:val="000000" w:themeColor="text1"/>
                <w:lang w:val="es-ES_tradnl" w:eastAsia="es-ES_tradnl"/>
              </w:rPr>
              <w:t xml:space="preserve"> con radicado No</w:t>
            </w:r>
            <w:r>
              <w:rPr>
                <w:rFonts w:ascii="Verdana" w:eastAsia="Calibri" w:hAnsi="Verdana" w:cs="Arial"/>
                <w:color w:val="000000" w:themeColor="text1"/>
                <w:lang w:val="es-ES_tradnl" w:eastAsia="es-ES_tradnl"/>
              </w:rPr>
              <w:t>s</w:t>
            </w:r>
            <w:r w:rsidRPr="00C55BDE">
              <w:rPr>
                <w:rFonts w:ascii="Verdana" w:eastAsia="Calibri" w:hAnsi="Verdana" w:cs="Arial"/>
                <w:color w:val="000000" w:themeColor="text1"/>
                <w:lang w:val="es-ES_tradnl" w:eastAsia="es-ES_tradnl"/>
              </w:rPr>
              <w:t>.</w:t>
            </w:r>
            <w:r w:rsidRPr="00C55BDE">
              <w:rPr>
                <w:rFonts w:ascii="Verdana" w:hAnsi="Verdana"/>
              </w:rPr>
              <w:t xml:space="preserve"> </w:t>
            </w:r>
            <w:r w:rsidRPr="00CC2813">
              <w:rPr>
                <w:rFonts w:ascii="Verdana" w:hAnsi="Verdana"/>
              </w:rPr>
              <w:t>1_2025_11_28_013455</w:t>
            </w:r>
            <w:r>
              <w:rPr>
                <w:rFonts w:ascii="Verdana" w:hAnsi="Verdana"/>
              </w:rPr>
              <w:t xml:space="preserve"> y</w:t>
            </w:r>
            <w:r w:rsidRPr="00CC2813">
              <w:rPr>
                <w:rFonts w:ascii="Verdana" w:hAnsi="Verdana"/>
              </w:rPr>
              <w:t xml:space="preserve"> 1_2025_12_02_013550</w:t>
            </w:r>
            <w:r>
              <w:rPr>
                <w:rFonts w:ascii="Verdana" w:hAnsi="Verdana"/>
              </w:rPr>
              <w:t xml:space="preserve"> -Acumuladas</w:t>
            </w:r>
          </w:p>
          <w:p w14:paraId="2684F452" w14:textId="77777777" w:rsidR="00741367" w:rsidRPr="00C55BDE" w:rsidRDefault="00741367" w:rsidP="00EB2A51">
            <w:pPr>
              <w:jc w:val="both"/>
              <w:rPr>
                <w:rFonts w:ascii="Verdana" w:hAnsi="Verdana"/>
                <w:color w:val="000000"/>
              </w:rPr>
            </w:pPr>
          </w:p>
        </w:tc>
      </w:tr>
    </w:tbl>
    <w:p w14:paraId="1C519E98" w14:textId="77777777" w:rsidR="00741367" w:rsidRPr="00C55BDE" w:rsidRDefault="00741367" w:rsidP="00741367">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a </w:t>
      </w:r>
      <w:r w:rsidRPr="00C55BDE">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 Rojas</w:t>
      </w:r>
      <w:r w:rsidRPr="00C55BDE">
        <w:rPr>
          <w:rFonts w:ascii="Verdana" w:eastAsia="Calibri" w:hAnsi="Verdana" w:cs="Arial"/>
          <w:color w:val="000000" w:themeColor="text1"/>
          <w:lang w:val="es-ES" w:eastAsia="es-ES"/>
        </w:rPr>
        <w:t xml:space="preserve">: </w:t>
      </w:r>
    </w:p>
    <w:p w14:paraId="023DE711" w14:textId="77777777" w:rsidR="00741367" w:rsidRPr="00C55BDE" w:rsidRDefault="00741367" w:rsidP="00741367">
      <w:pPr>
        <w:spacing w:after="0"/>
        <w:rPr>
          <w:rFonts w:ascii="Verdana" w:eastAsia="Times New Roman" w:hAnsi="Verdana" w:cs="Segoe UI"/>
          <w:lang w:eastAsia="es-CO"/>
        </w:rPr>
      </w:pPr>
    </w:p>
    <w:p w14:paraId="1BD63359" w14:textId="77777777" w:rsidR="00741367" w:rsidRPr="00BA1D42" w:rsidRDefault="00741367" w:rsidP="00741367">
      <w:pPr>
        <w:spacing w:after="0" w:line="276" w:lineRule="auto"/>
        <w:jc w:val="both"/>
        <w:rPr>
          <w:rFonts w:ascii="Verdana" w:hAnsi="Verdana" w:cs="Arial"/>
          <w:color w:val="000000" w:themeColor="text1"/>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C55BDE">
        <w:rPr>
          <w:rFonts w:ascii="Verdana" w:hAnsi="Verdana" w:cs="Arial"/>
          <w:color w:val="000000" w:themeColor="text1"/>
        </w:rPr>
        <w:t xml:space="preserve">, </w:t>
      </w:r>
      <w:r w:rsidRPr="00C55BDE">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C55BDE">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C55BDE">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l 28 de noviembre y 2 de diciembre remitidas por competencia por el Departamento Administrativo de la Función Pública</w:t>
      </w:r>
      <w:r w:rsidRPr="00C55BDE">
        <w:rPr>
          <w:rFonts w:ascii="Verdana" w:eastAsia="Calibri" w:hAnsi="Verdana" w:cs="Arial"/>
          <w:color w:val="000000" w:themeColor="text1"/>
          <w:lang w:val="es-ES" w:eastAsia="es-ES"/>
        </w:rPr>
        <w:t xml:space="preserve">, en la cual manifiesta lo siguiente: </w:t>
      </w:r>
    </w:p>
    <w:p w14:paraId="037C8B58" w14:textId="77777777" w:rsidR="00741367" w:rsidRPr="00C55BDE" w:rsidRDefault="00741367" w:rsidP="00741367">
      <w:pPr>
        <w:spacing w:after="0" w:line="276" w:lineRule="auto"/>
        <w:jc w:val="both"/>
        <w:rPr>
          <w:rFonts w:ascii="Verdana" w:eastAsia="Calibri" w:hAnsi="Verdana" w:cs="Arial"/>
          <w:color w:val="000000" w:themeColor="text1"/>
          <w:lang w:val="es-ES" w:eastAsia="es-ES"/>
        </w:rPr>
      </w:pPr>
    </w:p>
    <w:p w14:paraId="5BFA6750" w14:textId="77777777" w:rsidR="00741367" w:rsidRDefault="00741367" w:rsidP="00741367">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r w:rsidRPr="00C55BDE">
        <w:rPr>
          <w:rFonts w:ascii="Verdana" w:eastAsia="Century Gothic" w:hAnsi="Verdana" w:cs="Century Gothic"/>
          <w:i/>
          <w:iCs/>
          <w:color w:val="000000" w:themeColor="text1"/>
          <w:sz w:val="20"/>
          <w:szCs w:val="20"/>
          <w:lang w:val="es-ES"/>
        </w:rPr>
        <w:t>“</w:t>
      </w:r>
      <w:bookmarkEnd w:id="1"/>
      <w:r w:rsidRPr="00253074">
        <w:rPr>
          <w:rFonts w:ascii="Verdana" w:eastAsia="Century Gothic" w:hAnsi="Verdana" w:cs="Century Gothic"/>
          <w:i/>
          <w:iCs/>
          <w:color w:val="000000" w:themeColor="text1"/>
          <w:sz w:val="20"/>
          <w:szCs w:val="20"/>
          <w:lang w:val="es-ES"/>
        </w:rPr>
        <w:t xml:space="preserve">CONSULTA 1: En el marco de la ley de garantías – ley 996 de 2005 y una vez decretada la suspensión Provisional del numeral 16.2 de la Circular Externa Única de la Agencia Nacional de Contratación </w:t>
      </w:r>
      <w:proofErr w:type="spellStart"/>
      <w:r w:rsidRPr="00253074">
        <w:rPr>
          <w:rFonts w:ascii="Verdana" w:eastAsia="Century Gothic" w:hAnsi="Verdana" w:cs="Century Gothic"/>
          <w:i/>
          <w:iCs/>
          <w:color w:val="000000" w:themeColor="text1"/>
          <w:sz w:val="20"/>
          <w:szCs w:val="20"/>
          <w:lang w:val="es-ES"/>
        </w:rPr>
        <w:t>Publica</w:t>
      </w:r>
      <w:proofErr w:type="spellEnd"/>
      <w:r w:rsidRPr="00253074">
        <w:rPr>
          <w:rFonts w:ascii="Verdana" w:eastAsia="Century Gothic" w:hAnsi="Verdana" w:cs="Century Gothic"/>
          <w:i/>
          <w:iCs/>
          <w:color w:val="000000" w:themeColor="text1"/>
          <w:sz w:val="20"/>
          <w:szCs w:val="20"/>
          <w:lang w:val="es-ES"/>
        </w:rPr>
        <w:t xml:space="preserve"> - Colombia </w:t>
      </w:r>
      <w:r w:rsidRPr="00253074">
        <w:rPr>
          <w:rFonts w:ascii="Verdana" w:eastAsia="Century Gothic" w:hAnsi="Verdana" w:cs="Century Gothic"/>
          <w:i/>
          <w:iCs/>
          <w:color w:val="000000" w:themeColor="text1"/>
          <w:sz w:val="20"/>
          <w:szCs w:val="20"/>
          <w:lang w:val="es-ES"/>
        </w:rPr>
        <w:lastRenderedPageBreak/>
        <w:t>Compra Eficiente por el Consejo de Estado en radicado 11001-03-26-000-2025-00016-00 (72.424) del 06 de noviembre de 2025 ¿cuál es la posición del departamento administrativo de la función pública en cuanto al cumplimiento a las disposiciones contenidas en la Ley 996 de 2005 Parágrafo del artículo 38 donde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p>
    <w:p w14:paraId="305A58AE" w14:textId="77777777" w:rsidR="00741367" w:rsidRDefault="00741367" w:rsidP="00741367">
      <w:pPr>
        <w:spacing w:after="0" w:line="240" w:lineRule="auto"/>
        <w:ind w:left="709" w:right="709"/>
        <w:jc w:val="both"/>
        <w:rPr>
          <w:rFonts w:ascii="Verdana" w:eastAsia="Century Gothic" w:hAnsi="Verdana" w:cs="Century Gothic"/>
          <w:i/>
          <w:iCs/>
          <w:color w:val="000000" w:themeColor="text1"/>
          <w:sz w:val="20"/>
          <w:szCs w:val="20"/>
          <w:lang w:val="es-ES"/>
        </w:rPr>
      </w:pPr>
    </w:p>
    <w:p w14:paraId="1508E547" w14:textId="77777777" w:rsidR="00741367" w:rsidRDefault="00741367" w:rsidP="00741367">
      <w:pPr>
        <w:spacing w:after="0" w:line="240" w:lineRule="auto"/>
        <w:ind w:left="709" w:right="709"/>
        <w:jc w:val="both"/>
        <w:rPr>
          <w:rFonts w:ascii="Verdana" w:eastAsia="Century Gothic" w:hAnsi="Verdana" w:cs="Century Gothic"/>
          <w:i/>
          <w:iCs/>
          <w:color w:val="000000" w:themeColor="text1"/>
          <w:sz w:val="20"/>
          <w:szCs w:val="20"/>
        </w:rPr>
      </w:pPr>
      <w:r w:rsidRPr="00F0627B">
        <w:rPr>
          <w:rFonts w:ascii="Verdana" w:eastAsia="Century Gothic" w:hAnsi="Verdana" w:cs="Century Gothic"/>
          <w:i/>
          <w:iCs/>
          <w:color w:val="000000" w:themeColor="text1"/>
          <w:sz w:val="20"/>
          <w:szCs w:val="20"/>
        </w:rPr>
        <w:t xml:space="preserve">CONSULTA 2: El departamento administrativo de la función pública, se mantiene en la posición de atender las directrices que sobre el particular expidió la Agencia Nacional de Contratación Pública - Colombia Compra Eficiente, mediante circular Externa </w:t>
      </w:r>
      <w:proofErr w:type="spellStart"/>
      <w:r w:rsidRPr="00F0627B">
        <w:rPr>
          <w:rFonts w:ascii="Verdana" w:eastAsia="Century Gothic" w:hAnsi="Verdana" w:cs="Century Gothic"/>
          <w:i/>
          <w:iCs/>
          <w:color w:val="000000" w:themeColor="text1"/>
          <w:sz w:val="20"/>
          <w:szCs w:val="20"/>
        </w:rPr>
        <w:t>N°</w:t>
      </w:r>
      <w:proofErr w:type="spellEnd"/>
      <w:r w:rsidRPr="00F0627B">
        <w:rPr>
          <w:rFonts w:ascii="Verdana" w:eastAsia="Century Gothic" w:hAnsi="Verdana" w:cs="Century Gothic"/>
          <w:i/>
          <w:iCs/>
          <w:color w:val="000000" w:themeColor="text1"/>
          <w:sz w:val="20"/>
          <w:szCs w:val="20"/>
        </w:rPr>
        <w:t xml:space="preserve"> 006 del 25 de septiembre de 2025. ¿De igual manera de tener en cuenta las recomendaciones impartidas por el procurador General de la Nación en la directiva 013 del 28 de agosto de 2025?</w:t>
      </w:r>
      <w:r>
        <w:rPr>
          <w:rFonts w:ascii="Verdana" w:eastAsia="Century Gothic" w:hAnsi="Verdana" w:cs="Century Gothic"/>
          <w:i/>
          <w:iCs/>
          <w:color w:val="000000" w:themeColor="text1"/>
          <w:sz w:val="20"/>
          <w:szCs w:val="20"/>
        </w:rPr>
        <w:t xml:space="preserve"> </w:t>
      </w:r>
    </w:p>
    <w:p w14:paraId="11509502" w14:textId="77777777" w:rsidR="00741367" w:rsidRDefault="00741367" w:rsidP="00741367">
      <w:pPr>
        <w:spacing w:after="0" w:line="240" w:lineRule="auto"/>
        <w:ind w:left="709" w:right="709"/>
        <w:jc w:val="both"/>
        <w:rPr>
          <w:rFonts w:ascii="Verdana" w:eastAsia="Century Gothic" w:hAnsi="Verdana" w:cs="Century Gothic"/>
          <w:i/>
          <w:iCs/>
          <w:color w:val="000000" w:themeColor="text1"/>
          <w:sz w:val="20"/>
          <w:szCs w:val="20"/>
        </w:rPr>
      </w:pPr>
    </w:p>
    <w:p w14:paraId="5B713AC0" w14:textId="77777777" w:rsidR="00741367" w:rsidRDefault="00741367" w:rsidP="00741367">
      <w:pPr>
        <w:spacing w:after="0" w:line="240" w:lineRule="auto"/>
        <w:ind w:left="709" w:right="709"/>
        <w:jc w:val="both"/>
        <w:rPr>
          <w:rFonts w:ascii="Verdana" w:eastAsia="Century Gothic" w:hAnsi="Verdana" w:cs="Century Gothic"/>
          <w:i/>
          <w:iCs/>
          <w:color w:val="000000" w:themeColor="text1"/>
          <w:sz w:val="20"/>
          <w:szCs w:val="20"/>
        </w:rPr>
      </w:pPr>
      <w:proofErr w:type="gramStart"/>
      <w:r w:rsidRPr="00F0627B">
        <w:rPr>
          <w:rFonts w:ascii="Verdana" w:eastAsia="Century Gothic" w:hAnsi="Verdana" w:cs="Century Gothic"/>
          <w:i/>
          <w:iCs/>
          <w:color w:val="000000" w:themeColor="text1"/>
          <w:sz w:val="20"/>
          <w:szCs w:val="20"/>
        </w:rPr>
        <w:t>O</w:t>
      </w:r>
      <w:proofErr w:type="gramEnd"/>
      <w:r w:rsidRPr="00F0627B">
        <w:rPr>
          <w:rFonts w:ascii="Verdana" w:eastAsia="Century Gothic" w:hAnsi="Verdana" w:cs="Century Gothic"/>
          <w:i/>
          <w:iCs/>
          <w:color w:val="000000" w:themeColor="text1"/>
          <w:sz w:val="20"/>
          <w:szCs w:val="20"/>
        </w:rPr>
        <w:t xml:space="preserve"> por el contrario, el departamento administrativo de la función </w:t>
      </w:r>
      <w:proofErr w:type="gramStart"/>
      <w:r w:rsidRPr="00F0627B">
        <w:rPr>
          <w:rFonts w:ascii="Verdana" w:eastAsia="Century Gothic" w:hAnsi="Verdana" w:cs="Century Gothic"/>
          <w:i/>
          <w:iCs/>
          <w:color w:val="000000" w:themeColor="text1"/>
          <w:sz w:val="20"/>
          <w:szCs w:val="20"/>
        </w:rPr>
        <w:t>pública,</w:t>
      </w:r>
      <w:proofErr w:type="gramEnd"/>
      <w:r w:rsidRPr="00F0627B">
        <w:rPr>
          <w:rFonts w:ascii="Verdana" w:eastAsia="Century Gothic" w:hAnsi="Verdana" w:cs="Century Gothic"/>
          <w:i/>
          <w:iCs/>
          <w:color w:val="000000" w:themeColor="text1"/>
          <w:sz w:val="20"/>
          <w:szCs w:val="20"/>
        </w:rPr>
        <w:t xml:space="preserve"> atenderá lo decretado por el Consejo de Estado en providencia con radicado 11001-03-26-000-2025-00016-00 (72.424) del 06 de noviembre de 2025?</w:t>
      </w:r>
    </w:p>
    <w:p w14:paraId="21E7CD77" w14:textId="77777777" w:rsidR="00741367" w:rsidRDefault="00741367" w:rsidP="00741367">
      <w:pPr>
        <w:spacing w:after="0" w:line="240" w:lineRule="auto"/>
        <w:ind w:left="709" w:right="709"/>
        <w:jc w:val="both"/>
        <w:rPr>
          <w:rFonts w:ascii="Verdana" w:eastAsia="Century Gothic" w:hAnsi="Verdana" w:cs="Century Gothic"/>
          <w:i/>
          <w:iCs/>
          <w:color w:val="000000" w:themeColor="text1"/>
          <w:sz w:val="20"/>
          <w:szCs w:val="20"/>
        </w:rPr>
      </w:pPr>
    </w:p>
    <w:p w14:paraId="54C20F6B" w14:textId="77777777" w:rsidR="00741367" w:rsidRDefault="00741367" w:rsidP="00741367">
      <w:pPr>
        <w:spacing w:after="0" w:line="240" w:lineRule="auto"/>
        <w:ind w:left="709" w:right="709"/>
        <w:jc w:val="both"/>
        <w:rPr>
          <w:rFonts w:ascii="Verdana" w:eastAsia="Century Gothic" w:hAnsi="Verdana" w:cs="Century Gothic"/>
          <w:i/>
          <w:iCs/>
          <w:color w:val="000000" w:themeColor="text1"/>
          <w:sz w:val="20"/>
          <w:szCs w:val="20"/>
        </w:rPr>
      </w:pPr>
      <w:r w:rsidRPr="00F0627B">
        <w:rPr>
          <w:rFonts w:ascii="Verdana" w:eastAsia="Century Gothic" w:hAnsi="Verdana" w:cs="Century Gothic"/>
          <w:i/>
          <w:iCs/>
          <w:color w:val="000000" w:themeColor="text1"/>
          <w:sz w:val="20"/>
          <w:szCs w:val="20"/>
        </w:rPr>
        <w:t>CONSULTA 3: ¿Qué medidas administrativas y presupuestales específicas recomienda el departamento administrativo de la función pública a las entidades territoriales para la adecuada contratación, para evitar violaciones al ordenamiento jurídico e interrupciones en la prestación de servicios y/o contratación durante periodos electorales?</w:t>
      </w:r>
    </w:p>
    <w:p w14:paraId="33D656C3" w14:textId="77777777" w:rsidR="00741367" w:rsidRDefault="00741367" w:rsidP="00741367">
      <w:pPr>
        <w:spacing w:after="0" w:line="240" w:lineRule="auto"/>
        <w:ind w:left="709" w:right="709"/>
        <w:jc w:val="both"/>
        <w:rPr>
          <w:rFonts w:ascii="Verdana" w:eastAsia="Century Gothic" w:hAnsi="Verdana" w:cs="Century Gothic"/>
          <w:i/>
          <w:iCs/>
          <w:color w:val="000000" w:themeColor="text1"/>
          <w:sz w:val="20"/>
          <w:szCs w:val="20"/>
        </w:rPr>
      </w:pPr>
    </w:p>
    <w:p w14:paraId="40CB36FB" w14:textId="77777777" w:rsidR="00741367" w:rsidRPr="00D6787C" w:rsidRDefault="00741367" w:rsidP="00741367">
      <w:pPr>
        <w:spacing w:after="0" w:line="240" w:lineRule="auto"/>
        <w:ind w:left="709" w:right="709"/>
        <w:jc w:val="both"/>
        <w:rPr>
          <w:rFonts w:ascii="Verdana" w:eastAsia="Century Gothic" w:hAnsi="Verdana" w:cs="Century Gothic"/>
          <w:i/>
          <w:iCs/>
          <w:color w:val="000000" w:themeColor="text1"/>
          <w:sz w:val="20"/>
          <w:szCs w:val="20"/>
        </w:rPr>
      </w:pPr>
      <w:r w:rsidRPr="008D288C">
        <w:rPr>
          <w:rFonts w:ascii="Verdana" w:eastAsia="Century Gothic" w:hAnsi="Verdana" w:cs="Century Gothic"/>
          <w:i/>
          <w:iCs/>
          <w:color w:val="000000" w:themeColor="text1"/>
          <w:sz w:val="20"/>
          <w:szCs w:val="20"/>
        </w:rPr>
        <w:t>CONSULTA 4: ¿Después del decreto de suspensión Provisional del numeral 16.2 de la Circular Externa Única de la Agencia Nacional de Contratación Pública – Colombia Compra Eficiente por el Consejo de Estado en radicado 11001-03-26-000-2025-00016-00 (72.424) del 06 de noviembre de 2025, el departamento administrativo de la función pública emitió alguna circular o directriz específica, con instrucciones precisas sobre el manejo de los recursos y convenios/ contratos durante la aplicación de la Ley de Garantías? De existir tal circular, favor remitirla a esta dirección técnica de contratación.</w:t>
      </w:r>
      <w:r>
        <w:rPr>
          <w:rFonts w:ascii="Verdana" w:eastAsia="Century Gothic" w:hAnsi="Verdana" w:cs="Century Gothic"/>
          <w:i/>
          <w:iCs/>
          <w:color w:val="000000" w:themeColor="text1"/>
          <w:sz w:val="20"/>
          <w:szCs w:val="20"/>
        </w:rPr>
        <w:t>”</w:t>
      </w:r>
    </w:p>
    <w:p w14:paraId="4F09013E" w14:textId="77777777" w:rsidR="00741367" w:rsidRPr="00C55BDE" w:rsidRDefault="00741367" w:rsidP="00741367">
      <w:pPr>
        <w:spacing w:after="0" w:line="240" w:lineRule="auto"/>
        <w:ind w:left="709" w:right="709"/>
        <w:jc w:val="both"/>
        <w:rPr>
          <w:rFonts w:ascii="Verdana" w:eastAsia="Times New Roman" w:hAnsi="Verdana" w:cs="Arial"/>
          <w:i/>
          <w:iCs/>
          <w:sz w:val="20"/>
          <w:szCs w:val="20"/>
          <w:lang w:eastAsia="es-ES_tradnl"/>
        </w:rPr>
      </w:pPr>
    </w:p>
    <w:p w14:paraId="27817AFF" w14:textId="77777777" w:rsidR="00741367" w:rsidRPr="00C55BDE" w:rsidRDefault="00741367" w:rsidP="00741367">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C55BDE">
        <w:rPr>
          <w:rFonts w:ascii="Verdana" w:eastAsia="Calibri" w:hAnsi="Verdana" w:cs="Arial"/>
          <w:color w:val="000000" w:themeColor="text1"/>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2D584973" w14:textId="77777777" w:rsidR="00741367" w:rsidRPr="00C55BDE" w:rsidRDefault="00741367" w:rsidP="00741367">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2F069F30" w14:textId="77777777" w:rsidR="00741367" w:rsidRPr="00C55BDE" w:rsidRDefault="00741367" w:rsidP="00741367">
      <w:pPr>
        <w:spacing w:after="0" w:line="276" w:lineRule="auto"/>
        <w:jc w:val="both"/>
        <w:rPr>
          <w:rFonts w:ascii="Verdana" w:eastAsia="Calibri" w:hAnsi="Verdana" w:cs="Arial"/>
          <w:color w:val="000000" w:themeColor="text1"/>
          <w:lang w:val="es-ES" w:eastAsia="es-ES"/>
        </w:rPr>
      </w:pPr>
    </w:p>
    <w:p w14:paraId="2C15C92F" w14:textId="77777777" w:rsidR="00741367" w:rsidRPr="00C55BDE" w:rsidRDefault="00741367" w:rsidP="0074136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5AD3D442" w14:textId="77777777" w:rsidR="00741367" w:rsidRPr="00C55BDE" w:rsidRDefault="00741367" w:rsidP="00741367">
      <w:pPr>
        <w:tabs>
          <w:tab w:val="left" w:pos="426"/>
        </w:tabs>
        <w:spacing w:after="0" w:line="276" w:lineRule="auto"/>
        <w:jc w:val="both"/>
        <w:rPr>
          <w:rFonts w:ascii="Verdana" w:eastAsia="Century Gothic" w:hAnsi="Verdana" w:cs="Century Gothic"/>
          <w:color w:val="000000" w:themeColor="text1"/>
          <w:lang w:val="es-ES"/>
        </w:rPr>
      </w:pPr>
    </w:p>
    <w:p w14:paraId="0B82CD0F" w14:textId="77777777" w:rsidR="00741367" w:rsidRPr="00C55BDE" w:rsidRDefault="00741367" w:rsidP="00741367">
      <w:pPr>
        <w:spacing w:after="0" w:line="276" w:lineRule="auto"/>
        <w:jc w:val="both"/>
        <w:rPr>
          <w:rFonts w:ascii="Verdana" w:eastAsia="Century Gothic" w:hAnsi="Verdana" w:cs="Century Gothic"/>
          <w:color w:val="000000" w:themeColor="text1"/>
        </w:rPr>
      </w:pPr>
      <w:r w:rsidRPr="00C55BDE">
        <w:rPr>
          <w:rFonts w:ascii="Verdana" w:eastAsia="Century Gothic" w:hAnsi="Verdana" w:cs="Century Gothic"/>
          <w:color w:val="000000" w:themeColor="text1"/>
        </w:rPr>
        <w:t>De acuerdo con el contenido de su solicitud, esta Agencia resolverá los siguientes problemas jurídicos:</w:t>
      </w:r>
      <w:r>
        <w:rPr>
          <w:rFonts w:ascii="Verdana" w:eastAsia="Century Gothic" w:hAnsi="Verdana" w:cs="Century Gothic"/>
          <w:color w:val="000000" w:themeColor="text1"/>
        </w:rPr>
        <w:t xml:space="preserve"> ¿Cuál es el alcance de las restricciones </w:t>
      </w:r>
      <w:r>
        <w:rPr>
          <w:rFonts w:ascii="Verdana" w:eastAsia="Times New Roman" w:hAnsi="Verdana" w:cs="Arial"/>
          <w:lang w:eastAsia="es-CO"/>
        </w:rPr>
        <w:t>establecidas en los artículos 33 y 38 de</w:t>
      </w:r>
      <w:r w:rsidRPr="00C55BDE">
        <w:rPr>
          <w:rFonts w:ascii="Verdana" w:eastAsia="Times New Roman" w:hAnsi="Verdana" w:cs="Arial"/>
          <w:lang w:eastAsia="es-CO"/>
        </w:rPr>
        <w:t xml:space="preserve"> la Ley de Garantías Electorales -</w:t>
      </w:r>
      <w:r w:rsidRPr="00C55BDE">
        <w:rPr>
          <w:rFonts w:ascii="Verdana" w:hAnsi="Verdana"/>
          <w:iCs/>
        </w:rPr>
        <w:t xml:space="preserve"> Ley 996 de 2005</w:t>
      </w:r>
      <w:r>
        <w:rPr>
          <w:rFonts w:ascii="Verdana" w:hAnsi="Verdana"/>
          <w:iCs/>
        </w:rPr>
        <w:t xml:space="preserve"> en materia de contratación pública</w:t>
      </w:r>
      <w:r w:rsidRPr="00C55BDE">
        <w:rPr>
          <w:rFonts w:ascii="Verdana" w:hAnsi="Verdana"/>
          <w:iCs/>
        </w:rPr>
        <w:t>?</w:t>
      </w:r>
    </w:p>
    <w:p w14:paraId="34016D33" w14:textId="77777777" w:rsidR="00741367" w:rsidRPr="00C55BDE" w:rsidRDefault="00741367" w:rsidP="00741367">
      <w:pPr>
        <w:spacing w:after="0" w:line="276" w:lineRule="auto"/>
        <w:jc w:val="both"/>
        <w:rPr>
          <w:rFonts w:ascii="Verdana" w:eastAsia="Century Gothic" w:hAnsi="Verdana" w:cs="Century Gothic"/>
          <w:color w:val="000000" w:themeColor="text1"/>
        </w:rPr>
      </w:pPr>
    </w:p>
    <w:p w14:paraId="35C71292" w14:textId="77777777" w:rsidR="00741367" w:rsidRPr="00C55BDE" w:rsidRDefault="00741367" w:rsidP="0074136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31204B19" w14:textId="77777777" w:rsidR="00741367" w:rsidRPr="00C55BDE" w:rsidRDefault="00741367" w:rsidP="0074136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41367" w:rsidRPr="00C55BDE" w14:paraId="2840C751" w14:textId="77777777" w:rsidTr="00EB2A51">
        <w:tc>
          <w:tcPr>
            <w:tcW w:w="8828" w:type="dxa"/>
          </w:tcPr>
          <w:p w14:paraId="3EEDD2AD" w14:textId="77777777" w:rsidR="00741367" w:rsidRDefault="00741367" w:rsidP="00EB2A51">
            <w:pPr>
              <w:spacing w:after="120" w:line="276" w:lineRule="auto"/>
              <w:jc w:val="both"/>
              <w:rPr>
                <w:rFonts w:ascii="Verdana" w:eastAsia="Times New Roman" w:hAnsi="Verdana" w:cs="Arial"/>
                <w:lang w:eastAsia="es-CO"/>
              </w:rPr>
            </w:pPr>
            <w:r w:rsidRPr="00A874B5">
              <w:rPr>
                <w:rFonts w:ascii="Verdana" w:eastAsia="Times New Roman" w:hAnsi="Verdana" w:cs="Arial"/>
                <w:lang w:eastAsia="es-CO"/>
              </w:rPr>
              <w:t>Conforme a la interpretación general de las normas del sistema de compras públicas,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4B81376" w14:textId="77777777" w:rsidR="00741367" w:rsidRPr="00A874B5" w:rsidRDefault="00741367" w:rsidP="00EB2A51">
            <w:pPr>
              <w:spacing w:after="120" w:line="276" w:lineRule="auto"/>
              <w:ind w:firstLine="743"/>
              <w:jc w:val="both"/>
              <w:rPr>
                <w:rFonts w:ascii="Verdana" w:eastAsia="Times New Roman" w:hAnsi="Verdana" w:cs="Arial"/>
                <w:lang w:eastAsia="es-CO"/>
              </w:rPr>
            </w:pPr>
            <w:r w:rsidRPr="00A874B5">
              <w:rPr>
                <w:rFonts w:ascii="Verdana" w:eastAsia="Times New Roman" w:hAnsi="Verdana" w:cs="Arial"/>
                <w:lang w:eastAsia="es-CO"/>
              </w:rPr>
              <w:t xml:space="preserve">El artículo 33 de la Ley 996 de 2005 señala expresamente a los destinatarios de la prohibición, en el sentido de que son “todos los entes del </w:t>
            </w:r>
            <w:r w:rsidRPr="00A874B5">
              <w:rPr>
                <w:rFonts w:ascii="Verdana" w:eastAsia="Times New Roman" w:hAnsi="Verdana" w:cs="Arial"/>
                <w:lang w:eastAsia="es-CO"/>
              </w:rPr>
              <w:lastRenderedPageBreak/>
              <w:t>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64CF5CD3" w14:textId="77777777" w:rsidR="00741367" w:rsidRPr="00A874B5" w:rsidRDefault="00741367" w:rsidP="00EB2A51">
            <w:pPr>
              <w:spacing w:after="120" w:line="276" w:lineRule="auto"/>
              <w:ind w:firstLine="709"/>
              <w:jc w:val="both"/>
              <w:rPr>
                <w:rFonts w:ascii="Verdana" w:eastAsia="Times New Roman" w:hAnsi="Verdana" w:cs="Arial"/>
                <w:lang w:eastAsia="es-CO"/>
              </w:rPr>
            </w:pPr>
            <w:r w:rsidRPr="00A874B5">
              <w:rPr>
                <w:rFonts w:ascii="Verdana" w:eastAsia="Times New Roman" w:hAnsi="Verdana" w:cs="Arial"/>
                <w:lang w:eastAsia="es-CO"/>
              </w:rPr>
              <w:t xml:space="preserve">Por su parte, el parágrafo del artículo 38 de la Ley 996 de 2005 prohíbe a los </w:t>
            </w:r>
            <w:proofErr w:type="gramStart"/>
            <w:r w:rsidRPr="00A874B5">
              <w:rPr>
                <w:rFonts w:ascii="Verdana" w:eastAsia="Times New Roman" w:hAnsi="Verdana" w:cs="Arial"/>
                <w:lang w:eastAsia="es-CO"/>
              </w:rPr>
              <w:t>Alcaldes</w:t>
            </w:r>
            <w:proofErr w:type="gramEnd"/>
            <w:r w:rsidRPr="00A874B5">
              <w:rPr>
                <w:rFonts w:ascii="Verdana" w:eastAsia="Times New Roman" w:hAnsi="Verdana" w:cs="Arial"/>
                <w:lang w:eastAsia="es-CO"/>
              </w:rPr>
              <w:t xml:space="preserve">, Gobernadores, </w:t>
            </w:r>
            <w:proofErr w:type="gramStart"/>
            <w:r w:rsidRPr="00A874B5">
              <w:rPr>
                <w:rFonts w:ascii="Verdana" w:eastAsia="Times New Roman" w:hAnsi="Verdana" w:cs="Arial"/>
                <w:lang w:eastAsia="es-CO"/>
              </w:rPr>
              <w:t>Secretarios</w:t>
            </w:r>
            <w:proofErr w:type="gramEnd"/>
            <w:r w:rsidRPr="00A874B5">
              <w:rPr>
                <w:rFonts w:ascii="Verdana" w:eastAsia="Times New Roman" w:hAnsi="Verdana" w:cs="Arial"/>
                <w:lang w:eastAsia="es-CO"/>
              </w:rPr>
              <w:t xml:space="preserve">, Gerentes y </w:t>
            </w:r>
            <w:proofErr w:type="gramStart"/>
            <w:r w:rsidRPr="00A874B5">
              <w:rPr>
                <w:rFonts w:ascii="Verdana" w:eastAsia="Times New Roman" w:hAnsi="Verdana" w:cs="Arial"/>
                <w:lang w:eastAsia="es-CO"/>
              </w:rPr>
              <w:t>Directores</w:t>
            </w:r>
            <w:proofErr w:type="gramEnd"/>
            <w:r w:rsidRPr="00A874B5">
              <w:rPr>
                <w:rFonts w:ascii="Verdana" w:eastAsia="Times New Roman" w:hAnsi="Verdana" w:cs="Arial"/>
                <w:lang w:eastAsia="es-CO"/>
              </w:rPr>
              <w:t xml:space="preserve"> de las entidades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0228E505" w14:textId="77777777" w:rsidR="00741367" w:rsidRPr="00A874B5" w:rsidRDefault="00741367" w:rsidP="00EB2A51">
            <w:pPr>
              <w:spacing w:after="120" w:line="276" w:lineRule="auto"/>
              <w:ind w:firstLine="709"/>
              <w:jc w:val="both"/>
              <w:rPr>
                <w:rFonts w:ascii="Verdana" w:eastAsia="Times New Roman" w:hAnsi="Verdana" w:cs="Arial"/>
                <w:lang w:eastAsia="es-CO"/>
              </w:rPr>
            </w:pPr>
            <w:r w:rsidRPr="00A874B5">
              <w:rPr>
                <w:rFonts w:ascii="Verdana" w:eastAsia="Times New Roman" w:hAnsi="Verdana" w:cs="Arial"/>
                <w:lang w:eastAsia="es-CO"/>
              </w:rPr>
              <w:t xml:space="preserve">Respecto del alcance de esta prohibición la Circular Externa No. 006 de 2025 expedida por la ANCP-CCE, en los literales </w:t>
            </w:r>
            <w:proofErr w:type="spellStart"/>
            <w:r w:rsidRPr="00A874B5">
              <w:rPr>
                <w:rFonts w:ascii="Verdana" w:eastAsia="Times New Roman" w:hAnsi="Verdana" w:cs="Arial"/>
                <w:lang w:eastAsia="es-CO"/>
              </w:rPr>
              <w:t>ii</w:t>
            </w:r>
            <w:proofErr w:type="spellEnd"/>
            <w:r w:rsidRPr="00A874B5">
              <w:rPr>
                <w:rFonts w:ascii="Verdana" w:eastAsia="Times New Roman" w:hAnsi="Verdana" w:cs="Arial"/>
                <w:lang w:eastAsia="es-CO"/>
              </w:rPr>
              <w:t xml:space="preserve">) y </w:t>
            </w:r>
            <w:proofErr w:type="spellStart"/>
            <w:r w:rsidRPr="00A874B5">
              <w:rPr>
                <w:rFonts w:ascii="Verdana" w:eastAsia="Times New Roman" w:hAnsi="Verdana" w:cs="Arial"/>
                <w:lang w:eastAsia="es-CO"/>
              </w:rPr>
              <w:t>iv</w:t>
            </w:r>
            <w:proofErr w:type="spellEnd"/>
            <w:r w:rsidRPr="00A874B5">
              <w:rPr>
                <w:rFonts w:ascii="Verdana" w:eastAsia="Times New Roman" w:hAnsi="Verdana" w:cs="Arial"/>
                <w:lang w:eastAsia="es-CO"/>
              </w:rPr>
              <w:t>) del numeral 2, indica que el parágrafo del artículo 38 de la Ley 996 de 2005 cobija expresamente a los convenios interadministrativos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w:t>
            </w:r>
          </w:p>
          <w:p w14:paraId="75E6A689" w14:textId="77777777" w:rsidR="00741367" w:rsidRDefault="00741367" w:rsidP="00EB2A51">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Vale aclarar que, a</w:t>
            </w:r>
            <w:r w:rsidRPr="00C55BDE">
              <w:rPr>
                <w:rFonts w:ascii="Verdana" w:eastAsia="Times New Roman" w:hAnsi="Verdana" w:cs="Arial"/>
                <w:lang w:eastAsia="es-CO"/>
              </w:rPr>
              <w:t xml:space="preserve"> la luz de lo analizado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00C55BDE">
              <w:rPr>
                <w:rFonts w:ascii="Verdana" w:eastAsia="Arial" w:hAnsi="Verdana" w:cs="Arial"/>
                <w:lang w:eastAsia="es-ES" w:bidi="es-ES"/>
              </w:rPr>
              <w:t xml:space="preserve">de suspensión provisional parcial del </w:t>
            </w:r>
            <w:r w:rsidRPr="00C55BDE">
              <w:rPr>
                <w:rFonts w:ascii="Verdana" w:hAnsi="Verdana" w:cs="Arial"/>
              </w:rPr>
              <w:t xml:space="preserve">numeral 16.2 de la Circular Externa Única de 2022 expedida por la Agencia Nacional de Contratación Pública -Colombia Compra Eficiente-, y </w:t>
            </w:r>
            <w:r w:rsidRPr="00C55BDE">
              <w:rPr>
                <w:rFonts w:ascii="Verdana" w:eastAsia="Arial" w:hAnsi="Verdana" w:cs="Arial"/>
                <w:lang w:eastAsia="es-ES" w:bidi="es-ES"/>
              </w:rPr>
              <w:t>de los apartes cuestionados del inciso segundo y del inciso cuarto del numeral 16.2 de la Circular Externa Única, versión 3 del 27 de diciembre de 2023,</w:t>
            </w:r>
            <w:r w:rsidRPr="00C55BDE">
              <w:rPr>
                <w:rFonts w:ascii="Verdana" w:eastAsia="Times New Roman" w:hAnsi="Verdana" w:cs="Arial"/>
                <w:lang w:eastAsia="es-CO"/>
              </w:rPr>
              <w:t xml:space="preserve"> no resultaría </w:t>
            </w:r>
            <w:r w:rsidRPr="00C55BDE">
              <w:rPr>
                <w:rFonts w:ascii="Verdana" w:eastAsia="Times New Roman" w:hAnsi="Verdana" w:cs="Arial"/>
                <w:lang w:eastAsia="es-CO"/>
              </w:rPr>
              <w:lastRenderedPageBreak/>
              <w:t xml:space="preserve">aplicable la prohibición del parágrafo del artículo 38 de la Ley de Garantías Electorales a los </w:t>
            </w:r>
            <w:r w:rsidRPr="00C55BDE">
              <w:rPr>
                <w:rFonts w:ascii="Verdana" w:eastAsia="Times New Roman" w:hAnsi="Verdana" w:cs="Arial"/>
                <w:i/>
                <w:lang w:eastAsia="es-CO"/>
              </w:rPr>
              <w:t>contratos interadministrativos</w:t>
            </w:r>
            <w:r w:rsidRPr="00C55BDE">
              <w:rPr>
                <w:rFonts w:ascii="Verdana" w:eastAsia="Times New Roman" w:hAnsi="Verdana" w:cs="Arial"/>
                <w:lang w:eastAsia="es-CO"/>
              </w:rPr>
              <w:t>.</w:t>
            </w:r>
          </w:p>
          <w:p w14:paraId="2C8FDF0B" w14:textId="77777777" w:rsidR="00741367" w:rsidRPr="00C55BDE" w:rsidRDefault="00741367" w:rsidP="00EB2A51">
            <w:pPr>
              <w:spacing w:after="12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De lo expuesto, conforme a lo señalado por el Consejo de Estado, cuando dos entidades públicas celebren un </w:t>
            </w:r>
            <w:r w:rsidRPr="00C55BDE">
              <w:rPr>
                <w:rFonts w:ascii="Verdana" w:eastAsia="Times New Roman" w:hAnsi="Verdana" w:cs="Arial"/>
                <w:i/>
                <w:iCs/>
                <w:lang w:eastAsia="es-CO"/>
              </w:rPr>
              <w:t>contrato interadministrativo,</w:t>
            </w:r>
            <w:r w:rsidRPr="00C55BDE">
              <w:rPr>
                <w:rFonts w:ascii="Verdana" w:eastAsia="Times New Roman" w:hAnsi="Verdana" w:cs="Arial"/>
                <w:lang w:eastAsia="es-CO"/>
              </w:rPr>
              <w:t xml:space="preserve"> independientemente del objeto, dicho contrato puede suscribirse durante el periodo preelectoral</w:t>
            </w:r>
            <w:r>
              <w:rPr>
                <w:rFonts w:ascii="Verdana" w:eastAsia="Times New Roman" w:hAnsi="Verdana" w:cs="Arial"/>
                <w:lang w:eastAsia="es-CO"/>
              </w:rPr>
              <w:t>.</w:t>
            </w:r>
          </w:p>
          <w:p w14:paraId="266C6A8F" w14:textId="77777777" w:rsidR="00741367" w:rsidRPr="00C55BDE" w:rsidRDefault="00741367" w:rsidP="00EB2A51">
            <w:pPr>
              <w:spacing w:after="120" w:line="276" w:lineRule="auto"/>
              <w:ind w:firstLine="709"/>
              <w:jc w:val="both"/>
              <w:rPr>
                <w:rFonts w:ascii="Verdana" w:eastAsia="Times New Roman" w:hAnsi="Verdana" w:cs="Arial"/>
                <w:lang w:eastAsia="es-CO"/>
              </w:rPr>
            </w:pPr>
            <w:r w:rsidRPr="00C55BDE">
              <w:rPr>
                <w:rFonts w:ascii="Verdana" w:eastAsia="Arial" w:hAnsi="Verdana" w:cs="Arial"/>
                <w:bCs/>
                <w:color w:val="000000" w:themeColor="text1"/>
              </w:rPr>
              <w:t xml:space="preserve">En todo caso, vale anotar que es responsabilidad del respectivo ente del Estado examinar </w:t>
            </w:r>
            <w:r w:rsidRPr="00C55BDE">
              <w:rPr>
                <w:rFonts w:ascii="Verdana" w:eastAsia="Arial" w:hAnsi="Verdana" w:cs="Arial"/>
                <w:color w:val="000000" w:themeColor="text1"/>
              </w:rPr>
              <w:t>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582B4052" w14:textId="77777777" w:rsidR="00741367" w:rsidRPr="00C55BDE" w:rsidRDefault="00741367" w:rsidP="0074136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E4F7816" w14:textId="77777777" w:rsidR="00741367" w:rsidRPr="00C55BDE" w:rsidRDefault="00741367" w:rsidP="0074136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19BEA5DB" w14:textId="77777777" w:rsidR="00741367" w:rsidRPr="00C55BDE" w:rsidRDefault="00741367" w:rsidP="00741367">
      <w:pPr>
        <w:spacing w:after="0" w:line="276" w:lineRule="auto"/>
        <w:jc w:val="both"/>
        <w:rPr>
          <w:rFonts w:ascii="Verdana" w:eastAsia="Calibri" w:hAnsi="Verdana" w:cs="Arial"/>
          <w:color w:val="000000" w:themeColor="text1"/>
          <w:lang w:val="es-ES"/>
        </w:rPr>
      </w:pPr>
    </w:p>
    <w:p w14:paraId="41ED8F6F" w14:textId="77777777" w:rsidR="00741367" w:rsidRPr="00C55BDE" w:rsidRDefault="00741367" w:rsidP="00741367">
      <w:pPr>
        <w:spacing w:after="12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t xml:space="preserve">Lo anterior se sustenta en las siguientes consideraciones: </w:t>
      </w:r>
    </w:p>
    <w:p w14:paraId="51A47D19" w14:textId="77777777" w:rsidR="00741367" w:rsidRDefault="00741367" w:rsidP="00741367">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Pr>
          <w:rFonts w:ascii="Verdana" w:eastAsia="Calibri" w:hAnsi="Verdana" w:cs="Arial"/>
        </w:rPr>
        <w:t>El ordenamiento jurídico colombiano contempla previsiones claras para evitar la obtención de beneficios personales en asuntos propios de la administración pública</w:t>
      </w:r>
      <w:r>
        <w:rPr>
          <w:rFonts w:ascii="Verdana" w:eastAsia="Calibri" w:hAnsi="Verdana" w:cs="Arial"/>
          <w:i/>
        </w:rPr>
        <w:t xml:space="preserve">. </w:t>
      </w:r>
      <w:r>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Pr>
          <w:rFonts w:ascii="Verdana" w:eastAsia="Calibri" w:hAnsi="Verdana" w:cs="Arial"/>
          <w:vertAlign w:val="superscript"/>
        </w:rPr>
        <w:footnoteReference w:id="1"/>
      </w:r>
      <w:r>
        <w:rPr>
          <w:rFonts w:ascii="Verdana" w:eastAsia="Calibri" w:hAnsi="Verdana" w:cs="Arial"/>
        </w:rPr>
        <w:t xml:space="preserve">. </w:t>
      </w:r>
    </w:p>
    <w:p w14:paraId="2E6017E0" w14:textId="77777777" w:rsidR="00741367" w:rsidRDefault="00741367" w:rsidP="00741367">
      <w:pPr>
        <w:tabs>
          <w:tab w:val="left" w:pos="426"/>
        </w:tabs>
        <w:spacing w:after="0" w:line="276" w:lineRule="auto"/>
        <w:ind w:firstLine="709"/>
        <w:jc w:val="both"/>
        <w:rPr>
          <w:rFonts w:ascii="Verdana" w:eastAsia="Times New Roman" w:hAnsi="Verdana" w:cs="Arial"/>
          <w:lang w:val="es-MX" w:eastAsia="es-CO"/>
        </w:rPr>
      </w:pPr>
      <w:r>
        <w:rPr>
          <w:rFonts w:ascii="Verdana" w:eastAsia="Times New Roman" w:hAnsi="Verdana" w:cs="Arial"/>
          <w:lang w:eastAsia="es-CO"/>
        </w:rPr>
        <w:t>En el mismo sentido</w:t>
      </w:r>
      <w:r>
        <w:rPr>
          <w:rFonts w:ascii="Verdana" w:eastAsia="Times New Roman" w:hAnsi="Verdana" w:cs="Arial"/>
          <w:lang w:val="es-MX" w:eastAsia="es-CO"/>
        </w:rPr>
        <w:t xml:space="preserve">, </w:t>
      </w:r>
      <w:bookmarkStart w:id="2" w:name="_Hlk99576829"/>
      <w:r>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w:t>
      </w:r>
      <w:r>
        <w:rPr>
          <w:rFonts w:ascii="Verdana" w:eastAsia="Times New Roman" w:hAnsi="Verdana" w:cs="Arial"/>
          <w:lang w:val="es-MX" w:eastAsia="es-CO"/>
        </w:rPr>
        <w:lastRenderedPageBreak/>
        <w:t>Estado en las campañas o falta de garantías en la elección presidencial</w:t>
      </w:r>
      <w:r>
        <w:rPr>
          <w:rFonts w:ascii="Verdana" w:eastAsia="Times New Roman" w:hAnsi="Verdana" w:cs="Arial"/>
          <w:vertAlign w:val="superscript"/>
          <w:lang w:val="es-MX" w:eastAsia="es-CO"/>
        </w:rPr>
        <w:footnoteReference w:id="2"/>
      </w:r>
      <w:r>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Pr>
          <w:rFonts w:ascii="Verdana" w:eastAsia="Calibri" w:hAnsi="Verdana" w:cs="Arial"/>
          <w:lang w:val="es-ES_tradnl"/>
        </w:rPr>
        <w:t xml:space="preserve"> </w:t>
      </w:r>
      <w:bookmarkEnd w:id="2"/>
      <w:r>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780C684" w14:textId="77777777" w:rsidR="00741367" w:rsidRDefault="00741367" w:rsidP="00741367">
      <w:pPr>
        <w:spacing w:after="0" w:line="276" w:lineRule="auto"/>
        <w:ind w:right="709"/>
        <w:contextualSpacing/>
        <w:jc w:val="both"/>
        <w:rPr>
          <w:rFonts w:ascii="Verdana" w:eastAsia="Times New Roman" w:hAnsi="Verdana" w:cs="Arial"/>
          <w:sz w:val="21"/>
          <w:szCs w:val="21"/>
          <w:lang w:val="es-ES" w:eastAsia="es-CO"/>
        </w:rPr>
      </w:pPr>
    </w:p>
    <w:p w14:paraId="624C7D22" w14:textId="77777777" w:rsidR="00741367" w:rsidRDefault="00741367" w:rsidP="0074136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ES" w:eastAsia="es-CO"/>
        </w:rPr>
        <w:t xml:space="preserve">“[…] </w:t>
      </w:r>
      <w:r>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B69709F" w14:textId="77777777" w:rsidR="00741367" w:rsidRDefault="00741367" w:rsidP="0074136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0712537D" w14:textId="77777777" w:rsidR="00741367" w:rsidRDefault="00741367" w:rsidP="00741367">
      <w:pPr>
        <w:spacing w:after="0" w:line="240" w:lineRule="auto"/>
        <w:ind w:left="709" w:right="709"/>
        <w:contextualSpacing/>
        <w:jc w:val="both"/>
        <w:rPr>
          <w:rFonts w:ascii="Verdana" w:eastAsia="Times New Roman" w:hAnsi="Verdana" w:cs="Arial"/>
          <w:sz w:val="12"/>
          <w:szCs w:val="12"/>
          <w:lang w:val="es-MX" w:eastAsia="es-CO"/>
        </w:rPr>
      </w:pPr>
    </w:p>
    <w:p w14:paraId="6519A013" w14:textId="77777777" w:rsidR="00741367" w:rsidRDefault="00741367" w:rsidP="0074136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Calibri" w:hAnsi="Verdana" w:cs="Arial"/>
          <w:sz w:val="20"/>
          <w:szCs w:val="20"/>
          <w:vertAlign w:val="superscript"/>
          <w:lang w:val="es-MX"/>
        </w:rPr>
        <w:footnoteReference w:id="3"/>
      </w:r>
      <w:r>
        <w:rPr>
          <w:rFonts w:ascii="Verdana" w:eastAsia="Times New Roman" w:hAnsi="Verdana" w:cs="Arial"/>
          <w:sz w:val="20"/>
          <w:szCs w:val="20"/>
          <w:lang w:val="es-MX" w:eastAsia="es-CO"/>
        </w:rPr>
        <w:t>.</w:t>
      </w:r>
    </w:p>
    <w:p w14:paraId="231EE58D" w14:textId="77777777" w:rsidR="00741367" w:rsidRDefault="00741367" w:rsidP="00741367">
      <w:pPr>
        <w:spacing w:after="0" w:line="276" w:lineRule="auto"/>
        <w:ind w:left="709" w:right="709"/>
        <w:contextualSpacing/>
        <w:jc w:val="both"/>
        <w:rPr>
          <w:rFonts w:ascii="Verdana" w:eastAsia="Times New Roman" w:hAnsi="Verdana" w:cs="Arial"/>
          <w:sz w:val="21"/>
          <w:szCs w:val="21"/>
          <w:lang w:val="es-MX" w:eastAsia="es-CO"/>
        </w:rPr>
      </w:pPr>
    </w:p>
    <w:p w14:paraId="7359143B" w14:textId="77777777" w:rsidR="00741367" w:rsidRDefault="00741367" w:rsidP="00741367">
      <w:pPr>
        <w:spacing w:after="0" w:line="276" w:lineRule="auto"/>
        <w:ind w:firstLine="709"/>
        <w:jc w:val="both"/>
        <w:rPr>
          <w:rFonts w:ascii="Verdana" w:eastAsia="Times New Roman" w:hAnsi="Verdana" w:cs="Arial"/>
          <w:lang w:val="es-MX" w:eastAsia="es-CO"/>
        </w:rPr>
      </w:pPr>
      <w:bookmarkStart w:id="3" w:name="_Hlk78818186"/>
      <w:r>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3B6A1C9C" w14:textId="77777777" w:rsidR="00741367" w:rsidRDefault="00741367" w:rsidP="00741367">
      <w:pPr>
        <w:spacing w:line="276" w:lineRule="auto"/>
        <w:ind w:firstLine="709"/>
        <w:contextualSpacing/>
        <w:jc w:val="both"/>
        <w:rPr>
          <w:rFonts w:ascii="Verdana" w:eastAsia="Times New Roman" w:hAnsi="Verdana" w:cs="Arial"/>
          <w:lang w:val="es-MX" w:eastAsia="es-CO"/>
        </w:rPr>
      </w:pPr>
    </w:p>
    <w:p w14:paraId="70D86C34" w14:textId="77777777" w:rsidR="00741367" w:rsidRDefault="00741367" w:rsidP="0074136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Pr>
          <w:rFonts w:ascii="Verdana" w:eastAsia="Times New Roman" w:hAnsi="Verdana" w:cs="Arial"/>
          <w:sz w:val="20"/>
          <w:szCs w:val="20"/>
          <w:lang w:val="es-MX" w:eastAsia="es-CO"/>
        </w:rPr>
        <w:t>legis</w:t>
      </w:r>
      <w:proofErr w:type="spellEnd"/>
      <w:r>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w:t>
      </w:r>
      <w:r>
        <w:rPr>
          <w:rFonts w:ascii="Verdana" w:eastAsia="Times New Roman" w:hAnsi="Verdana" w:cs="Arial"/>
          <w:sz w:val="20"/>
          <w:szCs w:val="20"/>
          <w:lang w:val="es-MX" w:eastAsia="es-CO"/>
        </w:rPr>
        <w:lastRenderedPageBreak/>
        <w:t>régimen jurídico imperativo y de orden público, razón por la cual no son disponibles ni pueden ser derogadas, modificadas, ampliadas o adicionadas por acuerdo o convenio o acto unilateral.</w:t>
      </w:r>
    </w:p>
    <w:p w14:paraId="39BBF76F" w14:textId="77777777" w:rsidR="00741367" w:rsidRDefault="00741367" w:rsidP="00741367">
      <w:pPr>
        <w:spacing w:after="0" w:line="240" w:lineRule="auto"/>
        <w:ind w:right="709"/>
        <w:contextualSpacing/>
        <w:jc w:val="both"/>
        <w:rPr>
          <w:rFonts w:ascii="Verdana" w:eastAsia="Times New Roman" w:hAnsi="Verdana" w:cs="Arial"/>
          <w:sz w:val="12"/>
          <w:szCs w:val="12"/>
          <w:lang w:val="es-MX" w:eastAsia="es-CO"/>
        </w:rPr>
      </w:pPr>
    </w:p>
    <w:p w14:paraId="7B103091" w14:textId="77777777" w:rsidR="00741367" w:rsidRDefault="00741367" w:rsidP="0074136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La jurisprudencia de la Corte Constitucional</w:t>
      </w:r>
      <w:r>
        <w:rPr>
          <w:rFonts w:ascii="Verdana" w:eastAsia="Times New Roman" w:hAnsi="Verdana" w:cs="Arial"/>
          <w:sz w:val="20"/>
          <w:szCs w:val="20"/>
          <w:vertAlign w:val="superscript"/>
          <w:lang w:val="es-MX" w:eastAsia="es-CO"/>
        </w:rPr>
        <w:footnoteReference w:id="4"/>
      </w:r>
      <w:r>
        <w:rPr>
          <w:rFonts w:ascii="Verdana" w:eastAsia="Times New Roman" w:hAnsi="Verdana" w:cs="Arial"/>
          <w:sz w:val="20"/>
          <w:szCs w:val="20"/>
          <w:lang w:val="es-MX" w:eastAsia="es-CO"/>
        </w:rPr>
        <w:t> y del Consejo de Estado</w:t>
      </w:r>
      <w:r>
        <w:rPr>
          <w:rFonts w:ascii="Verdana" w:eastAsia="Times New Roman" w:hAnsi="Verdana" w:cs="Arial"/>
          <w:sz w:val="20"/>
          <w:szCs w:val="20"/>
          <w:vertAlign w:val="superscript"/>
          <w:lang w:val="es-MX" w:eastAsia="es-CO"/>
        </w:rPr>
        <w:footnoteReference w:id="5"/>
      </w:r>
      <w:r>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sz w:val="20"/>
          <w:szCs w:val="20"/>
          <w:vertAlign w:val="superscript"/>
          <w:lang w:val="es-MX" w:eastAsia="es-CO"/>
        </w:rPr>
        <w:footnoteReference w:id="6"/>
      </w:r>
      <w:r>
        <w:rPr>
          <w:rFonts w:ascii="Verdana" w:eastAsia="Times New Roman" w:hAnsi="Verdana" w:cs="Arial"/>
          <w:sz w:val="20"/>
          <w:szCs w:val="20"/>
          <w:lang w:val="es-MX" w:eastAsia="es-CO"/>
        </w:rPr>
        <w:t>.</w:t>
      </w:r>
    </w:p>
    <w:p w14:paraId="37242350" w14:textId="77777777" w:rsidR="00741367" w:rsidRDefault="00741367" w:rsidP="00741367">
      <w:pPr>
        <w:spacing w:after="0" w:line="276" w:lineRule="auto"/>
        <w:ind w:right="709"/>
        <w:contextualSpacing/>
        <w:jc w:val="both"/>
        <w:rPr>
          <w:rFonts w:ascii="Verdana" w:eastAsia="Times New Roman" w:hAnsi="Verdana" w:cs="Arial"/>
          <w:sz w:val="21"/>
          <w:szCs w:val="21"/>
          <w:lang w:val="es-MX" w:eastAsia="es-CO"/>
        </w:rPr>
      </w:pPr>
    </w:p>
    <w:p w14:paraId="006B78A0" w14:textId="77777777" w:rsidR="00741367" w:rsidRDefault="00741367" w:rsidP="00741367">
      <w:pPr>
        <w:spacing w:after="120" w:line="276" w:lineRule="auto"/>
        <w:jc w:val="both"/>
        <w:rPr>
          <w:rFonts w:ascii="Verdana" w:eastAsia="Arial" w:hAnsi="Verdana" w:cs="Arial"/>
          <w:lang w:val="es-ES" w:eastAsia="es-ES" w:bidi="es-ES"/>
        </w:rPr>
      </w:pPr>
      <w:r>
        <w:rPr>
          <w:rFonts w:ascii="Verdana" w:eastAsia="Times New Roman" w:hAnsi="Verdana" w:cs="Arial"/>
          <w:lang w:val="es-MX" w:eastAsia="es-CO"/>
        </w:rPr>
        <w:tab/>
        <w:t>De</w:t>
      </w:r>
      <w:r>
        <w:rPr>
          <w:rFonts w:ascii="Verdana" w:eastAsia="Arial" w:hAnsi="Verdana" w:cs="Arial"/>
          <w:lang w:val="es-ES" w:eastAsia="es-ES" w:bidi="es-ES"/>
        </w:rPr>
        <w:t xml:space="preserve"> conformidad con lo anterior, </w:t>
      </w:r>
      <w:bookmarkStart w:id="4" w:name="_Hlk77236098"/>
      <w:bookmarkStart w:id="5" w:name="_Hlk100679383"/>
      <w:r>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35FF4D52" w14:textId="77777777" w:rsidR="00741367" w:rsidRDefault="00741367" w:rsidP="00741367">
      <w:pPr>
        <w:spacing w:after="120" w:line="276" w:lineRule="auto"/>
        <w:ind w:firstLine="708"/>
        <w:jc w:val="both"/>
        <w:rPr>
          <w:rFonts w:ascii="Verdana" w:eastAsia="Calibri" w:hAnsi="Verdana" w:cs="Arial"/>
        </w:rPr>
      </w:pPr>
      <w:r>
        <w:rPr>
          <w:rFonts w:ascii="Verdana" w:eastAsia="Calibri" w:hAnsi="Verdana" w:cs="Arial"/>
          <w:i/>
          <w:iCs/>
        </w:rPr>
        <w:t>Por un lado</w:t>
      </w:r>
      <w:r>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Pr>
          <w:vertAlign w:val="superscript"/>
        </w:rPr>
        <w:footnoteReference w:id="7"/>
      </w:r>
      <w:r>
        <w:rPr>
          <w:rFonts w:ascii="Verdana" w:eastAsia="Calibri" w:hAnsi="Verdana" w:cs="Arial"/>
        </w:rPr>
        <w:t>.</w:t>
      </w:r>
    </w:p>
    <w:p w14:paraId="1E46094D" w14:textId="77777777" w:rsidR="00741367" w:rsidRDefault="00741367" w:rsidP="0074136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Calibri" w:hAnsi="Verdana" w:cs="Arial"/>
          <w:i/>
          <w:iCs/>
        </w:rPr>
        <w:t>Por otro</w:t>
      </w:r>
      <w:r>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sz w:val="19"/>
          <w:szCs w:val="19"/>
        </w:rPr>
        <w:t>”</w:t>
      </w:r>
      <w:bookmarkEnd w:id="5"/>
      <w:r>
        <w:rPr>
          <w:rFonts w:ascii="Verdana" w:eastAsia="Calibri" w:hAnsi="Verdana" w:cs="Arial"/>
          <w:sz w:val="19"/>
          <w:szCs w:val="19"/>
          <w:vertAlign w:val="superscript"/>
        </w:rPr>
        <w:footnoteReference w:id="8"/>
      </w:r>
      <w:r>
        <w:rPr>
          <w:rFonts w:ascii="Verdana" w:eastAsia="Calibri" w:hAnsi="Verdana" w:cs="Arial"/>
          <w:lang w:val="es-MX"/>
        </w:rPr>
        <w:t>.</w:t>
      </w:r>
      <w:r>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7FDF8AFD" w14:textId="77777777" w:rsidR="00741367" w:rsidRDefault="00741367" w:rsidP="00741367">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DE3F8B5" w14:textId="77777777" w:rsidR="00741367" w:rsidRDefault="00741367" w:rsidP="00741367">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Pr>
          <w:rFonts w:ascii="Verdana" w:eastAsia="Arial" w:hAnsi="Verdana" w:cs="Arial"/>
          <w:sz w:val="20"/>
          <w:szCs w:val="20"/>
          <w:lang w:val="es-ES" w:eastAsia="es-ES" w:bidi="es-ES"/>
        </w:rPr>
        <w:t>se integran parcialmente</w:t>
      </w:r>
      <w:bookmarkEnd w:id="8"/>
      <w:r>
        <w:rPr>
          <w:rFonts w:ascii="Verdana" w:eastAsia="Arial" w:hAnsi="Verdana" w:cs="Arial"/>
          <w:sz w:val="20"/>
          <w:szCs w:val="20"/>
          <w:lang w:val="es-ES" w:eastAsia="es-ES" w:bidi="es-ES"/>
        </w:rPr>
        <w:t xml:space="preserve">, lo que permite concluir que en periodo preelectoral para elección de Presidente de la República, a </w:t>
      </w:r>
      <w:r>
        <w:rPr>
          <w:rFonts w:ascii="Verdana" w:eastAsia="Arial" w:hAnsi="Verdana" w:cs="Arial"/>
          <w:sz w:val="20"/>
          <w:szCs w:val="20"/>
          <w:lang w:val="es-ES" w:eastAsia="es-ES" w:bidi="es-ES"/>
        </w:rPr>
        <w:lastRenderedPageBreak/>
        <w:t xml:space="preserve">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Pr>
          <w:rFonts w:ascii="Verdana" w:eastAsia="Arial" w:hAnsi="Verdana" w:cs="Arial"/>
          <w:sz w:val="20"/>
          <w:szCs w:val="20"/>
          <w:lang w:val="es-ES" w:eastAsia="es-ES" w:bidi="es-ES"/>
        </w:rPr>
        <w:t>Presidente</w:t>
      </w:r>
      <w:proofErr w:type="gramEnd"/>
      <w:r>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6DC907B3" w14:textId="77777777" w:rsidR="00741367" w:rsidRDefault="00741367" w:rsidP="00741367">
      <w:pPr>
        <w:widowControl w:val="0"/>
        <w:autoSpaceDE w:val="0"/>
        <w:autoSpaceDN w:val="0"/>
        <w:spacing w:line="276" w:lineRule="auto"/>
        <w:contextualSpacing/>
        <w:rPr>
          <w:rFonts w:ascii="Verdana" w:eastAsia="Arial" w:hAnsi="Verdana" w:cs="Arial"/>
          <w:lang w:val="es-ES" w:eastAsia="es-ES" w:bidi="es-ES"/>
        </w:rPr>
      </w:pPr>
    </w:p>
    <w:p w14:paraId="543956F6" w14:textId="77777777" w:rsidR="00741367" w:rsidRDefault="00741367" w:rsidP="00741367">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Pr>
          <w:rFonts w:ascii="Verdana" w:eastAsia="Arial" w:hAnsi="Verdana" w:cs="Arial"/>
          <w:lang w:val="es-ES" w:eastAsia="es-ES" w:bidi="es-ES"/>
        </w:rPr>
        <w:t xml:space="preserve">la Ley 996 de 2005 establece dos (2) tipos de restricciones en materia de contratación, las cuales coinciden parcialmente. </w:t>
      </w:r>
      <w:r>
        <w:rPr>
          <w:rFonts w:ascii="Verdana" w:eastAsia="Arial" w:hAnsi="Verdana" w:cs="Arial"/>
          <w:i/>
          <w:lang w:val="es-ES" w:eastAsia="es-ES" w:bidi="es-ES"/>
        </w:rPr>
        <w:t>En primer lugar</w:t>
      </w:r>
      <w:r>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Pr>
          <w:rFonts w:ascii="Verdana" w:eastAsia="Arial" w:hAnsi="Verdana" w:cs="Arial"/>
          <w:i/>
          <w:lang w:val="es-ES" w:eastAsia="es-ES" w:bidi="es-ES"/>
        </w:rPr>
        <w:t>En segundo lugar</w:t>
      </w:r>
      <w:r>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36C9FBCD" w14:textId="77777777" w:rsidR="00741367" w:rsidRDefault="00741367" w:rsidP="00741367">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Ambas restricciones no son excluyentes, lo que permite concluir que en el período preelectoral para elección de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7DCDB88B" w14:textId="77777777" w:rsidR="00741367" w:rsidRDefault="00741367" w:rsidP="00741367">
      <w:pPr>
        <w:spacing w:after="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o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desde que éstos –estando en ejercicio de su cargo– manifiesten el interés de ser candidato </w:t>
      </w:r>
      <w:r>
        <w:rPr>
          <w:rFonts w:ascii="Verdana" w:eastAsia="Arial" w:hAnsi="Verdana" w:cs="Arial"/>
          <w:lang w:val="es-ES" w:eastAsia="es-ES" w:bidi="es-ES"/>
        </w:rPr>
        <w:lastRenderedPageBreak/>
        <w:t>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582D9ADD" w14:textId="77777777" w:rsidR="00741367" w:rsidRDefault="00741367" w:rsidP="00741367">
      <w:pPr>
        <w:spacing w:after="0" w:line="276" w:lineRule="auto"/>
        <w:jc w:val="both"/>
        <w:rPr>
          <w:rFonts w:ascii="Verdana" w:eastAsia="Arial" w:hAnsi="Verdana" w:cs="Arial"/>
          <w:lang w:val="es-ES" w:eastAsia="es-ES" w:bidi="es-ES"/>
        </w:rPr>
      </w:pPr>
    </w:p>
    <w:p w14:paraId="689AFF8D" w14:textId="77777777" w:rsidR="00741367" w:rsidRDefault="00741367" w:rsidP="00741367">
      <w:pPr>
        <w:spacing w:after="0" w:line="276" w:lineRule="auto"/>
        <w:jc w:val="both"/>
        <w:rPr>
          <w:rFonts w:ascii="Verdana" w:hAnsi="Verdana" w:cs="Arial"/>
          <w:bCs/>
          <w:lang w:val="es-MX" w:eastAsia="es-CO"/>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xml:space="preserve">. </w:t>
      </w:r>
      <w:r>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hAnsi="Verdana" w:cs="Arial"/>
          <w:bCs/>
          <w:lang w:val="es-MX" w:eastAsia="x-none"/>
        </w:rPr>
        <w:t>queda prohibida la contratación directa</w:t>
      </w:r>
      <w:r>
        <w:rPr>
          <w:rFonts w:ascii="Verdana" w:hAnsi="Verdana" w:cs="Arial"/>
          <w:sz w:val="20"/>
          <w:szCs w:val="20"/>
          <w:lang w:val="es-MX"/>
        </w:rPr>
        <w:t>”</w:t>
      </w:r>
      <w:r>
        <w:rPr>
          <w:rFonts w:ascii="Verdana" w:hAnsi="Verdana" w:cs="Arial"/>
          <w:bCs/>
          <w:lang w:val="es-MX" w:eastAsia="x-none"/>
        </w:rPr>
        <w:t xml:space="preserve">. </w:t>
      </w:r>
      <w:r>
        <w:rPr>
          <w:rFonts w:ascii="Verdana" w:hAnsi="Verdana" w:cs="Arial"/>
          <w:lang w:val="es-MX" w:eastAsia="es-CO"/>
        </w:rPr>
        <w:t xml:space="preserve"> A propósito de </w:t>
      </w:r>
      <w:r>
        <w:rPr>
          <w:rFonts w:ascii="Verdana" w:hAnsi="Verdana" w:cs="Arial"/>
          <w:lang w:eastAsia="es-CO"/>
        </w:rPr>
        <w:t>esta restricción de la Ley de Garantías Electorales, la Sala de Consulta y Servicio Civil del Consejo de Estado ha considerado que:</w:t>
      </w:r>
    </w:p>
    <w:p w14:paraId="1D4ABA50" w14:textId="77777777" w:rsidR="00741367" w:rsidRDefault="00741367" w:rsidP="00741367">
      <w:pPr>
        <w:spacing w:after="0" w:line="276" w:lineRule="auto"/>
        <w:ind w:left="708" w:right="709"/>
        <w:jc w:val="both"/>
        <w:rPr>
          <w:rFonts w:ascii="Verdana" w:hAnsi="Verdana" w:cs="Arial"/>
          <w:lang w:val="es-MX"/>
        </w:rPr>
      </w:pPr>
    </w:p>
    <w:p w14:paraId="56DA4CBA" w14:textId="77777777" w:rsidR="00741367" w:rsidRDefault="00741367" w:rsidP="00741367">
      <w:pPr>
        <w:spacing w:after="120"/>
        <w:ind w:left="709" w:right="709"/>
        <w:jc w:val="both"/>
        <w:rPr>
          <w:rFonts w:ascii="Verdana" w:hAnsi="Verdana" w:cs="Arial"/>
          <w:sz w:val="20"/>
          <w:szCs w:val="20"/>
          <w:lang w:val="es-MX"/>
        </w:rPr>
      </w:pPr>
      <w:r>
        <w:rPr>
          <w:rFonts w:ascii="Verdana" w:hAnsi="Verdana" w:cs="Arial"/>
          <w:sz w:val="18"/>
          <w:szCs w:val="18"/>
          <w:lang w:val="es-MX"/>
        </w:rPr>
        <w:t>“</w:t>
      </w:r>
      <w:r>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hAnsi="Verdana" w:cs="Arial"/>
          <w:sz w:val="20"/>
          <w:szCs w:val="20"/>
          <w:vertAlign w:val="superscript"/>
          <w:lang w:eastAsia="es-CO"/>
        </w:rPr>
        <w:footnoteReference w:id="10"/>
      </w:r>
      <w:r>
        <w:rPr>
          <w:rFonts w:ascii="Verdana" w:hAnsi="Verdana" w:cs="Arial"/>
          <w:sz w:val="20"/>
          <w:szCs w:val="20"/>
          <w:lang w:val="es-MX"/>
        </w:rPr>
        <w:t>.</w:t>
      </w:r>
    </w:p>
    <w:p w14:paraId="0FBE6838" w14:textId="77777777" w:rsidR="00741367" w:rsidRDefault="00741367" w:rsidP="00741367">
      <w:pPr>
        <w:spacing w:after="0"/>
        <w:ind w:left="708" w:right="709"/>
        <w:jc w:val="both"/>
        <w:rPr>
          <w:rFonts w:ascii="Verdana" w:hAnsi="Verdana" w:cs="Arial"/>
          <w:sz w:val="20"/>
          <w:szCs w:val="20"/>
          <w:lang w:val="es-MX"/>
        </w:rPr>
      </w:pPr>
      <w:r>
        <w:rPr>
          <w:rFonts w:ascii="Verdana" w:hAnsi="Verdana" w:cs="Arial"/>
          <w:sz w:val="20"/>
          <w:szCs w:val="20"/>
          <w:lang w:val="es-MX"/>
        </w:rPr>
        <w:t xml:space="preserve">Esta Sala ha entendido </w:t>
      </w:r>
      <w:proofErr w:type="gramStart"/>
      <w:r>
        <w:rPr>
          <w:rFonts w:ascii="Verdana" w:hAnsi="Verdana" w:cs="Arial"/>
          <w:sz w:val="20"/>
          <w:szCs w:val="20"/>
          <w:lang w:val="es-MX"/>
        </w:rPr>
        <w:t>que</w:t>
      </w:r>
      <w:proofErr w:type="gramEnd"/>
      <w:r>
        <w:rPr>
          <w:rFonts w:ascii="Verdana"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hAnsi="Verdana" w:cs="Arial"/>
          <w:sz w:val="20"/>
          <w:szCs w:val="20"/>
          <w:vertAlign w:val="superscript"/>
          <w:lang w:val="es-MX"/>
        </w:rPr>
        <w:footnoteReference w:id="11"/>
      </w:r>
      <w:r>
        <w:rPr>
          <w:rFonts w:ascii="Verdana" w:hAnsi="Verdana" w:cs="Arial"/>
          <w:sz w:val="20"/>
          <w:szCs w:val="20"/>
          <w:vertAlign w:val="superscript"/>
          <w:lang w:val="es-MX"/>
        </w:rPr>
        <w:t>.</w:t>
      </w:r>
      <w:r>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vertAlign w:val="superscript"/>
          <w:lang w:eastAsia="es-CO"/>
        </w:rPr>
        <w:footnoteReference w:id="12"/>
      </w:r>
      <w:r>
        <w:rPr>
          <w:rFonts w:ascii="Verdana" w:hAnsi="Verdana" w:cs="Arial"/>
          <w:sz w:val="20"/>
          <w:szCs w:val="20"/>
          <w:lang w:val="es-MX"/>
        </w:rPr>
        <w:t>.</w:t>
      </w:r>
    </w:p>
    <w:p w14:paraId="16B0EE5C" w14:textId="77777777" w:rsidR="00741367" w:rsidRDefault="00741367" w:rsidP="00741367">
      <w:pPr>
        <w:shd w:val="clear" w:color="auto" w:fill="FFFFFF"/>
        <w:spacing w:after="0" w:line="276" w:lineRule="auto"/>
        <w:ind w:firstLine="709"/>
        <w:jc w:val="both"/>
        <w:rPr>
          <w:rFonts w:ascii="Verdana" w:hAnsi="Verdana" w:cs="Arial"/>
          <w:lang w:eastAsia="x-none"/>
        </w:rPr>
      </w:pPr>
    </w:p>
    <w:p w14:paraId="1CB4F3E0" w14:textId="77777777" w:rsidR="00741367" w:rsidRDefault="00741367" w:rsidP="00741367">
      <w:pPr>
        <w:spacing w:after="120" w:line="276" w:lineRule="auto"/>
        <w:ind w:firstLine="708"/>
        <w:jc w:val="both"/>
        <w:rPr>
          <w:rFonts w:ascii="Verdana" w:hAnsi="Verdana" w:cs="Arial"/>
          <w:bCs/>
          <w:lang w:eastAsia="x-none"/>
        </w:rPr>
      </w:pPr>
      <w:r>
        <w:rPr>
          <w:rFonts w:ascii="Verdana" w:hAnsi="Verdana" w:cs="Arial"/>
          <w:lang w:eastAsia="x-none"/>
        </w:rPr>
        <w:lastRenderedPageBreak/>
        <w:t xml:space="preserve">De acuerdo con el citado concepto, la prohibición del artículo 33 de la Ley de Garantías Electorales se refiere a </w:t>
      </w:r>
      <w:r>
        <w:rPr>
          <w:rFonts w:ascii="Verdana" w:hAnsi="Verdana" w:cs="Arial"/>
          <w:sz w:val="19"/>
          <w:szCs w:val="19"/>
          <w:lang w:eastAsia="en-GB"/>
        </w:rPr>
        <w:t>“</w:t>
      </w:r>
      <w:r>
        <w:rPr>
          <w:rFonts w:ascii="Verdana" w:hAnsi="Verdana" w:cs="Arial"/>
          <w:lang w:eastAsia="x-none"/>
        </w:rPr>
        <w:t>cualquier sistema que no implique convocatoria pública y posibilidad de pluralidad de oferentes</w:t>
      </w:r>
      <w:r>
        <w:rPr>
          <w:rFonts w:ascii="Verdana" w:hAnsi="Verdana" w:cs="Arial"/>
          <w:lang w:eastAsia="en-GB"/>
        </w:rPr>
        <w:t>”</w:t>
      </w:r>
      <w:r>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Pr>
          <w:rFonts w:ascii="Verdana" w:hAnsi="Verdana" w:cs="Arial"/>
          <w:vertAlign w:val="superscript"/>
          <w:lang w:val="en-GB" w:eastAsia="x-none"/>
        </w:rPr>
        <w:footnoteReference w:id="13"/>
      </w:r>
      <w:r>
        <w:rPr>
          <w:rFonts w:ascii="Verdana" w:hAnsi="Verdana" w:cs="Arial"/>
          <w:lang w:eastAsia="x-none"/>
        </w:rPr>
        <w:t xml:space="preserve"> y sistematizó las causales de contratación directa</w:t>
      </w:r>
      <w:r>
        <w:rPr>
          <w:rFonts w:ascii="Verdana" w:hAnsi="Verdana" w:cs="Arial"/>
          <w:vertAlign w:val="superscript"/>
          <w:lang w:val="en-GB" w:eastAsia="x-none"/>
        </w:rPr>
        <w:footnoteReference w:id="14"/>
      </w:r>
      <w:r>
        <w:rPr>
          <w:rFonts w:ascii="Verdana" w:hAnsi="Verdana" w:cs="Arial"/>
          <w:lang w:eastAsia="x-none"/>
        </w:rPr>
        <w:t xml:space="preserve">. </w:t>
      </w:r>
    </w:p>
    <w:p w14:paraId="64FC918B" w14:textId="77777777" w:rsidR="00741367" w:rsidRDefault="00741367" w:rsidP="00741367">
      <w:pPr>
        <w:spacing w:after="120" w:line="276" w:lineRule="auto"/>
        <w:ind w:firstLine="708"/>
        <w:jc w:val="both"/>
        <w:rPr>
          <w:rFonts w:ascii="Verdana" w:hAnsi="Verdana" w:cs="Arial"/>
          <w:lang w:val="es-MX" w:eastAsia="x-none"/>
        </w:rPr>
      </w:pPr>
      <w:r>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Pr>
          <w:rFonts w:ascii="Verdana" w:hAnsi="Verdana" w:cs="Arial"/>
          <w:lang w:eastAsia="x-none"/>
        </w:rPr>
        <w:t>contratación directa</w:t>
      </w:r>
      <w:r>
        <w:rPr>
          <w:rFonts w:ascii="Verdana" w:hAnsi="Verdana" w:cs="Arial"/>
          <w:lang w:eastAsia="en-GB"/>
        </w:rPr>
        <w:t>”</w:t>
      </w:r>
      <w:r>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hAnsi="Verdana" w:cs="Arial"/>
          <w:vertAlign w:val="superscript"/>
          <w:lang w:val="en-GB" w:eastAsia="x-none"/>
        </w:rPr>
        <w:footnoteReference w:id="15"/>
      </w:r>
      <w:r>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Pr>
          <w:rFonts w:ascii="Verdana" w:hAnsi="Verdana" w:cs="Arial"/>
          <w:lang w:eastAsia="x-none"/>
        </w:rPr>
        <w:t xml:space="preserve">. </w:t>
      </w:r>
    </w:p>
    <w:p w14:paraId="4868720A" w14:textId="77777777" w:rsidR="00741367" w:rsidRDefault="00741367" w:rsidP="00741367">
      <w:pPr>
        <w:spacing w:after="120" w:line="276" w:lineRule="auto"/>
        <w:ind w:firstLine="708"/>
        <w:jc w:val="both"/>
        <w:rPr>
          <w:rFonts w:ascii="Verdana" w:hAnsi="Verdana" w:cs="Arial"/>
          <w:bCs/>
          <w:lang w:val="es-MX" w:eastAsia="es-CO"/>
        </w:rPr>
      </w:pPr>
      <w:r>
        <w:rPr>
          <w:rFonts w:ascii="Verdana" w:hAnsi="Verdana" w:cs="Arial"/>
          <w:bCs/>
          <w:lang w:val="es-MX" w:eastAsia="x-none"/>
        </w:rPr>
        <w:t>E</w:t>
      </w:r>
      <w:r>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hAnsi="Verdana" w:cs="Arial"/>
          <w:vertAlign w:val="superscript"/>
          <w:lang w:eastAsia="x-none"/>
        </w:rPr>
        <w:footnoteReference w:id="16"/>
      </w:r>
      <w:r>
        <w:rPr>
          <w:rFonts w:ascii="Verdana" w:hAnsi="Verdana" w:cs="Arial"/>
          <w:lang w:eastAsia="x-none"/>
        </w:rPr>
        <w:t xml:space="preserve">. </w:t>
      </w:r>
    </w:p>
    <w:p w14:paraId="69EBBCBA" w14:textId="77777777" w:rsidR="00741367" w:rsidRDefault="00741367" w:rsidP="00741367">
      <w:pPr>
        <w:spacing w:after="120" w:line="276" w:lineRule="auto"/>
        <w:ind w:firstLine="708"/>
        <w:jc w:val="both"/>
        <w:rPr>
          <w:rFonts w:ascii="Verdana" w:hAnsi="Verdana" w:cs="Arial"/>
          <w:bCs/>
          <w:lang w:val="es-MX" w:eastAsia="es-CO"/>
        </w:rPr>
      </w:pPr>
      <w:r>
        <w:rPr>
          <w:rFonts w:ascii="Verdana" w:hAnsi="Verdana" w:cs="Arial"/>
          <w:bCs/>
          <w:lang w:val="es-MX" w:eastAsia="es-CO"/>
        </w:rPr>
        <w:lastRenderedPageBreak/>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3B41645" w14:textId="77777777" w:rsidR="00741367" w:rsidRDefault="00741367" w:rsidP="00741367">
      <w:pPr>
        <w:spacing w:after="120" w:line="276" w:lineRule="auto"/>
        <w:ind w:firstLine="708"/>
        <w:jc w:val="both"/>
        <w:rPr>
          <w:rFonts w:ascii="Verdana" w:hAnsi="Verdana" w:cs="Arial"/>
          <w:bCs/>
          <w:lang w:val="es-MX" w:eastAsia="x-none"/>
        </w:rPr>
      </w:pPr>
      <w:r>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hAnsi="Verdana" w:cs="Arial"/>
          <w:vertAlign w:val="superscript"/>
          <w:lang w:eastAsia="x-none"/>
        </w:rPr>
        <w:footnoteReference w:id="17"/>
      </w:r>
      <w:r>
        <w:rPr>
          <w:rFonts w:ascii="Verdana" w:hAnsi="Verdana" w:cs="Arial"/>
          <w:bCs/>
          <w:lang w:val="es-MX" w:eastAsia="x-none"/>
        </w:rPr>
        <w:t>.</w:t>
      </w:r>
      <w:r>
        <w:rPr>
          <w:rFonts w:ascii="Verdana" w:hAnsi="Verdana" w:cs="Arial"/>
          <w:vertAlign w:val="superscript"/>
          <w:lang w:val="es-MX" w:eastAsia="x-none"/>
        </w:rPr>
        <w:t xml:space="preserve"> </w:t>
      </w:r>
    </w:p>
    <w:p w14:paraId="7EC721B7" w14:textId="77777777" w:rsidR="00741367" w:rsidRDefault="00741367" w:rsidP="00741367">
      <w:pPr>
        <w:spacing w:after="120" w:line="276" w:lineRule="auto"/>
        <w:ind w:firstLine="708"/>
        <w:jc w:val="both"/>
        <w:rPr>
          <w:rFonts w:ascii="Verdana" w:hAnsi="Verdana" w:cs="Arial"/>
          <w:lang w:eastAsia="x-none"/>
        </w:rPr>
      </w:pPr>
      <w:r>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386562B7" w14:textId="77777777" w:rsidR="00741367" w:rsidRDefault="00741367" w:rsidP="00741367">
      <w:pPr>
        <w:spacing w:after="120" w:line="276" w:lineRule="auto"/>
        <w:ind w:firstLine="708"/>
        <w:jc w:val="both"/>
        <w:rPr>
          <w:rFonts w:ascii="Verdana" w:hAnsi="Verdana" w:cs="Arial"/>
          <w:bCs/>
          <w:lang w:val="es-MX" w:eastAsia="x-none"/>
        </w:rPr>
      </w:pPr>
      <w:bookmarkStart w:id="12" w:name="_Hlk77237094"/>
      <w:r>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Pr>
          <w:rFonts w:ascii="Verdana" w:hAnsi="Verdana" w:cs="Arial"/>
          <w:bCs/>
          <w:lang w:val="es-MX" w:eastAsia="es-CO"/>
        </w:rPr>
        <w:t>entrada en vigencia</w:t>
      </w:r>
      <w:proofErr w:type="gramEnd"/>
      <w:r>
        <w:rPr>
          <w:rFonts w:ascii="Verdana" w:hAnsi="Verdana" w:cs="Arial"/>
          <w:bCs/>
          <w:lang w:val="es-MX" w:eastAsia="es-CO"/>
        </w:rPr>
        <w:t xml:space="preserve"> de las prohibiciones anotadas, así como la cesión de </w:t>
      </w:r>
      <w:proofErr w:type="gramStart"/>
      <w:r>
        <w:rPr>
          <w:rFonts w:ascii="Verdana" w:hAnsi="Verdana" w:cs="Arial"/>
          <w:bCs/>
          <w:lang w:val="es-MX" w:eastAsia="es-CO"/>
        </w:rPr>
        <w:t>los mismos</w:t>
      </w:r>
      <w:proofErr w:type="gramEnd"/>
      <w:r>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2"/>
    </w:p>
    <w:p w14:paraId="2488DC6D" w14:textId="77777777" w:rsidR="00741367" w:rsidRDefault="00741367" w:rsidP="00741367">
      <w:pPr>
        <w:spacing w:after="120" w:line="276" w:lineRule="auto"/>
        <w:ind w:firstLine="708"/>
        <w:jc w:val="both"/>
        <w:rPr>
          <w:rFonts w:ascii="Verdana" w:hAnsi="Verdana" w:cs="Arial"/>
          <w:bCs/>
          <w:lang w:val="es-MX" w:eastAsia="es-CO"/>
        </w:rPr>
      </w:pPr>
      <w:r>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w:t>
      </w:r>
      <w:r>
        <w:rPr>
          <w:rFonts w:ascii="Verdana" w:hAnsi="Verdana" w:cs="Arial"/>
          <w:bCs/>
          <w:lang w:val="es-MX" w:eastAsia="x-none"/>
        </w:rPr>
        <w:lastRenderedPageBreak/>
        <w:t xml:space="preserve">final del citado artículo 33 de la Ley 996 de 2005 en lo referente a i) la defensa y seguridad del Estado; </w:t>
      </w:r>
      <w:proofErr w:type="spellStart"/>
      <w:r>
        <w:rPr>
          <w:rFonts w:ascii="Verdana" w:hAnsi="Verdana" w:cs="Arial"/>
          <w:bCs/>
          <w:lang w:val="es-MX" w:eastAsia="x-none"/>
        </w:rPr>
        <w:t>ii</w:t>
      </w:r>
      <w:proofErr w:type="spellEnd"/>
      <w:r>
        <w:rPr>
          <w:rFonts w:ascii="Verdana" w:hAnsi="Verdana" w:cs="Arial"/>
          <w:bCs/>
          <w:lang w:val="es-MX" w:eastAsia="x-none"/>
        </w:rPr>
        <w:t xml:space="preserve">) los contratos de crédito público; </w:t>
      </w:r>
      <w:proofErr w:type="spellStart"/>
      <w:r>
        <w:rPr>
          <w:rFonts w:ascii="Verdana" w:hAnsi="Verdana" w:cs="Arial"/>
          <w:bCs/>
          <w:lang w:val="es-MX" w:eastAsia="x-none"/>
        </w:rPr>
        <w:t>iii</w:t>
      </w:r>
      <w:proofErr w:type="spellEnd"/>
      <w:r>
        <w:rPr>
          <w:rFonts w:ascii="Verdana" w:hAnsi="Verdana" w:cs="Arial"/>
          <w:bCs/>
          <w:lang w:val="es-MX" w:eastAsia="x-none"/>
        </w:rPr>
        <w:t xml:space="preserve">) los requeridos para cubrir las emergencias educativas, sanitarias y desastres; </w:t>
      </w:r>
      <w:proofErr w:type="spellStart"/>
      <w:r>
        <w:rPr>
          <w:rFonts w:ascii="Verdana" w:hAnsi="Verdana" w:cs="Arial"/>
          <w:bCs/>
          <w:lang w:val="es-MX" w:eastAsia="x-none"/>
        </w:rPr>
        <w:t>iv</w:t>
      </w:r>
      <w:proofErr w:type="spellEnd"/>
      <w:r>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17D0230" w14:textId="77777777" w:rsidR="00741367" w:rsidRDefault="00741367" w:rsidP="00741367">
      <w:pPr>
        <w:spacing w:after="0" w:line="276" w:lineRule="auto"/>
        <w:ind w:firstLine="708"/>
        <w:jc w:val="both"/>
        <w:rPr>
          <w:rFonts w:ascii="Verdana" w:hAnsi="Verdana" w:cs="Arial"/>
          <w:bCs/>
          <w:lang w:val="es-MX" w:eastAsia="x-none"/>
        </w:rPr>
      </w:pPr>
      <w:r>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Pr>
          <w:rFonts w:ascii="Verdana" w:hAnsi="Verdana" w:cs="Arial"/>
          <w:bCs/>
          <w:lang w:val="es-MX" w:eastAsia="x-none"/>
        </w:rPr>
        <w:t>que “</w:t>
      </w:r>
      <w:bookmarkEnd w:id="13"/>
      <w:r>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vertAlign w:val="superscript"/>
          <w:lang w:val="es-MX"/>
        </w:rPr>
        <w:footnoteReference w:id="18"/>
      </w:r>
      <w:r>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23C9B4F2" w14:textId="77777777" w:rsidR="00741367" w:rsidRDefault="00741367" w:rsidP="00741367">
      <w:pPr>
        <w:spacing w:after="0" w:line="276" w:lineRule="auto"/>
        <w:ind w:firstLine="708"/>
        <w:jc w:val="both"/>
        <w:rPr>
          <w:rFonts w:ascii="Verdana" w:hAnsi="Verdana" w:cs="Arial"/>
          <w:bCs/>
          <w:lang w:val="es-MX" w:eastAsia="x-none"/>
        </w:rPr>
      </w:pPr>
    </w:p>
    <w:p w14:paraId="0C2F62A9" w14:textId="77777777" w:rsidR="00741367" w:rsidRDefault="00741367" w:rsidP="00741367">
      <w:pPr>
        <w:spacing w:after="0" w:line="276" w:lineRule="auto"/>
        <w:jc w:val="both"/>
        <w:rPr>
          <w:rFonts w:ascii="Verdana" w:hAnsi="Verdana" w:cs="Arial"/>
          <w:bCs/>
          <w:lang w:val="es-MX" w:eastAsia="x-none"/>
        </w:rPr>
      </w:pPr>
      <w:proofErr w:type="spellStart"/>
      <w:r>
        <w:rPr>
          <w:rFonts w:ascii="Verdana" w:eastAsia="Arial" w:hAnsi="Verdana" w:cs="Arial"/>
          <w:lang w:val="es-MX" w:eastAsia="es-ES" w:bidi="es-ES"/>
        </w:rPr>
        <w:t>iii</w:t>
      </w:r>
      <w:proofErr w:type="spellEnd"/>
      <w:r>
        <w:rPr>
          <w:rFonts w:ascii="Verdana" w:eastAsia="Arial" w:hAnsi="Verdana" w:cs="Arial"/>
          <w:lang w:val="es-MX" w:eastAsia="es-ES" w:bidi="es-ES"/>
        </w:rPr>
        <w:t xml:space="preserve">. </w:t>
      </w:r>
      <w:r>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Pr>
          <w:rFonts w:ascii="Verdana" w:hAnsi="Verdana" w:cs="Arial"/>
          <w:lang w:val="es-MX"/>
        </w:rPr>
        <w:t xml:space="preserve"> </w:t>
      </w:r>
      <w:r>
        <w:rPr>
          <w:rFonts w:ascii="Verdana" w:hAnsi="Verdana" w:cs="Arial"/>
          <w:bCs/>
          <w:lang w:val="es-MX" w:eastAsia="x-none"/>
        </w:rPr>
        <w:t>En efecto, tal como lo ha sostenido el Consejo de Estado, el vocablo “todos” utilizado por el legislador comprende</w:t>
      </w:r>
      <w:r>
        <w:rPr>
          <w:rFonts w:ascii="Verdana" w:hAnsi="Verdana" w:cs="Arial"/>
          <w:lang w:val="es-MX"/>
        </w:rPr>
        <w:t xml:space="preserve"> </w:t>
      </w:r>
      <w:r>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w:t>
      </w:r>
      <w:r>
        <w:rPr>
          <w:rFonts w:ascii="Verdana" w:hAnsi="Verdana" w:cs="Arial"/>
          <w:bCs/>
          <w:lang w:val="es-MX" w:eastAsia="x-none"/>
        </w:rPr>
        <w:lastRenderedPageBreak/>
        <w:t xml:space="preserve">de la Administración Pública. El Consejo de Estado, en Concepto con radicado 1727 de fecha 20 de febrero de 2006, consideró que: </w:t>
      </w:r>
    </w:p>
    <w:p w14:paraId="10E8B075" w14:textId="77777777" w:rsidR="00741367" w:rsidRDefault="00741367" w:rsidP="00741367">
      <w:pPr>
        <w:spacing w:after="0" w:line="276" w:lineRule="auto"/>
        <w:ind w:firstLine="708"/>
        <w:jc w:val="both"/>
        <w:rPr>
          <w:rFonts w:ascii="Verdana" w:hAnsi="Verdana" w:cs="Arial"/>
          <w:bCs/>
          <w:lang w:val="es-MX" w:eastAsia="x-none"/>
        </w:rPr>
      </w:pPr>
    </w:p>
    <w:p w14:paraId="49C641C9" w14:textId="77777777" w:rsidR="00741367" w:rsidRDefault="00741367" w:rsidP="00741367">
      <w:pPr>
        <w:spacing w:after="0" w:line="240" w:lineRule="auto"/>
        <w:ind w:left="708" w:right="709"/>
        <w:jc w:val="both"/>
        <w:rPr>
          <w:rFonts w:ascii="Verdana" w:hAnsi="Verdana" w:cs="Arial"/>
          <w:bCs/>
          <w:sz w:val="20"/>
          <w:szCs w:val="20"/>
          <w:lang w:val="es-MX" w:eastAsia="es-CO"/>
        </w:rPr>
      </w:pPr>
      <w:r>
        <w:rPr>
          <w:rFonts w:ascii="Verdana" w:hAnsi="Verdana" w:cs="Arial"/>
          <w:bCs/>
          <w:sz w:val="20"/>
          <w:szCs w:val="20"/>
          <w:lang w:val="es-MX" w:eastAsia="x-none"/>
        </w:rPr>
        <w:t xml:space="preserve">“El artículo 33 de la ley 996 de 2005, </w:t>
      </w:r>
      <w:bookmarkStart w:id="15" w:name="_Hlk75787147"/>
      <w:r>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Verdana" w:hAnsi="Verdana" w:cs="Arial"/>
          <w:bCs/>
          <w:sz w:val="20"/>
          <w:szCs w:val="20"/>
          <w:vertAlign w:val="superscript"/>
          <w:lang w:val="es-MX" w:eastAsia="x-none"/>
        </w:rPr>
        <w:footnoteReference w:id="19"/>
      </w:r>
      <w:r>
        <w:rPr>
          <w:rFonts w:ascii="Verdana" w:hAnsi="Verdana" w:cs="Arial"/>
          <w:bCs/>
          <w:sz w:val="20"/>
          <w:szCs w:val="20"/>
          <w:lang w:val="es-MX" w:eastAsia="x-none"/>
        </w:rPr>
        <w:t>.</w:t>
      </w:r>
      <w:r>
        <w:rPr>
          <w:rFonts w:ascii="Verdana" w:hAnsi="Verdana" w:cs="Arial"/>
          <w:bCs/>
          <w:sz w:val="20"/>
          <w:szCs w:val="20"/>
          <w:lang w:val="es-MX" w:eastAsia="es-CO"/>
        </w:rPr>
        <w:t xml:space="preserve"> </w:t>
      </w:r>
    </w:p>
    <w:p w14:paraId="55D68838" w14:textId="77777777" w:rsidR="00741367" w:rsidRDefault="00741367" w:rsidP="00741367">
      <w:pPr>
        <w:spacing w:after="0" w:line="276" w:lineRule="auto"/>
        <w:ind w:firstLine="708"/>
        <w:jc w:val="both"/>
        <w:rPr>
          <w:rFonts w:ascii="Verdana" w:hAnsi="Verdana" w:cs="Arial"/>
          <w:bCs/>
          <w:lang w:val="es-MX" w:eastAsia="es-CO"/>
        </w:rPr>
      </w:pPr>
    </w:p>
    <w:p w14:paraId="2234C222" w14:textId="77777777" w:rsidR="00741367" w:rsidRDefault="00741367" w:rsidP="00741367">
      <w:pPr>
        <w:spacing w:after="0" w:line="276" w:lineRule="auto"/>
        <w:ind w:firstLine="708"/>
        <w:jc w:val="both"/>
        <w:rPr>
          <w:rFonts w:ascii="Verdana" w:hAnsi="Verdana" w:cs="Arial"/>
          <w:lang w:val="es-MX"/>
        </w:rPr>
      </w:pPr>
      <w:r>
        <w:rPr>
          <w:rFonts w:ascii="Verdana" w:hAnsi="Verdana" w:cs="Arial"/>
          <w:bCs/>
          <w:lang w:val="es-MX" w:eastAsia="x-none"/>
        </w:rPr>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6" w:name="_Hlk75758868"/>
      <w:bookmarkStart w:id="17" w:name="_Hlk75741220"/>
      <w:r>
        <w:rPr>
          <w:rFonts w:ascii="Verdana" w:hAnsi="Verdana" w:cs="Arial"/>
          <w:vertAlign w:val="superscript"/>
          <w:lang w:val="es-MX"/>
        </w:rPr>
        <w:footnoteReference w:id="20"/>
      </w:r>
      <w:bookmarkEnd w:id="16"/>
      <w:bookmarkEnd w:id="17"/>
      <w:r>
        <w:rPr>
          <w:rFonts w:ascii="Verdana" w:hAnsi="Verdana" w:cs="Arial"/>
          <w:bCs/>
          <w:lang w:val="es-MX" w:eastAsia="x-none"/>
        </w:rPr>
        <w:t>.</w:t>
      </w:r>
      <w:r>
        <w:rPr>
          <w:rFonts w:ascii="Verdana" w:hAnsi="Verdana" w:cs="Arial"/>
          <w:lang w:val="es-MX"/>
        </w:rPr>
        <w:t xml:space="preserve"> Sin embargo, debe precisarse el siguiente aspecto que distinguió la Sala de Consulta y Servicio Civil:</w:t>
      </w:r>
    </w:p>
    <w:p w14:paraId="5D085A82" w14:textId="77777777" w:rsidR="00741367" w:rsidRDefault="00741367" w:rsidP="00741367">
      <w:pPr>
        <w:spacing w:after="0" w:line="276" w:lineRule="auto"/>
        <w:jc w:val="both"/>
        <w:rPr>
          <w:rFonts w:ascii="Verdana" w:hAnsi="Verdana" w:cs="Arial"/>
          <w:lang w:val="es-MX"/>
        </w:rPr>
      </w:pPr>
    </w:p>
    <w:p w14:paraId="248503FF" w14:textId="77777777" w:rsidR="00741367" w:rsidRDefault="00741367" w:rsidP="00741367">
      <w:pPr>
        <w:spacing w:after="0" w:line="240" w:lineRule="auto"/>
        <w:ind w:left="708" w:right="709"/>
        <w:jc w:val="both"/>
        <w:rPr>
          <w:rFonts w:ascii="Verdana" w:hAnsi="Verdana" w:cs="Arial"/>
          <w:sz w:val="20"/>
          <w:szCs w:val="20"/>
          <w:lang w:val="es-MX"/>
        </w:rPr>
      </w:pPr>
      <w:bookmarkStart w:id="19" w:name="_Hlk75811446"/>
      <w:r>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w:t>
      </w:r>
      <w:r>
        <w:rPr>
          <w:rFonts w:ascii="Verdana" w:hAnsi="Verdana" w:cs="Arial"/>
          <w:sz w:val="20"/>
          <w:szCs w:val="20"/>
          <w:lang w:val="es-MX"/>
        </w:rPr>
        <w:lastRenderedPageBreak/>
        <w:t>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Pr>
          <w:rFonts w:ascii="Verdana" w:hAnsi="Verdana" w:cs="Arial"/>
          <w:sz w:val="20"/>
          <w:szCs w:val="20"/>
          <w:lang w:val="es-MX"/>
        </w:rPr>
        <w:t>”</w:t>
      </w:r>
      <w:r>
        <w:rPr>
          <w:vertAlign w:val="superscript"/>
        </w:rPr>
        <w:footnoteReference w:id="21"/>
      </w:r>
      <w:r>
        <w:rPr>
          <w:rFonts w:ascii="Verdana" w:hAnsi="Verdana" w:cs="Arial"/>
          <w:bCs/>
          <w:sz w:val="20"/>
          <w:szCs w:val="20"/>
          <w:lang w:val="es-MX" w:eastAsia="x-none"/>
        </w:rPr>
        <w:t>.</w:t>
      </w:r>
    </w:p>
    <w:p w14:paraId="1DF70E27" w14:textId="77777777" w:rsidR="00741367" w:rsidRDefault="00741367" w:rsidP="00741367">
      <w:pPr>
        <w:spacing w:after="0" w:line="276" w:lineRule="auto"/>
        <w:jc w:val="both"/>
        <w:rPr>
          <w:rFonts w:ascii="Verdana" w:hAnsi="Verdana" w:cs="Arial"/>
          <w:lang w:val="es-MX"/>
        </w:rPr>
      </w:pPr>
    </w:p>
    <w:p w14:paraId="29E6B0B5" w14:textId="77777777" w:rsidR="00741367" w:rsidRDefault="00741367" w:rsidP="00741367">
      <w:pPr>
        <w:spacing w:after="120" w:line="276" w:lineRule="auto"/>
        <w:ind w:firstLine="709"/>
        <w:jc w:val="both"/>
        <w:rPr>
          <w:rFonts w:ascii="Verdana" w:hAnsi="Verdana" w:cs="Arial"/>
          <w:bCs/>
          <w:lang w:val="es-MX" w:eastAsia="x-none"/>
        </w:rPr>
      </w:pPr>
      <w:r>
        <w:rPr>
          <w:rFonts w:ascii="Verdana" w:hAnsi="Verdana" w:cs="Arial"/>
          <w:lang w:val="es-MX"/>
        </w:rPr>
        <w:t>Aplicando este razonamiento,</w:t>
      </w:r>
      <w:bookmarkStart w:id="20" w:name="_Hlk75811096"/>
      <w:r>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Pr>
          <w:rFonts w:ascii="Verdana" w:hAnsi="Verdana" w:cs="Arial"/>
          <w:lang w:val="es-MX"/>
        </w:rPr>
        <w:t>”</w:t>
      </w:r>
      <w:r>
        <w:rPr>
          <w:rFonts w:ascii="Verdana" w:hAnsi="Verdana" w:cs="Arial"/>
          <w:vertAlign w:val="superscript"/>
          <w:lang w:val="es-MX"/>
        </w:rPr>
        <w:t xml:space="preserve"> </w:t>
      </w:r>
      <w:r>
        <w:footnoteReference w:id="22"/>
      </w:r>
      <w:r>
        <w:rPr>
          <w:rFonts w:ascii="Verdana" w:hAnsi="Verdana" w:cs="Arial"/>
          <w:lang w:val="es-MX"/>
        </w:rPr>
        <w:t>.</w:t>
      </w:r>
    </w:p>
    <w:p w14:paraId="1215CE9F" w14:textId="77777777" w:rsidR="00741367" w:rsidRDefault="00741367" w:rsidP="00741367">
      <w:pPr>
        <w:spacing w:after="0" w:line="276" w:lineRule="auto"/>
        <w:ind w:firstLine="708"/>
        <w:jc w:val="both"/>
        <w:rPr>
          <w:rFonts w:ascii="Verdana" w:hAnsi="Verdana" w:cs="Arial"/>
          <w:bCs/>
          <w:lang w:val="es-MX" w:eastAsia="x-none"/>
        </w:rPr>
      </w:pPr>
      <w:bookmarkStart w:id="21" w:name="_Hlk77237229"/>
      <w:bookmarkEnd w:id="15"/>
      <w:r>
        <w:rPr>
          <w:rFonts w:ascii="Verdana" w:hAnsi="Verdana" w:cs="Arial"/>
          <w:lang w:val="es-MX"/>
        </w:rPr>
        <w:t>Por lo tanto, la restricción prevista en la Ley 996 de 200</w:t>
      </w:r>
      <w:bookmarkStart w:id="22" w:name="_Hlk75741539"/>
      <w:r>
        <w:rPr>
          <w:rFonts w:ascii="Verdana" w:hAnsi="Verdana" w:cs="Arial"/>
          <w:lang w:val="es-MX"/>
        </w:rPr>
        <w:t xml:space="preserve">5, </w:t>
      </w:r>
      <w:r>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69A46C72" w14:textId="77777777" w:rsidR="00741367" w:rsidRDefault="00741367" w:rsidP="00741367">
      <w:pPr>
        <w:spacing w:after="0" w:line="276" w:lineRule="auto"/>
        <w:ind w:firstLine="708"/>
        <w:jc w:val="both"/>
        <w:rPr>
          <w:rFonts w:ascii="Verdana" w:hAnsi="Verdana" w:cs="Arial"/>
          <w:bCs/>
          <w:lang w:val="es-MX" w:eastAsia="x-none"/>
        </w:rPr>
      </w:pPr>
    </w:p>
    <w:p w14:paraId="63E14494" w14:textId="77777777" w:rsidR="00741367" w:rsidRDefault="00741367" w:rsidP="00741367">
      <w:pPr>
        <w:spacing w:line="276" w:lineRule="auto"/>
        <w:jc w:val="both"/>
        <w:rPr>
          <w:rFonts w:ascii="Verdana" w:hAnsi="Verdana" w:cs="Arial"/>
          <w:bCs/>
          <w:lang w:val="es-MX" w:eastAsia="x-none"/>
        </w:rPr>
      </w:pPr>
      <w:proofErr w:type="spellStart"/>
      <w:r>
        <w:rPr>
          <w:rFonts w:ascii="Verdana" w:hAnsi="Verdana" w:cs="Arial"/>
          <w:bCs/>
          <w:lang w:val="es-MX" w:eastAsia="x-none"/>
        </w:rPr>
        <w:t>iv</w:t>
      </w:r>
      <w:proofErr w:type="spellEnd"/>
      <w:r>
        <w:rPr>
          <w:rFonts w:ascii="Verdana" w:hAnsi="Verdana" w:cs="Arial"/>
          <w:bCs/>
          <w:lang w:val="es-MX" w:eastAsia="x-none"/>
        </w:rPr>
        <w:t xml:space="preserve">. 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w:t>
      </w:r>
      <w:r>
        <w:rPr>
          <w:rFonts w:ascii="Verdana" w:hAnsi="Verdana" w:cs="Arial"/>
          <w:bCs/>
          <w:lang w:val="es-MX" w:eastAsia="x-none"/>
        </w:rPr>
        <w:lastRenderedPageBreak/>
        <w:t>por su naturaleza no admiten postergaciones en la atención de sus necesidades de personal, bienes y servicios [...]”</w:t>
      </w:r>
      <w:r>
        <w:rPr>
          <w:rStyle w:val="Refdenotaalpie"/>
          <w:rFonts w:ascii="Verdana" w:hAnsi="Verdana" w:cs="Arial"/>
          <w:lang w:val="es-ES_tradnl" w:eastAsia="es-CO"/>
        </w:rPr>
        <w:footnoteReference w:id="23"/>
      </w:r>
      <w:r>
        <w:rPr>
          <w:rFonts w:ascii="Verdana" w:hAnsi="Verdana" w:cs="Arial"/>
          <w:bCs/>
          <w:lang w:val="es-MX" w:eastAsia="x-none"/>
        </w:rPr>
        <w:t>.</w:t>
      </w:r>
    </w:p>
    <w:p w14:paraId="5410C292" w14:textId="77777777" w:rsidR="00741367" w:rsidRDefault="00741367" w:rsidP="00741367">
      <w:pPr>
        <w:shd w:val="clear" w:color="auto" w:fill="FFFFFF" w:themeFill="background1"/>
        <w:spacing w:line="276" w:lineRule="auto"/>
        <w:ind w:firstLine="709"/>
        <w:jc w:val="both"/>
        <w:rPr>
          <w:rFonts w:ascii="Verdana" w:hAnsi="Verdana" w:cs="Arial"/>
          <w:lang w:val="es-ES" w:eastAsia="es-CO"/>
        </w:rPr>
      </w:pPr>
      <w:r>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Pr>
          <w:rFonts w:ascii="Verdana" w:hAnsi="Verdana" w:cs="Arial"/>
          <w:lang w:val="es-ES" w:eastAsia="es-CO"/>
        </w:rPr>
        <w:t>exequibilidad</w:t>
      </w:r>
      <w:proofErr w:type="spellEnd"/>
      <w:r>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Pr>
          <w:rStyle w:val="Refdenotaalpie"/>
          <w:rFonts w:ascii="Verdana" w:hAnsi="Verdana" w:cs="Arial"/>
          <w:lang w:val="es-ES" w:eastAsia="es-CO"/>
        </w:rPr>
        <w:footnoteReference w:id="24"/>
      </w:r>
      <w:r>
        <w:rPr>
          <w:rFonts w:ascii="Verdana" w:hAnsi="Verdana" w:cs="Arial"/>
          <w:lang w:val="es-ES" w:eastAsia="es-CO"/>
        </w:rPr>
        <w:t xml:space="preserve">. </w:t>
      </w:r>
    </w:p>
    <w:p w14:paraId="22054EF5" w14:textId="77777777" w:rsidR="00741367" w:rsidRDefault="00741367" w:rsidP="00741367">
      <w:pPr>
        <w:shd w:val="clear" w:color="auto" w:fill="FFFFFF"/>
        <w:spacing w:line="276" w:lineRule="auto"/>
        <w:ind w:firstLine="709"/>
        <w:jc w:val="both"/>
        <w:rPr>
          <w:rFonts w:ascii="Verdana" w:hAnsi="Verdana" w:cs="Arial"/>
          <w:lang w:val="es-ES_tradnl" w:eastAsia="es-CO"/>
        </w:rPr>
      </w:pPr>
      <w:r>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40B2C068" w14:textId="77777777" w:rsidR="00741367" w:rsidRDefault="00741367" w:rsidP="00741367">
      <w:pPr>
        <w:spacing w:after="120" w:line="276" w:lineRule="auto"/>
        <w:jc w:val="both"/>
        <w:rPr>
          <w:rFonts w:ascii="Verdana" w:hAnsi="Verdana" w:cs="Arial"/>
          <w:lang w:val="es-ES"/>
        </w:rPr>
      </w:pPr>
      <w:r>
        <w:rPr>
          <w:rFonts w:ascii="Verdana" w:eastAsia="Calibri" w:hAnsi="Verdana" w:cs="Arial"/>
        </w:rPr>
        <w:t xml:space="preserve">v. </w:t>
      </w:r>
      <w:bookmarkEnd w:id="21"/>
      <w:bookmarkEnd w:id="22"/>
      <w:r>
        <w:rPr>
          <w:rFonts w:ascii="Verdana" w:hAnsi="Verdana" w:cs="Arial"/>
          <w:lang w:val="es-ES"/>
        </w:rPr>
        <w:t xml:space="preserve">Ahora bien, respecto del alcance del parágrafo </w:t>
      </w:r>
      <w:r>
        <w:rPr>
          <w:rFonts w:ascii="Verdana" w:hAnsi="Verdana" w:cs="Arial"/>
        </w:rPr>
        <w:t xml:space="preserve">del artículo 38 de la Ley 996 de 2005, esta prohibición dispone que “Los Gobernadores, </w:t>
      </w:r>
      <w:proofErr w:type="gramStart"/>
      <w:r>
        <w:rPr>
          <w:rFonts w:ascii="Verdana" w:hAnsi="Verdana" w:cs="Arial"/>
        </w:rPr>
        <w:t>Alcaldes</w:t>
      </w:r>
      <w:proofErr w:type="gramEnd"/>
      <w:r>
        <w:rPr>
          <w:rFonts w:ascii="Verdana" w:hAnsi="Verdana" w:cs="Arial"/>
        </w:rPr>
        <w:t xml:space="preserve"> Municipales y/o Distritales, </w:t>
      </w:r>
      <w:proofErr w:type="gramStart"/>
      <w:r>
        <w:rPr>
          <w:rFonts w:ascii="Verdana" w:hAnsi="Verdana" w:cs="Arial"/>
        </w:rPr>
        <w:t>Secretarios</w:t>
      </w:r>
      <w:proofErr w:type="gramEnd"/>
      <w:r>
        <w:rPr>
          <w:rFonts w:ascii="Verdana" w:hAnsi="Verdana" w:cs="Arial"/>
        </w:rPr>
        <w:t>, Gerentes y directores de Entidades Descentralizadas del orden Municipal, Departamental o Distrital, dentro de los cuatro (4) meses anteriores a las elecciones, no podrán celebrar convenios interadministrativos para la ejecución de recursos públicos”.</w:t>
      </w:r>
      <w:r>
        <w:rPr>
          <w:rFonts w:ascii="Verdana" w:eastAsia="Times New Roman" w:hAnsi="Verdana" w:cs="Arial"/>
          <w:lang w:val="es-MX" w:eastAsia="x-none"/>
        </w:rPr>
        <w:t xml:space="preserve"> </w:t>
      </w:r>
    </w:p>
    <w:p w14:paraId="248C207D" w14:textId="77777777" w:rsidR="00741367" w:rsidRDefault="00741367" w:rsidP="00741367">
      <w:pPr>
        <w:spacing w:after="120" w:line="276" w:lineRule="auto"/>
        <w:ind w:firstLine="709"/>
        <w:jc w:val="both"/>
        <w:rPr>
          <w:rFonts w:ascii="Verdana" w:hAnsi="Verdana" w:cs="Arial"/>
          <w:lang w:eastAsia="es-ES"/>
        </w:rPr>
      </w:pPr>
      <w:r>
        <w:rPr>
          <w:rFonts w:ascii="Verdana" w:eastAsia="Times New Roman" w:hAnsi="Verdana" w:cs="Arial"/>
          <w:lang w:val="es-ES" w:eastAsia="es-ES"/>
        </w:rPr>
        <w:t xml:space="preserve">Para tales efectos, debe precisarse que </w:t>
      </w:r>
      <w:r>
        <w:rPr>
          <w:rFonts w:ascii="Verdana" w:eastAsia="Times New Roman" w:hAnsi="Verdana" w:cs="Arial"/>
          <w:color w:val="000000" w:themeColor="text1"/>
          <w:lang w:val="es-ES" w:eastAsia="es-CO"/>
        </w:rPr>
        <w:t xml:space="preserve">los contratos o convenios interadministrativos están determinados por un criterio orgánico, pues es </w:t>
      </w:r>
      <w:r>
        <w:rPr>
          <w:rFonts w:ascii="Verdana" w:eastAsia="Times New Roman" w:hAnsi="Verdana" w:cs="Arial"/>
          <w:color w:val="000000" w:themeColor="text1"/>
          <w:lang w:val="es-ES" w:eastAsia="es-CO"/>
        </w:rPr>
        <w:lastRenderedPageBreak/>
        <w:t xml:space="preserve">necesario que los extremos de la relación contractual sean entidades públicas, </w:t>
      </w:r>
      <w:r>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Pr>
          <w:rFonts w:ascii="Verdana" w:hAnsi="Verdana" w:cs="Arial"/>
          <w:vertAlign w:val="superscript"/>
          <w:lang w:eastAsia="es-ES"/>
        </w:rPr>
        <w:footnoteReference w:id="25"/>
      </w:r>
      <w:r>
        <w:rPr>
          <w:rFonts w:ascii="Verdana" w:hAnsi="Verdana" w:cs="Arial"/>
          <w:lang w:eastAsia="es-ES"/>
        </w:rPr>
        <w:t>.</w:t>
      </w:r>
    </w:p>
    <w:p w14:paraId="2EC7128F" w14:textId="77777777" w:rsidR="00741367" w:rsidRDefault="00741367" w:rsidP="00741367">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61FC5CD" w14:textId="77777777" w:rsidR="00741367" w:rsidRDefault="00741367" w:rsidP="00741367">
      <w:pPr>
        <w:spacing w:before="120" w:after="0" w:line="276" w:lineRule="auto"/>
        <w:ind w:firstLine="708"/>
        <w:jc w:val="both"/>
        <w:rPr>
          <w:rFonts w:ascii="Verdana" w:hAnsi="Verdana" w:cs="Arial"/>
          <w:lang w:val="es-ES_tradnl"/>
        </w:rPr>
      </w:pPr>
      <w:r>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Pr>
          <w:rFonts w:ascii="Verdana" w:hAnsi="Verdana" w:cs="Arial"/>
          <w:vertAlign w:val="superscript"/>
          <w:lang w:val="es-ES"/>
        </w:rPr>
        <w:footnoteReference w:id="26"/>
      </w:r>
      <w:r>
        <w:rPr>
          <w:rFonts w:ascii="Verdana" w:hAnsi="Verdana" w:cs="Arial"/>
          <w:lang w:val="es-ES"/>
        </w:rPr>
        <w:t>. Nótese que, en este caso, lo que cambia es la modalidad de selección y no la naturaleza de contrato interadministrativo.</w:t>
      </w:r>
    </w:p>
    <w:p w14:paraId="2BF418C0" w14:textId="77777777" w:rsidR="00741367" w:rsidRDefault="00741367" w:rsidP="00741367">
      <w:pPr>
        <w:spacing w:before="120" w:after="0" w:line="276" w:lineRule="auto"/>
        <w:ind w:firstLine="708"/>
        <w:jc w:val="both"/>
        <w:rPr>
          <w:rFonts w:ascii="Verdana" w:hAnsi="Verdana" w:cs="Arial"/>
          <w:lang w:val="es-ES_tradnl"/>
        </w:rPr>
      </w:pPr>
      <w:r>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Pr>
          <w:rFonts w:ascii="Verdana" w:hAnsi="Verdana" w:cs="Arial"/>
          <w:vertAlign w:val="superscript"/>
          <w:lang w:val="es-ES"/>
        </w:rPr>
        <w:footnoteReference w:id="27"/>
      </w:r>
      <w:r>
        <w:rPr>
          <w:rFonts w:ascii="Verdana" w:hAnsi="Verdana" w:cs="Arial"/>
          <w:lang w:val="es-ES"/>
        </w:rPr>
        <w:t xml:space="preserve">. Entonces, si ambas partes son entidades estatales, pueden celebrar convenios interadministrativos, porque las disposiciones que regulan esta tipología hacen </w:t>
      </w:r>
      <w:r>
        <w:rPr>
          <w:rFonts w:ascii="Verdana" w:hAnsi="Verdana" w:cs="Arial"/>
          <w:lang w:val="es-ES"/>
        </w:rPr>
        <w:lastRenderedPageBreak/>
        <w:t>referencia a la calidad de los sujetos que intervienen en la contratación, que deben ser entidades estatales o de derecho público.</w:t>
      </w:r>
    </w:p>
    <w:p w14:paraId="4E6637F8" w14:textId="77777777" w:rsidR="00741367" w:rsidRDefault="00741367" w:rsidP="00741367">
      <w:pPr>
        <w:spacing w:before="120" w:after="0" w:line="276" w:lineRule="auto"/>
        <w:ind w:firstLine="708"/>
        <w:jc w:val="both"/>
        <w:rPr>
          <w:rFonts w:ascii="Verdana" w:hAnsi="Verdana"/>
          <w:sz w:val="24"/>
          <w:szCs w:val="24"/>
          <w:lang w:eastAsia="es-CO"/>
        </w:rPr>
      </w:pPr>
      <w:r>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Pr>
          <w:rFonts w:ascii="Verdana" w:hAnsi="Verdana" w:cs="Arial"/>
          <w:vertAlign w:val="superscript"/>
          <w:lang w:val="es-ES"/>
        </w:rPr>
        <w:footnoteReference w:id="28"/>
      </w:r>
      <w:r>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Pr>
          <w:rFonts w:ascii="Verdana" w:hAnsi="Verdana"/>
          <w:sz w:val="24"/>
          <w:szCs w:val="24"/>
          <w:lang w:eastAsia="es-CO"/>
        </w:rPr>
        <w:t>.</w:t>
      </w:r>
    </w:p>
    <w:p w14:paraId="427E041A" w14:textId="77777777" w:rsidR="00741367" w:rsidRDefault="00741367" w:rsidP="00741367">
      <w:pPr>
        <w:spacing w:before="120" w:after="0" w:line="276" w:lineRule="auto"/>
        <w:ind w:firstLine="708"/>
        <w:jc w:val="both"/>
        <w:rPr>
          <w:rFonts w:ascii="Verdana" w:eastAsia="Times New Roman" w:hAnsi="Verdana" w:cs="Arial"/>
          <w:lang w:val="es-MX" w:eastAsia="es-CO"/>
        </w:rPr>
      </w:pPr>
      <w:r>
        <w:rPr>
          <w:rFonts w:ascii="Verdana" w:eastAsia="Arial" w:hAnsi="Verdana" w:cs="Arial"/>
          <w:lang w:val="es-MX" w:eastAsia="es-ES" w:bidi="es-ES"/>
        </w:rPr>
        <w:t>De esta manera, se</w:t>
      </w:r>
      <w:r>
        <w:rPr>
          <w:rFonts w:ascii="Verdana" w:eastAsia="Times New Roman" w:hAnsi="Verdana" w:cs="Arial"/>
          <w:lang w:eastAsia="es-CO"/>
        </w:rPr>
        <w:t xml:space="preserve"> observa entonces que </w:t>
      </w:r>
      <w:r>
        <w:rPr>
          <w:rFonts w:ascii="Verdana" w:eastAsia="Times New Roman" w:hAnsi="Verdana" w:cs="Arial"/>
          <w:lang w:val="es-MX" w:eastAsia="es-CO"/>
        </w:rPr>
        <w:t xml:space="preserve">el parágrafo del artículo 38 de la Ley 996 de 2005 prohíbe a los </w:t>
      </w:r>
      <w:proofErr w:type="gramStart"/>
      <w:r>
        <w:rPr>
          <w:rFonts w:ascii="Verdana" w:eastAsia="Times New Roman" w:hAnsi="Verdana" w:cs="Arial"/>
          <w:lang w:val="es-MX" w:eastAsia="es-CO"/>
        </w:rPr>
        <w:t>Alcaldes</w:t>
      </w:r>
      <w:proofErr w:type="gramEnd"/>
      <w:r>
        <w:rPr>
          <w:rFonts w:ascii="Verdana" w:eastAsia="Times New Roman" w:hAnsi="Verdana" w:cs="Arial"/>
          <w:lang w:val="es-MX" w:eastAsia="es-CO"/>
        </w:rPr>
        <w:t xml:space="preserve">, Gobernadores, </w:t>
      </w:r>
      <w:proofErr w:type="gramStart"/>
      <w:r>
        <w:rPr>
          <w:rFonts w:ascii="Verdana" w:eastAsia="Times New Roman" w:hAnsi="Verdana" w:cs="Arial"/>
          <w:lang w:val="es-MX" w:eastAsia="es-CO"/>
        </w:rPr>
        <w:t>Secretarios</w:t>
      </w:r>
      <w:proofErr w:type="gramEnd"/>
      <w:r>
        <w:rPr>
          <w:rFonts w:ascii="Verdana" w:eastAsia="Times New Roman" w:hAnsi="Verdana" w:cs="Arial"/>
          <w:lang w:val="es-MX" w:eastAsia="es-CO"/>
        </w:rPr>
        <w:t xml:space="preserve">, Gerentes y </w:t>
      </w:r>
      <w:proofErr w:type="gramStart"/>
      <w:r>
        <w:rPr>
          <w:rFonts w:ascii="Verdana" w:eastAsia="Times New Roman" w:hAnsi="Verdana" w:cs="Arial"/>
          <w:lang w:val="es-MX" w:eastAsia="es-CO"/>
        </w:rPr>
        <w:t>Directores</w:t>
      </w:r>
      <w:proofErr w:type="gramEnd"/>
      <w:r>
        <w:rPr>
          <w:rFonts w:ascii="Verdana" w:eastAsia="Times New Roman" w:hAnsi="Verdana" w:cs="Arial"/>
          <w:lang w:val="es-MX" w:eastAsia="es-CO"/>
        </w:rPr>
        <w:t xml:space="preserve">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Pr>
          <w:rFonts w:ascii="Verdana" w:eastAsia="Times New Roman" w:hAnsi="Verdana" w:cs="Arial"/>
          <w:i/>
          <w:lang w:val="es-MX" w:eastAsia="es-CO"/>
        </w:rPr>
        <w:t>ibidem</w:t>
      </w:r>
      <w:r>
        <w:rPr>
          <w:rFonts w:ascii="Verdana" w:eastAsia="Times New Roman" w:hAnsi="Verdana" w:cs="Arial"/>
          <w:lang w:val="es-MX" w:eastAsia="es-CO"/>
        </w:rPr>
        <w:t xml:space="preserve">,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7703F92" w14:textId="77777777" w:rsidR="00741367" w:rsidRDefault="00741367" w:rsidP="00741367">
      <w:pPr>
        <w:spacing w:before="120" w:after="0" w:line="276" w:lineRule="auto"/>
        <w:ind w:firstLine="708"/>
        <w:jc w:val="both"/>
        <w:rPr>
          <w:rFonts w:ascii="Verdana" w:eastAsia="Times New Roman" w:hAnsi="Verdana" w:cs="Arial"/>
          <w:lang w:eastAsia="es-CO"/>
        </w:rPr>
      </w:pPr>
      <w:r>
        <w:rPr>
          <w:rFonts w:ascii="Verdana" w:eastAsia="Times New Roman" w:hAnsi="Verdana" w:cs="Arial"/>
          <w:lang w:val="es-MX" w:eastAsia="es-CO"/>
        </w:rPr>
        <w:t xml:space="preserve">Respecto del alcance de esta prohibición la Circular Externa No. 006 de 2025 expedida por la ANCP-CCE, en los literales </w:t>
      </w:r>
      <w:proofErr w:type="spellStart"/>
      <w:r>
        <w:rPr>
          <w:rFonts w:ascii="Verdana" w:eastAsia="Times New Roman" w:hAnsi="Verdana" w:cs="Arial"/>
          <w:lang w:val="es-MX" w:eastAsia="es-CO"/>
        </w:rPr>
        <w:t>ii</w:t>
      </w:r>
      <w:proofErr w:type="spellEnd"/>
      <w:r>
        <w:rPr>
          <w:rFonts w:ascii="Verdana" w:eastAsia="Times New Roman" w:hAnsi="Verdana" w:cs="Arial"/>
          <w:lang w:val="es-MX" w:eastAsia="es-CO"/>
        </w:rPr>
        <w:t xml:space="preserve">) y </w:t>
      </w:r>
      <w:proofErr w:type="spellStart"/>
      <w:r>
        <w:rPr>
          <w:rFonts w:ascii="Verdana" w:eastAsia="Times New Roman" w:hAnsi="Verdana" w:cs="Arial"/>
          <w:lang w:val="es-MX" w:eastAsia="es-CO"/>
        </w:rPr>
        <w:t>iv</w:t>
      </w:r>
      <w:proofErr w:type="spellEnd"/>
      <w:r>
        <w:rPr>
          <w:rFonts w:ascii="Verdana" w:eastAsia="Times New Roman" w:hAnsi="Verdana" w:cs="Arial"/>
          <w:lang w:val="es-MX" w:eastAsia="es-CO"/>
        </w:rPr>
        <w:t>) del numeral 2</w:t>
      </w:r>
      <w:r>
        <w:rPr>
          <w:rFonts w:ascii="Verdana" w:eastAsia="Times New Roman" w:hAnsi="Verdana" w:cs="Arial"/>
          <w:lang w:eastAsia="es-CO"/>
        </w:rPr>
        <w:t>,</w:t>
      </w:r>
      <w:r>
        <w:rPr>
          <w:rFonts w:ascii="Verdana" w:eastAsia="Times New Roman" w:hAnsi="Verdana" w:cs="Arial"/>
          <w:lang w:val="es-MX" w:eastAsia="es-CO"/>
        </w:rPr>
        <w:t xml:space="preserve"> indica que el </w:t>
      </w:r>
      <w:r>
        <w:rPr>
          <w:rFonts w:ascii="Verdana" w:eastAsia="Times New Roman" w:hAnsi="Verdana" w:cs="Arial"/>
          <w:lang w:eastAsia="es-CO"/>
        </w:rPr>
        <w:t xml:space="preserve">parágrafo del artículo 38 de la Ley 996 de 2005 cobija expresamente a los </w:t>
      </w:r>
      <w:r>
        <w:rPr>
          <w:rFonts w:ascii="Verdana" w:eastAsia="Times New Roman" w:hAnsi="Verdana" w:cs="Arial"/>
          <w:i/>
          <w:iCs/>
          <w:lang w:eastAsia="es-CO"/>
        </w:rPr>
        <w:t>convenios interadministrativos</w:t>
      </w:r>
      <w:r>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Pr>
          <w:rFonts w:ascii="Verdana" w:eastAsia="Times New Roman" w:hAnsi="Verdana" w:cs="Arial"/>
          <w:i/>
          <w:iCs/>
          <w:lang w:eastAsia="es-CO"/>
        </w:rPr>
        <w:t>“aunque se configure alguno de los supuestos de excepción que señaló el inciso final del artículo 33</w:t>
      </w:r>
      <w:r>
        <w:rPr>
          <w:rFonts w:ascii="Verdana" w:eastAsia="Times New Roman" w:hAnsi="Verdana" w:cs="Arial"/>
          <w:lang w:eastAsia="es-CO"/>
        </w:rPr>
        <w:t xml:space="preserve">”. </w:t>
      </w:r>
    </w:p>
    <w:p w14:paraId="2843B3FC" w14:textId="77777777" w:rsidR="00741367" w:rsidRDefault="00741367" w:rsidP="00741367">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De esta manera, conforme a lo dispuesto en la Circular referida, si se suscriben </w:t>
      </w:r>
      <w:r>
        <w:rPr>
          <w:rFonts w:ascii="Verdana" w:eastAsia="Times New Roman" w:hAnsi="Verdana" w:cs="Arial"/>
          <w:i/>
          <w:iCs/>
          <w:lang w:eastAsia="es-CO"/>
        </w:rPr>
        <w:t>convenios interadministrativos para la ejecución de recursos públicos</w:t>
      </w:r>
      <w:r>
        <w:rPr>
          <w:rFonts w:ascii="Verdana" w:eastAsia="Times New Roman" w:hAnsi="Verdana" w:cs="Arial"/>
          <w:lang w:eastAsia="es-CO"/>
        </w:rPr>
        <w:t xml:space="preserve"> </w:t>
      </w:r>
      <w:r>
        <w:rPr>
          <w:rFonts w:ascii="Verdana" w:eastAsia="Times New Roman" w:hAnsi="Verdana" w:cs="Arial"/>
          <w:lang w:eastAsia="es-CO"/>
        </w:rPr>
        <w:lastRenderedPageBreak/>
        <w:t xml:space="preserve">por los alcaldes, gobernadores, secretarios, gerentes y directores de las entidades del orden municipal, departamental o distrital, aplicará la prohibición del parágrafo del artículo 38 </w:t>
      </w:r>
      <w:r>
        <w:rPr>
          <w:rFonts w:ascii="Verdana" w:eastAsia="Times New Roman" w:hAnsi="Verdana" w:cs="Arial"/>
          <w:i/>
          <w:iCs/>
          <w:lang w:eastAsia="es-CO"/>
        </w:rPr>
        <w:t>ibidem</w:t>
      </w:r>
      <w:r>
        <w:rPr>
          <w:rFonts w:ascii="Verdana" w:eastAsia="Times New Roman" w:hAnsi="Verdana" w:cs="Arial"/>
          <w:lang w:eastAsia="es-CO"/>
        </w:rPr>
        <w:t>, independientemente de que se configure alguno de los supuestos de excepción que señaló el inciso final del artículo 33, es decir, que se trate de:</w:t>
      </w:r>
      <w:r>
        <w:rPr>
          <w:rFonts w:ascii="Verdana" w:hAnsi="Verdana" w:cs="Arial"/>
          <w:bCs/>
          <w:lang w:val="es-MX" w:eastAsia="x-none"/>
        </w:rPr>
        <w:t xml:space="preserve"> i) la defensa y seguridad del Estado; </w:t>
      </w:r>
      <w:proofErr w:type="spellStart"/>
      <w:r>
        <w:rPr>
          <w:rFonts w:ascii="Verdana" w:hAnsi="Verdana" w:cs="Arial"/>
          <w:bCs/>
          <w:lang w:val="es-MX" w:eastAsia="x-none"/>
        </w:rPr>
        <w:t>ii</w:t>
      </w:r>
      <w:proofErr w:type="spellEnd"/>
      <w:r>
        <w:rPr>
          <w:rFonts w:ascii="Verdana" w:hAnsi="Verdana" w:cs="Arial"/>
          <w:bCs/>
          <w:lang w:val="es-MX" w:eastAsia="x-none"/>
        </w:rPr>
        <w:t xml:space="preserve">) los contratos de crédito público; </w:t>
      </w:r>
      <w:proofErr w:type="spellStart"/>
      <w:r>
        <w:rPr>
          <w:rFonts w:ascii="Verdana" w:hAnsi="Verdana" w:cs="Arial"/>
          <w:bCs/>
          <w:lang w:val="es-MX" w:eastAsia="x-none"/>
        </w:rPr>
        <w:t>iii</w:t>
      </w:r>
      <w:proofErr w:type="spellEnd"/>
      <w:r>
        <w:rPr>
          <w:rFonts w:ascii="Verdana" w:hAnsi="Verdana" w:cs="Arial"/>
          <w:bCs/>
          <w:lang w:val="es-MX" w:eastAsia="x-none"/>
        </w:rPr>
        <w:t xml:space="preserve">) los requeridos para cubrir las emergencias educativas, sanitarias y desastres; </w:t>
      </w:r>
      <w:proofErr w:type="spellStart"/>
      <w:r>
        <w:rPr>
          <w:rFonts w:ascii="Verdana" w:hAnsi="Verdana" w:cs="Arial"/>
          <w:bCs/>
          <w:lang w:val="es-MX" w:eastAsia="x-none"/>
        </w:rPr>
        <w:t>iv</w:t>
      </w:r>
      <w:proofErr w:type="spellEnd"/>
      <w:r>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w:t>
      </w:r>
      <w:r>
        <w:rPr>
          <w:rFonts w:ascii="Verdana" w:eastAsia="Times New Roman" w:hAnsi="Verdana" w:cs="Arial"/>
          <w:lang w:eastAsia="es-CO"/>
        </w:rPr>
        <w:t xml:space="preserve">  </w:t>
      </w:r>
    </w:p>
    <w:p w14:paraId="485C8C69" w14:textId="77777777" w:rsidR="00741367" w:rsidRDefault="00741367" w:rsidP="00741367">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En este punto, teniendo en cuenta lo señalado en el contenido de su petición, vale la pena destacar </w:t>
      </w:r>
      <w:proofErr w:type="gramStart"/>
      <w:r>
        <w:rPr>
          <w:rFonts w:ascii="Verdana" w:eastAsia="Times New Roman" w:hAnsi="Verdana" w:cs="Arial"/>
          <w:lang w:eastAsia="es-CO"/>
        </w:rPr>
        <w:t>que</w:t>
      </w:r>
      <w:proofErr w:type="gramEnd"/>
      <w:r>
        <w:rPr>
          <w:rFonts w:ascii="Verdana" w:eastAsia="Times New Roman" w:hAnsi="Verdana" w:cs="Arial"/>
          <w:lang w:eastAsia="es-CO"/>
        </w:rPr>
        <w:t xml:space="preserve"> </w:t>
      </w:r>
      <w:r>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Pr>
          <w:rFonts w:ascii="Verdana" w:hAnsi="Verdana" w:cs="Arial"/>
        </w:rPr>
        <w:t>numeral 16.2 de la Circular Externa Única de 2022 expedida por la Agencia Nacional de Contratación Pública – Colombia Compra Eficiente, concretamente, respecto de los siguientes apartes normativos</w:t>
      </w:r>
      <w:r>
        <w:rPr>
          <w:rFonts w:ascii="Verdana" w:hAnsi="Verdana" w:cs="Arial"/>
          <w:vertAlign w:val="superscript"/>
        </w:rPr>
        <w:footnoteReference w:id="29"/>
      </w:r>
      <w:r>
        <w:rPr>
          <w:rFonts w:ascii="Verdana" w:hAnsi="Verdana" w:cs="Arial"/>
        </w:rPr>
        <w:t xml:space="preserve">: </w:t>
      </w:r>
    </w:p>
    <w:p w14:paraId="21836506" w14:textId="77777777" w:rsidR="00741367" w:rsidRDefault="00741367" w:rsidP="00741367">
      <w:pPr>
        <w:spacing w:after="0" w:line="276" w:lineRule="auto"/>
        <w:ind w:firstLine="709"/>
        <w:jc w:val="both"/>
        <w:rPr>
          <w:rFonts w:ascii="Verdana" w:hAnsi="Verdana" w:cs="Arial"/>
        </w:rPr>
      </w:pPr>
    </w:p>
    <w:p w14:paraId="48C75898" w14:textId="77777777" w:rsidR="00741367" w:rsidRDefault="00741367" w:rsidP="00741367">
      <w:pPr>
        <w:spacing w:after="120" w:line="240" w:lineRule="auto"/>
        <w:ind w:left="709" w:right="709"/>
        <w:jc w:val="both"/>
        <w:rPr>
          <w:rFonts w:ascii="Verdana" w:hAnsi="Verdana" w:cs="Arial"/>
          <w:sz w:val="20"/>
          <w:szCs w:val="20"/>
        </w:rPr>
      </w:pPr>
      <w:r>
        <w:rPr>
          <w:rFonts w:ascii="Verdana" w:hAnsi="Verdana" w:cs="Arial"/>
          <w:sz w:val="20"/>
          <w:szCs w:val="20"/>
          <w:lang w:val="es-MX"/>
        </w:rPr>
        <w:t>“i)</w:t>
      </w:r>
      <w:r>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29E88A7" w14:textId="77777777" w:rsidR="00741367" w:rsidRDefault="00741367" w:rsidP="00741367">
      <w:pPr>
        <w:spacing w:after="0" w:line="240" w:lineRule="auto"/>
        <w:ind w:left="709" w:right="709"/>
        <w:jc w:val="both"/>
        <w:rPr>
          <w:rFonts w:ascii="Verdana" w:hAnsi="Verdana" w:cs="Arial"/>
          <w:sz w:val="20"/>
          <w:szCs w:val="20"/>
        </w:rPr>
      </w:pPr>
      <w:proofErr w:type="spellStart"/>
      <w:r>
        <w:rPr>
          <w:rFonts w:ascii="Verdana" w:hAnsi="Verdana" w:cs="Arial"/>
          <w:sz w:val="20"/>
          <w:szCs w:val="20"/>
        </w:rPr>
        <w:t>ii</w:t>
      </w:r>
      <w:proofErr w:type="spellEnd"/>
      <w:r>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6ED2272" w14:textId="77777777" w:rsidR="00741367" w:rsidRDefault="00741367" w:rsidP="00741367">
      <w:pPr>
        <w:spacing w:after="0" w:line="276" w:lineRule="auto"/>
        <w:ind w:left="709" w:right="709"/>
        <w:jc w:val="both"/>
        <w:rPr>
          <w:rFonts w:ascii="Verdana" w:hAnsi="Verdana" w:cs="Arial"/>
        </w:rPr>
      </w:pPr>
    </w:p>
    <w:p w14:paraId="424F3699" w14:textId="77777777" w:rsidR="00741367" w:rsidRDefault="00741367" w:rsidP="00741367">
      <w:pPr>
        <w:spacing w:after="120" w:line="276" w:lineRule="auto"/>
        <w:ind w:firstLine="709"/>
        <w:jc w:val="both"/>
        <w:rPr>
          <w:rFonts w:ascii="Verdana" w:eastAsia="Arial" w:hAnsi="Verdana" w:cs="Arial"/>
          <w:i/>
          <w:iCs/>
          <w:lang w:eastAsia="es-ES" w:bidi="es-ES"/>
        </w:rPr>
      </w:pPr>
      <w:r>
        <w:rPr>
          <w:rFonts w:ascii="Verdana" w:eastAsia="Arial" w:hAnsi="Verdana" w:cs="Arial"/>
          <w:lang w:val="es-MX" w:eastAsia="es-ES" w:bidi="es-ES"/>
        </w:rPr>
        <w:lastRenderedPageBreak/>
        <w:t xml:space="preserve">De conformidad con los argumentos de dicha providencia, se parte de la distinción entre los conceptos </w:t>
      </w:r>
      <w:r>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Pr>
          <w:rFonts w:ascii="Verdana" w:hAnsi="Verdana"/>
          <w:sz w:val="24"/>
          <w:szCs w:val="24"/>
          <w:lang w:eastAsia="es-CO"/>
        </w:rPr>
        <w:t xml:space="preserve"> </w:t>
      </w:r>
      <w:r>
        <w:rPr>
          <w:rFonts w:ascii="Verdana" w:eastAsia="Arial" w:hAnsi="Verdana" w:cs="Arial"/>
          <w:lang w:eastAsia="es-ES" w:bidi="es-ES"/>
        </w:rPr>
        <w:t xml:space="preserve">En este sentido, en relación con el parágrafo del artículo 38 de la Ley 996 de 2005 concluyó que </w:t>
      </w:r>
      <w:r>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Pr>
          <w:rFonts w:ascii="Verdana" w:eastAsia="Arial" w:hAnsi="Verdana" w:cs="Arial"/>
          <w:i/>
          <w:iCs/>
          <w:lang w:eastAsia="es-ES" w:bidi="es-ES"/>
        </w:rPr>
        <w:t xml:space="preserve">. </w:t>
      </w:r>
    </w:p>
    <w:p w14:paraId="73EE547C" w14:textId="77777777" w:rsidR="00741367" w:rsidRDefault="00741367" w:rsidP="00741367">
      <w:pPr>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De igual manera, mediante auto del 6 de noviembre de 2025, el Consejo de Estado, Subsección A de la Sección Tercera, decretó</w:t>
      </w:r>
      <w:r>
        <w:rPr>
          <w:rFonts w:ascii="Verdana" w:eastAsia="Arial" w:hAnsi="Verdana" w:cs="Arial"/>
          <w:b/>
          <w:bCs/>
          <w:lang w:eastAsia="es-ES" w:bidi="es-ES"/>
        </w:rPr>
        <w:t xml:space="preserve"> </w:t>
      </w:r>
      <w:r>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Pr>
          <w:rFonts w:ascii="Verdana" w:eastAsia="Arial" w:hAnsi="Verdana" w:cs="Arial"/>
          <w:vertAlign w:val="superscript"/>
          <w:lang w:eastAsia="es-ES" w:bidi="es-ES"/>
        </w:rPr>
        <w:footnoteReference w:id="30"/>
      </w:r>
      <w:r>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w:t>
      </w:r>
      <w:r>
        <w:rPr>
          <w:rFonts w:ascii="Verdana" w:eastAsia="Arial" w:hAnsi="Verdana" w:cs="Arial"/>
          <w:lang w:eastAsia="es-ES" w:bidi="es-ES"/>
        </w:rPr>
        <w:lastRenderedPageBreak/>
        <w:t xml:space="preserve">2005, por manera que se excluye la analogía </w:t>
      </w:r>
      <w:proofErr w:type="spellStart"/>
      <w:r>
        <w:rPr>
          <w:rFonts w:ascii="Verdana" w:eastAsia="Arial" w:hAnsi="Verdana" w:cs="Arial"/>
          <w:lang w:eastAsia="es-ES" w:bidi="es-ES"/>
        </w:rPr>
        <w:t>legis</w:t>
      </w:r>
      <w:proofErr w:type="spellEnd"/>
      <w:r>
        <w:rPr>
          <w:rFonts w:ascii="Verdana" w:eastAsia="Arial" w:hAnsi="Verdana" w:cs="Arial"/>
          <w:lang w:eastAsia="es-ES" w:bidi="es-ES"/>
        </w:rPr>
        <w:t xml:space="preserve"> o iuris y la interpretación extensiva y reiteró los argumentos sobre la diferencia entre contratos y convenios interadministrativos. </w:t>
      </w:r>
    </w:p>
    <w:p w14:paraId="192C0F23" w14:textId="77777777" w:rsidR="00741367" w:rsidRDefault="00741367" w:rsidP="00741367">
      <w:pPr>
        <w:spacing w:after="120" w:line="276" w:lineRule="auto"/>
        <w:ind w:firstLine="709"/>
        <w:jc w:val="both"/>
        <w:rPr>
          <w:rFonts w:ascii="Verdana" w:eastAsia="Times New Roman" w:hAnsi="Verdana" w:cs="Times New Roman"/>
          <w:lang w:eastAsia="es-ES"/>
        </w:rPr>
      </w:pPr>
      <w:r>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4A4D6F61" w14:textId="77777777" w:rsidR="00741367" w:rsidRDefault="00741367" w:rsidP="00741367">
      <w:pPr>
        <w:spacing w:after="120" w:line="276" w:lineRule="auto"/>
        <w:ind w:firstLine="709"/>
        <w:jc w:val="both"/>
        <w:rPr>
          <w:rFonts w:ascii="Verdana" w:eastAsia="Times New Roman" w:hAnsi="Verdana" w:cs="Times New Roman"/>
          <w:lang w:eastAsia="es-ES"/>
        </w:rPr>
      </w:pPr>
      <w:r>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Pr>
          <w:rStyle w:val="Refdenotaalpie"/>
          <w:rFonts w:ascii="Verdana" w:eastAsia="Times New Roman" w:hAnsi="Verdana" w:cs="Times New Roman"/>
          <w:lang w:eastAsia="es-ES"/>
        </w:rPr>
        <w:footnoteReference w:id="31"/>
      </w:r>
      <w:r>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7B6C8E3" w14:textId="77777777" w:rsidR="00741367" w:rsidRDefault="00741367" w:rsidP="00741367">
      <w:pPr>
        <w:spacing w:after="0" w:line="276" w:lineRule="auto"/>
        <w:ind w:firstLine="709"/>
        <w:jc w:val="both"/>
        <w:rPr>
          <w:rFonts w:ascii="Verdana" w:eastAsia="Times New Roman" w:hAnsi="Verdana" w:cs="Arial"/>
          <w:lang w:eastAsia="es-CO"/>
        </w:rPr>
      </w:pPr>
      <w:r>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w:t>
      </w:r>
      <w:r>
        <w:rPr>
          <w:rFonts w:ascii="Verdana" w:eastAsia="Times New Roman" w:hAnsi="Verdana" w:cs="Arial"/>
          <w:lang w:eastAsia="es-CO"/>
        </w:rPr>
        <w:lastRenderedPageBreak/>
        <w:t xml:space="preserve">octubre de 2025, en los autos del 4 de octubre de 2024 y 6 de noviembre de 2025, no resultaría aplicable la prohibición del parágrafo del artículo 38 de la Ley de Garantías Electorales a los </w:t>
      </w:r>
      <w:r>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2"/>
      </w:r>
      <w:r>
        <w:rPr>
          <w:rFonts w:ascii="Verdana" w:eastAsia="Times New Roman" w:hAnsi="Verdana" w:cs="Arial"/>
          <w:lang w:eastAsia="es-CO"/>
        </w:rPr>
        <w:t>.</w:t>
      </w:r>
    </w:p>
    <w:p w14:paraId="5A456E7A" w14:textId="77777777" w:rsidR="00741367" w:rsidRDefault="00741367" w:rsidP="00741367">
      <w:pPr>
        <w:spacing w:after="0" w:line="276" w:lineRule="auto"/>
        <w:jc w:val="both"/>
        <w:rPr>
          <w:rFonts w:ascii="Verdana" w:eastAsia="Arial" w:hAnsi="Verdana" w:cs="Arial"/>
          <w:lang w:val="es-ES" w:eastAsia="es-ES" w:bidi="es-ES"/>
        </w:rPr>
      </w:pPr>
    </w:p>
    <w:p w14:paraId="34AC1922" w14:textId="77777777" w:rsidR="00741367" w:rsidRDefault="00741367" w:rsidP="00741367">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vi.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94D0CE3" w14:textId="77777777" w:rsidR="00741367" w:rsidRDefault="00741367" w:rsidP="00741367">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BF42AA5" w14:textId="77777777" w:rsidR="00741367" w:rsidRDefault="00741367" w:rsidP="00741367">
      <w:pPr>
        <w:tabs>
          <w:tab w:val="left" w:pos="709"/>
        </w:tabs>
        <w:spacing w:after="0" w:line="276" w:lineRule="auto"/>
        <w:jc w:val="both"/>
        <w:rPr>
          <w:rFonts w:ascii="Verdana" w:eastAsia="Calibri" w:hAnsi="Verdana" w:cs="Arial"/>
          <w:color w:val="000000" w:themeColor="text1"/>
        </w:rPr>
      </w:pPr>
    </w:p>
    <w:p w14:paraId="5114CF09" w14:textId="77777777" w:rsidR="00741367" w:rsidRDefault="00741367" w:rsidP="00741367">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p>
    <w:p w14:paraId="265776F8" w14:textId="77777777" w:rsidR="00741367" w:rsidRDefault="00741367" w:rsidP="00741367">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41367" w14:paraId="302ADAE1" w14:textId="77777777" w:rsidTr="00EB2A51">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047BD4C0" w14:textId="77777777" w:rsidR="00741367" w:rsidRDefault="00741367" w:rsidP="00741367">
            <w:pPr>
              <w:pStyle w:val="Prrafodelista"/>
              <w:widowControl w:val="0"/>
              <w:numPr>
                <w:ilvl w:val="0"/>
                <w:numId w:val="19"/>
              </w:numPr>
              <w:autoSpaceDE w:val="0"/>
              <w:autoSpaceDN w:val="0"/>
              <w:spacing w:after="120" w:line="276" w:lineRule="auto"/>
              <w:ind w:left="714" w:hanging="357"/>
              <w:jc w:val="both"/>
              <w:rPr>
                <w:rFonts w:ascii="Verdana" w:hAnsi="Verdana" w:cs="Arial"/>
              </w:rPr>
            </w:pPr>
            <w:r>
              <w:rPr>
                <w:rFonts w:ascii="Verdana" w:hAnsi="Verdana" w:cs="Arial"/>
              </w:rPr>
              <w:t>Constitución Política de Colombia, artículos 6, 127, 190 y 197.</w:t>
            </w:r>
          </w:p>
          <w:p w14:paraId="1D9D7643" w14:textId="77777777" w:rsidR="00741367" w:rsidRDefault="00741367" w:rsidP="00741367">
            <w:pPr>
              <w:pStyle w:val="Prrafodelista"/>
              <w:widowControl w:val="0"/>
              <w:numPr>
                <w:ilvl w:val="0"/>
                <w:numId w:val="19"/>
              </w:numPr>
              <w:autoSpaceDE w:val="0"/>
              <w:autoSpaceDN w:val="0"/>
              <w:spacing w:after="120" w:line="276" w:lineRule="auto"/>
              <w:ind w:left="714" w:hanging="357"/>
              <w:jc w:val="both"/>
              <w:rPr>
                <w:rFonts w:ascii="Verdana" w:hAnsi="Verdana" w:cs="Arial"/>
              </w:rPr>
            </w:pPr>
            <w:r>
              <w:rPr>
                <w:rFonts w:ascii="Verdana" w:hAnsi="Verdana" w:cs="Arial"/>
              </w:rPr>
              <w:t>Ley 80 de 1993, artículos 2 y 42.</w:t>
            </w:r>
          </w:p>
          <w:p w14:paraId="3CCE97C5" w14:textId="77777777" w:rsidR="00741367" w:rsidRDefault="00741367" w:rsidP="00741367">
            <w:pPr>
              <w:pStyle w:val="Prrafodelista"/>
              <w:widowControl w:val="0"/>
              <w:numPr>
                <w:ilvl w:val="0"/>
                <w:numId w:val="19"/>
              </w:numPr>
              <w:autoSpaceDE w:val="0"/>
              <w:autoSpaceDN w:val="0"/>
              <w:spacing w:after="120" w:line="276" w:lineRule="auto"/>
              <w:ind w:left="714" w:hanging="357"/>
              <w:jc w:val="both"/>
              <w:rPr>
                <w:rFonts w:ascii="Verdana" w:hAnsi="Verdana" w:cs="Arial"/>
              </w:rPr>
            </w:pPr>
            <w:r>
              <w:rPr>
                <w:rFonts w:ascii="Verdana" w:hAnsi="Verdana" w:cs="Arial"/>
              </w:rPr>
              <w:t>Ley 996 de 2005, artículos 33 y 38.</w:t>
            </w:r>
          </w:p>
          <w:p w14:paraId="5CA13994" w14:textId="77777777" w:rsidR="00741367" w:rsidRPr="002B72D5" w:rsidRDefault="00741367" w:rsidP="00741367">
            <w:pPr>
              <w:pStyle w:val="Prrafodelista"/>
              <w:widowControl w:val="0"/>
              <w:numPr>
                <w:ilvl w:val="0"/>
                <w:numId w:val="19"/>
              </w:numPr>
              <w:autoSpaceDE w:val="0"/>
              <w:autoSpaceDN w:val="0"/>
              <w:spacing w:after="120" w:line="276" w:lineRule="auto"/>
              <w:ind w:left="714" w:hanging="357"/>
              <w:jc w:val="both"/>
              <w:rPr>
                <w:rFonts w:ascii="Verdana" w:hAnsi="Verdana" w:cs="Arial"/>
              </w:rPr>
            </w:pPr>
            <w:r>
              <w:rPr>
                <w:rFonts w:ascii="Verdana" w:hAnsi="Verdana" w:cs="Arial"/>
              </w:rPr>
              <w:t>Ley 1150 de 2007, artículo 2.</w:t>
            </w:r>
          </w:p>
        </w:tc>
      </w:tr>
    </w:tbl>
    <w:p w14:paraId="771BA3BB" w14:textId="77777777" w:rsidR="00741367" w:rsidRDefault="00741367" w:rsidP="00741367">
      <w:pPr>
        <w:widowControl w:val="0"/>
        <w:autoSpaceDE w:val="0"/>
        <w:autoSpaceDN w:val="0"/>
        <w:spacing w:after="0" w:line="276" w:lineRule="auto"/>
        <w:jc w:val="both"/>
        <w:rPr>
          <w:rFonts w:ascii="Verdana" w:hAnsi="Verdana" w:cs="Arial"/>
        </w:rPr>
      </w:pPr>
    </w:p>
    <w:p w14:paraId="7A652D66" w14:textId="77777777" w:rsidR="00741367" w:rsidRDefault="00741367" w:rsidP="00741367">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68B949F" w14:textId="77777777" w:rsidR="00741367" w:rsidRDefault="00741367" w:rsidP="00741367">
      <w:pPr>
        <w:widowControl w:val="0"/>
        <w:autoSpaceDE w:val="0"/>
        <w:autoSpaceDN w:val="0"/>
        <w:spacing w:after="0" w:line="276" w:lineRule="auto"/>
        <w:jc w:val="both"/>
        <w:rPr>
          <w:rFonts w:ascii="Verdana" w:hAnsi="Verdana" w:cs="Arial"/>
        </w:rPr>
      </w:pPr>
    </w:p>
    <w:p w14:paraId="03D16744" w14:textId="77777777" w:rsidR="00741367" w:rsidRDefault="00741367" w:rsidP="00741367">
      <w:pPr>
        <w:widowControl w:val="0"/>
        <w:autoSpaceDE w:val="0"/>
        <w:autoSpaceDN w:val="0"/>
        <w:spacing w:after="0" w:line="276" w:lineRule="auto"/>
        <w:jc w:val="both"/>
        <w:rPr>
          <w:rStyle w:val="normaltextrun"/>
          <w:shd w:val="clear" w:color="auto" w:fill="FFFFFF"/>
        </w:rPr>
      </w:pPr>
      <w:r>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y C-1350 del 1˚ de octubre de 2025</w:t>
      </w:r>
      <w:r>
        <w:rPr>
          <w:rFonts w:ascii="Verdana" w:hAnsi="Verdana"/>
        </w:rPr>
        <w:t>.</w:t>
      </w:r>
      <w:r>
        <w:rPr>
          <w:rFonts w:ascii="Verdana" w:hAnsi="Verdana" w:cs="Arial"/>
          <w:shd w:val="clear" w:color="auto" w:fill="FFFFFF"/>
        </w:rPr>
        <w:t xml:space="preserve"> Estos y otros </w:t>
      </w:r>
      <w:r>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3734478" w14:textId="77777777" w:rsidR="00741367" w:rsidRDefault="00741367" w:rsidP="00741367">
      <w:pPr>
        <w:widowControl w:val="0"/>
        <w:autoSpaceDE w:val="0"/>
        <w:autoSpaceDN w:val="0"/>
        <w:spacing w:after="0" w:line="276" w:lineRule="auto"/>
        <w:jc w:val="both"/>
        <w:rPr>
          <w:color w:val="000000" w:themeColor="text1"/>
        </w:rPr>
      </w:pPr>
    </w:p>
    <w:p w14:paraId="48165BE0" w14:textId="77777777" w:rsidR="00741367" w:rsidRDefault="00741367" w:rsidP="00741367">
      <w:pPr>
        <w:shd w:val="clear" w:color="auto" w:fill="FFFFFF"/>
        <w:spacing w:after="0" w:line="276" w:lineRule="auto"/>
        <w:jc w:val="both"/>
        <w:rPr>
          <w:rFonts w:ascii="Verdana" w:hAnsi="Verdana"/>
          <w:color w:val="467886"/>
          <w:u w:val="single"/>
        </w:rPr>
      </w:pPr>
      <w:r>
        <w:rPr>
          <w:rFonts w:ascii="Verdana" w:hAnsi="Verdana"/>
          <w:color w:val="000000"/>
        </w:rPr>
        <w:t>Te informamos que ya se encuentra disponible la </w:t>
      </w:r>
      <w:r>
        <w:rPr>
          <w:rFonts w:ascii="Verdana" w:hAnsi="Verdana"/>
          <w:b/>
          <w:bCs/>
          <w:color w:val="000000"/>
        </w:rPr>
        <w:t>Guía de lineamientos de transparencia y selección objetiva para el departamento de La Guajira – Objetivo sexto constitucional de la Sentencia T-302 del 2017. </w:t>
      </w:r>
      <w:r>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rPr>
        <w:t>Wayúu</w:t>
      </w:r>
      <w:proofErr w:type="spellEnd"/>
      <w:r>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1CCF87A1" w14:textId="77777777" w:rsidR="00741367" w:rsidRDefault="00741367" w:rsidP="00741367">
      <w:pPr>
        <w:widowControl w:val="0"/>
        <w:autoSpaceDE w:val="0"/>
        <w:autoSpaceDN w:val="0"/>
        <w:spacing w:after="0" w:line="276" w:lineRule="auto"/>
        <w:jc w:val="both"/>
        <w:rPr>
          <w:rFonts w:ascii="Verdana" w:hAnsi="Verdana" w:cs="Arial"/>
          <w:color w:val="000000" w:themeColor="text1"/>
          <w:shd w:val="clear" w:color="auto" w:fill="FFFFFF"/>
          <w:lang w:val="es-ES_tradnl"/>
        </w:rPr>
      </w:pPr>
      <w:r>
        <w:rPr>
          <w:rFonts w:ascii="Verdana" w:hAnsi="Verdana" w:cs="Arial"/>
          <w:color w:val="000000" w:themeColor="text1"/>
          <w:shd w:val="clear" w:color="auto" w:fill="FFFFFF"/>
          <w:lang w:val="es-ES_tradnl"/>
        </w:rPr>
        <w:t xml:space="preserve"> </w:t>
      </w:r>
    </w:p>
    <w:p w14:paraId="6092EA80" w14:textId="77777777" w:rsidR="00741367" w:rsidRDefault="00741367" w:rsidP="00741367">
      <w:pPr>
        <w:spacing w:after="0"/>
        <w:jc w:val="both"/>
        <w:rPr>
          <w:rFonts w:ascii="Verdana" w:hAnsi="Verdana"/>
        </w:rPr>
      </w:pPr>
      <w:r>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F3B277C" w14:textId="77777777" w:rsidR="00741367" w:rsidRDefault="00741367" w:rsidP="00741367">
      <w:pPr>
        <w:spacing w:after="0"/>
        <w:jc w:val="both"/>
        <w:rPr>
          <w:rFonts w:ascii="Verdana" w:hAnsi="Verdana"/>
        </w:rPr>
      </w:pPr>
    </w:p>
    <w:p w14:paraId="1B66AAF9" w14:textId="77777777" w:rsidR="00741367" w:rsidRDefault="00741367" w:rsidP="00741367">
      <w:pPr>
        <w:pStyle w:val="Prrafodelista"/>
        <w:numPr>
          <w:ilvl w:val="0"/>
          <w:numId w:val="20"/>
        </w:numPr>
        <w:spacing w:after="0" w:line="240" w:lineRule="auto"/>
        <w:jc w:val="both"/>
        <w:rPr>
          <w:rFonts w:ascii="Verdana" w:eastAsia="Verdana" w:hAnsi="Verdana" w:cs="Verdana"/>
          <w:color w:val="4472C4" w:themeColor="accent1"/>
          <w:u w:val="single"/>
          <w:lang w:val="es-MX"/>
        </w:rPr>
      </w:pPr>
      <w:r>
        <w:rPr>
          <w:rFonts w:ascii="Verdana" w:eastAsia="Verdana" w:hAnsi="Verdana" w:cs="Verdana"/>
          <w:lang w:val="es-MX"/>
        </w:rPr>
        <w:lastRenderedPageBreak/>
        <w:t xml:space="preserve">Línea nacional gratuita o servicio a la ciudadanía (Mesa de servicio): </w:t>
      </w:r>
      <w:r>
        <w:rPr>
          <w:rStyle w:val="Hipervnculo"/>
          <w:rFonts w:ascii="Verdana" w:hAnsi="Verdana"/>
        </w:rPr>
        <w:t>01800 0520808</w:t>
      </w:r>
    </w:p>
    <w:p w14:paraId="4CB9CDBA" w14:textId="77777777" w:rsidR="00741367" w:rsidRDefault="00741367" w:rsidP="00741367">
      <w:pPr>
        <w:pStyle w:val="Prrafodelista"/>
        <w:numPr>
          <w:ilvl w:val="0"/>
          <w:numId w:val="20"/>
        </w:numPr>
        <w:spacing w:after="0" w:line="256" w:lineRule="auto"/>
        <w:rPr>
          <w:rFonts w:ascii="Verdana" w:eastAsia="Verdana" w:hAnsi="Verdana" w:cs="Verdana"/>
          <w:color w:val="4472C4" w:themeColor="accent1"/>
          <w:u w:val="single"/>
          <w:lang w:val="es-MX"/>
        </w:rPr>
      </w:pPr>
      <w:r>
        <w:rPr>
          <w:rFonts w:ascii="Verdana" w:eastAsia="Verdana" w:hAnsi="Verdana" w:cs="Verdana"/>
          <w:lang w:val="es-MX"/>
        </w:rPr>
        <w:t>Línea en Bogotá (Mesa de servicio</w:t>
      </w:r>
      <w:proofErr w:type="gramStart"/>
      <w:r>
        <w:rPr>
          <w:rFonts w:ascii="Verdana" w:eastAsia="Verdana" w:hAnsi="Verdana" w:cs="Verdana"/>
          <w:lang w:val="es-MX"/>
        </w:rPr>
        <w:t>):</w:t>
      </w:r>
      <w:r>
        <w:rPr>
          <w:rStyle w:val="Hipervnculo"/>
          <w:rFonts w:ascii="Verdana" w:hAnsi="Verdana"/>
        </w:rPr>
        <w:t>+</w:t>
      </w:r>
      <w:proofErr w:type="gramEnd"/>
      <w:r>
        <w:rPr>
          <w:rStyle w:val="Hipervnculo"/>
          <w:rFonts w:ascii="Verdana" w:hAnsi="Verdana"/>
        </w:rPr>
        <w:t>57 601 7456788</w:t>
      </w:r>
    </w:p>
    <w:p w14:paraId="0F16260D" w14:textId="77777777" w:rsidR="00741367" w:rsidRDefault="00741367" w:rsidP="00741367">
      <w:pPr>
        <w:pStyle w:val="Prrafodelista"/>
        <w:numPr>
          <w:ilvl w:val="0"/>
          <w:numId w:val="20"/>
        </w:numPr>
        <w:spacing w:after="0" w:line="256" w:lineRule="auto"/>
        <w:rPr>
          <w:rFonts w:ascii="Verdana" w:eastAsia="Verdana" w:hAnsi="Verdana" w:cs="Verdana"/>
          <w:color w:val="0000FF"/>
          <w:u w:val="single"/>
          <w:lang w:val="es-MX"/>
        </w:rPr>
      </w:pPr>
      <w:r>
        <w:rPr>
          <w:rFonts w:ascii="Verdana" w:eastAsia="Verdana" w:hAnsi="Verdana" w:cs="Verdana"/>
          <w:lang w:val="es-MX"/>
        </w:rPr>
        <w:t xml:space="preserve">Correo de radicación de correspondencia: </w:t>
      </w:r>
      <w:hyperlink r:id="rId15" w:history="1">
        <w:r>
          <w:rPr>
            <w:rStyle w:val="Hipervnculo"/>
            <w:rFonts w:ascii="Verdana" w:eastAsia="Verdana" w:hAnsi="Verdana" w:cs="Verdana"/>
            <w:lang w:val="es-MX"/>
          </w:rPr>
          <w:t>ventanilladeradicacion@colombiacompra.gov.co</w:t>
        </w:r>
      </w:hyperlink>
    </w:p>
    <w:p w14:paraId="5FBE6D27" w14:textId="77777777" w:rsidR="00741367" w:rsidRDefault="00741367" w:rsidP="00741367">
      <w:pPr>
        <w:pStyle w:val="Prrafodelista"/>
        <w:numPr>
          <w:ilvl w:val="0"/>
          <w:numId w:val="20"/>
        </w:numPr>
        <w:spacing w:after="0" w:line="256" w:lineRule="auto"/>
        <w:rPr>
          <w:rFonts w:ascii="Verdana" w:eastAsia="Verdana" w:hAnsi="Verdana" w:cs="Verdana"/>
          <w:color w:val="0000FF"/>
          <w:u w:val="single"/>
          <w:lang w:val="es-MX"/>
        </w:rPr>
      </w:pPr>
      <w:r>
        <w:rPr>
          <w:rFonts w:ascii="Verdana" w:eastAsia="Verdana" w:hAnsi="Verdana" w:cs="Verdana"/>
        </w:rPr>
        <w:t xml:space="preserve">Formulario web para PQRSD: </w:t>
      </w:r>
      <w:hyperlink r:id="rId16" w:history="1">
        <w:r>
          <w:rPr>
            <w:rStyle w:val="Hipervnculo"/>
            <w:rFonts w:ascii="Verdana" w:eastAsia="Verdana" w:hAnsi="Verdana" w:cs="Verdana"/>
            <w:lang w:val="es-MX"/>
          </w:rPr>
          <w:t>https://www.colombiacompra.gov.co/pqrsd/informacion-importante-antes-de-formular-una-pqrsd</w:t>
        </w:r>
      </w:hyperlink>
    </w:p>
    <w:p w14:paraId="276E665C" w14:textId="77777777" w:rsidR="00741367" w:rsidRDefault="00741367" w:rsidP="00741367">
      <w:pPr>
        <w:spacing w:after="0" w:line="240" w:lineRule="auto"/>
        <w:ind w:left="720"/>
        <w:jc w:val="both"/>
        <w:rPr>
          <w:rFonts w:ascii="Verdana" w:hAnsi="Verdana"/>
        </w:rPr>
      </w:pPr>
    </w:p>
    <w:p w14:paraId="51598E32" w14:textId="77777777" w:rsidR="00741367" w:rsidRDefault="00741367" w:rsidP="00741367">
      <w:pPr>
        <w:spacing w:after="0" w:line="240" w:lineRule="auto"/>
        <w:rPr>
          <w:rFonts w:ascii="Verdana" w:hAnsi="Verdana"/>
        </w:rPr>
      </w:pPr>
      <w:r>
        <w:rPr>
          <w:rFonts w:ascii="Verdana" w:hAnsi="Verdana"/>
        </w:rPr>
        <w:t xml:space="preserve">Evalúa el servicio que ofrece la Agencia por el canal de atención de PQRSD en el siguiente </w:t>
      </w:r>
      <w:proofErr w:type="gramStart"/>
      <w:r>
        <w:rPr>
          <w:rFonts w:ascii="Verdana" w:hAnsi="Verdana"/>
        </w:rPr>
        <w:t>enlace :</w:t>
      </w:r>
      <w:proofErr w:type="gramEnd"/>
      <w:hyperlink r:id="rId17" w:tgtFrame="_blank" w:tooltip="https://forms.office.com/r/pphywvs2sz" w:history="1">
        <w:r>
          <w:rPr>
            <w:rStyle w:val="Hipervnculo"/>
            <w:rFonts w:ascii="Verdana" w:hAnsi="Verdana"/>
          </w:rPr>
          <w:t>https://forms.office.com/r/pPHyWVs2SZ</w:t>
        </w:r>
      </w:hyperlink>
      <w:r>
        <w:rPr>
          <w:rFonts w:ascii="Verdana" w:hAnsi="Verdana"/>
        </w:rPr>
        <w:t xml:space="preserve"> .¡Ayúdanos a mejorar porque el compromiso es de todos!</w:t>
      </w:r>
    </w:p>
    <w:p w14:paraId="73B0E589" w14:textId="77777777" w:rsidR="00741367" w:rsidRDefault="00741367" w:rsidP="00741367">
      <w:pPr>
        <w:spacing w:after="0" w:line="240" w:lineRule="auto"/>
        <w:rPr>
          <w:rFonts w:ascii="Verdana" w:hAnsi="Verdana"/>
        </w:rPr>
      </w:pPr>
    </w:p>
    <w:p w14:paraId="64629CA6" w14:textId="77777777" w:rsidR="00741367" w:rsidRDefault="00741367" w:rsidP="00741367">
      <w:pPr>
        <w:spacing w:after="0" w:line="240" w:lineRule="auto"/>
        <w:jc w:val="both"/>
        <w:rPr>
          <w:rFonts w:ascii="Verdana" w:hAnsi="Verdana"/>
        </w:rPr>
      </w:pPr>
      <w:r>
        <w:rPr>
          <w:rFonts w:ascii="Verdana" w:hAnsi="Verdana"/>
        </w:rPr>
        <w:t xml:space="preserve">Por último, lo invitamos a seguirnos en las redes sociales en las cuales se difunde información institucional: </w:t>
      </w:r>
    </w:p>
    <w:p w14:paraId="36206B17" w14:textId="77777777" w:rsidR="00741367" w:rsidRDefault="00741367" w:rsidP="00741367">
      <w:pPr>
        <w:spacing w:after="0" w:line="240" w:lineRule="auto"/>
        <w:jc w:val="both"/>
        <w:rPr>
          <w:rFonts w:ascii="Verdana" w:hAnsi="Verdana"/>
        </w:rPr>
      </w:pPr>
    </w:p>
    <w:p w14:paraId="14B92295" w14:textId="77777777" w:rsidR="00741367" w:rsidRDefault="00741367" w:rsidP="00741367">
      <w:pPr>
        <w:spacing w:after="0" w:line="240" w:lineRule="auto"/>
        <w:jc w:val="both"/>
        <w:rPr>
          <w:rFonts w:ascii="Verdana" w:hAnsi="Verdana"/>
        </w:rPr>
      </w:pPr>
      <w:r>
        <w:rPr>
          <w:rFonts w:ascii="Verdana" w:hAnsi="Verdana"/>
        </w:rPr>
        <w:t xml:space="preserve">Twitter: </w:t>
      </w:r>
      <w:r>
        <w:rPr>
          <w:rStyle w:val="Hipervnculo"/>
          <w:rFonts w:ascii="Verdana" w:hAnsi="Verdana"/>
        </w:rPr>
        <w:t>@colombiacompra</w:t>
      </w:r>
      <w:r>
        <w:rPr>
          <w:rFonts w:ascii="Verdana" w:hAnsi="Verdana"/>
        </w:rPr>
        <w:t xml:space="preserve"> </w:t>
      </w:r>
    </w:p>
    <w:p w14:paraId="1D705DB6" w14:textId="77777777" w:rsidR="00741367" w:rsidRDefault="00741367" w:rsidP="00741367">
      <w:pPr>
        <w:spacing w:after="0" w:line="240" w:lineRule="auto"/>
        <w:jc w:val="both"/>
        <w:rPr>
          <w:rFonts w:ascii="Verdana" w:hAnsi="Verdana"/>
        </w:rPr>
      </w:pPr>
      <w:r>
        <w:rPr>
          <w:rFonts w:ascii="Verdana" w:hAnsi="Verdana"/>
        </w:rPr>
        <w:t xml:space="preserve">Facebook: </w:t>
      </w:r>
      <w:proofErr w:type="spellStart"/>
      <w:r>
        <w:rPr>
          <w:rStyle w:val="Hipervnculo"/>
          <w:rFonts w:ascii="Verdana" w:hAnsi="Verdana"/>
        </w:rPr>
        <w:t>ColombiaCompraEficiente</w:t>
      </w:r>
      <w:proofErr w:type="spellEnd"/>
    </w:p>
    <w:p w14:paraId="7AC7CFB4" w14:textId="77777777" w:rsidR="00741367" w:rsidRDefault="00741367" w:rsidP="00741367">
      <w:pPr>
        <w:spacing w:after="0" w:line="240" w:lineRule="auto"/>
        <w:jc w:val="both"/>
        <w:rPr>
          <w:rFonts w:ascii="Verdana" w:hAnsi="Verdana"/>
        </w:rPr>
      </w:pPr>
      <w:r>
        <w:rPr>
          <w:rFonts w:ascii="Verdana" w:hAnsi="Verdana"/>
        </w:rPr>
        <w:t xml:space="preserve">LinkedIn: </w:t>
      </w:r>
      <w:r>
        <w:rPr>
          <w:rStyle w:val="Hipervnculo"/>
          <w:rFonts w:ascii="Verdana" w:hAnsi="Verdana"/>
        </w:rPr>
        <w:t>Agencia Nacional de Contratación Pública - Colombia Compra Eficiente</w:t>
      </w:r>
      <w:r>
        <w:rPr>
          <w:rFonts w:ascii="Verdana" w:hAnsi="Verdana"/>
        </w:rPr>
        <w:t xml:space="preserve"> Instagram: </w:t>
      </w:r>
      <w:r>
        <w:rPr>
          <w:rStyle w:val="Hipervnculo"/>
          <w:rFonts w:ascii="Verdana" w:hAnsi="Verdana"/>
        </w:rPr>
        <w:t>@colombiacompraeficiente_cce</w:t>
      </w:r>
    </w:p>
    <w:p w14:paraId="5E781C42" w14:textId="77777777" w:rsidR="00741367" w:rsidRDefault="00741367" w:rsidP="00741367">
      <w:pPr>
        <w:widowControl w:val="0"/>
        <w:autoSpaceDE w:val="0"/>
        <w:autoSpaceDN w:val="0"/>
        <w:spacing w:after="120" w:line="276" w:lineRule="auto"/>
        <w:jc w:val="both"/>
        <w:rPr>
          <w:rFonts w:ascii="Verdana" w:hAnsi="Verdana" w:cs="Arial"/>
          <w:color w:val="FF0000"/>
          <w:shd w:val="clear" w:color="auto" w:fill="FFFFFF"/>
          <w:lang w:val="es-ES_tradnl"/>
        </w:rPr>
      </w:pPr>
      <w:r>
        <w:rPr>
          <w:rStyle w:val="normaltextrun"/>
          <w:rFonts w:ascii="Verdana" w:hAnsi="Verdana" w:cs="Arial"/>
          <w:color w:val="FF0000"/>
          <w:shd w:val="clear" w:color="auto" w:fill="FFFFFF"/>
          <w:lang w:val="es-ES_tradnl"/>
        </w:rPr>
        <w:t xml:space="preserve">        </w:t>
      </w:r>
    </w:p>
    <w:p w14:paraId="40E0F129" w14:textId="77777777" w:rsidR="00741367" w:rsidRDefault="00741367" w:rsidP="00741367">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10907BED" w14:textId="77777777" w:rsidR="00741367" w:rsidRDefault="00741367" w:rsidP="00741367">
      <w:pPr>
        <w:widowControl w:val="0"/>
        <w:autoSpaceDE w:val="0"/>
        <w:autoSpaceDN w:val="0"/>
        <w:spacing w:after="0" w:line="276" w:lineRule="auto"/>
        <w:jc w:val="both"/>
        <w:rPr>
          <w:rFonts w:ascii="Verdana" w:hAnsi="Verdana" w:cs="Arial"/>
          <w:lang w:val="es-ES_tradnl"/>
        </w:rPr>
      </w:pPr>
    </w:p>
    <w:p w14:paraId="11EEF842" w14:textId="77777777" w:rsidR="00741367" w:rsidRPr="00C55BDE" w:rsidRDefault="00741367" w:rsidP="00741367">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17B6C88E" w14:textId="77777777" w:rsidR="00741367" w:rsidRPr="00C55BDE" w:rsidRDefault="00741367" w:rsidP="00741367">
      <w:pPr>
        <w:widowControl w:val="0"/>
        <w:autoSpaceDE w:val="0"/>
        <w:autoSpaceDN w:val="0"/>
        <w:spacing w:after="0" w:line="276" w:lineRule="auto"/>
        <w:jc w:val="both"/>
        <w:rPr>
          <w:rFonts w:ascii="Verdana" w:hAnsi="Verdana" w:cs="Arial"/>
          <w:lang w:val="es-ES_tradnl"/>
        </w:rPr>
      </w:pPr>
    </w:p>
    <w:p w14:paraId="5A38BB7D" w14:textId="77777777" w:rsidR="00741367" w:rsidRPr="00C55BDE" w:rsidRDefault="00741367" w:rsidP="00741367">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4D7D8453" w14:textId="56F2D209" w:rsidR="00741367" w:rsidRDefault="008C4EBC" w:rsidP="00741367">
      <w:pPr>
        <w:spacing w:line="276" w:lineRule="auto"/>
        <w:jc w:val="center"/>
        <w:rPr>
          <w:rFonts w:ascii="Verdana" w:eastAsia="Calibri" w:hAnsi="Verdana" w:cs="Arial"/>
          <w:color w:val="000000"/>
          <w:lang w:val="es-ES_tradnl" w:eastAsia="es-CO"/>
        </w:rPr>
      </w:pPr>
      <w:r w:rsidRPr="002C3AD6">
        <w:rPr>
          <w:rFonts w:ascii="Century Gothic" w:hAnsi="Century Gothic"/>
          <w:noProof/>
        </w:rPr>
        <w:lastRenderedPageBreak/>
        <w:drawing>
          <wp:inline distT="0" distB="0" distL="0" distR="0" wp14:anchorId="3C70867A" wp14:editId="43E3BCAE">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318444"/>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741367" w14:paraId="12A3DE52" w14:textId="77777777" w:rsidTr="00EB2A51">
        <w:trPr>
          <w:trHeight w:val="315"/>
        </w:trPr>
        <w:tc>
          <w:tcPr>
            <w:tcW w:w="893" w:type="dxa"/>
            <w:vAlign w:val="center"/>
            <w:hideMark/>
          </w:tcPr>
          <w:p w14:paraId="634A3CCA" w14:textId="77777777" w:rsidR="00741367" w:rsidRDefault="00741367" w:rsidP="00EB2A51">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20B0D04" w14:textId="77777777" w:rsidR="00741367" w:rsidRDefault="00741367" w:rsidP="00EB2A51">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6CFF210D" w14:textId="77777777" w:rsidR="00741367" w:rsidRDefault="00741367" w:rsidP="00EB2A51">
            <w:pPr>
              <w:spacing w:after="255" w:line="254" w:lineRule="auto"/>
              <w:contextualSpacing/>
              <w:rPr>
                <w:rFonts w:ascii="Verdana" w:hAnsi="Verdana"/>
                <w:sz w:val="16"/>
                <w:szCs w:val="16"/>
              </w:rPr>
            </w:pPr>
            <w:r>
              <w:rPr>
                <w:rFonts w:ascii="Verdana" w:eastAsia="Calibri" w:hAnsi="Verdana" w:cs="Times New Roman"/>
                <w:sz w:val="16"/>
                <w:szCs w:val="16"/>
              </w:rPr>
              <w:t>Contratista de la Subdirección de Gestión Contractual</w:t>
            </w:r>
          </w:p>
        </w:tc>
      </w:tr>
      <w:tr w:rsidR="00741367" w14:paraId="642DD678" w14:textId="77777777" w:rsidTr="00EB2A51">
        <w:trPr>
          <w:trHeight w:val="330"/>
        </w:trPr>
        <w:tc>
          <w:tcPr>
            <w:tcW w:w="893" w:type="dxa"/>
            <w:vAlign w:val="center"/>
            <w:hideMark/>
          </w:tcPr>
          <w:p w14:paraId="3394A72A" w14:textId="77777777" w:rsidR="00741367" w:rsidRDefault="00741367" w:rsidP="00EB2A51">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8DDB2A6" w14:textId="77777777" w:rsidR="00741367" w:rsidRDefault="00741367" w:rsidP="00EB2A51">
            <w:pPr>
              <w:spacing w:before="100" w:beforeAutospacing="1" w:after="100" w:afterAutospacing="1" w:line="254" w:lineRule="auto"/>
              <w:contextualSpacing/>
              <w:textAlignment w:val="baseline"/>
              <w:rPr>
                <w:rFonts w:ascii="Verdana" w:eastAsia="Times New Roman" w:hAnsi="Verdana"/>
                <w:sz w:val="16"/>
                <w:szCs w:val="16"/>
                <w:lang w:eastAsia="es-ES_tradnl"/>
              </w:rPr>
            </w:pPr>
            <w:r>
              <w:rPr>
                <w:rFonts w:ascii="Verdana" w:eastAsia="Times New Roman" w:hAnsi="Verdana"/>
                <w:sz w:val="16"/>
                <w:szCs w:val="16"/>
                <w:lang w:eastAsia="es-ES_tradnl"/>
              </w:rPr>
              <w:t>Alejandro Sarmiento Cantillo</w:t>
            </w:r>
          </w:p>
          <w:p w14:paraId="1C1B7395" w14:textId="77777777" w:rsidR="00741367" w:rsidRDefault="00741367" w:rsidP="00EB2A51">
            <w:pPr>
              <w:spacing w:after="255" w:line="254" w:lineRule="auto"/>
              <w:contextualSpacing/>
              <w:textAlignment w:val="baseline"/>
              <w:rPr>
                <w:rFonts w:ascii="Verdana" w:eastAsia="Times New Roman" w:hAnsi="Verdana" w:cs="Segoe UI"/>
                <w:sz w:val="16"/>
                <w:szCs w:val="16"/>
                <w:lang w:eastAsia="es-ES_tradnl"/>
              </w:rPr>
            </w:pPr>
            <w:r>
              <w:rPr>
                <w:rFonts w:ascii="Verdana" w:eastAsia="Times New Roman" w:hAnsi="Verdana"/>
                <w:sz w:val="16"/>
                <w:szCs w:val="16"/>
                <w:lang w:eastAsia="es-ES_tradnl"/>
              </w:rPr>
              <w:t>Gestor T1 ‒ 15 de la Subdirección de Gestión Contractual </w:t>
            </w:r>
          </w:p>
        </w:tc>
      </w:tr>
      <w:tr w:rsidR="00741367" w14:paraId="38B2ADFC" w14:textId="77777777" w:rsidTr="00EB2A51">
        <w:trPr>
          <w:trHeight w:val="300"/>
        </w:trPr>
        <w:tc>
          <w:tcPr>
            <w:tcW w:w="893" w:type="dxa"/>
            <w:vAlign w:val="center"/>
            <w:hideMark/>
          </w:tcPr>
          <w:p w14:paraId="4D89B467" w14:textId="77777777" w:rsidR="00741367" w:rsidRDefault="00741367" w:rsidP="00EB2A51">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DAA218" w14:textId="77777777" w:rsidR="00741367" w:rsidRDefault="00741367" w:rsidP="00EB2A51">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val="pt-BR" w:eastAsia="es-ES"/>
              </w:rPr>
              <w:t xml:space="preserve">Carolina Quintero </w:t>
            </w:r>
            <w:proofErr w:type="spellStart"/>
            <w:r>
              <w:rPr>
                <w:rFonts w:ascii="Verdana" w:eastAsia="Calibri" w:hAnsi="Verdana"/>
                <w:sz w:val="16"/>
                <w:szCs w:val="16"/>
                <w:lang w:val="pt-BR" w:eastAsia="es-ES"/>
              </w:rPr>
              <w:t>Gacharná</w:t>
            </w:r>
            <w:proofErr w:type="spellEnd"/>
          </w:p>
          <w:p w14:paraId="7C8941EA" w14:textId="77777777" w:rsidR="00741367" w:rsidRDefault="00741367" w:rsidP="00EB2A51">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eastAsia="es-ES"/>
              </w:rPr>
              <w:t>Subdirectora</w:t>
            </w:r>
            <w:r>
              <w:rPr>
                <w:rFonts w:ascii="Verdana" w:eastAsia="Calibri" w:hAnsi="Verdana"/>
                <w:sz w:val="16"/>
                <w:szCs w:val="16"/>
                <w:lang w:val="pt-BR" w:eastAsia="es-ES"/>
              </w:rPr>
              <w:t xml:space="preserve"> de Gestión Contratual ANCP – CCE</w:t>
            </w:r>
          </w:p>
        </w:tc>
      </w:tr>
    </w:tbl>
    <w:p w14:paraId="39C97FAD" w14:textId="77777777" w:rsidR="00741367" w:rsidRDefault="00741367" w:rsidP="00741367">
      <w:pPr>
        <w:spacing w:after="0" w:line="240" w:lineRule="auto"/>
        <w:rPr>
          <w:rFonts w:ascii="Verdana" w:eastAsia="Times New Roman" w:hAnsi="Verdana" w:cs="Arial"/>
          <w:sz w:val="24"/>
          <w:szCs w:val="24"/>
          <w:lang w:eastAsia="es-ES"/>
        </w:rPr>
      </w:pPr>
    </w:p>
    <w:p w14:paraId="0233F59B" w14:textId="77777777" w:rsidR="00741367" w:rsidRDefault="00741367" w:rsidP="00741367"/>
    <w:p w14:paraId="1E61E20D" w14:textId="77777777" w:rsidR="00741367" w:rsidRDefault="00741367" w:rsidP="00741367">
      <w:pPr>
        <w:spacing w:after="0" w:line="240" w:lineRule="auto"/>
        <w:rPr>
          <w:rFonts w:ascii="Verdana" w:eastAsia="Calibri" w:hAnsi="Verdana" w:cs="Arial"/>
          <w:b/>
          <w:bCs/>
          <w:lang w:val="es-ES" w:eastAsia="es-ES"/>
        </w:rPr>
      </w:pPr>
    </w:p>
    <w:p w14:paraId="2C29BCAE" w14:textId="77777777" w:rsidR="00741367" w:rsidRDefault="00741367" w:rsidP="00741367"/>
    <w:p w14:paraId="58383348" w14:textId="77777777" w:rsidR="00741367" w:rsidRPr="00C55BDE" w:rsidRDefault="00741367" w:rsidP="00741367">
      <w:pPr>
        <w:spacing w:after="0"/>
        <w:rPr>
          <w:rFonts w:ascii="Verdana" w:eastAsia="Times New Roman" w:hAnsi="Verdana" w:cs="Segoe UI"/>
          <w:lang w:val="es-ES" w:eastAsia="es-CO"/>
        </w:rPr>
      </w:pPr>
    </w:p>
    <w:p w14:paraId="7F142359" w14:textId="77777777" w:rsidR="00741367" w:rsidRPr="00B8352B" w:rsidRDefault="00741367" w:rsidP="00741367"/>
    <w:p w14:paraId="429D1780" w14:textId="77777777" w:rsidR="00741367" w:rsidRPr="00C55BDE" w:rsidRDefault="00741367" w:rsidP="00741367">
      <w:pPr>
        <w:spacing w:after="0"/>
        <w:rPr>
          <w:rFonts w:ascii="Verdana" w:hAnsi="Verdana"/>
        </w:rPr>
      </w:pPr>
    </w:p>
    <w:p w14:paraId="1F9B613E" w14:textId="77777777" w:rsidR="00741367" w:rsidRPr="003F1AC5" w:rsidRDefault="00741367" w:rsidP="00741367"/>
    <w:p w14:paraId="4E39E2E7" w14:textId="77777777" w:rsidR="00F80590" w:rsidRDefault="00F80590" w:rsidP="00C15139">
      <w:pPr>
        <w:spacing w:after="0"/>
        <w:rPr>
          <w:rFonts w:ascii="Verdana" w:hAnsi="Verdana"/>
        </w:rPr>
      </w:pPr>
    </w:p>
    <w:bookmarkEnd w:id="0"/>
    <w:p w14:paraId="4D307EB6" w14:textId="77777777" w:rsidR="00F80590" w:rsidRPr="00C55BDE" w:rsidRDefault="00F80590" w:rsidP="00C15139">
      <w:pPr>
        <w:spacing w:after="0"/>
        <w:rPr>
          <w:rFonts w:ascii="Verdana" w:hAnsi="Verdana"/>
        </w:rPr>
      </w:pPr>
    </w:p>
    <w:sectPr w:rsidR="00F80590" w:rsidRPr="00C55BD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F914E" w14:textId="77777777" w:rsidR="00EB713C" w:rsidRDefault="00EB713C" w:rsidP="004A1847">
      <w:pPr>
        <w:spacing w:after="0" w:line="240" w:lineRule="auto"/>
      </w:pPr>
      <w:r>
        <w:separator/>
      </w:r>
    </w:p>
  </w:endnote>
  <w:endnote w:type="continuationSeparator" w:id="0">
    <w:p w14:paraId="68A264D0" w14:textId="77777777" w:rsidR="00EB713C" w:rsidRDefault="00EB713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F6871" w14:textId="77777777" w:rsidR="00EB713C" w:rsidRDefault="00EB713C" w:rsidP="004A1847">
      <w:pPr>
        <w:spacing w:after="0" w:line="240" w:lineRule="auto"/>
      </w:pPr>
      <w:r>
        <w:separator/>
      </w:r>
    </w:p>
  </w:footnote>
  <w:footnote w:type="continuationSeparator" w:id="0">
    <w:p w14:paraId="4A18B74A" w14:textId="77777777" w:rsidR="00EB713C" w:rsidRDefault="00EB713C" w:rsidP="004A1847">
      <w:pPr>
        <w:spacing w:after="0" w:line="240" w:lineRule="auto"/>
      </w:pPr>
      <w:r>
        <w:continuationSeparator/>
      </w:r>
    </w:p>
  </w:footnote>
  <w:footnote w:id="1">
    <w:p w14:paraId="722E5E9F" w14:textId="77777777" w:rsidR="00741367" w:rsidRDefault="00741367" w:rsidP="0074136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7F0DB64" w14:textId="77777777" w:rsidR="00741367" w:rsidRDefault="00741367" w:rsidP="00741367">
      <w:pPr>
        <w:pStyle w:val="Textonotapie"/>
        <w:ind w:firstLine="709"/>
        <w:jc w:val="both"/>
        <w:rPr>
          <w:rFonts w:ascii="Verdana" w:hAnsi="Verdana" w:cs="Arial"/>
          <w:sz w:val="16"/>
          <w:szCs w:val="16"/>
        </w:rPr>
      </w:pPr>
      <w:r>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6E1D7F3D" w14:textId="77777777" w:rsidR="00741367" w:rsidRDefault="00741367" w:rsidP="0074136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Gaceta del Congreso de la República No. 71 del 2005.</w:t>
      </w:r>
    </w:p>
  </w:footnote>
  <w:footnote w:id="3">
    <w:p w14:paraId="7CA7475C" w14:textId="77777777" w:rsidR="00741367" w:rsidRDefault="00741367" w:rsidP="0074136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Corte Constitucional, Sentencia C- 1153 de 2005, M.P. Marco Gerardo Monroy Cabra.</w:t>
      </w:r>
    </w:p>
  </w:footnote>
  <w:footnote w:id="4">
    <w:p w14:paraId="38698C88" w14:textId="77777777" w:rsidR="00741367" w:rsidRDefault="00741367" w:rsidP="0074136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44411DD7" w14:textId="77777777" w:rsidR="00741367" w:rsidRDefault="00741367" w:rsidP="00741367">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1122922E" w14:textId="77777777" w:rsidR="00741367" w:rsidRDefault="00741367" w:rsidP="0074136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764EB6B7" w14:textId="77777777" w:rsidR="00741367" w:rsidRDefault="00741367" w:rsidP="00741367">
      <w:pPr>
        <w:spacing w:line="240" w:lineRule="auto"/>
        <w:ind w:firstLine="709"/>
        <w:contextualSpacing/>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6" w:name="33"/>
      <w:r>
        <w:rPr>
          <w:rFonts w:ascii="Verdana" w:eastAsia="Times New Roman" w:hAnsi="Verdana" w:cs="Arial"/>
          <w:sz w:val="16"/>
          <w:szCs w:val="16"/>
        </w:rPr>
        <w:t>Artículo 33. Restricciones a la contratación pública.</w:t>
      </w:r>
      <w:bookmarkEnd w:id="6"/>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4C479AD" w14:textId="77777777" w:rsidR="00741367" w:rsidRDefault="00741367" w:rsidP="00741367">
      <w:pPr>
        <w:spacing w:line="240" w:lineRule="auto"/>
        <w:ind w:firstLine="709"/>
        <w:contextualSpacing/>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8">
    <w:p w14:paraId="407CAA9A" w14:textId="77777777" w:rsidR="00741367" w:rsidRDefault="00741367" w:rsidP="00741367">
      <w:pPr>
        <w:pStyle w:val="NormalWeb"/>
        <w:spacing w:before="0" w:beforeAutospacing="0" w:after="0" w:afterAutospacing="0"/>
        <w:ind w:firstLine="709"/>
        <w:contextualSpacing/>
        <w:jc w:val="both"/>
        <w:rPr>
          <w:rFonts w:ascii="Verdana" w:hAnsi="Verdana" w:cs="Arial"/>
          <w:sz w:val="16"/>
          <w:szCs w:val="16"/>
          <w:lang w:val="es-MX"/>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7" w:name="38"/>
      <w:r>
        <w:rPr>
          <w:rFonts w:ascii="Verdana" w:hAnsi="Verdana" w:cs="Arial"/>
          <w:sz w:val="16"/>
          <w:szCs w:val="16"/>
          <w:lang w:val="es-MX"/>
        </w:rPr>
        <w:t>Artículo 38. Prohibiciones para los servidores públicos. A los empleados del Estado les está prohibido:</w:t>
      </w:r>
      <w:bookmarkEnd w:id="7"/>
    </w:p>
    <w:p w14:paraId="09A9BE19" w14:textId="77777777" w:rsidR="00741367" w:rsidRDefault="00741367" w:rsidP="00741367">
      <w:pPr>
        <w:pStyle w:val="NormalWeb"/>
        <w:spacing w:before="0" w:beforeAutospacing="0" w:after="0" w:afterAutospacing="0"/>
        <w:ind w:firstLine="709"/>
        <w:contextualSpacing/>
        <w:jc w:val="both"/>
        <w:rPr>
          <w:rFonts w:ascii="Verdana" w:hAnsi="Verdana" w:cs="Arial"/>
          <w:sz w:val="16"/>
          <w:szCs w:val="16"/>
          <w:lang w:val="es-MX"/>
        </w:rPr>
      </w:pPr>
      <w:r>
        <w:rPr>
          <w:rFonts w:ascii="Verdana" w:hAnsi="Verdana" w:cs="Arial"/>
          <w:sz w:val="16"/>
          <w:szCs w:val="16"/>
          <w:lang w:val="es-MX"/>
        </w:rPr>
        <w:t>[…]</w:t>
      </w:r>
    </w:p>
    <w:p w14:paraId="4FEE8AFD" w14:textId="77777777" w:rsidR="00741367" w:rsidRDefault="00741367" w:rsidP="00741367">
      <w:pPr>
        <w:pStyle w:val="NormalWeb"/>
        <w:spacing w:before="0" w:beforeAutospacing="0" w:after="0" w:afterAutospacing="0"/>
        <w:ind w:firstLine="709"/>
        <w:contextualSpacing/>
        <w:jc w:val="both"/>
        <w:rPr>
          <w:rFonts w:ascii="Verdana" w:hAnsi="Verdana" w:cs="Arial"/>
          <w:sz w:val="16"/>
          <w:szCs w:val="16"/>
          <w:lang w:val="es-MX"/>
        </w:rPr>
      </w:pPr>
      <w:r>
        <w:rPr>
          <w:rStyle w:val="baj"/>
          <w:rFonts w:ascii="Verdana" w:eastAsiaTheme="minorEastAsia" w:hAnsi="Verdana" w:cs="Arial"/>
          <w:sz w:val="16"/>
          <w:szCs w:val="16"/>
          <w:lang w:val="es-MX"/>
        </w:rPr>
        <w:t>Parágrafo.</w:t>
      </w:r>
      <w:r>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color w:val="000000"/>
          <w:sz w:val="16"/>
          <w:szCs w:val="16"/>
        </w:rPr>
        <w:t>”</w:t>
      </w:r>
      <w:r>
        <w:rPr>
          <w:rFonts w:ascii="Verdana" w:hAnsi="Verdana" w:cs="Arial"/>
          <w:sz w:val="16"/>
          <w:szCs w:val="16"/>
          <w:lang w:val="es-MX"/>
        </w:rPr>
        <w:t>.</w:t>
      </w:r>
    </w:p>
  </w:footnote>
  <w:footnote w:id="9">
    <w:p w14:paraId="0D56F7CF" w14:textId="77777777" w:rsidR="00741367" w:rsidRDefault="00741367" w:rsidP="00741367">
      <w:pPr>
        <w:spacing w:after="0" w:line="240" w:lineRule="auto"/>
        <w:ind w:left="100" w:right="244" w:firstLine="709"/>
        <w:contextualSpacing/>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5C6D8941" w14:textId="77777777" w:rsidR="00741367" w:rsidRDefault="00741367" w:rsidP="00741367">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11">
    <w:p w14:paraId="71376045" w14:textId="77777777" w:rsidR="00741367" w:rsidRDefault="00741367" w:rsidP="00741367">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2">
    <w:p w14:paraId="74753937" w14:textId="77777777" w:rsidR="00741367" w:rsidRDefault="00741367" w:rsidP="0074136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5020E073" w14:textId="77777777" w:rsidR="00741367" w:rsidRDefault="00741367" w:rsidP="00741367">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4">
    <w:p w14:paraId="184F8428" w14:textId="77777777" w:rsidR="00741367" w:rsidRDefault="00741367" w:rsidP="00741367">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Ibidem</w:t>
      </w:r>
      <w:r>
        <w:rPr>
          <w:rFonts w:ascii="Verdana" w:hAnsi="Verdana" w:cs="Arial"/>
          <w:sz w:val="16"/>
          <w:szCs w:val="16"/>
          <w:lang w:val="es-ES"/>
        </w:rPr>
        <w:t>.</w:t>
      </w:r>
    </w:p>
  </w:footnote>
  <w:footnote w:id="15">
    <w:p w14:paraId="3D8DA6FB" w14:textId="77777777" w:rsidR="00741367" w:rsidRDefault="00741367" w:rsidP="00741367">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7E4BCAB7" w14:textId="77777777" w:rsidR="00741367" w:rsidRDefault="00741367" w:rsidP="00741367">
      <w:pPr>
        <w:shd w:val="clear" w:color="auto" w:fill="FFFFFF"/>
        <w:spacing w:after="0"/>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3CACBF06" w14:textId="77777777" w:rsidR="00741367" w:rsidRDefault="00741367" w:rsidP="0074136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8">
    <w:p w14:paraId="4A291C6D" w14:textId="77777777" w:rsidR="00741367" w:rsidRDefault="00741367" w:rsidP="0074136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263453DF" w14:textId="77777777" w:rsidR="00741367" w:rsidRDefault="00741367" w:rsidP="00741367">
      <w:pPr>
        <w:spacing w:after="0"/>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4082566C" w14:textId="77777777" w:rsidR="00741367" w:rsidRDefault="00741367" w:rsidP="00741367">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18" w:name="_Hlk75633115"/>
      <w:r>
        <w:rPr>
          <w:rFonts w:ascii="Verdana" w:hAnsi="Verdana" w:cs="Arial"/>
          <w:sz w:val="16"/>
          <w:szCs w:val="16"/>
        </w:rPr>
        <w:t xml:space="preserve">Consejo de Estado. Sala de Consulta y Servicio Civil. Concepto </w:t>
      </w:r>
      <w:bookmarkEnd w:id="18"/>
      <w:r>
        <w:rPr>
          <w:rFonts w:ascii="Verdana" w:hAnsi="Verdana" w:cs="Arial"/>
          <w:sz w:val="16"/>
          <w:szCs w:val="16"/>
        </w:rPr>
        <w:t>de 6 de abril de 2006. Radicación Número: 11001-03-06-000-2006-00038-00(1738). Consejero Ponente: Enrique José Arboleda Perdomo:</w:t>
      </w:r>
      <w:r>
        <w:rPr>
          <w:rFonts w:ascii="Verdana" w:eastAsia="Times New Roman" w:hAnsi="Verdana" w:cs="Arial"/>
          <w:bCs/>
          <w:sz w:val="16"/>
          <w:szCs w:val="16"/>
          <w:lang w:eastAsia="x-none"/>
        </w:rPr>
        <w:t xml:space="preserve"> “</w:t>
      </w:r>
      <w:r>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sz w:val="16"/>
          <w:szCs w:val="16"/>
          <w:lang w:eastAsia="x-none"/>
        </w:rPr>
        <w:t>”.</w:t>
      </w:r>
    </w:p>
  </w:footnote>
  <w:footnote w:id="21">
    <w:p w14:paraId="633A40DA" w14:textId="77777777" w:rsidR="00741367" w:rsidRDefault="00741367" w:rsidP="00741367">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2">
    <w:p w14:paraId="4CD6E04F" w14:textId="77777777" w:rsidR="00741367" w:rsidRDefault="00741367" w:rsidP="00741367">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w:t>
      </w:r>
      <w:r>
        <w:rPr>
          <w:rFonts w:ascii="Verdana" w:hAnsi="Verdana" w:cs="Arial"/>
          <w:i/>
          <w:iCs/>
          <w:sz w:val="16"/>
          <w:szCs w:val="16"/>
        </w:rPr>
        <w:t>ibidem</w:t>
      </w:r>
      <w:r>
        <w:rPr>
          <w:rFonts w:ascii="Verdana" w:hAnsi="Verdana" w:cs="Arial"/>
          <w:sz w:val="16"/>
          <w:szCs w:val="16"/>
        </w:rPr>
        <w:t>.</w:t>
      </w:r>
    </w:p>
  </w:footnote>
  <w:footnote w:id="23">
    <w:p w14:paraId="6A680CDD" w14:textId="77777777" w:rsidR="00741367" w:rsidRDefault="00741367" w:rsidP="00741367">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4">
    <w:p w14:paraId="34C27625" w14:textId="77777777" w:rsidR="00741367" w:rsidRDefault="00741367" w:rsidP="00741367">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Corte Constitucional. Sentencia C-1153 de 2005 M.P. Marco Gerardo Monroy Cabra. </w:t>
      </w:r>
    </w:p>
  </w:footnote>
  <w:footnote w:id="25">
    <w:p w14:paraId="233B2696" w14:textId="77777777" w:rsidR="00741367" w:rsidRDefault="00741367" w:rsidP="00741367">
      <w:pPr>
        <w:pStyle w:val="Textonotapie"/>
        <w:ind w:firstLine="709"/>
        <w:jc w:val="both"/>
        <w:rPr>
          <w:rFonts w:ascii="Verdana" w:hAnsi="Verdana" w:cs="Arial"/>
          <w:sz w:val="16"/>
          <w:szCs w:val="16"/>
        </w:rPr>
      </w:pPr>
      <w:r>
        <w:rPr>
          <w:rStyle w:val="Refdenotaalpie"/>
          <w:rFonts w:ascii="Verdana" w:hAnsi="Verdana"/>
          <w:sz w:val="16"/>
          <w:szCs w:val="16"/>
        </w:rPr>
        <w:footnoteRef/>
      </w:r>
      <w:r>
        <w:rPr>
          <w:rFonts w:ascii="Verdana" w:hAnsi="Verdana"/>
          <w:sz w:val="16"/>
          <w:szCs w:val="16"/>
        </w:rPr>
        <w:t xml:space="preserve"> </w:t>
      </w:r>
      <w:r>
        <w:rPr>
          <w:rFonts w:ascii="Verdana" w:hAnsi="Verdana" w:cs="Arial"/>
          <w:sz w:val="16"/>
          <w:szCs w:val="16"/>
        </w:rPr>
        <w:t>Consejo de Estado -Sección Tercera-. Sentencia del 21 de febrero de 2025. Radicación Número: 68.280. CP: José Roberto Sáchica Méndez.</w:t>
      </w:r>
    </w:p>
  </w:footnote>
  <w:footnote w:id="26">
    <w:p w14:paraId="2F44045C" w14:textId="77777777" w:rsidR="00741367" w:rsidRDefault="00741367" w:rsidP="00741367">
      <w:pPr>
        <w:pStyle w:val="Textonotapie"/>
        <w:ind w:firstLine="709"/>
        <w:jc w:val="both"/>
        <w:rPr>
          <w:rFonts w:ascii="Verdana" w:hAnsi="Verdana" w:cs="Arial"/>
          <w:sz w:val="16"/>
          <w:szCs w:val="16"/>
        </w:rPr>
      </w:pPr>
      <w:r>
        <w:rPr>
          <w:rFonts w:ascii="Verdana" w:hAnsi="Verdana"/>
          <w:sz w:val="16"/>
          <w:szCs w:val="16"/>
          <w:vertAlign w:val="superscript"/>
        </w:rPr>
        <w:footnoteRef/>
      </w:r>
      <w:r>
        <w:rPr>
          <w:rFonts w:ascii="Verdana" w:hAnsi="Verdana"/>
          <w:sz w:val="16"/>
          <w:szCs w:val="16"/>
          <w:vertAlign w:val="superscript"/>
        </w:rPr>
        <w:t xml:space="preserve"> </w:t>
      </w:r>
      <w:r>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7">
    <w:p w14:paraId="5F681C48" w14:textId="77777777" w:rsidR="00741367" w:rsidRDefault="00741367" w:rsidP="00741367">
      <w:pPr>
        <w:pStyle w:val="Textonotapie"/>
        <w:ind w:firstLine="709"/>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3811CE59" w14:textId="77777777" w:rsidR="00741367" w:rsidRDefault="00741367" w:rsidP="00741367">
      <w:pPr>
        <w:pStyle w:val="Textonotapie"/>
        <w:ind w:firstLine="709"/>
        <w:jc w:val="both"/>
        <w:rPr>
          <w:rFonts w:ascii="Verdana" w:hAnsi="Verdana" w:cs="Arial"/>
          <w:sz w:val="16"/>
          <w:szCs w:val="16"/>
        </w:rPr>
      </w:pPr>
      <w:r>
        <w:rPr>
          <w:rFonts w:ascii="Verdana" w:hAnsi="Verdana" w:cs="Arial"/>
          <w:sz w:val="16"/>
          <w:szCs w:val="16"/>
        </w:rPr>
        <w:t>[…]”.</w:t>
      </w:r>
    </w:p>
  </w:footnote>
  <w:footnote w:id="28">
    <w:p w14:paraId="1E25FE28" w14:textId="77777777" w:rsidR="00741367" w:rsidRDefault="00741367" w:rsidP="00741367">
      <w:pPr>
        <w:pStyle w:val="Textonotapie"/>
        <w:ind w:firstLine="709"/>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Código Civil: “Artículo 27. Cuando el sentido de la ley sea claro, no se desatenderá su tenor a pretexto de consultar su espíritu”.</w:t>
      </w:r>
    </w:p>
  </w:footnote>
  <w:footnote w:id="29">
    <w:p w14:paraId="3294057F" w14:textId="77777777" w:rsidR="00741367" w:rsidRDefault="00741367" w:rsidP="00741367">
      <w:pPr>
        <w:pStyle w:val="Textonotapie"/>
        <w:ind w:firstLine="709"/>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lang w:val="es-CO"/>
        </w:rPr>
        <w:t xml:space="preserve"> Consejo de Estado, Sección Tercera. Auto del 4 de octubre de 2024. Exp. 70.313. C.P: Fredy Ibarra Martínez.</w:t>
      </w:r>
    </w:p>
  </w:footnote>
  <w:footnote w:id="30">
    <w:p w14:paraId="73A39F1E" w14:textId="77777777" w:rsidR="00741367" w:rsidRDefault="00741367" w:rsidP="00741367">
      <w:pPr>
        <w:pStyle w:val="Textonotapie"/>
        <w:ind w:firstLine="709"/>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La parte resolutiva del auto dispone lo siguiente; “</w:t>
      </w:r>
      <w:r>
        <w:rPr>
          <w:rFonts w:ascii="Verdana" w:hAnsi="Verdana"/>
          <w:b/>
          <w:sz w:val="16"/>
          <w:szCs w:val="16"/>
          <w:lang w:val="es-CO"/>
        </w:rPr>
        <w:t xml:space="preserve">PRIMERO: DECRETAR </w:t>
      </w:r>
      <w:r>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sz w:val="16"/>
          <w:szCs w:val="16"/>
          <w:lang w:val="es-CO"/>
        </w:rPr>
        <w:t xml:space="preserve">, por las razones expuestas en precedencia. </w:t>
      </w:r>
    </w:p>
    <w:p w14:paraId="671C34C3" w14:textId="77777777" w:rsidR="00741367" w:rsidRDefault="00741367" w:rsidP="00741367">
      <w:pPr>
        <w:pStyle w:val="Textonotapie"/>
        <w:ind w:firstLine="709"/>
        <w:jc w:val="both"/>
        <w:rPr>
          <w:rFonts w:ascii="Verdana" w:hAnsi="Verdana"/>
          <w:sz w:val="16"/>
          <w:szCs w:val="16"/>
          <w:lang w:val="es-CO"/>
        </w:rPr>
      </w:pPr>
      <w:r>
        <w:rPr>
          <w:rFonts w:ascii="Verdana" w:hAnsi="Verdana"/>
          <w:b/>
          <w:sz w:val="16"/>
          <w:szCs w:val="16"/>
          <w:lang w:val="es-CO"/>
        </w:rPr>
        <w:t xml:space="preserve">SEGUNDO: DECRETAR </w:t>
      </w:r>
      <w:r>
        <w:rPr>
          <w:rFonts w:ascii="Verdana" w:hAnsi="Verdana"/>
          <w:sz w:val="16"/>
          <w:szCs w:val="16"/>
          <w:lang w:val="es-CO"/>
        </w:rPr>
        <w:t>la suspensión provisional de la expresión “</w:t>
      </w:r>
      <w:r>
        <w:rPr>
          <w:rFonts w:ascii="Verdana" w:hAnsi="Verdana"/>
          <w:i/>
          <w:sz w:val="16"/>
          <w:szCs w:val="16"/>
          <w:lang w:val="es-CO"/>
        </w:rPr>
        <w:t>contratos</w:t>
      </w:r>
      <w:r>
        <w:rPr>
          <w:rFonts w:ascii="Verdana" w:hAnsi="Verdana"/>
          <w:sz w:val="16"/>
          <w:szCs w:val="16"/>
          <w:lang w:val="es-CO"/>
        </w:rPr>
        <w:t xml:space="preserve">” y del párrafo </w:t>
      </w:r>
      <w:r>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1">
    <w:p w14:paraId="40210836" w14:textId="77777777" w:rsidR="00741367" w:rsidRDefault="00741367" w:rsidP="00741367">
      <w:pPr>
        <w:spacing w:line="240" w:lineRule="auto"/>
        <w:ind w:firstLine="709"/>
        <w:contextualSpacing/>
        <w:jc w:val="both"/>
        <w:rPr>
          <w:rFonts w:ascii="Verdana" w:eastAsia="Times New Roman" w:hAnsi="Verdana" w:cs="Times New Roman"/>
          <w:sz w:val="16"/>
          <w:szCs w:val="16"/>
          <w:lang w:eastAsia="es-ES"/>
        </w:rPr>
      </w:pPr>
      <w:r>
        <w:rPr>
          <w:rStyle w:val="Refdenotaalpie"/>
          <w:rFonts w:ascii="Verdana" w:hAnsi="Verdana"/>
          <w:sz w:val="16"/>
          <w:szCs w:val="16"/>
        </w:rPr>
        <w:footnoteRef/>
      </w:r>
      <w:r>
        <w:rPr>
          <w:rFonts w:ascii="Verdana" w:hAnsi="Verdana"/>
          <w:sz w:val="16"/>
          <w:szCs w:val="16"/>
        </w:rPr>
        <w:t xml:space="preserve"> </w:t>
      </w:r>
      <w:r>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Pr>
          <w:rFonts w:ascii="Verdana" w:hAnsi="Verdana"/>
          <w:sz w:val="16"/>
          <w:szCs w:val="16"/>
        </w:rPr>
        <w:t xml:space="preserve">La parte de la providencia señala: </w:t>
      </w:r>
      <w:r>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2">
    <w:p w14:paraId="4E44E49F" w14:textId="77777777" w:rsidR="00741367" w:rsidRDefault="00741367" w:rsidP="00741367">
      <w:pPr>
        <w:pStyle w:val="Textonotapie"/>
        <w:ind w:firstLine="709"/>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78469344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64786412">
    <w:abstractNumId w:val="9"/>
  </w:num>
  <w:num w:numId="20" w16cid:durableId="12109926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29B"/>
    <w:rsid w:val="00031855"/>
    <w:rsid w:val="00035438"/>
    <w:rsid w:val="00036631"/>
    <w:rsid w:val="00040801"/>
    <w:rsid w:val="000466BD"/>
    <w:rsid w:val="00046945"/>
    <w:rsid w:val="0005195F"/>
    <w:rsid w:val="00052B57"/>
    <w:rsid w:val="000547F7"/>
    <w:rsid w:val="00061547"/>
    <w:rsid w:val="00061B2A"/>
    <w:rsid w:val="000673BA"/>
    <w:rsid w:val="0007013D"/>
    <w:rsid w:val="00071189"/>
    <w:rsid w:val="00071D46"/>
    <w:rsid w:val="00074CDA"/>
    <w:rsid w:val="00082362"/>
    <w:rsid w:val="000838BA"/>
    <w:rsid w:val="00092DCC"/>
    <w:rsid w:val="000A683E"/>
    <w:rsid w:val="000A6D90"/>
    <w:rsid w:val="000B19B9"/>
    <w:rsid w:val="000D0334"/>
    <w:rsid w:val="000D15E3"/>
    <w:rsid w:val="000D4E65"/>
    <w:rsid w:val="000D591D"/>
    <w:rsid w:val="000D5DA7"/>
    <w:rsid w:val="000E3C0C"/>
    <w:rsid w:val="000E6DA5"/>
    <w:rsid w:val="000F6486"/>
    <w:rsid w:val="001131F7"/>
    <w:rsid w:val="00116940"/>
    <w:rsid w:val="00125105"/>
    <w:rsid w:val="00127233"/>
    <w:rsid w:val="0013793B"/>
    <w:rsid w:val="0015683D"/>
    <w:rsid w:val="0015699B"/>
    <w:rsid w:val="00160992"/>
    <w:rsid w:val="00161946"/>
    <w:rsid w:val="0016386A"/>
    <w:rsid w:val="001853E0"/>
    <w:rsid w:val="00186559"/>
    <w:rsid w:val="00192440"/>
    <w:rsid w:val="001A0022"/>
    <w:rsid w:val="001A33BF"/>
    <w:rsid w:val="001B04E1"/>
    <w:rsid w:val="001B40D7"/>
    <w:rsid w:val="001C02BF"/>
    <w:rsid w:val="001C7A3B"/>
    <w:rsid w:val="001E4177"/>
    <w:rsid w:val="001F0B24"/>
    <w:rsid w:val="001F7DC6"/>
    <w:rsid w:val="0021326C"/>
    <w:rsid w:val="002133AC"/>
    <w:rsid w:val="00220E51"/>
    <w:rsid w:val="0022400B"/>
    <w:rsid w:val="00225635"/>
    <w:rsid w:val="0022674B"/>
    <w:rsid w:val="002421BB"/>
    <w:rsid w:val="002439E8"/>
    <w:rsid w:val="00253074"/>
    <w:rsid w:val="00255762"/>
    <w:rsid w:val="0025796E"/>
    <w:rsid w:val="0026347A"/>
    <w:rsid w:val="00266506"/>
    <w:rsid w:val="002707A2"/>
    <w:rsid w:val="0027500F"/>
    <w:rsid w:val="00275223"/>
    <w:rsid w:val="00285515"/>
    <w:rsid w:val="002951A0"/>
    <w:rsid w:val="002962BC"/>
    <w:rsid w:val="002A093D"/>
    <w:rsid w:val="002A0DD0"/>
    <w:rsid w:val="002A49AC"/>
    <w:rsid w:val="002A64FD"/>
    <w:rsid w:val="002B72D5"/>
    <w:rsid w:val="002C1DC7"/>
    <w:rsid w:val="002C7024"/>
    <w:rsid w:val="002C7A84"/>
    <w:rsid w:val="002E2BF8"/>
    <w:rsid w:val="002E32AB"/>
    <w:rsid w:val="002E4FD9"/>
    <w:rsid w:val="002E61CB"/>
    <w:rsid w:val="002F0013"/>
    <w:rsid w:val="002F7B54"/>
    <w:rsid w:val="00301509"/>
    <w:rsid w:val="0030657A"/>
    <w:rsid w:val="00322A85"/>
    <w:rsid w:val="00322EC5"/>
    <w:rsid w:val="00324168"/>
    <w:rsid w:val="00330834"/>
    <w:rsid w:val="003448F4"/>
    <w:rsid w:val="00364792"/>
    <w:rsid w:val="00371077"/>
    <w:rsid w:val="00372C6B"/>
    <w:rsid w:val="00374F5E"/>
    <w:rsid w:val="0037544F"/>
    <w:rsid w:val="00377E3E"/>
    <w:rsid w:val="003820DF"/>
    <w:rsid w:val="00391B87"/>
    <w:rsid w:val="003A779E"/>
    <w:rsid w:val="003C6845"/>
    <w:rsid w:val="003D0F4D"/>
    <w:rsid w:val="003D1B64"/>
    <w:rsid w:val="003D5B0D"/>
    <w:rsid w:val="003E0499"/>
    <w:rsid w:val="003E4F80"/>
    <w:rsid w:val="003E6439"/>
    <w:rsid w:val="003E735B"/>
    <w:rsid w:val="003F3941"/>
    <w:rsid w:val="003F614D"/>
    <w:rsid w:val="00406575"/>
    <w:rsid w:val="00407776"/>
    <w:rsid w:val="00410798"/>
    <w:rsid w:val="00411BDC"/>
    <w:rsid w:val="00414C74"/>
    <w:rsid w:val="00425472"/>
    <w:rsid w:val="0042722E"/>
    <w:rsid w:val="004417F1"/>
    <w:rsid w:val="00441CBA"/>
    <w:rsid w:val="0044391D"/>
    <w:rsid w:val="0044528D"/>
    <w:rsid w:val="00447D68"/>
    <w:rsid w:val="00454929"/>
    <w:rsid w:val="00466E39"/>
    <w:rsid w:val="004826B6"/>
    <w:rsid w:val="0049672E"/>
    <w:rsid w:val="004A1847"/>
    <w:rsid w:val="004A305D"/>
    <w:rsid w:val="004A6106"/>
    <w:rsid w:val="004E615E"/>
    <w:rsid w:val="004F21C4"/>
    <w:rsid w:val="004F685F"/>
    <w:rsid w:val="00500CF5"/>
    <w:rsid w:val="00511259"/>
    <w:rsid w:val="0051328D"/>
    <w:rsid w:val="005173C4"/>
    <w:rsid w:val="00521F6D"/>
    <w:rsid w:val="005254E6"/>
    <w:rsid w:val="0053094D"/>
    <w:rsid w:val="00536175"/>
    <w:rsid w:val="00555728"/>
    <w:rsid w:val="005566E8"/>
    <w:rsid w:val="005675BF"/>
    <w:rsid w:val="00574867"/>
    <w:rsid w:val="00576A8A"/>
    <w:rsid w:val="00576B1A"/>
    <w:rsid w:val="00591460"/>
    <w:rsid w:val="00593461"/>
    <w:rsid w:val="005A2F05"/>
    <w:rsid w:val="005A65E0"/>
    <w:rsid w:val="005B28DF"/>
    <w:rsid w:val="005B6132"/>
    <w:rsid w:val="005C3777"/>
    <w:rsid w:val="005C5CDC"/>
    <w:rsid w:val="005D476C"/>
    <w:rsid w:val="005E0877"/>
    <w:rsid w:val="0060458E"/>
    <w:rsid w:val="00612C39"/>
    <w:rsid w:val="00613744"/>
    <w:rsid w:val="006200BF"/>
    <w:rsid w:val="006204DF"/>
    <w:rsid w:val="006219F8"/>
    <w:rsid w:val="0062761E"/>
    <w:rsid w:val="006302F7"/>
    <w:rsid w:val="00646B9F"/>
    <w:rsid w:val="00654670"/>
    <w:rsid w:val="006638D4"/>
    <w:rsid w:val="00665D70"/>
    <w:rsid w:val="00684307"/>
    <w:rsid w:val="006900D9"/>
    <w:rsid w:val="006918E2"/>
    <w:rsid w:val="00694F2A"/>
    <w:rsid w:val="006C6994"/>
    <w:rsid w:val="006E7646"/>
    <w:rsid w:val="006F73F6"/>
    <w:rsid w:val="00700FC1"/>
    <w:rsid w:val="00706C16"/>
    <w:rsid w:val="00720881"/>
    <w:rsid w:val="007340C3"/>
    <w:rsid w:val="00741367"/>
    <w:rsid w:val="00746BE7"/>
    <w:rsid w:val="0075235A"/>
    <w:rsid w:val="00755D4F"/>
    <w:rsid w:val="00756841"/>
    <w:rsid w:val="007649AB"/>
    <w:rsid w:val="00771CCA"/>
    <w:rsid w:val="00771D0C"/>
    <w:rsid w:val="00782142"/>
    <w:rsid w:val="007833AC"/>
    <w:rsid w:val="0079605D"/>
    <w:rsid w:val="007B268C"/>
    <w:rsid w:val="007B7171"/>
    <w:rsid w:val="007B7C67"/>
    <w:rsid w:val="007C0C0F"/>
    <w:rsid w:val="007C3DC2"/>
    <w:rsid w:val="007D4B2E"/>
    <w:rsid w:val="007D57F7"/>
    <w:rsid w:val="007E5497"/>
    <w:rsid w:val="007F431E"/>
    <w:rsid w:val="007F494F"/>
    <w:rsid w:val="008036B4"/>
    <w:rsid w:val="00806F5F"/>
    <w:rsid w:val="0081175D"/>
    <w:rsid w:val="00816000"/>
    <w:rsid w:val="00820278"/>
    <w:rsid w:val="008258C9"/>
    <w:rsid w:val="00832214"/>
    <w:rsid w:val="00834510"/>
    <w:rsid w:val="00834C77"/>
    <w:rsid w:val="00844575"/>
    <w:rsid w:val="00844AE9"/>
    <w:rsid w:val="00846D07"/>
    <w:rsid w:val="00860150"/>
    <w:rsid w:val="00861E32"/>
    <w:rsid w:val="00865796"/>
    <w:rsid w:val="00867F95"/>
    <w:rsid w:val="008717DA"/>
    <w:rsid w:val="0087320F"/>
    <w:rsid w:val="008769B8"/>
    <w:rsid w:val="008843B6"/>
    <w:rsid w:val="00887563"/>
    <w:rsid w:val="00891928"/>
    <w:rsid w:val="00893ADA"/>
    <w:rsid w:val="008A446D"/>
    <w:rsid w:val="008B0077"/>
    <w:rsid w:val="008B25F1"/>
    <w:rsid w:val="008C17CB"/>
    <w:rsid w:val="008C4EBC"/>
    <w:rsid w:val="008D180B"/>
    <w:rsid w:val="008D288C"/>
    <w:rsid w:val="008E12F2"/>
    <w:rsid w:val="008E1A94"/>
    <w:rsid w:val="008E21A9"/>
    <w:rsid w:val="008E492D"/>
    <w:rsid w:val="008E55E5"/>
    <w:rsid w:val="008F0EA7"/>
    <w:rsid w:val="00923EEF"/>
    <w:rsid w:val="00926E3D"/>
    <w:rsid w:val="0093137C"/>
    <w:rsid w:val="00934F4F"/>
    <w:rsid w:val="009419F9"/>
    <w:rsid w:val="009433C7"/>
    <w:rsid w:val="0095685E"/>
    <w:rsid w:val="00957615"/>
    <w:rsid w:val="00961B09"/>
    <w:rsid w:val="00965334"/>
    <w:rsid w:val="0097093E"/>
    <w:rsid w:val="00970FE4"/>
    <w:rsid w:val="009948A2"/>
    <w:rsid w:val="0099559C"/>
    <w:rsid w:val="009A0DFA"/>
    <w:rsid w:val="009A1C6F"/>
    <w:rsid w:val="009B0E84"/>
    <w:rsid w:val="009B2D26"/>
    <w:rsid w:val="009B604C"/>
    <w:rsid w:val="009C1F94"/>
    <w:rsid w:val="009C71FA"/>
    <w:rsid w:val="009C72E7"/>
    <w:rsid w:val="009C7F7E"/>
    <w:rsid w:val="009D3058"/>
    <w:rsid w:val="009F3A13"/>
    <w:rsid w:val="00A122D3"/>
    <w:rsid w:val="00A14468"/>
    <w:rsid w:val="00A17F13"/>
    <w:rsid w:val="00A20739"/>
    <w:rsid w:val="00A23AF9"/>
    <w:rsid w:val="00A32BE2"/>
    <w:rsid w:val="00A332C8"/>
    <w:rsid w:val="00A33C78"/>
    <w:rsid w:val="00A3402F"/>
    <w:rsid w:val="00A43116"/>
    <w:rsid w:val="00A43159"/>
    <w:rsid w:val="00A47767"/>
    <w:rsid w:val="00A53532"/>
    <w:rsid w:val="00A575FE"/>
    <w:rsid w:val="00A66915"/>
    <w:rsid w:val="00A874B5"/>
    <w:rsid w:val="00A92EC3"/>
    <w:rsid w:val="00A960E5"/>
    <w:rsid w:val="00AA63B5"/>
    <w:rsid w:val="00AB0ADB"/>
    <w:rsid w:val="00AB619D"/>
    <w:rsid w:val="00AD6C81"/>
    <w:rsid w:val="00AF0821"/>
    <w:rsid w:val="00AF1BE5"/>
    <w:rsid w:val="00B00B18"/>
    <w:rsid w:val="00B00C0E"/>
    <w:rsid w:val="00B01B1A"/>
    <w:rsid w:val="00B0381D"/>
    <w:rsid w:val="00B060A3"/>
    <w:rsid w:val="00B13E84"/>
    <w:rsid w:val="00B37969"/>
    <w:rsid w:val="00B44A47"/>
    <w:rsid w:val="00B45858"/>
    <w:rsid w:val="00B714B0"/>
    <w:rsid w:val="00B72CD3"/>
    <w:rsid w:val="00B72FFF"/>
    <w:rsid w:val="00B81AE2"/>
    <w:rsid w:val="00B85A64"/>
    <w:rsid w:val="00B8779A"/>
    <w:rsid w:val="00BA1D42"/>
    <w:rsid w:val="00BC3D36"/>
    <w:rsid w:val="00BD4350"/>
    <w:rsid w:val="00BD54A6"/>
    <w:rsid w:val="00BD6149"/>
    <w:rsid w:val="00BD7F72"/>
    <w:rsid w:val="00BF1C44"/>
    <w:rsid w:val="00BF2144"/>
    <w:rsid w:val="00BF7425"/>
    <w:rsid w:val="00C04FB3"/>
    <w:rsid w:val="00C0783E"/>
    <w:rsid w:val="00C11D8B"/>
    <w:rsid w:val="00C15139"/>
    <w:rsid w:val="00C16A37"/>
    <w:rsid w:val="00C32BE1"/>
    <w:rsid w:val="00C330EB"/>
    <w:rsid w:val="00C33BF5"/>
    <w:rsid w:val="00C413E9"/>
    <w:rsid w:val="00C41DE8"/>
    <w:rsid w:val="00C50D69"/>
    <w:rsid w:val="00C5151D"/>
    <w:rsid w:val="00C5365C"/>
    <w:rsid w:val="00C54178"/>
    <w:rsid w:val="00C541CA"/>
    <w:rsid w:val="00C546CC"/>
    <w:rsid w:val="00C55BDE"/>
    <w:rsid w:val="00C708C9"/>
    <w:rsid w:val="00C754BE"/>
    <w:rsid w:val="00C76B1C"/>
    <w:rsid w:val="00C81976"/>
    <w:rsid w:val="00C851C7"/>
    <w:rsid w:val="00C925AC"/>
    <w:rsid w:val="00C926CC"/>
    <w:rsid w:val="00C942C8"/>
    <w:rsid w:val="00CA7C8E"/>
    <w:rsid w:val="00CB1D05"/>
    <w:rsid w:val="00CB6357"/>
    <w:rsid w:val="00CC1B26"/>
    <w:rsid w:val="00CC2813"/>
    <w:rsid w:val="00CC2FD7"/>
    <w:rsid w:val="00CF29BA"/>
    <w:rsid w:val="00CF4966"/>
    <w:rsid w:val="00D177E6"/>
    <w:rsid w:val="00D201E9"/>
    <w:rsid w:val="00D25E73"/>
    <w:rsid w:val="00D302D9"/>
    <w:rsid w:val="00D361FD"/>
    <w:rsid w:val="00D414FE"/>
    <w:rsid w:val="00D42065"/>
    <w:rsid w:val="00D423A2"/>
    <w:rsid w:val="00D44E26"/>
    <w:rsid w:val="00D4592E"/>
    <w:rsid w:val="00D460D0"/>
    <w:rsid w:val="00D520D8"/>
    <w:rsid w:val="00D63AC2"/>
    <w:rsid w:val="00D64656"/>
    <w:rsid w:val="00D6787C"/>
    <w:rsid w:val="00D7383B"/>
    <w:rsid w:val="00D7788A"/>
    <w:rsid w:val="00D82C96"/>
    <w:rsid w:val="00D8415F"/>
    <w:rsid w:val="00D86621"/>
    <w:rsid w:val="00DA02A1"/>
    <w:rsid w:val="00DA1FBF"/>
    <w:rsid w:val="00DA231B"/>
    <w:rsid w:val="00DB2058"/>
    <w:rsid w:val="00DB2E63"/>
    <w:rsid w:val="00DC2676"/>
    <w:rsid w:val="00DC38B2"/>
    <w:rsid w:val="00DC39FC"/>
    <w:rsid w:val="00DE440E"/>
    <w:rsid w:val="00DE4943"/>
    <w:rsid w:val="00DE79ED"/>
    <w:rsid w:val="00DF5254"/>
    <w:rsid w:val="00E02524"/>
    <w:rsid w:val="00E07A6B"/>
    <w:rsid w:val="00E1209B"/>
    <w:rsid w:val="00E13BCD"/>
    <w:rsid w:val="00E15C40"/>
    <w:rsid w:val="00E16408"/>
    <w:rsid w:val="00E20894"/>
    <w:rsid w:val="00E245AB"/>
    <w:rsid w:val="00E27291"/>
    <w:rsid w:val="00E2764C"/>
    <w:rsid w:val="00E27F2E"/>
    <w:rsid w:val="00E34E49"/>
    <w:rsid w:val="00E36176"/>
    <w:rsid w:val="00E41C92"/>
    <w:rsid w:val="00E50AFE"/>
    <w:rsid w:val="00E51371"/>
    <w:rsid w:val="00E75C92"/>
    <w:rsid w:val="00E771DC"/>
    <w:rsid w:val="00E826C6"/>
    <w:rsid w:val="00E84EEF"/>
    <w:rsid w:val="00E86265"/>
    <w:rsid w:val="00E8772A"/>
    <w:rsid w:val="00E90F6B"/>
    <w:rsid w:val="00E92C27"/>
    <w:rsid w:val="00E93496"/>
    <w:rsid w:val="00EA0E3D"/>
    <w:rsid w:val="00EA4365"/>
    <w:rsid w:val="00EB5A8E"/>
    <w:rsid w:val="00EB713C"/>
    <w:rsid w:val="00EC214E"/>
    <w:rsid w:val="00EC38A7"/>
    <w:rsid w:val="00ED5F50"/>
    <w:rsid w:val="00EE04B9"/>
    <w:rsid w:val="00EE1AA8"/>
    <w:rsid w:val="00EF2E3F"/>
    <w:rsid w:val="00EF5BD7"/>
    <w:rsid w:val="00F01EE6"/>
    <w:rsid w:val="00F0627B"/>
    <w:rsid w:val="00F07CE6"/>
    <w:rsid w:val="00F07F01"/>
    <w:rsid w:val="00F10689"/>
    <w:rsid w:val="00F23FEA"/>
    <w:rsid w:val="00F302DC"/>
    <w:rsid w:val="00F31EDC"/>
    <w:rsid w:val="00F32232"/>
    <w:rsid w:val="00F34198"/>
    <w:rsid w:val="00F462B3"/>
    <w:rsid w:val="00F5664F"/>
    <w:rsid w:val="00F60C80"/>
    <w:rsid w:val="00F63C15"/>
    <w:rsid w:val="00F666C4"/>
    <w:rsid w:val="00F76AFC"/>
    <w:rsid w:val="00F775C8"/>
    <w:rsid w:val="00F80590"/>
    <w:rsid w:val="00F83702"/>
    <w:rsid w:val="00FA47C0"/>
    <w:rsid w:val="00FB5DD1"/>
    <w:rsid w:val="00FC0547"/>
    <w:rsid w:val="00FC2B5D"/>
    <w:rsid w:val="00FC6BC9"/>
    <w:rsid w:val="00FD113E"/>
    <w:rsid w:val="00FD6717"/>
    <w:rsid w:val="00FE31C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direccioncontratacion@caqueta.gov.c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47D40FE-B337-4A0E-ABEE-B8C5442DA9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27</Pages>
  <Words>8680</Words>
  <Characters>47569</Characters>
  <Application>Microsoft Office Word</Application>
  <DocSecurity>0</DocSecurity>
  <Lines>914</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13</cp:revision>
  <cp:lastPrinted>2023-01-10T21:18:00Z</cp:lastPrinted>
  <dcterms:created xsi:type="dcterms:W3CDTF">2025-12-18T03:17:00Z</dcterms:created>
  <dcterms:modified xsi:type="dcterms:W3CDTF">2025-12-18T17:45:00Z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