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CC456" w14:textId="77777777" w:rsidR="00870388" w:rsidRPr="00870388" w:rsidRDefault="00870388" w:rsidP="00870388">
      <w:pPr>
        <w:jc w:val="both"/>
        <w:rPr>
          <w:rFonts w:ascii="Verdana" w:hAnsi="Verdana" w:cs="Arial"/>
          <w:b/>
          <w:color w:val="000000" w:themeColor="text1"/>
          <w:lang w:val="es-ES_tradnl"/>
        </w:rPr>
      </w:pPr>
      <w:bookmarkStart w:id="0" w:name="_Hlk143780582"/>
      <w:r w:rsidRPr="00870388">
        <w:rPr>
          <w:rFonts w:ascii="Verdana" w:hAnsi="Verdana" w:cs="Arial"/>
          <w:b/>
          <w:color w:val="000000" w:themeColor="text1"/>
          <w:lang w:val="es-ES_tradnl"/>
        </w:rPr>
        <w:t xml:space="preserve">LEY DE GARANTÍAS ELECTORALES ‒ Finalidad </w:t>
      </w:r>
    </w:p>
    <w:p w14:paraId="791142D8" w14:textId="566E391D" w:rsidR="00870388" w:rsidRDefault="00870388" w:rsidP="00870388">
      <w:pPr>
        <w:jc w:val="both"/>
        <w:rPr>
          <w:rFonts w:ascii="Verdana" w:hAnsi="Verdana" w:cs="Arial"/>
          <w:bCs/>
          <w:color w:val="000000" w:themeColor="text1"/>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11BA8F6F" w14:textId="087EA373" w:rsidR="00870388" w:rsidRDefault="00870388" w:rsidP="00870388">
      <w:pPr>
        <w:jc w:val="both"/>
        <w:rPr>
          <w:rFonts w:ascii="Verdana" w:hAnsi="Verdana" w:cs="Arial"/>
          <w:b/>
          <w:color w:val="000000" w:themeColor="text1"/>
          <w:lang w:val="es-ES_tradnl"/>
        </w:rPr>
      </w:pPr>
      <w:r w:rsidRPr="00870388">
        <w:rPr>
          <w:rFonts w:ascii="Verdana" w:hAnsi="Verdana" w:cs="Arial"/>
          <w:b/>
          <w:color w:val="000000" w:themeColor="text1"/>
          <w:lang w:val="es-ES_tradnl"/>
        </w:rPr>
        <w:t>LEY DE GARANTÍAS ELECTORALES ‒ Tipos de restricciones – Sociedades de economía mixta</w:t>
      </w:r>
    </w:p>
    <w:p w14:paraId="7D512ABF" w14:textId="795269F8" w:rsidR="00870388" w:rsidRDefault="00870388" w:rsidP="00870388">
      <w:pPr>
        <w:jc w:val="both"/>
        <w:rPr>
          <w:rFonts w:ascii="Verdana" w:eastAsia="Times New Roman" w:hAnsi="Verdana" w:cs="Arial"/>
          <w:lang w:val="es-ES"/>
        </w:rPr>
      </w:pPr>
      <w:r w:rsidRPr="00C40D52">
        <w:rPr>
          <w:rFonts w:ascii="Verdana" w:eastAsia="Times New Roman" w:hAnsi="Verdana" w:cs="Arial"/>
          <w:lang w:val="es-ES"/>
        </w:rPr>
        <w:t xml:space="preserve">En consecuencia, las restricciones a la contratación </w:t>
      </w:r>
      <w:r>
        <w:rPr>
          <w:rFonts w:ascii="Verdana" w:eastAsia="Times New Roman" w:hAnsi="Verdana" w:cs="Arial"/>
          <w:lang w:val="es-ES"/>
        </w:rPr>
        <w:t xml:space="preserve">directa </w:t>
      </w:r>
      <w:r w:rsidRPr="00C40D52">
        <w:rPr>
          <w:rFonts w:ascii="Verdana" w:eastAsia="Times New Roman" w:hAnsi="Verdana" w:cs="Arial"/>
          <w:lang w:val="es-ES"/>
        </w:rPr>
        <w:t>contenidas en la Ley de Garantías Electorales son aplicables a entidades descentralizadas como las sociedades de economía mixta</w:t>
      </w:r>
      <w:r>
        <w:rPr>
          <w:rFonts w:ascii="Verdana" w:eastAsia="Times New Roman" w:hAnsi="Verdana" w:cs="Arial"/>
          <w:lang w:val="es-ES"/>
        </w:rPr>
        <w:t>, a las que hace referencia en su consulta</w:t>
      </w:r>
      <w:r w:rsidRPr="00C40D52">
        <w:rPr>
          <w:rFonts w:ascii="Verdana" w:eastAsia="Times New Roman" w:hAnsi="Verdana" w:cs="Arial"/>
          <w:lang w:val="es-ES"/>
        </w:rPr>
        <w:t>.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r>
        <w:rPr>
          <w:rFonts w:ascii="Verdana" w:eastAsia="Times New Roman" w:hAnsi="Verdana" w:cs="Arial"/>
          <w:lang w:val="es-ES"/>
        </w:rPr>
        <w:t>.</w:t>
      </w:r>
    </w:p>
    <w:p w14:paraId="69B84C99" w14:textId="5E5F788D" w:rsidR="00870388" w:rsidRDefault="00870388" w:rsidP="00870388">
      <w:pPr>
        <w:jc w:val="both"/>
        <w:rPr>
          <w:rFonts w:ascii="Verdana" w:eastAsia="Times New Roman" w:hAnsi="Verdana" w:cs="Arial"/>
          <w:lang w:val="es-ES"/>
        </w:rPr>
      </w:pPr>
    </w:p>
    <w:p w14:paraId="0FA09371" w14:textId="1E44FDD7" w:rsidR="00870388" w:rsidRDefault="00870388" w:rsidP="00870388">
      <w:pPr>
        <w:jc w:val="both"/>
        <w:rPr>
          <w:rFonts w:ascii="Verdana" w:eastAsia="Times New Roman" w:hAnsi="Verdana" w:cs="Arial"/>
          <w:lang w:val="es-ES"/>
        </w:rPr>
      </w:pPr>
    </w:p>
    <w:p w14:paraId="57CAE5E3" w14:textId="77777777" w:rsidR="00870388" w:rsidRPr="00870388" w:rsidRDefault="00870388" w:rsidP="00870388">
      <w:pPr>
        <w:jc w:val="both"/>
        <w:rPr>
          <w:rFonts w:ascii="Verdana" w:hAnsi="Verdana" w:cs="Arial"/>
          <w:b/>
          <w:color w:val="000000" w:themeColor="text1"/>
          <w:lang w:val="es-ES_tradnl"/>
        </w:rPr>
      </w:pPr>
    </w:p>
    <w:p w14:paraId="5DDA9108" w14:textId="77777777" w:rsidR="00870388" w:rsidRDefault="00870388" w:rsidP="00025996">
      <w:pPr>
        <w:spacing w:after="0" w:line="240" w:lineRule="auto"/>
        <w:rPr>
          <w:rFonts w:ascii="Verdana" w:hAnsi="Verdana"/>
        </w:rPr>
      </w:pPr>
    </w:p>
    <w:p w14:paraId="413BEB7E" w14:textId="77777777" w:rsidR="00870388" w:rsidRDefault="00870388" w:rsidP="00025996">
      <w:pPr>
        <w:spacing w:after="0" w:line="240" w:lineRule="auto"/>
        <w:rPr>
          <w:rFonts w:ascii="Verdana" w:hAnsi="Verdana"/>
        </w:rPr>
      </w:pPr>
    </w:p>
    <w:p w14:paraId="7217EBD0" w14:textId="77777777" w:rsidR="00870388" w:rsidRDefault="00870388" w:rsidP="00025996">
      <w:pPr>
        <w:spacing w:after="0" w:line="240" w:lineRule="auto"/>
        <w:rPr>
          <w:rFonts w:ascii="Verdana" w:hAnsi="Verdana"/>
        </w:rPr>
      </w:pPr>
    </w:p>
    <w:p w14:paraId="17ED34D6" w14:textId="77777777" w:rsidR="00870388" w:rsidRDefault="00870388" w:rsidP="00025996">
      <w:pPr>
        <w:spacing w:after="0" w:line="240" w:lineRule="auto"/>
        <w:rPr>
          <w:rFonts w:ascii="Verdana" w:hAnsi="Verdana"/>
        </w:rPr>
      </w:pPr>
    </w:p>
    <w:p w14:paraId="56076631" w14:textId="77777777" w:rsidR="00870388" w:rsidRDefault="00870388" w:rsidP="00025996">
      <w:pPr>
        <w:spacing w:after="0" w:line="240" w:lineRule="auto"/>
        <w:rPr>
          <w:rFonts w:ascii="Verdana" w:hAnsi="Verdana"/>
        </w:rPr>
      </w:pPr>
    </w:p>
    <w:p w14:paraId="10DAD158" w14:textId="77777777" w:rsidR="00870388" w:rsidRDefault="00870388" w:rsidP="00025996">
      <w:pPr>
        <w:spacing w:after="0" w:line="240" w:lineRule="auto"/>
        <w:rPr>
          <w:rFonts w:ascii="Verdana" w:hAnsi="Verdana"/>
        </w:rPr>
      </w:pPr>
    </w:p>
    <w:p w14:paraId="05DECE39" w14:textId="77777777" w:rsidR="00870388" w:rsidRDefault="00870388" w:rsidP="00025996">
      <w:pPr>
        <w:spacing w:after="0" w:line="240" w:lineRule="auto"/>
        <w:rPr>
          <w:rFonts w:ascii="Verdana" w:hAnsi="Verdana"/>
        </w:rPr>
      </w:pPr>
    </w:p>
    <w:p w14:paraId="65445DE6" w14:textId="77777777" w:rsidR="00870388" w:rsidRDefault="00870388" w:rsidP="00025996">
      <w:pPr>
        <w:spacing w:after="0" w:line="240" w:lineRule="auto"/>
        <w:rPr>
          <w:rFonts w:ascii="Verdana" w:hAnsi="Verdana"/>
        </w:rPr>
      </w:pPr>
    </w:p>
    <w:p w14:paraId="63403CFA" w14:textId="77777777" w:rsidR="00870388" w:rsidRDefault="00870388" w:rsidP="00025996">
      <w:pPr>
        <w:spacing w:after="0" w:line="240" w:lineRule="auto"/>
        <w:rPr>
          <w:rFonts w:ascii="Verdana" w:hAnsi="Verdana"/>
        </w:rPr>
      </w:pPr>
    </w:p>
    <w:p w14:paraId="158EE876" w14:textId="77777777" w:rsidR="00870388" w:rsidRDefault="00870388" w:rsidP="00025996">
      <w:pPr>
        <w:spacing w:after="0" w:line="240" w:lineRule="auto"/>
        <w:rPr>
          <w:rFonts w:ascii="Verdana" w:hAnsi="Verdana"/>
        </w:rPr>
      </w:pPr>
    </w:p>
    <w:p w14:paraId="7FA73291" w14:textId="77777777" w:rsidR="00870388" w:rsidRDefault="00870388" w:rsidP="00025996">
      <w:pPr>
        <w:spacing w:after="0" w:line="240" w:lineRule="auto"/>
        <w:rPr>
          <w:rFonts w:ascii="Verdana" w:hAnsi="Verdana"/>
        </w:rPr>
      </w:pPr>
    </w:p>
    <w:p w14:paraId="157EAA29" w14:textId="77777777" w:rsidR="00870388" w:rsidRDefault="00870388" w:rsidP="00025996">
      <w:pPr>
        <w:spacing w:after="0" w:line="240" w:lineRule="auto"/>
        <w:rPr>
          <w:rFonts w:ascii="Verdana" w:hAnsi="Verdana"/>
        </w:rPr>
      </w:pPr>
    </w:p>
    <w:p w14:paraId="7AFB3203" w14:textId="5D91FAA1" w:rsidR="00870388" w:rsidRDefault="00870388" w:rsidP="00025996">
      <w:pPr>
        <w:spacing w:after="0" w:line="240" w:lineRule="auto"/>
        <w:rPr>
          <w:rFonts w:ascii="Verdana" w:hAnsi="Verdana"/>
        </w:rPr>
      </w:pPr>
    </w:p>
    <w:p w14:paraId="4448DE4F" w14:textId="77777777" w:rsidR="00870388" w:rsidRDefault="00870388" w:rsidP="00025996">
      <w:pPr>
        <w:spacing w:after="0" w:line="240" w:lineRule="auto"/>
        <w:rPr>
          <w:rFonts w:ascii="Verdana" w:hAnsi="Verdana"/>
        </w:rPr>
      </w:pPr>
    </w:p>
    <w:p w14:paraId="624B9849" w14:textId="3752B51F" w:rsidR="00025996" w:rsidRPr="0024624F" w:rsidRDefault="00870388" w:rsidP="00025996">
      <w:pPr>
        <w:spacing w:after="0" w:line="240" w:lineRule="auto"/>
        <w:rPr>
          <w:rFonts w:ascii="Verdana" w:hAnsi="Verdana"/>
        </w:rPr>
      </w:pPr>
      <w:r>
        <w:rPr>
          <w:rFonts w:ascii="Verdana" w:eastAsia="Calibri" w:hAnsi="Verdana" w:cs="Arial"/>
          <w:b/>
          <w:noProof/>
          <w:lang w:val="de-DE" w:eastAsia="es-ES"/>
        </w:rPr>
        <w:lastRenderedPageBreak/>
        <w:drawing>
          <wp:anchor distT="0" distB="0" distL="114300" distR="114300" simplePos="0" relativeHeight="251658240" behindDoc="0" locked="0" layoutInCell="1" allowOverlap="1" wp14:anchorId="22D4C2B2" wp14:editId="5913C633">
            <wp:simplePos x="0" y="0"/>
            <wp:positionH relativeFrom="column">
              <wp:posOffset>2858477</wp:posOffset>
            </wp:positionH>
            <wp:positionV relativeFrom="paragraph">
              <wp:posOffset>101307</wp:posOffset>
            </wp:positionV>
            <wp:extent cx="2559050" cy="812800"/>
            <wp:effectExtent l="0" t="0" r="0" b="635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0">
                      <a:extLst>
                        <a:ext uri="{28A0092B-C50C-407E-A947-70E740481C1C}">
                          <a14:useLocalDpi xmlns:a14="http://schemas.microsoft.com/office/drawing/2010/main" val="0"/>
                        </a:ext>
                      </a:extLst>
                    </a:blip>
                    <a:stretch>
                      <a:fillRect/>
                    </a:stretch>
                  </pic:blipFill>
                  <pic:spPr>
                    <a:xfrm>
                      <a:off x="0" y="0"/>
                      <a:ext cx="2559050" cy="812800"/>
                    </a:xfrm>
                    <a:prstGeom prst="rect">
                      <a:avLst/>
                    </a:prstGeom>
                  </pic:spPr>
                </pic:pic>
              </a:graphicData>
            </a:graphic>
            <wp14:sizeRelH relativeFrom="page">
              <wp14:pctWidth>0</wp14:pctWidth>
            </wp14:sizeRelH>
            <wp14:sizeRelV relativeFrom="page">
              <wp14:pctHeight>0</wp14:pctHeight>
            </wp14:sizeRelV>
          </wp:anchor>
        </w:drawing>
      </w:r>
      <w:r w:rsidR="00D22F47" w:rsidRPr="0024624F">
        <w:rPr>
          <w:rFonts w:ascii="Verdana" w:hAnsi="Verdana"/>
        </w:rPr>
        <w:t xml:space="preserve">Bogotá D.C., </w:t>
      </w:r>
      <w:r w:rsidR="00E831F5">
        <w:rPr>
          <w:rFonts w:ascii="Verdana" w:hAnsi="Verdana"/>
        </w:rPr>
        <w:t>04 Diciembre 2025</w:t>
      </w:r>
    </w:p>
    <w:p w14:paraId="091E0DC0" w14:textId="2DCA2145" w:rsidR="00025996" w:rsidRPr="0024624F" w:rsidRDefault="00025996" w:rsidP="00025996">
      <w:pPr>
        <w:spacing w:after="0" w:line="240" w:lineRule="auto"/>
        <w:rPr>
          <w:rFonts w:ascii="Verdana" w:hAnsi="Verdana"/>
        </w:rPr>
      </w:pPr>
    </w:p>
    <w:bookmarkEnd w:id="0"/>
    <w:p w14:paraId="6102416F" w14:textId="3E83DC30" w:rsidR="00025996" w:rsidRPr="0051487B" w:rsidRDefault="00025996" w:rsidP="00025996">
      <w:pPr>
        <w:spacing w:after="0" w:line="240" w:lineRule="auto"/>
        <w:jc w:val="both"/>
        <w:rPr>
          <w:rFonts w:ascii="Verdana" w:eastAsia="Calibri" w:hAnsi="Verdana" w:cs="Arial"/>
          <w:lang w:val="de-DE" w:eastAsia="es-ES"/>
        </w:rPr>
      </w:pPr>
      <w:r w:rsidRPr="0051487B">
        <w:rPr>
          <w:rFonts w:ascii="Verdana" w:eastAsia="Calibri" w:hAnsi="Verdana" w:cs="Arial"/>
          <w:lang w:val="de-DE" w:eastAsia="es-ES"/>
        </w:rPr>
        <w:t>Señor</w:t>
      </w:r>
    </w:p>
    <w:p w14:paraId="2E95327E" w14:textId="0CF682CA" w:rsidR="00025996" w:rsidRPr="0051487B" w:rsidRDefault="00025996" w:rsidP="00025996">
      <w:pPr>
        <w:spacing w:after="0" w:line="240" w:lineRule="auto"/>
        <w:rPr>
          <w:rFonts w:ascii="Verdana" w:eastAsia="Calibri" w:hAnsi="Verdana" w:cs="Arial"/>
          <w:b/>
          <w:lang w:val="de-DE" w:eastAsia="es-ES"/>
        </w:rPr>
      </w:pPr>
      <w:r w:rsidRPr="0051487B">
        <w:rPr>
          <w:rFonts w:ascii="Verdana" w:eastAsia="Calibri" w:hAnsi="Verdana" w:cs="Arial"/>
          <w:b/>
          <w:lang w:val="de-DE" w:eastAsia="es-ES"/>
        </w:rPr>
        <w:t>Mi</w:t>
      </w:r>
      <w:r>
        <w:rPr>
          <w:rFonts w:ascii="Verdana" w:eastAsia="Calibri" w:hAnsi="Verdana" w:cs="Arial"/>
          <w:b/>
          <w:lang w:val="de-DE" w:eastAsia="es-ES"/>
        </w:rPr>
        <w:t>guel Augusto Toloza Chavarro</w:t>
      </w:r>
    </w:p>
    <w:p w14:paraId="2CBEC638" w14:textId="77777777" w:rsidR="00025996" w:rsidRPr="0051487B" w:rsidRDefault="00D24D5E" w:rsidP="00025996">
      <w:pPr>
        <w:spacing w:after="0" w:line="240" w:lineRule="auto"/>
        <w:rPr>
          <w:rFonts w:ascii="Verdana" w:hAnsi="Verdana" w:cs="ArialMT"/>
          <w:lang w:val="de-DE"/>
        </w:rPr>
      </w:pPr>
      <w:hyperlink r:id="rId11" w:history="1">
        <w:r w:rsidR="00025996" w:rsidRPr="00F92FED">
          <w:rPr>
            <w:rStyle w:val="Hipervnculo"/>
            <w:rFonts w:ascii="Verdana" w:hAnsi="Verdana" w:cs="ArialMT"/>
            <w:lang w:val="de-DE"/>
          </w:rPr>
          <w:t>migaugtolcha@gmail.com</w:t>
        </w:r>
      </w:hyperlink>
      <w:r w:rsidR="00025996">
        <w:rPr>
          <w:rFonts w:ascii="Verdana" w:hAnsi="Verdana" w:cs="ArialMT"/>
          <w:lang w:val="de-DE"/>
        </w:rPr>
        <w:t xml:space="preserve"> </w:t>
      </w:r>
      <w:r w:rsidR="00025996" w:rsidRPr="0051487B">
        <w:rPr>
          <w:rFonts w:ascii="Verdana" w:hAnsi="Verdana" w:cs="ArialMT"/>
          <w:lang w:val="de-DE"/>
        </w:rPr>
        <w:t xml:space="preserve">   </w:t>
      </w:r>
    </w:p>
    <w:p w14:paraId="2DC71FE5" w14:textId="77777777" w:rsidR="00025996" w:rsidRPr="00C53B42" w:rsidRDefault="00025996" w:rsidP="00025996">
      <w:pPr>
        <w:spacing w:after="0" w:line="240" w:lineRule="auto"/>
        <w:rPr>
          <w:rFonts w:ascii="Verdana" w:hAnsi="Verdana" w:cs="ArialMT"/>
        </w:rPr>
      </w:pPr>
      <w:r>
        <w:rPr>
          <w:rFonts w:ascii="Verdana" w:eastAsia="Calibri" w:hAnsi="Verdana" w:cs="Arial"/>
          <w:lang w:val="es-ES" w:eastAsia="es-ES"/>
        </w:rPr>
        <w:t>Bogotá D.C.</w:t>
      </w:r>
    </w:p>
    <w:p w14:paraId="4B1F6DF5" w14:textId="77777777" w:rsidR="00025996" w:rsidRPr="00C53B42" w:rsidRDefault="00025996" w:rsidP="0002599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025996" w:rsidRPr="00C53B42" w14:paraId="074C6F82" w14:textId="77777777" w:rsidTr="00251F32">
        <w:trPr>
          <w:trHeight w:val="218"/>
        </w:trPr>
        <w:tc>
          <w:tcPr>
            <w:tcW w:w="2175" w:type="dxa"/>
          </w:tcPr>
          <w:p w14:paraId="0FCA1AB6" w14:textId="77777777" w:rsidR="00025996" w:rsidRPr="00C53B42" w:rsidRDefault="00025996" w:rsidP="00251F32">
            <w:pPr>
              <w:jc w:val="both"/>
              <w:rPr>
                <w:rFonts w:ascii="Verdana" w:eastAsia="Calibri" w:hAnsi="Verdana" w:cs="Arial"/>
                <w:b/>
                <w:bCs/>
                <w:color w:val="7030A0"/>
                <w:lang w:val="es-ES_tradnl" w:eastAsia="es-ES_tradnl"/>
              </w:rPr>
            </w:pPr>
          </w:p>
        </w:tc>
        <w:tc>
          <w:tcPr>
            <w:tcW w:w="6614" w:type="dxa"/>
            <w:hideMark/>
          </w:tcPr>
          <w:p w14:paraId="576F6F43" w14:textId="77777777" w:rsidR="00025996" w:rsidRDefault="00025996" w:rsidP="00251F32">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1560</w:t>
            </w:r>
            <w:r w:rsidRPr="00C53B42">
              <w:rPr>
                <w:rFonts w:ascii="Verdana" w:eastAsia="Calibri" w:hAnsi="Verdana" w:cs="Arial"/>
                <w:b/>
                <w:bCs/>
                <w:lang w:val="es-ES" w:eastAsia="es-ES"/>
              </w:rPr>
              <w:t xml:space="preserve"> de 2025</w:t>
            </w:r>
          </w:p>
          <w:p w14:paraId="690C518D" w14:textId="77777777" w:rsidR="00025996" w:rsidRPr="00C53B42" w:rsidRDefault="00025996" w:rsidP="00251F32">
            <w:pPr>
              <w:jc w:val="both"/>
              <w:rPr>
                <w:rFonts w:ascii="Verdana" w:eastAsia="Calibri" w:hAnsi="Verdana" w:cs="Arial"/>
                <w:b/>
                <w:bCs/>
                <w:lang w:val="es-ES" w:eastAsia="es-ES"/>
              </w:rPr>
            </w:pPr>
          </w:p>
          <w:p w14:paraId="18A183DD" w14:textId="77777777" w:rsidR="00025996" w:rsidRPr="00C53B42" w:rsidRDefault="00025996" w:rsidP="00251F32">
            <w:pPr>
              <w:jc w:val="both"/>
              <w:rPr>
                <w:rFonts w:ascii="Verdana" w:eastAsia="Calibri" w:hAnsi="Verdana" w:cs="Arial"/>
                <w:b/>
                <w:bCs/>
                <w:lang w:val="es-ES" w:eastAsia="es-ES"/>
              </w:rPr>
            </w:pPr>
          </w:p>
        </w:tc>
      </w:tr>
      <w:tr w:rsidR="00025996" w:rsidRPr="00C53B42" w14:paraId="6785AB1C" w14:textId="77777777" w:rsidTr="00251F32">
        <w:trPr>
          <w:trHeight w:val="884"/>
        </w:trPr>
        <w:tc>
          <w:tcPr>
            <w:tcW w:w="2175" w:type="dxa"/>
            <w:hideMark/>
          </w:tcPr>
          <w:p w14:paraId="1A5E86E0" w14:textId="77777777" w:rsidR="00025996" w:rsidRPr="00C53B42" w:rsidRDefault="00025996" w:rsidP="00251F32">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3768FF24" w14:textId="77777777" w:rsidR="00025996" w:rsidRDefault="00025996" w:rsidP="00251F32">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GARANTÍAS ELECTORALES ‒ Finalidad / LEY DE GARANTÍAS ELECTORALES </w:t>
            </w:r>
            <w:r w:rsidRPr="001D2E34">
              <w:rPr>
                <w:rFonts w:ascii="Verdana" w:hAnsi="Verdana" w:cs="Arial"/>
                <w:bCs/>
                <w:color w:val="000000" w:themeColor="text1"/>
                <w:lang w:val="es-ES_tradnl"/>
              </w:rPr>
              <w:t>‒ Tipos de restricciones – Sociedades de economía mixta</w:t>
            </w:r>
          </w:p>
          <w:p w14:paraId="5210D1A8" w14:textId="77777777" w:rsidR="00025996" w:rsidRDefault="00025996" w:rsidP="00251F32">
            <w:pPr>
              <w:jc w:val="both"/>
              <w:rPr>
                <w:rFonts w:ascii="Verdana" w:hAnsi="Verdana" w:cs="Arial"/>
                <w:bCs/>
                <w:color w:val="000000" w:themeColor="text1"/>
                <w:lang w:val="es-ES_tradnl"/>
              </w:rPr>
            </w:pPr>
          </w:p>
          <w:p w14:paraId="6A48021B" w14:textId="77777777" w:rsidR="00025996" w:rsidRPr="00C53B42" w:rsidRDefault="00025996" w:rsidP="00251F32">
            <w:pPr>
              <w:jc w:val="both"/>
              <w:rPr>
                <w:rFonts w:ascii="Verdana" w:eastAsia="Calibri" w:hAnsi="Verdana" w:cs="Arial"/>
                <w:lang w:val="es-ES" w:eastAsia="es-ES"/>
              </w:rPr>
            </w:pPr>
          </w:p>
        </w:tc>
      </w:tr>
      <w:tr w:rsidR="00025996" w14:paraId="16F0F8DE" w14:textId="77777777" w:rsidTr="00251F32">
        <w:trPr>
          <w:trHeight w:val="360"/>
        </w:trPr>
        <w:tc>
          <w:tcPr>
            <w:tcW w:w="2175" w:type="dxa"/>
            <w:hideMark/>
          </w:tcPr>
          <w:p w14:paraId="0E024131" w14:textId="77777777" w:rsidR="00025996" w:rsidRPr="00C53B42" w:rsidRDefault="00025996" w:rsidP="00251F32">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078BBD7C" w14:textId="354E9B3A" w:rsidR="00025996" w:rsidRPr="00C53B42" w:rsidRDefault="00025996" w:rsidP="00251F32">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4D28A6">
              <w:rPr>
                <w:rFonts w:ascii="Verdana" w:eastAsia="Calibri" w:hAnsi="Verdana" w:cs="Arial"/>
                <w:lang w:val="es-ES_tradnl" w:eastAsia="es-ES_tradnl"/>
              </w:rPr>
              <w:t>1_2025_10_24_011974</w:t>
            </w:r>
            <w:r w:rsidR="004D28A6">
              <w:rPr>
                <w:rFonts w:ascii="Verdana" w:eastAsia="Calibri" w:hAnsi="Verdana" w:cs="Arial"/>
                <w:lang w:val="es-ES_tradnl" w:eastAsia="es-ES_tradnl"/>
              </w:rPr>
              <w:t xml:space="preserve"> y </w:t>
            </w:r>
            <w:r w:rsidR="004D28A6">
              <w:rPr>
                <w:rFonts w:ascii="Verdana" w:hAnsi="Verdana" w:cs="Calibri"/>
                <w:color w:val="000000"/>
              </w:rPr>
              <w:t>1_2025_10_24_011975 (Acumuladas)</w:t>
            </w:r>
          </w:p>
        </w:tc>
      </w:tr>
    </w:tbl>
    <w:p w14:paraId="358826AE" w14:textId="77777777" w:rsidR="00025996" w:rsidRDefault="00025996" w:rsidP="00025996">
      <w:pPr>
        <w:spacing w:after="0" w:line="240" w:lineRule="auto"/>
        <w:jc w:val="both"/>
        <w:rPr>
          <w:rFonts w:ascii="Verdana" w:eastAsia="Calibri" w:hAnsi="Verdana" w:cs="Arial"/>
          <w:color w:val="000000"/>
          <w:lang w:val="es-ES_tradnl" w:eastAsia="es-ES_tradnl"/>
        </w:rPr>
      </w:pPr>
    </w:p>
    <w:p w14:paraId="4340A65F" w14:textId="77777777" w:rsidR="00025996" w:rsidRDefault="00025996" w:rsidP="00025996">
      <w:pPr>
        <w:spacing w:after="0" w:line="240" w:lineRule="auto"/>
        <w:jc w:val="both"/>
        <w:rPr>
          <w:rFonts w:ascii="Verdana" w:eastAsia="Calibri" w:hAnsi="Verdana" w:cs="Arial"/>
          <w:color w:val="000000"/>
          <w:lang w:val="es-ES_tradnl" w:eastAsia="es-ES_tradnl"/>
        </w:rPr>
      </w:pPr>
    </w:p>
    <w:p w14:paraId="223B5717" w14:textId="77777777" w:rsidR="00025996" w:rsidRDefault="00025996" w:rsidP="00025996">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Toloza,</w:t>
      </w:r>
    </w:p>
    <w:p w14:paraId="5988D942" w14:textId="77777777" w:rsidR="00025996" w:rsidRDefault="00025996" w:rsidP="0002599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20392E3" w14:textId="77777777" w:rsidR="00025996" w:rsidRDefault="00025996" w:rsidP="00025996">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trasladada por la Procuraduría General de la Nación el 24 de octubre de 2025, en la cual manifiesta lo siguiente: </w:t>
      </w:r>
    </w:p>
    <w:p w14:paraId="0E270D79" w14:textId="77777777" w:rsidR="00025996" w:rsidRDefault="00025996" w:rsidP="0002599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B3C89F1" w14:textId="77777777" w:rsidR="00025996" w:rsidRDefault="00025996" w:rsidP="00025996">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 xml:space="preserve">“[…] </w:t>
      </w:r>
      <w:r w:rsidRPr="00887C06">
        <w:rPr>
          <w:rFonts w:ascii="Verdana" w:eastAsia="Century Gothic" w:hAnsi="Verdana" w:cs="Century Gothic"/>
          <w:sz w:val="20"/>
          <w:szCs w:val="20"/>
          <w:lang w:val="es-ES"/>
        </w:rPr>
        <w:t>elevo la siguiente solicitud de concepto ¿una sociedad de economía mixta con participación superior al 50% de recursos públicos es susceptible de la aplicación de la ley de garantidas?, teniendo en cuenta que estas se encuentran sujetas a régimen privado de contratación, lo cual me deja el siguiente interrogante: ¿Los contratos de prestación de servicios (OPS), contratos laborales, suministro, compraventa y arrendamiento suscritos bajo el régimen de contratación privado son susceptibles de la aplicación de la ley de garantías?</w:t>
      </w:r>
      <w:r>
        <w:rPr>
          <w:rFonts w:ascii="Verdana" w:eastAsia="Century Gothic" w:hAnsi="Verdana" w:cs="Century Gothic"/>
          <w:sz w:val="20"/>
          <w:szCs w:val="20"/>
          <w:lang w:val="es-ES"/>
        </w:rPr>
        <w:t>”</w:t>
      </w:r>
    </w:p>
    <w:p w14:paraId="2C8491C2" w14:textId="77777777" w:rsidR="00025996" w:rsidRPr="00924340" w:rsidRDefault="00025996" w:rsidP="00025996">
      <w:pPr>
        <w:autoSpaceDE w:val="0"/>
        <w:autoSpaceDN w:val="0"/>
        <w:adjustRightInd w:val="0"/>
        <w:spacing w:after="0" w:line="276" w:lineRule="auto"/>
        <w:ind w:left="851" w:right="616"/>
        <w:jc w:val="both"/>
        <w:rPr>
          <w:rFonts w:ascii="Verdana" w:eastAsia="Century Gothic" w:hAnsi="Verdana" w:cs="Century Gothic"/>
          <w:b/>
        </w:rPr>
      </w:pPr>
    </w:p>
    <w:p w14:paraId="74D88395" w14:textId="77777777" w:rsidR="00025996" w:rsidRDefault="00025996" w:rsidP="00025996">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313CEF9A" w14:textId="77777777" w:rsidR="00025996" w:rsidRDefault="00025996" w:rsidP="00025996">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09C0C62F" w14:textId="77777777" w:rsidR="00025996" w:rsidRDefault="00025996" w:rsidP="00025996">
      <w:pPr>
        <w:spacing w:after="0" w:line="276" w:lineRule="auto"/>
        <w:ind w:firstLine="709"/>
        <w:jc w:val="both"/>
        <w:rPr>
          <w:rFonts w:ascii="Verdana" w:eastAsia="Calibri" w:hAnsi="Verdana" w:cs="Arial"/>
          <w:color w:val="000000"/>
          <w:lang w:val="es-ES" w:eastAsia="es-ES"/>
        </w:rPr>
      </w:pPr>
    </w:p>
    <w:p w14:paraId="437FA761" w14:textId="77777777" w:rsidR="00025996" w:rsidRDefault="00025996" w:rsidP="0002599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134517D2" w14:textId="77777777" w:rsidR="00025996" w:rsidRDefault="00025996" w:rsidP="00025996">
      <w:pPr>
        <w:tabs>
          <w:tab w:val="left" w:pos="426"/>
        </w:tabs>
        <w:spacing w:after="0" w:line="276" w:lineRule="auto"/>
        <w:jc w:val="both"/>
        <w:rPr>
          <w:rFonts w:ascii="Verdana" w:eastAsia="Century Gothic" w:hAnsi="Verdana" w:cs="Century Gothic"/>
          <w:lang w:val="es-ES"/>
        </w:rPr>
      </w:pPr>
    </w:p>
    <w:p w14:paraId="5CAF9620" w14:textId="7B3D0AD9" w:rsidR="00025996" w:rsidRDefault="00025996" w:rsidP="00025996">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los siguientes problemas jurídicos: </w:t>
      </w:r>
      <w:r w:rsidRPr="005649AA">
        <w:rPr>
          <w:rFonts w:ascii="Verdana" w:eastAsia="Century Gothic" w:hAnsi="Verdana" w:cs="Century Gothic"/>
        </w:rPr>
        <w:t xml:space="preserve">¿Las restricciones contenidas en la Ley de Garantías Electorales en materia de </w:t>
      </w:r>
      <w:r>
        <w:rPr>
          <w:rFonts w:ascii="Verdana" w:eastAsia="Century Gothic" w:hAnsi="Verdana" w:cs="Century Gothic"/>
        </w:rPr>
        <w:t xml:space="preserve">contratación directa y celebración de convenios </w:t>
      </w:r>
      <w:r w:rsidRPr="005649AA">
        <w:rPr>
          <w:rFonts w:ascii="Verdana" w:eastAsia="Century Gothic" w:hAnsi="Verdana" w:cs="Century Gothic"/>
        </w:rPr>
        <w:t xml:space="preserve">son aplicables a </w:t>
      </w:r>
      <w:r>
        <w:rPr>
          <w:rFonts w:ascii="Verdana" w:eastAsia="Century Gothic" w:hAnsi="Verdana" w:cs="Century Gothic"/>
        </w:rPr>
        <w:t>una sociedad de economía mixta</w:t>
      </w:r>
      <w:r w:rsidRPr="005649AA">
        <w:rPr>
          <w:rFonts w:ascii="Verdana" w:eastAsia="Century Gothic" w:hAnsi="Verdana" w:cs="Century Gothic"/>
        </w:rPr>
        <w:t>?</w:t>
      </w:r>
    </w:p>
    <w:p w14:paraId="571F245D" w14:textId="77777777" w:rsidR="00025996" w:rsidRDefault="00025996" w:rsidP="00025996">
      <w:pPr>
        <w:spacing w:after="0" w:line="276" w:lineRule="auto"/>
        <w:jc w:val="both"/>
        <w:rPr>
          <w:rFonts w:ascii="Verdana" w:eastAsia="Calibri" w:hAnsi="Verdana" w:cs="Arial"/>
          <w:color w:val="7030A0"/>
          <w:lang w:val="es-ES"/>
        </w:rPr>
      </w:pPr>
    </w:p>
    <w:p w14:paraId="60C2DC59" w14:textId="77777777" w:rsidR="00025996" w:rsidRDefault="00025996" w:rsidP="0002599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2E8C36FF" w14:textId="77777777" w:rsidR="00025996" w:rsidRDefault="00025996" w:rsidP="0002599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25996" w:rsidRPr="00DE5508" w14:paraId="499B71A1" w14:textId="77777777" w:rsidTr="00251F32">
        <w:tc>
          <w:tcPr>
            <w:tcW w:w="8828" w:type="dxa"/>
            <w:tcBorders>
              <w:top w:val="dotted" w:sz="4" w:space="0" w:color="auto"/>
              <w:left w:val="dotted" w:sz="4" w:space="0" w:color="auto"/>
              <w:bottom w:val="dotted" w:sz="4" w:space="0" w:color="auto"/>
              <w:right w:val="dotted" w:sz="4" w:space="0" w:color="auto"/>
            </w:tcBorders>
          </w:tcPr>
          <w:p w14:paraId="03D4BA29" w14:textId="16F1766E" w:rsidR="00476C78" w:rsidRDefault="00476C78" w:rsidP="00251F32">
            <w:pPr>
              <w:spacing w:after="120" w:line="276" w:lineRule="auto"/>
              <w:jc w:val="both"/>
              <w:rPr>
                <w:rFonts w:ascii="Verdana" w:eastAsia="Times New Roman" w:hAnsi="Verdana" w:cs="Open Sans"/>
                <w:lang w:eastAsia="es-CO"/>
              </w:rPr>
            </w:pPr>
            <w:r>
              <w:rPr>
                <w:rFonts w:ascii="Verdana" w:eastAsia="Times New Roman" w:hAnsi="Verdana" w:cs="Open Sans"/>
                <w:lang w:eastAsia="es-CO"/>
              </w:rPr>
              <w:t xml:space="preserve">En relación con las prohibiciones consagradas en la Ley de Garantías Electorales en materia de contratación estatal debe señalarse que: </w:t>
            </w:r>
          </w:p>
          <w:p w14:paraId="5426A75B" w14:textId="0C967A0B" w:rsidR="00025996" w:rsidRDefault="00025996" w:rsidP="00251F32">
            <w:pPr>
              <w:spacing w:after="120" w:line="276" w:lineRule="auto"/>
              <w:jc w:val="both"/>
              <w:rPr>
                <w:rFonts w:ascii="Verdana" w:eastAsia="Times New Roman" w:hAnsi="Verdana" w:cs="Open Sans"/>
                <w:lang w:eastAsia="es-CO"/>
              </w:rPr>
            </w:pPr>
            <w:r w:rsidRPr="00DE5508">
              <w:rPr>
                <w:rFonts w:ascii="Verdana" w:eastAsia="Times New Roman" w:hAnsi="Verdana" w:cs="Open Sans"/>
                <w:lang w:eastAsia="es-CO"/>
              </w:rPr>
              <w:t xml:space="preserve">El artículo 33 de la Ley 996 de 2205 prohíbe la contratación directa por parte de todos los Entes Estatales durante los cuatro </w:t>
            </w:r>
            <w:r>
              <w:rPr>
                <w:rFonts w:ascii="Verdana" w:eastAsia="Times New Roman" w:hAnsi="Verdana" w:cs="Open Sans"/>
                <w:lang w:eastAsia="es-CO"/>
              </w:rPr>
              <w:t>(4)</w:t>
            </w:r>
            <w:r w:rsidRPr="00DE5508">
              <w:rPr>
                <w:rFonts w:ascii="Verdana" w:eastAsia="Times New Roman" w:hAnsi="Verdana" w:cs="Open Sans"/>
                <w:lang w:eastAsia="es-CO"/>
              </w:rPr>
              <w:t xml:space="preserve">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incluya la convocatoria pública en alguna de sus etapas, ni permita la participación de una pluralidad de oferentes. </w:t>
            </w:r>
          </w:p>
          <w:p w14:paraId="69EF3C47" w14:textId="77777777" w:rsidR="00025996" w:rsidRDefault="00025996" w:rsidP="00251F32">
            <w:pPr>
              <w:spacing w:after="120" w:line="276" w:lineRule="auto"/>
              <w:ind w:firstLine="709"/>
              <w:jc w:val="both"/>
              <w:rPr>
                <w:rFonts w:ascii="Verdana" w:hAnsi="Verdana"/>
              </w:rPr>
            </w:pPr>
            <w:r>
              <w:rPr>
                <w:rFonts w:ascii="Verdana" w:eastAsia="Times New Roman" w:hAnsi="Verdana" w:cs="Open Sans"/>
                <w:lang w:eastAsia="es-CO"/>
              </w:rPr>
              <w:lastRenderedPageBreak/>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19E8510D" w14:textId="77777777" w:rsidR="00025996" w:rsidRPr="00C40D52" w:rsidRDefault="00025996" w:rsidP="00251F32">
            <w:pPr>
              <w:spacing w:after="120" w:line="276" w:lineRule="auto"/>
              <w:ind w:firstLine="709"/>
              <w:jc w:val="both"/>
              <w:rPr>
                <w:rFonts w:ascii="Verdana" w:eastAsia="Times New Roman" w:hAnsi="Verdana" w:cs="Arial"/>
                <w:lang w:val="es-ES"/>
              </w:rPr>
            </w:pPr>
            <w:r w:rsidRPr="00C40D52">
              <w:rPr>
                <w:rFonts w:ascii="Verdana" w:eastAsia="Times New Roman" w:hAnsi="Verdana" w:cs="Arial"/>
                <w:lang w:val="es-ES"/>
              </w:rPr>
              <w:t>En consecuencia, las restricciones a la contratación contenidas en la Ley de Garantías Electorales son aplicables a entidades descentralizadas como las sociedades de economía mixta.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007A30B9" w14:textId="6FD623E2" w:rsidR="00025996" w:rsidRPr="00DE5508" w:rsidRDefault="00B64AAE" w:rsidP="00251F32">
            <w:pPr>
              <w:pStyle w:val="Prrafodelista"/>
              <w:spacing w:after="120" w:line="276" w:lineRule="auto"/>
              <w:ind w:left="0" w:firstLine="709"/>
              <w:contextualSpacing w:val="0"/>
              <w:jc w:val="both"/>
              <w:rPr>
                <w:rFonts w:ascii="Verdana" w:eastAsia="Times New Roman" w:hAnsi="Verdana" w:cs="Arial"/>
                <w:lang w:val="es-MX" w:eastAsia="es-CO"/>
              </w:rPr>
            </w:pPr>
            <w:r>
              <w:rPr>
                <w:rFonts w:ascii="Verdana" w:hAnsi="Verdana" w:cs="BCDHEE+Verdana"/>
                <w:color w:val="000000"/>
                <w:lang w:val="es-CO"/>
              </w:rPr>
              <w:t>En ese sentido, debe señalarse que, p</w:t>
            </w:r>
            <w:r w:rsidR="00025996" w:rsidRPr="00DE5508">
              <w:rPr>
                <w:rFonts w:ascii="Verdana" w:hAnsi="Verdana" w:cs="BCDHEE+Verdana"/>
                <w:color w:val="000000"/>
                <w:lang w:val="es-CO"/>
              </w:rPr>
              <w:t xml:space="preserve">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sidR="00025996">
              <w:rPr>
                <w:rFonts w:ascii="Verdana" w:hAnsi="Verdana" w:cs="BCDHEE+Verdana"/>
                <w:color w:val="000000"/>
                <w:lang w:val="es-CO"/>
              </w:rPr>
              <w:t>cuatro (</w:t>
            </w:r>
            <w:r w:rsidR="00025996" w:rsidRPr="00DE5508">
              <w:rPr>
                <w:rFonts w:ascii="Verdana" w:hAnsi="Verdana" w:cs="BCDHEE+Verdana"/>
                <w:color w:val="000000"/>
                <w:lang w:val="es-CO"/>
              </w:rPr>
              <w:t>4</w:t>
            </w:r>
            <w:r w:rsidR="00025996">
              <w:rPr>
                <w:rFonts w:ascii="Verdana" w:hAnsi="Verdana" w:cs="BCDHEE+Verdana"/>
                <w:color w:val="000000"/>
                <w:lang w:val="es-CO"/>
              </w:rPr>
              <w:t>)</w:t>
            </w:r>
            <w:r w:rsidR="00025996" w:rsidRPr="00DE5508">
              <w:rPr>
                <w:rFonts w:ascii="Verdana" w:hAnsi="Verdana" w:cs="BCDHEE+Verdana"/>
                <w:color w:val="000000"/>
                <w:lang w:val="es-CO"/>
              </w:rPr>
              <w:t xml:space="preserve"> meses anteriores a la elección presidencial, es decir desde el 31 de enero de 2026 y hasta el momento de la celebración de la segunda vuelta, si fuere el caso, queda prohibida la contratación directa por parte de todos los entes del Estado</w:t>
            </w:r>
            <w:r w:rsidR="00025996">
              <w:rPr>
                <w:rFonts w:ascii="Verdana" w:hAnsi="Verdana" w:cs="BCDHEE+Verdana"/>
                <w:color w:val="000000"/>
                <w:lang w:val="es-CO"/>
              </w:rPr>
              <w:t>.</w:t>
            </w:r>
          </w:p>
          <w:p w14:paraId="6AABEA3E" w14:textId="77777777" w:rsidR="00025996" w:rsidRDefault="00025996" w:rsidP="00251F32">
            <w:pPr>
              <w:spacing w:after="120" w:line="276" w:lineRule="auto"/>
              <w:ind w:firstLine="709"/>
              <w:jc w:val="both"/>
              <w:rPr>
                <w:rFonts w:ascii="Verdana" w:eastAsia="Arial" w:hAnsi="Verdana" w:cs="Arial"/>
                <w:color w:val="000000"/>
              </w:rPr>
            </w:pPr>
            <w:r>
              <w:rPr>
                <w:rFonts w:ascii="Verdana" w:hAnsi="Verdana" w:cs="BCDHEE+Verdana"/>
                <w:color w:val="000000"/>
              </w:rPr>
              <w:t xml:space="preserve">Por otro lado, el parágrafo del artículo 38 de la Ley 996 de 2005 </w:t>
            </w:r>
            <w:r w:rsidRPr="00DE5508">
              <w:rPr>
                <w:rFonts w:ascii="Verdana" w:hAnsi="Verdana" w:cs="BCDHEE+Verdana"/>
                <w:color w:val="000000"/>
              </w:rPr>
              <w:t xml:space="preserve">prohíbe a los gobernadores, alcaldes municipales o distritales, secretarios, gerentes y directores de entidades descentralizadas del orden municipal, departamental o distrital </w:t>
            </w:r>
            <w:r w:rsidRPr="007A3B8C">
              <w:rPr>
                <w:rFonts w:ascii="Verdana" w:eastAsia="Arial" w:hAnsi="Verdana" w:cs="Arial"/>
                <w:color w:val="000000"/>
              </w:rPr>
              <w:t xml:space="preserve">“[…] celebrar </w:t>
            </w:r>
            <w:r w:rsidRPr="00122AC1">
              <w:rPr>
                <w:rFonts w:ascii="Verdana" w:eastAsia="Arial" w:hAnsi="Verdana" w:cs="Arial"/>
                <w:i/>
                <w:color w:val="000000"/>
              </w:rPr>
              <w:t xml:space="preserve">convenios interadministrativos </w:t>
            </w:r>
            <w:r w:rsidRPr="007A3B8C">
              <w:rPr>
                <w:rFonts w:ascii="Verdana" w:eastAsia="Arial" w:hAnsi="Verdana" w:cs="Arial"/>
                <w:color w:val="000000"/>
              </w:rPr>
              <w:t>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Arial" w:hAnsi="Verdana" w:cs="Arial"/>
                <w:color w:val="000000"/>
              </w:rPr>
              <w:t xml:space="preserve"> </w:t>
            </w:r>
          </w:p>
          <w:p w14:paraId="60463FD6" w14:textId="77777777" w:rsidR="00025996" w:rsidRPr="00F2587B" w:rsidRDefault="00025996" w:rsidP="00251F32">
            <w:pPr>
              <w:spacing w:after="120" w:line="276" w:lineRule="auto"/>
              <w:ind w:firstLine="709"/>
              <w:jc w:val="both"/>
              <w:rPr>
                <w:rFonts w:ascii="Verdana" w:eastAsia="Arial" w:hAnsi="Verdana" w:cs="Arial"/>
                <w:color w:val="000000"/>
              </w:rPr>
            </w:pPr>
            <w:r>
              <w:rPr>
                <w:rFonts w:ascii="Verdana" w:hAnsi="Verdana" w:cs="BCDHEE+Verdana"/>
                <w:color w:val="000000"/>
              </w:rPr>
              <w:lastRenderedPageBreak/>
              <w:t>P</w:t>
            </w:r>
            <w:r w:rsidRPr="00DE5508">
              <w:rPr>
                <w:rFonts w:ascii="Verdana" w:hAnsi="Verdana" w:cs="BCDHEE+Verdana"/>
                <w:color w:val="000000"/>
              </w:rPr>
              <w:t>ara las elecciones al Congreso de la República que serán el 8 de marzo de 2026,</w:t>
            </w:r>
            <w:r>
              <w:rPr>
                <w:rFonts w:ascii="Verdana" w:hAnsi="Verdana" w:cs="BCDHEE+Verdana"/>
                <w:color w:val="000000"/>
              </w:rPr>
              <w:t xml:space="preserve"> según calendario electoral fijado por </w:t>
            </w:r>
            <w:r w:rsidRPr="00DE5508">
              <w:rPr>
                <w:rFonts w:ascii="Verdana" w:hAnsi="Verdana" w:cs="BCDHEE+Verdana"/>
                <w:color w:val="000000"/>
              </w:rPr>
              <w:t>el Consejo Nacional Electoral mediante Resolución No. 2581 del 5 de marzo de 2025, de acuerdo con el artículo 38 de la Ley 996 de 2005,</w:t>
            </w:r>
            <w:r>
              <w:rPr>
                <w:rFonts w:ascii="Verdana" w:hAnsi="Verdana" w:cs="BCDHEE+Verdana"/>
                <w:color w:val="000000"/>
              </w:rPr>
              <w:t xml:space="preserve"> Por lo cual la anterior restricción </w:t>
            </w:r>
            <w:r w:rsidRPr="00DE5508">
              <w:rPr>
                <w:rFonts w:ascii="Verdana" w:hAnsi="Verdana" w:cs="BCDHEE+Verdana"/>
                <w:color w:val="000000"/>
              </w:rPr>
              <w:t>inici</w:t>
            </w:r>
            <w:r>
              <w:rPr>
                <w:rFonts w:ascii="Verdana" w:hAnsi="Verdana" w:cs="BCDHEE+Verdana"/>
                <w:color w:val="000000"/>
              </w:rPr>
              <w:t>ó</w:t>
            </w:r>
            <w:r w:rsidRPr="00DE5508">
              <w:rPr>
                <w:rFonts w:ascii="Verdana" w:hAnsi="Verdana" w:cs="BCDHEE+Verdana"/>
                <w:color w:val="000000"/>
              </w:rPr>
              <w:t xml:space="preserve"> el 8 de noviembre de 2025, es decir, </w:t>
            </w:r>
            <w:r>
              <w:rPr>
                <w:rFonts w:ascii="Verdana" w:hAnsi="Verdana" w:cs="BCDHEE+Verdana"/>
                <w:color w:val="000000"/>
              </w:rPr>
              <w:t>cuatro</w:t>
            </w:r>
            <w:r w:rsidRPr="00DE5508">
              <w:rPr>
                <w:rFonts w:ascii="Verdana" w:hAnsi="Verdana" w:cs="BCDHEE+Verdana"/>
                <w:color w:val="000000"/>
              </w:rPr>
              <w:t xml:space="preserve"> </w:t>
            </w:r>
            <w:r>
              <w:rPr>
                <w:rFonts w:ascii="Verdana" w:hAnsi="Verdana" w:cs="BCDHEE+Verdana"/>
                <w:color w:val="000000"/>
              </w:rPr>
              <w:t>(</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antes de la fecha de las elecciones</w:t>
            </w:r>
            <w:r>
              <w:rPr>
                <w:rFonts w:ascii="Verdana" w:hAnsi="Verdana" w:cs="BCDHEE+Verdana"/>
                <w:color w:val="000000"/>
              </w:rPr>
              <w:t>.</w:t>
            </w:r>
          </w:p>
          <w:p w14:paraId="020BEEF4" w14:textId="77777777" w:rsidR="00025996" w:rsidRPr="00775AB1" w:rsidRDefault="00025996" w:rsidP="00251F32">
            <w:pPr>
              <w:spacing w:after="120" w:line="276" w:lineRule="auto"/>
              <w:ind w:firstLine="709"/>
              <w:jc w:val="both"/>
              <w:rPr>
                <w:rFonts w:ascii="Verdana" w:eastAsia="Times New Roman" w:hAnsi="Verdana" w:cs="Arial"/>
                <w:lang w:val="es-MX" w:eastAsia="es-CO"/>
              </w:rPr>
            </w:pPr>
            <w:r>
              <w:rPr>
                <w:rFonts w:ascii="Verdana" w:hAnsi="Verdana" w:cs="BCDHEE+Verdana"/>
                <w:color w:val="000000"/>
              </w:rPr>
              <w:t xml:space="preserve"> Por lo que, </w:t>
            </w:r>
            <w:r w:rsidRPr="00E2397D">
              <w:rPr>
                <w:rFonts w:ascii="Verdana" w:eastAsia="Times New Roman" w:hAnsi="Verdana" w:cs="Arial"/>
                <w:lang w:val="es-MX" w:eastAsia="es-CO"/>
              </w:rPr>
              <w:t xml:space="preserve">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w:t>
            </w:r>
            <w:r w:rsidRPr="00E2397D">
              <w:rPr>
                <w:rFonts w:ascii="Verdana" w:eastAsia="Times New Roman" w:hAnsi="Verdana" w:cs="Arial"/>
                <w:i/>
                <w:iCs/>
                <w:lang w:val="es-MX" w:eastAsia="es-CO"/>
              </w:rPr>
              <w:t>convenios</w:t>
            </w:r>
            <w:r>
              <w:rPr>
                <w:rFonts w:ascii="Verdana" w:eastAsia="Times New Roman" w:hAnsi="Verdana" w:cs="Arial"/>
                <w:i/>
                <w:iCs/>
                <w:lang w:val="es-MX" w:eastAsia="es-CO"/>
              </w:rPr>
              <w:t xml:space="preserve"> interadministrativos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EDAC3EF" w14:textId="77777777" w:rsidR="00025996" w:rsidRPr="00DE5508" w:rsidRDefault="00025996" w:rsidP="00251F32">
            <w:pPr>
              <w:spacing w:line="276" w:lineRule="auto"/>
              <w:ind w:firstLine="708"/>
              <w:jc w:val="both"/>
              <w:rPr>
                <w:rFonts w:ascii="Verdana" w:hAnsi="Verdana"/>
              </w:rPr>
            </w:pP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B631B1B" w14:textId="77777777" w:rsidR="00025996" w:rsidRPr="00DE5508" w:rsidRDefault="00025996" w:rsidP="00025996">
      <w:pPr>
        <w:tabs>
          <w:tab w:val="left" w:pos="142"/>
          <w:tab w:val="left" w:pos="284"/>
        </w:tabs>
        <w:spacing w:after="0" w:line="276" w:lineRule="auto"/>
        <w:jc w:val="both"/>
        <w:rPr>
          <w:rFonts w:ascii="Verdana" w:eastAsia="Century Gothic" w:hAnsi="Verdana" w:cs="Century Gothic"/>
          <w:b/>
          <w:bCs/>
          <w:lang w:val="es-ES"/>
        </w:rPr>
      </w:pPr>
    </w:p>
    <w:p w14:paraId="5413D10B" w14:textId="77777777" w:rsidR="00025996" w:rsidRDefault="00025996" w:rsidP="00122A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1747851D" w14:textId="77777777" w:rsidR="00025996" w:rsidRDefault="00025996" w:rsidP="00025996">
      <w:pPr>
        <w:spacing w:after="0" w:line="276" w:lineRule="auto"/>
        <w:jc w:val="both"/>
        <w:rPr>
          <w:rFonts w:ascii="Verdana" w:eastAsia="Calibri" w:hAnsi="Verdana" w:cs="Arial"/>
          <w:color w:val="7030A0"/>
          <w:lang w:val="es-ES"/>
        </w:rPr>
      </w:pPr>
    </w:p>
    <w:p w14:paraId="2DCA7584" w14:textId="77777777" w:rsidR="00025996" w:rsidRDefault="00025996" w:rsidP="00025996">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4B0B0379" w14:textId="77777777" w:rsidR="00025996" w:rsidRDefault="00025996" w:rsidP="00025996">
      <w:pPr>
        <w:widowControl w:val="0"/>
        <w:autoSpaceDE w:val="0"/>
        <w:autoSpaceDN w:val="0"/>
        <w:spacing w:after="0" w:line="276" w:lineRule="auto"/>
        <w:ind w:right="176"/>
        <w:jc w:val="both"/>
        <w:rPr>
          <w:rFonts w:ascii="Verdana" w:eastAsia="Calibri" w:hAnsi="Verdana" w:cs="Arial"/>
          <w:lang w:val="es-ES"/>
        </w:rPr>
      </w:pPr>
    </w:p>
    <w:p w14:paraId="00910D7B" w14:textId="77777777" w:rsidR="00025996" w:rsidRPr="00C40D52" w:rsidRDefault="00025996" w:rsidP="00025996">
      <w:pPr>
        <w:autoSpaceDE w:val="0"/>
        <w:autoSpaceDN w:val="0"/>
        <w:adjustRightInd w:val="0"/>
        <w:spacing w:after="120" w:line="276" w:lineRule="auto"/>
        <w:jc w:val="both"/>
        <w:rPr>
          <w:rFonts w:ascii="Verdana" w:hAnsi="Verdana" w:cs="Arial"/>
          <w:lang w:val="es-ES_tradnl"/>
        </w:rPr>
      </w:pPr>
      <w:r w:rsidRPr="00C40D52">
        <w:rPr>
          <w:rFonts w:ascii="Verdana" w:hAnsi="Verdana" w:cs="Arial"/>
          <w:color w:val="000000" w:themeColor="text1"/>
          <w:lang w:val="es-ES_tradnl"/>
        </w:rPr>
        <w:t>En nuestro ordenamiento jurídico, el</w:t>
      </w:r>
      <w:r w:rsidRPr="00C40D52">
        <w:rPr>
          <w:rFonts w:ascii="Verdana" w:hAnsi="Verdana" w:cs="Arial"/>
          <w:lang w:val="es-ES_tradnl"/>
        </w:rPr>
        <w:t xml:space="preserve">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w:t>
      </w:r>
    </w:p>
    <w:p w14:paraId="57BED6F6" w14:textId="77777777" w:rsidR="00025996" w:rsidRPr="00C40D52" w:rsidRDefault="00025996" w:rsidP="00025996">
      <w:pPr>
        <w:spacing w:after="12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lastRenderedPageBreak/>
        <w:t>En este sentido, la misma Ley, en los artículos 38 y 68, clasifica a las sociedades de economía mixta como entidades descentralizadas por servicios, con personería jurídica, autonomía administrativa y patrimonio propio</w:t>
      </w:r>
      <w:r w:rsidRPr="00C40D52">
        <w:rPr>
          <w:rStyle w:val="Refdenotaalpie"/>
          <w:rFonts w:ascii="Verdana" w:eastAsia="Times New Roman" w:hAnsi="Verdana" w:cs="Arial"/>
          <w:lang w:val="es-ES_tradnl" w:eastAsia="es-MX"/>
        </w:rPr>
        <w:footnoteReference w:id="2"/>
      </w:r>
      <w:r w:rsidRPr="00C40D52">
        <w:rPr>
          <w:rFonts w:ascii="Verdana" w:eastAsia="Times New Roman" w:hAnsi="Verdana" w:cs="Arial"/>
          <w:lang w:val="es-ES" w:eastAsia="es-MX"/>
        </w:rPr>
        <w:t>, que pueden ser del orden nacional, departamental o municipal, según su órgano de creación</w:t>
      </w:r>
      <w:r w:rsidRPr="00C40D52">
        <w:rPr>
          <w:rStyle w:val="Refdenotaalpie"/>
          <w:rFonts w:ascii="Verdana" w:eastAsia="Times New Roman" w:hAnsi="Verdana" w:cs="Arial"/>
          <w:lang w:val="es-ES_tradnl" w:eastAsia="es-MX"/>
        </w:rPr>
        <w:footnoteReference w:id="3"/>
      </w:r>
      <w:r w:rsidRPr="00C40D52">
        <w:rPr>
          <w:rFonts w:ascii="Verdana" w:eastAsia="Times New Roman" w:hAnsi="Verdana" w:cs="Arial"/>
          <w:lang w:val="es-ES" w:eastAsia="es-MX"/>
        </w:rPr>
        <w:t>. Al respecto, la Corte Constitucional, en sentencias C-736 del 19 de septiembre de 2007, C-118 del 14 de noviembre de 2018 y C-306 del 10 de julio de 2019, ha considerado que las sociedades estudiadas, desde una perspectiva constitucional, se caracterizan por los siguientes aspectos: i) pertenecen a la rama ejecutiva del poder público, como manifestación de la descentralización por servicios. Así mismo, ii) están sujetas al control fiscal, financiero, de gestión y de resultados en cabeza de la Contraloría General de la República. Por otra parte, iii) se someten al control político, que ejerce directamente el Congreso de la República. Además, iv) en el caso de las sociedades de economía mixta del orden nacional, le corresponde al Congreso de la República su creación o autorización mediante ley. En cambio, v) en el caso de los órdenes departamental y municipal, esta misma facultad se les reconoce a las asambleas y concejos. Adicionalmente, vi) a todas las sociedades de economía mixta les son aplicables las inhabilidades para la integración de órganos directivos a que aluden los artículos 180- 3, 292 y 323 de la Constitución Política. A lo anterior debe agregarse que, vii) en materia presupuestal, las sociedades de economía mixta quedan sujetas a las reglas de la ley orgánica del presupuesto. De otro lado, viii) en materia contable, quedan vinculadas a las reglas de contabilidad oficial. Además, ix) se rigen por el derecho privado, en virtud de la naturaleza de las actividades que desarrollan.  </w:t>
      </w:r>
    </w:p>
    <w:p w14:paraId="4F498CCF" w14:textId="77777777" w:rsidR="00025996" w:rsidRPr="00C40D52" w:rsidRDefault="00025996" w:rsidP="00025996">
      <w:pPr>
        <w:spacing w:after="120" w:line="276" w:lineRule="auto"/>
        <w:ind w:firstLine="709"/>
        <w:jc w:val="both"/>
        <w:textAlignment w:val="baseline"/>
        <w:rPr>
          <w:rFonts w:ascii="Verdana" w:eastAsia="Times New Roman" w:hAnsi="Verdana" w:cs="Arial"/>
          <w:lang w:val="es-ES_tradnl" w:eastAsia="es-MX"/>
        </w:rPr>
      </w:pPr>
      <w:r w:rsidRPr="00C40D52">
        <w:rPr>
          <w:rFonts w:ascii="Verdana" w:eastAsia="Times New Roman" w:hAnsi="Verdana" w:cs="Arial"/>
          <w:lang w:val="es-ES_tradnl" w:eastAsia="es-MX"/>
        </w:rPr>
        <w:t xml:space="preserve">Sin embargo, este Alto Tribunal, en sentencia C-529 del 12 de julio de 2006, hizo énfasis en que, a pesar del sometimiento al régimen jurídico de </w:t>
      </w:r>
      <w:r w:rsidRPr="00C40D52">
        <w:rPr>
          <w:rFonts w:ascii="Verdana" w:eastAsia="Times New Roman" w:hAnsi="Verdana" w:cs="Arial"/>
          <w:lang w:val="es-ES_tradnl" w:eastAsia="es-MX"/>
        </w:rPr>
        <w:lastRenderedPageBreak/>
        <w:t>derecho privado para el desarrollo de sus actividades, las sociedades de economía mixta no pierden su carácter de expresión organizacional de la actividad estatal</w:t>
      </w:r>
      <w:r w:rsidRPr="00C40D52">
        <w:rPr>
          <w:rStyle w:val="Refdenotaalpie"/>
          <w:rFonts w:ascii="Verdana" w:eastAsia="Times New Roman" w:hAnsi="Verdana" w:cs="Arial"/>
          <w:lang w:val="es-ES_tradnl" w:eastAsia="es-MX"/>
        </w:rPr>
        <w:footnoteReference w:id="4"/>
      </w:r>
      <w:r w:rsidRPr="00C40D52">
        <w:rPr>
          <w:rFonts w:ascii="Verdana" w:eastAsia="Times New Roman" w:hAnsi="Verdana" w:cs="Arial"/>
          <w:lang w:val="es-ES_tradnl" w:eastAsia="es-MX"/>
        </w:rPr>
        <w:t>, más precisamente de la función administrativa</w:t>
      </w:r>
      <w:r w:rsidRPr="00C40D52">
        <w:rPr>
          <w:rStyle w:val="Refdenotaalpie"/>
          <w:rFonts w:ascii="Verdana" w:eastAsia="Times New Roman" w:hAnsi="Verdana" w:cs="Arial"/>
          <w:lang w:val="es-ES_tradnl" w:eastAsia="es-MX"/>
        </w:rPr>
        <w:footnoteReference w:id="5"/>
      </w:r>
      <w:r w:rsidRPr="00C40D52">
        <w:rPr>
          <w:rFonts w:ascii="Verdana" w:eastAsia="Times New Roman" w:hAnsi="Verdana" w:cs="Arial"/>
          <w:lang w:val="es-ES_tradnl" w:eastAsia="es-MX"/>
        </w:rPr>
        <w:t>, en virtud del aporte público en la constitución del capital social y la consiguiente pertenencia a la administración pública, en la condición de entidades descentralizadas.</w:t>
      </w:r>
    </w:p>
    <w:p w14:paraId="53ABC6A7" w14:textId="24A8FD92" w:rsidR="00025996" w:rsidRPr="00C40D52" w:rsidRDefault="00025996" w:rsidP="00025996">
      <w:pPr>
        <w:spacing w:after="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Así las cosas, resulta importante resaltar que, en nuestro ordenamiento jurídico, las sociedades de economía mixta están sometidas a un régimen jurídico compuesto por un conjunto normativo de derecho público y de derecho privado</w:t>
      </w:r>
      <w:r w:rsidR="006C0847">
        <w:rPr>
          <w:rFonts w:ascii="Verdana" w:eastAsia="Times New Roman" w:hAnsi="Verdana" w:cs="Arial"/>
          <w:lang w:val="es-ES" w:eastAsia="es-MX"/>
        </w:rPr>
        <w:t>. E</w:t>
      </w:r>
      <w:r w:rsidRPr="00C40D52">
        <w:rPr>
          <w:rFonts w:ascii="Verdana" w:eastAsia="Times New Roman" w:hAnsi="Verdana" w:cs="Arial"/>
          <w:lang w:val="es-ES" w:eastAsia="es-MX"/>
        </w:rPr>
        <w:t xml:space="preserve">l primero, derivado directamente de la Constitución Política y referido a aspectos como su creación, autorización, organización y funcionamiento internos. Y el segundo destinado a regir el desarrollo de la actividad económica de cada sociedad. Ahora bien, también resulta importante señalar que el artículo 14 de la Ley 1150 de 2007 –modificado por el artículo 93 de la Ley 1474 de 2011– establece el régimen contractual de las sociedades de economía mixta, en las que el Estado tenga participación superior al cincuenta por ciento, señalando que: </w:t>
      </w:r>
    </w:p>
    <w:p w14:paraId="7FF0CC41" w14:textId="77777777" w:rsidR="00025996" w:rsidRPr="00C40D52" w:rsidRDefault="00025996" w:rsidP="00025996">
      <w:pPr>
        <w:spacing w:after="0" w:line="276" w:lineRule="auto"/>
        <w:ind w:firstLine="709"/>
        <w:jc w:val="both"/>
        <w:textAlignment w:val="baseline"/>
        <w:rPr>
          <w:rFonts w:ascii="Verdana" w:eastAsia="Times New Roman" w:hAnsi="Verdana" w:cs="Arial"/>
          <w:lang w:val="es-ES_tradnl" w:eastAsia="es-MX"/>
        </w:rPr>
      </w:pPr>
    </w:p>
    <w:p w14:paraId="53D8E6C7" w14:textId="77777777" w:rsidR="00025996" w:rsidRPr="00C40D52" w:rsidRDefault="00025996" w:rsidP="00025996">
      <w:pPr>
        <w:spacing w:after="0" w:line="240" w:lineRule="auto"/>
        <w:ind w:left="709" w:right="709"/>
        <w:jc w:val="both"/>
        <w:textAlignment w:val="baseline"/>
        <w:rPr>
          <w:rFonts w:ascii="Verdana" w:eastAsia="Times New Roman" w:hAnsi="Verdana" w:cs="Arial"/>
          <w:sz w:val="20"/>
          <w:szCs w:val="20"/>
          <w:lang w:val="es-ES_tradnl" w:eastAsia="es-MX"/>
        </w:rPr>
      </w:pPr>
      <w:r w:rsidRPr="00C40D52">
        <w:rPr>
          <w:rFonts w:ascii="Verdana" w:eastAsia="Times New Roman" w:hAnsi="Verdana" w:cs="Arial"/>
          <w:sz w:val="20"/>
          <w:szCs w:val="20"/>
          <w:lang w:val="es-ES_tradnl" w:eastAsia="es-MX"/>
        </w:rPr>
        <w:t xml:space="preserve">Artículo 14. DEL RÉGIMEN CONTRACTUAL DE LAS EMPRESAS INDUSTRIALES Y COMERCIALES DEL ESTADO, LAS SOCIEDADES DE ECONOMÍA MIXTA, SUS FILIALES Y EMPRESAS CON PARTICIPACIÓN MAYORITARIA DEL ESTADO. &lt;Artículo modificado por el artículo 93 de la Ley 1474 de 2011. El nuevo texto es el siguiente:&gt; Las Empresas Industriales y Comerciales del Estado, las Sociedades de Economía Mixta en las que el Estado tenga participación superior al cincuenta por ciento (50%), sus filiales y las Sociedades entre Entidades Públicas con </w:t>
      </w:r>
      <w:r w:rsidRPr="00C40D52">
        <w:rPr>
          <w:rFonts w:ascii="Verdana" w:eastAsia="Times New Roman" w:hAnsi="Verdana" w:cs="Arial"/>
          <w:sz w:val="20"/>
          <w:szCs w:val="20"/>
          <w:lang w:val="es-ES_tradnl" w:eastAsia="es-MX"/>
        </w:rPr>
        <w:lastRenderedPageBreak/>
        <w:t>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431A4239" w14:textId="77777777" w:rsidR="00025996" w:rsidRPr="00122AC1" w:rsidRDefault="00025996" w:rsidP="00025996">
      <w:pPr>
        <w:spacing w:after="0" w:line="240" w:lineRule="auto"/>
        <w:ind w:left="709" w:right="709" w:firstLine="709"/>
        <w:jc w:val="both"/>
        <w:textAlignment w:val="baseline"/>
        <w:rPr>
          <w:rFonts w:ascii="Verdana" w:eastAsia="Times New Roman" w:hAnsi="Verdana" w:cs="Arial"/>
          <w:lang w:val="es-ES_tradnl" w:eastAsia="es-MX"/>
        </w:rPr>
      </w:pPr>
    </w:p>
    <w:p w14:paraId="7169F7C2" w14:textId="09C866B7" w:rsidR="00025996" w:rsidRDefault="00025996" w:rsidP="00122AC1">
      <w:pPr>
        <w:spacing w:after="120" w:line="276" w:lineRule="auto"/>
        <w:ind w:firstLine="708"/>
        <w:jc w:val="both"/>
        <w:textAlignment w:val="baseline"/>
        <w:rPr>
          <w:rFonts w:ascii="Verdana" w:eastAsia="Times New Roman" w:hAnsi="Verdana" w:cs="Arial"/>
          <w:lang w:val="es-MX" w:eastAsia="es-CO"/>
        </w:rPr>
      </w:pPr>
      <w:r w:rsidRPr="00C40D52">
        <w:rPr>
          <w:rFonts w:ascii="Verdana" w:eastAsia="Times New Roman" w:hAnsi="Verdana" w:cs="Arial"/>
          <w:lang w:val="es-ES" w:eastAsia="es-MX"/>
        </w:rPr>
        <w:t>Teniendo en cuenta el contexto anterior,</w:t>
      </w:r>
      <w:r>
        <w:rPr>
          <w:rFonts w:ascii="Verdana" w:eastAsia="Times New Roman" w:hAnsi="Verdana" w:cs="Arial"/>
          <w:lang w:val="es-ES" w:eastAsia="es-MX"/>
        </w:rPr>
        <w:t xml:space="preserve"> </w:t>
      </w:r>
      <w:r w:rsidRPr="00C40D52">
        <w:rPr>
          <w:rFonts w:ascii="Verdana" w:eastAsia="Times New Roman" w:hAnsi="Verdana" w:cs="Arial"/>
          <w:lang w:val="es-ES" w:eastAsia="es-MX"/>
        </w:rPr>
        <w:t xml:space="preserve">atendiendo a que </w:t>
      </w:r>
      <w:r>
        <w:rPr>
          <w:rFonts w:ascii="Verdana" w:eastAsia="Times New Roman" w:hAnsi="Verdana" w:cs="Arial"/>
          <w:lang w:val="es-ES" w:eastAsia="es-MX"/>
        </w:rPr>
        <w:t>la consulta</w:t>
      </w:r>
      <w:r w:rsidRPr="00C40D52">
        <w:rPr>
          <w:rFonts w:ascii="Verdana" w:eastAsia="Times New Roman" w:hAnsi="Verdana" w:cs="Arial"/>
          <w:lang w:val="es-ES" w:eastAsia="es-MX"/>
        </w:rPr>
        <w:t xml:space="preserve"> está relacionada con el alcance de las prohibiciones en materia contractual establecidas en la </w:t>
      </w:r>
      <w:r w:rsidR="006C0847">
        <w:rPr>
          <w:rFonts w:ascii="Verdana" w:eastAsia="Times New Roman" w:hAnsi="Verdana" w:cs="Arial"/>
          <w:lang w:val="es-ES" w:eastAsia="es-MX"/>
        </w:rPr>
        <w:t>L</w:t>
      </w:r>
      <w:r w:rsidRPr="00C40D52">
        <w:rPr>
          <w:rFonts w:ascii="Verdana" w:eastAsia="Times New Roman" w:hAnsi="Verdana" w:cs="Arial"/>
          <w:lang w:val="es-ES" w:eastAsia="es-MX"/>
        </w:rPr>
        <w:t xml:space="preserve">ey 996 de 2005 –Ley de Garantías Electorales–, a </w:t>
      </w:r>
      <w:r w:rsidRPr="23D8F5BD">
        <w:rPr>
          <w:rFonts w:ascii="Verdana" w:eastAsia="Times New Roman" w:hAnsi="Verdana" w:cs="Arial"/>
          <w:lang w:val="es-ES" w:eastAsia="es-MX"/>
        </w:rPr>
        <w:t>continuación,</w:t>
      </w:r>
      <w:r w:rsidRPr="00C40D52">
        <w:rPr>
          <w:rFonts w:ascii="Verdana" w:eastAsia="Times New Roman" w:hAnsi="Verdana" w:cs="Arial"/>
          <w:lang w:val="es-ES" w:eastAsia="es-MX"/>
        </w:rPr>
        <w:t xml:space="preserve"> se analizará el alcance de las restricciones establecidas en el artículo 33 y el parágrafo del artículo 38. </w:t>
      </w:r>
    </w:p>
    <w:p w14:paraId="0952C42B" w14:textId="77777777" w:rsidR="00025996" w:rsidRDefault="00025996" w:rsidP="00025996">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ab/>
      </w:r>
      <w:r>
        <w:rPr>
          <w:rFonts w:ascii="Verdana" w:eastAsia="Times New Roman" w:hAnsi="Verdana" w:cs="Arial"/>
          <w:lang w:val="es-MX" w:eastAsia="es-CO"/>
        </w:rPr>
        <w:tab/>
        <w:t>Para empezar, 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6"/>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473C4E4F" w14:textId="77777777" w:rsidR="00025996" w:rsidRPr="006B14B5" w:rsidRDefault="00025996" w:rsidP="00025996">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F94F860" w14:textId="77777777" w:rsidR="00025996" w:rsidRPr="00E2397D" w:rsidRDefault="00025996" w:rsidP="00025996">
      <w:pPr>
        <w:spacing w:after="0" w:line="276" w:lineRule="auto"/>
        <w:ind w:right="709"/>
        <w:contextualSpacing/>
        <w:jc w:val="both"/>
        <w:rPr>
          <w:rFonts w:ascii="Verdana" w:eastAsia="Times New Roman" w:hAnsi="Verdana" w:cs="Arial"/>
          <w:lang w:val="es-ES" w:eastAsia="es-CO"/>
        </w:rPr>
      </w:pPr>
    </w:p>
    <w:p w14:paraId="4109663F" w14:textId="0802EB5F" w:rsidR="00025996" w:rsidRPr="00E2397D" w:rsidRDefault="00025996" w:rsidP="0002599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30C51D5" w14:textId="77777777" w:rsidR="00E52B8C" w:rsidRPr="00E2397D" w:rsidRDefault="00E52B8C" w:rsidP="00E52B8C">
      <w:pPr>
        <w:spacing w:after="0" w:line="240" w:lineRule="auto"/>
        <w:ind w:left="709" w:right="709"/>
        <w:contextualSpacing/>
        <w:jc w:val="both"/>
        <w:rPr>
          <w:rFonts w:ascii="Verdana" w:eastAsia="Times New Roman" w:hAnsi="Verdana" w:cs="Arial"/>
          <w:sz w:val="20"/>
          <w:szCs w:val="20"/>
          <w:lang w:val="es-MX" w:eastAsia="es-CO"/>
        </w:rPr>
      </w:pPr>
    </w:p>
    <w:p w14:paraId="20A463F8" w14:textId="77777777" w:rsidR="00025996" w:rsidRPr="00E2397D" w:rsidRDefault="00025996" w:rsidP="00025996">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7F06125C" w14:textId="77777777" w:rsidR="00E52B8C" w:rsidRDefault="00E52B8C" w:rsidP="00E52B8C">
      <w:pPr>
        <w:spacing w:after="0" w:line="240" w:lineRule="auto"/>
        <w:ind w:left="709" w:right="709"/>
        <w:contextualSpacing/>
        <w:jc w:val="both"/>
        <w:rPr>
          <w:rFonts w:ascii="Verdana" w:eastAsia="Times New Roman" w:hAnsi="Verdana" w:cs="Arial"/>
          <w:sz w:val="20"/>
          <w:szCs w:val="20"/>
          <w:lang w:val="es-MX" w:eastAsia="es-CO"/>
        </w:rPr>
      </w:pPr>
    </w:p>
    <w:p w14:paraId="5D9BD5D7" w14:textId="3AAC4CAB" w:rsidR="00025996" w:rsidRPr="00E2397D" w:rsidRDefault="00025996" w:rsidP="0002599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w:t>
      </w:r>
      <w:r w:rsidRPr="00E2397D">
        <w:rPr>
          <w:rFonts w:ascii="Verdana" w:eastAsia="Times New Roman" w:hAnsi="Verdana" w:cs="Arial"/>
          <w:sz w:val="20"/>
          <w:szCs w:val="20"/>
          <w:lang w:val="es-MX" w:eastAsia="es-CO"/>
        </w:rPr>
        <w:lastRenderedPageBreak/>
        <w:t>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7"/>
      </w:r>
    </w:p>
    <w:p w14:paraId="3E679483" w14:textId="77777777" w:rsidR="00025996" w:rsidRPr="00E2397D" w:rsidRDefault="00025996" w:rsidP="00025996">
      <w:pPr>
        <w:spacing w:after="0" w:line="276" w:lineRule="auto"/>
        <w:ind w:firstLine="709"/>
        <w:jc w:val="both"/>
        <w:rPr>
          <w:rFonts w:ascii="Verdana" w:eastAsia="Times New Roman" w:hAnsi="Verdana" w:cs="Arial"/>
          <w:lang w:val="es-MX" w:eastAsia="es-CO"/>
        </w:rPr>
      </w:pPr>
    </w:p>
    <w:p w14:paraId="26B945A6" w14:textId="77777777" w:rsidR="00025996" w:rsidRPr="00E2397D" w:rsidRDefault="00025996" w:rsidP="00025996">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2CB1C5E6" w14:textId="77777777" w:rsidR="00025996" w:rsidRPr="00886C02" w:rsidRDefault="00025996" w:rsidP="00025996">
      <w:pPr>
        <w:spacing w:after="0" w:line="276" w:lineRule="auto"/>
        <w:ind w:firstLine="709"/>
        <w:jc w:val="both"/>
        <w:rPr>
          <w:rFonts w:ascii="Verdana" w:eastAsia="Times New Roman" w:hAnsi="Verdana" w:cs="Arial"/>
          <w:lang w:val="es-MX" w:eastAsia="es-CO"/>
        </w:rPr>
      </w:pPr>
    </w:p>
    <w:p w14:paraId="3B01E52B" w14:textId="77777777" w:rsidR="00025996" w:rsidRPr="00E2397D" w:rsidRDefault="00025996" w:rsidP="0002599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2C16994" w14:textId="77777777" w:rsidR="00025996" w:rsidRPr="00E2397D" w:rsidRDefault="00025996" w:rsidP="00025996">
      <w:pPr>
        <w:spacing w:after="0" w:line="240" w:lineRule="auto"/>
        <w:ind w:right="709"/>
        <w:contextualSpacing/>
        <w:jc w:val="both"/>
        <w:rPr>
          <w:rFonts w:ascii="Verdana" w:eastAsia="Times New Roman" w:hAnsi="Verdana" w:cs="Arial"/>
          <w:lang w:val="es-MX" w:eastAsia="es-CO"/>
        </w:rPr>
      </w:pPr>
    </w:p>
    <w:p w14:paraId="60FC2D21" w14:textId="77777777" w:rsidR="00025996" w:rsidRPr="00E2397D" w:rsidRDefault="00025996" w:rsidP="0002599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8"/>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9"/>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w:t>
      </w:r>
      <w:r w:rsidRPr="00E2397D">
        <w:rPr>
          <w:rFonts w:ascii="Verdana" w:eastAsia="Times New Roman" w:hAnsi="Verdana" w:cs="Arial"/>
          <w:sz w:val="20"/>
          <w:szCs w:val="20"/>
          <w:lang w:val="es-MX" w:eastAsia="es-CO"/>
        </w:rPr>
        <w:lastRenderedPageBreak/>
        <w:t>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10"/>
      </w:r>
      <w:r w:rsidRPr="00E2397D">
        <w:rPr>
          <w:rFonts w:ascii="Verdana" w:eastAsia="Times New Roman" w:hAnsi="Verdana" w:cs="Arial"/>
          <w:sz w:val="20"/>
          <w:szCs w:val="20"/>
          <w:lang w:val="es-MX" w:eastAsia="es-CO"/>
        </w:rPr>
        <w:t>.</w:t>
      </w:r>
    </w:p>
    <w:p w14:paraId="455C2713" w14:textId="77777777" w:rsidR="00025996" w:rsidRPr="00E2397D" w:rsidRDefault="00025996" w:rsidP="00025996">
      <w:pPr>
        <w:spacing w:after="0" w:line="276" w:lineRule="auto"/>
        <w:jc w:val="both"/>
        <w:rPr>
          <w:rFonts w:ascii="Verdana" w:eastAsia="Calibri" w:hAnsi="Verdana" w:cs="Arial"/>
          <w:bCs/>
          <w:lang w:val="es-ES_tradnl"/>
        </w:rPr>
      </w:pPr>
    </w:p>
    <w:p w14:paraId="7B53E6CE" w14:textId="77777777" w:rsidR="00025996" w:rsidRPr="00B3605D" w:rsidRDefault="00025996" w:rsidP="00025996">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CCA640C" w14:textId="77777777" w:rsidR="00025996" w:rsidRDefault="00025996" w:rsidP="00025996">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5B6CF9E6" w14:textId="77777777" w:rsidR="00025996" w:rsidRDefault="00025996" w:rsidP="00122AC1">
      <w:pPr>
        <w:spacing w:after="0" w:line="240" w:lineRule="auto"/>
        <w:ind w:firstLine="709"/>
        <w:jc w:val="both"/>
        <w:rPr>
          <w:rFonts w:ascii="Verdana" w:eastAsia="Arial" w:hAnsi="Verdana" w:cs="Arial"/>
          <w:lang w:val="es-ES" w:eastAsia="es-ES" w:bidi="es-ES"/>
        </w:rPr>
      </w:pPr>
    </w:p>
    <w:p w14:paraId="7EBBC8B7" w14:textId="356D6F8A" w:rsidR="00025996" w:rsidRPr="00F2587B" w:rsidRDefault="00025996" w:rsidP="00122AC1">
      <w:pPr>
        <w:pStyle w:val="Prrafodelista"/>
        <w:numPr>
          <w:ilvl w:val="0"/>
          <w:numId w:val="18"/>
        </w:numPr>
        <w:spacing w:after="0" w:line="240" w:lineRule="auto"/>
        <w:contextualSpacing w:val="0"/>
        <w:jc w:val="both"/>
        <w:rPr>
          <w:rFonts w:ascii="Verdana" w:eastAsia="Arial" w:hAnsi="Verdana" w:cs="Arial"/>
          <w:i/>
          <w:lang w:eastAsia="es-ES" w:bidi="es-ES"/>
        </w:rPr>
      </w:pPr>
      <w:r w:rsidRPr="00F2587B">
        <w:rPr>
          <w:rFonts w:ascii="Verdana" w:eastAsia="Arial" w:hAnsi="Verdana" w:cs="Arial"/>
          <w:i/>
          <w:lang w:eastAsia="es-ES" w:bidi="es-ES"/>
        </w:rPr>
        <w:t xml:space="preserve">Restricciones </w:t>
      </w:r>
      <w:r w:rsidR="00F44D6F">
        <w:rPr>
          <w:rFonts w:ascii="Verdana" w:eastAsia="Arial" w:hAnsi="Verdana" w:cs="Arial"/>
          <w:i/>
          <w:lang w:eastAsia="es-ES" w:bidi="es-ES"/>
        </w:rPr>
        <w:t>frente a</w:t>
      </w:r>
      <w:r w:rsidRPr="00F2587B">
        <w:rPr>
          <w:rFonts w:ascii="Verdana" w:eastAsia="Arial" w:hAnsi="Verdana" w:cs="Arial"/>
          <w:i/>
          <w:lang w:eastAsia="es-ES" w:bidi="es-ES"/>
        </w:rPr>
        <w:t xml:space="preserve"> elecciones presidenciales </w:t>
      </w:r>
    </w:p>
    <w:p w14:paraId="050FFE5C" w14:textId="77777777" w:rsidR="00025996" w:rsidRPr="00A545DE" w:rsidRDefault="00025996" w:rsidP="00122AC1">
      <w:pPr>
        <w:pStyle w:val="Prrafodelista"/>
        <w:spacing w:after="0" w:line="240" w:lineRule="auto"/>
        <w:ind w:left="1080"/>
        <w:contextualSpacing w:val="0"/>
        <w:jc w:val="both"/>
        <w:rPr>
          <w:rFonts w:ascii="Verdana" w:eastAsia="Arial" w:hAnsi="Verdana" w:cs="Arial"/>
          <w:lang w:eastAsia="es-ES" w:bidi="es-ES"/>
        </w:rPr>
      </w:pPr>
    </w:p>
    <w:p w14:paraId="519DB5DC" w14:textId="77777777" w:rsidR="00025996" w:rsidRPr="00FC54ED" w:rsidRDefault="00025996" w:rsidP="00025996">
      <w:pPr>
        <w:spacing w:after="0" w:line="240" w:lineRule="auto"/>
        <w:ind w:left="709" w:right="703"/>
        <w:jc w:val="both"/>
        <w:rPr>
          <w:rFonts w:ascii="Verdana" w:eastAsia="Times New Roman" w:hAnsi="Verdana" w:cs="Open Sans"/>
          <w:sz w:val="20"/>
          <w:szCs w:val="20"/>
          <w:lang w:eastAsia="es-CO"/>
        </w:rPr>
      </w:pPr>
      <w:bookmarkStart w:id="1"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1"/>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2A5699BB" w14:textId="77777777" w:rsidR="00025996" w:rsidRPr="00FC54ED" w:rsidRDefault="00025996" w:rsidP="00025996">
      <w:pPr>
        <w:spacing w:after="0" w:line="240" w:lineRule="auto"/>
        <w:ind w:left="709" w:right="703"/>
        <w:jc w:val="both"/>
        <w:rPr>
          <w:rFonts w:ascii="Verdana" w:eastAsia="Times New Roman" w:hAnsi="Verdana" w:cs="Open Sans"/>
          <w:sz w:val="20"/>
          <w:szCs w:val="20"/>
          <w:lang w:eastAsia="es-CO"/>
        </w:rPr>
      </w:pPr>
    </w:p>
    <w:p w14:paraId="5754687C" w14:textId="77777777" w:rsidR="00025996" w:rsidRPr="00B3605D" w:rsidRDefault="00025996" w:rsidP="00025996">
      <w:pPr>
        <w:spacing w:after="0" w:line="240" w:lineRule="auto"/>
        <w:ind w:left="709"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5C3936CF" w14:textId="77777777" w:rsidR="00025996" w:rsidRDefault="00025996" w:rsidP="00025996">
      <w:pPr>
        <w:spacing w:after="0" w:line="276" w:lineRule="auto"/>
        <w:ind w:right="618" w:firstLine="708"/>
        <w:jc w:val="both"/>
        <w:rPr>
          <w:rFonts w:ascii="Verdana" w:eastAsia="Times New Roman" w:hAnsi="Verdana" w:cs="Open Sans"/>
          <w:lang w:eastAsia="es-CO"/>
        </w:rPr>
      </w:pPr>
    </w:p>
    <w:p w14:paraId="19F89445" w14:textId="77777777" w:rsidR="00025996" w:rsidRDefault="00025996" w:rsidP="00025996">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 xml:space="preserve">para los efectos de la Ley de </w:t>
      </w:r>
      <w:r w:rsidRPr="006A640E">
        <w:rPr>
          <w:rFonts w:ascii="Verdana" w:eastAsia="Times New Roman" w:hAnsi="Verdana" w:cs="Open Sans"/>
          <w:lang w:eastAsia="es-CO"/>
        </w:rPr>
        <w:lastRenderedPageBreak/>
        <w:t>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11"/>
      </w:r>
      <w:r>
        <w:rPr>
          <w:rFonts w:ascii="Verdana" w:eastAsia="Times New Roman" w:hAnsi="Verdana" w:cs="Open Sans"/>
          <w:lang w:eastAsia="es-CO"/>
        </w:rPr>
        <w:t>.</w:t>
      </w:r>
    </w:p>
    <w:p w14:paraId="705CD236" w14:textId="77777777" w:rsidR="00025996" w:rsidRDefault="00025996" w:rsidP="00025996">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33F955D5" w14:textId="77777777" w:rsidR="00025996" w:rsidRDefault="00025996" w:rsidP="00025996">
      <w:pPr>
        <w:spacing w:after="120" w:line="276" w:lineRule="auto"/>
        <w:ind w:firstLine="709"/>
        <w:jc w:val="both"/>
        <w:rPr>
          <w:rFonts w:ascii="Verdana" w:hAnsi="Verdana"/>
          <w:iCs/>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w:t>
      </w:r>
      <w:r w:rsidRPr="005A1342">
        <w:rPr>
          <w:rFonts w:ascii="Verdana" w:hAnsi="Verdana"/>
          <w:iCs/>
        </w:rPr>
        <w:t>los que deban realizar las entidades sanitarias y hospitalarias.</w:t>
      </w:r>
    </w:p>
    <w:p w14:paraId="7F5E9BB9" w14:textId="77777777" w:rsidR="00025996" w:rsidRDefault="00025996" w:rsidP="00025996">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w:t>
      </w:r>
      <w:r w:rsidRPr="00D44FF2">
        <w:rPr>
          <w:rFonts w:ascii="Verdana" w:hAnsi="Verdana"/>
        </w:rPr>
        <w:lastRenderedPageBreak/>
        <w:t>exceptuadas del ámbito de aplicación del Estatuto General de Contratación de la Administración Pública.</w:t>
      </w:r>
      <w:r>
        <w:rPr>
          <w:rFonts w:ascii="Verdana" w:hAnsi="Verdana"/>
        </w:rPr>
        <w:t xml:space="preserve"> </w:t>
      </w:r>
    </w:p>
    <w:p w14:paraId="6B89161E" w14:textId="4397BAE2" w:rsidR="00025996" w:rsidRDefault="00025996" w:rsidP="00F44D6F">
      <w:pPr>
        <w:spacing w:after="0" w:line="276" w:lineRule="auto"/>
        <w:ind w:firstLine="709"/>
        <w:jc w:val="both"/>
        <w:rPr>
          <w:rFonts w:ascii="Verdana" w:eastAsia="Times New Roman" w:hAnsi="Verdana" w:cs="Arial"/>
          <w:lang w:val="es-ES"/>
        </w:rPr>
      </w:pPr>
      <w:r w:rsidRPr="00C40D52">
        <w:rPr>
          <w:rFonts w:ascii="Verdana" w:eastAsia="Times New Roman" w:hAnsi="Verdana" w:cs="Arial"/>
          <w:lang w:val="es-ES"/>
        </w:rPr>
        <w:t xml:space="preserve">En consecuencia, las restricciones a la contratación </w:t>
      </w:r>
      <w:r>
        <w:rPr>
          <w:rFonts w:ascii="Verdana" w:eastAsia="Times New Roman" w:hAnsi="Verdana" w:cs="Arial"/>
          <w:lang w:val="es-ES"/>
        </w:rPr>
        <w:t xml:space="preserve">directa </w:t>
      </w:r>
      <w:r w:rsidRPr="00C40D52">
        <w:rPr>
          <w:rFonts w:ascii="Verdana" w:eastAsia="Times New Roman" w:hAnsi="Verdana" w:cs="Arial"/>
          <w:lang w:val="es-ES"/>
        </w:rPr>
        <w:t>contenidas en la Ley de Garantías Electorales son aplicables a entidades descentralizadas como las sociedades de economía mixta</w:t>
      </w:r>
      <w:r w:rsidR="00F968E7">
        <w:rPr>
          <w:rFonts w:ascii="Verdana" w:eastAsia="Times New Roman" w:hAnsi="Verdana" w:cs="Arial"/>
          <w:lang w:val="es-ES"/>
        </w:rPr>
        <w:t>, a las que hace referencia en su consulta</w:t>
      </w:r>
      <w:r w:rsidRPr="00C40D52">
        <w:rPr>
          <w:rFonts w:ascii="Verdana" w:eastAsia="Times New Roman" w:hAnsi="Verdana" w:cs="Arial"/>
          <w:lang w:val="es-ES"/>
        </w:rPr>
        <w:t>.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2EE9510F" w14:textId="77777777" w:rsidR="00F44D6F" w:rsidRPr="005A1342" w:rsidRDefault="00F44D6F" w:rsidP="00122AC1">
      <w:pPr>
        <w:spacing w:after="0" w:line="276" w:lineRule="auto"/>
        <w:ind w:firstLine="709"/>
        <w:jc w:val="both"/>
        <w:rPr>
          <w:rFonts w:ascii="Verdana" w:hAnsi="Verdana"/>
          <w:iCs/>
        </w:rPr>
      </w:pPr>
    </w:p>
    <w:p w14:paraId="05227E4E" w14:textId="0F80AD50" w:rsidR="00025996" w:rsidRPr="00F2587B" w:rsidRDefault="00025996" w:rsidP="00025996">
      <w:pPr>
        <w:pStyle w:val="Prrafodelista"/>
        <w:numPr>
          <w:ilvl w:val="0"/>
          <w:numId w:val="18"/>
        </w:numPr>
        <w:spacing w:after="0" w:line="276" w:lineRule="auto"/>
        <w:contextualSpacing w:val="0"/>
        <w:jc w:val="both"/>
        <w:rPr>
          <w:rFonts w:ascii="Verdana" w:eastAsia="Times New Roman" w:hAnsi="Verdana" w:cs="Open Sans"/>
          <w:i/>
          <w:lang w:eastAsia="es-CO"/>
        </w:rPr>
      </w:pPr>
      <w:r w:rsidRPr="00F2587B">
        <w:rPr>
          <w:rFonts w:ascii="Verdana" w:eastAsia="Times New Roman" w:hAnsi="Verdana" w:cs="Open Sans"/>
          <w:i/>
          <w:lang w:eastAsia="es-CO"/>
        </w:rPr>
        <w:t xml:space="preserve">Restricciones </w:t>
      </w:r>
      <w:r w:rsidR="00F44D6F">
        <w:rPr>
          <w:rFonts w:ascii="Verdana" w:eastAsia="Times New Roman" w:hAnsi="Verdana" w:cs="Open Sans"/>
          <w:i/>
          <w:lang w:eastAsia="es-CO"/>
        </w:rPr>
        <w:t>frente a las</w:t>
      </w:r>
      <w:r w:rsidRPr="00F2587B">
        <w:rPr>
          <w:rFonts w:ascii="Verdana" w:eastAsia="Times New Roman" w:hAnsi="Verdana" w:cs="Open Sans"/>
          <w:i/>
          <w:lang w:eastAsia="es-CO"/>
        </w:rPr>
        <w:t xml:space="preserve"> demás elecciones </w:t>
      </w:r>
    </w:p>
    <w:p w14:paraId="17541E20" w14:textId="77777777" w:rsidR="00025996" w:rsidRDefault="00025996" w:rsidP="00025996">
      <w:pPr>
        <w:spacing w:after="0" w:line="276" w:lineRule="auto"/>
        <w:jc w:val="both"/>
        <w:rPr>
          <w:rFonts w:ascii="Verdana" w:eastAsia="Times New Roman" w:hAnsi="Verdana" w:cs="Open Sans"/>
          <w:lang w:eastAsia="es-CO"/>
        </w:rPr>
      </w:pPr>
    </w:p>
    <w:p w14:paraId="1114766A" w14:textId="77777777" w:rsidR="00025996" w:rsidRPr="00D61E29" w:rsidRDefault="00025996" w:rsidP="00025996">
      <w:pPr>
        <w:spacing w:after="0" w:line="276" w:lineRule="auto"/>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590F6A3E" w14:textId="77777777" w:rsidR="00025996" w:rsidRDefault="00025996" w:rsidP="00025996">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3F6BAD08" w14:textId="77777777" w:rsidR="00025996" w:rsidRPr="00D61E29" w:rsidRDefault="00025996" w:rsidP="00025996">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20D9E3F3" w14:textId="77777777" w:rsidR="00025996" w:rsidRPr="00D61E29" w:rsidRDefault="00025996" w:rsidP="00025996">
      <w:pPr>
        <w:pStyle w:val="NormalWeb"/>
        <w:spacing w:before="0" w:beforeAutospacing="0" w:after="0" w:afterAutospacing="0"/>
        <w:ind w:left="709" w:right="709"/>
        <w:jc w:val="both"/>
        <w:rPr>
          <w:rFonts w:ascii="Verdana" w:hAnsi="Verdana" w:cs="Open Sans"/>
          <w:sz w:val="20"/>
          <w:szCs w:val="20"/>
        </w:rPr>
      </w:pPr>
    </w:p>
    <w:p w14:paraId="620AA529" w14:textId="77777777" w:rsidR="00025996" w:rsidRPr="00D61E29" w:rsidRDefault="00025996" w:rsidP="00025996">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4D6F0576" w14:textId="77777777" w:rsidR="00025996" w:rsidRDefault="00025996" w:rsidP="00025996">
      <w:pPr>
        <w:pStyle w:val="NormalWeb"/>
        <w:spacing w:before="0" w:beforeAutospacing="0" w:after="0" w:afterAutospacing="0"/>
        <w:ind w:left="709" w:right="709"/>
        <w:jc w:val="both"/>
        <w:rPr>
          <w:rFonts w:ascii="Verdana" w:hAnsi="Verdana" w:cs="Open Sans"/>
          <w:sz w:val="20"/>
          <w:szCs w:val="20"/>
        </w:rPr>
      </w:pPr>
    </w:p>
    <w:p w14:paraId="37316B77" w14:textId="77777777" w:rsidR="00025996" w:rsidRPr="00D61E29" w:rsidRDefault="00025996" w:rsidP="00025996">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7DF487C6" w14:textId="77777777" w:rsidR="00025996" w:rsidRDefault="00025996" w:rsidP="00025996">
      <w:pPr>
        <w:pStyle w:val="NormalWeb"/>
        <w:spacing w:before="0" w:beforeAutospacing="0" w:after="0" w:afterAutospacing="0"/>
        <w:ind w:left="709" w:right="709"/>
        <w:jc w:val="both"/>
        <w:rPr>
          <w:rFonts w:ascii="Verdana" w:hAnsi="Verdana" w:cs="Open Sans"/>
          <w:sz w:val="20"/>
          <w:szCs w:val="20"/>
        </w:rPr>
      </w:pPr>
    </w:p>
    <w:p w14:paraId="2909A513" w14:textId="77777777" w:rsidR="00025996" w:rsidRPr="00D61E29" w:rsidRDefault="00025996" w:rsidP="00025996">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 xml:space="preserve">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w:t>
      </w:r>
      <w:r w:rsidRPr="00D61E29">
        <w:rPr>
          <w:rFonts w:ascii="Verdana" w:hAnsi="Verdana" w:cs="Open Sans"/>
          <w:sz w:val="20"/>
          <w:szCs w:val="20"/>
        </w:rPr>
        <w:lastRenderedPageBreak/>
        <w:t>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720EA457" w14:textId="77777777" w:rsidR="00025996" w:rsidRDefault="00025996" w:rsidP="00025996">
      <w:pPr>
        <w:widowControl w:val="0"/>
        <w:autoSpaceDE w:val="0"/>
        <w:autoSpaceDN w:val="0"/>
        <w:spacing w:after="0" w:line="276" w:lineRule="auto"/>
        <w:ind w:right="113"/>
        <w:contextualSpacing/>
        <w:jc w:val="both"/>
      </w:pPr>
    </w:p>
    <w:p w14:paraId="36C380A9" w14:textId="77777777" w:rsidR="00025996" w:rsidRPr="00775AB1" w:rsidRDefault="00025996" w:rsidP="00025996">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w:t>
      </w:r>
      <w:bookmarkStart w:id="2"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
    </w:p>
    <w:p w14:paraId="052BB255" w14:textId="77777777" w:rsidR="00025996" w:rsidRPr="00D61E29" w:rsidRDefault="00025996" w:rsidP="00025996">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78651FAC" w14:textId="77777777" w:rsidR="00025996" w:rsidRPr="00D61E29" w:rsidRDefault="00025996" w:rsidP="00025996">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5A7CFD8C" w14:textId="77777777" w:rsidR="00025996" w:rsidRPr="00D61E29" w:rsidRDefault="00025996" w:rsidP="00025996">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2"/>
      </w:r>
    </w:p>
    <w:p w14:paraId="0817CBA4" w14:textId="77777777" w:rsidR="00025996" w:rsidRPr="00D61E29" w:rsidRDefault="00025996" w:rsidP="00025996">
      <w:pPr>
        <w:widowControl w:val="0"/>
        <w:autoSpaceDE w:val="0"/>
        <w:autoSpaceDN w:val="0"/>
        <w:spacing w:after="0" w:line="276" w:lineRule="auto"/>
        <w:ind w:left="709" w:right="709"/>
        <w:jc w:val="both"/>
        <w:rPr>
          <w:rFonts w:ascii="Verdana" w:eastAsia="Arial" w:hAnsi="Verdana" w:cs="Arial"/>
          <w:sz w:val="20"/>
          <w:szCs w:val="20"/>
          <w:lang w:eastAsia="es-ES" w:bidi="es-ES"/>
        </w:rPr>
      </w:pPr>
    </w:p>
    <w:p w14:paraId="13EBF5A6" w14:textId="14B3E114" w:rsidR="00025996" w:rsidRPr="00947721" w:rsidRDefault="00025996" w:rsidP="00122AC1">
      <w:pPr>
        <w:autoSpaceDE w:val="0"/>
        <w:autoSpaceDN w:val="0"/>
        <w:adjustRightInd w:val="0"/>
        <w:spacing w:after="120" w:line="276"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w:t>
      </w:r>
      <w:r w:rsidR="00F44D6F">
        <w:rPr>
          <w:rFonts w:ascii="Verdana" w:hAnsi="Verdana" w:cs="BCDHEE+Verdana"/>
          <w:color w:val="000000"/>
        </w:rPr>
        <w:t>G</w:t>
      </w:r>
      <w:r w:rsidRPr="00F44D6F">
        <w:rPr>
          <w:rFonts w:ascii="Verdana" w:hAnsi="Verdana" w:cs="BCDHEE+Verdana"/>
          <w:color w:val="000000"/>
        </w:rPr>
        <w:t>arantías</w:t>
      </w:r>
      <w:r w:rsidR="00F44D6F">
        <w:rPr>
          <w:rFonts w:ascii="Verdana" w:hAnsi="Verdana" w:cs="BCDHEE+Verdana"/>
          <w:color w:val="000000"/>
        </w:rPr>
        <w:t xml:space="preserve"> Electorales</w:t>
      </w:r>
      <w:r w:rsidRPr="00947721">
        <w:rPr>
          <w:rFonts w:ascii="Verdana" w:hAnsi="Verdana" w:cs="BCDHEE+Verdana"/>
          <w:color w:val="000000"/>
        </w:rPr>
        <w:t>,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 xml:space="preserve">n esa medida, </w:t>
      </w:r>
      <w:r w:rsidRPr="00947721">
        <w:rPr>
          <w:rFonts w:ascii="Verdana" w:hAnsi="Verdana" w:cs="BCDHEE+Verdana"/>
          <w:color w:val="000000"/>
        </w:rPr>
        <w:lastRenderedPageBreak/>
        <w:t>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5E3B9514" w14:textId="77777777" w:rsidR="00025996" w:rsidRPr="005D7599" w:rsidRDefault="00025996" w:rsidP="00025996">
      <w:pPr>
        <w:spacing w:after="120" w:line="276" w:lineRule="auto"/>
        <w:ind w:firstLine="708"/>
        <w:jc w:val="both"/>
        <w:rPr>
          <w:rFonts w:ascii="Verdana" w:eastAsia="Times New Roman" w:hAnsi="Verdana" w:cs="Arial"/>
          <w:bCs/>
          <w:lang w:val="es-ES" w:eastAsia="es-CO"/>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sidRPr="00122AC1">
        <w:rPr>
          <w:rFonts w:ascii="Verdana" w:hAnsi="Verdana" w:cs="BCDHEE+Verdana"/>
          <w:color w:val="000000"/>
        </w:rPr>
        <w:t>.</w:t>
      </w:r>
    </w:p>
    <w:p w14:paraId="2ED30DD0" w14:textId="77777777" w:rsidR="00025996" w:rsidRPr="00E61635" w:rsidRDefault="00025996" w:rsidP="00025996">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1C5AD77" w14:textId="77777777" w:rsidR="00025996" w:rsidRDefault="00025996" w:rsidP="00025996">
      <w:pPr>
        <w:widowControl w:val="0"/>
        <w:autoSpaceDE w:val="0"/>
        <w:autoSpaceDN w:val="0"/>
        <w:spacing w:after="0" w:line="276" w:lineRule="auto"/>
        <w:jc w:val="both"/>
        <w:rPr>
          <w:rFonts w:ascii="Verdana" w:hAnsi="Verdana" w:cs="Arial"/>
        </w:rPr>
      </w:pPr>
    </w:p>
    <w:p w14:paraId="479CA451" w14:textId="77777777" w:rsidR="00025996" w:rsidRDefault="00025996" w:rsidP="0002599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5F589B74" w14:textId="77777777" w:rsidR="00025996" w:rsidRDefault="00025996" w:rsidP="00025996">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25996" w14:paraId="675BF186" w14:textId="77777777" w:rsidTr="00251F32">
        <w:trPr>
          <w:trHeight w:val="870"/>
        </w:trPr>
        <w:tc>
          <w:tcPr>
            <w:tcW w:w="8647" w:type="dxa"/>
            <w:tcBorders>
              <w:top w:val="dotted" w:sz="4" w:space="0" w:color="auto"/>
              <w:left w:val="dotted" w:sz="4" w:space="0" w:color="auto"/>
              <w:bottom w:val="dotted" w:sz="4" w:space="0" w:color="auto"/>
              <w:right w:val="dotted" w:sz="4" w:space="0" w:color="auto"/>
            </w:tcBorders>
            <w:hideMark/>
          </w:tcPr>
          <w:p w14:paraId="65509DC9" w14:textId="53CE7E6D" w:rsidR="00025996" w:rsidRPr="001D2E34" w:rsidRDefault="00025996" w:rsidP="00025996">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Ley 489 de 1998</w:t>
            </w:r>
            <w:r w:rsidR="00F44D6F">
              <w:rPr>
                <w:rFonts w:ascii="Verdana" w:eastAsia="Arial MT" w:hAnsi="Verdana" w:cs="Arial"/>
                <w:lang w:val="es-ES" w:eastAsia="es-ES" w:bidi="es-ES"/>
              </w:rPr>
              <w:t xml:space="preserve">: </w:t>
            </w:r>
            <w:r>
              <w:rPr>
                <w:rFonts w:ascii="Verdana" w:eastAsia="Arial MT" w:hAnsi="Verdana" w:cs="Arial"/>
                <w:lang w:val="es-ES" w:eastAsia="es-ES" w:bidi="es-ES"/>
              </w:rPr>
              <w:t>artículo 97</w:t>
            </w:r>
            <w:r w:rsidR="00F44D6F">
              <w:rPr>
                <w:rFonts w:ascii="Verdana" w:eastAsia="Arial MT" w:hAnsi="Verdana" w:cs="Arial"/>
                <w:lang w:val="es-ES" w:eastAsia="es-ES" w:bidi="es-ES"/>
              </w:rPr>
              <w:t>.</w:t>
            </w:r>
          </w:p>
          <w:p w14:paraId="60C21065" w14:textId="77777777" w:rsidR="00025996" w:rsidRPr="00B3605D" w:rsidRDefault="00025996" w:rsidP="00025996">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0FFBCD82" w14:textId="77777777" w:rsidR="00025996" w:rsidRPr="00274DBA" w:rsidRDefault="00025996" w:rsidP="00025996">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lastRenderedPageBreak/>
              <w:t xml:space="preserve">Corte Constitucional. Sentencia C -1153 de 2005. </w:t>
            </w:r>
            <w:r w:rsidRPr="00274DBA">
              <w:rPr>
                <w:rFonts w:ascii="Verdana" w:eastAsia="Calibri" w:hAnsi="Verdana" w:cs="Arial"/>
                <w:lang w:val="es-ES"/>
              </w:rPr>
              <w:t xml:space="preserve">M.P. Marco Gerardo Monroy Cabra. </w:t>
            </w:r>
          </w:p>
          <w:p w14:paraId="4A07AD66" w14:textId="77777777" w:rsidR="00025996" w:rsidRDefault="00025996" w:rsidP="00025996">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Namén Vargas.  </w:t>
            </w:r>
          </w:p>
          <w:p w14:paraId="7CDA8CE4" w14:textId="475F7013" w:rsidR="00025996" w:rsidRPr="006A640E" w:rsidRDefault="00025996" w:rsidP="00025996">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60146E">
              <w:rPr>
                <w:rFonts w:ascii="Verdana" w:hAnsi="Verdana"/>
                <w:lang w:val="es-ES"/>
              </w:rPr>
              <w:t>Consejo de Estado. Sala de Consulta y Servicio Civil. Concepto del 12 de junio de 2018. Exp. 2371. C.P. Oscar Darío Amaya Navas</w:t>
            </w:r>
            <w:r w:rsidR="00F44D6F">
              <w:rPr>
                <w:rFonts w:ascii="Verdana" w:eastAsia="Calibri" w:hAnsi="Verdana" w:cs="Arial"/>
              </w:rPr>
              <w:t>.</w:t>
            </w:r>
          </w:p>
        </w:tc>
      </w:tr>
    </w:tbl>
    <w:p w14:paraId="4D4D94B2" w14:textId="77777777" w:rsidR="00025996" w:rsidRDefault="00025996" w:rsidP="00025996">
      <w:pPr>
        <w:widowControl w:val="0"/>
        <w:autoSpaceDE w:val="0"/>
        <w:autoSpaceDN w:val="0"/>
        <w:spacing w:after="0" w:line="276" w:lineRule="auto"/>
        <w:jc w:val="both"/>
        <w:rPr>
          <w:rFonts w:ascii="Verdana" w:hAnsi="Verdana" w:cs="Arial"/>
        </w:rPr>
      </w:pPr>
    </w:p>
    <w:p w14:paraId="344E4389" w14:textId="77777777" w:rsidR="00025996" w:rsidRDefault="00025996" w:rsidP="00122A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3981B490" w14:textId="77777777" w:rsidR="00025996" w:rsidRDefault="00025996" w:rsidP="00025996">
      <w:pPr>
        <w:widowControl w:val="0"/>
        <w:autoSpaceDE w:val="0"/>
        <w:autoSpaceDN w:val="0"/>
        <w:spacing w:after="0" w:line="276" w:lineRule="auto"/>
        <w:jc w:val="both"/>
        <w:rPr>
          <w:rFonts w:ascii="Verdana" w:hAnsi="Verdana" w:cs="Arial"/>
        </w:rPr>
      </w:pPr>
    </w:p>
    <w:p w14:paraId="3FF8D154" w14:textId="77777777" w:rsidR="00025996" w:rsidRPr="00FE3C84" w:rsidRDefault="00025996" w:rsidP="00025996">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47835543" w14:textId="77777777" w:rsidR="00025996" w:rsidRDefault="00025996" w:rsidP="00025996">
      <w:pPr>
        <w:spacing w:after="0" w:line="276" w:lineRule="auto"/>
        <w:jc w:val="both"/>
        <w:rPr>
          <w:rFonts w:ascii="Verdana" w:hAnsi="Verdana"/>
        </w:rPr>
      </w:pPr>
    </w:p>
    <w:p w14:paraId="146ACBB3" w14:textId="77777777" w:rsidR="00025996" w:rsidRDefault="00025996" w:rsidP="00025996">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60155C21" w14:textId="77777777" w:rsidR="00025996" w:rsidRDefault="00025996" w:rsidP="00025996">
      <w:pPr>
        <w:spacing w:after="0" w:line="276" w:lineRule="auto"/>
        <w:jc w:val="both"/>
        <w:rPr>
          <w:rFonts w:ascii="Verdana" w:hAnsi="Verdana"/>
        </w:rPr>
      </w:pPr>
    </w:p>
    <w:p w14:paraId="2E7C507B" w14:textId="77777777" w:rsidR="00025996" w:rsidRDefault="00025996" w:rsidP="00025996">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72284723" w14:textId="77777777" w:rsidR="00025996" w:rsidRDefault="00025996" w:rsidP="00025996">
      <w:pPr>
        <w:spacing w:after="0" w:line="276" w:lineRule="auto"/>
        <w:jc w:val="both"/>
        <w:rPr>
          <w:rFonts w:ascii="Verdana" w:hAnsi="Verdana"/>
        </w:rPr>
      </w:pPr>
      <w:r>
        <w:rPr>
          <w:rFonts w:ascii="Verdana" w:hAnsi="Verdana"/>
        </w:rPr>
        <w:t xml:space="preserve">Facebook: </w:t>
      </w:r>
      <w:r>
        <w:rPr>
          <w:rStyle w:val="Hipervnculo"/>
          <w:rFonts w:ascii="Verdana" w:hAnsi="Verdana"/>
          <w:color w:val="4472C4" w:themeColor="accent1"/>
        </w:rPr>
        <w:t>ColombiaCompraEficiente</w:t>
      </w:r>
    </w:p>
    <w:p w14:paraId="0E3DFC5C" w14:textId="77777777" w:rsidR="00025996" w:rsidRDefault="00025996" w:rsidP="00025996">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7B070599" w14:textId="77777777" w:rsidR="00025996" w:rsidRDefault="00025996" w:rsidP="00025996">
      <w:pPr>
        <w:widowControl w:val="0"/>
        <w:autoSpaceDE w:val="0"/>
        <w:autoSpaceDN w:val="0"/>
        <w:spacing w:after="0" w:line="276" w:lineRule="auto"/>
        <w:jc w:val="both"/>
        <w:rPr>
          <w:rFonts w:ascii="Verdana" w:hAnsi="Verdana" w:cs="Arial"/>
        </w:rPr>
      </w:pPr>
    </w:p>
    <w:p w14:paraId="576EB6EA" w14:textId="77777777" w:rsidR="00025996" w:rsidRDefault="00025996" w:rsidP="00025996">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4D6C246C" w14:textId="77777777" w:rsidR="00025996" w:rsidRDefault="00025996" w:rsidP="00025996">
      <w:pPr>
        <w:widowControl w:val="0"/>
        <w:autoSpaceDE w:val="0"/>
        <w:autoSpaceDN w:val="0"/>
        <w:spacing w:after="0" w:line="276" w:lineRule="auto"/>
        <w:jc w:val="both"/>
        <w:rPr>
          <w:rFonts w:ascii="Verdana" w:hAnsi="Verdana" w:cs="Arial"/>
        </w:rPr>
      </w:pPr>
    </w:p>
    <w:p w14:paraId="48BE0EE9" w14:textId="77777777" w:rsidR="00025996" w:rsidRDefault="00025996" w:rsidP="00025996">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3E4EEC04" w14:textId="3DEC817C" w:rsidR="00025996" w:rsidRDefault="00870388" w:rsidP="00025996">
      <w:pPr>
        <w:spacing w:after="0" w:line="276" w:lineRule="auto"/>
        <w:jc w:val="center"/>
      </w:pPr>
      <w:r>
        <w:rPr>
          <w:noProof/>
        </w:rPr>
        <w:lastRenderedPageBreak/>
        <w:drawing>
          <wp:inline distT="0" distB="0" distL="0" distR="0" wp14:anchorId="35305939" wp14:editId="1ADBBE1F">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25996" w14:paraId="75244E25" w14:textId="77777777" w:rsidTr="00251F32">
        <w:trPr>
          <w:trHeight w:val="315"/>
        </w:trPr>
        <w:tc>
          <w:tcPr>
            <w:tcW w:w="893" w:type="dxa"/>
            <w:vAlign w:val="center"/>
            <w:hideMark/>
          </w:tcPr>
          <w:p w14:paraId="74C13A74" w14:textId="77777777" w:rsidR="00025996" w:rsidRDefault="00025996" w:rsidP="00251F32">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3EC6EA6" w14:textId="77777777" w:rsidR="00025996" w:rsidRDefault="00025996" w:rsidP="00251F32">
            <w:pPr>
              <w:spacing w:after="255"/>
              <w:contextualSpacing/>
              <w:rPr>
                <w:rFonts w:ascii="Verdana" w:eastAsia="Arial" w:hAnsi="Verdana" w:cs="Arial"/>
                <w:sz w:val="16"/>
                <w:szCs w:val="16"/>
              </w:rPr>
            </w:pPr>
            <w:r>
              <w:rPr>
                <w:rStyle w:val="normaltextrun"/>
                <w:rFonts w:ascii="Verdana" w:hAnsi="Verdana"/>
                <w:sz w:val="16"/>
                <w:szCs w:val="16"/>
              </w:rPr>
              <w:t>Catalina Cubides Estupiñan</w:t>
            </w:r>
          </w:p>
          <w:p w14:paraId="105DAF8C" w14:textId="77777777" w:rsidR="00025996" w:rsidRDefault="00025996" w:rsidP="00251F32">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025996" w14:paraId="1AAD85E6" w14:textId="77777777" w:rsidTr="00251F32">
        <w:trPr>
          <w:trHeight w:val="330"/>
        </w:trPr>
        <w:tc>
          <w:tcPr>
            <w:tcW w:w="893" w:type="dxa"/>
            <w:vAlign w:val="center"/>
            <w:hideMark/>
          </w:tcPr>
          <w:p w14:paraId="0CD6DBCE" w14:textId="77777777" w:rsidR="00025996" w:rsidRDefault="00025996" w:rsidP="00251F32">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9BB12C7" w14:textId="77777777" w:rsidR="00025996" w:rsidRDefault="00025996" w:rsidP="00251F32">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Lucia Saavedra Castañeda</w:t>
            </w:r>
          </w:p>
          <w:p w14:paraId="08CC24D4" w14:textId="77777777" w:rsidR="00025996" w:rsidRDefault="00025996" w:rsidP="00251F32">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025996" w14:paraId="1300AB19" w14:textId="77777777" w:rsidTr="00251F32">
        <w:trPr>
          <w:trHeight w:val="300"/>
        </w:trPr>
        <w:tc>
          <w:tcPr>
            <w:tcW w:w="893" w:type="dxa"/>
            <w:vAlign w:val="center"/>
            <w:hideMark/>
          </w:tcPr>
          <w:p w14:paraId="0DF69AD4" w14:textId="77777777" w:rsidR="00025996" w:rsidRDefault="00025996" w:rsidP="00251F32">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89E7B6D" w14:textId="77777777" w:rsidR="00025996" w:rsidRDefault="00025996" w:rsidP="00251F32">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Carolina Quintero Gacharná</w:t>
            </w:r>
          </w:p>
          <w:p w14:paraId="02F1D839" w14:textId="77777777" w:rsidR="00025996" w:rsidRDefault="00025996" w:rsidP="00251F32">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Contractual ANCP – CCE </w:t>
            </w:r>
          </w:p>
        </w:tc>
      </w:tr>
    </w:tbl>
    <w:p w14:paraId="1BB08DE4" w14:textId="77777777" w:rsidR="00025996" w:rsidRPr="001249F1" w:rsidRDefault="00025996" w:rsidP="00025996"/>
    <w:p w14:paraId="5F4029F6" w14:textId="77777777" w:rsidR="00025996" w:rsidRPr="0044528D" w:rsidRDefault="00025996" w:rsidP="00025996">
      <w:pPr>
        <w:spacing w:after="0"/>
        <w:rPr>
          <w:rFonts w:ascii="Verdana" w:eastAsia="Times New Roman" w:hAnsi="Verdana" w:cs="Segoe UI"/>
          <w:b/>
          <w:bCs/>
          <w:color w:val="46589C"/>
          <w:lang w:val="es-ES" w:eastAsia="es-CO"/>
        </w:rPr>
      </w:pPr>
    </w:p>
    <w:p w14:paraId="3B969CCE" w14:textId="77777777" w:rsidR="00025996" w:rsidRPr="00046945" w:rsidRDefault="00025996" w:rsidP="00025996">
      <w:pPr>
        <w:spacing w:after="0"/>
        <w:rPr>
          <w:rFonts w:ascii="Verdana" w:eastAsia="Times New Roman" w:hAnsi="Verdana" w:cs="Segoe UI"/>
          <w:sz w:val="18"/>
          <w:szCs w:val="18"/>
          <w:lang w:eastAsia="es-CO"/>
        </w:rPr>
      </w:pPr>
    </w:p>
    <w:p w14:paraId="1C0A6DE5" w14:textId="77777777" w:rsidR="00025996" w:rsidRPr="0044528D" w:rsidRDefault="00025996" w:rsidP="00025996">
      <w:pPr>
        <w:spacing w:after="0"/>
        <w:rPr>
          <w:rFonts w:ascii="Verdana" w:hAnsi="Verdana"/>
        </w:rPr>
      </w:pPr>
    </w:p>
    <w:p w14:paraId="5726A29C" w14:textId="77777777" w:rsidR="00025996" w:rsidRPr="0015699B" w:rsidRDefault="00025996" w:rsidP="00025996">
      <w:pPr>
        <w:spacing w:after="0"/>
        <w:rPr>
          <w:rFonts w:ascii="Verdana" w:eastAsia="Times New Roman" w:hAnsi="Verdana" w:cs="Segoe UI"/>
          <w:lang w:eastAsia="es-CO"/>
        </w:rPr>
      </w:pPr>
    </w:p>
    <w:p w14:paraId="0F293BF4" w14:textId="7E45803F" w:rsidR="00127233" w:rsidRPr="0042022E" w:rsidRDefault="00127233" w:rsidP="0042022E"/>
    <w:sectPr w:rsidR="00127233" w:rsidRPr="0042022E"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FA90C0" w14:textId="77777777" w:rsidR="00D24D5E" w:rsidRDefault="00D24D5E" w:rsidP="004A1847">
      <w:pPr>
        <w:spacing w:after="0" w:line="240" w:lineRule="auto"/>
      </w:pPr>
      <w:r>
        <w:separator/>
      </w:r>
    </w:p>
  </w:endnote>
  <w:endnote w:type="continuationSeparator" w:id="0">
    <w:p w14:paraId="38A833E2" w14:textId="77777777" w:rsidR="00D24D5E" w:rsidRDefault="00D24D5E" w:rsidP="004A1847">
      <w:pPr>
        <w:spacing w:after="0" w:line="240" w:lineRule="auto"/>
      </w:pPr>
      <w:r>
        <w:continuationSeparator/>
      </w:r>
    </w:p>
  </w:endnote>
  <w:endnote w:type="continuationNotice" w:id="1">
    <w:p w14:paraId="208BFAEA" w14:textId="77777777" w:rsidR="00D24D5E" w:rsidRDefault="00D24D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BCDHEE+Verdana">
    <w:altName w:val="Verdana"/>
    <w:charset w:val="00"/>
    <w:family w:val="swiss"/>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EB8DB6" w14:textId="77777777" w:rsidR="00D24D5E" w:rsidRDefault="00D24D5E" w:rsidP="004A1847">
      <w:pPr>
        <w:spacing w:after="0" w:line="240" w:lineRule="auto"/>
      </w:pPr>
      <w:r>
        <w:separator/>
      </w:r>
    </w:p>
  </w:footnote>
  <w:footnote w:type="continuationSeparator" w:id="0">
    <w:p w14:paraId="7D053C38" w14:textId="77777777" w:rsidR="00D24D5E" w:rsidRDefault="00D24D5E" w:rsidP="004A1847">
      <w:pPr>
        <w:spacing w:after="0" w:line="240" w:lineRule="auto"/>
      </w:pPr>
      <w:r>
        <w:continuationSeparator/>
      </w:r>
    </w:p>
  </w:footnote>
  <w:footnote w:type="continuationNotice" w:id="1">
    <w:p w14:paraId="6866A532" w14:textId="77777777" w:rsidR="00D24D5E" w:rsidRDefault="00D24D5E">
      <w:pPr>
        <w:spacing w:after="0" w:line="240" w:lineRule="auto"/>
      </w:pPr>
    </w:p>
  </w:footnote>
  <w:footnote w:id="2">
    <w:p w14:paraId="18A2690C" w14:textId="0A3641A2" w:rsidR="00025996" w:rsidRPr="006A0190" w:rsidRDefault="00025996" w:rsidP="00025996">
      <w:pPr>
        <w:pStyle w:val="paragraph"/>
        <w:spacing w:before="0" w:beforeAutospacing="0" w:after="0" w:afterAutospacing="0"/>
        <w:ind w:firstLine="709"/>
        <w:jc w:val="both"/>
        <w:textAlignment w:val="baseline"/>
        <w:rPr>
          <w:rFonts w:ascii="Arial" w:hAnsi="Arial" w:cs="Arial"/>
          <w:color w:val="000000" w:themeColor="text1"/>
          <w:sz w:val="19"/>
          <w:szCs w:val="19"/>
        </w:rPr>
      </w:pPr>
      <w:r w:rsidRPr="006A0190">
        <w:rPr>
          <w:rStyle w:val="Refdenotaalpie"/>
          <w:rFonts w:ascii="Arial" w:hAnsi="Arial" w:cs="Arial"/>
          <w:color w:val="000000" w:themeColor="text1"/>
          <w:sz w:val="19"/>
          <w:szCs w:val="19"/>
        </w:rPr>
        <w:footnoteRef/>
      </w:r>
      <w:r w:rsidRPr="006A0190">
        <w:rPr>
          <w:rFonts w:ascii="Arial" w:hAnsi="Arial" w:cs="Arial"/>
          <w:color w:val="000000" w:themeColor="text1"/>
          <w:sz w:val="19"/>
          <w:szCs w:val="19"/>
        </w:rPr>
        <w:t xml:space="preserve"> </w:t>
      </w:r>
      <w:r w:rsidRPr="006A0190">
        <w:rPr>
          <w:rFonts w:ascii="Arial" w:hAnsi="Arial" w:cs="Arial"/>
          <w:color w:val="000000" w:themeColor="text1"/>
          <w:sz w:val="19"/>
          <w:szCs w:val="19"/>
          <w:lang w:val="es-ES"/>
        </w:rPr>
        <w:t>Ley 489 de 1998, artículo 38, numeral 2, literal f, y artículo 68, numeral 2: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r w:rsidRPr="006A0190">
        <w:rPr>
          <w:rFonts w:ascii="Arial" w:hAnsi="Arial" w:cs="Arial"/>
          <w:color w:val="000000" w:themeColor="text1"/>
          <w:sz w:val="19"/>
          <w:szCs w:val="19"/>
        </w:rPr>
        <w:t>  </w:t>
      </w:r>
    </w:p>
  </w:footnote>
  <w:footnote w:id="3">
    <w:p w14:paraId="2CB35326" w14:textId="743E92AC" w:rsidR="00025996" w:rsidRPr="006A0190" w:rsidRDefault="00025996" w:rsidP="00122AC1">
      <w:pPr>
        <w:spacing w:after="0" w:line="240" w:lineRule="auto"/>
        <w:ind w:firstLine="709"/>
        <w:jc w:val="both"/>
        <w:rPr>
          <w:lang w:val="es-ES"/>
        </w:rPr>
      </w:pPr>
      <w:r w:rsidRPr="006A0190">
        <w:rPr>
          <w:rFonts w:ascii="Arial" w:eastAsia="Times New Roman" w:hAnsi="Arial" w:cs="Arial"/>
          <w:color w:val="000000" w:themeColor="text1"/>
          <w:sz w:val="19"/>
          <w:szCs w:val="19"/>
          <w:lang w:val="es-ES" w:eastAsia="es-MX"/>
        </w:rPr>
        <w:t xml:space="preserve"> </w:t>
      </w:r>
      <w:r w:rsidRPr="006A0190">
        <w:rPr>
          <w:rStyle w:val="Refdenotaalpie"/>
          <w:rFonts w:ascii="Arial" w:hAnsi="Arial" w:cs="Arial"/>
          <w:color w:val="000000" w:themeColor="text1"/>
          <w:sz w:val="19"/>
          <w:szCs w:val="19"/>
        </w:rPr>
        <w:footnoteRef/>
      </w:r>
      <w:r w:rsidRPr="006A0190">
        <w:rPr>
          <w:rFonts w:ascii="Arial" w:eastAsia="Times New Roman" w:hAnsi="Arial" w:cs="Arial"/>
          <w:color w:val="000000" w:themeColor="text1"/>
          <w:sz w:val="19"/>
          <w:szCs w:val="19"/>
          <w:lang w:val="es-ES" w:eastAsia="es-MX"/>
        </w:rPr>
        <w:t xml:space="preserve"> Así lo establece la Constitución Política, en el artículo 150, numeral 7, así como en el artículo 300, numeral 7 y en el artículo 313, numeral 6.</w:t>
      </w:r>
    </w:p>
  </w:footnote>
  <w:footnote w:id="4">
    <w:p w14:paraId="76899D49" w14:textId="77777777" w:rsidR="00025996" w:rsidRPr="006A0190" w:rsidRDefault="00025996" w:rsidP="00025996">
      <w:pPr>
        <w:pStyle w:val="Textonotapie"/>
        <w:ind w:firstLine="709"/>
        <w:rPr>
          <w:rFonts w:ascii="Arial" w:hAnsi="Arial" w:cs="Arial"/>
          <w:sz w:val="19"/>
          <w:szCs w:val="19"/>
        </w:rPr>
      </w:pPr>
      <w:r w:rsidRPr="006A0190">
        <w:rPr>
          <w:rStyle w:val="Refdenotaalpie"/>
          <w:rFonts w:ascii="Arial" w:hAnsi="Arial" w:cs="Arial"/>
          <w:sz w:val="19"/>
          <w:szCs w:val="19"/>
        </w:rPr>
        <w:footnoteRef/>
      </w:r>
      <w:r w:rsidRPr="006A0190">
        <w:rPr>
          <w:rFonts w:ascii="Arial" w:hAnsi="Arial" w:cs="Arial"/>
          <w:sz w:val="19"/>
          <w:szCs w:val="19"/>
        </w:rPr>
        <w:t xml:space="preserve"> Las sociedades de economía mixta son una clara manifestación organizacional de la función administrativa. Al respecto, la doctrina colombiana ha considerado que «la organización debe ocupar un lugar central en el estudio del derecho administrativo, sobre todo si se tiene en cuenta que lo estructural es consustancial a la actividad administrativa. De hecho, podemos afirmar que se trata de una verdadera dialéctica en la que se presenta una relación de medio a fin, ya que su objeto es precisamente el diseño y puesta en funcionamiento de las maneras o formas de gestión de potestades, atribuciones y competencias administrativas» (RINCÓN CÓRDOBA, Jorge Iván. Teoría de la organización administrativa en Colombia, Bogotá: Universidad Externado de Colombia, 2019, pp. 31-32). </w:t>
      </w:r>
    </w:p>
    <w:p w14:paraId="1863FA79" w14:textId="77777777" w:rsidR="00025996" w:rsidRPr="006A0190" w:rsidRDefault="00025996" w:rsidP="00025996">
      <w:pPr>
        <w:pStyle w:val="Textonotapie"/>
        <w:ind w:firstLine="709"/>
        <w:rPr>
          <w:rFonts w:ascii="Arial" w:hAnsi="Arial" w:cs="Arial"/>
          <w:sz w:val="19"/>
          <w:szCs w:val="19"/>
        </w:rPr>
      </w:pPr>
    </w:p>
  </w:footnote>
  <w:footnote w:id="5">
    <w:p w14:paraId="4E8CBEA9" w14:textId="77777777" w:rsidR="00025996" w:rsidRPr="006A0190" w:rsidRDefault="00025996" w:rsidP="00025996">
      <w:pPr>
        <w:pStyle w:val="Textonotapie"/>
        <w:ind w:firstLine="709"/>
        <w:rPr>
          <w:rFonts w:ascii="Arial" w:hAnsi="Arial" w:cs="Arial"/>
          <w:sz w:val="19"/>
          <w:szCs w:val="19"/>
          <w:lang w:val="es-CO"/>
        </w:rPr>
      </w:pPr>
      <w:r w:rsidRPr="006A0190">
        <w:rPr>
          <w:rStyle w:val="Refdenotaalpie"/>
          <w:rFonts w:ascii="Arial" w:hAnsi="Arial" w:cs="Arial"/>
          <w:sz w:val="19"/>
          <w:szCs w:val="19"/>
        </w:rPr>
        <w:footnoteRef/>
      </w:r>
      <w:r w:rsidRPr="006A0190">
        <w:rPr>
          <w:rFonts w:ascii="Arial" w:hAnsi="Arial" w:cs="Arial"/>
          <w:sz w:val="19"/>
          <w:szCs w:val="19"/>
        </w:rPr>
        <w:t xml:space="preserve"> «Una función administrativa entendida entonces, como un conjunto de actividades particulares, disimiles entre sí, pero diversas de aquellas generales de Estado y particulares propias de la función judicial y legislativa, que dan desarrollo directo a las finalidades del estado, consagradas de manera positiva en la Constitución Política, que pueden ser desarrolladas por distintos sujetos de derecho, habilitados para ello, con el respeto y cumplimiento del ordenamiento jurídico superior» (MONTAÑA PLATA, Alberto. Fundamentos de derecho administrativo. Bogotá: Universidad Externado de Colombia, 2010, p. 124).</w:t>
      </w:r>
    </w:p>
  </w:footnote>
  <w:footnote w:id="6">
    <w:p w14:paraId="087B36E9" w14:textId="77777777" w:rsidR="00025996" w:rsidRPr="00C05384" w:rsidRDefault="00025996" w:rsidP="00025996">
      <w:pPr>
        <w:pStyle w:val="Textonotapie"/>
        <w:contextualSpacing/>
        <w:jc w:val="both"/>
        <w:rPr>
          <w:rFonts w:ascii="Verdana" w:hAnsi="Verdana" w:cs="Arial"/>
          <w:sz w:val="16"/>
          <w:szCs w:val="16"/>
        </w:rPr>
      </w:pPr>
      <w:r>
        <w:rPr>
          <w:rFonts w:ascii="Verdana" w:hAnsi="Verdana" w:cs="Arial"/>
          <w:sz w:val="16"/>
          <w:szCs w:val="16"/>
        </w:rPr>
        <w:tab/>
      </w: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footnote>
  <w:footnote w:id="7">
    <w:p w14:paraId="79F63021" w14:textId="77777777" w:rsidR="00025996" w:rsidRPr="00C05384" w:rsidRDefault="00025996" w:rsidP="00025996">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8">
    <w:p w14:paraId="74A1579F" w14:textId="77777777" w:rsidR="00025996" w:rsidRPr="00C05384" w:rsidRDefault="00025996" w:rsidP="00025996">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9">
    <w:p w14:paraId="6CAB75DB" w14:textId="77777777" w:rsidR="00025996" w:rsidRPr="00C05384" w:rsidRDefault="00025996" w:rsidP="00025996">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10">
    <w:p w14:paraId="08D53F95" w14:textId="77777777" w:rsidR="00025996" w:rsidRPr="00C05384" w:rsidRDefault="00025996" w:rsidP="00025996">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11">
    <w:p w14:paraId="77F4F5B1" w14:textId="77777777" w:rsidR="00025996" w:rsidRPr="00C05384" w:rsidRDefault="00025996" w:rsidP="00025996">
      <w:pPr>
        <w:pStyle w:val="Textonotapie"/>
        <w:ind w:firstLine="709"/>
        <w:contextualSpacing/>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12">
    <w:p w14:paraId="0B827AD8" w14:textId="77777777" w:rsidR="00025996" w:rsidRPr="00C05384" w:rsidRDefault="00025996" w:rsidP="00025996">
      <w:pPr>
        <w:spacing w:after="0" w:line="240" w:lineRule="auto"/>
        <w:ind w:left="100" w:right="244" w:firstLine="709"/>
        <w:contextualSpacing/>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1"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4"/>
  </w:num>
  <w:num w:numId="14">
    <w:abstractNumId w:val="15"/>
  </w:num>
  <w:num w:numId="15">
    <w:abstractNumId w:val="11"/>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996"/>
    <w:rsid w:val="00046945"/>
    <w:rsid w:val="00061B2A"/>
    <w:rsid w:val="00082362"/>
    <w:rsid w:val="000A683E"/>
    <w:rsid w:val="000B19B9"/>
    <w:rsid w:val="000D0334"/>
    <w:rsid w:val="000D5DA7"/>
    <w:rsid w:val="000F6486"/>
    <w:rsid w:val="00115143"/>
    <w:rsid w:val="00116940"/>
    <w:rsid w:val="00122AC1"/>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022E"/>
    <w:rsid w:val="0042722E"/>
    <w:rsid w:val="0044528D"/>
    <w:rsid w:val="00466E39"/>
    <w:rsid w:val="00476C78"/>
    <w:rsid w:val="004A1847"/>
    <w:rsid w:val="004A305D"/>
    <w:rsid w:val="004D28A6"/>
    <w:rsid w:val="004F21C4"/>
    <w:rsid w:val="004F685F"/>
    <w:rsid w:val="00505E35"/>
    <w:rsid w:val="005566E8"/>
    <w:rsid w:val="00574867"/>
    <w:rsid w:val="00591460"/>
    <w:rsid w:val="005A65E0"/>
    <w:rsid w:val="005C3777"/>
    <w:rsid w:val="005C5CDC"/>
    <w:rsid w:val="005D476C"/>
    <w:rsid w:val="006200BF"/>
    <w:rsid w:val="006219F8"/>
    <w:rsid w:val="006302F7"/>
    <w:rsid w:val="00646B9F"/>
    <w:rsid w:val="00665D70"/>
    <w:rsid w:val="006900D9"/>
    <w:rsid w:val="006C0847"/>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0D09"/>
    <w:rsid w:val="00844AE9"/>
    <w:rsid w:val="00845E9D"/>
    <w:rsid w:val="00867F95"/>
    <w:rsid w:val="00870388"/>
    <w:rsid w:val="008843B6"/>
    <w:rsid w:val="00891928"/>
    <w:rsid w:val="008A446D"/>
    <w:rsid w:val="008B25F1"/>
    <w:rsid w:val="008D180B"/>
    <w:rsid w:val="008F0EA7"/>
    <w:rsid w:val="009145E3"/>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6B4C"/>
    <w:rsid w:val="00AB0ADB"/>
    <w:rsid w:val="00B00C0E"/>
    <w:rsid w:val="00B01B1A"/>
    <w:rsid w:val="00B0381D"/>
    <w:rsid w:val="00B44A47"/>
    <w:rsid w:val="00B64AAE"/>
    <w:rsid w:val="00B72CD3"/>
    <w:rsid w:val="00B72FFF"/>
    <w:rsid w:val="00B95ED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22F47"/>
    <w:rsid w:val="00D24D5E"/>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52B8C"/>
    <w:rsid w:val="00E75C92"/>
    <w:rsid w:val="00E771DC"/>
    <w:rsid w:val="00E814E8"/>
    <w:rsid w:val="00E831F5"/>
    <w:rsid w:val="00E8772A"/>
    <w:rsid w:val="00E90F6B"/>
    <w:rsid w:val="00E92C27"/>
    <w:rsid w:val="00EA0E3D"/>
    <w:rsid w:val="00EC38A7"/>
    <w:rsid w:val="00EE1AA8"/>
    <w:rsid w:val="00F23FEA"/>
    <w:rsid w:val="00F31EDC"/>
    <w:rsid w:val="00F44D6F"/>
    <w:rsid w:val="00F462B3"/>
    <w:rsid w:val="00F5664F"/>
    <w:rsid w:val="00F666C4"/>
    <w:rsid w:val="00F76AFC"/>
    <w:rsid w:val="00F968E7"/>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99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25996"/>
    <w:rPr>
      <w:rFonts w:ascii="Geomanist Light" w:hAnsi="Geomanist Light"/>
      <w:lang w:val="es-ES"/>
    </w:rPr>
  </w:style>
  <w:style w:type="paragraph" w:customStyle="1" w:styleId="Appelnotedebasde">
    <w:name w:val="Appel note de bas de..."/>
    <w:basedOn w:val="Normal"/>
    <w:link w:val="Refdenotaalpie"/>
    <w:uiPriority w:val="99"/>
    <w:rsid w:val="00025996"/>
    <w:pPr>
      <w:spacing w:line="240" w:lineRule="exact"/>
    </w:pPr>
    <w:rPr>
      <w:vertAlign w:val="superscript"/>
    </w:rPr>
  </w:style>
  <w:style w:type="character" w:customStyle="1" w:styleId="baj">
    <w:name w:val="b_aj"/>
    <w:basedOn w:val="Fuentedeprrafopredeter"/>
    <w:rsid w:val="000259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70834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igaugtolcha@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803EB6-D9AE-4329-816E-E4C42D8A7343}"/>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16</Pages>
  <Words>4891</Words>
  <Characters>26903</Characters>
  <Application>Microsoft Office Word</Application>
  <DocSecurity>0</DocSecurity>
  <Lines>224</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2025-12-04T14:05:00Z</dcterms:created>
  <dcterms:modified xsi:type="dcterms:W3CDTF">2025-12-22T13:25:00Z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