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E82E6" w14:textId="77777777" w:rsidR="00AF346D" w:rsidRDefault="00AF346D" w:rsidP="00AF346D">
      <w:pPr>
        <w:jc w:val="both"/>
        <w:rPr>
          <w:rFonts w:ascii="Verdana" w:hAnsi="Verdana" w:cs="Arial"/>
          <w:b/>
          <w:bCs/>
          <w:color w:val="000000" w:themeColor="text1"/>
          <w:lang w:val="es-ES"/>
        </w:rPr>
      </w:pPr>
      <w:bookmarkStart w:id="0" w:name="_Hlk143780582"/>
      <w:r w:rsidRPr="00AF346D">
        <w:rPr>
          <w:rFonts w:ascii="Verdana" w:hAnsi="Verdana" w:cs="Arial"/>
          <w:b/>
          <w:bCs/>
          <w:color w:val="000000" w:themeColor="text1"/>
          <w:lang w:val="es-ES"/>
        </w:rPr>
        <w:t xml:space="preserve">MÍNIMA CUANTÍA – Modalidad de selección </w:t>
      </w:r>
    </w:p>
    <w:p w14:paraId="045BE90E" w14:textId="0563B9A2" w:rsidR="00AF346D" w:rsidRPr="00E67E6A" w:rsidRDefault="00E67E6A" w:rsidP="00E67E6A">
      <w:pPr>
        <w:spacing w:after="0" w:line="240" w:lineRule="auto"/>
        <w:jc w:val="both"/>
        <w:rPr>
          <w:rFonts w:ascii="Verdana" w:hAnsi="Verdana" w:cs="Arial"/>
          <w:color w:val="000000" w:themeColor="text1"/>
          <w:sz w:val="20"/>
          <w:szCs w:val="20"/>
          <w:lang w:val="es-ES"/>
        </w:rPr>
      </w:pPr>
      <w:r w:rsidRPr="00E67E6A">
        <w:rPr>
          <w:rFonts w:ascii="Verdana" w:eastAsia="Calibri" w:hAnsi="Verdana" w:cs="Arial"/>
          <w:color w:val="000000" w:themeColor="text1"/>
          <w:sz w:val="20"/>
          <w:szCs w:val="20"/>
          <w:lang w:val="es-ES"/>
        </w:rPr>
        <w:t>Esta es una modalidad de selección en virtud de la cual, la entidad estatal realiza una convocatoria pública para recibir ofertas de bienes, obras o servicios cuyo valor no excede el diez por ciento (10%) de la menor cuantía. El factor determinante para llevar a cabo tal procedimiento es la cuantía –calculada como presupuesto oficial a partir del estudio del sector–, independientemente de su objeto</w:t>
      </w:r>
    </w:p>
    <w:p w14:paraId="501FA20F" w14:textId="77777777" w:rsidR="00AF346D" w:rsidRPr="00AF346D" w:rsidRDefault="00AF346D" w:rsidP="00AF346D">
      <w:pPr>
        <w:spacing w:after="0" w:line="240" w:lineRule="auto"/>
        <w:jc w:val="both"/>
        <w:rPr>
          <w:rFonts w:ascii="Verdana" w:hAnsi="Verdana" w:cs="Arial"/>
          <w:b/>
          <w:bCs/>
          <w:color w:val="000000" w:themeColor="text1"/>
          <w:lang w:val="es-ES"/>
        </w:rPr>
      </w:pPr>
    </w:p>
    <w:p w14:paraId="582DB552" w14:textId="77777777" w:rsidR="00AC2D28" w:rsidRDefault="00AF346D" w:rsidP="00AC2D28">
      <w:pPr>
        <w:jc w:val="both"/>
        <w:rPr>
          <w:rFonts w:ascii="Verdana" w:eastAsia="Century Gothic" w:hAnsi="Verdana" w:cs="Century Gothic"/>
          <w:b/>
          <w:bCs/>
        </w:rPr>
      </w:pPr>
      <w:r w:rsidRPr="00AF346D">
        <w:rPr>
          <w:rFonts w:ascii="Verdana" w:eastAsia="Century Gothic" w:hAnsi="Verdana" w:cs="Century Gothic"/>
          <w:b/>
          <w:bCs/>
        </w:rPr>
        <w:t xml:space="preserve">DECRETO 1860 DE 2021 – Convocatorias limitadas a MiPymes – Normas reglamentarias – Mínima cuantía </w:t>
      </w:r>
    </w:p>
    <w:p w14:paraId="047479B6" w14:textId="77777777" w:rsidR="00AC2D28" w:rsidRDefault="00AC2D28" w:rsidP="00AC2D28">
      <w:pPr>
        <w:jc w:val="both"/>
        <w:rPr>
          <w:rFonts w:ascii="Verdana" w:eastAsia="Calibri" w:hAnsi="Verdana" w:cs="Arial"/>
          <w:color w:val="000000" w:themeColor="text1"/>
          <w:sz w:val="20"/>
          <w:szCs w:val="20"/>
          <w:lang w:val="es-ES"/>
        </w:rPr>
      </w:pPr>
      <w:r w:rsidRPr="00AC2D28">
        <w:rPr>
          <w:rFonts w:ascii="Verdana" w:eastAsia="Century Gothic" w:hAnsi="Verdana" w:cs="Century Gothic"/>
          <w:sz w:val="20"/>
          <w:szCs w:val="20"/>
        </w:rPr>
        <w:t xml:space="preserve">[…] </w:t>
      </w:r>
      <w:r w:rsidRPr="00AC2D28">
        <w:rPr>
          <w:rFonts w:ascii="Verdana" w:eastAsia="Calibri" w:hAnsi="Verdana" w:cs="Arial"/>
          <w:color w:val="000000" w:themeColor="text1"/>
          <w:sz w:val="20"/>
          <w:szCs w:val="20"/>
          <w:lang w:val="es-ES"/>
        </w:rPr>
        <w:t xml:space="preserve">el artículo 5 del Decreto 1860 de 2021 modificó los artículos 2.2.1.2.4.2.2., 2.2.1.2.4.2.3. y 2.2.1.2.4.2.4. de la Subsección 2 de la Sección 4 del Capítulo 2 del Título 1 de la Parte 2 del Libro 2 del Decreto 1082 de 2015, reglamentando las convocatorias limitadas a </w:t>
      </w:r>
      <w:proofErr w:type="spellStart"/>
      <w:r w:rsidRPr="00AC2D28">
        <w:rPr>
          <w:rFonts w:ascii="Verdana" w:eastAsia="Calibri" w:hAnsi="Verdana" w:cs="Arial"/>
          <w:color w:val="000000" w:themeColor="text1"/>
          <w:sz w:val="20"/>
          <w:szCs w:val="20"/>
          <w:lang w:val="es-ES"/>
        </w:rPr>
        <w:t>Mipyme</w:t>
      </w:r>
      <w:proofErr w:type="spellEnd"/>
      <w:r w:rsidRPr="00AC2D28">
        <w:rPr>
          <w:rFonts w:ascii="Verdana" w:eastAsia="Calibri" w:hAnsi="Verdana" w:cs="Arial"/>
          <w:color w:val="000000" w:themeColor="text1"/>
          <w:sz w:val="20"/>
          <w:szCs w:val="20"/>
          <w:lang w:val="es-ES"/>
        </w:rPr>
        <w:t xml:space="preserve">, con fundamento en lo establecido en el artículo 34 de la Ley 2069 de 2020. Esta nueva Subsección 2 contempla los siguientes aspectos: i) requisitos para limitar la convocatoria de los procesos de contratación con pluralidad de oferentes a las </w:t>
      </w:r>
      <w:proofErr w:type="spellStart"/>
      <w:r w:rsidRPr="00AC2D28">
        <w:rPr>
          <w:rFonts w:ascii="Verdana" w:eastAsia="Calibri" w:hAnsi="Verdana" w:cs="Arial"/>
          <w:color w:val="000000" w:themeColor="text1"/>
          <w:sz w:val="20"/>
          <w:szCs w:val="20"/>
          <w:lang w:val="es-ES"/>
        </w:rPr>
        <w:t>Mipyme</w:t>
      </w:r>
      <w:proofErr w:type="spellEnd"/>
      <w:r w:rsidRPr="00AC2D28">
        <w:rPr>
          <w:rFonts w:ascii="Verdana" w:eastAsia="Calibri" w:hAnsi="Verdana" w:cs="Arial"/>
          <w:color w:val="000000" w:themeColor="text1"/>
          <w:sz w:val="20"/>
          <w:szCs w:val="20"/>
          <w:lang w:val="es-ES"/>
        </w:rPr>
        <w:t xml:space="preserve"> colombianas con mínimo un (1) año de existencia – artículo 2.2.1.2.4.2.2- , </w:t>
      </w:r>
      <w:proofErr w:type="spellStart"/>
      <w:r w:rsidRPr="00AC2D28">
        <w:rPr>
          <w:rFonts w:ascii="Verdana" w:eastAsia="Calibri" w:hAnsi="Verdana" w:cs="Arial"/>
          <w:color w:val="000000" w:themeColor="text1"/>
          <w:sz w:val="20"/>
          <w:szCs w:val="20"/>
          <w:lang w:val="es-ES"/>
        </w:rPr>
        <w:t>ii</w:t>
      </w:r>
      <w:proofErr w:type="spellEnd"/>
      <w:r w:rsidRPr="00AC2D28">
        <w:rPr>
          <w:rFonts w:ascii="Verdana" w:eastAsia="Calibri" w:hAnsi="Verdana" w:cs="Arial"/>
          <w:color w:val="000000" w:themeColor="text1"/>
          <w:sz w:val="20"/>
          <w:szCs w:val="20"/>
          <w:lang w:val="es-ES"/>
        </w:rPr>
        <w:t xml:space="preserve">) desarrolla las convocatorias limitadas a </w:t>
      </w:r>
      <w:proofErr w:type="spellStart"/>
      <w:r w:rsidRPr="00AC2D28">
        <w:rPr>
          <w:rFonts w:ascii="Verdana" w:eastAsia="Calibri" w:hAnsi="Verdana" w:cs="Arial"/>
          <w:color w:val="000000" w:themeColor="text1"/>
          <w:sz w:val="20"/>
          <w:szCs w:val="20"/>
          <w:lang w:val="es-ES"/>
        </w:rPr>
        <w:t>Mipyme</w:t>
      </w:r>
      <w:proofErr w:type="spellEnd"/>
      <w:r w:rsidRPr="00AC2D28">
        <w:rPr>
          <w:rFonts w:ascii="Verdana" w:eastAsia="Calibri" w:hAnsi="Verdana" w:cs="Arial"/>
          <w:color w:val="000000" w:themeColor="text1"/>
          <w:sz w:val="20"/>
          <w:szCs w:val="20"/>
          <w:lang w:val="es-ES"/>
        </w:rPr>
        <w:t xml:space="preserve"> colombianas que tengan domicilio en los departamentos o municipios en donde se va a ejecutar el contrato – artículo 2.2.1.2.4.2.3., y </w:t>
      </w:r>
      <w:proofErr w:type="spellStart"/>
      <w:r w:rsidRPr="00AC2D28">
        <w:rPr>
          <w:rFonts w:ascii="Verdana" w:eastAsia="Calibri" w:hAnsi="Verdana" w:cs="Arial"/>
          <w:color w:val="000000" w:themeColor="text1"/>
          <w:sz w:val="20"/>
          <w:szCs w:val="20"/>
          <w:lang w:val="es-ES"/>
        </w:rPr>
        <w:t>iii</w:t>
      </w:r>
      <w:proofErr w:type="spellEnd"/>
      <w:r w:rsidRPr="00AC2D28">
        <w:rPr>
          <w:rFonts w:ascii="Verdana" w:eastAsia="Calibri" w:hAnsi="Verdana" w:cs="Arial"/>
          <w:color w:val="000000" w:themeColor="text1"/>
          <w:sz w:val="20"/>
          <w:szCs w:val="20"/>
          <w:lang w:val="es-ES"/>
        </w:rPr>
        <w:t>) regula la acreditación de requisitos para participar en convocatorias limitadas – artículo 2.2.1.2.4.2.4-.</w:t>
      </w:r>
    </w:p>
    <w:p w14:paraId="582A6488" w14:textId="6898F562" w:rsidR="00AF346D" w:rsidRDefault="00AF346D" w:rsidP="00AF346D">
      <w:pPr>
        <w:jc w:val="both"/>
        <w:rPr>
          <w:rFonts w:ascii="Verdana" w:eastAsia="Century Gothic" w:hAnsi="Verdana" w:cs="Century Gothic"/>
          <w:b/>
          <w:bCs/>
        </w:rPr>
      </w:pPr>
      <w:r w:rsidRPr="00AF346D">
        <w:rPr>
          <w:rFonts w:ascii="Verdana" w:eastAsia="Century Gothic" w:hAnsi="Verdana" w:cs="Century Gothic"/>
          <w:b/>
          <w:bCs/>
        </w:rPr>
        <w:t xml:space="preserve">CONVOCATORIAS LIMITADAS A MIPYMES – Aplicación </w:t>
      </w:r>
    </w:p>
    <w:p w14:paraId="29F6EF30" w14:textId="77777777" w:rsidR="00A95520" w:rsidRDefault="00AC2D28" w:rsidP="00A95520">
      <w:pPr>
        <w:jc w:val="both"/>
        <w:rPr>
          <w:rFonts w:ascii="Verdana" w:eastAsia="Calibri" w:hAnsi="Verdana" w:cs="Arial"/>
          <w:color w:val="000000" w:themeColor="text1"/>
          <w:sz w:val="20"/>
          <w:szCs w:val="20"/>
          <w:lang w:val="es-ES"/>
        </w:rPr>
      </w:pPr>
      <w:r>
        <w:rPr>
          <w:rFonts w:ascii="Verdana" w:eastAsia="Arial" w:hAnsi="Verdana" w:cs="Arial"/>
          <w:color w:val="000000"/>
          <w:sz w:val="20"/>
          <w:szCs w:val="20"/>
        </w:rPr>
        <w:t xml:space="preserve">[…] </w:t>
      </w:r>
      <w:r w:rsidRPr="00AC2D28">
        <w:rPr>
          <w:rFonts w:ascii="Verdana" w:eastAsia="Arial" w:hAnsi="Verdana" w:cs="Arial"/>
          <w:color w:val="000000"/>
          <w:sz w:val="20"/>
          <w:szCs w:val="20"/>
        </w:rPr>
        <w:t xml:space="preserve">el artículo 2.2.1.2.4.2.2. del Decreto 1082 de 2015 –modificado por el Decreto 1860 de 2021– establece los requisitos que se deben acreditar en las “convocatorias limitadas a </w:t>
      </w:r>
      <w:proofErr w:type="spellStart"/>
      <w:r w:rsidRPr="00AC2D28">
        <w:rPr>
          <w:rFonts w:ascii="Verdana" w:eastAsia="Arial" w:hAnsi="Verdana" w:cs="Arial"/>
          <w:color w:val="000000"/>
          <w:sz w:val="20"/>
          <w:szCs w:val="20"/>
        </w:rPr>
        <w:t>Mipymes</w:t>
      </w:r>
      <w:proofErr w:type="spellEnd"/>
      <w:r w:rsidRPr="00AC2D28">
        <w:rPr>
          <w:rFonts w:ascii="Verdana" w:eastAsia="Arial" w:hAnsi="Verdana" w:cs="Arial"/>
          <w:color w:val="000000"/>
          <w:sz w:val="20"/>
          <w:szCs w:val="2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AC2D28">
        <w:rPr>
          <w:rFonts w:ascii="Verdana" w:eastAsia="Arial" w:hAnsi="Verdana" w:cs="Arial"/>
          <w:color w:val="000000"/>
          <w:sz w:val="20"/>
          <w:szCs w:val="20"/>
        </w:rPr>
        <w:t>Mipyme</w:t>
      </w:r>
      <w:proofErr w:type="spellEnd"/>
      <w:r w:rsidRPr="00AC2D28">
        <w:rPr>
          <w:rFonts w:ascii="Verdana" w:eastAsia="Arial" w:hAnsi="Verdana" w:cs="Arial"/>
          <w:color w:val="000000"/>
          <w:sz w:val="20"/>
          <w:szCs w:val="20"/>
        </w:rPr>
        <w:t xml:space="preserve"> colombianas con mínimo un (1) año de existencia, siempre que se cumplan los requisitos señalados allí.</w:t>
      </w:r>
    </w:p>
    <w:p w14:paraId="5BD405CA" w14:textId="77777777" w:rsidR="00A95520" w:rsidRDefault="00AC2D28" w:rsidP="00A95520">
      <w:pPr>
        <w:jc w:val="both"/>
        <w:rPr>
          <w:rFonts w:ascii="Verdana" w:eastAsia="Calibri" w:hAnsi="Verdana" w:cs="Arial"/>
          <w:color w:val="000000" w:themeColor="text1"/>
          <w:sz w:val="20"/>
          <w:szCs w:val="20"/>
          <w:lang w:val="es-ES"/>
        </w:rPr>
      </w:pPr>
      <w:r w:rsidRPr="00AC2D28">
        <w:rPr>
          <w:rFonts w:ascii="Verdana" w:eastAsia="Century Gothic" w:hAnsi="Verdana" w:cs="Century Gothic"/>
          <w:sz w:val="20"/>
          <w:szCs w:val="20"/>
        </w:rPr>
        <w:t xml:space="preserve">[…] </w:t>
      </w:r>
    </w:p>
    <w:p w14:paraId="47F74599" w14:textId="77777777" w:rsidR="00A95520" w:rsidRDefault="00AC2D28" w:rsidP="00A95520">
      <w:pPr>
        <w:jc w:val="both"/>
        <w:rPr>
          <w:rFonts w:ascii="Verdana" w:eastAsia="Calibri" w:hAnsi="Verdana" w:cs="Arial"/>
          <w:color w:val="000000" w:themeColor="text1"/>
          <w:sz w:val="20"/>
          <w:szCs w:val="20"/>
          <w:lang w:val="es-ES"/>
        </w:rPr>
      </w:pPr>
      <w:r w:rsidRPr="00AC2D28">
        <w:rPr>
          <w:rFonts w:ascii="Verdana" w:eastAsia="Arial" w:hAnsi="Verdana" w:cs="Arial"/>
          <w:color w:val="000000"/>
          <w:sz w:val="20"/>
          <w:szCs w:val="20"/>
        </w:rPr>
        <w:t xml:space="preserve">Según se evidencia, el numeral primero limita cuantitativamente los procesos contractuales en los que se puede hacer esa convocatoria limitada a </w:t>
      </w:r>
      <w:proofErr w:type="spellStart"/>
      <w:r w:rsidRPr="00AC2D28">
        <w:rPr>
          <w:rFonts w:ascii="Verdana" w:eastAsia="Arial" w:hAnsi="Verdana" w:cs="Arial"/>
          <w:color w:val="000000"/>
          <w:sz w:val="20"/>
          <w:szCs w:val="20"/>
        </w:rPr>
        <w:t>Mipyme</w:t>
      </w:r>
      <w:proofErr w:type="spellEnd"/>
      <w:r w:rsidRPr="00AC2D28">
        <w:rPr>
          <w:rFonts w:ascii="Verdana" w:eastAsia="Arial" w:hAnsi="Verdana" w:cs="Arial"/>
          <w:color w:val="000000"/>
          <w:sz w:val="20"/>
          <w:szCs w:val="20"/>
        </w:rPr>
        <w:t xml:space="preserve">, en la medida en que el valor del proceso de contratación tendrá que ser “menor a ciento veinticinco mil dólares de los Estados Unidos de América”. </w:t>
      </w:r>
    </w:p>
    <w:p w14:paraId="38183B8C" w14:textId="77777777" w:rsidR="00A95520" w:rsidRDefault="00AC2D28" w:rsidP="00A95520">
      <w:pPr>
        <w:jc w:val="both"/>
        <w:rPr>
          <w:rFonts w:ascii="Verdana" w:eastAsia="Calibri" w:hAnsi="Verdana" w:cs="Arial"/>
          <w:color w:val="000000" w:themeColor="text1"/>
          <w:sz w:val="20"/>
          <w:szCs w:val="20"/>
          <w:lang w:val="es-ES"/>
        </w:rPr>
      </w:pPr>
      <w:r>
        <w:rPr>
          <w:rFonts w:ascii="Verdana" w:eastAsia="Arial" w:hAnsi="Verdana" w:cs="Arial"/>
          <w:color w:val="000000"/>
          <w:sz w:val="20"/>
          <w:szCs w:val="20"/>
        </w:rPr>
        <w:t>[…]</w:t>
      </w:r>
    </w:p>
    <w:p w14:paraId="3CCE8B2D" w14:textId="77777777" w:rsidR="00A95520" w:rsidRDefault="00AC2D28" w:rsidP="00A95520">
      <w:pPr>
        <w:jc w:val="both"/>
        <w:rPr>
          <w:rFonts w:ascii="Verdana" w:eastAsia="Calibri" w:hAnsi="Verdana" w:cs="Arial"/>
          <w:color w:val="000000" w:themeColor="text1"/>
          <w:sz w:val="20"/>
          <w:szCs w:val="20"/>
          <w:lang w:val="es-ES"/>
        </w:rPr>
      </w:pPr>
      <w:r w:rsidRPr="00AC2D28">
        <w:rPr>
          <w:rFonts w:ascii="Verdana" w:eastAsia="Arial" w:hAnsi="Verdana" w:cs="Arial"/>
          <w:color w:val="000000"/>
          <w:sz w:val="20"/>
          <w:szCs w:val="20"/>
        </w:rPr>
        <w:t xml:space="preserve">Por su parte, el numeral segundo establece dos exigencias: por un lado, que al menos dos (2) </w:t>
      </w:r>
      <w:proofErr w:type="spellStart"/>
      <w:r w:rsidRPr="00AC2D28">
        <w:rPr>
          <w:rFonts w:ascii="Verdana" w:eastAsia="Arial" w:hAnsi="Verdana" w:cs="Arial"/>
          <w:color w:val="000000"/>
          <w:sz w:val="20"/>
          <w:szCs w:val="20"/>
        </w:rPr>
        <w:t>Mipymes</w:t>
      </w:r>
      <w:proofErr w:type="spellEnd"/>
      <w:r w:rsidRPr="00AC2D28">
        <w:rPr>
          <w:rFonts w:ascii="Verdana" w:eastAsia="Arial" w:hAnsi="Verdana" w:cs="Arial"/>
          <w:color w:val="000000"/>
          <w:sz w:val="20"/>
          <w:szCs w:val="20"/>
        </w:rPr>
        <w:t xml:space="preserve"> colombianas presenten a la entidad la solicitud de limitar el proceso contractual y, por el otro, que hagan la solicitud por lo menos un día (1) hábil antes de la expedición del acto administrativo de apertura </w:t>
      </w:r>
      <w:r w:rsidRPr="00AC2D28">
        <w:rPr>
          <w:rFonts w:ascii="Verdana" w:eastAsia="Arial" w:hAnsi="Verdana" w:cs="Arial"/>
          <w:color w:val="000000"/>
          <w:sz w:val="20"/>
          <w:szCs w:val="20"/>
          <w:lang w:val="es-ES_tradnl"/>
        </w:rPr>
        <w:t xml:space="preserve">o el que haga sus veces de acuerdo </w:t>
      </w:r>
      <w:r w:rsidRPr="00AC2D28">
        <w:rPr>
          <w:rFonts w:ascii="Verdana" w:eastAsia="Arial" w:hAnsi="Verdana" w:cs="Arial"/>
          <w:color w:val="000000"/>
          <w:sz w:val="20"/>
          <w:szCs w:val="20"/>
          <w:lang w:val="es-ES_tradnl"/>
        </w:rPr>
        <w:lastRenderedPageBreak/>
        <w:t>con la normativa aplicable a cada proceso de contratación</w:t>
      </w:r>
      <w:r w:rsidRPr="00AC2D28">
        <w:rPr>
          <w:rFonts w:ascii="Verdana" w:eastAsia="Arial" w:hAnsi="Verdana" w:cs="Arial"/>
          <w:color w:val="000000"/>
          <w:sz w:val="20"/>
          <w:szCs w:val="20"/>
        </w:rPr>
        <w:t xml:space="preserve">. Además, la norma señala que, </w:t>
      </w:r>
      <w:r w:rsidRPr="00AC2D28">
        <w:rPr>
          <w:rFonts w:ascii="Verdana" w:eastAsia="Arial" w:hAnsi="Verdana" w:cs="Arial"/>
          <w:color w:val="000000"/>
          <w:sz w:val="20"/>
          <w:szCs w:val="20"/>
          <w:lang w:val="es-ES_tradnl"/>
        </w:rPr>
        <w:t xml:space="preserve">tratándose de personas jurídicas, las solicitudes solo las podrán realizar </w:t>
      </w:r>
      <w:proofErr w:type="spellStart"/>
      <w:r w:rsidRPr="00AC2D28">
        <w:rPr>
          <w:rFonts w:ascii="Verdana" w:eastAsia="Arial" w:hAnsi="Verdana" w:cs="Arial"/>
          <w:color w:val="000000"/>
          <w:sz w:val="20"/>
          <w:szCs w:val="20"/>
          <w:lang w:val="es-ES_tradnl"/>
        </w:rPr>
        <w:t>Mipymes</w:t>
      </w:r>
      <w:proofErr w:type="spellEnd"/>
      <w:r w:rsidRPr="00AC2D28">
        <w:rPr>
          <w:rFonts w:ascii="Verdana" w:eastAsia="Arial" w:hAnsi="Verdana" w:cs="Arial"/>
          <w:color w:val="000000"/>
          <w:sz w:val="20"/>
          <w:szCs w:val="20"/>
          <w:lang w:val="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AC2D28">
        <w:rPr>
          <w:rFonts w:ascii="Verdana" w:eastAsia="Arial" w:hAnsi="Verdana" w:cs="Arial"/>
          <w:color w:val="000000"/>
          <w:sz w:val="20"/>
          <w:szCs w:val="20"/>
          <w:lang w:val="es-ES_tradnl"/>
        </w:rPr>
        <w:t>Mipymes</w:t>
      </w:r>
      <w:proofErr w:type="spellEnd"/>
      <w:r w:rsidRPr="00AC2D28">
        <w:rPr>
          <w:rFonts w:ascii="Verdana" w:eastAsia="Arial" w:hAnsi="Verdana" w:cs="Arial"/>
          <w:color w:val="000000"/>
          <w:sz w:val="20"/>
          <w:szCs w:val="20"/>
          <w:lang w:val="es-ES_tradnl"/>
        </w:rPr>
        <w:t xml:space="preserve">, siempre que estas cumplan con las condiciones señaladas en el artículo. </w:t>
      </w:r>
    </w:p>
    <w:p w14:paraId="3EE7E71F" w14:textId="77777777" w:rsidR="00A95520" w:rsidRDefault="00AF346D" w:rsidP="00A95520">
      <w:pPr>
        <w:jc w:val="both"/>
        <w:rPr>
          <w:rFonts w:ascii="Verdana" w:eastAsia="Calibri" w:hAnsi="Verdana" w:cs="Arial"/>
          <w:color w:val="000000" w:themeColor="text1"/>
          <w:sz w:val="20"/>
          <w:szCs w:val="20"/>
          <w:lang w:val="es-ES"/>
        </w:rPr>
      </w:pPr>
      <w:r w:rsidRPr="00AF346D">
        <w:rPr>
          <w:rFonts w:ascii="Verdana" w:eastAsia="Century Gothic" w:hAnsi="Verdana" w:cs="Century Gothic"/>
          <w:b/>
          <w:bCs/>
        </w:rPr>
        <w:t xml:space="preserve">CONVOCATORIAS LIMITADAS A MIPYMES NACIONALES – Requisitos </w:t>
      </w:r>
    </w:p>
    <w:p w14:paraId="3908E7E0" w14:textId="4827EE25" w:rsidR="00301CC8" w:rsidRPr="00A95520" w:rsidRDefault="00301CC8" w:rsidP="00A95520">
      <w:pPr>
        <w:spacing w:after="0" w:line="240" w:lineRule="auto"/>
        <w:jc w:val="both"/>
        <w:rPr>
          <w:rFonts w:ascii="Verdana" w:eastAsia="Calibri" w:hAnsi="Verdana" w:cs="Arial"/>
          <w:color w:val="000000" w:themeColor="text1"/>
          <w:sz w:val="20"/>
          <w:szCs w:val="20"/>
          <w:lang w:val="es-ES"/>
        </w:rPr>
      </w:pPr>
      <w:r w:rsidRPr="00A95520">
        <w:rPr>
          <w:rFonts w:ascii="Verdana" w:eastAsia="Calibri" w:hAnsi="Verdana" w:cs="Arial"/>
          <w:sz w:val="20"/>
          <w:szCs w:val="20"/>
          <w:lang w:val="es-ES"/>
        </w:rPr>
        <w:t xml:space="preserve">En relación con las limitaciones territoriales </w:t>
      </w:r>
      <w:r w:rsidRPr="00A95520">
        <w:rPr>
          <w:rFonts w:ascii="Verdana" w:hAnsi="Verdana" w:cs="Arial"/>
          <w:sz w:val="20"/>
          <w:szCs w:val="20"/>
          <w:lang w:val="es-ES"/>
        </w:rPr>
        <w:t xml:space="preserve">de las convocatorias a </w:t>
      </w:r>
      <w:proofErr w:type="spellStart"/>
      <w:r w:rsidRPr="00A95520">
        <w:rPr>
          <w:rFonts w:ascii="Verdana" w:hAnsi="Verdana" w:cs="Arial"/>
          <w:sz w:val="20"/>
          <w:szCs w:val="20"/>
          <w:lang w:val="es-ES"/>
        </w:rPr>
        <w:t>Mipymes</w:t>
      </w:r>
      <w:proofErr w:type="spellEnd"/>
      <w:r w:rsidRPr="00A95520">
        <w:rPr>
          <w:rFonts w:ascii="Verdana" w:eastAsia="Calibri" w:hAnsi="Verdana" w:cs="Arial"/>
          <w:sz w:val="20"/>
          <w:szCs w:val="20"/>
          <w:lang w:val="es-ES"/>
        </w:rPr>
        <w:t xml:space="preserve"> el texto del actual artículo 2.2.1.2.4.2.3, modificado por el artículo 5 del Decreto 1860 de 2021, determina que toda empresa constituida bajo las leyes colombianas o que tenga su domicilio principal en el territorio colombiano y, además, cumpla los criterios previstos por la Ley 590 de 2000 y el Decreto 957 de 2019, será considerada </w:t>
      </w:r>
      <w:proofErr w:type="spellStart"/>
      <w:r w:rsidRPr="00A95520">
        <w:rPr>
          <w:rFonts w:ascii="Verdana" w:eastAsia="Calibri" w:hAnsi="Verdana" w:cs="Arial"/>
          <w:sz w:val="20"/>
          <w:szCs w:val="20"/>
          <w:lang w:val="es-ES"/>
        </w:rPr>
        <w:t>Mipymes</w:t>
      </w:r>
      <w:proofErr w:type="spellEnd"/>
      <w:r w:rsidRPr="00A95520">
        <w:rPr>
          <w:rFonts w:ascii="Verdana" w:eastAsia="Calibri" w:hAnsi="Verdana" w:cs="Arial"/>
          <w:sz w:val="20"/>
          <w:szCs w:val="20"/>
          <w:lang w:val="es-ES"/>
        </w:rPr>
        <w:t xml:space="preserve">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w:t>
      </w:r>
      <w:proofErr w:type="spellStart"/>
      <w:r w:rsidRPr="00A95520">
        <w:rPr>
          <w:rFonts w:ascii="Verdana" w:eastAsia="Calibri" w:hAnsi="Verdana" w:cs="Arial"/>
          <w:sz w:val="20"/>
          <w:szCs w:val="20"/>
          <w:lang w:val="es-ES"/>
        </w:rPr>
        <w:t>Mipymes</w:t>
      </w:r>
      <w:proofErr w:type="spellEnd"/>
      <w:r w:rsidRPr="00A95520">
        <w:rPr>
          <w:rFonts w:ascii="Verdana" w:eastAsia="Calibri" w:hAnsi="Verdana" w:cs="Arial"/>
          <w:sz w:val="20"/>
          <w:szCs w:val="20"/>
          <w:lang w:val="es-ES"/>
        </w:rPr>
        <w:t xml:space="preserve"> domiciliadas en un municipio o departamento son </w:t>
      </w:r>
      <w:proofErr w:type="spellStart"/>
      <w:r w:rsidRPr="00A95520">
        <w:rPr>
          <w:rFonts w:ascii="Verdana" w:eastAsia="Calibri" w:hAnsi="Verdana" w:cs="Arial"/>
          <w:sz w:val="20"/>
          <w:szCs w:val="20"/>
          <w:lang w:val="es-ES"/>
        </w:rPr>
        <w:t>Mipymes</w:t>
      </w:r>
      <w:proofErr w:type="spellEnd"/>
      <w:r w:rsidRPr="00A95520">
        <w:rPr>
          <w:rFonts w:ascii="Verdana" w:eastAsia="Calibri" w:hAnsi="Verdana" w:cs="Arial"/>
          <w:sz w:val="20"/>
          <w:szCs w:val="20"/>
          <w:lang w:val="es-ES"/>
        </w:rPr>
        <w:t xml:space="preserve"> nacionales. En consecuencia, no es procedente distinguir entre </w:t>
      </w:r>
      <w:proofErr w:type="spellStart"/>
      <w:r w:rsidRPr="00A95520">
        <w:rPr>
          <w:rFonts w:ascii="Verdana" w:eastAsia="Calibri" w:hAnsi="Verdana" w:cs="Arial"/>
          <w:sz w:val="20"/>
          <w:szCs w:val="20"/>
          <w:lang w:val="es-ES"/>
        </w:rPr>
        <w:t>Mipymes</w:t>
      </w:r>
      <w:proofErr w:type="spellEnd"/>
      <w:r w:rsidRPr="00A95520">
        <w:rPr>
          <w:rFonts w:ascii="Verdana" w:eastAsia="Calibri" w:hAnsi="Verdana" w:cs="Arial"/>
          <w:sz w:val="20"/>
          <w:szCs w:val="20"/>
          <w:lang w:val="es-ES"/>
        </w:rPr>
        <w:t xml:space="preserve"> nacionales y </w:t>
      </w:r>
      <w:proofErr w:type="spellStart"/>
      <w:r w:rsidRPr="00A95520">
        <w:rPr>
          <w:rFonts w:ascii="Verdana" w:eastAsia="Calibri" w:hAnsi="Verdana" w:cs="Arial"/>
          <w:sz w:val="20"/>
          <w:szCs w:val="20"/>
          <w:lang w:val="es-ES"/>
        </w:rPr>
        <w:t>Mipymes</w:t>
      </w:r>
      <w:proofErr w:type="spellEnd"/>
      <w:r w:rsidRPr="00A95520">
        <w:rPr>
          <w:rFonts w:ascii="Verdana" w:eastAsia="Calibri" w:hAnsi="Verdana" w:cs="Arial"/>
          <w:sz w:val="20"/>
          <w:szCs w:val="20"/>
          <w:lang w:val="es-ES"/>
        </w:rPr>
        <w:t xml:space="preserve"> municipales o departamentales, habida cuenta que estas últimas no existen como categoría dentro del ordenamiento normativo. </w:t>
      </w:r>
    </w:p>
    <w:p w14:paraId="5A8629D0" w14:textId="77777777" w:rsidR="00301CC8" w:rsidRPr="00301CC8" w:rsidRDefault="00301CC8" w:rsidP="00AF346D">
      <w:pPr>
        <w:spacing w:after="0" w:line="240" w:lineRule="auto"/>
        <w:jc w:val="both"/>
        <w:rPr>
          <w:rFonts w:ascii="Verdana" w:eastAsia="Century Gothic" w:hAnsi="Verdana" w:cs="Century Gothic"/>
          <w:sz w:val="20"/>
          <w:szCs w:val="20"/>
          <w:lang w:val="es-ES"/>
        </w:rPr>
      </w:pPr>
    </w:p>
    <w:p w14:paraId="47DF5FEA" w14:textId="46ED4272" w:rsidR="00AF346D" w:rsidRDefault="00AF346D" w:rsidP="00AF346D">
      <w:pPr>
        <w:jc w:val="both"/>
        <w:rPr>
          <w:rFonts w:ascii="Verdana" w:eastAsia="Century Gothic" w:hAnsi="Verdana" w:cs="Century Gothic"/>
          <w:b/>
          <w:bCs/>
        </w:rPr>
      </w:pPr>
      <w:r w:rsidRPr="00AF346D">
        <w:rPr>
          <w:rFonts w:ascii="Verdana" w:eastAsia="Century Gothic" w:hAnsi="Verdana" w:cs="Century Gothic"/>
          <w:b/>
          <w:bCs/>
        </w:rPr>
        <w:t xml:space="preserve">CONVOCATORIAS LIMITADAS A MIPYMES EN EL ÁMBITO TERRITORIAL – Limitación territorial – Facultad discrecional </w:t>
      </w:r>
    </w:p>
    <w:p w14:paraId="5DE7084E" w14:textId="77777777" w:rsidR="00A95520" w:rsidRDefault="00301CC8" w:rsidP="00301CC8">
      <w:pPr>
        <w:spacing w:after="0" w:line="240" w:lineRule="auto"/>
        <w:jc w:val="both"/>
        <w:rPr>
          <w:rFonts w:ascii="Verdana" w:eastAsia="Calibri" w:hAnsi="Verdana" w:cs="Arial"/>
          <w:sz w:val="20"/>
          <w:szCs w:val="20"/>
          <w:lang w:val="es-ES"/>
        </w:rPr>
      </w:pPr>
      <w:r w:rsidRPr="00301CC8">
        <w:rPr>
          <w:rFonts w:ascii="Verdana" w:eastAsia="Calibri" w:hAnsi="Verdana" w:cs="Arial"/>
          <w:sz w:val="20"/>
          <w:szCs w:val="20"/>
          <w:lang w:val="es-ES"/>
        </w:rPr>
        <w:t xml:space="preserve">La norma reglamentaria coincide con la redacción del parágrafo 1 del artículo 34 de la Ley 2069 de 2020, según el cual, solo es posible limitar convocatorias a la participación de </w:t>
      </w:r>
      <w:proofErr w:type="spellStart"/>
      <w:r w:rsidRPr="00301CC8">
        <w:rPr>
          <w:rFonts w:ascii="Verdana" w:eastAsia="Calibri" w:hAnsi="Verdana" w:cs="Arial"/>
          <w:sz w:val="20"/>
          <w:szCs w:val="20"/>
          <w:lang w:val="es-ES"/>
        </w:rPr>
        <w:t>Mipymes</w:t>
      </w:r>
      <w:proofErr w:type="spellEnd"/>
      <w:r w:rsidRPr="00301CC8">
        <w:rPr>
          <w:rFonts w:ascii="Verdana" w:eastAsia="Calibri" w:hAnsi="Verdana" w:cs="Arial"/>
          <w:sz w:val="20"/>
          <w:szCs w:val="20"/>
          <w:lang w:val="es-ES"/>
        </w:rPr>
        <w:t xml:space="preserve"> “(…) del ámbito municipal o departamental correspondiente al de la ejecución del contrato”. En tales términos, la norma citada solo contempla la posibilidad de limitar convocatorias a </w:t>
      </w:r>
      <w:proofErr w:type="spellStart"/>
      <w:r w:rsidRPr="00301CC8">
        <w:rPr>
          <w:rFonts w:ascii="Verdana" w:eastAsia="Calibri" w:hAnsi="Verdana" w:cs="Arial"/>
          <w:sz w:val="20"/>
          <w:szCs w:val="20"/>
          <w:lang w:val="es-ES"/>
        </w:rPr>
        <w:t>Mipymes</w:t>
      </w:r>
      <w:proofErr w:type="spellEnd"/>
      <w:r w:rsidRPr="00301CC8">
        <w:rPr>
          <w:rFonts w:ascii="Verdana" w:eastAsia="Calibri" w:hAnsi="Verdana" w:cs="Arial"/>
          <w:sz w:val="20"/>
          <w:szCs w:val="20"/>
          <w:lang w:val="es-ES"/>
        </w:rPr>
        <w:t xml:space="preserve"> con domicilio en esos dos tipos de entidades territoriales. </w:t>
      </w:r>
    </w:p>
    <w:p w14:paraId="12A1EB73" w14:textId="77777777" w:rsidR="00A95520" w:rsidRDefault="00A95520" w:rsidP="00301CC8">
      <w:pPr>
        <w:spacing w:after="0" w:line="240" w:lineRule="auto"/>
        <w:jc w:val="both"/>
        <w:rPr>
          <w:rFonts w:ascii="Verdana" w:eastAsia="Calibri" w:hAnsi="Verdana" w:cs="Arial"/>
          <w:sz w:val="20"/>
          <w:szCs w:val="20"/>
          <w:lang w:val="es-ES"/>
        </w:rPr>
      </w:pPr>
    </w:p>
    <w:p w14:paraId="13D7F0EE" w14:textId="226B8A36" w:rsidR="00A95520" w:rsidRDefault="00301CC8" w:rsidP="00301CC8">
      <w:pPr>
        <w:spacing w:after="0" w:line="240" w:lineRule="auto"/>
        <w:jc w:val="both"/>
        <w:rPr>
          <w:rFonts w:ascii="Verdana" w:eastAsia="Calibri" w:hAnsi="Verdana" w:cs="Arial"/>
          <w:sz w:val="20"/>
          <w:szCs w:val="20"/>
          <w:lang w:val="es-ES"/>
        </w:rPr>
      </w:pPr>
      <w:r w:rsidRPr="00301CC8">
        <w:rPr>
          <w:rFonts w:ascii="Verdana" w:eastAsia="Calibri" w:hAnsi="Verdana" w:cs="Arial"/>
          <w:sz w:val="20"/>
          <w:szCs w:val="20"/>
          <w:lang w:val="es-ES"/>
        </w:rPr>
        <w:t>[…]</w:t>
      </w:r>
    </w:p>
    <w:p w14:paraId="3BBED12D" w14:textId="77777777" w:rsidR="00A95520" w:rsidRDefault="00A95520" w:rsidP="00301CC8">
      <w:pPr>
        <w:spacing w:after="0" w:line="240" w:lineRule="auto"/>
        <w:jc w:val="both"/>
        <w:rPr>
          <w:rFonts w:ascii="Verdana" w:eastAsia="Calibri" w:hAnsi="Verdana" w:cs="Arial"/>
          <w:sz w:val="20"/>
          <w:szCs w:val="20"/>
          <w:lang w:val="es-ES"/>
        </w:rPr>
      </w:pPr>
    </w:p>
    <w:p w14:paraId="76CAB89B" w14:textId="77777777" w:rsidR="00A95520" w:rsidRDefault="00301CC8" w:rsidP="00301CC8">
      <w:pPr>
        <w:spacing w:after="0" w:line="240" w:lineRule="auto"/>
        <w:jc w:val="both"/>
        <w:rPr>
          <w:rFonts w:ascii="Verdana" w:eastAsia="Calibri" w:hAnsi="Verdana" w:cs="Arial"/>
          <w:sz w:val="20"/>
          <w:szCs w:val="20"/>
          <w:lang w:val="es-ES"/>
        </w:rPr>
      </w:pPr>
      <w:r w:rsidRPr="00301CC8">
        <w:rPr>
          <w:rFonts w:ascii="Verdana" w:eastAsia="Arial" w:hAnsi="Verdana" w:cs="Arial"/>
          <w:color w:val="000000" w:themeColor="text1"/>
          <w:sz w:val="20"/>
          <w:szCs w:val="20"/>
          <w:lang w:val="es-ES"/>
        </w:rPr>
        <w:t xml:space="preserve">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previsto en la norma únicamente aplica en el lugar de ejecución del contratado en el que la </w:t>
      </w:r>
      <w:proofErr w:type="spellStart"/>
      <w:r w:rsidRPr="00301CC8">
        <w:rPr>
          <w:rFonts w:ascii="Verdana" w:eastAsia="Arial" w:hAnsi="Verdana" w:cs="Arial"/>
          <w:color w:val="000000" w:themeColor="text1"/>
          <w:sz w:val="20"/>
          <w:szCs w:val="20"/>
          <w:lang w:val="es-ES"/>
        </w:rPr>
        <w:t>Mipymes</w:t>
      </w:r>
      <w:proofErr w:type="spellEnd"/>
      <w:r w:rsidRPr="00301CC8">
        <w:rPr>
          <w:rFonts w:ascii="Verdana" w:eastAsia="Arial" w:hAnsi="Verdana" w:cs="Arial"/>
          <w:color w:val="000000" w:themeColor="text1"/>
          <w:sz w:val="20"/>
          <w:szCs w:val="20"/>
          <w:lang w:val="es-ES"/>
        </w:rPr>
        <w:t xml:space="preserve"> tiene su “domicilio”, y no en donde tiene sucursales. </w:t>
      </w:r>
    </w:p>
    <w:p w14:paraId="0CE8545C" w14:textId="77777777" w:rsidR="00A95520" w:rsidRDefault="00A95520" w:rsidP="00301CC8">
      <w:pPr>
        <w:spacing w:after="0" w:line="240" w:lineRule="auto"/>
        <w:jc w:val="both"/>
        <w:rPr>
          <w:rFonts w:ascii="Verdana" w:eastAsia="Calibri" w:hAnsi="Verdana" w:cs="Arial"/>
          <w:sz w:val="20"/>
          <w:szCs w:val="20"/>
          <w:lang w:val="es-ES"/>
        </w:rPr>
      </w:pPr>
    </w:p>
    <w:p w14:paraId="0695B12C" w14:textId="77777777" w:rsidR="00A95520" w:rsidRDefault="00301CC8" w:rsidP="00301CC8">
      <w:pPr>
        <w:spacing w:after="0" w:line="240" w:lineRule="auto"/>
        <w:jc w:val="both"/>
        <w:rPr>
          <w:rFonts w:ascii="Verdana" w:eastAsia="Calibri" w:hAnsi="Verdana" w:cs="Arial"/>
          <w:sz w:val="20"/>
          <w:szCs w:val="20"/>
          <w:lang w:val="es-ES"/>
        </w:rPr>
      </w:pPr>
      <w:r>
        <w:rPr>
          <w:rFonts w:ascii="Verdana" w:eastAsia="Arial" w:hAnsi="Verdana" w:cs="Arial"/>
          <w:color w:val="000000" w:themeColor="text1"/>
          <w:sz w:val="20"/>
          <w:szCs w:val="20"/>
          <w:lang w:val="es-ES"/>
        </w:rPr>
        <w:t xml:space="preserve">[…] </w:t>
      </w:r>
    </w:p>
    <w:p w14:paraId="0D57EE74" w14:textId="77777777" w:rsidR="00A95520" w:rsidRDefault="00A95520" w:rsidP="00301CC8">
      <w:pPr>
        <w:spacing w:after="0" w:line="240" w:lineRule="auto"/>
        <w:jc w:val="both"/>
        <w:rPr>
          <w:rFonts w:ascii="Verdana" w:eastAsia="Calibri" w:hAnsi="Verdana" w:cs="Arial"/>
          <w:sz w:val="20"/>
          <w:szCs w:val="20"/>
          <w:lang w:val="es-ES"/>
        </w:rPr>
      </w:pPr>
    </w:p>
    <w:p w14:paraId="3A9216CB" w14:textId="37BA9E4E" w:rsidR="00301CC8" w:rsidRPr="00A95520" w:rsidRDefault="00301CC8" w:rsidP="00301CC8">
      <w:pPr>
        <w:spacing w:after="0" w:line="240" w:lineRule="auto"/>
        <w:jc w:val="both"/>
        <w:rPr>
          <w:rFonts w:ascii="Verdana" w:eastAsia="Calibri" w:hAnsi="Verdana" w:cs="Arial"/>
          <w:sz w:val="20"/>
          <w:szCs w:val="20"/>
          <w:lang w:val="es-ES"/>
        </w:rPr>
      </w:pPr>
      <w:r w:rsidRPr="00301CC8">
        <w:rPr>
          <w:rFonts w:ascii="Verdana" w:eastAsia="Arial" w:hAnsi="Verdana" w:cs="Arial"/>
          <w:color w:val="000000"/>
          <w:sz w:val="20"/>
          <w:szCs w:val="20"/>
          <w:lang w:val="es-ES"/>
        </w:rPr>
        <w:t xml:space="preserve">Sin perjuicio de lo anterior, no puede perderse de vista que la decisión de limitar “a MiPymes colombianas que tengan domicilio en los departamentos o municipios en donde </w:t>
      </w:r>
      <w:r w:rsidRPr="00301CC8">
        <w:rPr>
          <w:rFonts w:ascii="Verdana" w:eastAsia="Arial" w:hAnsi="Verdana" w:cs="Arial"/>
          <w:color w:val="000000"/>
          <w:sz w:val="20"/>
          <w:szCs w:val="20"/>
          <w:lang w:val="es-ES"/>
        </w:rPr>
        <w:lastRenderedPageBreak/>
        <w:t xml:space="preserve">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301CC8">
        <w:rPr>
          <w:rFonts w:ascii="Verdana" w:eastAsia="Arial" w:hAnsi="Verdana" w:cs="Arial"/>
          <w:color w:val="000000"/>
          <w:sz w:val="20"/>
          <w:szCs w:val="20"/>
          <w:lang w:val="es-ES"/>
        </w:rPr>
        <w:t>Mipymes</w:t>
      </w:r>
      <w:proofErr w:type="spellEnd"/>
      <w:r w:rsidRPr="00301CC8">
        <w:rPr>
          <w:rFonts w:ascii="Verdana" w:eastAsia="Arial" w:hAnsi="Verdana" w:cs="Arial"/>
          <w:color w:val="000000"/>
          <w:sz w:val="20"/>
          <w:szCs w:val="20"/>
          <w:lang w:val="es-ES"/>
        </w:rPr>
        <w:t xml:space="preserve">, no puede </w:t>
      </w:r>
      <w:r w:rsidRPr="00301CC8">
        <w:rPr>
          <w:rFonts w:ascii="Verdana" w:eastAsia="Arial" w:hAnsi="Verdana" w:cs="Arial"/>
          <w:i/>
          <w:color w:val="000000"/>
          <w:sz w:val="20"/>
          <w:szCs w:val="20"/>
          <w:lang w:val="es-ES"/>
        </w:rPr>
        <w:t xml:space="preserve">motu proprio </w:t>
      </w:r>
      <w:r w:rsidRPr="00301CC8">
        <w:rPr>
          <w:rFonts w:ascii="Verdana" w:eastAsia="Arial" w:hAnsi="Verdana" w:cs="Arial"/>
          <w:color w:val="000000"/>
          <w:sz w:val="20"/>
          <w:szCs w:val="2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2791BD16" w14:textId="77777777" w:rsidR="00301CC8" w:rsidRDefault="00301CC8" w:rsidP="00301CC8">
      <w:pPr>
        <w:spacing w:after="0" w:line="240" w:lineRule="auto"/>
        <w:jc w:val="both"/>
        <w:rPr>
          <w:rFonts w:ascii="Verdana" w:eastAsia="Arial" w:hAnsi="Verdana" w:cs="Arial"/>
          <w:color w:val="000000"/>
          <w:sz w:val="20"/>
          <w:szCs w:val="20"/>
          <w:lang w:val="es-ES"/>
        </w:rPr>
      </w:pPr>
    </w:p>
    <w:p w14:paraId="3C7A7A7B" w14:textId="02257710" w:rsidR="00301CC8" w:rsidRPr="00301CC8" w:rsidRDefault="00301CC8" w:rsidP="00301CC8">
      <w:pPr>
        <w:spacing w:after="0" w:line="240" w:lineRule="auto"/>
        <w:jc w:val="both"/>
        <w:rPr>
          <w:rFonts w:ascii="Verdana" w:eastAsia="Arial" w:hAnsi="Verdana" w:cs="Arial"/>
          <w:color w:val="000000"/>
          <w:sz w:val="20"/>
          <w:szCs w:val="20"/>
          <w:lang w:val="es-ES"/>
        </w:rPr>
      </w:pPr>
      <w:r w:rsidRPr="00301CC8">
        <w:rPr>
          <w:rFonts w:ascii="Verdana" w:hAnsi="Verdana" w:cs="Arial"/>
          <w:color w:val="000000" w:themeColor="text1"/>
          <w:sz w:val="20"/>
          <w:szCs w:val="20"/>
        </w:rPr>
        <w:t xml:space="preserve">Cumplidos los dos requisitos del artículo 2.2.1.2.4.2.2. </w:t>
      </w:r>
      <w:proofErr w:type="spellStart"/>
      <w:r w:rsidRPr="00301CC8">
        <w:rPr>
          <w:rFonts w:ascii="Verdana" w:hAnsi="Verdana" w:cs="Arial"/>
          <w:i/>
          <w:iCs/>
          <w:color w:val="000000" w:themeColor="text1"/>
          <w:sz w:val="20"/>
          <w:szCs w:val="20"/>
        </w:rPr>
        <w:t>ibídem</w:t>
      </w:r>
      <w:proofErr w:type="spellEnd"/>
      <w:r w:rsidRPr="00301CC8">
        <w:rPr>
          <w:rFonts w:ascii="Verdana" w:hAnsi="Verdana" w:cs="Arial"/>
          <w:color w:val="000000" w:themeColor="text1"/>
          <w:sz w:val="20"/>
          <w:szCs w:val="20"/>
        </w:rPr>
        <w:t xml:space="preserve">, la entidad estatal, independientemente de su régimen de contratación, los patrimonios autónomos constituidos por entidades estatales y los particulares que ejecuten recursos públicos, pueden ─no tienen que─ decidir si limitan la convocatoria a las </w:t>
      </w:r>
      <w:proofErr w:type="spellStart"/>
      <w:r w:rsidRPr="00301CC8">
        <w:rPr>
          <w:rFonts w:ascii="Verdana" w:hAnsi="Verdana" w:cs="Arial"/>
          <w:color w:val="000000" w:themeColor="text1"/>
          <w:sz w:val="20"/>
          <w:szCs w:val="20"/>
        </w:rPr>
        <w:t>Mipymes</w:t>
      </w:r>
      <w:proofErr w:type="spellEnd"/>
      <w:r w:rsidRPr="00301CC8">
        <w:rPr>
          <w:rFonts w:ascii="Verdana" w:hAnsi="Verdana" w:cs="Arial"/>
          <w:color w:val="000000" w:themeColor="text1"/>
          <w:sz w:val="20"/>
          <w:szCs w:val="20"/>
        </w:rPr>
        <w:t xml:space="preserve"> colombianas domiciliadas en el municipio o departamento en el que se</w:t>
      </w:r>
      <w:r w:rsidRPr="00301CC8">
        <w:rPr>
          <w:rFonts w:ascii="Century Gothic" w:hAnsi="Century Gothic" w:cs="Arial"/>
          <w:color w:val="000000" w:themeColor="text1"/>
          <w:sz w:val="20"/>
          <w:szCs w:val="20"/>
        </w:rPr>
        <w:t xml:space="preserve"> </w:t>
      </w:r>
      <w:r w:rsidRPr="00301CC8">
        <w:rPr>
          <w:rFonts w:ascii="Verdana" w:hAnsi="Verdana" w:cs="Arial"/>
          <w:color w:val="000000" w:themeColor="text1"/>
          <w:sz w:val="20"/>
          <w:szCs w:val="20"/>
        </w:rPr>
        <w:t xml:space="preserve">ejecutará el contrato. Esto de acuerdo con lo establecido en artículo 2.2.1.2.4.2.3. del Decreto 1082 de 2015 </w:t>
      </w:r>
      <w:r w:rsidRPr="00301CC8">
        <w:rPr>
          <w:rFonts w:ascii="Verdana" w:eastAsia="Arial" w:hAnsi="Verdana" w:cs="Arial"/>
          <w:color w:val="000000"/>
          <w:sz w:val="20"/>
          <w:szCs w:val="20"/>
          <w:lang w:val="es-ES_tradnl"/>
        </w:rPr>
        <w:t>modificado por el Decreto 1860 de 2021</w:t>
      </w:r>
      <w:r w:rsidRPr="00301CC8">
        <w:rPr>
          <w:rFonts w:ascii="Verdana" w:hAnsi="Verdana" w:cs="Arial"/>
          <w:color w:val="000000" w:themeColor="text1"/>
          <w:sz w:val="20"/>
          <w:szCs w:val="20"/>
        </w:rPr>
        <w:t xml:space="preserve">, norma que se refiere a la facultad de la administración con el verbo infinitivo “poder”, no “deber”. </w:t>
      </w:r>
    </w:p>
    <w:p w14:paraId="2243AF58" w14:textId="77777777" w:rsidR="00301CC8" w:rsidRPr="00301CC8" w:rsidRDefault="00301CC8" w:rsidP="00301CC8">
      <w:pPr>
        <w:spacing w:after="0" w:line="240" w:lineRule="auto"/>
        <w:jc w:val="both"/>
        <w:rPr>
          <w:rFonts w:ascii="Verdana" w:eastAsia="Arial" w:hAnsi="Verdana" w:cs="Arial"/>
          <w:color w:val="000000"/>
          <w:sz w:val="20"/>
          <w:szCs w:val="20"/>
        </w:rPr>
      </w:pPr>
    </w:p>
    <w:p w14:paraId="6B53A421" w14:textId="5063F77A" w:rsidR="00AF346D" w:rsidRDefault="00AF346D" w:rsidP="00301CC8">
      <w:pPr>
        <w:spacing w:after="120" w:line="276" w:lineRule="auto"/>
        <w:jc w:val="both"/>
        <w:rPr>
          <w:rFonts w:ascii="Verdana" w:hAnsi="Verdana" w:cs="Arial"/>
          <w:b/>
          <w:bCs/>
          <w:color w:val="000000" w:themeColor="text1"/>
          <w:lang w:val="es-ES"/>
        </w:rPr>
      </w:pPr>
      <w:r w:rsidRPr="00AF346D">
        <w:rPr>
          <w:rFonts w:ascii="Verdana" w:hAnsi="Verdana" w:cs="Arial"/>
          <w:b/>
          <w:bCs/>
          <w:color w:val="000000" w:themeColor="text1"/>
          <w:lang w:val="es-ES"/>
        </w:rPr>
        <w:t xml:space="preserve">SUBSANABILIDAD – Aplicación – Regla general – Excepciones </w:t>
      </w:r>
    </w:p>
    <w:p w14:paraId="56225D3E" w14:textId="77777777" w:rsidR="00A95520" w:rsidRDefault="008B213A" w:rsidP="00AF346D">
      <w:pPr>
        <w:spacing w:after="0" w:line="240" w:lineRule="auto"/>
        <w:jc w:val="both"/>
        <w:rPr>
          <w:rFonts w:ascii="Verdana" w:eastAsia="Times New Roman" w:hAnsi="Verdana" w:cs="Arial"/>
          <w:sz w:val="20"/>
          <w:szCs w:val="20"/>
          <w:lang w:val="es-ES" w:eastAsia="es-ES"/>
        </w:rPr>
      </w:pPr>
      <w:r w:rsidRPr="008B213A">
        <w:rPr>
          <w:rFonts w:ascii="Verdana" w:eastAsia="Calibri" w:hAnsi="Verdana" w:cs="Arial"/>
          <w:sz w:val="20"/>
          <w:szCs w:val="20"/>
          <w:lang w:val="es-ES"/>
        </w:rPr>
        <w:t xml:space="preserve">[…] </w:t>
      </w:r>
      <w:r w:rsidRPr="008B213A">
        <w:rPr>
          <w:rFonts w:ascii="Verdana" w:hAnsi="Verdana" w:cs="Arial"/>
          <w:noProof/>
          <w:sz w:val="20"/>
          <w:szCs w:val="20"/>
          <w:lang w:val="es-ES"/>
        </w:rPr>
        <w:t>l</w:t>
      </w:r>
      <w:r w:rsidRPr="008B213A">
        <w:rPr>
          <w:rFonts w:ascii="Verdana" w:eastAsia="Times New Roman" w:hAnsi="Verdana" w:cs="Arial"/>
          <w:sz w:val="20"/>
          <w:szCs w:val="20"/>
        </w:rPr>
        <w:t xml:space="preserve">a regla de la </w:t>
      </w:r>
      <w:proofErr w:type="spellStart"/>
      <w:r w:rsidRPr="008B213A">
        <w:rPr>
          <w:rFonts w:ascii="Verdana" w:eastAsia="Times New Roman" w:hAnsi="Verdana" w:cs="Arial"/>
          <w:sz w:val="20"/>
          <w:szCs w:val="20"/>
        </w:rPr>
        <w:t>subsanabilidad</w:t>
      </w:r>
      <w:proofErr w:type="spellEnd"/>
      <w:r w:rsidRPr="008B213A">
        <w:rPr>
          <w:rFonts w:ascii="Verdana" w:eastAsia="Times New Roman" w:hAnsi="Verdana" w:cs="Arial"/>
          <w:sz w:val="20"/>
          <w:szCs w:val="20"/>
        </w:rPr>
        <w:t xml:space="preserve"> de las ofertas en los procedimientos de selección</w:t>
      </w:r>
      <w:r w:rsidRPr="008B213A">
        <w:rPr>
          <w:rFonts w:ascii="Verdana" w:eastAsia="Times New Roman" w:hAnsi="Verdana" w:cs="Arial"/>
          <w:b/>
          <w:bCs/>
          <w:sz w:val="20"/>
          <w:szCs w:val="20"/>
        </w:rPr>
        <w:t xml:space="preserve"> </w:t>
      </w:r>
      <w:r w:rsidRPr="008B213A">
        <w:rPr>
          <w:rFonts w:ascii="Verdana" w:eastAsia="Times New Roman" w:hAnsi="Verdana" w:cs="Arial"/>
          <w:sz w:val="20"/>
          <w:szCs w:val="20"/>
          <w:lang w:val="es-ES" w:eastAsia="es-ES"/>
        </w:rPr>
        <w:t>indica que, por regla general, la falta de entrega y los defectos en la acreditación de los requisitos habilitantes son aspectos subsanables. La excepción corresponde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1E97B528" w14:textId="77777777" w:rsidR="00A95520" w:rsidRDefault="00A95520" w:rsidP="00AF346D">
      <w:pPr>
        <w:spacing w:after="0" w:line="240" w:lineRule="auto"/>
        <w:jc w:val="both"/>
        <w:rPr>
          <w:rFonts w:ascii="Verdana" w:eastAsia="Times New Roman" w:hAnsi="Verdana" w:cs="Arial"/>
          <w:sz w:val="20"/>
          <w:szCs w:val="20"/>
          <w:lang w:val="es-ES" w:eastAsia="es-ES"/>
        </w:rPr>
      </w:pPr>
    </w:p>
    <w:p w14:paraId="0E0D1A1C" w14:textId="77777777" w:rsidR="00A95520" w:rsidRDefault="00AF346D" w:rsidP="00A95520">
      <w:pPr>
        <w:spacing w:after="0" w:line="240" w:lineRule="auto"/>
        <w:jc w:val="both"/>
        <w:rPr>
          <w:rFonts w:ascii="Verdana" w:eastAsia="Times New Roman" w:hAnsi="Verdana" w:cs="Arial"/>
          <w:sz w:val="20"/>
          <w:szCs w:val="20"/>
          <w:lang w:val="es-ES" w:eastAsia="es-ES"/>
        </w:rPr>
      </w:pPr>
      <w:r w:rsidRPr="00AF346D">
        <w:rPr>
          <w:rFonts w:ascii="Verdana" w:hAnsi="Verdana" w:cs="Arial"/>
          <w:b/>
          <w:bCs/>
          <w:color w:val="000000" w:themeColor="text1"/>
          <w:lang w:val="es-ES"/>
        </w:rPr>
        <w:t xml:space="preserve">SUBSANABILIDAD – Ley 1882 de 2018 </w:t>
      </w:r>
    </w:p>
    <w:p w14:paraId="0B9A3A4D" w14:textId="77777777" w:rsidR="00A95520" w:rsidRDefault="00A95520" w:rsidP="00A95520">
      <w:pPr>
        <w:spacing w:after="0" w:line="240" w:lineRule="auto"/>
        <w:jc w:val="both"/>
        <w:rPr>
          <w:rFonts w:ascii="Verdana" w:eastAsia="Times New Roman" w:hAnsi="Verdana" w:cs="Arial"/>
          <w:sz w:val="20"/>
          <w:szCs w:val="20"/>
          <w:lang w:val="es-ES" w:eastAsia="es-ES"/>
        </w:rPr>
      </w:pPr>
    </w:p>
    <w:p w14:paraId="793B2A95" w14:textId="0D1DAED9" w:rsidR="00A95520" w:rsidRPr="008F6693" w:rsidRDefault="00A95520" w:rsidP="008F6693">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8F6693">
        <w:rPr>
          <w:rFonts w:ascii="Verdana" w:eastAsia="Arial" w:hAnsi="Verdana" w:cs="Arial"/>
          <w:color w:val="000000"/>
          <w:sz w:val="20"/>
          <w:szCs w:val="20"/>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67B2CD8E" w14:textId="77777777" w:rsidR="008F6693" w:rsidRDefault="008F6693" w:rsidP="008F6693">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3B489F76" w14:textId="5184ABCF" w:rsidR="00A95520" w:rsidRPr="008F6693" w:rsidRDefault="00A95520" w:rsidP="008F6693">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8F6693">
        <w:rPr>
          <w:rFonts w:ascii="Verdana" w:eastAsia="Arial" w:hAnsi="Verdana" w:cs="Arial"/>
          <w:color w:val="000000"/>
          <w:sz w:val="20"/>
          <w:szCs w:val="20"/>
        </w:rPr>
        <w:lastRenderedPageBreak/>
        <w:t xml:space="preserve">[…] </w:t>
      </w:r>
    </w:p>
    <w:p w14:paraId="676916C5" w14:textId="77777777" w:rsidR="008F6693" w:rsidRDefault="008F6693" w:rsidP="008F6693">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19657348" w14:textId="05173C18" w:rsidR="00A95520" w:rsidRPr="008F6693" w:rsidRDefault="00A95520" w:rsidP="008F6693">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8F6693">
        <w:rPr>
          <w:rFonts w:ascii="Verdana" w:eastAsia="Arial" w:hAnsi="Verdana" w:cs="Arial"/>
          <w:color w:val="000000"/>
          <w:sz w:val="20"/>
          <w:szCs w:val="20"/>
        </w:rPr>
        <w:t>[…]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el último, los documentos o requisitos subsanables pueden y deben solicitarse hasta el momento previo a su realización.</w:t>
      </w:r>
    </w:p>
    <w:p w14:paraId="76499A35" w14:textId="77777777" w:rsidR="008F6693" w:rsidRDefault="008F6693" w:rsidP="008F6693">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5259B1EA" w14:textId="459B6A4B" w:rsidR="00A95520" w:rsidRPr="008F6693" w:rsidRDefault="00A95520" w:rsidP="008F6693">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8F6693">
        <w:rPr>
          <w:rFonts w:ascii="Verdana" w:eastAsia="Arial" w:hAnsi="Verdana" w:cs="Arial"/>
          <w:color w:val="000000"/>
          <w:sz w:val="20"/>
          <w:szCs w:val="20"/>
        </w:rPr>
        <w:t>[…] el segundo cambio importante de la Ley 1882 de 2018 fue la introducción de un criterio material, directamente relacionado con los aspectos subsanables: “los proponentes no podrán acreditar circunstancias ocurridas con posterioridad al cierre del proceso”</w:t>
      </w:r>
      <w:r w:rsidRPr="008F6693">
        <w:rPr>
          <w:rFonts w:ascii="Verdana" w:eastAsia="Arial" w:hAnsi="Verdana" w:cs="Arial"/>
          <w:b/>
          <w:i/>
          <w:color w:val="000000"/>
          <w:sz w:val="20"/>
          <w:szCs w:val="20"/>
        </w:rPr>
        <w:t>.</w:t>
      </w:r>
      <w:r w:rsidRPr="008F6693">
        <w:rPr>
          <w:rFonts w:ascii="Verdana" w:eastAsia="Arial" w:hAnsi="Verdana" w:cs="Arial"/>
          <w:b/>
          <w:color w:val="000000"/>
          <w:sz w:val="20"/>
          <w:szCs w:val="20"/>
        </w:rPr>
        <w:t xml:space="preserve"> </w:t>
      </w:r>
      <w:r w:rsidRPr="008F6693">
        <w:rPr>
          <w:rFonts w:ascii="Verdana" w:eastAsia="Arial" w:hAnsi="Verdana" w:cs="Arial"/>
          <w:color w:val="000000"/>
          <w:sz w:val="20"/>
          <w:szCs w:val="20"/>
        </w:rPr>
        <w:t xml:space="preserve">Lo anterior ofrece dos aspectos que merecen clarificación: </w:t>
      </w:r>
      <w:r w:rsidRPr="008F6693">
        <w:rPr>
          <w:rFonts w:ascii="Verdana" w:eastAsia="Arial" w:hAnsi="Verdana" w:cs="Arial"/>
          <w:i/>
          <w:color w:val="000000"/>
          <w:sz w:val="20"/>
          <w:szCs w:val="20"/>
        </w:rPr>
        <w:t>primero</w:t>
      </w:r>
      <w:r w:rsidRPr="008F6693">
        <w:rPr>
          <w:rFonts w:ascii="Verdana" w:eastAsia="Arial" w:hAnsi="Verdana" w:cs="Arial"/>
          <w:color w:val="000000"/>
          <w:sz w:val="20"/>
          <w:szCs w:val="20"/>
        </w:rPr>
        <w:t xml:space="preserve">, qué debe entenderse por circunstancias ocurridas con posterioridad; y </w:t>
      </w:r>
      <w:r w:rsidRPr="008F6693">
        <w:rPr>
          <w:rFonts w:ascii="Verdana" w:eastAsia="Arial" w:hAnsi="Verdana" w:cs="Arial"/>
          <w:i/>
          <w:color w:val="000000"/>
          <w:sz w:val="20"/>
          <w:szCs w:val="20"/>
        </w:rPr>
        <w:t>segundo</w:t>
      </w:r>
      <w:r w:rsidRPr="008F6693">
        <w:rPr>
          <w:rFonts w:ascii="Verdana" w:eastAsia="Arial" w:hAnsi="Verdana" w:cs="Arial"/>
          <w:color w:val="000000"/>
          <w:sz w:val="20"/>
          <w:szCs w:val="20"/>
        </w:rPr>
        <w:t>, qué es el cierre del proceso.</w:t>
      </w:r>
    </w:p>
    <w:p w14:paraId="272D3195" w14:textId="77777777" w:rsidR="008F6693" w:rsidRDefault="008F6693" w:rsidP="008F6693">
      <w:pPr>
        <w:spacing w:after="0" w:line="240" w:lineRule="auto"/>
        <w:jc w:val="both"/>
        <w:rPr>
          <w:rFonts w:ascii="Verdana" w:eastAsia="Arial" w:hAnsi="Verdana" w:cs="Arial"/>
          <w:color w:val="000000"/>
          <w:sz w:val="20"/>
          <w:szCs w:val="20"/>
        </w:rPr>
      </w:pPr>
    </w:p>
    <w:p w14:paraId="3D4DD29D" w14:textId="00ADD0BA" w:rsidR="00A95520" w:rsidRPr="008F6693" w:rsidRDefault="00A95520" w:rsidP="008F6693">
      <w:pPr>
        <w:spacing w:after="0" w:line="240" w:lineRule="auto"/>
        <w:jc w:val="both"/>
        <w:rPr>
          <w:rFonts w:ascii="Verdana" w:eastAsia="Arial" w:hAnsi="Verdana" w:cs="Arial"/>
          <w:color w:val="000000"/>
          <w:sz w:val="20"/>
          <w:szCs w:val="20"/>
        </w:rPr>
      </w:pPr>
      <w:r w:rsidRPr="008F6693">
        <w:rPr>
          <w:rFonts w:ascii="Verdana" w:eastAsia="Arial" w:hAnsi="Verdana" w:cs="Arial"/>
          <w:color w:val="000000"/>
          <w:sz w:val="20"/>
          <w:szCs w:val="20"/>
        </w:rPr>
        <w:t xml:space="preserve">[…] Un mejor entendimiento del significado de la expresión “circunstancias ocurridas con posterioridad al cierre del proceso” lleva necesariamente a distinguir entre la prueba de un hecho y el hecho mismo. En el caso de la </w:t>
      </w:r>
      <w:proofErr w:type="spellStart"/>
      <w:r w:rsidRPr="008F6693">
        <w:rPr>
          <w:rFonts w:ascii="Verdana" w:eastAsia="Arial" w:hAnsi="Verdana" w:cs="Arial"/>
          <w:color w:val="000000"/>
          <w:sz w:val="20"/>
          <w:szCs w:val="20"/>
        </w:rPr>
        <w:t>subsanabilidad</w:t>
      </w:r>
      <w:proofErr w:type="spellEnd"/>
      <w:r w:rsidRPr="008F6693">
        <w:rPr>
          <w:rFonts w:ascii="Verdana" w:eastAsia="Arial" w:hAnsi="Verdana" w:cs="Arial"/>
          <w:color w:val="000000"/>
          <w:sz w:val="20"/>
          <w:szCs w:val="2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5E753796" w14:textId="77777777" w:rsidR="008F6693" w:rsidRDefault="008F6693" w:rsidP="008F6693">
      <w:pPr>
        <w:spacing w:after="0" w:line="240" w:lineRule="auto"/>
        <w:jc w:val="both"/>
        <w:rPr>
          <w:rFonts w:ascii="Verdana" w:eastAsia="Arial" w:hAnsi="Verdana" w:cs="Arial"/>
          <w:color w:val="000000"/>
          <w:sz w:val="20"/>
          <w:szCs w:val="20"/>
        </w:rPr>
      </w:pPr>
    </w:p>
    <w:p w14:paraId="20C2646F" w14:textId="0BD3FBF2" w:rsidR="00A95520" w:rsidRPr="008F6693" w:rsidRDefault="00A95520" w:rsidP="008F6693">
      <w:pPr>
        <w:spacing w:after="0" w:line="240" w:lineRule="auto"/>
        <w:jc w:val="both"/>
        <w:rPr>
          <w:rFonts w:ascii="Verdana" w:eastAsia="Arial" w:hAnsi="Verdana" w:cs="Arial"/>
          <w:color w:val="000000"/>
          <w:sz w:val="20"/>
          <w:szCs w:val="20"/>
        </w:rPr>
      </w:pPr>
      <w:r w:rsidRPr="008F6693">
        <w:rPr>
          <w:rFonts w:ascii="Verdana" w:eastAsia="Arial" w:hAnsi="Verdana" w:cs="Arial"/>
          <w:color w:val="000000"/>
          <w:sz w:val="20"/>
          <w:szCs w:val="2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71E37342" w14:textId="77777777" w:rsidR="008F6693" w:rsidRDefault="008F6693" w:rsidP="008F6693">
      <w:pPr>
        <w:spacing w:after="0" w:line="240" w:lineRule="auto"/>
        <w:jc w:val="both"/>
        <w:rPr>
          <w:rFonts w:ascii="Verdana" w:eastAsia="Arial" w:hAnsi="Verdana" w:cs="Arial"/>
          <w:color w:val="000000" w:themeColor="text1"/>
          <w:sz w:val="20"/>
          <w:szCs w:val="20"/>
        </w:rPr>
      </w:pPr>
    </w:p>
    <w:p w14:paraId="5C93C61F" w14:textId="51E24E52" w:rsidR="00A95520" w:rsidRPr="008F6693" w:rsidRDefault="00A95520" w:rsidP="008F6693">
      <w:pPr>
        <w:spacing w:after="0" w:line="240" w:lineRule="auto"/>
        <w:jc w:val="both"/>
        <w:rPr>
          <w:rFonts w:ascii="Verdana" w:eastAsia="Arial" w:hAnsi="Verdana" w:cs="Arial"/>
          <w:color w:val="000000"/>
          <w:sz w:val="20"/>
          <w:szCs w:val="20"/>
        </w:rPr>
      </w:pPr>
      <w:r w:rsidRPr="008F6693">
        <w:rPr>
          <w:rFonts w:ascii="Verdana" w:eastAsia="Arial" w:hAnsi="Verdana" w:cs="Arial"/>
          <w:color w:val="000000" w:themeColor="text1"/>
          <w:sz w:val="20"/>
          <w:szCs w:val="20"/>
        </w:rPr>
        <w:t xml:space="preserve">Finalmente, el parágrafo 3 del artículo 5 de la Ley 1882 de 2018 determinó, de manera expresa, que “la no entrega de la garantía de seriedad junto con la propuesta no será subsanable y será causal de rechazo de </w:t>
      </w:r>
      <w:proofErr w:type="gramStart"/>
      <w:r w:rsidRPr="008F6693">
        <w:rPr>
          <w:rFonts w:ascii="Verdana" w:eastAsia="Arial" w:hAnsi="Verdana" w:cs="Arial"/>
          <w:color w:val="000000" w:themeColor="text1"/>
          <w:sz w:val="20"/>
          <w:szCs w:val="20"/>
        </w:rPr>
        <w:t>la misma</w:t>
      </w:r>
      <w:proofErr w:type="gramEnd"/>
      <w:r w:rsidRPr="008F6693">
        <w:rPr>
          <w:rFonts w:ascii="Verdana" w:eastAsia="Arial" w:hAnsi="Verdana" w:cs="Arial"/>
          <w:color w:val="000000" w:themeColor="text1"/>
          <w:sz w:val="20"/>
          <w:szCs w:val="20"/>
        </w:rPr>
        <w:t>”, dejando claro que se trata de un documento de obligatoria presentación junto con la propuesta y que materializa los principios de seriedad e irrevocabilidad de la oferta.</w:t>
      </w:r>
    </w:p>
    <w:p w14:paraId="2C247E43" w14:textId="77777777" w:rsidR="00A95520" w:rsidRDefault="00A95520" w:rsidP="00A95520">
      <w:pPr>
        <w:spacing w:after="0" w:line="240" w:lineRule="auto"/>
        <w:ind w:firstLine="709"/>
        <w:jc w:val="both"/>
        <w:rPr>
          <w:rFonts w:ascii="Verdana" w:eastAsia="Arial" w:hAnsi="Verdana" w:cs="Arial"/>
          <w:color w:val="000000"/>
        </w:rPr>
      </w:pPr>
    </w:p>
    <w:p w14:paraId="7B2D6956" w14:textId="77777777" w:rsidR="008F6693" w:rsidRDefault="00AF346D" w:rsidP="008F6693">
      <w:pPr>
        <w:jc w:val="both"/>
        <w:rPr>
          <w:rFonts w:ascii="Verdana" w:hAnsi="Verdana" w:cs="Arial"/>
          <w:b/>
          <w:bCs/>
          <w:color w:val="000000" w:themeColor="text1"/>
        </w:rPr>
      </w:pPr>
      <w:r w:rsidRPr="00AF346D">
        <w:rPr>
          <w:rFonts w:ascii="Verdana" w:hAnsi="Verdana" w:cs="Arial"/>
          <w:b/>
          <w:bCs/>
          <w:color w:val="000000" w:themeColor="text1"/>
        </w:rPr>
        <w:t xml:space="preserve">CAUSALES DE RECHAZO DE LAS OFERTAS – Origen – Límites en su configuración </w:t>
      </w:r>
    </w:p>
    <w:p w14:paraId="7A6737C8" w14:textId="3395215B" w:rsidR="008F6693" w:rsidRPr="008F6693" w:rsidRDefault="00A95520" w:rsidP="008F6693">
      <w:pPr>
        <w:spacing w:after="0" w:line="240" w:lineRule="auto"/>
        <w:jc w:val="both"/>
        <w:rPr>
          <w:rFonts w:ascii="Verdana" w:hAnsi="Verdana" w:cs="Arial"/>
          <w:b/>
          <w:bCs/>
          <w:color w:val="000000" w:themeColor="text1"/>
        </w:rPr>
      </w:pPr>
      <w:r w:rsidRPr="008F6693">
        <w:rPr>
          <w:rFonts w:ascii="Verdana" w:hAnsi="Verdana" w:cs="Arial"/>
          <w:color w:val="000000" w:themeColor="text1"/>
          <w:sz w:val="20"/>
          <w:szCs w:val="20"/>
        </w:rPr>
        <w:t xml:space="preserve">[…] </w:t>
      </w:r>
      <w:r w:rsidRPr="008F6693">
        <w:rPr>
          <w:rFonts w:ascii="Verdana" w:eastAsia="Arial" w:hAnsi="Verdana" w:cs="Arial"/>
          <w:sz w:val="20"/>
          <w:szCs w:val="20"/>
        </w:rPr>
        <w:t xml:space="preserve">si bien las entidades estatales, en ejercicio de la discrecionalidad que les corresponde en la configuración de los pliegos de condiciones, tienen competencia para determinar los requisitos que deben cumplir los proponentes para la presentación de ofertas y </w:t>
      </w:r>
      <w:r w:rsidRPr="008F6693">
        <w:rPr>
          <w:rFonts w:ascii="Verdana" w:eastAsia="Arial" w:hAnsi="Verdana" w:cs="Arial"/>
          <w:sz w:val="20"/>
          <w:szCs w:val="20"/>
        </w:rPr>
        <w:lastRenderedPageBreak/>
        <w:t>regular los eventos en los que procede su rechazo, el ejercicio de tales facultades encuentra ciertos límites en la ley y el reglamento, así como en los principios de razonabilidad y proporcionalidad.</w:t>
      </w:r>
    </w:p>
    <w:p w14:paraId="0F357391" w14:textId="1DA26772" w:rsidR="00A95520" w:rsidRPr="008F6693" w:rsidRDefault="00A95520" w:rsidP="008F6693">
      <w:pPr>
        <w:spacing w:after="0" w:line="240" w:lineRule="auto"/>
        <w:jc w:val="both"/>
        <w:rPr>
          <w:rFonts w:ascii="Verdana" w:hAnsi="Verdana" w:cs="Arial"/>
          <w:b/>
          <w:bCs/>
          <w:color w:val="000000" w:themeColor="text1"/>
          <w:sz w:val="20"/>
          <w:szCs w:val="20"/>
        </w:rPr>
      </w:pPr>
      <w:r w:rsidRPr="008F6693">
        <w:rPr>
          <w:rFonts w:ascii="Verdana" w:eastAsia="Arial" w:hAnsi="Verdana" w:cs="Arial"/>
          <w:sz w:val="20"/>
          <w:szCs w:val="20"/>
        </w:rPr>
        <w:t xml:space="preserve">  </w:t>
      </w:r>
    </w:p>
    <w:p w14:paraId="109F3993" w14:textId="77777777" w:rsidR="00A95520" w:rsidRPr="008F6693" w:rsidRDefault="00A95520" w:rsidP="008F6693">
      <w:pPr>
        <w:spacing w:after="0" w:line="240" w:lineRule="auto"/>
        <w:jc w:val="both"/>
        <w:rPr>
          <w:rFonts w:ascii="Verdana" w:eastAsia="Arial" w:hAnsi="Verdana" w:cs="Arial"/>
          <w:color w:val="000000"/>
          <w:sz w:val="20"/>
          <w:szCs w:val="20"/>
        </w:rPr>
      </w:pPr>
      <w:r w:rsidRPr="008F6693">
        <w:rPr>
          <w:rFonts w:ascii="Verdana" w:eastAsia="Arial" w:hAnsi="Verdana" w:cs="Arial"/>
          <w:sz w:val="20"/>
          <w:szCs w:val="20"/>
        </w:rPr>
        <w:t xml:space="preserve">En ese entendido, uno de los límites a la facultad para establecer causales de rechazo, se encuentra en la regla de </w:t>
      </w:r>
      <w:proofErr w:type="spellStart"/>
      <w:r w:rsidRPr="008F6693">
        <w:rPr>
          <w:rFonts w:ascii="Verdana" w:eastAsia="Arial" w:hAnsi="Verdana" w:cs="Arial"/>
          <w:sz w:val="20"/>
          <w:szCs w:val="20"/>
        </w:rPr>
        <w:t>subsanabilidad</w:t>
      </w:r>
      <w:proofErr w:type="spellEnd"/>
      <w:r w:rsidRPr="008F6693">
        <w:rPr>
          <w:rFonts w:ascii="Verdana" w:eastAsia="Arial" w:hAnsi="Verdana" w:cs="Arial"/>
          <w:sz w:val="20"/>
          <w:szCs w:val="20"/>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4C9513D4" w14:textId="47708336" w:rsidR="00A95520" w:rsidRDefault="00A95520" w:rsidP="008F6693">
      <w:pPr>
        <w:spacing w:after="0" w:line="240" w:lineRule="auto"/>
        <w:jc w:val="both"/>
        <w:rPr>
          <w:rFonts w:ascii="Verdana" w:hAnsi="Verdana" w:cs="Arial"/>
          <w:b/>
          <w:bCs/>
          <w:color w:val="000000" w:themeColor="text1"/>
        </w:rPr>
      </w:pPr>
    </w:p>
    <w:p w14:paraId="472AA36C" w14:textId="579FB948" w:rsidR="00AF346D" w:rsidRDefault="00AF346D" w:rsidP="00AF346D">
      <w:pPr>
        <w:jc w:val="both"/>
        <w:rPr>
          <w:rFonts w:ascii="Verdana" w:hAnsi="Verdana" w:cs="Arial"/>
          <w:b/>
          <w:bCs/>
          <w:color w:val="000000" w:themeColor="text1"/>
        </w:rPr>
      </w:pPr>
      <w:r w:rsidRPr="00AF346D">
        <w:rPr>
          <w:rFonts w:ascii="Verdana" w:hAnsi="Verdana" w:cs="Arial"/>
          <w:b/>
          <w:bCs/>
          <w:color w:val="000000" w:themeColor="text1"/>
        </w:rPr>
        <w:t>CAUSALES DE RECHAZO – Procedencia</w:t>
      </w:r>
    </w:p>
    <w:p w14:paraId="78974B07" w14:textId="77777777" w:rsidR="00A95520" w:rsidRPr="008F6693" w:rsidRDefault="00A95520" w:rsidP="008F6693">
      <w:pPr>
        <w:widowControl w:val="0"/>
        <w:spacing w:after="0" w:line="240" w:lineRule="auto"/>
        <w:jc w:val="both"/>
        <w:rPr>
          <w:rFonts w:ascii="Verdana" w:eastAsia="Arial" w:hAnsi="Verdana" w:cs="Arial"/>
          <w:sz w:val="20"/>
          <w:szCs w:val="20"/>
        </w:rPr>
      </w:pPr>
      <w:r w:rsidRPr="008F6693">
        <w:rPr>
          <w:rFonts w:ascii="Verdana" w:eastAsia="Arial" w:hAnsi="Verdana" w:cs="Arial"/>
          <w:sz w:val="20"/>
          <w:szCs w:val="20"/>
        </w:rPr>
        <w:t xml:space="preserve">De acuerdo con la jurisprudencia citada, existen dos eventos en los cuales procede el rechazo de la oferta: i) cuando se configure alguna de las causales de rechazo originadas en la ley o el reglamento y </w:t>
      </w:r>
      <w:proofErr w:type="spellStart"/>
      <w:r w:rsidRPr="008F6693">
        <w:rPr>
          <w:rFonts w:ascii="Verdana" w:eastAsia="Arial" w:hAnsi="Verdana" w:cs="Arial"/>
          <w:sz w:val="20"/>
          <w:szCs w:val="20"/>
        </w:rPr>
        <w:t>ii</w:t>
      </w:r>
      <w:proofErr w:type="spellEnd"/>
      <w:r w:rsidRPr="008F6693">
        <w:rPr>
          <w:rFonts w:ascii="Verdana" w:eastAsia="Arial" w:hAnsi="Verdana" w:cs="Arial"/>
          <w:sz w:val="20"/>
          <w:szCs w:val="20"/>
        </w:rPr>
        <w:t xml:space="preserve">) cuando se materialicen las establecidas en el pliego de condiciones. En tal sentido, las causales de rechazo de la oferta serán las consagradas en la ley o el reglamento producto de su aplicación, así como las definidas por las entidades en el respectivo pliego de condiciones. </w:t>
      </w:r>
    </w:p>
    <w:p w14:paraId="31B920C8" w14:textId="77777777" w:rsidR="008F6693" w:rsidRDefault="008F6693" w:rsidP="008F6693">
      <w:pPr>
        <w:widowControl w:val="0"/>
        <w:spacing w:after="0" w:line="240" w:lineRule="auto"/>
        <w:jc w:val="both"/>
        <w:rPr>
          <w:rFonts w:ascii="Verdana" w:eastAsia="Arial" w:hAnsi="Verdana" w:cs="Arial"/>
          <w:sz w:val="20"/>
          <w:szCs w:val="20"/>
        </w:rPr>
      </w:pPr>
    </w:p>
    <w:p w14:paraId="4313520F" w14:textId="0F2C4E00" w:rsidR="00A95520" w:rsidRPr="008F6693" w:rsidRDefault="00A95520" w:rsidP="008F6693">
      <w:pPr>
        <w:widowControl w:val="0"/>
        <w:spacing w:after="0" w:line="240" w:lineRule="auto"/>
        <w:jc w:val="both"/>
        <w:rPr>
          <w:rFonts w:ascii="Verdana" w:eastAsia="Arial" w:hAnsi="Verdana" w:cs="Arial"/>
          <w:sz w:val="20"/>
          <w:szCs w:val="20"/>
        </w:rPr>
      </w:pPr>
      <w:r w:rsidRPr="008F6693">
        <w:rPr>
          <w:rFonts w:ascii="Verdana" w:eastAsia="Arial" w:hAnsi="Verdana" w:cs="Arial"/>
          <w:sz w:val="20"/>
          <w:szCs w:val="20"/>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67ACB3A8" w14:textId="77777777" w:rsidR="008F6693" w:rsidRDefault="008F6693" w:rsidP="008F6693">
      <w:pPr>
        <w:widowControl w:val="0"/>
        <w:spacing w:after="0" w:line="240" w:lineRule="auto"/>
        <w:jc w:val="both"/>
        <w:rPr>
          <w:rFonts w:ascii="Verdana" w:eastAsia="Arial" w:hAnsi="Verdana" w:cs="Arial"/>
          <w:sz w:val="20"/>
          <w:szCs w:val="20"/>
          <w:lang w:val="es-ES"/>
        </w:rPr>
      </w:pPr>
    </w:p>
    <w:p w14:paraId="6AFBF230" w14:textId="262B56C6" w:rsidR="00A95520" w:rsidRPr="008F6693" w:rsidRDefault="00A95520" w:rsidP="008F6693">
      <w:pPr>
        <w:widowControl w:val="0"/>
        <w:spacing w:after="0" w:line="240" w:lineRule="auto"/>
        <w:jc w:val="both"/>
        <w:rPr>
          <w:rFonts w:ascii="Verdana" w:eastAsia="Arial" w:hAnsi="Verdana" w:cs="Arial"/>
          <w:sz w:val="20"/>
          <w:szCs w:val="20"/>
        </w:rPr>
      </w:pPr>
      <w:r w:rsidRPr="008F6693">
        <w:rPr>
          <w:rFonts w:ascii="Verdana" w:eastAsia="Arial" w:hAnsi="Verdana" w:cs="Arial"/>
          <w:sz w:val="20"/>
          <w:szCs w:val="20"/>
          <w:lang w:val="es-E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2473010C" w14:textId="77777777" w:rsidR="00A95520" w:rsidRPr="00A95520" w:rsidRDefault="00A95520" w:rsidP="00AF346D">
      <w:pPr>
        <w:spacing w:after="0" w:line="240" w:lineRule="auto"/>
        <w:jc w:val="both"/>
        <w:rPr>
          <w:rFonts w:ascii="Verdana" w:hAnsi="Verdana" w:cs="Arial"/>
          <w:b/>
          <w:bCs/>
          <w:color w:val="000000" w:themeColor="text1"/>
          <w:lang w:val="es-ES"/>
        </w:rPr>
      </w:pPr>
    </w:p>
    <w:p w14:paraId="3A34FB5C" w14:textId="77777777" w:rsidR="00AF346D" w:rsidRDefault="00AF346D" w:rsidP="00AF346D">
      <w:pPr>
        <w:spacing w:after="0" w:line="240" w:lineRule="auto"/>
        <w:jc w:val="right"/>
        <w:rPr>
          <w:rFonts w:ascii="Verdana" w:eastAsia="Calibri" w:hAnsi="Verdana" w:cs="Arial"/>
          <w:lang w:eastAsia="es-ES"/>
        </w:rPr>
      </w:pPr>
    </w:p>
    <w:p w14:paraId="7C2C1989" w14:textId="77777777" w:rsidR="00AF346D" w:rsidRDefault="00AF346D" w:rsidP="00AF346D">
      <w:pPr>
        <w:spacing w:after="0" w:line="240" w:lineRule="auto"/>
        <w:jc w:val="right"/>
        <w:rPr>
          <w:rFonts w:ascii="Verdana" w:eastAsia="Calibri" w:hAnsi="Verdana" w:cs="Arial"/>
          <w:lang w:eastAsia="es-ES"/>
        </w:rPr>
      </w:pPr>
    </w:p>
    <w:p w14:paraId="14DAC50F" w14:textId="77777777" w:rsidR="008F6693" w:rsidRDefault="008F6693" w:rsidP="00AF346D">
      <w:pPr>
        <w:spacing w:after="0" w:line="240" w:lineRule="auto"/>
        <w:jc w:val="right"/>
        <w:rPr>
          <w:rFonts w:ascii="Verdana" w:eastAsia="Calibri" w:hAnsi="Verdana" w:cs="Arial"/>
          <w:lang w:eastAsia="es-ES"/>
        </w:rPr>
      </w:pPr>
    </w:p>
    <w:p w14:paraId="092F8533" w14:textId="77777777" w:rsidR="008F6693" w:rsidRDefault="008F6693" w:rsidP="00AF346D">
      <w:pPr>
        <w:spacing w:after="0" w:line="240" w:lineRule="auto"/>
        <w:jc w:val="right"/>
        <w:rPr>
          <w:rFonts w:ascii="Verdana" w:eastAsia="Calibri" w:hAnsi="Verdana" w:cs="Arial"/>
          <w:lang w:eastAsia="es-ES"/>
        </w:rPr>
      </w:pPr>
    </w:p>
    <w:p w14:paraId="7DADD546" w14:textId="77777777" w:rsidR="008F6693" w:rsidRDefault="008F6693" w:rsidP="00AF346D">
      <w:pPr>
        <w:spacing w:after="0" w:line="240" w:lineRule="auto"/>
        <w:jc w:val="right"/>
        <w:rPr>
          <w:rFonts w:ascii="Verdana" w:eastAsia="Calibri" w:hAnsi="Verdana" w:cs="Arial"/>
          <w:lang w:eastAsia="es-ES"/>
        </w:rPr>
      </w:pPr>
    </w:p>
    <w:p w14:paraId="25B26071" w14:textId="77777777" w:rsidR="00AF346D" w:rsidRDefault="00AF346D" w:rsidP="00AF346D">
      <w:pPr>
        <w:spacing w:after="0" w:line="240" w:lineRule="auto"/>
        <w:jc w:val="right"/>
        <w:rPr>
          <w:rFonts w:ascii="Verdana" w:eastAsia="Calibri" w:hAnsi="Verdana" w:cs="Arial"/>
          <w:lang w:eastAsia="es-ES"/>
        </w:rPr>
      </w:pPr>
    </w:p>
    <w:p w14:paraId="5AD090AC" w14:textId="77777777" w:rsidR="00F34BFE" w:rsidRDefault="00F34BFE" w:rsidP="00AF346D">
      <w:pPr>
        <w:spacing w:after="0" w:line="240" w:lineRule="auto"/>
        <w:jc w:val="right"/>
        <w:rPr>
          <w:rFonts w:ascii="Verdana" w:hAnsi="Verdana"/>
        </w:rPr>
      </w:pPr>
    </w:p>
    <w:p w14:paraId="6DEF3AEE" w14:textId="77777777" w:rsidR="00F34BFE" w:rsidRDefault="00F34BFE" w:rsidP="00AF346D">
      <w:pPr>
        <w:spacing w:after="0" w:line="240" w:lineRule="auto"/>
        <w:jc w:val="right"/>
        <w:rPr>
          <w:rFonts w:ascii="Verdana" w:hAnsi="Verdana"/>
        </w:rPr>
      </w:pPr>
    </w:p>
    <w:p w14:paraId="69913942" w14:textId="77777777" w:rsidR="00F34BFE" w:rsidRDefault="00F34BFE" w:rsidP="00AF346D">
      <w:pPr>
        <w:spacing w:after="0" w:line="240" w:lineRule="auto"/>
        <w:jc w:val="right"/>
        <w:rPr>
          <w:rFonts w:ascii="Verdana" w:hAnsi="Verdana"/>
        </w:rPr>
      </w:pPr>
    </w:p>
    <w:p w14:paraId="77E47C10" w14:textId="77777777" w:rsidR="00F34BFE" w:rsidRDefault="00F34BFE" w:rsidP="00AF346D">
      <w:pPr>
        <w:spacing w:after="0" w:line="240" w:lineRule="auto"/>
        <w:jc w:val="right"/>
        <w:rPr>
          <w:rFonts w:ascii="Verdana" w:hAnsi="Verdana"/>
        </w:rPr>
      </w:pPr>
    </w:p>
    <w:p w14:paraId="0DD7D66C" w14:textId="77777777" w:rsidR="00F34BFE" w:rsidRDefault="00F34BFE" w:rsidP="00AF346D">
      <w:pPr>
        <w:spacing w:after="0" w:line="240" w:lineRule="auto"/>
        <w:jc w:val="right"/>
        <w:rPr>
          <w:rFonts w:ascii="Verdana" w:hAnsi="Verdana"/>
        </w:rPr>
      </w:pPr>
    </w:p>
    <w:p w14:paraId="0FC21227" w14:textId="22113BFC" w:rsidR="00F34BFE" w:rsidRDefault="00F34BFE" w:rsidP="00F34BFE">
      <w:pPr>
        <w:spacing w:after="0" w:line="240" w:lineRule="auto"/>
        <w:rPr>
          <w:rFonts w:ascii="Verdana" w:eastAsia="Calibri" w:hAnsi="Verdana" w:cs="Arial"/>
          <w:lang w:eastAsia="es-ES"/>
        </w:rPr>
      </w:pPr>
      <w:r w:rsidRPr="0024624F">
        <w:rPr>
          <w:rFonts w:ascii="Verdana" w:hAnsi="Verdana"/>
        </w:rPr>
        <w:t xml:space="preserve">Bogotá D.C., </w:t>
      </w:r>
      <w:r>
        <w:rPr>
          <w:rFonts w:ascii="Verdana" w:hAnsi="Verdana"/>
        </w:rPr>
        <w:t>4</w:t>
      </w:r>
      <w:r>
        <w:rPr>
          <w:rFonts w:ascii="Verdana" w:hAnsi="Verdana"/>
        </w:rPr>
        <w:t xml:space="preserve"> </w:t>
      </w:r>
      <w:proofErr w:type="gramStart"/>
      <w:r>
        <w:rPr>
          <w:rFonts w:ascii="Verdana" w:hAnsi="Verdana"/>
        </w:rPr>
        <w:t>Diciembre</w:t>
      </w:r>
      <w:proofErr w:type="gramEnd"/>
      <w:r>
        <w:rPr>
          <w:rFonts w:ascii="Verdana" w:hAnsi="Verdana"/>
        </w:rPr>
        <w:t xml:space="preserve"> 2025</w:t>
      </w:r>
      <w:r w:rsidRPr="000E2B93">
        <w:rPr>
          <w:rFonts w:ascii="Verdana" w:hAnsi="Verdana"/>
        </w:rPr>
        <w:tab/>
      </w:r>
    </w:p>
    <w:p w14:paraId="118B611C" w14:textId="78988F65" w:rsidR="00AF346D" w:rsidRDefault="00AF346D" w:rsidP="00AF346D">
      <w:pPr>
        <w:spacing w:after="0" w:line="240" w:lineRule="auto"/>
        <w:jc w:val="right"/>
        <w:rPr>
          <w:rFonts w:ascii="Verdana" w:eastAsia="Calibri" w:hAnsi="Verdana" w:cs="Arial"/>
          <w:lang w:eastAsia="es-ES"/>
        </w:rPr>
      </w:pPr>
      <w:r w:rsidRPr="00AF346D">
        <w:rPr>
          <w:rFonts w:ascii="Verdana" w:eastAsia="Calibri" w:hAnsi="Verdana" w:cs="Arial"/>
          <w:noProof/>
          <w:lang w:eastAsia="es-ES"/>
        </w:rPr>
        <w:drawing>
          <wp:inline distT="0" distB="0" distL="0" distR="0" wp14:anchorId="3F5FB4D6" wp14:editId="012EBC3D">
            <wp:extent cx="2787209" cy="820082"/>
            <wp:effectExtent l="0" t="0" r="0" b="0"/>
            <wp:docPr id="17906845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684540" name=""/>
                    <pic:cNvPicPr/>
                  </pic:nvPicPr>
                  <pic:blipFill>
                    <a:blip r:embed="rId10"/>
                    <a:stretch>
                      <a:fillRect/>
                    </a:stretch>
                  </pic:blipFill>
                  <pic:spPr>
                    <a:xfrm>
                      <a:off x="0" y="0"/>
                      <a:ext cx="2826832" cy="831740"/>
                    </a:xfrm>
                    <a:prstGeom prst="rect">
                      <a:avLst/>
                    </a:prstGeom>
                  </pic:spPr>
                </pic:pic>
              </a:graphicData>
            </a:graphic>
          </wp:inline>
        </w:drawing>
      </w:r>
    </w:p>
    <w:p w14:paraId="7DEE7080" w14:textId="77777777" w:rsidR="00AF346D" w:rsidRDefault="00AF346D" w:rsidP="00247CD3">
      <w:pPr>
        <w:spacing w:after="0" w:line="240" w:lineRule="auto"/>
        <w:jc w:val="both"/>
        <w:rPr>
          <w:rFonts w:ascii="Verdana" w:eastAsia="Calibri" w:hAnsi="Verdana" w:cs="Arial"/>
          <w:lang w:eastAsia="es-ES"/>
        </w:rPr>
      </w:pPr>
    </w:p>
    <w:p w14:paraId="3633F0BD" w14:textId="2B192007" w:rsidR="00A136C1" w:rsidRPr="00247CD3" w:rsidRDefault="00A136C1" w:rsidP="00247CD3">
      <w:pPr>
        <w:spacing w:after="0" w:line="240" w:lineRule="auto"/>
        <w:jc w:val="both"/>
        <w:rPr>
          <w:rFonts w:ascii="Verdana" w:eastAsia="Calibri" w:hAnsi="Verdana" w:cs="Arial"/>
          <w:lang w:eastAsia="es-ES"/>
        </w:rPr>
      </w:pPr>
      <w:r w:rsidRPr="00247CD3">
        <w:rPr>
          <w:rFonts w:ascii="Verdana" w:eastAsia="Calibri" w:hAnsi="Verdana" w:cs="Arial"/>
          <w:lang w:eastAsia="es-ES"/>
        </w:rPr>
        <w:t>Señora</w:t>
      </w:r>
    </w:p>
    <w:p w14:paraId="01A75A8E" w14:textId="77777777" w:rsidR="00A136C1" w:rsidRPr="00247CD3" w:rsidRDefault="00A136C1" w:rsidP="00247CD3">
      <w:pPr>
        <w:spacing w:after="0" w:line="240" w:lineRule="auto"/>
        <w:jc w:val="both"/>
        <w:rPr>
          <w:rFonts w:ascii="Verdana" w:eastAsia="Calibri" w:hAnsi="Verdana" w:cs="Arial"/>
          <w:b/>
          <w:bCs/>
          <w:lang w:eastAsia="es-ES"/>
        </w:rPr>
      </w:pPr>
      <w:r w:rsidRPr="00247CD3">
        <w:rPr>
          <w:rFonts w:ascii="Verdana" w:eastAsia="Calibri" w:hAnsi="Verdana" w:cs="Arial"/>
          <w:b/>
          <w:bCs/>
          <w:lang w:eastAsia="es-ES"/>
        </w:rPr>
        <w:t>Giselle Martínez Montealegre</w:t>
      </w:r>
    </w:p>
    <w:p w14:paraId="0C49AF8A" w14:textId="77777777" w:rsidR="00A136C1" w:rsidRPr="00247CD3" w:rsidRDefault="00A136C1" w:rsidP="00247CD3">
      <w:pPr>
        <w:spacing w:after="0" w:line="240" w:lineRule="auto"/>
        <w:jc w:val="both"/>
        <w:rPr>
          <w:rFonts w:ascii="Verdana" w:hAnsi="Verdana"/>
          <w:b/>
          <w:bCs/>
        </w:rPr>
      </w:pPr>
      <w:hyperlink r:id="rId11" w:history="1">
        <w:r w:rsidRPr="00247CD3">
          <w:rPr>
            <w:rStyle w:val="Hipervnculo"/>
            <w:rFonts w:ascii="Verdana" w:hAnsi="Verdana"/>
            <w:b/>
            <w:bCs/>
          </w:rPr>
          <w:t>Yiyitama@hotmail.com</w:t>
        </w:r>
      </w:hyperlink>
    </w:p>
    <w:p w14:paraId="01DFEC39" w14:textId="77777777" w:rsidR="00A136C1" w:rsidRPr="00247CD3" w:rsidRDefault="00A136C1" w:rsidP="00247CD3">
      <w:pPr>
        <w:spacing w:after="0" w:line="240" w:lineRule="auto"/>
        <w:jc w:val="both"/>
        <w:rPr>
          <w:rFonts w:ascii="Verdana" w:hAnsi="Verdana"/>
          <w:lang w:val="it-CH"/>
        </w:rPr>
      </w:pPr>
      <w:r w:rsidRPr="00247CD3">
        <w:rPr>
          <w:rFonts w:ascii="Verdana" w:hAnsi="Verdana"/>
          <w:lang w:val="it-CH"/>
        </w:rPr>
        <w:t>Puerto Carreño - Vichada</w:t>
      </w:r>
    </w:p>
    <w:p w14:paraId="0675F055" w14:textId="77777777" w:rsidR="00A136C1" w:rsidRPr="00247CD3" w:rsidRDefault="00A136C1" w:rsidP="00247CD3">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A136C1" w:rsidRPr="00247CD3" w14:paraId="6CBB422C" w14:textId="77777777" w:rsidTr="002C287A">
        <w:trPr>
          <w:trHeight w:val="162"/>
        </w:trPr>
        <w:tc>
          <w:tcPr>
            <w:tcW w:w="3119" w:type="dxa"/>
          </w:tcPr>
          <w:p w14:paraId="7591AFC0" w14:textId="77777777" w:rsidR="00A136C1" w:rsidRPr="00247CD3" w:rsidRDefault="00A136C1" w:rsidP="00247CD3">
            <w:pPr>
              <w:jc w:val="both"/>
              <w:rPr>
                <w:rFonts w:ascii="Verdana" w:eastAsia="Calibri" w:hAnsi="Verdana" w:cs="Arial"/>
                <w:b/>
                <w:bCs/>
                <w:color w:val="7030A0"/>
                <w:lang w:val="it-CH" w:eastAsia="es-ES_tradnl"/>
              </w:rPr>
            </w:pPr>
          </w:p>
        </w:tc>
        <w:tc>
          <w:tcPr>
            <w:tcW w:w="5670" w:type="dxa"/>
          </w:tcPr>
          <w:p w14:paraId="71106125" w14:textId="77777777" w:rsidR="00A136C1" w:rsidRPr="00247CD3" w:rsidRDefault="00A136C1" w:rsidP="00247CD3">
            <w:pPr>
              <w:jc w:val="both"/>
              <w:rPr>
                <w:rFonts w:ascii="Verdana" w:eastAsia="Calibri" w:hAnsi="Verdana" w:cs="Arial"/>
                <w:b/>
                <w:bCs/>
                <w:lang w:eastAsia="es-ES"/>
              </w:rPr>
            </w:pPr>
            <w:r w:rsidRPr="00247CD3">
              <w:rPr>
                <w:rFonts w:ascii="Verdana" w:eastAsia="Calibri" w:hAnsi="Verdana" w:cs="Arial"/>
                <w:b/>
                <w:bCs/>
                <w:lang w:eastAsia="es-ES"/>
              </w:rPr>
              <w:t>Concepto C-1562 de 2025</w:t>
            </w:r>
          </w:p>
          <w:p w14:paraId="1C6BC041" w14:textId="77777777" w:rsidR="00A136C1" w:rsidRPr="00247CD3" w:rsidRDefault="00A136C1" w:rsidP="00247CD3">
            <w:pPr>
              <w:jc w:val="both"/>
              <w:rPr>
                <w:rFonts w:ascii="Verdana" w:eastAsia="Calibri" w:hAnsi="Verdana" w:cs="Arial"/>
                <w:b/>
                <w:bCs/>
                <w:color w:val="7030A0"/>
                <w:lang w:eastAsia="es-ES"/>
              </w:rPr>
            </w:pPr>
          </w:p>
        </w:tc>
      </w:tr>
      <w:tr w:rsidR="00A136C1" w:rsidRPr="00247CD3" w14:paraId="50144763" w14:textId="77777777" w:rsidTr="002C287A">
        <w:trPr>
          <w:trHeight w:val="884"/>
        </w:trPr>
        <w:tc>
          <w:tcPr>
            <w:tcW w:w="3119" w:type="dxa"/>
          </w:tcPr>
          <w:p w14:paraId="66E6738A" w14:textId="77777777" w:rsidR="00A136C1" w:rsidRPr="00247CD3" w:rsidRDefault="00A136C1" w:rsidP="00247CD3">
            <w:pPr>
              <w:jc w:val="both"/>
              <w:rPr>
                <w:rFonts w:ascii="Verdana" w:eastAsia="Calibri" w:hAnsi="Verdana" w:cs="Arial"/>
                <w:color w:val="000000"/>
                <w:lang w:eastAsia="es-ES_tradnl"/>
              </w:rPr>
            </w:pPr>
            <w:r w:rsidRPr="00247CD3">
              <w:rPr>
                <w:rFonts w:ascii="Verdana" w:eastAsia="Calibri" w:hAnsi="Verdana" w:cs="Arial"/>
                <w:b/>
                <w:color w:val="000000"/>
                <w:lang w:eastAsia="es-ES_tradnl"/>
              </w:rPr>
              <w:t>Temas:</w:t>
            </w:r>
            <w:r w:rsidRPr="00247CD3">
              <w:rPr>
                <w:rFonts w:ascii="Verdana" w:eastAsia="Calibri" w:hAnsi="Verdana" w:cs="Arial"/>
                <w:color w:val="000000"/>
                <w:lang w:eastAsia="es-ES_tradnl"/>
              </w:rPr>
              <w:t xml:space="preserve">                   </w:t>
            </w:r>
          </w:p>
        </w:tc>
        <w:tc>
          <w:tcPr>
            <w:tcW w:w="5670" w:type="dxa"/>
          </w:tcPr>
          <w:p w14:paraId="31EB6228" w14:textId="77777777" w:rsidR="00A136C1" w:rsidRPr="00247CD3" w:rsidRDefault="00A136C1" w:rsidP="00675FC7">
            <w:pPr>
              <w:jc w:val="both"/>
              <w:rPr>
                <w:rFonts w:ascii="Verdana" w:hAnsi="Verdana" w:cs="Arial"/>
                <w:color w:val="000000" w:themeColor="text1"/>
              </w:rPr>
            </w:pPr>
            <w:r w:rsidRPr="00247CD3">
              <w:rPr>
                <w:rFonts w:ascii="Verdana" w:hAnsi="Verdana" w:cs="Arial"/>
                <w:color w:val="000000" w:themeColor="text1"/>
                <w:lang w:val="es-ES"/>
              </w:rPr>
              <w:t xml:space="preserve">MÍNIMA CUANTÍA – Modalidad de selección / </w:t>
            </w:r>
            <w:r w:rsidRPr="00247CD3">
              <w:rPr>
                <w:rFonts w:ascii="Verdana" w:eastAsia="Century Gothic" w:hAnsi="Verdana" w:cs="Century Gothic"/>
                <w:bCs/>
              </w:rPr>
              <w:t>DECRETO 1860 DE 2021 – Convocatorias limitadas a MiPymes – Normas reglamentarias – Mínima cuantía / CONVOCATORIAS LIMITADAS A MIPYMES – Aplicación / CONVOCATORIAS LIMITADAS A MIPYMES NACIONALES – Requisitos / CONVOCATORIAS LIMITADAS A MIPYMES EN EL ÁMBITO TERRITORIAL – Limitación territorial – Facultad discrecional /</w:t>
            </w:r>
            <w:bookmarkStart w:id="1" w:name="_Hlk213432273"/>
            <w:r w:rsidRPr="00247CD3">
              <w:rPr>
                <w:rFonts w:ascii="Verdana" w:hAnsi="Verdana" w:cs="Arial"/>
                <w:color w:val="000000" w:themeColor="text1"/>
                <w:lang w:val="es-ES"/>
              </w:rPr>
              <w:t xml:space="preserve"> SUBSANABILIDAD – Aplicación – Regla general – Excepciones / SUBSANABILIDAD – Ley 1882 de 2018 / </w:t>
            </w:r>
            <w:r w:rsidRPr="00247CD3">
              <w:rPr>
                <w:rFonts w:ascii="Verdana" w:hAnsi="Verdana" w:cs="Arial"/>
                <w:color w:val="000000" w:themeColor="text1"/>
              </w:rPr>
              <w:t>CAUSALES DE RECHAZO DE LAS OFERTAS – Origen – Límites en su configuración / CAUSALES DE RECHAZO – Procedencia</w:t>
            </w:r>
          </w:p>
          <w:bookmarkEnd w:id="1"/>
          <w:p w14:paraId="2E215706" w14:textId="77777777" w:rsidR="00A136C1" w:rsidRPr="00247CD3" w:rsidRDefault="00A136C1" w:rsidP="00675FC7">
            <w:pPr>
              <w:tabs>
                <w:tab w:val="left" w:pos="1085"/>
              </w:tabs>
              <w:jc w:val="both"/>
              <w:rPr>
                <w:rFonts w:ascii="Verdana" w:hAnsi="Verdana" w:cs="Arial"/>
                <w:color w:val="000000" w:themeColor="text1"/>
              </w:rPr>
            </w:pPr>
          </w:p>
        </w:tc>
      </w:tr>
      <w:tr w:rsidR="00A136C1" w:rsidRPr="00247CD3" w14:paraId="2EB3D593" w14:textId="77777777" w:rsidTr="002C287A">
        <w:tc>
          <w:tcPr>
            <w:tcW w:w="3119" w:type="dxa"/>
          </w:tcPr>
          <w:p w14:paraId="3503825F" w14:textId="77777777" w:rsidR="00A136C1" w:rsidRPr="00247CD3" w:rsidRDefault="00A136C1" w:rsidP="00247CD3">
            <w:pPr>
              <w:jc w:val="both"/>
              <w:rPr>
                <w:rFonts w:ascii="Verdana" w:eastAsia="Calibri" w:hAnsi="Verdana" w:cs="Arial"/>
                <w:b/>
                <w:lang w:eastAsia="es-ES_tradnl"/>
              </w:rPr>
            </w:pPr>
            <w:r w:rsidRPr="00247CD3">
              <w:rPr>
                <w:rFonts w:ascii="Verdana" w:eastAsia="Calibri" w:hAnsi="Verdana" w:cs="Arial"/>
                <w:b/>
                <w:lang w:eastAsia="es-ES_tradnl"/>
              </w:rPr>
              <w:t>Radicación:</w:t>
            </w:r>
            <w:r w:rsidRPr="00247CD3">
              <w:rPr>
                <w:rFonts w:ascii="Verdana" w:eastAsia="Calibri" w:hAnsi="Verdana" w:cs="Arial"/>
                <w:lang w:eastAsia="es-ES_tradnl"/>
              </w:rPr>
              <w:t xml:space="preserve">               </w:t>
            </w:r>
          </w:p>
        </w:tc>
        <w:tc>
          <w:tcPr>
            <w:tcW w:w="5670" w:type="dxa"/>
          </w:tcPr>
          <w:p w14:paraId="62AD5572" w14:textId="77777777" w:rsidR="00A136C1" w:rsidRPr="00247CD3" w:rsidRDefault="00A136C1" w:rsidP="00247CD3">
            <w:pPr>
              <w:jc w:val="both"/>
              <w:rPr>
                <w:rFonts w:ascii="Verdana" w:eastAsia="Calibri" w:hAnsi="Verdana" w:cs="Arial"/>
                <w:lang w:eastAsia="es-ES_tradnl"/>
              </w:rPr>
            </w:pPr>
            <w:r w:rsidRPr="00247CD3">
              <w:rPr>
                <w:rFonts w:ascii="Verdana" w:eastAsia="Calibri" w:hAnsi="Verdana" w:cs="Arial"/>
                <w:lang w:eastAsia="es-ES_tradnl"/>
              </w:rPr>
              <w:t>Respuesta a consulta con radicado 1_2025_10_24_011959</w:t>
            </w:r>
          </w:p>
        </w:tc>
      </w:tr>
    </w:tbl>
    <w:p w14:paraId="4415361A" w14:textId="77777777" w:rsidR="00A136C1" w:rsidRPr="005644FE" w:rsidRDefault="00A136C1" w:rsidP="00B33C5D">
      <w:pPr>
        <w:spacing w:after="0" w:line="276" w:lineRule="auto"/>
        <w:jc w:val="both"/>
        <w:rPr>
          <w:rFonts w:ascii="Verdana" w:eastAsia="Calibri" w:hAnsi="Verdana" w:cs="Arial"/>
          <w:lang w:eastAsia="es-ES_tradnl"/>
        </w:rPr>
      </w:pPr>
    </w:p>
    <w:p w14:paraId="7CC96B25" w14:textId="77777777" w:rsidR="00A136C1" w:rsidRPr="005644FE" w:rsidRDefault="00A136C1" w:rsidP="00B33C5D">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señora Giselle</w:t>
      </w:r>
      <w:r w:rsidRPr="005644FE">
        <w:rPr>
          <w:rFonts w:ascii="Verdana" w:eastAsia="Calibri" w:hAnsi="Verdana" w:cs="Arial"/>
          <w:lang w:eastAsia="es-ES"/>
        </w:rPr>
        <w:t>:</w:t>
      </w:r>
    </w:p>
    <w:p w14:paraId="56205344" w14:textId="77777777" w:rsidR="00A136C1" w:rsidRPr="00E02524" w:rsidRDefault="00A136C1" w:rsidP="00675FC7">
      <w:pPr>
        <w:spacing w:after="0" w:line="276" w:lineRule="auto"/>
        <w:jc w:val="both"/>
        <w:rPr>
          <w:rFonts w:ascii="Verdana" w:hAnsi="Verdana"/>
          <w:lang w:val="es-MX"/>
        </w:rPr>
      </w:pPr>
    </w:p>
    <w:p w14:paraId="3127360A" w14:textId="564F138E" w:rsidR="00A136C1" w:rsidRDefault="00A136C1" w:rsidP="00B33C5D">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w:t>
      </w:r>
      <w:r w:rsidR="00B33C5D" w:rsidRPr="00E02524">
        <w:rPr>
          <w:rFonts w:ascii="Verdana" w:hAnsi="Verdana"/>
        </w:rPr>
        <w:t xml:space="preserve">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w:t>
      </w:r>
      <w:r w:rsidRPr="005644FE">
        <w:rPr>
          <w:rFonts w:ascii="Verdana" w:eastAsia="Calibri" w:hAnsi="Verdana" w:cs="Arial"/>
          <w:lang w:eastAsia="es-ES"/>
        </w:rPr>
        <w:lastRenderedPageBreak/>
        <w:t xml:space="preserve">su solicitud de consulta de fecha </w:t>
      </w:r>
      <w:r>
        <w:rPr>
          <w:rFonts w:ascii="Verdana" w:eastAsia="Calibri" w:hAnsi="Verdana" w:cs="Arial"/>
          <w:lang w:eastAsia="es-ES"/>
        </w:rPr>
        <w:t xml:space="preserve">24 </w:t>
      </w:r>
      <w:r w:rsidRPr="005644FE">
        <w:rPr>
          <w:rFonts w:ascii="Verdana" w:eastAsia="Calibri" w:hAnsi="Verdana" w:cs="Arial"/>
          <w:lang w:eastAsia="es-ES"/>
        </w:rPr>
        <w:t>de octubre de 2025, en la cual manifiesta lo siguiente:</w:t>
      </w:r>
    </w:p>
    <w:p w14:paraId="31442301" w14:textId="77777777" w:rsidR="00B33C5D" w:rsidRDefault="00B33C5D" w:rsidP="00675FC7">
      <w:pPr>
        <w:spacing w:after="0" w:line="276" w:lineRule="auto"/>
        <w:jc w:val="both"/>
        <w:rPr>
          <w:rFonts w:ascii="Verdana" w:hAnsi="Verdana"/>
        </w:rPr>
      </w:pPr>
    </w:p>
    <w:p w14:paraId="4850EB68" w14:textId="77777777" w:rsidR="00A136C1" w:rsidRPr="00E02524" w:rsidRDefault="00A136C1" w:rsidP="00675FC7">
      <w:pPr>
        <w:spacing w:after="0" w:line="276" w:lineRule="auto"/>
        <w:jc w:val="both"/>
        <w:rPr>
          <w:rFonts w:ascii="Verdana" w:hAnsi="Verdana"/>
        </w:rPr>
      </w:pPr>
      <w:r w:rsidRPr="00E02524">
        <w:rPr>
          <w:rFonts w:ascii="Verdana" w:hAnsi="Verdana"/>
        </w:rPr>
        <w:t xml:space="preserve">PETICIÓN REALIZADA </w:t>
      </w:r>
    </w:p>
    <w:p w14:paraId="6363E373" w14:textId="77777777" w:rsidR="00A136C1" w:rsidRPr="008E5B36" w:rsidRDefault="00A136C1" w:rsidP="00675FC7">
      <w:pPr>
        <w:spacing w:after="0" w:line="276" w:lineRule="auto"/>
        <w:jc w:val="both"/>
        <w:rPr>
          <w:rFonts w:ascii="Verdana" w:hAnsi="Verdana"/>
        </w:rPr>
      </w:pPr>
    </w:p>
    <w:p w14:paraId="0A19977C" w14:textId="77777777" w:rsidR="00A136C1" w:rsidRDefault="00A136C1" w:rsidP="00A136C1">
      <w:pPr>
        <w:spacing w:after="0"/>
        <w:ind w:left="567" w:right="758"/>
        <w:jc w:val="both"/>
        <w:rPr>
          <w:rFonts w:ascii="Verdana" w:hAnsi="Verdana"/>
          <w:sz w:val="20"/>
          <w:szCs w:val="20"/>
        </w:rPr>
      </w:pPr>
      <w:r w:rsidRPr="008E5B36">
        <w:rPr>
          <w:rFonts w:ascii="Verdana" w:hAnsi="Verdana"/>
          <w:sz w:val="20"/>
          <w:szCs w:val="20"/>
        </w:rPr>
        <w:t xml:space="preserve">“(…) </w:t>
      </w:r>
      <w:r w:rsidRPr="00CD00DD">
        <w:rPr>
          <w:rFonts w:ascii="Verdana" w:hAnsi="Verdana"/>
          <w:sz w:val="20"/>
          <w:szCs w:val="20"/>
        </w:rPr>
        <w:t xml:space="preserve">Me podrían por favor dar claridad respecto a conceptos o normativas sobre la </w:t>
      </w:r>
      <w:r>
        <w:rPr>
          <w:rFonts w:ascii="Verdana" w:hAnsi="Verdana"/>
          <w:sz w:val="20"/>
          <w:szCs w:val="20"/>
        </w:rPr>
        <w:t>limitación (sic)</w:t>
      </w:r>
      <w:r w:rsidRPr="00CD00DD">
        <w:rPr>
          <w:rFonts w:ascii="Verdana" w:hAnsi="Verdana"/>
          <w:sz w:val="20"/>
          <w:szCs w:val="20"/>
        </w:rPr>
        <w:t xml:space="preserve"> territorial a </w:t>
      </w:r>
      <w:proofErr w:type="spellStart"/>
      <w:r w:rsidRPr="00CD00DD">
        <w:rPr>
          <w:rFonts w:ascii="Verdana" w:hAnsi="Verdana"/>
          <w:sz w:val="20"/>
          <w:szCs w:val="20"/>
        </w:rPr>
        <w:t>my</w:t>
      </w:r>
      <w:proofErr w:type="spellEnd"/>
      <w:r w:rsidRPr="00CD00DD">
        <w:rPr>
          <w:rFonts w:ascii="Verdana" w:hAnsi="Verdana"/>
          <w:sz w:val="20"/>
          <w:szCs w:val="20"/>
        </w:rPr>
        <w:t xml:space="preserve"> </w:t>
      </w:r>
      <w:proofErr w:type="spellStart"/>
      <w:r w:rsidRPr="00CD00DD">
        <w:rPr>
          <w:rFonts w:ascii="Verdana" w:hAnsi="Verdana"/>
          <w:sz w:val="20"/>
          <w:szCs w:val="20"/>
        </w:rPr>
        <w:t>pimes</w:t>
      </w:r>
      <w:proofErr w:type="spellEnd"/>
      <w:r w:rsidRPr="00CD00DD">
        <w:rPr>
          <w:rFonts w:ascii="Verdana" w:hAnsi="Verdana"/>
          <w:sz w:val="20"/>
          <w:szCs w:val="20"/>
        </w:rPr>
        <w:t xml:space="preserve"> </w:t>
      </w:r>
      <w:r>
        <w:rPr>
          <w:rFonts w:ascii="Verdana" w:hAnsi="Verdana"/>
          <w:sz w:val="20"/>
          <w:szCs w:val="20"/>
        </w:rPr>
        <w:t xml:space="preserve">(sic) </w:t>
      </w:r>
      <w:r w:rsidRPr="00CD00DD">
        <w:rPr>
          <w:rFonts w:ascii="Verdana" w:hAnsi="Verdana"/>
          <w:sz w:val="20"/>
          <w:szCs w:val="20"/>
        </w:rPr>
        <w:t>de los procesos de mínima cuantía y de igual manera dar claridad, dentro del marco normativo, siesta</w:t>
      </w:r>
      <w:r>
        <w:rPr>
          <w:rFonts w:ascii="Verdana" w:hAnsi="Verdana"/>
          <w:sz w:val="20"/>
          <w:szCs w:val="20"/>
        </w:rPr>
        <w:t xml:space="preserve"> (sic)</w:t>
      </w:r>
      <w:r w:rsidRPr="00CD00DD">
        <w:rPr>
          <w:rFonts w:ascii="Verdana" w:hAnsi="Verdana"/>
          <w:sz w:val="20"/>
          <w:szCs w:val="20"/>
        </w:rPr>
        <w:t xml:space="preserve"> certificación </w:t>
      </w:r>
      <w:proofErr w:type="spellStart"/>
      <w:r w:rsidRPr="00CD00DD">
        <w:rPr>
          <w:rFonts w:ascii="Verdana" w:hAnsi="Verdana"/>
          <w:sz w:val="20"/>
          <w:szCs w:val="20"/>
        </w:rPr>
        <w:t>my</w:t>
      </w:r>
      <w:proofErr w:type="spellEnd"/>
      <w:r w:rsidRPr="00CD00DD">
        <w:rPr>
          <w:rFonts w:ascii="Verdana" w:hAnsi="Verdana"/>
          <w:sz w:val="20"/>
          <w:szCs w:val="20"/>
        </w:rPr>
        <w:t xml:space="preserve"> </w:t>
      </w:r>
      <w:proofErr w:type="spellStart"/>
      <w:r w:rsidRPr="00CD00DD">
        <w:rPr>
          <w:rFonts w:ascii="Verdana" w:hAnsi="Verdana"/>
          <w:sz w:val="20"/>
          <w:szCs w:val="20"/>
        </w:rPr>
        <w:t>pimes</w:t>
      </w:r>
      <w:proofErr w:type="spellEnd"/>
      <w:r>
        <w:rPr>
          <w:rFonts w:ascii="Verdana" w:hAnsi="Verdana"/>
          <w:sz w:val="20"/>
          <w:szCs w:val="20"/>
        </w:rPr>
        <w:t xml:space="preserve"> (sic)</w:t>
      </w:r>
      <w:r w:rsidRPr="00CD00DD">
        <w:rPr>
          <w:rFonts w:ascii="Verdana" w:hAnsi="Verdana"/>
          <w:sz w:val="20"/>
          <w:szCs w:val="20"/>
        </w:rPr>
        <w:t xml:space="preserve"> es subsanable dentro de un proceso.</w:t>
      </w:r>
      <w:r>
        <w:rPr>
          <w:rFonts w:ascii="Verdana" w:hAnsi="Verdana"/>
          <w:sz w:val="20"/>
          <w:szCs w:val="20"/>
        </w:rPr>
        <w:t xml:space="preserve"> </w:t>
      </w:r>
      <w:r w:rsidRPr="00CD00DD">
        <w:rPr>
          <w:rFonts w:ascii="Verdana" w:hAnsi="Verdana"/>
          <w:sz w:val="20"/>
          <w:szCs w:val="20"/>
        </w:rPr>
        <w:t xml:space="preserve">Tengo entendido que el decreto 1860 de 2021 en un parágrafo señala que solo se podrán admitir las propuestas que se certifiquen como </w:t>
      </w:r>
      <w:proofErr w:type="spellStart"/>
      <w:r w:rsidRPr="00CD00DD">
        <w:rPr>
          <w:rFonts w:ascii="Verdana" w:hAnsi="Verdana"/>
          <w:sz w:val="20"/>
          <w:szCs w:val="20"/>
        </w:rPr>
        <w:t>my</w:t>
      </w:r>
      <w:proofErr w:type="spellEnd"/>
      <w:r w:rsidRPr="00CD00DD">
        <w:rPr>
          <w:rFonts w:ascii="Verdana" w:hAnsi="Verdana"/>
          <w:sz w:val="20"/>
          <w:szCs w:val="20"/>
        </w:rPr>
        <w:t xml:space="preserve"> </w:t>
      </w:r>
      <w:proofErr w:type="spellStart"/>
      <w:r w:rsidRPr="00CD00DD">
        <w:rPr>
          <w:rFonts w:ascii="Verdana" w:hAnsi="Verdana"/>
          <w:sz w:val="20"/>
          <w:szCs w:val="20"/>
        </w:rPr>
        <w:t>pimes</w:t>
      </w:r>
      <w:proofErr w:type="spellEnd"/>
      <w:r>
        <w:rPr>
          <w:rFonts w:ascii="Verdana" w:hAnsi="Verdana"/>
          <w:sz w:val="20"/>
          <w:szCs w:val="20"/>
        </w:rPr>
        <w:t xml:space="preserve"> (sic)</w:t>
      </w:r>
      <w:r w:rsidRPr="00CD00DD">
        <w:rPr>
          <w:rFonts w:ascii="Verdana" w:hAnsi="Verdana"/>
          <w:sz w:val="20"/>
          <w:szCs w:val="20"/>
        </w:rPr>
        <w:t>, pero si en un caso particular no se allega esta certificación con la propuesta económica dentro de un proceso de minina, se le puede pedir al interesado que la subsane antes de la evaluación de las mismas o como no aporto</w:t>
      </w:r>
      <w:r>
        <w:rPr>
          <w:rFonts w:ascii="Verdana" w:hAnsi="Verdana"/>
          <w:sz w:val="20"/>
          <w:szCs w:val="20"/>
        </w:rPr>
        <w:t xml:space="preserve"> (sic)</w:t>
      </w:r>
      <w:r w:rsidRPr="00CD00DD">
        <w:rPr>
          <w:rFonts w:ascii="Verdana" w:hAnsi="Verdana"/>
          <w:sz w:val="20"/>
          <w:szCs w:val="20"/>
        </w:rPr>
        <w:t xml:space="preserve"> la certificación y la norma señala que no se tendrán en cuenta, la propuesta no se podrá tener en cuenta para evaluar</w:t>
      </w:r>
      <w:r w:rsidRPr="008E5B36">
        <w:rPr>
          <w:rFonts w:ascii="Verdana" w:hAnsi="Verdana"/>
          <w:sz w:val="20"/>
          <w:szCs w:val="20"/>
        </w:rPr>
        <w:t xml:space="preserve"> (…)”.</w:t>
      </w:r>
    </w:p>
    <w:p w14:paraId="12D52852" w14:textId="77777777" w:rsidR="00A136C1" w:rsidRPr="00A87E6E" w:rsidRDefault="00A136C1" w:rsidP="00A136C1">
      <w:pPr>
        <w:spacing w:after="0"/>
        <w:ind w:left="567" w:right="758"/>
        <w:jc w:val="both"/>
        <w:rPr>
          <w:rFonts w:ascii="Verdana" w:hAnsi="Verdana"/>
          <w:sz w:val="20"/>
          <w:szCs w:val="20"/>
        </w:rPr>
      </w:pPr>
    </w:p>
    <w:p w14:paraId="16789514" w14:textId="7D130B69" w:rsidR="00A136C1" w:rsidRPr="005644FE" w:rsidRDefault="00A136C1" w:rsidP="00A136C1">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sidR="00CA28A2">
        <w:rPr>
          <w:rFonts w:ascii="Verdana" w:eastAsia="Calibri" w:hAnsi="Verdana" w:cs="Arial"/>
          <w:color w:val="000000"/>
          <w:lang w:eastAsia="es-ES"/>
        </w:rPr>
        <w:t xml:space="preserve"> la Agencia Nacional de Contratación Pública –</w:t>
      </w:r>
      <w:r w:rsidRPr="005644FE">
        <w:rPr>
          <w:rFonts w:ascii="Verdana" w:eastAsia="Calibri" w:hAnsi="Verdana" w:cs="Arial"/>
          <w:color w:val="000000"/>
          <w:lang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494613B" w14:textId="77777777" w:rsidR="00E3472C" w:rsidRDefault="00A136C1" w:rsidP="00E3472C">
      <w:pPr>
        <w:spacing w:after="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B62FAA">
        <w:rPr>
          <w:rFonts w:ascii="Verdana" w:eastAsia="Calibri" w:hAnsi="Verdana" w:cs="Arial"/>
          <w:color w:val="000000"/>
          <w:lang w:eastAsia="es-ES"/>
        </w:rPr>
        <w:t>con los problemas jurídicos de su consulta.</w:t>
      </w:r>
      <w:r w:rsidRPr="00B62FAA">
        <w:rPr>
          <w:rFonts w:ascii="Verdana" w:eastAsia="Calibri" w:hAnsi="Verdana" w:cs="Arial"/>
          <w:lang w:eastAsia="es-ES"/>
        </w:rPr>
        <w:t xml:space="preserve"> </w:t>
      </w:r>
    </w:p>
    <w:p w14:paraId="2AFBD817" w14:textId="2BA5D976" w:rsidR="00A136C1" w:rsidRPr="00B62FAA" w:rsidRDefault="00A136C1" w:rsidP="000E6C52">
      <w:pPr>
        <w:spacing w:after="0" w:line="276" w:lineRule="auto"/>
        <w:ind w:firstLine="709"/>
        <w:jc w:val="both"/>
        <w:rPr>
          <w:rFonts w:ascii="Verdana" w:eastAsia="Calibri" w:hAnsi="Verdana" w:cs="Arial"/>
          <w:lang w:eastAsia="es-ES"/>
        </w:rPr>
      </w:pPr>
      <w:r w:rsidRPr="00B62FAA">
        <w:rPr>
          <w:rFonts w:ascii="Verdana" w:eastAsia="Calibri" w:hAnsi="Verdana" w:cs="Arial"/>
          <w:lang w:eastAsia="es-ES"/>
        </w:rPr>
        <w:t xml:space="preserve"> </w:t>
      </w:r>
    </w:p>
    <w:p w14:paraId="1A9DAA32" w14:textId="77777777" w:rsidR="00A136C1" w:rsidRPr="00B62FAA" w:rsidRDefault="00A136C1" w:rsidP="00B852A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B62FAA">
        <w:rPr>
          <w:rFonts w:ascii="Verdana" w:eastAsia="Century Gothic" w:hAnsi="Verdana" w:cs="Century Gothic"/>
          <w:b/>
          <w:bCs/>
          <w:lang w:val="es-CO"/>
        </w:rPr>
        <w:t>Problema planteado:</w:t>
      </w:r>
    </w:p>
    <w:p w14:paraId="1768FA13" w14:textId="18E10A8B" w:rsidR="00A136C1" w:rsidRDefault="00A136C1" w:rsidP="00B852A5">
      <w:pPr>
        <w:spacing w:after="0" w:line="276" w:lineRule="auto"/>
        <w:jc w:val="both"/>
        <w:rPr>
          <w:rFonts w:ascii="Verdana" w:eastAsia="Calibri" w:hAnsi="Verdana" w:cs="Arial"/>
          <w:color w:val="000000"/>
          <w:lang w:eastAsia="es-ES"/>
        </w:rPr>
      </w:pPr>
      <w:r w:rsidRPr="00B62FAA">
        <w:rPr>
          <w:rFonts w:ascii="Verdana" w:eastAsia="Calibri" w:hAnsi="Verdana" w:cs="Arial"/>
          <w:color w:val="000000"/>
          <w:lang w:eastAsia="es-ES"/>
        </w:rPr>
        <w:lastRenderedPageBreak/>
        <w:t xml:space="preserve">De acuerdo con el contenido de su solicitud, esta Agencia resolverá los siguientes problemas jurídicos: i) ¿Cuál es el alcance de la limitación a </w:t>
      </w:r>
      <w:proofErr w:type="spellStart"/>
      <w:r w:rsidRPr="00B62FAA">
        <w:rPr>
          <w:rFonts w:ascii="Verdana" w:eastAsia="Calibri" w:hAnsi="Verdana" w:cs="Arial"/>
          <w:color w:val="000000"/>
          <w:lang w:eastAsia="es-ES"/>
        </w:rPr>
        <w:t>Mipymes</w:t>
      </w:r>
      <w:proofErr w:type="spellEnd"/>
      <w:r w:rsidRPr="00B62FAA">
        <w:rPr>
          <w:rFonts w:ascii="Verdana" w:eastAsia="Calibri" w:hAnsi="Verdana" w:cs="Arial"/>
          <w:color w:val="000000"/>
          <w:lang w:eastAsia="es-ES"/>
        </w:rPr>
        <w:t xml:space="preserve"> en el</w:t>
      </w:r>
      <w:r w:rsidR="00303DC0">
        <w:rPr>
          <w:rFonts w:ascii="Verdana" w:eastAsia="Calibri" w:hAnsi="Verdana" w:cs="Arial"/>
          <w:color w:val="000000"/>
          <w:lang w:eastAsia="es-ES"/>
        </w:rPr>
        <w:t xml:space="preserve"> marco de un</w:t>
      </w:r>
      <w:r w:rsidRPr="00B62FAA">
        <w:rPr>
          <w:rFonts w:ascii="Verdana" w:eastAsia="Calibri" w:hAnsi="Verdana" w:cs="Arial"/>
          <w:color w:val="000000"/>
          <w:lang w:eastAsia="es-ES"/>
        </w:rPr>
        <w:t xml:space="preserve"> proceso de selección de mínima cuantía? </w:t>
      </w:r>
      <w:proofErr w:type="spellStart"/>
      <w:r w:rsidRPr="00B62FAA">
        <w:rPr>
          <w:rFonts w:ascii="Verdana" w:eastAsia="Calibri" w:hAnsi="Verdana" w:cs="Arial"/>
          <w:color w:val="000000"/>
          <w:lang w:eastAsia="es-ES"/>
        </w:rPr>
        <w:t>ii</w:t>
      </w:r>
      <w:proofErr w:type="spellEnd"/>
      <w:r w:rsidRPr="00B62FAA">
        <w:rPr>
          <w:rFonts w:ascii="Verdana" w:eastAsia="Calibri" w:hAnsi="Verdana" w:cs="Arial"/>
          <w:color w:val="000000"/>
          <w:lang w:eastAsia="es-ES"/>
        </w:rPr>
        <w:t xml:space="preserve">) </w:t>
      </w:r>
      <w:r w:rsidRPr="00B62FAA">
        <w:rPr>
          <w:rFonts w:ascii="Verdana" w:eastAsia="Calibri" w:hAnsi="Verdana" w:cs="Arial"/>
          <w:color w:val="000000" w:themeColor="text1"/>
          <w:lang w:eastAsia="es-ES"/>
        </w:rPr>
        <w:t xml:space="preserve">¿Cuál es el régimen de </w:t>
      </w:r>
      <w:proofErr w:type="spellStart"/>
      <w:r w:rsidRPr="00B62FAA">
        <w:rPr>
          <w:rFonts w:ascii="Verdana" w:eastAsia="Calibri" w:hAnsi="Verdana" w:cs="Arial"/>
          <w:color w:val="000000" w:themeColor="text1"/>
          <w:lang w:eastAsia="es-ES"/>
        </w:rPr>
        <w:t>subsanabilidad</w:t>
      </w:r>
      <w:proofErr w:type="spellEnd"/>
      <w:r w:rsidRPr="00B62FAA">
        <w:rPr>
          <w:rFonts w:ascii="Verdana" w:eastAsia="Calibri" w:hAnsi="Verdana" w:cs="Arial"/>
          <w:color w:val="000000" w:themeColor="text1"/>
          <w:lang w:eastAsia="es-ES"/>
        </w:rPr>
        <w:t xml:space="preserve"> en los procedimientos de selección</w:t>
      </w:r>
      <w:r w:rsidR="00B852A5">
        <w:rPr>
          <w:rFonts w:ascii="Verdana" w:eastAsia="Calibri" w:hAnsi="Verdana" w:cs="Arial"/>
          <w:color w:val="000000" w:themeColor="text1"/>
          <w:lang w:eastAsia="es-ES"/>
        </w:rPr>
        <w:t xml:space="preserve"> de mínima cuantía</w:t>
      </w:r>
      <w:r w:rsidRPr="00B62FAA">
        <w:rPr>
          <w:rFonts w:ascii="Verdana" w:eastAsia="Calibri" w:hAnsi="Verdana" w:cs="Arial"/>
          <w:color w:val="000000" w:themeColor="text1"/>
          <w:lang w:eastAsia="es-ES"/>
        </w:rPr>
        <w:t>?</w:t>
      </w:r>
      <w:r>
        <w:rPr>
          <w:rFonts w:ascii="Verdana" w:eastAsia="Calibri" w:hAnsi="Verdana" w:cs="Arial"/>
          <w:color w:val="000000"/>
          <w:lang w:eastAsia="es-ES"/>
        </w:rPr>
        <w:t xml:space="preserve"> </w:t>
      </w:r>
    </w:p>
    <w:p w14:paraId="314E6A38" w14:textId="77777777" w:rsidR="00A136C1" w:rsidRDefault="00A136C1" w:rsidP="000E6C52">
      <w:pPr>
        <w:spacing w:after="0" w:line="276" w:lineRule="auto"/>
        <w:jc w:val="both"/>
        <w:rPr>
          <w:rFonts w:ascii="Verdana" w:eastAsia="Calibri" w:hAnsi="Verdana" w:cs="Arial"/>
          <w:color w:val="000000"/>
          <w:lang w:eastAsia="es-ES"/>
        </w:rPr>
      </w:pPr>
    </w:p>
    <w:p w14:paraId="46DE9EC2" w14:textId="00C0295F" w:rsidR="00A136C1" w:rsidRDefault="00A136C1" w:rsidP="00B852A5">
      <w:pPr>
        <w:spacing w:after="0" w:line="276" w:lineRule="auto"/>
        <w:jc w:val="both"/>
        <w:rPr>
          <w:rFonts w:ascii="Verdana" w:eastAsia="Century Gothic" w:hAnsi="Verdana" w:cs="Century Gothic"/>
          <w:b/>
          <w:bCs/>
        </w:rPr>
      </w:pPr>
      <w:r>
        <w:rPr>
          <w:rFonts w:ascii="Verdana" w:eastAsia="Century Gothic" w:hAnsi="Verdana" w:cs="Century Gothic"/>
          <w:b/>
          <w:bCs/>
        </w:rPr>
        <w:t>2</w:t>
      </w:r>
      <w:r w:rsidRPr="005644FE">
        <w:rPr>
          <w:rFonts w:ascii="Verdana" w:eastAsia="Century Gothic" w:hAnsi="Verdana" w:cs="Century Gothic"/>
          <w:b/>
          <w:bCs/>
        </w:rPr>
        <w:t>. Respuesta:</w:t>
      </w:r>
    </w:p>
    <w:p w14:paraId="6AEA2204" w14:textId="77777777" w:rsidR="00B852A5" w:rsidRPr="005644FE" w:rsidRDefault="00B852A5" w:rsidP="00B852A5">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A136C1" w:rsidRPr="005644FE" w14:paraId="4FA862D7" w14:textId="77777777" w:rsidTr="002C287A">
        <w:tc>
          <w:tcPr>
            <w:tcW w:w="8828" w:type="dxa"/>
          </w:tcPr>
          <w:p w14:paraId="657D5B88" w14:textId="77777777" w:rsidR="00A136C1" w:rsidRDefault="00A136C1" w:rsidP="002C287A">
            <w:pPr>
              <w:spacing w:after="120" w:line="276" w:lineRule="auto"/>
              <w:jc w:val="both"/>
              <w:rPr>
                <w:rFonts w:ascii="Verdana" w:eastAsia="Arial" w:hAnsi="Verdana" w:cs="Arial"/>
                <w:color w:val="000000"/>
              </w:rPr>
            </w:pPr>
            <w:r>
              <w:rPr>
                <w:rFonts w:ascii="Verdana" w:eastAsia="Calibri" w:hAnsi="Verdana" w:cs="Arial"/>
                <w:bCs/>
                <w:color w:val="000000" w:themeColor="text1"/>
              </w:rPr>
              <w:t>i) E</w:t>
            </w:r>
            <w:r w:rsidRPr="00C940A9">
              <w:rPr>
                <w:rFonts w:ascii="Verdana" w:eastAsia="Arial" w:hAnsi="Verdana" w:cs="Arial"/>
                <w:color w:val="000000"/>
              </w:rPr>
              <w:t xml:space="preserve">l artículo 2.2.1.2.4.2.2. del Decreto 1082 de 2015 –modificado por el Decreto 1860 de 2021– establece los requisitos que se deben acreditar en las “convocatorias limitadas a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xml:space="preserve"> colombianas con mínimo un (1) año de existencia</w:t>
            </w:r>
            <w:r>
              <w:rPr>
                <w:rFonts w:ascii="Verdana" w:eastAsia="Arial" w:hAnsi="Verdana" w:cs="Arial"/>
                <w:color w:val="000000"/>
              </w:rPr>
              <w:t xml:space="preserve">. </w:t>
            </w:r>
          </w:p>
          <w:p w14:paraId="152D4F32" w14:textId="77777777" w:rsidR="00A136C1" w:rsidRPr="00C940A9" w:rsidRDefault="00A136C1" w:rsidP="002C287A">
            <w:pPr>
              <w:spacing w:after="120" w:line="276" w:lineRule="auto"/>
              <w:ind w:firstLine="709"/>
              <w:jc w:val="both"/>
              <w:rPr>
                <w:rFonts w:ascii="Verdana" w:eastAsia="Arial" w:hAnsi="Verdana" w:cs="Arial"/>
                <w:color w:val="000000"/>
              </w:rPr>
            </w:pPr>
            <w:r>
              <w:rPr>
                <w:rFonts w:ascii="Verdana" w:eastAsia="Arial" w:hAnsi="Verdana" w:cs="Arial"/>
                <w:color w:val="000000"/>
              </w:rPr>
              <w:t xml:space="preserve">Así mismo, </w:t>
            </w:r>
            <w:r w:rsidRPr="00C940A9">
              <w:rPr>
                <w:rFonts w:ascii="Verdana" w:eastAsia="Arial" w:hAnsi="Verdana" w:cs="Arial"/>
                <w:color w:val="000000"/>
              </w:rPr>
              <w:t xml:space="preserve">el numeral primero </w:t>
            </w:r>
            <w:r>
              <w:rPr>
                <w:rFonts w:ascii="Verdana" w:eastAsia="Arial" w:hAnsi="Verdana" w:cs="Arial"/>
                <w:color w:val="000000"/>
              </w:rPr>
              <w:t xml:space="preserve">del anterior artículo </w:t>
            </w:r>
            <w:r w:rsidRPr="00C940A9">
              <w:rPr>
                <w:rFonts w:ascii="Verdana" w:eastAsia="Arial" w:hAnsi="Verdana" w:cs="Arial"/>
                <w:color w:val="000000"/>
              </w:rPr>
              <w:t xml:space="preserve">limita cuantitativamente los procesos contractuales en los que se puede hacer esa convocatoria limitada a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xml:space="preserve">, en la medida en que el valor del proceso de contratación tendrá que ser “menor a ciento veinticinco mil dólares de los Estados Unidos de América”. </w:t>
            </w:r>
          </w:p>
          <w:p w14:paraId="0643DC07" w14:textId="77777777" w:rsidR="00A136C1" w:rsidRDefault="00A136C1" w:rsidP="002C287A">
            <w:pPr>
              <w:spacing w:after="120" w:line="276" w:lineRule="auto"/>
              <w:ind w:firstLine="709"/>
              <w:jc w:val="both"/>
              <w:rPr>
                <w:rFonts w:ascii="Verdana" w:eastAsia="Arial" w:hAnsi="Verdana" w:cs="Arial"/>
                <w:color w:val="000000"/>
                <w:lang w:val="es-ES_tradnl"/>
              </w:rPr>
            </w:pPr>
            <w:r w:rsidRPr="00C940A9">
              <w:rPr>
                <w:rFonts w:ascii="Verdana" w:eastAsia="Arial" w:hAnsi="Verdana" w:cs="Arial"/>
                <w:color w:val="000000"/>
              </w:rPr>
              <w:t xml:space="preserve">Por su parte, el numeral segundo establece dos exigencias: por un lado, que al menos dos (2)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colombianas presenten a la entidad la solicitud de limitar el proceso contractual y, por el otro, que hagan la solicitud por lo menos un día (1) hábil antes de la expedición del acto administrativo de apertura </w:t>
            </w:r>
            <w:r w:rsidRPr="00C940A9">
              <w:rPr>
                <w:rFonts w:ascii="Verdana" w:eastAsia="Arial" w:hAnsi="Verdana" w:cs="Arial"/>
                <w:color w:val="000000"/>
                <w:lang w:val="es-ES_tradnl"/>
              </w:rPr>
              <w:t xml:space="preserve">o el que haga </w:t>
            </w:r>
            <w:r w:rsidRPr="005B1F06">
              <w:rPr>
                <w:rFonts w:ascii="Verdana" w:eastAsia="Arial" w:hAnsi="Verdana" w:cs="Arial"/>
                <w:color w:val="000000"/>
                <w:lang w:val="es-ES_tradnl"/>
              </w:rPr>
              <w:t>sus veces de acuerdo con la normativa aplicable a cada proceso de contratación</w:t>
            </w:r>
            <w:r w:rsidRPr="005B1F06">
              <w:rPr>
                <w:rFonts w:ascii="Verdana" w:eastAsia="Arial" w:hAnsi="Verdana" w:cs="Arial"/>
                <w:color w:val="000000"/>
              </w:rPr>
              <w:t xml:space="preserve">. Además, la norma señala que, </w:t>
            </w:r>
            <w:r w:rsidRPr="005B1F06">
              <w:rPr>
                <w:rFonts w:ascii="Verdana" w:eastAsia="Arial" w:hAnsi="Verdana" w:cs="Arial"/>
                <w:color w:val="000000"/>
                <w:lang w:val="es-ES_tradnl"/>
              </w:rPr>
              <w:t xml:space="preserve">tratándose de personas jurídicas, las solicitudes solo las podrán realizar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siempre que estas cumplan con las condiciones señaladas en el artículo. </w:t>
            </w:r>
          </w:p>
          <w:p w14:paraId="745CA81F" w14:textId="77777777" w:rsidR="00A136C1" w:rsidRPr="005B1F06" w:rsidRDefault="00A136C1" w:rsidP="002C287A">
            <w:pPr>
              <w:spacing w:after="120" w:line="276" w:lineRule="auto"/>
              <w:ind w:firstLine="708"/>
              <w:jc w:val="both"/>
              <w:rPr>
                <w:rFonts w:ascii="Verdana" w:eastAsia="Calibri" w:hAnsi="Verdana" w:cs="Arial"/>
                <w:lang w:val="es-ES"/>
              </w:rPr>
            </w:pPr>
            <w:r w:rsidRPr="706726C8">
              <w:rPr>
                <w:rFonts w:ascii="Verdana" w:eastAsia="Calibri" w:hAnsi="Verdana" w:cs="Arial"/>
                <w:lang w:val="es-ES"/>
              </w:rPr>
              <w:t xml:space="preserve">En relación con las limitaciones territoriales </w:t>
            </w:r>
            <w:r w:rsidRPr="706726C8">
              <w:rPr>
                <w:rFonts w:ascii="Verdana" w:hAnsi="Verdana" w:cs="Arial"/>
                <w:lang w:val="es-ES"/>
              </w:rPr>
              <w:t xml:space="preserve">de las convocatorias a </w:t>
            </w:r>
            <w:proofErr w:type="spellStart"/>
            <w:r w:rsidRPr="706726C8">
              <w:rPr>
                <w:rFonts w:ascii="Verdana" w:hAnsi="Verdana" w:cs="Arial"/>
                <w:lang w:val="es-ES"/>
              </w:rPr>
              <w:t>Mipymes</w:t>
            </w:r>
            <w:proofErr w:type="spellEnd"/>
            <w:r w:rsidRPr="706726C8">
              <w:rPr>
                <w:rFonts w:ascii="Verdana" w:eastAsia="Calibri" w:hAnsi="Verdana" w:cs="Arial"/>
                <w:lang w:val="es-ES"/>
              </w:rPr>
              <w:t xml:space="preserve"> el texto del actual artículo 2.2.1.2.4.2.3, modificado por el artículo 5 del Decreto 1860 de 2021, determina que toda empresa constituida bajo las </w:t>
            </w:r>
            <w:r w:rsidRPr="706726C8">
              <w:rPr>
                <w:rFonts w:ascii="Verdana" w:eastAsia="Calibri" w:hAnsi="Verdana" w:cs="Arial"/>
                <w:lang w:val="es-ES"/>
              </w:rPr>
              <w:lastRenderedPageBreak/>
              <w:t xml:space="preserve">leyes colombianas o que tenga su domicilio principal en el territorio colombiano y, además, cumpla los criterios previstos por la Ley 590 de 2000 y el Decreto 957 de 2019, será considerada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domiciliadas en un municipio o departamento son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nacionales. En consecuencia, no es procedente distinguir entre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nacionales y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municipales o departamentales, habida cuenta que estas últimas no existen como categoría dentro del ordenamiento normativo. </w:t>
            </w:r>
          </w:p>
          <w:p w14:paraId="21AA9437" w14:textId="77777777" w:rsidR="00A136C1" w:rsidRPr="005B1F06" w:rsidRDefault="00A136C1" w:rsidP="002C287A">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lang w:val="es-ES"/>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706726C8">
              <w:rPr>
                <w:rFonts w:ascii="Verdana" w:eastAsia="Arial" w:hAnsi="Verdana" w:cs="Arial"/>
                <w:color w:val="000000"/>
                <w:lang w:val="es-ES"/>
              </w:rPr>
              <w:t>Mipymes</w:t>
            </w:r>
            <w:proofErr w:type="spellEnd"/>
            <w:r w:rsidRPr="706726C8">
              <w:rPr>
                <w:rFonts w:ascii="Verdana" w:eastAsia="Arial" w:hAnsi="Verdana" w:cs="Arial"/>
                <w:color w:val="000000"/>
                <w:lang w:val="es-ES"/>
              </w:rPr>
              <w:t xml:space="preserve">, no puede </w:t>
            </w:r>
            <w:r w:rsidRPr="706726C8">
              <w:rPr>
                <w:rFonts w:ascii="Verdana" w:eastAsia="Arial" w:hAnsi="Verdana" w:cs="Arial"/>
                <w:i/>
                <w:color w:val="000000"/>
                <w:lang w:val="es-ES"/>
              </w:rPr>
              <w:t xml:space="preserve">motu proprio </w:t>
            </w:r>
            <w:r w:rsidRPr="706726C8">
              <w:rPr>
                <w:rFonts w:ascii="Verdana" w:eastAsia="Arial" w:hAnsi="Verdana" w:cs="Arial"/>
                <w:color w:val="00000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2804CBA3" w14:textId="77777777" w:rsidR="00A136C1" w:rsidRPr="005B1F06" w:rsidRDefault="00A136C1" w:rsidP="002C287A">
            <w:pPr>
              <w:spacing w:after="120" w:line="276" w:lineRule="auto"/>
              <w:ind w:firstLine="708"/>
              <w:jc w:val="both"/>
              <w:rPr>
                <w:rFonts w:ascii="Verdana" w:hAnsi="Verdana" w:cs="Arial"/>
                <w:color w:val="000000" w:themeColor="text1"/>
              </w:rPr>
            </w:pPr>
            <w:r w:rsidRPr="005B1F06">
              <w:rPr>
                <w:rFonts w:ascii="Verdana" w:hAnsi="Verdana" w:cs="Arial"/>
                <w:color w:val="000000" w:themeColor="text1"/>
              </w:rPr>
              <w:t xml:space="preserve">Cumplidos los dos requisitos del artículo 2.2.1.2.4.2.2. </w:t>
            </w:r>
            <w:proofErr w:type="spellStart"/>
            <w:r w:rsidRPr="005B1F06">
              <w:rPr>
                <w:rFonts w:ascii="Verdana" w:hAnsi="Verdana" w:cs="Arial"/>
                <w:i/>
                <w:iCs/>
                <w:color w:val="000000" w:themeColor="text1"/>
              </w:rPr>
              <w:t>ibídem</w:t>
            </w:r>
            <w:proofErr w:type="spellEnd"/>
            <w:r w:rsidRPr="005B1F06">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─no tienen que─ decidir si limitan la convocatoria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 domiciliadas en el municipio o departamento en el que se</w:t>
            </w:r>
            <w:r w:rsidRPr="001D4AC1">
              <w:rPr>
                <w:rFonts w:ascii="Century Gothic" w:hAnsi="Century Gothic" w:cs="Arial"/>
                <w:color w:val="000000" w:themeColor="text1"/>
              </w:rPr>
              <w:t xml:space="preserve"> </w:t>
            </w:r>
            <w:r w:rsidRPr="005B1F06">
              <w:rPr>
                <w:rFonts w:ascii="Verdana" w:hAnsi="Verdana" w:cs="Arial"/>
                <w:color w:val="000000" w:themeColor="text1"/>
              </w:rPr>
              <w:t xml:space="preserve">ejecutará el contrato. Esto de acuerdo con lo establecido en artículo 2.2.1.2.4.2.3. del Decreto 1082 de 2015 </w:t>
            </w:r>
            <w:r w:rsidRPr="005B1F06">
              <w:rPr>
                <w:rFonts w:ascii="Verdana" w:eastAsia="Arial" w:hAnsi="Verdana" w:cs="Arial"/>
                <w:color w:val="000000"/>
                <w:lang w:val="es-ES_tradnl"/>
              </w:rPr>
              <w:t>modificado por el Decreto 1860 de 2021</w:t>
            </w:r>
            <w:r w:rsidRPr="005B1F06">
              <w:rPr>
                <w:rFonts w:ascii="Verdana" w:hAnsi="Verdana" w:cs="Arial"/>
                <w:color w:val="000000" w:themeColor="text1"/>
              </w:rPr>
              <w:t xml:space="preserve">, norma que se refiere a la facultad de la administración con el verbo infinitivo “poder”, no “deber”. </w:t>
            </w:r>
          </w:p>
          <w:p w14:paraId="5B04F4E5" w14:textId="77777777" w:rsidR="00A136C1" w:rsidRPr="005A75AB" w:rsidRDefault="00A136C1" w:rsidP="002C287A">
            <w:pPr>
              <w:spacing w:after="120" w:line="276" w:lineRule="auto"/>
              <w:ind w:firstLine="709"/>
              <w:jc w:val="both"/>
              <w:rPr>
                <w:rFonts w:ascii="Verdana" w:eastAsia="Calibri" w:hAnsi="Verdana" w:cs="Arial"/>
                <w:lang w:val="es-ES"/>
              </w:rPr>
            </w:pPr>
            <w:r w:rsidRPr="005A75AB">
              <w:rPr>
                <w:rFonts w:ascii="Verdana" w:eastAsia="Calibri" w:hAnsi="Verdana" w:cs="Arial"/>
                <w:lang w:val="es-ES"/>
              </w:rPr>
              <w:t xml:space="preserve">Con todo, es preciso advertir que, el ejercicio de la facultad discrecional en orden de aplicar la limitación territorial en favor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con domicilio en un municipio </w:t>
            </w:r>
            <w:r>
              <w:rPr>
                <w:rFonts w:ascii="Verdana" w:eastAsia="Calibri" w:hAnsi="Verdana" w:cs="Arial"/>
                <w:lang w:val="es-ES"/>
              </w:rPr>
              <w:t xml:space="preserve">o </w:t>
            </w:r>
            <w:r w:rsidRPr="005A75AB">
              <w:rPr>
                <w:rFonts w:ascii="Verdana" w:eastAsia="Calibri" w:hAnsi="Verdana" w:cs="Arial"/>
                <w:lang w:val="es-ES"/>
              </w:rPr>
              <w:t xml:space="preserve">en un departamento específico debe hacerse </w:t>
            </w:r>
            <w:r w:rsidRPr="005A75AB">
              <w:rPr>
                <w:rFonts w:ascii="Verdana" w:eastAsia="Calibri" w:hAnsi="Verdana" w:cs="Arial"/>
                <w:lang w:val="es-ES"/>
              </w:rPr>
              <w:lastRenderedPageBreak/>
              <w:t xml:space="preserve">dentro del marco de lo regulado por el artículo 2.2.1.2.4.2.3 </w:t>
            </w:r>
            <w:proofErr w:type="spellStart"/>
            <w:r w:rsidRPr="005A75AB">
              <w:rPr>
                <w:rFonts w:ascii="Verdana" w:eastAsia="Calibri" w:hAnsi="Verdana" w:cs="Arial"/>
                <w:i/>
                <w:iCs/>
                <w:lang w:val="es-ES"/>
              </w:rPr>
              <w:t>ejusdem</w:t>
            </w:r>
            <w:proofErr w:type="spellEnd"/>
            <w:r w:rsidRPr="005A75AB">
              <w:rPr>
                <w:rFonts w:ascii="Verdana" w:eastAsia="Calibri" w:hAnsi="Verdana" w:cs="Arial"/>
                <w:lang w:val="es-ES"/>
              </w:rPr>
              <w:t xml:space="preserve">, el cual establece como presupuesto para que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tengan su domicilio en el lugar en donde se va a ejecutar el contrato. Esto significa que, en el marco de estas convocatorias, la exigibilidad de que el domicilio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se ubique en un único municipio en particular o en alguno de los municipios que conforman un departamento en concreto, está ligada al ámbito territorial en el que se va a desarrollar el objeto contractual. </w:t>
            </w:r>
          </w:p>
          <w:p w14:paraId="6833D65F" w14:textId="77777777" w:rsidR="00A136C1" w:rsidRPr="00454513" w:rsidRDefault="00A136C1" w:rsidP="002C287A">
            <w:pPr>
              <w:spacing w:after="120" w:line="276" w:lineRule="auto"/>
              <w:ind w:firstLine="709"/>
              <w:jc w:val="both"/>
              <w:rPr>
                <w:rFonts w:ascii="Verdana" w:eastAsia="Arial" w:hAnsi="Verdana" w:cs="Arial"/>
                <w:color w:val="000000"/>
              </w:rPr>
            </w:pPr>
            <w:r w:rsidRPr="00454513">
              <w:rPr>
                <w:rFonts w:ascii="Verdana" w:eastAsia="Arial" w:hAnsi="Verdana" w:cs="Arial"/>
                <w:color w:val="000000"/>
              </w:rPr>
              <w:t xml:space="preserve">En conclusión, lo que debe adoptarse obligatoriamente es la limitación a MiPymes colombianas siempre que se cumplan las condiciones del artículo 2.2.1.2.4.2.2 del Decreto 1082 de 2015, pero no la “limitación territorial” referida en el artículo 2.2.1.2.4.2.3 </w:t>
            </w:r>
            <w:proofErr w:type="spellStart"/>
            <w:r w:rsidRPr="00454513">
              <w:rPr>
                <w:rFonts w:ascii="Verdana" w:eastAsia="Arial" w:hAnsi="Verdana" w:cs="Arial"/>
                <w:color w:val="000000"/>
              </w:rPr>
              <w:t>ibídem</w:t>
            </w:r>
            <w:proofErr w:type="spellEnd"/>
            <w:r w:rsidRPr="00454513">
              <w:rPr>
                <w:rFonts w:ascii="Verdana" w:eastAsia="Arial" w:hAnsi="Verdana" w:cs="Arial"/>
                <w:color w:val="000000"/>
              </w:rPr>
              <w:t xml:space="preserve">, pues esta es facultativa para la Entidad. Las únicas exigencias son: i) que la convocatoria esté limitada a las </w:t>
            </w:r>
            <w:proofErr w:type="spellStart"/>
            <w:r w:rsidRPr="00454513">
              <w:rPr>
                <w:rFonts w:ascii="Verdana" w:eastAsia="Arial" w:hAnsi="Verdana" w:cs="Arial"/>
                <w:color w:val="000000"/>
              </w:rPr>
              <w:t>Mipyme</w:t>
            </w:r>
            <w:proofErr w:type="spellEnd"/>
            <w:r w:rsidRPr="00454513">
              <w:rPr>
                <w:rFonts w:ascii="Verdana" w:eastAsia="Arial" w:hAnsi="Verdana" w:cs="Arial"/>
                <w:color w:val="000000"/>
              </w:rPr>
              <w:t xml:space="preserve"> colombianas “domiciliadas en los departamentos o municipios en donde se va a ejecutar el contrato” y </w:t>
            </w:r>
            <w:proofErr w:type="spellStart"/>
            <w:r w:rsidRPr="00454513">
              <w:rPr>
                <w:rFonts w:ascii="Verdana" w:eastAsia="Arial" w:hAnsi="Verdana" w:cs="Arial"/>
                <w:color w:val="000000"/>
              </w:rPr>
              <w:t>ii</w:t>
            </w:r>
            <w:proofErr w:type="spellEnd"/>
            <w:r w:rsidRPr="00454513">
              <w:rPr>
                <w:rFonts w:ascii="Verdana" w:eastAsia="Arial" w:hAnsi="Verdana" w:cs="Arial"/>
                <w:color w:val="000000"/>
              </w:rPr>
              <w:t>) que la entidad justifique su decisión con base en los “estudios del sector”. No es procedente, entonces, que sean las MiPymes las que soliciten la “limitación territorial” a la que se refiere el artículo 2.2.1.2.4.2.3 del Decreto 1082 de 2015.</w:t>
            </w:r>
          </w:p>
          <w:p w14:paraId="27B3EAE8" w14:textId="77777777" w:rsidR="00A136C1" w:rsidRDefault="00A136C1" w:rsidP="002C287A">
            <w:pPr>
              <w:spacing w:after="120" w:line="276" w:lineRule="auto"/>
              <w:jc w:val="both"/>
              <w:rPr>
                <w:rFonts w:ascii="Verdana" w:eastAsia="Times New Roman" w:hAnsi="Verdana" w:cs="Arial"/>
                <w:lang w:val="es-ES" w:eastAsia="es-ES"/>
              </w:rPr>
            </w:pPr>
            <w:proofErr w:type="spellStart"/>
            <w:r>
              <w:rPr>
                <w:rFonts w:ascii="Verdana" w:eastAsia="Calibri" w:hAnsi="Verdana" w:cs="Arial"/>
                <w:bCs/>
                <w:color w:val="000000" w:themeColor="text1"/>
              </w:rPr>
              <w:t>ii</w:t>
            </w:r>
            <w:proofErr w:type="spellEnd"/>
            <w:r>
              <w:rPr>
                <w:rFonts w:ascii="Verdana" w:eastAsia="Calibri" w:hAnsi="Verdana" w:cs="Arial"/>
                <w:bCs/>
                <w:color w:val="000000" w:themeColor="text1"/>
              </w:rPr>
              <w:t xml:space="preserve">) </w:t>
            </w: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3C478B71" w14:textId="77777777" w:rsidR="00A136C1" w:rsidRDefault="00A136C1" w:rsidP="002C287A">
            <w:pPr>
              <w:pBdr>
                <w:top w:val="nil"/>
                <w:left w:val="nil"/>
                <w:bottom w:val="nil"/>
                <w:right w:val="nil"/>
                <w:between w:val="nil"/>
              </w:pBdr>
              <w:tabs>
                <w:tab w:val="left" w:pos="284"/>
              </w:tabs>
              <w:spacing w:before="120" w:line="276" w:lineRule="auto"/>
              <w:ind w:firstLine="709"/>
              <w:jc w:val="both"/>
              <w:rPr>
                <w:rFonts w:ascii="Verdana" w:eastAsia="Arial" w:hAnsi="Verdana" w:cs="Arial"/>
                <w:color w:val="000000"/>
              </w:rPr>
            </w:pPr>
            <w:r w:rsidRPr="00C64261">
              <w:rPr>
                <w:rFonts w:ascii="Verdana" w:eastAsia="Arial" w:hAnsi="Verdana" w:cs="Arial"/>
                <w:color w:val="000000"/>
              </w:rPr>
              <w:t xml:space="preserve">El artículo 5 </w:t>
            </w:r>
            <w:r>
              <w:rPr>
                <w:rFonts w:ascii="Verdana" w:eastAsia="Arial" w:hAnsi="Verdana" w:cs="Arial"/>
                <w:color w:val="000000"/>
              </w:rPr>
              <w:t xml:space="preserve">de la Ley 1882 de 2018 </w:t>
            </w:r>
            <w:r w:rsidRPr="00C64261">
              <w:rPr>
                <w:rFonts w:ascii="Verdana" w:eastAsia="Arial" w:hAnsi="Verdana" w:cs="Arial"/>
                <w:color w:val="000000"/>
              </w:rPr>
              <w:t xml:space="preserve">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w:t>
            </w:r>
            <w:r w:rsidRPr="00C64261">
              <w:rPr>
                <w:rFonts w:ascii="Verdana" w:eastAsia="Arial" w:hAnsi="Verdana" w:cs="Arial"/>
                <w:color w:val="000000"/>
              </w:rPr>
              <w:lastRenderedPageBreak/>
              <w:t xml:space="preserve">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397EFE64" w14:textId="77777777" w:rsidR="00A136C1" w:rsidRDefault="00A136C1" w:rsidP="002C287A">
            <w:pPr>
              <w:spacing w:line="276"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w:t>
            </w:r>
          </w:p>
          <w:p w14:paraId="57F21C3E" w14:textId="77777777" w:rsidR="00A136C1" w:rsidRDefault="00A136C1" w:rsidP="002C287A">
            <w:pPr>
              <w:spacing w:before="12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7E324F29" w14:textId="77777777" w:rsidR="00A136C1" w:rsidRDefault="00A136C1" w:rsidP="002C287A">
            <w:pPr>
              <w:spacing w:before="120" w:line="276" w:lineRule="auto"/>
              <w:ind w:firstLine="709"/>
              <w:jc w:val="both"/>
              <w:rPr>
                <w:rFonts w:ascii="Verdana" w:eastAsia="Arial" w:hAnsi="Verdana" w:cs="Arial"/>
                <w:color w:val="000000"/>
              </w:rPr>
            </w:pPr>
            <w:r w:rsidRPr="00C6426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6B13D386" w14:textId="77777777" w:rsidR="00A136C1" w:rsidRDefault="00A136C1" w:rsidP="002C287A">
            <w:pPr>
              <w:spacing w:before="120" w:line="276" w:lineRule="auto"/>
              <w:ind w:firstLine="709"/>
              <w:jc w:val="both"/>
              <w:rPr>
                <w:rFonts w:ascii="Verdana" w:eastAsia="Arial" w:hAnsi="Verdana" w:cs="Arial"/>
              </w:rPr>
            </w:pPr>
            <w:r w:rsidRPr="00B36F85">
              <w:rPr>
                <w:rFonts w:ascii="Verdana" w:eastAsia="Arial" w:hAnsi="Verdana" w:cs="Arial"/>
              </w:rPr>
              <w:t xml:space="preserve">El rechazo de las ofertas y los eventos en los que proceden han sido asuntos de los que se ha ocupado la legislación nacional en materia de contratación pública, por lo que </w:t>
            </w:r>
            <w:r>
              <w:rPr>
                <w:rFonts w:ascii="Verdana" w:eastAsia="Arial" w:hAnsi="Verdana" w:cs="Arial"/>
              </w:rPr>
              <w:t>“</w:t>
            </w:r>
            <w:r w:rsidRPr="00B36F85">
              <w:rPr>
                <w:rFonts w:ascii="Verdana" w:eastAsia="Arial" w:hAnsi="Verdana" w:cs="Arial"/>
              </w:rPr>
              <w:t>la competencia de las entidades estales para establecer eventos de exclusión de propuestas es de carácter residual y restringido</w:t>
            </w:r>
            <w:r>
              <w:rPr>
                <w:rFonts w:ascii="Verdana" w:eastAsia="Arial" w:hAnsi="Verdana" w:cs="Arial"/>
              </w:rPr>
              <w:t>”</w:t>
            </w:r>
            <w:r w:rsidRPr="00B36F85">
              <w:rPr>
                <w:rFonts w:ascii="Verdana" w:eastAsia="Arial" w:hAnsi="Verdana" w:cs="Arial"/>
              </w:rPr>
              <w:t xml:space="preserve">.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w:t>
            </w:r>
            <w:r w:rsidRPr="00B36F85">
              <w:rPr>
                <w:rFonts w:ascii="Verdana" w:eastAsia="Arial" w:hAnsi="Verdana" w:cs="Arial"/>
              </w:rPr>
              <w:lastRenderedPageBreak/>
              <w:t xml:space="preserve">en los que procede su rechazo, el ejercicio de tales facultades encuentra ciertos límites en la ley y el reglamento, así como en los principios de razonabilidad y proporcionalidad.  </w:t>
            </w:r>
          </w:p>
          <w:p w14:paraId="72A6B0CA" w14:textId="77777777" w:rsidR="00A136C1" w:rsidRPr="001C79AB" w:rsidRDefault="00A136C1" w:rsidP="002C287A">
            <w:pPr>
              <w:spacing w:before="120" w:line="276" w:lineRule="auto"/>
              <w:ind w:firstLine="709"/>
              <w:jc w:val="both"/>
              <w:rPr>
                <w:rFonts w:ascii="Verdana" w:eastAsia="Arial" w:hAnsi="Verdana" w:cs="Arial"/>
                <w:color w:val="000000"/>
              </w:rPr>
            </w:pPr>
            <w:r>
              <w:rPr>
                <w:rFonts w:ascii="Verdana" w:eastAsia="Arial" w:hAnsi="Verdana" w:cs="Arial"/>
              </w:rPr>
              <w:t xml:space="preserve">En este contexto, </w:t>
            </w:r>
            <w:r w:rsidRPr="00B36F85">
              <w:rPr>
                <w:rFonts w:ascii="Verdana" w:eastAsia="Arial" w:hAnsi="Verdana" w:cs="Arial"/>
              </w:rPr>
              <w:t xml:space="preserve">existen dos </w:t>
            </w:r>
            <w:r>
              <w:rPr>
                <w:rFonts w:ascii="Verdana" w:eastAsia="Arial" w:hAnsi="Verdana" w:cs="Arial"/>
              </w:rPr>
              <w:t>eventos</w:t>
            </w:r>
            <w:r w:rsidRPr="00B36F85">
              <w:rPr>
                <w:rFonts w:ascii="Verdana" w:eastAsia="Arial" w:hAnsi="Verdana" w:cs="Arial"/>
              </w:rPr>
              <w:t xml:space="preserve"> en los </w:t>
            </w:r>
            <w:r>
              <w:rPr>
                <w:rFonts w:ascii="Verdana" w:eastAsia="Arial" w:hAnsi="Verdana" w:cs="Arial"/>
              </w:rPr>
              <w:t xml:space="preserve">cuales </w:t>
            </w:r>
            <w:r w:rsidRPr="00B36F85">
              <w:rPr>
                <w:rFonts w:ascii="Verdana" w:eastAsia="Arial" w:hAnsi="Verdana" w:cs="Arial"/>
              </w:rPr>
              <w:t xml:space="preserve">procede el rechazo de la oferta: </w:t>
            </w:r>
            <w:r>
              <w:rPr>
                <w:rFonts w:ascii="Verdana" w:eastAsia="Arial" w:hAnsi="Verdana" w:cs="Arial"/>
              </w:rPr>
              <w:t xml:space="preserve">i) cuando </w:t>
            </w:r>
            <w:r w:rsidRPr="00B36F85">
              <w:rPr>
                <w:rFonts w:ascii="Verdana" w:eastAsia="Arial" w:hAnsi="Verdana" w:cs="Arial"/>
              </w:rPr>
              <w:t>se configure alguna de las causales de rechazo originadas en la ley o</w:t>
            </w:r>
            <w:r>
              <w:rPr>
                <w:rFonts w:ascii="Verdana" w:eastAsia="Arial" w:hAnsi="Verdana" w:cs="Arial"/>
              </w:rPr>
              <w:t xml:space="preserve"> el reglamento y</w:t>
            </w:r>
            <w:r w:rsidRPr="00B36F85">
              <w:rPr>
                <w:rFonts w:ascii="Verdana" w:eastAsia="Arial" w:hAnsi="Verdana" w:cs="Arial"/>
              </w:rPr>
              <w:t xml:space="preserve"> </w:t>
            </w:r>
            <w:proofErr w:type="spellStart"/>
            <w:r>
              <w:rPr>
                <w:rFonts w:ascii="Verdana" w:eastAsia="Arial" w:hAnsi="Verdana" w:cs="Arial"/>
              </w:rPr>
              <w:t>ii</w:t>
            </w:r>
            <w:proofErr w:type="spellEnd"/>
            <w:r>
              <w:rPr>
                <w:rFonts w:ascii="Verdana" w:eastAsia="Arial" w:hAnsi="Verdana" w:cs="Arial"/>
              </w:rPr>
              <w:t xml:space="preserve">) cuando se materialicen </w:t>
            </w:r>
            <w:r w:rsidRPr="00B36F85">
              <w:rPr>
                <w:rFonts w:ascii="Verdana" w:eastAsia="Arial" w:hAnsi="Verdana" w:cs="Arial"/>
              </w:rPr>
              <w:t>las establecidas en el pliego de condiciones. En tal sentido, las causales de rechazo de la oferta serán las consagradas en la ley o</w:t>
            </w:r>
            <w:r>
              <w:rPr>
                <w:rFonts w:ascii="Verdana" w:eastAsia="Arial" w:hAnsi="Verdana" w:cs="Arial"/>
              </w:rPr>
              <w:t xml:space="preserve"> el reglamento</w:t>
            </w:r>
            <w:r w:rsidRPr="00B36F85">
              <w:rPr>
                <w:rFonts w:ascii="Verdana" w:eastAsia="Arial" w:hAnsi="Verdana" w:cs="Arial"/>
              </w:rPr>
              <w:t xml:space="preserve"> producto de su aplicación, así como las definidas por las entidades en el respectivo pliego de condiciones. </w:t>
            </w:r>
          </w:p>
          <w:p w14:paraId="7FD931FC" w14:textId="77777777" w:rsidR="00A136C1" w:rsidRDefault="00A136C1" w:rsidP="002C287A">
            <w:pPr>
              <w:widowControl w:val="0"/>
              <w:spacing w:before="120" w:line="276" w:lineRule="auto"/>
              <w:ind w:firstLine="709"/>
              <w:jc w:val="both"/>
              <w:rPr>
                <w:rFonts w:ascii="Verdana" w:eastAsia="Arial" w:hAnsi="Verdana" w:cs="Arial"/>
              </w:rPr>
            </w:pPr>
            <w:r w:rsidRPr="00B36F85">
              <w:rPr>
                <w:rFonts w:ascii="Verdana" w:eastAsia="Arial" w:hAnsi="Verdana" w:cs="Arial"/>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4A5F9372" w14:textId="77777777" w:rsidR="00A136C1" w:rsidRPr="006550E3" w:rsidRDefault="00A136C1" w:rsidP="002C287A">
            <w:pPr>
              <w:widowControl w:val="0"/>
              <w:spacing w:before="120" w:line="276" w:lineRule="auto"/>
              <w:ind w:firstLine="709"/>
              <w:jc w:val="both"/>
              <w:rPr>
                <w:rFonts w:ascii="Verdana" w:eastAsia="Arial" w:hAnsi="Verdana" w:cs="Arial"/>
              </w:rPr>
            </w:pPr>
            <w:r w:rsidRPr="004B49E2">
              <w:rPr>
                <w:rFonts w:ascii="Verdana" w:eastAsia="Arial" w:hAnsi="Verdana" w:cs="Arial"/>
                <w:lang w:val="es-E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tc>
      </w:tr>
    </w:tbl>
    <w:p w14:paraId="09E4B790" w14:textId="77777777" w:rsidR="00A136C1" w:rsidRDefault="00A136C1" w:rsidP="00303DC0">
      <w:pPr>
        <w:tabs>
          <w:tab w:val="left" w:pos="142"/>
          <w:tab w:val="left" w:pos="284"/>
        </w:tabs>
        <w:spacing w:after="0" w:line="276" w:lineRule="auto"/>
        <w:jc w:val="both"/>
        <w:rPr>
          <w:rFonts w:ascii="Verdana" w:eastAsia="Century Gothic" w:hAnsi="Verdana" w:cs="Century Gothic"/>
          <w:b/>
          <w:bCs/>
        </w:rPr>
      </w:pPr>
    </w:p>
    <w:p w14:paraId="2662C08B" w14:textId="77777777" w:rsidR="00A136C1" w:rsidRPr="005644FE" w:rsidRDefault="00A136C1" w:rsidP="00303DC0">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58154EF" w14:textId="77777777" w:rsidR="00A136C1" w:rsidRPr="005644FE" w:rsidRDefault="00A136C1" w:rsidP="000E6C52">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3DA436C2" w14:textId="77777777" w:rsidR="00A136C1" w:rsidRDefault="00A136C1" w:rsidP="00303DC0">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5FD57376" w14:textId="77777777" w:rsidR="00A136C1" w:rsidRDefault="00A136C1" w:rsidP="000E6C52">
      <w:pPr>
        <w:tabs>
          <w:tab w:val="left" w:pos="142"/>
          <w:tab w:val="left" w:pos="284"/>
        </w:tabs>
        <w:spacing w:after="0" w:line="276" w:lineRule="auto"/>
        <w:jc w:val="both"/>
        <w:rPr>
          <w:rFonts w:ascii="Verdana" w:eastAsia="Calibri" w:hAnsi="Verdana" w:cs="Arial"/>
        </w:rPr>
      </w:pPr>
    </w:p>
    <w:p w14:paraId="1ABB5E8B" w14:textId="77777777" w:rsidR="00A136C1" w:rsidRDefault="00A136C1" w:rsidP="000E6C52">
      <w:pPr>
        <w:tabs>
          <w:tab w:val="left" w:pos="142"/>
          <w:tab w:val="left" w:pos="284"/>
        </w:tabs>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 </w:t>
      </w:r>
      <w:r w:rsidRPr="00C940A9">
        <w:rPr>
          <w:rFonts w:ascii="Verdana" w:eastAsia="Calibri" w:hAnsi="Verdana" w:cs="Arial"/>
          <w:color w:val="000000" w:themeColor="text1"/>
          <w:lang w:val="es-ES"/>
        </w:rPr>
        <w:t xml:space="preserve">El artículo 30 de la Ley 2069 de 2020 modificó el numeral 5 del artículo 2 de la Ley 1150 de 2007, el cual regula el proceso de contratación a través de la </w:t>
      </w:r>
      <w:r w:rsidRPr="000E6C52">
        <w:rPr>
          <w:rFonts w:ascii="Verdana" w:eastAsia="Calibri" w:hAnsi="Verdana" w:cs="Arial"/>
          <w:i/>
          <w:iCs/>
          <w:color w:val="000000" w:themeColor="text1"/>
          <w:lang w:val="es-ES"/>
        </w:rPr>
        <w:t>mínima cuantía</w:t>
      </w:r>
      <w:r w:rsidRPr="00C940A9">
        <w:rPr>
          <w:rFonts w:ascii="Verdana" w:eastAsia="Calibri" w:hAnsi="Verdana" w:cs="Arial"/>
          <w:color w:val="000000" w:themeColor="text1"/>
          <w:lang w:val="es-ES"/>
        </w:rPr>
        <w:t>. Esta es una modalidad de selección en virtud de la cual</w:t>
      </w:r>
      <w:r>
        <w:rPr>
          <w:rFonts w:ascii="Verdana" w:eastAsia="Calibri" w:hAnsi="Verdana" w:cs="Arial"/>
          <w:color w:val="000000" w:themeColor="text1"/>
          <w:lang w:val="es-ES"/>
        </w:rPr>
        <w:t>,</w:t>
      </w:r>
      <w:r w:rsidRPr="00C940A9">
        <w:rPr>
          <w:rFonts w:ascii="Verdana" w:eastAsia="Calibri" w:hAnsi="Verdana" w:cs="Arial"/>
          <w:color w:val="000000" w:themeColor="text1"/>
          <w:lang w:val="es-ES"/>
        </w:rPr>
        <w:t xml:space="preserve"> la entidad estatal realiza una convocatoria pública para recibir ofertas de bienes, obras o servicios cuyo valor no excede el diez por ciento (10%) de la menor cuantía. El factor determinante para llevar a cabo tal procedimiento es la cuantía </w:t>
      </w:r>
      <w:r w:rsidRPr="00C940A9">
        <w:rPr>
          <w:rFonts w:ascii="Verdana" w:eastAsia="Calibri" w:hAnsi="Verdana" w:cs="Arial"/>
          <w:color w:val="000000" w:themeColor="text1"/>
          <w:lang w:val="es-ES"/>
        </w:rPr>
        <w:lastRenderedPageBreak/>
        <w:t>–calculada como presupuesto oficial a partir del estudio del sector–, independientemente de su objeto</w:t>
      </w:r>
      <w:r w:rsidRPr="00C940A9">
        <w:rPr>
          <w:rFonts w:ascii="Verdana" w:eastAsia="Calibri" w:hAnsi="Verdana" w:cs="Arial"/>
          <w:color w:val="000000" w:themeColor="text1"/>
          <w:vertAlign w:val="superscript"/>
          <w:lang w:val="es-ES"/>
        </w:rPr>
        <w:footnoteReference w:id="1"/>
      </w:r>
      <w:r w:rsidRPr="00C940A9">
        <w:rPr>
          <w:rFonts w:ascii="Verdana" w:eastAsia="Calibri" w:hAnsi="Verdana" w:cs="Arial"/>
          <w:color w:val="000000" w:themeColor="text1"/>
          <w:lang w:val="es-ES"/>
        </w:rPr>
        <w:t>.</w:t>
      </w:r>
    </w:p>
    <w:p w14:paraId="2126CAD2" w14:textId="1B1B6363" w:rsidR="00A136C1" w:rsidRDefault="00A136C1" w:rsidP="00645838">
      <w:pPr>
        <w:tabs>
          <w:tab w:val="left" w:pos="142"/>
          <w:tab w:val="left" w:pos="284"/>
        </w:tabs>
        <w:spacing w:after="120" w:line="276" w:lineRule="auto"/>
        <w:jc w:val="both"/>
        <w:rPr>
          <w:rFonts w:ascii="Verdana" w:eastAsia="Calibri" w:hAnsi="Verdana" w:cs="Arial"/>
        </w:rPr>
      </w:pPr>
      <w:r>
        <w:rPr>
          <w:rFonts w:ascii="Verdana" w:eastAsia="Calibri" w:hAnsi="Verdana" w:cs="Arial"/>
          <w:color w:val="000000" w:themeColor="text1"/>
          <w:lang w:val="es-ES"/>
        </w:rPr>
        <w:tab/>
      </w:r>
      <w:r>
        <w:rPr>
          <w:rFonts w:ascii="Verdana" w:eastAsia="Calibri" w:hAnsi="Verdana" w:cs="Arial"/>
          <w:color w:val="000000" w:themeColor="text1"/>
          <w:lang w:val="es-ES"/>
        </w:rPr>
        <w:tab/>
      </w:r>
      <w:r>
        <w:rPr>
          <w:rFonts w:ascii="Verdana" w:eastAsia="Calibri" w:hAnsi="Verdana" w:cs="Arial"/>
          <w:color w:val="000000" w:themeColor="text1"/>
          <w:lang w:val="es-ES"/>
        </w:rPr>
        <w:tab/>
      </w:r>
      <w:r w:rsidRPr="00A96FDC">
        <w:rPr>
          <w:rFonts w:ascii="Verdana" w:eastAsia="Calibri" w:hAnsi="Verdana" w:cs="Arial"/>
          <w:color w:val="000000" w:themeColor="text1"/>
          <w:lang w:val="es-ES"/>
        </w:rPr>
        <w:t xml:space="preserve">El parágrafo 1 del artículo 30 de la Ley 2069 de 2020 dispone que el reglamento que expedirá el Gobierno </w:t>
      </w:r>
      <w:r w:rsidR="00390C98" w:rsidRPr="00A96FDC">
        <w:rPr>
          <w:rFonts w:ascii="Verdana" w:eastAsia="Calibri" w:hAnsi="Verdana" w:cs="Arial"/>
          <w:color w:val="000000" w:themeColor="text1"/>
          <w:lang w:val="es-ES"/>
        </w:rPr>
        <w:t xml:space="preserve">Nacional </w:t>
      </w:r>
      <w:r w:rsidRPr="00A96FDC">
        <w:rPr>
          <w:rFonts w:ascii="Verdana" w:eastAsia="Calibri" w:hAnsi="Verdana" w:cs="Arial"/>
          <w:color w:val="000000" w:themeColor="text1"/>
          <w:lang w:val="es-ES"/>
        </w:rPr>
        <w:t xml:space="preserve">tiene como objetivo definir: i) las “particularidades del procedimiento de selección” y </w:t>
      </w:r>
      <w:proofErr w:type="spellStart"/>
      <w:r w:rsidRPr="00A96FDC">
        <w:rPr>
          <w:rFonts w:ascii="Verdana" w:eastAsia="Calibri" w:hAnsi="Verdana" w:cs="Arial"/>
          <w:color w:val="000000" w:themeColor="text1"/>
          <w:lang w:val="es-ES"/>
        </w:rPr>
        <w:t>ii</w:t>
      </w:r>
      <w:proofErr w:type="spellEnd"/>
      <w:r w:rsidRPr="00A96FDC">
        <w:rPr>
          <w:rFonts w:ascii="Verdana" w:eastAsia="Calibri" w:hAnsi="Verdana" w:cs="Arial"/>
          <w:color w:val="000000" w:themeColor="text1"/>
          <w:lang w:val="es-ES"/>
        </w:rPr>
        <w:t>) la posibilidad de realizar estas adquisiciones a MiPymes o establecimientos que correspondan a la definición de “gran almacén”.</w:t>
      </w:r>
    </w:p>
    <w:p w14:paraId="683FA956" w14:textId="77777777" w:rsidR="00A136C1" w:rsidRPr="00491EFE" w:rsidRDefault="00A136C1" w:rsidP="00645838">
      <w:pPr>
        <w:tabs>
          <w:tab w:val="left" w:pos="142"/>
          <w:tab w:val="left" w:pos="284"/>
        </w:tabs>
        <w:spacing w:after="120" w:line="276" w:lineRule="auto"/>
        <w:jc w:val="both"/>
        <w:rPr>
          <w:rFonts w:ascii="Verdana" w:eastAsia="Calibri" w:hAnsi="Verdana" w:cs="Arial"/>
          <w:color w:val="000000" w:themeColor="text1"/>
          <w:lang w:val="es-ES"/>
        </w:rPr>
      </w:pPr>
      <w:r>
        <w:rPr>
          <w:rFonts w:ascii="Verdana" w:eastAsia="Calibri" w:hAnsi="Verdana" w:cs="Arial"/>
        </w:rPr>
        <w:tab/>
      </w:r>
      <w:r>
        <w:rPr>
          <w:rFonts w:ascii="Verdana" w:eastAsia="Calibri" w:hAnsi="Verdana" w:cs="Arial"/>
        </w:rPr>
        <w:tab/>
      </w:r>
      <w:r>
        <w:rPr>
          <w:rFonts w:ascii="Verdana" w:eastAsia="Calibri" w:hAnsi="Verdana" w:cs="Arial"/>
        </w:rPr>
        <w:tab/>
      </w:r>
      <w:r w:rsidRPr="00A96FDC">
        <w:rPr>
          <w:rFonts w:ascii="Verdana" w:eastAsia="Calibri" w:hAnsi="Verdana" w:cs="Arial"/>
          <w:color w:val="000000" w:themeColor="text1"/>
          <w:lang w:val="es-ES"/>
        </w:rPr>
        <w:t xml:space="preserve">Con fundamento en lo anterior, el Gobierno Nacional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El artículo 8 ibidem sometió a un plazo la </w:t>
      </w:r>
      <w:proofErr w:type="gramStart"/>
      <w:r w:rsidRPr="00A96FDC">
        <w:rPr>
          <w:rFonts w:ascii="Verdana" w:eastAsia="Calibri" w:hAnsi="Verdana" w:cs="Arial"/>
          <w:color w:val="000000" w:themeColor="text1"/>
          <w:lang w:val="es-ES"/>
        </w:rPr>
        <w:t>entrada en vigencia</w:t>
      </w:r>
      <w:proofErr w:type="gramEnd"/>
      <w:r w:rsidRPr="00A96FDC">
        <w:rPr>
          <w:rFonts w:ascii="Verdana" w:eastAsia="Calibri" w:hAnsi="Verdana" w:cs="Arial"/>
          <w:color w:val="000000" w:themeColor="text1"/>
          <w:lang w:val="es-ES"/>
        </w:rPr>
        <w:t xml:space="preserve"> de sus disposiciones, al señalar que “aplicarán a los procedimientos de selección cuya invitación, aviso de convocatoria o documento equivalente se publique a los tres (3) meses contados a partir de su expedición”</w:t>
      </w:r>
      <w:r w:rsidRPr="00D316CA">
        <w:rPr>
          <w:rFonts w:ascii="Verdana" w:eastAsia="Calibri" w:hAnsi="Verdana" w:cs="Arial"/>
          <w:color w:val="000000" w:themeColor="text1"/>
          <w:vertAlign w:val="superscript"/>
          <w:lang w:val="es-ES"/>
        </w:rPr>
        <w:footnoteReference w:id="2"/>
      </w:r>
      <w:r w:rsidRPr="00D316CA">
        <w:rPr>
          <w:rFonts w:ascii="Verdana" w:eastAsia="Calibri" w:hAnsi="Verdana" w:cs="Arial"/>
          <w:color w:val="000000" w:themeColor="text1"/>
          <w:vertAlign w:val="superscript"/>
          <w:lang w:val="es-ES"/>
        </w:rPr>
        <w:t>.</w:t>
      </w:r>
      <w:r w:rsidRPr="00A96FDC">
        <w:rPr>
          <w:rFonts w:ascii="Verdana" w:eastAsia="Calibri" w:hAnsi="Verdana" w:cs="Arial"/>
          <w:color w:val="000000" w:themeColor="text1"/>
          <w:lang w:val="es-ES"/>
        </w:rPr>
        <w:t xml:space="preserve"> </w:t>
      </w:r>
    </w:p>
    <w:p w14:paraId="6D503A48" w14:textId="77777777" w:rsidR="00A136C1" w:rsidRPr="00491EFE" w:rsidRDefault="00A136C1" w:rsidP="00645838">
      <w:pPr>
        <w:tabs>
          <w:tab w:val="left" w:pos="142"/>
          <w:tab w:val="left" w:pos="284"/>
        </w:tabs>
        <w:spacing w:after="120" w:line="276" w:lineRule="auto"/>
        <w:ind w:firstLine="142"/>
        <w:jc w:val="both"/>
        <w:rPr>
          <w:rFonts w:ascii="Verdana" w:eastAsia="Calibri" w:hAnsi="Verdana" w:cs="Arial"/>
          <w:lang w:val="es-ES"/>
        </w:rPr>
      </w:pPr>
      <w:r>
        <w:rPr>
          <w:rFonts w:ascii="Verdana" w:eastAsia="Calibri" w:hAnsi="Verdana" w:cs="Arial"/>
          <w:lang w:val="es-ES"/>
        </w:rPr>
        <w:tab/>
      </w:r>
      <w:r>
        <w:rPr>
          <w:rFonts w:ascii="Verdana" w:eastAsia="Calibri" w:hAnsi="Verdana" w:cs="Arial"/>
          <w:lang w:val="es-ES"/>
        </w:rPr>
        <w:tab/>
      </w:r>
      <w:r w:rsidRPr="00C940A9">
        <w:rPr>
          <w:rFonts w:ascii="Verdana" w:eastAsia="Calibri" w:hAnsi="Verdana" w:cs="Arial"/>
          <w:color w:val="000000" w:themeColor="text1"/>
          <w:lang w:val="es-ES"/>
        </w:rPr>
        <w:t xml:space="preserve">Entre los aspectos reglamentados por el mencionado decreto se encuentra el procedimiento de mínima cuantía. Así las cosas,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 Teniendo en cuenta lo anterior, la nueva Subsección 5 contiene los siguientes artículos: </w:t>
      </w:r>
    </w:p>
    <w:p w14:paraId="39D8C787" w14:textId="77777777" w:rsidR="00A136C1" w:rsidRDefault="00A136C1" w:rsidP="00645838">
      <w:pPr>
        <w:shd w:val="clear" w:color="auto" w:fill="FFFFFF" w:themeFill="background1"/>
        <w:spacing w:after="120" w:line="276" w:lineRule="auto"/>
        <w:ind w:firstLine="709"/>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i) </w:t>
      </w:r>
      <w:bookmarkStart w:id="3" w:name="_Hlk194041046"/>
      <w:r>
        <w:rPr>
          <w:rFonts w:ascii="Verdana" w:eastAsia="Calibri" w:hAnsi="Verdana" w:cs="Arial"/>
          <w:color w:val="000000" w:themeColor="text1"/>
          <w:lang w:val="es-ES"/>
        </w:rPr>
        <w:t xml:space="preserve">El artículo </w:t>
      </w:r>
      <w:r w:rsidRPr="00C940A9">
        <w:rPr>
          <w:rFonts w:ascii="Verdana" w:eastAsia="Calibri" w:hAnsi="Verdana" w:cs="Arial"/>
          <w:color w:val="000000" w:themeColor="text1"/>
          <w:lang w:val="es-ES"/>
        </w:rPr>
        <w:t>2.2.1.2.1.5.1</w:t>
      </w:r>
      <w:bookmarkEnd w:id="3"/>
      <w:r w:rsidRPr="00C940A9">
        <w:rPr>
          <w:rFonts w:ascii="Verdana" w:eastAsia="Calibri" w:hAnsi="Verdana" w:cs="Arial"/>
          <w:color w:val="000000" w:themeColor="text1"/>
          <w:lang w:val="es-ES"/>
        </w:rPr>
        <w:t xml:space="preserve">. se ocupa de desarrollar el contenido de los estudios previos para la contratación de mínima cuantía. </w:t>
      </w:r>
    </w:p>
    <w:p w14:paraId="4C6B6B1F" w14:textId="77777777" w:rsidR="00A136C1" w:rsidRDefault="00A136C1" w:rsidP="00645838">
      <w:pPr>
        <w:shd w:val="clear" w:color="auto" w:fill="FFFFFF" w:themeFill="background1"/>
        <w:spacing w:after="120" w:line="276" w:lineRule="auto"/>
        <w:ind w:firstLine="709"/>
        <w:jc w:val="both"/>
        <w:textAlignment w:val="baseline"/>
        <w:rPr>
          <w:rFonts w:ascii="Verdana" w:eastAsia="Calibri" w:hAnsi="Verdana" w:cs="Arial"/>
          <w:color w:val="000000" w:themeColor="text1"/>
          <w:lang w:val="es-ES"/>
        </w:rPr>
      </w:pPr>
      <w:proofErr w:type="spellStart"/>
      <w:r w:rsidRPr="00C940A9">
        <w:rPr>
          <w:rFonts w:ascii="Verdana" w:eastAsia="Calibri" w:hAnsi="Verdana" w:cs="Arial"/>
          <w:color w:val="000000" w:themeColor="text1"/>
          <w:lang w:val="es-ES"/>
        </w:rPr>
        <w:t>ii</w:t>
      </w:r>
      <w:proofErr w:type="spellEnd"/>
      <w:r w:rsidRPr="00C940A9">
        <w:rPr>
          <w:rFonts w:ascii="Verdana" w:eastAsia="Calibri" w:hAnsi="Verdana" w:cs="Arial"/>
          <w:color w:val="000000" w:themeColor="text1"/>
          <w:lang w:val="es-ES"/>
        </w:rPr>
        <w:t xml:space="preserve">) </w:t>
      </w:r>
      <w:r>
        <w:rPr>
          <w:rFonts w:ascii="Verdana" w:eastAsia="Calibri" w:hAnsi="Verdana" w:cs="Arial"/>
          <w:color w:val="000000" w:themeColor="text1"/>
          <w:lang w:val="es-ES"/>
        </w:rPr>
        <w:t>El</w:t>
      </w:r>
      <w:r w:rsidRPr="00C940A9">
        <w:rPr>
          <w:rFonts w:ascii="Verdana" w:eastAsia="Calibri" w:hAnsi="Verdana" w:cs="Arial"/>
          <w:color w:val="000000" w:themeColor="text1"/>
          <w:lang w:val="es-ES"/>
        </w:rPr>
        <w:t xml:space="preserve"> 2.2.1.2.1.5.2. contiene el procedimiento general de la mínima cuantía, señalando el contenido mínimo de la “invitación” y las distintas etapas </w:t>
      </w:r>
      <w:r w:rsidRPr="00C940A9">
        <w:rPr>
          <w:rFonts w:ascii="Verdana" w:eastAsia="Calibri" w:hAnsi="Verdana" w:cs="Arial"/>
          <w:color w:val="000000" w:themeColor="text1"/>
          <w:lang w:val="es-ES"/>
        </w:rPr>
        <w:lastRenderedPageBreak/>
        <w:t xml:space="preserve">y reglas que estructuran esta modalidad de selección, incluyendo la forma en que procederán las convocatorias limitadas a </w:t>
      </w:r>
      <w:proofErr w:type="spellStart"/>
      <w:r w:rsidRPr="00C940A9">
        <w:rPr>
          <w:rFonts w:ascii="Verdana" w:eastAsia="Calibri" w:hAnsi="Verdana" w:cs="Arial"/>
          <w:color w:val="000000" w:themeColor="text1"/>
          <w:lang w:val="es-ES"/>
        </w:rPr>
        <w:t>Mipymes</w:t>
      </w:r>
      <w:proofErr w:type="spellEnd"/>
      <w:r w:rsidRPr="00C940A9">
        <w:rPr>
          <w:rFonts w:ascii="Verdana" w:eastAsia="Calibri" w:hAnsi="Verdana" w:cs="Arial"/>
          <w:color w:val="000000" w:themeColor="text1"/>
          <w:lang w:val="es-ES"/>
        </w:rPr>
        <w:t xml:space="preserve">, de acuerdo con el mandato del parágrafo 1 del artículo 30 de la Ley 2069 de 2020. </w:t>
      </w:r>
    </w:p>
    <w:p w14:paraId="4FF95F60" w14:textId="77777777" w:rsidR="00A136C1" w:rsidRDefault="00A136C1" w:rsidP="00645838">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proofErr w:type="spellStart"/>
      <w:r w:rsidRPr="00C940A9">
        <w:rPr>
          <w:rFonts w:ascii="Verdana" w:eastAsia="Calibri" w:hAnsi="Verdana" w:cs="Arial"/>
          <w:color w:val="000000" w:themeColor="text1"/>
          <w:lang w:val="es-ES"/>
        </w:rPr>
        <w:t>iii</w:t>
      </w:r>
      <w:proofErr w:type="spellEnd"/>
      <w:r w:rsidRPr="00C940A9">
        <w:rPr>
          <w:rFonts w:ascii="Verdana" w:eastAsia="Calibri" w:hAnsi="Verdana" w:cs="Arial"/>
          <w:color w:val="000000" w:themeColor="text1"/>
          <w:lang w:val="es-ES"/>
        </w:rPr>
        <w:t xml:space="preserve">) </w:t>
      </w:r>
      <w:r>
        <w:rPr>
          <w:rFonts w:ascii="Verdana" w:eastAsia="Calibri" w:hAnsi="Verdana" w:cs="Arial"/>
          <w:color w:val="000000" w:themeColor="text1"/>
          <w:lang w:val="es-ES"/>
        </w:rPr>
        <w:t>El</w:t>
      </w:r>
      <w:r w:rsidRPr="00C940A9">
        <w:rPr>
          <w:rFonts w:ascii="Verdana" w:eastAsia="Calibri" w:hAnsi="Verdana" w:cs="Arial"/>
          <w:color w:val="000000" w:themeColor="text1"/>
          <w:lang w:val="es-ES"/>
        </w:rPr>
        <w:t xml:space="preserve"> </w:t>
      </w:r>
      <w:bookmarkStart w:id="4" w:name="_Hlk194041070"/>
      <w:r w:rsidRPr="00C940A9">
        <w:rPr>
          <w:rFonts w:ascii="Verdana" w:eastAsia="Calibri" w:hAnsi="Verdana" w:cs="Arial"/>
          <w:color w:val="000000" w:themeColor="text1"/>
          <w:lang w:val="es-ES"/>
        </w:rPr>
        <w:t>2.2.1.2.1.5.3.</w:t>
      </w:r>
      <w:bookmarkEnd w:id="4"/>
      <w:r w:rsidRPr="00C940A9">
        <w:rPr>
          <w:rFonts w:ascii="Verdana" w:eastAsia="Calibri" w:hAnsi="Verdana" w:cs="Arial"/>
          <w:color w:val="000000" w:themeColor="text1"/>
          <w:lang w:val="es-ES"/>
        </w:rPr>
        <w:t xml:space="preserve"> </w:t>
      </w:r>
      <w:r>
        <w:rPr>
          <w:rFonts w:ascii="Verdana" w:eastAsia="Calibri" w:hAnsi="Verdana" w:cs="Arial"/>
          <w:color w:val="000000" w:themeColor="text1"/>
          <w:lang w:val="es-ES"/>
        </w:rPr>
        <w:t>r</w:t>
      </w:r>
      <w:r w:rsidRPr="00C940A9">
        <w:rPr>
          <w:rFonts w:ascii="Verdana" w:eastAsia="Calibri" w:hAnsi="Verdana" w:cs="Arial"/>
          <w:color w:val="000000" w:themeColor="text1"/>
          <w:lang w:val="es-ES"/>
        </w:rPr>
        <w:t xml:space="preserve">egula un procedimiento especial para las adquisiciones en grandes almacenes cuando se trate de mínima cuantía. </w:t>
      </w:r>
    </w:p>
    <w:p w14:paraId="2CCCBAEC" w14:textId="77777777" w:rsidR="00A136C1" w:rsidRDefault="00A136C1" w:rsidP="00645838">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proofErr w:type="spellStart"/>
      <w:r w:rsidRPr="00C940A9">
        <w:rPr>
          <w:rFonts w:ascii="Verdana" w:eastAsia="Calibri" w:hAnsi="Verdana" w:cs="Arial"/>
          <w:color w:val="000000" w:themeColor="text1"/>
          <w:lang w:val="es-ES"/>
        </w:rPr>
        <w:t>iv</w:t>
      </w:r>
      <w:proofErr w:type="spellEnd"/>
      <w:r w:rsidRPr="00C940A9">
        <w:rPr>
          <w:rFonts w:ascii="Verdana" w:eastAsia="Calibri" w:hAnsi="Verdana" w:cs="Arial"/>
          <w:color w:val="000000" w:themeColor="text1"/>
          <w:lang w:val="es-ES"/>
        </w:rPr>
        <w:t xml:space="preserve">) </w:t>
      </w:r>
      <w:r>
        <w:rPr>
          <w:rFonts w:ascii="Verdana" w:eastAsia="Calibri" w:hAnsi="Verdana" w:cs="Arial"/>
          <w:color w:val="000000" w:themeColor="text1"/>
          <w:lang w:val="es-ES"/>
        </w:rPr>
        <w:t>El artículo</w:t>
      </w:r>
      <w:r w:rsidRPr="00C940A9">
        <w:rPr>
          <w:rFonts w:ascii="Verdana" w:eastAsia="Calibri" w:hAnsi="Verdana" w:cs="Arial"/>
          <w:color w:val="000000" w:themeColor="text1"/>
          <w:lang w:val="es-ES"/>
        </w:rPr>
        <w:t xml:space="preserve"> </w:t>
      </w:r>
      <w:bookmarkStart w:id="5" w:name="_Hlk194041078"/>
      <w:r w:rsidRPr="00C940A9">
        <w:rPr>
          <w:rFonts w:ascii="Verdana" w:eastAsia="Calibri" w:hAnsi="Verdana" w:cs="Arial"/>
          <w:color w:val="000000" w:themeColor="text1"/>
          <w:lang w:val="es-ES"/>
        </w:rPr>
        <w:t xml:space="preserve">2.2.1.2.1.5.4. </w:t>
      </w:r>
      <w:bookmarkEnd w:id="5"/>
      <w:r w:rsidRPr="00C940A9">
        <w:rPr>
          <w:rFonts w:ascii="Verdana" w:eastAsia="Calibri" w:hAnsi="Verdana" w:cs="Arial"/>
          <w:color w:val="000000" w:themeColor="text1"/>
          <w:lang w:val="es-ES"/>
        </w:rPr>
        <w:t>establece la posibilidad de que</w:t>
      </w:r>
      <w:r w:rsidRPr="001D4AC1">
        <w:rPr>
          <w:rFonts w:ascii="Century Gothic" w:eastAsia="Calibri" w:hAnsi="Century Gothic" w:cs="Arial"/>
          <w:color w:val="000000" w:themeColor="text1"/>
          <w:lang w:val="es-ES"/>
        </w:rPr>
        <w:t xml:space="preserve"> </w:t>
      </w:r>
      <w:r w:rsidRPr="00C940A9">
        <w:rPr>
          <w:rFonts w:ascii="Verdana" w:eastAsia="Calibri" w:hAnsi="Verdana" w:cs="Arial"/>
          <w:color w:val="000000" w:themeColor="text1"/>
          <w:lang w:val="es-ES"/>
        </w:rPr>
        <w:t xml:space="preserve">la Agencia Nacional de Contratación Pública – Colombia Compra Eficiente defina las reglas para la utilización de instrumentos de agregación de demanda en la Tienda Virtual del Estado Colombiano para adquisiciones hasta el monto de la mínima cuantía con </w:t>
      </w:r>
      <w:proofErr w:type="spellStart"/>
      <w:r w:rsidRPr="00C940A9">
        <w:rPr>
          <w:rFonts w:ascii="Verdana" w:eastAsia="Calibri" w:hAnsi="Verdana" w:cs="Arial"/>
          <w:color w:val="000000" w:themeColor="text1"/>
          <w:lang w:val="es-ES"/>
        </w:rPr>
        <w:t>Mipymes</w:t>
      </w:r>
      <w:proofErr w:type="spellEnd"/>
      <w:r w:rsidRPr="00C940A9">
        <w:rPr>
          <w:rFonts w:ascii="Verdana" w:eastAsia="Calibri" w:hAnsi="Verdana" w:cs="Arial"/>
          <w:color w:val="000000" w:themeColor="text1"/>
          <w:lang w:val="es-ES"/>
        </w:rPr>
        <w:t xml:space="preserve"> y con grandes almacenes. </w:t>
      </w:r>
    </w:p>
    <w:p w14:paraId="452BA96E" w14:textId="77777777" w:rsidR="00A136C1" w:rsidRPr="00C940A9" w:rsidRDefault="00A136C1" w:rsidP="00645838">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v) </w:t>
      </w:r>
      <w:r>
        <w:rPr>
          <w:rFonts w:ascii="Verdana" w:eastAsia="Calibri" w:hAnsi="Verdana" w:cs="Arial"/>
          <w:color w:val="000000" w:themeColor="text1"/>
          <w:lang w:val="es-ES"/>
        </w:rPr>
        <w:t xml:space="preserve">El artículo </w:t>
      </w:r>
      <w:r w:rsidRPr="00C940A9">
        <w:rPr>
          <w:rFonts w:ascii="Verdana" w:eastAsia="Calibri" w:hAnsi="Verdana" w:cs="Arial"/>
          <w:color w:val="000000" w:themeColor="text1"/>
          <w:lang w:val="es-ES"/>
        </w:rPr>
        <w:t xml:space="preserve">2.2.1.2.1.5.5. </w:t>
      </w:r>
      <w:r>
        <w:rPr>
          <w:rFonts w:ascii="Verdana" w:eastAsia="Calibri" w:hAnsi="Verdana" w:cs="Arial"/>
          <w:color w:val="000000" w:themeColor="text1"/>
          <w:lang w:val="es-ES"/>
        </w:rPr>
        <w:t>define</w:t>
      </w:r>
      <w:r w:rsidRPr="00C940A9">
        <w:rPr>
          <w:rFonts w:ascii="Verdana" w:eastAsia="Calibri" w:hAnsi="Verdana" w:cs="Arial"/>
          <w:color w:val="000000" w:themeColor="text1"/>
          <w:lang w:val="es-ES"/>
        </w:rPr>
        <w:t xml:space="preserve"> que la entidad estatal es libre de exigir o no garantías en el proceso de selección de mínima cuantía y en la adquisición de “grandes almacenes”.</w:t>
      </w:r>
    </w:p>
    <w:p w14:paraId="370FB58E" w14:textId="77777777" w:rsidR="00A136C1" w:rsidRPr="00C940A9" w:rsidRDefault="00A136C1" w:rsidP="00645838">
      <w:pPr>
        <w:spacing w:after="120" w:line="276" w:lineRule="auto"/>
        <w:ind w:firstLine="709"/>
        <w:jc w:val="both"/>
        <w:rPr>
          <w:rFonts w:ascii="Verdana" w:hAnsi="Verdana" w:cs="Arial"/>
          <w:bCs/>
          <w:lang w:eastAsia="es-ES"/>
        </w:rPr>
      </w:pPr>
      <w:r w:rsidRPr="00C940A9">
        <w:rPr>
          <w:rFonts w:ascii="Verdana" w:hAnsi="Verdana" w:cs="Arial"/>
          <w:bCs/>
          <w:lang w:val="es-ES_tradnl" w:eastAsia="es-ES"/>
        </w:rPr>
        <w:t xml:space="preserve">Ahora bien, el artículo 5 del Decreto 1860 de 2021 modificó </w:t>
      </w:r>
      <w:r w:rsidRPr="00C940A9">
        <w:rPr>
          <w:rFonts w:ascii="Verdana" w:hAnsi="Verdana" w:cs="Arial"/>
          <w:bCs/>
          <w:lang w:eastAsia="es-ES"/>
        </w:rPr>
        <w:t xml:space="preserve">los artículos </w:t>
      </w:r>
      <w:bookmarkStart w:id="6" w:name="_Hlk194041112"/>
      <w:r w:rsidRPr="00C940A9">
        <w:rPr>
          <w:rFonts w:ascii="Verdana" w:hAnsi="Verdana" w:cs="Arial"/>
          <w:bCs/>
          <w:lang w:eastAsia="es-ES"/>
        </w:rPr>
        <w:t>2.2.1.2.4.2.2., 2.2.1.2.4.2.3. y 2.2.1.2.4.2.4</w:t>
      </w:r>
      <w:bookmarkEnd w:id="6"/>
      <w:r w:rsidRPr="00C940A9">
        <w:rPr>
          <w:rFonts w:ascii="Verdana" w:hAnsi="Verdana" w:cs="Arial"/>
          <w:bCs/>
          <w:lang w:eastAsia="es-ES"/>
        </w:rPr>
        <w:t>. de la Subsección 2 de la Sección 4 del Capítulo 2 del Título 1 de la Parte 2 del Libro 2 del Decreto 1082 de 2015, reglamentando</w:t>
      </w:r>
      <w:r w:rsidRPr="00C940A9">
        <w:rPr>
          <w:rFonts w:ascii="Verdana" w:hAnsi="Verdana" w:cs="Arial"/>
          <w:bCs/>
          <w:lang w:val="es-ES_tradnl" w:eastAsia="es-ES"/>
        </w:rPr>
        <w:t xml:space="preserve"> las convocatorias limitadas a </w:t>
      </w:r>
      <w:proofErr w:type="spellStart"/>
      <w:r w:rsidRPr="00C940A9">
        <w:rPr>
          <w:rFonts w:ascii="Verdana" w:hAnsi="Verdana" w:cs="Arial"/>
          <w:bCs/>
          <w:lang w:val="es-ES_tradnl" w:eastAsia="es-ES"/>
        </w:rPr>
        <w:t>Mipyme</w:t>
      </w:r>
      <w:proofErr w:type="spellEnd"/>
      <w:r w:rsidRPr="00C940A9">
        <w:rPr>
          <w:rFonts w:ascii="Verdana" w:hAnsi="Verdana" w:cs="Arial"/>
          <w:bCs/>
          <w:lang w:val="es-ES_tradnl" w:eastAsia="es-ES"/>
        </w:rPr>
        <w:t xml:space="preserve">, con fundamento en lo establecido en el artículo 34 de la Ley 2069 de 2020. Esta nueva Subsección 2 contempla los siguientes aspectos: i) requisitos para limitar la convocatoria de los </w:t>
      </w:r>
      <w:r w:rsidRPr="00C940A9">
        <w:rPr>
          <w:rFonts w:ascii="Verdana" w:hAnsi="Verdana" w:cs="Arial"/>
          <w:bCs/>
          <w:lang w:eastAsia="es-ES"/>
        </w:rPr>
        <w:t>procesos de contratación con pluralidad de oferentes</w:t>
      </w:r>
      <w:r w:rsidRPr="00C940A9">
        <w:rPr>
          <w:rFonts w:ascii="Verdana" w:hAnsi="Verdana" w:cs="Arial"/>
          <w:bCs/>
          <w:lang w:val="es-ES_tradnl" w:eastAsia="es-ES"/>
        </w:rPr>
        <w:t xml:space="preserve"> a las </w:t>
      </w:r>
      <w:proofErr w:type="spellStart"/>
      <w:r w:rsidRPr="00C940A9">
        <w:rPr>
          <w:rFonts w:ascii="Verdana" w:hAnsi="Verdana" w:cs="Arial"/>
          <w:bCs/>
          <w:lang w:val="es-ES_tradnl" w:eastAsia="es-ES"/>
        </w:rPr>
        <w:t>Mipyme</w:t>
      </w:r>
      <w:proofErr w:type="spellEnd"/>
      <w:r w:rsidRPr="00C940A9">
        <w:rPr>
          <w:rFonts w:ascii="Verdana" w:hAnsi="Verdana" w:cs="Arial"/>
          <w:bCs/>
          <w:lang w:val="es-ES_tradnl" w:eastAsia="es-ES"/>
        </w:rPr>
        <w:t xml:space="preserve"> colombianas con mínimo un (1) año de existencia – artículo </w:t>
      </w:r>
      <w:r w:rsidRPr="00C940A9">
        <w:rPr>
          <w:rFonts w:ascii="Verdana" w:hAnsi="Verdana" w:cs="Arial"/>
          <w:bCs/>
          <w:lang w:eastAsia="es-ES"/>
        </w:rPr>
        <w:t>2.2.1.2.4.2.2-</w:t>
      </w:r>
      <w:r w:rsidRPr="00C940A9">
        <w:rPr>
          <w:rFonts w:ascii="Verdana" w:hAnsi="Verdana" w:cs="Arial"/>
          <w:bCs/>
          <w:lang w:val="es-ES_tradnl" w:eastAsia="es-ES"/>
        </w:rPr>
        <w:t xml:space="preserve"> , </w:t>
      </w:r>
      <w:proofErr w:type="spellStart"/>
      <w:r w:rsidRPr="00C940A9">
        <w:rPr>
          <w:rFonts w:ascii="Verdana" w:hAnsi="Verdana" w:cs="Arial"/>
          <w:bCs/>
          <w:lang w:val="es-ES_tradnl" w:eastAsia="es-ES"/>
        </w:rPr>
        <w:t>ii</w:t>
      </w:r>
      <w:proofErr w:type="spellEnd"/>
      <w:r w:rsidRPr="00C940A9">
        <w:rPr>
          <w:rFonts w:ascii="Verdana" w:hAnsi="Verdana" w:cs="Arial"/>
          <w:bCs/>
          <w:lang w:val="es-ES_tradnl" w:eastAsia="es-ES"/>
        </w:rPr>
        <w:t xml:space="preserve">) desarrolla las </w:t>
      </w:r>
      <w:r w:rsidRPr="00C940A9">
        <w:rPr>
          <w:rFonts w:ascii="Verdana" w:hAnsi="Verdana" w:cs="Arial"/>
          <w:bCs/>
          <w:lang w:eastAsia="es-ES"/>
        </w:rPr>
        <w:t xml:space="preserve">convocatorias limitadas a </w:t>
      </w:r>
      <w:proofErr w:type="spellStart"/>
      <w:r w:rsidRPr="00C940A9">
        <w:rPr>
          <w:rFonts w:ascii="Verdana" w:hAnsi="Verdana" w:cs="Arial"/>
          <w:bCs/>
          <w:lang w:eastAsia="es-ES"/>
        </w:rPr>
        <w:t>Mipyme</w:t>
      </w:r>
      <w:proofErr w:type="spellEnd"/>
      <w:r w:rsidRPr="00C940A9">
        <w:rPr>
          <w:rFonts w:ascii="Verdana" w:hAnsi="Verdana" w:cs="Arial"/>
          <w:bCs/>
          <w:lang w:eastAsia="es-ES"/>
        </w:rPr>
        <w:t xml:space="preserve"> colombianas que tengan domicilio en los departamentos o municipios en donde se va a ejecutar el contrato – artículo 2.2.1.2.4.2.3.,</w:t>
      </w:r>
      <w:r w:rsidRPr="00C940A9">
        <w:rPr>
          <w:rFonts w:ascii="Verdana" w:hAnsi="Verdana" w:cs="Arial"/>
          <w:bCs/>
          <w:lang w:val="es-ES_tradnl" w:eastAsia="es-ES"/>
        </w:rPr>
        <w:t xml:space="preserve"> y </w:t>
      </w:r>
      <w:proofErr w:type="spellStart"/>
      <w:r w:rsidRPr="00C940A9">
        <w:rPr>
          <w:rFonts w:ascii="Verdana" w:hAnsi="Verdana" w:cs="Arial"/>
          <w:bCs/>
          <w:lang w:val="es-ES_tradnl" w:eastAsia="es-ES"/>
        </w:rPr>
        <w:t>iii</w:t>
      </w:r>
      <w:proofErr w:type="spellEnd"/>
      <w:r w:rsidRPr="00C940A9">
        <w:rPr>
          <w:rFonts w:ascii="Verdana" w:hAnsi="Verdana" w:cs="Arial"/>
          <w:bCs/>
          <w:lang w:val="es-ES_tradnl" w:eastAsia="es-ES"/>
        </w:rPr>
        <w:t xml:space="preserve">) </w:t>
      </w:r>
      <w:r w:rsidRPr="00C940A9">
        <w:rPr>
          <w:rFonts w:ascii="Verdana" w:hAnsi="Verdana" w:cs="Arial"/>
          <w:bCs/>
          <w:lang w:eastAsia="es-ES"/>
        </w:rPr>
        <w:t>regula la acreditación de requisitos para participar en convocatorias limitadas – artículo 2.2.1.2.4.2.4-</w:t>
      </w:r>
      <w:r>
        <w:rPr>
          <w:rFonts w:ascii="Verdana" w:hAnsi="Verdana" w:cs="Arial"/>
          <w:bCs/>
          <w:lang w:eastAsia="es-ES"/>
        </w:rPr>
        <w:t>.</w:t>
      </w:r>
    </w:p>
    <w:p w14:paraId="70B4E532" w14:textId="4B8182CF" w:rsidR="00A136C1" w:rsidRPr="00C940A9" w:rsidRDefault="00A136C1" w:rsidP="00645838">
      <w:pPr>
        <w:spacing w:after="120" w:line="276" w:lineRule="auto"/>
        <w:ind w:firstLine="709"/>
        <w:jc w:val="both"/>
        <w:rPr>
          <w:rFonts w:ascii="Verdana" w:hAnsi="Verdana" w:cs="Arial"/>
          <w:lang w:val="es-ES" w:eastAsia="es-ES"/>
        </w:rPr>
      </w:pPr>
      <w:r w:rsidRPr="00C940A9">
        <w:rPr>
          <w:rFonts w:ascii="Verdana" w:hAnsi="Verdana" w:cs="Arial"/>
          <w:lang w:val="es-ES" w:eastAsia="es-ES"/>
        </w:rPr>
        <w:t xml:space="preserve">De esta </w:t>
      </w:r>
      <w:r w:rsidRPr="00CF430A">
        <w:rPr>
          <w:rFonts w:ascii="Verdana" w:hAnsi="Verdana" w:cs="Arial"/>
          <w:lang w:val="es-ES" w:eastAsia="es-ES"/>
        </w:rPr>
        <w:t xml:space="preserve">manera, el artículo 5 del Decreto 1860 de 2021, que modifica los artículos del Decreto 1082 de 2015 expuestos en el párrafo anterior, constituye la nueva reglamentación del artículo 34 de la Ley 2069 de 2020, al desarrollar las reglas aplicables a las convocatorias limitadas a </w:t>
      </w:r>
      <w:proofErr w:type="spellStart"/>
      <w:r w:rsidRPr="00CF430A">
        <w:rPr>
          <w:rFonts w:ascii="Verdana" w:hAnsi="Verdana" w:cs="Arial"/>
          <w:lang w:val="es-ES" w:eastAsia="es-ES"/>
        </w:rPr>
        <w:t>Mipyme</w:t>
      </w:r>
      <w:proofErr w:type="spellEnd"/>
      <w:r w:rsidRPr="00CF430A">
        <w:rPr>
          <w:rFonts w:ascii="Verdana" w:hAnsi="Verdana" w:cs="Arial"/>
          <w:lang w:val="es-ES" w:eastAsia="es-ES"/>
        </w:rPr>
        <w:t>,</w:t>
      </w:r>
      <w:r w:rsidRPr="00CF430A">
        <w:rPr>
          <w:rFonts w:ascii="Verdana" w:eastAsia="Calibri" w:hAnsi="Verdana" w:cs="Arial"/>
          <w:lang w:val="es-ES"/>
        </w:rPr>
        <w:t xml:space="preserve"> </w:t>
      </w:r>
      <w:r w:rsidRPr="00CF430A">
        <w:rPr>
          <w:rFonts w:ascii="Verdana" w:hAnsi="Verdana" w:cs="Arial"/>
          <w:lang w:val="es-ES" w:eastAsia="es-ES"/>
        </w:rPr>
        <w:t xml:space="preserve">disposición que entró a regir desde el 24 de marzo de 2022, pues, como se indicó, </w:t>
      </w:r>
      <w:r w:rsidRPr="00CF430A">
        <w:rPr>
          <w:rFonts w:ascii="Verdana" w:eastAsia="Calibri" w:hAnsi="Verdana" w:cs="Arial"/>
          <w:lang w:val="es-ES"/>
        </w:rPr>
        <w:t xml:space="preserve">el artículo 8 de dicho decreto sometió su vigencia al transcurso del periodo de </w:t>
      </w:r>
      <w:r w:rsidR="005F7FC8">
        <w:rPr>
          <w:rFonts w:ascii="Verdana" w:eastAsia="Calibri" w:hAnsi="Verdana" w:cs="Arial"/>
          <w:lang w:val="es-ES"/>
        </w:rPr>
        <w:t>tres (</w:t>
      </w:r>
      <w:r w:rsidRPr="00CF430A">
        <w:rPr>
          <w:rFonts w:ascii="Verdana" w:eastAsia="Calibri" w:hAnsi="Verdana" w:cs="Arial"/>
          <w:lang w:val="es-ES"/>
        </w:rPr>
        <w:t>3</w:t>
      </w:r>
      <w:r w:rsidR="005F7FC8">
        <w:rPr>
          <w:rFonts w:ascii="Verdana" w:eastAsia="Calibri" w:hAnsi="Verdana" w:cs="Arial"/>
          <w:lang w:val="es-ES"/>
        </w:rPr>
        <w:t>)</w:t>
      </w:r>
      <w:r w:rsidRPr="00CF430A">
        <w:rPr>
          <w:rFonts w:ascii="Verdana" w:eastAsia="Calibri" w:hAnsi="Verdana" w:cs="Arial"/>
          <w:lang w:val="es-ES"/>
        </w:rPr>
        <w:t xml:space="preserve"> meses siguientes a su expedición.</w:t>
      </w:r>
    </w:p>
    <w:p w14:paraId="66C99C7B" w14:textId="77777777" w:rsidR="00A136C1" w:rsidRDefault="00A136C1" w:rsidP="005F7FC8">
      <w:pPr>
        <w:spacing w:after="0" w:line="276" w:lineRule="auto"/>
        <w:ind w:firstLine="709"/>
        <w:jc w:val="both"/>
        <w:rPr>
          <w:rFonts w:ascii="Verdana" w:eastAsia="Arial" w:hAnsi="Verdana" w:cs="Arial"/>
          <w:color w:val="000000"/>
        </w:rPr>
      </w:pPr>
      <w:r w:rsidRPr="00C940A9">
        <w:rPr>
          <w:rFonts w:ascii="Verdana" w:eastAsia="Arial" w:hAnsi="Verdana" w:cs="Arial"/>
          <w:color w:val="000000"/>
        </w:rPr>
        <w:t xml:space="preserve">En este contexto, el artículo 2.2.1.2.4.2.2. del Decreto 1082 de 2015 –modificado por el Decreto 1860 de 2021– establece los requisitos que se deben </w:t>
      </w:r>
      <w:r w:rsidRPr="00C940A9">
        <w:rPr>
          <w:rFonts w:ascii="Verdana" w:eastAsia="Arial" w:hAnsi="Verdana" w:cs="Arial"/>
          <w:color w:val="000000"/>
        </w:rPr>
        <w:lastRenderedPageBreak/>
        <w:t xml:space="preserve">acreditar en las “convocatorias limitadas a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xml:space="preserve"> colombianas con mínimo un (1) año de existencia, siempre que se cumplan los requisitos señalados allí. Al respecto indica lo siguiente: </w:t>
      </w:r>
    </w:p>
    <w:p w14:paraId="2784A943" w14:textId="77777777" w:rsidR="005F7FC8" w:rsidRPr="00491EFE" w:rsidRDefault="005F7FC8" w:rsidP="008F6693">
      <w:pPr>
        <w:spacing w:after="0" w:line="240" w:lineRule="auto"/>
        <w:ind w:firstLine="709"/>
        <w:jc w:val="both"/>
        <w:rPr>
          <w:rFonts w:ascii="Verdana" w:eastAsia="Arial" w:hAnsi="Verdana" w:cs="Arial"/>
          <w:color w:val="000000"/>
        </w:rPr>
      </w:pPr>
    </w:p>
    <w:p w14:paraId="5F851B7C" w14:textId="77777777" w:rsidR="00A136C1" w:rsidRPr="00C940A9" w:rsidRDefault="00A136C1" w:rsidP="00A136C1">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Pr="00C940A9">
        <w:rPr>
          <w:rFonts w:ascii="Verdana" w:eastAsia="Calibri" w:hAnsi="Verdana" w:cs="Arial"/>
          <w:sz w:val="20"/>
          <w:szCs w:val="20"/>
          <w:lang w:val="es-ES"/>
        </w:rPr>
        <w:t xml:space="preserve">Artículo 2.2.1.2.4.2.2. Convocatorias Imitadas a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con mínimo un (1) año de existencia, cuando concurran los siguientes requisitos: </w:t>
      </w:r>
    </w:p>
    <w:p w14:paraId="107C471B" w14:textId="77777777" w:rsidR="00A136C1" w:rsidRPr="00C940A9" w:rsidRDefault="00A136C1" w:rsidP="00A136C1">
      <w:pPr>
        <w:spacing w:after="0" w:line="240" w:lineRule="auto"/>
        <w:ind w:left="709" w:right="709"/>
        <w:jc w:val="both"/>
        <w:rPr>
          <w:rFonts w:ascii="Verdana" w:eastAsia="Calibri" w:hAnsi="Verdana" w:cs="Arial"/>
          <w:sz w:val="20"/>
          <w:szCs w:val="20"/>
          <w:lang w:val="es-ES"/>
        </w:rPr>
      </w:pPr>
    </w:p>
    <w:p w14:paraId="0AC08F3C" w14:textId="77777777" w:rsidR="00A136C1" w:rsidRPr="00C940A9" w:rsidRDefault="00A136C1" w:rsidP="00A136C1">
      <w:pPr>
        <w:spacing w:after="0" w:line="240" w:lineRule="auto"/>
        <w:ind w:left="709" w:right="709"/>
        <w:jc w:val="both"/>
        <w:rPr>
          <w:rFonts w:ascii="Verdana" w:eastAsia="Calibri" w:hAnsi="Verdana" w:cs="Arial"/>
          <w:sz w:val="20"/>
          <w:szCs w:val="20"/>
          <w:lang w:val="es-ES_tradnl"/>
        </w:rPr>
      </w:pPr>
      <w:r w:rsidRPr="00C940A9">
        <w:rPr>
          <w:rFonts w:ascii="Verdana" w:eastAsia="Calibri" w:hAnsi="Verdana" w:cs="Arial"/>
          <w:sz w:val="20"/>
          <w:szCs w:val="20"/>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18439BA9" w14:textId="77777777" w:rsidR="00A136C1" w:rsidRDefault="00A136C1" w:rsidP="00A136C1">
      <w:pPr>
        <w:spacing w:after="0" w:line="240" w:lineRule="auto"/>
        <w:ind w:left="709" w:right="709"/>
        <w:jc w:val="both"/>
        <w:rPr>
          <w:rFonts w:ascii="Verdana" w:eastAsia="Calibri" w:hAnsi="Verdana" w:cs="Arial"/>
          <w:sz w:val="20"/>
          <w:szCs w:val="20"/>
          <w:lang w:val="es-ES"/>
        </w:rPr>
      </w:pPr>
    </w:p>
    <w:p w14:paraId="74B751F9" w14:textId="77777777" w:rsidR="00A136C1" w:rsidRPr="00C940A9" w:rsidRDefault="00A136C1" w:rsidP="00A136C1">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 xml:space="preserve">2. Se hayan recibido solicitudes de por lo menos dos (2)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para limitar la convocatoria a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cuyo objeto social les permita ejecutar el contrato relacionado con el proceso contractual.</w:t>
      </w:r>
    </w:p>
    <w:p w14:paraId="37D0A469" w14:textId="77777777" w:rsidR="00A136C1" w:rsidRPr="00C940A9" w:rsidRDefault="00A136C1" w:rsidP="00A136C1">
      <w:pPr>
        <w:spacing w:after="0" w:line="240" w:lineRule="auto"/>
        <w:ind w:left="709" w:right="709"/>
        <w:jc w:val="both"/>
        <w:rPr>
          <w:rFonts w:ascii="Verdana" w:eastAsia="Calibri" w:hAnsi="Verdana" w:cs="Arial"/>
          <w:sz w:val="20"/>
          <w:szCs w:val="20"/>
          <w:lang w:val="es-ES"/>
        </w:rPr>
      </w:pPr>
    </w:p>
    <w:p w14:paraId="5A4019CC" w14:textId="77777777" w:rsidR="00A136C1" w:rsidRPr="00C940A9" w:rsidRDefault="00A136C1" w:rsidP="00A136C1">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 xml:space="preserve">Parágrafo. Las cooperativas y demás entidades de economía solidaria, siempre que tengan la calidad de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podrán solicitar y participar en las convocatorias limitadas en las mismas condiciones dispuestas en el presente artículo</w:t>
      </w:r>
      <w:r>
        <w:rPr>
          <w:rFonts w:ascii="Verdana" w:eastAsia="Calibri" w:hAnsi="Verdana" w:cs="Arial"/>
          <w:sz w:val="20"/>
          <w:szCs w:val="20"/>
          <w:lang w:val="es-ES"/>
        </w:rPr>
        <w:t>”</w:t>
      </w:r>
      <w:r w:rsidRPr="00C940A9">
        <w:rPr>
          <w:rFonts w:ascii="Verdana" w:eastAsia="Calibri" w:hAnsi="Verdana" w:cs="Arial"/>
          <w:sz w:val="20"/>
          <w:szCs w:val="20"/>
          <w:lang w:val="es-ES"/>
        </w:rPr>
        <w:t>.</w:t>
      </w:r>
    </w:p>
    <w:p w14:paraId="682A9627" w14:textId="77777777" w:rsidR="00A136C1" w:rsidRPr="001D4AC1" w:rsidRDefault="00A136C1" w:rsidP="00A136C1">
      <w:pPr>
        <w:spacing w:after="0"/>
        <w:ind w:left="709" w:right="709"/>
        <w:jc w:val="both"/>
        <w:rPr>
          <w:rFonts w:ascii="Century Gothic" w:eastAsia="Arial" w:hAnsi="Century Gothic" w:cs="Arial"/>
          <w:color w:val="000000"/>
        </w:rPr>
      </w:pPr>
    </w:p>
    <w:p w14:paraId="44CF375A" w14:textId="77777777" w:rsidR="00A136C1" w:rsidRPr="00C940A9" w:rsidRDefault="00A136C1" w:rsidP="00A136C1">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Según se evidencia, el numeral primero limita cuantitativamente los procesos contractuales en los que se puede hacer esa convocatoria limitada a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xml:space="preserve">, en la medida en que el valor del proceso de contratación tendrá que ser “menor a ciento veinticinco mil dólares de los Estados Unidos de América”. Esta limitante, valga la pena aclarar, es establecida de acuerdo con la tasa que, </w:t>
      </w:r>
      <w:r w:rsidRPr="00C940A9">
        <w:rPr>
          <w:rFonts w:ascii="Verdana" w:eastAsia="Arial" w:hAnsi="Verdana" w:cs="Arial"/>
          <w:color w:val="000000"/>
        </w:rPr>
        <w:lastRenderedPageBreak/>
        <w:t>para el efecto, determine cada dos años el Ministerio de Comercio, Industria y Turismo</w:t>
      </w:r>
      <w:r w:rsidRPr="00C940A9">
        <w:rPr>
          <w:rStyle w:val="Refdenotaalpie"/>
          <w:rFonts w:ascii="Verdana" w:eastAsia="Arial" w:hAnsi="Verdana" w:cs="Arial"/>
          <w:color w:val="000000"/>
        </w:rPr>
        <w:footnoteReference w:id="3"/>
      </w:r>
      <w:r w:rsidRPr="00C940A9">
        <w:rPr>
          <w:rFonts w:ascii="Verdana" w:eastAsia="Arial" w:hAnsi="Verdana" w:cs="Arial"/>
          <w:color w:val="000000"/>
        </w:rPr>
        <w:t xml:space="preserve">. </w:t>
      </w:r>
    </w:p>
    <w:p w14:paraId="5C8B41B9" w14:textId="77777777" w:rsidR="00A136C1" w:rsidRPr="005B1F06" w:rsidRDefault="00A136C1" w:rsidP="00A136C1">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Por su parte, el numeral segundo establece dos exigencias: por un lado, que al menos dos (2)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colombianas presenten a la entidad la solicitud de limitar el proceso contractual y, por el otro, que hagan la solicitud por lo menos un día (1) hábil antes de la expedición del acto administrativo de apertura </w:t>
      </w:r>
      <w:r w:rsidRPr="00C940A9">
        <w:rPr>
          <w:rFonts w:ascii="Verdana" w:eastAsia="Arial" w:hAnsi="Verdana" w:cs="Arial"/>
          <w:color w:val="000000"/>
          <w:lang w:val="es-ES_tradnl"/>
        </w:rPr>
        <w:t xml:space="preserve">o el que haga </w:t>
      </w:r>
      <w:r w:rsidRPr="005B1F06">
        <w:rPr>
          <w:rFonts w:ascii="Verdana" w:eastAsia="Arial" w:hAnsi="Verdana" w:cs="Arial"/>
          <w:color w:val="000000"/>
          <w:lang w:val="es-ES_tradnl"/>
        </w:rPr>
        <w:t>sus veces de acuerdo con la normativa aplicable a cada proceso de contratación</w:t>
      </w:r>
      <w:r w:rsidRPr="005B1F06">
        <w:rPr>
          <w:rFonts w:ascii="Verdana" w:eastAsia="Arial" w:hAnsi="Verdana" w:cs="Arial"/>
          <w:color w:val="000000"/>
        </w:rPr>
        <w:t xml:space="preserve">. Además, la norma señala que, </w:t>
      </w:r>
      <w:r w:rsidRPr="005B1F06">
        <w:rPr>
          <w:rFonts w:ascii="Verdana" w:eastAsia="Arial" w:hAnsi="Verdana" w:cs="Arial"/>
          <w:color w:val="000000"/>
          <w:lang w:val="es-ES_tradnl"/>
        </w:rPr>
        <w:t xml:space="preserve">tratándose de personas jurídicas, las solicitudes solo las podrán realizar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siempre que estas cumplan con las condiciones señaladas en el artículo. </w:t>
      </w:r>
    </w:p>
    <w:p w14:paraId="656541BA" w14:textId="77777777" w:rsidR="00A136C1" w:rsidRPr="005B1F06" w:rsidRDefault="00A136C1" w:rsidP="00A136C1">
      <w:pPr>
        <w:spacing w:after="120" w:line="276" w:lineRule="auto"/>
        <w:ind w:firstLine="709"/>
        <w:jc w:val="both"/>
        <w:rPr>
          <w:rFonts w:ascii="Verdana" w:hAnsi="Verdana" w:cs="Arial"/>
          <w:lang w:val="es-ES" w:eastAsia="es-MX"/>
        </w:rPr>
      </w:pPr>
      <w:r w:rsidRPr="005B1F06">
        <w:rPr>
          <w:rFonts w:ascii="Verdana" w:eastAsia="Arial" w:hAnsi="Verdana" w:cs="Arial"/>
          <w:color w:val="000000"/>
          <w:lang w:val="es-ES_tradnl"/>
        </w:rPr>
        <w:t>Así las cosas,</w:t>
      </w:r>
      <w:r w:rsidRPr="005B1F06">
        <w:rPr>
          <w:rFonts w:ascii="Verdana" w:hAnsi="Verdana" w:cs="Arial"/>
          <w:lang w:val="es-ES" w:eastAsia="es-MX"/>
        </w:rPr>
        <w:t xml:space="preserve"> las entidades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5B1F06">
        <w:rPr>
          <w:rFonts w:ascii="Verdana" w:hAnsi="Verdana" w:cs="Arial"/>
          <w:lang w:val="es-ES" w:eastAsia="es-MX"/>
        </w:rPr>
        <w:t>Mipymes</w:t>
      </w:r>
      <w:proofErr w:type="spellEnd"/>
      <w:r w:rsidRPr="005B1F06">
        <w:rPr>
          <w:rFonts w:ascii="Verdana" w:hAnsi="Verdana" w:cs="Arial"/>
          <w:lang w:val="es-ES" w:eastAsia="es-MX"/>
        </w:rPr>
        <w:t xml:space="preserve"> colombianas con mínimo un (1) año de existencia, cuando se cumplan los requisitos previstos en el artículo 2.2.1.2.4.2.2 del Decreto 1082 de 2015 anteriormente señalado.</w:t>
      </w:r>
    </w:p>
    <w:p w14:paraId="78976F82" w14:textId="77777777" w:rsidR="00A136C1" w:rsidRPr="005B1F06" w:rsidRDefault="00A136C1" w:rsidP="00A136C1">
      <w:pPr>
        <w:spacing w:after="120" w:line="276" w:lineRule="auto"/>
        <w:ind w:firstLine="708"/>
        <w:jc w:val="both"/>
        <w:rPr>
          <w:rFonts w:ascii="Verdana" w:eastAsia="Calibri" w:hAnsi="Verdana" w:cs="Arial"/>
          <w:lang w:val="es-ES"/>
        </w:rPr>
      </w:pPr>
      <w:r w:rsidRPr="706726C8">
        <w:rPr>
          <w:rFonts w:ascii="Verdana" w:eastAsia="Calibri" w:hAnsi="Verdana" w:cs="Arial"/>
          <w:lang w:val="es-ES"/>
        </w:rPr>
        <w:t xml:space="preserve">En relación con las limitaciones territoriales </w:t>
      </w:r>
      <w:r w:rsidRPr="706726C8">
        <w:rPr>
          <w:rFonts w:ascii="Verdana" w:hAnsi="Verdana" w:cs="Arial"/>
          <w:lang w:val="es-ES"/>
        </w:rPr>
        <w:t xml:space="preserve">de las convocatorias a </w:t>
      </w:r>
      <w:proofErr w:type="spellStart"/>
      <w:r w:rsidRPr="706726C8">
        <w:rPr>
          <w:rFonts w:ascii="Verdana" w:hAnsi="Verdana" w:cs="Arial"/>
          <w:lang w:val="es-ES"/>
        </w:rPr>
        <w:t>Mipymes</w:t>
      </w:r>
      <w:proofErr w:type="spellEnd"/>
      <w:r w:rsidRPr="706726C8">
        <w:rPr>
          <w:rFonts w:ascii="Verdana" w:eastAsia="Calibri" w:hAnsi="Verdana" w:cs="Arial"/>
          <w:lang w:val="es-ES"/>
        </w:rPr>
        <w:t xml:space="preserve"> el texto del actual artículo 2.2.1.2.4.2.3, modificado por el artículo 5 del Decreto 1860 de 2021, determina que toda empresa constituida bajo las leyes colombianas o que tenga su domicilio principal en el territorio colombiano y, además, cumpla los criterios previstos por la </w:t>
      </w:r>
      <w:bookmarkStart w:id="7" w:name="_Hlk194041590"/>
      <w:r w:rsidRPr="706726C8">
        <w:rPr>
          <w:rFonts w:ascii="Verdana" w:eastAsia="Calibri" w:hAnsi="Verdana" w:cs="Arial"/>
          <w:lang w:val="es-ES"/>
        </w:rPr>
        <w:t>Ley 590 de 2000 y el Decreto 957 de 2019</w:t>
      </w:r>
      <w:bookmarkEnd w:id="7"/>
      <w:r w:rsidRPr="706726C8">
        <w:rPr>
          <w:rFonts w:ascii="Verdana" w:eastAsia="Calibri" w:hAnsi="Verdana" w:cs="Arial"/>
          <w:lang w:val="es-ES"/>
        </w:rPr>
        <w:t xml:space="preserve">, será considerada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domiciliadas en un municipio o departamento son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nacionales. En consecuencia, no es procedente distinguir entre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w:t>
      </w:r>
      <w:r w:rsidRPr="706726C8">
        <w:rPr>
          <w:rFonts w:ascii="Verdana" w:eastAsia="Calibri" w:hAnsi="Verdana" w:cs="Arial"/>
          <w:lang w:val="es-ES"/>
        </w:rPr>
        <w:lastRenderedPageBreak/>
        <w:t xml:space="preserve">nacionales y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municipales o departamentales, habida cuenta que estas últimas no existen como categoría dentro del ordenamiento normativo. </w:t>
      </w:r>
    </w:p>
    <w:p w14:paraId="649DC07E" w14:textId="77777777" w:rsidR="00A136C1" w:rsidRPr="005B1F06" w:rsidRDefault="00A136C1" w:rsidP="00A136C1">
      <w:pPr>
        <w:spacing w:after="0" w:line="276" w:lineRule="auto"/>
        <w:ind w:firstLine="708"/>
        <w:jc w:val="both"/>
        <w:rPr>
          <w:rFonts w:ascii="Verdana" w:eastAsia="Calibri" w:hAnsi="Verdana" w:cs="Arial"/>
          <w:lang w:val="es-ES_tradnl"/>
        </w:rPr>
      </w:pPr>
      <w:r w:rsidRPr="005B1F06">
        <w:rPr>
          <w:rFonts w:ascii="Verdana" w:eastAsia="Calibri" w:hAnsi="Verdana" w:cs="Arial"/>
          <w:lang w:val="es-ES_tradnl"/>
        </w:rPr>
        <w:t xml:space="preserve">El texto normativo dispone lo siguiente:  </w:t>
      </w:r>
    </w:p>
    <w:p w14:paraId="12EE7BC4" w14:textId="77777777" w:rsidR="00A136C1" w:rsidRDefault="00A136C1" w:rsidP="00A136C1">
      <w:pPr>
        <w:spacing w:after="0" w:line="276" w:lineRule="auto"/>
        <w:ind w:left="709" w:right="758" w:hanging="1"/>
        <w:jc w:val="both"/>
        <w:rPr>
          <w:rFonts w:ascii="Verdana" w:hAnsi="Verdana" w:cs="Arial"/>
          <w:sz w:val="20"/>
          <w:szCs w:val="20"/>
          <w:lang w:val="es-ES_tradnl"/>
        </w:rPr>
      </w:pPr>
    </w:p>
    <w:p w14:paraId="620EC772" w14:textId="77777777" w:rsidR="00A136C1" w:rsidRPr="005B1F06" w:rsidRDefault="00A136C1" w:rsidP="00A136C1">
      <w:pPr>
        <w:spacing w:after="0" w:line="240" w:lineRule="auto"/>
        <w:ind w:left="709" w:right="758" w:hanging="1"/>
        <w:jc w:val="both"/>
        <w:rPr>
          <w:rFonts w:ascii="Verdana" w:hAnsi="Verdana" w:cs="Arial"/>
          <w:sz w:val="20"/>
          <w:szCs w:val="20"/>
          <w:lang w:val="es-ES_tradnl"/>
        </w:rPr>
      </w:pPr>
      <w:r>
        <w:rPr>
          <w:rFonts w:ascii="Verdana" w:hAnsi="Verdana" w:cs="Arial"/>
          <w:sz w:val="20"/>
          <w:szCs w:val="20"/>
          <w:lang w:val="es-ES_tradnl"/>
        </w:rPr>
        <w:t>“</w:t>
      </w:r>
      <w:r w:rsidRPr="005B1F06">
        <w:rPr>
          <w:rFonts w:ascii="Verdana" w:hAnsi="Verdana" w:cs="Arial"/>
          <w:sz w:val="20"/>
          <w:szCs w:val="20"/>
          <w:lang w:val="es-ES_tradnl"/>
        </w:rPr>
        <w:t>ARTÍCULO  5. Modificaci</w:t>
      </w:r>
      <w:r w:rsidRPr="005B1F06">
        <w:rPr>
          <w:rFonts w:ascii="Verdana" w:hAnsi="Verdana" w:cs="Century Gothic"/>
          <w:sz w:val="20"/>
          <w:szCs w:val="20"/>
          <w:lang w:val="es-ES_tradnl"/>
        </w:rPr>
        <w:t>ó</w:t>
      </w:r>
      <w:r w:rsidRPr="005B1F06">
        <w:rPr>
          <w:rFonts w:ascii="Verdana" w:hAnsi="Verdana" w:cs="Arial"/>
          <w:sz w:val="20"/>
          <w:szCs w:val="20"/>
          <w:lang w:val="es-ES_tradnl"/>
        </w:rPr>
        <w:t>n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Modif</w:t>
      </w:r>
      <w:r w:rsidRPr="005B1F06">
        <w:rPr>
          <w:rFonts w:ascii="Verdana" w:hAnsi="Verdana" w:cs="Century Gothic"/>
          <w:sz w:val="20"/>
          <w:szCs w:val="20"/>
          <w:lang w:val="es-ES_tradnl"/>
        </w:rPr>
        <w:t>í</w:t>
      </w:r>
      <w:r w:rsidRPr="005B1F06">
        <w:rPr>
          <w:rFonts w:ascii="Verdana" w:hAnsi="Verdana" w:cs="Arial"/>
          <w:sz w:val="20"/>
          <w:szCs w:val="20"/>
          <w:lang w:val="es-ES_tradnl"/>
        </w:rPr>
        <w:t>quense los art</w:t>
      </w:r>
      <w:r w:rsidRPr="005B1F06">
        <w:rPr>
          <w:rFonts w:ascii="Verdana" w:hAnsi="Verdana" w:cs="Century Gothic"/>
          <w:sz w:val="20"/>
          <w:szCs w:val="20"/>
          <w:lang w:val="es-ES_tradnl"/>
        </w:rPr>
        <w:t>í</w:t>
      </w:r>
      <w:r w:rsidRPr="005B1F06">
        <w:rPr>
          <w:rFonts w:ascii="Verdana" w:hAnsi="Verdana" w:cs="Arial"/>
          <w:sz w:val="20"/>
          <w:szCs w:val="20"/>
          <w:lang w:val="es-ES_tradnl"/>
        </w:rPr>
        <w:t>culos 2.2.1.2.4.2.2., 2.2.1.2.4.2.3. y 2.2.1.2.4.2.4.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los cuales quedar</w:t>
      </w:r>
      <w:r w:rsidRPr="005B1F06">
        <w:rPr>
          <w:rFonts w:ascii="Verdana" w:hAnsi="Verdana" w:cs="Century Gothic"/>
          <w:sz w:val="20"/>
          <w:szCs w:val="20"/>
          <w:lang w:val="es-ES_tradnl"/>
        </w:rPr>
        <w:t>á</w:t>
      </w:r>
      <w:r w:rsidRPr="005B1F06">
        <w:rPr>
          <w:rFonts w:ascii="Verdana" w:hAnsi="Verdana" w:cs="Arial"/>
          <w:sz w:val="20"/>
          <w:szCs w:val="20"/>
          <w:lang w:val="es-ES_tradnl"/>
        </w:rPr>
        <w:t>n as</w:t>
      </w:r>
      <w:r w:rsidRPr="005B1F06">
        <w:rPr>
          <w:rFonts w:ascii="Verdana" w:hAnsi="Verdana" w:cs="Century Gothic"/>
          <w:sz w:val="20"/>
          <w:szCs w:val="20"/>
          <w:lang w:val="es-ES_tradnl"/>
        </w:rPr>
        <w:t>í</w:t>
      </w:r>
      <w:r w:rsidRPr="005B1F06">
        <w:rPr>
          <w:rFonts w:ascii="Verdana" w:hAnsi="Verdana" w:cs="Arial"/>
          <w:sz w:val="20"/>
          <w:szCs w:val="20"/>
          <w:lang w:val="es-ES_tradnl"/>
        </w:rPr>
        <w:t>:</w:t>
      </w:r>
    </w:p>
    <w:p w14:paraId="6C0657EC" w14:textId="77777777" w:rsidR="00A136C1" w:rsidRDefault="00A136C1" w:rsidP="00A136C1">
      <w:pPr>
        <w:spacing w:after="0" w:line="240" w:lineRule="auto"/>
        <w:ind w:left="709" w:right="758" w:hanging="1"/>
        <w:jc w:val="both"/>
        <w:rPr>
          <w:rFonts w:ascii="Verdana" w:hAnsi="Verdana" w:cs="Arial"/>
          <w:sz w:val="20"/>
          <w:szCs w:val="20"/>
          <w:lang w:val="es-ES_tradnl"/>
        </w:rPr>
      </w:pPr>
    </w:p>
    <w:p w14:paraId="4A67EE12" w14:textId="77777777" w:rsidR="00A136C1" w:rsidRPr="005B1F06" w:rsidRDefault="00A136C1" w:rsidP="00A136C1">
      <w:pPr>
        <w:spacing w:after="0" w:line="240" w:lineRule="auto"/>
        <w:ind w:left="709" w:right="758" w:hanging="1"/>
        <w:jc w:val="both"/>
        <w:rPr>
          <w:rFonts w:ascii="Verdana" w:hAnsi="Verdana" w:cs="Arial"/>
          <w:sz w:val="20"/>
          <w:szCs w:val="20"/>
          <w:lang w:val="es-ES_tradnl"/>
        </w:rPr>
      </w:pPr>
      <w:r>
        <w:rPr>
          <w:rFonts w:ascii="Verdana" w:hAnsi="Verdana" w:cs="Arial"/>
          <w:sz w:val="20"/>
          <w:szCs w:val="20"/>
          <w:lang w:val="es-ES_tradnl"/>
        </w:rPr>
        <w:t xml:space="preserve">(…) </w:t>
      </w:r>
    </w:p>
    <w:p w14:paraId="102513C4" w14:textId="77777777" w:rsidR="00A136C1" w:rsidRDefault="00A136C1" w:rsidP="00A136C1">
      <w:pPr>
        <w:spacing w:after="0" w:line="240" w:lineRule="auto"/>
        <w:ind w:left="709" w:right="709"/>
        <w:jc w:val="both"/>
        <w:rPr>
          <w:rFonts w:ascii="Verdana" w:hAnsi="Verdana" w:cs="Arial"/>
          <w:sz w:val="20"/>
          <w:szCs w:val="20"/>
          <w:lang w:val="es-ES_tradnl"/>
        </w:rPr>
      </w:pPr>
    </w:p>
    <w:p w14:paraId="7973F6E7" w14:textId="77777777" w:rsidR="00A136C1" w:rsidRDefault="00A136C1" w:rsidP="00A136C1">
      <w:pPr>
        <w:spacing w:after="0" w:line="240" w:lineRule="auto"/>
        <w:ind w:left="709" w:right="709"/>
        <w:jc w:val="both"/>
        <w:rPr>
          <w:rFonts w:ascii="Verdana" w:hAnsi="Verdana" w:cs="Arial"/>
          <w:sz w:val="20"/>
          <w:szCs w:val="20"/>
          <w:lang w:val="es-ES_tradnl"/>
        </w:rPr>
      </w:pPr>
      <w:r w:rsidRPr="005B1F06">
        <w:rPr>
          <w:rFonts w:ascii="Verdana" w:hAnsi="Verdana" w:cs="Arial"/>
          <w:sz w:val="20"/>
          <w:szCs w:val="20"/>
          <w:lang w:val="es-ES_tradnl"/>
        </w:rPr>
        <w:t>ARTÍCULO 2.2.1.2.4.2.3. Limitaciones territoriales. De conformidad con el par</w:t>
      </w:r>
      <w:r w:rsidRPr="005B1F06">
        <w:rPr>
          <w:rFonts w:ascii="Verdana" w:hAnsi="Verdana" w:cs="Century Gothic"/>
          <w:sz w:val="20"/>
          <w:szCs w:val="20"/>
          <w:lang w:val="es-ES_tradnl"/>
        </w:rPr>
        <w:t>á</w:t>
      </w:r>
      <w:r w:rsidRPr="005B1F06">
        <w:rPr>
          <w:rFonts w:ascii="Verdana" w:hAnsi="Verdana" w:cs="Arial"/>
          <w:sz w:val="20"/>
          <w:szCs w:val="20"/>
          <w:lang w:val="es-ES_tradnl"/>
        </w:rPr>
        <w:t>grafo 1 del art</w:t>
      </w:r>
      <w:r w:rsidRPr="005B1F06">
        <w:rPr>
          <w:rFonts w:ascii="Verdana" w:hAnsi="Verdana" w:cs="Century Gothic"/>
          <w:sz w:val="20"/>
          <w:szCs w:val="20"/>
          <w:lang w:val="es-ES_tradnl"/>
        </w:rPr>
        <w:t>í</w:t>
      </w:r>
      <w:r w:rsidRPr="005B1F06">
        <w:rPr>
          <w:rFonts w:ascii="Verdana" w:hAnsi="Verdana" w:cs="Arial"/>
          <w:sz w:val="20"/>
          <w:szCs w:val="20"/>
          <w:lang w:val="es-ES_tradnl"/>
        </w:rPr>
        <w:t>culo 12 de la Ley 1150 de 2007, las Entidades Estatales, independientemente de su r</w:t>
      </w:r>
      <w:r w:rsidRPr="005B1F06">
        <w:rPr>
          <w:rFonts w:ascii="Verdana" w:hAnsi="Verdana" w:cs="Century Gothic"/>
          <w:sz w:val="20"/>
          <w:szCs w:val="20"/>
          <w:lang w:val="es-ES_tradnl"/>
        </w:rPr>
        <w:t>é</w:t>
      </w:r>
      <w:r w:rsidRPr="005B1F06">
        <w:rPr>
          <w:rFonts w:ascii="Verdana" w:hAnsi="Verdana" w:cs="Arial"/>
          <w:sz w:val="20"/>
          <w:szCs w:val="20"/>
          <w:lang w:val="es-ES_tradnl"/>
        </w:rPr>
        <w:t>gimen de contrataci</w:t>
      </w:r>
      <w:r w:rsidRPr="005B1F06">
        <w:rPr>
          <w:rFonts w:ascii="Verdana" w:hAnsi="Verdana" w:cs="Century Gothic"/>
          <w:sz w:val="20"/>
          <w:szCs w:val="20"/>
          <w:lang w:val="es-ES_tradnl"/>
        </w:rPr>
        <w:t>ó</w:t>
      </w:r>
      <w:r w:rsidRPr="005B1F06">
        <w:rPr>
          <w:rFonts w:ascii="Verdana" w:hAnsi="Verdana" w:cs="Arial"/>
          <w:sz w:val="20"/>
          <w:szCs w:val="20"/>
          <w:lang w:val="es-ES_tradnl"/>
        </w:rPr>
        <w:t>n, los patrimonios aut</w:t>
      </w:r>
      <w:r w:rsidRPr="005B1F06">
        <w:rPr>
          <w:rFonts w:ascii="Verdana" w:hAnsi="Verdana" w:cs="Century Gothic"/>
          <w:sz w:val="20"/>
          <w:szCs w:val="20"/>
          <w:lang w:val="es-ES_tradnl"/>
        </w:rPr>
        <w:t>ó</w:t>
      </w:r>
      <w:r w:rsidRPr="005B1F06">
        <w:rPr>
          <w:rFonts w:ascii="Verdana" w:hAnsi="Verdana" w:cs="Arial"/>
          <w:sz w:val="20"/>
          <w:szCs w:val="20"/>
          <w:lang w:val="es-ES_tradnl"/>
        </w:rPr>
        <w:t>nomos constituidos por Entidades Estatales y los particulares que ejecuten recursos p</w:t>
      </w:r>
      <w:r w:rsidRPr="005B1F06">
        <w:rPr>
          <w:rFonts w:ascii="Verdana" w:hAnsi="Verdana" w:cs="Century Gothic"/>
          <w:sz w:val="20"/>
          <w:szCs w:val="20"/>
          <w:lang w:val="es-ES_tradnl"/>
        </w:rPr>
        <w:t>ú</w:t>
      </w:r>
      <w:r w:rsidRPr="005B1F06">
        <w:rPr>
          <w:rFonts w:ascii="Verdana" w:hAnsi="Verdana" w:cs="Arial"/>
          <w:sz w:val="20"/>
          <w:szCs w:val="20"/>
          <w:lang w:val="es-ES_tradnl"/>
        </w:rPr>
        <w:t>blicos, pueden realizar convocatorias limitadas a MiPymes colombianas que tengan domicilio en los departamentos o municipios en donde se va a ejecutar el contrato. Cada MiPymes deber</w:t>
      </w:r>
      <w:r w:rsidRPr="005B1F06">
        <w:rPr>
          <w:rFonts w:ascii="Verdana" w:hAnsi="Verdana" w:cs="Century Gothic"/>
          <w:sz w:val="20"/>
          <w:szCs w:val="20"/>
          <w:lang w:val="es-ES_tradnl"/>
        </w:rPr>
        <w:t>á</w:t>
      </w:r>
      <w:r w:rsidRPr="005B1F06">
        <w:rPr>
          <w:rFonts w:ascii="Verdana" w:hAnsi="Verdana" w:cs="Arial"/>
          <w:sz w:val="20"/>
          <w:szCs w:val="20"/>
          <w:lang w:val="es-ES_tradnl"/>
        </w:rPr>
        <w:t xml:space="preserve"> acreditar su domicilio con los documentos a los que se refiere el siguiente artículo</w:t>
      </w:r>
      <w:r>
        <w:rPr>
          <w:rFonts w:ascii="Verdana" w:hAnsi="Verdana" w:cs="Arial"/>
          <w:sz w:val="20"/>
          <w:szCs w:val="20"/>
          <w:lang w:val="es-ES_tradnl"/>
        </w:rPr>
        <w:t>”</w:t>
      </w:r>
      <w:r w:rsidRPr="005B1F06">
        <w:rPr>
          <w:rFonts w:ascii="Verdana" w:hAnsi="Verdana" w:cs="Arial"/>
          <w:sz w:val="20"/>
          <w:szCs w:val="20"/>
          <w:lang w:val="es-ES_tradnl"/>
        </w:rPr>
        <w:t xml:space="preserve">. </w:t>
      </w:r>
    </w:p>
    <w:p w14:paraId="70D3FEAA" w14:textId="77777777" w:rsidR="00A136C1" w:rsidRPr="005A75AB" w:rsidRDefault="00A136C1" w:rsidP="00A136C1">
      <w:pPr>
        <w:spacing w:after="0" w:line="276" w:lineRule="auto"/>
        <w:ind w:left="709" w:right="709"/>
        <w:jc w:val="both"/>
        <w:rPr>
          <w:rFonts w:ascii="Verdana" w:eastAsia="Calibri" w:hAnsi="Verdana" w:cs="Arial"/>
          <w:lang w:val="es-ES_tradnl"/>
        </w:rPr>
      </w:pPr>
    </w:p>
    <w:p w14:paraId="0FDDBE9D" w14:textId="77777777" w:rsidR="00A136C1" w:rsidRPr="005B1F06" w:rsidRDefault="00A136C1" w:rsidP="00A136C1">
      <w:pPr>
        <w:spacing w:after="120" w:line="276" w:lineRule="auto"/>
        <w:ind w:firstLine="709"/>
        <w:jc w:val="both"/>
        <w:rPr>
          <w:rFonts w:ascii="Verdana" w:eastAsia="Calibri" w:hAnsi="Verdana" w:cs="Arial"/>
          <w:lang w:val="es-ES"/>
        </w:rPr>
      </w:pPr>
      <w:r w:rsidRPr="706726C8">
        <w:rPr>
          <w:rFonts w:ascii="Verdana" w:eastAsia="Calibri" w:hAnsi="Verdana" w:cs="Arial"/>
          <w:lang w:val="es-ES"/>
        </w:rPr>
        <w:t xml:space="preserve">La norma reglamentaria coincide con la redacción del parágrafo 1 del artículo 34 de la Ley 2069 de 2020, según el cual, solo es posible limitar convocatorias a la participación de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w:t>
      </w:r>
      <w:r>
        <w:rPr>
          <w:rFonts w:ascii="Verdana" w:eastAsia="Calibri" w:hAnsi="Verdana" w:cs="Arial"/>
          <w:lang w:val="es-ES"/>
        </w:rPr>
        <w:t>(…)</w:t>
      </w:r>
      <w:r w:rsidRPr="706726C8">
        <w:rPr>
          <w:rFonts w:ascii="Verdana" w:eastAsia="Calibri" w:hAnsi="Verdana" w:cs="Arial"/>
          <w:lang w:val="es-ES"/>
        </w:rPr>
        <w:t xml:space="preserve"> del ámbito municipal o departamental correspondiente al de la ejecución del contrato”. En tales términos, la norma citada solo contempla la posibilidad de limitar convocatorias a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con domicilio en esos dos tipos de entidades territoriales. </w:t>
      </w:r>
    </w:p>
    <w:p w14:paraId="48E65471" w14:textId="77777777" w:rsidR="00A136C1" w:rsidRPr="005B1F06" w:rsidRDefault="00A136C1" w:rsidP="00A136C1">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5B1F06">
        <w:rPr>
          <w:rFonts w:ascii="Verdana" w:eastAsia="Arial" w:hAnsi="Verdana" w:cs="Arial"/>
          <w:color w:val="000000" w:themeColor="text1"/>
          <w:lang w:val="es-ES"/>
        </w:rPr>
        <w:t>Mipymes</w:t>
      </w:r>
      <w:proofErr w:type="spellEnd"/>
      <w:r w:rsidRPr="005B1F06">
        <w:rPr>
          <w:rFonts w:ascii="Verdana" w:eastAsia="Arial" w:hAnsi="Verdana" w:cs="Arial"/>
          <w:color w:val="000000" w:themeColor="text1"/>
          <w:lang w:val="es-ES"/>
        </w:rPr>
        <w:t xml:space="preserve"> nacional. Además, las normas de contratación permiten que las </w:t>
      </w:r>
      <w:proofErr w:type="spellStart"/>
      <w:r w:rsidRPr="005B1F06">
        <w:rPr>
          <w:rFonts w:ascii="Verdana" w:eastAsia="Arial" w:hAnsi="Verdana" w:cs="Arial"/>
          <w:color w:val="000000" w:themeColor="text1"/>
          <w:lang w:val="es-ES"/>
        </w:rPr>
        <w:t>Mipymes</w:t>
      </w:r>
      <w:proofErr w:type="spellEnd"/>
      <w:r w:rsidRPr="005B1F06">
        <w:rPr>
          <w:rFonts w:ascii="Verdana" w:eastAsia="Arial" w:hAnsi="Verdana" w:cs="Arial"/>
          <w:color w:val="000000" w:themeColor="text1"/>
          <w:lang w:val="es-ES"/>
        </w:rPr>
        <w:t xml:space="preserve"> nacionales puedan beneficiarse de la ejecución de un contrato dentro de la entidad territorial en la que tienen su “domicilio”. </w:t>
      </w:r>
    </w:p>
    <w:p w14:paraId="474250DC" w14:textId="77777777" w:rsidR="00A136C1" w:rsidRPr="005B1F06" w:rsidRDefault="00A136C1" w:rsidP="00A136C1">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themeColor="text1"/>
          <w:lang w:val="es-ES"/>
        </w:rPr>
        <w:t xml:space="preserve">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w:t>
      </w:r>
      <w:r w:rsidRPr="706726C8">
        <w:rPr>
          <w:rFonts w:ascii="Verdana" w:eastAsia="Arial" w:hAnsi="Verdana" w:cs="Arial"/>
          <w:color w:val="000000" w:themeColor="text1"/>
          <w:lang w:val="es-ES"/>
        </w:rPr>
        <w:lastRenderedPageBreak/>
        <w:t xml:space="preserve">previsto en la norma únicamente aplica en el lugar de ejecución del contratado en el que la </w:t>
      </w:r>
      <w:proofErr w:type="spellStart"/>
      <w:r w:rsidRPr="706726C8">
        <w:rPr>
          <w:rFonts w:ascii="Verdana" w:eastAsia="Arial" w:hAnsi="Verdana" w:cs="Arial"/>
          <w:color w:val="000000" w:themeColor="text1"/>
          <w:lang w:val="es-ES"/>
        </w:rPr>
        <w:t>Mipymes</w:t>
      </w:r>
      <w:proofErr w:type="spellEnd"/>
      <w:r w:rsidRPr="706726C8">
        <w:rPr>
          <w:rFonts w:ascii="Verdana" w:eastAsia="Arial" w:hAnsi="Verdana" w:cs="Arial"/>
          <w:color w:val="000000" w:themeColor="text1"/>
          <w:lang w:val="es-ES"/>
        </w:rPr>
        <w:t xml:space="preserve"> tiene su “domicilio”, y no en donde tiene sucursales. </w:t>
      </w:r>
    </w:p>
    <w:p w14:paraId="5624F1A5" w14:textId="77777777" w:rsidR="00A136C1" w:rsidRPr="005B1F06" w:rsidRDefault="00A136C1" w:rsidP="00A136C1">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t>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Nótese que la norma se refiere a los conceptos de “sucursal” y “domicilio” de forma diferente, de lo que se deriva que las sociedades comerciales tienen un domicilio y pueden tener</w:t>
      </w:r>
      <w:r w:rsidRPr="7F14F77F">
        <w:rPr>
          <w:rFonts w:ascii="Century Gothic" w:eastAsia="Arial" w:hAnsi="Century Gothic" w:cs="Arial"/>
          <w:color w:val="000000" w:themeColor="text1"/>
          <w:lang w:val="es-ES"/>
        </w:rPr>
        <w:t xml:space="preserve"> </w:t>
      </w:r>
      <w:r w:rsidRPr="005B1F06">
        <w:rPr>
          <w:rFonts w:ascii="Verdana" w:eastAsia="Arial" w:hAnsi="Verdana" w:cs="Arial"/>
          <w:color w:val="000000" w:themeColor="text1"/>
          <w:lang w:val="es-ES"/>
        </w:rPr>
        <w:t xml:space="preserve">una o varias sucursales que son establecimientos de comercio, esto es, bienes mercantiles pertenecientes a la sociedad. En ese mismo sentido, los artículos 110 y 111 </w:t>
      </w:r>
      <w:proofErr w:type="spellStart"/>
      <w:r w:rsidRPr="005B1F06">
        <w:rPr>
          <w:rFonts w:ascii="Verdana" w:eastAsia="Arial" w:hAnsi="Verdana" w:cs="Arial"/>
          <w:i/>
          <w:color w:val="000000" w:themeColor="text1"/>
          <w:lang w:val="es-ES"/>
        </w:rPr>
        <w:t>ibídem</w:t>
      </w:r>
      <w:proofErr w:type="spellEnd"/>
      <w:r w:rsidRPr="005B1F06">
        <w:rPr>
          <w:rFonts w:ascii="Verdana" w:eastAsia="Arial" w:hAnsi="Verdana" w:cs="Arial"/>
          <w:color w:val="000000" w:themeColor="text1"/>
          <w:lang w:val="es-ES"/>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De acuerdo con lo anterior, si el legislador distinguió entre uno y otro y si el reglamento se refiere al “domicilio”, se entiende que no es procedente extender el beneficio contenido en el artículo 2.2.1.2.4.2.3. </w:t>
      </w:r>
      <w:proofErr w:type="spellStart"/>
      <w:r w:rsidRPr="005B1F06">
        <w:rPr>
          <w:rFonts w:ascii="Verdana" w:eastAsia="Arial" w:hAnsi="Verdana" w:cs="Arial"/>
          <w:i/>
          <w:color w:val="000000" w:themeColor="text1"/>
          <w:lang w:val="es-ES"/>
        </w:rPr>
        <w:t>ibídem</w:t>
      </w:r>
      <w:proofErr w:type="spellEnd"/>
      <w:r w:rsidRPr="005B1F06">
        <w:rPr>
          <w:rFonts w:ascii="Verdana" w:eastAsia="Arial" w:hAnsi="Verdana" w:cs="Arial"/>
          <w:i/>
          <w:color w:val="000000" w:themeColor="text1"/>
          <w:lang w:val="es-ES"/>
        </w:rPr>
        <w:t xml:space="preserve"> </w:t>
      </w:r>
      <w:r w:rsidRPr="005B1F06">
        <w:rPr>
          <w:rFonts w:ascii="Verdana" w:eastAsia="Arial" w:hAnsi="Verdana" w:cs="Arial"/>
          <w:color w:val="000000" w:themeColor="text1"/>
          <w:lang w:val="es-ES"/>
        </w:rPr>
        <w:t>a las entidades que tienen “sucursales” en el municipio o departamento en donde se va a ejecutar el contrato estatal.</w:t>
      </w:r>
    </w:p>
    <w:p w14:paraId="62572C18" w14:textId="77777777" w:rsidR="00A136C1" w:rsidRPr="005B1F06" w:rsidRDefault="00A136C1" w:rsidP="00A136C1">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lang w:val="es-ES"/>
        </w:rPr>
        <w:t>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w:t>
      </w:r>
      <w:r w:rsidRPr="706726C8">
        <w:rPr>
          <w:rStyle w:val="Refdenotaalpie"/>
          <w:rFonts w:ascii="Verdana" w:eastAsia="Arial" w:hAnsi="Verdana" w:cs="Arial"/>
          <w:color w:val="000000"/>
          <w:lang w:val="es-ES"/>
        </w:rPr>
        <w:footnoteReference w:id="4"/>
      </w:r>
      <w:r w:rsidRPr="706726C8">
        <w:rPr>
          <w:rFonts w:ascii="Verdana" w:eastAsia="Arial" w:hAnsi="Verdana" w:cs="Arial"/>
          <w:color w:val="000000"/>
          <w:lang w:val="es-ES"/>
        </w:rPr>
        <w:t xml:space="preserve">. En ese sentido, si la entidad no recibió las </w:t>
      </w:r>
      <w:r w:rsidRPr="706726C8">
        <w:rPr>
          <w:rFonts w:ascii="Verdana" w:eastAsia="Arial" w:hAnsi="Verdana" w:cs="Arial"/>
          <w:color w:val="000000"/>
          <w:lang w:val="es-ES"/>
        </w:rPr>
        <w:lastRenderedPageBreak/>
        <w:t xml:space="preserve">solicitudes para limitar la convocatoria a </w:t>
      </w:r>
      <w:proofErr w:type="spellStart"/>
      <w:r w:rsidRPr="706726C8">
        <w:rPr>
          <w:rFonts w:ascii="Verdana" w:eastAsia="Arial" w:hAnsi="Verdana" w:cs="Arial"/>
          <w:color w:val="000000"/>
          <w:lang w:val="es-ES"/>
        </w:rPr>
        <w:t>Mipymes</w:t>
      </w:r>
      <w:proofErr w:type="spellEnd"/>
      <w:r w:rsidRPr="706726C8">
        <w:rPr>
          <w:rFonts w:ascii="Verdana" w:eastAsia="Arial" w:hAnsi="Verdana" w:cs="Arial"/>
          <w:color w:val="000000"/>
          <w:lang w:val="es-ES"/>
        </w:rPr>
        <w:t xml:space="preserve">, no puede </w:t>
      </w:r>
      <w:r w:rsidRPr="706726C8">
        <w:rPr>
          <w:rFonts w:ascii="Verdana" w:eastAsia="Arial" w:hAnsi="Verdana" w:cs="Arial"/>
          <w:i/>
          <w:color w:val="000000"/>
          <w:lang w:val="es-ES"/>
        </w:rPr>
        <w:t xml:space="preserve">motu proprio </w:t>
      </w:r>
      <w:r w:rsidRPr="706726C8">
        <w:rPr>
          <w:rFonts w:ascii="Verdana" w:eastAsia="Arial" w:hAnsi="Verdana" w:cs="Arial"/>
          <w:color w:val="00000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454376CD" w14:textId="77777777" w:rsidR="00A136C1" w:rsidRPr="005B1F06" w:rsidRDefault="00A136C1" w:rsidP="00A136C1">
      <w:pPr>
        <w:spacing w:after="120" w:line="276" w:lineRule="auto"/>
        <w:ind w:firstLine="708"/>
        <w:jc w:val="both"/>
        <w:rPr>
          <w:rFonts w:ascii="Verdana" w:hAnsi="Verdana" w:cs="Arial"/>
          <w:color w:val="000000" w:themeColor="text1"/>
        </w:rPr>
      </w:pPr>
      <w:r w:rsidRPr="005B1F06">
        <w:rPr>
          <w:rFonts w:ascii="Verdana" w:hAnsi="Verdana" w:cs="Arial"/>
          <w:color w:val="000000" w:themeColor="text1"/>
        </w:rPr>
        <w:t xml:space="preserve">Cumplidos los dos requisitos del artículo 2.2.1.2.4.2.2. </w:t>
      </w:r>
      <w:proofErr w:type="spellStart"/>
      <w:r w:rsidRPr="005B1F06">
        <w:rPr>
          <w:rFonts w:ascii="Verdana" w:hAnsi="Verdana" w:cs="Arial"/>
          <w:i/>
          <w:iCs/>
          <w:color w:val="000000" w:themeColor="text1"/>
        </w:rPr>
        <w:t>ibídem</w:t>
      </w:r>
      <w:proofErr w:type="spellEnd"/>
      <w:r w:rsidRPr="005B1F06">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─no tienen que─ decidir si limitan la convocatoria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 domiciliadas en el municipio o departamento en el que se</w:t>
      </w:r>
      <w:r w:rsidRPr="001D4AC1">
        <w:rPr>
          <w:rFonts w:ascii="Century Gothic" w:hAnsi="Century Gothic" w:cs="Arial"/>
          <w:color w:val="000000" w:themeColor="text1"/>
        </w:rPr>
        <w:t xml:space="preserve"> </w:t>
      </w:r>
      <w:r w:rsidRPr="005B1F06">
        <w:rPr>
          <w:rFonts w:ascii="Verdana" w:hAnsi="Verdana" w:cs="Arial"/>
          <w:color w:val="000000" w:themeColor="text1"/>
        </w:rPr>
        <w:t>ejecutará el contrato</w:t>
      </w:r>
      <w:r w:rsidRPr="005B1F06">
        <w:rPr>
          <w:rFonts w:ascii="Verdana" w:hAnsi="Verdana" w:cs="Arial"/>
          <w:color w:val="000000" w:themeColor="text1"/>
          <w:vertAlign w:val="superscript"/>
        </w:rPr>
        <w:footnoteReference w:id="5"/>
      </w:r>
      <w:r w:rsidRPr="005B1F06">
        <w:rPr>
          <w:rFonts w:ascii="Verdana" w:hAnsi="Verdana" w:cs="Arial"/>
          <w:color w:val="000000" w:themeColor="text1"/>
        </w:rPr>
        <w:t xml:space="preserve">. Esto de acuerdo con lo establecido en artículo 2.2.1.2.4.2.3. del Decreto 1082 de 2015 </w:t>
      </w:r>
      <w:r w:rsidRPr="005B1F06">
        <w:rPr>
          <w:rFonts w:ascii="Verdana" w:eastAsia="Arial" w:hAnsi="Verdana" w:cs="Arial"/>
          <w:color w:val="000000"/>
          <w:lang w:val="es-ES_tradnl"/>
        </w:rPr>
        <w:t>modificado por el Decreto 1860 de 2021</w:t>
      </w:r>
      <w:r w:rsidRPr="005B1F06">
        <w:rPr>
          <w:rFonts w:ascii="Verdana" w:hAnsi="Verdana" w:cs="Arial"/>
          <w:color w:val="000000" w:themeColor="text1"/>
        </w:rPr>
        <w:t xml:space="preserve">, norma que se refiere a la facultad de la administración con el verbo infinitivo “poder”, no “deber”. </w:t>
      </w:r>
    </w:p>
    <w:p w14:paraId="48316765" w14:textId="77777777" w:rsidR="00A136C1" w:rsidRPr="005B1F06" w:rsidRDefault="00A136C1" w:rsidP="00A136C1">
      <w:pPr>
        <w:spacing w:after="120" w:line="276" w:lineRule="auto"/>
        <w:ind w:firstLine="709"/>
        <w:jc w:val="both"/>
        <w:rPr>
          <w:rFonts w:ascii="Verdana" w:eastAsia="Calibri" w:hAnsi="Verdana" w:cs="Arial"/>
          <w:color w:val="000000" w:themeColor="text1"/>
        </w:rPr>
      </w:pPr>
      <w:r w:rsidRPr="005B1F06">
        <w:rPr>
          <w:rFonts w:ascii="Verdana" w:eastAsia="Calibri" w:hAnsi="Verdana" w:cs="Arial"/>
          <w:color w:val="000000" w:themeColor="text1"/>
        </w:rPr>
        <w:t>Colombia Compra Eficiente ha sostenido que la decisión de limitar territorialmente un</w:t>
      </w:r>
      <w:r w:rsidRPr="005B1F06">
        <w:rPr>
          <w:rFonts w:ascii="Verdana" w:hAnsi="Verdana" w:cs="Arial"/>
          <w:color w:val="000000" w:themeColor="text1"/>
        </w:rPr>
        <w:t xml:space="preserve">a convocatoria a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w:t>
      </w:r>
      <w:r w:rsidRPr="005B1F06">
        <w:rPr>
          <w:rFonts w:ascii="Verdana" w:eastAsia="Calibri" w:hAnsi="Verdana" w:cs="Arial"/>
          <w:color w:val="000000" w:themeColor="text1"/>
        </w:rPr>
        <w:t xml:space="preserve">es discrecional de la entidad, sin embargo, la decisión debe estar justificada en los correspondientes “estudios del sector”. Lo anterior por cuanto el </w:t>
      </w:r>
      <w:r w:rsidRPr="005B1F06">
        <w:rPr>
          <w:rFonts w:ascii="Verdana" w:hAnsi="Verdana" w:cs="Arial"/>
          <w:color w:val="000000" w:themeColor="text1"/>
        </w:rPr>
        <w:t xml:space="preserve">artículo 2.2.1.2.4.2.3. del Decreto 1082 de 2015, indicó que las </w:t>
      </w:r>
      <w:proofErr w:type="spellStart"/>
      <w:r w:rsidRPr="005B1F06">
        <w:rPr>
          <w:rFonts w:ascii="Verdana" w:hAnsi="Verdana" w:cs="Arial"/>
          <w:color w:val="000000" w:themeColor="text1"/>
        </w:rPr>
        <w:t>Mipymes</w:t>
      </w:r>
      <w:proofErr w:type="spellEnd"/>
      <w:r w:rsidRPr="005B1F06">
        <w:rPr>
          <w:rFonts w:ascii="Verdana" w:eastAsia="Calibri" w:hAnsi="Verdana" w:cs="Arial"/>
          <w:color w:val="000000" w:themeColor="text1"/>
        </w:rPr>
        <w:t xml:space="preserve"> beneficiadas deben tener su domicilio principal en el municipio o departamento donde se ejecutará el contrato para poder participar en una convocatoria limitada territorialmente.</w:t>
      </w:r>
      <w:r w:rsidRPr="005B1F06">
        <w:rPr>
          <w:rStyle w:val="Refdenotaalpie"/>
          <w:rFonts w:ascii="Verdana" w:hAnsi="Verdana" w:cs="Arial"/>
          <w:color w:val="000000" w:themeColor="text1"/>
        </w:rPr>
        <w:footnoteReference w:id="6"/>
      </w:r>
      <w:r w:rsidRPr="005B1F06">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2A586E20" w14:textId="77777777" w:rsidR="00A136C1" w:rsidRPr="005B1F06" w:rsidRDefault="00A136C1" w:rsidP="00A136C1">
      <w:pPr>
        <w:spacing w:after="120" w:line="276" w:lineRule="auto"/>
        <w:ind w:firstLine="709"/>
        <w:jc w:val="both"/>
        <w:rPr>
          <w:rFonts w:ascii="Verdana" w:eastAsia="Calibri" w:hAnsi="Verdana" w:cs="Arial"/>
          <w:color w:val="000000" w:themeColor="text1"/>
        </w:rPr>
      </w:pPr>
      <w:r w:rsidRPr="005B1F06">
        <w:rPr>
          <w:rFonts w:ascii="Verdana" w:hAnsi="Verdana" w:cs="Arial"/>
          <w:color w:val="000000" w:themeColor="text1"/>
        </w:rPr>
        <w:t>En tal sentido, s</w:t>
      </w:r>
      <w:r w:rsidRPr="005B1F06">
        <w:rPr>
          <w:rFonts w:ascii="Verdana" w:eastAsia="Calibri" w:hAnsi="Verdana" w:cs="Arial"/>
          <w:color w:val="000000" w:themeColor="text1"/>
        </w:rPr>
        <w:t>e debe tener presente que lo que sucede de pleno derecho es la</w:t>
      </w:r>
      <w:r w:rsidRPr="005B1F06">
        <w:rPr>
          <w:rFonts w:ascii="Verdana" w:hAnsi="Verdana" w:cs="Arial"/>
          <w:color w:val="000000" w:themeColor="text1"/>
        </w:rPr>
        <w:t xml:space="preserve"> limitación a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a la que se refiere el artículo </w:t>
      </w:r>
      <w:r w:rsidRPr="005B1F06">
        <w:rPr>
          <w:rFonts w:ascii="Verdana" w:eastAsia="Calibri" w:hAnsi="Verdana" w:cs="Arial"/>
          <w:color w:val="000000" w:themeColor="text1"/>
        </w:rPr>
        <w:lastRenderedPageBreak/>
        <w:t xml:space="preserve">2.2.1.2.4.2.2. del Decreto 1082 de 2015, pero no la “limitación territorial” referida en el artículo 2.2.1.2.4.2.3. </w:t>
      </w:r>
      <w:proofErr w:type="spellStart"/>
      <w:r w:rsidRPr="005B1F06">
        <w:rPr>
          <w:rFonts w:ascii="Verdana" w:eastAsia="Calibri" w:hAnsi="Verdana" w:cs="Arial"/>
          <w:i/>
          <w:iCs/>
          <w:color w:val="000000" w:themeColor="text1"/>
        </w:rPr>
        <w:t>ibídem</w:t>
      </w:r>
      <w:proofErr w:type="spellEnd"/>
      <w:r w:rsidRPr="005B1F06">
        <w:rPr>
          <w:rFonts w:ascii="Verdana" w:eastAsia="Calibri" w:hAnsi="Verdana" w:cs="Arial"/>
          <w:color w:val="000000" w:themeColor="text1"/>
        </w:rPr>
        <w:t>, pues esta, como ya se dijo, es facultativa para la entidad. Las únicas exigencias son: i) que la convocatoria esté l</w:t>
      </w:r>
      <w:r w:rsidRPr="005B1F06">
        <w:rPr>
          <w:rFonts w:ascii="Verdana" w:hAnsi="Verdana" w:cs="Arial"/>
          <w:color w:val="000000" w:themeColor="text1"/>
        </w:rPr>
        <w:t xml:space="preserve">imitada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“domiciliadas en los departamentos o municipios en donde se va a ejecutar el contrato” y </w:t>
      </w:r>
      <w:proofErr w:type="spellStart"/>
      <w:r w:rsidRPr="005B1F06">
        <w:rPr>
          <w:rFonts w:ascii="Verdana" w:eastAsia="Calibri" w:hAnsi="Verdana" w:cs="Arial"/>
          <w:color w:val="000000" w:themeColor="text1"/>
        </w:rPr>
        <w:t>ii</w:t>
      </w:r>
      <w:proofErr w:type="spellEnd"/>
      <w:r w:rsidRPr="005B1F06">
        <w:rPr>
          <w:rFonts w:ascii="Verdana" w:eastAsia="Calibri" w:hAnsi="Verdana" w:cs="Arial"/>
          <w:color w:val="000000" w:themeColor="text1"/>
        </w:rPr>
        <w:t xml:space="preserve">) que la entidad justifique su decisión en los “estudios del sector”. No es procedente, entonces, que sean las </w:t>
      </w:r>
      <w:proofErr w:type="spellStart"/>
      <w:r w:rsidRPr="005B1F06">
        <w:rPr>
          <w:rFonts w:ascii="Verdana" w:eastAsia="Calibri" w:hAnsi="Verdana" w:cs="Arial"/>
          <w:color w:val="000000" w:themeColor="text1"/>
        </w:rPr>
        <w:t>Mipymes</w:t>
      </w:r>
      <w:proofErr w:type="spellEnd"/>
      <w:r w:rsidRPr="005B1F06">
        <w:rPr>
          <w:rFonts w:ascii="Verdana" w:eastAsia="Calibri" w:hAnsi="Verdana" w:cs="Arial"/>
          <w:color w:val="000000" w:themeColor="text1"/>
        </w:rPr>
        <w:t xml:space="preserve"> las que soliciten la “limitación territorial” a la que se refiere el artículo 2.2.1.2.4.2.3. del Decreto 1082 de 2015. </w:t>
      </w:r>
    </w:p>
    <w:p w14:paraId="1D8592B3" w14:textId="77777777" w:rsidR="00A136C1" w:rsidRPr="00A4749D" w:rsidRDefault="00A136C1" w:rsidP="00A136C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acuerdo con lo anterior</w:t>
      </w:r>
      <w:r w:rsidRPr="005B1F06">
        <w:rPr>
          <w:rFonts w:ascii="Verdana" w:eastAsia="Calibri" w:hAnsi="Verdana" w:cs="Arial"/>
          <w:color w:val="000000" w:themeColor="text1"/>
        </w:rPr>
        <w:t>, se debe reite</w:t>
      </w:r>
      <w:r w:rsidRPr="005B1F06">
        <w:rPr>
          <w:rFonts w:ascii="Verdana" w:hAnsi="Verdana" w:cs="Arial"/>
          <w:color w:val="000000" w:themeColor="text1"/>
        </w:rPr>
        <w:t xml:space="preserve">rar que el origen de las </w:t>
      </w:r>
      <w:proofErr w:type="spellStart"/>
      <w:r w:rsidRPr="005B1F06">
        <w:rPr>
          <w:rFonts w:ascii="Verdana" w:hAnsi="Verdana" w:cs="Arial"/>
          <w:color w:val="000000" w:themeColor="text1"/>
        </w:rPr>
        <w:t>Mipymes</w:t>
      </w:r>
      <w:proofErr w:type="spellEnd"/>
      <w:r w:rsidRPr="005B1F06">
        <w:rPr>
          <w:rFonts w:ascii="Verdana" w:eastAsia="Calibri" w:hAnsi="Verdana" w:cs="Arial"/>
          <w:color w:val="000000" w:themeColor="text1"/>
        </w:rPr>
        <w:t xml:space="preserve"> que solicitan la “limitación territorial” no es relevante frente a dicha decisión, por dos razo</w:t>
      </w:r>
      <w:r w:rsidRPr="005B1F06">
        <w:rPr>
          <w:rFonts w:ascii="Verdana" w:hAnsi="Verdana" w:cs="Arial"/>
          <w:color w:val="000000" w:themeColor="text1"/>
        </w:rPr>
        <w:t>nes: primero, porque las M</w:t>
      </w:r>
      <w:r>
        <w:rPr>
          <w:rFonts w:ascii="Verdana" w:hAnsi="Verdana" w:cs="Arial"/>
          <w:color w:val="000000" w:themeColor="text1"/>
        </w:rPr>
        <w:t>i</w:t>
      </w:r>
      <w:r w:rsidRPr="005B1F06">
        <w:rPr>
          <w:rFonts w:ascii="Verdana" w:hAnsi="Verdana" w:cs="Arial"/>
          <w:color w:val="000000" w:themeColor="text1"/>
        </w:rPr>
        <w:t>Pymes</w:t>
      </w:r>
      <w:r w:rsidRPr="005B1F06">
        <w:rPr>
          <w:rFonts w:ascii="Verdana" w:eastAsia="Calibri" w:hAnsi="Verdana" w:cs="Arial"/>
          <w:color w:val="000000" w:themeColor="text1"/>
        </w:rPr>
        <w:t xml:space="preserve"> no están habilitadas para pedir la “limitación territorial”, lo están para pedir la “convocatoria limitada a MiPymes”, y, segundo, porque el único criterio a tener en cuenta, una vez se ha decidido justificadamente</w:t>
      </w:r>
      <w:r w:rsidRPr="001D4AC1">
        <w:rPr>
          <w:rFonts w:ascii="Century Gothic" w:eastAsia="Calibri" w:hAnsi="Century Gothic" w:cs="Arial"/>
          <w:color w:val="000000" w:themeColor="text1"/>
        </w:rPr>
        <w:t xml:space="preserve"> </w:t>
      </w:r>
      <w:r w:rsidRPr="00A4749D">
        <w:rPr>
          <w:rFonts w:ascii="Verdana" w:eastAsia="Calibri" w:hAnsi="Verdana" w:cs="Arial"/>
          <w:color w:val="000000" w:themeColor="text1"/>
        </w:rPr>
        <w:t>limitar territorialmente la convocatori</w:t>
      </w:r>
      <w:r w:rsidRPr="00A4749D">
        <w:rPr>
          <w:rFonts w:ascii="Verdana" w:hAnsi="Verdana" w:cs="Arial"/>
          <w:color w:val="000000" w:themeColor="text1"/>
        </w:rPr>
        <w:t xml:space="preserve">a previamente limitada a </w:t>
      </w:r>
      <w:proofErr w:type="spellStart"/>
      <w:r w:rsidRPr="00A4749D">
        <w:rPr>
          <w:rFonts w:ascii="Verdana" w:hAnsi="Verdana" w:cs="Arial"/>
          <w:color w:val="000000" w:themeColor="text1"/>
        </w:rPr>
        <w:t>Mipymes</w:t>
      </w:r>
      <w:proofErr w:type="spellEnd"/>
      <w:r w:rsidRPr="00A4749D">
        <w:rPr>
          <w:rFonts w:ascii="Verdana" w:eastAsia="Calibri" w:hAnsi="Verdana" w:cs="Arial"/>
          <w:color w:val="000000" w:themeColor="text1"/>
        </w:rPr>
        <w:t>, es el lugar donde se va a ejecutar el contrato.</w:t>
      </w:r>
    </w:p>
    <w:p w14:paraId="2859A509" w14:textId="77777777" w:rsidR="00A136C1" w:rsidRPr="00A4749D" w:rsidRDefault="00A136C1" w:rsidP="00A136C1">
      <w:pPr>
        <w:spacing w:after="0" w:line="276" w:lineRule="auto"/>
        <w:ind w:firstLine="709"/>
        <w:jc w:val="both"/>
        <w:rPr>
          <w:rFonts w:ascii="Verdana" w:eastAsia="Arial" w:hAnsi="Verdana" w:cs="Arial"/>
          <w:color w:val="000000"/>
          <w:lang w:val="es-ES"/>
        </w:rPr>
      </w:pPr>
      <w:r w:rsidRPr="00A4749D">
        <w:rPr>
          <w:rFonts w:ascii="Verdana" w:eastAsia="Arial" w:hAnsi="Verdana" w:cs="Arial"/>
          <w:color w:val="000000" w:themeColor="text1"/>
          <w:lang w:val="es-ES"/>
        </w:rPr>
        <w:t xml:space="preserve">Conviene, igualmente, precisar que el domicilio de la </w:t>
      </w:r>
      <w:proofErr w:type="spellStart"/>
      <w:r w:rsidRPr="00A4749D">
        <w:rPr>
          <w:rFonts w:ascii="Verdana" w:eastAsia="Arial" w:hAnsi="Verdana" w:cs="Arial"/>
          <w:color w:val="000000" w:themeColor="text1"/>
          <w:lang w:val="es-ES"/>
        </w:rPr>
        <w:t>Mipymes</w:t>
      </w:r>
      <w:proofErr w:type="spellEnd"/>
      <w:r w:rsidRPr="00A4749D">
        <w:rPr>
          <w:rFonts w:ascii="Verdana" w:eastAsia="Arial" w:hAnsi="Verdana" w:cs="Arial"/>
          <w:color w:val="000000" w:themeColor="text1"/>
          <w:lang w:val="es-ES"/>
        </w:rPr>
        <w:t xml:space="preserve"> que quiera participar en una convocatoria limitada territorialmente se acredita con los documentos definidos en el artículo 2.2.1.2.4.2.4. del Decreto 1082 de 2015, modificado por el Decreto 1860 de 2021, en el cual se establecen los requisitos para participar en convocatorias que hayan sido limitadas a MiPymes. De igual manera, en el parágrafo 2 de dicho artículo se definen los requisitos que deben acompañar la solicitud de limitación a </w:t>
      </w:r>
      <w:proofErr w:type="spellStart"/>
      <w:r w:rsidRPr="00A4749D">
        <w:rPr>
          <w:rFonts w:ascii="Verdana" w:eastAsia="Arial" w:hAnsi="Verdana" w:cs="Arial"/>
          <w:color w:val="000000" w:themeColor="text1"/>
          <w:lang w:val="es-ES"/>
        </w:rPr>
        <w:t>Mipymes</w:t>
      </w:r>
      <w:proofErr w:type="spellEnd"/>
      <w:r w:rsidRPr="00A4749D">
        <w:rPr>
          <w:rFonts w:ascii="Verdana" w:eastAsia="Arial" w:hAnsi="Verdana" w:cs="Arial"/>
          <w:color w:val="000000" w:themeColor="text1"/>
          <w:lang w:val="es-ES"/>
        </w:rPr>
        <w:t>, al siguiente tenor:</w:t>
      </w:r>
    </w:p>
    <w:p w14:paraId="121D131A" w14:textId="77777777" w:rsidR="00A136C1" w:rsidRDefault="00A136C1" w:rsidP="00A136C1">
      <w:pPr>
        <w:spacing w:after="0"/>
        <w:ind w:left="709" w:right="709"/>
        <w:jc w:val="both"/>
        <w:rPr>
          <w:rFonts w:ascii="Verdana" w:hAnsi="Verdana" w:cs="Arial"/>
          <w:sz w:val="20"/>
          <w:szCs w:val="20"/>
          <w:shd w:val="clear" w:color="auto" w:fill="FFFFFF"/>
        </w:rPr>
      </w:pPr>
    </w:p>
    <w:p w14:paraId="00729534" w14:textId="77777777" w:rsidR="00A136C1" w:rsidRDefault="00A136C1" w:rsidP="00A136C1">
      <w:pPr>
        <w:spacing w:after="0" w:line="240" w:lineRule="auto"/>
        <w:ind w:left="709" w:right="709"/>
        <w:jc w:val="both"/>
        <w:rPr>
          <w:rFonts w:ascii="Verdana" w:hAnsi="Verdana" w:cs="Arial"/>
          <w:sz w:val="20"/>
          <w:szCs w:val="20"/>
          <w:shd w:val="clear" w:color="auto" w:fill="FFFFFF"/>
        </w:rPr>
      </w:pPr>
      <w:r>
        <w:rPr>
          <w:rFonts w:ascii="Verdana" w:hAnsi="Verdana" w:cs="Arial"/>
          <w:sz w:val="20"/>
          <w:szCs w:val="20"/>
          <w:shd w:val="clear" w:color="auto" w:fill="FFFFFF"/>
        </w:rPr>
        <w:t>“</w:t>
      </w:r>
      <w:r w:rsidRPr="00A4749D">
        <w:rPr>
          <w:rFonts w:ascii="Verdana" w:hAnsi="Verdana" w:cs="Arial"/>
          <w:sz w:val="20"/>
          <w:szCs w:val="20"/>
          <w:shd w:val="clear" w:color="auto" w:fill="FFFFFF"/>
        </w:rPr>
        <w:t xml:space="preserve">Para efectos de la limitación a MiPymes,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w:t>
      </w:r>
      <w:r w:rsidRPr="00A4749D">
        <w:rPr>
          <w:rFonts w:ascii="Verdana" w:hAnsi="Verdana" w:cs="Arial"/>
          <w:i/>
          <w:sz w:val="20"/>
          <w:szCs w:val="20"/>
          <w:shd w:val="clear" w:color="auto" w:fill="FFFFFF"/>
        </w:rPr>
        <w:t>para solicitar la convocatoria limitada</w:t>
      </w:r>
      <w:r>
        <w:rPr>
          <w:rFonts w:ascii="Verdana" w:hAnsi="Verdana" w:cs="Arial"/>
          <w:i/>
          <w:sz w:val="20"/>
          <w:szCs w:val="20"/>
          <w:shd w:val="clear" w:color="auto" w:fill="FFFFFF"/>
        </w:rPr>
        <w:t>”</w:t>
      </w:r>
      <w:r w:rsidRPr="00A4749D">
        <w:rPr>
          <w:rFonts w:ascii="Verdana" w:hAnsi="Verdana" w:cs="Arial"/>
          <w:sz w:val="20"/>
          <w:szCs w:val="20"/>
          <w:shd w:val="clear" w:color="auto" w:fill="FFFFFF"/>
        </w:rPr>
        <w:t>. (Cursivas fuera del texto).</w:t>
      </w:r>
    </w:p>
    <w:p w14:paraId="46D2ADAD" w14:textId="77777777" w:rsidR="00A136C1" w:rsidRDefault="00A136C1" w:rsidP="00A136C1">
      <w:pPr>
        <w:spacing w:after="0" w:line="276" w:lineRule="auto"/>
        <w:ind w:firstLine="709"/>
        <w:jc w:val="both"/>
        <w:rPr>
          <w:rFonts w:ascii="Verdana" w:eastAsia="Calibri" w:hAnsi="Verdana" w:cs="Arial"/>
          <w:lang w:val="es-ES"/>
        </w:rPr>
      </w:pPr>
    </w:p>
    <w:p w14:paraId="1B5DB21F" w14:textId="77777777" w:rsidR="00A136C1" w:rsidRPr="005A75AB" w:rsidRDefault="00A136C1" w:rsidP="00A136C1">
      <w:pPr>
        <w:spacing w:after="120" w:line="276" w:lineRule="auto"/>
        <w:ind w:firstLine="709"/>
        <w:jc w:val="both"/>
        <w:rPr>
          <w:rFonts w:ascii="Verdana" w:eastAsia="Calibri" w:hAnsi="Verdana" w:cs="Arial"/>
          <w:lang w:val="es-ES"/>
        </w:rPr>
      </w:pPr>
      <w:r w:rsidRPr="005A75AB">
        <w:rPr>
          <w:rFonts w:ascii="Verdana" w:eastAsia="Calibri" w:hAnsi="Verdana" w:cs="Arial"/>
          <w:lang w:val="es-ES"/>
        </w:rPr>
        <w:t xml:space="preserve">Con todo, es preciso advertir que, el ejercicio de la facultad discrecional en orden de aplicar la limitación territorial en favor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con domicilio en un municipio </w:t>
      </w:r>
      <w:r>
        <w:rPr>
          <w:rFonts w:ascii="Verdana" w:eastAsia="Calibri" w:hAnsi="Verdana" w:cs="Arial"/>
          <w:lang w:val="es-ES"/>
        </w:rPr>
        <w:t xml:space="preserve">o </w:t>
      </w:r>
      <w:r w:rsidRPr="005A75AB">
        <w:rPr>
          <w:rFonts w:ascii="Verdana" w:eastAsia="Calibri" w:hAnsi="Verdana" w:cs="Arial"/>
          <w:lang w:val="es-ES"/>
        </w:rPr>
        <w:t xml:space="preserve">en un departamento específico debe hacerse dentro del marco de lo regulado por el artículo 2.2.1.2.4.2.3 </w:t>
      </w:r>
      <w:proofErr w:type="spellStart"/>
      <w:r w:rsidRPr="005A75AB">
        <w:rPr>
          <w:rFonts w:ascii="Verdana" w:eastAsia="Calibri" w:hAnsi="Verdana" w:cs="Arial"/>
          <w:i/>
          <w:iCs/>
          <w:lang w:val="es-ES"/>
        </w:rPr>
        <w:t>ejusdem</w:t>
      </w:r>
      <w:proofErr w:type="spellEnd"/>
      <w:r w:rsidRPr="005A75AB">
        <w:rPr>
          <w:rFonts w:ascii="Verdana" w:eastAsia="Calibri" w:hAnsi="Verdana" w:cs="Arial"/>
          <w:lang w:val="es-ES"/>
        </w:rPr>
        <w:t xml:space="preserve">, el cual establece como presupuesto para que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tengan su domicilio en el lugar en donde se va a ejecutar el contrato. Esto significa que, en el marco de estas convocatorias, </w:t>
      </w:r>
      <w:r w:rsidRPr="005A75AB">
        <w:rPr>
          <w:rFonts w:ascii="Verdana" w:eastAsia="Calibri" w:hAnsi="Verdana" w:cs="Arial"/>
          <w:lang w:val="es-ES"/>
        </w:rPr>
        <w:lastRenderedPageBreak/>
        <w:t xml:space="preserve">la exigibilidad de que el domicilio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se ubique en un único municipio en particular o en alguno de los municipios que conforman un departamento en concreto, está ligada al ámbito territorial en el que se va a desarrollar el objeto contractual. </w:t>
      </w:r>
    </w:p>
    <w:p w14:paraId="74872042" w14:textId="77777777" w:rsidR="00A136C1" w:rsidRPr="005A75AB" w:rsidRDefault="00A136C1" w:rsidP="00A136C1">
      <w:pPr>
        <w:spacing w:line="276" w:lineRule="auto"/>
        <w:ind w:firstLine="708"/>
        <w:jc w:val="both"/>
        <w:rPr>
          <w:rFonts w:ascii="Verdana" w:eastAsia="Calibri" w:hAnsi="Verdana" w:cs="Arial"/>
          <w:lang w:val="es-ES"/>
        </w:rPr>
      </w:pPr>
      <w:r w:rsidRPr="005A75AB">
        <w:rPr>
          <w:rFonts w:ascii="Verdana" w:eastAsia="Calibri" w:hAnsi="Verdana" w:cs="Arial"/>
          <w:lang w:val="es-ES"/>
        </w:rPr>
        <w:t xml:space="preserve">De este modo, en el caso de un contrato que se va a ejecutar en su totalidad dentro del territorio de un municipio, la limitación territorial debe aplicarse en favor de las </w:t>
      </w:r>
      <w:proofErr w:type="spellStart"/>
      <w:r w:rsidRPr="005A75AB">
        <w:rPr>
          <w:rFonts w:ascii="Verdana" w:eastAsia="Calibri" w:hAnsi="Verdana" w:cs="Arial"/>
          <w:lang w:val="es-ES"/>
        </w:rPr>
        <w:t>Mipyme</w:t>
      </w:r>
      <w:proofErr w:type="spellEnd"/>
      <w:r w:rsidRPr="005A75AB">
        <w:rPr>
          <w:rFonts w:ascii="Verdana" w:eastAsia="Calibri" w:hAnsi="Verdana" w:cs="Arial"/>
          <w:lang w:val="es-ES"/>
        </w:rPr>
        <w:t xml:space="preserv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7EED6B60" w14:textId="77777777" w:rsidR="00A136C1" w:rsidRPr="001261BC" w:rsidRDefault="00A136C1" w:rsidP="00A136C1">
      <w:pPr>
        <w:spacing w:before="120" w:line="276" w:lineRule="auto"/>
        <w:ind w:firstLine="709"/>
        <w:jc w:val="both"/>
        <w:rPr>
          <w:rFonts w:ascii="Verdana" w:eastAsia="Calibri" w:hAnsi="Verdana" w:cs="Arial"/>
          <w:lang w:eastAsia="es-MX"/>
        </w:rPr>
      </w:pPr>
      <w:r>
        <w:rPr>
          <w:rFonts w:ascii="Verdana" w:eastAsia="Calibri" w:hAnsi="Verdana" w:cs="Arial"/>
          <w:lang w:val="es-MX"/>
        </w:rPr>
        <w:t xml:space="preserve">Así las cosas, esta </w:t>
      </w:r>
      <w:r w:rsidRPr="001261BC">
        <w:rPr>
          <w:rFonts w:ascii="Verdana" w:eastAsia="Calibri" w:hAnsi="Verdana" w:cs="Arial"/>
        </w:rPr>
        <w:t xml:space="preserve">Agencia considera que lo recomendable es que las entidades establezcan </w:t>
      </w:r>
      <w:r w:rsidRPr="001261BC">
        <w:rPr>
          <w:rFonts w:ascii="Verdana" w:eastAsia="Calibri" w:hAnsi="Verdana" w:cs="Arial"/>
          <w:i/>
          <w:iCs/>
        </w:rPr>
        <w:t>ex ante</w:t>
      </w:r>
      <w:r w:rsidRPr="001261BC">
        <w:rPr>
          <w:rFonts w:ascii="Verdana" w:eastAsia="Calibri" w:hAnsi="Verdana" w:cs="Arial"/>
        </w:rPr>
        <w:t xml:space="preserve"> las condiciones en las que, eventualmente, harían la </w:t>
      </w:r>
      <w:r>
        <w:rPr>
          <w:rFonts w:ascii="Verdana" w:eastAsia="Calibri" w:hAnsi="Verdana" w:cs="Arial"/>
        </w:rPr>
        <w:t>“</w:t>
      </w:r>
      <w:r w:rsidRPr="001261BC">
        <w:rPr>
          <w:rFonts w:ascii="Verdana" w:eastAsia="Calibri" w:hAnsi="Verdana" w:cs="Arial"/>
        </w:rPr>
        <w:t>limitación territorial</w:t>
      </w:r>
      <w:r>
        <w:rPr>
          <w:rFonts w:ascii="Verdana" w:eastAsia="Calibri" w:hAnsi="Verdana" w:cs="Arial"/>
        </w:rPr>
        <w:t>”</w:t>
      </w:r>
      <w:r w:rsidRPr="001261BC">
        <w:rPr>
          <w:rFonts w:ascii="Verdana" w:eastAsia="Calibri" w:hAnsi="Verdana" w:cs="Arial"/>
        </w:rPr>
        <w:t xml:space="preserve">. Para tales fines, en </w:t>
      </w:r>
      <w:r>
        <w:rPr>
          <w:rFonts w:ascii="Verdana" w:eastAsia="Calibri" w:hAnsi="Verdana" w:cs="Arial"/>
        </w:rPr>
        <w:t xml:space="preserve">los documentos del proceso </w:t>
      </w:r>
      <w:r w:rsidRPr="001261BC">
        <w:rPr>
          <w:rFonts w:ascii="Verdana" w:eastAsia="Calibri" w:hAnsi="Verdana" w:cs="Arial"/>
        </w:rPr>
        <w:t xml:space="preserve">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E56231">
        <w:rPr>
          <w:rFonts w:ascii="Verdana" w:eastAsia="Calibri" w:hAnsi="Verdana" w:cs="Arial"/>
        </w:rPr>
        <w:t>Mipymes</w:t>
      </w:r>
      <w:proofErr w:type="spellEnd"/>
      <w:r w:rsidRPr="001261BC">
        <w:rPr>
          <w:rFonts w:ascii="Verdana" w:eastAsia="Calibri" w:hAnsi="Verdana" w:cs="Arial"/>
        </w:rPr>
        <w:t>, por ejemplo, en relación con cuál o cuáles municipios o departamentos harían la limitación territorial de que trata el artículo 2.2.1.2.4.2.3. del Decreto 1082 de 2015.</w:t>
      </w:r>
    </w:p>
    <w:p w14:paraId="753D3530" w14:textId="77777777" w:rsidR="00A136C1" w:rsidRDefault="00A136C1" w:rsidP="00A136C1">
      <w:pPr>
        <w:spacing w:after="0" w:line="276" w:lineRule="auto"/>
        <w:ind w:firstLine="709"/>
        <w:jc w:val="both"/>
        <w:rPr>
          <w:rFonts w:ascii="Verdana" w:eastAsia="Calibri" w:hAnsi="Verdana" w:cs="Arial"/>
          <w:lang w:val="es-ES"/>
        </w:rPr>
      </w:pPr>
      <w:r>
        <w:rPr>
          <w:rFonts w:ascii="Verdana" w:eastAsia="Calibri" w:hAnsi="Verdana" w:cs="Arial"/>
          <w:lang w:val="es-ES"/>
        </w:rPr>
        <w:t>S</w:t>
      </w:r>
      <w:r w:rsidRPr="00A4749D">
        <w:rPr>
          <w:rFonts w:ascii="Verdana" w:eastAsia="Calibri" w:hAnsi="Verdana" w:cs="Arial"/>
          <w:lang w:val="es-ES"/>
        </w:rPr>
        <w:t xml:space="preserve">egún se explicó con anterioridad, actualmente el procedimiento de mínima cuantía se encuentra reglamentado por el artículo 2.2.1.2.1.5.2. del Decreto 1082 de 2015, modificado por el artículo 2 del Decreto 1860 de 2021. El numeral 3 del artículo en mención establece que “La invitación se publicará por un término no inferior a un (1) día hábil para que los interesados se informen de su contenido y formulen observaciones o comentarios </w:t>
      </w:r>
      <w:r>
        <w:rPr>
          <w:rFonts w:ascii="Verdana" w:eastAsia="Calibri" w:hAnsi="Verdana" w:cs="Arial"/>
          <w:lang w:val="es-ES"/>
        </w:rPr>
        <w:t>(…)</w:t>
      </w:r>
      <w:r w:rsidRPr="00A4749D">
        <w:rPr>
          <w:rFonts w:ascii="Verdana" w:eastAsia="Calibri" w:hAnsi="Verdana" w:cs="Arial"/>
          <w:lang w:val="es-ES"/>
        </w:rPr>
        <w:t xml:space="preserve">” y que “De conformidad con el parágrafo del presente artículo, dentro del mismo término para formular observaciones se podrán presentar las solicitudes para limitar la convocatoria a MiPymes colombianas”. </w:t>
      </w:r>
    </w:p>
    <w:p w14:paraId="482E6142" w14:textId="77777777" w:rsidR="00A136C1" w:rsidRDefault="00A136C1" w:rsidP="008F6693">
      <w:pPr>
        <w:spacing w:after="0" w:line="240" w:lineRule="auto"/>
        <w:ind w:firstLine="709"/>
        <w:jc w:val="both"/>
        <w:rPr>
          <w:rFonts w:ascii="Verdana" w:eastAsia="Calibri" w:hAnsi="Verdana" w:cs="Arial"/>
          <w:lang w:val="es-ES"/>
        </w:rPr>
      </w:pPr>
    </w:p>
    <w:p w14:paraId="3655ED54" w14:textId="77777777" w:rsidR="00A136C1" w:rsidRPr="00A4749D" w:rsidRDefault="00A136C1" w:rsidP="00A136C1">
      <w:pPr>
        <w:spacing w:after="0" w:line="276" w:lineRule="auto"/>
        <w:ind w:firstLine="709"/>
        <w:jc w:val="both"/>
        <w:rPr>
          <w:rFonts w:ascii="Verdana" w:eastAsia="Calibri" w:hAnsi="Verdana" w:cs="Arial"/>
          <w:lang w:val="es-ES"/>
        </w:rPr>
      </w:pPr>
      <w:r w:rsidRPr="00A4749D">
        <w:rPr>
          <w:rFonts w:ascii="Verdana" w:eastAsia="Calibri" w:hAnsi="Verdana" w:cs="Arial"/>
          <w:lang w:val="es-ES"/>
        </w:rPr>
        <w:t xml:space="preserve">Adicionalmente, el numeral 4 dispone que en el cronograma se debe señalar “El momento en que publicará un aviso en el SECOP precisando si el </w:t>
      </w:r>
      <w:r w:rsidRPr="00A4749D">
        <w:rPr>
          <w:rFonts w:ascii="Verdana" w:eastAsia="Calibri" w:hAnsi="Verdana" w:cs="Arial"/>
          <w:lang w:val="es-ES"/>
        </w:rPr>
        <w:lastRenderedPageBreak/>
        <w:t xml:space="preserve">proceso efectivamente se limitó a MiPymes o si podrá participar cualquier otro interesado”. Por otra parte, también es importante tener en cuenta el parágrafo del artículo 2.2.1.2.1.5.2., a cuyo tenor: </w:t>
      </w:r>
    </w:p>
    <w:p w14:paraId="197E8CE1" w14:textId="77777777" w:rsidR="00A136C1" w:rsidRPr="0087199B" w:rsidRDefault="00A136C1" w:rsidP="00A136C1">
      <w:pPr>
        <w:spacing w:after="0" w:line="240" w:lineRule="auto"/>
        <w:ind w:firstLine="709"/>
        <w:jc w:val="both"/>
        <w:rPr>
          <w:rFonts w:ascii="Verdana" w:eastAsia="Calibri" w:hAnsi="Verdana" w:cs="Arial"/>
          <w:lang w:val="es-ES"/>
        </w:rPr>
      </w:pPr>
    </w:p>
    <w:p w14:paraId="26EF53A7" w14:textId="77777777" w:rsidR="00A136C1" w:rsidRDefault="00A136C1" w:rsidP="00A136C1">
      <w:pPr>
        <w:spacing w:after="0" w:line="240" w:lineRule="auto"/>
        <w:ind w:left="709" w:right="709"/>
        <w:jc w:val="both"/>
        <w:rPr>
          <w:rFonts w:ascii="Verdana" w:eastAsia="Calibri" w:hAnsi="Verdana" w:cs="Arial"/>
          <w:sz w:val="20"/>
          <w:szCs w:val="20"/>
        </w:rPr>
      </w:pPr>
      <w:r w:rsidRPr="00A4749D">
        <w:rPr>
          <w:rFonts w:ascii="Verdana" w:eastAsia="Calibri" w:hAnsi="Verdana" w:cs="Arial"/>
          <w:sz w:val="20"/>
          <w:szCs w:val="20"/>
        </w:rPr>
        <w:t>De conformidad con el parágrafo 1 del artículo 30 y el artículo 34 de la Ley 2069 de 2020, en estos procedimientos de selección para MiPymes se aplicará lo prescrito en los artículos 2.2.1.2.4.2.2 a 2.2.1.2.4.2.4 de este Decreto. No obstante, de conformidad con el numeral 3 del presente artículo, las solicitudes para limitar el proceso a MiPymes se recibirán durante el término previsto en dicho numeral. Además, en el aviso de que trata el numeral 4 de este artículo se indicará si en el proceso aplican las limitaciones territoriales de que trata el artículo 2.2.1.2.4.2.3 o si podrá participar cualquier MiPymes nacional.</w:t>
      </w:r>
    </w:p>
    <w:p w14:paraId="4669052F" w14:textId="77777777" w:rsidR="00A136C1" w:rsidRPr="00A4749D" w:rsidRDefault="00A136C1" w:rsidP="00A136C1">
      <w:pPr>
        <w:spacing w:after="0" w:line="240" w:lineRule="auto"/>
        <w:ind w:left="709" w:right="709"/>
        <w:jc w:val="both"/>
        <w:rPr>
          <w:rFonts w:ascii="Verdana" w:eastAsia="Calibri" w:hAnsi="Verdana" w:cs="Arial"/>
          <w:sz w:val="20"/>
          <w:szCs w:val="20"/>
        </w:rPr>
      </w:pPr>
    </w:p>
    <w:p w14:paraId="45F8BBE8" w14:textId="77777777" w:rsidR="00A136C1" w:rsidRPr="003A2A18" w:rsidRDefault="00A136C1" w:rsidP="00A136C1">
      <w:pPr>
        <w:spacing w:after="120" w:line="276" w:lineRule="auto"/>
        <w:ind w:firstLine="708"/>
        <w:jc w:val="both"/>
        <w:rPr>
          <w:rFonts w:ascii="Verdana" w:eastAsia="Calibri" w:hAnsi="Verdana" w:cs="Arial"/>
          <w:lang w:val="es-ES"/>
        </w:rPr>
      </w:pPr>
      <w:r w:rsidRPr="00A4749D">
        <w:rPr>
          <w:rFonts w:ascii="Verdana" w:eastAsia="Calibri" w:hAnsi="Verdana" w:cs="Arial"/>
          <w:lang w:val="es-ES"/>
        </w:rPr>
        <w:t>Con base en lo anterior, en el procedimiento de mínima cuantía, la limitac</w:t>
      </w:r>
      <w:r w:rsidRPr="00A4749D">
        <w:rPr>
          <w:rFonts w:ascii="Verdana" w:hAnsi="Verdana" w:cs="Arial"/>
          <w:lang w:val="es-ES"/>
        </w:rPr>
        <w:t xml:space="preserve">ión de la convocatoria a </w:t>
      </w:r>
      <w:proofErr w:type="spellStart"/>
      <w:r w:rsidRPr="00A4749D">
        <w:rPr>
          <w:rFonts w:ascii="Verdana" w:hAnsi="Verdana" w:cs="Arial"/>
          <w:lang w:val="es-ES"/>
        </w:rPr>
        <w:t>Mipymes</w:t>
      </w:r>
      <w:proofErr w:type="spellEnd"/>
      <w:r w:rsidRPr="00A4749D">
        <w:rPr>
          <w:rFonts w:ascii="Verdana" w:eastAsia="Calibri" w:hAnsi="Verdana" w:cs="Arial"/>
          <w:lang w:val="es-ES"/>
        </w:rPr>
        <w:t xml:space="preserve"> se debe hacer mediante la publicación de un aviso en el SECOP, luego de analizadas las solicitudes presentadas dentro del término de publicación de la invitación previsto en el numeral 3 del artículo 2.2.1.2.1.5.2. del Decreto 1082 de 2015, modificado por el artículo 2 del Decreto 1860 de 2021. De igual modo, en dicho aviso, se deberá indicar si en el proceso pueden participar las MiPymes domiciliadas en el municipio o departamento, según corresponda, o cualquier MiPymes nacional. </w:t>
      </w:r>
    </w:p>
    <w:p w14:paraId="724D9955" w14:textId="77777777" w:rsidR="00A136C1" w:rsidRPr="00A4749D" w:rsidRDefault="00A136C1" w:rsidP="00A136C1">
      <w:pPr>
        <w:spacing w:after="0"/>
        <w:ind w:firstLine="709"/>
        <w:jc w:val="both"/>
        <w:rPr>
          <w:rFonts w:ascii="Verdana" w:eastAsia="Calibri" w:hAnsi="Verdana" w:cs="Arial"/>
        </w:rPr>
      </w:pPr>
      <w:r>
        <w:rPr>
          <w:rFonts w:ascii="Verdana" w:hAnsi="Verdana" w:cs="Arial"/>
          <w:color w:val="000000" w:themeColor="text1"/>
        </w:rPr>
        <w:t>En conclusión</w:t>
      </w:r>
      <w:r w:rsidRPr="00A4749D">
        <w:rPr>
          <w:rFonts w:ascii="Verdana" w:hAnsi="Verdana" w:cs="Arial"/>
          <w:color w:val="000000" w:themeColor="text1"/>
        </w:rPr>
        <w:t xml:space="preserve">, </w:t>
      </w:r>
      <w:r w:rsidRPr="00A4749D">
        <w:rPr>
          <w:rFonts w:ascii="Verdana" w:eastAsia="Calibri" w:hAnsi="Verdana" w:cs="Arial"/>
          <w:color w:val="000000" w:themeColor="text1"/>
        </w:rPr>
        <w:t>lo que debe adoptarse obligatoriamente es la</w:t>
      </w:r>
      <w:r w:rsidRPr="00A4749D">
        <w:rPr>
          <w:rFonts w:ascii="Verdana" w:hAnsi="Verdana" w:cs="Arial"/>
          <w:color w:val="000000" w:themeColor="text1"/>
        </w:rPr>
        <w:t xml:space="preserve"> limitación a MiPymes colombianas</w:t>
      </w:r>
      <w:r w:rsidRPr="00A4749D">
        <w:rPr>
          <w:rFonts w:ascii="Verdana" w:eastAsia="Calibri" w:hAnsi="Verdana" w:cs="Arial"/>
          <w:color w:val="000000" w:themeColor="text1"/>
        </w:rPr>
        <w:t xml:space="preserve"> siempre que se cumplan las condiciones del artículo 2.2.1.2.4.2.2 del Decreto 1082 de 2015, pero no la “limitación territorial” referida en el artículo 2.2.1.2.4.2.3 </w:t>
      </w:r>
      <w:proofErr w:type="spellStart"/>
      <w:r w:rsidRPr="00A4749D">
        <w:rPr>
          <w:rFonts w:ascii="Verdana" w:eastAsia="Calibri" w:hAnsi="Verdana" w:cs="Arial"/>
          <w:i/>
          <w:iCs/>
          <w:color w:val="000000" w:themeColor="text1"/>
        </w:rPr>
        <w:t>ibídem</w:t>
      </w:r>
      <w:proofErr w:type="spellEnd"/>
      <w:r w:rsidRPr="00A4749D">
        <w:rPr>
          <w:rFonts w:ascii="Verdana" w:eastAsia="Calibri" w:hAnsi="Verdana" w:cs="Arial"/>
          <w:color w:val="000000" w:themeColor="text1"/>
        </w:rPr>
        <w:t>, pues esta es facultativa para la Entidad. Las únicas exigencias son</w:t>
      </w:r>
      <w:r>
        <w:rPr>
          <w:rFonts w:ascii="Verdana" w:eastAsia="Calibri" w:hAnsi="Verdana" w:cs="Arial"/>
          <w:color w:val="000000" w:themeColor="text1"/>
        </w:rPr>
        <w:t>: i)</w:t>
      </w:r>
      <w:r w:rsidRPr="00A4749D">
        <w:rPr>
          <w:rFonts w:ascii="Verdana" w:eastAsia="Calibri" w:hAnsi="Verdana" w:cs="Arial"/>
          <w:color w:val="000000" w:themeColor="text1"/>
        </w:rPr>
        <w:t xml:space="preserve"> que la convocatoria esté l</w:t>
      </w:r>
      <w:r w:rsidRPr="00A4749D">
        <w:rPr>
          <w:rFonts w:ascii="Verdana" w:hAnsi="Verdana" w:cs="Arial"/>
          <w:color w:val="000000" w:themeColor="text1"/>
        </w:rPr>
        <w:t xml:space="preserve">imitada a las </w:t>
      </w:r>
      <w:proofErr w:type="spellStart"/>
      <w:r w:rsidRPr="00A4749D">
        <w:rPr>
          <w:rFonts w:ascii="Verdana" w:hAnsi="Verdana" w:cs="Arial"/>
          <w:color w:val="000000" w:themeColor="text1"/>
        </w:rPr>
        <w:t>Mipyme</w:t>
      </w:r>
      <w:proofErr w:type="spellEnd"/>
      <w:r w:rsidRPr="00A4749D">
        <w:rPr>
          <w:rFonts w:ascii="Verdana" w:hAnsi="Verdana" w:cs="Arial"/>
          <w:color w:val="000000" w:themeColor="text1"/>
        </w:rPr>
        <w:t xml:space="preserve"> colombianas</w:t>
      </w:r>
      <w:r w:rsidRPr="00A4749D">
        <w:rPr>
          <w:rFonts w:ascii="Verdana" w:eastAsia="Calibri" w:hAnsi="Verdana" w:cs="Arial"/>
          <w:color w:val="000000" w:themeColor="text1"/>
        </w:rPr>
        <w:t xml:space="preserve"> “domiciliadas en los departamentos o municipios en donde se va a ejecutar el contrato” y </w:t>
      </w: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A4749D">
        <w:rPr>
          <w:rFonts w:ascii="Verdana" w:eastAsia="Calibri" w:hAnsi="Verdana" w:cs="Arial"/>
          <w:color w:val="000000" w:themeColor="text1"/>
        </w:rPr>
        <w:t>que la entidad justifique su decisión con base en los “estudios del sector”</w:t>
      </w:r>
      <w:r w:rsidRPr="00C02F37">
        <w:rPr>
          <w:rStyle w:val="Refdenotaalpie"/>
          <w:rFonts w:ascii="Verdana" w:eastAsia="Calibri" w:hAnsi="Verdana" w:cs="Arial"/>
          <w:color w:val="000000" w:themeColor="text1"/>
        </w:rPr>
        <w:footnoteReference w:id="7"/>
      </w:r>
      <w:r>
        <w:rPr>
          <w:rFonts w:ascii="Verdana" w:eastAsia="Calibri" w:hAnsi="Verdana" w:cs="Arial"/>
          <w:color w:val="000000" w:themeColor="text1"/>
        </w:rPr>
        <w:t>.</w:t>
      </w:r>
      <w:r w:rsidRPr="00A4749D">
        <w:rPr>
          <w:rFonts w:ascii="Verdana" w:eastAsia="Calibri" w:hAnsi="Verdana" w:cs="Arial"/>
          <w:color w:val="000000" w:themeColor="text1"/>
        </w:rPr>
        <w:t xml:space="preserve"> No es procedente, entonces, que sean las MiPymes </w:t>
      </w:r>
      <w:r w:rsidRPr="00A4749D">
        <w:rPr>
          <w:rFonts w:ascii="Verdana" w:eastAsia="Calibri" w:hAnsi="Verdana" w:cs="Arial"/>
          <w:color w:val="000000" w:themeColor="text1"/>
        </w:rPr>
        <w:lastRenderedPageBreak/>
        <w:t xml:space="preserve">las que soliciten la “limitación territorial” a la que se refiere el artículo 2.2.1.2.4.2.3 del Decreto 1082 de 2015. </w:t>
      </w:r>
    </w:p>
    <w:p w14:paraId="26003ADB" w14:textId="77777777" w:rsidR="00A136C1" w:rsidRDefault="00A136C1" w:rsidP="00A136C1">
      <w:pPr>
        <w:spacing w:after="0" w:line="276" w:lineRule="auto"/>
        <w:ind w:firstLine="708"/>
        <w:jc w:val="both"/>
        <w:rPr>
          <w:rFonts w:ascii="Verdana" w:hAnsi="Verdana" w:cs="Arial"/>
          <w:color w:val="000000" w:themeColor="text1"/>
        </w:rPr>
      </w:pPr>
      <w:r w:rsidRPr="008B2773">
        <w:rPr>
          <w:rFonts w:ascii="Verdana" w:hAnsi="Verdana" w:cs="Arial"/>
          <w:color w:val="000000" w:themeColor="text1"/>
        </w:rPr>
        <w:t xml:space="preserve">  </w:t>
      </w:r>
    </w:p>
    <w:p w14:paraId="71DEA977" w14:textId="77777777" w:rsidR="00A136C1" w:rsidRPr="0055341A" w:rsidDel="004D5F83" w:rsidRDefault="00A136C1" w:rsidP="00A136C1">
      <w:pPr>
        <w:spacing w:after="120" w:line="276" w:lineRule="auto"/>
        <w:jc w:val="both"/>
        <w:rPr>
          <w:rFonts w:ascii="Verdana" w:eastAsia="Times New Roman" w:hAnsi="Verdana" w:cs="Arial"/>
          <w:lang w:val="es-ES" w:eastAsia="es-ES"/>
        </w:rPr>
      </w:pPr>
      <w:r>
        <w:rPr>
          <w:rFonts w:ascii="Verdana" w:hAnsi="Verdana" w:cs="Arial"/>
          <w:noProof/>
        </w:rPr>
        <w:t>ii</w:t>
      </w:r>
      <w:r>
        <w:rPr>
          <w:rFonts w:ascii="Verdana" w:hAnsi="Verdana" w:cs="Arial"/>
          <w:noProof/>
          <w:lang w:val="es-ES"/>
        </w:rPr>
        <w:t>) En cuanto al segundo problema jurídico, 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 xml:space="preserve">indica que, por regla general, la falta de entrega y los defectos en la acreditación de los requisitos habilitantes son aspectos subsanables. La excepción </w:t>
      </w:r>
      <w:r>
        <w:rPr>
          <w:rFonts w:ascii="Verdana" w:eastAsia="Times New Roman" w:hAnsi="Verdana" w:cs="Arial"/>
          <w:lang w:val="es-ES" w:eastAsia="es-ES"/>
        </w:rPr>
        <w:t>corresponde</w:t>
      </w:r>
      <w:r w:rsidRPr="3F2B4452">
        <w:rPr>
          <w:rFonts w:ascii="Verdana" w:eastAsia="Times New Roman" w:hAnsi="Verdana" w:cs="Arial"/>
          <w:lang w:val="es-ES" w:eastAsia="es-ES"/>
        </w:rPr>
        <w:t xml:space="preserv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06182622" w14:textId="77777777" w:rsidR="00A136C1" w:rsidRDefault="00A136C1" w:rsidP="00A136C1">
      <w:pPr>
        <w:tabs>
          <w:tab w:val="left" w:pos="3828"/>
        </w:tabs>
        <w:spacing w:after="120" w:line="276" w:lineRule="auto"/>
        <w:ind w:firstLine="709"/>
        <w:jc w:val="both"/>
        <w:rPr>
          <w:rFonts w:ascii="Verdana" w:eastAsia="Times New Roman" w:hAnsi="Verdana" w:cs="Arial"/>
          <w:lang w:val="es-ES" w:eastAsia="es-ES"/>
        </w:rPr>
      </w:pPr>
      <w:r w:rsidRPr="37C57DE6">
        <w:rPr>
          <w:rFonts w:ascii="Verdana" w:eastAsia="Times New Roman" w:hAnsi="Verdana" w:cs="Arial"/>
          <w:lang w:val="es-ES" w:eastAsia="es-ES"/>
        </w:rPr>
        <w:t>La posibilidad de enmendar, corregir o subsanar los errores en los que se incurre en los documentos contentivos de la oferta</w:t>
      </w:r>
      <w:r>
        <w:rPr>
          <w:rFonts w:ascii="Verdana" w:eastAsia="Times New Roman" w:hAnsi="Verdana" w:cs="Arial"/>
          <w:lang w:val="es-ES" w:eastAsia="es-ES"/>
        </w:rPr>
        <w:t>,</w:t>
      </w:r>
      <w:r w:rsidRPr="37C57DE6">
        <w:rPr>
          <w:rFonts w:ascii="Verdana" w:eastAsia="Times New Roman" w:hAnsi="Verdana" w:cs="Arial"/>
          <w:lang w:val="es-ES" w:eastAsia="es-ES"/>
        </w:rPr>
        <w:t xml:space="preserve"> es un </w:t>
      </w:r>
      <w:r>
        <w:rPr>
          <w:rFonts w:ascii="Verdana" w:eastAsia="Times New Roman" w:hAnsi="Verdana" w:cs="Arial"/>
          <w:lang w:val="es-ES" w:eastAsia="es-ES"/>
        </w:rPr>
        <w:t xml:space="preserve">asunto </w:t>
      </w:r>
      <w:r w:rsidRPr="37C57DE6">
        <w:rPr>
          <w:rFonts w:ascii="Verdana" w:eastAsia="Times New Roman" w:hAnsi="Verdana" w:cs="Arial"/>
          <w:lang w:val="es-ES" w:eastAsia="es-ES"/>
        </w:rPr>
        <w:t>que ha tenido diferentes momentos o etapas en el ordenamiento jurídico colombiano</w:t>
      </w:r>
      <w:r>
        <w:rPr>
          <w:rFonts w:ascii="Verdana" w:eastAsia="Times New Roman" w:hAnsi="Verdana" w:cs="Arial"/>
          <w:lang w:val="es-ES" w:eastAsia="es-ES"/>
        </w:rPr>
        <w:t xml:space="preserve">. </w:t>
      </w:r>
    </w:p>
    <w:p w14:paraId="677B890B" w14:textId="77777777" w:rsidR="00A136C1" w:rsidRDefault="00A136C1" w:rsidP="00A136C1">
      <w:pPr>
        <w:spacing w:after="120" w:line="276" w:lineRule="auto"/>
        <w:ind w:firstLine="709"/>
        <w:jc w:val="both"/>
        <w:rPr>
          <w:rFonts w:ascii="Verdana" w:eastAsia="Arial" w:hAnsi="Verdana" w:cs="Arial"/>
          <w:color w:val="000000" w:themeColor="text1"/>
        </w:rPr>
      </w:pPr>
      <w:r w:rsidRPr="05E3EA9D">
        <w:rPr>
          <w:rFonts w:ascii="Verdana" w:eastAsia="Arial" w:hAnsi="Verdana" w:cs="Arial"/>
          <w:color w:val="000000" w:themeColor="text1"/>
        </w:rPr>
        <w:t xml:space="preserve">En un </w:t>
      </w:r>
      <w:r w:rsidRPr="05E3EA9D">
        <w:rPr>
          <w:rFonts w:ascii="Verdana" w:eastAsia="Arial" w:hAnsi="Verdana" w:cs="Arial"/>
          <w:i/>
          <w:color w:val="000000" w:themeColor="text1"/>
        </w:rPr>
        <w:t>primer momento</w:t>
      </w:r>
      <w:r w:rsidRPr="05E3EA9D">
        <w:rPr>
          <w:rFonts w:ascii="Verdana" w:eastAsia="Arial" w:hAnsi="Verdana" w:cs="Arial"/>
          <w:color w:val="000000" w:themeColor="text1"/>
        </w:rPr>
        <w:t xml:space="preserve">, antes de expedirse la Constitución Política de 1991, el régimen jurídico de la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094548A9" w14:textId="77777777" w:rsidR="00A136C1" w:rsidRPr="006550E3" w:rsidRDefault="00A136C1" w:rsidP="00A136C1">
      <w:pPr>
        <w:spacing w:before="120" w:after="0" w:line="276" w:lineRule="auto"/>
        <w:ind w:firstLine="709"/>
        <w:jc w:val="both"/>
        <w:rPr>
          <w:rFonts w:ascii="Verdana" w:eastAsia="Arial" w:hAnsi="Verdana" w:cs="Arial"/>
          <w:color w:val="000000" w:themeColor="text1"/>
        </w:rPr>
      </w:pPr>
      <w:r w:rsidRPr="00C64261">
        <w:rPr>
          <w:rFonts w:ascii="Verdana" w:eastAsia="Arial" w:hAnsi="Verdana" w:cs="Arial"/>
          <w:color w:val="000000"/>
        </w:rPr>
        <w:t xml:space="preserve">En un </w:t>
      </w:r>
      <w:r w:rsidRPr="00C64261">
        <w:rPr>
          <w:rFonts w:ascii="Verdana" w:eastAsia="Arial" w:hAnsi="Verdana" w:cs="Arial"/>
          <w:i/>
          <w:color w:val="000000"/>
        </w:rPr>
        <w:t>segundo momento</w:t>
      </w:r>
      <w:r w:rsidRPr="00C64261">
        <w:rPr>
          <w:rFonts w:ascii="Verdana" w:eastAsia="Arial" w:hAnsi="Verdana" w:cs="Arial"/>
          <w:color w:val="000000"/>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p>
    <w:p w14:paraId="420130D2" w14:textId="77777777" w:rsidR="00A136C1" w:rsidRPr="00216288" w:rsidRDefault="00A136C1" w:rsidP="00A136C1">
      <w:pPr>
        <w:spacing w:after="0" w:line="240" w:lineRule="auto"/>
        <w:ind w:left="709" w:right="709"/>
        <w:jc w:val="both"/>
        <w:rPr>
          <w:rFonts w:ascii="Verdana" w:eastAsia="Arial" w:hAnsi="Verdana" w:cs="Arial"/>
          <w:color w:val="000000"/>
          <w:sz w:val="20"/>
          <w:szCs w:val="20"/>
        </w:rPr>
      </w:pPr>
      <w:r w:rsidRPr="00216288">
        <w:rPr>
          <w:rFonts w:ascii="Verdana" w:eastAsia="Arial" w:hAnsi="Verdana" w:cs="Arial"/>
          <w:color w:val="000000"/>
          <w:sz w:val="20"/>
          <w:szCs w:val="20"/>
        </w:rPr>
        <w:lastRenderedPageBreak/>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42BAAF52" w14:textId="77777777" w:rsidR="00A136C1" w:rsidRDefault="00A136C1" w:rsidP="00A136C1">
      <w:pPr>
        <w:spacing w:after="0" w:line="240" w:lineRule="auto"/>
        <w:ind w:left="709" w:right="709"/>
        <w:jc w:val="both"/>
        <w:rPr>
          <w:rFonts w:ascii="Verdana" w:eastAsia="Arial" w:hAnsi="Verdana" w:cs="Arial"/>
          <w:color w:val="000000" w:themeColor="text1"/>
          <w:sz w:val="20"/>
          <w:szCs w:val="20"/>
        </w:rPr>
      </w:pPr>
    </w:p>
    <w:p w14:paraId="0EE4BE20" w14:textId="77777777" w:rsidR="00A136C1" w:rsidRPr="001F283D" w:rsidRDefault="00A136C1" w:rsidP="00A136C1">
      <w:pPr>
        <w:spacing w:after="0" w:line="240" w:lineRule="auto"/>
        <w:ind w:left="709" w:right="709"/>
        <w:jc w:val="both"/>
        <w:rPr>
          <w:rFonts w:ascii="Verdana" w:eastAsia="Arial" w:hAnsi="Verdana" w:cs="Arial"/>
          <w:color w:val="000000"/>
          <w:sz w:val="20"/>
          <w:szCs w:val="20"/>
        </w:rPr>
      </w:pPr>
      <w:r w:rsidRPr="05E3EA9D">
        <w:rPr>
          <w:rFonts w:ascii="Verdana" w:eastAsia="Arial" w:hAnsi="Verdana" w:cs="Arial"/>
          <w:color w:val="000000" w:themeColor="text1"/>
          <w:sz w:val="20"/>
          <w:szCs w:val="20"/>
        </w:rPr>
        <w:t xml:space="preserve">La ausencia de requisitos o la falta de documentos referentes a la futura contratación o al proponente, no necesarios para la comparación de propuestas, no servirá de título suficiente para el rechazo de los ofrecimientos hechos”. </w:t>
      </w:r>
    </w:p>
    <w:p w14:paraId="785E8339" w14:textId="77777777" w:rsidR="00A136C1" w:rsidRPr="00693ABA" w:rsidRDefault="00A136C1" w:rsidP="00A136C1">
      <w:pPr>
        <w:spacing w:after="0" w:line="240" w:lineRule="auto"/>
        <w:ind w:left="709" w:right="709"/>
        <w:jc w:val="both"/>
        <w:rPr>
          <w:rFonts w:ascii="Verdana" w:eastAsia="Arial" w:hAnsi="Verdana" w:cs="Arial"/>
          <w:color w:val="000000"/>
        </w:rPr>
      </w:pPr>
    </w:p>
    <w:p w14:paraId="5CDD2B59" w14:textId="77777777" w:rsidR="00A136C1" w:rsidRDefault="00A136C1" w:rsidP="00A136C1">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Bajo el amparo de esta norma, el régimen jurídico de </w:t>
      </w:r>
      <w:proofErr w:type="spellStart"/>
      <w:r w:rsidRPr="05E3EA9D">
        <w:rPr>
          <w:rFonts w:ascii="Verdana" w:eastAsia="Arial" w:hAnsi="Verdana" w:cs="Arial"/>
          <w:color w:val="000000" w:themeColor="text1"/>
        </w:rPr>
        <w:t>subsanabilidad</w:t>
      </w:r>
      <w:proofErr w:type="spellEnd"/>
      <w:r w:rsidRPr="05E3EA9D">
        <w:rPr>
          <w:rFonts w:ascii="Verdana" w:eastAsia="Arial" w:hAnsi="Verdana" w:cs="Arial"/>
          <w:color w:val="000000" w:themeColor="text1"/>
        </w:rPr>
        <w:t xml:space="preserve"> de las ofertas sufre un cambio fundamental, pues ya no era posible rechazar las ofertas por falta de requisitos o documentos que no fueran “</w:t>
      </w:r>
      <w:r w:rsidRPr="05E3EA9D">
        <w:rPr>
          <w:rFonts w:ascii="Verdana" w:eastAsia="Arial" w:hAnsi="Verdana" w:cs="Arial"/>
          <w:i/>
          <w:color w:val="000000" w:themeColor="text1"/>
        </w:rPr>
        <w:t>necesarios para la comparación de propuestas</w:t>
      </w:r>
      <w:r w:rsidRPr="05E3EA9D">
        <w:rPr>
          <w:rFonts w:ascii="Verdana" w:eastAsia="Arial" w:hAnsi="Verdana" w:cs="Arial"/>
          <w:color w:val="000000" w:themeColor="text1"/>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2BD4E919" w14:textId="77777777" w:rsidR="00A136C1" w:rsidRDefault="00A136C1" w:rsidP="00A136C1">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artículo 25</w:t>
      </w:r>
      <w:r>
        <w:rPr>
          <w:rFonts w:ascii="Verdana" w:eastAsia="Arial" w:hAnsi="Verdana" w:cs="Arial"/>
          <w:color w:val="000000"/>
        </w:rPr>
        <w:t xml:space="preserve"> numeral 1</w:t>
      </w:r>
      <w:r w:rsidRPr="00C64261">
        <w:rPr>
          <w:rFonts w:ascii="Verdana" w:eastAsia="Arial" w:hAnsi="Verdana" w:cs="Arial"/>
          <w:color w:val="000000"/>
        </w:rPr>
        <w:t xml:space="preserve">5 </w:t>
      </w:r>
      <w:r>
        <w:rPr>
          <w:rFonts w:ascii="Verdana" w:eastAsia="Arial" w:hAnsi="Verdana" w:cs="Arial"/>
          <w:color w:val="000000"/>
        </w:rPr>
        <w:t xml:space="preserve">de la Ley 80 de 1993 </w:t>
      </w:r>
      <w:r w:rsidRPr="00C64261">
        <w:rPr>
          <w:rFonts w:ascii="Verdana" w:eastAsia="Arial" w:hAnsi="Verdana" w:cs="Arial"/>
          <w:color w:val="000000"/>
        </w:rPr>
        <w:t>debía leerse en conjunto con otras de</w:t>
      </w:r>
      <w:r>
        <w:rPr>
          <w:rFonts w:ascii="Verdana" w:eastAsia="Arial" w:hAnsi="Verdana" w:cs="Arial"/>
          <w:color w:val="000000"/>
        </w:rPr>
        <w:t>l EGCAP</w:t>
      </w:r>
      <w:r w:rsidRPr="00C64261">
        <w:rPr>
          <w:rFonts w:ascii="Verdana" w:eastAsia="Arial" w:hAnsi="Verdana" w:cs="Arial"/>
          <w:color w:val="000000"/>
        </w:rPr>
        <w:t>, particularmente con el artículo 30</w:t>
      </w:r>
      <w:r>
        <w:rPr>
          <w:rFonts w:ascii="Verdana" w:eastAsia="Arial" w:hAnsi="Verdana" w:cs="Arial"/>
          <w:color w:val="000000"/>
        </w:rPr>
        <w:t xml:space="preserve"> numeral </w:t>
      </w:r>
      <w:r w:rsidRPr="00C64261">
        <w:rPr>
          <w:rFonts w:ascii="Verdana" w:eastAsia="Arial" w:hAnsi="Verdana" w:cs="Arial"/>
          <w:color w:val="000000"/>
        </w:rPr>
        <w:t>7</w:t>
      </w:r>
      <w:r w:rsidRPr="00C64261">
        <w:rPr>
          <w:rFonts w:ascii="Verdana" w:eastAsia="Arial" w:hAnsi="Verdana" w:cs="Arial"/>
          <w:color w:val="000000"/>
          <w:vertAlign w:val="superscript"/>
        </w:rPr>
        <w:footnoteReference w:id="8"/>
      </w:r>
      <w:r w:rsidRPr="00C64261">
        <w:rPr>
          <w:rFonts w:ascii="Verdana" w:eastAsia="Arial" w:hAnsi="Verdana" w:cs="Arial"/>
          <w:color w:val="000000"/>
        </w:rPr>
        <w:t xml:space="preserve">, que ordena a la </w:t>
      </w:r>
      <w:r w:rsidRPr="003C06BF">
        <w:rPr>
          <w:rFonts w:ascii="Verdana" w:eastAsia="Arial" w:hAnsi="Verdana" w:cs="Arial"/>
          <w:color w:val="000000"/>
        </w:rPr>
        <w:t>entidad señalar un plazo razonable para evaluar las propuestas y pedir a los proponentes, de ser necesario, que aclaren o expliquen aspectos que ofrezcan dudas y resulten indispensables para hacer la evaluación</w:t>
      </w:r>
      <w:r>
        <w:rPr>
          <w:rFonts w:ascii="Verdana" w:eastAsia="Arial" w:hAnsi="Verdana" w:cs="Arial"/>
          <w:color w:val="000000"/>
        </w:rPr>
        <w:t>. C</w:t>
      </w:r>
      <w:r w:rsidRPr="003C06BF">
        <w:rPr>
          <w:rFonts w:ascii="Verdana" w:eastAsia="Arial" w:hAnsi="Verdana" w:cs="Arial"/>
          <w:color w:val="000000"/>
        </w:rPr>
        <w:t>on el artículo 30</w:t>
      </w:r>
      <w:r>
        <w:rPr>
          <w:rFonts w:ascii="Verdana" w:eastAsia="Arial" w:hAnsi="Verdana" w:cs="Arial"/>
          <w:color w:val="000000"/>
        </w:rPr>
        <w:t xml:space="preserve"> numeral </w:t>
      </w:r>
      <w:r w:rsidRPr="003C06BF">
        <w:rPr>
          <w:rFonts w:ascii="Verdana" w:eastAsia="Arial" w:hAnsi="Verdana" w:cs="Arial"/>
          <w:color w:val="000000"/>
        </w:rPr>
        <w:t>8</w:t>
      </w:r>
      <w:r w:rsidRPr="003C06BF">
        <w:rPr>
          <w:rFonts w:ascii="Verdana" w:eastAsia="Arial" w:hAnsi="Verdana" w:cs="Arial"/>
          <w:color w:val="000000"/>
          <w:vertAlign w:val="superscript"/>
        </w:rPr>
        <w:footnoteReference w:id="9"/>
      </w:r>
      <w:r w:rsidRPr="003C06BF">
        <w:rPr>
          <w:rFonts w:ascii="Verdana" w:eastAsia="Arial" w:hAnsi="Verdana" w:cs="Arial"/>
          <w:color w:val="000000"/>
        </w:rPr>
        <w:t>, que consagró el término de 5 días hábiles para que los oferentes presenten observaciones al informe de evaluación de las propuestas, sin que sea posible completar, adicionar, modificar o mejorar la oferta. A partir de la lectura integrada de estas tres normas</w:t>
      </w:r>
      <w:r>
        <w:rPr>
          <w:rFonts w:ascii="Verdana" w:eastAsia="Arial" w:hAnsi="Verdana" w:cs="Arial"/>
          <w:color w:val="000000"/>
        </w:rPr>
        <w:t>,</w:t>
      </w:r>
      <w:r w:rsidRPr="003C06BF">
        <w:rPr>
          <w:rFonts w:ascii="Verdana" w:eastAsia="Arial" w:hAnsi="Verdana" w:cs="Arial"/>
          <w:color w:val="000000"/>
        </w:rPr>
        <w:t xml:space="preserve"> debía concluirse que con la Ley 80 de 1993 era posible subsanar las propuestas, y la omisión o el error en algún aspecto de </w:t>
      </w:r>
      <w:proofErr w:type="gramStart"/>
      <w:r w:rsidRPr="003C06BF">
        <w:rPr>
          <w:rFonts w:ascii="Verdana" w:eastAsia="Arial" w:hAnsi="Verdana" w:cs="Arial"/>
          <w:color w:val="000000"/>
        </w:rPr>
        <w:t>la misma</w:t>
      </w:r>
      <w:proofErr w:type="gramEnd"/>
      <w:r w:rsidRPr="003C06BF">
        <w:rPr>
          <w:rFonts w:ascii="Verdana" w:eastAsia="Arial" w:hAnsi="Verdana" w:cs="Arial"/>
          <w:color w:val="000000"/>
        </w:rPr>
        <w:t xml:space="preserve"> no podía llevar a su rechazo, sin antes verificar que lo omitido fuera un aspecto necesario para la comparación.</w:t>
      </w:r>
      <w:r w:rsidRPr="00C64261">
        <w:rPr>
          <w:rFonts w:ascii="Verdana" w:eastAsia="Arial" w:hAnsi="Verdana" w:cs="Arial"/>
          <w:color w:val="000000"/>
        </w:rPr>
        <w:t xml:space="preserve"> </w:t>
      </w:r>
    </w:p>
    <w:p w14:paraId="21FF2FE9" w14:textId="77777777" w:rsidR="00A136C1" w:rsidRDefault="00A136C1" w:rsidP="00A136C1">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lastRenderedPageBreak/>
        <w:t xml:space="preserve">En un </w:t>
      </w:r>
      <w:r w:rsidRPr="00C64261">
        <w:rPr>
          <w:rFonts w:ascii="Verdana" w:eastAsia="Arial" w:hAnsi="Verdana" w:cs="Arial"/>
          <w:i/>
          <w:color w:val="000000"/>
        </w:rPr>
        <w:t>tercer momento</w:t>
      </w:r>
      <w:r w:rsidRPr="00C64261">
        <w:rPr>
          <w:rFonts w:ascii="Verdana" w:eastAsia="Arial" w:hAnsi="Verdana" w:cs="Arial"/>
          <w:color w:val="000000"/>
        </w:rPr>
        <w:t>, y siguiendo la línea trazada por la Ley 80 de 1993, el legislador expidió la Ley 1150 de 2007, que, en el parágrafo 1º del artículo 5, determinó lo siguiente: “La ausencia de requisitos o la falta de documentos referentes a la futura contratación o al proponente, no necesarios para la comparación de las propuestas no servirán de título suficiente para el rechazo de los ofrecimientos hechos. En consecuencia</w:t>
      </w:r>
      <w:r w:rsidRPr="00C64261">
        <w:rPr>
          <w:rFonts w:ascii="Verdana" w:eastAsia="Arial" w:hAnsi="Verdana" w:cs="Arial"/>
          <w:b/>
          <w:color w:val="000000"/>
        </w:rPr>
        <w:t xml:space="preserve">, </w:t>
      </w:r>
      <w:r w:rsidRPr="00C64261">
        <w:rPr>
          <w:rFonts w:ascii="Verdana" w:eastAsia="Arial" w:hAnsi="Verdana" w:cs="Arial"/>
          <w:color w:val="000000"/>
        </w:rPr>
        <w:t xml:space="preserve">todos aquellos requisitos de la propuesta que no afecten la asignación de </w:t>
      </w:r>
      <w:proofErr w:type="gramStart"/>
      <w:r w:rsidRPr="00C64261">
        <w:rPr>
          <w:rFonts w:ascii="Verdana" w:eastAsia="Arial" w:hAnsi="Verdana" w:cs="Arial"/>
          <w:color w:val="000000"/>
        </w:rPr>
        <w:t>puntaje</w:t>
      </w:r>
      <w:r>
        <w:rPr>
          <w:rFonts w:ascii="Verdana" w:eastAsia="Arial" w:hAnsi="Verdana" w:cs="Arial"/>
          <w:color w:val="000000"/>
        </w:rPr>
        <w:t>,</w:t>
      </w:r>
      <w:proofErr w:type="gramEnd"/>
      <w:r w:rsidRPr="00C64261">
        <w:rPr>
          <w:rFonts w:ascii="Verdana" w:eastAsia="Arial" w:hAnsi="Verdana" w:cs="Arial"/>
          <w:color w:val="000000"/>
        </w:rPr>
        <w:t xml:space="preserve"> podrán ser solicitados por las entidades en cualquier momento, hasta la adjudicación. No </w:t>
      </w:r>
      <w:proofErr w:type="gramStart"/>
      <w:r w:rsidRPr="00C64261">
        <w:rPr>
          <w:rFonts w:ascii="Verdana" w:eastAsia="Arial" w:hAnsi="Verdana" w:cs="Arial"/>
          <w:color w:val="000000"/>
        </w:rPr>
        <w:t>obstante</w:t>
      </w:r>
      <w:proofErr w:type="gramEnd"/>
      <w:r w:rsidRPr="00C64261">
        <w:rPr>
          <w:rFonts w:ascii="Verdana" w:eastAsia="Arial" w:hAnsi="Verdana" w:cs="Arial"/>
          <w:color w:val="000000"/>
        </w:rPr>
        <w:t xml:space="preserve"> lo anterior, en aquellos procesos de selección en los que se utilice el mecanismo de subasta, deberán ser solicitados hasta el momento previo a su realización”. </w:t>
      </w:r>
    </w:p>
    <w:p w14:paraId="55DDD097" w14:textId="77777777" w:rsidR="00A136C1" w:rsidRDefault="00A136C1" w:rsidP="00A136C1">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al verificar la Administración encuentra que lo omitido por el proponente es un aspecto que otorga puntaje, no es posible subsanarlo; pero, si no otorga puntaje, la Administración debe requerir al proponente para que lo subsane.  </w:t>
      </w:r>
    </w:p>
    <w:p w14:paraId="39980D9E" w14:textId="77777777" w:rsidR="00A136C1" w:rsidRPr="00C64261" w:rsidRDefault="00A136C1" w:rsidP="00A136C1">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artículo 5 de la Ley 1150 de 2007, además de consagrar un criterio más claro, y, de paso, reducir la discrecionalidad de la Administración, fijó un ámbito temporal para la subsanación de las ofertas: “</w:t>
      </w:r>
      <w:r w:rsidRPr="00C64261">
        <w:rPr>
          <w:rFonts w:ascii="Verdana" w:eastAsia="Arial" w:hAnsi="Verdana" w:cs="Arial"/>
          <w:i/>
          <w:color w:val="000000"/>
        </w:rPr>
        <w:t>en cualquier momento, hasta la adjudicación</w:t>
      </w:r>
      <w:r w:rsidRPr="00C64261">
        <w:rPr>
          <w:rFonts w:ascii="Verdana" w:eastAsia="Arial" w:hAnsi="Verdana" w:cs="Arial"/>
          <w:color w:val="000000"/>
        </w:rPr>
        <w:t xml:space="preserve">”.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194F3B4B" w14:textId="77777777" w:rsidR="00A136C1" w:rsidRPr="00C64261" w:rsidRDefault="00A136C1" w:rsidP="00A136C1">
      <w:pPr>
        <w:spacing w:after="0" w:line="240" w:lineRule="auto"/>
        <w:jc w:val="both"/>
        <w:rPr>
          <w:rFonts w:ascii="Verdana" w:eastAsia="Arial" w:hAnsi="Verdana" w:cs="Arial"/>
          <w:color w:val="000000"/>
        </w:rPr>
      </w:pPr>
    </w:p>
    <w:p w14:paraId="0FA27E5F" w14:textId="77777777" w:rsidR="00A136C1" w:rsidRDefault="00A136C1" w:rsidP="00A136C1">
      <w:pPr>
        <w:spacing w:after="0" w:line="240" w:lineRule="auto"/>
        <w:ind w:left="709" w:right="709"/>
        <w:jc w:val="both"/>
        <w:rPr>
          <w:rFonts w:ascii="Verdana" w:eastAsia="Arial" w:hAnsi="Verdana" w:cs="Arial"/>
          <w:color w:val="000000"/>
          <w:sz w:val="20"/>
          <w:szCs w:val="20"/>
        </w:rPr>
      </w:pPr>
      <w:r w:rsidRPr="003C06BF">
        <w:rPr>
          <w:rFonts w:ascii="Verdana" w:eastAsia="Arial" w:hAnsi="Verdana" w:cs="Arial"/>
          <w:color w:val="000000"/>
          <w:sz w:val="20"/>
          <w:szCs w:val="20"/>
        </w:rPr>
        <w:t xml:space="preserve">“Esto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w:t>
      </w:r>
      <w:r w:rsidRPr="003C06BF">
        <w:rPr>
          <w:rFonts w:ascii="Verdana" w:eastAsia="Arial" w:hAnsi="Verdana" w:cs="Arial"/>
          <w:color w:val="000000"/>
          <w:sz w:val="20"/>
          <w:szCs w:val="20"/>
        </w:rPr>
        <w:lastRenderedPageBreak/>
        <w:t>condiciones de ser evaluada, y no importa si se refiere a no a problemas de capacidad o a requisitos cumplidos antes o después de presentadas las ofertas, con la condición de que cuando le pidan la acreditación la satisfaga suficientemente”</w:t>
      </w:r>
      <w:r w:rsidRPr="003C06BF">
        <w:rPr>
          <w:rFonts w:ascii="Verdana" w:eastAsia="Arial" w:hAnsi="Verdana" w:cs="Arial"/>
          <w:color w:val="000000"/>
          <w:sz w:val="20"/>
          <w:szCs w:val="20"/>
          <w:vertAlign w:val="superscript"/>
        </w:rPr>
        <w:footnoteReference w:id="10"/>
      </w:r>
      <w:r w:rsidRPr="003C06BF">
        <w:rPr>
          <w:rFonts w:ascii="Verdana" w:eastAsia="Arial" w:hAnsi="Verdana" w:cs="Arial"/>
          <w:color w:val="000000"/>
          <w:sz w:val="20"/>
          <w:szCs w:val="20"/>
        </w:rPr>
        <w:t>.</w:t>
      </w:r>
    </w:p>
    <w:p w14:paraId="67D6B8FC" w14:textId="77777777" w:rsidR="00A136C1" w:rsidRPr="00EC0EEB" w:rsidRDefault="00A136C1" w:rsidP="00A136C1">
      <w:pPr>
        <w:spacing w:after="0" w:line="240" w:lineRule="auto"/>
        <w:ind w:left="709" w:right="709"/>
        <w:jc w:val="both"/>
        <w:rPr>
          <w:rFonts w:ascii="Verdana" w:eastAsia="Arial" w:hAnsi="Verdana" w:cs="Arial"/>
          <w:color w:val="000000"/>
          <w:sz w:val="20"/>
          <w:szCs w:val="20"/>
        </w:rPr>
      </w:pPr>
    </w:p>
    <w:p w14:paraId="33837769" w14:textId="77777777" w:rsidR="00A136C1" w:rsidRDefault="00A136C1" w:rsidP="00A136C1">
      <w:pPr>
        <w:pBdr>
          <w:top w:val="nil"/>
          <w:left w:val="nil"/>
          <w:bottom w:val="nil"/>
          <w:right w:val="nil"/>
          <w:between w:val="nil"/>
        </w:pBdr>
        <w:tabs>
          <w:tab w:val="left" w:pos="284"/>
        </w:tabs>
        <w:spacing w:after="0" w:line="276" w:lineRule="auto"/>
        <w:ind w:firstLine="709"/>
        <w:jc w:val="both"/>
        <w:rPr>
          <w:rFonts w:ascii="Verdana" w:eastAsia="Arial" w:hAnsi="Verdana" w:cs="Arial"/>
          <w:color w:val="000000"/>
        </w:rPr>
      </w:pPr>
      <w:r w:rsidRPr="00C64261">
        <w:rPr>
          <w:rFonts w:ascii="Verdana" w:eastAsia="Arial" w:hAnsi="Verdana" w:cs="Arial"/>
          <w:color w:val="000000"/>
        </w:rPr>
        <w:t>Esa interpretación fue compartida por la Agencia Nacional de Contratación Pública – Colombia Compra Eficiente, pues en la Circular Externa Única</w:t>
      </w:r>
      <w:r>
        <w:rPr>
          <w:rStyle w:val="Refdenotaalpie"/>
          <w:rFonts w:ascii="Verdana" w:eastAsia="Arial" w:hAnsi="Verdana" w:cs="Arial"/>
          <w:color w:val="000000"/>
        </w:rPr>
        <w:footnoteReference w:id="11"/>
      </w:r>
      <w:r w:rsidRPr="00C64261">
        <w:rPr>
          <w:rFonts w:ascii="Verdana" w:eastAsia="Arial" w:hAnsi="Verdana" w:cs="Arial"/>
          <w:color w:val="000000"/>
        </w:rPr>
        <w:t xml:space="preserve"> se había precisado que</w:t>
      </w:r>
      <w:r>
        <w:rPr>
          <w:rFonts w:ascii="Verdana" w:eastAsia="Arial" w:hAnsi="Verdana" w:cs="Arial"/>
          <w:color w:val="000000"/>
        </w:rPr>
        <w:t>,</w:t>
      </w:r>
      <w:r w:rsidRPr="00C64261">
        <w:rPr>
          <w:rFonts w:ascii="Verdana" w:eastAsia="Arial" w:hAnsi="Verdana" w:cs="Arial"/>
          <w:color w:val="000000"/>
        </w:rPr>
        <w:t xml:space="preserve"> si durante un proceso de contratación hay proponentes que no acreditaron en sus ofertas requisitos que no afectan la asignación de puntaje o la comparación de </w:t>
      </w:r>
      <w:proofErr w:type="gramStart"/>
      <w:r w:rsidRPr="00C64261">
        <w:rPr>
          <w:rFonts w:ascii="Verdana" w:eastAsia="Arial" w:hAnsi="Verdana" w:cs="Arial"/>
          <w:color w:val="000000"/>
        </w:rPr>
        <w:t>las mismas</w:t>
      </w:r>
      <w:proofErr w:type="gramEnd"/>
      <w:r w:rsidRPr="00C64261">
        <w:rPr>
          <w:rFonts w:ascii="Verdana" w:eastAsia="Arial" w:hAnsi="Verdana" w:cs="Arial"/>
          <w:color w:val="000000"/>
        </w:rPr>
        <w:t>, la entidad estatal deberá indicarlo en el informe de evaluación y advertir que la correspondiente oferta no será evaluada hasta que se subsane.</w:t>
      </w:r>
    </w:p>
    <w:p w14:paraId="5588C525" w14:textId="77777777" w:rsidR="00A136C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un </w:t>
      </w:r>
      <w:r w:rsidRPr="00C64261">
        <w:rPr>
          <w:rFonts w:ascii="Verdana" w:eastAsia="Arial" w:hAnsi="Verdana" w:cs="Arial"/>
          <w:i/>
          <w:color w:val="000000"/>
        </w:rPr>
        <w:t>cuarto momento</w:t>
      </w:r>
      <w:r w:rsidRPr="00C64261">
        <w:rPr>
          <w:rFonts w:ascii="Verdana" w:eastAsia="Arial" w:hAnsi="Verdana" w:cs="Arial"/>
          <w:color w:val="000000"/>
        </w:rPr>
        <w:t xml:space="preserve">, el legislador expidió la Ley 1882 de 2018, con la finalidad de introducir cambios y ajustes para fortalecer la contratación pública. El artículo 5 modificó el parágrafo 1º del artículo 5 de la Ley 1150 de 2007 en los siguientes términos: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7AFFF9A6" w14:textId="77777777" w:rsidR="00A136C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Como puede observarse, esta norma: i) mantiene el criterio de la Ley 80 de 1993, relativo a que todo lo que no sea necesario para la comparación de propuestas no es título suficiente para su rechazo;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xml:space="preserve">) mantiene el criterio aclaratorio de la Ley 1150 de 2007, según el cual todo lo que no afecte la </w:t>
      </w:r>
      <w:r w:rsidRPr="00C64261">
        <w:rPr>
          <w:rFonts w:ascii="Verdana" w:eastAsia="Arial" w:hAnsi="Verdana" w:cs="Arial"/>
          <w:color w:val="000000"/>
        </w:rPr>
        <w:lastRenderedPageBreak/>
        <w:t xml:space="preserve">asignación de puntaje puede subsanarse 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xml:space="preserve">) introduce modificaciones en relación con algunos aspectos que se analizarán a continuación. </w:t>
      </w:r>
    </w:p>
    <w:p w14:paraId="49195402" w14:textId="77777777" w:rsidR="00A136C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C64261">
        <w:rPr>
          <w:rFonts w:ascii="Verdana" w:eastAsia="Arial" w:hAnsi="Verdana" w:cs="Arial"/>
          <w:color w:val="000000"/>
          <w:vertAlign w:val="superscript"/>
        </w:rPr>
        <w:footnoteReference w:id="12"/>
      </w:r>
      <w:r w:rsidRPr="00C64261">
        <w:rPr>
          <w:rFonts w:ascii="Verdana" w:eastAsia="Arial" w:hAnsi="Verdana" w:cs="Arial"/>
          <w:color w:val="000000"/>
        </w:rPr>
        <w:t>; en el último</w:t>
      </w:r>
      <w:r>
        <w:rPr>
          <w:rFonts w:ascii="Verdana" w:eastAsia="Arial" w:hAnsi="Verdana" w:cs="Arial"/>
          <w:color w:val="000000"/>
        </w:rPr>
        <w:t>,</w:t>
      </w:r>
      <w:r w:rsidRPr="00C64261">
        <w:rPr>
          <w:rFonts w:ascii="Verdana" w:eastAsia="Arial" w:hAnsi="Verdana" w:cs="Arial"/>
          <w:color w:val="000000"/>
        </w:rPr>
        <w:t xml:space="preserve"> los documentos o requisitos subsanables pueden y deben solicitarse hasta el momento previo a su realización.</w:t>
      </w:r>
    </w:p>
    <w:p w14:paraId="6BB8B08F" w14:textId="77777777" w:rsidR="00A136C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“deberán ser solicitados por las entidades estatales y deberán ser entregados por los proponentes hasta el término de traslado del informe de evaluación que corresponda a cada modalidad de selección”. </w:t>
      </w:r>
    </w:p>
    <w:p w14:paraId="275A4401" w14:textId="77777777" w:rsidR="00A136C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No obstante, de la lectura de este aparte podrían, en la práctica, darse dos interpretaciones que dan lugar a dos formas de proceder en los procesos de selección, en lo que se refiere a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w:t>
      </w:r>
      <w:r w:rsidRPr="00C64261">
        <w:rPr>
          <w:rFonts w:ascii="Verdana" w:eastAsia="Arial" w:hAnsi="Verdana" w:cs="Arial"/>
          <w:i/>
          <w:color w:val="000000"/>
        </w:rPr>
        <w:t>Primera</w:t>
      </w:r>
      <w:r w:rsidRPr="00C64261">
        <w:rPr>
          <w:rFonts w:ascii="Verdana" w:eastAsia="Arial" w:hAnsi="Verdana" w:cs="Arial"/>
          <w:color w:val="000000"/>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C64261">
        <w:rPr>
          <w:rFonts w:ascii="Verdana" w:eastAsia="Arial" w:hAnsi="Verdana" w:cs="Arial"/>
          <w:i/>
          <w:color w:val="000000"/>
        </w:rPr>
        <w:t>segunda</w:t>
      </w:r>
      <w:r w:rsidRPr="00C64261">
        <w:rPr>
          <w:rFonts w:ascii="Verdana" w:eastAsia="Arial" w:hAnsi="Verdana" w:cs="Arial"/>
          <w:color w:val="000000"/>
        </w:rPr>
        <w:t xml:space="preserve">, que el término del traslado del informe de evaluación es el límite para la subsanación de ofertas, pero no el único momento para hacerlo. </w:t>
      </w:r>
    </w:p>
    <w:p w14:paraId="4CEF9D20" w14:textId="77777777" w:rsidR="00A136C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De acuerdo con la primera interpretación, el informe de evaluación se convierte en la oportunidad que adopta la Administración para comunicarles a los oferentes qué documentos o requisitos omitieron y deben subsanar y, </w:t>
      </w:r>
      <w:r w:rsidRPr="00C64261">
        <w:rPr>
          <w:rFonts w:ascii="Verdana" w:eastAsia="Arial" w:hAnsi="Verdana" w:cs="Arial"/>
          <w:color w:val="000000"/>
        </w:rPr>
        <w:lastRenderedPageBreak/>
        <w:t>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w:t>
      </w:r>
    </w:p>
    <w:p w14:paraId="1F6BA866" w14:textId="77777777" w:rsidR="00A136C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En criterio de esta Subdirección, la segunda interpretación es la que más se ajusta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00280762" w14:textId="77777777" w:rsidR="00A136C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1AAFE22B" w14:textId="77777777" w:rsidR="00A136C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De otro lado, el segundo cambio importante de la Ley 1882 de 2018 fue la introducción de un criterio material, directamente relacionado con los aspectos subsanables: “los proponentes no podrán acreditar circunstancias ocurridas con posterioridad al cierre del proceso”</w:t>
      </w:r>
      <w:r w:rsidRPr="00C64261">
        <w:rPr>
          <w:rFonts w:ascii="Verdana" w:eastAsia="Arial" w:hAnsi="Verdana" w:cs="Arial"/>
          <w:b/>
          <w:i/>
          <w:color w:val="000000"/>
        </w:rPr>
        <w:t>.</w:t>
      </w:r>
      <w:r w:rsidRPr="00C64261">
        <w:rPr>
          <w:rFonts w:ascii="Verdana" w:eastAsia="Arial" w:hAnsi="Verdana" w:cs="Arial"/>
          <w:b/>
          <w:color w:val="000000"/>
        </w:rPr>
        <w:t xml:space="preserve"> </w:t>
      </w:r>
      <w:r w:rsidRPr="00C64261">
        <w:rPr>
          <w:rFonts w:ascii="Verdana" w:eastAsia="Arial" w:hAnsi="Verdana" w:cs="Arial"/>
          <w:color w:val="000000"/>
        </w:rPr>
        <w:t xml:space="preserve">Lo anterior ofrece dos aspectos que merecen clarificación: </w:t>
      </w:r>
      <w:r w:rsidRPr="00C64261">
        <w:rPr>
          <w:rFonts w:ascii="Verdana" w:eastAsia="Arial" w:hAnsi="Verdana" w:cs="Arial"/>
          <w:i/>
          <w:color w:val="000000"/>
        </w:rPr>
        <w:t>primero</w:t>
      </w:r>
      <w:r w:rsidRPr="00C64261">
        <w:rPr>
          <w:rFonts w:ascii="Verdana" w:eastAsia="Arial" w:hAnsi="Verdana" w:cs="Arial"/>
          <w:color w:val="000000"/>
        </w:rPr>
        <w:t xml:space="preserve">, qué debe entenderse por circunstancias ocurridas con posterioridad; y </w:t>
      </w:r>
      <w:r w:rsidRPr="00C64261">
        <w:rPr>
          <w:rFonts w:ascii="Verdana" w:eastAsia="Arial" w:hAnsi="Verdana" w:cs="Arial"/>
          <w:i/>
          <w:color w:val="000000"/>
        </w:rPr>
        <w:t>segundo</w:t>
      </w:r>
      <w:r w:rsidRPr="00C64261">
        <w:rPr>
          <w:rFonts w:ascii="Verdana" w:eastAsia="Arial" w:hAnsi="Verdana" w:cs="Arial"/>
          <w:color w:val="000000"/>
        </w:rPr>
        <w:t>, qué es el cierre del proceso.</w:t>
      </w:r>
    </w:p>
    <w:p w14:paraId="68843B80" w14:textId="77777777" w:rsidR="00A136C1" w:rsidRPr="00C64261" w:rsidRDefault="00A136C1" w:rsidP="00A136C1">
      <w:pPr>
        <w:pBdr>
          <w:top w:val="nil"/>
          <w:left w:val="nil"/>
          <w:bottom w:val="nil"/>
          <w:right w:val="nil"/>
          <w:between w:val="nil"/>
        </w:pBdr>
        <w:tabs>
          <w:tab w:val="left" w:pos="284"/>
        </w:tabs>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La Sala de Consulta y Servicio Civil del Consejo de Estado ya había tenido la oportunidad de precisar estas expresiones, a propósito de un concepto en el </w:t>
      </w:r>
      <w:r w:rsidRPr="00C64261">
        <w:rPr>
          <w:rFonts w:ascii="Verdana" w:eastAsia="Arial" w:hAnsi="Verdana" w:cs="Arial"/>
          <w:color w:val="000000"/>
        </w:rPr>
        <w:lastRenderedPageBreak/>
        <w:t>que se refirió al artículo 10 del derogado Decreto 2474 de 2008</w:t>
      </w:r>
      <w:r w:rsidRPr="00C64261">
        <w:rPr>
          <w:rFonts w:ascii="Verdana" w:eastAsia="Arial" w:hAnsi="Verdana" w:cs="Arial"/>
          <w:color w:val="000000"/>
          <w:vertAlign w:val="superscript"/>
        </w:rPr>
        <w:footnoteReference w:id="13"/>
      </w:r>
      <w:r w:rsidRPr="00C64261">
        <w:rPr>
          <w:rFonts w:ascii="Verdana" w:eastAsia="Arial" w:hAnsi="Verdana" w:cs="Arial"/>
          <w:color w:val="000000"/>
        </w:rPr>
        <w:t xml:space="preserve">, que había 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w:t>
      </w:r>
    </w:p>
    <w:p w14:paraId="33EB8854" w14:textId="77777777" w:rsidR="00A136C1" w:rsidRPr="00C64261" w:rsidRDefault="00A136C1" w:rsidP="00A136C1">
      <w:pPr>
        <w:spacing w:after="0" w:line="240" w:lineRule="auto"/>
        <w:ind w:left="709" w:right="709"/>
        <w:jc w:val="both"/>
        <w:rPr>
          <w:rFonts w:ascii="Verdana" w:eastAsia="Arial" w:hAnsi="Verdana" w:cs="Arial"/>
          <w:color w:val="000000"/>
        </w:rPr>
      </w:pPr>
    </w:p>
    <w:p w14:paraId="6DD9E0F8" w14:textId="77777777" w:rsidR="00A136C1" w:rsidRPr="00817F71" w:rsidRDefault="00A136C1" w:rsidP="00A136C1">
      <w:pPr>
        <w:spacing w:after="12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t xml:space="preserve">“Sin embargo, debe tenerse en cuenta que la última norma en cita -Decreto 2474 de 2008, aparte subrayado-, establece un límite a la </w:t>
      </w:r>
      <w:proofErr w:type="spellStart"/>
      <w:r w:rsidRPr="00817F71">
        <w:rPr>
          <w:rFonts w:ascii="Verdana" w:eastAsia="Arial" w:hAnsi="Verdana" w:cs="Arial"/>
          <w:color w:val="000000"/>
          <w:sz w:val="20"/>
          <w:szCs w:val="20"/>
        </w:rPr>
        <w:t>subsanabilidad</w:t>
      </w:r>
      <w:proofErr w:type="spellEnd"/>
      <w:r w:rsidRPr="00817F71">
        <w:rPr>
          <w:rFonts w:ascii="Verdana" w:eastAsia="Arial" w:hAnsi="Verdana" w:cs="Arial"/>
          <w:color w:val="000000"/>
          <w:sz w:val="20"/>
          <w:szCs w:val="20"/>
        </w:rPr>
        <w:t>, puesto que en cualquier caso debe referirse o recaer sobre circunstancias ocurridas antes del cierre del respectivo proceso, esto es, del vencimiento del plazo para presentar ofertas.</w:t>
      </w:r>
    </w:p>
    <w:p w14:paraId="5A987DDB" w14:textId="77777777" w:rsidR="00A136C1" w:rsidRPr="001F283D" w:rsidRDefault="00A136C1" w:rsidP="00A136C1">
      <w:pPr>
        <w:spacing w:after="0" w:line="240" w:lineRule="auto"/>
        <w:ind w:left="709" w:right="709"/>
        <w:jc w:val="both"/>
        <w:rPr>
          <w:rFonts w:ascii="Verdana" w:eastAsia="Arial" w:hAnsi="Verdana" w:cs="Arial"/>
          <w:color w:val="000000"/>
          <w:sz w:val="20"/>
          <w:szCs w:val="20"/>
        </w:rPr>
      </w:pPr>
      <w:r w:rsidRPr="00817F71">
        <w:rPr>
          <w:rFonts w:ascii="Verdana" w:eastAsia="Arial" w:hAnsi="Verdana" w:cs="Arial"/>
          <w:color w:val="000000"/>
          <w:sz w:val="20"/>
          <w:szCs w:val="20"/>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w:t>
      </w:r>
      <w:proofErr w:type="gramStart"/>
      <w:r w:rsidRPr="00817F71">
        <w:rPr>
          <w:rFonts w:ascii="Verdana" w:eastAsia="Arial" w:hAnsi="Verdana" w:cs="Arial"/>
          <w:color w:val="000000"/>
          <w:sz w:val="20"/>
          <w:szCs w:val="20"/>
        </w:rPr>
        <w:t>la misma</w:t>
      </w:r>
      <w:proofErr w:type="gramEnd"/>
      <w:r w:rsidRPr="00817F71">
        <w:rPr>
          <w:rFonts w:ascii="Verdana" w:eastAsia="Arial" w:hAnsi="Verdana" w:cs="Arial"/>
          <w:color w:val="000000"/>
          <w:sz w:val="20"/>
          <w:szCs w:val="20"/>
        </w:rPr>
        <w:t xml:space="preserve">,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w:t>
      </w:r>
      <w:proofErr w:type="gramStart"/>
      <w:r w:rsidRPr="00817F71">
        <w:rPr>
          <w:rFonts w:ascii="Verdana" w:eastAsia="Arial" w:hAnsi="Verdana" w:cs="Arial"/>
          <w:color w:val="000000"/>
          <w:sz w:val="20"/>
          <w:szCs w:val="20"/>
        </w:rPr>
        <w:t>del mismo</w:t>
      </w:r>
      <w:proofErr w:type="gramEnd"/>
      <w:r w:rsidRPr="00817F71">
        <w:rPr>
          <w:rFonts w:ascii="Verdana" w:eastAsia="Arial" w:hAnsi="Verdana" w:cs="Arial"/>
          <w:color w:val="000000"/>
          <w:sz w:val="20"/>
          <w:szCs w:val="20"/>
        </w:rPr>
        <w:t xml:space="preserve"> o lo actualice, pero no para que se constituya la sociedad con posterioridad al cierre del proceso, pues si ello </w:t>
      </w:r>
      <w:r w:rsidRPr="00817F71">
        <w:rPr>
          <w:rFonts w:ascii="Verdana" w:eastAsia="Arial" w:hAnsi="Verdana" w:cs="Arial"/>
          <w:color w:val="000000"/>
          <w:sz w:val="20"/>
          <w:szCs w:val="20"/>
        </w:rPr>
        <w:lastRenderedPageBreak/>
        <w:t>no se había hecho, significa simplemente que el oferente no tenía la condición para participar”</w:t>
      </w:r>
      <w:r w:rsidRPr="00817F71">
        <w:rPr>
          <w:rFonts w:ascii="Verdana" w:eastAsia="Arial" w:hAnsi="Verdana" w:cs="Arial"/>
          <w:color w:val="000000"/>
          <w:sz w:val="20"/>
          <w:szCs w:val="20"/>
          <w:vertAlign w:val="superscript"/>
        </w:rPr>
        <w:footnoteReference w:id="14"/>
      </w:r>
      <w:r w:rsidRPr="00817F71">
        <w:rPr>
          <w:rFonts w:ascii="Verdana" w:eastAsia="Arial" w:hAnsi="Verdana" w:cs="Arial"/>
          <w:color w:val="000000"/>
          <w:sz w:val="20"/>
          <w:szCs w:val="20"/>
        </w:rPr>
        <w:t>.</w:t>
      </w:r>
    </w:p>
    <w:p w14:paraId="27212CD3" w14:textId="77777777" w:rsidR="00A136C1" w:rsidRPr="00693ABA" w:rsidRDefault="00A136C1" w:rsidP="00A136C1">
      <w:pPr>
        <w:spacing w:after="0" w:line="240" w:lineRule="auto"/>
        <w:ind w:left="709" w:right="709"/>
        <w:jc w:val="both"/>
        <w:rPr>
          <w:rFonts w:ascii="Verdana" w:eastAsia="Arial" w:hAnsi="Verdana" w:cs="Arial"/>
          <w:color w:val="000000"/>
        </w:rPr>
      </w:pPr>
    </w:p>
    <w:p w14:paraId="3EC17491" w14:textId="77777777" w:rsidR="00A136C1" w:rsidRDefault="00A136C1" w:rsidP="00A136C1">
      <w:pPr>
        <w:spacing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1EA1B751" w14:textId="77777777" w:rsidR="00A136C1" w:rsidRDefault="00A136C1" w:rsidP="00A136C1">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Un mejor entendimiento del significado de la expresión “circunstancias ocurridas con posterioridad al cierre del proceso” lleva necesariamente a distinguir entre la prueba de un hecho y el hecho mismo. En el caso de la </w:t>
      </w:r>
      <w:proofErr w:type="spellStart"/>
      <w:r w:rsidRPr="00C64261">
        <w:rPr>
          <w:rFonts w:ascii="Verdana" w:eastAsia="Arial" w:hAnsi="Verdana" w:cs="Arial"/>
          <w:color w:val="000000"/>
        </w:rPr>
        <w:t>subsanabilidad</w:t>
      </w:r>
      <w:proofErr w:type="spellEnd"/>
      <w:r w:rsidRPr="00C64261">
        <w:rPr>
          <w:rFonts w:ascii="Verdana" w:eastAsia="Arial" w:hAnsi="Verdana" w:cs="Arial"/>
          <w:color w:val="000000"/>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3D0273B2" w14:textId="77777777" w:rsidR="00A136C1" w:rsidRDefault="00A136C1" w:rsidP="00A136C1">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w:t>
      </w:r>
      <w:proofErr w:type="spellStart"/>
      <w:r w:rsidRPr="00C64261">
        <w:rPr>
          <w:rFonts w:ascii="Verdana" w:eastAsia="Arial" w:hAnsi="Verdana" w:cs="Arial"/>
          <w:color w:val="000000"/>
        </w:rPr>
        <w:t>ii</w:t>
      </w:r>
      <w:proofErr w:type="spellEnd"/>
      <w:r w:rsidRPr="00C64261">
        <w:rPr>
          <w:rFonts w:ascii="Verdana" w:eastAsia="Arial" w:hAnsi="Verdana" w:cs="Arial"/>
          <w:color w:val="000000"/>
        </w:rPr>
        <w:t>) si un oferente presentó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C64261">
        <w:rPr>
          <w:rFonts w:ascii="Verdana" w:eastAsia="Arial" w:hAnsi="Verdana" w:cs="Arial"/>
          <w:color w:val="000000"/>
          <w:vertAlign w:val="superscript"/>
        </w:rPr>
        <w:footnoteReference w:id="15"/>
      </w:r>
      <w:r w:rsidRPr="00C64261">
        <w:rPr>
          <w:rFonts w:ascii="Verdana" w:eastAsia="Arial" w:hAnsi="Verdana" w:cs="Arial"/>
          <w:color w:val="000000"/>
        </w:rPr>
        <w:t xml:space="preserve">; </w:t>
      </w:r>
      <w:proofErr w:type="spellStart"/>
      <w:r w:rsidRPr="00C64261">
        <w:rPr>
          <w:rFonts w:ascii="Verdana" w:eastAsia="Arial" w:hAnsi="Verdana" w:cs="Arial"/>
          <w:color w:val="000000"/>
        </w:rPr>
        <w:t>iii</w:t>
      </w:r>
      <w:proofErr w:type="spellEnd"/>
      <w:r w:rsidRPr="00C64261">
        <w:rPr>
          <w:rFonts w:ascii="Verdana" w:eastAsia="Arial" w:hAnsi="Verdana" w:cs="Arial"/>
          <w:color w:val="000000"/>
        </w:rPr>
        <w:t>) si un oferente no anexó el certificado de existencia y representación legal, el documento aportado con posterioridad debe dar cuenta de que la sociedad existe desde antes del cierre del proceso</w:t>
      </w:r>
      <w:r w:rsidRPr="00C64261">
        <w:rPr>
          <w:rFonts w:ascii="Verdana" w:eastAsia="Arial" w:hAnsi="Verdana" w:cs="Arial"/>
          <w:color w:val="000000"/>
          <w:vertAlign w:val="superscript"/>
        </w:rPr>
        <w:footnoteReference w:id="16"/>
      </w:r>
      <w:r w:rsidRPr="00C64261">
        <w:rPr>
          <w:rFonts w:ascii="Verdana" w:eastAsia="Arial" w:hAnsi="Verdana" w:cs="Arial"/>
          <w:color w:val="000000"/>
        </w:rPr>
        <w:t xml:space="preserve">; </w:t>
      </w:r>
      <w:proofErr w:type="spellStart"/>
      <w:r w:rsidRPr="00C64261">
        <w:rPr>
          <w:rFonts w:ascii="Verdana" w:eastAsia="Arial" w:hAnsi="Verdana" w:cs="Arial"/>
          <w:color w:val="000000"/>
        </w:rPr>
        <w:t>iv</w:t>
      </w:r>
      <w:proofErr w:type="spellEnd"/>
      <w:r w:rsidRPr="00C64261">
        <w:rPr>
          <w:rFonts w:ascii="Verdana" w:eastAsia="Arial" w:hAnsi="Verdana" w:cs="Arial"/>
          <w:color w:val="000000"/>
        </w:rPr>
        <w:t xml:space="preserve">) si un oferente olvidó </w:t>
      </w:r>
      <w:r w:rsidRPr="00C64261">
        <w:rPr>
          <w:rFonts w:ascii="Verdana" w:eastAsia="Arial" w:hAnsi="Verdana" w:cs="Arial"/>
          <w:color w:val="000000"/>
        </w:rPr>
        <w:lastRenderedPageBreak/>
        <w:t xml:space="preserve">adjuntar un certificado que demuestra un título universitario, el documento, aunque tenga fecha posterior al cierre del proceso, debe acreditar que el título académico se obtuvo con anterioridad al cierre del proceso; v) si un oferente no aportó un certificado de experiencia, el documento que subsana –sin importar que tenga fecha posterior– debe demostrar que la experiencia que se pretende hacer valer se obtuvo antes de vencerse el término para presentar ofertas, </w:t>
      </w:r>
      <w:r>
        <w:rPr>
          <w:rFonts w:ascii="Verdana" w:eastAsia="Arial" w:hAnsi="Verdana" w:cs="Arial"/>
          <w:color w:val="000000"/>
        </w:rPr>
        <w:t>o</w:t>
      </w:r>
      <w:r w:rsidRPr="00C64261">
        <w:rPr>
          <w:rFonts w:ascii="Verdana" w:eastAsia="Arial" w:hAnsi="Verdana" w:cs="Arial"/>
          <w:color w:val="000000"/>
        </w:rPr>
        <w:t xml:space="preserve"> vi) si el oferente olvidó firmar la propuesta o presentar una copia de ella, puede subsanar sin que se entienda que acreditó una circunstancia ocurrida con posterioridad al cierre del proceso. </w:t>
      </w:r>
    </w:p>
    <w:p w14:paraId="221D4244" w14:textId="77777777" w:rsidR="00A136C1" w:rsidRPr="00C64261" w:rsidRDefault="00A136C1" w:rsidP="00A136C1">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w:t>
      </w:r>
      <w:proofErr w:type="gramStart"/>
      <w:r w:rsidRPr="00C64261">
        <w:rPr>
          <w:rFonts w:ascii="Verdana" w:eastAsia="Arial" w:hAnsi="Verdana" w:cs="Arial"/>
          <w:color w:val="000000"/>
        </w:rPr>
        <w:t>que</w:t>
      </w:r>
      <w:proofErr w:type="gramEnd"/>
      <w:r w:rsidRPr="00C64261">
        <w:rPr>
          <w:rFonts w:ascii="Verdana" w:eastAsia="Arial" w:hAnsi="Verdana" w:cs="Arial"/>
          <w:color w:val="000000"/>
        </w:rPr>
        <w:t xml:space="preserve"> el Consejo de Estado sostiene que “lo que se subsana es la prueba y no la condición habilitante o un elemento de la propuesta (...) lo que se puede remediar es la prueba y no el requisito: </w:t>
      </w:r>
      <w:r>
        <w:rPr>
          <w:rFonts w:ascii="Verdana" w:eastAsia="Arial" w:hAnsi="Verdana" w:cs="Arial"/>
          <w:color w:val="000000"/>
        </w:rPr>
        <w:t>l</w:t>
      </w:r>
      <w:r w:rsidRPr="00C64261">
        <w:rPr>
          <w:rFonts w:ascii="Verdana" w:eastAsia="Arial" w:hAnsi="Verdana" w:cs="Arial"/>
          <w:color w:val="000000"/>
        </w:rPr>
        <w:t>a posibilidad debe recaer exclusivamente sobre circunstancias acaecidas antes del cierre del respectivo proceso, esto es, del vencimiento del plazo para presentar ofertas”</w:t>
      </w:r>
      <w:r w:rsidRPr="00C64261">
        <w:rPr>
          <w:rFonts w:ascii="Verdana" w:eastAsia="Arial" w:hAnsi="Verdana" w:cs="Arial"/>
          <w:color w:val="000000"/>
          <w:vertAlign w:val="superscript"/>
        </w:rPr>
        <w:footnoteReference w:id="17"/>
      </w:r>
      <w:r w:rsidRPr="00C64261">
        <w:rPr>
          <w:rFonts w:ascii="Verdana" w:eastAsia="Arial" w:hAnsi="Verdana" w:cs="Arial"/>
          <w:color w:val="000000"/>
        </w:rPr>
        <w:t xml:space="preserve">. </w:t>
      </w:r>
    </w:p>
    <w:p w14:paraId="5783F2EF" w14:textId="77777777" w:rsidR="00A136C1" w:rsidRDefault="00A136C1" w:rsidP="00A136C1">
      <w:pPr>
        <w:spacing w:before="120" w:after="0" w:line="276" w:lineRule="auto"/>
        <w:ind w:firstLine="709"/>
        <w:jc w:val="both"/>
        <w:rPr>
          <w:rFonts w:ascii="Verdana" w:eastAsia="Arial" w:hAnsi="Verdana" w:cs="Arial"/>
          <w:color w:val="000000"/>
        </w:rPr>
      </w:pPr>
      <w:r w:rsidRPr="00C64261">
        <w:rPr>
          <w:rFonts w:ascii="Verdana" w:eastAsia="Arial" w:hAnsi="Verdana" w:cs="Arial"/>
          <w:color w:val="000000"/>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7C0B988E" w14:textId="77777777" w:rsidR="00A136C1" w:rsidRDefault="00A136C1" w:rsidP="00A136C1">
      <w:pPr>
        <w:spacing w:before="120" w:after="0" w:line="276" w:lineRule="auto"/>
        <w:ind w:firstLine="709"/>
        <w:jc w:val="both"/>
        <w:rPr>
          <w:rFonts w:ascii="Verdana" w:eastAsia="Arial" w:hAnsi="Verdana" w:cs="Arial"/>
          <w:color w:val="000000"/>
        </w:rPr>
      </w:pPr>
      <w:r w:rsidRPr="05E3EA9D">
        <w:rPr>
          <w:rFonts w:ascii="Verdana" w:eastAsia="Arial" w:hAnsi="Verdana" w:cs="Arial"/>
          <w:color w:val="000000" w:themeColor="text1"/>
        </w:rPr>
        <w:t xml:space="preserve">Finalmente, el parágrafo 3 del artículo 5 de la Ley 1882 de 2018 determinó, de manera expresa, que “la no entrega de la garantía de seriedad </w:t>
      </w:r>
      <w:r w:rsidRPr="05E3EA9D">
        <w:rPr>
          <w:rFonts w:ascii="Verdana" w:eastAsia="Arial" w:hAnsi="Verdana" w:cs="Arial"/>
          <w:color w:val="000000" w:themeColor="text1"/>
        </w:rPr>
        <w:lastRenderedPageBreak/>
        <w:t xml:space="preserve">junto con la propuesta no será subsanable y será causal de rechazo de </w:t>
      </w:r>
      <w:proofErr w:type="gramStart"/>
      <w:r w:rsidRPr="05E3EA9D">
        <w:rPr>
          <w:rFonts w:ascii="Verdana" w:eastAsia="Arial" w:hAnsi="Verdana" w:cs="Arial"/>
          <w:color w:val="000000" w:themeColor="text1"/>
        </w:rPr>
        <w:t>la misma</w:t>
      </w:r>
      <w:proofErr w:type="gramEnd"/>
      <w:r w:rsidRPr="05E3EA9D">
        <w:rPr>
          <w:rFonts w:ascii="Verdana" w:eastAsia="Arial" w:hAnsi="Verdana" w:cs="Arial"/>
          <w:color w:val="000000" w:themeColor="text1"/>
        </w:rPr>
        <w:t>”, dejando claro que se trata de un documento de obligatoria presentación junto con la propuesta y que materializa los principios de seriedad e irrevocabilidad de la oferta.</w:t>
      </w:r>
    </w:p>
    <w:p w14:paraId="63E888B4" w14:textId="77777777" w:rsidR="00A136C1" w:rsidRDefault="00A136C1" w:rsidP="00A136C1">
      <w:pPr>
        <w:spacing w:after="0" w:line="240" w:lineRule="auto"/>
        <w:ind w:firstLine="709"/>
        <w:jc w:val="both"/>
        <w:rPr>
          <w:rFonts w:ascii="Verdana" w:eastAsia="Arial" w:hAnsi="Verdana" w:cs="Arial"/>
          <w:color w:val="000000"/>
        </w:rPr>
      </w:pPr>
    </w:p>
    <w:p w14:paraId="6AD14AD0" w14:textId="77777777" w:rsidR="00A136C1" w:rsidRDefault="00A136C1" w:rsidP="00A136C1">
      <w:pPr>
        <w:spacing w:line="276" w:lineRule="auto"/>
        <w:ind w:firstLine="708"/>
        <w:jc w:val="both"/>
        <w:rPr>
          <w:rFonts w:ascii="Verdana" w:eastAsia="Calibri" w:hAnsi="Verdana" w:cs="Arial"/>
          <w:lang w:eastAsia="es-ES"/>
        </w:rPr>
      </w:pPr>
      <w:r>
        <w:rPr>
          <w:rFonts w:ascii="Verdana" w:eastAsia="Calibri" w:hAnsi="Verdana" w:cs="Arial"/>
        </w:rPr>
        <w:t>Por otro lado, el</w:t>
      </w:r>
      <w:r w:rsidRPr="00E85A8F">
        <w:rPr>
          <w:rFonts w:ascii="Verdana" w:eastAsia="Calibri" w:hAnsi="Verdana" w:cs="Arial"/>
        </w:rPr>
        <w:t xml:space="preserve"> Manual para determinar y verificar los requisitos habilitantes en los Procesos de Contratación, elaborado por Colombia Compra Eficiente</w:t>
      </w:r>
      <w:r>
        <w:rPr>
          <w:rStyle w:val="Refdenotaalpie"/>
          <w:rFonts w:ascii="Verdana" w:eastAsia="Calibri" w:hAnsi="Verdana" w:cs="Arial"/>
        </w:rPr>
        <w:footnoteReference w:id="18"/>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w:t>
      </w:r>
    </w:p>
    <w:p w14:paraId="7A2FFD34" w14:textId="77777777" w:rsidR="00A136C1" w:rsidRDefault="00A136C1" w:rsidP="00A136C1">
      <w:pPr>
        <w:spacing w:after="0" w:line="276" w:lineRule="auto"/>
        <w:ind w:firstLine="709"/>
        <w:jc w:val="both"/>
        <w:rPr>
          <w:rFonts w:ascii="Verdana" w:eastAsia="Arial" w:hAnsi="Verdana" w:cs="Arial"/>
          <w:color w:val="000000"/>
        </w:rPr>
      </w:pPr>
      <w:r>
        <w:rPr>
          <w:rFonts w:ascii="Verdana" w:eastAsia="Arial" w:hAnsi="Verdana" w:cs="Arial"/>
          <w:color w:val="000000"/>
        </w:rPr>
        <w:t xml:space="preserve">Lo anterior tiene relación directa con la naturaleza del </w:t>
      </w:r>
      <w:r w:rsidRPr="00176581">
        <w:rPr>
          <w:rFonts w:ascii="Verdana" w:eastAsia="Arial" w:hAnsi="Verdana" w:cs="Arial"/>
          <w:color w:val="000000"/>
          <w:lang w:val="es-ES"/>
        </w:rPr>
        <w:t>pliego de condiciones</w:t>
      </w:r>
      <w:r>
        <w:rPr>
          <w:rFonts w:ascii="Verdana" w:eastAsia="Arial" w:hAnsi="Verdana" w:cs="Arial"/>
          <w:color w:val="000000"/>
          <w:lang w:val="es-ES"/>
        </w:rPr>
        <w:t xml:space="preserve">, entendido como </w:t>
      </w:r>
      <w:r w:rsidRPr="00176581">
        <w:rPr>
          <w:rFonts w:ascii="Verdana" w:eastAsia="Arial" w:hAnsi="Verdana" w:cs="Arial"/>
          <w:color w:val="000000"/>
          <w:lang w:val="es-ES"/>
        </w:rPr>
        <w:t>la hoja de ruta o plan</w:t>
      </w:r>
      <w:r w:rsidRPr="00176581">
        <w:rPr>
          <w:rFonts w:ascii="Verdana" w:eastAsia="Arial" w:hAnsi="Verdana" w:cs="Arial"/>
          <w:color w:val="000000"/>
          <w:vertAlign w:val="superscript"/>
          <w:lang w:val="es-ES"/>
        </w:rPr>
        <w:footnoteReference w:id="19"/>
      </w:r>
      <w:r w:rsidRPr="00176581">
        <w:rPr>
          <w:rFonts w:ascii="Verdana" w:eastAsia="Arial" w:hAnsi="Verdana" w:cs="Arial"/>
          <w:color w:val="000000"/>
          <w:lang w:val="es-ES"/>
        </w:rPr>
        <w:t xml:space="preserve">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176581">
        <w:rPr>
          <w:rFonts w:ascii="Verdana" w:eastAsia="Arial" w:hAnsi="Verdana" w:cs="Arial"/>
          <w:color w:val="000000"/>
          <w:vertAlign w:val="superscript"/>
          <w:lang w:val="es-ES"/>
        </w:rPr>
        <w:footnoteReference w:id="20"/>
      </w:r>
      <w:r w:rsidRPr="00176581">
        <w:rPr>
          <w:rFonts w:ascii="Verdana" w:eastAsia="Arial" w:hAnsi="Verdana" w:cs="Arial"/>
          <w:color w:val="000000"/>
          <w:lang w:val="es-ES"/>
        </w:rPr>
        <w:t>.</w:t>
      </w:r>
      <w:r w:rsidRPr="05E3EA9D">
        <w:rPr>
          <w:rFonts w:ascii="Verdana" w:eastAsia="Arial" w:hAnsi="Verdana" w:cs="Arial"/>
          <w:color w:val="000000"/>
          <w:lang w:val="es-ES"/>
        </w:rPr>
        <w:t xml:space="preserve"> En este sentido, en el marco de su discrecionalidad, cada entidad debe establecer la forma como se estructura el pliego de condiciones, el cual está condicionado a la proporcionalidad de las decisiones que toma en aras de garantizar la pluralidad de oferentes y la selección objetiva</w:t>
      </w:r>
      <w:r w:rsidRPr="00176581">
        <w:rPr>
          <w:rFonts w:ascii="Verdana" w:eastAsia="Arial" w:hAnsi="Verdana" w:cs="Arial"/>
          <w:color w:val="000000"/>
        </w:rPr>
        <w:t>.</w:t>
      </w:r>
    </w:p>
    <w:p w14:paraId="1E11A69C" w14:textId="77777777" w:rsidR="00A136C1" w:rsidRDefault="00A136C1" w:rsidP="00A136C1">
      <w:pPr>
        <w:spacing w:before="120" w:after="0" w:line="276" w:lineRule="auto"/>
        <w:ind w:firstLine="709"/>
        <w:jc w:val="both"/>
        <w:rPr>
          <w:rFonts w:ascii="Verdana" w:eastAsia="Arial" w:hAnsi="Verdana" w:cs="Arial"/>
          <w:color w:val="000000"/>
        </w:rPr>
      </w:pPr>
      <w:r w:rsidRPr="00B36F85">
        <w:rPr>
          <w:rFonts w:ascii="Verdana" w:eastAsia="Arial" w:hAnsi="Verdana" w:cs="Arial"/>
        </w:rPr>
        <w:t xml:space="preserve">El rechazo de las ofertas y los eventos en los que proceden han sido asuntos de los que se ha ocupado la legislación nacional en materia de contratación pública, por lo que </w:t>
      </w:r>
      <w:r>
        <w:rPr>
          <w:rFonts w:ascii="Verdana" w:eastAsia="Arial" w:hAnsi="Verdana" w:cs="Arial"/>
        </w:rPr>
        <w:t>“</w:t>
      </w:r>
      <w:r w:rsidRPr="00B36F85">
        <w:rPr>
          <w:rFonts w:ascii="Verdana" w:eastAsia="Arial" w:hAnsi="Verdana" w:cs="Arial"/>
        </w:rPr>
        <w:t xml:space="preserve">la competencia de las entidades estales para </w:t>
      </w:r>
      <w:r w:rsidRPr="00B36F85">
        <w:rPr>
          <w:rFonts w:ascii="Verdana" w:eastAsia="Arial" w:hAnsi="Verdana" w:cs="Arial"/>
        </w:rPr>
        <w:lastRenderedPageBreak/>
        <w:t>establecer eventos de exclusión de propuestas es de carácter residual y restringido</w:t>
      </w:r>
      <w:r>
        <w:rPr>
          <w:rFonts w:ascii="Verdana" w:eastAsia="Arial" w:hAnsi="Verdana" w:cs="Arial"/>
        </w:rPr>
        <w:t>”</w:t>
      </w:r>
      <w:r w:rsidRPr="00B36F85">
        <w:rPr>
          <w:rFonts w:ascii="Verdana" w:eastAsia="Arial" w:hAnsi="Verdana" w:cs="Arial"/>
          <w:vertAlign w:val="superscript"/>
        </w:rPr>
        <w:footnoteReference w:id="21"/>
      </w:r>
      <w:r w:rsidRPr="00B36F85">
        <w:rPr>
          <w:rFonts w:ascii="Verdana" w:eastAsia="Arial" w:hAnsi="Verdana"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B36F85">
        <w:rPr>
          <w:rFonts w:ascii="Verdana" w:eastAsia="Arial" w:hAnsi="Verdana" w:cs="Arial"/>
          <w:vertAlign w:val="superscript"/>
        </w:rPr>
        <w:footnoteReference w:id="22"/>
      </w:r>
      <w:r w:rsidRPr="00B36F85">
        <w:rPr>
          <w:rFonts w:ascii="Verdana" w:eastAsia="Arial" w:hAnsi="Verdana" w:cs="Arial"/>
        </w:rPr>
        <w:t xml:space="preserve"> y regular los eventos en los que procede su rechazo</w:t>
      </w:r>
      <w:r w:rsidRPr="00B36F85">
        <w:rPr>
          <w:rFonts w:ascii="Verdana" w:eastAsia="Arial" w:hAnsi="Verdana" w:cs="Arial"/>
          <w:vertAlign w:val="superscript"/>
        </w:rPr>
        <w:footnoteReference w:id="23"/>
      </w:r>
      <w:r w:rsidRPr="00B36F85">
        <w:rPr>
          <w:rFonts w:ascii="Verdana" w:eastAsia="Arial" w:hAnsi="Verdana" w:cs="Arial"/>
        </w:rPr>
        <w:t xml:space="preserve">, el ejercicio de tales facultades encuentra ciertos límites en la ley y el reglamento, así como en los principios de razonabilidad y proporcionalidad.  </w:t>
      </w:r>
    </w:p>
    <w:p w14:paraId="263165BF" w14:textId="77777777" w:rsidR="00A136C1" w:rsidRDefault="00A136C1" w:rsidP="00A136C1">
      <w:pPr>
        <w:spacing w:before="120" w:after="0" w:line="276" w:lineRule="auto"/>
        <w:ind w:firstLine="709"/>
        <w:jc w:val="both"/>
        <w:rPr>
          <w:rFonts w:ascii="Verdana" w:eastAsia="Arial" w:hAnsi="Verdana" w:cs="Arial"/>
          <w:color w:val="000000"/>
        </w:rPr>
      </w:pPr>
      <w:r w:rsidRPr="00B36F85">
        <w:rPr>
          <w:rFonts w:ascii="Verdana" w:eastAsia="Arial" w:hAnsi="Verdana" w:cs="Arial"/>
        </w:rPr>
        <w:t xml:space="preserve">En ese entendido, uno de los límites a la facultad para establecer causales de rechazo, se encuentra en la regla de </w:t>
      </w:r>
      <w:proofErr w:type="spellStart"/>
      <w:r w:rsidRPr="00B36F85">
        <w:rPr>
          <w:rFonts w:ascii="Verdana" w:eastAsia="Arial" w:hAnsi="Verdana" w:cs="Arial"/>
        </w:rPr>
        <w:t>subsanabilidad</w:t>
      </w:r>
      <w:proofErr w:type="spellEnd"/>
      <w:r w:rsidRPr="00B36F85">
        <w:rPr>
          <w:rFonts w:ascii="Verdana" w:eastAsia="Arial" w:hAnsi="Verdana" w:cs="Arial"/>
        </w:rPr>
        <w:t xml:space="preserve"> del parágrafo 1 del artículo 5 de la Ley 1150 de 2007, según la cual </w:t>
      </w:r>
      <w:r>
        <w:rPr>
          <w:rFonts w:ascii="Verdana" w:eastAsia="Arial" w:hAnsi="Verdana" w:cs="Arial"/>
        </w:rPr>
        <w:t>“</w:t>
      </w:r>
      <w:r w:rsidRPr="00B36F85">
        <w:rPr>
          <w:rFonts w:ascii="Verdana" w:eastAsia="Arial" w:hAnsi="Verdana" w:cs="Arial"/>
        </w:rPr>
        <w:t>La ausencia de requisitos o la falta de documentos referentes a la futura contratación o al proponente, no necesarios para la comparación de las propuestas no servirán de título suficiente para el rechazo de los ofrecimientos hechos</w:t>
      </w:r>
      <w:r>
        <w:rPr>
          <w:rFonts w:ascii="Verdana" w:eastAsia="Arial" w:hAnsi="Verdana" w:cs="Arial"/>
        </w:rPr>
        <w:t>”</w:t>
      </w:r>
      <w:r w:rsidRPr="00B36F85">
        <w:rPr>
          <w:rFonts w:ascii="Verdana" w:eastAsia="Arial" w:hAnsi="Verdana" w:cs="Arial"/>
        </w:rPr>
        <w:t xml:space="preserve">, por lo que las entidades no podrán establecer causales de rechazo referentes a meros requisitos formales o rechazar las ofertas por esa razón. </w:t>
      </w:r>
    </w:p>
    <w:p w14:paraId="50191745" w14:textId="77777777" w:rsidR="00A136C1" w:rsidRPr="00166975" w:rsidRDefault="00A136C1" w:rsidP="00A136C1">
      <w:pPr>
        <w:spacing w:before="120" w:after="0" w:line="276" w:lineRule="auto"/>
        <w:ind w:firstLine="709"/>
        <w:jc w:val="both"/>
        <w:rPr>
          <w:rFonts w:ascii="Verdana" w:eastAsia="Arial" w:hAnsi="Verdana" w:cs="Arial"/>
          <w:color w:val="000000"/>
        </w:rPr>
      </w:pPr>
      <w:r w:rsidRPr="00B36F85">
        <w:rPr>
          <w:rFonts w:ascii="Verdana" w:eastAsia="Arial" w:hAnsi="Verdana"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14:paraId="6D9E8576" w14:textId="77777777" w:rsidR="00A136C1" w:rsidRPr="00B36F85" w:rsidRDefault="00A136C1" w:rsidP="00A136C1">
      <w:pPr>
        <w:widowControl w:val="0"/>
        <w:spacing w:after="0"/>
        <w:ind w:firstLine="708"/>
        <w:jc w:val="both"/>
        <w:rPr>
          <w:rFonts w:ascii="Verdana" w:eastAsia="Arial" w:hAnsi="Verdana" w:cs="Arial"/>
        </w:rPr>
      </w:pPr>
    </w:p>
    <w:p w14:paraId="7572E012" w14:textId="77777777" w:rsidR="00A136C1" w:rsidRPr="004B49E2" w:rsidRDefault="00A136C1" w:rsidP="00A136C1">
      <w:pPr>
        <w:widowControl w:val="0"/>
        <w:spacing w:after="0" w:line="240" w:lineRule="auto"/>
        <w:ind w:left="709" w:right="709"/>
        <w:jc w:val="both"/>
        <w:rPr>
          <w:rFonts w:ascii="Verdana" w:eastAsia="Arial" w:hAnsi="Verdana" w:cs="Arial"/>
          <w:sz w:val="20"/>
          <w:szCs w:val="20"/>
        </w:rPr>
      </w:pPr>
      <w:r>
        <w:rPr>
          <w:rFonts w:ascii="Verdana" w:eastAsia="Arial" w:hAnsi="Verdana" w:cs="Arial"/>
          <w:sz w:val="21"/>
          <w:szCs w:val="21"/>
        </w:rPr>
        <w:t>“</w:t>
      </w:r>
      <w:r w:rsidRPr="004B49E2">
        <w:rPr>
          <w:rFonts w:ascii="Verdana" w:eastAsia="Arial" w:hAnsi="Verdana" w:cs="Arial"/>
          <w:sz w:val="20"/>
          <w:szCs w:val="20"/>
        </w:rPr>
        <w:t xml:space="preserve">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w:t>
      </w:r>
      <w:r w:rsidRPr="004B49E2">
        <w:rPr>
          <w:rFonts w:ascii="Verdana" w:eastAsia="Arial" w:hAnsi="Verdana" w:cs="Arial"/>
          <w:sz w:val="20"/>
          <w:szCs w:val="20"/>
        </w:rPr>
        <w:lastRenderedPageBreak/>
        <w:t>reglamentarias de carácter general.</w:t>
      </w:r>
    </w:p>
    <w:p w14:paraId="530B1B6F" w14:textId="77777777" w:rsidR="00A136C1" w:rsidRDefault="00A136C1" w:rsidP="00A136C1">
      <w:pPr>
        <w:widowControl w:val="0"/>
        <w:spacing w:after="0" w:line="240" w:lineRule="auto"/>
        <w:ind w:left="709" w:right="709"/>
        <w:jc w:val="both"/>
        <w:rPr>
          <w:rFonts w:ascii="Verdana" w:eastAsia="Arial" w:hAnsi="Verdana" w:cs="Arial"/>
          <w:sz w:val="20"/>
          <w:szCs w:val="20"/>
        </w:rPr>
      </w:pPr>
    </w:p>
    <w:p w14:paraId="6C2845C4" w14:textId="77777777" w:rsidR="00A136C1" w:rsidRPr="004B49E2" w:rsidRDefault="00A136C1" w:rsidP="00A136C1">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6009653D" w14:textId="77777777" w:rsidR="00A136C1" w:rsidRDefault="00A136C1" w:rsidP="00A136C1">
      <w:pPr>
        <w:widowControl w:val="0"/>
        <w:spacing w:after="0" w:line="240" w:lineRule="auto"/>
        <w:ind w:left="709" w:right="709"/>
        <w:jc w:val="both"/>
        <w:rPr>
          <w:rFonts w:ascii="Verdana" w:eastAsia="Arial" w:hAnsi="Verdana" w:cs="Arial"/>
          <w:sz w:val="20"/>
          <w:szCs w:val="20"/>
        </w:rPr>
      </w:pPr>
    </w:p>
    <w:p w14:paraId="637DCADF" w14:textId="77777777" w:rsidR="00A136C1" w:rsidRPr="004B49E2" w:rsidRDefault="00A136C1" w:rsidP="00A136C1">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w:t>
      </w:r>
    </w:p>
    <w:p w14:paraId="6BDCB48F" w14:textId="77777777" w:rsidR="00A136C1" w:rsidRDefault="00A136C1" w:rsidP="00A136C1">
      <w:pPr>
        <w:widowControl w:val="0"/>
        <w:spacing w:after="0" w:line="240" w:lineRule="auto"/>
        <w:ind w:left="709" w:right="709"/>
        <w:jc w:val="both"/>
        <w:rPr>
          <w:rFonts w:ascii="Verdana" w:eastAsia="Arial" w:hAnsi="Verdana" w:cs="Arial"/>
          <w:sz w:val="20"/>
          <w:szCs w:val="20"/>
        </w:rPr>
      </w:pPr>
    </w:p>
    <w:p w14:paraId="0D07D334" w14:textId="77777777" w:rsidR="00A136C1" w:rsidRPr="004B49E2" w:rsidRDefault="00A136C1" w:rsidP="00A136C1">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4B49E2">
        <w:rPr>
          <w:rFonts w:ascii="Verdana" w:eastAsia="Arial" w:hAnsi="Verdana" w:cs="Arial"/>
          <w:i/>
          <w:iCs/>
          <w:sz w:val="20"/>
          <w:szCs w:val="20"/>
        </w:rPr>
        <w:t>ope</w:t>
      </w:r>
      <w:proofErr w:type="spellEnd"/>
      <w:r w:rsidRPr="004B49E2">
        <w:rPr>
          <w:rFonts w:ascii="Verdana" w:eastAsia="Arial" w:hAnsi="Verdana" w:cs="Arial"/>
          <w:i/>
          <w:iCs/>
          <w:sz w:val="20"/>
          <w:szCs w:val="20"/>
        </w:rPr>
        <w:t xml:space="preserve"> </w:t>
      </w:r>
      <w:proofErr w:type="spellStart"/>
      <w:r w:rsidRPr="004B49E2">
        <w:rPr>
          <w:rFonts w:ascii="Verdana" w:eastAsia="Arial" w:hAnsi="Verdana" w:cs="Arial"/>
          <w:i/>
          <w:iCs/>
          <w:sz w:val="20"/>
          <w:szCs w:val="20"/>
        </w:rPr>
        <w:t>legis</w:t>
      </w:r>
      <w:proofErr w:type="spellEnd"/>
      <w:r w:rsidRPr="004B49E2">
        <w:rPr>
          <w:rFonts w:ascii="Verdana" w:eastAsia="Arial" w:hAnsi="Verdana" w:cs="Arial"/>
          <w:sz w:val="20"/>
          <w:szCs w:val="20"/>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4B49E2">
        <w:rPr>
          <w:rFonts w:ascii="Verdana" w:eastAsia="Arial" w:hAnsi="Verdana" w:cs="Arial"/>
          <w:sz w:val="20"/>
          <w:szCs w:val="20"/>
          <w:vertAlign w:val="superscript"/>
        </w:rPr>
        <w:footnoteReference w:id="24"/>
      </w:r>
      <w:r w:rsidRPr="004B49E2">
        <w:rPr>
          <w:rFonts w:ascii="Verdana" w:eastAsia="Arial" w:hAnsi="Verdana" w:cs="Arial"/>
          <w:sz w:val="20"/>
          <w:szCs w:val="20"/>
        </w:rPr>
        <w:t>”.</w:t>
      </w:r>
    </w:p>
    <w:p w14:paraId="003E321C" w14:textId="77777777" w:rsidR="00A136C1" w:rsidRPr="004B49E2" w:rsidRDefault="00A136C1" w:rsidP="00A136C1">
      <w:pPr>
        <w:widowControl w:val="0"/>
        <w:spacing w:after="0" w:line="240" w:lineRule="auto"/>
        <w:ind w:left="709" w:right="709"/>
        <w:jc w:val="both"/>
        <w:rPr>
          <w:rFonts w:ascii="Verdana" w:eastAsia="Arial" w:hAnsi="Verdana" w:cs="Arial"/>
          <w:sz w:val="20"/>
          <w:szCs w:val="20"/>
        </w:rPr>
      </w:pPr>
    </w:p>
    <w:p w14:paraId="6D1502D5" w14:textId="77777777" w:rsidR="00A136C1" w:rsidRDefault="00A136C1" w:rsidP="00A136C1">
      <w:pPr>
        <w:widowControl w:val="0"/>
        <w:spacing w:after="0" w:line="276" w:lineRule="auto"/>
        <w:ind w:firstLine="709"/>
        <w:jc w:val="both"/>
        <w:rPr>
          <w:rFonts w:ascii="Verdana" w:eastAsia="Arial" w:hAnsi="Verdana" w:cs="Arial"/>
        </w:rPr>
      </w:pPr>
      <w:r w:rsidRPr="00B36F85">
        <w:rPr>
          <w:rFonts w:ascii="Verdana" w:eastAsia="Arial" w:hAnsi="Verdana" w:cs="Arial"/>
        </w:rPr>
        <w:t xml:space="preserve">De acuerdo con la jurisprudencia citada, existen dos </w:t>
      </w:r>
      <w:r>
        <w:rPr>
          <w:rFonts w:ascii="Verdana" w:eastAsia="Arial" w:hAnsi="Verdana" w:cs="Arial"/>
        </w:rPr>
        <w:t>eventos</w:t>
      </w:r>
      <w:r w:rsidRPr="00B36F85">
        <w:rPr>
          <w:rFonts w:ascii="Verdana" w:eastAsia="Arial" w:hAnsi="Verdana" w:cs="Arial"/>
        </w:rPr>
        <w:t xml:space="preserve"> en los </w:t>
      </w:r>
      <w:r>
        <w:rPr>
          <w:rFonts w:ascii="Verdana" w:eastAsia="Arial" w:hAnsi="Verdana" w:cs="Arial"/>
        </w:rPr>
        <w:t xml:space="preserve">cuales </w:t>
      </w:r>
      <w:r w:rsidRPr="00B36F85">
        <w:rPr>
          <w:rFonts w:ascii="Verdana" w:eastAsia="Arial" w:hAnsi="Verdana" w:cs="Arial"/>
        </w:rPr>
        <w:t xml:space="preserve">procede el rechazo de la oferta: </w:t>
      </w:r>
      <w:r>
        <w:rPr>
          <w:rFonts w:ascii="Verdana" w:eastAsia="Arial" w:hAnsi="Verdana" w:cs="Arial"/>
        </w:rPr>
        <w:t xml:space="preserve">i) cuando </w:t>
      </w:r>
      <w:r w:rsidRPr="00B36F85">
        <w:rPr>
          <w:rFonts w:ascii="Verdana" w:eastAsia="Arial" w:hAnsi="Verdana" w:cs="Arial"/>
        </w:rPr>
        <w:t>se configure alguna de las causales de rechazo originadas en la ley o</w:t>
      </w:r>
      <w:r>
        <w:rPr>
          <w:rFonts w:ascii="Verdana" w:eastAsia="Arial" w:hAnsi="Verdana" w:cs="Arial"/>
        </w:rPr>
        <w:t xml:space="preserve"> el reglamento y</w:t>
      </w:r>
      <w:r w:rsidRPr="00B36F85">
        <w:rPr>
          <w:rFonts w:ascii="Verdana" w:eastAsia="Arial" w:hAnsi="Verdana" w:cs="Arial"/>
        </w:rPr>
        <w:t xml:space="preserve"> </w:t>
      </w:r>
      <w:proofErr w:type="spellStart"/>
      <w:r>
        <w:rPr>
          <w:rFonts w:ascii="Verdana" w:eastAsia="Arial" w:hAnsi="Verdana" w:cs="Arial"/>
        </w:rPr>
        <w:t>ii</w:t>
      </w:r>
      <w:proofErr w:type="spellEnd"/>
      <w:r>
        <w:rPr>
          <w:rFonts w:ascii="Verdana" w:eastAsia="Arial" w:hAnsi="Verdana" w:cs="Arial"/>
        </w:rPr>
        <w:t xml:space="preserve">) cuando se materialicen </w:t>
      </w:r>
      <w:r w:rsidRPr="00B36F85">
        <w:rPr>
          <w:rFonts w:ascii="Verdana" w:eastAsia="Arial" w:hAnsi="Verdana" w:cs="Arial"/>
        </w:rPr>
        <w:t>las establecidas en el pliego de condiciones. En tal sentido, las causales de rechazo de la oferta serán las consagradas en la ley o</w:t>
      </w:r>
      <w:r>
        <w:rPr>
          <w:rFonts w:ascii="Verdana" w:eastAsia="Arial" w:hAnsi="Verdana" w:cs="Arial"/>
        </w:rPr>
        <w:t xml:space="preserve"> el reglamento</w:t>
      </w:r>
      <w:r w:rsidRPr="00B36F85">
        <w:rPr>
          <w:rFonts w:ascii="Verdana" w:eastAsia="Arial" w:hAnsi="Verdana" w:cs="Arial"/>
        </w:rPr>
        <w:t xml:space="preserve"> producto de su aplicación, así como las definidas por las entidades en el respectivo pliego de </w:t>
      </w:r>
      <w:r w:rsidRPr="00B36F85">
        <w:rPr>
          <w:rFonts w:ascii="Verdana" w:eastAsia="Arial" w:hAnsi="Verdana" w:cs="Arial"/>
        </w:rPr>
        <w:lastRenderedPageBreak/>
        <w:t xml:space="preserve">condiciones. </w:t>
      </w:r>
    </w:p>
    <w:p w14:paraId="5A1A9B17" w14:textId="77777777" w:rsidR="00A136C1" w:rsidRDefault="00A136C1" w:rsidP="00A136C1">
      <w:pPr>
        <w:widowControl w:val="0"/>
        <w:spacing w:before="120" w:after="0" w:line="276" w:lineRule="auto"/>
        <w:ind w:firstLine="709"/>
        <w:jc w:val="both"/>
        <w:rPr>
          <w:rFonts w:ascii="Verdana" w:eastAsia="Arial" w:hAnsi="Verdana" w:cs="Arial"/>
        </w:rPr>
      </w:pPr>
      <w:r w:rsidRPr="00B36F85">
        <w:rPr>
          <w:rFonts w:ascii="Verdana" w:eastAsia="Arial" w:hAnsi="Verdana" w:cs="Arial"/>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49BCB75E" w14:textId="77777777" w:rsidR="00A136C1" w:rsidRDefault="00A136C1" w:rsidP="00A136C1">
      <w:pPr>
        <w:widowControl w:val="0"/>
        <w:spacing w:before="120" w:after="0" w:line="276" w:lineRule="auto"/>
        <w:ind w:firstLine="709"/>
        <w:jc w:val="both"/>
        <w:rPr>
          <w:rFonts w:ascii="Verdana" w:eastAsia="Arial" w:hAnsi="Verdana" w:cs="Arial"/>
        </w:rPr>
      </w:pPr>
      <w:r w:rsidRPr="05E3EA9D">
        <w:rPr>
          <w:rFonts w:ascii="Verdana" w:eastAsia="Arial" w:hAnsi="Verdana" w:cs="Arial"/>
          <w:lang w:val="es-ES"/>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5E3EA9D">
        <w:rPr>
          <w:rFonts w:ascii="Verdana" w:eastAsia="Arial" w:hAnsi="Verdana" w:cs="Arial"/>
          <w:vertAlign w:val="superscript"/>
          <w:lang w:val="es-ES"/>
        </w:rPr>
        <w:footnoteReference w:id="25"/>
      </w:r>
      <w:r w:rsidRPr="05E3EA9D">
        <w:rPr>
          <w:rFonts w:ascii="Verdana" w:eastAsia="Arial" w:hAnsi="Verdana" w:cs="Arial"/>
          <w:lang w:val="es-ES"/>
        </w:rPr>
        <w:t xml:space="preserve"> sostuvo: </w:t>
      </w:r>
    </w:p>
    <w:p w14:paraId="67D36E35" w14:textId="77777777" w:rsidR="00A136C1" w:rsidRPr="008C505B" w:rsidRDefault="00A136C1" w:rsidP="00A136C1">
      <w:pPr>
        <w:spacing w:after="0" w:line="240" w:lineRule="auto"/>
        <w:ind w:firstLine="709"/>
        <w:jc w:val="both"/>
        <w:rPr>
          <w:rFonts w:ascii="Verdana" w:eastAsia="Arial" w:hAnsi="Verdana" w:cs="Arial"/>
        </w:rPr>
      </w:pPr>
    </w:p>
    <w:p w14:paraId="3537D806" w14:textId="77777777" w:rsidR="00A136C1" w:rsidRDefault="00A136C1" w:rsidP="00A136C1">
      <w:pPr>
        <w:spacing w:after="0"/>
        <w:ind w:left="708" w:right="709"/>
        <w:jc w:val="both"/>
        <w:rPr>
          <w:rFonts w:ascii="Verdana" w:eastAsia="Arial" w:hAnsi="Verdana" w:cs="Arial"/>
          <w:sz w:val="20"/>
          <w:szCs w:val="20"/>
          <w:lang w:val="es-ES"/>
        </w:rPr>
      </w:pPr>
      <w:r w:rsidRPr="05E3EA9D">
        <w:rPr>
          <w:rFonts w:ascii="Verdana" w:eastAsia="Arial" w:hAnsi="Verdana" w:cs="Arial"/>
          <w:sz w:val="20"/>
          <w:szCs w:val="20"/>
          <w:lang w:val="es-ES"/>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3A671FD1" w14:textId="77777777" w:rsidR="00A136C1" w:rsidRPr="004B49E2" w:rsidRDefault="00A136C1" w:rsidP="00A136C1">
      <w:pPr>
        <w:spacing w:after="0"/>
        <w:ind w:left="708" w:right="709"/>
        <w:jc w:val="both"/>
        <w:rPr>
          <w:rFonts w:ascii="Verdana" w:eastAsia="Arial" w:hAnsi="Verdana" w:cs="Arial"/>
          <w:sz w:val="20"/>
          <w:szCs w:val="20"/>
          <w:lang w:val="es-ES"/>
        </w:rPr>
      </w:pPr>
    </w:p>
    <w:p w14:paraId="213C7343" w14:textId="77777777" w:rsidR="00A136C1" w:rsidRDefault="00A136C1" w:rsidP="00A136C1">
      <w:pPr>
        <w:spacing w:after="0" w:line="276" w:lineRule="auto"/>
        <w:ind w:firstLine="709"/>
        <w:jc w:val="both"/>
        <w:rPr>
          <w:rFonts w:ascii="Verdana" w:eastAsia="Arial" w:hAnsi="Verdana" w:cs="Arial"/>
          <w:lang w:val="es-ES"/>
        </w:rPr>
      </w:pPr>
      <w:r w:rsidRPr="004B49E2">
        <w:rPr>
          <w:rFonts w:ascii="Verdana" w:eastAsia="Arial" w:hAnsi="Verdana" w:cs="Arial"/>
          <w:lang w:val="es-ES"/>
        </w:rPr>
        <w:t xml:space="preserve">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w:t>
      </w:r>
      <w:r w:rsidRPr="004B49E2">
        <w:rPr>
          <w:rFonts w:ascii="Verdana" w:eastAsia="Arial" w:hAnsi="Verdana" w:cs="Arial"/>
          <w:lang w:val="es-ES"/>
        </w:rPr>
        <w:lastRenderedPageBreak/>
        <w:t>no establecen de manera literal una causal de rechazo, en los términos expuestos, no podrán rechazarse las propuestas.</w:t>
      </w:r>
    </w:p>
    <w:p w14:paraId="271E9F1E" w14:textId="77777777" w:rsidR="00A136C1" w:rsidRDefault="00A136C1" w:rsidP="00A136C1">
      <w:pPr>
        <w:spacing w:before="120" w:after="0" w:line="276" w:lineRule="auto"/>
        <w:ind w:firstLine="709"/>
        <w:jc w:val="both"/>
        <w:rPr>
          <w:rFonts w:ascii="Verdana" w:eastAsia="Arial" w:hAnsi="Verdana" w:cs="Arial"/>
        </w:rPr>
      </w:pPr>
      <w:r>
        <w:rPr>
          <w:rFonts w:ascii="Verdana" w:eastAsia="Arial" w:hAnsi="Verdana" w:cs="Arial"/>
        </w:rPr>
        <w:t>De conformidad con lo anterior, p</w:t>
      </w:r>
      <w:r w:rsidRPr="004B49E2">
        <w:rPr>
          <w:rFonts w:ascii="Verdana" w:eastAsia="Arial" w:hAnsi="Verdana" w:cs="Arial"/>
        </w:rPr>
        <w:t xml:space="preserve">ara garantizar el principio de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w:t>
      </w:r>
    </w:p>
    <w:p w14:paraId="5CCB0A34" w14:textId="77777777" w:rsidR="00A136C1" w:rsidRDefault="00A136C1" w:rsidP="00A136C1">
      <w:pPr>
        <w:spacing w:before="120" w:after="0" w:line="276" w:lineRule="auto"/>
        <w:ind w:firstLine="709"/>
        <w:jc w:val="both"/>
        <w:rPr>
          <w:rFonts w:ascii="Verdana" w:eastAsia="Arial" w:hAnsi="Verdana" w:cs="Arial"/>
        </w:rPr>
      </w:pPr>
      <w:r w:rsidRPr="004B49E2">
        <w:rPr>
          <w:rFonts w:ascii="Verdana" w:eastAsia="Arial" w:hAnsi="Verdana" w:cs="Arial"/>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74535197" w14:textId="77777777" w:rsidR="00A136C1" w:rsidRPr="00314EDC" w:rsidRDefault="00A136C1" w:rsidP="00A136C1">
      <w:pPr>
        <w:spacing w:before="120" w:after="0" w:line="276" w:lineRule="auto"/>
        <w:ind w:firstLine="709"/>
        <w:jc w:val="both"/>
        <w:rPr>
          <w:rFonts w:ascii="Verdana" w:eastAsia="Arial" w:hAnsi="Verdana" w:cs="Arial"/>
        </w:rPr>
      </w:pPr>
      <w:r w:rsidRPr="00314EDC">
        <w:rPr>
          <w:rFonts w:ascii="Verdana" w:eastAsia="Arial" w:hAnsi="Verdana" w:cs="Arial"/>
          <w:lang w:val="es-ES"/>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B6E12DB" w14:textId="77777777" w:rsidR="00A136C1" w:rsidRDefault="00A136C1" w:rsidP="00A136C1">
      <w:pPr>
        <w:spacing w:before="120" w:after="0" w:line="276" w:lineRule="auto"/>
        <w:ind w:firstLine="709"/>
        <w:jc w:val="both"/>
        <w:rPr>
          <w:rFonts w:ascii="Verdana" w:eastAsia="Arial" w:hAnsi="Verdana" w:cs="Arial"/>
          <w:lang w:val="es-ES"/>
        </w:rPr>
      </w:pPr>
      <w:r w:rsidRPr="00314EDC">
        <w:rPr>
          <w:rFonts w:ascii="Verdana" w:eastAsia="Arial" w:hAnsi="Verdana" w:cs="Arial"/>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6D4883BB" w14:textId="77777777" w:rsidR="001C423A" w:rsidRPr="00B70C1E" w:rsidRDefault="001C423A" w:rsidP="000E6C52">
      <w:pPr>
        <w:spacing w:after="0" w:line="276" w:lineRule="auto"/>
        <w:ind w:firstLine="709"/>
        <w:jc w:val="both"/>
        <w:rPr>
          <w:rFonts w:ascii="Verdana" w:eastAsia="Arial" w:hAnsi="Verdana" w:cs="Arial"/>
          <w:lang w:val="es-ES"/>
        </w:rPr>
      </w:pPr>
    </w:p>
    <w:p w14:paraId="08D61EEC" w14:textId="77777777" w:rsidR="00A136C1" w:rsidRDefault="00A136C1" w:rsidP="00A136C1">
      <w:pPr>
        <w:tabs>
          <w:tab w:val="left" w:pos="142"/>
          <w:tab w:val="left" w:pos="284"/>
          <w:tab w:val="left" w:pos="3828"/>
        </w:tabs>
        <w:spacing w:after="0" w:line="240" w:lineRule="auto"/>
        <w:rPr>
          <w:rFonts w:ascii="Verdana" w:eastAsia="Century Gothic" w:hAnsi="Verdana" w:cs="Century Gothic"/>
          <w:b/>
          <w:bCs/>
        </w:rPr>
      </w:pPr>
      <w:bookmarkStart w:id="8"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8"/>
    </w:p>
    <w:p w14:paraId="196D0287" w14:textId="77777777" w:rsidR="00A136C1" w:rsidRPr="005644FE" w:rsidRDefault="00A136C1" w:rsidP="00A136C1">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136C1" w:rsidRPr="005644FE" w14:paraId="71DAC962" w14:textId="77777777" w:rsidTr="002C287A">
        <w:trPr>
          <w:trHeight w:val="1288"/>
          <w:jc w:val="center"/>
        </w:trPr>
        <w:tc>
          <w:tcPr>
            <w:tcW w:w="8647" w:type="dxa"/>
          </w:tcPr>
          <w:p w14:paraId="49B7F9C3" w14:textId="77777777" w:rsidR="00A136C1" w:rsidRPr="00F96CE6" w:rsidRDefault="00A136C1" w:rsidP="00A136C1">
            <w:pPr>
              <w:pStyle w:val="Prrafodelista"/>
              <w:numPr>
                <w:ilvl w:val="0"/>
                <w:numId w:val="17"/>
              </w:numPr>
              <w:spacing w:line="276" w:lineRule="auto"/>
              <w:jc w:val="both"/>
              <w:rPr>
                <w:rFonts w:ascii="Verdana" w:eastAsia="Aptos" w:hAnsi="Verdana" w:cs="Arial"/>
              </w:rPr>
            </w:pPr>
            <w:r>
              <w:rPr>
                <w:rFonts w:ascii="Verdana" w:eastAsia="Calibri" w:hAnsi="Verdana" w:cs="Arial"/>
                <w:color w:val="000000" w:themeColor="text1"/>
              </w:rPr>
              <w:lastRenderedPageBreak/>
              <w:t xml:space="preserve">Constitución Política. Artículo 228. </w:t>
            </w:r>
          </w:p>
          <w:p w14:paraId="31F58E46" w14:textId="77777777" w:rsidR="00A136C1" w:rsidRPr="00955998" w:rsidRDefault="00A136C1" w:rsidP="00A136C1">
            <w:pPr>
              <w:pStyle w:val="Prrafodelista"/>
              <w:numPr>
                <w:ilvl w:val="0"/>
                <w:numId w:val="17"/>
              </w:numPr>
              <w:spacing w:line="276" w:lineRule="auto"/>
              <w:jc w:val="both"/>
              <w:rPr>
                <w:rFonts w:ascii="Verdana" w:eastAsia="Aptos" w:hAnsi="Verdana" w:cs="Arial"/>
              </w:rPr>
            </w:pPr>
            <w:r w:rsidRPr="00C940A9">
              <w:rPr>
                <w:rFonts w:ascii="Verdana" w:eastAsia="Calibri" w:hAnsi="Verdana" w:cs="Arial"/>
                <w:color w:val="000000" w:themeColor="text1"/>
              </w:rPr>
              <w:t>Ley 2069 de 2020</w:t>
            </w:r>
            <w:r>
              <w:rPr>
                <w:rFonts w:ascii="Verdana" w:eastAsia="Calibri" w:hAnsi="Verdana" w:cs="Arial"/>
                <w:color w:val="000000" w:themeColor="text1"/>
              </w:rPr>
              <w:t xml:space="preserve">. Artículo 30, 34. </w:t>
            </w:r>
          </w:p>
          <w:p w14:paraId="345FE481" w14:textId="77777777" w:rsidR="00A136C1" w:rsidRPr="00955998" w:rsidRDefault="00A136C1" w:rsidP="00A136C1">
            <w:pPr>
              <w:pStyle w:val="Prrafodelista"/>
              <w:numPr>
                <w:ilvl w:val="0"/>
                <w:numId w:val="17"/>
              </w:numPr>
              <w:spacing w:line="276" w:lineRule="auto"/>
              <w:jc w:val="both"/>
              <w:rPr>
                <w:rFonts w:ascii="Verdana" w:eastAsia="Aptos" w:hAnsi="Verdana" w:cs="Arial"/>
              </w:rPr>
            </w:pPr>
            <w:r>
              <w:rPr>
                <w:rFonts w:ascii="Verdana" w:eastAsia="Calibri" w:hAnsi="Verdana" w:cs="Arial"/>
                <w:color w:val="000000" w:themeColor="text1"/>
              </w:rPr>
              <w:t xml:space="preserve">Ley 1150 de 2007. Artículos 2 numeral 5, 5.   </w:t>
            </w:r>
          </w:p>
          <w:p w14:paraId="5DCDF0DE" w14:textId="77777777" w:rsidR="00A136C1" w:rsidRDefault="00A136C1" w:rsidP="00A136C1">
            <w:pPr>
              <w:pStyle w:val="Prrafodelista"/>
              <w:numPr>
                <w:ilvl w:val="0"/>
                <w:numId w:val="17"/>
              </w:numPr>
              <w:spacing w:line="276" w:lineRule="auto"/>
              <w:jc w:val="both"/>
              <w:rPr>
                <w:rFonts w:ascii="Verdana" w:eastAsia="Aptos" w:hAnsi="Verdana" w:cs="Arial"/>
              </w:rPr>
            </w:pPr>
            <w:r>
              <w:rPr>
                <w:rFonts w:ascii="Verdana" w:eastAsia="Aptos" w:hAnsi="Verdana" w:cs="Arial"/>
              </w:rPr>
              <w:t xml:space="preserve">Decreto 1860 de 2021. </w:t>
            </w:r>
          </w:p>
          <w:p w14:paraId="409E63D8" w14:textId="77777777" w:rsidR="00A136C1" w:rsidRPr="00F96CE6" w:rsidRDefault="00A136C1" w:rsidP="00A136C1">
            <w:pPr>
              <w:pStyle w:val="Prrafodelista"/>
              <w:numPr>
                <w:ilvl w:val="0"/>
                <w:numId w:val="17"/>
              </w:numPr>
              <w:spacing w:line="276" w:lineRule="auto"/>
              <w:jc w:val="both"/>
              <w:rPr>
                <w:rFonts w:ascii="Verdana" w:eastAsia="Aptos" w:hAnsi="Verdana" w:cs="Arial"/>
              </w:rPr>
            </w:pPr>
            <w:r>
              <w:rPr>
                <w:rFonts w:ascii="Verdana" w:eastAsia="Aptos" w:hAnsi="Verdana" w:cs="Arial"/>
              </w:rPr>
              <w:t xml:space="preserve">Decreto 1082 de 2015. Artículos </w:t>
            </w:r>
            <w:r w:rsidRPr="00C940A9">
              <w:rPr>
                <w:rFonts w:ascii="Verdana" w:hAnsi="Verdana" w:cs="Arial"/>
                <w:bCs/>
                <w:lang w:eastAsia="es-ES"/>
              </w:rPr>
              <w:t>2.2.1.2.4.2.2., 2.2.1.2.4.2.3.</w:t>
            </w:r>
            <w:r>
              <w:rPr>
                <w:rFonts w:ascii="Verdana" w:hAnsi="Verdana" w:cs="Arial"/>
                <w:bCs/>
                <w:lang w:eastAsia="es-ES"/>
              </w:rPr>
              <w:t>,</w:t>
            </w:r>
            <w:r w:rsidRPr="00C940A9">
              <w:rPr>
                <w:rFonts w:ascii="Verdana" w:hAnsi="Verdana" w:cs="Arial"/>
                <w:bCs/>
                <w:lang w:eastAsia="es-ES"/>
              </w:rPr>
              <w:t xml:space="preserve"> 2.2.1.2.4.2.4.</w:t>
            </w:r>
            <w:r>
              <w:rPr>
                <w:rFonts w:ascii="Verdana" w:hAnsi="Verdana" w:cs="Arial"/>
                <w:bCs/>
                <w:lang w:eastAsia="es-ES"/>
              </w:rPr>
              <w:t xml:space="preserve">, </w:t>
            </w:r>
            <w:r w:rsidRPr="00C940A9">
              <w:rPr>
                <w:rFonts w:ascii="Verdana" w:eastAsia="Calibri" w:hAnsi="Verdana" w:cs="Arial"/>
                <w:color w:val="000000" w:themeColor="text1"/>
              </w:rPr>
              <w:t>2.2.1.2.1.5.1.</w:t>
            </w:r>
            <w:r>
              <w:rPr>
                <w:rFonts w:ascii="Verdana" w:eastAsia="Calibri" w:hAnsi="Verdana" w:cs="Arial"/>
                <w:color w:val="000000" w:themeColor="text1"/>
              </w:rPr>
              <w:t xml:space="preserve">, </w:t>
            </w:r>
            <w:r w:rsidRPr="00C940A9">
              <w:rPr>
                <w:rFonts w:ascii="Verdana" w:eastAsia="Calibri" w:hAnsi="Verdana" w:cs="Arial"/>
                <w:color w:val="000000" w:themeColor="text1"/>
              </w:rPr>
              <w:t>2.2.1.2.1.5.2.</w:t>
            </w:r>
            <w:r>
              <w:rPr>
                <w:rFonts w:ascii="Verdana" w:eastAsia="Calibri" w:hAnsi="Verdana" w:cs="Arial"/>
                <w:color w:val="000000" w:themeColor="text1"/>
              </w:rPr>
              <w:t xml:space="preserve">, </w:t>
            </w:r>
            <w:r w:rsidRPr="00C940A9">
              <w:rPr>
                <w:rFonts w:ascii="Verdana" w:eastAsia="Calibri" w:hAnsi="Verdana" w:cs="Arial"/>
                <w:color w:val="000000" w:themeColor="text1"/>
              </w:rPr>
              <w:t>2.2.1.2.1.5.3.</w:t>
            </w:r>
            <w:r>
              <w:rPr>
                <w:rFonts w:ascii="Verdana" w:eastAsia="Calibri" w:hAnsi="Verdana" w:cs="Arial"/>
                <w:color w:val="000000" w:themeColor="text1"/>
              </w:rPr>
              <w:t xml:space="preserve">, </w:t>
            </w:r>
            <w:r w:rsidRPr="00C940A9">
              <w:rPr>
                <w:rFonts w:ascii="Verdana" w:eastAsia="Calibri" w:hAnsi="Verdana" w:cs="Arial"/>
                <w:color w:val="000000" w:themeColor="text1"/>
              </w:rPr>
              <w:t>2.2.1.2.1.5.4.</w:t>
            </w:r>
            <w:r>
              <w:rPr>
                <w:rFonts w:ascii="Verdana" w:eastAsia="Calibri" w:hAnsi="Verdana" w:cs="Arial"/>
                <w:color w:val="000000" w:themeColor="text1"/>
              </w:rPr>
              <w:t xml:space="preserve">, </w:t>
            </w:r>
            <w:r w:rsidRPr="00C940A9">
              <w:rPr>
                <w:rFonts w:ascii="Verdana" w:eastAsia="Calibri" w:hAnsi="Verdana" w:cs="Arial"/>
                <w:color w:val="000000" w:themeColor="text1"/>
              </w:rPr>
              <w:t>2.2.1.2.1.5.5.</w:t>
            </w:r>
          </w:p>
          <w:p w14:paraId="17691E3A" w14:textId="77777777" w:rsidR="00A136C1" w:rsidRPr="00F96CE6" w:rsidRDefault="00A136C1" w:rsidP="00A136C1">
            <w:pPr>
              <w:pStyle w:val="Prrafodelista"/>
              <w:numPr>
                <w:ilvl w:val="0"/>
                <w:numId w:val="17"/>
              </w:numPr>
              <w:spacing w:line="276" w:lineRule="auto"/>
              <w:jc w:val="both"/>
              <w:rPr>
                <w:rFonts w:ascii="Verdana" w:eastAsia="Aptos" w:hAnsi="Verdana" w:cs="Arial"/>
              </w:rPr>
            </w:pPr>
            <w:r w:rsidRPr="05E3EA9D">
              <w:rPr>
                <w:rFonts w:ascii="Verdana" w:eastAsia="Arial" w:hAnsi="Verdana" w:cs="Arial"/>
                <w:color w:val="000000" w:themeColor="text1"/>
              </w:rPr>
              <w:t>Decreto-ley 150 de 1976</w:t>
            </w:r>
            <w:r>
              <w:rPr>
                <w:rFonts w:ascii="Verdana" w:eastAsia="Arial" w:hAnsi="Verdana" w:cs="Arial"/>
                <w:color w:val="000000" w:themeColor="text1"/>
              </w:rPr>
              <w:t>.</w:t>
            </w:r>
          </w:p>
          <w:p w14:paraId="36B958DC" w14:textId="77777777" w:rsidR="00A136C1" w:rsidRPr="00F96CE6" w:rsidRDefault="00A136C1" w:rsidP="00A136C1">
            <w:pPr>
              <w:pStyle w:val="Prrafodelista"/>
              <w:numPr>
                <w:ilvl w:val="0"/>
                <w:numId w:val="17"/>
              </w:numPr>
              <w:spacing w:line="276" w:lineRule="auto"/>
              <w:jc w:val="both"/>
              <w:rPr>
                <w:rFonts w:ascii="Verdana" w:eastAsia="Aptos" w:hAnsi="Verdana" w:cs="Arial"/>
              </w:rPr>
            </w:pPr>
            <w:r w:rsidRPr="05E3EA9D">
              <w:rPr>
                <w:rFonts w:ascii="Verdana" w:eastAsia="Arial" w:hAnsi="Verdana" w:cs="Arial"/>
                <w:color w:val="000000" w:themeColor="text1"/>
              </w:rPr>
              <w:t>Decreto-ley 222 de 1983</w:t>
            </w:r>
            <w:r>
              <w:rPr>
                <w:rFonts w:ascii="Verdana" w:eastAsia="Arial" w:hAnsi="Verdana" w:cs="Arial"/>
                <w:color w:val="000000" w:themeColor="text1"/>
              </w:rPr>
              <w:t>.</w:t>
            </w:r>
          </w:p>
          <w:p w14:paraId="7F92B5D4" w14:textId="77777777" w:rsidR="00A136C1" w:rsidRPr="00F96CE6" w:rsidRDefault="00A136C1" w:rsidP="00A136C1">
            <w:pPr>
              <w:pStyle w:val="Prrafodelista"/>
              <w:numPr>
                <w:ilvl w:val="0"/>
                <w:numId w:val="17"/>
              </w:numPr>
              <w:spacing w:line="276" w:lineRule="auto"/>
              <w:jc w:val="both"/>
              <w:rPr>
                <w:rFonts w:ascii="Verdana" w:eastAsia="Aptos" w:hAnsi="Verdana" w:cs="Arial"/>
              </w:rPr>
            </w:pPr>
            <w:r>
              <w:rPr>
                <w:rFonts w:ascii="Verdana" w:eastAsia="Arial" w:hAnsi="Verdana" w:cs="Arial"/>
                <w:color w:val="000000" w:themeColor="text1"/>
              </w:rPr>
              <w:t>Ley 80 de 1993. Artículos 25 numeral 15, 30 numerales 7 y 8.</w:t>
            </w:r>
          </w:p>
          <w:p w14:paraId="3A5671EA" w14:textId="77777777" w:rsidR="00A136C1" w:rsidRPr="00F96CE6" w:rsidRDefault="00A136C1" w:rsidP="00A136C1">
            <w:pPr>
              <w:pStyle w:val="Prrafodelista"/>
              <w:numPr>
                <w:ilvl w:val="0"/>
                <w:numId w:val="17"/>
              </w:numPr>
              <w:spacing w:line="276" w:lineRule="auto"/>
              <w:jc w:val="both"/>
              <w:rPr>
                <w:rFonts w:ascii="Verdana" w:eastAsia="Aptos" w:hAnsi="Verdana" w:cs="Arial"/>
              </w:rPr>
            </w:pPr>
            <w:r>
              <w:rPr>
                <w:rFonts w:ascii="Verdana" w:eastAsia="Arial" w:hAnsi="Verdana" w:cs="Arial"/>
                <w:color w:val="000000" w:themeColor="text1"/>
              </w:rPr>
              <w:t xml:space="preserve">Ley 1882 de 2018. Artículo 5. </w:t>
            </w:r>
          </w:p>
          <w:p w14:paraId="215CE711" w14:textId="77777777" w:rsidR="00A136C1" w:rsidRPr="00F96CE6" w:rsidRDefault="00A136C1" w:rsidP="00A136C1">
            <w:pPr>
              <w:pStyle w:val="Prrafodelista"/>
              <w:numPr>
                <w:ilvl w:val="0"/>
                <w:numId w:val="17"/>
              </w:numPr>
              <w:spacing w:line="276" w:lineRule="auto"/>
              <w:jc w:val="both"/>
              <w:rPr>
                <w:rFonts w:ascii="Verdana" w:eastAsia="Aptos" w:hAnsi="Verdana" w:cs="Arial"/>
              </w:rPr>
            </w:pPr>
            <w:r>
              <w:rPr>
                <w:rFonts w:ascii="Verdana" w:eastAsia="Calibri" w:hAnsi="Verdana" w:cs="Arial"/>
                <w:color w:val="000000" w:themeColor="text1"/>
              </w:rPr>
              <w:t xml:space="preserve">Código de Comercio. Artículos </w:t>
            </w:r>
            <w:r w:rsidRPr="005B1F06">
              <w:rPr>
                <w:rFonts w:ascii="Verdana" w:eastAsia="Arial" w:hAnsi="Verdana" w:cs="Arial"/>
                <w:color w:val="000000" w:themeColor="text1"/>
              </w:rPr>
              <w:t>110</w:t>
            </w:r>
            <w:r>
              <w:rPr>
                <w:rFonts w:ascii="Verdana" w:eastAsia="Arial" w:hAnsi="Verdana" w:cs="Arial"/>
                <w:color w:val="000000" w:themeColor="text1"/>
              </w:rPr>
              <w:t>,</w:t>
            </w:r>
            <w:r w:rsidRPr="005B1F06">
              <w:rPr>
                <w:rFonts w:ascii="Verdana" w:eastAsia="Arial" w:hAnsi="Verdana" w:cs="Arial"/>
                <w:color w:val="000000" w:themeColor="text1"/>
              </w:rPr>
              <w:t xml:space="preserve"> 111</w:t>
            </w:r>
            <w:r>
              <w:rPr>
                <w:rFonts w:ascii="Verdana" w:eastAsia="Arial" w:hAnsi="Verdana" w:cs="Arial"/>
                <w:color w:val="000000" w:themeColor="text1"/>
              </w:rPr>
              <w:t xml:space="preserve">, </w:t>
            </w:r>
            <w:r>
              <w:rPr>
                <w:rFonts w:ascii="Verdana" w:eastAsia="Calibri" w:hAnsi="Verdana" w:cs="Arial"/>
                <w:color w:val="000000" w:themeColor="text1"/>
              </w:rPr>
              <w:t>263.</w:t>
            </w:r>
          </w:p>
          <w:p w14:paraId="04192E7A" w14:textId="77777777" w:rsidR="00A136C1" w:rsidRDefault="00A136C1" w:rsidP="00A136C1">
            <w:pPr>
              <w:pStyle w:val="Prrafodelista"/>
              <w:numPr>
                <w:ilvl w:val="0"/>
                <w:numId w:val="17"/>
              </w:numPr>
              <w:spacing w:line="276" w:lineRule="auto"/>
              <w:jc w:val="both"/>
              <w:rPr>
                <w:rFonts w:ascii="Verdana" w:eastAsia="Aptos" w:hAnsi="Verdana" w:cs="Arial"/>
              </w:rPr>
            </w:pPr>
            <w:r w:rsidRPr="00F96CE6">
              <w:rPr>
                <w:rFonts w:ascii="Verdana" w:eastAsia="Aptos" w:hAnsi="Verdana" w:cs="Arial"/>
              </w:rPr>
              <w:t>Consejo de Estado. Sala de Consulta y Servicio Civil, concepto del 6 de noviembre de 2008. Rad. 2008-00079-00 (1927). C.P. William Zambrano Cetina.</w:t>
            </w:r>
          </w:p>
          <w:p w14:paraId="5518B3BE" w14:textId="77777777" w:rsidR="00A136C1" w:rsidRDefault="00A136C1" w:rsidP="00A136C1">
            <w:pPr>
              <w:pStyle w:val="Prrafodelista"/>
              <w:numPr>
                <w:ilvl w:val="0"/>
                <w:numId w:val="17"/>
              </w:numPr>
              <w:spacing w:line="276" w:lineRule="auto"/>
              <w:jc w:val="both"/>
              <w:rPr>
                <w:rFonts w:ascii="Verdana" w:eastAsia="Aptos" w:hAnsi="Verdana" w:cs="Arial"/>
              </w:rPr>
            </w:pPr>
            <w:r w:rsidRPr="00F96CE6">
              <w:rPr>
                <w:rFonts w:ascii="Verdana" w:eastAsia="Aptos" w:hAnsi="Verdana" w:cs="Arial"/>
              </w:rPr>
              <w:t xml:space="preserve">Consejo de Estado. Sala de lo Contencioso Administrativo. Sección Tercera, Subsección C. Sentencia del 26 de febrero de 2011. Radicado: 11001-03-26-000-2009-00018-00 (36.408). C.P. Jaime Orlando Santofimio.   </w:t>
            </w:r>
          </w:p>
          <w:p w14:paraId="2FB46D6C" w14:textId="77777777" w:rsidR="00A136C1" w:rsidRDefault="00A136C1" w:rsidP="00A136C1">
            <w:pPr>
              <w:pStyle w:val="Prrafodelista"/>
              <w:numPr>
                <w:ilvl w:val="0"/>
                <w:numId w:val="17"/>
              </w:numPr>
              <w:spacing w:line="276" w:lineRule="auto"/>
              <w:jc w:val="both"/>
              <w:rPr>
                <w:rFonts w:ascii="Verdana" w:eastAsia="Aptos" w:hAnsi="Verdana" w:cs="Arial"/>
              </w:rPr>
            </w:pPr>
            <w:r w:rsidRPr="00F96CE6">
              <w:rPr>
                <w:rFonts w:ascii="Verdana" w:eastAsia="Aptos" w:hAnsi="Verdana" w:cs="Arial"/>
              </w:rPr>
              <w:t xml:space="preserve">Consejo de Estado, Sección Tercera, Subsección C. Sentencia del 26 de febrero de 2014. C.P. Enrique Gil Botero. Radicado: 13001-23-31-000-1999-00113-01 (25.804). M.P: Enrique Gil Botero.   </w:t>
            </w:r>
          </w:p>
          <w:p w14:paraId="37D68334" w14:textId="77777777" w:rsidR="00A136C1" w:rsidRDefault="00A136C1" w:rsidP="00A136C1">
            <w:pPr>
              <w:pStyle w:val="Prrafodelista"/>
              <w:numPr>
                <w:ilvl w:val="0"/>
                <w:numId w:val="17"/>
              </w:numPr>
              <w:spacing w:line="276" w:lineRule="auto"/>
              <w:jc w:val="both"/>
              <w:rPr>
                <w:rFonts w:ascii="Verdana" w:eastAsia="Aptos" w:hAnsi="Verdana" w:cs="Arial"/>
              </w:rPr>
            </w:pPr>
            <w:r w:rsidRPr="00F96CE6">
              <w:rPr>
                <w:rFonts w:ascii="Verdana" w:eastAsia="Aptos" w:hAnsi="Verdana" w:cs="Arial"/>
              </w:rPr>
              <w:t>Consejo de Estado. Sala de lo Contencioso Administrativo. Sección Tercera. Sentencia de 30 de noviembre de 2006. Radicado: 11001-03-26-000-2000-00020-01 (18.059). M.P. Alier Hernández Enríquez.</w:t>
            </w:r>
          </w:p>
          <w:p w14:paraId="3B7439DB" w14:textId="77777777" w:rsidR="00A136C1" w:rsidRDefault="00A136C1" w:rsidP="00A136C1">
            <w:pPr>
              <w:pStyle w:val="Prrafodelista"/>
              <w:numPr>
                <w:ilvl w:val="0"/>
                <w:numId w:val="17"/>
              </w:numPr>
              <w:spacing w:line="276" w:lineRule="auto"/>
              <w:jc w:val="both"/>
              <w:rPr>
                <w:rFonts w:ascii="Verdana" w:eastAsia="Aptos" w:hAnsi="Verdana" w:cs="Arial"/>
              </w:rPr>
            </w:pPr>
            <w:r w:rsidRPr="00F96CE6">
              <w:rPr>
                <w:rFonts w:ascii="Verdana" w:eastAsia="Aptos" w:hAnsi="Verdana" w:cs="Arial"/>
              </w:rPr>
              <w:t>Consejo de Estado. Sala de lo Contencioso Administrativo. Sección Tercera Subsección B. Sentencia del 27 de abril de 2011. Radicado: 25000-23-26-000-1997-03924-01 (18.293). C.P: Ruth Stella Correa Palacio.</w:t>
            </w:r>
          </w:p>
          <w:p w14:paraId="74DC69D6" w14:textId="77777777" w:rsidR="00A136C1" w:rsidRDefault="00A136C1" w:rsidP="00A136C1">
            <w:pPr>
              <w:pStyle w:val="Prrafodelista"/>
              <w:numPr>
                <w:ilvl w:val="0"/>
                <w:numId w:val="17"/>
              </w:numPr>
              <w:spacing w:line="276" w:lineRule="auto"/>
              <w:jc w:val="both"/>
              <w:rPr>
                <w:rFonts w:ascii="Verdana" w:eastAsia="Aptos" w:hAnsi="Verdana" w:cs="Arial"/>
              </w:rPr>
            </w:pPr>
            <w:r w:rsidRPr="00F96CE6">
              <w:rPr>
                <w:rFonts w:ascii="Verdana" w:eastAsia="Aptos" w:hAnsi="Verdana" w:cs="Arial"/>
              </w:rPr>
              <w:t>Consejo de Estado. Sección Tercera. Sentencia del 21 de noviembre de 2013. Radicado 25000-23-26-000-1999-01850-01 (25.397). C.P. Carlos Alberto Zambrano Barrera.</w:t>
            </w:r>
          </w:p>
          <w:p w14:paraId="46D52A6E" w14:textId="77777777" w:rsidR="00A136C1" w:rsidRDefault="00A136C1" w:rsidP="00A136C1">
            <w:pPr>
              <w:pStyle w:val="Prrafodelista"/>
              <w:numPr>
                <w:ilvl w:val="0"/>
                <w:numId w:val="17"/>
              </w:numPr>
              <w:spacing w:line="276" w:lineRule="auto"/>
              <w:jc w:val="both"/>
              <w:rPr>
                <w:rFonts w:ascii="Verdana" w:eastAsia="Aptos" w:hAnsi="Verdana" w:cs="Arial"/>
              </w:rPr>
            </w:pPr>
            <w:r w:rsidRPr="00F96CE6">
              <w:rPr>
                <w:rFonts w:ascii="Verdana" w:eastAsia="Aptos" w:hAnsi="Verdana" w:cs="Arial"/>
              </w:rPr>
              <w:t xml:space="preserve">OSPINA MENA, Jesús Marino. Régimen de la Contratación Estatal. Un salto a la contratación líquida. Bogotá: Ed. 1ª. </w:t>
            </w:r>
            <w:proofErr w:type="spellStart"/>
            <w:r w:rsidRPr="00F96CE6">
              <w:rPr>
                <w:rFonts w:ascii="Verdana" w:eastAsia="Aptos" w:hAnsi="Verdana" w:cs="Arial"/>
              </w:rPr>
              <w:t>Diké</w:t>
            </w:r>
            <w:proofErr w:type="spellEnd"/>
            <w:r w:rsidRPr="00F96CE6">
              <w:rPr>
                <w:rFonts w:ascii="Verdana" w:eastAsia="Aptos" w:hAnsi="Verdana" w:cs="Arial"/>
              </w:rPr>
              <w:t>, 2020.</w:t>
            </w:r>
          </w:p>
          <w:p w14:paraId="7AC9A92E" w14:textId="77777777" w:rsidR="00A136C1" w:rsidRPr="00F96CE6" w:rsidRDefault="00A136C1" w:rsidP="00A136C1">
            <w:pPr>
              <w:pStyle w:val="Prrafodelista"/>
              <w:numPr>
                <w:ilvl w:val="0"/>
                <w:numId w:val="17"/>
              </w:numPr>
              <w:spacing w:line="276" w:lineRule="auto"/>
              <w:jc w:val="both"/>
              <w:rPr>
                <w:rFonts w:ascii="Verdana" w:eastAsia="Aptos" w:hAnsi="Verdana" w:cs="Arial"/>
              </w:rPr>
            </w:pPr>
            <w:r w:rsidRPr="00F96CE6">
              <w:rPr>
                <w:rFonts w:ascii="Verdana" w:eastAsia="Aptos" w:hAnsi="Verdana" w:cs="Arial"/>
              </w:rPr>
              <w:lastRenderedPageBreak/>
              <w:t>RODRÍGUEZ TAMAYO, Mauricio Fernando. Evaluación y rechazo de ofertas en la Ley 80 de 1993. Medellín: Librería Jurídica Sánchez, 2016.</w:t>
            </w:r>
          </w:p>
          <w:p w14:paraId="256C4725" w14:textId="77777777" w:rsidR="00A136C1" w:rsidRPr="00F96CE6" w:rsidRDefault="00A136C1" w:rsidP="00A136C1">
            <w:pPr>
              <w:pStyle w:val="Prrafodelista"/>
              <w:numPr>
                <w:ilvl w:val="0"/>
                <w:numId w:val="17"/>
              </w:numPr>
              <w:spacing w:line="276" w:lineRule="auto"/>
              <w:jc w:val="both"/>
              <w:rPr>
                <w:rFonts w:ascii="Verdana" w:eastAsia="Aptos" w:hAnsi="Verdana" w:cs="Arial"/>
              </w:rPr>
            </w:pPr>
            <w:r w:rsidRPr="00F96CE6">
              <w:rPr>
                <w:rFonts w:ascii="Verdana" w:eastAsia="Aptos" w:hAnsi="Verdana" w:cs="Arial"/>
              </w:rPr>
              <w:t xml:space="preserve">Circular única Externa. Disponible en </w:t>
            </w:r>
            <w:hyperlink r:id="rId12" w:history="1">
              <w:r w:rsidRPr="00F96CE6">
                <w:rPr>
                  <w:rStyle w:val="Hipervnculo"/>
                  <w:rFonts w:ascii="Verdana" w:hAnsi="Verdana"/>
                  <w:lang w:val="es-CO"/>
                </w:rPr>
                <w:t>circular_externa_unica_version_3_vf49.pdf</w:t>
              </w:r>
            </w:hyperlink>
          </w:p>
          <w:p w14:paraId="45F20C9D" w14:textId="77777777" w:rsidR="00A136C1" w:rsidRPr="00A87E6E" w:rsidRDefault="00A136C1" w:rsidP="00A136C1">
            <w:pPr>
              <w:pStyle w:val="Prrafodelista"/>
              <w:numPr>
                <w:ilvl w:val="0"/>
                <w:numId w:val="17"/>
              </w:numPr>
              <w:spacing w:line="276" w:lineRule="auto"/>
              <w:jc w:val="both"/>
              <w:rPr>
                <w:rFonts w:ascii="Verdana" w:eastAsia="Aptos" w:hAnsi="Verdana" w:cs="Arial"/>
              </w:rPr>
            </w:pPr>
            <w:r w:rsidRPr="00E85A8F">
              <w:rPr>
                <w:rFonts w:ascii="Verdana" w:eastAsia="Calibri" w:hAnsi="Verdana" w:cs="Arial"/>
              </w:rPr>
              <w:t>Manual para determinar y verificar los requisitos habilitantes en los Procesos de Contratación</w:t>
            </w:r>
            <w:r>
              <w:rPr>
                <w:rFonts w:ascii="Verdana" w:eastAsia="Calibri" w:hAnsi="Verdana" w:cs="Arial"/>
              </w:rPr>
              <w:t xml:space="preserve">. </w:t>
            </w:r>
            <w:r w:rsidRPr="00F96CE6">
              <w:rPr>
                <w:rFonts w:ascii="Verdana" w:hAnsi="Verdana"/>
                <w:lang w:val="es-CO"/>
              </w:rPr>
              <w:t xml:space="preserve">Disponible en </w:t>
            </w:r>
            <w:hyperlink r:id="rId13" w:history="1">
              <w:r w:rsidRPr="00F96CE6">
                <w:rPr>
                  <w:rStyle w:val="Hipervnculo"/>
                  <w:rFonts w:ascii="Verdana" w:hAnsi="Verdana"/>
                  <w:lang w:val="es-CO"/>
                </w:rPr>
                <w:t>cce-eicp-ma-04._manual_requisitos_habilitantes_v3_29-09-2023.pdf</w:t>
              </w:r>
            </w:hyperlink>
          </w:p>
        </w:tc>
      </w:tr>
    </w:tbl>
    <w:p w14:paraId="716CB972" w14:textId="77777777" w:rsidR="00A136C1" w:rsidRPr="001C423A" w:rsidRDefault="00A136C1" w:rsidP="001C423A">
      <w:pPr>
        <w:widowControl w:val="0"/>
        <w:tabs>
          <w:tab w:val="left" w:pos="3828"/>
        </w:tabs>
        <w:autoSpaceDE w:val="0"/>
        <w:autoSpaceDN w:val="0"/>
        <w:spacing w:after="0" w:line="276" w:lineRule="auto"/>
        <w:jc w:val="both"/>
        <w:rPr>
          <w:rFonts w:ascii="Verdana" w:hAnsi="Verdana" w:cs="Arial"/>
        </w:rPr>
      </w:pPr>
    </w:p>
    <w:p w14:paraId="73134C90" w14:textId="77777777" w:rsidR="00A136C1" w:rsidRPr="001C423A" w:rsidRDefault="00A136C1" w:rsidP="001C423A">
      <w:pPr>
        <w:tabs>
          <w:tab w:val="left" w:pos="142"/>
          <w:tab w:val="left" w:pos="284"/>
          <w:tab w:val="left" w:pos="3828"/>
        </w:tabs>
        <w:spacing w:after="0" w:line="276" w:lineRule="auto"/>
        <w:jc w:val="both"/>
        <w:rPr>
          <w:rFonts w:ascii="Verdana" w:eastAsia="Century Gothic" w:hAnsi="Verdana" w:cs="Century Gothic"/>
          <w:b/>
          <w:bCs/>
        </w:rPr>
      </w:pPr>
      <w:r w:rsidRPr="001C423A">
        <w:rPr>
          <w:rFonts w:ascii="Verdana" w:eastAsia="Century Gothic" w:hAnsi="Verdana" w:cs="Century Gothic"/>
          <w:b/>
          <w:bCs/>
        </w:rPr>
        <w:t>5. Doctrina de la Agencia Nacional de Contratación Pública:</w:t>
      </w:r>
    </w:p>
    <w:p w14:paraId="466D1DC8" w14:textId="77777777" w:rsidR="00A136C1" w:rsidRPr="001C423A" w:rsidRDefault="00A136C1" w:rsidP="000E6C52">
      <w:pPr>
        <w:widowControl w:val="0"/>
        <w:tabs>
          <w:tab w:val="left" w:pos="3828"/>
        </w:tabs>
        <w:autoSpaceDE w:val="0"/>
        <w:autoSpaceDN w:val="0"/>
        <w:spacing w:after="0" w:line="276" w:lineRule="auto"/>
        <w:jc w:val="both"/>
        <w:rPr>
          <w:rFonts w:ascii="Verdana" w:hAnsi="Verdana" w:cs="Arial"/>
          <w:shd w:val="clear" w:color="auto" w:fill="FFFFFF"/>
        </w:rPr>
      </w:pPr>
    </w:p>
    <w:p w14:paraId="631C6A08" w14:textId="77777777" w:rsidR="00A136C1" w:rsidRPr="001C423A" w:rsidRDefault="00A136C1" w:rsidP="001C423A">
      <w:pPr>
        <w:widowControl w:val="0"/>
        <w:autoSpaceDE w:val="0"/>
        <w:autoSpaceDN w:val="0"/>
        <w:spacing w:after="0" w:line="276" w:lineRule="auto"/>
        <w:jc w:val="both"/>
        <w:rPr>
          <w:rStyle w:val="normaltextrun"/>
          <w:rFonts w:ascii="Verdana" w:hAnsi="Verdana" w:cs="Arial"/>
          <w:shd w:val="clear" w:color="auto" w:fill="FFFFFF"/>
          <w:lang w:val="es-ES"/>
        </w:rPr>
      </w:pPr>
      <w:r w:rsidRPr="001C423A">
        <w:rPr>
          <w:rFonts w:ascii="Verdana" w:hAnsi="Verdana" w:cs="Arial"/>
          <w:shd w:val="clear" w:color="auto" w:fill="FFFFFF"/>
          <w:lang w:val="es-ES"/>
        </w:rPr>
        <w:t>Sobre las convocatorias limitadas a MiPymes, según la modificación realizada por el Decreto 1860 de 2021 al Decreto 1082 de 2015, esta Subdirección se ha referido en los Conceptos C-037 del 26 de febrero de 2021, C-035 del 02 de marzo de 2021, C-126 del 06 de abril de 2021, C-127 del 06 de abril de 2021, C-144 del 07 de abril de 2021, C-141 del 08 de abril de 2021, C-163 y C-164 del 19 de abril de 2021, C-242 del 25 de mayo de 2021, C-496 del 14 de septiembre de 2021, C-573 de 13 de octubre de 2021, C-001 del 17 de febrero de 2022, C-293 del 12 de abril de 2022, C-490 del 26 de julio de 2022, C-523 del 16 de agosto de 2022, C-539 del 29 de agosto de 2022, C-585 del 19 de septiembre de 2022, C-587 del 21 de septiembre de 2022, C-597 del 9 de septiembre de 2022, C-627 del 12 de septiembre de 2022, C-643 del 10 de octubre de 2022, C- 662 del 13 de octubre de 2022, C-699 del 25 de octubre de 2022, C-744 del 08 de noviembre de 2022, C-758 del 10 de noviembre de 2022, C-895 del 27 de diciembre de 2022, C- 201 del 2 de agosto de 2024, C-1021 del 27 de diciembre de 2024, C-932 del 30 de diciembre de 2024, C-263 del 7 de abril de 2025, C-848 del 4 de agosto de 2025, C-1183 del 19 de septiembre de 2025</w:t>
      </w:r>
      <w:r w:rsidRPr="001C423A">
        <w:rPr>
          <w:rFonts w:ascii="Verdana" w:eastAsia="Calibri" w:hAnsi="Verdana" w:cs="Times New Roman"/>
        </w:rPr>
        <w:t xml:space="preserve">, C-1199 del 3 de octubre de 2025, </w:t>
      </w:r>
      <w:r w:rsidRPr="001C423A">
        <w:rPr>
          <w:rFonts w:ascii="Verdana" w:hAnsi="Verdana" w:cs="Arial"/>
          <w:shd w:val="clear" w:color="auto" w:fill="FFFFFF"/>
        </w:rPr>
        <w:t>entre otros.</w:t>
      </w:r>
      <w:r w:rsidRPr="001C423A">
        <w:rPr>
          <w:rStyle w:val="normaltextrun"/>
          <w:rFonts w:ascii="Verdana" w:hAnsi="Verdana" w:cs="Arial"/>
          <w:shd w:val="clear" w:color="auto" w:fill="FFFFFF"/>
          <w:lang w:val="es-ES"/>
        </w:rPr>
        <w:t xml:space="preserve"> </w:t>
      </w:r>
    </w:p>
    <w:p w14:paraId="541C8FB8" w14:textId="77777777" w:rsidR="00A136C1" w:rsidRPr="001C423A" w:rsidRDefault="00A136C1" w:rsidP="008F6693">
      <w:pPr>
        <w:widowControl w:val="0"/>
        <w:autoSpaceDE w:val="0"/>
        <w:autoSpaceDN w:val="0"/>
        <w:spacing w:after="0" w:line="240" w:lineRule="auto"/>
        <w:jc w:val="both"/>
        <w:rPr>
          <w:rStyle w:val="normaltextrun"/>
          <w:rFonts w:ascii="Verdana" w:hAnsi="Verdana" w:cs="Arial"/>
          <w:shd w:val="clear" w:color="auto" w:fill="FFFFFF"/>
          <w:lang w:val="es-ES"/>
        </w:rPr>
      </w:pPr>
    </w:p>
    <w:p w14:paraId="66C26560" w14:textId="77777777" w:rsidR="00A136C1" w:rsidRPr="001C423A" w:rsidRDefault="00A136C1" w:rsidP="001C423A">
      <w:pPr>
        <w:widowControl w:val="0"/>
        <w:autoSpaceDE w:val="0"/>
        <w:autoSpaceDN w:val="0"/>
        <w:spacing w:after="0" w:line="276" w:lineRule="auto"/>
        <w:jc w:val="both"/>
        <w:rPr>
          <w:rStyle w:val="normaltextrun"/>
          <w:rFonts w:ascii="Verdana" w:hAnsi="Verdana" w:cs="Arial"/>
          <w:shd w:val="clear" w:color="auto" w:fill="FFFFFF"/>
          <w:lang w:val="es-ES"/>
        </w:rPr>
      </w:pPr>
      <w:r w:rsidRPr="001C423A">
        <w:rPr>
          <w:rStyle w:val="normaltextrun"/>
          <w:rFonts w:ascii="Verdana" w:hAnsi="Verdana" w:cs="Arial"/>
          <w:shd w:val="clear" w:color="auto" w:fill="FFFFFF"/>
          <w:lang w:val="es-ES"/>
        </w:rPr>
        <w:t xml:space="preserve">Esta Subdirección se ha pronunciado sobre la regla de </w:t>
      </w:r>
      <w:proofErr w:type="spellStart"/>
      <w:r w:rsidRPr="001C423A">
        <w:rPr>
          <w:rStyle w:val="normaltextrun"/>
          <w:rFonts w:ascii="Verdana" w:hAnsi="Verdana" w:cs="Arial"/>
          <w:shd w:val="clear" w:color="auto" w:fill="FFFFFF"/>
          <w:lang w:val="es-ES"/>
        </w:rPr>
        <w:t>subsanabilidad</w:t>
      </w:r>
      <w:proofErr w:type="spellEnd"/>
      <w:r w:rsidRPr="001C423A">
        <w:rPr>
          <w:rStyle w:val="normaltextrun"/>
          <w:rFonts w:ascii="Verdana" w:hAnsi="Verdana" w:cs="Arial"/>
          <w:shd w:val="clear" w:color="auto" w:fill="FFFFFF"/>
          <w:lang w:val="es-ES"/>
        </w:rPr>
        <w:t xml:space="preserve"> en los Conceptos C-218 del 2 de abril de 2020, C-229 del 16 de abril de 2020, C-307 del 21 de mayo de 2020, C-396 del 16 de julio de 2020, C-410 del 26 de junio de 2020, C-429 del 24 de julio de 2020, C-481 del 27 de julio de 2020, C-548 del 21 de agosto de 2020, C-633 del 2 de octubre de 2020, C-634 del 21 de octubre de 2020, C-675 del 25 de noviembre de 2020, C-802 del 1° de febrero de 2021, C-010 del 16 de febrero de 2021, C-083 del 18 de marzo de 2021, C-</w:t>
      </w:r>
      <w:r w:rsidRPr="001C423A">
        <w:rPr>
          <w:rStyle w:val="normaltextrun"/>
          <w:rFonts w:ascii="Verdana" w:hAnsi="Verdana" w:cs="Arial"/>
          <w:shd w:val="clear" w:color="auto" w:fill="FFFFFF"/>
          <w:lang w:val="es-ES"/>
        </w:rPr>
        <w:lastRenderedPageBreak/>
        <w:t xml:space="preserve">090 del 23 de marzo de 2021, C-565 del 11 de octubre de 2021, C-691 del 28 de diciembre de 2021, C-716 del 23 de enero de 2022, C-728 del 26 de enero de 2022, C-753 del 6 de febrero de 2022, C-114 del 22 de marzo de 2022, C-140 del 28 de marzo de 2022, C-162 del 5 de abril de 2022, C-285 del 20 de mayo de 2022, C-343 del 31 de mayo de 2022, C-381 del 15 de julio de 2022, C-416 del 30 de junio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C-304 del 4 de julio de 2023, C-051 del 21 de febrero de 2025, C-293 del 16 de abril de 2025, C-295 del 16 de abril de 2025, C-678 del 9 de julio de 2025, C- 1363 del 30 de octubre de 2025, C-1376 del 31 de octubre de 2025, C-1465 del 6 de noviembre de 2025, entre otros. </w:t>
      </w:r>
    </w:p>
    <w:p w14:paraId="4AB8046B" w14:textId="77777777" w:rsidR="00A136C1" w:rsidRPr="001C423A" w:rsidRDefault="00A136C1" w:rsidP="008F6693">
      <w:pPr>
        <w:widowControl w:val="0"/>
        <w:autoSpaceDE w:val="0"/>
        <w:autoSpaceDN w:val="0"/>
        <w:spacing w:after="0" w:line="240" w:lineRule="auto"/>
        <w:jc w:val="both"/>
        <w:rPr>
          <w:rStyle w:val="normaltextrun"/>
          <w:rFonts w:ascii="Verdana" w:hAnsi="Verdana" w:cs="Arial"/>
          <w:shd w:val="clear" w:color="auto" w:fill="FFFFFF"/>
          <w:lang w:val="es-ES"/>
        </w:rPr>
      </w:pPr>
    </w:p>
    <w:p w14:paraId="108E4FF8" w14:textId="77777777" w:rsidR="00A136C1" w:rsidRPr="001C423A" w:rsidRDefault="00A136C1" w:rsidP="001C423A">
      <w:pPr>
        <w:widowControl w:val="0"/>
        <w:autoSpaceDE w:val="0"/>
        <w:autoSpaceDN w:val="0"/>
        <w:spacing w:after="0" w:line="276" w:lineRule="auto"/>
        <w:jc w:val="both"/>
        <w:rPr>
          <w:rFonts w:ascii="Verdana" w:hAnsi="Verdana" w:cs="Arial"/>
          <w:shd w:val="clear" w:color="auto" w:fill="FFFFFF"/>
          <w:lang w:val="es-ES"/>
        </w:rPr>
      </w:pPr>
      <w:r w:rsidRPr="001C423A">
        <w:rPr>
          <w:rStyle w:val="normaltextrun"/>
          <w:rFonts w:ascii="Verdana" w:hAnsi="Verdana" w:cs="Arial"/>
          <w:shd w:val="clear" w:color="auto" w:fill="FFFFFF"/>
          <w:lang w:val="es-ES"/>
        </w:rPr>
        <w:t xml:space="preserve">Sobre las causales de rechazo contempladas en el pliego de condiciones, esta Subdirección se ha pronunciado en los conceptos </w:t>
      </w:r>
      <w:r w:rsidRPr="001C423A">
        <w:rPr>
          <w:rFonts w:ascii="Verdana" w:eastAsia="Calibri" w:hAnsi="Verdana" w:cs="Arial"/>
          <w:shd w:val="clear" w:color="auto" w:fill="FFFFFF"/>
          <w:lang w:val="es-ES"/>
        </w:rPr>
        <w:t>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C-244 del 13 de agosto de 2024, C- 848 del 4 de agosto de 2025, entre otros.</w:t>
      </w:r>
      <w:r w:rsidRPr="001C423A">
        <w:rPr>
          <w:rStyle w:val="normaltextrun"/>
          <w:rFonts w:ascii="Verdana" w:hAnsi="Verdana" w:cs="Arial"/>
          <w:shd w:val="clear" w:color="auto" w:fill="FFFFFF"/>
          <w:lang w:val="es-ES"/>
        </w:rPr>
        <w:t xml:space="preserve"> </w:t>
      </w:r>
      <w:r w:rsidRPr="001C423A">
        <w:rPr>
          <w:rFonts w:ascii="Verdana" w:hAnsi="Verdana" w:cs="Arial"/>
        </w:rPr>
        <w:t xml:space="preserve">Estos y otros </w:t>
      </w:r>
      <w:r w:rsidRPr="001C423A">
        <w:rPr>
          <w:rFonts w:ascii="Verdana" w:hAnsi="Verdana"/>
        </w:rPr>
        <w:t>conceptos se encuentran disponibles para consulta en el Sistema de relatoría de la Agencia, al cual se puede acceder a través del siguiente enlace:</w:t>
      </w:r>
      <w:r w:rsidRPr="001C423A">
        <w:rPr>
          <w:rFonts w:ascii="Verdana" w:hAnsi="Verdana" w:cs="Arial"/>
          <w:shd w:val="clear" w:color="auto" w:fill="FFFFFF"/>
        </w:rPr>
        <w:t xml:space="preserve"> </w:t>
      </w:r>
      <w:hyperlink r:id="rId14" w:history="1">
        <w:r w:rsidRPr="001C423A">
          <w:rPr>
            <w:rStyle w:val="Hipervnculo"/>
            <w:rFonts w:ascii="Verdana" w:hAnsi="Verdana" w:cs="Arial"/>
            <w:shd w:val="clear" w:color="auto" w:fill="FFFFFF"/>
          </w:rPr>
          <w:t>https://relatoria.colombiacompra.gov.co/busqueda/conceptos</w:t>
        </w:r>
      </w:hyperlink>
      <w:r w:rsidRPr="001C423A">
        <w:rPr>
          <w:rFonts w:ascii="Verdana" w:hAnsi="Verdana" w:cs="Arial"/>
          <w:shd w:val="clear" w:color="auto" w:fill="FFFFFF"/>
        </w:rPr>
        <w:t>.</w:t>
      </w:r>
      <w:r w:rsidRPr="001C423A">
        <w:rPr>
          <w:rFonts w:ascii="Verdana" w:hAnsi="Verdana" w:cs="Arial"/>
          <w:color w:val="FF0000"/>
          <w:shd w:val="clear" w:color="auto" w:fill="FFFFFF"/>
        </w:rPr>
        <w:t xml:space="preserve"> </w:t>
      </w:r>
      <w:r w:rsidRPr="001C423A">
        <w:rPr>
          <w:rFonts w:ascii="Verdana" w:hAnsi="Verdana" w:cs="Arial"/>
          <w:color w:val="000000" w:themeColor="text1"/>
          <w:shd w:val="clear" w:color="auto" w:fill="FFFFFF"/>
        </w:rPr>
        <w:t>  </w:t>
      </w:r>
    </w:p>
    <w:p w14:paraId="3E9EA16E" w14:textId="77777777" w:rsidR="00A136C1" w:rsidRPr="001C423A" w:rsidRDefault="00A136C1" w:rsidP="001C423A">
      <w:pPr>
        <w:spacing w:after="0" w:line="276" w:lineRule="auto"/>
        <w:jc w:val="both"/>
        <w:rPr>
          <w:rFonts w:ascii="Verdana" w:eastAsia="Century Gothic" w:hAnsi="Verdana" w:cs="Century Gothic"/>
        </w:rPr>
      </w:pPr>
    </w:p>
    <w:p w14:paraId="66A3C59C" w14:textId="77777777" w:rsidR="00A136C1" w:rsidRPr="001C423A" w:rsidRDefault="00A136C1" w:rsidP="000E6C52">
      <w:pPr>
        <w:spacing w:after="0" w:line="276" w:lineRule="auto"/>
        <w:jc w:val="both"/>
        <w:rPr>
          <w:rFonts w:ascii="Verdana" w:hAnsi="Verdana"/>
        </w:rPr>
      </w:pPr>
      <w:r w:rsidRPr="001C423A">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3E0EAE8" w14:textId="77777777" w:rsidR="00A136C1" w:rsidRPr="001C423A" w:rsidRDefault="00A136C1" w:rsidP="000E6C52">
      <w:pPr>
        <w:spacing w:after="0" w:line="276" w:lineRule="auto"/>
        <w:jc w:val="both"/>
        <w:rPr>
          <w:rFonts w:ascii="Verdana" w:hAnsi="Verdana"/>
        </w:rPr>
      </w:pPr>
    </w:p>
    <w:p w14:paraId="56A09C13" w14:textId="77777777" w:rsidR="00A136C1" w:rsidRPr="001C423A" w:rsidRDefault="00A136C1" w:rsidP="000E6C52">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C423A">
        <w:rPr>
          <w:rFonts w:ascii="Verdana" w:eastAsia="Verdana" w:hAnsi="Verdana" w:cs="Verdana"/>
          <w:lang w:val="es-MX"/>
        </w:rPr>
        <w:t xml:space="preserve">Línea nacional gratuita o servicio a la ciudadanía (Mesa de servicio): </w:t>
      </w:r>
      <w:r w:rsidRPr="001C423A">
        <w:rPr>
          <w:rStyle w:val="Hipervnculo"/>
          <w:rFonts w:ascii="Verdana" w:hAnsi="Verdana"/>
        </w:rPr>
        <w:t>01800 0520808</w:t>
      </w:r>
    </w:p>
    <w:p w14:paraId="6A905DEA" w14:textId="77777777" w:rsidR="00A136C1" w:rsidRPr="001C423A" w:rsidRDefault="00A136C1" w:rsidP="000E6C52">
      <w:pPr>
        <w:pStyle w:val="Prrafodelista"/>
        <w:numPr>
          <w:ilvl w:val="0"/>
          <w:numId w:val="15"/>
        </w:numPr>
        <w:spacing w:after="0" w:line="276" w:lineRule="auto"/>
        <w:rPr>
          <w:rFonts w:ascii="Verdana" w:eastAsia="Verdana" w:hAnsi="Verdana" w:cs="Verdana"/>
          <w:color w:val="4472C4" w:themeColor="accent1"/>
          <w:u w:val="single"/>
          <w:lang w:val="es-MX"/>
        </w:rPr>
      </w:pPr>
      <w:r w:rsidRPr="001C423A">
        <w:rPr>
          <w:rFonts w:ascii="Verdana" w:eastAsia="Verdana" w:hAnsi="Verdana" w:cs="Verdana"/>
          <w:lang w:val="es-MX"/>
        </w:rPr>
        <w:t>Línea en Bogotá (Mesa de servicio</w:t>
      </w:r>
      <w:proofErr w:type="gramStart"/>
      <w:r w:rsidRPr="001C423A">
        <w:rPr>
          <w:rFonts w:ascii="Verdana" w:eastAsia="Verdana" w:hAnsi="Verdana" w:cs="Verdana"/>
          <w:lang w:val="es-MX"/>
        </w:rPr>
        <w:t>):</w:t>
      </w:r>
      <w:r w:rsidRPr="001C423A">
        <w:rPr>
          <w:rStyle w:val="Hipervnculo"/>
          <w:rFonts w:ascii="Verdana" w:hAnsi="Verdana"/>
        </w:rPr>
        <w:t>+</w:t>
      </w:r>
      <w:proofErr w:type="gramEnd"/>
      <w:r w:rsidRPr="001C423A">
        <w:rPr>
          <w:rStyle w:val="Hipervnculo"/>
          <w:rFonts w:ascii="Verdana" w:hAnsi="Verdana"/>
        </w:rPr>
        <w:t>57 601 7456788</w:t>
      </w:r>
    </w:p>
    <w:p w14:paraId="3F6FD21E" w14:textId="77777777" w:rsidR="00A136C1" w:rsidRPr="001C423A" w:rsidRDefault="00A136C1" w:rsidP="000E6C52">
      <w:pPr>
        <w:pStyle w:val="Prrafodelista"/>
        <w:numPr>
          <w:ilvl w:val="0"/>
          <w:numId w:val="15"/>
        </w:numPr>
        <w:spacing w:after="0" w:line="276" w:lineRule="auto"/>
        <w:rPr>
          <w:rFonts w:ascii="Verdana" w:eastAsia="Verdana" w:hAnsi="Verdana" w:cs="Verdana"/>
          <w:color w:val="0000FF"/>
          <w:u w:val="single"/>
          <w:lang w:val="es-MX"/>
        </w:rPr>
      </w:pPr>
      <w:r w:rsidRPr="001C423A">
        <w:rPr>
          <w:rFonts w:ascii="Verdana" w:eastAsia="Verdana" w:hAnsi="Verdana" w:cs="Verdana"/>
          <w:lang w:val="es-MX"/>
        </w:rPr>
        <w:lastRenderedPageBreak/>
        <w:t xml:space="preserve">Correo de radicación de correspondencia: </w:t>
      </w:r>
      <w:hyperlink r:id="rId15">
        <w:r w:rsidRPr="001C423A">
          <w:rPr>
            <w:rStyle w:val="Hipervnculo"/>
            <w:rFonts w:ascii="Verdana" w:eastAsia="Verdana" w:hAnsi="Verdana" w:cs="Verdana"/>
            <w:lang w:val="es-MX"/>
          </w:rPr>
          <w:t>ventanilladeradicacion@colombiacompra.gov.co</w:t>
        </w:r>
      </w:hyperlink>
    </w:p>
    <w:p w14:paraId="3FDCA942" w14:textId="77777777" w:rsidR="00A136C1" w:rsidRPr="001C423A" w:rsidRDefault="00A136C1" w:rsidP="000E6C52">
      <w:pPr>
        <w:pStyle w:val="Prrafodelista"/>
        <w:numPr>
          <w:ilvl w:val="0"/>
          <w:numId w:val="15"/>
        </w:numPr>
        <w:spacing w:after="0" w:line="276" w:lineRule="auto"/>
        <w:rPr>
          <w:rFonts w:ascii="Verdana" w:eastAsia="Verdana" w:hAnsi="Verdana" w:cs="Verdana"/>
          <w:color w:val="0000FF"/>
          <w:u w:val="single"/>
          <w:lang w:val="es-MX"/>
        </w:rPr>
      </w:pPr>
      <w:r w:rsidRPr="001C423A">
        <w:rPr>
          <w:rFonts w:ascii="Verdana" w:eastAsia="Verdana" w:hAnsi="Verdana" w:cs="Verdana"/>
        </w:rPr>
        <w:t>Formulario web para</w:t>
      </w:r>
      <w:r w:rsidRPr="001C423A">
        <w:rPr>
          <w:rFonts w:ascii="Verdana" w:eastAsia="Verdana" w:hAnsi="Verdana" w:cs="Verdana"/>
          <w:lang w:val="es"/>
        </w:rPr>
        <w:t xml:space="preserve"> PQRSD: </w:t>
      </w:r>
      <w:hyperlink r:id="rId16">
        <w:r w:rsidRPr="001C423A">
          <w:rPr>
            <w:rStyle w:val="Hipervnculo"/>
            <w:rFonts w:ascii="Verdana" w:eastAsia="Verdana" w:hAnsi="Verdana" w:cs="Verdana"/>
            <w:lang w:val="es-MX"/>
          </w:rPr>
          <w:t>https://www.colombiacompra.gov.co/pqrsd/informacion-importante-antes-de-formular-una-pqrsd</w:t>
        </w:r>
      </w:hyperlink>
    </w:p>
    <w:p w14:paraId="0F561315" w14:textId="77777777" w:rsidR="00A136C1" w:rsidRPr="001C423A" w:rsidRDefault="00A136C1" w:rsidP="000E6C52">
      <w:pPr>
        <w:spacing w:after="0" w:line="276" w:lineRule="auto"/>
        <w:ind w:left="720"/>
        <w:jc w:val="both"/>
        <w:rPr>
          <w:rFonts w:ascii="Verdana" w:hAnsi="Verdana"/>
        </w:rPr>
      </w:pPr>
    </w:p>
    <w:p w14:paraId="7426D8C1" w14:textId="77777777" w:rsidR="00A136C1" w:rsidRPr="001C423A" w:rsidRDefault="00A136C1" w:rsidP="000E6C52">
      <w:pPr>
        <w:spacing w:after="0" w:line="276" w:lineRule="auto"/>
        <w:rPr>
          <w:rFonts w:ascii="Verdana" w:hAnsi="Verdana"/>
        </w:rPr>
      </w:pPr>
      <w:r w:rsidRPr="001C423A">
        <w:rPr>
          <w:rFonts w:ascii="Verdana" w:hAnsi="Verdana"/>
        </w:rPr>
        <w:t xml:space="preserve">Evalúa el servicio que ofrece la Agencia por el canal de atención de PQRSD en el siguiente </w:t>
      </w:r>
      <w:proofErr w:type="gramStart"/>
      <w:r w:rsidRPr="001C423A">
        <w:rPr>
          <w:rFonts w:ascii="Verdana" w:hAnsi="Verdana"/>
        </w:rPr>
        <w:t>enlace :</w:t>
      </w:r>
      <w:proofErr w:type="gramEnd"/>
      <w:hyperlink r:id="rId17" w:tgtFrame="_blank" w:tooltip="https://forms.office.com/r/pphywvs2sz" w:history="1">
        <w:r w:rsidRPr="001C423A">
          <w:rPr>
            <w:rStyle w:val="Hipervnculo"/>
            <w:rFonts w:ascii="Verdana" w:hAnsi="Verdana"/>
          </w:rPr>
          <w:t>https://forms.office.com/r/pPHyWVs2SZ</w:t>
        </w:r>
      </w:hyperlink>
      <w:r w:rsidRPr="001C423A">
        <w:rPr>
          <w:rFonts w:ascii="Verdana" w:hAnsi="Verdana"/>
        </w:rPr>
        <w:t xml:space="preserve"> .¡Ayúdanos a mejorar porque el compromiso es de todos!</w:t>
      </w:r>
    </w:p>
    <w:p w14:paraId="115652EF" w14:textId="77777777" w:rsidR="00A136C1" w:rsidRPr="001C423A" w:rsidRDefault="00A136C1" w:rsidP="000E6C52">
      <w:pPr>
        <w:spacing w:after="0" w:line="276" w:lineRule="auto"/>
        <w:rPr>
          <w:rFonts w:ascii="Verdana" w:hAnsi="Verdana"/>
        </w:rPr>
      </w:pPr>
    </w:p>
    <w:p w14:paraId="37B8672D" w14:textId="77777777" w:rsidR="00A136C1" w:rsidRPr="001C423A" w:rsidRDefault="00A136C1" w:rsidP="000E6C52">
      <w:pPr>
        <w:spacing w:after="0" w:line="276" w:lineRule="auto"/>
        <w:jc w:val="both"/>
        <w:rPr>
          <w:rFonts w:ascii="Verdana" w:hAnsi="Verdana"/>
        </w:rPr>
      </w:pPr>
      <w:r w:rsidRPr="001C423A">
        <w:rPr>
          <w:rFonts w:ascii="Verdana" w:hAnsi="Verdana"/>
        </w:rPr>
        <w:t xml:space="preserve">Por último, lo invitamos a seguirnos en las redes sociales en las cuales se difunde información institucional: </w:t>
      </w:r>
    </w:p>
    <w:p w14:paraId="385B06B6" w14:textId="77777777" w:rsidR="00A136C1" w:rsidRPr="001C423A" w:rsidRDefault="00A136C1" w:rsidP="000E6C52">
      <w:pPr>
        <w:spacing w:after="0" w:line="276" w:lineRule="auto"/>
        <w:jc w:val="both"/>
        <w:rPr>
          <w:rFonts w:ascii="Verdana" w:hAnsi="Verdana"/>
        </w:rPr>
      </w:pPr>
    </w:p>
    <w:p w14:paraId="171D3409" w14:textId="77777777" w:rsidR="00A136C1" w:rsidRPr="001C423A" w:rsidRDefault="00A136C1" w:rsidP="000E6C52">
      <w:pPr>
        <w:spacing w:after="0" w:line="276" w:lineRule="auto"/>
        <w:jc w:val="both"/>
        <w:rPr>
          <w:rFonts w:ascii="Verdana" w:hAnsi="Verdana"/>
        </w:rPr>
      </w:pPr>
      <w:r w:rsidRPr="001C423A">
        <w:rPr>
          <w:rFonts w:ascii="Verdana" w:hAnsi="Verdana"/>
        </w:rPr>
        <w:t xml:space="preserve">Twitter: </w:t>
      </w:r>
      <w:r w:rsidRPr="001C423A">
        <w:rPr>
          <w:rStyle w:val="Hipervnculo"/>
          <w:rFonts w:ascii="Verdana" w:hAnsi="Verdana"/>
        </w:rPr>
        <w:t>@colombiacompra</w:t>
      </w:r>
      <w:r w:rsidRPr="001C423A">
        <w:rPr>
          <w:rFonts w:ascii="Verdana" w:hAnsi="Verdana"/>
        </w:rPr>
        <w:t xml:space="preserve"> </w:t>
      </w:r>
    </w:p>
    <w:p w14:paraId="5661EE6C" w14:textId="77777777" w:rsidR="00A136C1" w:rsidRPr="001C423A" w:rsidRDefault="00A136C1" w:rsidP="000E6C52">
      <w:pPr>
        <w:spacing w:after="0" w:line="276" w:lineRule="auto"/>
        <w:jc w:val="both"/>
        <w:rPr>
          <w:rFonts w:ascii="Verdana" w:hAnsi="Verdana"/>
        </w:rPr>
      </w:pPr>
      <w:r w:rsidRPr="001C423A">
        <w:rPr>
          <w:rFonts w:ascii="Verdana" w:hAnsi="Verdana"/>
        </w:rPr>
        <w:t xml:space="preserve">Facebook: </w:t>
      </w:r>
      <w:proofErr w:type="spellStart"/>
      <w:r w:rsidRPr="001C423A">
        <w:rPr>
          <w:rStyle w:val="Hipervnculo"/>
          <w:rFonts w:ascii="Verdana" w:hAnsi="Verdana"/>
        </w:rPr>
        <w:t>ColombiaCompraEficiente</w:t>
      </w:r>
      <w:proofErr w:type="spellEnd"/>
    </w:p>
    <w:p w14:paraId="06048512" w14:textId="77777777" w:rsidR="00A136C1" w:rsidRPr="001C423A" w:rsidRDefault="00A136C1" w:rsidP="000E6C52">
      <w:pPr>
        <w:spacing w:after="0" w:line="276" w:lineRule="auto"/>
        <w:jc w:val="both"/>
        <w:rPr>
          <w:rFonts w:ascii="Verdana" w:hAnsi="Verdana"/>
        </w:rPr>
      </w:pPr>
      <w:r w:rsidRPr="001C423A">
        <w:rPr>
          <w:rFonts w:ascii="Verdana" w:hAnsi="Verdana"/>
        </w:rPr>
        <w:t xml:space="preserve">LinkedIn: </w:t>
      </w:r>
      <w:r w:rsidRPr="001C423A">
        <w:rPr>
          <w:rStyle w:val="Hipervnculo"/>
          <w:rFonts w:ascii="Verdana" w:hAnsi="Verdana"/>
        </w:rPr>
        <w:t>Agencia Nacional de Contratación Pública - Colombia Compra Eficiente</w:t>
      </w:r>
      <w:r w:rsidRPr="001C423A">
        <w:rPr>
          <w:rFonts w:ascii="Verdana" w:hAnsi="Verdana"/>
        </w:rPr>
        <w:t xml:space="preserve"> Instagram: </w:t>
      </w:r>
      <w:r w:rsidRPr="001C423A">
        <w:rPr>
          <w:rStyle w:val="Hipervnculo"/>
          <w:rFonts w:ascii="Verdana" w:hAnsi="Verdana"/>
        </w:rPr>
        <w:t>@colombiacompraeficiente_cce</w:t>
      </w:r>
    </w:p>
    <w:p w14:paraId="7671C33A" w14:textId="77777777" w:rsidR="00A136C1" w:rsidRPr="001C423A" w:rsidRDefault="00A136C1" w:rsidP="000E6C52">
      <w:pPr>
        <w:spacing w:after="0" w:line="276" w:lineRule="auto"/>
        <w:jc w:val="both"/>
        <w:rPr>
          <w:rFonts w:ascii="Verdana" w:hAnsi="Verdana"/>
        </w:rPr>
      </w:pPr>
    </w:p>
    <w:p w14:paraId="200C9F45" w14:textId="77777777" w:rsidR="00A136C1" w:rsidRPr="001C423A" w:rsidRDefault="00A136C1" w:rsidP="000E6C52">
      <w:pPr>
        <w:spacing w:after="0" w:line="276" w:lineRule="auto"/>
        <w:jc w:val="both"/>
        <w:rPr>
          <w:rFonts w:ascii="Verdana" w:hAnsi="Verdana"/>
          <w:lang w:val="es-MX"/>
        </w:rPr>
      </w:pPr>
      <w:r w:rsidRPr="001C423A">
        <w:rPr>
          <w:rFonts w:ascii="Verdana" w:hAnsi="Verdana"/>
          <w:lang w:val="es-MX"/>
        </w:rPr>
        <w:t>Cordialmente,</w:t>
      </w:r>
    </w:p>
    <w:p w14:paraId="7CFCDFFF" w14:textId="260ECE28" w:rsidR="00A136C1" w:rsidRDefault="00AF346D" w:rsidP="00A136C1">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2107A0CF" wp14:editId="3CB0FB98">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8"/>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A136C1" w:rsidRPr="005644FE" w14:paraId="552622EC" w14:textId="77777777" w:rsidTr="002C287A">
        <w:trPr>
          <w:trHeight w:val="315"/>
        </w:trPr>
        <w:tc>
          <w:tcPr>
            <w:tcW w:w="893" w:type="dxa"/>
            <w:vAlign w:val="center"/>
            <w:hideMark/>
          </w:tcPr>
          <w:p w14:paraId="0C2A3DAA" w14:textId="77777777" w:rsidR="00A136C1" w:rsidRPr="005644FE" w:rsidRDefault="00A136C1" w:rsidP="002C287A">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B8C5855" w14:textId="77777777" w:rsidR="00A136C1" w:rsidRPr="005644FE" w:rsidRDefault="00A136C1" w:rsidP="002C287A">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622589D9" w14:textId="77777777" w:rsidR="00A136C1" w:rsidRPr="005644FE" w:rsidRDefault="00A136C1" w:rsidP="002C287A">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A136C1" w:rsidRPr="005644FE" w14:paraId="2609386F" w14:textId="77777777" w:rsidTr="002C287A">
        <w:trPr>
          <w:trHeight w:val="330"/>
        </w:trPr>
        <w:tc>
          <w:tcPr>
            <w:tcW w:w="893" w:type="dxa"/>
            <w:vAlign w:val="center"/>
            <w:hideMark/>
          </w:tcPr>
          <w:p w14:paraId="33169073" w14:textId="77777777" w:rsidR="00A136C1" w:rsidRPr="005644FE" w:rsidRDefault="00A136C1" w:rsidP="002C287A">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03B06805" w14:textId="77777777" w:rsidR="00A136C1" w:rsidRPr="00FF007A" w:rsidRDefault="00A136C1" w:rsidP="002C287A">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14:paraId="21932BEF" w14:textId="77777777" w:rsidR="00A136C1" w:rsidRPr="005644FE" w:rsidRDefault="00A136C1" w:rsidP="002C287A">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A136C1" w:rsidRPr="005644FE" w14:paraId="704B599E" w14:textId="77777777" w:rsidTr="002C287A">
        <w:trPr>
          <w:trHeight w:val="300"/>
        </w:trPr>
        <w:tc>
          <w:tcPr>
            <w:tcW w:w="893" w:type="dxa"/>
            <w:vAlign w:val="center"/>
          </w:tcPr>
          <w:p w14:paraId="4AC6AE2D" w14:textId="77777777" w:rsidR="00A136C1" w:rsidRPr="005644FE" w:rsidRDefault="00A136C1" w:rsidP="002C287A">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314C27F" w14:textId="77777777" w:rsidR="00A136C1" w:rsidRPr="005644FE" w:rsidRDefault="00A136C1" w:rsidP="002C287A">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0E766D4A" w14:textId="77777777" w:rsidR="00A136C1" w:rsidRPr="005644FE" w:rsidRDefault="00A136C1" w:rsidP="002C287A">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tbl>
    <w:p w14:paraId="0F293BF4" w14:textId="420E38D5" w:rsidR="00127233" w:rsidRPr="0015699B" w:rsidRDefault="00127233" w:rsidP="002C74DC">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CD5BC" w14:textId="77777777" w:rsidR="00BE4CD7" w:rsidRDefault="00BE4CD7" w:rsidP="004A1847">
      <w:pPr>
        <w:spacing w:after="0" w:line="240" w:lineRule="auto"/>
      </w:pPr>
      <w:r>
        <w:separator/>
      </w:r>
    </w:p>
  </w:endnote>
  <w:endnote w:type="continuationSeparator" w:id="0">
    <w:p w14:paraId="1B3F83B9" w14:textId="77777777" w:rsidR="00BE4CD7" w:rsidRDefault="00BE4CD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2F332" w14:textId="77777777" w:rsidR="00BE4CD7" w:rsidRDefault="00BE4CD7" w:rsidP="004A1847">
      <w:pPr>
        <w:spacing w:after="0" w:line="240" w:lineRule="auto"/>
      </w:pPr>
      <w:r>
        <w:separator/>
      </w:r>
    </w:p>
  </w:footnote>
  <w:footnote w:type="continuationSeparator" w:id="0">
    <w:p w14:paraId="7D641528" w14:textId="77777777" w:rsidR="00BE4CD7" w:rsidRDefault="00BE4CD7" w:rsidP="004A1847">
      <w:pPr>
        <w:spacing w:after="0" w:line="240" w:lineRule="auto"/>
      </w:pPr>
      <w:r>
        <w:continuationSeparator/>
      </w:r>
    </w:p>
  </w:footnote>
  <w:footnote w:id="1">
    <w:p w14:paraId="522FC818" w14:textId="77777777" w:rsidR="00A136C1" w:rsidRPr="009F145D" w:rsidRDefault="00A136C1" w:rsidP="00A136C1">
      <w:pPr>
        <w:pStyle w:val="Textonotapie"/>
        <w:ind w:firstLine="709"/>
        <w:jc w:val="both"/>
        <w:rPr>
          <w:rFonts w:ascii="Verdana" w:hAnsi="Verdana" w:cs="Arial"/>
          <w:color w:val="000000"/>
          <w:sz w:val="16"/>
          <w:szCs w:val="16"/>
          <w:lang w:val="es-ES_tradnl"/>
        </w:rPr>
      </w:pPr>
      <w:r w:rsidRPr="009F145D">
        <w:rPr>
          <w:rStyle w:val="Refdenotaalpie"/>
          <w:rFonts w:ascii="Verdana" w:hAnsi="Verdana" w:cs="Arial"/>
          <w:color w:val="000000"/>
          <w:sz w:val="16"/>
          <w:szCs w:val="16"/>
          <w:lang w:val="es-ES_tradnl"/>
        </w:rPr>
        <w:footnoteRef/>
      </w:r>
      <w:r w:rsidRPr="009F145D">
        <w:rPr>
          <w:rFonts w:ascii="Verdana" w:hAnsi="Verdana" w:cs="Arial"/>
          <w:color w:val="000000"/>
          <w:sz w:val="16"/>
          <w:szCs w:val="16"/>
          <w:lang w:val="es-ES_tradnl"/>
        </w:rPr>
        <w:t xml:space="preserve"> Esto lo ratifica el </w:t>
      </w:r>
      <w:bookmarkStart w:id="2" w:name="_Hlk194040859"/>
      <w:r w:rsidRPr="009F145D">
        <w:rPr>
          <w:rFonts w:ascii="Verdana" w:hAnsi="Verdana" w:cs="Arial"/>
          <w:color w:val="000000"/>
          <w:sz w:val="16"/>
          <w:szCs w:val="16"/>
          <w:lang w:val="es-ES_tradnl"/>
        </w:rPr>
        <w:t xml:space="preserve">artículo 2.2.1.2.1.5.2. </w:t>
      </w:r>
      <w:bookmarkEnd w:id="2"/>
      <w:r w:rsidRPr="009F145D">
        <w:rPr>
          <w:rFonts w:ascii="Verdana" w:hAnsi="Verdana" w:cs="Arial"/>
          <w:color w:val="000000"/>
          <w:sz w:val="16"/>
          <w:szCs w:val="16"/>
          <w:lang w:val="es-ES_tradnl"/>
        </w:rPr>
        <w:t>del Decreto 1082 de 2015.</w:t>
      </w:r>
    </w:p>
    <w:p w14:paraId="0E1C31B7" w14:textId="77777777" w:rsidR="00A136C1" w:rsidRPr="009F145D" w:rsidRDefault="00A136C1" w:rsidP="00A136C1">
      <w:pPr>
        <w:pStyle w:val="Textonotapie"/>
        <w:ind w:firstLine="709"/>
        <w:jc w:val="both"/>
        <w:rPr>
          <w:rFonts w:ascii="Verdana" w:hAnsi="Verdana" w:cs="Arial"/>
          <w:color w:val="000000"/>
          <w:sz w:val="16"/>
          <w:szCs w:val="16"/>
          <w:lang w:val="es-ES_tradnl"/>
        </w:rPr>
      </w:pPr>
    </w:p>
  </w:footnote>
  <w:footnote w:id="2">
    <w:p w14:paraId="6AABE9A8" w14:textId="77777777" w:rsidR="00A136C1" w:rsidRPr="009F145D" w:rsidRDefault="00A136C1" w:rsidP="00A136C1">
      <w:pPr>
        <w:pStyle w:val="Textonotapie"/>
        <w:ind w:firstLine="708"/>
        <w:jc w:val="both"/>
        <w:rPr>
          <w:rFonts w:ascii="Century Gothic" w:hAnsi="Century Gothic" w:cs="Arial"/>
          <w:sz w:val="16"/>
          <w:szCs w:val="16"/>
        </w:rPr>
      </w:pPr>
      <w:r w:rsidRPr="009F145D">
        <w:rPr>
          <w:rStyle w:val="Refdenotaalpie"/>
          <w:rFonts w:ascii="Verdana" w:hAnsi="Verdana" w:cs="Arial"/>
          <w:sz w:val="16"/>
          <w:szCs w:val="16"/>
        </w:rPr>
        <w:footnoteRef/>
      </w:r>
      <w:r w:rsidRPr="009F145D">
        <w:rPr>
          <w:rFonts w:ascii="Verdana" w:hAnsi="Verdana" w:cs="Arial"/>
          <w:sz w:val="16"/>
          <w:szCs w:val="16"/>
        </w:rPr>
        <w:t xml:space="preserve"> El artículo completo es del siguiente tenor: “Artículo 8. Vigencia y derogatorias. Las disposiciones contenidas en el presente Decreto se aplicarán a los procedimientos de selección cuya invitación, aviso de convocatoria o documento equivalente se publique a los tres (3) meses contados a partir de su expedición. Este Decreto modifica la Subsección 5 de la Sección 1 del Capítulo 2 del Título 1 de la Parte 2 del Libro 2, así como los artículos 2.2.1.2.4.2.2., 2.2.1.2.4.2.3., 2.2.1.2.4.2.4., 2.2.1.2.1.2.2. Y 2.2.1.2.4.2.8.; adiciona los artículos 2.2.1.2.4.2.14., 2.2.1.2.4.2.15., 2.2.1.2.4.2.16., 2.2.1.2.4.2.17. Y 2.2.1.2.4.2.18.; adiciona un parágrafo al artículo 2.2.1.2.3.1.9; y deroga el artículo 2.2.1.1.2.2.9. del Decreto 1082 de 2015, Único Reglamentario del Sector Administrativo de Planeación Nacional”.</w:t>
      </w:r>
    </w:p>
  </w:footnote>
  <w:footnote w:id="3">
    <w:p w14:paraId="602FCA5D" w14:textId="77777777" w:rsidR="00A136C1" w:rsidRPr="00DC2F16" w:rsidRDefault="00A136C1" w:rsidP="00A136C1">
      <w:pPr>
        <w:pStyle w:val="Textonotapie"/>
        <w:ind w:firstLine="708"/>
        <w:jc w:val="both"/>
        <w:rPr>
          <w:rFonts w:ascii="Verdana" w:hAnsi="Verdana" w:cs="Arial"/>
          <w:color w:val="000000" w:themeColor="text1"/>
          <w:sz w:val="16"/>
          <w:szCs w:val="16"/>
        </w:rPr>
      </w:pPr>
      <w:r w:rsidRPr="00DC2F16">
        <w:rPr>
          <w:rStyle w:val="Refdenotaalpie"/>
          <w:rFonts w:ascii="Verdana" w:hAnsi="Verdana" w:cs="Arial"/>
          <w:sz w:val="16"/>
          <w:szCs w:val="16"/>
        </w:rPr>
        <w:footnoteRef/>
      </w:r>
      <w:r w:rsidRPr="00DC2F16">
        <w:rPr>
          <w:rFonts w:ascii="Verdana" w:hAnsi="Verdana" w:cs="Arial"/>
          <w:sz w:val="16"/>
          <w:szCs w:val="16"/>
        </w:rPr>
        <w:t xml:space="preserve"> Este monto fue publicado por la Agencia Nacional de Contratación Pública – Colombia Compra Eficiente, de acuerdo con la información remitida por el Ministerio de Comercio Industria y Turismo, disponible en el siguiente enlace: </w:t>
      </w:r>
      <w:hyperlink r:id="rId1" w:history="1">
        <w:r w:rsidRPr="00DC2F16">
          <w:rPr>
            <w:rStyle w:val="Hipervnculo"/>
            <w:rFonts w:ascii="Verdana" w:hAnsi="Verdana"/>
            <w:sz w:val="16"/>
            <w:szCs w:val="16"/>
            <w:lang w:val="es-CO"/>
          </w:rPr>
          <w:t>umbral_de_mipymes_2025_oali.pdf</w:t>
        </w:r>
      </w:hyperlink>
    </w:p>
    <w:p w14:paraId="2473470D" w14:textId="77777777" w:rsidR="00A136C1" w:rsidRPr="005775AF" w:rsidRDefault="00A136C1" w:rsidP="00A136C1">
      <w:pPr>
        <w:pStyle w:val="Textonotapie"/>
        <w:ind w:firstLine="708"/>
        <w:jc w:val="both"/>
        <w:rPr>
          <w:rFonts w:ascii="Verdana" w:hAnsi="Verdana" w:cs="Arial"/>
          <w:sz w:val="14"/>
          <w:szCs w:val="14"/>
        </w:rPr>
      </w:pPr>
      <w:r w:rsidRPr="005775AF">
        <w:rPr>
          <w:rFonts w:ascii="Verdana" w:hAnsi="Verdana" w:cs="Arial"/>
          <w:color w:val="000000" w:themeColor="text1"/>
          <w:sz w:val="14"/>
          <w:szCs w:val="14"/>
        </w:rPr>
        <w:t xml:space="preserve"> </w:t>
      </w:r>
    </w:p>
  </w:footnote>
  <w:footnote w:id="4">
    <w:p w14:paraId="75797B76" w14:textId="77777777" w:rsidR="00A136C1" w:rsidRPr="00DC2F16" w:rsidRDefault="00A136C1" w:rsidP="00A136C1">
      <w:pPr>
        <w:pStyle w:val="Textonotapie"/>
        <w:ind w:firstLine="709"/>
        <w:jc w:val="both"/>
        <w:rPr>
          <w:rFonts w:ascii="Verdana" w:hAnsi="Verdana" w:cs="Arial"/>
          <w:sz w:val="16"/>
          <w:szCs w:val="16"/>
        </w:rPr>
      </w:pPr>
      <w:r w:rsidRPr="00DC2F16">
        <w:rPr>
          <w:rStyle w:val="Refdenotaalpie"/>
          <w:rFonts w:ascii="Verdana" w:hAnsi="Verdana" w:cs="Arial"/>
          <w:sz w:val="16"/>
          <w:szCs w:val="16"/>
        </w:rPr>
        <w:footnoteRef/>
      </w:r>
      <w:r w:rsidRPr="00DC2F16">
        <w:rPr>
          <w:rFonts w:ascii="Verdana" w:hAnsi="Verdana" w:cs="Arial"/>
          <w:sz w:val="16"/>
          <w:szCs w:val="16"/>
        </w:rPr>
        <w:t xml:space="preserve"> ARTÍCULO 2.2.1.2.4.2.2. Convocatorias limitadas a </w:t>
      </w:r>
      <w:proofErr w:type="spellStart"/>
      <w:r w:rsidRPr="00DC2F16">
        <w:rPr>
          <w:rFonts w:ascii="Verdana" w:hAnsi="Verdana" w:cs="Arial"/>
          <w:sz w:val="16"/>
          <w:szCs w:val="16"/>
        </w:rPr>
        <w:t>Mípyme</w:t>
      </w:r>
      <w:proofErr w:type="spellEnd"/>
      <w:r w:rsidRPr="00DC2F16">
        <w:rPr>
          <w:rFonts w:ascii="Verdana" w:hAnsi="Verdana" w:cs="Arial"/>
          <w:sz w:val="16"/>
          <w:szCs w:val="16"/>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DC2F16">
        <w:rPr>
          <w:rFonts w:ascii="Verdana" w:hAnsi="Verdana" w:cs="Arial"/>
          <w:sz w:val="16"/>
          <w:szCs w:val="16"/>
        </w:rPr>
        <w:t>Mipyme</w:t>
      </w:r>
      <w:proofErr w:type="spellEnd"/>
      <w:r w:rsidRPr="00DC2F16">
        <w:rPr>
          <w:rFonts w:ascii="Verdana" w:hAnsi="Verdana" w:cs="Arial"/>
          <w:sz w:val="16"/>
          <w:szCs w:val="16"/>
        </w:rPr>
        <w:t xml:space="preserve"> colombianas con mínimo un (1) año de existencia, cuando concurran los siguientes requisitos: </w:t>
      </w:r>
    </w:p>
    <w:p w14:paraId="5082517B" w14:textId="77777777" w:rsidR="00A136C1" w:rsidRPr="00DC2F16" w:rsidRDefault="00A136C1" w:rsidP="00A136C1">
      <w:pPr>
        <w:pStyle w:val="Textonotapie"/>
        <w:ind w:firstLine="709"/>
        <w:jc w:val="both"/>
        <w:rPr>
          <w:rFonts w:ascii="Verdana" w:hAnsi="Verdana" w:cs="Arial"/>
          <w:sz w:val="16"/>
          <w:szCs w:val="16"/>
        </w:rPr>
      </w:pPr>
      <w:r w:rsidRPr="00DC2F16">
        <w:rPr>
          <w:rFonts w:ascii="Verdana" w:hAnsi="Verdana" w:cs="Arial"/>
          <w:sz w:val="16"/>
          <w:szCs w:val="16"/>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327CC004" w14:textId="77777777" w:rsidR="00A136C1" w:rsidRPr="00DC2F16" w:rsidRDefault="00A136C1" w:rsidP="00A136C1">
      <w:pPr>
        <w:pStyle w:val="Textonotapie"/>
        <w:ind w:firstLine="709"/>
        <w:jc w:val="both"/>
        <w:rPr>
          <w:rFonts w:ascii="Verdana" w:hAnsi="Verdana" w:cs="Arial"/>
          <w:sz w:val="16"/>
          <w:szCs w:val="16"/>
        </w:rPr>
      </w:pPr>
      <w:r w:rsidRPr="00DC2F16">
        <w:rPr>
          <w:rFonts w:ascii="Verdana" w:hAnsi="Verdana" w:cs="Arial"/>
          <w:sz w:val="16"/>
          <w:szCs w:val="16"/>
        </w:rPr>
        <w:t xml:space="preserve">2. Se hayan recibido solicitudes de por lo menos dos (2) </w:t>
      </w:r>
      <w:proofErr w:type="spellStart"/>
      <w:r w:rsidRPr="00DC2F16">
        <w:rPr>
          <w:rFonts w:ascii="Verdana" w:hAnsi="Verdana" w:cs="Arial"/>
          <w:sz w:val="16"/>
          <w:szCs w:val="16"/>
        </w:rPr>
        <w:t>Mipyme</w:t>
      </w:r>
      <w:proofErr w:type="spellEnd"/>
      <w:r w:rsidRPr="00DC2F16">
        <w:rPr>
          <w:rFonts w:ascii="Verdana" w:hAnsi="Verdana" w:cs="Arial"/>
          <w:sz w:val="16"/>
          <w:szCs w:val="16"/>
        </w:rPr>
        <w:t xml:space="preserve"> colombianas para limitar la convocatoria a </w:t>
      </w:r>
      <w:proofErr w:type="spellStart"/>
      <w:r w:rsidRPr="00DC2F16">
        <w:rPr>
          <w:rFonts w:ascii="Verdana" w:hAnsi="Verdana" w:cs="Arial"/>
          <w:sz w:val="16"/>
          <w:szCs w:val="16"/>
        </w:rPr>
        <w:t>Mipyme</w:t>
      </w:r>
      <w:proofErr w:type="spellEnd"/>
      <w:r w:rsidRPr="00DC2F16">
        <w:rPr>
          <w:rFonts w:ascii="Verdana" w:hAnsi="Verdana" w:cs="Arial"/>
          <w:sz w:val="16"/>
          <w:szCs w:val="16"/>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76DF153E" w14:textId="77777777" w:rsidR="00A136C1" w:rsidRPr="00DC2F16" w:rsidRDefault="00A136C1" w:rsidP="00A136C1">
      <w:pPr>
        <w:pStyle w:val="Textonotapie"/>
        <w:ind w:firstLine="709"/>
        <w:jc w:val="both"/>
        <w:rPr>
          <w:rFonts w:ascii="Verdana" w:hAnsi="Verdana" w:cs="Arial"/>
          <w:sz w:val="16"/>
          <w:szCs w:val="16"/>
        </w:rPr>
      </w:pPr>
      <w:r w:rsidRPr="00DC2F16">
        <w:rPr>
          <w:rFonts w:ascii="Verdana" w:hAnsi="Verdana" w:cs="Arial"/>
          <w:sz w:val="16"/>
          <w:szCs w:val="16"/>
        </w:rPr>
        <w:t xml:space="preserve">Tratándose de personas jurídicas, las solicitudes solo las podrán realizar </w:t>
      </w:r>
      <w:proofErr w:type="spellStart"/>
      <w:r w:rsidRPr="00DC2F16">
        <w:rPr>
          <w:rFonts w:ascii="Verdana" w:hAnsi="Verdana" w:cs="Arial"/>
          <w:sz w:val="16"/>
          <w:szCs w:val="16"/>
        </w:rPr>
        <w:t>Mipyme</w:t>
      </w:r>
      <w:proofErr w:type="spellEnd"/>
      <w:r w:rsidRPr="00DC2F16">
        <w:rPr>
          <w:rFonts w:ascii="Verdana" w:hAnsi="Verdana" w:cs="Arial"/>
          <w:sz w:val="16"/>
          <w:szCs w:val="16"/>
        </w:rPr>
        <w:t xml:space="preserve">, cuyo objeto social les permita ejecutar el contrato relacionado con el proceso contractual. </w:t>
      </w:r>
    </w:p>
    <w:p w14:paraId="673EE9C7" w14:textId="77777777" w:rsidR="00A136C1" w:rsidRPr="00DC2F16" w:rsidRDefault="00A136C1" w:rsidP="00A136C1">
      <w:pPr>
        <w:pStyle w:val="Textonotapie"/>
        <w:ind w:firstLine="709"/>
        <w:jc w:val="both"/>
        <w:rPr>
          <w:rFonts w:ascii="Century Gothic" w:hAnsi="Century Gothic" w:cs="Arial"/>
          <w:sz w:val="16"/>
          <w:szCs w:val="16"/>
        </w:rPr>
      </w:pPr>
      <w:r w:rsidRPr="00DC2F16">
        <w:rPr>
          <w:rFonts w:ascii="Verdana" w:hAnsi="Verdana" w:cs="Arial"/>
          <w:sz w:val="16"/>
          <w:szCs w:val="16"/>
        </w:rPr>
        <w:t>PARÁGRAFO. Las cooperativas y dem</w:t>
      </w:r>
      <w:r w:rsidRPr="00DC2F16">
        <w:rPr>
          <w:rFonts w:ascii="Verdana" w:hAnsi="Verdana" w:cs="Century Gothic"/>
          <w:sz w:val="16"/>
          <w:szCs w:val="16"/>
        </w:rPr>
        <w:t>á</w:t>
      </w:r>
      <w:r w:rsidRPr="00DC2F16">
        <w:rPr>
          <w:rFonts w:ascii="Verdana" w:hAnsi="Verdana" w:cs="Arial"/>
          <w:sz w:val="16"/>
          <w:szCs w:val="16"/>
        </w:rPr>
        <w:t>s entidades de econom</w:t>
      </w:r>
      <w:r w:rsidRPr="00DC2F16">
        <w:rPr>
          <w:rFonts w:ascii="Verdana" w:hAnsi="Verdana" w:cs="Century Gothic"/>
          <w:sz w:val="16"/>
          <w:szCs w:val="16"/>
        </w:rPr>
        <w:t>í</w:t>
      </w:r>
      <w:r w:rsidRPr="00DC2F16">
        <w:rPr>
          <w:rFonts w:ascii="Verdana" w:hAnsi="Verdana" w:cs="Arial"/>
          <w:sz w:val="16"/>
          <w:szCs w:val="16"/>
        </w:rPr>
        <w:t xml:space="preserve">a solidaria, siempre que tengan la calidad de </w:t>
      </w:r>
      <w:proofErr w:type="spellStart"/>
      <w:r w:rsidRPr="00DC2F16">
        <w:rPr>
          <w:rFonts w:ascii="Verdana" w:hAnsi="Verdana" w:cs="Arial"/>
          <w:sz w:val="16"/>
          <w:szCs w:val="16"/>
        </w:rPr>
        <w:t>M</w:t>
      </w:r>
      <w:r w:rsidRPr="00DC2F16">
        <w:rPr>
          <w:rFonts w:ascii="Verdana" w:hAnsi="Verdana" w:cs="Century Gothic"/>
          <w:sz w:val="16"/>
          <w:szCs w:val="16"/>
        </w:rPr>
        <w:t>í</w:t>
      </w:r>
      <w:r w:rsidRPr="00DC2F16">
        <w:rPr>
          <w:rFonts w:ascii="Verdana" w:hAnsi="Verdana" w:cs="Arial"/>
          <w:sz w:val="16"/>
          <w:szCs w:val="16"/>
        </w:rPr>
        <w:t>pyme</w:t>
      </w:r>
      <w:proofErr w:type="spellEnd"/>
      <w:r w:rsidRPr="00DC2F16">
        <w:rPr>
          <w:rFonts w:ascii="Verdana" w:hAnsi="Verdana" w:cs="Arial"/>
          <w:sz w:val="16"/>
          <w:szCs w:val="16"/>
        </w:rPr>
        <w:t>, podr</w:t>
      </w:r>
      <w:r w:rsidRPr="00DC2F16">
        <w:rPr>
          <w:rFonts w:ascii="Verdana" w:hAnsi="Verdana" w:cs="Century Gothic"/>
          <w:sz w:val="16"/>
          <w:szCs w:val="16"/>
        </w:rPr>
        <w:t>á</w:t>
      </w:r>
      <w:r w:rsidRPr="00DC2F16">
        <w:rPr>
          <w:rFonts w:ascii="Verdana" w:hAnsi="Verdana" w:cs="Arial"/>
          <w:sz w:val="16"/>
          <w:szCs w:val="16"/>
        </w:rPr>
        <w:t>n solicitar y participar en las convocatorias limitadas en las mismas condiciones dispuestas en el presente artículo.</w:t>
      </w:r>
    </w:p>
  </w:footnote>
  <w:footnote w:id="5">
    <w:p w14:paraId="739B53AD" w14:textId="77777777" w:rsidR="00A136C1" w:rsidRPr="00DC2F16" w:rsidRDefault="00A136C1" w:rsidP="00A136C1">
      <w:pPr>
        <w:pStyle w:val="Textonotapie"/>
        <w:jc w:val="both"/>
        <w:rPr>
          <w:rFonts w:ascii="Century Gothic" w:hAnsi="Century Gothic" w:cs="Arial"/>
          <w:color w:val="000000" w:themeColor="text1"/>
          <w:sz w:val="16"/>
          <w:szCs w:val="16"/>
        </w:rPr>
      </w:pPr>
    </w:p>
    <w:p w14:paraId="28E612A1" w14:textId="77777777" w:rsidR="00A136C1" w:rsidRPr="00DC2F16" w:rsidRDefault="00A136C1" w:rsidP="00A136C1">
      <w:pPr>
        <w:pStyle w:val="Textonotapie"/>
        <w:ind w:firstLine="708"/>
        <w:jc w:val="both"/>
        <w:rPr>
          <w:rFonts w:ascii="Verdana" w:hAnsi="Verdana" w:cs="Arial"/>
          <w:color w:val="000000" w:themeColor="text1"/>
          <w:sz w:val="16"/>
          <w:szCs w:val="16"/>
        </w:rPr>
      </w:pPr>
      <w:r w:rsidRPr="00DC2F16">
        <w:rPr>
          <w:rStyle w:val="Refdenotaalpie"/>
          <w:rFonts w:ascii="Verdana" w:hAnsi="Verdana" w:cs="Arial"/>
          <w:color w:val="000000" w:themeColor="text1"/>
          <w:sz w:val="16"/>
          <w:szCs w:val="16"/>
        </w:rPr>
        <w:footnoteRef/>
      </w:r>
      <w:r w:rsidRPr="00DC2F16">
        <w:rPr>
          <w:rFonts w:ascii="Verdana" w:hAnsi="Verdana" w:cs="Arial"/>
          <w:color w:val="000000" w:themeColor="text1"/>
          <w:sz w:val="16"/>
          <w:szCs w:val="16"/>
        </w:rPr>
        <w:t xml:space="preserve"> Ley 1150 de 2007. Artículo 12 modificado por el artículo 34 de la Ley 2069 de 2020. “Parágrafo 1°: En los procesos de selección que se desarrollen con base en el primer inciso, las entidades podrán realizar las convocatorias limitadas que beneficien a las </w:t>
      </w:r>
      <w:proofErr w:type="spellStart"/>
      <w:r w:rsidRPr="00DC2F16">
        <w:rPr>
          <w:rFonts w:ascii="Verdana" w:hAnsi="Verdana" w:cs="Arial"/>
          <w:color w:val="000000" w:themeColor="text1"/>
          <w:sz w:val="16"/>
          <w:szCs w:val="16"/>
        </w:rPr>
        <w:t>Mipymes</w:t>
      </w:r>
      <w:proofErr w:type="spellEnd"/>
      <w:r w:rsidRPr="00DC2F16">
        <w:rPr>
          <w:rFonts w:ascii="Verdana" w:hAnsi="Verdana" w:cs="Arial"/>
          <w:color w:val="000000" w:themeColor="text1"/>
          <w:sz w:val="16"/>
          <w:szCs w:val="16"/>
        </w:rPr>
        <w:t xml:space="preserve"> del ámbito municipal o departamental correspondiente al de la ejecución del contrato”.</w:t>
      </w:r>
    </w:p>
    <w:p w14:paraId="1D656ADB" w14:textId="77777777" w:rsidR="00A136C1" w:rsidRPr="00DC2F16" w:rsidRDefault="00A136C1" w:rsidP="00A136C1">
      <w:pPr>
        <w:pStyle w:val="Textonotapie"/>
        <w:ind w:firstLine="708"/>
        <w:jc w:val="both"/>
        <w:rPr>
          <w:rFonts w:ascii="Verdana" w:hAnsi="Verdana" w:cs="Arial"/>
          <w:color w:val="000000" w:themeColor="text1"/>
          <w:sz w:val="16"/>
          <w:szCs w:val="16"/>
        </w:rPr>
      </w:pPr>
    </w:p>
  </w:footnote>
  <w:footnote w:id="6">
    <w:p w14:paraId="56C10828" w14:textId="77777777" w:rsidR="00A136C1" w:rsidRPr="00DC2F16" w:rsidRDefault="00A136C1" w:rsidP="00A136C1">
      <w:pPr>
        <w:pStyle w:val="Textonotapie"/>
        <w:ind w:firstLine="708"/>
        <w:jc w:val="both"/>
        <w:rPr>
          <w:rFonts w:ascii="Verdana" w:hAnsi="Verdana" w:cs="Arial"/>
          <w:color w:val="000000" w:themeColor="text1"/>
          <w:sz w:val="16"/>
          <w:szCs w:val="16"/>
        </w:rPr>
      </w:pPr>
      <w:r w:rsidRPr="00DC2F16">
        <w:rPr>
          <w:rStyle w:val="Refdenotaalpie"/>
          <w:rFonts w:ascii="Verdana" w:hAnsi="Verdana" w:cs="Arial"/>
          <w:color w:val="000000" w:themeColor="text1"/>
          <w:sz w:val="16"/>
          <w:szCs w:val="16"/>
        </w:rPr>
        <w:footnoteRef/>
      </w:r>
      <w:r w:rsidRPr="00DC2F16">
        <w:rPr>
          <w:rFonts w:ascii="Verdana" w:hAnsi="Verdana" w:cs="Arial"/>
          <w:color w:val="000000" w:themeColor="text1"/>
          <w:sz w:val="16"/>
          <w:szCs w:val="16"/>
        </w:rPr>
        <w:t xml:space="preserve"> Cfr. Concepto emitido en el radicado 4201913000005674, dictado el 27 de septiembre de 2019.</w:t>
      </w:r>
    </w:p>
    <w:p w14:paraId="4662D400" w14:textId="77777777" w:rsidR="00A136C1" w:rsidRPr="00DC2F16" w:rsidRDefault="00A136C1" w:rsidP="00A136C1">
      <w:pPr>
        <w:pStyle w:val="Textonotapie"/>
        <w:ind w:firstLine="708"/>
        <w:jc w:val="both"/>
        <w:rPr>
          <w:rFonts w:ascii="Verdana" w:hAnsi="Verdana" w:cs="Arial"/>
          <w:color w:val="000000" w:themeColor="text1"/>
          <w:sz w:val="16"/>
          <w:szCs w:val="16"/>
          <w:lang w:val="es-ES"/>
        </w:rPr>
      </w:pPr>
    </w:p>
  </w:footnote>
  <w:footnote w:id="7">
    <w:p w14:paraId="3F5519D1" w14:textId="08B69BA7" w:rsidR="00A136C1" w:rsidRPr="00EE599A" w:rsidRDefault="00A136C1" w:rsidP="008F6693">
      <w:pPr>
        <w:pStyle w:val="Textonotapie"/>
        <w:ind w:firstLine="708"/>
        <w:jc w:val="both"/>
        <w:rPr>
          <w:rFonts w:ascii="Verdana" w:hAnsi="Verdana" w:cs="Arial"/>
          <w:sz w:val="16"/>
          <w:szCs w:val="16"/>
        </w:rPr>
      </w:pPr>
      <w:r w:rsidRPr="00EE599A">
        <w:rPr>
          <w:rStyle w:val="Refdenotaalpie"/>
          <w:rFonts w:ascii="Verdana" w:hAnsi="Verdana" w:cs="Arial"/>
          <w:sz w:val="16"/>
          <w:szCs w:val="16"/>
        </w:rPr>
        <w:footnoteRef/>
      </w:r>
      <w:r w:rsidRPr="00EE599A">
        <w:rPr>
          <w:rFonts w:ascii="Verdana" w:hAnsi="Verdana" w:cs="Arial"/>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3ECC4A95" w14:textId="77777777" w:rsidR="00A136C1" w:rsidRPr="00EE599A" w:rsidRDefault="00A136C1" w:rsidP="00A136C1">
      <w:pPr>
        <w:pStyle w:val="Textonotapie"/>
        <w:ind w:firstLine="708"/>
        <w:jc w:val="both"/>
        <w:rPr>
          <w:rFonts w:ascii="Verdana" w:hAnsi="Verdana" w:cs="Arial"/>
          <w:sz w:val="16"/>
          <w:szCs w:val="16"/>
        </w:rPr>
      </w:pPr>
      <w:r w:rsidRPr="00EE599A">
        <w:rPr>
          <w:rFonts w:ascii="Verdana" w:hAnsi="Verdana" w:cs="Arial"/>
          <w:sz w:val="16"/>
          <w:szCs w:val="16"/>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3E55FFEF" w14:textId="77777777" w:rsidR="00A136C1" w:rsidRPr="00EE599A" w:rsidRDefault="00A136C1" w:rsidP="00A136C1">
      <w:pPr>
        <w:pStyle w:val="Textonotapie"/>
        <w:ind w:firstLine="708"/>
        <w:jc w:val="both"/>
        <w:rPr>
          <w:rFonts w:ascii="Verdana" w:hAnsi="Verdana" w:cs="Arial"/>
          <w:sz w:val="16"/>
          <w:szCs w:val="16"/>
        </w:rPr>
      </w:pPr>
    </w:p>
  </w:footnote>
  <w:footnote w:id="8">
    <w:p w14:paraId="04484A72"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645CA9FD"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9">
    <w:p w14:paraId="51F2400D"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10">
    <w:p w14:paraId="55901733" w14:textId="77777777" w:rsidR="00A136C1" w:rsidRPr="00EE599A"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w:t>
      </w:r>
      <w:r w:rsidRPr="00EE599A">
        <w:rPr>
          <w:rFonts w:ascii="Verdana" w:eastAsia="Arial" w:hAnsi="Verdana" w:cs="Arial"/>
          <w:color w:val="000000"/>
          <w:sz w:val="16"/>
          <w:szCs w:val="16"/>
        </w:rPr>
        <w:t xml:space="preserve">Consejo de Estado. Sala de lo Contencioso Administrativo Sección Tercera, Subsección C. Sentencia del 26 de febrero de 2014. Radicado: 1999-00113-01 (25.804). C.P. Enrique Gil Botero. </w:t>
      </w:r>
    </w:p>
    <w:p w14:paraId="13D6EFA0" w14:textId="77777777" w:rsidR="00A136C1" w:rsidRPr="00EE599A"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1">
    <w:p w14:paraId="37B37669" w14:textId="77777777" w:rsidR="00A136C1" w:rsidRPr="00EE599A" w:rsidRDefault="00A136C1" w:rsidP="00A136C1">
      <w:pPr>
        <w:pStyle w:val="Textonotapie"/>
        <w:ind w:firstLine="709"/>
        <w:jc w:val="both"/>
        <w:rPr>
          <w:rFonts w:ascii="Verdana" w:hAnsi="Verdana"/>
          <w:sz w:val="16"/>
          <w:szCs w:val="16"/>
        </w:rPr>
      </w:pPr>
      <w:r w:rsidRPr="00EE599A">
        <w:rPr>
          <w:rStyle w:val="Refdenotaalpie"/>
          <w:rFonts w:ascii="Verdana" w:hAnsi="Verdana"/>
          <w:sz w:val="16"/>
          <w:szCs w:val="16"/>
        </w:rPr>
        <w:footnoteRef/>
      </w:r>
      <w:r w:rsidRPr="00EE599A">
        <w:rPr>
          <w:rFonts w:ascii="Verdana" w:hAnsi="Verdana"/>
          <w:sz w:val="16"/>
          <w:szCs w:val="16"/>
        </w:rPr>
        <w:t xml:space="preserve"> En </w:t>
      </w:r>
      <w:hyperlink r:id="rId2" w:history="1">
        <w:r w:rsidRPr="00EE599A">
          <w:rPr>
            <w:rStyle w:val="Hipervnculo"/>
            <w:rFonts w:ascii="Verdana" w:hAnsi="Verdana"/>
            <w:sz w:val="16"/>
            <w:szCs w:val="16"/>
            <w:lang w:val="es-CO"/>
          </w:rPr>
          <w:t>circular_externa_unica_version_3_vf49.pdf</w:t>
        </w:r>
      </w:hyperlink>
    </w:p>
  </w:footnote>
  <w:footnote w:id="12">
    <w:p w14:paraId="7AD27734"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vertAlign w:val="superscript"/>
        </w:rPr>
        <w:t xml:space="preserve"> </w:t>
      </w:r>
      <w:r w:rsidRPr="00AF56B9">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13">
    <w:p w14:paraId="7733F6A8" w14:textId="77777777" w:rsidR="00A136C1" w:rsidRPr="00AF56B9" w:rsidRDefault="00A136C1" w:rsidP="00A136C1">
      <w:pP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Decreto 2474 de 2008 (DEROGADO): “art. 10. Reglas de </w:t>
      </w:r>
      <w:proofErr w:type="spellStart"/>
      <w:r w:rsidRPr="00AF56B9">
        <w:rPr>
          <w:rFonts w:ascii="Verdana" w:eastAsia="Arial" w:hAnsi="Verdana" w:cs="Arial"/>
          <w:color w:val="000000"/>
          <w:sz w:val="16"/>
          <w:szCs w:val="16"/>
        </w:rPr>
        <w:t>subsanabilidad</w:t>
      </w:r>
      <w:proofErr w:type="spellEnd"/>
      <w:r w:rsidRPr="00AF56B9">
        <w:rPr>
          <w:rFonts w:ascii="Verdana" w:eastAsia="Arial" w:hAnsi="Verdana" w:cs="Arial"/>
          <w:color w:val="000000"/>
          <w:sz w:val="16"/>
          <w:szCs w:val="16"/>
        </w:rPr>
        <w:t>.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3">
        <w:r w:rsidRPr="00AF56B9">
          <w:rPr>
            <w:rFonts w:ascii="Verdana" w:eastAsia="Arial" w:hAnsi="Verdana" w:cs="Arial"/>
            <w:color w:val="000000"/>
            <w:sz w:val="16"/>
            <w:szCs w:val="16"/>
          </w:rPr>
          <w:t>Ley 1150 de 2007</w:t>
        </w:r>
      </w:hyperlink>
      <w:r w:rsidRPr="00AF56B9">
        <w:rPr>
          <w:rFonts w:ascii="Verdana" w:eastAsia="Arial" w:hAnsi="Verdana" w:cs="Arial"/>
          <w:color w:val="000000"/>
          <w:sz w:val="16"/>
          <w:szCs w:val="16"/>
        </w:rPr>
        <w:t> y en el presente decreto.</w:t>
      </w:r>
    </w:p>
    <w:p w14:paraId="1F8A731C" w14:textId="77777777" w:rsidR="00A136C1" w:rsidRPr="00AF56B9" w:rsidRDefault="00A136C1" w:rsidP="00A136C1">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1D6EB830" w14:textId="77777777" w:rsidR="00A136C1" w:rsidRPr="00AF56B9" w:rsidRDefault="00A136C1" w:rsidP="00A136C1">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Será rechazada la oferta del proponente que dentro del término previsto en el pliego o en la solicitud, no responda al requerimiento que le haga la entidad para subsanarla.</w:t>
      </w:r>
    </w:p>
    <w:p w14:paraId="3B9CDA10" w14:textId="77777777" w:rsidR="00A136C1" w:rsidRPr="00AF56B9" w:rsidRDefault="00A136C1" w:rsidP="00A136C1">
      <w:pPr>
        <w:spacing w:after="0" w:line="240" w:lineRule="auto"/>
        <w:ind w:firstLine="709"/>
        <w:jc w:val="both"/>
        <w:rPr>
          <w:rFonts w:ascii="Verdana" w:eastAsia="Arial" w:hAnsi="Verdana" w:cs="Arial"/>
          <w:color w:val="000000"/>
          <w:sz w:val="16"/>
          <w:szCs w:val="16"/>
        </w:rPr>
      </w:pPr>
      <w:r w:rsidRPr="00AF56B9">
        <w:rPr>
          <w:rFonts w:ascii="Verdana" w:eastAsia="Arial" w:hAnsi="Verdana" w:cs="Arial"/>
          <w:color w:val="000000"/>
          <w:sz w:val="16"/>
          <w:szCs w:val="16"/>
        </w:rPr>
        <w:t>Cuando se utilice el mecanismo de subasta esta posibilidad deberá ejercerse hasta el momento previo a su realización, de conformidad con el artículo 22 del presente decreto.</w:t>
      </w:r>
    </w:p>
    <w:p w14:paraId="0B665C60" w14:textId="77777777" w:rsidR="00A136C1" w:rsidRDefault="00A136C1" w:rsidP="00A136C1">
      <w:pPr>
        <w:spacing w:after="0" w:line="240" w:lineRule="auto"/>
        <w:ind w:firstLine="709"/>
        <w:jc w:val="both"/>
        <w:rPr>
          <w:rFonts w:ascii="Verdana" w:eastAsia="Arial" w:hAnsi="Verdana" w:cs="Arial"/>
          <w:color w:val="000000"/>
          <w:sz w:val="14"/>
          <w:szCs w:val="14"/>
        </w:rPr>
      </w:pPr>
      <w:r w:rsidRPr="00AF56B9">
        <w:rPr>
          <w:rFonts w:ascii="Verdana" w:eastAsia="Arial" w:hAnsi="Verdana" w:cs="Arial"/>
          <w:color w:val="000000"/>
          <w:sz w:val="16"/>
          <w:szCs w:val="16"/>
        </w:rPr>
        <w:t xml:space="preserve">En ningún caso la entidad podrá señalar taxativamente los requisitos o documentos subsanables o no subsanables en el pliego de condiciones, </w:t>
      </w:r>
      <w:r w:rsidRPr="00AF56B9">
        <w:rPr>
          <w:rFonts w:ascii="Verdana" w:eastAsia="Arial" w:hAnsi="Verdana" w:cs="Arial"/>
          <w:i/>
          <w:color w:val="000000"/>
          <w:sz w:val="16"/>
          <w:szCs w:val="16"/>
        </w:rPr>
        <w:t>ni permitir que se subsane la falta de capacidad para presentar la oferta, ni que se acrediten circunstancias ocurridas con posterioridad al cierre del proceso</w:t>
      </w:r>
      <w:r w:rsidRPr="00AF56B9">
        <w:rPr>
          <w:rFonts w:ascii="Verdana" w:eastAsia="Arial" w:hAnsi="Verdana" w:cs="Arial"/>
          <w:color w:val="000000"/>
          <w:sz w:val="16"/>
          <w:szCs w:val="16"/>
        </w:rPr>
        <w:t>”. (Cursivas fuera de texto).</w:t>
      </w:r>
      <w:r w:rsidRPr="00817F71">
        <w:rPr>
          <w:rFonts w:ascii="Verdana" w:eastAsia="Arial" w:hAnsi="Verdana" w:cs="Arial"/>
          <w:color w:val="000000"/>
          <w:sz w:val="14"/>
          <w:szCs w:val="14"/>
        </w:rPr>
        <w:t xml:space="preserve"> </w:t>
      </w:r>
    </w:p>
    <w:p w14:paraId="70F28A11" w14:textId="77777777" w:rsidR="00A136C1" w:rsidRPr="00817F71" w:rsidRDefault="00A136C1" w:rsidP="00A136C1">
      <w:pPr>
        <w:spacing w:after="0" w:line="240" w:lineRule="auto"/>
        <w:ind w:firstLine="709"/>
        <w:jc w:val="both"/>
        <w:rPr>
          <w:rFonts w:ascii="Verdana" w:eastAsia="Arial" w:hAnsi="Verdana" w:cs="Arial"/>
          <w:color w:val="000000"/>
          <w:sz w:val="14"/>
          <w:szCs w:val="14"/>
        </w:rPr>
      </w:pPr>
    </w:p>
  </w:footnote>
  <w:footnote w:id="14">
    <w:p w14:paraId="23A79B0C"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Consulta y Servicio Civil, concepto del 6 de noviembre de 2008. Rad. 2008-00079-00 (1927). C.P. William Zambrano Cetina.</w:t>
      </w:r>
    </w:p>
  </w:footnote>
  <w:footnote w:id="15">
    <w:p w14:paraId="6FF3F259"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Sala de lo Contencioso Administrativo. Sección Tercera, Subsección C. Sentencia del 26 de febrero de 2011. Radicado: 11001-03-26-000-2009-00018-00 (36.408). C.P. Jaime Orlando Santofimio.   </w:t>
      </w:r>
    </w:p>
    <w:p w14:paraId="7CA53C1C"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6">
    <w:p w14:paraId="6A000112"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Ver Consejo de Estado, Sección Tercera, Subsección C. Sentencia del 26 de febrero de 2014. C.P. Enrique Gil Botero. Radicado: 13001-23-31-000-1999-00113-01 (25.804). M.P: Enrique Gil Botero.   </w:t>
      </w:r>
    </w:p>
    <w:p w14:paraId="1D35F5F8"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7">
    <w:p w14:paraId="3A29EA2F"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AF56B9">
        <w:rPr>
          <w:rFonts w:ascii="Verdana" w:hAnsi="Verdana" w:cs="Arial"/>
          <w:sz w:val="16"/>
          <w:szCs w:val="16"/>
          <w:vertAlign w:val="superscript"/>
        </w:rPr>
        <w:footnoteRef/>
      </w:r>
      <w:r w:rsidRPr="00AF56B9">
        <w:rPr>
          <w:rFonts w:ascii="Verdana" w:eastAsia="Arial" w:hAnsi="Verdana" w:cs="Arial"/>
          <w:color w:val="000000"/>
          <w:sz w:val="16"/>
          <w:szCs w:val="16"/>
        </w:rPr>
        <w:t xml:space="preserve"> Consejo de Estado. Sala de Consulta y Servicio Civil. Concepto del 20 de mayo de 2010. Rad. 2010-00034-00 (1992). C.P. Enrique José Arboleda Perdomo.</w:t>
      </w:r>
    </w:p>
    <w:p w14:paraId="7509E4AA"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8">
    <w:p w14:paraId="17963490" w14:textId="77777777" w:rsidR="00A136C1" w:rsidRPr="00A76E99" w:rsidRDefault="00A136C1" w:rsidP="00A136C1">
      <w:pPr>
        <w:pStyle w:val="Textonotapie"/>
        <w:ind w:firstLine="709"/>
        <w:rPr>
          <w:rFonts w:ascii="Verdana" w:hAnsi="Verdana"/>
          <w:sz w:val="16"/>
          <w:szCs w:val="16"/>
          <w:lang w:val="es-CO"/>
        </w:rPr>
      </w:pPr>
      <w:r w:rsidRPr="00AF56B9">
        <w:rPr>
          <w:rStyle w:val="Refdenotaalpie"/>
          <w:rFonts w:ascii="Verdana" w:hAnsi="Verdana"/>
          <w:sz w:val="16"/>
          <w:szCs w:val="16"/>
        </w:rPr>
        <w:footnoteRef/>
      </w:r>
      <w:r w:rsidRPr="00AF56B9">
        <w:rPr>
          <w:rFonts w:ascii="Verdana" w:hAnsi="Verdana"/>
          <w:sz w:val="16"/>
          <w:szCs w:val="16"/>
          <w:lang w:val="es-CO"/>
        </w:rPr>
        <w:t xml:space="preserve"> Disponible en </w:t>
      </w:r>
      <w:hyperlink r:id="rId4" w:history="1">
        <w:r w:rsidRPr="00AF56B9">
          <w:rPr>
            <w:rStyle w:val="Hipervnculo"/>
            <w:rFonts w:ascii="Verdana" w:hAnsi="Verdana"/>
            <w:sz w:val="16"/>
            <w:szCs w:val="16"/>
            <w:lang w:val="es-CO"/>
          </w:rPr>
          <w:t>cce-eicp-ma-04._manual_requisitos_habilitantes_v3_29-09-2023.pdf</w:t>
        </w:r>
      </w:hyperlink>
    </w:p>
    <w:p w14:paraId="786B33E1" w14:textId="77777777" w:rsidR="00A136C1" w:rsidRPr="00AF56B9" w:rsidRDefault="00A136C1" w:rsidP="00A136C1">
      <w:pPr>
        <w:pStyle w:val="Textonotapie"/>
        <w:ind w:firstLine="709"/>
        <w:rPr>
          <w:rFonts w:ascii="Verdana" w:hAnsi="Verdana"/>
          <w:sz w:val="16"/>
          <w:szCs w:val="16"/>
          <w:lang w:val="es-CO"/>
        </w:rPr>
      </w:pPr>
    </w:p>
  </w:footnote>
  <w:footnote w:id="19">
    <w:p w14:paraId="43B22816" w14:textId="77777777" w:rsidR="00A136C1" w:rsidRDefault="00A136C1" w:rsidP="00A136C1">
      <w:pPr>
        <w:pStyle w:val="Textonotapie"/>
        <w:ind w:firstLine="709"/>
        <w:jc w:val="both"/>
        <w:rPr>
          <w:rFonts w:ascii="Verdana" w:hAnsi="Verdana" w:cs="Arial"/>
          <w:sz w:val="16"/>
          <w:szCs w:val="16"/>
        </w:rPr>
      </w:pPr>
      <w:r w:rsidRPr="00495D64">
        <w:rPr>
          <w:rStyle w:val="Refdenotaalpie"/>
          <w:rFonts w:ascii="Verdana" w:hAnsi="Verdana" w:cs="Arial"/>
          <w:sz w:val="16"/>
          <w:szCs w:val="16"/>
        </w:rPr>
        <w:footnoteRef/>
      </w:r>
      <w:r w:rsidRPr="00A76E99">
        <w:rPr>
          <w:rFonts w:ascii="Verdana" w:hAnsi="Verdana" w:cs="Arial"/>
          <w:sz w:val="16"/>
          <w:szCs w:val="16"/>
          <w:lang w:val="es-CO"/>
        </w:rPr>
        <w:t xml:space="preserve"> OSPINA MENA, Jesús Marino. </w:t>
      </w:r>
      <w:r w:rsidRPr="00495D64">
        <w:rPr>
          <w:rFonts w:ascii="Verdana" w:hAnsi="Verdana" w:cs="Arial"/>
          <w:sz w:val="16"/>
          <w:szCs w:val="16"/>
        </w:rPr>
        <w:t xml:space="preserve">Régimen de la Contratación Estatal. Un salto a la contratación líquida. Bogotá: Ed. 1ª. </w:t>
      </w:r>
      <w:proofErr w:type="spellStart"/>
      <w:r w:rsidRPr="00495D64">
        <w:rPr>
          <w:rFonts w:ascii="Verdana" w:hAnsi="Verdana" w:cs="Arial"/>
          <w:sz w:val="16"/>
          <w:szCs w:val="16"/>
        </w:rPr>
        <w:t>Diké</w:t>
      </w:r>
      <w:proofErr w:type="spellEnd"/>
      <w:r w:rsidRPr="00495D64">
        <w:rPr>
          <w:rFonts w:ascii="Verdana" w:hAnsi="Verdana" w:cs="Arial"/>
          <w:sz w:val="16"/>
          <w:szCs w:val="16"/>
        </w:rPr>
        <w:t>, 2020. p. 383.</w:t>
      </w:r>
    </w:p>
    <w:p w14:paraId="24B8BCD2" w14:textId="77777777" w:rsidR="00A136C1" w:rsidRPr="00A5060D" w:rsidRDefault="00A136C1" w:rsidP="00A136C1">
      <w:pPr>
        <w:pStyle w:val="Textonotapie"/>
        <w:ind w:firstLine="709"/>
        <w:jc w:val="both"/>
        <w:rPr>
          <w:rFonts w:ascii="Verdana" w:hAnsi="Verdana" w:cs="Arial"/>
          <w:sz w:val="14"/>
          <w:szCs w:val="14"/>
        </w:rPr>
      </w:pPr>
    </w:p>
  </w:footnote>
  <w:footnote w:id="20">
    <w:p w14:paraId="5E307C2F" w14:textId="77777777" w:rsidR="00A136C1" w:rsidRPr="00AF56B9" w:rsidRDefault="00A136C1" w:rsidP="00A136C1">
      <w:pPr>
        <w:pStyle w:val="Textonotapie"/>
        <w:ind w:firstLine="709"/>
        <w:jc w:val="both"/>
        <w:rPr>
          <w:rFonts w:ascii="Verdana" w:hAnsi="Verdana" w:cs="Arial"/>
          <w:sz w:val="16"/>
          <w:szCs w:val="16"/>
        </w:rPr>
      </w:pPr>
      <w:r w:rsidRPr="00AF56B9">
        <w:rPr>
          <w:rStyle w:val="Refdenotaalpie"/>
          <w:rFonts w:ascii="Verdana" w:hAnsi="Verdana" w:cs="Arial"/>
          <w:sz w:val="16"/>
          <w:szCs w:val="16"/>
        </w:rPr>
        <w:footnoteRef/>
      </w:r>
      <w:r w:rsidRPr="00AF56B9">
        <w:rPr>
          <w:rFonts w:ascii="Verdana" w:hAnsi="Verdana" w:cs="Arial"/>
          <w:sz w:val="16"/>
          <w:szCs w:val="16"/>
        </w:rPr>
        <w:t xml:space="preserve"> Consejo de Estado. Sala de lo Contencioso Administrativo. Sección Tercera. Sentencia de 30 de noviembre de 2006. Radicado: </w:t>
      </w:r>
      <w:r w:rsidRPr="00AF56B9">
        <w:rPr>
          <w:rFonts w:ascii="Verdana" w:hAnsi="Verdana" w:cs="Arial"/>
          <w:sz w:val="16"/>
          <w:szCs w:val="16"/>
          <w:lang w:val="es-CO"/>
        </w:rPr>
        <w:t>11001-03-26-000-2000-00020-01 (</w:t>
      </w:r>
      <w:r w:rsidRPr="00AF56B9">
        <w:rPr>
          <w:rFonts w:ascii="Verdana" w:hAnsi="Verdana" w:cs="Arial"/>
          <w:sz w:val="16"/>
          <w:szCs w:val="16"/>
        </w:rPr>
        <w:t>18.059). M.P. Alier Hernández Enríquez.</w:t>
      </w:r>
    </w:p>
    <w:p w14:paraId="05190440" w14:textId="77777777" w:rsidR="00A136C1" w:rsidRPr="00AF56B9" w:rsidRDefault="00A136C1" w:rsidP="00A136C1">
      <w:pPr>
        <w:pStyle w:val="Textonotapie"/>
        <w:ind w:firstLine="709"/>
        <w:jc w:val="both"/>
        <w:rPr>
          <w:rFonts w:ascii="Verdana" w:hAnsi="Verdana" w:cs="Arial"/>
          <w:sz w:val="16"/>
          <w:szCs w:val="16"/>
        </w:rPr>
      </w:pPr>
    </w:p>
  </w:footnote>
  <w:footnote w:id="21">
    <w:p w14:paraId="2BC4B151"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RODRÍGUEZ TAMAYO, Mauricio Fernando. Evaluación y rechazo de ofertas en la Ley 80 de 1993. Medellín: Librería Jurídica Sánchez, 2016. p. 190. </w:t>
      </w:r>
    </w:p>
    <w:p w14:paraId="33D32E64"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22">
    <w:p w14:paraId="47A7947C"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Ley 80 de 1993 “</w:t>
      </w:r>
      <w:r w:rsidRPr="00AF56B9">
        <w:rPr>
          <w:rFonts w:ascii="Verdana" w:eastAsia="Arial" w:hAnsi="Verdana" w:cs="Arial"/>
          <w:bCs/>
          <w:color w:val="000000" w:themeColor="text1"/>
          <w:sz w:val="16"/>
          <w:szCs w:val="16"/>
        </w:rPr>
        <w:t>Articulo 24. Del principio de transparencia. </w:t>
      </w:r>
      <w:r w:rsidRPr="00AF56B9">
        <w:rPr>
          <w:rFonts w:ascii="Verdana" w:eastAsia="Arial" w:hAnsi="Verdana" w:cs="Arial"/>
          <w:color w:val="000000" w:themeColor="text1"/>
          <w:sz w:val="16"/>
          <w:szCs w:val="16"/>
        </w:rPr>
        <w:t xml:space="preserve">En virtud de este principio: </w:t>
      </w:r>
    </w:p>
    <w:p w14:paraId="02F830F1"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067A4381" w14:textId="77777777" w:rsidR="00A136C1" w:rsidRPr="00AF56B9" w:rsidRDefault="00A136C1" w:rsidP="00A136C1">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5o. En los pliegos de condiciones:</w:t>
      </w:r>
    </w:p>
    <w:p w14:paraId="1B7C56F4" w14:textId="77777777" w:rsidR="00A136C1" w:rsidRPr="00AF56B9" w:rsidRDefault="00A136C1" w:rsidP="00A136C1">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0C2083C2" w14:textId="77777777" w:rsidR="00A136C1" w:rsidRDefault="00A136C1" w:rsidP="00A136C1">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14:paraId="566B6BC0" w14:textId="77777777" w:rsidR="00A136C1" w:rsidRPr="00AF56B9" w:rsidRDefault="00A136C1" w:rsidP="00A136C1">
      <w:pPr>
        <w:spacing w:after="0" w:line="240" w:lineRule="auto"/>
        <w:ind w:firstLine="709"/>
        <w:jc w:val="both"/>
        <w:rPr>
          <w:rFonts w:ascii="Verdana" w:eastAsia="Arial" w:hAnsi="Verdana" w:cs="Arial"/>
          <w:color w:val="000000" w:themeColor="text1"/>
          <w:sz w:val="16"/>
          <w:szCs w:val="16"/>
        </w:rPr>
      </w:pPr>
    </w:p>
  </w:footnote>
  <w:footnote w:id="23">
    <w:p w14:paraId="721184C5"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Decreto 1082 de 2015 “Artículo 2.2.1.1.2.1.3. Pliegos de condiciones. Los pliegos de condiciones deben contener por lo menos la siguiente información</w:t>
      </w:r>
    </w:p>
    <w:p w14:paraId="251F5DD3"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3F5F1CA1"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6. Las causas que dan lugar a rechazar una oferta […]”.</w:t>
      </w:r>
    </w:p>
  </w:footnote>
  <w:footnote w:id="24">
    <w:p w14:paraId="3EDA1013" w14:textId="77777777" w:rsidR="00A136C1"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Consejo de Estado. Sala de lo Contencioso Administrativo. Sección Tercera Subsección B. Sentencia del 27 de abril de 2011. Radicado: 25000-23-26-000-1997-03924-01 (18.293). C.P: Ruth Stella Correa Palacio. </w:t>
      </w:r>
    </w:p>
    <w:p w14:paraId="4EA77C99" w14:textId="77777777" w:rsidR="00A136C1" w:rsidRPr="00AF56B9" w:rsidRDefault="00A136C1" w:rsidP="00A136C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25">
    <w:p w14:paraId="0A63CF4E" w14:textId="77777777" w:rsidR="00A136C1" w:rsidRPr="00AF56B9" w:rsidRDefault="00A136C1" w:rsidP="00A136C1">
      <w:pPr>
        <w:pStyle w:val="Textonotapie"/>
        <w:ind w:firstLine="709"/>
        <w:jc w:val="both"/>
        <w:rPr>
          <w:rFonts w:ascii="Verdana" w:eastAsia="Times New Roman" w:hAnsi="Verdana" w:cs="Arial"/>
          <w:sz w:val="16"/>
          <w:szCs w:val="16"/>
          <w:lang w:val="es-CO" w:eastAsia="es-CO"/>
        </w:rPr>
      </w:pPr>
      <w:r w:rsidRPr="00AF56B9">
        <w:rPr>
          <w:rStyle w:val="Refdenotaalpie"/>
          <w:rFonts w:ascii="Verdana" w:hAnsi="Verdana" w:cs="Arial"/>
          <w:sz w:val="16"/>
          <w:szCs w:val="16"/>
        </w:rPr>
        <w:footnoteRef/>
      </w:r>
      <w:r w:rsidRPr="00AF56B9">
        <w:rPr>
          <w:rFonts w:ascii="Verdana" w:hAnsi="Verdana" w:cs="Arial"/>
          <w:sz w:val="16"/>
          <w:szCs w:val="16"/>
        </w:rPr>
        <w:t xml:space="preserve"> </w:t>
      </w:r>
      <w:r w:rsidRPr="00AF56B9">
        <w:rPr>
          <w:rFonts w:ascii="Verdana" w:eastAsia="Times New Roman" w:hAnsi="Verdana" w:cs="Arial"/>
          <w:sz w:val="16"/>
          <w:szCs w:val="16"/>
          <w:lang w:val="es-CO" w:eastAsia="es-CO"/>
        </w:rPr>
        <w:t>Consejo de Estado. Sección Tercera. Sentencia del 21 de noviembre de 2013. Radicado 25000-23-26-000-1999-01850-01 (25.397). C.P.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FD188E"/>
    <w:multiLevelType w:val="hybridMultilevel"/>
    <w:tmpl w:val="88882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4366326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6C52"/>
    <w:rsid w:val="000F6486"/>
    <w:rsid w:val="00116940"/>
    <w:rsid w:val="00125105"/>
    <w:rsid w:val="00127233"/>
    <w:rsid w:val="0015699B"/>
    <w:rsid w:val="001A33BF"/>
    <w:rsid w:val="001C423A"/>
    <w:rsid w:val="001C66A7"/>
    <w:rsid w:val="001E4177"/>
    <w:rsid w:val="001F0B24"/>
    <w:rsid w:val="001F7DC6"/>
    <w:rsid w:val="0022400B"/>
    <w:rsid w:val="002421BB"/>
    <w:rsid w:val="00247CD3"/>
    <w:rsid w:val="0025796E"/>
    <w:rsid w:val="002707A2"/>
    <w:rsid w:val="002951A0"/>
    <w:rsid w:val="002962BC"/>
    <w:rsid w:val="002A093D"/>
    <w:rsid w:val="002A0DD0"/>
    <w:rsid w:val="002A49AC"/>
    <w:rsid w:val="002A64FD"/>
    <w:rsid w:val="002C74DC"/>
    <w:rsid w:val="002C7A84"/>
    <w:rsid w:val="002E2BF8"/>
    <w:rsid w:val="002E4FD9"/>
    <w:rsid w:val="00301CC8"/>
    <w:rsid w:val="00303DC0"/>
    <w:rsid w:val="0030657A"/>
    <w:rsid w:val="00322A85"/>
    <w:rsid w:val="00324168"/>
    <w:rsid w:val="00330834"/>
    <w:rsid w:val="003448F4"/>
    <w:rsid w:val="00374F5E"/>
    <w:rsid w:val="00377E3E"/>
    <w:rsid w:val="00390C98"/>
    <w:rsid w:val="003A779E"/>
    <w:rsid w:val="003B4A11"/>
    <w:rsid w:val="003D0F4D"/>
    <w:rsid w:val="003D5B0D"/>
    <w:rsid w:val="003E0499"/>
    <w:rsid w:val="003E4F80"/>
    <w:rsid w:val="003E6439"/>
    <w:rsid w:val="003F3941"/>
    <w:rsid w:val="00406575"/>
    <w:rsid w:val="00414C74"/>
    <w:rsid w:val="0042722E"/>
    <w:rsid w:val="0044528D"/>
    <w:rsid w:val="00466E39"/>
    <w:rsid w:val="004A1847"/>
    <w:rsid w:val="004A305D"/>
    <w:rsid w:val="004E785A"/>
    <w:rsid w:val="004F21C4"/>
    <w:rsid w:val="004F685F"/>
    <w:rsid w:val="005566E8"/>
    <w:rsid w:val="00574867"/>
    <w:rsid w:val="0059075A"/>
    <w:rsid w:val="00591460"/>
    <w:rsid w:val="005A5369"/>
    <w:rsid w:val="005A65E0"/>
    <w:rsid w:val="005C3777"/>
    <w:rsid w:val="005C5CDC"/>
    <w:rsid w:val="005D476C"/>
    <w:rsid w:val="005F7FC8"/>
    <w:rsid w:val="006200BF"/>
    <w:rsid w:val="006219F8"/>
    <w:rsid w:val="006302F7"/>
    <w:rsid w:val="00645838"/>
    <w:rsid w:val="00646B9F"/>
    <w:rsid w:val="00665D70"/>
    <w:rsid w:val="00675FC7"/>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539E"/>
    <w:rsid w:val="00867F95"/>
    <w:rsid w:val="008843B6"/>
    <w:rsid w:val="00891928"/>
    <w:rsid w:val="008A446D"/>
    <w:rsid w:val="008B213A"/>
    <w:rsid w:val="008B25F1"/>
    <w:rsid w:val="008D180B"/>
    <w:rsid w:val="008F0EA7"/>
    <w:rsid w:val="008F6693"/>
    <w:rsid w:val="008F7C69"/>
    <w:rsid w:val="00923EEF"/>
    <w:rsid w:val="009419F9"/>
    <w:rsid w:val="00942F77"/>
    <w:rsid w:val="0095685E"/>
    <w:rsid w:val="00961B09"/>
    <w:rsid w:val="00965334"/>
    <w:rsid w:val="0097093E"/>
    <w:rsid w:val="009A0DFA"/>
    <w:rsid w:val="009A1C6F"/>
    <w:rsid w:val="009B2D26"/>
    <w:rsid w:val="009C71FA"/>
    <w:rsid w:val="009C72E7"/>
    <w:rsid w:val="009C7F7E"/>
    <w:rsid w:val="009D3058"/>
    <w:rsid w:val="009F3A13"/>
    <w:rsid w:val="00A122D3"/>
    <w:rsid w:val="00A136C1"/>
    <w:rsid w:val="00A14468"/>
    <w:rsid w:val="00A17F13"/>
    <w:rsid w:val="00A20739"/>
    <w:rsid w:val="00A23AF9"/>
    <w:rsid w:val="00A33C78"/>
    <w:rsid w:val="00A95520"/>
    <w:rsid w:val="00AB0ADB"/>
    <w:rsid w:val="00AC15DC"/>
    <w:rsid w:val="00AC2D28"/>
    <w:rsid w:val="00AF346D"/>
    <w:rsid w:val="00B00C0E"/>
    <w:rsid w:val="00B01B1A"/>
    <w:rsid w:val="00B0381D"/>
    <w:rsid w:val="00B33C5D"/>
    <w:rsid w:val="00B44A47"/>
    <w:rsid w:val="00B72CD3"/>
    <w:rsid w:val="00B72FFF"/>
    <w:rsid w:val="00B852A5"/>
    <w:rsid w:val="00BC3D36"/>
    <w:rsid w:val="00BD54A6"/>
    <w:rsid w:val="00BD7F72"/>
    <w:rsid w:val="00BE4CD7"/>
    <w:rsid w:val="00BF7425"/>
    <w:rsid w:val="00C04FB3"/>
    <w:rsid w:val="00C11D8B"/>
    <w:rsid w:val="00C15139"/>
    <w:rsid w:val="00C330EB"/>
    <w:rsid w:val="00C50D69"/>
    <w:rsid w:val="00C5365C"/>
    <w:rsid w:val="00C754BE"/>
    <w:rsid w:val="00C76B1C"/>
    <w:rsid w:val="00C925AC"/>
    <w:rsid w:val="00CA28A2"/>
    <w:rsid w:val="00CB6357"/>
    <w:rsid w:val="00CC1B26"/>
    <w:rsid w:val="00CE6A51"/>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472C"/>
    <w:rsid w:val="00E50AFE"/>
    <w:rsid w:val="00E67E6A"/>
    <w:rsid w:val="00E75C92"/>
    <w:rsid w:val="00E771DC"/>
    <w:rsid w:val="00E8772A"/>
    <w:rsid w:val="00E90F6B"/>
    <w:rsid w:val="00E92C27"/>
    <w:rsid w:val="00EA0E3D"/>
    <w:rsid w:val="00EC38A7"/>
    <w:rsid w:val="00EE1AA8"/>
    <w:rsid w:val="00F23FEA"/>
    <w:rsid w:val="00F31EDC"/>
    <w:rsid w:val="00F34BFE"/>
    <w:rsid w:val="00F462B3"/>
    <w:rsid w:val="00F5664F"/>
    <w:rsid w:val="00F666C4"/>
    <w:rsid w:val="00F76AFC"/>
    <w:rsid w:val="00FA47C0"/>
    <w:rsid w:val="00FB5DD1"/>
    <w:rsid w:val="00FC2B5D"/>
    <w:rsid w:val="00FF1449"/>
    <w:rsid w:val="00FF7963"/>
    <w:rsid w:val="09908A09"/>
    <w:rsid w:val="13CFC91B"/>
    <w:rsid w:val="19A2EC2C"/>
    <w:rsid w:val="2179899D"/>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136C1"/>
    <w:rPr>
      <w:rFonts w:ascii="Geomanist Light" w:hAnsi="Geomanist Light"/>
      <w:lang w:val="es-ES"/>
    </w:rPr>
  </w:style>
  <w:style w:type="paragraph" w:customStyle="1" w:styleId="Appelnotedebasde">
    <w:name w:val="Appel note de bas de..."/>
    <w:basedOn w:val="Normal"/>
    <w:link w:val="Refdenotaalpie"/>
    <w:uiPriority w:val="99"/>
    <w:rsid w:val="00A136C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cce-eicp-ma-04._manual_requisitos_habilitantes_v3_29-09-2023.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wp-content/uploads/2024/08/circular_externa_unica_version_3_vf49.pdf"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iyitama@hot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lexbase.biz/lexbase/normas/leyes/2007/L1150de2007.htm" TargetMode="External"/><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s://colombiacompra.gov.co/wp-content/uploads/2024/10/umbral_de_mipymes_2025_oali.pdf" TargetMode="External"/><Relationship Id="rId4" Type="http://schemas.openxmlformats.org/officeDocument/2006/relationships/hyperlink" Target="https://www.colombiacompra.gov.co/wp-content/uploads/2024/08/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E12A5F11-2404-401E-AA31-781D3ECAD0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57</TotalTime>
  <Pages>40</Pages>
  <Words>14604</Words>
  <Characters>76673</Characters>
  <Application>Microsoft Office Word</Application>
  <DocSecurity>0</DocSecurity>
  <Lines>1703</Lines>
  <Paragraphs>345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2025-12-04T21:06:00Z</dcterms:created>
  <dcterms:modified xsi:type="dcterms:W3CDTF">2025-12-05T20:25:00Z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