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77C89" w14:textId="77777777" w:rsidR="008E2C74" w:rsidRPr="007559D3" w:rsidRDefault="008E2C74" w:rsidP="008E2C74">
      <w:pPr>
        <w:spacing w:after="0" w:line="240" w:lineRule="auto"/>
        <w:jc w:val="both"/>
        <w:rPr>
          <w:rFonts w:ascii="Verdana" w:eastAsia="Times New Roman" w:hAnsi="Verdana" w:cs="Arial"/>
          <w:b/>
          <w:bCs/>
          <w:lang w:val="es-ES" w:eastAsia="es-ES_tradnl"/>
        </w:rPr>
      </w:pPr>
      <w:bookmarkStart w:id="0" w:name="_Hlk143780582"/>
      <w:r w:rsidRPr="007559D3">
        <w:rPr>
          <w:rFonts w:ascii="Verdana" w:eastAsia="Times New Roman" w:hAnsi="Verdana" w:cs="Arial"/>
          <w:b/>
          <w:bCs/>
          <w:lang w:val="es-ES" w:eastAsia="es-ES_tradnl"/>
        </w:rPr>
        <w:t>PUEBLOS INDÍGENAS – Convenio No. 169 de la OIT – Compromisos</w:t>
      </w:r>
    </w:p>
    <w:p w14:paraId="32215D20" w14:textId="77777777" w:rsidR="008E2C74" w:rsidRPr="007559D3" w:rsidRDefault="008E2C74" w:rsidP="008E2C74">
      <w:pPr>
        <w:spacing w:after="0" w:line="240" w:lineRule="auto"/>
        <w:jc w:val="both"/>
        <w:rPr>
          <w:rFonts w:ascii="Verdana" w:eastAsia="Times New Roman" w:hAnsi="Verdana" w:cs="Arial"/>
          <w:sz w:val="20"/>
          <w:szCs w:val="24"/>
          <w:lang w:val="es-ES_tradnl" w:eastAsia="es-ES_tradnl"/>
        </w:rPr>
      </w:pPr>
    </w:p>
    <w:p w14:paraId="35DA885D" w14:textId="77777777" w:rsidR="006C66C4" w:rsidRPr="007559D3" w:rsidRDefault="006C66C4" w:rsidP="006C66C4">
      <w:pPr>
        <w:spacing w:after="0" w:line="240" w:lineRule="auto"/>
        <w:jc w:val="both"/>
        <w:rPr>
          <w:rFonts w:ascii="Verdana" w:eastAsia="Calibri" w:hAnsi="Verdana" w:cs="Arial"/>
          <w:sz w:val="20"/>
          <w:szCs w:val="20"/>
          <w:lang w:val="es-ES_tradnl"/>
        </w:rPr>
      </w:pPr>
      <w:r w:rsidRPr="007559D3">
        <w:rPr>
          <w:rFonts w:ascii="Verdana" w:eastAsia="Calibri" w:hAnsi="Verdana" w:cs="Arial"/>
          <w:sz w:val="20"/>
          <w:szCs w:val="20"/>
          <w:lang w:val="es-ES_tradnl"/>
        </w:rPr>
        <w:t>“</w:t>
      </w:r>
      <w:r w:rsidRPr="007559D3">
        <w:rPr>
          <w:rFonts w:ascii="Verdana" w:eastAsia="Calibri" w:hAnsi="Verdana" w:cs="Arial"/>
          <w:sz w:val="20"/>
          <w:szCs w:val="20"/>
          <w:lang w:val="es-ES"/>
        </w:rPr>
        <w:t xml:space="preserve">[…] </w:t>
      </w:r>
      <w:r w:rsidRPr="007559D3">
        <w:rPr>
          <w:rFonts w:ascii="Verdana" w:eastAsia="Calibri" w:hAnsi="Verdana" w:cs="Arial"/>
          <w:sz w:val="20"/>
          <w:szCs w:val="20"/>
          <w:lang w:val="es-ES_tradnl"/>
        </w:rPr>
        <w:t>Con la suscripción del Convenio No. 169 de 1989 “Sobre pueblos indígenas y tribales en países independientes” de la Organización Internacional del Trabajo – OIT, incorporado al bloque de constitucionalidad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w:t>
      </w:r>
    </w:p>
    <w:p w14:paraId="1BAE1D05" w14:textId="77777777" w:rsidR="006C66C4" w:rsidRPr="007559D3" w:rsidRDefault="006C66C4" w:rsidP="006C66C4">
      <w:pPr>
        <w:spacing w:after="0" w:line="240" w:lineRule="auto"/>
        <w:jc w:val="both"/>
        <w:rPr>
          <w:rFonts w:ascii="Verdana" w:eastAsia="Calibri" w:hAnsi="Verdana" w:cs="Arial"/>
          <w:sz w:val="20"/>
          <w:szCs w:val="20"/>
          <w:lang w:val="es-ES_tradnl"/>
        </w:rPr>
      </w:pPr>
    </w:p>
    <w:p w14:paraId="019C1C5E" w14:textId="77777777" w:rsidR="006C66C4" w:rsidRPr="007559D3" w:rsidRDefault="006C66C4" w:rsidP="006C66C4">
      <w:pPr>
        <w:spacing w:line="240" w:lineRule="auto"/>
        <w:jc w:val="both"/>
        <w:rPr>
          <w:rFonts w:ascii="Verdana" w:eastAsia="Calibri" w:hAnsi="Verdana" w:cs="Arial"/>
          <w:sz w:val="20"/>
          <w:szCs w:val="20"/>
          <w:lang w:val="es-ES"/>
        </w:rPr>
      </w:pPr>
      <w:r w:rsidRPr="007559D3">
        <w:rPr>
          <w:rFonts w:ascii="Verdana" w:eastAsia="Calibri" w:hAnsi="Verdana" w:cs="Arial"/>
          <w:sz w:val="20"/>
          <w:szCs w:val="20"/>
          <w:lang w:val="es-ES_tradnl"/>
        </w:rPr>
        <w:t xml:space="preserve">Al respecto, la Ley 21 de 1991, en el artículo 2, prescribe: Artículo 2. 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w:t>
      </w:r>
      <w:r w:rsidRPr="007559D3">
        <w:rPr>
          <w:rFonts w:ascii="Verdana" w:eastAsia="Calibri" w:hAnsi="Verdana" w:cs="Arial"/>
          <w:sz w:val="20"/>
          <w:szCs w:val="20"/>
          <w:lang w:val="es-ES"/>
        </w:rPr>
        <w:t xml:space="preserve">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indígenas. Dentro de los ámbitos en los que han incidido estas disposiciones se encuentra el de la contratación pública, en la medida en que las actuaciones orientadas a la satisfacción de derechos de los pueblos indígenas en situaciones concretas requieren de la concertación entre las comunidades indígenas y las entidades estatales, lo que ha suscitado la necesidad de un tratamiento jurídico particular para tales acuerdos.  </w:t>
      </w:r>
    </w:p>
    <w:p w14:paraId="5CF8E391" w14:textId="77777777" w:rsidR="006C66C4" w:rsidRPr="007559D3" w:rsidRDefault="006C66C4" w:rsidP="006C66C4">
      <w:pPr>
        <w:spacing w:line="240" w:lineRule="auto"/>
        <w:jc w:val="both"/>
        <w:rPr>
          <w:rFonts w:ascii="Verdana" w:eastAsia="Calibri" w:hAnsi="Verdana" w:cs="Arial"/>
          <w:sz w:val="20"/>
          <w:szCs w:val="20"/>
          <w:lang w:val="es-ES"/>
        </w:rPr>
      </w:pPr>
      <w:r w:rsidRPr="007559D3">
        <w:rPr>
          <w:rFonts w:ascii="Verdana" w:eastAsia="Calibri" w:hAnsi="Verdana" w:cs="Arial"/>
          <w:sz w:val="20"/>
          <w:szCs w:val="20"/>
          <w:lang w:val="es-ES"/>
        </w:rPr>
        <w:t>[…]</w:t>
      </w:r>
    </w:p>
    <w:p w14:paraId="3F11FA39" w14:textId="4E19B927" w:rsidR="008E2C74" w:rsidRPr="007559D3" w:rsidRDefault="006C66C4" w:rsidP="00F52BE0">
      <w:pPr>
        <w:spacing w:after="240" w:line="240" w:lineRule="auto"/>
        <w:jc w:val="both"/>
        <w:rPr>
          <w:rFonts w:ascii="Verdana" w:eastAsia="Calibri" w:hAnsi="Verdana" w:cs="Arial"/>
          <w:sz w:val="20"/>
          <w:szCs w:val="20"/>
          <w:lang w:val="es-ES"/>
        </w:rPr>
      </w:pPr>
      <w:r w:rsidRPr="007559D3">
        <w:rPr>
          <w:rFonts w:ascii="Verdana" w:eastAsia="Calibri" w:hAnsi="Verdana" w:cs="Arial"/>
          <w:sz w:val="20"/>
          <w:szCs w:val="20"/>
          <w:lang w:val="es-ES"/>
        </w:rPr>
        <w:t>De este marco jurídico hacen parte normas relevantes como el artículo 329 constitucional, las Leyes 80 de 1993, 136 de 1994– modificada por la Ley 1551 de 2012– los Decretos 1088 de 1993, 1953 de 2014, 252 de 2020, la Ley 2160 de 2021 y recientemente se les ha añadido las modificaciones de la Ley 2294 de 2023</w:t>
      </w:r>
      <w:r w:rsidR="00B8015B" w:rsidRPr="007559D3">
        <w:rPr>
          <w:rFonts w:ascii="Verdana" w:eastAsia="Calibri" w:hAnsi="Verdana" w:cs="Arial"/>
          <w:sz w:val="20"/>
          <w:szCs w:val="20"/>
          <w:lang w:val="es-ES"/>
        </w:rPr>
        <w:t xml:space="preserve"> </w:t>
      </w:r>
      <w:r w:rsidRPr="007559D3">
        <w:rPr>
          <w:rFonts w:ascii="Verdana" w:eastAsia="Calibri" w:hAnsi="Verdana" w:cs="Arial"/>
          <w:sz w:val="20"/>
          <w:szCs w:val="20"/>
          <w:lang w:val="es-ES"/>
        </w:rPr>
        <w:t>[…]”</w:t>
      </w:r>
    </w:p>
    <w:p w14:paraId="2F846039" w14:textId="1A1DFC56" w:rsidR="003C49AA" w:rsidRPr="007559D3" w:rsidRDefault="003C49AA" w:rsidP="003C49AA">
      <w:pPr>
        <w:spacing w:after="0" w:line="240" w:lineRule="auto"/>
        <w:jc w:val="both"/>
        <w:rPr>
          <w:rFonts w:ascii="Verdana" w:eastAsia="Times New Roman" w:hAnsi="Verdana" w:cs="Arial"/>
          <w:b/>
          <w:lang w:val="es-ES_tradnl" w:eastAsia="es-ES"/>
        </w:rPr>
      </w:pPr>
      <w:r w:rsidRPr="007559D3">
        <w:rPr>
          <w:rFonts w:ascii="Verdana" w:eastAsia="Times New Roman" w:hAnsi="Verdana" w:cs="Arial"/>
          <w:b/>
          <w:lang w:val="es-ES_tradnl" w:eastAsia="es-ES"/>
        </w:rPr>
        <w:t xml:space="preserve">RÉGIMEN DE CONTRATACIÓN – Territorios Indígenas – Artículo 2 de la Ley 80 de 1993 </w:t>
      </w:r>
    </w:p>
    <w:p w14:paraId="313848CD" w14:textId="77777777" w:rsidR="00BD49FF" w:rsidRPr="007559D3" w:rsidRDefault="00BD49FF" w:rsidP="003C49AA">
      <w:pPr>
        <w:spacing w:after="0" w:line="240" w:lineRule="auto"/>
        <w:jc w:val="both"/>
        <w:rPr>
          <w:rFonts w:ascii="Verdana" w:eastAsia="Times New Roman" w:hAnsi="Verdana" w:cs="Arial"/>
          <w:b/>
          <w:lang w:val="es-ES_tradnl" w:eastAsia="es-ES"/>
        </w:rPr>
      </w:pPr>
    </w:p>
    <w:p w14:paraId="4B703418" w14:textId="77777777" w:rsidR="00F52BE0" w:rsidRPr="007559D3" w:rsidRDefault="00474502" w:rsidP="00F52BE0">
      <w:pPr>
        <w:spacing w:after="0" w:line="240" w:lineRule="auto"/>
        <w:jc w:val="both"/>
        <w:rPr>
          <w:rFonts w:ascii="Verdana" w:eastAsia="Century Gothic" w:hAnsi="Verdana" w:cs="Arial"/>
          <w:sz w:val="20"/>
          <w:szCs w:val="20"/>
          <w:lang w:val="es-ES"/>
        </w:rPr>
      </w:pPr>
      <w:r w:rsidRPr="007559D3">
        <w:rPr>
          <w:rFonts w:ascii="Verdana" w:eastAsia="Calibri" w:hAnsi="Verdana" w:cs="Arial"/>
          <w:sz w:val="20"/>
        </w:rPr>
        <w:t>“</w:t>
      </w:r>
      <w:r w:rsidRPr="007559D3">
        <w:rPr>
          <w:rFonts w:ascii="Verdana" w:eastAsia="Century Gothic" w:hAnsi="Verdana" w:cs="Arial"/>
          <w:sz w:val="20"/>
          <w:szCs w:val="20"/>
          <w:lang w:val="es-ES"/>
        </w:rPr>
        <w:t xml:space="preserve">[…] </w:t>
      </w:r>
      <w:r w:rsidRPr="007559D3">
        <w:rPr>
          <w:rFonts w:ascii="Verdana" w:eastAsia="Calibri" w:hAnsi="Verdana" w:cs="Arial"/>
          <w:sz w:val="20"/>
        </w:rPr>
        <w:t xml:space="preserve"> De acuerdo con la Ley 80 de 1993, los territorios indígenas </w:t>
      </w:r>
      <w:r w:rsidR="001E1221" w:rsidRPr="007559D3">
        <w:rPr>
          <w:rFonts w:ascii="Verdana" w:eastAsia="Calibri" w:hAnsi="Verdana" w:cs="Arial"/>
          <w:sz w:val="20"/>
        </w:rPr>
        <w:t>son</w:t>
      </w:r>
      <w:r w:rsidRPr="007559D3">
        <w:rPr>
          <w:rFonts w:ascii="Verdana" w:eastAsia="Calibri" w:hAnsi="Verdana" w:cs="Arial"/>
          <w:sz w:val="20"/>
        </w:rPr>
        <w:t xml:space="preserve">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r w:rsidRPr="007559D3">
        <w:rPr>
          <w:rFonts w:ascii="Verdana" w:eastAsia="Century Gothic" w:hAnsi="Verdana" w:cs="Arial"/>
          <w:sz w:val="20"/>
          <w:szCs w:val="20"/>
          <w:lang w:val="es-ES"/>
        </w:rPr>
        <w:t>[…]”</w:t>
      </w:r>
    </w:p>
    <w:p w14:paraId="631E9E71" w14:textId="77777777" w:rsidR="00BD49FF" w:rsidRPr="007559D3" w:rsidRDefault="00BD49FF" w:rsidP="00A909E5">
      <w:pPr>
        <w:spacing w:after="0" w:line="240" w:lineRule="auto"/>
        <w:jc w:val="both"/>
        <w:rPr>
          <w:rFonts w:ascii="Verdana" w:eastAsia="Century Gothic" w:hAnsi="Verdana" w:cs="Arial"/>
          <w:sz w:val="20"/>
          <w:szCs w:val="20"/>
          <w:lang w:val="es-ES"/>
        </w:rPr>
      </w:pPr>
    </w:p>
    <w:p w14:paraId="27BB0CCA" w14:textId="30DDEE28" w:rsidR="0089148E" w:rsidRPr="007559D3" w:rsidRDefault="00BD49FF" w:rsidP="00A909E5">
      <w:pPr>
        <w:spacing w:after="0" w:line="240" w:lineRule="auto"/>
        <w:jc w:val="both"/>
        <w:rPr>
          <w:rFonts w:ascii="Verdana" w:eastAsia="Century Gothic" w:hAnsi="Verdana" w:cs="Arial"/>
          <w:sz w:val="20"/>
          <w:szCs w:val="20"/>
          <w:lang w:val="es-ES"/>
        </w:rPr>
      </w:pPr>
      <w:r w:rsidRPr="007559D3">
        <w:rPr>
          <w:rFonts w:ascii="Verdana" w:eastAsia="Calibri" w:hAnsi="Verdana" w:cs="Arial"/>
          <w:sz w:val="20"/>
        </w:rPr>
        <w:t>“</w:t>
      </w:r>
      <w:r w:rsidRPr="007559D3">
        <w:rPr>
          <w:rFonts w:ascii="Verdana" w:eastAsia="Century Gothic" w:hAnsi="Verdana" w:cs="Arial"/>
          <w:sz w:val="20"/>
          <w:szCs w:val="20"/>
          <w:lang w:val="es-ES"/>
        </w:rPr>
        <w:t>[…]</w:t>
      </w:r>
      <w:r w:rsidR="00966548" w:rsidRPr="007559D3">
        <w:rPr>
          <w:rFonts w:ascii="Verdana" w:eastAsia="Century Gothic" w:hAnsi="Verdana" w:cs="Arial"/>
          <w:sz w:val="20"/>
          <w:szCs w:val="20"/>
          <w:lang w:val="es-ES"/>
        </w:rPr>
        <w:t xml:space="preserve"> El Decreto 488 del 2025 </w:t>
      </w:r>
      <w:r w:rsidR="00C0006B" w:rsidRPr="007559D3">
        <w:rPr>
          <w:rFonts w:ascii="Verdana" w:eastAsia="Century Gothic" w:hAnsi="Verdana" w:cs="Arial"/>
          <w:sz w:val="20"/>
          <w:szCs w:val="20"/>
          <w:lang w:val="es-ES"/>
        </w:rPr>
        <w:t xml:space="preserve">dicta las normas necesarias para la puesta en funcionamiento de los Territorios Indígenas respecto de </w:t>
      </w:r>
      <w:r w:rsidR="00511E99" w:rsidRPr="007559D3">
        <w:rPr>
          <w:rFonts w:ascii="Verdana" w:eastAsia="Century Gothic" w:hAnsi="Verdana" w:cs="Arial"/>
          <w:sz w:val="20"/>
          <w:szCs w:val="20"/>
          <w:lang w:val="es-ES"/>
        </w:rPr>
        <w:t>su estructura</w:t>
      </w:r>
      <w:r w:rsidR="00C0006B" w:rsidRPr="007559D3">
        <w:rPr>
          <w:rFonts w:ascii="Verdana" w:eastAsia="Century Gothic" w:hAnsi="Verdana" w:cs="Arial"/>
          <w:sz w:val="20"/>
          <w:szCs w:val="20"/>
          <w:lang w:val="es-ES"/>
        </w:rPr>
        <w:t xml:space="preserve"> de gobierno, los procedimientos para el ejercicio de competencias y atribuciones constitucionales y legales</w:t>
      </w:r>
      <w:r w:rsidR="009A2095" w:rsidRPr="007559D3">
        <w:rPr>
          <w:rFonts w:ascii="Verdana" w:eastAsia="Century Gothic" w:hAnsi="Verdana" w:cs="Arial"/>
          <w:sz w:val="20"/>
          <w:szCs w:val="20"/>
          <w:lang w:val="es-ES"/>
        </w:rPr>
        <w:t>, normas fiscales, la definición de sus límites y la coordinación con las demás entidades e instituciones del Estado</w:t>
      </w:r>
      <w:r w:rsidR="00C94F67" w:rsidRPr="007559D3">
        <w:rPr>
          <w:rFonts w:ascii="Verdana" w:eastAsia="Century Gothic" w:hAnsi="Verdana" w:cs="Arial"/>
          <w:sz w:val="20"/>
          <w:szCs w:val="20"/>
          <w:lang w:val="es-ES"/>
        </w:rPr>
        <w:t xml:space="preserve">. </w:t>
      </w:r>
    </w:p>
    <w:p w14:paraId="18946A9F" w14:textId="77777777" w:rsidR="0089148E" w:rsidRPr="007559D3" w:rsidRDefault="0089148E" w:rsidP="00A909E5">
      <w:pPr>
        <w:spacing w:after="0" w:line="240" w:lineRule="auto"/>
        <w:jc w:val="both"/>
        <w:rPr>
          <w:rFonts w:ascii="Verdana" w:eastAsia="Century Gothic" w:hAnsi="Verdana" w:cs="Arial"/>
          <w:sz w:val="20"/>
          <w:szCs w:val="20"/>
          <w:lang w:val="es-ES"/>
        </w:rPr>
      </w:pPr>
    </w:p>
    <w:p w14:paraId="668D0502" w14:textId="4DE65695" w:rsidR="00BD49FF" w:rsidRPr="007559D3" w:rsidRDefault="00C94F67" w:rsidP="00A909E5">
      <w:pPr>
        <w:spacing w:after="0" w:line="240" w:lineRule="auto"/>
        <w:jc w:val="both"/>
        <w:rPr>
          <w:rFonts w:ascii="Verdana" w:eastAsia="Century Gothic" w:hAnsi="Verdana" w:cs="Arial"/>
          <w:sz w:val="20"/>
          <w:szCs w:val="20"/>
          <w:lang w:val="es-ES"/>
        </w:rPr>
      </w:pPr>
      <w:r w:rsidRPr="007559D3">
        <w:rPr>
          <w:rFonts w:ascii="Verdana" w:eastAsia="Century Gothic" w:hAnsi="Verdana" w:cs="Arial"/>
          <w:sz w:val="20"/>
          <w:szCs w:val="20"/>
          <w:lang w:val="es-ES"/>
        </w:rPr>
        <w:t>[…]</w:t>
      </w:r>
    </w:p>
    <w:p w14:paraId="3889B086" w14:textId="77777777" w:rsidR="00A909E5" w:rsidRPr="007559D3" w:rsidRDefault="00A909E5" w:rsidP="00A909E5">
      <w:pPr>
        <w:spacing w:after="0" w:line="240" w:lineRule="auto"/>
        <w:jc w:val="both"/>
        <w:rPr>
          <w:rFonts w:ascii="Verdana" w:eastAsia="Century Gothic" w:hAnsi="Verdana" w:cs="Arial"/>
          <w:sz w:val="20"/>
          <w:szCs w:val="20"/>
          <w:lang w:val="es-ES"/>
        </w:rPr>
      </w:pPr>
    </w:p>
    <w:p w14:paraId="1350BE9B" w14:textId="1369CA49" w:rsidR="00A909E5" w:rsidRPr="007559D3" w:rsidRDefault="00A909E5" w:rsidP="00A909E5">
      <w:pPr>
        <w:spacing w:line="240" w:lineRule="auto"/>
        <w:jc w:val="both"/>
        <w:rPr>
          <w:rFonts w:ascii="Verdana" w:eastAsia="Century Gothic" w:hAnsi="Verdana" w:cs="Arial"/>
          <w:sz w:val="20"/>
          <w:szCs w:val="20"/>
        </w:rPr>
      </w:pPr>
      <w:r w:rsidRPr="007559D3">
        <w:rPr>
          <w:rFonts w:ascii="Verdana" w:eastAsia="Century Gothic" w:hAnsi="Verdana" w:cs="Arial"/>
          <w:sz w:val="20"/>
          <w:szCs w:val="20"/>
        </w:rPr>
        <w:t xml:space="preserve">Para efectos del presente decreto, se reconoce a los Territorios Indígenas como entes político-administrativos de carácter especial, para el ejercicio de las competencias y funciones públicas establecidas en la Constitución Política y el ordenamiento jurídico vigente. </w:t>
      </w:r>
    </w:p>
    <w:p w14:paraId="0329F971" w14:textId="77777777" w:rsidR="00A909E5" w:rsidRPr="007559D3" w:rsidRDefault="00A909E5" w:rsidP="00A909E5">
      <w:pPr>
        <w:spacing w:after="0" w:line="240" w:lineRule="auto"/>
        <w:jc w:val="both"/>
        <w:rPr>
          <w:rFonts w:ascii="Verdana" w:eastAsia="Century Gothic" w:hAnsi="Verdana" w:cs="Arial"/>
          <w:sz w:val="20"/>
          <w:szCs w:val="20"/>
          <w:lang w:val="es-ES"/>
        </w:rPr>
      </w:pPr>
      <w:r w:rsidRPr="007559D3">
        <w:rPr>
          <w:rFonts w:ascii="Verdana" w:eastAsia="Century Gothic" w:hAnsi="Verdana" w:cs="Arial"/>
          <w:sz w:val="20"/>
          <w:szCs w:val="20"/>
          <w:lang w:val="es-ES"/>
        </w:rPr>
        <w:t>[…]</w:t>
      </w:r>
    </w:p>
    <w:p w14:paraId="681C5AC5" w14:textId="77777777" w:rsidR="00C94F67" w:rsidRPr="007559D3" w:rsidRDefault="00C94F67" w:rsidP="00A909E5">
      <w:pPr>
        <w:spacing w:after="0" w:line="240" w:lineRule="auto"/>
        <w:jc w:val="both"/>
        <w:rPr>
          <w:rFonts w:ascii="Verdana" w:eastAsia="Century Gothic" w:hAnsi="Verdana" w:cs="Arial"/>
          <w:sz w:val="20"/>
          <w:szCs w:val="20"/>
          <w:lang w:val="es-ES"/>
        </w:rPr>
      </w:pPr>
    </w:p>
    <w:p w14:paraId="16EDAD58" w14:textId="45BF9D57" w:rsidR="00C94F67" w:rsidRPr="007559D3" w:rsidRDefault="0089148E" w:rsidP="00A909E5">
      <w:pPr>
        <w:spacing w:after="0" w:line="240" w:lineRule="auto"/>
        <w:jc w:val="both"/>
        <w:rPr>
          <w:rFonts w:ascii="Verdana" w:eastAsia="Century Gothic" w:hAnsi="Verdana" w:cs="Arial"/>
          <w:sz w:val="20"/>
          <w:szCs w:val="20"/>
          <w:lang w:val="es-ES"/>
        </w:rPr>
      </w:pPr>
      <w:r w:rsidRPr="007559D3">
        <w:rPr>
          <w:rFonts w:ascii="Verdana" w:eastAsia="Century Gothic" w:hAnsi="Verdana" w:cs="Arial"/>
          <w:sz w:val="20"/>
          <w:szCs w:val="20"/>
          <w:lang w:val="es-ES"/>
        </w:rPr>
        <w:t>El ejercicio de las competencias y funciones públicas asignadas al Territorio Indígena puesto en funcionamiento se financiará con los recursos de la participación en las rentas nacionales, a través del Sistema General de Participaciones (SGP) correspondientes a cada sector, al Sistema General de Regalías (SGR) y aquellos que se destinen en el presupuesto nacional en materia de inversión o partidas sectoriales, los recursos propios, recursos de compensación, de cofinanciación, de cooperación, reconocimiento por funciones ambientales, y demás fuentes de financiación determinadas en la normativa vigente en la materia. […]”</w:t>
      </w:r>
    </w:p>
    <w:p w14:paraId="2BB21099" w14:textId="77777777" w:rsidR="00BD49FF" w:rsidRPr="007559D3" w:rsidRDefault="00BD49FF" w:rsidP="00F52BE0">
      <w:pPr>
        <w:spacing w:after="0" w:line="240" w:lineRule="auto"/>
        <w:jc w:val="both"/>
        <w:rPr>
          <w:rFonts w:ascii="Verdana" w:eastAsia="Calibri" w:hAnsi="Verdana" w:cs="Arial"/>
          <w:sz w:val="20"/>
          <w:lang w:val="es-ES"/>
        </w:rPr>
      </w:pPr>
    </w:p>
    <w:p w14:paraId="1D3A20F9" w14:textId="2DEBD5A7" w:rsidR="00AD532A" w:rsidRPr="007559D3" w:rsidRDefault="00AD532A" w:rsidP="00F52BE0">
      <w:pPr>
        <w:spacing w:after="0" w:line="240" w:lineRule="auto"/>
        <w:jc w:val="both"/>
        <w:rPr>
          <w:rFonts w:ascii="Verdana" w:eastAsia="Calibri" w:hAnsi="Verdana" w:cs="Arial"/>
          <w:sz w:val="20"/>
        </w:rPr>
      </w:pPr>
      <w:r w:rsidRPr="007559D3">
        <w:rPr>
          <w:rFonts w:ascii="Verdana" w:hAnsi="Verdana"/>
          <w:b/>
          <w:lang w:val="es-MX"/>
        </w:rPr>
        <w:t>CONTRATACIÓN DIRECTA – Aplicación restrictiva – Literal L, numeral 4, artículo 2 de la Ley 1150 de 2007</w:t>
      </w:r>
    </w:p>
    <w:p w14:paraId="5A0FA368" w14:textId="77777777" w:rsidR="00AD532A" w:rsidRPr="007559D3" w:rsidRDefault="00AD532A" w:rsidP="00AD532A">
      <w:pPr>
        <w:spacing w:after="0"/>
        <w:jc w:val="both"/>
        <w:rPr>
          <w:rFonts w:ascii="Verdana" w:hAnsi="Verdana"/>
          <w:b/>
          <w:sz w:val="20"/>
          <w:szCs w:val="20"/>
        </w:rPr>
      </w:pPr>
    </w:p>
    <w:p w14:paraId="6CB9E5BB" w14:textId="68813A27" w:rsidR="00992F4C" w:rsidRPr="007559D3" w:rsidRDefault="0080127D" w:rsidP="00992F4C">
      <w:pPr>
        <w:spacing w:after="0" w:line="240" w:lineRule="auto"/>
        <w:jc w:val="both"/>
        <w:rPr>
          <w:rFonts w:ascii="Verdana" w:eastAsia="Calibri" w:hAnsi="Verdana" w:cs="Arial"/>
          <w:bCs/>
          <w:sz w:val="20"/>
          <w:szCs w:val="20"/>
          <w:lang w:val="es-ES_tradnl"/>
        </w:rPr>
      </w:pPr>
      <w:r w:rsidRPr="007559D3">
        <w:rPr>
          <w:rFonts w:ascii="Verdana" w:eastAsia="Calibri" w:hAnsi="Verdana" w:cs="Arial"/>
          <w:bCs/>
          <w:sz w:val="20"/>
          <w:szCs w:val="20"/>
        </w:rPr>
        <w:t>“</w:t>
      </w:r>
      <w:r w:rsidRPr="007559D3">
        <w:rPr>
          <w:rFonts w:ascii="Verdana" w:eastAsia="Calibri" w:hAnsi="Verdana" w:cs="Arial"/>
          <w:bCs/>
          <w:sz w:val="20"/>
          <w:szCs w:val="20"/>
          <w:lang w:val="es-ES_tradnl"/>
        </w:rPr>
        <w:t xml:space="preserve">[…] </w:t>
      </w:r>
      <w:r w:rsidR="00992F4C" w:rsidRPr="007559D3">
        <w:rPr>
          <w:rFonts w:ascii="Verdana" w:eastAsia="Calibri" w:hAnsi="Verdana" w:cs="Arial"/>
          <w:bCs/>
          <w:sz w:val="20"/>
          <w:szCs w:val="20"/>
          <w:lang w:val="es-ES_tradnl"/>
        </w:rPr>
        <w:t>La</w:t>
      </w:r>
      <w:r w:rsidR="00992F4C" w:rsidRPr="007559D3">
        <w:rPr>
          <w:rFonts w:ascii="Verdana" w:eastAsia="Calibri" w:hAnsi="Verdana" w:cs="Arial"/>
          <w:bCs/>
          <w:sz w:val="20"/>
          <w:szCs w:val="20"/>
        </w:rPr>
        <w:t xml:space="preserve"> Ley 2160 de 2021, “Por medio del cual se modifica la Ley 80 de 1993 y la Ley 1150 de 2007”, estableció nuevas regulaciones con respecto a la capacidad contractual y naturaleza jurídica de varios tipos de organización, entre ellas los cabildos indígenas y asociaciones de autoridades tradicionales indígenas. Teniendo en cuenta esta filosofía y objetivos buscados en el proyecto de ley, esta modificó, entre otras cosas, el artículo 7 de la Ley 80 de 1993 mediante su artículo 3. </w:t>
      </w:r>
    </w:p>
    <w:p w14:paraId="0E87D14B" w14:textId="77777777" w:rsidR="00AD532A" w:rsidRPr="007559D3" w:rsidRDefault="00AD532A" w:rsidP="00485406">
      <w:pPr>
        <w:spacing w:after="0" w:line="240" w:lineRule="auto"/>
        <w:jc w:val="both"/>
        <w:rPr>
          <w:rFonts w:ascii="Verdana" w:hAnsi="Verdana" w:cs="Arial"/>
          <w:sz w:val="20"/>
          <w:szCs w:val="20"/>
        </w:rPr>
      </w:pPr>
    </w:p>
    <w:p w14:paraId="5D14448F" w14:textId="77777777" w:rsidR="00992F4C" w:rsidRPr="007559D3" w:rsidRDefault="00AD532A" w:rsidP="00485406">
      <w:pPr>
        <w:spacing w:after="0" w:line="240" w:lineRule="auto"/>
        <w:jc w:val="both"/>
        <w:rPr>
          <w:rFonts w:ascii="Verdana" w:eastAsia="Calibri" w:hAnsi="Verdana" w:cs="Arial"/>
          <w:bCs/>
          <w:sz w:val="20"/>
          <w:szCs w:val="20"/>
          <w:lang w:val="es-ES_tradnl"/>
        </w:rPr>
      </w:pPr>
      <w:r w:rsidRPr="007559D3">
        <w:rPr>
          <w:rFonts w:ascii="Verdana" w:eastAsia="Calibri" w:hAnsi="Verdana" w:cs="Arial"/>
          <w:bCs/>
          <w:sz w:val="20"/>
          <w:szCs w:val="20"/>
          <w:lang w:val="es-ES_tradnl"/>
        </w:rPr>
        <w:t>[…]</w:t>
      </w:r>
    </w:p>
    <w:p w14:paraId="32D3D89F" w14:textId="77777777" w:rsidR="00DF2014" w:rsidRPr="007559D3" w:rsidRDefault="00DF2014" w:rsidP="00485406">
      <w:pPr>
        <w:spacing w:after="0" w:line="240" w:lineRule="auto"/>
        <w:jc w:val="both"/>
        <w:rPr>
          <w:rFonts w:ascii="Verdana" w:eastAsia="Calibri" w:hAnsi="Verdana" w:cs="Arial"/>
          <w:bCs/>
          <w:sz w:val="20"/>
          <w:szCs w:val="20"/>
          <w:lang w:val="es-ES_tradnl"/>
        </w:rPr>
      </w:pPr>
    </w:p>
    <w:p w14:paraId="61054A33" w14:textId="38158FD8" w:rsidR="00DF2014" w:rsidRPr="007559D3" w:rsidRDefault="00321CE8" w:rsidP="00485406">
      <w:pPr>
        <w:spacing w:after="0" w:line="240" w:lineRule="auto"/>
        <w:jc w:val="both"/>
        <w:rPr>
          <w:rFonts w:ascii="Verdana" w:eastAsia="Calibri" w:hAnsi="Verdana" w:cs="Arial"/>
          <w:bCs/>
          <w:sz w:val="20"/>
          <w:szCs w:val="20"/>
          <w:lang w:val="es-ES_tradnl"/>
        </w:rPr>
      </w:pPr>
      <w:r w:rsidRPr="007559D3">
        <w:rPr>
          <w:rFonts w:ascii="Verdana" w:eastAsia="Calibri" w:hAnsi="Verdana" w:cs="Arial"/>
          <w:bCs/>
          <w:sz w:val="20"/>
          <w:szCs w:val="20"/>
          <w:lang w:val="es-ES_tradnl"/>
        </w:rPr>
        <w:t>Posteriormente</w:t>
      </w:r>
      <w:r w:rsidR="004A77AA" w:rsidRPr="007559D3">
        <w:rPr>
          <w:rFonts w:ascii="Verdana" w:eastAsia="Calibri" w:hAnsi="Verdana" w:cs="Arial"/>
          <w:bCs/>
          <w:sz w:val="20"/>
          <w:szCs w:val="20"/>
          <w:lang w:val="es-ES_tradnl"/>
        </w:rPr>
        <w:t xml:space="preserve">, </w:t>
      </w:r>
      <w:r w:rsidRPr="007559D3">
        <w:rPr>
          <w:rFonts w:ascii="Verdana" w:eastAsia="Calibri" w:hAnsi="Verdana" w:cs="Arial"/>
          <w:bCs/>
          <w:sz w:val="20"/>
          <w:szCs w:val="20"/>
          <w:lang w:val="es-ES_tradnl"/>
        </w:rPr>
        <w:t>el artículo 7 de la ley 80 de 1993</w:t>
      </w:r>
      <w:r w:rsidR="00DF2014" w:rsidRPr="007559D3">
        <w:rPr>
          <w:rFonts w:ascii="Verdana" w:eastAsia="Calibri" w:hAnsi="Verdana" w:cs="Arial"/>
          <w:bCs/>
          <w:sz w:val="20"/>
          <w:szCs w:val="20"/>
          <w:lang w:val="es-ES_tradnl"/>
        </w:rPr>
        <w:t xml:space="preserve"> </w:t>
      </w:r>
      <w:r w:rsidR="004A77AA" w:rsidRPr="007559D3">
        <w:rPr>
          <w:rFonts w:ascii="Verdana" w:eastAsia="Calibri" w:hAnsi="Verdana" w:cs="Arial"/>
          <w:bCs/>
          <w:sz w:val="20"/>
          <w:szCs w:val="20"/>
          <w:lang w:val="es-ES_tradnl"/>
        </w:rPr>
        <w:t xml:space="preserve">fue </w:t>
      </w:r>
      <w:r w:rsidR="00DF2014" w:rsidRPr="007559D3">
        <w:rPr>
          <w:rFonts w:ascii="Verdana" w:eastAsia="Calibri" w:hAnsi="Verdana" w:cs="Arial"/>
          <w:bCs/>
          <w:sz w:val="20"/>
          <w:szCs w:val="20"/>
          <w:lang w:val="es-ES_tradnl"/>
        </w:rPr>
        <w:t>modificado por el artículo 354 la Ley 2294 de 2023, “Por el cual se expide el Plan Nacional de Desarrollo 2022-2026 "Colombia Potencia Mundial de la Vida”, estableciendo una nueva definición para “Asociaciones de autoridades tradicionales indígenas”, denominándola ahora “Asociaciones de cabildos indígenas y/o autoridades tradicionales indígenas” y adicionó como entidad para contratar al “Consejo Indígena</w:t>
      </w:r>
      <w:r w:rsidRPr="007559D3">
        <w:rPr>
          <w:rFonts w:ascii="Verdana" w:eastAsia="Calibri" w:hAnsi="Verdana" w:cs="Arial"/>
          <w:bCs/>
          <w:sz w:val="20"/>
          <w:szCs w:val="20"/>
          <w:lang w:val="es-ES_tradnl"/>
        </w:rPr>
        <w:t>.</w:t>
      </w:r>
    </w:p>
    <w:p w14:paraId="7B74416E" w14:textId="77777777" w:rsidR="003C7AAE" w:rsidRPr="007559D3" w:rsidRDefault="003C7AAE" w:rsidP="00485406">
      <w:pPr>
        <w:spacing w:after="0" w:line="240" w:lineRule="auto"/>
        <w:jc w:val="both"/>
        <w:rPr>
          <w:rFonts w:ascii="Verdana" w:eastAsia="Calibri" w:hAnsi="Verdana" w:cs="Arial"/>
          <w:bCs/>
          <w:sz w:val="20"/>
          <w:szCs w:val="20"/>
          <w:lang w:val="es-ES_tradnl"/>
        </w:rPr>
      </w:pPr>
    </w:p>
    <w:p w14:paraId="16FC4C01" w14:textId="502E8E7B" w:rsidR="003C7AAE" w:rsidRPr="007559D3" w:rsidRDefault="003C7AAE" w:rsidP="00485406">
      <w:pPr>
        <w:spacing w:after="0" w:line="240" w:lineRule="auto"/>
        <w:jc w:val="both"/>
        <w:rPr>
          <w:rFonts w:ascii="Verdana" w:eastAsia="Calibri" w:hAnsi="Verdana" w:cs="Arial"/>
          <w:bCs/>
          <w:sz w:val="20"/>
          <w:szCs w:val="20"/>
          <w:lang w:val="es-ES_tradnl"/>
        </w:rPr>
      </w:pPr>
      <w:r w:rsidRPr="007559D3">
        <w:rPr>
          <w:rFonts w:ascii="Verdana" w:eastAsia="Calibri" w:hAnsi="Verdana" w:cs="Arial"/>
          <w:bCs/>
          <w:sz w:val="20"/>
          <w:szCs w:val="20"/>
          <w:lang w:val="es-ES_tradnl"/>
        </w:rPr>
        <w:t xml:space="preserve">Por su parte, el artículo 353 de la Ley 2294 de 2023, modificó las causales de contratación directa previstas en la Ley 1150 de 2007, en su literal l) del numeral 4 del </w:t>
      </w:r>
      <w:r w:rsidRPr="007559D3">
        <w:rPr>
          <w:rFonts w:ascii="Verdana" w:eastAsia="Calibri" w:hAnsi="Verdana" w:cs="Arial"/>
          <w:bCs/>
          <w:sz w:val="20"/>
          <w:szCs w:val="20"/>
          <w:lang w:val="es-ES_tradnl"/>
        </w:rPr>
        <w:lastRenderedPageBreak/>
        <w:t>artículo 2, en virtud de las cuales las Entidades Estatales suscriben contratos y convenios con Cabildos indígenas, y demás autoridades tradicionales y organizaciones indígenas</w:t>
      </w:r>
      <w:r w:rsidR="00F852E0" w:rsidRPr="007559D3">
        <w:rPr>
          <w:rFonts w:ascii="Verdana" w:eastAsia="Calibri" w:hAnsi="Verdana" w:cs="Arial"/>
          <w:bCs/>
          <w:sz w:val="20"/>
          <w:szCs w:val="20"/>
          <w:lang w:val="es-ES_tradnl"/>
        </w:rPr>
        <w:t xml:space="preserve">, de la siguiente forma: </w:t>
      </w:r>
      <w:r w:rsidR="0080127D" w:rsidRPr="007559D3">
        <w:rPr>
          <w:rFonts w:ascii="Verdana" w:eastAsia="Calibri" w:hAnsi="Verdana" w:cs="Arial"/>
          <w:bCs/>
          <w:sz w:val="20"/>
          <w:szCs w:val="20"/>
          <w:lang w:val="es-ES_tradnl"/>
        </w:rPr>
        <w:t>Los contratos o convenios que las entidades estatales suscriban con los Cabildos Indígenas, las asociaciones de Cabildos Indígenas y/o Autoridades Tradicionales Indígenas, Consejos Indígenas y Organizaciones Indígenas con capacidad para contratar cuyo objeto esté relacionado con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En el marco de dichos objetos se contemplará la ejecución de obras públicas que impliquen actividades de mantenimiento y/o mejoramiento de infraestructura social y de transporte, así como suministrar bienes y/o servicios para los que se acredite idoneidad, la cual deberá ser valorada teniendo en cuenta un enfoque diferencial. […]”</w:t>
      </w:r>
    </w:p>
    <w:p w14:paraId="5587DB8F" w14:textId="77777777" w:rsidR="00992F4C" w:rsidRPr="007559D3" w:rsidRDefault="00992F4C" w:rsidP="00485406">
      <w:pPr>
        <w:spacing w:after="0" w:line="240" w:lineRule="auto"/>
        <w:jc w:val="both"/>
        <w:rPr>
          <w:rFonts w:ascii="Verdana" w:eastAsia="Calibri" w:hAnsi="Verdana" w:cs="Arial"/>
          <w:bCs/>
          <w:sz w:val="20"/>
          <w:szCs w:val="20"/>
          <w:highlight w:val="cyan"/>
          <w:lang w:val="es-ES_tradnl"/>
        </w:rPr>
      </w:pPr>
    </w:p>
    <w:p w14:paraId="0B44DB78" w14:textId="77777777" w:rsidR="00802DE3" w:rsidRPr="007559D3" w:rsidRDefault="00802DE3" w:rsidP="00C15139">
      <w:pPr>
        <w:spacing w:after="0"/>
        <w:rPr>
          <w:rFonts w:ascii="Verdana" w:hAnsi="Verdana"/>
        </w:rPr>
      </w:pPr>
    </w:p>
    <w:p w14:paraId="2073E6BC" w14:textId="77777777" w:rsidR="008E2C74" w:rsidRPr="007559D3" w:rsidRDefault="008E2C74" w:rsidP="00C15139">
      <w:pPr>
        <w:spacing w:after="0"/>
        <w:rPr>
          <w:rFonts w:ascii="Verdana" w:hAnsi="Verdana"/>
        </w:rPr>
      </w:pPr>
    </w:p>
    <w:p w14:paraId="310284A9" w14:textId="77777777" w:rsidR="00485406" w:rsidRPr="007559D3" w:rsidRDefault="00485406" w:rsidP="00C15139">
      <w:pPr>
        <w:spacing w:after="0"/>
        <w:rPr>
          <w:rFonts w:ascii="Verdana" w:hAnsi="Verdana"/>
        </w:rPr>
      </w:pPr>
    </w:p>
    <w:p w14:paraId="713E7870" w14:textId="77777777" w:rsidR="00485406" w:rsidRPr="007559D3" w:rsidRDefault="00485406" w:rsidP="00C15139">
      <w:pPr>
        <w:spacing w:after="0"/>
        <w:rPr>
          <w:rFonts w:ascii="Verdana" w:hAnsi="Verdana"/>
        </w:rPr>
      </w:pPr>
    </w:p>
    <w:p w14:paraId="6E863CE7" w14:textId="77777777" w:rsidR="00485406" w:rsidRPr="007559D3" w:rsidRDefault="00485406" w:rsidP="00C15139">
      <w:pPr>
        <w:spacing w:after="0"/>
        <w:rPr>
          <w:rFonts w:ascii="Verdana" w:hAnsi="Verdana"/>
        </w:rPr>
      </w:pPr>
    </w:p>
    <w:p w14:paraId="249680E1" w14:textId="77777777" w:rsidR="00485406" w:rsidRPr="007559D3" w:rsidRDefault="00485406" w:rsidP="00C15139">
      <w:pPr>
        <w:spacing w:after="0"/>
        <w:rPr>
          <w:rFonts w:ascii="Verdana" w:hAnsi="Verdana"/>
        </w:rPr>
      </w:pPr>
    </w:p>
    <w:p w14:paraId="66CAED1E" w14:textId="77777777" w:rsidR="00485406" w:rsidRPr="007559D3" w:rsidRDefault="00485406" w:rsidP="00C15139">
      <w:pPr>
        <w:spacing w:after="0"/>
        <w:rPr>
          <w:rFonts w:ascii="Verdana" w:hAnsi="Verdana"/>
        </w:rPr>
      </w:pPr>
    </w:p>
    <w:p w14:paraId="60683B60" w14:textId="77777777" w:rsidR="004A77AA" w:rsidRPr="007559D3" w:rsidRDefault="004A77AA" w:rsidP="00C15139">
      <w:pPr>
        <w:spacing w:after="0"/>
        <w:rPr>
          <w:rFonts w:ascii="Verdana" w:hAnsi="Verdana"/>
        </w:rPr>
      </w:pPr>
    </w:p>
    <w:p w14:paraId="04C5D206" w14:textId="77777777" w:rsidR="00511E99" w:rsidRPr="007559D3" w:rsidRDefault="00511E99" w:rsidP="00C15139">
      <w:pPr>
        <w:spacing w:after="0"/>
        <w:rPr>
          <w:rFonts w:ascii="Verdana" w:hAnsi="Verdana"/>
        </w:rPr>
      </w:pPr>
    </w:p>
    <w:p w14:paraId="6FEE75C2" w14:textId="77777777" w:rsidR="00511E99" w:rsidRPr="007559D3" w:rsidRDefault="00511E99" w:rsidP="00C15139">
      <w:pPr>
        <w:spacing w:after="0"/>
        <w:rPr>
          <w:rFonts w:ascii="Verdana" w:hAnsi="Verdana"/>
        </w:rPr>
      </w:pPr>
    </w:p>
    <w:p w14:paraId="6E944FF6" w14:textId="77777777" w:rsidR="00511E99" w:rsidRPr="007559D3" w:rsidRDefault="00511E99" w:rsidP="00C15139">
      <w:pPr>
        <w:spacing w:after="0"/>
        <w:rPr>
          <w:rFonts w:ascii="Verdana" w:hAnsi="Verdana"/>
        </w:rPr>
      </w:pPr>
    </w:p>
    <w:p w14:paraId="2496A594" w14:textId="77777777" w:rsidR="00511E99" w:rsidRPr="007559D3" w:rsidRDefault="00511E99" w:rsidP="00C15139">
      <w:pPr>
        <w:spacing w:after="0"/>
        <w:rPr>
          <w:rFonts w:ascii="Verdana" w:hAnsi="Verdana"/>
        </w:rPr>
      </w:pPr>
    </w:p>
    <w:p w14:paraId="34BE5DFA" w14:textId="77777777" w:rsidR="00511E99" w:rsidRPr="007559D3" w:rsidRDefault="00511E99" w:rsidP="00C15139">
      <w:pPr>
        <w:spacing w:after="0"/>
        <w:rPr>
          <w:rFonts w:ascii="Verdana" w:hAnsi="Verdana"/>
        </w:rPr>
      </w:pPr>
    </w:p>
    <w:p w14:paraId="490335DF" w14:textId="77777777" w:rsidR="00511E99" w:rsidRPr="007559D3" w:rsidRDefault="00511E99" w:rsidP="00C15139">
      <w:pPr>
        <w:spacing w:after="0"/>
        <w:rPr>
          <w:rFonts w:ascii="Verdana" w:hAnsi="Verdana"/>
        </w:rPr>
      </w:pPr>
    </w:p>
    <w:p w14:paraId="1635684F" w14:textId="77777777" w:rsidR="00511E99" w:rsidRPr="007559D3" w:rsidRDefault="00511E99" w:rsidP="00C15139">
      <w:pPr>
        <w:spacing w:after="0"/>
        <w:rPr>
          <w:rFonts w:ascii="Verdana" w:hAnsi="Verdana"/>
        </w:rPr>
      </w:pPr>
    </w:p>
    <w:p w14:paraId="0F4FA195" w14:textId="77777777" w:rsidR="00511E99" w:rsidRPr="007559D3" w:rsidRDefault="00511E99" w:rsidP="00C15139">
      <w:pPr>
        <w:spacing w:after="0"/>
        <w:rPr>
          <w:rFonts w:ascii="Verdana" w:hAnsi="Verdana"/>
        </w:rPr>
      </w:pPr>
    </w:p>
    <w:p w14:paraId="167B34CE" w14:textId="77777777" w:rsidR="00511E99" w:rsidRPr="007559D3" w:rsidRDefault="00511E99" w:rsidP="00C15139">
      <w:pPr>
        <w:spacing w:after="0"/>
        <w:rPr>
          <w:rFonts w:ascii="Verdana" w:hAnsi="Verdana"/>
        </w:rPr>
      </w:pPr>
    </w:p>
    <w:p w14:paraId="5B5C59DA" w14:textId="77777777" w:rsidR="00511E99" w:rsidRPr="007559D3" w:rsidRDefault="00511E99" w:rsidP="00C15139">
      <w:pPr>
        <w:spacing w:after="0"/>
        <w:rPr>
          <w:rFonts w:ascii="Verdana" w:hAnsi="Verdana"/>
        </w:rPr>
      </w:pPr>
    </w:p>
    <w:p w14:paraId="0E4CC8C5" w14:textId="77777777" w:rsidR="00511E99" w:rsidRPr="007559D3" w:rsidRDefault="00511E99" w:rsidP="00C15139">
      <w:pPr>
        <w:spacing w:after="0"/>
        <w:rPr>
          <w:rFonts w:ascii="Verdana" w:hAnsi="Verdana"/>
        </w:rPr>
      </w:pPr>
    </w:p>
    <w:p w14:paraId="611F70E8" w14:textId="77777777" w:rsidR="00511E99" w:rsidRPr="007559D3" w:rsidRDefault="00511E99" w:rsidP="00C15139">
      <w:pPr>
        <w:spacing w:after="0"/>
        <w:rPr>
          <w:rFonts w:ascii="Verdana" w:hAnsi="Verdana"/>
        </w:rPr>
      </w:pPr>
    </w:p>
    <w:p w14:paraId="182EAF00" w14:textId="77777777" w:rsidR="00511E99" w:rsidRPr="007559D3" w:rsidRDefault="00511E99" w:rsidP="00C15139">
      <w:pPr>
        <w:spacing w:after="0"/>
        <w:rPr>
          <w:rFonts w:ascii="Verdana" w:hAnsi="Verdana"/>
        </w:rPr>
      </w:pPr>
    </w:p>
    <w:p w14:paraId="55878F3C" w14:textId="77777777" w:rsidR="00511E99" w:rsidRPr="007559D3" w:rsidRDefault="00511E99" w:rsidP="00C15139">
      <w:pPr>
        <w:spacing w:after="0"/>
        <w:rPr>
          <w:rFonts w:ascii="Verdana" w:hAnsi="Verdana"/>
        </w:rPr>
      </w:pPr>
    </w:p>
    <w:p w14:paraId="1D0660A1" w14:textId="77777777" w:rsidR="00511E99" w:rsidRPr="007559D3" w:rsidRDefault="00511E99" w:rsidP="00C15139">
      <w:pPr>
        <w:spacing w:after="0"/>
        <w:rPr>
          <w:rFonts w:ascii="Verdana" w:hAnsi="Verdana"/>
        </w:rPr>
      </w:pPr>
    </w:p>
    <w:p w14:paraId="12382931" w14:textId="77777777" w:rsidR="00511E99" w:rsidRPr="007559D3" w:rsidRDefault="00511E99" w:rsidP="00C15139">
      <w:pPr>
        <w:spacing w:after="0"/>
        <w:rPr>
          <w:rFonts w:ascii="Verdana" w:hAnsi="Verdana"/>
        </w:rPr>
      </w:pPr>
    </w:p>
    <w:p w14:paraId="48F3C7B8" w14:textId="77777777" w:rsidR="00511E99" w:rsidRPr="007559D3" w:rsidRDefault="00511E99" w:rsidP="00C15139">
      <w:pPr>
        <w:spacing w:after="0"/>
        <w:rPr>
          <w:rFonts w:ascii="Verdana" w:hAnsi="Verdana"/>
        </w:rPr>
      </w:pPr>
    </w:p>
    <w:p w14:paraId="2C441E66" w14:textId="77777777" w:rsidR="00E31963" w:rsidRPr="007559D3" w:rsidRDefault="00E31963" w:rsidP="00C15139">
      <w:pPr>
        <w:spacing w:after="0"/>
        <w:rPr>
          <w:rFonts w:ascii="Verdana" w:hAnsi="Verdana"/>
        </w:rPr>
      </w:pPr>
    </w:p>
    <w:p w14:paraId="1468C46D" w14:textId="0A195E2E" w:rsidR="00C15139" w:rsidRDefault="00C15139" w:rsidP="00C15139">
      <w:pPr>
        <w:spacing w:after="0"/>
        <w:rPr>
          <w:rFonts w:ascii="Verdana" w:hAnsi="Verdana"/>
        </w:rPr>
      </w:pPr>
      <w:r w:rsidRPr="007559D3">
        <w:rPr>
          <w:rFonts w:ascii="Verdana" w:hAnsi="Verdana"/>
        </w:rPr>
        <w:lastRenderedPageBreak/>
        <w:t xml:space="preserve">Bogotá D.C., </w:t>
      </w:r>
      <w:r w:rsidR="002131DB">
        <w:rPr>
          <w:rFonts w:ascii="Verdana" w:hAnsi="Verdana"/>
        </w:rPr>
        <w:t>24 de diciembre del 2025</w:t>
      </w:r>
      <w:r w:rsidRPr="007559D3">
        <w:rPr>
          <w:rFonts w:ascii="Verdana" w:hAnsi="Verdana"/>
        </w:rPr>
        <w:tab/>
      </w:r>
      <w:r w:rsidRPr="007559D3">
        <w:rPr>
          <w:rFonts w:ascii="Verdana" w:hAnsi="Verdana"/>
        </w:rPr>
        <w:br/>
      </w:r>
    </w:p>
    <w:p w14:paraId="226113A2" w14:textId="06B80B4B" w:rsidR="009E01ED" w:rsidRPr="007559D3" w:rsidRDefault="009E01ED" w:rsidP="009E01ED">
      <w:pPr>
        <w:spacing w:after="0"/>
        <w:jc w:val="right"/>
        <w:rPr>
          <w:rFonts w:ascii="Verdana" w:hAnsi="Verdana"/>
        </w:rPr>
      </w:pPr>
      <w:r w:rsidRPr="009E01ED">
        <w:rPr>
          <w:rFonts w:ascii="Verdana" w:hAnsi="Verdana"/>
          <w:noProof/>
        </w:rPr>
        <w:drawing>
          <wp:inline distT="0" distB="0" distL="0" distR="0" wp14:anchorId="5D95EF7F" wp14:editId="2ABC665A">
            <wp:extent cx="2856865" cy="866775"/>
            <wp:effectExtent l="0" t="0" r="635" b="9525"/>
            <wp:docPr id="148783170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831707" name="Imagen 1" descr="Texto&#10;&#10;El contenido generado por IA puede ser incorrecto."/>
                    <pic:cNvPicPr/>
                  </pic:nvPicPr>
                  <pic:blipFill>
                    <a:blip r:embed="rId10"/>
                    <a:stretch>
                      <a:fillRect/>
                    </a:stretch>
                  </pic:blipFill>
                  <pic:spPr>
                    <a:xfrm>
                      <a:off x="0" y="0"/>
                      <a:ext cx="2861437" cy="868162"/>
                    </a:xfrm>
                    <a:prstGeom prst="rect">
                      <a:avLst/>
                    </a:prstGeom>
                  </pic:spPr>
                </pic:pic>
              </a:graphicData>
            </a:graphic>
          </wp:inline>
        </w:drawing>
      </w:r>
    </w:p>
    <w:p w14:paraId="12443EE0" w14:textId="77777777" w:rsidR="00C15139" w:rsidRPr="007559D3" w:rsidRDefault="00C15139" w:rsidP="00C15139">
      <w:pPr>
        <w:spacing w:after="0"/>
        <w:rPr>
          <w:rFonts w:ascii="Verdana" w:hAnsi="Verdana"/>
        </w:rPr>
      </w:pPr>
    </w:p>
    <w:bookmarkEnd w:id="0"/>
    <w:p w14:paraId="0352F7B3" w14:textId="6CA84F8B" w:rsidR="00230724" w:rsidRPr="007559D3" w:rsidRDefault="00230724" w:rsidP="00230724">
      <w:pPr>
        <w:spacing w:after="0"/>
        <w:rPr>
          <w:rFonts w:ascii="Verdana" w:hAnsi="Verdana"/>
        </w:rPr>
      </w:pPr>
      <w:r w:rsidRPr="007559D3">
        <w:rPr>
          <w:rFonts w:ascii="Verdana" w:eastAsia="Calibri" w:hAnsi="Verdana" w:cs="Arial"/>
          <w:color w:val="000000" w:themeColor="text1"/>
          <w:lang w:val="es-ES" w:eastAsia="es-ES"/>
        </w:rPr>
        <w:t>Señor:</w:t>
      </w:r>
    </w:p>
    <w:p w14:paraId="20F542C7" w14:textId="724648B2" w:rsidR="00230724" w:rsidRPr="007559D3" w:rsidRDefault="00CA7D7E" w:rsidP="00230724">
      <w:pPr>
        <w:spacing w:after="0" w:line="240" w:lineRule="auto"/>
        <w:jc w:val="both"/>
        <w:rPr>
          <w:rFonts w:ascii="Verdana" w:eastAsia="Calibri" w:hAnsi="Verdana" w:cs="Arial"/>
          <w:b/>
          <w:bCs/>
          <w:color w:val="000000" w:themeColor="text1"/>
          <w:lang w:eastAsia="es-ES"/>
        </w:rPr>
      </w:pPr>
      <w:r w:rsidRPr="007559D3">
        <w:rPr>
          <w:rFonts w:ascii="Verdana" w:eastAsia="Calibri" w:hAnsi="Verdana" w:cs="Arial"/>
          <w:b/>
          <w:bCs/>
          <w:color w:val="000000" w:themeColor="text1"/>
          <w:lang w:eastAsia="es-ES"/>
        </w:rPr>
        <w:t>Custodio Valbuena Gou</w:t>
      </w:r>
      <w:r w:rsidR="00392234" w:rsidRPr="007559D3">
        <w:rPr>
          <w:rFonts w:ascii="Verdana" w:eastAsia="Calibri" w:hAnsi="Verdana" w:cs="Arial"/>
          <w:b/>
          <w:bCs/>
          <w:color w:val="000000" w:themeColor="text1"/>
          <w:lang w:eastAsia="es-ES"/>
        </w:rPr>
        <w:t>riyu</w:t>
      </w:r>
    </w:p>
    <w:p w14:paraId="6E6083B8" w14:textId="02FAB8AA" w:rsidR="00F03C44" w:rsidRPr="007559D3" w:rsidRDefault="00F03C44" w:rsidP="00230724">
      <w:pPr>
        <w:spacing w:after="0" w:line="240" w:lineRule="auto"/>
        <w:rPr>
          <w:rFonts w:ascii="Verdana" w:hAnsi="Verdana"/>
        </w:rPr>
      </w:pPr>
      <w:hyperlink r:id="rId11" w:history="1">
        <w:r w:rsidRPr="007559D3">
          <w:rPr>
            <w:rStyle w:val="Hipervnculo"/>
            <w:rFonts w:ascii="Verdana" w:hAnsi="Verdana"/>
          </w:rPr>
          <w:t>wayuuzonanorteextrema@gmail.com</w:t>
        </w:r>
      </w:hyperlink>
    </w:p>
    <w:p w14:paraId="7EAD574D" w14:textId="5D465610" w:rsidR="00230724" w:rsidRPr="007559D3" w:rsidRDefault="00392234" w:rsidP="00230724">
      <w:pPr>
        <w:spacing w:after="0" w:line="240" w:lineRule="auto"/>
        <w:rPr>
          <w:rFonts w:ascii="Verdana" w:eastAsia="Calibri" w:hAnsi="Verdana" w:cs="Arial"/>
          <w:b/>
          <w:bCs/>
          <w:color w:val="000000" w:themeColor="text1"/>
          <w:lang w:val="es-ES_tradnl" w:eastAsia="es-ES"/>
        </w:rPr>
      </w:pPr>
      <w:r w:rsidRPr="007559D3">
        <w:rPr>
          <w:rFonts w:ascii="Verdana" w:eastAsia="Calibri" w:hAnsi="Verdana" w:cs="Arial"/>
          <w:color w:val="000000" w:themeColor="text1"/>
          <w:lang w:val="es-ES_tradnl" w:eastAsia="es-ES"/>
        </w:rPr>
        <w:t xml:space="preserve">Zona Norte Extrema de la Alta Guajira </w:t>
      </w:r>
      <w:r w:rsidR="00230724" w:rsidRPr="007559D3">
        <w:rPr>
          <w:rFonts w:ascii="Verdana" w:eastAsia="Calibri" w:hAnsi="Verdana" w:cs="Arial"/>
          <w:color w:val="000000" w:themeColor="text1"/>
          <w:lang w:val="es-ES_tradnl" w:eastAsia="es-ES"/>
        </w:rPr>
        <w:t xml:space="preserve"> </w:t>
      </w:r>
    </w:p>
    <w:p w14:paraId="5AFB16F0" w14:textId="77777777" w:rsidR="00230724" w:rsidRPr="007559D3" w:rsidRDefault="00230724" w:rsidP="00230724">
      <w:pPr>
        <w:spacing w:after="0" w:line="240" w:lineRule="auto"/>
        <w:rPr>
          <w:rFonts w:ascii="Verdana" w:eastAsia="Calibri" w:hAnsi="Verdana" w:cs="Arial"/>
          <w:b/>
          <w:bCs/>
          <w:color w:val="000000" w:themeColor="text1"/>
          <w:highlight w:val="cyan"/>
          <w:lang w:val="es-ES_tradnl" w:eastAsia="es-ES_tradnl"/>
        </w:rPr>
      </w:pPr>
    </w:p>
    <w:p w14:paraId="65E522FC" w14:textId="77777777" w:rsidR="009B4F56" w:rsidRPr="007559D3" w:rsidRDefault="009B4F56" w:rsidP="00230724">
      <w:pPr>
        <w:spacing w:after="0" w:line="240" w:lineRule="auto"/>
        <w:rPr>
          <w:rFonts w:ascii="Verdana" w:eastAsia="Calibri" w:hAnsi="Verdana" w:cs="Arial"/>
          <w:b/>
          <w:bCs/>
          <w:color w:val="000000" w:themeColor="text1"/>
          <w:highlight w:val="cyan"/>
          <w:lang w:val="es-ES_tradnl" w:eastAsia="es-ES_tradnl"/>
        </w:rPr>
      </w:pPr>
    </w:p>
    <w:p w14:paraId="6DABD9AA" w14:textId="3C4E9645" w:rsidR="00230724" w:rsidRPr="007559D3" w:rsidRDefault="00230724" w:rsidP="00230724">
      <w:pPr>
        <w:spacing w:after="0" w:line="240" w:lineRule="auto"/>
        <w:rPr>
          <w:rFonts w:ascii="Verdana" w:eastAsia="Calibri" w:hAnsi="Verdana" w:cs="Arial"/>
          <w:b/>
          <w:bCs/>
          <w:color w:val="000000" w:themeColor="text1"/>
          <w:lang w:val="es-ES_tradnl" w:eastAsia="es-ES_tradnl"/>
        </w:rPr>
      </w:pPr>
      <w:r w:rsidRPr="007559D3">
        <w:rPr>
          <w:rFonts w:ascii="Verdana" w:eastAsia="Calibri" w:hAnsi="Verdana" w:cs="Arial"/>
          <w:b/>
          <w:bCs/>
          <w:color w:val="000000" w:themeColor="text1"/>
          <w:lang w:val="es-ES_tradnl" w:eastAsia="es-ES_tradnl"/>
        </w:rPr>
        <w:t xml:space="preserve">                                   Concepto </w:t>
      </w:r>
      <w:r w:rsidR="00F859AA" w:rsidRPr="007559D3">
        <w:rPr>
          <w:rFonts w:ascii="Verdana" w:eastAsia="Calibri" w:hAnsi="Verdana" w:cs="Arial"/>
          <w:b/>
          <w:bCs/>
          <w:color w:val="000000" w:themeColor="text1"/>
          <w:lang w:val="es-ES_tradnl" w:eastAsia="es-ES_tradnl"/>
        </w:rPr>
        <w:t xml:space="preserve">C-1565 </w:t>
      </w:r>
      <w:r w:rsidRPr="007559D3">
        <w:rPr>
          <w:rFonts w:ascii="Verdana" w:eastAsia="Calibri" w:hAnsi="Verdana" w:cs="Arial"/>
          <w:b/>
          <w:bCs/>
          <w:color w:val="000000" w:themeColor="text1"/>
          <w:lang w:val="es-ES_tradnl" w:eastAsia="es-ES_tradnl"/>
        </w:rPr>
        <w:t>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30724" w:rsidRPr="00E31963" w14:paraId="0DDA00D9" w14:textId="77777777" w:rsidTr="00D94860">
        <w:trPr>
          <w:gridAfter w:val="1"/>
          <w:wAfter w:w="6100" w:type="dxa"/>
          <w:trHeight w:val="133"/>
        </w:trPr>
        <w:tc>
          <w:tcPr>
            <w:tcW w:w="2689" w:type="dxa"/>
          </w:tcPr>
          <w:p w14:paraId="0AD3CB5D" w14:textId="77777777" w:rsidR="00230724" w:rsidRPr="007559D3" w:rsidRDefault="00230724" w:rsidP="00D94860">
            <w:pPr>
              <w:jc w:val="both"/>
              <w:rPr>
                <w:rFonts w:ascii="Verdana" w:eastAsia="Calibri" w:hAnsi="Verdana" w:cs="Arial"/>
                <w:b/>
                <w:bCs/>
                <w:color w:val="000000" w:themeColor="text1"/>
                <w:highlight w:val="cyan"/>
                <w:lang w:val="es-ES_tradnl" w:eastAsia="es-ES_tradnl"/>
              </w:rPr>
            </w:pPr>
          </w:p>
          <w:p w14:paraId="74CA3ED9" w14:textId="77777777" w:rsidR="009B4F56" w:rsidRPr="007559D3" w:rsidRDefault="009B4F56" w:rsidP="00D94860">
            <w:pPr>
              <w:jc w:val="both"/>
              <w:rPr>
                <w:rFonts w:ascii="Verdana" w:eastAsia="Calibri" w:hAnsi="Verdana" w:cs="Arial"/>
                <w:b/>
                <w:bCs/>
                <w:color w:val="000000" w:themeColor="text1"/>
                <w:highlight w:val="cyan"/>
                <w:lang w:val="es-ES_tradnl" w:eastAsia="es-ES_tradnl"/>
              </w:rPr>
            </w:pPr>
          </w:p>
        </w:tc>
      </w:tr>
      <w:tr w:rsidR="00230724" w:rsidRPr="00E31963" w14:paraId="654795CE" w14:textId="77777777" w:rsidTr="00D94860">
        <w:trPr>
          <w:trHeight w:val="884"/>
        </w:trPr>
        <w:tc>
          <w:tcPr>
            <w:tcW w:w="2689" w:type="dxa"/>
          </w:tcPr>
          <w:p w14:paraId="7F5F3B9A" w14:textId="77777777" w:rsidR="00230724" w:rsidRPr="007559D3" w:rsidRDefault="00230724" w:rsidP="00D94860">
            <w:pPr>
              <w:jc w:val="both"/>
              <w:rPr>
                <w:rFonts w:ascii="Verdana" w:eastAsia="Calibri" w:hAnsi="Verdana" w:cs="Arial"/>
                <w:color w:val="000000" w:themeColor="text1"/>
                <w:highlight w:val="cyan"/>
                <w:lang w:val="es-ES_tradnl" w:eastAsia="es-ES_tradnl"/>
              </w:rPr>
            </w:pPr>
            <w:r w:rsidRPr="007559D3">
              <w:rPr>
                <w:rFonts w:ascii="Verdana" w:eastAsia="Calibri" w:hAnsi="Verdana" w:cs="Arial"/>
                <w:b/>
                <w:color w:val="000000" w:themeColor="text1"/>
                <w:lang w:val="es-ES_tradnl" w:eastAsia="es-ES_tradnl"/>
              </w:rPr>
              <w:t>Temas:</w:t>
            </w:r>
            <w:r w:rsidRPr="007559D3">
              <w:rPr>
                <w:rFonts w:ascii="Verdana" w:eastAsia="Calibri" w:hAnsi="Verdana" w:cs="Arial"/>
                <w:color w:val="000000" w:themeColor="text1"/>
                <w:lang w:val="es-ES_tradnl" w:eastAsia="es-ES_tradnl"/>
              </w:rPr>
              <w:t xml:space="preserve">                   </w:t>
            </w:r>
          </w:p>
        </w:tc>
        <w:tc>
          <w:tcPr>
            <w:tcW w:w="6100" w:type="dxa"/>
          </w:tcPr>
          <w:p w14:paraId="434016A2" w14:textId="033D8AC6" w:rsidR="00230724" w:rsidRPr="007559D3" w:rsidRDefault="008E2C74" w:rsidP="00D94860">
            <w:pPr>
              <w:spacing w:line="276" w:lineRule="auto"/>
              <w:jc w:val="both"/>
              <w:rPr>
                <w:rFonts w:ascii="Verdana" w:hAnsi="Verdana" w:cs="Arial"/>
              </w:rPr>
            </w:pPr>
            <w:r w:rsidRPr="007559D3">
              <w:rPr>
                <w:rFonts w:ascii="Verdana" w:hAnsi="Verdana" w:cs="Arial"/>
                <w:lang w:val="es-ES"/>
              </w:rPr>
              <w:t xml:space="preserve">PUEBLOS INDÍGENAS – Convenio No. 169 de la OIT – Compromisos / </w:t>
            </w:r>
            <w:r w:rsidR="003C49AA" w:rsidRPr="007559D3">
              <w:rPr>
                <w:rFonts w:ascii="Verdana" w:hAnsi="Verdana" w:cs="Arial"/>
                <w:lang w:val="es-ES"/>
              </w:rPr>
              <w:t>RÉGIMEN DE CONTRATACIÓN – Territorios Indígenas – Artículo 2 de la Ley 80 de 1993</w:t>
            </w:r>
            <w:r w:rsidR="00485406" w:rsidRPr="007559D3">
              <w:rPr>
                <w:rFonts w:ascii="Verdana" w:hAnsi="Verdana" w:cs="Arial"/>
                <w:lang w:val="es-ES"/>
              </w:rPr>
              <w:t xml:space="preserve"> / CONTRATACIÓN DIRECTA – Aplicación restrictiva – Literal L, numeral 4, artículo 2 de la Ley 1150 de 2007</w:t>
            </w:r>
          </w:p>
          <w:p w14:paraId="2635493E" w14:textId="15B11438" w:rsidR="003C49AA" w:rsidRPr="007559D3" w:rsidRDefault="003C49AA" w:rsidP="00D94860">
            <w:pPr>
              <w:spacing w:line="276" w:lineRule="auto"/>
              <w:jc w:val="both"/>
              <w:rPr>
                <w:rFonts w:ascii="Verdana" w:hAnsi="Verdana" w:cs="Arial"/>
                <w:bCs/>
                <w:color w:val="000000" w:themeColor="text1"/>
                <w:highlight w:val="cyan"/>
                <w:lang w:val="es-ES_tradnl"/>
              </w:rPr>
            </w:pPr>
          </w:p>
        </w:tc>
      </w:tr>
      <w:tr w:rsidR="00230724" w:rsidRPr="00E31963" w14:paraId="2B07EC87" w14:textId="77777777" w:rsidTr="00D94860">
        <w:tc>
          <w:tcPr>
            <w:tcW w:w="2689" w:type="dxa"/>
          </w:tcPr>
          <w:p w14:paraId="064AE837" w14:textId="77777777" w:rsidR="00230724" w:rsidRPr="007559D3" w:rsidRDefault="00230724" w:rsidP="00D94860">
            <w:pPr>
              <w:jc w:val="both"/>
              <w:rPr>
                <w:rFonts w:ascii="Verdana" w:eastAsia="Calibri" w:hAnsi="Verdana" w:cs="Arial"/>
                <w:b/>
                <w:color w:val="000000" w:themeColor="text1"/>
                <w:lang w:val="es-ES_tradnl" w:eastAsia="es-ES_tradnl"/>
              </w:rPr>
            </w:pPr>
            <w:r w:rsidRPr="007559D3">
              <w:rPr>
                <w:rFonts w:ascii="Verdana" w:eastAsia="Calibri" w:hAnsi="Verdana" w:cs="Arial"/>
                <w:b/>
                <w:color w:val="000000" w:themeColor="text1"/>
                <w:lang w:val="es-ES_tradnl" w:eastAsia="es-ES_tradnl"/>
              </w:rPr>
              <w:t>Radicación:</w:t>
            </w:r>
            <w:r w:rsidRPr="007559D3">
              <w:rPr>
                <w:rFonts w:ascii="Verdana" w:eastAsia="Calibri" w:hAnsi="Verdana" w:cs="Arial"/>
                <w:color w:val="000000" w:themeColor="text1"/>
                <w:lang w:val="es-ES_tradnl" w:eastAsia="es-ES_tradnl"/>
              </w:rPr>
              <w:t xml:space="preserve">               </w:t>
            </w:r>
          </w:p>
        </w:tc>
        <w:tc>
          <w:tcPr>
            <w:tcW w:w="6100" w:type="dxa"/>
          </w:tcPr>
          <w:p w14:paraId="02BB3A6F" w14:textId="5379EEB5" w:rsidR="00230724" w:rsidRPr="007559D3" w:rsidRDefault="00230724" w:rsidP="00D94860">
            <w:pPr>
              <w:jc w:val="both"/>
              <w:rPr>
                <w:rFonts w:ascii="Verdana" w:eastAsia="Calibri" w:hAnsi="Verdana" w:cs="Arial"/>
                <w:color w:val="000000" w:themeColor="text1"/>
                <w:lang w:eastAsia="es-ES_tradnl"/>
              </w:rPr>
            </w:pPr>
            <w:r w:rsidRPr="007559D3">
              <w:rPr>
                <w:rFonts w:ascii="Verdana" w:eastAsia="Calibri" w:hAnsi="Verdana" w:cs="Arial"/>
                <w:color w:val="000000" w:themeColor="text1"/>
                <w:lang w:val="es-ES_tradnl" w:eastAsia="es-ES_tradnl"/>
              </w:rPr>
              <w:t>Respuesta a consulta con radicado No.</w:t>
            </w:r>
            <w:r w:rsidRPr="007559D3">
              <w:rPr>
                <w:rFonts w:ascii="Verdana" w:hAnsi="Verdana"/>
              </w:rPr>
              <w:t xml:space="preserve"> </w:t>
            </w:r>
            <w:r w:rsidR="00BF289E" w:rsidRPr="007559D3">
              <w:rPr>
                <w:rFonts w:ascii="Verdana" w:eastAsia="Calibri" w:hAnsi="Verdana" w:cs="Arial"/>
                <w:color w:val="000000" w:themeColor="text1"/>
                <w:lang w:eastAsia="es-ES_tradnl"/>
              </w:rPr>
              <w:t>1_2025_12_09_013779</w:t>
            </w:r>
          </w:p>
          <w:p w14:paraId="63BD6D7E" w14:textId="77777777" w:rsidR="00230724" w:rsidRPr="007559D3" w:rsidRDefault="00230724" w:rsidP="00D94860">
            <w:pPr>
              <w:jc w:val="both"/>
              <w:rPr>
                <w:rFonts w:ascii="Verdana" w:hAnsi="Verdana" w:cs="Arial"/>
              </w:rPr>
            </w:pPr>
          </w:p>
          <w:p w14:paraId="751E6B51" w14:textId="77777777" w:rsidR="00230724" w:rsidRPr="007559D3" w:rsidRDefault="00230724" w:rsidP="00D94860">
            <w:pPr>
              <w:jc w:val="both"/>
              <w:rPr>
                <w:rFonts w:ascii="Verdana" w:hAnsi="Verdana"/>
                <w:color w:val="000000"/>
              </w:rPr>
            </w:pPr>
          </w:p>
        </w:tc>
      </w:tr>
    </w:tbl>
    <w:p w14:paraId="6A09B24F" w14:textId="33B69AD6" w:rsidR="00230724" w:rsidRPr="007559D3" w:rsidRDefault="00230724" w:rsidP="00230724">
      <w:pPr>
        <w:spacing w:after="0" w:line="276" w:lineRule="auto"/>
        <w:jc w:val="both"/>
        <w:rPr>
          <w:rFonts w:ascii="Verdana" w:eastAsia="Calibri" w:hAnsi="Verdana" w:cs="Arial"/>
          <w:color w:val="000000" w:themeColor="text1"/>
          <w:lang w:val="es-ES" w:eastAsia="es-ES"/>
        </w:rPr>
      </w:pPr>
      <w:r w:rsidRPr="007559D3">
        <w:rPr>
          <w:rFonts w:ascii="Verdana" w:eastAsia="Calibri" w:hAnsi="Verdana" w:cs="Arial"/>
          <w:color w:val="000000" w:themeColor="text1"/>
          <w:lang w:val="es-ES" w:eastAsia="es-ES"/>
        </w:rPr>
        <w:t>Estimad</w:t>
      </w:r>
      <w:r w:rsidR="00F03C44" w:rsidRPr="007559D3">
        <w:rPr>
          <w:rFonts w:ascii="Verdana" w:eastAsia="Calibri" w:hAnsi="Verdana" w:cs="Arial"/>
          <w:color w:val="000000" w:themeColor="text1"/>
          <w:lang w:val="es-ES" w:eastAsia="es-ES"/>
        </w:rPr>
        <w:t>o</w:t>
      </w:r>
      <w:r w:rsidRPr="007559D3">
        <w:rPr>
          <w:rFonts w:ascii="Verdana" w:eastAsia="Calibri" w:hAnsi="Verdana" w:cs="Arial"/>
          <w:color w:val="000000" w:themeColor="text1"/>
          <w:lang w:val="es-ES" w:eastAsia="es-ES"/>
        </w:rPr>
        <w:t xml:space="preserve"> </w:t>
      </w:r>
      <w:r w:rsidR="00244079" w:rsidRPr="007559D3">
        <w:rPr>
          <w:rFonts w:ascii="Verdana" w:eastAsia="Calibri" w:hAnsi="Verdana" w:cs="Arial"/>
          <w:color w:val="000000" w:themeColor="text1"/>
          <w:lang w:val="es-ES" w:eastAsia="es-ES"/>
        </w:rPr>
        <w:t>S</w:t>
      </w:r>
      <w:r w:rsidRPr="007559D3">
        <w:rPr>
          <w:rFonts w:ascii="Verdana" w:eastAsia="Calibri" w:hAnsi="Verdana" w:cs="Arial"/>
          <w:color w:val="000000" w:themeColor="text1"/>
          <w:lang w:val="es-ES" w:eastAsia="es-ES"/>
        </w:rPr>
        <w:t xml:space="preserve">eñor </w:t>
      </w:r>
      <w:r w:rsidR="00F03C44" w:rsidRPr="007559D3">
        <w:rPr>
          <w:rFonts w:ascii="Verdana" w:eastAsia="Calibri" w:hAnsi="Verdana" w:cs="Arial"/>
          <w:color w:val="000000" w:themeColor="text1"/>
          <w:lang w:val="es-ES" w:eastAsia="es-ES"/>
        </w:rPr>
        <w:t>Valbuena</w:t>
      </w:r>
      <w:r w:rsidRPr="007559D3">
        <w:rPr>
          <w:rFonts w:ascii="Verdana" w:eastAsia="Calibri" w:hAnsi="Verdana" w:cs="Arial"/>
          <w:color w:val="000000" w:themeColor="text1"/>
          <w:lang w:val="es-ES" w:eastAsia="es-ES"/>
        </w:rPr>
        <w:t xml:space="preserve">: </w:t>
      </w:r>
    </w:p>
    <w:p w14:paraId="110A748B" w14:textId="77777777" w:rsidR="00230724" w:rsidRPr="007559D3" w:rsidRDefault="00230724" w:rsidP="00230724">
      <w:pPr>
        <w:spacing w:after="0"/>
        <w:rPr>
          <w:rFonts w:ascii="Verdana" w:eastAsia="Times New Roman" w:hAnsi="Verdana" w:cs="Segoe UI"/>
          <w:highlight w:val="cyan"/>
          <w:lang w:eastAsia="es-CO"/>
        </w:rPr>
      </w:pPr>
    </w:p>
    <w:p w14:paraId="5925A4ED" w14:textId="1D040E9C" w:rsidR="00230724" w:rsidRPr="007559D3" w:rsidRDefault="00230724" w:rsidP="00230724">
      <w:pPr>
        <w:spacing w:after="0" w:line="276" w:lineRule="auto"/>
        <w:jc w:val="both"/>
        <w:rPr>
          <w:rFonts w:ascii="Verdana" w:eastAsia="Calibri" w:hAnsi="Verdana" w:cs="Arial"/>
          <w:lang w:val="es-ES" w:eastAsia="es-ES"/>
        </w:rPr>
      </w:pPr>
      <w:r w:rsidRPr="007559D3">
        <w:rPr>
          <w:rFonts w:ascii="Verdana" w:eastAsia="Calibri" w:hAnsi="Verdana" w:cs="Arial"/>
          <w:lang w:val="es-ES" w:eastAsia="es-ES"/>
        </w:rPr>
        <w:t>En ejercicio de la competencia otorgada por los artículos 3, numeral 5º, y 11, numeral 8º, del Decreto Ley 4170 de 2011,</w:t>
      </w:r>
      <w:r w:rsidRPr="007559D3">
        <w:rPr>
          <w:rFonts w:ascii="Verdana" w:eastAsia="Arial MT" w:hAnsi="Verdana" w:cs="Arial"/>
          <w:lang w:val="es-ES" w:eastAsia="es-ES"/>
        </w:rPr>
        <w:t xml:space="preserve"> </w:t>
      </w:r>
      <w:r w:rsidRPr="007559D3">
        <w:rPr>
          <w:rFonts w:ascii="Verdana" w:hAnsi="Verdana" w:cs="Arial"/>
        </w:rPr>
        <w:t xml:space="preserve">así como lo establecido en el artículo 4 de la Resolución 1707 de 2018 expedida por esta Entidad, </w:t>
      </w:r>
      <w:r w:rsidRPr="007559D3">
        <w:rPr>
          <w:rFonts w:ascii="Verdana" w:eastAsia="Calibri" w:hAnsi="Verdana" w:cs="Arial"/>
          <w:lang w:val="es-ES" w:eastAsia="es-ES"/>
        </w:rPr>
        <w:t xml:space="preserve">la Agencia Nacional de Contratación Pública – Colombia Compra Eficiente– responde su solicitud del </w:t>
      </w:r>
      <w:r w:rsidR="00985356" w:rsidRPr="007559D3">
        <w:rPr>
          <w:rFonts w:ascii="Verdana" w:eastAsia="Calibri" w:hAnsi="Verdana" w:cs="Arial"/>
          <w:lang w:val="es-ES" w:eastAsia="es-ES"/>
        </w:rPr>
        <w:t>07 de diciembre del 2025</w:t>
      </w:r>
      <w:r w:rsidRPr="007559D3">
        <w:rPr>
          <w:rFonts w:ascii="Verdana" w:eastAsia="Calibri" w:hAnsi="Verdana" w:cs="Arial"/>
          <w:lang w:val="es-ES" w:eastAsia="es-ES"/>
        </w:rPr>
        <w:t xml:space="preserve">, en la cual manifiesta lo siguiente: </w:t>
      </w:r>
    </w:p>
    <w:p w14:paraId="14350D4A" w14:textId="77777777" w:rsidR="00230724" w:rsidRPr="007559D3" w:rsidRDefault="00230724" w:rsidP="00230724">
      <w:pPr>
        <w:spacing w:after="0" w:line="276" w:lineRule="auto"/>
        <w:jc w:val="both"/>
        <w:rPr>
          <w:rFonts w:ascii="Verdana" w:eastAsia="Calibri" w:hAnsi="Verdana" w:cs="Arial"/>
          <w:highlight w:val="cyan"/>
          <w:lang w:val="es-ES" w:eastAsia="es-ES"/>
        </w:rPr>
      </w:pPr>
    </w:p>
    <w:p w14:paraId="7D92A2EA" w14:textId="7D80D7A7" w:rsidR="001E6FBB" w:rsidRPr="007559D3" w:rsidRDefault="00230724" w:rsidP="008D4FDD">
      <w:pPr>
        <w:spacing w:after="0" w:line="240" w:lineRule="auto"/>
        <w:ind w:left="709" w:right="709"/>
        <w:jc w:val="both"/>
        <w:rPr>
          <w:rFonts w:ascii="Verdana" w:hAnsi="Verdana" w:cs="Arial"/>
          <w:sz w:val="20"/>
          <w:szCs w:val="20"/>
        </w:rPr>
      </w:pPr>
      <w:r w:rsidRPr="007559D3">
        <w:rPr>
          <w:rFonts w:ascii="Verdana" w:eastAsia="Century Gothic" w:hAnsi="Verdana" w:cs="Arial"/>
          <w:sz w:val="20"/>
          <w:szCs w:val="20"/>
          <w:lang w:val="es-ES"/>
        </w:rPr>
        <w:t>“[…]</w:t>
      </w:r>
      <w:r w:rsidR="008D4FDD" w:rsidRPr="007559D3">
        <w:rPr>
          <w:rFonts w:ascii="Verdana" w:eastAsia="Century Gothic" w:hAnsi="Verdana" w:cs="Arial"/>
          <w:sz w:val="20"/>
          <w:szCs w:val="20"/>
          <w:lang w:val="es-ES"/>
        </w:rPr>
        <w:t xml:space="preserve"> </w:t>
      </w:r>
      <w:r w:rsidR="008D4FDD" w:rsidRPr="007559D3">
        <w:rPr>
          <w:rFonts w:ascii="Verdana" w:hAnsi="Verdana" w:cs="Arial"/>
          <w:sz w:val="20"/>
          <w:szCs w:val="20"/>
        </w:rPr>
        <w:t>¿Cuál es el régimen de contratación aplicable a la ETI Wayuu Zona Norte Extrema de la Alta Guajira para la adquisición de bienes, servicios e infraestructura requeridos por el SAEP (ej. alimentación escolar, transporte, materiales didácticos bilingües, nómina de Dinamizadores)?</w:t>
      </w:r>
    </w:p>
    <w:p w14:paraId="52DE0A31" w14:textId="77777777" w:rsidR="001E6FBB" w:rsidRPr="007559D3" w:rsidRDefault="001E6FBB" w:rsidP="008D4FDD">
      <w:pPr>
        <w:spacing w:after="0" w:line="240" w:lineRule="auto"/>
        <w:ind w:left="709" w:right="709"/>
        <w:jc w:val="both"/>
        <w:rPr>
          <w:rFonts w:ascii="Verdana" w:hAnsi="Verdana" w:cs="Arial"/>
          <w:sz w:val="20"/>
          <w:szCs w:val="20"/>
        </w:rPr>
      </w:pPr>
    </w:p>
    <w:p w14:paraId="75146914" w14:textId="2B102D29" w:rsidR="001E6FBB" w:rsidRPr="007559D3" w:rsidRDefault="001E6FBB" w:rsidP="008D4FDD">
      <w:pPr>
        <w:spacing w:after="0" w:line="240" w:lineRule="auto"/>
        <w:ind w:left="709" w:right="709"/>
        <w:jc w:val="both"/>
        <w:rPr>
          <w:rFonts w:ascii="Verdana" w:hAnsi="Verdana" w:cs="Arial"/>
          <w:sz w:val="20"/>
          <w:szCs w:val="20"/>
        </w:rPr>
      </w:pPr>
      <w:r w:rsidRPr="007559D3">
        <w:rPr>
          <w:rFonts w:ascii="Verdana" w:hAnsi="Verdana" w:cs="Arial"/>
          <w:sz w:val="20"/>
          <w:szCs w:val="20"/>
        </w:rPr>
        <w:t xml:space="preserve">¿Dicho régimen debe ser el Estatuto General de Contratación de la Administración Pública (Ley 80 de 1993 y Ley 1150 de 2007), un Régimen Especial de Contratación Indígena, o el Régimen de Derecho Privado? </w:t>
      </w:r>
    </w:p>
    <w:p w14:paraId="26A15257" w14:textId="77777777" w:rsidR="001E6FBB" w:rsidRPr="007559D3" w:rsidRDefault="001E6FBB" w:rsidP="008D4FDD">
      <w:pPr>
        <w:spacing w:after="0" w:line="240" w:lineRule="auto"/>
        <w:ind w:left="709" w:right="709"/>
        <w:jc w:val="both"/>
        <w:rPr>
          <w:rFonts w:ascii="Verdana" w:hAnsi="Verdana" w:cs="Arial"/>
          <w:sz w:val="20"/>
          <w:szCs w:val="20"/>
        </w:rPr>
      </w:pPr>
    </w:p>
    <w:p w14:paraId="74D7CF4B" w14:textId="1C2CA489" w:rsidR="00230724" w:rsidRPr="007559D3" w:rsidRDefault="001E6FBB" w:rsidP="001E6FBB">
      <w:pPr>
        <w:spacing w:after="0" w:line="240" w:lineRule="auto"/>
        <w:ind w:left="709" w:right="709"/>
        <w:jc w:val="both"/>
        <w:rPr>
          <w:rFonts w:ascii="Verdana" w:hAnsi="Verdana" w:cs="Arial"/>
          <w:sz w:val="20"/>
          <w:szCs w:val="20"/>
        </w:rPr>
      </w:pPr>
      <w:r w:rsidRPr="007559D3">
        <w:rPr>
          <w:rFonts w:ascii="Verdana" w:hAnsi="Verdana" w:cs="Arial"/>
          <w:sz w:val="20"/>
          <w:szCs w:val="20"/>
        </w:rPr>
        <w:t xml:space="preserve">En caso de aplicar la Ley 80 de 1993, ¿la figura de Contratación Directa por ser entidades con Régimen Especial se extiende a todos los tipos de contratos necesarios para la operación del SAEP? </w:t>
      </w:r>
      <w:r w:rsidR="00230724" w:rsidRPr="007559D3">
        <w:rPr>
          <w:rFonts w:ascii="Verdana" w:eastAsia="Century Gothic" w:hAnsi="Verdana" w:cs="Arial"/>
          <w:sz w:val="20"/>
          <w:szCs w:val="20"/>
          <w:lang w:val="es-ES"/>
        </w:rPr>
        <w:t>[…]”</w:t>
      </w:r>
    </w:p>
    <w:p w14:paraId="16387552" w14:textId="77777777" w:rsidR="00230724" w:rsidRPr="007559D3" w:rsidRDefault="00230724" w:rsidP="00230724">
      <w:pPr>
        <w:spacing w:after="0"/>
        <w:jc w:val="both"/>
        <w:rPr>
          <w:rFonts w:ascii="Verdana" w:hAnsi="Verdana" w:cs="Arial"/>
          <w:highlight w:val="cyan"/>
          <w:lang w:val="es-ES"/>
        </w:rPr>
      </w:pPr>
    </w:p>
    <w:p w14:paraId="0EF9950C" w14:textId="77777777" w:rsidR="00230724" w:rsidRPr="007559D3" w:rsidRDefault="00230724" w:rsidP="00230724">
      <w:pPr>
        <w:spacing w:after="120" w:line="276" w:lineRule="auto"/>
        <w:ind w:firstLine="709"/>
        <w:jc w:val="both"/>
        <w:rPr>
          <w:rFonts w:ascii="Verdana" w:eastAsia="Calibri" w:hAnsi="Verdana" w:cs="Arial"/>
          <w:color w:val="000000"/>
          <w:lang w:val="es-ES_tradnl" w:eastAsia="es-ES_tradnl"/>
        </w:rPr>
      </w:pPr>
      <w:r w:rsidRPr="007559D3">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17D7A110" w14:textId="249CF5E4" w:rsidR="00230724" w:rsidRPr="007559D3" w:rsidRDefault="00230724" w:rsidP="00230724">
      <w:pPr>
        <w:spacing w:after="0" w:line="276" w:lineRule="auto"/>
        <w:ind w:firstLine="709"/>
        <w:jc w:val="both"/>
        <w:rPr>
          <w:rFonts w:ascii="Verdana" w:eastAsia="Calibri" w:hAnsi="Verdana" w:cs="Arial"/>
          <w:color w:val="000000"/>
          <w:lang w:val="es-ES" w:eastAsia="es-ES"/>
        </w:rPr>
      </w:pPr>
      <w:r w:rsidRPr="007559D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005504AA" w:rsidRPr="007559D3">
        <w:rPr>
          <w:rFonts w:ascii="Verdana" w:eastAsia="Calibri" w:hAnsi="Verdana" w:cs="Arial"/>
          <w:color w:val="000000"/>
          <w:lang w:val="es-ES" w:eastAsia="es-ES"/>
        </w:rPr>
        <w:t>(os)</w:t>
      </w:r>
      <w:r w:rsidRPr="007559D3">
        <w:rPr>
          <w:rFonts w:ascii="Verdana" w:eastAsia="Calibri" w:hAnsi="Verdana" w:cs="Arial"/>
          <w:color w:val="000000"/>
          <w:lang w:val="es-ES" w:eastAsia="es-ES"/>
        </w:rPr>
        <w:t xml:space="preserve"> problema</w:t>
      </w:r>
      <w:r w:rsidR="005504AA" w:rsidRPr="007559D3">
        <w:rPr>
          <w:rFonts w:ascii="Verdana" w:eastAsia="Calibri" w:hAnsi="Verdana" w:cs="Arial"/>
          <w:color w:val="000000"/>
          <w:lang w:val="es-ES" w:eastAsia="es-ES"/>
        </w:rPr>
        <w:t>(s)</w:t>
      </w:r>
      <w:r w:rsidRPr="007559D3">
        <w:rPr>
          <w:rFonts w:ascii="Verdana" w:eastAsia="Calibri" w:hAnsi="Verdana" w:cs="Arial"/>
          <w:color w:val="000000"/>
          <w:lang w:val="es-ES" w:eastAsia="es-ES"/>
        </w:rPr>
        <w:t xml:space="preserve"> jurídico</w:t>
      </w:r>
      <w:r w:rsidR="005504AA" w:rsidRPr="007559D3">
        <w:rPr>
          <w:rFonts w:ascii="Verdana" w:eastAsia="Calibri" w:hAnsi="Verdana" w:cs="Arial"/>
          <w:color w:val="000000"/>
          <w:lang w:val="es-ES" w:eastAsia="es-ES"/>
        </w:rPr>
        <w:t>(s)</w:t>
      </w:r>
      <w:r w:rsidRPr="007559D3">
        <w:rPr>
          <w:rFonts w:ascii="Verdana" w:eastAsia="Calibri" w:hAnsi="Verdana" w:cs="Arial"/>
          <w:color w:val="000000"/>
          <w:lang w:val="es-ES" w:eastAsia="es-ES"/>
        </w:rPr>
        <w:t xml:space="preserve"> de su consulta.  </w:t>
      </w:r>
    </w:p>
    <w:p w14:paraId="464AA307" w14:textId="77777777" w:rsidR="00230724" w:rsidRPr="007559D3" w:rsidRDefault="00230724" w:rsidP="00230724">
      <w:pPr>
        <w:spacing w:after="0"/>
        <w:jc w:val="both"/>
        <w:rPr>
          <w:rStyle w:val="Hipervnculo"/>
          <w:rFonts w:ascii="Verdana" w:hAnsi="Verdana"/>
          <w:highlight w:val="cyan"/>
          <w:lang w:val="es-ES"/>
        </w:rPr>
      </w:pPr>
    </w:p>
    <w:p w14:paraId="385D1092" w14:textId="77777777" w:rsidR="00230724" w:rsidRPr="007559D3" w:rsidRDefault="00230724" w:rsidP="00230724">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7559D3">
        <w:rPr>
          <w:rFonts w:ascii="Verdana" w:eastAsia="Century Gothic" w:hAnsi="Verdana" w:cs="Arial"/>
          <w:b/>
          <w:bCs/>
        </w:rPr>
        <w:t>Problema planteado:</w:t>
      </w:r>
    </w:p>
    <w:p w14:paraId="65518063" w14:textId="77777777" w:rsidR="00230724" w:rsidRPr="007559D3" w:rsidRDefault="00230724" w:rsidP="00230724">
      <w:pPr>
        <w:spacing w:after="0"/>
        <w:jc w:val="both"/>
        <w:rPr>
          <w:rStyle w:val="Hipervnculo"/>
          <w:rFonts w:ascii="Verdana" w:hAnsi="Verdana" w:cs="Arial"/>
          <w:highlight w:val="cyan"/>
        </w:rPr>
      </w:pPr>
    </w:p>
    <w:p w14:paraId="02B73D85" w14:textId="5F777B4D" w:rsidR="00230724" w:rsidRPr="007559D3" w:rsidRDefault="00230724" w:rsidP="00230724">
      <w:pPr>
        <w:spacing w:after="0" w:line="276" w:lineRule="auto"/>
        <w:jc w:val="both"/>
        <w:rPr>
          <w:rFonts w:ascii="Verdana" w:eastAsia="Verdana" w:hAnsi="Verdana" w:cs="Verdana"/>
        </w:rPr>
      </w:pPr>
      <w:r w:rsidRPr="007559D3">
        <w:rPr>
          <w:rFonts w:ascii="Verdana" w:eastAsia="Century Gothic" w:hAnsi="Verdana" w:cs="Arial"/>
        </w:rPr>
        <w:t xml:space="preserve">De acuerdo con el contenido de su solicitud, esta Agencia resolverá </w:t>
      </w:r>
      <w:r w:rsidR="00B21BCE" w:rsidRPr="007559D3">
        <w:rPr>
          <w:rFonts w:ascii="Verdana" w:eastAsia="Century Gothic" w:hAnsi="Verdana" w:cs="Arial"/>
        </w:rPr>
        <w:t>los</w:t>
      </w:r>
      <w:r w:rsidRPr="007559D3">
        <w:rPr>
          <w:rFonts w:ascii="Verdana" w:eastAsia="Century Gothic" w:hAnsi="Verdana" w:cs="Arial"/>
        </w:rPr>
        <w:t xml:space="preserve"> siguiente</w:t>
      </w:r>
      <w:r w:rsidR="00B21BCE" w:rsidRPr="007559D3">
        <w:rPr>
          <w:rFonts w:ascii="Verdana" w:eastAsia="Century Gothic" w:hAnsi="Verdana" w:cs="Arial"/>
        </w:rPr>
        <w:t>s</w:t>
      </w:r>
      <w:r w:rsidRPr="007559D3">
        <w:rPr>
          <w:rFonts w:ascii="Verdana" w:eastAsia="Century Gothic" w:hAnsi="Verdana" w:cs="Arial"/>
        </w:rPr>
        <w:t xml:space="preserve"> problema</w:t>
      </w:r>
      <w:r w:rsidR="00B21BCE" w:rsidRPr="007559D3">
        <w:rPr>
          <w:rFonts w:ascii="Verdana" w:eastAsia="Century Gothic" w:hAnsi="Verdana" w:cs="Arial"/>
        </w:rPr>
        <w:t>s</w:t>
      </w:r>
      <w:r w:rsidRPr="007559D3">
        <w:rPr>
          <w:rFonts w:ascii="Verdana" w:eastAsia="Century Gothic" w:hAnsi="Verdana" w:cs="Arial"/>
        </w:rPr>
        <w:t xml:space="preserve"> jurídico</w:t>
      </w:r>
      <w:r w:rsidR="00B21BCE" w:rsidRPr="007559D3">
        <w:rPr>
          <w:rFonts w:ascii="Verdana" w:eastAsia="Century Gothic" w:hAnsi="Verdana" w:cs="Arial"/>
        </w:rPr>
        <w:t>s</w:t>
      </w:r>
      <w:r w:rsidRPr="007559D3">
        <w:rPr>
          <w:rFonts w:ascii="Verdana" w:eastAsia="Century Gothic" w:hAnsi="Verdana" w:cs="Arial"/>
        </w:rPr>
        <w:t>:</w:t>
      </w:r>
      <w:r w:rsidR="00BF6A15" w:rsidRPr="007559D3">
        <w:rPr>
          <w:rFonts w:ascii="Verdana" w:eastAsia="Century Gothic" w:hAnsi="Verdana" w:cs="Arial"/>
        </w:rPr>
        <w:t xml:space="preserve"> i) </w:t>
      </w:r>
      <w:r w:rsidR="00DC2025" w:rsidRPr="007559D3">
        <w:rPr>
          <w:rFonts w:ascii="Verdana" w:eastAsia="Verdana" w:hAnsi="Verdana" w:cs="Verdana"/>
        </w:rPr>
        <w:t xml:space="preserve">¿Cuál es el régimen de contratación aplicable a </w:t>
      </w:r>
      <w:r w:rsidR="00BF6A15" w:rsidRPr="007559D3">
        <w:rPr>
          <w:rFonts w:ascii="Verdana" w:eastAsia="Verdana" w:hAnsi="Verdana" w:cs="Verdana"/>
        </w:rPr>
        <w:t>los territorios indígenas</w:t>
      </w:r>
      <w:r w:rsidRPr="007559D3">
        <w:rPr>
          <w:rFonts w:ascii="Verdana" w:eastAsia="Calibri" w:hAnsi="Verdana" w:cs="Arial"/>
          <w:lang w:val="es-ES_tradnl"/>
        </w:rPr>
        <w:t>?</w:t>
      </w:r>
      <w:r w:rsidR="00BF6A15" w:rsidRPr="007559D3">
        <w:rPr>
          <w:rFonts w:ascii="Verdana" w:eastAsia="Calibri" w:hAnsi="Verdana" w:cs="Arial"/>
          <w:lang w:val="es-ES_tradnl"/>
        </w:rPr>
        <w:t xml:space="preserve">; </w:t>
      </w:r>
      <w:proofErr w:type="spellStart"/>
      <w:r w:rsidR="00BF6A15" w:rsidRPr="007559D3">
        <w:rPr>
          <w:rFonts w:ascii="Verdana" w:eastAsia="Calibri" w:hAnsi="Verdana" w:cs="Arial"/>
          <w:lang w:val="es-ES_tradnl"/>
        </w:rPr>
        <w:t>ii</w:t>
      </w:r>
      <w:proofErr w:type="spellEnd"/>
      <w:r w:rsidR="00BF6A15" w:rsidRPr="007559D3">
        <w:rPr>
          <w:rFonts w:ascii="Verdana" w:eastAsia="Calibri" w:hAnsi="Verdana" w:cs="Arial"/>
          <w:lang w:val="es-ES_tradnl"/>
        </w:rPr>
        <w:t xml:space="preserve">) </w:t>
      </w:r>
      <w:r w:rsidR="00A20D69" w:rsidRPr="007559D3">
        <w:rPr>
          <w:rFonts w:ascii="Verdana" w:eastAsia="Calibri" w:hAnsi="Verdana" w:cs="Arial"/>
          <w:lang w:val="es-ES_tradnl"/>
        </w:rPr>
        <w:t xml:space="preserve">¿Cuáles son los requisitos para </w:t>
      </w:r>
      <w:r w:rsidR="00494B97" w:rsidRPr="007559D3">
        <w:rPr>
          <w:rFonts w:ascii="Verdana" w:eastAsia="Calibri" w:hAnsi="Verdana" w:cs="Arial"/>
          <w:lang w:val="es-ES_tradnl"/>
        </w:rPr>
        <w:t xml:space="preserve">contratar de manera directa </w:t>
      </w:r>
      <w:r w:rsidR="00990A7D" w:rsidRPr="007559D3">
        <w:rPr>
          <w:rFonts w:ascii="Verdana" w:eastAsia="Calibri" w:hAnsi="Verdana" w:cs="Arial"/>
          <w:lang w:val="es-ES_tradnl"/>
        </w:rPr>
        <w:t>de acuerdo con</w:t>
      </w:r>
      <w:r w:rsidR="00494B97" w:rsidRPr="007559D3">
        <w:rPr>
          <w:rFonts w:ascii="Verdana" w:eastAsia="Calibri" w:hAnsi="Verdana" w:cs="Arial"/>
          <w:lang w:val="es-ES_tradnl"/>
        </w:rPr>
        <w:t xml:space="preserve"> las disposiciones contempladas en </w:t>
      </w:r>
      <w:r w:rsidR="005A097A" w:rsidRPr="007559D3">
        <w:rPr>
          <w:rFonts w:ascii="Verdana" w:eastAsia="Calibri" w:hAnsi="Verdana" w:cs="Arial"/>
          <w:lang w:val="es-ES_tradnl"/>
        </w:rPr>
        <w:t xml:space="preserve">el </w:t>
      </w:r>
      <w:r w:rsidR="005A097A" w:rsidRPr="007559D3">
        <w:rPr>
          <w:rFonts w:ascii="Verdana" w:eastAsia="Calibri" w:hAnsi="Verdana" w:cs="Arial"/>
          <w:bCs/>
          <w:color w:val="000000" w:themeColor="text1"/>
          <w:lang w:val="es-ES_tradnl"/>
        </w:rPr>
        <w:t>numeral 4</w:t>
      </w:r>
      <w:r w:rsidR="00B81678" w:rsidRPr="007559D3">
        <w:rPr>
          <w:rFonts w:ascii="Verdana" w:eastAsia="Calibri" w:hAnsi="Verdana" w:cs="Arial"/>
          <w:bCs/>
          <w:color w:val="000000" w:themeColor="text1"/>
          <w:lang w:val="es-ES_tradnl"/>
        </w:rPr>
        <w:t xml:space="preserve">, </w:t>
      </w:r>
      <w:r w:rsidR="00B81678" w:rsidRPr="007559D3">
        <w:rPr>
          <w:rFonts w:ascii="Verdana" w:eastAsia="Calibri" w:hAnsi="Verdana" w:cs="Arial"/>
        </w:rPr>
        <w:t xml:space="preserve">literal </w:t>
      </w:r>
      <w:r w:rsidR="00B81678" w:rsidRPr="007559D3">
        <w:rPr>
          <w:rFonts w:ascii="Verdana" w:eastAsia="Calibri" w:hAnsi="Verdana" w:cs="Arial"/>
          <w:bCs/>
          <w:color w:val="000000" w:themeColor="text1"/>
          <w:lang w:val="es-ES_tradnl"/>
        </w:rPr>
        <w:t xml:space="preserve">l) del artículo 2, </w:t>
      </w:r>
      <w:r w:rsidR="005A097A" w:rsidRPr="007559D3">
        <w:rPr>
          <w:rFonts w:ascii="Verdana" w:eastAsia="Calibri" w:hAnsi="Verdana" w:cs="Arial"/>
          <w:bCs/>
          <w:color w:val="000000" w:themeColor="text1"/>
          <w:lang w:val="es-ES_tradnl"/>
        </w:rPr>
        <w:t>de la Ley 1150 de 2007</w:t>
      </w:r>
      <w:r w:rsidR="00494B97" w:rsidRPr="007559D3">
        <w:rPr>
          <w:rFonts w:ascii="Verdana" w:eastAsia="Calibri" w:hAnsi="Verdana" w:cs="Arial"/>
          <w:lang w:val="es-ES_tradnl"/>
        </w:rPr>
        <w:t xml:space="preserve">? </w:t>
      </w:r>
    </w:p>
    <w:p w14:paraId="4ABFCBD7" w14:textId="77777777" w:rsidR="00230724" w:rsidRPr="007559D3" w:rsidRDefault="00230724" w:rsidP="00230724">
      <w:pPr>
        <w:spacing w:after="0" w:line="276" w:lineRule="auto"/>
        <w:jc w:val="both"/>
        <w:rPr>
          <w:rStyle w:val="Hipervnculo"/>
          <w:rFonts w:ascii="Verdana" w:hAnsi="Verdana" w:cs="Arial"/>
          <w:lang w:val="es-ES"/>
        </w:rPr>
      </w:pPr>
    </w:p>
    <w:p w14:paraId="3AFBDD9C" w14:textId="77777777" w:rsidR="00230724" w:rsidRPr="007559D3" w:rsidRDefault="00230724" w:rsidP="00230724">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7559D3">
        <w:rPr>
          <w:rFonts w:ascii="Verdana" w:eastAsia="Arial" w:hAnsi="Verdana" w:cs="Arial"/>
          <w:b/>
          <w:bCs/>
        </w:rPr>
        <w:t>Respuesta:</w:t>
      </w:r>
    </w:p>
    <w:p w14:paraId="45CE8D40" w14:textId="77777777" w:rsidR="00050924" w:rsidRPr="007559D3" w:rsidRDefault="00050924" w:rsidP="00050924">
      <w:pPr>
        <w:spacing w:after="0"/>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50924" w:rsidRPr="00E31963" w14:paraId="4CAE13AC" w14:textId="77777777" w:rsidTr="00D94860">
        <w:tc>
          <w:tcPr>
            <w:tcW w:w="8828" w:type="dxa"/>
          </w:tcPr>
          <w:p w14:paraId="200DA5F8" w14:textId="17DCB507" w:rsidR="00050924" w:rsidRPr="007559D3" w:rsidRDefault="00050924" w:rsidP="00D94860">
            <w:pPr>
              <w:spacing w:after="120" w:line="276" w:lineRule="auto"/>
              <w:jc w:val="both"/>
              <w:rPr>
                <w:rFonts w:ascii="Verdana" w:hAnsi="Verdana" w:cs="Arial"/>
                <w:color w:val="000000" w:themeColor="text1"/>
              </w:rPr>
            </w:pPr>
            <w:bookmarkStart w:id="1" w:name="_Hlk171067516"/>
            <w:r w:rsidRPr="007559D3">
              <w:rPr>
                <w:rFonts w:ascii="Verdana" w:hAnsi="Verdana" w:cs="Arial"/>
                <w:color w:val="000000" w:themeColor="text1"/>
              </w:rPr>
              <w:lastRenderedPageBreak/>
              <w:t>En respuesta a</w:t>
            </w:r>
            <w:r w:rsidR="001611A9" w:rsidRPr="007559D3">
              <w:rPr>
                <w:rFonts w:ascii="Verdana" w:hAnsi="Verdana" w:cs="Arial"/>
                <w:color w:val="000000" w:themeColor="text1"/>
              </w:rPr>
              <w:t xml:space="preserve"> </w:t>
            </w:r>
            <w:r w:rsidRPr="007559D3">
              <w:rPr>
                <w:rFonts w:ascii="Verdana" w:hAnsi="Verdana" w:cs="Arial"/>
                <w:color w:val="000000" w:themeColor="text1"/>
              </w:rPr>
              <w:t>l</w:t>
            </w:r>
            <w:r w:rsidR="001611A9" w:rsidRPr="007559D3">
              <w:rPr>
                <w:rFonts w:ascii="Verdana" w:hAnsi="Verdana" w:cs="Arial"/>
                <w:color w:val="000000" w:themeColor="text1"/>
              </w:rPr>
              <w:t>os</w:t>
            </w:r>
            <w:r w:rsidRPr="007559D3">
              <w:rPr>
                <w:rFonts w:ascii="Verdana" w:hAnsi="Verdana" w:cs="Arial"/>
                <w:color w:val="000000" w:themeColor="text1"/>
              </w:rPr>
              <w:t xml:space="preserve"> problema</w:t>
            </w:r>
            <w:r w:rsidR="001611A9" w:rsidRPr="007559D3">
              <w:rPr>
                <w:rFonts w:ascii="Verdana" w:hAnsi="Verdana" w:cs="Arial"/>
                <w:color w:val="000000" w:themeColor="text1"/>
              </w:rPr>
              <w:t>s</w:t>
            </w:r>
            <w:r w:rsidRPr="007559D3">
              <w:rPr>
                <w:rFonts w:ascii="Verdana" w:hAnsi="Verdana" w:cs="Arial"/>
                <w:color w:val="000000" w:themeColor="text1"/>
              </w:rPr>
              <w:t xml:space="preserve"> antes planteado</w:t>
            </w:r>
            <w:r w:rsidR="001611A9" w:rsidRPr="007559D3">
              <w:rPr>
                <w:rFonts w:ascii="Verdana" w:hAnsi="Verdana" w:cs="Arial"/>
                <w:color w:val="000000" w:themeColor="text1"/>
              </w:rPr>
              <w:t>s</w:t>
            </w:r>
            <w:r w:rsidRPr="007559D3">
              <w:rPr>
                <w:rFonts w:ascii="Verdana" w:hAnsi="Verdana" w:cs="Arial"/>
                <w:color w:val="000000" w:themeColor="text1"/>
              </w:rPr>
              <w:t xml:space="preserve"> esta Subdirección manifiesta lo siguiente:</w:t>
            </w:r>
          </w:p>
          <w:p w14:paraId="46A4ED24" w14:textId="460C2AE7" w:rsidR="00050924" w:rsidRPr="007559D3" w:rsidRDefault="00050924" w:rsidP="000C07C8">
            <w:pPr>
              <w:spacing w:after="120" w:line="276" w:lineRule="auto"/>
              <w:ind w:firstLine="708"/>
              <w:jc w:val="both"/>
              <w:rPr>
                <w:rFonts w:ascii="Verdana" w:eastAsia="Calibri" w:hAnsi="Verdana" w:cs="Arial"/>
              </w:rPr>
            </w:pPr>
            <w:r w:rsidRPr="007559D3">
              <w:rPr>
                <w:rFonts w:ascii="Verdana" w:eastAsia="Calibri" w:hAnsi="Verdana" w:cs="Arial"/>
                <w:lang w:val="es-ES"/>
              </w:rPr>
              <w:t xml:space="preserve">En </w:t>
            </w:r>
            <w:r w:rsidRPr="007559D3">
              <w:rPr>
                <w:rFonts w:ascii="Verdana" w:eastAsia="Calibri" w:hAnsi="Verdana" w:cs="Arial"/>
                <w:i/>
                <w:iCs/>
              </w:rPr>
              <w:t xml:space="preserve">primer lugar, </w:t>
            </w:r>
            <w:r w:rsidRPr="007559D3">
              <w:rPr>
                <w:rFonts w:ascii="Verdana" w:eastAsia="Calibri" w:hAnsi="Verdana" w:cs="Arial"/>
              </w:rPr>
              <w:t xml:space="preserve">debe advertirse que </w:t>
            </w:r>
            <w:r w:rsidR="002D5019" w:rsidRPr="007559D3">
              <w:rPr>
                <w:rFonts w:ascii="Verdana" w:eastAsia="Calibri" w:hAnsi="Verdana" w:cs="Arial"/>
              </w:rPr>
              <w:t>de acuerdo con</w:t>
            </w:r>
            <w:r w:rsidR="00DE46CC" w:rsidRPr="007559D3">
              <w:rPr>
                <w:rFonts w:ascii="Verdana" w:eastAsia="Calibri" w:hAnsi="Verdana" w:cs="Arial"/>
              </w:rPr>
              <w:t xml:space="preserve"> lo </w:t>
            </w:r>
            <w:r w:rsidR="00FA5367" w:rsidRPr="007559D3">
              <w:rPr>
                <w:rFonts w:ascii="Verdana" w:eastAsia="Calibri" w:hAnsi="Verdana" w:cs="Arial"/>
              </w:rPr>
              <w:t>establecido</w:t>
            </w:r>
            <w:r w:rsidR="00DE46CC" w:rsidRPr="007559D3">
              <w:rPr>
                <w:rFonts w:ascii="Verdana" w:eastAsia="Calibri" w:hAnsi="Verdana" w:cs="Arial"/>
              </w:rPr>
              <w:t xml:space="preserve"> en el artículo 2 de </w:t>
            </w:r>
            <w:r w:rsidR="002D5019" w:rsidRPr="007559D3">
              <w:rPr>
                <w:rFonts w:ascii="Verdana" w:eastAsia="Calibri" w:hAnsi="Verdana" w:cs="Arial"/>
              </w:rPr>
              <w:t xml:space="preserve">la Ley 80 de 1993, los </w:t>
            </w:r>
            <w:r w:rsidR="002D5019" w:rsidRPr="007559D3">
              <w:rPr>
                <w:rFonts w:ascii="Verdana" w:eastAsia="Calibri" w:hAnsi="Verdana" w:cs="Arial"/>
                <w:i/>
                <w:iCs/>
              </w:rPr>
              <w:t>territorios indígenas</w:t>
            </w:r>
            <w:r w:rsidR="002D5019" w:rsidRPr="007559D3">
              <w:rPr>
                <w:rFonts w:ascii="Verdana" w:eastAsia="Calibri" w:hAnsi="Verdana" w:cs="Arial"/>
              </w:rPr>
              <w:t xml:space="preserve"> son considerados Entidades Estatales</w:t>
            </w:r>
            <w:r w:rsidR="00D35CA2" w:rsidRPr="007559D3">
              <w:rPr>
                <w:rFonts w:ascii="Verdana" w:eastAsia="Calibri" w:hAnsi="Verdana" w:cs="Arial"/>
              </w:rPr>
              <w:t xml:space="preserve"> y en principio </w:t>
            </w:r>
            <w:r w:rsidR="003E7107" w:rsidRPr="007559D3">
              <w:rPr>
                <w:rFonts w:ascii="Verdana" w:eastAsia="Calibri" w:hAnsi="Verdana" w:cs="Arial"/>
              </w:rPr>
              <w:t xml:space="preserve">el régimen de contratación aplicable a su gestión contractual </w:t>
            </w:r>
            <w:r w:rsidR="000E34F4" w:rsidRPr="007559D3">
              <w:rPr>
                <w:rFonts w:ascii="Verdana" w:eastAsia="Calibri" w:hAnsi="Verdana" w:cs="Arial"/>
              </w:rPr>
              <w:t>será</w:t>
            </w:r>
            <w:r w:rsidR="003E7107" w:rsidRPr="007559D3">
              <w:rPr>
                <w:rFonts w:ascii="Verdana" w:eastAsia="Calibri" w:hAnsi="Verdana" w:cs="Arial"/>
              </w:rPr>
              <w:t xml:space="preserve"> el del </w:t>
            </w:r>
            <w:r w:rsidR="005A5DDD" w:rsidRPr="007559D3">
              <w:rPr>
                <w:rFonts w:ascii="Verdana" w:eastAsia="Calibri" w:hAnsi="Verdana" w:cs="Arial"/>
              </w:rPr>
              <w:t>Estatuto General de Contratación de la Administración</w:t>
            </w:r>
            <w:r w:rsidR="007E3F18" w:rsidRPr="007559D3">
              <w:rPr>
                <w:rFonts w:ascii="Verdana" w:eastAsia="Calibri" w:hAnsi="Verdana" w:cs="Arial"/>
              </w:rPr>
              <w:t xml:space="preserve"> Pública</w:t>
            </w:r>
            <w:r w:rsidR="000C07C8" w:rsidRPr="007559D3">
              <w:rPr>
                <w:rFonts w:ascii="Verdana" w:eastAsia="Calibri" w:hAnsi="Verdana" w:cs="Arial"/>
              </w:rPr>
              <w:t xml:space="preserve"> -EGCAP-</w:t>
            </w:r>
            <w:r w:rsidR="002D5019" w:rsidRPr="007559D3">
              <w:rPr>
                <w:rFonts w:ascii="Verdana" w:eastAsia="Calibri" w:hAnsi="Verdana" w:cs="Arial"/>
              </w:rPr>
              <w:t xml:space="preserve">. Sin embargo, la existencia de aquellos se encuentra condicionada a la expedición de la Ley de Ordenamiento Territorial, por lo que la aplicación del </w:t>
            </w:r>
            <w:r w:rsidR="000C07C8" w:rsidRPr="007559D3">
              <w:rPr>
                <w:rFonts w:ascii="Verdana" w:eastAsia="Calibri" w:hAnsi="Verdana" w:cs="Arial"/>
              </w:rPr>
              <w:t xml:space="preserve">-EGCAP- </w:t>
            </w:r>
            <w:r w:rsidR="002D5019" w:rsidRPr="007559D3">
              <w:rPr>
                <w:rFonts w:ascii="Verdana" w:eastAsia="Calibri" w:hAnsi="Verdana" w:cs="Arial"/>
              </w:rPr>
              <w:t>para este tipo de entidades</w:t>
            </w:r>
            <w:r w:rsidR="007E3F18" w:rsidRPr="007559D3">
              <w:rPr>
                <w:rFonts w:ascii="Verdana" w:eastAsia="Calibri" w:hAnsi="Verdana" w:cs="Arial"/>
              </w:rPr>
              <w:t xml:space="preserve"> </w:t>
            </w:r>
            <w:r w:rsidR="002D5019" w:rsidRPr="007559D3">
              <w:rPr>
                <w:rFonts w:ascii="Verdana" w:eastAsia="Calibri" w:hAnsi="Verdana" w:cs="Arial"/>
              </w:rPr>
              <w:t xml:space="preserve">presenta dificultades. Esto en la medida que no existe una norma que defina los </w:t>
            </w:r>
            <w:r w:rsidR="002D5019" w:rsidRPr="007559D3">
              <w:rPr>
                <w:rFonts w:ascii="Verdana" w:eastAsia="Calibri" w:hAnsi="Verdana" w:cs="Arial"/>
                <w:i/>
                <w:iCs/>
              </w:rPr>
              <w:t>territorios indígenas</w:t>
            </w:r>
            <w:r w:rsidR="002D5019" w:rsidRPr="007559D3">
              <w:rPr>
                <w:rFonts w:ascii="Verdana" w:eastAsia="Calibri" w:hAnsi="Verdana" w:cs="Arial"/>
              </w:rPr>
              <w:t xml:space="preserve"> a los que hace referencia el artículo 2 de esta Ley, lo que necesariamente remite a otras </w:t>
            </w:r>
            <w:r w:rsidR="000A3FE0" w:rsidRPr="007559D3">
              <w:rPr>
                <w:rFonts w:ascii="Verdana" w:eastAsia="Calibri" w:hAnsi="Verdana" w:cs="Arial"/>
              </w:rPr>
              <w:t>disposiciones</w:t>
            </w:r>
            <w:r w:rsidR="002D5019" w:rsidRPr="007559D3">
              <w:rPr>
                <w:rFonts w:ascii="Verdana" w:eastAsia="Calibri" w:hAnsi="Verdana" w:cs="Arial"/>
              </w:rPr>
              <w:t xml:space="preserve"> a efectos de determinar qué se entiende por estos y cuáles tienen capacidad para adquirir obligaciones</w:t>
            </w:r>
            <w:r w:rsidR="000D5705" w:rsidRPr="007559D3">
              <w:rPr>
                <w:rFonts w:ascii="Verdana" w:eastAsia="Calibri" w:hAnsi="Verdana" w:cs="Arial"/>
              </w:rPr>
              <w:t xml:space="preserve">, tal y como es el caso del Decreto 488 del 2025. </w:t>
            </w:r>
          </w:p>
          <w:p w14:paraId="782B249A" w14:textId="7A3BD399" w:rsidR="001F2C4E" w:rsidRPr="007559D3" w:rsidRDefault="0062292A" w:rsidP="001F2C4E">
            <w:pPr>
              <w:spacing w:after="120" w:line="276" w:lineRule="auto"/>
              <w:ind w:firstLine="708"/>
              <w:jc w:val="both"/>
              <w:rPr>
                <w:rFonts w:ascii="Verdana" w:hAnsi="Verdana" w:cs="Arial"/>
              </w:rPr>
            </w:pPr>
            <w:r w:rsidRPr="007559D3">
              <w:rPr>
                <w:rFonts w:ascii="Verdana" w:eastAsia="Calibri" w:hAnsi="Verdana" w:cs="Arial"/>
                <w:lang w:eastAsia="es-CO"/>
              </w:rPr>
              <w:t xml:space="preserve">Ahora, frente al segundo interrogante resulta necesario indicar que </w:t>
            </w:r>
            <w:r w:rsidRPr="007559D3">
              <w:rPr>
                <w:rFonts w:ascii="Verdana" w:eastAsia="Times New Roman" w:hAnsi="Verdana" w:cs="Arial"/>
                <w:lang w:val="es-MX" w:eastAsia="es-CO"/>
              </w:rPr>
              <w:t>el literal l) del artículo 2, numeral 4 de la Ley 1150 de 2007, modificado por el artículo 353 de la Ley 2294 de 2023, aplica en función de</w:t>
            </w:r>
            <w:r w:rsidR="006C67BD" w:rsidRPr="007559D3">
              <w:rPr>
                <w:rFonts w:ascii="Verdana" w:eastAsia="Times New Roman" w:hAnsi="Verdana" w:cs="Arial"/>
                <w:lang w:val="es-MX" w:eastAsia="es-CO"/>
              </w:rPr>
              <w:t xml:space="preserve"> determinados</w:t>
            </w:r>
            <w:r w:rsidRPr="007559D3">
              <w:rPr>
                <w:rFonts w:ascii="Verdana" w:eastAsia="Times New Roman" w:hAnsi="Verdana" w:cs="Arial"/>
                <w:lang w:val="es-MX" w:eastAsia="es-CO"/>
              </w:rPr>
              <w:t xml:space="preserve"> sujetos y </w:t>
            </w:r>
            <w:r w:rsidR="006C67BD" w:rsidRPr="007559D3">
              <w:rPr>
                <w:rFonts w:ascii="Verdana" w:eastAsia="Times New Roman" w:hAnsi="Verdana" w:cs="Arial"/>
                <w:lang w:val="es-MX" w:eastAsia="es-CO"/>
              </w:rPr>
              <w:t>de ciertos</w:t>
            </w:r>
            <w:r w:rsidRPr="007559D3">
              <w:rPr>
                <w:rFonts w:ascii="Verdana" w:eastAsia="Times New Roman" w:hAnsi="Verdana" w:cs="Arial"/>
                <w:lang w:val="es-MX" w:eastAsia="es-CO"/>
              </w:rPr>
              <w:t xml:space="preserve"> objeto</w:t>
            </w:r>
            <w:r w:rsidR="006C67BD" w:rsidRPr="007559D3">
              <w:rPr>
                <w:rFonts w:ascii="Verdana" w:eastAsia="Times New Roman" w:hAnsi="Verdana" w:cs="Arial"/>
                <w:lang w:val="es-MX" w:eastAsia="es-CO"/>
              </w:rPr>
              <w:t>s</w:t>
            </w:r>
            <w:r w:rsidRPr="007559D3">
              <w:rPr>
                <w:rFonts w:ascii="Verdana" w:eastAsia="Times New Roman" w:hAnsi="Verdana" w:cs="Arial"/>
                <w:lang w:val="es-MX" w:eastAsia="es-CO"/>
              </w:rPr>
              <w:t>.</w:t>
            </w:r>
            <w:r w:rsidR="001F2C4E" w:rsidRPr="007559D3">
              <w:rPr>
                <w:rFonts w:ascii="Verdana" w:hAnsi="Verdana" w:cs="Arial"/>
              </w:rPr>
              <w:t xml:space="preserve"> En ese sentido, al igual que las otras causales de contratación directa previstas en el numeral 4 del artículo 2 de la Ley 1150 de 2007, supone una excepción a la regla general que impone la selección del contratista a través del adelantamiento de proceso competitivo, estableciendo unas condiciones en atención a las cuales es permitido contratar de manera directa. Esto implica que, esta </w:t>
            </w:r>
            <w:r w:rsidR="001941E5" w:rsidRPr="007559D3">
              <w:rPr>
                <w:rFonts w:ascii="Verdana" w:hAnsi="Verdana" w:cs="Arial"/>
              </w:rPr>
              <w:t>es una disposición</w:t>
            </w:r>
            <w:r w:rsidR="001F2C4E" w:rsidRPr="007559D3">
              <w:rPr>
                <w:rFonts w:ascii="Verdana" w:hAnsi="Verdana" w:cs="Arial"/>
              </w:rPr>
              <w:t xml:space="preserve"> de aplicación </w:t>
            </w:r>
            <w:r w:rsidR="001F2C4E" w:rsidRPr="007559D3">
              <w:rPr>
                <w:rFonts w:ascii="Verdana" w:hAnsi="Verdana" w:cs="Arial"/>
                <w:i/>
                <w:iCs/>
              </w:rPr>
              <w:t>restrictiva</w:t>
            </w:r>
            <w:r w:rsidR="001F2C4E" w:rsidRPr="007559D3">
              <w:rPr>
                <w:rFonts w:ascii="Verdana" w:hAnsi="Verdana" w:cs="Arial"/>
              </w:rPr>
              <w:t xml:space="preserve"> que permiten que la Entidad Estatal desarrolle una relación contractual producto de un proceso no competitivo, </w:t>
            </w:r>
            <w:r w:rsidR="001F2C4E" w:rsidRPr="007559D3">
              <w:rPr>
                <w:rFonts w:ascii="Verdana" w:hAnsi="Verdana" w:cs="Arial"/>
                <w:i/>
                <w:iCs/>
              </w:rPr>
              <w:t xml:space="preserve">con estricta sujeción a las condiciones o requisitos que estipula la causal.    </w:t>
            </w:r>
          </w:p>
          <w:p w14:paraId="27111CA6" w14:textId="7D360521" w:rsidR="0062292A" w:rsidRPr="007559D3" w:rsidRDefault="0062292A" w:rsidP="001F2C4E">
            <w:pPr>
              <w:spacing w:after="120" w:line="276" w:lineRule="auto"/>
              <w:ind w:firstLine="708"/>
              <w:jc w:val="both"/>
              <w:rPr>
                <w:rFonts w:ascii="Verdana" w:eastAsia="Times New Roman" w:hAnsi="Verdana" w:cs="Arial"/>
                <w:lang w:val="es-MX" w:eastAsia="es-CO"/>
              </w:rPr>
            </w:pPr>
            <w:r w:rsidRPr="007559D3">
              <w:rPr>
                <w:rFonts w:ascii="Verdana" w:eastAsia="Times New Roman" w:hAnsi="Verdana" w:cs="Arial"/>
                <w:lang w:val="es-MX" w:eastAsia="es-CO"/>
              </w:rPr>
              <w:t xml:space="preserve">Por un lado, </w:t>
            </w:r>
            <w:r w:rsidR="001B0DBE" w:rsidRPr="007559D3">
              <w:rPr>
                <w:rFonts w:ascii="Verdana" w:eastAsia="Times New Roman" w:hAnsi="Verdana" w:cs="Arial"/>
                <w:lang w:val="es-MX" w:eastAsia="es-CO"/>
              </w:rPr>
              <w:t xml:space="preserve">la mencionada causal, </w:t>
            </w:r>
            <w:r w:rsidRPr="007559D3">
              <w:rPr>
                <w:rFonts w:ascii="Verdana" w:eastAsia="Times New Roman" w:hAnsi="Verdana" w:cs="Arial"/>
                <w:lang w:val="es-MX" w:eastAsia="es-CO"/>
              </w:rPr>
              <w:t xml:space="preserve">se circunscribe a los contratos o convenios celebrados entre las entidades públicas con los “[…] Cabildos Indígenas, las asociaciones de Cabildos Indígenas y/o Autoridades Tradicionales Indígenas, Consejos Indígenas y Organizaciones Indígenas […]”.  </w:t>
            </w:r>
          </w:p>
          <w:p w14:paraId="5684D6A2" w14:textId="77777777" w:rsidR="0062292A" w:rsidRPr="007559D3" w:rsidRDefault="0062292A" w:rsidP="0062292A">
            <w:pPr>
              <w:spacing w:after="120" w:line="276" w:lineRule="auto"/>
              <w:ind w:firstLine="708"/>
              <w:jc w:val="both"/>
              <w:rPr>
                <w:rFonts w:ascii="Verdana" w:eastAsia="Times New Roman" w:hAnsi="Verdana" w:cs="Arial"/>
                <w:lang w:val="es-MX" w:eastAsia="es-CO"/>
              </w:rPr>
            </w:pPr>
            <w:r w:rsidRPr="007559D3">
              <w:rPr>
                <w:rFonts w:ascii="Verdana" w:eastAsia="Times New Roman" w:hAnsi="Verdana" w:cs="Arial"/>
                <w:lang w:val="es-MX" w:eastAsia="es-CO"/>
              </w:rPr>
              <w:t xml:space="preserve">Por otra parte, además del criterio subjetivo, se requiere que los contratos y convenios se enfoquen en “[…] el fortalecimiento del gobierno propio, la identidad cultural, el ejercicio de la autonomía, la garantía de los derechos, satisfacción de necesidades y/o servicios públicos de los pueblos y </w:t>
            </w:r>
            <w:r w:rsidRPr="007559D3">
              <w:rPr>
                <w:rFonts w:ascii="Verdana" w:eastAsia="Times New Roman" w:hAnsi="Verdana" w:cs="Arial"/>
                <w:lang w:val="es-MX" w:eastAsia="es-CO"/>
              </w:rPr>
              <w:lastRenderedPageBreak/>
              <w:t>comunidades indígenas […]”. Es decir, la causal no es absoluta y, por tanto, la excepción a los procedimientos de la convocatoria abierta se refiere a objetos específicos. Sin embargo, es también es necesario que estén “[…] relacionados con la ejecución de programas, planes y proyectos del plan de desarrollo […]”, lo cual implica una delimitación adicional. Desde el punto de vista del objeto, la causal de contratación directa del literal l) del artículo 2., numeral 4 de la Ley 1150 de 2007 depende de la aplicación de conceptos jurídicos indeterminados.</w:t>
            </w:r>
          </w:p>
          <w:p w14:paraId="412AE5E2" w14:textId="77777777" w:rsidR="0062292A" w:rsidRPr="007559D3" w:rsidRDefault="0062292A" w:rsidP="0062292A">
            <w:pPr>
              <w:spacing w:after="120" w:line="276" w:lineRule="auto"/>
              <w:ind w:firstLine="708"/>
              <w:jc w:val="both"/>
              <w:rPr>
                <w:rFonts w:ascii="Verdana" w:eastAsia="Times New Roman" w:hAnsi="Verdana" w:cs="Arial"/>
                <w:lang w:val="es-MX" w:eastAsia="es-CO"/>
              </w:rPr>
            </w:pPr>
            <w:r w:rsidRPr="007559D3">
              <w:rPr>
                <w:rFonts w:ascii="Verdana" w:eastAsia="Times New Roman" w:hAnsi="Verdana" w:cs="Arial"/>
                <w:lang w:val="es-MX" w:eastAsia="es-CO"/>
              </w:rPr>
              <w:t>Por ello, en ausencia de una reglamentación que precise el objeto de la causal de contratación directa, los programas, planes y proyectos del plan de desarrollo relacionados con la satisfacción de necesidades y/o servicios públicos de los pueblos y comunidades indígenas se entienden dentro del sentido general de las palabras, como dispone el inciso primero del artículo 28 del Código Civil. En primer lugar, para la RAE las “necesidades” aluden a la “Carencia de las cosas que son menester para la conservación de la vida” así como al “Especial riesgo o peligro que se padece, y en que se necesita pronto auxilio”. Estas necesidades pueden relacionarse con condiciones precarias de vivienda, dificultades para acceder a los servicios de salud, bajos niveles de educación, malas condiciones sanitarias, dificultades para acceder al empleo, etc. En términos generales, se trata de necesidades cuya satisfacción es indispensable para la existencia humana. Para estos efectos, el DANE construye un Índice de Necesidades Básicas Insatisfechas, el cual constituye una metodología para identificar carencias críticas de la población y caracterizar la pobreza.</w:t>
            </w:r>
          </w:p>
          <w:p w14:paraId="25C1F18F" w14:textId="60BDA630" w:rsidR="0062292A" w:rsidRPr="007559D3" w:rsidRDefault="0062292A" w:rsidP="0062292A">
            <w:pPr>
              <w:spacing w:after="120" w:line="276" w:lineRule="auto"/>
              <w:ind w:firstLine="708"/>
              <w:jc w:val="both"/>
              <w:rPr>
                <w:rFonts w:ascii="Verdana" w:eastAsia="Times New Roman" w:hAnsi="Verdana" w:cs="Arial"/>
                <w:lang w:val="es-MX" w:eastAsia="es-CO"/>
              </w:rPr>
            </w:pPr>
            <w:r w:rsidRPr="007559D3">
              <w:rPr>
                <w:rFonts w:ascii="Verdana" w:eastAsia="Times New Roman" w:hAnsi="Verdana" w:cs="Arial"/>
                <w:lang w:val="es-MX" w:eastAsia="es-CO"/>
              </w:rPr>
              <w:t xml:space="preserve">En segundo lugar, los “servicios públicos” son “[…] aquellas actividades que el Estado tiene el deber de prestar a todos los habitantes del territorio nacional, de manera eficiente, regular y continua, en igualdad de condiciones, en forma directa, o mediante el concurso de los particulares, con el propósito de satisfacer las necesidades de interés general que la sociedad demanda”. Mas allá de una concepción meramente orgánica, el concepto de servicio público está unido a un aspecto material, pues si “Las autoridades de la República están instituidas para […] para asegurar el cumplimiento de los deberes sociales del Estado y de los particulares” –inc. 2, art. 2 Constitucional– es claro que “Los servicios públicos son inherentes a la finalidad social del Estado” –inc. 1°, art. 365 superior–. </w:t>
            </w:r>
          </w:p>
          <w:p w14:paraId="1C5CC85A" w14:textId="77777777" w:rsidR="0062292A" w:rsidRPr="007559D3" w:rsidRDefault="0062292A" w:rsidP="0062292A">
            <w:pPr>
              <w:spacing w:after="120" w:line="276" w:lineRule="auto"/>
              <w:ind w:firstLine="708"/>
              <w:jc w:val="both"/>
              <w:rPr>
                <w:rFonts w:ascii="Verdana" w:eastAsia="Times New Roman" w:hAnsi="Verdana" w:cs="Arial"/>
                <w:lang w:val="es-MX" w:eastAsia="es-CO"/>
              </w:rPr>
            </w:pPr>
            <w:r w:rsidRPr="007559D3">
              <w:rPr>
                <w:rFonts w:ascii="Verdana" w:eastAsia="Times New Roman" w:hAnsi="Verdana" w:cs="Arial"/>
                <w:lang w:val="es-MX" w:eastAsia="es-CO"/>
              </w:rPr>
              <w:lastRenderedPageBreak/>
              <w:t xml:space="preserve">Pueden existir necesidades que estén relacionadas con la prestación de servicios públicos: este es el caso, por ejemplo, de la salud, la educación, el agua potable y el saneamiento básico. Al fortalecerse la prestación de estos servicios, se cubren necesidades de la población. Sin embargo, como se desprende de la redacción de la casual, este nexo no tiene carácter necesario. Por ejemplo, los problemas relacionados con la vivienda o las dificultades para acceder al empleo –más que la prestación de algún servicio de naturaleza asistencial– pueden requerir medidas de fomento. Así, el literal l) del artículo 2, numeral 4 de la Ley 1150 de 2007 se refiere a “[…] la satisfacción de necesidades y/o servicios públicos […], es decir, el objeto del contrato o convenio puede referirse a uno, a otro o a ambos, siempre que se trate de programas, planes y proyectos del plan de desarrollo relacionados con los pueblos y comunidades indígenas.   </w:t>
            </w:r>
          </w:p>
          <w:p w14:paraId="393BD98A" w14:textId="2E7EF086" w:rsidR="0062292A" w:rsidRPr="007559D3" w:rsidRDefault="0062292A" w:rsidP="0062292A">
            <w:pPr>
              <w:spacing w:after="120" w:line="276" w:lineRule="auto"/>
              <w:ind w:firstLine="708"/>
              <w:jc w:val="both"/>
              <w:rPr>
                <w:rFonts w:ascii="Verdana" w:eastAsia="Times New Roman" w:hAnsi="Verdana" w:cs="Arial"/>
                <w:highlight w:val="cyan"/>
                <w:lang w:val="es-MX" w:eastAsia="es-CO"/>
              </w:rPr>
            </w:pPr>
            <w:r w:rsidRPr="007559D3">
              <w:rPr>
                <w:rFonts w:ascii="Verdana" w:eastAsia="Times New Roman" w:hAnsi="Verdana" w:cs="Arial"/>
                <w:lang w:val="es-MX" w:eastAsia="es-CO"/>
              </w:rPr>
              <w:t>Como se explicó ut supra, los conceptos jurídicos indeterminados no suponen la discrecionalidad de las autoridades. Con esa orientación, el tribunal constitucional ha señalado que, para la determinación de su alcance, los operadores jurídicos deben acudir a los valores, los principios y las reglas de derecho que sirven de fundamento a la institución jurídica en cuya regulación está contenido dicho concepto. Estos criterios o herramientas servirán de apoyo en el proceso intelectivo de los operadores jurídicos. Por regla general, la determinación del alcance de este tipo de conceptos exige que el operador jurídico lleve a cabo juicios de valor, lo cual no excluye el respectivo control.</w:t>
            </w:r>
          </w:p>
          <w:p w14:paraId="7794F071" w14:textId="77777777" w:rsidR="00050924" w:rsidRPr="007559D3" w:rsidRDefault="00050924" w:rsidP="00D94860">
            <w:pPr>
              <w:spacing w:after="120" w:line="276" w:lineRule="auto"/>
              <w:jc w:val="both"/>
              <w:rPr>
                <w:rFonts w:ascii="Verdana" w:eastAsia="Arial" w:hAnsi="Verdana" w:cs="Arial"/>
              </w:rPr>
            </w:pPr>
            <w:r w:rsidRPr="007559D3">
              <w:rPr>
                <w:rFonts w:ascii="Verdana" w:eastAsia="Calibri" w:hAnsi="Verdana" w:cs="Arial"/>
                <w:lang w:eastAsia="es-ES"/>
              </w:rPr>
              <w:t xml:space="preserve">       Finalmente</w:t>
            </w:r>
            <w:r w:rsidRPr="007559D3">
              <w:rPr>
                <w:rFonts w:ascii="Verdana" w:eastAsia="Calibri" w:hAnsi="Verdana" w:cs="Times New Roman"/>
              </w:rPr>
              <w:t>, debe manifestarse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7559D3">
              <w:rPr>
                <w:rFonts w:ascii="Verdana" w:hAnsi="Verdana"/>
              </w:rPr>
              <w:t xml:space="preserve"> </w:t>
            </w:r>
          </w:p>
          <w:p w14:paraId="27D90C00" w14:textId="77777777" w:rsidR="00050924" w:rsidRPr="007559D3" w:rsidRDefault="00050924" w:rsidP="00D94860">
            <w:pPr>
              <w:spacing w:after="120" w:line="276" w:lineRule="auto"/>
              <w:jc w:val="both"/>
              <w:rPr>
                <w:rFonts w:ascii="Verdana" w:hAnsi="Verdana"/>
              </w:rPr>
            </w:pPr>
            <w:r w:rsidRPr="007559D3">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w:t>
            </w:r>
            <w:r w:rsidRPr="007559D3">
              <w:rPr>
                <w:rFonts w:ascii="Verdana" w:eastAsia="Calibri" w:hAnsi="Verdana" w:cs="Times New Roman"/>
                <w:lang w:val="es-ES"/>
              </w:rPr>
              <w:lastRenderedPageBreak/>
              <w:t>juridicidad. Así cada entidad definirá la forma de adelantar su gestión contractual, sin que sea atribución de la Agencia Nacional de Contratación Pública – Colombia Compra Eficiente, validar sus actuaciones.</w:t>
            </w:r>
          </w:p>
        </w:tc>
      </w:tr>
      <w:bookmarkEnd w:id="1"/>
    </w:tbl>
    <w:p w14:paraId="4D3585C0" w14:textId="77777777" w:rsidR="00050924" w:rsidRPr="007559D3" w:rsidRDefault="00050924" w:rsidP="00050924">
      <w:pPr>
        <w:widowControl w:val="0"/>
        <w:autoSpaceDE w:val="0"/>
        <w:autoSpaceDN w:val="0"/>
        <w:spacing w:before="1" w:after="0" w:line="240" w:lineRule="auto"/>
        <w:ind w:left="360" w:hanging="360"/>
        <w:outlineLvl w:val="0"/>
        <w:rPr>
          <w:rFonts w:ascii="Verdana" w:eastAsia="Arial" w:hAnsi="Verdana" w:cs="Arial"/>
          <w:b/>
          <w:bCs/>
          <w:lang w:val="es-ES"/>
        </w:rPr>
      </w:pPr>
    </w:p>
    <w:p w14:paraId="1958EF8B" w14:textId="77777777" w:rsidR="00050924" w:rsidRPr="007559D3" w:rsidRDefault="00050924" w:rsidP="00050924">
      <w:pPr>
        <w:widowControl w:val="0"/>
        <w:autoSpaceDE w:val="0"/>
        <w:autoSpaceDN w:val="0"/>
        <w:spacing w:before="1" w:after="0" w:line="240" w:lineRule="auto"/>
        <w:ind w:left="360" w:hanging="360"/>
        <w:outlineLvl w:val="0"/>
        <w:rPr>
          <w:rFonts w:ascii="Verdana" w:eastAsia="Arial" w:hAnsi="Verdana" w:cs="Arial"/>
          <w:b/>
          <w:bCs/>
          <w:lang w:val="es-ES"/>
        </w:rPr>
      </w:pPr>
      <w:r w:rsidRPr="007559D3">
        <w:rPr>
          <w:rFonts w:ascii="Verdana" w:eastAsia="Arial" w:hAnsi="Verdana" w:cs="Arial"/>
          <w:b/>
          <w:bCs/>
          <w:lang w:val="es-ES"/>
        </w:rPr>
        <w:t>3. Razones de la respuesta:</w:t>
      </w:r>
    </w:p>
    <w:p w14:paraId="03EA6458" w14:textId="77777777" w:rsidR="00050924" w:rsidRPr="007559D3" w:rsidRDefault="00050924" w:rsidP="00050924">
      <w:pPr>
        <w:spacing w:after="0" w:line="276" w:lineRule="auto"/>
        <w:jc w:val="both"/>
        <w:rPr>
          <w:rFonts w:ascii="Verdana" w:eastAsia="Calibri" w:hAnsi="Verdana" w:cs="Arial"/>
          <w:lang w:val="es-ES"/>
        </w:rPr>
      </w:pPr>
    </w:p>
    <w:p w14:paraId="521823F6" w14:textId="77777777" w:rsidR="00050924" w:rsidRPr="007559D3" w:rsidRDefault="00050924" w:rsidP="00050924">
      <w:pPr>
        <w:spacing w:after="0" w:line="276" w:lineRule="auto"/>
        <w:jc w:val="both"/>
        <w:rPr>
          <w:rFonts w:ascii="Verdana" w:eastAsia="Calibri" w:hAnsi="Verdana" w:cs="Arial"/>
          <w:lang w:val="es-ES"/>
        </w:rPr>
      </w:pPr>
      <w:r w:rsidRPr="007559D3">
        <w:rPr>
          <w:rFonts w:ascii="Verdana" w:eastAsia="Calibri" w:hAnsi="Verdana" w:cs="Arial"/>
          <w:lang w:val="es-ES"/>
        </w:rPr>
        <w:t xml:space="preserve">La respuesta anterior se sustenta en las siguientes consideraciones: </w:t>
      </w:r>
    </w:p>
    <w:p w14:paraId="48642AE6" w14:textId="77777777" w:rsidR="00050924" w:rsidRPr="007559D3" w:rsidRDefault="00050924" w:rsidP="00230724">
      <w:pPr>
        <w:spacing w:after="0"/>
        <w:rPr>
          <w:rFonts w:ascii="Verdana" w:eastAsia="Times New Roman" w:hAnsi="Verdana" w:cs="Segoe UI"/>
          <w:lang w:val="es-ES" w:eastAsia="es-CO"/>
        </w:rPr>
      </w:pPr>
    </w:p>
    <w:p w14:paraId="6DA4B430" w14:textId="77777777" w:rsidR="000E171B" w:rsidRPr="007559D3" w:rsidRDefault="000E171B" w:rsidP="000E171B">
      <w:pPr>
        <w:spacing w:after="120" w:line="276" w:lineRule="auto"/>
        <w:jc w:val="both"/>
        <w:rPr>
          <w:rFonts w:ascii="Verdana" w:eastAsia="Calibri" w:hAnsi="Verdana" w:cs="Arial"/>
        </w:rPr>
      </w:pPr>
      <w:r w:rsidRPr="007559D3">
        <w:rPr>
          <w:rFonts w:ascii="Verdana" w:eastAsia="Calibri" w:hAnsi="Verdana" w:cs="Arial"/>
        </w:rPr>
        <w:t>Con la suscripción del Convenio No. 169 de 1989, “Sobre pueblos indígenas y tribales en países independientes” de la Organización Internacional del Trabajo – OIT, incorporado al bloque de constitucionalidad</w:t>
      </w:r>
      <w:r w:rsidRPr="007559D3">
        <w:rPr>
          <w:rFonts w:ascii="Verdana" w:hAnsi="Verdana"/>
          <w:vertAlign w:val="superscript"/>
        </w:rPr>
        <w:footnoteReference w:id="1"/>
      </w:r>
      <w:r w:rsidRPr="007559D3">
        <w:rPr>
          <w:rFonts w:ascii="Verdana" w:eastAsia="Calibri" w:hAnsi="Verdana" w:cs="Arial"/>
        </w:rPr>
        <w:t xml:space="preserve">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w:t>
      </w:r>
    </w:p>
    <w:p w14:paraId="62A18574" w14:textId="77777777" w:rsidR="000E171B" w:rsidRPr="007559D3" w:rsidRDefault="000E171B" w:rsidP="000E171B">
      <w:pPr>
        <w:spacing w:after="120" w:line="276" w:lineRule="auto"/>
        <w:ind w:firstLine="708"/>
        <w:jc w:val="both"/>
        <w:rPr>
          <w:rFonts w:ascii="Verdana" w:eastAsia="Calibri" w:hAnsi="Verdana" w:cs="Arial"/>
        </w:rPr>
      </w:pPr>
      <w:r w:rsidRPr="007559D3">
        <w:rPr>
          <w:rFonts w:ascii="Verdana" w:eastAsia="Calibri" w:hAnsi="Verdana" w:cs="Arial"/>
        </w:rPr>
        <w:t xml:space="preserve">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Así, 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indígenas. </w:t>
      </w:r>
    </w:p>
    <w:p w14:paraId="6989A242" w14:textId="77777777" w:rsidR="000E171B" w:rsidRPr="007559D3" w:rsidRDefault="000E171B" w:rsidP="000E171B">
      <w:pPr>
        <w:spacing w:after="120" w:line="276" w:lineRule="auto"/>
        <w:ind w:firstLine="708"/>
        <w:jc w:val="both"/>
        <w:rPr>
          <w:rFonts w:ascii="Verdana" w:eastAsia="Calibri" w:hAnsi="Verdana" w:cs="Arial"/>
        </w:rPr>
      </w:pPr>
      <w:r w:rsidRPr="007559D3">
        <w:rPr>
          <w:rFonts w:ascii="Verdana" w:eastAsia="Calibri" w:hAnsi="Verdana" w:cs="Arial"/>
        </w:rPr>
        <w:t xml:space="preserve">Dentro de los ámbitos en los que han incidido estas disposiciones se encuentra el de la contratación pública, en la medida en que las actuaciones orientadas a la satisfacción de derechos de los Pueblos indígenas en situaciones concretas requieren de la concertación entre estos y las Entidades Estatales, lo </w:t>
      </w:r>
      <w:r w:rsidRPr="007559D3">
        <w:rPr>
          <w:rFonts w:ascii="Verdana" w:eastAsia="Calibri" w:hAnsi="Verdana" w:cs="Arial"/>
        </w:rPr>
        <w:lastRenderedPageBreak/>
        <w:t>que ha suscitado la necesidad de un tratamiento jurídico particular para tales acuerdos.</w:t>
      </w:r>
    </w:p>
    <w:p w14:paraId="6022A620" w14:textId="77777777" w:rsidR="000E171B" w:rsidRPr="007559D3" w:rsidRDefault="000E171B" w:rsidP="000E171B">
      <w:pPr>
        <w:spacing w:after="120" w:line="276" w:lineRule="auto"/>
        <w:ind w:firstLine="708"/>
        <w:jc w:val="both"/>
        <w:rPr>
          <w:rFonts w:ascii="Verdana" w:eastAsia="Calibri" w:hAnsi="Verdana" w:cs="Arial"/>
        </w:rPr>
      </w:pPr>
      <w:r w:rsidRPr="007559D3">
        <w:rPr>
          <w:rFonts w:ascii="Verdana" w:eastAsia="Calibri" w:hAnsi="Verdana" w:cs="Arial"/>
        </w:rPr>
        <w:t xml:space="preserve">Esto ha generado que diversas disposiciones reconozcan la posibilidad de celebrar convenios y contratos que involucran como cocontratantes de las Entidades Estatales a diferentes instancias de representación de las comunidades indígenas. Para tales efectos, el legislador ha atribuido capacidad jurídica y contractual a diversas formas organizativas de los pueblos indígenas, estableciendo unos supuestos de hecho y requisitos con sujeción a los cuales procede la celebración de acuerdos de naturaleza contractual con dichos agentes.  </w:t>
      </w:r>
    </w:p>
    <w:p w14:paraId="2C4C05E6" w14:textId="77777777" w:rsidR="000E171B" w:rsidRPr="007559D3" w:rsidRDefault="000E171B" w:rsidP="000E171B">
      <w:pPr>
        <w:spacing w:after="120" w:line="276" w:lineRule="auto"/>
        <w:ind w:firstLine="708"/>
        <w:jc w:val="both"/>
        <w:rPr>
          <w:rFonts w:ascii="Verdana" w:eastAsia="Calibri" w:hAnsi="Verdana" w:cs="Arial"/>
        </w:rPr>
      </w:pPr>
      <w:r w:rsidRPr="007559D3">
        <w:rPr>
          <w:rFonts w:ascii="Verdana" w:eastAsia="Calibri" w:hAnsi="Verdana" w:cs="Arial"/>
        </w:rPr>
        <w:t xml:space="preserve">Debido a lo anterior, en varias disposiciones dirigidas a garantizar la igualdad material, procurar la satisfacción de derechos sociales, económicos y culturales de las comunidades, así como a la preservación de la identidad social y cultural de los pueblos indígenas, se han regulado algunos aspectos contractuales en relación con sus órganos representativos. Sin embargo, está regulación se torna dispersa dado que el grueso de las disposiciones en las que se sustentan las modalidades contractuales y la capacidad para celebrarlas se encuentra en varios cuerpos normativos que aplican a distintos entes estatales, obedecen a contextos disímiles y tienen naturaleza normativa diferente. </w:t>
      </w:r>
    </w:p>
    <w:p w14:paraId="7B5E75C4" w14:textId="1E74A39A" w:rsidR="00BE02C1" w:rsidRPr="007559D3" w:rsidRDefault="000E171B" w:rsidP="00BE02C1">
      <w:pPr>
        <w:spacing w:after="120" w:line="276" w:lineRule="auto"/>
        <w:ind w:firstLine="708"/>
        <w:jc w:val="both"/>
        <w:rPr>
          <w:rFonts w:ascii="Verdana" w:eastAsia="Calibri" w:hAnsi="Verdana" w:cs="Arial"/>
        </w:rPr>
      </w:pPr>
      <w:r w:rsidRPr="007559D3">
        <w:rPr>
          <w:rFonts w:ascii="Verdana" w:eastAsia="Calibri" w:hAnsi="Verdana" w:cs="Arial"/>
        </w:rPr>
        <w:t>De este marco jurídico hacen parte normas relevantes como el artículo 329 constitucional, las Leyes 80 de 1993, 136 de 1994– modificada por la Ley 1551 de 2012– los Decretos 1088 de 1993, 1953 de 2014, 252 de 2020, la Ley 2160 de 2021 y recientemente se les ha añadido las modificaciones de la Ley 2294 de 2023. Ahora, para efectos del presente concepto, y con el propósito de dar respuesta a</w:t>
      </w:r>
      <w:r w:rsidR="00392B01" w:rsidRPr="007559D3">
        <w:rPr>
          <w:rFonts w:ascii="Verdana" w:eastAsia="Calibri" w:hAnsi="Verdana" w:cs="Arial"/>
        </w:rPr>
        <w:t xml:space="preserve"> </w:t>
      </w:r>
      <w:r w:rsidRPr="007559D3">
        <w:rPr>
          <w:rFonts w:ascii="Verdana" w:eastAsia="Calibri" w:hAnsi="Verdana" w:cs="Arial"/>
        </w:rPr>
        <w:t>l</w:t>
      </w:r>
      <w:r w:rsidR="00392B01" w:rsidRPr="007559D3">
        <w:rPr>
          <w:rFonts w:ascii="Verdana" w:eastAsia="Calibri" w:hAnsi="Verdana" w:cs="Arial"/>
        </w:rPr>
        <w:t>os</w:t>
      </w:r>
      <w:r w:rsidRPr="007559D3">
        <w:rPr>
          <w:rFonts w:ascii="Verdana" w:eastAsia="Calibri" w:hAnsi="Verdana" w:cs="Arial"/>
        </w:rPr>
        <w:t xml:space="preserve"> problema</w:t>
      </w:r>
      <w:r w:rsidR="00392B01" w:rsidRPr="007559D3">
        <w:rPr>
          <w:rFonts w:ascii="Verdana" w:eastAsia="Calibri" w:hAnsi="Verdana" w:cs="Arial"/>
        </w:rPr>
        <w:t>s</w:t>
      </w:r>
      <w:r w:rsidRPr="007559D3">
        <w:rPr>
          <w:rFonts w:ascii="Verdana" w:eastAsia="Calibri" w:hAnsi="Verdana" w:cs="Arial"/>
        </w:rPr>
        <w:t xml:space="preserve"> jurídico</w:t>
      </w:r>
      <w:r w:rsidR="00392B01" w:rsidRPr="007559D3">
        <w:rPr>
          <w:rFonts w:ascii="Verdana" w:eastAsia="Calibri" w:hAnsi="Verdana" w:cs="Arial"/>
        </w:rPr>
        <w:t>s</w:t>
      </w:r>
      <w:r w:rsidRPr="007559D3">
        <w:rPr>
          <w:rFonts w:ascii="Verdana" w:eastAsia="Calibri" w:hAnsi="Verdana" w:cs="Arial"/>
        </w:rPr>
        <w:t xml:space="preserve"> planteado</w:t>
      </w:r>
      <w:r w:rsidR="00392B01" w:rsidRPr="007559D3">
        <w:rPr>
          <w:rFonts w:ascii="Verdana" w:eastAsia="Calibri" w:hAnsi="Verdana" w:cs="Arial"/>
        </w:rPr>
        <w:t>s</w:t>
      </w:r>
      <w:r w:rsidRPr="007559D3">
        <w:rPr>
          <w:rFonts w:ascii="Verdana" w:eastAsia="Calibri" w:hAnsi="Verdana" w:cs="Arial"/>
        </w:rPr>
        <w:t xml:space="preserve">, se estima necesario hacer énfasis </w:t>
      </w:r>
      <w:r w:rsidR="00926BB7" w:rsidRPr="007559D3">
        <w:rPr>
          <w:rFonts w:ascii="Verdana" w:eastAsia="Calibri" w:hAnsi="Verdana" w:cs="Arial"/>
        </w:rPr>
        <w:t xml:space="preserve">en el artículo 2 de la ley 80 de 1993 y </w:t>
      </w:r>
      <w:r w:rsidR="00BE02C1" w:rsidRPr="007559D3">
        <w:rPr>
          <w:rFonts w:ascii="Verdana" w:eastAsia="Calibri" w:hAnsi="Verdana" w:cs="Arial"/>
        </w:rPr>
        <w:t xml:space="preserve">hacer énfasis en el alcance de las leyes 2160 del 2021 y 2294 de 2023. </w:t>
      </w:r>
    </w:p>
    <w:p w14:paraId="639612D0" w14:textId="17D3167A" w:rsidR="00951C90" w:rsidRPr="007559D3" w:rsidRDefault="00951C90" w:rsidP="00951C90">
      <w:pPr>
        <w:spacing w:after="120" w:line="276" w:lineRule="auto"/>
        <w:ind w:firstLine="708"/>
        <w:jc w:val="both"/>
        <w:rPr>
          <w:rFonts w:ascii="Verdana" w:eastAsia="Calibri" w:hAnsi="Verdana" w:cs="Arial"/>
        </w:rPr>
      </w:pPr>
      <w:r w:rsidRPr="007559D3">
        <w:rPr>
          <w:rFonts w:ascii="Verdana" w:eastAsia="Calibri" w:hAnsi="Verdana" w:cs="Arial"/>
        </w:rPr>
        <w:t xml:space="preserve">Sobre el particular, debe iniciarse por señalar que en relación con las formas de organización indígena, la Constitución Política de 1991 </w:t>
      </w:r>
      <w:r w:rsidR="002B101F" w:rsidRPr="007559D3">
        <w:rPr>
          <w:rFonts w:ascii="Verdana" w:eastAsia="Calibri" w:hAnsi="Verdana" w:cs="Arial"/>
        </w:rPr>
        <w:t xml:space="preserve">en su artículo 329 </w:t>
      </w:r>
      <w:r w:rsidRPr="007559D3">
        <w:rPr>
          <w:rFonts w:ascii="Verdana" w:eastAsia="Calibri" w:hAnsi="Verdana" w:cs="Arial"/>
        </w:rPr>
        <w:t>dispuso que la conformación de las entidades territoriales indígenas se realizaría conforme a lo dispuesto en la Ley de Ordenamiento Territorial – LOT</w:t>
      </w:r>
      <w:r w:rsidRPr="007559D3">
        <w:rPr>
          <w:rStyle w:val="Refdenotaalpie"/>
          <w:rFonts w:ascii="Verdana" w:eastAsia="Calibri" w:hAnsi="Verdana" w:cs="Arial"/>
        </w:rPr>
        <w:footnoteReference w:id="2"/>
      </w:r>
      <w:r w:rsidRPr="007559D3">
        <w:rPr>
          <w:rFonts w:ascii="Verdana" w:eastAsia="Calibri" w:hAnsi="Verdana" w:cs="Arial"/>
        </w:rPr>
        <w:t xml:space="preserve">. </w:t>
      </w:r>
      <w:r w:rsidRPr="007559D3">
        <w:rPr>
          <w:rFonts w:ascii="Verdana" w:eastAsia="Calibri" w:hAnsi="Verdana" w:cs="Arial"/>
        </w:rPr>
        <w:lastRenderedPageBreak/>
        <w:t>Esta norma dispuso que la conformación de las entidades territoriales indígenas se realizaría de acuerdo con lo indicado en la Ley de Ordenamiento Territorial. No obstante, mientras esa ley era expedida por el Congreso de la República, la Constitución dispuso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r w:rsidRPr="007559D3">
        <w:rPr>
          <w:rFonts w:ascii="Verdana" w:eastAsia="Calibri" w:hAnsi="Verdana" w:cs="Arial"/>
          <w:sz w:val="21"/>
          <w:szCs w:val="21"/>
        </w:rPr>
        <w:t>.</w:t>
      </w:r>
      <w:bookmarkStart w:id="2" w:name="_Hlk34989337"/>
    </w:p>
    <w:p w14:paraId="0F5CA954" w14:textId="77777777" w:rsidR="00951C90" w:rsidRPr="007559D3" w:rsidRDefault="00951C90" w:rsidP="00951C90">
      <w:pPr>
        <w:spacing w:after="120" w:line="276" w:lineRule="auto"/>
        <w:ind w:firstLine="708"/>
        <w:jc w:val="both"/>
        <w:rPr>
          <w:rFonts w:ascii="Verdana" w:eastAsia="Calibri" w:hAnsi="Verdana" w:cs="Arial"/>
        </w:rPr>
      </w:pPr>
      <w:r w:rsidRPr="007559D3">
        <w:rPr>
          <w:rFonts w:ascii="Verdana" w:eastAsia="Calibri" w:hAnsi="Verdana" w:cs="Arial"/>
        </w:rPr>
        <w:t xml:space="preserve">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 atribuyéndoles estas últimas la naturaleza de entidades de derecho público, de carácter especial, con personería jurídica, patrimonio propio y autonomía administrativa. </w:t>
      </w:r>
      <w:bookmarkEnd w:id="2"/>
    </w:p>
    <w:p w14:paraId="3D6107A0" w14:textId="77777777" w:rsidR="002F3E4A" w:rsidRPr="007559D3" w:rsidRDefault="002F3E4A" w:rsidP="002F3E4A">
      <w:pPr>
        <w:spacing w:after="120" w:line="276" w:lineRule="auto"/>
        <w:ind w:firstLine="708"/>
        <w:jc w:val="both"/>
        <w:rPr>
          <w:rFonts w:ascii="Verdana" w:eastAsia="Calibri" w:hAnsi="Verdana" w:cs="Arial"/>
        </w:rPr>
      </w:pPr>
      <w:r w:rsidRPr="007559D3">
        <w:rPr>
          <w:rFonts w:ascii="Verdana" w:eastAsia="Calibri" w:hAnsi="Verdana" w:cs="Arial"/>
        </w:rPr>
        <w:t>Con base en lo anterior, los cabildos y las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5323759B" w14:textId="77777777" w:rsidR="00307118" w:rsidRPr="007559D3" w:rsidRDefault="004B139E" w:rsidP="00307118">
      <w:pPr>
        <w:spacing w:after="120" w:line="276" w:lineRule="auto"/>
        <w:ind w:firstLine="680"/>
        <w:jc w:val="both"/>
        <w:rPr>
          <w:rFonts w:ascii="Verdana" w:eastAsia="Calibri" w:hAnsi="Verdana" w:cs="Arial"/>
          <w:lang w:val="es-ES"/>
        </w:rPr>
      </w:pPr>
      <w:r w:rsidRPr="007559D3">
        <w:rPr>
          <w:rFonts w:ascii="Verdana" w:eastAsia="Calibri" w:hAnsi="Verdana" w:cs="Arial"/>
          <w:lang w:val="es-ES"/>
        </w:rPr>
        <w:t xml:space="preserve">De otra parte, el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w:t>
      </w:r>
      <w:r w:rsidRPr="007559D3">
        <w:rPr>
          <w:rFonts w:ascii="Verdana" w:eastAsia="Calibri" w:hAnsi="Verdana" w:cs="Arial"/>
          <w:lang w:val="es-ES"/>
        </w:rPr>
        <w:lastRenderedPageBreak/>
        <w:t>inalienables, imprescriptibles e inembargables”</w:t>
      </w:r>
      <w:r w:rsidRPr="007559D3">
        <w:rPr>
          <w:rStyle w:val="Refdenotaalpie"/>
          <w:rFonts w:ascii="Verdana" w:eastAsia="Calibri" w:hAnsi="Verdana" w:cs="Arial"/>
          <w:lang w:val="es-ES"/>
        </w:rPr>
        <w:footnoteReference w:id="3"/>
      </w:r>
      <w:r w:rsidRPr="007559D3">
        <w:rPr>
          <w:rFonts w:ascii="Verdana" w:eastAsia="Calibri" w:hAnsi="Verdana" w:cs="Arial"/>
          <w:lang w:val="es-ES"/>
        </w:rPr>
        <w:t xml:space="preserve">. De estos artículos se colige como los resguardos indígenas son una forma de propiedad colectiva a la que la Constitución le endilga unos atributos que la sustraen de actos traslaticios o de comercio, al igual que con los bienes de uso público.  </w:t>
      </w:r>
    </w:p>
    <w:p w14:paraId="0668D81F" w14:textId="723520B7" w:rsidR="00307118" w:rsidRPr="007559D3" w:rsidRDefault="00307118" w:rsidP="00307118">
      <w:pPr>
        <w:spacing w:after="120" w:line="276" w:lineRule="auto"/>
        <w:ind w:firstLine="680"/>
        <w:jc w:val="both"/>
        <w:rPr>
          <w:rFonts w:ascii="Verdana" w:eastAsia="Calibri" w:hAnsi="Verdana" w:cs="Arial"/>
          <w:lang w:val="es-ES"/>
        </w:rPr>
      </w:pPr>
      <w:r w:rsidRPr="007559D3">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w:t>
      </w:r>
      <w:r w:rsidRPr="007559D3">
        <w:rPr>
          <w:rFonts w:ascii="Verdana" w:eastAsia="Calibri" w:hAnsi="Verdana" w:cs="Arial"/>
          <w:i/>
          <w:iCs/>
          <w:lang w:val="es-ES"/>
        </w:rPr>
        <w:t>territorios indígenas</w:t>
      </w:r>
      <w:r w:rsidRPr="007559D3">
        <w:rPr>
          <w:rFonts w:ascii="Verdana" w:eastAsia="Calibri" w:hAnsi="Verdana" w:cs="Arial"/>
          <w:lang w:val="es-ES"/>
        </w:rPr>
        <w:t xml:space="preserve">: </w:t>
      </w:r>
    </w:p>
    <w:p w14:paraId="7F37D66E" w14:textId="77777777" w:rsidR="00307118" w:rsidRPr="007559D3" w:rsidRDefault="00307118" w:rsidP="00307118">
      <w:pPr>
        <w:spacing w:after="0" w:line="240" w:lineRule="auto"/>
        <w:ind w:left="708" w:right="709"/>
        <w:jc w:val="both"/>
        <w:rPr>
          <w:rFonts w:ascii="Verdana" w:eastAsia="Calibri" w:hAnsi="Verdana" w:cs="Arial"/>
          <w:sz w:val="20"/>
          <w:szCs w:val="20"/>
          <w:lang w:val="es-ES"/>
        </w:rPr>
      </w:pPr>
      <w:r w:rsidRPr="007559D3">
        <w:rPr>
          <w:rFonts w:ascii="Verdana" w:hAnsi="Verdana"/>
          <w:color w:val="242424"/>
          <w:sz w:val="20"/>
          <w:szCs w:val="20"/>
          <w:shd w:val="clear" w:color="auto" w:fill="FFFFFF"/>
        </w:rPr>
        <w:t xml:space="preserve">[…] </w:t>
      </w:r>
      <w:r w:rsidRPr="007559D3">
        <w:rPr>
          <w:rFonts w:ascii="Verdana" w:eastAsia="Calibri" w:hAnsi="Verdana" w:cs="Arial"/>
          <w:sz w:val="20"/>
          <w:szCs w:val="20"/>
          <w:lang w:val="es-ES"/>
        </w:rPr>
        <w:t xml:space="preserve">Artículo 2o. De la definición de entidades, servidores y servicios públicos. Para los solos efectos de esta ley: </w:t>
      </w:r>
    </w:p>
    <w:p w14:paraId="1C2A2A81" w14:textId="77777777" w:rsidR="00307118" w:rsidRPr="007559D3" w:rsidRDefault="00307118" w:rsidP="00307118">
      <w:pPr>
        <w:spacing w:after="0" w:line="240" w:lineRule="auto"/>
        <w:ind w:left="708" w:right="709"/>
        <w:jc w:val="both"/>
        <w:rPr>
          <w:rFonts w:ascii="Verdana" w:eastAsia="Calibri" w:hAnsi="Verdana" w:cs="Arial"/>
          <w:sz w:val="20"/>
          <w:szCs w:val="20"/>
          <w:lang w:val="es-ES"/>
        </w:rPr>
      </w:pPr>
    </w:p>
    <w:p w14:paraId="18AD6A1D" w14:textId="77777777" w:rsidR="00307118" w:rsidRPr="007559D3" w:rsidRDefault="00307118" w:rsidP="00307118">
      <w:pPr>
        <w:spacing w:after="0" w:line="240" w:lineRule="auto"/>
        <w:ind w:left="708" w:right="709"/>
        <w:jc w:val="both"/>
        <w:rPr>
          <w:rFonts w:ascii="Verdana" w:eastAsia="Calibri" w:hAnsi="Verdana" w:cs="Arial"/>
          <w:sz w:val="20"/>
          <w:szCs w:val="20"/>
          <w:lang w:val="es-ES"/>
        </w:rPr>
      </w:pPr>
      <w:r w:rsidRPr="007559D3">
        <w:rPr>
          <w:rFonts w:ascii="Verdana" w:eastAsia="Calibri" w:hAnsi="Verdana" w:cs="Arial"/>
          <w:sz w:val="20"/>
          <w:szCs w:val="20"/>
          <w:lang w:val="es-ES"/>
        </w:rPr>
        <w:t xml:space="preserve">1o. Se denominan entidades estatales: </w:t>
      </w:r>
    </w:p>
    <w:p w14:paraId="4FCC8671" w14:textId="77777777" w:rsidR="00307118" w:rsidRPr="007559D3" w:rsidRDefault="00307118" w:rsidP="00307118">
      <w:pPr>
        <w:spacing w:after="0" w:line="240" w:lineRule="auto"/>
        <w:ind w:left="708" w:right="709"/>
        <w:jc w:val="both"/>
        <w:rPr>
          <w:rFonts w:ascii="Verdana" w:eastAsia="Calibri" w:hAnsi="Verdana" w:cs="Arial"/>
          <w:sz w:val="20"/>
          <w:szCs w:val="20"/>
          <w:lang w:val="es-ES"/>
        </w:rPr>
      </w:pPr>
    </w:p>
    <w:p w14:paraId="744E87D2" w14:textId="77777777" w:rsidR="00307118" w:rsidRPr="007559D3" w:rsidRDefault="00307118" w:rsidP="00307118">
      <w:pPr>
        <w:spacing w:after="0" w:line="240" w:lineRule="auto"/>
        <w:ind w:left="708" w:right="709"/>
        <w:jc w:val="both"/>
        <w:rPr>
          <w:rFonts w:ascii="Verdana" w:eastAsia="Calibri" w:hAnsi="Verdana" w:cs="Arial"/>
          <w:sz w:val="20"/>
          <w:szCs w:val="20"/>
          <w:lang w:val="es-ES"/>
        </w:rPr>
      </w:pPr>
      <w:r w:rsidRPr="007559D3">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7559D3">
        <w:rPr>
          <w:rFonts w:ascii="Verdana" w:eastAsia="Calibri" w:hAnsi="Verdana" w:cs="Arial"/>
          <w:i/>
          <w:sz w:val="20"/>
          <w:szCs w:val="20"/>
          <w:lang w:val="es-ES"/>
        </w:rPr>
        <w:t>los territorios indígenas</w:t>
      </w:r>
      <w:r w:rsidRPr="007559D3">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03BD7D47" w14:textId="77777777" w:rsidR="00307118" w:rsidRPr="007559D3" w:rsidRDefault="00307118" w:rsidP="00307118">
      <w:pPr>
        <w:spacing w:after="0" w:line="240" w:lineRule="auto"/>
        <w:textAlignment w:val="baseline"/>
        <w:rPr>
          <w:rFonts w:ascii="Verdana" w:eastAsia="Times New Roman" w:hAnsi="Verdana" w:cs="Segoe UI"/>
          <w:b/>
          <w:bCs/>
          <w:color w:val="46589C"/>
          <w:lang w:val="es-ES" w:eastAsia="es-CO"/>
        </w:rPr>
      </w:pPr>
    </w:p>
    <w:p w14:paraId="28084797" w14:textId="77777777" w:rsidR="00354E08" w:rsidRPr="007559D3" w:rsidRDefault="007258F3" w:rsidP="00354E08">
      <w:pPr>
        <w:spacing w:after="120" w:line="276" w:lineRule="auto"/>
        <w:ind w:firstLine="708"/>
        <w:jc w:val="both"/>
        <w:rPr>
          <w:rFonts w:ascii="Verdana" w:eastAsia="Calibri" w:hAnsi="Verdana" w:cs="Arial"/>
          <w:lang w:val="es-ES"/>
        </w:rPr>
      </w:pPr>
      <w:r w:rsidRPr="007559D3">
        <w:rPr>
          <w:rFonts w:ascii="Verdana" w:eastAsia="Calibri" w:hAnsi="Verdana" w:cs="Arial"/>
          <w:lang w:val="es-ES"/>
        </w:rPr>
        <w:t xml:space="preserve">De acuerdo con la Ley 80 de 1993, los </w:t>
      </w:r>
      <w:r w:rsidRPr="007559D3">
        <w:rPr>
          <w:rFonts w:ascii="Verdana" w:eastAsia="Calibri" w:hAnsi="Verdana" w:cs="Arial"/>
          <w:i/>
          <w:iCs/>
          <w:lang w:val="es-ES"/>
        </w:rPr>
        <w:t>territorios indígenas</w:t>
      </w:r>
      <w:r w:rsidRPr="007559D3">
        <w:rPr>
          <w:rFonts w:ascii="Verdana" w:eastAsia="Calibri" w:hAnsi="Verdana" w:cs="Arial"/>
          <w:lang w:val="es-ES"/>
        </w:rPr>
        <w:t xml:space="preserve"> son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7B8B0E16" w14:textId="6F37A516" w:rsidR="000E171B" w:rsidRPr="007559D3" w:rsidRDefault="000E171B" w:rsidP="00B94C67">
      <w:pPr>
        <w:spacing w:after="120" w:line="276" w:lineRule="auto"/>
        <w:ind w:firstLine="708"/>
        <w:jc w:val="both"/>
        <w:rPr>
          <w:rFonts w:ascii="Verdana" w:eastAsia="Calibri" w:hAnsi="Verdana" w:cs="Arial"/>
          <w:lang w:val="es-ES"/>
        </w:rPr>
      </w:pPr>
      <w:r w:rsidRPr="007559D3">
        <w:rPr>
          <w:rFonts w:ascii="Verdana" w:eastAsia="Calibri" w:hAnsi="Verdana" w:cs="Arial"/>
        </w:rPr>
        <w:lastRenderedPageBreak/>
        <w:t xml:space="preserve"> </w:t>
      </w:r>
      <w:r w:rsidR="00354E08" w:rsidRPr="007559D3">
        <w:rPr>
          <w:rFonts w:ascii="Verdana" w:eastAsia="Calibri" w:hAnsi="Verdana" w:cs="Arial"/>
          <w:lang w:val="es-ES"/>
        </w:rPr>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7260677C" w14:textId="21F7E47C" w:rsidR="004230A2" w:rsidRPr="007559D3" w:rsidRDefault="009D42D9" w:rsidP="00340F1F">
      <w:pPr>
        <w:spacing w:after="120" w:line="276" w:lineRule="auto"/>
        <w:ind w:firstLine="708"/>
        <w:jc w:val="both"/>
        <w:rPr>
          <w:rFonts w:ascii="Verdana" w:eastAsia="Calibri" w:hAnsi="Verdana" w:cs="Arial"/>
          <w:lang w:val="es-ES"/>
        </w:rPr>
      </w:pPr>
      <w:r w:rsidRPr="007559D3">
        <w:rPr>
          <w:rFonts w:ascii="Verdana" w:eastAsia="Calibri" w:hAnsi="Verdana" w:cs="Arial"/>
          <w:lang w:val="es-ES"/>
        </w:rPr>
        <w:t>Posteriormente</w:t>
      </w:r>
      <w:r w:rsidR="00340F1F" w:rsidRPr="007559D3">
        <w:rPr>
          <w:rFonts w:ascii="Verdana" w:eastAsia="Calibri" w:hAnsi="Verdana" w:cs="Arial"/>
          <w:lang w:val="es-ES"/>
        </w:rPr>
        <w:t xml:space="preserve">, </w:t>
      </w:r>
      <w:r w:rsidR="00781394" w:rsidRPr="007559D3">
        <w:rPr>
          <w:rFonts w:ascii="Verdana" w:eastAsia="Calibri" w:hAnsi="Verdana" w:cs="Arial"/>
          <w:lang w:val="es-ES"/>
        </w:rPr>
        <w:t xml:space="preserve">mediante el Decreto 1953 del 2014 se creó </w:t>
      </w:r>
      <w:r w:rsidR="00C73E76" w:rsidRPr="007559D3">
        <w:rPr>
          <w:rFonts w:ascii="Verdana" w:eastAsia="Calibri" w:hAnsi="Verdana" w:cs="Arial"/>
          <w:lang w:val="es-ES"/>
        </w:rPr>
        <w:t>un</w:t>
      </w:r>
      <w:r w:rsidR="00781394" w:rsidRPr="007559D3">
        <w:rPr>
          <w:rFonts w:ascii="Verdana" w:eastAsia="Calibri" w:hAnsi="Verdana" w:cs="Arial"/>
          <w:lang w:val="es-ES"/>
        </w:rPr>
        <w:t xml:space="preserve"> régimen especial con el fin de poner en funcionamiento los Territorios Indígenas respecto de la administración de los sistemas propios de los pueblos indígenas hasta que el Congreso expida la ley de qué trata el artículo 329 de la Constitución Política, mediante </w:t>
      </w:r>
      <w:r w:rsidR="00C73E76" w:rsidRPr="007559D3">
        <w:rPr>
          <w:rFonts w:ascii="Verdana" w:eastAsia="Calibri" w:hAnsi="Verdana" w:cs="Arial"/>
          <w:lang w:val="es-ES"/>
        </w:rPr>
        <w:t xml:space="preserve">este decreto se </w:t>
      </w:r>
      <w:r w:rsidR="003945BE" w:rsidRPr="007559D3">
        <w:rPr>
          <w:rFonts w:ascii="Verdana" w:eastAsia="Calibri" w:hAnsi="Verdana" w:cs="Arial"/>
          <w:lang w:val="es-ES"/>
        </w:rPr>
        <w:t xml:space="preserve">reconoció a los </w:t>
      </w:r>
      <w:r w:rsidR="00C375D9" w:rsidRPr="007559D3">
        <w:rPr>
          <w:rFonts w:ascii="Verdana" w:eastAsia="Calibri" w:hAnsi="Verdana" w:cs="Arial"/>
          <w:lang w:val="es-ES"/>
        </w:rPr>
        <w:t xml:space="preserve"> a los </w:t>
      </w:r>
      <w:r w:rsidR="00C375D9" w:rsidRPr="007559D3">
        <w:rPr>
          <w:rFonts w:ascii="Verdana" w:eastAsia="Calibri" w:hAnsi="Verdana" w:cs="Arial"/>
          <w:i/>
          <w:iCs/>
          <w:lang w:val="es-ES"/>
        </w:rPr>
        <w:t>territorios indígenas</w:t>
      </w:r>
      <w:r w:rsidR="00C375D9" w:rsidRPr="007559D3">
        <w:rPr>
          <w:rFonts w:ascii="Verdana" w:eastAsia="Calibri" w:hAnsi="Verdana" w:cs="Arial"/>
          <w:lang w:val="es-ES"/>
        </w:rPr>
        <w:t xml:space="preserve"> su condición de organización político administrativa de carácter especial, que les permite el ejercicio de las competencias y funciones públicas, a través de sus autoridades propias. </w:t>
      </w:r>
    </w:p>
    <w:p w14:paraId="0ABA65CE" w14:textId="78874939" w:rsidR="00340F1F" w:rsidRPr="007559D3" w:rsidRDefault="005607CE" w:rsidP="0069507E">
      <w:pPr>
        <w:spacing w:after="120" w:line="276" w:lineRule="auto"/>
        <w:ind w:firstLine="708"/>
        <w:jc w:val="both"/>
        <w:rPr>
          <w:rFonts w:ascii="Verdana" w:eastAsia="Calibri" w:hAnsi="Verdana" w:cs="Arial"/>
          <w:lang w:val="es-ES"/>
        </w:rPr>
      </w:pPr>
      <w:r w:rsidRPr="007559D3">
        <w:rPr>
          <w:rFonts w:ascii="Verdana" w:eastAsia="Calibri" w:hAnsi="Verdana" w:cs="Arial"/>
          <w:lang w:val="es-ES"/>
        </w:rPr>
        <w:t xml:space="preserve">Por otro lado, </w:t>
      </w:r>
      <w:r w:rsidR="00340F1F" w:rsidRPr="007559D3">
        <w:rPr>
          <w:rFonts w:ascii="Verdana" w:eastAsia="Calibri" w:hAnsi="Verdana" w:cs="Arial"/>
          <w:lang w:val="es-ES"/>
        </w:rPr>
        <w:t xml:space="preserve">el artículo 20 del Decreto 1953 de 2014 dispone que los actos o contratos que celebren o expidan los </w:t>
      </w:r>
      <w:r w:rsidR="00340F1F" w:rsidRPr="007559D3">
        <w:rPr>
          <w:rFonts w:ascii="Verdana" w:eastAsia="Calibri" w:hAnsi="Verdana" w:cs="Arial"/>
          <w:i/>
          <w:iCs/>
          <w:lang w:val="es-ES"/>
        </w:rPr>
        <w:t>territorios indígenas</w:t>
      </w:r>
      <w:r w:rsidR="00340F1F" w:rsidRPr="007559D3">
        <w:rPr>
          <w:rFonts w:ascii="Verdana" w:eastAsia="Calibri" w:hAnsi="Verdana" w:cs="Arial"/>
          <w:lang w:val="es-ES"/>
        </w:rPr>
        <w:t xml:space="preserve">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00340F1F" w:rsidRPr="007559D3">
        <w:rPr>
          <w:rStyle w:val="Refdenotaalpie"/>
          <w:rFonts w:ascii="Verdana" w:eastAsia="Calibri" w:hAnsi="Verdana" w:cs="Arial"/>
          <w:lang w:val="es-ES"/>
        </w:rPr>
        <w:footnoteReference w:id="4"/>
      </w:r>
      <w:r w:rsidR="00340F1F" w:rsidRPr="007559D3">
        <w:rPr>
          <w:rFonts w:ascii="Verdana" w:eastAsia="Calibri" w:hAnsi="Verdana" w:cs="Arial"/>
          <w:lang w:val="es-ES"/>
        </w:rPr>
        <w:t xml:space="preserve">. </w:t>
      </w:r>
    </w:p>
    <w:p w14:paraId="350653FB" w14:textId="09DC55B9" w:rsidR="00CB3AA7" w:rsidRPr="007559D3" w:rsidRDefault="009758C2" w:rsidP="003C5F90">
      <w:pPr>
        <w:spacing w:after="120" w:line="276" w:lineRule="auto"/>
        <w:jc w:val="both"/>
        <w:rPr>
          <w:rFonts w:ascii="Verdana" w:eastAsia="Calibri" w:hAnsi="Verdana" w:cs="Arial"/>
          <w:lang w:val="es-ES"/>
        </w:rPr>
      </w:pPr>
      <w:r w:rsidRPr="007559D3">
        <w:rPr>
          <w:rFonts w:ascii="Verdana" w:eastAsia="Calibri" w:hAnsi="Verdana" w:cs="Arial"/>
          <w:lang w:val="es-ES"/>
        </w:rPr>
        <w:tab/>
        <w:t xml:space="preserve">No obstante, el régimen para la transitoria puesta en marcha de los territorios indígenas establecido por el Decreto autónomo 1953 de 2014, estableció la posibilidad de que los resguardos indígenas que cumplieran ciertos requisitos o se agruparan con otros resguardos fueran reconocidos de manera </w:t>
      </w:r>
      <w:r w:rsidRPr="007559D3">
        <w:rPr>
          <w:rFonts w:ascii="Verdana" w:eastAsia="Calibri" w:hAnsi="Verdana" w:cs="Arial"/>
          <w:lang w:val="es-ES"/>
        </w:rPr>
        <w:lastRenderedPageBreak/>
        <w:t xml:space="preserve">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4F38F833" w14:textId="77777777" w:rsidR="00F94411" w:rsidRPr="007559D3" w:rsidRDefault="003C5F90" w:rsidP="003C5F90">
      <w:pPr>
        <w:spacing w:after="120" w:line="276" w:lineRule="auto"/>
        <w:jc w:val="both"/>
        <w:rPr>
          <w:rFonts w:ascii="Verdana" w:eastAsia="Calibri" w:hAnsi="Verdana" w:cs="Arial"/>
          <w:lang w:val="es-ES"/>
        </w:rPr>
      </w:pPr>
      <w:r w:rsidRPr="007559D3">
        <w:rPr>
          <w:rFonts w:ascii="Verdana" w:eastAsia="Calibri" w:hAnsi="Verdana" w:cs="Arial"/>
          <w:lang w:val="es-ES"/>
        </w:rPr>
        <w:tab/>
        <w:t>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w:t>
      </w:r>
      <w:r w:rsidRPr="007559D3">
        <w:rPr>
          <w:rStyle w:val="Refdenotaalpie"/>
          <w:rFonts w:ascii="Verdana" w:eastAsia="Calibri" w:hAnsi="Verdana" w:cs="Arial"/>
          <w:lang w:val="es-ES"/>
        </w:rPr>
        <w:footnoteReference w:id="5"/>
      </w:r>
      <w:r w:rsidRPr="007559D3">
        <w:rPr>
          <w:rFonts w:ascii="Verdana" w:eastAsia="Calibri" w:hAnsi="Verdana" w:cs="Arial"/>
          <w:lang w:val="es-ES"/>
        </w:rPr>
        <w:t xml:space="preserve">, prevalentemente relacionadas con la ejecución y administración de recursos del Sistema General de Participaciones, por lo que no estarían facultados para ejecutar negocios jurídicos no relacionados con tales atribuciones. </w:t>
      </w:r>
    </w:p>
    <w:p w14:paraId="3E1DA966" w14:textId="631E0586" w:rsidR="008461A5" w:rsidRPr="007559D3" w:rsidRDefault="00F94411" w:rsidP="008461A5">
      <w:pPr>
        <w:shd w:val="clear" w:color="auto" w:fill="FFFFFF"/>
        <w:spacing w:after="120" w:line="276" w:lineRule="auto"/>
        <w:jc w:val="both"/>
        <w:rPr>
          <w:rFonts w:ascii="Verdana" w:eastAsia="Calibri" w:hAnsi="Verdana" w:cs="Arial"/>
          <w:lang w:val="es-MX"/>
        </w:rPr>
      </w:pPr>
      <w:r w:rsidRPr="007559D3">
        <w:rPr>
          <w:rFonts w:ascii="Verdana" w:eastAsia="Calibri" w:hAnsi="Verdana" w:cs="Arial"/>
          <w:lang w:val="es-ES"/>
        </w:rPr>
        <w:tab/>
      </w:r>
      <w:r w:rsidR="00C553EE" w:rsidRPr="007559D3">
        <w:rPr>
          <w:rFonts w:ascii="Verdana" w:eastAsia="Calibri" w:hAnsi="Verdana" w:cs="Arial"/>
          <w:lang w:val="es-ES"/>
        </w:rPr>
        <w:t xml:space="preserve">Ahora bien, de cara </w:t>
      </w:r>
      <w:r w:rsidR="00777B4A" w:rsidRPr="007559D3">
        <w:rPr>
          <w:rFonts w:ascii="Verdana" w:eastAsia="Calibri" w:hAnsi="Verdana" w:cs="Arial"/>
          <w:lang w:val="es-ES"/>
        </w:rPr>
        <w:t>a</w:t>
      </w:r>
      <w:r w:rsidR="0014089A" w:rsidRPr="007559D3">
        <w:rPr>
          <w:rFonts w:ascii="Verdana" w:eastAsia="Calibri" w:hAnsi="Verdana" w:cs="Arial"/>
          <w:lang w:val="es-ES"/>
        </w:rPr>
        <w:t xml:space="preserve">l alcance de la causal de contratación directa del literal L) del artículo 2, numeral 4 de la ley 1150 de 2007, debe indicarse que </w:t>
      </w:r>
      <w:r w:rsidR="008461A5" w:rsidRPr="007559D3">
        <w:rPr>
          <w:rFonts w:ascii="Verdana" w:eastAsia="Calibri" w:hAnsi="Verdana" w:cs="Arial"/>
          <w:lang w:val="es-MX"/>
        </w:rPr>
        <w:t xml:space="preserve">si bien 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w:t>
      </w:r>
      <w:r w:rsidR="008461A5" w:rsidRPr="007559D3">
        <w:rPr>
          <w:rFonts w:ascii="Verdana" w:eastAsia="Calibri" w:hAnsi="Verdana" w:cs="Arial"/>
          <w:lang w:val="es-MX"/>
        </w:rPr>
        <w:lastRenderedPageBreak/>
        <w:t xml:space="preserve">Una de las excepciones es la causal de contratación directa prevista en el literal l) del mencionado numeral, modificado por el artículo 353 de la Ley 2294 de 2023, el cual dispone que podrán celebrarse directamente “Los contratos o convenios que las entidades estatales suscriban con </w:t>
      </w:r>
      <w:bookmarkStart w:id="3" w:name="_Hlk160454983"/>
      <w:r w:rsidR="008461A5" w:rsidRPr="007559D3">
        <w:rPr>
          <w:rFonts w:ascii="Verdana" w:eastAsia="Calibri" w:hAnsi="Verdana" w:cs="Arial"/>
          <w:lang w:val="es-MX"/>
        </w:rPr>
        <w:t>los Cabildos Indígenas, las asociaciones de Cabildos Indígenas y/o Autoridades Tradicionales Indígenas, Consejos Indígenas y Organizaciones Indígenas</w:t>
      </w:r>
      <w:bookmarkEnd w:id="3"/>
      <w:r w:rsidR="008461A5" w:rsidRPr="007559D3">
        <w:rPr>
          <w:rFonts w:ascii="Verdana" w:eastAsia="Calibri" w:hAnsi="Verdana" w:cs="Arial"/>
          <w:lang w:val="es-MX"/>
        </w:rPr>
        <w:t xml:space="preserve"> con capacidad para contratar cuyo objeto esté </w:t>
      </w:r>
      <w:bookmarkStart w:id="4" w:name="_Hlk160455781"/>
      <w:r w:rsidR="008461A5" w:rsidRPr="007559D3">
        <w:rPr>
          <w:rFonts w:ascii="Verdana" w:eastAsia="Calibri" w:hAnsi="Verdana" w:cs="Arial"/>
          <w:lang w:val="es-MX"/>
        </w:rPr>
        <w:t>relacionado con la ejecución de programas, planes y proyectos del plan de desarrollo</w:t>
      </w:r>
      <w:bookmarkEnd w:id="4"/>
      <w:r w:rsidR="008461A5" w:rsidRPr="007559D3">
        <w:rPr>
          <w:rFonts w:ascii="Verdana" w:eastAsia="Calibri" w:hAnsi="Verdana" w:cs="Arial"/>
          <w:lang w:val="es-MX"/>
        </w:rPr>
        <w:t xml:space="preserve"> relacionados con </w:t>
      </w:r>
      <w:bookmarkStart w:id="5" w:name="_Hlk160455552"/>
      <w:r w:rsidR="008461A5" w:rsidRPr="007559D3">
        <w:rPr>
          <w:rFonts w:ascii="Verdana" w:eastAsia="Calibri" w:hAnsi="Verdana" w:cs="Arial"/>
          <w:lang w:val="es-MX"/>
        </w:rPr>
        <w:t>el fortalecimiento del gobierno propio, la identidad cultural, el ejercicio de la autonomía, la garantía de los derechos, satisfacción de necesidades y/o servicios públicos de los pueblos y comunidades indígenas</w:t>
      </w:r>
      <w:bookmarkEnd w:id="5"/>
      <w:r w:rsidR="008461A5" w:rsidRPr="007559D3">
        <w:rPr>
          <w:rFonts w:ascii="Verdana" w:eastAsia="Calibri" w:hAnsi="Verdana" w:cs="Arial"/>
          <w:lang w:val="es-MX"/>
        </w:rPr>
        <w:t xml:space="preserve"> […]”. </w:t>
      </w:r>
    </w:p>
    <w:p w14:paraId="5B5AD928" w14:textId="77777777" w:rsidR="00D95289" w:rsidRPr="007559D3" w:rsidRDefault="00D95289" w:rsidP="00D95289">
      <w:pPr>
        <w:shd w:val="clear" w:color="auto" w:fill="FFFFFF"/>
        <w:spacing w:after="120" w:line="276" w:lineRule="auto"/>
        <w:jc w:val="both"/>
        <w:rPr>
          <w:rFonts w:ascii="Verdana" w:eastAsia="Calibri" w:hAnsi="Verdana" w:cs="Arial"/>
          <w:lang w:val="es-MX"/>
        </w:rPr>
      </w:pPr>
      <w:r w:rsidRPr="007559D3">
        <w:rPr>
          <w:rFonts w:ascii="Verdana" w:eastAsia="Calibri" w:hAnsi="Verdana" w:cs="Arial"/>
          <w:lang w:val="es-MX"/>
        </w:rPr>
        <w:tab/>
        <w:t xml:space="preserve">Dicha causal aplica en función de los sujetos y del objeto. </w:t>
      </w:r>
      <w:r w:rsidRPr="007559D3">
        <w:rPr>
          <w:rFonts w:ascii="Verdana" w:eastAsia="Calibri" w:hAnsi="Verdana" w:cs="Arial"/>
          <w:i/>
          <w:iCs/>
          <w:lang w:val="es-MX"/>
        </w:rPr>
        <w:t>Por un lado</w:t>
      </w:r>
      <w:r w:rsidRPr="007559D3">
        <w:rPr>
          <w:rFonts w:ascii="Verdana" w:eastAsia="Calibri" w:hAnsi="Verdana" w:cs="Arial"/>
          <w:lang w:val="es-MX"/>
        </w:rPr>
        <w:t xml:space="preserve">, se circunscribe a los contratos o convenios celebrados entre las entidades públicas con los “[…] Cabildos Indígenas, las asociaciones de Cabildos Indígenas y/o Autoridades Tradicionales Indígenas, Consejos Indígenas y Organizaciones Indígenas […]”. Las entidades públicas son aquellas definidas en el artículo 2 de las Ley 80 de 1993, mientras que la naturaleza jurídica y la capacidad contractual de las comunidades indígenas se estudió en el punto anterior. </w:t>
      </w:r>
      <w:r w:rsidRPr="007559D3">
        <w:rPr>
          <w:rFonts w:ascii="Verdana" w:eastAsia="Calibri" w:hAnsi="Verdana" w:cs="Arial"/>
          <w:i/>
          <w:iCs/>
          <w:lang w:val="es-MX"/>
        </w:rPr>
        <w:t>Por otra parte</w:t>
      </w:r>
      <w:r w:rsidRPr="007559D3">
        <w:rPr>
          <w:rFonts w:ascii="Verdana" w:eastAsia="Calibri" w:hAnsi="Verdana" w:cs="Arial"/>
          <w:lang w:val="es-MX"/>
        </w:rPr>
        <w:t xml:space="preserve">, además del criterio subjetivo, se requiere que los contratos y convenios se enfoquen en “[…] el fortalecimiento del gobierno propio, la identidad cultural, el ejercicio de la autonomía, la garantía de los derechos, satisfacción de necesidades y/o servicios públicos de los pueblos y comunidades indígenas […]”. Es decir, la causal no es absoluta y, por tanto, la excepción a los procedimientos de la convocatoria abierta se refiere a objetos específicos. Sin embargo, es también es necesario que estén “[…] relacionados con la ejecución de programas, planes y proyectos del plan de desarrollo […]”, lo cual implica una delimitación adicional.    </w:t>
      </w:r>
    </w:p>
    <w:p w14:paraId="26827AB4" w14:textId="77777777" w:rsidR="00C32BC7" w:rsidRPr="007559D3" w:rsidRDefault="00C32BC7" w:rsidP="00C32BC7">
      <w:pPr>
        <w:pBdr>
          <w:top w:val="nil"/>
          <w:left w:val="nil"/>
          <w:bottom w:val="nil"/>
          <w:right w:val="nil"/>
          <w:between w:val="nil"/>
        </w:pBdr>
        <w:spacing w:after="120" w:line="276" w:lineRule="auto"/>
        <w:ind w:firstLine="703"/>
        <w:jc w:val="both"/>
        <w:rPr>
          <w:rFonts w:ascii="Verdana" w:eastAsia="Arial" w:hAnsi="Verdana" w:cs="Arial"/>
          <w:color w:val="000000"/>
        </w:rPr>
      </w:pPr>
      <w:r w:rsidRPr="007559D3">
        <w:rPr>
          <w:rFonts w:ascii="Verdana" w:eastAsia="Calibri" w:hAnsi="Verdana" w:cs="Arial"/>
          <w:lang w:val="es-MX"/>
        </w:rPr>
        <w:tab/>
        <w:t xml:space="preserve">Desde el punto de vista del objeto, la causal de contratación directa del literal l) del artículo 2, numeral 4 de la Ley 1150 de 2007 depende de la aplicación de </w:t>
      </w:r>
      <w:r w:rsidRPr="007559D3">
        <w:rPr>
          <w:rFonts w:ascii="Verdana" w:eastAsia="Calibri" w:hAnsi="Verdana" w:cs="Arial"/>
          <w:i/>
          <w:iCs/>
          <w:lang w:val="es-MX"/>
        </w:rPr>
        <w:t>conceptos jurídicos indeterminados</w:t>
      </w:r>
      <w:r w:rsidRPr="007559D3">
        <w:rPr>
          <w:rFonts w:ascii="Verdana" w:eastAsia="Calibri" w:hAnsi="Verdana" w:cs="Arial"/>
          <w:lang w:val="es-MX"/>
        </w:rPr>
        <w:t xml:space="preserve">. </w:t>
      </w:r>
      <w:r w:rsidRPr="007559D3">
        <w:rPr>
          <w:rFonts w:ascii="Verdana" w:eastAsia="Arial" w:hAnsi="Verdana" w:cs="Arial"/>
          <w:color w:val="000000"/>
        </w:rPr>
        <w:t>Como explican los profesores Eduardo García de Enterría y Tomás-Ramón Fernández, “por su referencia a la realidad, los conceptos utilizados por las leyes pueden ser determinados o indeterminados”</w:t>
      </w:r>
      <w:r w:rsidRPr="007559D3">
        <w:rPr>
          <w:rFonts w:ascii="Verdana" w:eastAsia="Arial" w:hAnsi="Verdana" w:cs="Arial"/>
          <w:color w:val="000000"/>
          <w:vertAlign w:val="superscript"/>
        </w:rPr>
        <w:footnoteReference w:id="6"/>
      </w:r>
      <w:r w:rsidRPr="007559D3">
        <w:rPr>
          <w:rFonts w:ascii="Verdana" w:eastAsia="Arial" w:hAnsi="Verdana" w:cs="Arial"/>
          <w:color w:val="000000"/>
        </w:rPr>
        <w:t xml:space="preserve">. En el caso de los primeros, el ámbito de la realidad al que se </w:t>
      </w:r>
      <w:r w:rsidRPr="007559D3">
        <w:rPr>
          <w:rFonts w:ascii="Verdana" w:eastAsia="Arial" w:hAnsi="Verdana" w:cs="Arial"/>
          <w:color w:val="000000"/>
        </w:rPr>
        <w:lastRenderedPageBreak/>
        <w:t>refieren está bien determinado y, por ende, su aplicación se limita a la constatación del supuesto de hecho objeto de regulación, como pasa, por ejemplo, cuando la ley establece que se debe cumplir cierta edad para acceder al derecho de pensión. Frente a los segundos, sin embargo, “la ley refiere una esfera de realidad cuyos límites no aparecen bien precisados en su enunciado”</w:t>
      </w:r>
      <w:r w:rsidRPr="007559D3">
        <w:rPr>
          <w:rFonts w:ascii="Verdana" w:eastAsia="Arial" w:hAnsi="Verdana" w:cs="Arial"/>
          <w:color w:val="000000"/>
          <w:vertAlign w:val="superscript"/>
        </w:rPr>
        <w:footnoteReference w:id="7"/>
      </w:r>
      <w:r w:rsidRPr="007559D3">
        <w:rPr>
          <w:rFonts w:ascii="Verdana" w:eastAsia="Arial" w:hAnsi="Verdana" w:cs="Arial"/>
          <w:color w:val="000000"/>
        </w:rPr>
        <w:t>, como es el caso de la expresión “inmediatamente”, contenida en el artículo 43 de la Ley 80 de 1993</w:t>
      </w:r>
      <w:r w:rsidRPr="007559D3">
        <w:rPr>
          <w:rFonts w:ascii="Verdana" w:eastAsia="Arial" w:hAnsi="Verdana" w:cs="Arial"/>
        </w:rPr>
        <w:t xml:space="preserve">, o de </w:t>
      </w:r>
      <w:r w:rsidRPr="007559D3">
        <w:rPr>
          <w:rFonts w:ascii="Verdana" w:eastAsia="Arial" w:hAnsi="Verdana" w:cs="Arial"/>
          <w:color w:val="000000"/>
        </w:rPr>
        <w:t xml:space="preserve">“buena fe”, </w:t>
      </w:r>
      <w:r w:rsidRPr="007559D3">
        <w:rPr>
          <w:rFonts w:ascii="Verdana" w:eastAsia="Arial" w:hAnsi="Verdana" w:cs="Arial"/>
        </w:rPr>
        <w:t xml:space="preserve">exigida </w:t>
      </w:r>
      <w:r w:rsidRPr="007559D3">
        <w:rPr>
          <w:rFonts w:ascii="Verdana" w:eastAsia="Arial" w:hAnsi="Verdana" w:cs="Arial"/>
          <w:color w:val="000000"/>
        </w:rPr>
        <w:t xml:space="preserve">para la tenencia en el caso de la prescripción adquisitiva. Según la doctrina alemana, estos últimos </w:t>
      </w:r>
      <w:r w:rsidRPr="007559D3">
        <w:rPr>
          <w:rFonts w:ascii="Verdana" w:eastAsia="Arial" w:hAnsi="Verdana" w:cs="Arial"/>
        </w:rPr>
        <w:t>están</w:t>
      </w:r>
      <w:r w:rsidRPr="007559D3">
        <w:rPr>
          <w:rFonts w:ascii="Verdana" w:eastAsia="Arial" w:hAnsi="Verdana" w:cs="Arial"/>
          <w:color w:val="000000"/>
        </w:rPr>
        <w:t xml:space="preserve"> caracterizados por tener un “halo de significado” (</w:t>
      </w:r>
      <w:proofErr w:type="spellStart"/>
      <w:r w:rsidRPr="007559D3">
        <w:rPr>
          <w:rFonts w:ascii="Verdana" w:eastAsia="Arial" w:hAnsi="Verdana" w:cs="Arial"/>
          <w:color w:val="000000"/>
        </w:rPr>
        <w:t>Begriffshof</w:t>
      </w:r>
      <w:proofErr w:type="spellEnd"/>
      <w:r w:rsidRPr="007559D3">
        <w:rPr>
          <w:rFonts w:ascii="Verdana" w:eastAsia="Arial" w:hAnsi="Verdana" w:cs="Arial"/>
          <w:color w:val="000000"/>
        </w:rPr>
        <w:t>) usualmente amplio en relación con el tamaño de su “núcleo” (</w:t>
      </w:r>
      <w:proofErr w:type="spellStart"/>
      <w:r w:rsidRPr="007559D3">
        <w:rPr>
          <w:rFonts w:ascii="Verdana" w:eastAsia="Arial" w:hAnsi="Verdana" w:cs="Arial"/>
          <w:color w:val="000000"/>
        </w:rPr>
        <w:t>Begriffskern</w:t>
      </w:r>
      <w:proofErr w:type="spellEnd"/>
      <w:r w:rsidRPr="007559D3">
        <w:rPr>
          <w:rFonts w:ascii="Verdana" w:eastAsia="Arial" w:hAnsi="Verdana" w:cs="Arial"/>
          <w:color w:val="000000"/>
        </w:rPr>
        <w:t>)</w:t>
      </w:r>
      <w:r w:rsidRPr="007559D3">
        <w:rPr>
          <w:rFonts w:ascii="Verdana" w:eastAsia="Arial" w:hAnsi="Verdana" w:cs="Arial"/>
          <w:color w:val="000000"/>
          <w:vertAlign w:val="superscript"/>
        </w:rPr>
        <w:footnoteReference w:id="8"/>
      </w:r>
      <w:r w:rsidRPr="007559D3">
        <w:rPr>
          <w:rFonts w:ascii="Verdana" w:eastAsia="Arial" w:hAnsi="Verdana" w:cs="Arial"/>
          <w:color w:val="000000"/>
        </w:rPr>
        <w:t>.</w:t>
      </w:r>
    </w:p>
    <w:p w14:paraId="5000E150" w14:textId="77777777" w:rsidR="00E25F2F" w:rsidRPr="007559D3" w:rsidRDefault="00E25F2F" w:rsidP="00E25F2F">
      <w:pPr>
        <w:pBdr>
          <w:top w:val="nil"/>
          <w:left w:val="nil"/>
          <w:bottom w:val="nil"/>
          <w:right w:val="nil"/>
          <w:between w:val="nil"/>
        </w:pBdr>
        <w:spacing w:after="120" w:line="276" w:lineRule="auto"/>
        <w:ind w:firstLine="703"/>
        <w:jc w:val="both"/>
        <w:rPr>
          <w:rFonts w:ascii="Verdana" w:eastAsia="Arial" w:hAnsi="Verdana" w:cs="Arial"/>
          <w:color w:val="000000"/>
        </w:rPr>
      </w:pPr>
      <w:r w:rsidRPr="007559D3">
        <w:rPr>
          <w:rFonts w:ascii="Verdana" w:eastAsia="Arial" w:hAnsi="Verdana" w:cs="Arial"/>
          <w:color w:val="000000"/>
        </w:rPr>
        <w:t xml:space="preserve">En ambos casos, por tratarse de conceptos que regulan supuestos concretos, no se admite </w:t>
      </w:r>
      <w:r w:rsidRPr="007559D3">
        <w:rPr>
          <w:rFonts w:ascii="Verdana" w:eastAsia="Arial" w:hAnsi="Verdana" w:cs="Arial"/>
        </w:rPr>
        <w:t>más</w:t>
      </w:r>
      <w:r w:rsidRPr="007559D3">
        <w:rPr>
          <w:rFonts w:ascii="Verdana" w:eastAsia="Arial" w:hAnsi="Verdana" w:cs="Arial"/>
          <w:color w:val="000000"/>
        </w:rPr>
        <w:t xml:space="preserve"> de una solución –principio del tercero excluido–, esto es, o se da o no se da el concepto</w:t>
      </w:r>
      <w:r w:rsidRPr="007559D3">
        <w:rPr>
          <w:rFonts w:ascii="Verdana" w:eastAsia="Arial" w:hAnsi="Verdana" w:cs="Arial"/>
          <w:color w:val="000000"/>
          <w:vertAlign w:val="superscript"/>
        </w:rPr>
        <w:footnoteReference w:id="9"/>
      </w:r>
      <w:r w:rsidRPr="007559D3">
        <w:rPr>
          <w:rFonts w:ascii="Verdana" w:eastAsia="Arial" w:hAnsi="Verdana" w:cs="Arial"/>
          <w:color w:val="000000"/>
        </w:rPr>
        <w:t>. Para los ejemplos propuesto en el párrafo precedente, la documentación se envía o no se envía “inmediatamente” o la tenencia fue o no de buena fe. Se trata, entonces, de un estado de indeterminación que únicamente puede superarse con una actividad de cognición</w:t>
      </w:r>
      <w:r w:rsidRPr="007559D3">
        <w:rPr>
          <w:rFonts w:ascii="Verdana" w:eastAsia="Arial" w:hAnsi="Verdana" w:cs="Arial"/>
          <w:color w:val="000000"/>
          <w:vertAlign w:val="superscript"/>
        </w:rPr>
        <w:footnoteReference w:id="10"/>
      </w:r>
      <w:r w:rsidRPr="007559D3">
        <w:rPr>
          <w:rFonts w:ascii="Verdana" w:eastAsia="Arial" w:hAnsi="Verdana" w:cs="Arial"/>
          <w:color w:val="000000"/>
        </w:rPr>
        <w:t xml:space="preserve"> </w:t>
      </w:r>
      <w:r w:rsidRPr="007559D3">
        <w:rPr>
          <w:rFonts w:ascii="Verdana" w:eastAsia="Arial" w:hAnsi="Verdana" w:cs="Arial"/>
        </w:rPr>
        <w:t>que se orienta</w:t>
      </w:r>
      <w:r w:rsidRPr="007559D3">
        <w:rPr>
          <w:rFonts w:ascii="Verdana" w:eastAsia="Arial" w:hAnsi="Verdana" w:cs="Arial"/>
          <w:color w:val="000000"/>
        </w:rPr>
        <w:t xml:space="preserve"> por las circunstancias particulares de aplicación del caso en el que se pretende hacer valer, </w:t>
      </w:r>
      <w:r w:rsidRPr="007559D3">
        <w:rPr>
          <w:rFonts w:ascii="Verdana" w:eastAsia="Arial" w:hAnsi="Verdana" w:cs="Arial"/>
        </w:rPr>
        <w:t>sin que sea posible</w:t>
      </w:r>
      <w:r w:rsidRPr="007559D3">
        <w:rPr>
          <w:rFonts w:ascii="Verdana" w:eastAsia="Arial" w:hAnsi="Verdana" w:cs="Arial"/>
          <w:color w:val="000000"/>
        </w:rPr>
        <w:t xml:space="preserve"> hacerlo por medio </w:t>
      </w:r>
      <w:r w:rsidRPr="007559D3">
        <w:rPr>
          <w:rFonts w:ascii="Verdana" w:eastAsia="Arial" w:hAnsi="Verdana" w:cs="Arial"/>
          <w:color w:val="000000"/>
        </w:rPr>
        <w:lastRenderedPageBreak/>
        <w:t>de actividades de volición</w:t>
      </w:r>
      <w:r w:rsidRPr="007559D3">
        <w:rPr>
          <w:rFonts w:ascii="Verdana" w:eastAsia="Arial" w:hAnsi="Verdana" w:cs="Arial"/>
          <w:color w:val="000000"/>
          <w:vertAlign w:val="superscript"/>
        </w:rPr>
        <w:footnoteReference w:id="11"/>
      </w:r>
      <w:r w:rsidRPr="007559D3">
        <w:rPr>
          <w:rFonts w:ascii="Verdana" w:eastAsia="Arial" w:hAnsi="Verdana" w:cs="Arial"/>
          <w:color w:val="000000"/>
        </w:rPr>
        <w:t>. Esto no significa que el concepto jurídico indeterminado carezca de varias interpretaciones. Incluso la doctrina foránea reconoce que esto último</w:t>
      </w:r>
      <w:r w:rsidRPr="007559D3">
        <w:rPr>
          <w:rFonts w:ascii="Verdana" w:eastAsia="Arial" w:hAnsi="Verdana" w:cs="Arial"/>
        </w:rPr>
        <w:t xml:space="preserve"> es posible</w:t>
      </w:r>
      <w:r w:rsidRPr="007559D3">
        <w:rPr>
          <w:rFonts w:ascii="Verdana" w:eastAsia="Arial" w:hAnsi="Verdana" w:cs="Arial"/>
          <w:color w:val="000000"/>
        </w:rPr>
        <w:t>, pues “[s]e trata de conceptos que de manera natural tienen una textura abierta, es decir, que pueden tener diversas interpretaciones, mismas que se llenan de contenido, ya en la aplicación de casos concretos”</w:t>
      </w:r>
      <w:r w:rsidRPr="007559D3">
        <w:rPr>
          <w:rFonts w:ascii="Verdana" w:eastAsia="Arial" w:hAnsi="Verdana" w:cs="Arial"/>
          <w:color w:val="000000"/>
          <w:vertAlign w:val="superscript"/>
        </w:rPr>
        <w:footnoteReference w:id="12"/>
      </w:r>
      <w:r w:rsidRPr="007559D3">
        <w:rPr>
          <w:rFonts w:ascii="Verdana" w:eastAsia="Arial" w:hAnsi="Verdana" w:cs="Arial"/>
          <w:color w:val="000000"/>
        </w:rPr>
        <w:t>.</w:t>
      </w:r>
    </w:p>
    <w:p w14:paraId="7E73A90A" w14:textId="1DAB4070" w:rsidR="00CE112F" w:rsidRPr="007559D3" w:rsidRDefault="00CE112F" w:rsidP="004D40A3">
      <w:pPr>
        <w:pBdr>
          <w:top w:val="nil"/>
          <w:left w:val="nil"/>
          <w:bottom w:val="nil"/>
          <w:right w:val="nil"/>
          <w:between w:val="nil"/>
        </w:pBdr>
        <w:spacing w:after="0" w:line="276" w:lineRule="auto"/>
        <w:ind w:firstLine="703"/>
        <w:jc w:val="both"/>
        <w:rPr>
          <w:rFonts w:ascii="Verdana" w:eastAsia="Arial" w:hAnsi="Verdana" w:cs="Arial"/>
          <w:color w:val="000000"/>
        </w:rPr>
      </w:pPr>
      <w:r w:rsidRPr="007559D3">
        <w:rPr>
          <w:rFonts w:ascii="Verdana" w:eastAsia="Arial" w:hAnsi="Verdana" w:cs="Arial"/>
          <w:color w:val="000000"/>
        </w:rPr>
        <w:tab/>
        <w:t>El Consejo de Estado se ha aproximado a la noción de concepto jurídico indeterminado desde dos (2) frentes. Por un lado, en relación con unos casos concretos en los que consideró que estos conceptos son indeterminados: “derecho positivo”</w:t>
      </w:r>
      <w:r w:rsidRPr="007559D3">
        <w:rPr>
          <w:rFonts w:ascii="Verdana" w:eastAsia="Arial" w:hAnsi="Verdana" w:cs="Arial"/>
          <w:color w:val="000000"/>
          <w:vertAlign w:val="superscript"/>
        </w:rPr>
        <w:footnoteReference w:id="13"/>
      </w:r>
      <w:r w:rsidRPr="007559D3">
        <w:rPr>
          <w:rFonts w:ascii="Verdana" w:eastAsia="Arial" w:hAnsi="Verdana" w:cs="Arial"/>
          <w:color w:val="000000"/>
        </w:rPr>
        <w:t>, establecido en algunas causales de anulación de laudos arbitrales; “favorabilidad”</w:t>
      </w:r>
      <w:r w:rsidRPr="007559D3">
        <w:rPr>
          <w:rFonts w:ascii="Verdana" w:eastAsia="Arial" w:hAnsi="Verdana" w:cs="Arial"/>
          <w:color w:val="000000"/>
          <w:vertAlign w:val="superscript"/>
        </w:rPr>
        <w:footnoteReference w:id="14"/>
      </w:r>
      <w:r w:rsidRPr="007559D3">
        <w:rPr>
          <w:rFonts w:ascii="Verdana" w:eastAsia="Arial" w:hAnsi="Verdana" w:cs="Arial"/>
          <w:color w:val="000000"/>
        </w:rPr>
        <w:t>, contenido en el derogado artículo 29 de la Ley 80 de 1993; “moralidad administrativa”</w:t>
      </w:r>
      <w:r w:rsidRPr="007559D3">
        <w:rPr>
          <w:rFonts w:ascii="Verdana" w:eastAsia="Arial" w:hAnsi="Verdana" w:cs="Arial"/>
          <w:color w:val="000000"/>
          <w:vertAlign w:val="superscript"/>
        </w:rPr>
        <w:footnoteReference w:id="15"/>
      </w:r>
      <w:r w:rsidRPr="007559D3">
        <w:rPr>
          <w:rFonts w:ascii="Verdana" w:eastAsia="Arial" w:hAnsi="Verdana" w:cs="Arial"/>
          <w:color w:val="000000"/>
        </w:rPr>
        <w:t>; “conducta asumida por las partes”</w:t>
      </w:r>
      <w:r w:rsidRPr="007559D3">
        <w:rPr>
          <w:rFonts w:ascii="Verdana" w:eastAsia="Arial" w:hAnsi="Verdana" w:cs="Arial"/>
          <w:color w:val="000000"/>
          <w:vertAlign w:val="superscript"/>
        </w:rPr>
        <w:footnoteReference w:id="16"/>
      </w:r>
      <w:r w:rsidRPr="007559D3">
        <w:rPr>
          <w:rFonts w:ascii="Verdana" w:eastAsia="Arial" w:hAnsi="Verdana" w:cs="Arial"/>
          <w:color w:val="000000"/>
        </w:rPr>
        <w:t>, sobre condena en costas; “determinación”</w:t>
      </w:r>
      <w:r w:rsidRPr="007559D3">
        <w:rPr>
          <w:rFonts w:ascii="Verdana" w:eastAsia="Arial" w:hAnsi="Verdana" w:cs="Arial"/>
          <w:color w:val="000000"/>
          <w:vertAlign w:val="superscript"/>
        </w:rPr>
        <w:footnoteReference w:id="17"/>
      </w:r>
      <w:r w:rsidRPr="007559D3">
        <w:rPr>
          <w:rFonts w:ascii="Verdana" w:eastAsia="Arial" w:hAnsi="Verdana" w:cs="Arial"/>
          <w:color w:val="000000"/>
        </w:rPr>
        <w:t>, frente a los criterios y porcentajes señalados en el anulado artículo 75 del Decreto 2474 de 2008; “tema nuevo”</w:t>
      </w:r>
      <w:r w:rsidRPr="007559D3">
        <w:rPr>
          <w:rFonts w:ascii="Verdana" w:eastAsia="Arial" w:hAnsi="Verdana" w:cs="Arial"/>
          <w:color w:val="000000"/>
          <w:vertAlign w:val="superscript"/>
        </w:rPr>
        <w:footnoteReference w:id="18"/>
      </w:r>
      <w:r w:rsidRPr="007559D3">
        <w:rPr>
          <w:rFonts w:ascii="Verdana" w:eastAsia="Arial" w:hAnsi="Verdana" w:cs="Arial"/>
          <w:color w:val="000000"/>
        </w:rPr>
        <w:t xml:space="preserve">, </w:t>
      </w:r>
      <w:r w:rsidRPr="007559D3">
        <w:rPr>
          <w:rFonts w:ascii="Verdana" w:eastAsia="Arial" w:hAnsi="Verdana" w:cs="Arial"/>
          <w:color w:val="000000"/>
        </w:rPr>
        <w:lastRenderedPageBreak/>
        <w:t>relacionado con la improcedencia del recurso de reposición; “giro ordinario”</w:t>
      </w:r>
      <w:r w:rsidRPr="007559D3">
        <w:rPr>
          <w:rFonts w:ascii="Verdana" w:eastAsia="Arial" w:hAnsi="Verdana" w:cs="Arial"/>
          <w:color w:val="000000"/>
          <w:vertAlign w:val="superscript"/>
        </w:rPr>
        <w:footnoteReference w:id="19"/>
      </w:r>
      <w:r w:rsidRPr="007559D3">
        <w:rPr>
          <w:rFonts w:ascii="Verdana" w:eastAsia="Arial" w:hAnsi="Verdana" w:cs="Arial"/>
          <w:color w:val="000000"/>
        </w:rPr>
        <w:t>, establecido en el artículo 21 del der</w:t>
      </w:r>
      <w:r w:rsidRPr="007559D3">
        <w:rPr>
          <w:rFonts w:ascii="Verdana" w:eastAsia="Arial" w:hAnsi="Verdana" w:cs="Arial"/>
        </w:rPr>
        <w:t>o</w:t>
      </w:r>
      <w:r w:rsidRPr="007559D3">
        <w:rPr>
          <w:rFonts w:ascii="Verdana" w:eastAsia="Arial" w:hAnsi="Verdana" w:cs="Arial"/>
          <w:color w:val="000000"/>
        </w:rPr>
        <w:t>gado Decreto 679 de 1994; y “los motivos o causas que impidan la escogencia objetiva”</w:t>
      </w:r>
      <w:r w:rsidRPr="007559D3">
        <w:rPr>
          <w:rFonts w:ascii="Verdana" w:eastAsia="Arial" w:hAnsi="Verdana" w:cs="Arial"/>
          <w:color w:val="000000"/>
          <w:vertAlign w:val="superscript"/>
        </w:rPr>
        <w:footnoteReference w:id="20"/>
      </w:r>
      <w:r w:rsidRPr="007559D3">
        <w:rPr>
          <w:rFonts w:ascii="Verdana" w:eastAsia="Arial" w:hAnsi="Verdana" w:cs="Arial"/>
          <w:color w:val="000000"/>
        </w:rPr>
        <w:t xml:space="preserve">, contenido en el artículo 25, numeral 18, de la Ley 80 de 1993, entre otros. </w:t>
      </w:r>
      <w:r w:rsidRPr="007559D3">
        <w:rPr>
          <w:rFonts w:ascii="Verdana" w:eastAsia="Arial" w:hAnsi="Verdana" w:cs="Arial"/>
        </w:rPr>
        <w:t>P</w:t>
      </w:r>
      <w:r w:rsidRPr="007559D3">
        <w:rPr>
          <w:rFonts w:ascii="Verdana" w:eastAsia="Arial" w:hAnsi="Verdana" w:cs="Arial"/>
          <w:color w:val="000000"/>
        </w:rPr>
        <w:t>or otro lado, el referido tribunal ha indagado sobre la noción en sí misma. En efecto, en las sentencias del 1 de junio del 2000</w:t>
      </w:r>
      <w:r w:rsidRPr="007559D3">
        <w:rPr>
          <w:rFonts w:ascii="Verdana" w:eastAsia="Arial" w:hAnsi="Verdana" w:cs="Arial"/>
          <w:color w:val="000000"/>
          <w:vertAlign w:val="superscript"/>
        </w:rPr>
        <w:footnoteReference w:id="21"/>
      </w:r>
      <w:r w:rsidRPr="007559D3">
        <w:rPr>
          <w:rFonts w:ascii="Verdana" w:eastAsia="Arial" w:hAnsi="Verdana" w:cs="Arial"/>
          <w:color w:val="000000"/>
        </w:rPr>
        <w:t xml:space="preserve"> y del 26 de julio de 2011</w:t>
      </w:r>
      <w:r w:rsidRPr="007559D3">
        <w:rPr>
          <w:rFonts w:ascii="Verdana" w:eastAsia="Arial" w:hAnsi="Verdana" w:cs="Arial"/>
          <w:color w:val="000000"/>
          <w:vertAlign w:val="superscript"/>
        </w:rPr>
        <w:footnoteReference w:id="22"/>
      </w:r>
      <w:r w:rsidRPr="007559D3">
        <w:rPr>
          <w:rFonts w:ascii="Verdana" w:eastAsia="Arial" w:hAnsi="Verdana" w:cs="Arial"/>
          <w:color w:val="000000"/>
        </w:rPr>
        <w:t xml:space="preserve">, explicó su entendimiento sobre los conceptos jurídicos indeterminados. En la decisión del 2011, consideró </w:t>
      </w:r>
      <w:proofErr w:type="gramStart"/>
      <w:r w:rsidRPr="007559D3">
        <w:rPr>
          <w:rFonts w:ascii="Verdana" w:eastAsia="Arial" w:hAnsi="Verdana" w:cs="Arial"/>
          <w:i/>
          <w:color w:val="000000"/>
        </w:rPr>
        <w:t>in extenso</w:t>
      </w:r>
      <w:proofErr w:type="gramEnd"/>
      <w:r w:rsidRPr="007559D3">
        <w:rPr>
          <w:rFonts w:ascii="Verdana" w:eastAsia="Arial" w:hAnsi="Verdana" w:cs="Arial"/>
          <w:i/>
          <w:color w:val="000000"/>
        </w:rPr>
        <w:t xml:space="preserve"> </w:t>
      </w:r>
      <w:r w:rsidRPr="007559D3">
        <w:rPr>
          <w:rFonts w:ascii="Verdana" w:eastAsia="Arial" w:hAnsi="Verdana" w:cs="Arial"/>
          <w:color w:val="000000"/>
        </w:rPr>
        <w:t>que:</w:t>
      </w:r>
    </w:p>
    <w:p w14:paraId="50BAF3D9" w14:textId="77777777" w:rsidR="004D40A3" w:rsidRPr="007559D3" w:rsidRDefault="004D40A3" w:rsidP="004D40A3">
      <w:pPr>
        <w:pBdr>
          <w:top w:val="nil"/>
          <w:left w:val="nil"/>
          <w:bottom w:val="nil"/>
          <w:right w:val="nil"/>
          <w:between w:val="nil"/>
        </w:pBdr>
        <w:spacing w:after="0" w:line="276" w:lineRule="auto"/>
        <w:ind w:firstLine="703"/>
        <w:jc w:val="both"/>
        <w:rPr>
          <w:rFonts w:ascii="Verdana" w:eastAsia="Arial" w:hAnsi="Verdana" w:cs="Arial"/>
          <w:color w:val="000000"/>
        </w:rPr>
      </w:pPr>
    </w:p>
    <w:p w14:paraId="3E157E0D" w14:textId="77777777" w:rsidR="004D40A3" w:rsidRPr="007559D3" w:rsidRDefault="004D40A3" w:rsidP="004D40A3">
      <w:pPr>
        <w:pBdr>
          <w:top w:val="nil"/>
          <w:left w:val="nil"/>
          <w:bottom w:val="nil"/>
          <w:right w:val="nil"/>
          <w:between w:val="nil"/>
        </w:pBdr>
        <w:shd w:val="clear" w:color="auto" w:fill="FFFFFF"/>
        <w:spacing w:after="120" w:line="240" w:lineRule="auto"/>
        <w:ind w:left="709" w:right="709"/>
        <w:jc w:val="both"/>
        <w:rPr>
          <w:rFonts w:ascii="Verdana" w:hAnsi="Verdana" w:cs="Arial"/>
          <w:color w:val="000000"/>
          <w:sz w:val="20"/>
          <w:szCs w:val="20"/>
        </w:rPr>
      </w:pPr>
      <w:r w:rsidRPr="007559D3">
        <w:rPr>
          <w:rFonts w:ascii="Verdana" w:eastAsia="Arial" w:hAnsi="Verdana" w:cs="Arial"/>
          <w:color w:val="000000"/>
          <w:sz w:val="20"/>
          <w:szCs w:val="20"/>
        </w:rPr>
        <w:t>“La teoría de los conceptos jurídicos indeterminados comporta una sutil técnica de redacción y consecuente aplicación de las normas jurídicas frente a hipótesis específicas. Por regla general, las normas jurídicas se caracterizan por delimitar y definir de manera precisa, a través de los conceptos y términos utilizados, el ámbito de la realidad dentro de la cual están llamadas a operar, en lo que se conoce como el contenido inequívoco de la norma</w:t>
      </w:r>
      <w:bookmarkStart w:id="6" w:name="1fob9te" w:colFirst="0" w:colLast="0"/>
      <w:bookmarkEnd w:id="6"/>
      <w:r w:rsidRPr="007559D3">
        <w:rPr>
          <w:rFonts w:ascii="Verdana" w:eastAsia="Arial" w:hAnsi="Verdana" w:cs="Arial"/>
          <w:color w:val="000000"/>
          <w:sz w:val="20"/>
          <w:szCs w:val="20"/>
        </w:rPr>
        <w:t>.</w:t>
      </w:r>
    </w:p>
    <w:p w14:paraId="59919841" w14:textId="77777777" w:rsidR="004D40A3" w:rsidRPr="007559D3" w:rsidRDefault="004D40A3" w:rsidP="004D40A3">
      <w:pPr>
        <w:pBdr>
          <w:top w:val="nil"/>
          <w:left w:val="nil"/>
          <w:bottom w:val="nil"/>
          <w:right w:val="nil"/>
          <w:between w:val="nil"/>
        </w:pBdr>
        <w:shd w:val="clear" w:color="auto" w:fill="FFFFFF"/>
        <w:spacing w:after="0" w:line="240" w:lineRule="auto"/>
        <w:ind w:left="709" w:right="709"/>
        <w:jc w:val="both"/>
        <w:rPr>
          <w:rFonts w:ascii="Verdana" w:hAnsi="Verdana" w:cs="Arial"/>
          <w:color w:val="000000"/>
          <w:sz w:val="20"/>
          <w:szCs w:val="20"/>
        </w:rPr>
      </w:pPr>
      <w:r w:rsidRPr="007559D3">
        <w:rPr>
          <w:rFonts w:ascii="Verdana" w:eastAsia="Arial" w:hAnsi="Verdana" w:cs="Arial"/>
          <w:color w:val="000000"/>
          <w:sz w:val="20"/>
          <w:szCs w:val="20"/>
        </w:rPr>
        <w:t>En los conceptos jurídicos indeterminados, opera una clara excepción frente a esta caracterización general de la estructuración normativa, en donde precisamente lo característico es el contenido indeterminado de los elementos descriptivos (conceptos, términos utilizados) de la norma, en cuanto conceptos de contornos difíciles de delimitar (no vagos, imprecisos o contradictorios), ante la ausencia en ellos, de contenidos materiales definitivos, concretos e inequívocos, haciendo de la esfera de realidad propuesta un ámbito fructífero de lo indefinido y abstracto (buena fe, premeditación, fuerza irresistible, incapacidad para el ejercicio de funciones, buen padre de familia, justo precio, interés público, bien común, fundamento importante, confiabilidad, necesidad, etc.)</w:t>
      </w:r>
      <w:bookmarkStart w:id="7" w:name="3znysh7" w:colFirst="0" w:colLast="0"/>
      <w:bookmarkEnd w:id="7"/>
      <w:r w:rsidRPr="007559D3">
        <w:rPr>
          <w:rFonts w:ascii="Verdana" w:eastAsia="Arial" w:hAnsi="Verdana" w:cs="Arial"/>
          <w:color w:val="000000"/>
          <w:sz w:val="20"/>
          <w:szCs w:val="20"/>
        </w:rPr>
        <w:t>.</w:t>
      </w:r>
    </w:p>
    <w:p w14:paraId="77FA60A7" w14:textId="21E17043" w:rsidR="00D95289" w:rsidRPr="007559D3" w:rsidRDefault="004D40A3" w:rsidP="00D619B1">
      <w:pPr>
        <w:pBdr>
          <w:top w:val="nil"/>
          <w:left w:val="nil"/>
          <w:bottom w:val="nil"/>
          <w:right w:val="nil"/>
          <w:between w:val="nil"/>
        </w:pBdr>
        <w:shd w:val="clear" w:color="auto" w:fill="FFFFFF"/>
        <w:spacing w:after="120" w:line="240" w:lineRule="auto"/>
        <w:ind w:left="709" w:right="709"/>
        <w:jc w:val="both"/>
        <w:rPr>
          <w:rFonts w:ascii="Verdana" w:hAnsi="Verdana" w:cs="Arial"/>
          <w:color w:val="000000"/>
          <w:sz w:val="20"/>
          <w:szCs w:val="20"/>
        </w:rPr>
      </w:pPr>
      <w:r w:rsidRPr="007559D3">
        <w:rPr>
          <w:rFonts w:ascii="Verdana" w:hAnsi="Verdana" w:cs="Arial"/>
          <w:color w:val="000000"/>
          <w:sz w:val="20"/>
          <w:szCs w:val="20"/>
        </w:rPr>
        <w:t>[…]</w:t>
      </w:r>
    </w:p>
    <w:p w14:paraId="2CA616A6" w14:textId="09D2FB3A" w:rsidR="00103E42" w:rsidRPr="007559D3" w:rsidRDefault="00D619B1" w:rsidP="00103E42">
      <w:pPr>
        <w:pBdr>
          <w:top w:val="nil"/>
          <w:left w:val="nil"/>
          <w:bottom w:val="nil"/>
          <w:right w:val="nil"/>
          <w:between w:val="nil"/>
        </w:pBdr>
        <w:shd w:val="clear" w:color="auto" w:fill="FFFFFF"/>
        <w:spacing w:after="240" w:line="240" w:lineRule="auto"/>
        <w:ind w:left="709" w:right="709"/>
        <w:jc w:val="both"/>
        <w:rPr>
          <w:rFonts w:ascii="Verdana" w:hAnsi="Verdana" w:cs="Arial"/>
          <w:color w:val="000000"/>
          <w:sz w:val="20"/>
          <w:szCs w:val="20"/>
        </w:rPr>
      </w:pPr>
      <w:r w:rsidRPr="007559D3">
        <w:rPr>
          <w:rFonts w:ascii="Verdana" w:hAnsi="Verdana" w:cs="Arial"/>
          <w:color w:val="000000"/>
          <w:sz w:val="20"/>
          <w:szCs w:val="20"/>
        </w:rPr>
        <w:t xml:space="preserve">Los otros conceptos, por el contrario, tienen un contenido específico, cuyo alcance no admite mayores discusiones entre los operadores jurídicos, en relación con su significado, tal es el caso de: servidor público, matrimonio, mayor de edad, Constitución, Ley, Ministerio, establecimiento público, entre muchos otros. Lo común en ellos es que son concretos y precisos, de manera que designan contenidos mucho más puntuales y menos </w:t>
      </w:r>
      <w:r w:rsidRPr="007559D3">
        <w:rPr>
          <w:rFonts w:ascii="Verdana" w:hAnsi="Verdana" w:cs="Arial"/>
          <w:color w:val="000000"/>
          <w:sz w:val="20"/>
          <w:szCs w:val="20"/>
        </w:rPr>
        <w:lastRenderedPageBreak/>
        <w:t>ambivalentes, y por eso la discrepancia sobre su alcance se reduce sustancialmente, aunque no tiene por qué desaparecer, ya que es propio de toda norma su vocación de ser interpretada, con variables lógicas posibles”.</w:t>
      </w:r>
    </w:p>
    <w:p w14:paraId="37C23A72" w14:textId="77777777" w:rsidR="00103E42" w:rsidRPr="007559D3" w:rsidRDefault="00103E42" w:rsidP="00103E42">
      <w:pPr>
        <w:pBdr>
          <w:top w:val="nil"/>
          <w:left w:val="nil"/>
          <w:bottom w:val="nil"/>
          <w:right w:val="nil"/>
          <w:between w:val="nil"/>
        </w:pBdr>
        <w:shd w:val="clear" w:color="auto" w:fill="FFFFFF"/>
        <w:spacing w:after="0" w:line="276" w:lineRule="auto"/>
        <w:ind w:firstLine="705"/>
        <w:jc w:val="both"/>
        <w:rPr>
          <w:rFonts w:ascii="Verdana" w:eastAsia="Arial" w:hAnsi="Verdana" w:cs="Arial"/>
          <w:color w:val="000000"/>
        </w:rPr>
      </w:pPr>
      <w:r w:rsidRPr="007559D3">
        <w:rPr>
          <w:rFonts w:ascii="Verdana" w:eastAsia="Arial" w:hAnsi="Verdana" w:cs="Arial"/>
          <w:color w:val="000000"/>
        </w:rPr>
        <w:t xml:space="preserve">A juicio del Consejo de Estado, los operadores jurídicos </w:t>
      </w:r>
      <w:r w:rsidRPr="007559D3">
        <w:rPr>
          <w:rFonts w:ascii="Verdana" w:eastAsia="Arial" w:hAnsi="Verdana" w:cs="Arial"/>
        </w:rPr>
        <w:t>–</w:t>
      </w:r>
      <w:r w:rsidRPr="007559D3">
        <w:rPr>
          <w:rFonts w:ascii="Verdana" w:eastAsia="Arial" w:hAnsi="Verdana" w:cs="Arial"/>
          <w:color w:val="000000"/>
        </w:rPr>
        <w:t xml:space="preserve">entre ellos la administración y el juez– son quienes deben concretar los conceptos imprecisos y generales, es decir, deben identificar los múltiples significados del concepto, distinguiendo unos escenarios de otros. Este proceso de formación de contenidos del lenguaje jurídico, para la referida autoridad judicial, se traduce en la creación de significados en el derecho. </w:t>
      </w:r>
      <w:r w:rsidRPr="007559D3">
        <w:rPr>
          <w:rFonts w:ascii="Verdana" w:eastAsia="Arial" w:hAnsi="Verdana" w:cs="Arial"/>
        </w:rPr>
        <w:t xml:space="preserve">Con todo, igualmente </w:t>
      </w:r>
      <w:r w:rsidRPr="007559D3">
        <w:rPr>
          <w:rFonts w:ascii="Verdana" w:eastAsia="Arial" w:hAnsi="Verdana" w:cs="Arial"/>
          <w:color w:val="000000"/>
        </w:rPr>
        <w:t>ha reconocido que “los llamados “conceptos jurídicos indeterminados” […] no le dejan a la Administración la libertad de optar entre varias posibilidades de actuación, en tanto no hay múltiples soluciones para la Administración, sino una sola justa, esto es, ajustada a los fines del derecho”</w:t>
      </w:r>
      <w:r w:rsidRPr="007559D3">
        <w:rPr>
          <w:rFonts w:ascii="Verdana" w:eastAsia="Arial" w:hAnsi="Verdana" w:cs="Arial"/>
          <w:color w:val="000000"/>
          <w:vertAlign w:val="superscript"/>
        </w:rPr>
        <w:footnoteReference w:id="23"/>
      </w:r>
      <w:r w:rsidRPr="007559D3">
        <w:rPr>
          <w:rFonts w:ascii="Verdana" w:eastAsia="Arial" w:hAnsi="Verdana" w:cs="Arial"/>
          <w:color w:val="000000"/>
        </w:rPr>
        <w:t>. Esto significa que no “</w:t>
      </w:r>
      <w:r w:rsidRPr="007559D3">
        <w:rPr>
          <w:rFonts w:ascii="Verdana" w:eastAsia="Arial" w:hAnsi="Verdana" w:cs="Arial"/>
          <w:color w:val="000000"/>
          <w:highlight w:val="white"/>
        </w:rPr>
        <w:t xml:space="preserve">[…] </w:t>
      </w:r>
      <w:r w:rsidRPr="007559D3">
        <w:rPr>
          <w:rFonts w:ascii="Verdana" w:eastAsia="Arial" w:hAnsi="Verdana" w:cs="Arial"/>
          <w:color w:val="000000"/>
        </w:rPr>
        <w:t>puede encubrirse tras un concepto jurídico indeterminado una potestad discrecional […] porque una cosa es la alternativa de elección que tiene la administración, para adoptar una decisión entre varias posibles, y otra la dificultad que tienen algunas normas de concretar su contenido, en virtud de la presencia de CJI”</w:t>
      </w:r>
      <w:r w:rsidRPr="007559D3">
        <w:rPr>
          <w:rStyle w:val="Refdenotaalpie"/>
          <w:rFonts w:ascii="Verdana" w:eastAsia="Arial" w:hAnsi="Verdana" w:cs="Arial"/>
          <w:color w:val="000000"/>
        </w:rPr>
        <w:footnoteReference w:id="24"/>
      </w:r>
      <w:r w:rsidRPr="007559D3">
        <w:rPr>
          <w:rFonts w:ascii="Verdana" w:eastAsia="Arial" w:hAnsi="Verdana" w:cs="Arial"/>
          <w:color w:val="000000"/>
        </w:rPr>
        <w:t>. Al respecto, en la sentencia transcrita anteriormente, también explicó que:</w:t>
      </w:r>
    </w:p>
    <w:p w14:paraId="0176FAE3" w14:textId="77777777" w:rsidR="001712E6" w:rsidRPr="007559D3" w:rsidRDefault="001712E6" w:rsidP="00103E42">
      <w:pPr>
        <w:pBdr>
          <w:top w:val="nil"/>
          <w:left w:val="nil"/>
          <w:bottom w:val="nil"/>
          <w:right w:val="nil"/>
          <w:between w:val="nil"/>
        </w:pBdr>
        <w:shd w:val="clear" w:color="auto" w:fill="FFFFFF"/>
        <w:spacing w:after="0" w:line="276" w:lineRule="auto"/>
        <w:ind w:firstLine="705"/>
        <w:jc w:val="both"/>
        <w:rPr>
          <w:rFonts w:ascii="Verdana" w:eastAsia="Arial" w:hAnsi="Verdana" w:cs="Arial"/>
          <w:color w:val="000000"/>
        </w:rPr>
      </w:pPr>
    </w:p>
    <w:p w14:paraId="7CA43644" w14:textId="77777777" w:rsidR="001712E6" w:rsidRPr="007559D3" w:rsidRDefault="001712E6" w:rsidP="001712E6">
      <w:pPr>
        <w:spacing w:after="0" w:line="240" w:lineRule="auto"/>
        <w:ind w:left="709" w:right="709"/>
        <w:jc w:val="both"/>
        <w:rPr>
          <w:rFonts w:ascii="Verdana" w:hAnsi="Verdana" w:cs="Arial"/>
          <w:sz w:val="20"/>
          <w:szCs w:val="20"/>
        </w:rPr>
      </w:pPr>
      <w:r w:rsidRPr="007559D3">
        <w:rPr>
          <w:rFonts w:ascii="Verdana" w:eastAsia="Arial" w:hAnsi="Verdana" w:cs="Arial"/>
          <w:color w:val="000000"/>
          <w:sz w:val="20"/>
          <w:szCs w:val="20"/>
          <w:highlight w:val="white"/>
        </w:rPr>
        <w:t xml:space="preserve">“La diferencia la advirtió claramente Eduardo García de Enterría, en “La Lucha contra las inmunidades del poder” al señalar que “Lo peculiar de estos conceptos jurídicos indeterminados es que su calificación en una circunstancia concreta no puede ser más que una: o se da o no se da el concepto (…) Hay, pues, y esto es esencial, una unidad de solución justa en la aplicación del concepto a una circunstancia concreta. Aquí está lo peculiar del concepto jurídico indeterminado frente a lo que es propio de las potestades discrecionales, pues lo que caracteriza a estas es justamente la pluralidad de soluciones justas posibles como consecuencia de su ejercicio (…) Aquí cualquiera de estas soluciones, alternativamente, es igualmente justa, y precisamente porque lo es existe libertad de decisión (la discrecionalidad consiste esencialmente en una libertad de elección), procediendo </w:t>
      </w:r>
      <w:proofErr w:type="spellStart"/>
      <w:r w:rsidRPr="007559D3">
        <w:rPr>
          <w:rFonts w:ascii="Verdana" w:eastAsia="Arial" w:hAnsi="Verdana" w:cs="Arial"/>
          <w:color w:val="000000"/>
          <w:sz w:val="20"/>
          <w:szCs w:val="20"/>
          <w:highlight w:val="white"/>
        </w:rPr>
        <w:t>esta</w:t>
      </w:r>
      <w:proofErr w:type="spellEnd"/>
      <w:r w:rsidRPr="007559D3">
        <w:rPr>
          <w:rFonts w:ascii="Verdana" w:eastAsia="Arial" w:hAnsi="Verdana" w:cs="Arial"/>
          <w:color w:val="000000"/>
          <w:sz w:val="20"/>
          <w:szCs w:val="20"/>
          <w:highlight w:val="white"/>
        </w:rPr>
        <w:t xml:space="preserve"> en virtud de otros criterios materiales distintos de los jurídicos, que por ello no pueden jurídicamente ser fiscalizados. En la aplicación de un concepto jurídico indeterminado (…) lo característico es que ese valor propio del concepto o esa experiencia a que el concepto remite deben ser objeto de una estimación jurídica según el sentido de la </w:t>
      </w:r>
      <w:r w:rsidRPr="007559D3">
        <w:rPr>
          <w:rFonts w:ascii="Verdana" w:eastAsia="Arial" w:hAnsi="Verdana" w:cs="Arial"/>
          <w:color w:val="000000"/>
          <w:sz w:val="20"/>
          <w:szCs w:val="20"/>
          <w:highlight w:val="white"/>
        </w:rPr>
        <w:lastRenderedPageBreak/>
        <w:t>ley que ha creado el concepto jurídico indeterminado en cuestión, ley que ha configurado este con la intención expresa de acotar un supuesto concreto, aunque su apreciación esté indeterminada; de este modo la aplicación de estos conceptos será justamente un caso de aplicación de la ley. Por ello el proceso de constatación de si un concepto jurídico indeterminado se cumple o no se cumple, no puede ser nunca un proceso volitivo de discrecionalidad o de libertad, son un proceso de juicio o estimación (…). Justamente por eso, el proceso de aplicación de conceptos jurídicos indeterminados es un proceso reglado (…), porque no admite más que una solución justa, es un proceso de aplicación e interpretación de la ley, de subsunción en sus categorías de un supuesto dado, no es un proceso de libertad de elección entre alternativas igualmente justas, o de decisión entre indiferentes jurídicos en virtud de criterios extrajurídicos, como es, en definitiva, lo propio de las facultades discrecionales</w:t>
      </w:r>
      <w:r w:rsidRPr="007559D3">
        <w:rPr>
          <w:rFonts w:ascii="Verdana" w:eastAsia="Arial" w:hAnsi="Verdana" w:cs="Arial"/>
          <w:color w:val="000000"/>
          <w:sz w:val="20"/>
          <w:szCs w:val="20"/>
        </w:rPr>
        <w:t>”</w:t>
      </w:r>
      <w:r w:rsidRPr="007559D3">
        <w:rPr>
          <w:rFonts w:ascii="Verdana" w:hAnsi="Verdana" w:cs="Arial"/>
          <w:sz w:val="20"/>
          <w:szCs w:val="20"/>
        </w:rPr>
        <w:t>.</w:t>
      </w:r>
    </w:p>
    <w:p w14:paraId="69D9AB1F" w14:textId="77777777" w:rsidR="00926BB7" w:rsidRPr="007559D3" w:rsidRDefault="00926BB7" w:rsidP="00230724">
      <w:pPr>
        <w:spacing w:after="0"/>
        <w:rPr>
          <w:rFonts w:ascii="Verdana" w:eastAsia="Times New Roman" w:hAnsi="Verdana" w:cs="Segoe UI"/>
          <w:lang w:eastAsia="es-CO"/>
        </w:rPr>
      </w:pPr>
    </w:p>
    <w:p w14:paraId="50749948" w14:textId="77777777" w:rsidR="004C20C9" w:rsidRPr="007559D3" w:rsidRDefault="004C20C9" w:rsidP="004C20C9">
      <w:pPr>
        <w:pBdr>
          <w:top w:val="nil"/>
          <w:left w:val="nil"/>
          <w:bottom w:val="nil"/>
          <w:right w:val="nil"/>
          <w:between w:val="nil"/>
        </w:pBdr>
        <w:spacing w:after="0" w:line="276" w:lineRule="auto"/>
        <w:ind w:firstLine="709"/>
        <w:jc w:val="both"/>
        <w:rPr>
          <w:rFonts w:ascii="Verdana" w:eastAsia="Arial" w:hAnsi="Verdana" w:cs="Arial"/>
          <w:color w:val="000000"/>
        </w:rPr>
      </w:pPr>
      <w:bookmarkStart w:id="8" w:name="_Hlk132735690"/>
      <w:r w:rsidRPr="007559D3">
        <w:rPr>
          <w:rFonts w:ascii="Verdana" w:eastAsia="Arial" w:hAnsi="Verdana" w:cs="Arial"/>
          <w:color w:val="000000"/>
        </w:rPr>
        <w:t>Aunque al operador jurídico le corresponde concretar el alcance de los conceptos jurídicos indeterminados, lo cierto es que en dicha labor no ejerce ninguna potestad discrecional, ya que</w:t>
      </w:r>
      <w:r w:rsidRPr="007559D3">
        <w:rPr>
          <w:rFonts w:ascii="Verdana" w:eastAsia="Arial" w:hAnsi="Verdana" w:cs="Arial"/>
        </w:rPr>
        <w:t xml:space="preserve"> se trata de</w:t>
      </w:r>
      <w:r w:rsidRPr="007559D3">
        <w:rPr>
          <w:rFonts w:ascii="Verdana" w:eastAsia="Arial" w:hAnsi="Verdana" w:cs="Arial"/>
          <w:color w:val="000000"/>
        </w:rPr>
        <w:t xml:space="preserve"> un “[…] proceso reglado que se agota en el proceso intelectivo de comprensión de una realidad en el sentido de que el concepto legal indeterminado ha pretendido, proceso en el que no interviene ninguna voluntad del aplicador, como es lo propio de quien ejercita una facultad discrecional”</w:t>
      </w:r>
      <w:r w:rsidRPr="007559D3">
        <w:rPr>
          <w:rFonts w:ascii="Verdana" w:eastAsia="Arial" w:hAnsi="Verdana" w:cs="Arial"/>
          <w:color w:val="000000"/>
          <w:vertAlign w:val="superscript"/>
        </w:rPr>
        <w:footnoteReference w:id="25"/>
      </w:r>
      <w:r w:rsidRPr="007559D3">
        <w:rPr>
          <w:rFonts w:ascii="Verdana" w:eastAsia="Arial" w:hAnsi="Verdana" w:cs="Arial"/>
          <w:color w:val="000000"/>
        </w:rPr>
        <w:t>. De esta forma, a los operadores jurídicos se les impone la carga de justificar, en forma expresa y detallada, las razones que le conducen a concretar el alcance de los conceptos jurídicos indeterminados que se relacionan con el ejercicio de sus funciones, lo que descart</w:t>
      </w:r>
      <w:r w:rsidRPr="007559D3">
        <w:rPr>
          <w:rFonts w:ascii="Verdana" w:eastAsia="Arial" w:hAnsi="Verdana" w:cs="Arial"/>
        </w:rPr>
        <w:t>a</w:t>
      </w:r>
      <w:r w:rsidRPr="007559D3">
        <w:rPr>
          <w:rFonts w:ascii="Verdana" w:eastAsia="Arial" w:hAnsi="Verdana" w:cs="Arial"/>
          <w:color w:val="000000"/>
        </w:rPr>
        <w:t xml:space="preserve"> que dichos conceptos otorguen una “vía libre a la arbitrariedad del operador jurídico”</w:t>
      </w:r>
      <w:r w:rsidRPr="007559D3">
        <w:rPr>
          <w:rFonts w:ascii="Verdana" w:eastAsia="Arial" w:hAnsi="Verdana" w:cs="Arial"/>
          <w:color w:val="000000"/>
          <w:vertAlign w:val="superscript"/>
        </w:rPr>
        <w:footnoteReference w:id="26"/>
      </w:r>
      <w:bookmarkEnd w:id="8"/>
      <w:r w:rsidRPr="007559D3">
        <w:rPr>
          <w:rFonts w:ascii="Verdana" w:eastAsia="Arial" w:hAnsi="Verdana" w:cs="Arial"/>
          <w:color w:val="000000"/>
        </w:rPr>
        <w:t xml:space="preserve">. En el mismo sentido, la Corte Constitucional ha decantado cuatro (4) reglas aplicables a este tipo de conceptos: </w:t>
      </w:r>
    </w:p>
    <w:p w14:paraId="2429328E" w14:textId="77777777" w:rsidR="004C20C9" w:rsidRPr="007559D3" w:rsidRDefault="004C20C9" w:rsidP="004C20C9">
      <w:pPr>
        <w:pBdr>
          <w:top w:val="nil"/>
          <w:left w:val="nil"/>
          <w:bottom w:val="nil"/>
          <w:right w:val="nil"/>
          <w:between w:val="nil"/>
        </w:pBdr>
        <w:spacing w:after="0" w:line="276" w:lineRule="auto"/>
        <w:ind w:left="709" w:right="709"/>
        <w:jc w:val="both"/>
        <w:rPr>
          <w:rFonts w:ascii="Verdana" w:eastAsia="Arial" w:hAnsi="Verdana" w:cs="Arial"/>
          <w:color w:val="000000"/>
        </w:rPr>
      </w:pPr>
    </w:p>
    <w:p w14:paraId="0EE44AD6" w14:textId="77777777" w:rsidR="004B66CF" w:rsidRPr="007559D3" w:rsidRDefault="004B66CF" w:rsidP="004B66CF">
      <w:pPr>
        <w:pBdr>
          <w:top w:val="nil"/>
          <w:left w:val="nil"/>
          <w:bottom w:val="nil"/>
          <w:right w:val="nil"/>
          <w:between w:val="nil"/>
        </w:pBdr>
        <w:spacing w:after="120" w:line="240" w:lineRule="auto"/>
        <w:ind w:left="709" w:right="709"/>
        <w:jc w:val="both"/>
        <w:rPr>
          <w:rFonts w:ascii="Verdana" w:eastAsia="Arial" w:hAnsi="Verdana" w:cs="Arial"/>
          <w:color w:val="000000"/>
          <w:sz w:val="21"/>
          <w:szCs w:val="21"/>
        </w:rPr>
      </w:pPr>
      <w:r w:rsidRPr="007559D3">
        <w:rPr>
          <w:rFonts w:ascii="Verdana" w:eastAsia="Arial" w:hAnsi="Verdana" w:cs="Arial"/>
          <w:color w:val="000000"/>
          <w:sz w:val="21"/>
          <w:szCs w:val="21"/>
        </w:rPr>
        <w:t xml:space="preserve">“1. Los conceptos jurídicos indeterminados no suponen la discrecionalidad de las autoridades, puesto que implican clasificar una situación para tomar una única medida apropiada o justa. </w:t>
      </w:r>
    </w:p>
    <w:p w14:paraId="6717B2C1" w14:textId="77777777" w:rsidR="004B66CF" w:rsidRPr="007559D3" w:rsidRDefault="004B66CF" w:rsidP="004B66CF">
      <w:pPr>
        <w:pBdr>
          <w:top w:val="nil"/>
          <w:left w:val="nil"/>
          <w:bottom w:val="nil"/>
          <w:right w:val="nil"/>
          <w:between w:val="nil"/>
        </w:pBdr>
        <w:spacing w:after="120" w:line="240" w:lineRule="auto"/>
        <w:ind w:left="709" w:right="709"/>
        <w:jc w:val="both"/>
        <w:rPr>
          <w:rFonts w:ascii="Verdana" w:eastAsia="Arial" w:hAnsi="Verdana" w:cs="Arial"/>
          <w:color w:val="000000"/>
          <w:sz w:val="21"/>
          <w:szCs w:val="21"/>
        </w:rPr>
      </w:pPr>
      <w:r w:rsidRPr="007559D3">
        <w:rPr>
          <w:rFonts w:ascii="Verdana" w:eastAsia="Arial" w:hAnsi="Verdana" w:cs="Arial"/>
          <w:color w:val="000000"/>
          <w:sz w:val="21"/>
          <w:szCs w:val="21"/>
        </w:rPr>
        <w:t xml:space="preserve">2. Si bien se admite cierto grado de indeterminación y ambigüedad en el lenguaje jurídico, y no obstante no todo concepto jurídico indeterminado sea </w:t>
      </w:r>
      <w:r w:rsidRPr="007559D3">
        <w:rPr>
          <w:rFonts w:ascii="Verdana" w:eastAsia="Arial" w:hAnsi="Verdana" w:cs="Arial"/>
          <w:i/>
          <w:iCs/>
          <w:color w:val="000000"/>
          <w:sz w:val="21"/>
          <w:szCs w:val="21"/>
        </w:rPr>
        <w:t>per se</w:t>
      </w:r>
      <w:r w:rsidRPr="007559D3">
        <w:rPr>
          <w:rFonts w:ascii="Verdana" w:eastAsia="Arial" w:hAnsi="Verdana" w:cs="Arial"/>
          <w:color w:val="000000"/>
          <w:sz w:val="21"/>
          <w:szCs w:val="21"/>
        </w:rPr>
        <w:t xml:space="preserve"> inconstitucional, el legislador debe evitar emplear palabras y conceptos que impliquen un grado de ambigüedad </w:t>
      </w:r>
      <w:r w:rsidRPr="007559D3">
        <w:rPr>
          <w:rFonts w:ascii="Verdana" w:eastAsia="Arial" w:hAnsi="Verdana" w:cs="Arial"/>
          <w:color w:val="000000"/>
          <w:sz w:val="21"/>
          <w:szCs w:val="21"/>
        </w:rPr>
        <w:lastRenderedPageBreak/>
        <w:t xml:space="preserve">tal, que afecten la certeza del derecho y lleven a una interpretación absolutamente discrecional de la autoridad a quien corresponde aplicar determinada disposición, especialmente cuando se trata de normas que restringen el derecho a la libertad en sus múltiples expresiones. </w:t>
      </w:r>
    </w:p>
    <w:p w14:paraId="13318D1A" w14:textId="77777777" w:rsidR="004B66CF" w:rsidRPr="007559D3" w:rsidRDefault="004B66CF" w:rsidP="004B66CF">
      <w:pPr>
        <w:pBdr>
          <w:top w:val="nil"/>
          <w:left w:val="nil"/>
          <w:bottom w:val="nil"/>
          <w:right w:val="nil"/>
          <w:between w:val="nil"/>
        </w:pBdr>
        <w:spacing w:after="120" w:line="240" w:lineRule="auto"/>
        <w:ind w:left="709" w:right="709"/>
        <w:jc w:val="both"/>
        <w:rPr>
          <w:rFonts w:ascii="Verdana" w:eastAsia="Arial" w:hAnsi="Verdana" w:cs="Arial"/>
          <w:color w:val="000000"/>
          <w:sz w:val="21"/>
          <w:szCs w:val="21"/>
        </w:rPr>
      </w:pPr>
      <w:r w:rsidRPr="007559D3">
        <w:rPr>
          <w:rFonts w:ascii="Verdana" w:eastAsia="Arial" w:hAnsi="Verdana" w:cs="Arial"/>
          <w:color w:val="000000"/>
          <w:sz w:val="21"/>
          <w:szCs w:val="21"/>
        </w:rPr>
        <w:t xml:space="preserve">3. Cuando sea posible esclarecer un concepto jurídico indeterminado, a partir de las herramientas hermenéuticas que ofrece el propio ordenamiento, la disposición no será inconstitucional. Por el contrario, si el concepto es tan abierto que no puede ser concretado en forma razonable, se desconoce el principio de legalidad. </w:t>
      </w:r>
    </w:p>
    <w:p w14:paraId="6EFEE301" w14:textId="77777777" w:rsidR="004B66CF" w:rsidRPr="007559D3" w:rsidRDefault="004B66CF" w:rsidP="004B66CF">
      <w:pPr>
        <w:pBdr>
          <w:top w:val="nil"/>
          <w:left w:val="nil"/>
          <w:bottom w:val="nil"/>
          <w:right w:val="nil"/>
          <w:between w:val="nil"/>
        </w:pBdr>
        <w:spacing w:after="0" w:line="240" w:lineRule="auto"/>
        <w:ind w:left="709" w:right="709"/>
        <w:jc w:val="both"/>
        <w:rPr>
          <w:rFonts w:ascii="Verdana" w:eastAsia="Arial" w:hAnsi="Verdana" w:cs="Arial"/>
          <w:color w:val="000000"/>
          <w:sz w:val="21"/>
          <w:szCs w:val="21"/>
        </w:rPr>
      </w:pPr>
      <w:r w:rsidRPr="007559D3">
        <w:rPr>
          <w:rFonts w:ascii="Verdana" w:eastAsia="Arial" w:hAnsi="Verdana" w:cs="Arial"/>
          <w:color w:val="000000"/>
          <w:sz w:val="21"/>
          <w:szCs w:val="21"/>
        </w:rPr>
        <w:t xml:space="preserve">4. En materia sancionatoria, ya sea penal o disciplinaria, la exigencia de certeza sobre el supuesto de hecho de una norma es mayor, puesto que la aplicación de </w:t>
      </w:r>
      <w:proofErr w:type="gramStart"/>
      <w:r w:rsidRPr="007559D3">
        <w:rPr>
          <w:rFonts w:ascii="Verdana" w:eastAsia="Arial" w:hAnsi="Verdana" w:cs="Arial"/>
          <w:color w:val="000000"/>
          <w:sz w:val="21"/>
          <w:szCs w:val="21"/>
        </w:rPr>
        <w:t>la misma</w:t>
      </w:r>
      <w:proofErr w:type="gramEnd"/>
      <w:r w:rsidRPr="007559D3">
        <w:rPr>
          <w:rFonts w:ascii="Verdana" w:eastAsia="Arial" w:hAnsi="Verdana" w:cs="Arial"/>
          <w:color w:val="000000"/>
          <w:sz w:val="21"/>
          <w:szCs w:val="21"/>
        </w:rPr>
        <w:t xml:space="preserve"> puede implicar una afectación más profunda de los derechos y libertades constitucionalmente protegidas”</w:t>
      </w:r>
      <w:r w:rsidRPr="007559D3">
        <w:rPr>
          <w:rFonts w:ascii="Verdana" w:eastAsia="Arial" w:hAnsi="Verdana" w:cs="Arial"/>
          <w:color w:val="000000"/>
          <w:sz w:val="21"/>
          <w:szCs w:val="21"/>
          <w:vertAlign w:val="superscript"/>
        </w:rPr>
        <w:footnoteReference w:id="27"/>
      </w:r>
      <w:r w:rsidRPr="007559D3">
        <w:rPr>
          <w:rFonts w:ascii="Verdana" w:eastAsia="Arial" w:hAnsi="Verdana" w:cs="Arial"/>
          <w:color w:val="000000"/>
          <w:sz w:val="21"/>
          <w:szCs w:val="21"/>
        </w:rPr>
        <w:t>.</w:t>
      </w:r>
    </w:p>
    <w:p w14:paraId="43577EEC" w14:textId="77777777" w:rsidR="004B66CF" w:rsidRPr="007559D3" w:rsidRDefault="004B66CF" w:rsidP="004B66CF">
      <w:pPr>
        <w:pBdr>
          <w:top w:val="nil"/>
          <w:left w:val="nil"/>
          <w:bottom w:val="nil"/>
          <w:right w:val="nil"/>
          <w:between w:val="nil"/>
        </w:pBdr>
        <w:spacing w:after="0" w:line="276" w:lineRule="auto"/>
        <w:ind w:firstLine="705"/>
        <w:jc w:val="both"/>
        <w:rPr>
          <w:rFonts w:ascii="Verdana" w:eastAsia="Arial" w:hAnsi="Verdana" w:cs="Arial"/>
          <w:color w:val="000000"/>
        </w:rPr>
      </w:pPr>
    </w:p>
    <w:p w14:paraId="0EACEA65" w14:textId="77777777" w:rsidR="004B66CF" w:rsidRPr="007559D3" w:rsidRDefault="004B66CF" w:rsidP="004B66CF">
      <w:pPr>
        <w:pBdr>
          <w:top w:val="nil"/>
          <w:left w:val="nil"/>
          <w:bottom w:val="nil"/>
          <w:right w:val="nil"/>
          <w:between w:val="nil"/>
        </w:pBdr>
        <w:spacing w:after="120" w:line="276" w:lineRule="auto"/>
        <w:ind w:firstLine="703"/>
        <w:jc w:val="both"/>
        <w:rPr>
          <w:rFonts w:ascii="Verdana" w:eastAsia="Arial" w:hAnsi="Verdana" w:cs="Arial"/>
          <w:color w:val="000000"/>
        </w:rPr>
      </w:pPr>
      <w:r w:rsidRPr="007559D3">
        <w:rPr>
          <w:rFonts w:ascii="Verdana" w:eastAsia="Arial" w:hAnsi="Verdana" w:cs="Arial"/>
          <w:color w:val="000000"/>
        </w:rPr>
        <w:t xml:space="preserve">De acuerdo con la jurisprudencia, </w:t>
      </w:r>
      <w:bookmarkStart w:id="9" w:name="_Hlk160632642"/>
      <w:r w:rsidRPr="007559D3">
        <w:rPr>
          <w:rFonts w:ascii="Verdana" w:eastAsia="Arial" w:hAnsi="Verdana" w:cs="Arial"/>
          <w:color w:val="000000"/>
        </w:rPr>
        <w:t xml:space="preserve">los conceptos jurídicos indeterminados no suponen la discrecionalidad de las autoridades. </w:t>
      </w:r>
      <w:r w:rsidRPr="007559D3">
        <w:rPr>
          <w:rFonts w:ascii="Verdana" w:eastAsia="Arial" w:hAnsi="Verdana" w:cs="Arial"/>
        </w:rPr>
        <w:t>Con esa orientación</w:t>
      </w:r>
      <w:r w:rsidRPr="007559D3">
        <w:rPr>
          <w:rFonts w:ascii="Verdana" w:eastAsia="Arial" w:hAnsi="Verdana" w:cs="Arial"/>
          <w:color w:val="000000"/>
        </w:rPr>
        <w:t xml:space="preserve">, el tribunal constitucional ha señalado que, para la determinación de su alcance, los operadores jurídicos deben acudir a los valores, los principios y las reglas de derecho que sirven de fundamento a la institución jurídica en cuya regulación está contenido </w:t>
      </w:r>
      <w:r w:rsidRPr="007559D3">
        <w:rPr>
          <w:rFonts w:ascii="Verdana" w:eastAsia="Arial" w:hAnsi="Verdana" w:cs="Arial"/>
        </w:rPr>
        <w:t>dicho</w:t>
      </w:r>
      <w:r w:rsidRPr="007559D3">
        <w:rPr>
          <w:rFonts w:ascii="Verdana" w:eastAsia="Arial" w:hAnsi="Verdana" w:cs="Arial"/>
          <w:color w:val="000000"/>
        </w:rPr>
        <w:t xml:space="preserve"> concepto</w:t>
      </w:r>
      <w:r w:rsidRPr="007559D3">
        <w:rPr>
          <w:rFonts w:ascii="Verdana" w:eastAsia="Arial" w:hAnsi="Verdana" w:cs="Arial"/>
          <w:color w:val="000000"/>
          <w:vertAlign w:val="superscript"/>
        </w:rPr>
        <w:footnoteReference w:id="28"/>
      </w:r>
      <w:r w:rsidRPr="007559D3">
        <w:rPr>
          <w:rFonts w:ascii="Verdana" w:eastAsia="Arial" w:hAnsi="Verdana" w:cs="Arial"/>
          <w:color w:val="000000"/>
        </w:rPr>
        <w:t xml:space="preserve">. Estos criterios o herramientas servirán de apoyo en el proceso intelectivo </w:t>
      </w:r>
      <w:r w:rsidRPr="007559D3">
        <w:rPr>
          <w:rFonts w:ascii="Verdana" w:eastAsia="Arial" w:hAnsi="Verdana" w:cs="Arial"/>
        </w:rPr>
        <w:t>de los operadores jurídicos</w:t>
      </w:r>
      <w:r w:rsidRPr="007559D3">
        <w:rPr>
          <w:rFonts w:ascii="Verdana" w:eastAsia="Arial" w:hAnsi="Verdana" w:cs="Arial"/>
          <w:color w:val="000000"/>
        </w:rPr>
        <w:t xml:space="preserve">. </w:t>
      </w:r>
      <w:r w:rsidRPr="007559D3">
        <w:rPr>
          <w:rFonts w:ascii="Verdana" w:eastAsia="Arial" w:hAnsi="Verdana" w:cs="Arial"/>
        </w:rPr>
        <w:t>P</w:t>
      </w:r>
      <w:r w:rsidRPr="007559D3">
        <w:rPr>
          <w:rFonts w:ascii="Verdana" w:eastAsia="Arial" w:hAnsi="Verdana" w:cs="Arial"/>
          <w:color w:val="000000"/>
        </w:rPr>
        <w:t>or regla general, la determinación del alcance de este tipo de conceptos exige que el operador jurídico lleve a cabo juicios de valor, lo cual no excluye el respectivo control</w:t>
      </w:r>
      <w:bookmarkEnd w:id="9"/>
      <w:r w:rsidRPr="007559D3">
        <w:rPr>
          <w:rFonts w:ascii="Verdana" w:eastAsia="Arial" w:hAnsi="Verdana" w:cs="Arial"/>
        </w:rPr>
        <w:t>.</w:t>
      </w:r>
      <w:r w:rsidRPr="007559D3">
        <w:rPr>
          <w:rFonts w:ascii="Verdana" w:eastAsia="Arial" w:hAnsi="Verdana" w:cs="Arial"/>
          <w:color w:val="000000"/>
        </w:rPr>
        <w:t xml:space="preserve"> </w:t>
      </w:r>
    </w:p>
    <w:p w14:paraId="417DAD19" w14:textId="77777777" w:rsidR="002541A9" w:rsidRPr="007559D3" w:rsidRDefault="004B66CF" w:rsidP="002541A9">
      <w:pPr>
        <w:pBdr>
          <w:top w:val="nil"/>
          <w:left w:val="nil"/>
          <w:bottom w:val="nil"/>
          <w:right w:val="nil"/>
          <w:between w:val="nil"/>
        </w:pBdr>
        <w:spacing w:after="120" w:line="276" w:lineRule="auto"/>
        <w:ind w:firstLine="703"/>
        <w:jc w:val="both"/>
        <w:rPr>
          <w:rFonts w:ascii="Verdana" w:eastAsia="Calibri" w:hAnsi="Verdana" w:cs="Arial"/>
          <w:bCs/>
          <w:color w:val="000000" w:themeColor="text1"/>
          <w:lang w:val="es-ES_tradnl"/>
        </w:rPr>
      </w:pPr>
      <w:r w:rsidRPr="007559D3">
        <w:rPr>
          <w:rFonts w:ascii="Verdana" w:eastAsia="Arial" w:hAnsi="Verdana" w:cs="Arial"/>
          <w:color w:val="000000"/>
        </w:rPr>
        <w:t xml:space="preserve">Teniendo en cuenta la competencia del artículo 189.11 superior para la debida ejecución de la ley, nada obsta para que el reglamento precise el ámbito de aplicación de los </w:t>
      </w:r>
      <w:r w:rsidRPr="007559D3">
        <w:rPr>
          <w:rFonts w:ascii="Verdana" w:eastAsia="Arial" w:hAnsi="Verdana" w:cs="Arial"/>
          <w:i/>
          <w:iCs/>
          <w:color w:val="000000"/>
        </w:rPr>
        <w:t>conceptos jurídicos indeterminados</w:t>
      </w:r>
      <w:r w:rsidRPr="007559D3">
        <w:rPr>
          <w:rFonts w:ascii="Verdana" w:eastAsia="Arial" w:hAnsi="Verdana" w:cs="Arial"/>
          <w:color w:val="000000"/>
        </w:rPr>
        <w:t>. Aunque el artículo 28 del Código Civil dispone que las palabras se entenderán en su sentido natural y obvio, es decir, de acuerdo con su sentido general, también dispone que cuando se definan expresamente para ciertas materias, se les dará en éstas su significado legal. Sin embargo, por regla general, l</w:t>
      </w:r>
      <w:r w:rsidRPr="007559D3">
        <w:rPr>
          <w:rFonts w:ascii="Verdana" w:eastAsia="Calibri" w:hAnsi="Verdana" w:cs="Arial"/>
          <w:bCs/>
          <w:color w:val="000000" w:themeColor="text1"/>
          <w:lang w:val="es-ES_tradnl"/>
        </w:rPr>
        <w:t xml:space="preserve">a intervención del reglamento es accesoria, no necesaria: el Congreso de la República ejerce su competencia para la expedición de las leyes sin que normas de inferior jerarquía condicionen su vigencia o aplicación. Por ello, la competencia reglamentaria corresponde a </w:t>
      </w:r>
      <w:r w:rsidRPr="007559D3">
        <w:rPr>
          <w:rFonts w:ascii="Verdana" w:eastAsia="Calibri" w:hAnsi="Verdana" w:cs="Arial"/>
          <w:bCs/>
          <w:color w:val="000000" w:themeColor="text1"/>
          <w:lang w:val="es-ES_tradnl"/>
        </w:rPr>
        <w:lastRenderedPageBreak/>
        <w:t>un poder discrecional. En este contexto, si la expedición de reglamentos no es obligatoria, la ausencia de estos no excusa la inaplicación de la ley, pues contiene unos elementos mínimos que vinculan directamente a los destinatarios</w:t>
      </w:r>
      <w:r w:rsidRPr="007559D3">
        <w:rPr>
          <w:rStyle w:val="Refdenotaalpie"/>
          <w:rFonts w:ascii="Verdana" w:eastAsia="Calibri" w:hAnsi="Verdana" w:cs="Arial"/>
          <w:bCs/>
          <w:color w:val="000000" w:themeColor="text1"/>
          <w:lang w:val="es-ES_tradnl"/>
        </w:rPr>
        <w:footnoteReference w:id="29"/>
      </w:r>
      <w:r w:rsidRPr="007559D3">
        <w:rPr>
          <w:rFonts w:ascii="Verdana" w:eastAsia="Calibri" w:hAnsi="Verdana" w:cs="Arial"/>
          <w:bCs/>
          <w:color w:val="000000" w:themeColor="text1"/>
          <w:lang w:val="es-ES_tradnl"/>
        </w:rPr>
        <w:t>.</w:t>
      </w:r>
    </w:p>
    <w:p w14:paraId="1B6C95BA" w14:textId="108E6321" w:rsidR="002541A9" w:rsidRPr="007559D3" w:rsidRDefault="002541A9" w:rsidP="002541A9">
      <w:pPr>
        <w:pBdr>
          <w:top w:val="nil"/>
          <w:left w:val="nil"/>
          <w:bottom w:val="nil"/>
          <w:right w:val="nil"/>
          <w:between w:val="nil"/>
        </w:pBdr>
        <w:spacing w:after="120" w:line="276" w:lineRule="auto"/>
        <w:ind w:firstLine="703"/>
        <w:jc w:val="both"/>
        <w:rPr>
          <w:rFonts w:ascii="Verdana" w:eastAsia="Calibri" w:hAnsi="Verdana" w:cs="Arial"/>
          <w:color w:val="000000" w:themeColor="text1"/>
          <w:lang w:val="es-ES"/>
        </w:rPr>
      </w:pPr>
      <w:r w:rsidRPr="007559D3">
        <w:rPr>
          <w:rFonts w:ascii="Verdana" w:eastAsia="Calibri" w:hAnsi="Verdana" w:cs="Arial"/>
          <w:color w:val="000000" w:themeColor="text1"/>
          <w:lang w:val="es-ES"/>
        </w:rPr>
        <w:t>Respecto al tema de la consulta, en ausencia de una reglamentación que precise el objeto de la causal de contratación directa del literal l) del artículo 2, numeral 4 de la Ley 1150 de 2007, los programas, planes y proyectos del plan de desarrollo relacionados con la satisfacción de necesidades y/o servicios públicos de los pueblos y comunidades indígenas se entienden dentro del sentido general de las palabras, como dispone el inciso primero del artículo 28 del Código Civil. Por un lado, para la RAE las “necesidades” aluden a la “Carencia de las cosas que son menester para la conservación de la vida” así como al “Especial riesgo o peligro que se padece, y en que se necesita pronto auxilio”. Estas necesidades pueden relacionarse con condiciones precarias de vivienda, dificultades para acceder a los servicios de salud, bajos niveles de educación, malas condiciones sanitarias, dificultades para acceder al empleo, etc. En términos generales, se trata de necesidades cuya satisfacción es indispensable para la existencia humana. Para estos efectos, el DANE construye un Índice de Necesidades Básicas Insatisfechas, el cual constituye una metodología para identificar carencias críticas de la población y caracterizar la pobreza.</w:t>
      </w:r>
    </w:p>
    <w:p w14:paraId="6F157790" w14:textId="77777777" w:rsidR="005D7568" w:rsidRPr="007559D3" w:rsidRDefault="005D7568" w:rsidP="005D7568">
      <w:pPr>
        <w:pBdr>
          <w:top w:val="nil"/>
          <w:left w:val="nil"/>
          <w:bottom w:val="nil"/>
          <w:right w:val="nil"/>
          <w:between w:val="nil"/>
        </w:pBdr>
        <w:spacing w:after="120" w:line="276" w:lineRule="auto"/>
        <w:ind w:firstLine="703"/>
        <w:jc w:val="both"/>
        <w:rPr>
          <w:rFonts w:ascii="Verdana" w:eastAsia="Calibri" w:hAnsi="Verdana" w:cs="Arial"/>
          <w:bCs/>
          <w:color w:val="000000" w:themeColor="text1"/>
          <w:lang w:val="es-ES_tradnl"/>
        </w:rPr>
      </w:pPr>
      <w:r w:rsidRPr="007559D3">
        <w:rPr>
          <w:rFonts w:ascii="Verdana" w:eastAsia="Calibri" w:hAnsi="Verdana" w:cs="Arial"/>
          <w:bCs/>
          <w:color w:val="000000" w:themeColor="text1"/>
          <w:lang w:val="es-ES_tradnl"/>
        </w:rPr>
        <w:t>Por su parte, los “servicios públicos” son “[…] aquellas actividades que el Estado tiene el deber de prestar a todos los habitantes del territorio nacional, de manera eficiente, regular y continua, en igualdad de condiciones, en forma directa, o mediante el concurso de los particulares, con el propósito de satisfacer las necesidades de interés general que la sociedad demanda”</w:t>
      </w:r>
      <w:r w:rsidRPr="007559D3">
        <w:rPr>
          <w:rStyle w:val="Refdenotaalpie"/>
          <w:rFonts w:ascii="Verdana" w:eastAsia="Calibri" w:hAnsi="Verdana" w:cs="Arial"/>
          <w:bCs/>
          <w:color w:val="000000" w:themeColor="text1"/>
          <w:lang w:val="es-ES_tradnl"/>
        </w:rPr>
        <w:footnoteReference w:id="30"/>
      </w:r>
      <w:r w:rsidRPr="007559D3">
        <w:rPr>
          <w:rFonts w:ascii="Verdana" w:eastAsia="Calibri" w:hAnsi="Verdana" w:cs="Arial"/>
          <w:bCs/>
          <w:color w:val="000000" w:themeColor="text1"/>
          <w:lang w:val="es-ES_tradnl"/>
        </w:rPr>
        <w:t xml:space="preserve">. Mas allá de una </w:t>
      </w:r>
      <w:r w:rsidRPr="007559D3">
        <w:rPr>
          <w:rFonts w:ascii="Verdana" w:eastAsia="Calibri" w:hAnsi="Verdana" w:cs="Arial"/>
          <w:bCs/>
          <w:color w:val="000000" w:themeColor="text1"/>
          <w:lang w:val="es-ES_tradnl"/>
        </w:rPr>
        <w:lastRenderedPageBreak/>
        <w:t xml:space="preserve">concepción meramente orgánica, el concepto de servicio público está unido a un aspecto material, pues si “Las autoridades de la República están instituidas para […] para asegurar el cumplimiento de los deberes sociales del Estado y de los particulares” –inc. 2, art. 2 Constitucional– es claro que “Los servicios públicos son inherentes a la finalidad social del Estado” –inc. 1°, art. 365 superior–. </w:t>
      </w:r>
    </w:p>
    <w:p w14:paraId="07F42772" w14:textId="77777777" w:rsidR="00072354" w:rsidRPr="007559D3" w:rsidRDefault="00072354" w:rsidP="00072354">
      <w:pPr>
        <w:pBdr>
          <w:top w:val="nil"/>
          <w:left w:val="nil"/>
          <w:bottom w:val="nil"/>
          <w:right w:val="nil"/>
          <w:between w:val="nil"/>
        </w:pBdr>
        <w:spacing w:after="120" w:line="276" w:lineRule="auto"/>
        <w:ind w:firstLine="703"/>
        <w:jc w:val="both"/>
        <w:rPr>
          <w:rFonts w:ascii="Verdana" w:eastAsia="Calibri" w:hAnsi="Verdana" w:cs="Arial"/>
          <w:bCs/>
          <w:color w:val="000000" w:themeColor="text1"/>
          <w:lang w:val="es-ES_tradnl"/>
        </w:rPr>
      </w:pPr>
      <w:r w:rsidRPr="007559D3">
        <w:rPr>
          <w:rFonts w:ascii="Verdana" w:eastAsia="Calibri" w:hAnsi="Verdana" w:cs="Arial"/>
          <w:bCs/>
          <w:color w:val="000000" w:themeColor="text1"/>
          <w:lang w:val="es-ES_tradnl"/>
        </w:rPr>
        <w:t>Pueden existir necesidades que estén relacionadas con la prestación de servicios públicos: este es el caso, por ejemplo, de la salud, la educación, el agua potable y el saneamiento básico. Al fortalecerse la prestación de estos servicios, se cubren necesidades de la población. Sin embargo, como se desprende de la redacción de la casual, este nexo no tiene carácter necesario. Por ejemplo, los problemas relacionados con la vivienda o las dificultades para acceder al empleo –más que la prestación de algún servicio de naturaleza asistencial– pueden requerir medidas de fomento</w:t>
      </w:r>
      <w:r w:rsidRPr="007559D3">
        <w:rPr>
          <w:rStyle w:val="Refdenotaalpie"/>
          <w:rFonts w:ascii="Verdana" w:eastAsia="Calibri" w:hAnsi="Verdana" w:cs="Arial"/>
          <w:bCs/>
          <w:color w:val="000000" w:themeColor="text1"/>
          <w:lang w:val="es-ES_tradnl"/>
        </w:rPr>
        <w:footnoteReference w:id="31"/>
      </w:r>
      <w:r w:rsidRPr="007559D3">
        <w:rPr>
          <w:rFonts w:ascii="Verdana" w:eastAsia="Calibri" w:hAnsi="Verdana" w:cs="Arial"/>
          <w:bCs/>
          <w:color w:val="000000" w:themeColor="text1"/>
          <w:lang w:val="es-ES_tradnl"/>
        </w:rPr>
        <w:t xml:space="preserve">. Así, el literal l) del artículo 2, numeral 4 de la Ley 1150 de 2007 se refiere a “[…] la satisfacción de necesidades y/o servicios públicos […]”, es decir, el objeto del contrato o convenio puede referirse a uno, a otro o a ambos, siempre que se trate de programas, planes y proyectos del plan de desarrollo relacionados con los pueblos y comunidades indígenas.   </w:t>
      </w:r>
    </w:p>
    <w:p w14:paraId="04CEB86E" w14:textId="77777777" w:rsidR="008C4BEA" w:rsidRPr="007559D3" w:rsidRDefault="008C4BEA" w:rsidP="008C4BEA">
      <w:pPr>
        <w:pBdr>
          <w:top w:val="nil"/>
          <w:left w:val="nil"/>
          <w:bottom w:val="nil"/>
          <w:right w:val="nil"/>
          <w:between w:val="nil"/>
        </w:pBdr>
        <w:spacing w:after="120" w:line="276" w:lineRule="auto"/>
        <w:ind w:firstLine="703"/>
        <w:jc w:val="both"/>
        <w:rPr>
          <w:rFonts w:ascii="Verdana" w:eastAsia="Calibri" w:hAnsi="Verdana" w:cs="Arial"/>
          <w:bCs/>
          <w:color w:val="000000" w:themeColor="text1"/>
          <w:lang w:val="es-ES_tradnl"/>
        </w:rPr>
      </w:pPr>
      <w:r w:rsidRPr="007559D3">
        <w:rPr>
          <w:rFonts w:ascii="Verdana" w:eastAsia="Calibri" w:hAnsi="Verdana" w:cs="Arial"/>
          <w:bCs/>
          <w:color w:val="000000" w:themeColor="text1"/>
          <w:lang w:val="es-ES_tradnl"/>
        </w:rPr>
        <w:t xml:space="preserve">No obstante, además de los requisitos subjetivos y objetivos explicados </w:t>
      </w:r>
      <w:r w:rsidRPr="007559D3">
        <w:rPr>
          <w:rFonts w:ascii="Verdana" w:eastAsia="Calibri" w:hAnsi="Verdana" w:cs="Arial"/>
          <w:bCs/>
          <w:i/>
          <w:iCs/>
          <w:color w:val="000000" w:themeColor="text1"/>
          <w:lang w:val="es-ES_tradnl"/>
        </w:rPr>
        <w:t>ut supra</w:t>
      </w:r>
      <w:r w:rsidRPr="007559D3">
        <w:rPr>
          <w:rFonts w:ascii="Verdana" w:eastAsia="Calibri" w:hAnsi="Verdana" w:cs="Arial"/>
          <w:bCs/>
          <w:color w:val="000000" w:themeColor="text1"/>
          <w:lang w:val="es-ES_tradnl"/>
        </w:rPr>
        <w:t xml:space="preserve">, la norma dispone que en los contratos o convenios suscritos “[…] se contemplará </w:t>
      </w:r>
      <w:bookmarkStart w:id="10" w:name="_Hlk160630143"/>
      <w:r w:rsidRPr="007559D3">
        <w:rPr>
          <w:rFonts w:ascii="Verdana" w:eastAsia="Calibri" w:hAnsi="Verdana" w:cs="Arial"/>
          <w:bCs/>
          <w:color w:val="000000" w:themeColor="text1"/>
          <w:lang w:val="es-ES_tradnl"/>
        </w:rPr>
        <w:t>la ejecución de obras públicas que impliquen actividades de mantenimiento y/o mejoramiento de infraestructura social y de transporte, así como suministrar bienes y/o servicios</w:t>
      </w:r>
      <w:bookmarkEnd w:id="10"/>
      <w:r w:rsidRPr="007559D3">
        <w:rPr>
          <w:rFonts w:ascii="Verdana" w:eastAsia="Calibri" w:hAnsi="Verdana" w:cs="Arial"/>
          <w:bCs/>
          <w:color w:val="000000" w:themeColor="text1"/>
          <w:lang w:val="es-ES_tradnl"/>
        </w:rPr>
        <w:t xml:space="preserve"> para los que se acredite idoneidad, la cual </w:t>
      </w:r>
      <w:bookmarkStart w:id="11" w:name="_Hlk160628682"/>
      <w:r w:rsidRPr="007559D3">
        <w:rPr>
          <w:rFonts w:ascii="Verdana" w:eastAsia="Calibri" w:hAnsi="Verdana" w:cs="Arial"/>
          <w:bCs/>
          <w:color w:val="000000" w:themeColor="text1"/>
          <w:lang w:val="es-ES_tradnl"/>
        </w:rPr>
        <w:t>deberá ser valorada teniendo en cuenta un enfoque diferencial</w:t>
      </w:r>
      <w:bookmarkEnd w:id="11"/>
      <w:r w:rsidRPr="007559D3">
        <w:rPr>
          <w:rFonts w:ascii="Verdana" w:eastAsia="Calibri" w:hAnsi="Verdana" w:cs="Arial"/>
          <w:bCs/>
          <w:color w:val="000000" w:themeColor="text1"/>
          <w:lang w:val="es-ES_tradnl"/>
        </w:rPr>
        <w:t xml:space="preserve">”. Esto implica una calificación de </w:t>
      </w:r>
      <w:r w:rsidRPr="007559D3">
        <w:rPr>
          <w:rFonts w:ascii="Verdana" w:eastAsia="Calibri" w:hAnsi="Verdana" w:cs="Arial"/>
          <w:lang w:val="es-MX"/>
        </w:rPr>
        <w:t xml:space="preserve">los Cabildos Indígenas, las asociaciones de Cabildos Indígenas </w:t>
      </w:r>
      <w:r w:rsidRPr="007559D3">
        <w:rPr>
          <w:rFonts w:ascii="Verdana" w:eastAsia="Calibri" w:hAnsi="Verdana" w:cs="Arial"/>
          <w:lang w:val="es-MX"/>
        </w:rPr>
        <w:lastRenderedPageBreak/>
        <w:t xml:space="preserve">y/o Autoridades Tradicionales Indígenas, Consejos Indígenas y Organizaciones Indígenas, pues la idoneidad para ejecutar las obras mencionadas, suministrar bienes o prestar servicios es un requisito </w:t>
      </w:r>
      <w:r w:rsidRPr="007559D3">
        <w:rPr>
          <w:rFonts w:ascii="Verdana" w:eastAsia="Calibri" w:hAnsi="Verdana" w:cs="Arial"/>
          <w:i/>
          <w:iCs/>
          <w:lang w:val="es-MX"/>
        </w:rPr>
        <w:t>sine qua non</w:t>
      </w:r>
      <w:r w:rsidRPr="007559D3">
        <w:rPr>
          <w:rFonts w:ascii="Verdana" w:eastAsia="Calibri" w:hAnsi="Verdana" w:cs="Arial"/>
          <w:lang w:val="es-MX"/>
        </w:rPr>
        <w:t xml:space="preserve"> de la causal de</w:t>
      </w:r>
      <w:r w:rsidRPr="007559D3">
        <w:rPr>
          <w:rFonts w:ascii="Verdana" w:eastAsia="Calibri" w:hAnsi="Verdana" w:cs="Arial"/>
          <w:bCs/>
          <w:color w:val="000000" w:themeColor="text1"/>
          <w:lang w:val="es-ES_tradnl"/>
        </w:rPr>
        <w:t xml:space="preserve">l literal l) del artículo 2, numeral 4 de la Ley 1150 de 2007.   </w:t>
      </w:r>
    </w:p>
    <w:p w14:paraId="187B7916" w14:textId="77777777" w:rsidR="00B12FE1" w:rsidRPr="007559D3" w:rsidRDefault="00B12FE1" w:rsidP="00B12FE1">
      <w:pPr>
        <w:pBdr>
          <w:top w:val="nil"/>
          <w:left w:val="nil"/>
          <w:bottom w:val="nil"/>
          <w:right w:val="nil"/>
          <w:between w:val="nil"/>
        </w:pBdr>
        <w:spacing w:after="120" w:line="276" w:lineRule="auto"/>
        <w:ind w:firstLine="703"/>
        <w:jc w:val="both"/>
        <w:rPr>
          <w:rFonts w:ascii="Verdana" w:eastAsia="Calibri" w:hAnsi="Verdana" w:cs="Arial"/>
          <w:bCs/>
          <w:color w:val="000000" w:themeColor="text1"/>
          <w:lang w:val="es-ES_tradnl"/>
        </w:rPr>
      </w:pPr>
      <w:r w:rsidRPr="007559D3">
        <w:rPr>
          <w:rFonts w:ascii="Verdana" w:eastAsia="Calibri" w:hAnsi="Verdana" w:cs="Arial"/>
          <w:bCs/>
          <w:color w:val="000000" w:themeColor="text1"/>
          <w:lang w:val="es-ES_tradnl"/>
        </w:rPr>
        <w:t xml:space="preserve">Nuevamente, se trata de un requisito plasmado en un </w:t>
      </w:r>
      <w:r w:rsidRPr="007559D3">
        <w:rPr>
          <w:rFonts w:ascii="Verdana" w:eastAsia="Calibri" w:hAnsi="Verdana" w:cs="Arial"/>
          <w:bCs/>
          <w:i/>
          <w:iCs/>
          <w:color w:val="000000" w:themeColor="text1"/>
          <w:lang w:val="es-ES_tradnl"/>
        </w:rPr>
        <w:t>concepto jurídicamente indeterminado</w:t>
      </w:r>
      <w:r w:rsidRPr="007559D3">
        <w:rPr>
          <w:rFonts w:ascii="Verdana" w:eastAsia="Calibri" w:hAnsi="Verdana" w:cs="Arial"/>
          <w:bCs/>
          <w:color w:val="000000" w:themeColor="text1"/>
          <w:lang w:val="es-ES_tradnl"/>
        </w:rPr>
        <w:t xml:space="preserve"> que es necesario llenar de contenido en cada caso concreto. Conforme al diccionario de la RAE, lo “idóneo” se refiere a que es “Adecuado y apropiado para algo”, lo que indica una serie de aptitudes para cumplir un fin determinado. Esto se confirma en el diccionario panhispánico del español jurídico, donde la RAE alude a la “Cualidad personal necesaria para la prestación de un servicio concreto o la asunción de un cargo”. Este requisito también se exige, por ejemplo, para la celebración de contratos de prestación de servicios profesionales y de apoyo a la gestión –art. 2.2.1.2.1.4.9 del Decreto 1082 de 2015– y para suscribir contratos del artículo 355 superior con entidades privadas sin ánimo de lucro –art. 3 del Decreto 092 de 2017–.</w:t>
      </w:r>
    </w:p>
    <w:p w14:paraId="687A17F5" w14:textId="77777777" w:rsidR="00C05CB2" w:rsidRPr="007559D3" w:rsidRDefault="00C05CB2" w:rsidP="00C05CB2">
      <w:pPr>
        <w:pBdr>
          <w:top w:val="nil"/>
          <w:left w:val="nil"/>
          <w:bottom w:val="nil"/>
          <w:right w:val="nil"/>
          <w:between w:val="nil"/>
        </w:pBdr>
        <w:spacing w:after="0" w:line="276" w:lineRule="auto"/>
        <w:ind w:firstLine="703"/>
        <w:jc w:val="both"/>
        <w:rPr>
          <w:rFonts w:ascii="Verdana" w:eastAsia="Calibri" w:hAnsi="Verdana" w:cs="Arial"/>
          <w:bCs/>
          <w:color w:val="000000" w:themeColor="text1"/>
          <w:lang w:val="es-ES_tradnl"/>
        </w:rPr>
      </w:pPr>
      <w:r w:rsidRPr="007559D3">
        <w:rPr>
          <w:rFonts w:ascii="Verdana" w:eastAsia="Calibri" w:hAnsi="Verdana" w:cs="Arial"/>
          <w:bCs/>
          <w:color w:val="000000" w:themeColor="text1"/>
          <w:lang w:val="es-ES_tradnl"/>
        </w:rPr>
        <w:t xml:space="preserve">Dicha idoneidad, como mínimo, se precisa en términos de conocimiento y de experiencia, es decir, en la combinación entre el “saber” y el “saber hacer”. Estas capacidades se analizan en relación con el objeto del contrato, de donde se deprenden aptitudes teóricas y prácticas para ejecutar el proyecto. Además de lo anterior, puede verificarse con criterios como las capacidades del personal vinculado, una estructura organizacional robusta, la implementación y cumplimiento de indicadores de gestión, reputación del organismo en el medio, entre otras. Como se observa, la idoneidad es un concepto que se determina de forma valorativa, esto es, de acuerdo con el parámetro de verificación que se adopte. Al tratarse de </w:t>
      </w:r>
      <w:r w:rsidRPr="007559D3">
        <w:rPr>
          <w:rFonts w:ascii="Verdana" w:eastAsia="Calibri" w:hAnsi="Verdana" w:cs="Arial"/>
          <w:lang w:val="es-MX"/>
        </w:rPr>
        <w:t>pueblos y comunidades indígenas,</w:t>
      </w:r>
      <w:r w:rsidRPr="007559D3">
        <w:rPr>
          <w:rFonts w:ascii="Verdana" w:eastAsia="Calibri" w:hAnsi="Verdana" w:cs="Arial"/>
          <w:bCs/>
          <w:color w:val="000000" w:themeColor="text1"/>
          <w:lang w:val="es-ES_tradnl"/>
        </w:rPr>
        <w:t xml:space="preserve"> la norma dispone que esta circunstancia “[…] deberá ser valorada teniendo en cuenta un enfoque diferencial […]”. Como explica el Departamento Nacional de Planeación:</w:t>
      </w:r>
    </w:p>
    <w:p w14:paraId="2EF607A5" w14:textId="77777777" w:rsidR="00C05CB2" w:rsidRPr="007559D3" w:rsidRDefault="00C05CB2" w:rsidP="00C05CB2">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2F8FFF29" w14:textId="77777777" w:rsidR="00C05CB2" w:rsidRPr="007559D3" w:rsidRDefault="00C05CB2" w:rsidP="00C05CB2">
      <w:pPr>
        <w:pBdr>
          <w:top w:val="nil"/>
          <w:left w:val="nil"/>
          <w:bottom w:val="nil"/>
          <w:right w:val="nil"/>
          <w:between w:val="nil"/>
        </w:pBdr>
        <w:spacing w:after="120" w:line="240" w:lineRule="auto"/>
        <w:ind w:left="709" w:right="709"/>
        <w:jc w:val="both"/>
        <w:rPr>
          <w:rFonts w:ascii="Verdana" w:eastAsia="Calibri" w:hAnsi="Verdana" w:cs="Arial"/>
          <w:bCs/>
          <w:color w:val="000000" w:themeColor="text1"/>
          <w:sz w:val="20"/>
          <w:szCs w:val="20"/>
          <w:lang w:val="es-ES_tradnl"/>
        </w:rPr>
      </w:pPr>
      <w:r w:rsidRPr="007559D3">
        <w:rPr>
          <w:rFonts w:ascii="Verdana" w:eastAsia="Calibri" w:hAnsi="Verdana" w:cs="Arial"/>
          <w:bCs/>
          <w:color w:val="000000" w:themeColor="text1"/>
          <w:sz w:val="20"/>
          <w:szCs w:val="20"/>
          <w:lang w:val="es-ES_tradnl"/>
        </w:rPr>
        <w:t xml:space="preserve">“El enfoque diferencial étnico remite a una perspectiva integrada de análisis, reconocimiento, respeto y garantía de los derechos individuales y colectivos de todos los grupos étnicos existentes en el país, haciendo énfasis en la igualdad de oportunidades desde la diferencia, la diversidad y la no discriminación. </w:t>
      </w:r>
    </w:p>
    <w:p w14:paraId="423CA6E7" w14:textId="77777777" w:rsidR="00C05CB2" w:rsidRPr="007559D3" w:rsidRDefault="00C05CB2" w:rsidP="00C05CB2">
      <w:pPr>
        <w:pBdr>
          <w:top w:val="nil"/>
          <w:left w:val="nil"/>
          <w:bottom w:val="nil"/>
          <w:right w:val="nil"/>
          <w:between w:val="nil"/>
        </w:pBdr>
        <w:spacing w:after="0" w:line="240" w:lineRule="auto"/>
        <w:ind w:left="709" w:right="709"/>
        <w:jc w:val="both"/>
        <w:rPr>
          <w:rFonts w:ascii="Verdana" w:eastAsia="Calibri" w:hAnsi="Verdana" w:cs="Arial"/>
          <w:bCs/>
          <w:color w:val="000000" w:themeColor="text1"/>
          <w:sz w:val="20"/>
          <w:szCs w:val="20"/>
          <w:lang w:val="es-ES_tradnl"/>
        </w:rPr>
      </w:pPr>
      <w:r w:rsidRPr="007559D3">
        <w:rPr>
          <w:rFonts w:ascii="Verdana" w:eastAsia="Calibri" w:hAnsi="Verdana" w:cs="Arial"/>
          <w:bCs/>
          <w:color w:val="000000" w:themeColor="text1"/>
          <w:sz w:val="20"/>
          <w:szCs w:val="20"/>
          <w:lang w:val="es-ES_tradnl"/>
        </w:rPr>
        <w:t xml:space="preserve">Con esto se busca, por un lado, permear la política pública e incidir en las acciones del Estado, y por otro, divulgar y promover una cultura de reconocimiento, respeto e igualdad en el ejercicio de los derechos para todos los grupos que integran la nación pluriétnica y multicultural, y así </w:t>
      </w:r>
      <w:r w:rsidRPr="007559D3">
        <w:rPr>
          <w:rFonts w:ascii="Verdana" w:eastAsia="Calibri" w:hAnsi="Verdana" w:cs="Arial"/>
          <w:bCs/>
          <w:color w:val="000000" w:themeColor="text1"/>
          <w:sz w:val="20"/>
          <w:szCs w:val="20"/>
          <w:lang w:val="es-ES_tradnl"/>
        </w:rPr>
        <w:lastRenderedPageBreak/>
        <w:t>dimensionar los alcances de su inclusión en la agenda pública y la incidencia en sus procesos comunitarios y organizativos”</w:t>
      </w:r>
      <w:r w:rsidRPr="007559D3">
        <w:rPr>
          <w:rStyle w:val="Refdenotaalpie"/>
          <w:rFonts w:ascii="Verdana" w:eastAsia="Calibri" w:hAnsi="Verdana" w:cs="Arial"/>
          <w:bCs/>
          <w:color w:val="000000" w:themeColor="text1"/>
          <w:sz w:val="20"/>
          <w:szCs w:val="20"/>
          <w:lang w:val="es-ES_tradnl"/>
        </w:rPr>
        <w:footnoteReference w:id="32"/>
      </w:r>
      <w:r w:rsidRPr="007559D3">
        <w:rPr>
          <w:rFonts w:ascii="Verdana" w:eastAsia="Calibri" w:hAnsi="Verdana" w:cs="Arial"/>
          <w:bCs/>
          <w:color w:val="000000" w:themeColor="text1"/>
          <w:sz w:val="20"/>
          <w:szCs w:val="20"/>
          <w:lang w:val="es-ES_tradnl"/>
        </w:rPr>
        <w:t>.</w:t>
      </w:r>
    </w:p>
    <w:p w14:paraId="2BDBD20C" w14:textId="77777777" w:rsidR="00C05CB2" w:rsidRPr="007559D3" w:rsidRDefault="00C05CB2" w:rsidP="00C05CB2">
      <w:pPr>
        <w:pBdr>
          <w:top w:val="nil"/>
          <w:left w:val="nil"/>
          <w:bottom w:val="nil"/>
          <w:right w:val="nil"/>
          <w:between w:val="nil"/>
        </w:pBdr>
        <w:spacing w:after="0" w:line="276" w:lineRule="auto"/>
        <w:ind w:left="709" w:right="709"/>
        <w:jc w:val="both"/>
        <w:rPr>
          <w:rFonts w:ascii="Verdana" w:eastAsia="Calibri" w:hAnsi="Verdana" w:cs="Arial"/>
          <w:bCs/>
          <w:color w:val="000000" w:themeColor="text1"/>
          <w:lang w:val="es-ES_tradnl"/>
        </w:rPr>
      </w:pPr>
    </w:p>
    <w:p w14:paraId="2B15DFF1" w14:textId="77777777" w:rsidR="00C05CB2" w:rsidRPr="007559D3" w:rsidRDefault="00C05CB2" w:rsidP="00C05CB2">
      <w:pPr>
        <w:pBdr>
          <w:top w:val="nil"/>
          <w:left w:val="nil"/>
          <w:bottom w:val="nil"/>
          <w:right w:val="nil"/>
          <w:between w:val="nil"/>
        </w:pBdr>
        <w:spacing w:after="120" w:line="276" w:lineRule="auto"/>
        <w:ind w:firstLine="703"/>
        <w:jc w:val="both"/>
        <w:rPr>
          <w:rFonts w:ascii="Verdana" w:eastAsia="Calibri" w:hAnsi="Verdana" w:cs="Arial"/>
          <w:bCs/>
          <w:color w:val="000000" w:themeColor="text1"/>
          <w:lang w:val="es-ES_tradnl"/>
        </w:rPr>
      </w:pPr>
      <w:r w:rsidRPr="007559D3">
        <w:rPr>
          <w:rFonts w:ascii="Verdana" w:eastAsia="Calibri" w:hAnsi="Verdana" w:cs="Arial"/>
          <w:bCs/>
          <w:color w:val="000000" w:themeColor="text1"/>
          <w:lang w:val="es-ES_tradnl"/>
        </w:rPr>
        <w:t xml:space="preserve">Desde un punto de vista jurídico, estos organismos no tienen como objeto la ejecución directa de grandes obras de infraestructura, aspecto que influye en la imposibilidad de acreditar conocimientos y experiencia en las mismas condiciones que un contratista en el marco de un proceso con pluralidad de oferentes regido por el EGCAP. No obstante, además de establecer la idoneidad en términos de apropiación de los saberes ancestrales y los beneficios de su implementación en el proyecto, la Administración también podría validarla respecto a las capacidades propias de los pueblos y comunidades o de quienes los conformen, en aspectos como, por ejemplo, la ejecución exitosa de convenios o contratos anteriores con objeto similar o la acreditación de competencias específicas del personal que integren al cumplimiento de obligaciones como mano de obra. </w:t>
      </w:r>
    </w:p>
    <w:p w14:paraId="013CE244" w14:textId="77777777" w:rsidR="00C05CB2" w:rsidRPr="007559D3" w:rsidRDefault="00C05CB2" w:rsidP="00C05CB2">
      <w:pPr>
        <w:pBdr>
          <w:top w:val="nil"/>
          <w:left w:val="nil"/>
          <w:bottom w:val="nil"/>
          <w:right w:val="nil"/>
          <w:between w:val="nil"/>
        </w:pBdr>
        <w:spacing w:after="120" w:line="276" w:lineRule="auto"/>
        <w:ind w:firstLine="703"/>
        <w:jc w:val="both"/>
        <w:rPr>
          <w:rFonts w:ascii="Verdana" w:eastAsia="Calibri" w:hAnsi="Verdana" w:cs="Arial"/>
          <w:bCs/>
          <w:color w:val="000000" w:themeColor="text1"/>
          <w:lang w:val="es-ES_tradnl"/>
        </w:rPr>
      </w:pPr>
      <w:r w:rsidRPr="007559D3">
        <w:rPr>
          <w:rFonts w:ascii="Verdana" w:eastAsia="Calibri" w:hAnsi="Verdana" w:cs="Arial"/>
          <w:bCs/>
          <w:color w:val="000000" w:themeColor="text1"/>
          <w:lang w:val="es-ES_tradnl"/>
        </w:rPr>
        <w:t xml:space="preserve">De acuerdo con esto, las obligaciones que asuman los </w:t>
      </w:r>
      <w:r w:rsidRPr="007559D3">
        <w:rPr>
          <w:rFonts w:ascii="Verdana" w:eastAsia="Calibri" w:hAnsi="Verdana" w:cs="Arial"/>
          <w:lang w:val="es-MX"/>
        </w:rPr>
        <w:t>Cabildos Indígenas, las asociaciones de Cabildos Indígenas y/o Autoridades Tradicionales Indígenas, Consejos Indígenas y Organizaciones Indígenas</w:t>
      </w:r>
      <w:r w:rsidRPr="007559D3">
        <w:rPr>
          <w:rFonts w:ascii="Verdana" w:eastAsia="Calibri" w:hAnsi="Verdana" w:cs="Arial"/>
          <w:bCs/>
          <w:color w:val="000000" w:themeColor="text1"/>
          <w:lang w:val="es-ES_tradnl"/>
        </w:rPr>
        <w:t xml:space="preserve"> en el marco de la causal de contratación directa </w:t>
      </w:r>
      <w:r w:rsidRPr="007559D3">
        <w:rPr>
          <w:rFonts w:ascii="Verdana" w:eastAsia="Calibri" w:hAnsi="Verdana" w:cs="Arial"/>
          <w:lang w:val="es-MX"/>
        </w:rPr>
        <w:t>de</w:t>
      </w:r>
      <w:r w:rsidRPr="007559D3">
        <w:rPr>
          <w:rFonts w:ascii="Verdana" w:eastAsia="Calibri" w:hAnsi="Verdana" w:cs="Arial"/>
          <w:bCs/>
          <w:color w:val="000000" w:themeColor="text1"/>
          <w:lang w:val="es-ES_tradnl"/>
        </w:rPr>
        <w:t>l literal l) del artículo 2, numeral 4 de la Ley 1150 de 2007 deben ir en sintonía con la idoneidad que puedan demostrar para asumir las mismas. En otros términos, se trata de aprovechar la capacidad de estas organizaciones para ejecutar obras de mantenimiento y/o mejoramiento de infraestructura social y de transporte, suministrar bienes o prestar servicios en beneficio de sus pueblos y comunidades.</w:t>
      </w:r>
    </w:p>
    <w:p w14:paraId="2BDE3D40" w14:textId="3BBE3AF7" w:rsidR="00E6716D" w:rsidRPr="007559D3" w:rsidRDefault="00C05CB2" w:rsidP="00E6716D">
      <w:pPr>
        <w:pBdr>
          <w:top w:val="nil"/>
          <w:left w:val="nil"/>
          <w:bottom w:val="nil"/>
          <w:right w:val="nil"/>
          <w:between w:val="nil"/>
        </w:pBdr>
        <w:spacing w:after="0" w:line="276" w:lineRule="auto"/>
        <w:ind w:firstLine="703"/>
        <w:jc w:val="both"/>
        <w:rPr>
          <w:rFonts w:ascii="Verdana" w:eastAsia="Calibri" w:hAnsi="Verdana" w:cs="Arial"/>
          <w:bCs/>
          <w:color w:val="000000" w:themeColor="text1"/>
          <w:lang w:val="es-ES_tradnl"/>
        </w:rPr>
      </w:pPr>
      <w:r w:rsidRPr="007559D3">
        <w:rPr>
          <w:rFonts w:ascii="Verdana" w:eastAsia="Calibri" w:hAnsi="Verdana" w:cs="Arial"/>
          <w:bCs/>
          <w:color w:val="000000" w:themeColor="text1"/>
          <w:lang w:val="es-ES_tradnl"/>
        </w:rPr>
        <w:t xml:space="preserve">Dado que la Agencia carece de atribuciones para hacer un juicio de validez sobre de los requisitos de idoneidad, la entidad no puede definir un criterio universal y absoluto por vía consultiva sobre el objeto de la petición,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estos temas corresponde a la entidad </w:t>
      </w:r>
      <w:r w:rsidRPr="007559D3">
        <w:rPr>
          <w:rFonts w:ascii="Verdana" w:eastAsia="Calibri" w:hAnsi="Verdana" w:cs="Arial"/>
          <w:bCs/>
          <w:color w:val="000000" w:themeColor="text1"/>
          <w:lang w:val="es-ES_tradnl"/>
        </w:rPr>
        <w:lastRenderedPageBreak/>
        <w:t>de adoptar la decisión correspondiente y, en caso de conflicto, a las autoridades judiciales, fiscales y disciplinarias. De esta manera, corresponderá a cada contratante definir la viabilidad técnica, jurídica y financiera de alguna gestión contractual en específico, sin que sea atribución de la Agencia Nacional de Contratación Pública – Colombia Compra Eficiente validar las actuaciones adelantadas.</w:t>
      </w:r>
    </w:p>
    <w:p w14:paraId="03E7D272" w14:textId="77777777" w:rsidR="00E6716D" w:rsidRPr="007559D3" w:rsidRDefault="00E6716D" w:rsidP="00E6716D">
      <w:pPr>
        <w:pBdr>
          <w:top w:val="nil"/>
          <w:left w:val="nil"/>
          <w:bottom w:val="nil"/>
          <w:right w:val="nil"/>
          <w:between w:val="nil"/>
        </w:pBdr>
        <w:spacing w:after="0" w:line="276" w:lineRule="auto"/>
        <w:ind w:firstLine="703"/>
        <w:jc w:val="both"/>
        <w:rPr>
          <w:rFonts w:ascii="Verdana" w:eastAsia="Calibri" w:hAnsi="Verdana" w:cs="Arial"/>
          <w:bCs/>
          <w:color w:val="000000" w:themeColor="text1"/>
          <w:lang w:val="es-ES_tradnl"/>
        </w:rPr>
      </w:pPr>
    </w:p>
    <w:p w14:paraId="07E09D2A" w14:textId="6709B988" w:rsidR="00E6716D" w:rsidRPr="007559D3" w:rsidRDefault="00E6716D" w:rsidP="00E6716D">
      <w:pPr>
        <w:pStyle w:val="Prrafodelista"/>
        <w:numPr>
          <w:ilvl w:val="0"/>
          <w:numId w:val="18"/>
        </w:numPr>
        <w:tabs>
          <w:tab w:val="left" w:pos="142"/>
          <w:tab w:val="left" w:pos="284"/>
        </w:tabs>
        <w:spacing w:after="0" w:line="276" w:lineRule="auto"/>
        <w:jc w:val="both"/>
        <w:rPr>
          <w:rFonts w:ascii="Verdana" w:eastAsia="Century Gothic" w:hAnsi="Verdana" w:cs="Century Gothic"/>
          <w:b/>
          <w:bCs/>
        </w:rPr>
      </w:pPr>
      <w:r w:rsidRPr="007559D3">
        <w:rPr>
          <w:rFonts w:ascii="Verdana" w:eastAsia="Century Gothic" w:hAnsi="Verdana" w:cs="Century Gothic"/>
          <w:b/>
          <w:bCs/>
        </w:rPr>
        <w:t>Referencias normativas, jurisprudenciales y otras fuentes:</w:t>
      </w:r>
    </w:p>
    <w:p w14:paraId="4EFA10B9" w14:textId="77777777" w:rsidR="00E6716D" w:rsidRPr="007559D3" w:rsidRDefault="00E6716D" w:rsidP="00E6716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6716D" w:rsidRPr="00E31963" w14:paraId="1307CE0E" w14:textId="77777777" w:rsidTr="00D94860">
        <w:trPr>
          <w:trHeight w:val="870"/>
        </w:trPr>
        <w:tc>
          <w:tcPr>
            <w:tcW w:w="8647" w:type="dxa"/>
          </w:tcPr>
          <w:p w14:paraId="6A607973" w14:textId="77777777" w:rsidR="00E6716D" w:rsidRPr="007559D3" w:rsidRDefault="00E6716D" w:rsidP="00D94860">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7559D3">
              <w:rPr>
                <w:rFonts w:ascii="Verdana" w:hAnsi="Verdana" w:cs="Arial"/>
                <w:lang w:val="es-CO"/>
              </w:rPr>
              <w:t>Convenio No. 169 de 1989.</w:t>
            </w:r>
          </w:p>
          <w:p w14:paraId="12200E5E" w14:textId="77777777" w:rsidR="00E6716D" w:rsidRPr="007559D3" w:rsidRDefault="00E6716D" w:rsidP="00D94860">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7559D3">
              <w:rPr>
                <w:rFonts w:ascii="Verdana" w:hAnsi="Verdana" w:cs="Arial"/>
                <w:lang w:val="es-CO"/>
              </w:rPr>
              <w:t>Ley 21 de 1991.</w:t>
            </w:r>
          </w:p>
          <w:p w14:paraId="72D3DA9A" w14:textId="27F405C0" w:rsidR="00E6716D" w:rsidRPr="007559D3" w:rsidRDefault="00E6716D" w:rsidP="00D94860">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7559D3">
              <w:rPr>
                <w:rFonts w:ascii="Verdana" w:hAnsi="Verdana" w:cs="Arial"/>
                <w:lang w:val="es-CO"/>
              </w:rPr>
              <w:t>Constitución Política de 1991, Artículos 56,</w:t>
            </w:r>
            <w:r w:rsidR="00E704B8" w:rsidRPr="007559D3">
              <w:rPr>
                <w:rFonts w:ascii="Verdana" w:hAnsi="Verdana" w:cs="Arial"/>
                <w:lang w:val="es-CO"/>
              </w:rPr>
              <w:t xml:space="preserve"> 63,</w:t>
            </w:r>
            <w:r w:rsidRPr="007559D3">
              <w:rPr>
                <w:rFonts w:ascii="Verdana" w:hAnsi="Verdana" w:cs="Arial"/>
                <w:lang w:val="es-CO"/>
              </w:rPr>
              <w:t xml:space="preserve"> 93, 329</w:t>
            </w:r>
            <w:r w:rsidR="00E704B8" w:rsidRPr="007559D3">
              <w:rPr>
                <w:rFonts w:ascii="Verdana" w:hAnsi="Verdana" w:cs="Arial"/>
                <w:lang w:val="es-CO"/>
              </w:rPr>
              <w:t>.</w:t>
            </w:r>
          </w:p>
          <w:p w14:paraId="44763776" w14:textId="77777777" w:rsidR="00E6716D" w:rsidRPr="007559D3" w:rsidRDefault="00E6716D" w:rsidP="00D9486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559D3">
              <w:rPr>
                <w:rFonts w:ascii="Verdana" w:hAnsi="Verdana" w:cs="Arial"/>
              </w:rPr>
              <w:t>Decreto 1088 de 1993.</w:t>
            </w:r>
          </w:p>
          <w:p w14:paraId="063A8AE7" w14:textId="77777777" w:rsidR="00E6716D" w:rsidRPr="007559D3" w:rsidRDefault="00E6716D" w:rsidP="00D9486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559D3">
              <w:rPr>
                <w:rFonts w:ascii="Verdana" w:hAnsi="Verdana" w:cs="Arial"/>
              </w:rPr>
              <w:t>Decreto 252 del 2020.</w:t>
            </w:r>
          </w:p>
          <w:p w14:paraId="1204E5D7" w14:textId="3B7F3E66" w:rsidR="00E6231E" w:rsidRPr="007559D3" w:rsidRDefault="00E6231E" w:rsidP="00D9486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559D3">
              <w:rPr>
                <w:rFonts w:ascii="Verdana" w:eastAsia="Calibri" w:hAnsi="Verdana" w:cs="Arial"/>
              </w:rPr>
              <w:t>Decreto 1953 de 2014</w:t>
            </w:r>
          </w:p>
          <w:p w14:paraId="0EEF7C04" w14:textId="77777777" w:rsidR="00E6716D" w:rsidRPr="007559D3" w:rsidRDefault="00E6716D" w:rsidP="00D9486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559D3">
              <w:rPr>
                <w:rFonts w:ascii="Verdana" w:hAnsi="Verdana" w:cs="Arial"/>
              </w:rPr>
              <w:t>Ley 2160 de 2021</w:t>
            </w:r>
          </w:p>
          <w:p w14:paraId="14754C7E" w14:textId="77777777" w:rsidR="00E6716D" w:rsidRPr="007559D3" w:rsidRDefault="00E6716D" w:rsidP="00D9486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559D3">
              <w:rPr>
                <w:rFonts w:ascii="Verdana" w:hAnsi="Verdana" w:cs="Arial"/>
              </w:rPr>
              <w:t>Ley 2294 de 2023</w:t>
            </w:r>
            <w:r w:rsidRPr="007559D3">
              <w:rPr>
                <w:rFonts w:ascii="Verdana" w:eastAsia="Times New Roman" w:hAnsi="Verdana" w:cs="Arial"/>
                <w:lang w:val="es-ES_tradnl" w:eastAsia="es-ES"/>
              </w:rPr>
              <w:t>: Artículos 353 y 354.</w:t>
            </w:r>
          </w:p>
          <w:p w14:paraId="34A2B358" w14:textId="77777777" w:rsidR="007C27EE" w:rsidRPr="007559D3" w:rsidRDefault="007C27EE" w:rsidP="00D94860">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7559D3">
              <w:rPr>
                <w:rStyle w:val="Hipervnculo"/>
                <w:rFonts w:ascii="Verdana" w:hAnsi="Verdana"/>
                <w:color w:val="auto"/>
                <w:u w:val="none"/>
              </w:rPr>
              <w:t>Consejo de Estado. Sección Tercera. Subsección C. Expedientes 11001-03-26-000-2012-00010-00(43089), 11001-03-26-000-2013-00111-00(48117) y 11001-03-26-000-2013-00048-00(46779). Providencias del 8 de agosto de 2012 y del 12 de febrero de 2014 (2). M.P. Enrique Gil Botero.</w:t>
            </w:r>
          </w:p>
          <w:p w14:paraId="5C3F9F54" w14:textId="77777777" w:rsidR="00510C7E" w:rsidRPr="007559D3" w:rsidRDefault="00510C7E" w:rsidP="00D94860">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7559D3">
              <w:rPr>
                <w:rStyle w:val="Hipervnculo"/>
                <w:rFonts w:ascii="Verdana" w:hAnsi="Verdana"/>
                <w:color w:val="auto"/>
                <w:u w:val="none"/>
              </w:rPr>
              <w:t>Consejo de Estado. Sección Tercera. Subsección A. Expediente 44001-23-31-000-1999-00827-01(24059). Providencia del 14 de marzo de 2013. M.P. Mauricio Fajardo Gómez.</w:t>
            </w:r>
          </w:p>
          <w:p w14:paraId="439F2117" w14:textId="5C2E8CE7" w:rsidR="00510C7E" w:rsidRPr="007559D3" w:rsidRDefault="00A61497" w:rsidP="00D94860">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7559D3">
              <w:rPr>
                <w:rStyle w:val="Hipervnculo"/>
                <w:rFonts w:ascii="Verdana" w:hAnsi="Verdana" w:cs="Arial"/>
                <w:color w:val="auto"/>
                <w:u w:val="none"/>
              </w:rPr>
              <w:t xml:space="preserve">Consejo de Estado. Sección Tercera. Subsecciones A, B y C. Expedientes 20001-23-31-000-2001-01588-01(AP), 88001-23-31-000-2004-00009-01(AP), 25000-23-24-000-2010-00757-01(AP), 66001-23-31-000-2012-10100 01(AP) y 25000-23-24-000-2004-00894-01(AP). Providencias del 5 de octubre de 2005, 30 de agosto de 2007, 25 de abril de 2012, 1 de agosto de 2016 y del 17 de marzo de 2017. MM.PP. Ramiro Saavedra Becerra, Enrique Gil Botero (2), </w:t>
            </w:r>
            <w:r w:rsidRPr="007559D3">
              <w:rPr>
                <w:rStyle w:val="Hipervnculo"/>
                <w:rFonts w:ascii="Verdana" w:hAnsi="Verdana" w:cs="Arial"/>
                <w:color w:val="auto"/>
                <w:u w:val="none"/>
              </w:rPr>
              <w:lastRenderedPageBreak/>
              <w:t>Ramiro Pazos Guerrero y Hernán Andrade Rincón.</w:t>
            </w:r>
          </w:p>
          <w:p w14:paraId="6065C18A" w14:textId="77777777" w:rsidR="00340B84" w:rsidRPr="007559D3" w:rsidRDefault="00340B84" w:rsidP="00D94860">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7559D3">
              <w:rPr>
                <w:rStyle w:val="Hipervnculo"/>
                <w:rFonts w:ascii="Verdana" w:hAnsi="Verdana"/>
                <w:color w:val="auto"/>
                <w:u w:val="none"/>
              </w:rPr>
              <w:t>Consejo de Estado. Sección Tercera. Subsecciones A y C. Expedientes 25000-23-26-000-1996-12809-01(27986) y 05001-23-31-000-2006-00111-01(48809). Providencia del 12 de noviembre de 2014 y del 13 de junio de 2016. MM.PP. Enrique Gil Botero y Martha Nubia Velásquez Rico.</w:t>
            </w:r>
          </w:p>
          <w:p w14:paraId="14D20D2A" w14:textId="477BABFE" w:rsidR="001B58EE" w:rsidRPr="007559D3" w:rsidRDefault="001B58EE" w:rsidP="00D94860">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7559D3">
              <w:rPr>
                <w:rStyle w:val="Hipervnculo"/>
                <w:rFonts w:ascii="Verdana" w:hAnsi="Verdana"/>
                <w:color w:val="auto"/>
                <w:u w:val="none"/>
              </w:rPr>
              <w:t>Consejo de Estado. Sección Tercera. Subsección C. Expediente 11001-03-26-000-2008-00101-00</w:t>
            </w:r>
            <w:r w:rsidR="0013302D" w:rsidRPr="007559D3">
              <w:rPr>
                <w:rStyle w:val="Hipervnculo"/>
                <w:rFonts w:ascii="Verdana" w:hAnsi="Verdana"/>
                <w:color w:val="auto"/>
                <w:u w:val="none"/>
              </w:rPr>
              <w:t xml:space="preserve"> </w:t>
            </w:r>
            <w:r w:rsidRPr="007559D3">
              <w:rPr>
                <w:rStyle w:val="Hipervnculo"/>
                <w:rFonts w:ascii="Verdana" w:hAnsi="Verdana"/>
                <w:color w:val="auto"/>
                <w:u w:val="none"/>
              </w:rPr>
              <w:t>(36054)</w:t>
            </w:r>
            <w:r w:rsidR="0013302D" w:rsidRPr="007559D3">
              <w:rPr>
                <w:rStyle w:val="Hipervnculo"/>
                <w:rFonts w:ascii="Verdana" w:hAnsi="Verdana"/>
                <w:color w:val="auto"/>
                <w:u w:val="none"/>
              </w:rPr>
              <w:t xml:space="preserve"> </w:t>
            </w:r>
            <w:r w:rsidRPr="007559D3">
              <w:rPr>
                <w:rStyle w:val="Hipervnculo"/>
                <w:rFonts w:ascii="Verdana" w:hAnsi="Verdana"/>
                <w:color w:val="auto"/>
                <w:u w:val="none"/>
              </w:rPr>
              <w:t>B. Providencia del 14 de abril de 2010. M.P. Enrique Gil Botero.</w:t>
            </w:r>
          </w:p>
          <w:p w14:paraId="45D6524A" w14:textId="5DD4DB69" w:rsidR="0013302D" w:rsidRPr="007559D3" w:rsidRDefault="0013302D" w:rsidP="00D94860">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7559D3">
              <w:rPr>
                <w:rStyle w:val="Hipervnculo"/>
                <w:rFonts w:ascii="Verdana" w:hAnsi="Verdana" w:cs="Arial"/>
                <w:color w:val="auto"/>
                <w:u w:val="none"/>
              </w:rPr>
              <w:t>Corte Constitucional. Sentencia C-538 de 2016. Idea reiterada en también las Sentencias C-860 de 2006, C-052 de 2012, C-258 de 2015 y C-382 de 2019.</w:t>
            </w:r>
          </w:p>
          <w:p w14:paraId="570918C3" w14:textId="77777777" w:rsidR="00E6716D" w:rsidRPr="007559D3" w:rsidRDefault="00E6716D" w:rsidP="00D94860">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7559D3">
              <w:rPr>
                <w:rFonts w:ascii="Verdana" w:eastAsia="Calibri" w:hAnsi="Verdana" w:cs="Arial"/>
              </w:rPr>
              <w:t xml:space="preserve">Cartilla para incentivar y fortalecer el acceso a las compras y contratación pública de los Pueblos y comunidades étnicas en Colombia. Disponible en: </w:t>
            </w:r>
            <w:hyperlink r:id="rId12" w:history="1">
              <w:r w:rsidRPr="007559D3">
                <w:rPr>
                  <w:rStyle w:val="Hipervnculo"/>
                  <w:rFonts w:ascii="Verdana" w:eastAsia="Calibri" w:hAnsi="Verdana" w:cs="Arial"/>
                </w:rPr>
                <w:t>Cartilla para incentivar y fortalecer el acceso a las compras y contratación pública de los Pueblos y comunidades étnicas en Colombia</w:t>
              </w:r>
            </w:hyperlink>
          </w:p>
        </w:tc>
      </w:tr>
    </w:tbl>
    <w:p w14:paraId="2D78A111" w14:textId="77777777" w:rsidR="00E6716D" w:rsidRPr="007559D3" w:rsidRDefault="00E6716D" w:rsidP="00E6716D">
      <w:pPr>
        <w:widowControl w:val="0"/>
        <w:autoSpaceDE w:val="0"/>
        <w:autoSpaceDN w:val="0"/>
        <w:spacing w:after="0" w:line="276" w:lineRule="auto"/>
        <w:jc w:val="both"/>
        <w:rPr>
          <w:rFonts w:ascii="Verdana" w:hAnsi="Verdana" w:cs="Arial"/>
        </w:rPr>
      </w:pPr>
    </w:p>
    <w:p w14:paraId="07C7C293" w14:textId="77777777" w:rsidR="00E6716D" w:rsidRPr="007559D3" w:rsidRDefault="00E6716D" w:rsidP="00E6716D">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559D3">
        <w:rPr>
          <w:rFonts w:ascii="Verdana" w:eastAsia="Century Gothic" w:hAnsi="Verdana" w:cs="Century Gothic"/>
          <w:b/>
          <w:bCs/>
        </w:rPr>
        <w:t>Doctrina de la Agencia Nacional de Contratación Pública:</w:t>
      </w:r>
    </w:p>
    <w:p w14:paraId="15803A20" w14:textId="77777777" w:rsidR="00E6716D" w:rsidRPr="007559D3" w:rsidRDefault="00E6716D" w:rsidP="00E6716D">
      <w:pPr>
        <w:widowControl w:val="0"/>
        <w:autoSpaceDE w:val="0"/>
        <w:autoSpaceDN w:val="0"/>
        <w:spacing w:after="0" w:line="276" w:lineRule="auto"/>
        <w:jc w:val="both"/>
        <w:rPr>
          <w:rFonts w:ascii="Verdana" w:hAnsi="Verdana" w:cs="Arial"/>
        </w:rPr>
      </w:pPr>
    </w:p>
    <w:p w14:paraId="7342A45B" w14:textId="6D364EE3" w:rsidR="00E6716D" w:rsidRPr="007559D3" w:rsidRDefault="00E6716D" w:rsidP="00E6716D">
      <w:pPr>
        <w:widowControl w:val="0"/>
        <w:autoSpaceDE w:val="0"/>
        <w:autoSpaceDN w:val="0"/>
        <w:spacing w:after="240" w:line="276" w:lineRule="auto"/>
        <w:jc w:val="both"/>
        <w:rPr>
          <w:rFonts w:ascii="Verdana" w:hAnsi="Verdana" w:cs="Arial"/>
          <w:shd w:val="clear" w:color="auto" w:fill="FFFFFF"/>
        </w:rPr>
      </w:pPr>
      <w:r w:rsidRPr="00A2481F">
        <w:rPr>
          <w:rStyle w:val="normaltextrun"/>
          <w:rFonts w:ascii="Verdana" w:hAnsi="Verdana" w:cs="Arial"/>
          <w:shd w:val="clear" w:color="auto" w:fill="FFFFFF"/>
          <w:lang w:val="es-ES"/>
        </w:rPr>
        <w:t xml:space="preserve">Sobre el </w:t>
      </w:r>
      <w:r w:rsidRPr="00A2481F">
        <w:rPr>
          <w:rFonts w:ascii="Verdana" w:hAnsi="Verdana" w:cs="Arial"/>
          <w:shd w:val="clear" w:color="auto" w:fill="FFFFFF"/>
        </w:rPr>
        <w:t>el marco jurídico de la contratación con pueblos indígenas en los conceptos Nro. C- 806 del 19 de diciembre de 2022, C- 899 de 30 de diciembre de 2022, C-928 de 26 de enero de 2023, C-961 del 30 de enero de 2023, C- 084 del 28 de abril de 2023, C-044 del 8 de mayo de 2023, C-182 del 29 de junio de 2023, C-319 del 2 de agosto de 2023, C-301 del 6 de octubre de 2023, C-459 del 22 de diciembre del 2023, C-011 del 01 de marzo del 2024, C-012 del 21 de marzo del 2024, C-062 del 07 de junio del 2024 y C-371 del 09 de agosto del 2024, C-256 del 30 de agosto del 2024, C-596 del 16 de octubre del 2024</w:t>
      </w:r>
      <w:r w:rsidRPr="00A2481F">
        <w:rPr>
          <w:rFonts w:ascii="Verdana" w:hAnsi="Verdana" w:cs="Arial"/>
          <w:shd w:val="clear" w:color="auto" w:fill="FFFFFF"/>
          <w:lang w:val="es-ES"/>
        </w:rPr>
        <w:t xml:space="preserve"> y C-484 del 2025</w:t>
      </w:r>
      <w:r w:rsidR="006C4BF1" w:rsidRPr="00A2481F">
        <w:rPr>
          <w:rFonts w:ascii="Verdana" w:hAnsi="Verdana" w:cs="Arial"/>
          <w:shd w:val="clear" w:color="auto" w:fill="FFFFFF"/>
          <w:lang w:val="es-ES"/>
        </w:rPr>
        <w:t xml:space="preserve">, C-107 del </w:t>
      </w:r>
      <w:r w:rsidR="00CA0814" w:rsidRPr="00A2481F">
        <w:rPr>
          <w:rFonts w:ascii="Verdana" w:hAnsi="Verdana" w:cs="Arial"/>
          <w:shd w:val="clear" w:color="auto" w:fill="FFFFFF"/>
          <w:lang w:val="es-ES"/>
        </w:rPr>
        <w:t>06 de marzo del 2025, C-</w:t>
      </w:r>
      <w:r w:rsidR="008F0A5F" w:rsidRPr="00A2481F">
        <w:rPr>
          <w:rFonts w:ascii="Verdana" w:hAnsi="Verdana" w:cs="Arial"/>
          <w:shd w:val="clear" w:color="auto" w:fill="FFFFFF"/>
          <w:lang w:val="es-ES"/>
        </w:rPr>
        <w:t xml:space="preserve">310 del </w:t>
      </w:r>
      <w:r w:rsidR="00C35B7E" w:rsidRPr="00A2481F">
        <w:rPr>
          <w:rFonts w:ascii="Verdana" w:hAnsi="Verdana" w:cs="Arial"/>
          <w:shd w:val="clear" w:color="auto" w:fill="FFFFFF"/>
          <w:lang w:val="es-ES"/>
        </w:rPr>
        <w:t xml:space="preserve">24 de abril del 2025, </w:t>
      </w:r>
      <w:r w:rsidR="004F70A4" w:rsidRPr="00A2481F">
        <w:rPr>
          <w:rFonts w:ascii="Verdana" w:hAnsi="Verdana" w:cs="Arial"/>
          <w:shd w:val="clear" w:color="auto" w:fill="FFFFFF"/>
          <w:lang w:val="es-ES"/>
        </w:rPr>
        <w:t xml:space="preserve">C-394 del </w:t>
      </w:r>
      <w:r w:rsidR="003E2294" w:rsidRPr="00A2481F">
        <w:rPr>
          <w:rFonts w:ascii="Verdana" w:hAnsi="Verdana" w:cs="Arial"/>
          <w:shd w:val="clear" w:color="auto" w:fill="FFFFFF"/>
          <w:lang w:val="es-ES"/>
        </w:rPr>
        <w:t xml:space="preserve">08 de mayo del 2025, </w:t>
      </w:r>
      <w:r w:rsidR="00C134FD" w:rsidRPr="00A2481F">
        <w:rPr>
          <w:rFonts w:ascii="Verdana" w:hAnsi="Verdana" w:cs="Arial"/>
          <w:shd w:val="clear" w:color="auto" w:fill="FFFFFF"/>
          <w:lang w:val="es-ES"/>
        </w:rPr>
        <w:t xml:space="preserve">C-791 del </w:t>
      </w:r>
      <w:r w:rsidR="003757A6" w:rsidRPr="00A2481F">
        <w:rPr>
          <w:rFonts w:ascii="Verdana" w:hAnsi="Verdana" w:cs="Arial"/>
          <w:shd w:val="clear" w:color="auto" w:fill="FFFFFF"/>
          <w:lang w:val="es-ES"/>
        </w:rPr>
        <w:t xml:space="preserve">18 de julio del 2025, </w:t>
      </w:r>
      <w:r w:rsidR="009A070F" w:rsidRPr="00A2481F">
        <w:rPr>
          <w:rFonts w:ascii="Verdana" w:hAnsi="Verdana" w:cs="Arial"/>
          <w:shd w:val="clear" w:color="auto" w:fill="FFFFFF"/>
          <w:lang w:val="es-ES"/>
        </w:rPr>
        <w:t>C-838</w:t>
      </w:r>
      <w:r w:rsidR="006419D8" w:rsidRPr="00A2481F">
        <w:rPr>
          <w:rFonts w:ascii="Verdana" w:hAnsi="Verdana" w:cs="Arial"/>
          <w:shd w:val="clear" w:color="auto" w:fill="FFFFFF"/>
          <w:lang w:val="es-ES"/>
        </w:rPr>
        <w:t xml:space="preserve"> del 09 de julio del 2025</w:t>
      </w:r>
      <w:r w:rsidR="00221471">
        <w:rPr>
          <w:rFonts w:ascii="Verdana" w:hAnsi="Verdana" w:cs="Arial"/>
          <w:shd w:val="clear" w:color="auto" w:fill="FFFFFF"/>
          <w:lang w:val="es-ES"/>
        </w:rPr>
        <w:t xml:space="preserve">, </w:t>
      </w:r>
      <w:r w:rsidR="00221471" w:rsidRPr="00221471">
        <w:rPr>
          <w:rFonts w:ascii="Verdana" w:hAnsi="Verdana" w:cs="Arial"/>
          <w:shd w:val="clear" w:color="auto" w:fill="FFFFFF"/>
          <w:lang w:val="es-ES"/>
        </w:rPr>
        <w:t>C-1592</w:t>
      </w:r>
      <w:r w:rsidR="00221471">
        <w:rPr>
          <w:rFonts w:ascii="Verdana" w:hAnsi="Verdana" w:cs="Arial"/>
          <w:shd w:val="clear" w:color="auto" w:fill="FFFFFF"/>
          <w:lang w:val="es-ES"/>
        </w:rPr>
        <w:t xml:space="preserve"> del 0</w:t>
      </w:r>
      <w:r w:rsidR="009578C5">
        <w:rPr>
          <w:rFonts w:ascii="Verdana" w:hAnsi="Verdana" w:cs="Arial"/>
          <w:shd w:val="clear" w:color="auto" w:fill="FFFFFF"/>
          <w:lang w:val="es-ES"/>
        </w:rPr>
        <w:t>5</w:t>
      </w:r>
      <w:r w:rsidR="00221471">
        <w:rPr>
          <w:rFonts w:ascii="Verdana" w:hAnsi="Verdana" w:cs="Arial"/>
          <w:shd w:val="clear" w:color="auto" w:fill="FFFFFF"/>
          <w:lang w:val="es-ES"/>
        </w:rPr>
        <w:t xml:space="preserve"> de diciembre del 2025, </w:t>
      </w:r>
      <w:r w:rsidR="00221471" w:rsidRPr="00221471">
        <w:rPr>
          <w:rFonts w:ascii="Verdana" w:hAnsi="Verdana" w:cs="Arial"/>
          <w:shd w:val="clear" w:color="auto" w:fill="FFFFFF"/>
          <w:lang w:val="es-ES"/>
        </w:rPr>
        <w:t>C-1608</w:t>
      </w:r>
      <w:r w:rsidR="00221471">
        <w:rPr>
          <w:rFonts w:ascii="Verdana" w:hAnsi="Verdana" w:cs="Arial"/>
          <w:shd w:val="clear" w:color="auto" w:fill="FFFFFF"/>
          <w:lang w:val="es-ES"/>
        </w:rPr>
        <w:t xml:space="preserve"> del 0</w:t>
      </w:r>
      <w:r w:rsidR="009578C5">
        <w:rPr>
          <w:rFonts w:ascii="Verdana" w:hAnsi="Verdana" w:cs="Arial"/>
          <w:shd w:val="clear" w:color="auto" w:fill="FFFFFF"/>
          <w:lang w:val="es-ES"/>
        </w:rPr>
        <w:t>4</w:t>
      </w:r>
      <w:r w:rsidR="00221471">
        <w:rPr>
          <w:rFonts w:ascii="Verdana" w:hAnsi="Verdana" w:cs="Arial"/>
          <w:shd w:val="clear" w:color="auto" w:fill="FFFFFF"/>
          <w:lang w:val="es-ES"/>
        </w:rPr>
        <w:t xml:space="preserve"> de diciembre del 2025 y </w:t>
      </w:r>
      <w:r w:rsidR="00221471" w:rsidRPr="00221471">
        <w:rPr>
          <w:rFonts w:ascii="Verdana" w:hAnsi="Verdana" w:cs="Arial"/>
          <w:shd w:val="clear" w:color="auto" w:fill="FFFFFF"/>
          <w:lang w:val="es-ES"/>
        </w:rPr>
        <w:t>C-1620</w:t>
      </w:r>
      <w:r w:rsidR="009578C5">
        <w:rPr>
          <w:rFonts w:ascii="Verdana" w:hAnsi="Verdana" w:cs="Arial"/>
          <w:shd w:val="clear" w:color="auto" w:fill="FFFFFF"/>
          <w:lang w:val="es-ES"/>
        </w:rPr>
        <w:t xml:space="preserve"> del 09 de diciembre del 2025.</w:t>
      </w:r>
      <w:r w:rsidRPr="00A2481F">
        <w:rPr>
          <w:rFonts w:ascii="Verdana" w:hAnsi="Verdana" w:cs="Arial"/>
          <w:shd w:val="clear" w:color="auto" w:fill="FFFFFF"/>
          <w:lang w:val="es-ES"/>
        </w:rPr>
        <w:t xml:space="preserve">. </w:t>
      </w:r>
      <w:r w:rsidRPr="00A2481F">
        <w:rPr>
          <w:rFonts w:ascii="Verdana" w:hAnsi="Verdana" w:cs="Arial"/>
          <w:shd w:val="clear" w:color="auto" w:fill="FFFFFF"/>
        </w:rPr>
        <w:t xml:space="preserve">Estos y otros conceptos se encuentran disponibles para consulta en el Sistema de Relatoría de la Agencia, en el cual también podrás encontrar jurisprudencia del Consejo de </w:t>
      </w:r>
      <w:r w:rsidRPr="00A2481F">
        <w:rPr>
          <w:rFonts w:ascii="Verdana" w:hAnsi="Verdana" w:cs="Arial"/>
          <w:shd w:val="clear" w:color="auto" w:fill="FFFFFF"/>
        </w:rPr>
        <w:lastRenderedPageBreak/>
        <w:t>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A2481F">
          <w:rPr>
            <w:rStyle w:val="Hipervnculo"/>
            <w:rFonts w:ascii="Verdana" w:hAnsi="Verdana" w:cs="Arial"/>
            <w:shd w:val="clear" w:color="auto" w:fill="FFFFFF"/>
          </w:rPr>
          <w:t>https://relatoria.colombiacompra.gov.co/</w:t>
        </w:r>
      </w:hyperlink>
    </w:p>
    <w:p w14:paraId="5EA822E1" w14:textId="77777777" w:rsidR="00E6716D" w:rsidRPr="007559D3" w:rsidRDefault="00E6716D" w:rsidP="00E6716D">
      <w:pPr>
        <w:widowControl w:val="0"/>
        <w:autoSpaceDE w:val="0"/>
        <w:autoSpaceDN w:val="0"/>
        <w:spacing w:after="240" w:line="276" w:lineRule="auto"/>
        <w:jc w:val="both"/>
        <w:rPr>
          <w:rFonts w:ascii="Verdana" w:hAnsi="Verdana" w:cs="Arial"/>
          <w:shd w:val="clear" w:color="auto" w:fill="FFFFFF"/>
        </w:rPr>
      </w:pPr>
      <w:r w:rsidRPr="007559D3">
        <w:rPr>
          <w:rFonts w:ascii="Verdana" w:hAnsi="Verdana" w:cs="Arial"/>
          <w:shd w:val="clear" w:color="auto" w:fill="FFFFFF"/>
        </w:rPr>
        <w:t>También le contamos que ya se encuentra disponible la </w:t>
      </w:r>
      <w:r w:rsidRPr="007559D3">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7559D3">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7559D3">
        <w:rPr>
          <w:rFonts w:ascii="Verdana" w:hAnsi="Verdana" w:cs="Arial"/>
          <w:shd w:val="clear" w:color="auto" w:fill="FFFFFF"/>
        </w:rPr>
        <w:t>Wayúu</w:t>
      </w:r>
      <w:proofErr w:type="spellEnd"/>
      <w:r w:rsidRPr="007559D3">
        <w:rPr>
          <w:rFonts w:ascii="Verdana" w:hAnsi="Verdana" w:cs="Arial"/>
          <w:shd w:val="clear" w:color="auto" w:fill="FFFFFF"/>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7559D3">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7559D3">
        <w:rPr>
          <w:rFonts w:ascii="Verdana" w:hAnsi="Verdana" w:cs="Arial"/>
          <w:u w:val="single"/>
          <w:shd w:val="clear" w:color="auto" w:fill="FFFFFF"/>
        </w:rPr>
        <w:t>"</w:t>
      </w:r>
    </w:p>
    <w:p w14:paraId="734EFA43" w14:textId="77777777" w:rsidR="00E6716D" w:rsidRPr="007559D3" w:rsidRDefault="00E6716D" w:rsidP="00E6716D">
      <w:pPr>
        <w:spacing w:after="0" w:line="276" w:lineRule="auto"/>
        <w:jc w:val="both"/>
        <w:rPr>
          <w:rFonts w:ascii="Verdana" w:hAnsi="Verdana"/>
        </w:rPr>
      </w:pPr>
      <w:r w:rsidRPr="007559D3">
        <w:rPr>
          <w:rFonts w:ascii="Verdana" w:hAnsi="Verdana"/>
        </w:rPr>
        <w:t xml:space="preserve">Por último, lo invitamos a seguirnos en las redes sociales en las cuales se difunde información institucional: </w:t>
      </w:r>
    </w:p>
    <w:p w14:paraId="37E3C517" w14:textId="77777777" w:rsidR="00E6716D" w:rsidRPr="007559D3" w:rsidRDefault="00E6716D" w:rsidP="00E6716D">
      <w:pPr>
        <w:spacing w:after="0" w:line="276" w:lineRule="auto"/>
        <w:jc w:val="both"/>
        <w:rPr>
          <w:rFonts w:ascii="Verdana" w:hAnsi="Verdana"/>
        </w:rPr>
      </w:pPr>
    </w:p>
    <w:p w14:paraId="380CDACC" w14:textId="77777777" w:rsidR="00E6716D" w:rsidRPr="007559D3" w:rsidRDefault="00E6716D" w:rsidP="00E6716D">
      <w:pPr>
        <w:spacing w:after="0" w:line="276" w:lineRule="auto"/>
        <w:jc w:val="both"/>
        <w:rPr>
          <w:rFonts w:ascii="Verdana" w:hAnsi="Verdana"/>
        </w:rPr>
      </w:pPr>
      <w:r w:rsidRPr="007559D3">
        <w:rPr>
          <w:rFonts w:ascii="Verdana" w:hAnsi="Verdana"/>
        </w:rPr>
        <w:t xml:space="preserve">Twitter: </w:t>
      </w:r>
      <w:r w:rsidRPr="007559D3">
        <w:rPr>
          <w:rStyle w:val="Hipervnculo"/>
          <w:rFonts w:ascii="Verdana" w:hAnsi="Verdana"/>
          <w:color w:val="4472C4" w:themeColor="accent1"/>
        </w:rPr>
        <w:t>@colombiacompra</w:t>
      </w:r>
      <w:r w:rsidRPr="007559D3">
        <w:rPr>
          <w:rFonts w:ascii="Verdana" w:hAnsi="Verdana"/>
          <w:color w:val="4472C4" w:themeColor="accent1"/>
        </w:rPr>
        <w:t xml:space="preserve"> </w:t>
      </w:r>
    </w:p>
    <w:p w14:paraId="60329CF9" w14:textId="77777777" w:rsidR="00E6716D" w:rsidRPr="007559D3" w:rsidRDefault="00E6716D" w:rsidP="00E6716D">
      <w:pPr>
        <w:spacing w:after="0" w:line="276" w:lineRule="auto"/>
        <w:jc w:val="both"/>
        <w:rPr>
          <w:rFonts w:ascii="Verdana" w:hAnsi="Verdana"/>
        </w:rPr>
      </w:pPr>
      <w:r w:rsidRPr="007559D3">
        <w:rPr>
          <w:rFonts w:ascii="Verdana" w:hAnsi="Verdana"/>
        </w:rPr>
        <w:t xml:space="preserve">Facebook: </w:t>
      </w:r>
      <w:proofErr w:type="spellStart"/>
      <w:r w:rsidRPr="007559D3">
        <w:rPr>
          <w:rStyle w:val="Hipervnculo"/>
          <w:rFonts w:ascii="Verdana" w:hAnsi="Verdana"/>
          <w:color w:val="4472C4" w:themeColor="accent1"/>
        </w:rPr>
        <w:t>ColombiaCompraEficiente</w:t>
      </w:r>
      <w:proofErr w:type="spellEnd"/>
    </w:p>
    <w:p w14:paraId="10BCE6A2" w14:textId="77777777" w:rsidR="00E6716D" w:rsidRPr="007559D3" w:rsidRDefault="00E6716D" w:rsidP="00E6716D">
      <w:pPr>
        <w:spacing w:after="0" w:line="276" w:lineRule="auto"/>
        <w:jc w:val="both"/>
        <w:rPr>
          <w:rStyle w:val="Hipervnculo"/>
          <w:rFonts w:ascii="Verdana" w:hAnsi="Verdana"/>
          <w:color w:val="4472C4" w:themeColor="accent1"/>
        </w:rPr>
      </w:pPr>
      <w:r w:rsidRPr="007559D3">
        <w:rPr>
          <w:rFonts w:ascii="Verdana" w:hAnsi="Verdana"/>
        </w:rPr>
        <w:t xml:space="preserve">LinkedIn: </w:t>
      </w:r>
      <w:r w:rsidRPr="007559D3">
        <w:rPr>
          <w:rStyle w:val="Hipervnculo"/>
          <w:rFonts w:ascii="Verdana" w:hAnsi="Verdana"/>
          <w:color w:val="4472C4" w:themeColor="accent1"/>
        </w:rPr>
        <w:t>Agencia Nacional de Contratación Pública - Colombia Compra Eficiente</w:t>
      </w:r>
      <w:r w:rsidRPr="007559D3">
        <w:rPr>
          <w:rFonts w:ascii="Verdana" w:hAnsi="Verdana"/>
          <w:color w:val="4472C4" w:themeColor="accent1"/>
        </w:rPr>
        <w:t xml:space="preserve"> </w:t>
      </w:r>
      <w:r w:rsidRPr="007559D3">
        <w:rPr>
          <w:rFonts w:ascii="Verdana" w:hAnsi="Verdana"/>
        </w:rPr>
        <w:t xml:space="preserve">Instagram: </w:t>
      </w:r>
      <w:r w:rsidRPr="007559D3">
        <w:rPr>
          <w:rStyle w:val="Hipervnculo"/>
          <w:rFonts w:ascii="Verdana" w:hAnsi="Verdana"/>
          <w:color w:val="4472C4" w:themeColor="accent1"/>
        </w:rPr>
        <w:t>@colombiacompraeficiente_cce</w:t>
      </w:r>
    </w:p>
    <w:p w14:paraId="39E89717" w14:textId="77777777" w:rsidR="00E6716D" w:rsidRPr="007559D3" w:rsidRDefault="00E6716D" w:rsidP="00E6716D">
      <w:pPr>
        <w:spacing w:after="0" w:line="276" w:lineRule="auto"/>
        <w:jc w:val="both"/>
        <w:rPr>
          <w:rStyle w:val="Hipervnculo"/>
          <w:rFonts w:ascii="Verdana" w:hAnsi="Verdana"/>
          <w:color w:val="4472C4" w:themeColor="accent1"/>
        </w:rPr>
      </w:pPr>
    </w:p>
    <w:p w14:paraId="2AF916B6" w14:textId="77777777" w:rsidR="00E6716D" w:rsidRPr="007559D3" w:rsidRDefault="00E6716D" w:rsidP="00E6716D">
      <w:pPr>
        <w:widowControl w:val="0"/>
        <w:autoSpaceDE w:val="0"/>
        <w:autoSpaceDN w:val="0"/>
        <w:spacing w:after="0" w:line="276" w:lineRule="auto"/>
        <w:jc w:val="both"/>
        <w:rPr>
          <w:rFonts w:ascii="Verdana" w:hAnsi="Verdana" w:cs="Arial"/>
          <w:lang w:val="es-ES_tradnl"/>
        </w:rPr>
      </w:pPr>
      <w:r w:rsidRPr="007559D3">
        <w:rPr>
          <w:rFonts w:ascii="Verdana" w:hAnsi="Verdana" w:cs="Arial"/>
        </w:rPr>
        <w:t xml:space="preserve">Este concepto tiene el alcance previsto en el artículo 28 del Código de Procedimiento Administrativo y de lo Contencioso Administrativo </w:t>
      </w:r>
      <w:r w:rsidRPr="007559D3">
        <w:rPr>
          <w:rFonts w:ascii="Verdana" w:hAnsi="Verdana" w:cs="Arial"/>
          <w:lang w:val="es-ES_tradnl"/>
        </w:rPr>
        <w:t>y las expresiones aquí utilizadas con mayúscula inicial deben ser entendidas con el significado que les otorga el artículo 2.2.1.1.1.3.1. del Decreto 1082 de 2015.</w:t>
      </w:r>
    </w:p>
    <w:p w14:paraId="30E9174A" w14:textId="77777777" w:rsidR="00E6716D" w:rsidRPr="007559D3" w:rsidRDefault="00E6716D" w:rsidP="00E6716D">
      <w:pPr>
        <w:widowControl w:val="0"/>
        <w:autoSpaceDE w:val="0"/>
        <w:autoSpaceDN w:val="0"/>
        <w:spacing w:after="0" w:line="276" w:lineRule="auto"/>
        <w:jc w:val="both"/>
        <w:rPr>
          <w:rFonts w:ascii="Verdana" w:hAnsi="Verdana" w:cs="Arial"/>
        </w:rPr>
      </w:pPr>
    </w:p>
    <w:p w14:paraId="792F3D2F" w14:textId="77777777" w:rsidR="00E6716D" w:rsidRPr="007559D3" w:rsidRDefault="00E6716D" w:rsidP="00E6716D">
      <w:pPr>
        <w:spacing w:after="0" w:line="276" w:lineRule="auto"/>
        <w:rPr>
          <w:rFonts w:ascii="Verdana" w:hAnsi="Verdana" w:cs="Arial"/>
          <w:lang w:eastAsia="es-CO"/>
        </w:rPr>
      </w:pPr>
      <w:r w:rsidRPr="007559D3">
        <w:rPr>
          <w:rFonts w:ascii="Verdana" w:eastAsia="Times New Roman" w:hAnsi="Verdana" w:cs="Arial"/>
          <w:lang w:eastAsia="es-CO"/>
        </w:rPr>
        <w:t>Atentamente,</w:t>
      </w:r>
      <w:r w:rsidRPr="007559D3">
        <w:rPr>
          <w:rFonts w:ascii="Verdana" w:hAnsi="Verdana" w:cs="Arial"/>
          <w:lang w:eastAsia="es-CO"/>
        </w:rPr>
        <w:t xml:space="preserve"> </w:t>
      </w:r>
    </w:p>
    <w:p w14:paraId="244B22F8" w14:textId="77E43138" w:rsidR="00E6716D" w:rsidRPr="007559D3" w:rsidRDefault="00085E4A" w:rsidP="00E6716D">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lastRenderedPageBreak/>
        <w:drawing>
          <wp:inline distT="0" distB="0" distL="0" distR="0" wp14:anchorId="084117B1" wp14:editId="44368A49">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6716D" w:rsidRPr="0087041B" w14:paraId="5D05F72A" w14:textId="77777777" w:rsidTr="00D94860">
        <w:trPr>
          <w:trHeight w:val="315"/>
        </w:trPr>
        <w:tc>
          <w:tcPr>
            <w:tcW w:w="893" w:type="dxa"/>
            <w:vAlign w:val="center"/>
            <w:hideMark/>
          </w:tcPr>
          <w:p w14:paraId="71895756" w14:textId="77777777" w:rsidR="00E6716D" w:rsidRPr="007559D3" w:rsidRDefault="00E6716D" w:rsidP="00D94860">
            <w:pPr>
              <w:contextualSpacing/>
              <w:rPr>
                <w:rFonts w:ascii="Verdana" w:hAnsi="Verdana" w:cs="Arial"/>
                <w:sz w:val="16"/>
                <w:szCs w:val="16"/>
                <w:lang w:val="es-ES" w:eastAsia="es-ES"/>
              </w:rPr>
            </w:pPr>
            <w:r w:rsidRPr="007559D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CE876E1" w14:textId="77777777" w:rsidR="00E6716D" w:rsidRPr="007559D3" w:rsidRDefault="00E6716D" w:rsidP="00D94860">
            <w:pPr>
              <w:contextualSpacing/>
              <w:rPr>
                <w:rFonts w:ascii="Verdana" w:eastAsia="Arial" w:hAnsi="Verdana" w:cs="Arial"/>
                <w:sz w:val="16"/>
                <w:szCs w:val="16"/>
              </w:rPr>
            </w:pPr>
            <w:r w:rsidRPr="007559D3">
              <w:rPr>
                <w:rFonts w:ascii="Verdana" w:eastAsia="Arial" w:hAnsi="Verdana" w:cs="Arial"/>
                <w:sz w:val="16"/>
                <w:szCs w:val="16"/>
              </w:rPr>
              <w:t>Ana María Ortiz Ballesteros</w:t>
            </w:r>
          </w:p>
          <w:p w14:paraId="3D255A4C" w14:textId="77777777" w:rsidR="00E6716D" w:rsidRPr="007559D3" w:rsidRDefault="00E6716D" w:rsidP="00D94860">
            <w:pPr>
              <w:contextualSpacing/>
              <w:rPr>
                <w:rFonts w:ascii="Verdana" w:eastAsia="Arial" w:hAnsi="Verdana" w:cs="Arial"/>
                <w:sz w:val="16"/>
                <w:szCs w:val="16"/>
              </w:rPr>
            </w:pPr>
            <w:r w:rsidRPr="007559D3">
              <w:rPr>
                <w:rStyle w:val="normaltextrun"/>
                <w:rFonts w:ascii="Verdana" w:eastAsia="Arial" w:hAnsi="Verdana" w:cs="Arial"/>
                <w:sz w:val="16"/>
                <w:szCs w:val="16"/>
              </w:rPr>
              <w:t>C</w:t>
            </w:r>
            <w:r w:rsidRPr="007559D3">
              <w:rPr>
                <w:rStyle w:val="normaltextrun"/>
                <w:rFonts w:ascii="Verdana" w:hAnsi="Verdana"/>
                <w:sz w:val="16"/>
                <w:szCs w:val="16"/>
              </w:rPr>
              <w:t>ontratista</w:t>
            </w:r>
            <w:r w:rsidRPr="007559D3">
              <w:rPr>
                <w:rStyle w:val="normaltextrun"/>
                <w:rFonts w:ascii="Verdana" w:eastAsia="Arial" w:hAnsi="Verdana" w:cs="Arial"/>
                <w:sz w:val="16"/>
                <w:szCs w:val="16"/>
              </w:rPr>
              <w:t xml:space="preserve"> de la Subdirección de Gestión Contractual</w:t>
            </w:r>
          </w:p>
        </w:tc>
      </w:tr>
      <w:tr w:rsidR="00E6716D" w:rsidRPr="0087041B" w14:paraId="101AB798" w14:textId="77777777" w:rsidTr="00D94860">
        <w:trPr>
          <w:trHeight w:val="330"/>
        </w:trPr>
        <w:tc>
          <w:tcPr>
            <w:tcW w:w="893" w:type="dxa"/>
            <w:vAlign w:val="center"/>
            <w:hideMark/>
          </w:tcPr>
          <w:p w14:paraId="48E7F321" w14:textId="77777777" w:rsidR="00E6716D" w:rsidRPr="007559D3" w:rsidRDefault="00E6716D" w:rsidP="00D94860">
            <w:pPr>
              <w:contextualSpacing/>
              <w:rPr>
                <w:rFonts w:ascii="Verdana" w:hAnsi="Verdana" w:cs="Arial"/>
                <w:sz w:val="16"/>
                <w:szCs w:val="16"/>
                <w:lang w:val="es-ES" w:eastAsia="es-ES"/>
              </w:rPr>
            </w:pPr>
            <w:r w:rsidRPr="007559D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670FE9" w14:textId="77777777" w:rsidR="00E6716D" w:rsidRPr="007559D3" w:rsidRDefault="00E6716D" w:rsidP="00D94860">
            <w:pPr>
              <w:pStyle w:val="paragraph"/>
              <w:spacing w:before="0" w:beforeAutospacing="0" w:after="0" w:afterAutospacing="0"/>
              <w:contextualSpacing/>
              <w:textAlignment w:val="baseline"/>
              <w:rPr>
                <w:rFonts w:ascii="Verdana" w:hAnsi="Verdana" w:cs="Arial"/>
                <w:sz w:val="16"/>
                <w:szCs w:val="16"/>
              </w:rPr>
            </w:pPr>
            <w:r w:rsidRPr="007559D3">
              <w:rPr>
                <w:rFonts w:ascii="Verdana" w:hAnsi="Verdana" w:cs="Arial"/>
                <w:sz w:val="16"/>
                <w:szCs w:val="16"/>
              </w:rPr>
              <w:t xml:space="preserve">Alejandro Sarmiento Cantillo </w:t>
            </w:r>
          </w:p>
          <w:p w14:paraId="5DDA05BB" w14:textId="77777777" w:rsidR="00E6716D" w:rsidRPr="007559D3" w:rsidRDefault="00E6716D" w:rsidP="00D94860">
            <w:pPr>
              <w:pStyle w:val="paragraph"/>
              <w:spacing w:before="0" w:beforeAutospacing="0" w:after="0" w:afterAutospacing="0"/>
              <w:contextualSpacing/>
              <w:textAlignment w:val="baseline"/>
              <w:rPr>
                <w:rFonts w:ascii="Verdana" w:hAnsi="Verdana" w:cs="Arial"/>
                <w:sz w:val="16"/>
                <w:szCs w:val="16"/>
              </w:rPr>
            </w:pPr>
            <w:r w:rsidRPr="007559D3">
              <w:rPr>
                <w:rFonts w:ascii="Verdana" w:hAnsi="Verdana" w:cs="Arial"/>
                <w:sz w:val="16"/>
                <w:szCs w:val="16"/>
              </w:rPr>
              <w:t>Gestor T1-15 de la Subdirección de Gestión Contractual</w:t>
            </w:r>
          </w:p>
        </w:tc>
      </w:tr>
      <w:tr w:rsidR="00E6716D" w:rsidRPr="0087041B" w14:paraId="6A2AD8EC" w14:textId="77777777" w:rsidTr="00D94860">
        <w:trPr>
          <w:trHeight w:val="300"/>
        </w:trPr>
        <w:tc>
          <w:tcPr>
            <w:tcW w:w="893" w:type="dxa"/>
            <w:vAlign w:val="center"/>
          </w:tcPr>
          <w:p w14:paraId="6C0201D5" w14:textId="77777777" w:rsidR="00E6716D" w:rsidRPr="007559D3" w:rsidRDefault="00E6716D" w:rsidP="00D94860">
            <w:pPr>
              <w:contextualSpacing/>
              <w:rPr>
                <w:rFonts w:ascii="Verdana" w:hAnsi="Verdana" w:cs="Arial"/>
                <w:sz w:val="16"/>
                <w:szCs w:val="16"/>
                <w:lang w:val="es-ES" w:eastAsia="es-ES"/>
              </w:rPr>
            </w:pPr>
            <w:r w:rsidRPr="007559D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0D2A63" w14:textId="77777777" w:rsidR="00E6716D" w:rsidRPr="007559D3" w:rsidRDefault="00E6716D" w:rsidP="00D94860">
            <w:pPr>
              <w:contextualSpacing/>
              <w:rPr>
                <w:rFonts w:ascii="Verdana" w:eastAsia="Calibri" w:hAnsi="Verdana" w:cs="Arial"/>
                <w:sz w:val="16"/>
                <w:szCs w:val="16"/>
                <w:lang w:val="pt-BR" w:eastAsia="es-ES"/>
              </w:rPr>
            </w:pPr>
            <w:r w:rsidRPr="007559D3">
              <w:rPr>
                <w:rFonts w:ascii="Verdana" w:eastAsia="Calibri" w:hAnsi="Verdana" w:cs="Arial"/>
                <w:sz w:val="16"/>
                <w:szCs w:val="16"/>
                <w:lang w:val="pt-BR" w:eastAsia="es-ES"/>
              </w:rPr>
              <w:t xml:space="preserve">Carolina Quintero </w:t>
            </w:r>
            <w:proofErr w:type="spellStart"/>
            <w:r w:rsidRPr="007559D3">
              <w:rPr>
                <w:rFonts w:ascii="Verdana" w:eastAsia="Calibri" w:hAnsi="Verdana" w:cs="Arial"/>
                <w:sz w:val="16"/>
                <w:szCs w:val="16"/>
                <w:lang w:val="pt-BR" w:eastAsia="es-ES"/>
              </w:rPr>
              <w:t>Gacharná</w:t>
            </w:r>
            <w:proofErr w:type="spellEnd"/>
          </w:p>
          <w:p w14:paraId="281FE1EC" w14:textId="77777777" w:rsidR="00E6716D" w:rsidRPr="007559D3" w:rsidRDefault="00E6716D" w:rsidP="00D94860">
            <w:pPr>
              <w:contextualSpacing/>
              <w:rPr>
                <w:rFonts w:ascii="Verdana" w:eastAsia="Calibri" w:hAnsi="Verdana" w:cs="Arial"/>
                <w:sz w:val="16"/>
                <w:szCs w:val="16"/>
                <w:lang w:val="pt-BR" w:eastAsia="es-ES"/>
              </w:rPr>
            </w:pPr>
            <w:r w:rsidRPr="007559D3">
              <w:rPr>
                <w:rFonts w:ascii="Verdana" w:eastAsia="Calibri" w:hAnsi="Verdana" w:cs="Arial"/>
                <w:sz w:val="16"/>
                <w:szCs w:val="16"/>
                <w:lang w:eastAsia="es-ES"/>
              </w:rPr>
              <w:t>Subdirectora</w:t>
            </w:r>
            <w:r w:rsidRPr="007559D3">
              <w:rPr>
                <w:rFonts w:ascii="Verdana" w:eastAsia="Calibri" w:hAnsi="Verdana" w:cs="Arial"/>
                <w:sz w:val="16"/>
                <w:szCs w:val="16"/>
                <w:lang w:val="pt-BR" w:eastAsia="es-ES"/>
              </w:rPr>
              <w:t xml:space="preserve"> de Gestión Contractual ANCP – CCE</w:t>
            </w:r>
          </w:p>
        </w:tc>
      </w:tr>
    </w:tbl>
    <w:p w14:paraId="08D0CCCD" w14:textId="77777777" w:rsidR="00E6716D" w:rsidRPr="007559D3" w:rsidRDefault="00E6716D" w:rsidP="00E6716D">
      <w:pPr>
        <w:spacing w:after="0" w:line="240" w:lineRule="auto"/>
        <w:ind w:right="709"/>
        <w:jc w:val="both"/>
        <w:rPr>
          <w:rFonts w:ascii="Verdana" w:eastAsia="Century Gothic" w:hAnsi="Verdana" w:cs="Century Gothic"/>
          <w:sz w:val="16"/>
          <w:szCs w:val="16"/>
          <w:lang w:val="es-ES"/>
        </w:rPr>
      </w:pPr>
    </w:p>
    <w:p w14:paraId="4D4D79A3" w14:textId="77777777" w:rsidR="00E6716D" w:rsidRPr="007559D3" w:rsidRDefault="00E6716D" w:rsidP="00E6716D">
      <w:pPr>
        <w:spacing w:after="0"/>
        <w:jc w:val="both"/>
        <w:rPr>
          <w:rStyle w:val="Hipervnculo"/>
          <w:rFonts w:ascii="Verdana" w:hAnsi="Verdana"/>
          <w:sz w:val="16"/>
          <w:szCs w:val="16"/>
          <w:lang w:val="es-ES"/>
        </w:rPr>
      </w:pPr>
    </w:p>
    <w:p w14:paraId="3138E98D" w14:textId="77777777" w:rsidR="00CB3AA7" w:rsidRPr="007559D3" w:rsidRDefault="00CB3AA7" w:rsidP="00230724">
      <w:pPr>
        <w:spacing w:after="0"/>
        <w:rPr>
          <w:rFonts w:ascii="Verdana" w:eastAsia="Times New Roman" w:hAnsi="Verdana" w:cs="Segoe UI"/>
          <w:sz w:val="16"/>
          <w:szCs w:val="16"/>
          <w:lang w:val="es-ES" w:eastAsia="es-CO"/>
        </w:rPr>
      </w:pPr>
    </w:p>
    <w:p w14:paraId="01EA5CA9" w14:textId="77777777" w:rsidR="00CB3AA7" w:rsidRPr="007559D3" w:rsidRDefault="00CB3AA7" w:rsidP="00230724">
      <w:pPr>
        <w:spacing w:after="0"/>
        <w:rPr>
          <w:rFonts w:ascii="Verdana" w:eastAsia="Times New Roman" w:hAnsi="Verdana" w:cs="Segoe UI"/>
          <w:lang w:val="es-ES" w:eastAsia="es-CO"/>
        </w:rPr>
      </w:pPr>
    </w:p>
    <w:p w14:paraId="497A138C" w14:textId="77777777" w:rsidR="00CB3AA7" w:rsidRPr="007559D3" w:rsidRDefault="00CB3AA7" w:rsidP="00230724">
      <w:pPr>
        <w:spacing w:after="0"/>
        <w:rPr>
          <w:rFonts w:ascii="Verdana" w:eastAsia="Times New Roman" w:hAnsi="Verdana" w:cs="Segoe UI"/>
          <w:lang w:val="es-ES" w:eastAsia="es-CO"/>
        </w:rPr>
      </w:pPr>
    </w:p>
    <w:p w14:paraId="78008842" w14:textId="77777777" w:rsidR="00CB3AA7" w:rsidRPr="007559D3" w:rsidRDefault="00CB3AA7" w:rsidP="00230724">
      <w:pPr>
        <w:spacing w:after="0"/>
        <w:rPr>
          <w:rFonts w:ascii="Verdana" w:eastAsia="Times New Roman" w:hAnsi="Verdana" w:cs="Segoe UI"/>
          <w:lang w:val="es-ES" w:eastAsia="es-CO"/>
        </w:rPr>
      </w:pPr>
    </w:p>
    <w:p w14:paraId="6D76CDCD" w14:textId="77777777" w:rsidR="00CB3AA7" w:rsidRPr="007559D3" w:rsidRDefault="00CB3AA7" w:rsidP="00230724">
      <w:pPr>
        <w:spacing w:after="0"/>
        <w:rPr>
          <w:rFonts w:ascii="Verdana" w:eastAsia="Times New Roman" w:hAnsi="Verdana" w:cs="Segoe UI"/>
          <w:lang w:val="es-ES" w:eastAsia="es-CO"/>
        </w:rPr>
      </w:pPr>
    </w:p>
    <w:p w14:paraId="0DF659D8" w14:textId="77777777" w:rsidR="00CB3AA7" w:rsidRPr="007559D3" w:rsidRDefault="00CB3AA7" w:rsidP="00230724">
      <w:pPr>
        <w:spacing w:after="0"/>
        <w:rPr>
          <w:rFonts w:ascii="Verdana" w:eastAsia="Times New Roman" w:hAnsi="Verdana" w:cs="Segoe UI"/>
          <w:lang w:val="es-ES" w:eastAsia="es-CO"/>
        </w:rPr>
      </w:pPr>
    </w:p>
    <w:p w14:paraId="7B28791C" w14:textId="77777777" w:rsidR="00462ADC" w:rsidRPr="007559D3" w:rsidRDefault="00462ADC" w:rsidP="00230724">
      <w:pPr>
        <w:spacing w:after="0"/>
        <w:rPr>
          <w:rFonts w:ascii="Verdana" w:eastAsia="Times New Roman" w:hAnsi="Verdana" w:cs="Segoe UI"/>
          <w:lang w:val="es-ES" w:eastAsia="es-CO"/>
        </w:rPr>
      </w:pPr>
    </w:p>
    <w:p w14:paraId="5A5DCE8D" w14:textId="77777777" w:rsidR="00462ADC" w:rsidRPr="007559D3" w:rsidRDefault="00462ADC" w:rsidP="00230724">
      <w:pPr>
        <w:spacing w:after="0"/>
        <w:rPr>
          <w:rFonts w:ascii="Verdana" w:eastAsia="Times New Roman" w:hAnsi="Verdana" w:cs="Segoe UI"/>
          <w:lang w:val="es-ES" w:eastAsia="es-CO"/>
        </w:rPr>
      </w:pPr>
    </w:p>
    <w:p w14:paraId="6857C521" w14:textId="77777777" w:rsidR="00462ADC" w:rsidRPr="007559D3" w:rsidRDefault="00462ADC" w:rsidP="00230724">
      <w:pPr>
        <w:spacing w:after="0"/>
        <w:rPr>
          <w:rFonts w:ascii="Verdana" w:eastAsia="Times New Roman" w:hAnsi="Verdana" w:cs="Segoe UI"/>
          <w:lang w:val="es-ES" w:eastAsia="es-CO"/>
        </w:rPr>
      </w:pPr>
    </w:p>
    <w:p w14:paraId="4C253FE6" w14:textId="77777777" w:rsidR="00462ADC" w:rsidRPr="007559D3" w:rsidRDefault="00462ADC" w:rsidP="00230724">
      <w:pPr>
        <w:spacing w:after="0"/>
        <w:rPr>
          <w:rFonts w:ascii="Verdana" w:eastAsia="Times New Roman" w:hAnsi="Verdana" w:cs="Segoe UI"/>
          <w:lang w:val="es-ES" w:eastAsia="es-CO"/>
        </w:rPr>
      </w:pPr>
    </w:p>
    <w:p w14:paraId="4B9AF249" w14:textId="77777777" w:rsidR="00462ADC" w:rsidRPr="007559D3" w:rsidRDefault="00462ADC" w:rsidP="00230724">
      <w:pPr>
        <w:spacing w:after="0"/>
        <w:rPr>
          <w:rFonts w:ascii="Verdana" w:eastAsia="Times New Roman" w:hAnsi="Verdana" w:cs="Segoe UI"/>
          <w:lang w:val="es-ES" w:eastAsia="es-CO"/>
        </w:rPr>
      </w:pPr>
    </w:p>
    <w:p w14:paraId="49B3E31A" w14:textId="77777777" w:rsidR="00462ADC" w:rsidRPr="007559D3" w:rsidRDefault="00462ADC" w:rsidP="00230724">
      <w:pPr>
        <w:spacing w:after="0"/>
        <w:rPr>
          <w:rFonts w:ascii="Verdana" w:eastAsia="Times New Roman" w:hAnsi="Verdana" w:cs="Segoe UI"/>
          <w:lang w:val="es-ES" w:eastAsia="es-CO"/>
        </w:rPr>
      </w:pPr>
    </w:p>
    <w:p w14:paraId="782FEB1C" w14:textId="77777777" w:rsidR="00462ADC" w:rsidRPr="007559D3" w:rsidRDefault="00462ADC" w:rsidP="00230724">
      <w:pPr>
        <w:spacing w:after="0"/>
        <w:rPr>
          <w:rFonts w:ascii="Verdana" w:eastAsia="Times New Roman" w:hAnsi="Verdana" w:cs="Segoe UI"/>
          <w:lang w:val="es-ES" w:eastAsia="es-CO"/>
        </w:rPr>
      </w:pPr>
    </w:p>
    <w:p w14:paraId="0DE56415" w14:textId="77777777" w:rsidR="00462ADC" w:rsidRPr="007559D3" w:rsidRDefault="00462ADC" w:rsidP="00230724">
      <w:pPr>
        <w:spacing w:after="0"/>
        <w:rPr>
          <w:rFonts w:ascii="Verdana" w:eastAsia="Times New Roman" w:hAnsi="Verdana" w:cs="Segoe UI"/>
          <w:lang w:val="es-ES" w:eastAsia="es-CO"/>
        </w:rPr>
      </w:pPr>
    </w:p>
    <w:p w14:paraId="4FC29DA9" w14:textId="3183BDAA" w:rsidR="009F4523" w:rsidRPr="007559D3" w:rsidRDefault="009F4523" w:rsidP="00230724">
      <w:pPr>
        <w:spacing w:after="0"/>
        <w:rPr>
          <w:rFonts w:ascii="Verdana" w:eastAsia="Times New Roman" w:hAnsi="Verdana" w:cs="Segoe UI"/>
          <w:lang w:val="es-ES" w:eastAsia="es-CO"/>
        </w:rPr>
      </w:pPr>
    </w:p>
    <w:sectPr w:rsidR="009F4523" w:rsidRPr="007559D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19EB9E" w14:textId="77777777" w:rsidR="00D22127" w:rsidRDefault="00D22127" w:rsidP="004A1847">
      <w:pPr>
        <w:spacing w:after="0" w:line="240" w:lineRule="auto"/>
      </w:pPr>
      <w:r>
        <w:separator/>
      </w:r>
    </w:p>
  </w:endnote>
  <w:endnote w:type="continuationSeparator" w:id="0">
    <w:p w14:paraId="57BF3508" w14:textId="77777777" w:rsidR="00D22127" w:rsidRDefault="00D2212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AC94A" w14:textId="77777777" w:rsidR="00D22127" w:rsidRDefault="00D22127" w:rsidP="004A1847">
      <w:pPr>
        <w:spacing w:after="0" w:line="240" w:lineRule="auto"/>
      </w:pPr>
      <w:r>
        <w:separator/>
      </w:r>
    </w:p>
  </w:footnote>
  <w:footnote w:type="continuationSeparator" w:id="0">
    <w:p w14:paraId="21FB17F8" w14:textId="77777777" w:rsidR="00D22127" w:rsidRDefault="00D22127" w:rsidP="004A1847">
      <w:pPr>
        <w:spacing w:after="0" w:line="240" w:lineRule="auto"/>
      </w:pPr>
      <w:r>
        <w:continuationSeparator/>
      </w:r>
    </w:p>
  </w:footnote>
  <w:footnote w:id="1">
    <w:p w14:paraId="20A8516A" w14:textId="77777777" w:rsidR="000E171B" w:rsidRPr="00163FB3" w:rsidRDefault="000E171B" w:rsidP="000E171B">
      <w:pPr>
        <w:pStyle w:val="Textonotapie"/>
        <w:ind w:firstLine="709"/>
        <w:jc w:val="both"/>
        <w:rPr>
          <w:rFonts w:ascii="Verdana" w:eastAsia="Calibri" w:hAnsi="Verdana" w:cs="Arial"/>
          <w:sz w:val="18"/>
          <w:szCs w:val="18"/>
        </w:rPr>
      </w:pPr>
      <w:r w:rsidRPr="00163FB3">
        <w:rPr>
          <w:rStyle w:val="Refdenotaalpie"/>
          <w:rFonts w:ascii="Verdana" w:hAnsi="Verdana" w:cs="Arial"/>
          <w:sz w:val="18"/>
          <w:szCs w:val="18"/>
        </w:rPr>
        <w:footnoteRef/>
      </w:r>
      <w:r w:rsidRPr="00163FB3">
        <w:rPr>
          <w:rFonts w:ascii="Verdana" w:hAnsi="Verdana" w:cs="Arial"/>
          <w:sz w:val="18"/>
          <w:szCs w:val="18"/>
        </w:rPr>
        <w:t xml:space="preserve"> </w:t>
      </w:r>
      <w:r w:rsidRPr="00163FB3">
        <w:rPr>
          <w:rFonts w:ascii="Verdana" w:eastAsia="Calibri" w:hAnsi="Verdana" w:cs="Arial"/>
          <w:sz w:val="18"/>
          <w:szCs w:val="18"/>
        </w:rPr>
        <w:t>Constitución Política: “Artículo 93. Los tratados y convenios internacionales ratificados por el Congreso, que reconocen los derechos humanos y que prohíben su limitación en los estados de excepción, prevalecen en el orden interno.</w:t>
      </w:r>
    </w:p>
    <w:p w14:paraId="744806E1" w14:textId="77777777" w:rsidR="000E171B" w:rsidRPr="00163FB3" w:rsidRDefault="000E171B" w:rsidP="000E171B">
      <w:pPr>
        <w:spacing w:after="0" w:line="240" w:lineRule="auto"/>
        <w:ind w:firstLine="708"/>
        <w:jc w:val="both"/>
        <w:rPr>
          <w:rFonts w:ascii="Verdana" w:eastAsia="Times New Roman" w:hAnsi="Verdana" w:cs="Arial"/>
          <w:sz w:val="18"/>
          <w:szCs w:val="18"/>
        </w:rPr>
      </w:pPr>
      <w:r w:rsidRPr="00163FB3">
        <w:rPr>
          <w:rFonts w:ascii="Verdana" w:hAnsi="Verdana" w:cs="Arial"/>
          <w:sz w:val="18"/>
          <w:szCs w:val="18"/>
        </w:rPr>
        <w:t>“Los derechos y deberes consagrados en esta Carta se interpretarán de conformidad con los tratados internacionales sobre derechos humanos ratificados por Colombia [...]”.</w:t>
      </w:r>
    </w:p>
  </w:footnote>
  <w:footnote w:id="2">
    <w:p w14:paraId="70D8C757" w14:textId="77777777" w:rsidR="00951C90" w:rsidRPr="00163FB3" w:rsidRDefault="00951C90" w:rsidP="00951C90">
      <w:pPr>
        <w:pStyle w:val="Textonotapie"/>
        <w:ind w:firstLine="708"/>
        <w:jc w:val="both"/>
        <w:rPr>
          <w:rFonts w:ascii="Verdana" w:hAnsi="Verdana"/>
          <w:sz w:val="18"/>
          <w:szCs w:val="18"/>
        </w:rPr>
      </w:pPr>
      <w:r w:rsidRPr="00163FB3">
        <w:rPr>
          <w:rStyle w:val="Refdenotaalpie"/>
          <w:rFonts w:ascii="Verdana" w:hAnsi="Verdana"/>
          <w:sz w:val="18"/>
          <w:szCs w:val="18"/>
        </w:rPr>
        <w:footnoteRef/>
      </w:r>
      <w:r w:rsidRPr="00163FB3">
        <w:rPr>
          <w:rFonts w:ascii="Verdana" w:hAnsi="Verdana"/>
          <w:sz w:val="18"/>
          <w:szCs w:val="18"/>
        </w:rPr>
        <w:t xml:space="preserve"> La conformación de las entidades territoriales indígenas se hará con sujeción a lo dispuesto en la Ley Orgánica de Ordenamiento Territorial, y su delimitación se hará por el Gobierno Nacional, con participación de los representantes de las comunidades indígenas, previo concepto de la Comisión de Ordenamiento Territorial. Los resguardos son de propiedad colectiva y no enajenable. La ley definirá las relaciones y la coordinación de estas entidades con aquellas de las cuales formen parte. </w:t>
      </w:r>
    </w:p>
    <w:p w14:paraId="47644DEA" w14:textId="77777777" w:rsidR="00951C90" w:rsidRPr="00163FB3" w:rsidRDefault="00951C90" w:rsidP="00951C90">
      <w:pPr>
        <w:pStyle w:val="Textonotapie"/>
        <w:ind w:firstLine="708"/>
        <w:jc w:val="both"/>
        <w:rPr>
          <w:rFonts w:ascii="Verdana" w:hAnsi="Verdana"/>
          <w:sz w:val="18"/>
          <w:szCs w:val="18"/>
          <w:lang w:val="es-ES"/>
        </w:rPr>
      </w:pPr>
      <w:r w:rsidRPr="00163FB3">
        <w:rPr>
          <w:rFonts w:ascii="Verdana" w:hAnsi="Verdana"/>
          <w:sz w:val="18"/>
          <w:szCs w:val="18"/>
        </w:rPr>
        <w:t>Parágrafo. En el caso de un territorio indígena que comprenda el territorio de dos o más departamentos, su administración se hará por los consejos indígenas en coordinación con los gobernadores de los respectivos departamentos. En caso de que este territorio decida constituirse como entidad territorial, se hará con el cumplimiento de los requisitos establecidos en el inciso primero de este artículo.</w:t>
      </w:r>
    </w:p>
  </w:footnote>
  <w:footnote w:id="3">
    <w:p w14:paraId="2E875113" w14:textId="77777777" w:rsidR="004B139E" w:rsidRPr="00163FB3" w:rsidRDefault="004B139E" w:rsidP="004B139E">
      <w:pPr>
        <w:shd w:val="clear" w:color="auto" w:fill="FFFFFF"/>
        <w:spacing w:after="0" w:line="240" w:lineRule="auto"/>
        <w:ind w:firstLine="708"/>
        <w:jc w:val="both"/>
        <w:rPr>
          <w:rFonts w:ascii="Verdana" w:hAnsi="Verdana" w:cs="Arial"/>
          <w:color w:val="2D2D2D"/>
          <w:sz w:val="18"/>
          <w:szCs w:val="18"/>
          <w:lang w:eastAsia="es-CO"/>
        </w:rPr>
      </w:pPr>
      <w:r w:rsidRPr="00163FB3">
        <w:rPr>
          <w:rStyle w:val="Refdenotaalpie"/>
          <w:rFonts w:ascii="Verdana" w:hAnsi="Verdana" w:cs="Arial"/>
          <w:sz w:val="18"/>
          <w:szCs w:val="18"/>
        </w:rPr>
        <w:footnoteRef/>
      </w:r>
      <w:r w:rsidRPr="00163FB3">
        <w:rPr>
          <w:rFonts w:ascii="Verdana" w:hAnsi="Verdana" w:cs="Arial"/>
          <w:sz w:val="18"/>
          <w:szCs w:val="18"/>
        </w:rPr>
        <w:t xml:space="preserve"> Sobre la noción de Resguardos indígenas la Corte Constitucional: “</w:t>
      </w:r>
      <w:r w:rsidRPr="00163FB3">
        <w:rPr>
          <w:rFonts w:ascii="Verdana" w:hAnsi="Verdana" w:cs="Arial"/>
          <w:color w:val="2D2D2D"/>
          <w:sz w:val="18"/>
          <w:szCs w:val="18"/>
          <w:lang w:eastAsia="es-CO"/>
        </w:rPr>
        <w:t>Cabe recordar, que los resguardos indígenas se remontan a la época de la colonización española, fueron creados por Cédula Real y deben su nombre al propósito de “</w:t>
      </w:r>
      <w:r w:rsidRPr="00163FB3">
        <w:rPr>
          <w:rFonts w:ascii="Verdana" w:hAnsi="Verdana" w:cs="Arial"/>
          <w:i/>
          <w:color w:val="2D2D2D"/>
          <w:sz w:val="18"/>
          <w:szCs w:val="18"/>
          <w:lang w:eastAsia="es-CO"/>
        </w:rPr>
        <w:t>resguardar</w:t>
      </w:r>
      <w:r w:rsidRPr="00163FB3">
        <w:rPr>
          <w:rFonts w:ascii="Verdana" w:hAnsi="Verdana" w:cs="Arial"/>
          <w:color w:val="2D2D2D"/>
          <w:sz w:val="18"/>
          <w:szCs w:val="18"/>
          <w:lang w:eastAsia="es-CO"/>
        </w:rPr>
        <w:t xml:space="preserve">” a las comunidades indígenas del desalojo, el despojo y el exterminio al que estaban siendo sometidas por parte de los denominados conquistadores. </w:t>
      </w:r>
    </w:p>
    <w:p w14:paraId="183E14BB" w14:textId="77777777" w:rsidR="004B139E" w:rsidRPr="00163FB3" w:rsidRDefault="004B139E" w:rsidP="004B139E">
      <w:pPr>
        <w:shd w:val="clear" w:color="auto" w:fill="FFFFFF"/>
        <w:spacing w:after="0" w:line="240" w:lineRule="auto"/>
        <w:ind w:firstLine="708"/>
        <w:jc w:val="both"/>
        <w:rPr>
          <w:rFonts w:ascii="Verdana" w:hAnsi="Verdana" w:cs="Arial"/>
          <w:color w:val="2D2D2D"/>
          <w:sz w:val="18"/>
          <w:szCs w:val="18"/>
          <w:lang w:eastAsia="es-CO"/>
        </w:rPr>
      </w:pPr>
    </w:p>
  </w:footnote>
  <w:footnote w:id="4">
    <w:p w14:paraId="2BE05260" w14:textId="77777777" w:rsidR="00340F1F" w:rsidRPr="00163FB3" w:rsidRDefault="00340F1F" w:rsidP="00340F1F">
      <w:pPr>
        <w:spacing w:after="0" w:line="240" w:lineRule="auto"/>
        <w:ind w:firstLine="708"/>
        <w:jc w:val="both"/>
        <w:rPr>
          <w:rFonts w:ascii="Verdana" w:eastAsia="Calibri" w:hAnsi="Verdana" w:cs="Arial"/>
          <w:sz w:val="18"/>
          <w:szCs w:val="18"/>
          <w:lang w:val="es-ES"/>
        </w:rPr>
      </w:pPr>
      <w:r w:rsidRPr="00163FB3">
        <w:rPr>
          <w:rStyle w:val="Refdenotaalpie"/>
          <w:rFonts w:ascii="Verdana" w:hAnsi="Verdana" w:cs="Arial"/>
          <w:sz w:val="18"/>
          <w:szCs w:val="18"/>
        </w:rPr>
        <w:footnoteRef/>
      </w:r>
      <w:r w:rsidRPr="00163FB3">
        <w:rPr>
          <w:rFonts w:ascii="Verdana" w:hAnsi="Verdana" w:cs="Arial"/>
          <w:sz w:val="18"/>
          <w:szCs w:val="18"/>
        </w:rPr>
        <w:t xml:space="preserve"> </w:t>
      </w:r>
      <w:r w:rsidRPr="00163FB3">
        <w:rPr>
          <w:rFonts w:ascii="Verdana" w:eastAsia="Calibri" w:hAnsi="Verdana" w:cs="Arial"/>
          <w:sz w:val="18"/>
          <w:szCs w:val="18"/>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57C4EBBD" w14:textId="77777777" w:rsidR="00340F1F" w:rsidRPr="00163FB3" w:rsidRDefault="00340F1F" w:rsidP="00340F1F">
      <w:pPr>
        <w:spacing w:after="0" w:line="240" w:lineRule="auto"/>
        <w:ind w:firstLine="708"/>
        <w:jc w:val="both"/>
        <w:rPr>
          <w:rFonts w:ascii="Verdana" w:eastAsia="Calibri" w:hAnsi="Verdana" w:cs="Arial"/>
          <w:sz w:val="18"/>
          <w:szCs w:val="18"/>
          <w:lang w:val="es-ES"/>
        </w:rPr>
      </w:pPr>
      <w:r w:rsidRPr="00163FB3">
        <w:rPr>
          <w:rFonts w:ascii="Verdana" w:eastAsia="Calibri" w:hAnsi="Verdana" w:cs="Arial"/>
          <w:sz w:val="18"/>
          <w:szCs w:val="18"/>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5">
    <w:p w14:paraId="42F67B43" w14:textId="77777777" w:rsidR="003C5F90" w:rsidRPr="00163FB3" w:rsidRDefault="003C5F90" w:rsidP="003C5F90">
      <w:pPr>
        <w:pStyle w:val="Textonotapie"/>
        <w:ind w:firstLine="709"/>
        <w:jc w:val="both"/>
        <w:rPr>
          <w:rFonts w:ascii="Verdana" w:hAnsi="Verdana" w:cs="Arial"/>
          <w:sz w:val="18"/>
          <w:szCs w:val="18"/>
        </w:rPr>
      </w:pPr>
      <w:r w:rsidRPr="00163FB3">
        <w:rPr>
          <w:rStyle w:val="Refdenotaalpie"/>
          <w:rFonts w:ascii="Verdana" w:hAnsi="Verdana" w:cs="Arial"/>
          <w:sz w:val="18"/>
          <w:szCs w:val="18"/>
        </w:rPr>
        <w:footnoteRef/>
      </w:r>
      <w:r w:rsidRPr="00163FB3">
        <w:rPr>
          <w:rFonts w:ascii="Verdana" w:hAnsi="Verdana" w:cs="Arial"/>
          <w:sz w:val="18"/>
          <w:szCs w:val="18"/>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04E3997A" w14:textId="77777777" w:rsidR="003C5F90" w:rsidRPr="00163FB3" w:rsidRDefault="003C5F90" w:rsidP="003C5F90">
      <w:pPr>
        <w:pStyle w:val="Textonotapie"/>
        <w:ind w:firstLine="709"/>
        <w:jc w:val="both"/>
        <w:rPr>
          <w:rFonts w:ascii="Verdana" w:hAnsi="Verdana" w:cs="Arial"/>
          <w:sz w:val="18"/>
          <w:szCs w:val="18"/>
        </w:rPr>
      </w:pPr>
      <w:r w:rsidRPr="00163FB3">
        <w:rPr>
          <w:rFonts w:ascii="Verdana" w:hAnsi="Verdana" w:cs="Arial"/>
          <w:sz w:val="18"/>
          <w:szCs w:val="18"/>
        </w:rPr>
        <w:t>“1. Gobernarse por Autoridades Propias de acuerdo con la ley de origen, derecho mayor o derecho propio.</w:t>
      </w:r>
    </w:p>
    <w:p w14:paraId="2A839285" w14:textId="77777777" w:rsidR="003C5F90" w:rsidRPr="00163FB3" w:rsidRDefault="003C5F90" w:rsidP="003C5F90">
      <w:pPr>
        <w:pStyle w:val="Textonotapie"/>
        <w:ind w:firstLine="709"/>
        <w:jc w:val="both"/>
        <w:rPr>
          <w:rFonts w:ascii="Verdana" w:hAnsi="Verdana" w:cs="Arial"/>
          <w:sz w:val="18"/>
          <w:szCs w:val="18"/>
        </w:rPr>
      </w:pPr>
      <w:r w:rsidRPr="00163FB3">
        <w:rPr>
          <w:rFonts w:ascii="Verdana" w:hAnsi="Verdana" w:cs="Arial"/>
          <w:sz w:val="18"/>
          <w:szCs w:val="18"/>
        </w:rPr>
        <w:t>“2. Ejercer las competencias y derechos establecidos en este decreto, conforme con la Constitución Política, la legislación nacional e internacional que hace parte del bloque de constitucionalidad, la ley de origen, el derecho mayor o derecho propio.</w:t>
      </w:r>
    </w:p>
    <w:p w14:paraId="1498D0CF" w14:textId="77777777" w:rsidR="003C5F90" w:rsidRPr="00163FB3" w:rsidRDefault="003C5F90" w:rsidP="003C5F90">
      <w:pPr>
        <w:pStyle w:val="Textonotapie"/>
        <w:ind w:firstLine="709"/>
        <w:jc w:val="both"/>
        <w:rPr>
          <w:rFonts w:ascii="Verdana" w:hAnsi="Verdana" w:cs="Arial"/>
          <w:sz w:val="18"/>
          <w:szCs w:val="18"/>
        </w:rPr>
      </w:pPr>
      <w:r w:rsidRPr="00163FB3">
        <w:rPr>
          <w:rFonts w:ascii="Verdana" w:hAnsi="Verdana" w:cs="Arial"/>
          <w:sz w:val="18"/>
          <w:szCs w:val="18"/>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458F5C88" w14:textId="77777777" w:rsidR="003C5F90" w:rsidRPr="00163FB3" w:rsidRDefault="003C5F90" w:rsidP="003C5F90">
      <w:pPr>
        <w:pStyle w:val="Textonotapie"/>
        <w:ind w:firstLine="709"/>
        <w:jc w:val="both"/>
        <w:rPr>
          <w:rFonts w:ascii="Verdana" w:hAnsi="Verdana" w:cs="Arial"/>
          <w:sz w:val="18"/>
          <w:szCs w:val="18"/>
        </w:rPr>
      </w:pPr>
      <w:r w:rsidRPr="00163FB3">
        <w:rPr>
          <w:rFonts w:ascii="Verdana" w:hAnsi="Verdana" w:cs="Arial"/>
          <w:sz w:val="18"/>
          <w:szCs w:val="18"/>
        </w:rPr>
        <w:t>“4. Darse sus estructuras de gobierno propio y de coordinación para efectos del desarrollo de sus respectivas competencias.</w:t>
      </w:r>
    </w:p>
    <w:p w14:paraId="27DDA440" w14:textId="77777777" w:rsidR="003C5F90" w:rsidRPr="00163FB3" w:rsidRDefault="003C5F90" w:rsidP="003C5F90">
      <w:pPr>
        <w:pStyle w:val="Textonotapie"/>
        <w:ind w:firstLine="708"/>
        <w:jc w:val="both"/>
        <w:rPr>
          <w:rFonts w:ascii="Verdana" w:hAnsi="Verdana" w:cs="Arial"/>
          <w:sz w:val="18"/>
          <w:szCs w:val="18"/>
        </w:rPr>
      </w:pPr>
      <w:r w:rsidRPr="00163FB3">
        <w:rPr>
          <w:rFonts w:ascii="Verdana" w:hAnsi="Verdana" w:cs="Arial"/>
          <w:sz w:val="18"/>
          <w:szCs w:val="18"/>
        </w:rPr>
        <w:t>“5. Percibir y administrar los recursos provenientes de fuentes de financiación públicas y/o privadas para el desarrollo de sus funciones y competencias de acuerdo con lo establecido en este decreto”.</w:t>
      </w:r>
    </w:p>
  </w:footnote>
  <w:footnote w:id="6">
    <w:p w14:paraId="76AA11AC" w14:textId="77777777" w:rsidR="00C32BC7" w:rsidRPr="00163FB3" w:rsidRDefault="00C32BC7" w:rsidP="00C32BC7">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GARCÍA DE ENTERRÍA, Eduardo y FERNÁNDEZ, Tomás-Ramón. Curso de derecho administrativo (16ª Ed.). Tomo I. España. 2013, p. 501 y 502.</w:t>
      </w:r>
    </w:p>
  </w:footnote>
  <w:footnote w:id="7">
    <w:p w14:paraId="7574DBDB" w14:textId="77777777" w:rsidR="00C32BC7" w:rsidRPr="00163FB3" w:rsidRDefault="00C32BC7" w:rsidP="00C32BC7">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w:t>
      </w:r>
      <w:r w:rsidRPr="00163FB3">
        <w:rPr>
          <w:rFonts w:ascii="Verdana" w:eastAsia="Arial" w:hAnsi="Verdana" w:cs="Arial"/>
          <w:i/>
          <w:iCs/>
          <w:color w:val="000000"/>
          <w:sz w:val="18"/>
          <w:szCs w:val="18"/>
        </w:rPr>
        <w:t>Ibidem</w:t>
      </w:r>
      <w:r w:rsidRPr="00163FB3">
        <w:rPr>
          <w:rFonts w:ascii="Verdana" w:eastAsia="Arial" w:hAnsi="Verdana" w:cs="Arial"/>
          <w:color w:val="000000"/>
          <w:sz w:val="18"/>
          <w:szCs w:val="18"/>
        </w:rPr>
        <w:t>.</w:t>
      </w:r>
    </w:p>
  </w:footnote>
  <w:footnote w:id="8">
    <w:p w14:paraId="1F2361D0" w14:textId="77777777" w:rsidR="00C32BC7" w:rsidRPr="00163FB3" w:rsidRDefault="00C32BC7" w:rsidP="00C32BC7">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Cfr. HECK, Philipp. </w:t>
      </w:r>
      <w:r w:rsidRPr="00163FB3">
        <w:rPr>
          <w:rFonts w:ascii="Verdana" w:eastAsia="Arial" w:hAnsi="Verdana" w:cs="Arial"/>
          <w:i/>
          <w:color w:val="000000"/>
          <w:sz w:val="18"/>
          <w:szCs w:val="18"/>
        </w:rPr>
        <w:t>Gesetzauslegung und Interessenjurisprudenz</w:t>
      </w:r>
      <w:r w:rsidRPr="00163FB3">
        <w:rPr>
          <w:rFonts w:ascii="Verdana" w:eastAsia="Arial" w:hAnsi="Verdana" w:cs="Arial"/>
          <w:color w:val="000000"/>
          <w:sz w:val="18"/>
          <w:szCs w:val="18"/>
        </w:rPr>
        <w:t xml:space="preserve">. Tubinga, Alemania. 1914. p. 46; y RÖTHEL, Anne. </w:t>
      </w:r>
      <w:r w:rsidRPr="00163FB3">
        <w:rPr>
          <w:rFonts w:ascii="Verdana" w:eastAsia="Arial" w:hAnsi="Verdana" w:cs="Arial"/>
          <w:i/>
          <w:color w:val="000000"/>
          <w:sz w:val="18"/>
          <w:szCs w:val="18"/>
        </w:rPr>
        <w:t xml:space="preserve">Normkonkretisierung um Privatrecht. </w:t>
      </w:r>
      <w:r w:rsidRPr="00163FB3">
        <w:rPr>
          <w:rFonts w:ascii="Verdana" w:eastAsia="Arial" w:hAnsi="Verdana" w:cs="Arial"/>
          <w:color w:val="000000"/>
          <w:sz w:val="18"/>
          <w:szCs w:val="18"/>
        </w:rPr>
        <w:t>Tubinga, Alemania. 2004. pp. 26-28. Citados por: AMBOS, Kai Et. al. Justicia de transición y constitución [en línea]. Editorial Temis. Colombia. 2013. p. 42. [fecha de Consulta 1 de julio de 2020]. ISSN: 978-958-35-1007-6</w:t>
      </w:r>
    </w:p>
  </w:footnote>
  <w:footnote w:id="9">
    <w:p w14:paraId="4CD09D0B" w14:textId="77777777" w:rsidR="00E25F2F" w:rsidRPr="00163FB3" w:rsidRDefault="00E25F2F" w:rsidP="00E25F2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Cfr.</w:t>
      </w:r>
      <w:r w:rsidRPr="00163FB3">
        <w:rPr>
          <w:rFonts w:ascii="Verdana" w:hAnsi="Verdana"/>
          <w:sz w:val="18"/>
          <w:szCs w:val="18"/>
        </w:rPr>
        <w:t xml:space="preserve"> </w:t>
      </w:r>
      <w:r w:rsidRPr="00163FB3">
        <w:rPr>
          <w:rFonts w:ascii="Verdana" w:eastAsia="Arial" w:hAnsi="Verdana" w:cs="Arial"/>
          <w:color w:val="000000"/>
          <w:sz w:val="18"/>
          <w:szCs w:val="18"/>
        </w:rPr>
        <w:t>En esta perspectiva, “[…] el proceso de constatación de si un concepto jurídico indeterminado se cumple o no se cumple, no puede ser nunca un proceso volitivo de discrecionalidad o de libertad, sino un proceso de juicio o de estimación, que ha atenerse, necesariamente, por una parte a la circunstancias reales que ha calificarse, por otra, al sentido jurídico preciso que la Ley ha asignado, con la intención de que la solución posible sea sólo una, al concepto indeterminado que su precepto emplea. Justamente por eso, el proceso de aplicación de conceptos jurídicamente indeterminados es un proceso reglado […], porque no admite más que una solución justa […]” (GARCÍA DE ENTERRÍA, Eduardo. La lucha contra las inmunidades del poder en el derecho administrativo. Madrid: Civitas. 1989. pp. 36-38).</w:t>
      </w:r>
    </w:p>
  </w:footnote>
  <w:footnote w:id="10">
    <w:p w14:paraId="7A2586CF" w14:textId="77777777" w:rsidR="00E25F2F" w:rsidRPr="00163FB3" w:rsidRDefault="00E25F2F" w:rsidP="00E25F2F">
      <w:pPr>
        <w:pBdr>
          <w:top w:val="nil"/>
          <w:left w:val="nil"/>
          <w:bottom w:val="nil"/>
          <w:right w:val="nil"/>
          <w:between w:val="nil"/>
        </w:pBdr>
        <w:spacing w:after="0"/>
        <w:ind w:firstLine="708"/>
        <w:jc w:val="both"/>
        <w:rPr>
          <w:rFonts w:ascii="Verdana" w:eastAsia="Arial" w:hAnsi="Verdana" w:cs="Arial"/>
          <w:iCs/>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Cfr. JIMÉNEZ LECHUGA, Francisco Javier La función pública española con especial referencia a los funcionarios de Administración local con habilitación de carácter nacional. Revista de Estudios de la Administración Local y Autonómica [en línea]. 2005, (296-297), 281-310 [fecha de Consulta 1 de julio de 2020]. En la página 301 del texto, el autor señala: </w:t>
      </w:r>
      <w:r w:rsidRPr="00163FB3">
        <w:rPr>
          <w:rFonts w:ascii="Verdana" w:eastAsia="Arial" w:hAnsi="Verdana" w:cs="Arial"/>
          <w:iCs/>
          <w:color w:val="000000"/>
          <w:sz w:val="18"/>
          <w:szCs w:val="18"/>
        </w:rPr>
        <w:t>“Es un proceso reglado que se agota en el proceso intelectivo de comprensión de una realidad en el sentido de que el concepto jurídico indeterminado ha pretendido, proceso en el que no intervine ninguna voluntad de aplicación del aplicador”.</w:t>
      </w:r>
    </w:p>
  </w:footnote>
  <w:footnote w:id="11">
    <w:p w14:paraId="0CB1AEE9" w14:textId="77777777" w:rsidR="00E25F2F" w:rsidRPr="00163FB3" w:rsidRDefault="00E25F2F" w:rsidP="00E25F2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GARCÍA DE ENTERRÍA, Eduardo y FERNÁNDEZ, Tomás-Ramón. Curso de derecho administrativo (16ª Ed.). Tomo I. España. 2013, p. 502.</w:t>
      </w:r>
    </w:p>
  </w:footnote>
  <w:footnote w:id="12">
    <w:p w14:paraId="178FCFED" w14:textId="77777777" w:rsidR="00E25F2F" w:rsidRPr="00163FB3" w:rsidRDefault="00E25F2F" w:rsidP="00E25F2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DORANTES DÍAZ, Francisco Javier. El Derecho a la Ciudad. Sus posibilidades jurídicas de aplicación. Revista Buen Gobierno [en línea]. 2018, (25), 1-14 [fecha de Consulta 1 de Julio de 2020]. ISSN: 1874-4271.</w:t>
      </w:r>
    </w:p>
  </w:footnote>
  <w:footnote w:id="13">
    <w:p w14:paraId="5A8C2FBA" w14:textId="77777777" w:rsidR="00CE112F" w:rsidRPr="00163FB3" w:rsidRDefault="00CE112F" w:rsidP="00CE112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Consejo de Estado. Sección Tercera. Subsección C. Expedientes 11001-03-26-000-2012-00010-00(43089), 11001-03-26-000-2013-00111-00(48117) y 11001-03-26-000-2013-00048-00(46779). Providencias del 8 de agosto de 2012 y del 12 de febrero de 2014 (2). M.P. Enrique Gil Botero.</w:t>
      </w:r>
    </w:p>
  </w:footnote>
  <w:footnote w:id="14">
    <w:p w14:paraId="4F0FE835" w14:textId="77777777" w:rsidR="00CE112F" w:rsidRPr="00163FB3" w:rsidRDefault="00CE112F" w:rsidP="00CE112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Consejo de Estado. Sección Tercera. Subsección A. Expediente 44001-23-31-000-1999-00827-01(24059). Providencia del 14 de marzo de 2013. M.P. Mauricio Fajardo Gómez.</w:t>
      </w:r>
    </w:p>
  </w:footnote>
  <w:footnote w:id="15">
    <w:p w14:paraId="304C19D6" w14:textId="77777777" w:rsidR="00CE112F" w:rsidRPr="00163FB3" w:rsidRDefault="00CE112F" w:rsidP="00CE112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Consejo de Estado. Sección Tercera. Subsecciones A, B y C. Expedientes 20001-23-31-000-2001-01588-01(AP), 88001-23-31-000-2004-00009-01(AP), 25000-23-24-000-2010-00757-01(AP), 66001-23-31-000-2012-10100 01(AP) y 25000-23-24-000-2004-00894-01(AP). Providencias del 5 de octubre de 2005, 30 de agosto de 2007, 25 de abril de 2012, 1 de agosto de 2016 y del 17 de marzo de 2017. MM.PP. Ramiro Saavedra Becerra, Enrique Gil Botero (2), Ramiro Pazos Guerrero y Hernán Andrade Rincón.</w:t>
      </w:r>
    </w:p>
  </w:footnote>
  <w:footnote w:id="16">
    <w:p w14:paraId="728805C0" w14:textId="77777777" w:rsidR="00CE112F" w:rsidRPr="00163FB3" w:rsidRDefault="00CE112F" w:rsidP="00CE112F">
      <w:pPr>
        <w:spacing w:after="0"/>
        <w:ind w:firstLine="708"/>
        <w:jc w:val="both"/>
        <w:rPr>
          <w:rFonts w:ascii="Verdana" w:eastAsia="Arial" w:hAnsi="Verdana" w:cs="Arial"/>
          <w:sz w:val="18"/>
          <w:szCs w:val="18"/>
        </w:rPr>
      </w:pPr>
      <w:r w:rsidRPr="00163FB3">
        <w:rPr>
          <w:rFonts w:ascii="Verdana" w:hAnsi="Verdana" w:cs="Arial"/>
          <w:sz w:val="18"/>
          <w:szCs w:val="18"/>
          <w:vertAlign w:val="superscript"/>
        </w:rPr>
        <w:footnoteRef/>
      </w:r>
      <w:r w:rsidRPr="00163FB3">
        <w:rPr>
          <w:rFonts w:ascii="Verdana" w:eastAsia="Arial" w:hAnsi="Verdana" w:cs="Arial"/>
          <w:sz w:val="18"/>
          <w:szCs w:val="18"/>
        </w:rPr>
        <w:t xml:space="preserve"> Consejo de Estado. Sección Tercera. Subsecciones A y C. Expedientes 25000-23-26-000-1996-12809-01(27986) y </w:t>
      </w:r>
      <w:r w:rsidRPr="00163FB3">
        <w:rPr>
          <w:rFonts w:ascii="Verdana" w:eastAsia="Arial" w:hAnsi="Verdana" w:cs="Arial"/>
          <w:color w:val="000000"/>
          <w:sz w:val="18"/>
          <w:szCs w:val="18"/>
          <w:highlight w:val="white"/>
        </w:rPr>
        <w:t>05001-23-31-000-2006-00111-01(48809)</w:t>
      </w:r>
      <w:r w:rsidRPr="00163FB3">
        <w:rPr>
          <w:rFonts w:ascii="Verdana" w:eastAsia="Arial" w:hAnsi="Verdana" w:cs="Arial"/>
          <w:sz w:val="18"/>
          <w:szCs w:val="18"/>
        </w:rPr>
        <w:t>. Providencia del 12 de noviembre de 2014 y del 13 de junio de 2016. MM.PP. Enrique Gil Botero y Martha Nubia Velásquez Rico.</w:t>
      </w:r>
    </w:p>
  </w:footnote>
  <w:footnote w:id="17">
    <w:p w14:paraId="67517CE0" w14:textId="77777777" w:rsidR="00CE112F" w:rsidRPr="00163FB3" w:rsidRDefault="00CE112F" w:rsidP="00CE112F">
      <w:pPr>
        <w:spacing w:after="0"/>
        <w:ind w:firstLine="708"/>
        <w:jc w:val="both"/>
        <w:rPr>
          <w:rFonts w:ascii="Verdana" w:eastAsia="Arial" w:hAnsi="Verdana" w:cs="Arial"/>
          <w:sz w:val="18"/>
          <w:szCs w:val="18"/>
        </w:rPr>
      </w:pPr>
      <w:r w:rsidRPr="00163FB3">
        <w:rPr>
          <w:rFonts w:ascii="Verdana" w:hAnsi="Verdana" w:cs="Arial"/>
          <w:sz w:val="18"/>
          <w:szCs w:val="18"/>
          <w:vertAlign w:val="superscript"/>
        </w:rPr>
        <w:footnoteRef/>
      </w:r>
      <w:r w:rsidRPr="00163FB3">
        <w:rPr>
          <w:rFonts w:ascii="Verdana" w:eastAsia="Arial" w:hAnsi="Verdana" w:cs="Arial"/>
          <w:sz w:val="18"/>
          <w:szCs w:val="18"/>
        </w:rPr>
        <w:t xml:space="preserve"> Consejo de Estado. Sección Tercera. Subsección C. Expediente </w:t>
      </w:r>
      <w:r w:rsidRPr="00163FB3">
        <w:rPr>
          <w:rFonts w:ascii="Verdana" w:eastAsia="Arial" w:hAnsi="Verdana" w:cs="Arial"/>
          <w:color w:val="000000"/>
          <w:sz w:val="18"/>
          <w:szCs w:val="18"/>
          <w:highlight w:val="white"/>
        </w:rPr>
        <w:t>11001-03-26-000-2008-00101-00(36054)B. P</w:t>
      </w:r>
      <w:r w:rsidRPr="00163FB3">
        <w:rPr>
          <w:rFonts w:ascii="Verdana" w:eastAsia="Arial" w:hAnsi="Verdana" w:cs="Arial"/>
          <w:sz w:val="18"/>
          <w:szCs w:val="18"/>
        </w:rPr>
        <w:t>rovidencia del 14 de abril de 2010. M.P. Enrique Gil Botero.</w:t>
      </w:r>
    </w:p>
  </w:footnote>
  <w:footnote w:id="18">
    <w:p w14:paraId="3C308D65" w14:textId="77777777" w:rsidR="00CE112F" w:rsidRPr="00163FB3" w:rsidRDefault="00CE112F" w:rsidP="00CE112F">
      <w:pPr>
        <w:spacing w:after="0"/>
        <w:ind w:firstLine="708"/>
        <w:jc w:val="both"/>
        <w:rPr>
          <w:rFonts w:ascii="Verdana" w:eastAsia="Arial" w:hAnsi="Verdana" w:cs="Arial"/>
          <w:color w:val="000000"/>
          <w:sz w:val="18"/>
          <w:szCs w:val="18"/>
          <w:highlight w:val="white"/>
        </w:rPr>
      </w:pPr>
      <w:r w:rsidRPr="00163FB3">
        <w:rPr>
          <w:rFonts w:ascii="Verdana" w:hAnsi="Verdana" w:cs="Arial"/>
          <w:sz w:val="18"/>
          <w:szCs w:val="18"/>
          <w:vertAlign w:val="superscript"/>
        </w:rPr>
        <w:footnoteRef/>
      </w:r>
      <w:r w:rsidRPr="00163FB3">
        <w:rPr>
          <w:rFonts w:ascii="Verdana" w:eastAsia="Arial" w:hAnsi="Verdana" w:cs="Arial"/>
          <w:sz w:val="18"/>
          <w:szCs w:val="18"/>
        </w:rPr>
        <w:t xml:space="preserve"> Consejo de Estado. Sección Tercera. Subsección C. Expediente </w:t>
      </w:r>
      <w:r w:rsidRPr="00163FB3">
        <w:rPr>
          <w:rFonts w:ascii="Verdana" w:eastAsia="Arial" w:hAnsi="Verdana" w:cs="Arial"/>
          <w:color w:val="000000"/>
          <w:sz w:val="18"/>
          <w:szCs w:val="18"/>
          <w:highlight w:val="white"/>
        </w:rPr>
        <w:t>11001-03-26-000-2008-00101-00(36054)B. Providencia del 14 de abril de 2010. M.P. Enrique Gil Botero.</w:t>
      </w:r>
    </w:p>
  </w:footnote>
  <w:footnote w:id="19">
    <w:p w14:paraId="2DAD2460" w14:textId="77777777" w:rsidR="00CE112F" w:rsidRPr="00163FB3" w:rsidRDefault="00CE112F" w:rsidP="00CE112F">
      <w:pPr>
        <w:spacing w:after="0"/>
        <w:ind w:firstLine="708"/>
        <w:jc w:val="both"/>
        <w:rPr>
          <w:rFonts w:ascii="Verdana" w:eastAsia="Arial" w:hAnsi="Verdana" w:cs="Arial"/>
          <w:sz w:val="18"/>
          <w:szCs w:val="18"/>
        </w:rPr>
      </w:pPr>
      <w:r w:rsidRPr="00163FB3">
        <w:rPr>
          <w:rFonts w:ascii="Verdana" w:hAnsi="Verdana" w:cs="Arial"/>
          <w:sz w:val="18"/>
          <w:szCs w:val="18"/>
          <w:vertAlign w:val="superscript"/>
        </w:rPr>
        <w:footnoteRef/>
      </w:r>
      <w:r w:rsidRPr="00163FB3">
        <w:rPr>
          <w:rFonts w:ascii="Verdana" w:eastAsia="Arial" w:hAnsi="Verdana" w:cs="Arial"/>
          <w:sz w:val="18"/>
          <w:szCs w:val="18"/>
        </w:rPr>
        <w:t xml:space="preserve"> Consejo de Estado. Sección Tercera. Expediente </w:t>
      </w:r>
      <w:r w:rsidRPr="00163FB3">
        <w:rPr>
          <w:rFonts w:ascii="Verdana" w:eastAsia="Arial" w:hAnsi="Verdana" w:cs="Arial"/>
          <w:color w:val="000000"/>
          <w:sz w:val="18"/>
          <w:szCs w:val="18"/>
          <w:highlight w:val="white"/>
        </w:rPr>
        <w:t>11001-03-26-000-1995-01575-01(11575). P</w:t>
      </w:r>
      <w:r w:rsidRPr="00163FB3">
        <w:rPr>
          <w:rFonts w:ascii="Verdana" w:eastAsia="Arial" w:hAnsi="Verdana" w:cs="Arial"/>
          <w:sz w:val="18"/>
          <w:szCs w:val="18"/>
        </w:rPr>
        <w:t>rovidencia del 6 de julio de 2005. M.P. Alier Eduardo Hernández Enríquez.</w:t>
      </w:r>
    </w:p>
  </w:footnote>
  <w:footnote w:id="20">
    <w:p w14:paraId="665931B1" w14:textId="77777777" w:rsidR="00CE112F" w:rsidRPr="00163FB3" w:rsidRDefault="00CE112F" w:rsidP="00CE112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Consejo de Estado, Sección Tercera. Expediente </w:t>
      </w:r>
      <w:r w:rsidRPr="00163FB3">
        <w:rPr>
          <w:rFonts w:ascii="Verdana" w:eastAsia="Arial" w:hAnsi="Verdana" w:cs="Arial"/>
          <w:color w:val="000000"/>
          <w:sz w:val="18"/>
          <w:szCs w:val="18"/>
          <w:highlight w:val="white"/>
        </w:rPr>
        <w:t>25000-23-26-000-1994-0042-01(15235)DM. P</w:t>
      </w:r>
      <w:r w:rsidRPr="00163FB3">
        <w:rPr>
          <w:rFonts w:ascii="Verdana" w:eastAsia="Arial" w:hAnsi="Verdana" w:cs="Arial"/>
          <w:color w:val="000000"/>
          <w:sz w:val="18"/>
          <w:szCs w:val="18"/>
        </w:rPr>
        <w:t>rovidencia del 24 de junio de 2004. M.P. Ricardo Hoyos Duque.</w:t>
      </w:r>
    </w:p>
  </w:footnote>
  <w:footnote w:id="21">
    <w:p w14:paraId="06D443B2" w14:textId="77777777" w:rsidR="00CE112F" w:rsidRPr="00163FB3" w:rsidRDefault="00CE112F" w:rsidP="00CE112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Consejo de Estado. Sección Tercera. Radicaciones 12038 y 14092</w:t>
      </w:r>
      <w:r w:rsidRPr="00163FB3">
        <w:rPr>
          <w:rFonts w:ascii="Verdana" w:eastAsia="Arial" w:hAnsi="Verdana" w:cs="Arial"/>
          <w:color w:val="000000"/>
          <w:sz w:val="18"/>
          <w:szCs w:val="18"/>
          <w:highlight w:val="white"/>
        </w:rPr>
        <w:t>. Providencia del 1 de junio de 2000. M.P. María Elena Giraldo Gómez.</w:t>
      </w:r>
    </w:p>
  </w:footnote>
  <w:footnote w:id="22">
    <w:p w14:paraId="1835C8D3" w14:textId="77777777" w:rsidR="00CE112F" w:rsidRPr="00163FB3" w:rsidRDefault="00CE112F" w:rsidP="00CE112F">
      <w:pPr>
        <w:spacing w:after="0"/>
        <w:ind w:firstLine="708"/>
        <w:jc w:val="both"/>
        <w:rPr>
          <w:rFonts w:ascii="Verdana" w:eastAsia="Arial" w:hAnsi="Verdana" w:cs="Arial"/>
          <w:color w:val="000000"/>
          <w:sz w:val="18"/>
          <w:szCs w:val="18"/>
          <w:highlight w:val="white"/>
        </w:rPr>
      </w:pPr>
      <w:r w:rsidRPr="00163FB3">
        <w:rPr>
          <w:rFonts w:ascii="Verdana" w:hAnsi="Verdana" w:cs="Arial"/>
          <w:sz w:val="18"/>
          <w:szCs w:val="18"/>
          <w:vertAlign w:val="superscript"/>
        </w:rPr>
        <w:footnoteRef/>
      </w:r>
      <w:r w:rsidRPr="00163FB3">
        <w:rPr>
          <w:rFonts w:ascii="Verdana" w:eastAsia="Arial" w:hAnsi="Verdana" w:cs="Arial"/>
          <w:sz w:val="18"/>
          <w:szCs w:val="18"/>
        </w:rPr>
        <w:t xml:space="preserve"> Consejo de Estado. Sección Tercera. Subsección C. Expediente </w:t>
      </w:r>
      <w:r w:rsidRPr="00163FB3">
        <w:rPr>
          <w:rFonts w:ascii="Verdana" w:eastAsia="Arial" w:hAnsi="Verdana" w:cs="Arial"/>
          <w:color w:val="000000"/>
          <w:sz w:val="18"/>
          <w:szCs w:val="18"/>
          <w:highlight w:val="white"/>
        </w:rPr>
        <w:t>25000-23-26-000-1997-03809-01(17661). Providencia del 26 de julio de 2011. M.P. Enrique Gil Botero.</w:t>
      </w:r>
    </w:p>
  </w:footnote>
  <w:footnote w:id="23">
    <w:p w14:paraId="3148F7BD" w14:textId="77777777" w:rsidR="00103E42" w:rsidRPr="00163FB3" w:rsidRDefault="00103E42" w:rsidP="00103E42">
      <w:pPr>
        <w:spacing w:after="0"/>
        <w:ind w:firstLine="708"/>
        <w:jc w:val="both"/>
        <w:rPr>
          <w:rFonts w:ascii="Verdana" w:eastAsia="Arial" w:hAnsi="Verdana" w:cs="Arial"/>
          <w:color w:val="000000"/>
          <w:sz w:val="18"/>
          <w:szCs w:val="18"/>
          <w:highlight w:val="white"/>
        </w:rPr>
      </w:pPr>
      <w:r w:rsidRPr="00163FB3">
        <w:rPr>
          <w:rFonts w:ascii="Verdana" w:hAnsi="Verdana" w:cs="Arial"/>
          <w:sz w:val="18"/>
          <w:szCs w:val="18"/>
          <w:vertAlign w:val="superscript"/>
        </w:rPr>
        <w:footnoteRef/>
      </w:r>
      <w:r w:rsidRPr="00163FB3">
        <w:rPr>
          <w:rFonts w:ascii="Verdana" w:eastAsia="Arial" w:hAnsi="Verdana" w:cs="Arial"/>
          <w:sz w:val="18"/>
          <w:szCs w:val="18"/>
        </w:rPr>
        <w:t xml:space="preserve"> Consejo de Estado, Sección Tercera. Expediente </w:t>
      </w:r>
      <w:r w:rsidRPr="00163FB3">
        <w:rPr>
          <w:rFonts w:ascii="Verdana" w:eastAsia="Arial" w:hAnsi="Verdana" w:cs="Arial"/>
          <w:color w:val="000000"/>
          <w:sz w:val="18"/>
          <w:szCs w:val="18"/>
          <w:highlight w:val="white"/>
        </w:rPr>
        <w:t>25000-23-26-000-2002-01216-01(27921)A. Providencia del 16 de marzo de 2005. M.P. Ruth Stella Correa Palacio.</w:t>
      </w:r>
    </w:p>
  </w:footnote>
  <w:footnote w:id="24">
    <w:p w14:paraId="5754DCB5" w14:textId="77777777" w:rsidR="00103E42" w:rsidRPr="00163FB3" w:rsidRDefault="00103E42" w:rsidP="00103E42">
      <w:pPr>
        <w:pStyle w:val="Textonotapie"/>
        <w:ind w:firstLine="708"/>
        <w:jc w:val="both"/>
        <w:rPr>
          <w:rFonts w:ascii="Verdana" w:hAnsi="Verdana" w:cs="Arial"/>
          <w:sz w:val="18"/>
          <w:szCs w:val="18"/>
        </w:rPr>
      </w:pPr>
      <w:r w:rsidRPr="00163FB3">
        <w:rPr>
          <w:rStyle w:val="Refdenotaalpie"/>
          <w:rFonts w:ascii="Verdana" w:hAnsi="Verdana" w:cs="Arial"/>
          <w:sz w:val="18"/>
          <w:szCs w:val="18"/>
        </w:rPr>
        <w:footnoteRef/>
      </w:r>
      <w:r w:rsidRPr="00163FB3">
        <w:rPr>
          <w:rFonts w:ascii="Verdana" w:hAnsi="Verdana" w:cs="Arial"/>
          <w:sz w:val="18"/>
          <w:szCs w:val="18"/>
        </w:rPr>
        <w:t xml:space="preserve"> </w:t>
      </w:r>
      <w:r w:rsidRPr="00163FB3">
        <w:rPr>
          <w:rFonts w:ascii="Verdana" w:hAnsi="Verdana" w:cs="Arial"/>
          <w:i/>
          <w:iCs/>
          <w:sz w:val="18"/>
          <w:szCs w:val="18"/>
        </w:rPr>
        <w:t>Ibidem</w:t>
      </w:r>
    </w:p>
  </w:footnote>
  <w:footnote w:id="25">
    <w:p w14:paraId="5B852B6E" w14:textId="77777777" w:rsidR="004C20C9" w:rsidRPr="00163FB3" w:rsidRDefault="004C20C9" w:rsidP="004C20C9">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GARCÍA DE ENTERRÍA, Eduardo y FERNÁNDEZ, Tomás-Ramón. Curso de derecho administrativo (16ª Ed.). Tomo I. España. 2013, p. 503-504.</w:t>
      </w:r>
    </w:p>
  </w:footnote>
  <w:footnote w:id="26">
    <w:p w14:paraId="1EDFFD7E" w14:textId="77777777" w:rsidR="004C20C9" w:rsidRPr="00163FB3" w:rsidRDefault="004C20C9" w:rsidP="004C20C9">
      <w:pPr>
        <w:pBdr>
          <w:top w:val="nil"/>
          <w:left w:val="nil"/>
          <w:bottom w:val="nil"/>
          <w:right w:val="nil"/>
          <w:between w:val="nil"/>
        </w:pBdr>
        <w:spacing w:after="0"/>
        <w:ind w:firstLine="708"/>
        <w:jc w:val="both"/>
        <w:rPr>
          <w:rFonts w:ascii="Verdana" w:eastAsia="Arial" w:hAnsi="Verdana" w:cs="Arial"/>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w:t>
      </w:r>
      <w:r w:rsidRPr="00163FB3">
        <w:rPr>
          <w:rFonts w:ascii="Verdana" w:eastAsia="Arial" w:hAnsi="Verdana" w:cs="Arial"/>
          <w:sz w:val="18"/>
          <w:szCs w:val="18"/>
        </w:rPr>
        <w:t xml:space="preserve">Consejo de Estado. Sección Tercera. Expediente 25000-23-26-000-1994-09730-01 (14462). </w:t>
      </w:r>
      <w:r w:rsidRPr="00163FB3">
        <w:rPr>
          <w:rFonts w:ascii="Verdana" w:eastAsia="Arial" w:hAnsi="Verdana" w:cs="Arial"/>
          <w:color w:val="000000"/>
          <w:sz w:val="18"/>
          <w:szCs w:val="18"/>
          <w:highlight w:val="white"/>
        </w:rPr>
        <w:t>Providencia del 29 de mayo de 2003. M.P. Ricardo Hoyos Duque.</w:t>
      </w:r>
    </w:p>
  </w:footnote>
  <w:footnote w:id="27">
    <w:p w14:paraId="5C204848" w14:textId="77777777" w:rsidR="004B66CF" w:rsidRPr="00163FB3" w:rsidRDefault="004B66CF" w:rsidP="004B66C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Corte Constitucional. Sentencia C-538 de 2016. Idea reiterada en también las </w:t>
      </w:r>
      <w:r w:rsidRPr="00163FB3">
        <w:rPr>
          <w:rFonts w:ascii="Verdana" w:eastAsia="Arial" w:hAnsi="Verdana" w:cs="Arial"/>
          <w:sz w:val="18"/>
          <w:szCs w:val="18"/>
        </w:rPr>
        <w:t>Sentencias C-860 de 2006, C-052 de 2012, C-258 de 2015 y C-382 de 2019.</w:t>
      </w:r>
    </w:p>
  </w:footnote>
  <w:footnote w:id="28">
    <w:p w14:paraId="5D81D390" w14:textId="77777777" w:rsidR="004B66CF" w:rsidRPr="00163FB3" w:rsidRDefault="004B66CF" w:rsidP="004B66CF">
      <w:pPr>
        <w:pBdr>
          <w:top w:val="nil"/>
          <w:left w:val="nil"/>
          <w:bottom w:val="nil"/>
          <w:right w:val="nil"/>
          <w:between w:val="nil"/>
        </w:pBdr>
        <w:spacing w:after="0"/>
        <w:ind w:firstLine="708"/>
        <w:jc w:val="both"/>
        <w:rPr>
          <w:rFonts w:ascii="Verdana" w:eastAsia="Arial" w:hAnsi="Verdana" w:cs="Arial"/>
          <w:color w:val="000000"/>
          <w:sz w:val="18"/>
          <w:szCs w:val="18"/>
        </w:rPr>
      </w:pPr>
      <w:r w:rsidRPr="00163FB3">
        <w:rPr>
          <w:rFonts w:ascii="Verdana" w:hAnsi="Verdana" w:cs="Arial"/>
          <w:sz w:val="18"/>
          <w:szCs w:val="18"/>
          <w:vertAlign w:val="superscript"/>
        </w:rPr>
        <w:footnoteRef/>
      </w:r>
      <w:r w:rsidRPr="00163FB3">
        <w:rPr>
          <w:rFonts w:ascii="Verdana" w:eastAsia="Arial" w:hAnsi="Verdana" w:cs="Arial"/>
          <w:color w:val="000000"/>
          <w:sz w:val="18"/>
          <w:szCs w:val="18"/>
        </w:rPr>
        <w:t xml:space="preserve"> Cfr. Corte Constitucional. Sentencia C-371 de 2002.</w:t>
      </w:r>
    </w:p>
  </w:footnote>
  <w:footnote w:id="29">
    <w:p w14:paraId="589E1A3F" w14:textId="77777777" w:rsidR="004B66CF" w:rsidRPr="00163FB3" w:rsidRDefault="004B66CF" w:rsidP="004B66CF">
      <w:pPr>
        <w:pStyle w:val="Textonotapie"/>
        <w:ind w:firstLine="708"/>
        <w:jc w:val="both"/>
        <w:rPr>
          <w:rFonts w:ascii="Verdana" w:hAnsi="Verdana"/>
          <w:sz w:val="18"/>
          <w:szCs w:val="18"/>
        </w:rPr>
      </w:pPr>
      <w:r w:rsidRPr="00163FB3">
        <w:rPr>
          <w:rStyle w:val="Refdenotaalpie"/>
          <w:rFonts w:ascii="Verdana" w:hAnsi="Verdana"/>
          <w:sz w:val="18"/>
          <w:szCs w:val="18"/>
        </w:rPr>
        <w:footnoteRef/>
      </w:r>
      <w:r w:rsidRPr="00163FB3">
        <w:rPr>
          <w:rFonts w:ascii="Verdana" w:hAnsi="Verdana"/>
          <w:sz w:val="18"/>
          <w:szCs w:val="18"/>
        </w:rPr>
        <w:t xml:space="preserve"> Si bien en principio el ejercicio de la potestad reglamentaria es discrecional, esta puede ser excepcionalmente obligatoria para efectividad de la ley. Por ejemplo, para la doctrina esto último sucede cuando “[…] la necesidad del reglamento es inminente, y así nace desde la norma que confiere la potestad reglamentaria […]”. En este tipo de situaciones, “[…] las autoridades no tienen -ni tuvieron- la posibilidad de escoger entre expedir el acto o dejar de hacerlo. Es decir, se trata de una potestad reglada, desde el punto de vista de la necesidad de la actuación” (MARÍN CORTÉS, Fabián Gonzalo. El reglamento, como fuente del derecho administrativo. En: las fuentes del derecho administrativo. Texto inédito. p. 203). Por lo demás, la doctrina también considera que “[…] el ejercicio de la potestad reglamentaria para la ejecución de las leyes […] puede ser necesario y debido siempre que la actividad y aplicabilidad de la ley dependan del complemento reglamentario y cuando, con mayor razón, es la propia ley quien expresamente encarga dicho desarrollo normativo” (GÓMEZ PUENTE, Marcos. El silencio y la inactividad administrativa. En: Silencio administrativo: estudio general y procedimiento sectoriales. Valencia: Tirant lo Blanch, 2012. p. 52).</w:t>
      </w:r>
    </w:p>
  </w:footnote>
  <w:footnote w:id="30">
    <w:p w14:paraId="2598CBC5" w14:textId="77777777" w:rsidR="005D7568" w:rsidRPr="00163FB3" w:rsidRDefault="005D7568" w:rsidP="005D7568">
      <w:pPr>
        <w:pStyle w:val="Textonotapie"/>
        <w:ind w:firstLine="708"/>
        <w:jc w:val="both"/>
        <w:rPr>
          <w:rFonts w:ascii="Verdana" w:hAnsi="Verdana" w:cs="Arial"/>
          <w:sz w:val="18"/>
          <w:szCs w:val="18"/>
        </w:rPr>
      </w:pPr>
      <w:r w:rsidRPr="00163FB3">
        <w:rPr>
          <w:rStyle w:val="Refdenotaalpie"/>
          <w:rFonts w:ascii="Verdana" w:hAnsi="Verdana" w:cs="Arial"/>
          <w:sz w:val="18"/>
          <w:szCs w:val="18"/>
        </w:rPr>
        <w:footnoteRef/>
      </w:r>
      <w:r w:rsidRPr="00163FB3">
        <w:rPr>
          <w:rFonts w:ascii="Verdana" w:hAnsi="Verdana" w:cs="Arial"/>
          <w:sz w:val="18"/>
          <w:szCs w:val="18"/>
        </w:rPr>
        <w:t xml:space="preserve"> CORTE CONSTITUCIONAL. Sentencia C-075 de 1997. MP. Hernando Herrera Vergara.</w:t>
      </w:r>
    </w:p>
  </w:footnote>
  <w:footnote w:id="31">
    <w:p w14:paraId="3C99E581" w14:textId="77777777" w:rsidR="00072354" w:rsidRPr="00163FB3" w:rsidRDefault="00072354" w:rsidP="00072354">
      <w:pPr>
        <w:pStyle w:val="Textonotapie"/>
        <w:ind w:firstLine="708"/>
        <w:jc w:val="both"/>
        <w:rPr>
          <w:rFonts w:ascii="Verdana" w:hAnsi="Verdana"/>
          <w:sz w:val="18"/>
          <w:szCs w:val="18"/>
        </w:rPr>
      </w:pPr>
      <w:r w:rsidRPr="00163FB3">
        <w:rPr>
          <w:rStyle w:val="Refdenotaalpie"/>
          <w:rFonts w:ascii="Verdana" w:hAnsi="Verdana"/>
          <w:sz w:val="18"/>
          <w:szCs w:val="18"/>
        </w:rPr>
        <w:footnoteRef/>
      </w:r>
      <w:r w:rsidRPr="00163FB3">
        <w:rPr>
          <w:rFonts w:ascii="Verdana" w:hAnsi="Verdana"/>
          <w:sz w:val="18"/>
          <w:szCs w:val="18"/>
        </w:rPr>
        <w:t xml:space="preserve"> Para la doctrina, “El fomento es la actividad que consiste en estimular o ayudar una actividad privada de interés público. A través de la actividad de fomento se trata de garantizar que una serie de actividades, que se consideran relevantes para el interés público, puedan desarrollarse por la iniciativa privada sin necesidad de convertirlas en servicios públicos, o de que se amplíe su esfera de acceso a un mayor número de particulares, que no lo tendrían si se dejara simplemente actuar a las leyes del mercado […]” (COSCULLUELA MONTANER, Luis. Manual de derecho administrativo. Trigésima tercera edición. Madrid: Civitas, 2022. Libro en versión EPUB). Sin embargo, “[…] no pueden calificarse de medidas de fomento ciertas ayudas o subsidios, que tienen por finalidad la mera protección de personas en situación de dificultad o dependencia. Más bien dichas ayudas son prestaciones propias de un servicio público asistencial, pues éste consiste muchas veces en gestionar una aportación dineraria de subsistencia o de integración social, más o menos general o específica […]” (SÁNCHEZ MORÓN, Miguel. Derecho administrativo: parte general. Décima novena edición. Madrid: Tecnos, 2023. Libro en formato EPUB).</w:t>
      </w:r>
    </w:p>
  </w:footnote>
  <w:footnote w:id="32">
    <w:p w14:paraId="639BC898" w14:textId="77777777" w:rsidR="00C05CB2" w:rsidRPr="00163FB3" w:rsidRDefault="00C05CB2" w:rsidP="00C05CB2">
      <w:pPr>
        <w:pStyle w:val="Textonotapie"/>
        <w:ind w:firstLine="708"/>
        <w:jc w:val="both"/>
        <w:rPr>
          <w:rFonts w:ascii="Verdana" w:hAnsi="Verdana"/>
          <w:sz w:val="18"/>
          <w:szCs w:val="18"/>
        </w:rPr>
      </w:pPr>
      <w:r w:rsidRPr="00163FB3">
        <w:rPr>
          <w:rStyle w:val="Refdenotaalpie"/>
          <w:rFonts w:ascii="Verdana" w:hAnsi="Verdana"/>
          <w:sz w:val="18"/>
          <w:szCs w:val="18"/>
        </w:rPr>
        <w:footnoteRef/>
      </w:r>
      <w:r w:rsidRPr="00163FB3">
        <w:rPr>
          <w:rFonts w:ascii="Verdana" w:hAnsi="Verdana"/>
          <w:sz w:val="18"/>
          <w:szCs w:val="18"/>
        </w:rPr>
        <w:t xml:space="preserve"> DEPARTAMENTO NACIONAL DE PLANEACIÓN. lineamientos para la implementación del enfoque de derechos y la atención diferencial a grupos étnicos en la gestión de las entidades territoriales. Consultado el 6 de marzo de 2024 en la página </w:t>
      </w:r>
      <w:hyperlink r:id="rId1" w:history="1">
        <w:r w:rsidRPr="00163FB3">
          <w:rPr>
            <w:rStyle w:val="Hipervnculo"/>
            <w:rFonts w:ascii="Verdana" w:hAnsi="Verdana"/>
            <w:sz w:val="18"/>
            <w:szCs w:val="18"/>
          </w:rPr>
          <w:t>https://colaboracion.dnp.gov.co/CDT/Desarrollo%20Territorial/Lineamientos%20Enfoque%20Diferencial%20%C3%89TNICO%20VPublicable%20FINAL%20260216.pdf</w:t>
        </w:r>
      </w:hyperlink>
      <w:r w:rsidRPr="00163FB3">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4105403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0C0"/>
    <w:rsid w:val="00036087"/>
    <w:rsid w:val="0003653B"/>
    <w:rsid w:val="00046945"/>
    <w:rsid w:val="00050924"/>
    <w:rsid w:val="00061B2A"/>
    <w:rsid w:val="00062416"/>
    <w:rsid w:val="00072354"/>
    <w:rsid w:val="00082362"/>
    <w:rsid w:val="00085E4A"/>
    <w:rsid w:val="00090C30"/>
    <w:rsid w:val="00092FF3"/>
    <w:rsid w:val="0009463B"/>
    <w:rsid w:val="000A20AD"/>
    <w:rsid w:val="000A24FF"/>
    <w:rsid w:val="000A3FE0"/>
    <w:rsid w:val="000A683E"/>
    <w:rsid w:val="000B19B9"/>
    <w:rsid w:val="000B6D0C"/>
    <w:rsid w:val="000C07C8"/>
    <w:rsid w:val="000D0334"/>
    <w:rsid w:val="000D5705"/>
    <w:rsid w:val="000D5DA7"/>
    <w:rsid w:val="000E171B"/>
    <w:rsid w:val="000E34F4"/>
    <w:rsid w:val="000F6486"/>
    <w:rsid w:val="00103D6F"/>
    <w:rsid w:val="00103E42"/>
    <w:rsid w:val="00106597"/>
    <w:rsid w:val="00116940"/>
    <w:rsid w:val="00125105"/>
    <w:rsid w:val="00127233"/>
    <w:rsid w:val="00130BF9"/>
    <w:rsid w:val="0013302D"/>
    <w:rsid w:val="0014089A"/>
    <w:rsid w:val="0015699B"/>
    <w:rsid w:val="001611A9"/>
    <w:rsid w:val="00163FB3"/>
    <w:rsid w:val="001712E6"/>
    <w:rsid w:val="00190889"/>
    <w:rsid w:val="001941E5"/>
    <w:rsid w:val="001A33BF"/>
    <w:rsid w:val="001B0DBE"/>
    <w:rsid w:val="001B50B3"/>
    <w:rsid w:val="001B58EE"/>
    <w:rsid w:val="001E1221"/>
    <w:rsid w:val="001E4177"/>
    <w:rsid w:val="001E6FBB"/>
    <w:rsid w:val="001F0B24"/>
    <w:rsid w:val="001F2C4E"/>
    <w:rsid w:val="001F7DC6"/>
    <w:rsid w:val="002131DB"/>
    <w:rsid w:val="00220E40"/>
    <w:rsid w:val="00221471"/>
    <w:rsid w:val="0022400B"/>
    <w:rsid w:val="00230724"/>
    <w:rsid w:val="002421BB"/>
    <w:rsid w:val="00244079"/>
    <w:rsid w:val="002451AA"/>
    <w:rsid w:val="00245A01"/>
    <w:rsid w:val="002541A9"/>
    <w:rsid w:val="0025796E"/>
    <w:rsid w:val="00262DDC"/>
    <w:rsid w:val="00270542"/>
    <w:rsid w:val="002707A2"/>
    <w:rsid w:val="002951A0"/>
    <w:rsid w:val="002962BC"/>
    <w:rsid w:val="002A093D"/>
    <w:rsid w:val="002A0DD0"/>
    <w:rsid w:val="002A49AC"/>
    <w:rsid w:val="002A64FD"/>
    <w:rsid w:val="002B101F"/>
    <w:rsid w:val="002B7459"/>
    <w:rsid w:val="002C7A84"/>
    <w:rsid w:val="002D5019"/>
    <w:rsid w:val="002E2BF8"/>
    <w:rsid w:val="002E4FD9"/>
    <w:rsid w:val="002F3E4A"/>
    <w:rsid w:val="0030657A"/>
    <w:rsid w:val="00307118"/>
    <w:rsid w:val="00316185"/>
    <w:rsid w:val="00321CE8"/>
    <w:rsid w:val="00322A85"/>
    <w:rsid w:val="00324168"/>
    <w:rsid w:val="00330834"/>
    <w:rsid w:val="00332C9B"/>
    <w:rsid w:val="00340B84"/>
    <w:rsid w:val="00340F1F"/>
    <w:rsid w:val="003442F0"/>
    <w:rsid w:val="003448F4"/>
    <w:rsid w:val="00351AE3"/>
    <w:rsid w:val="00354E08"/>
    <w:rsid w:val="003617F7"/>
    <w:rsid w:val="00367E5C"/>
    <w:rsid w:val="00374F5E"/>
    <w:rsid w:val="003757A6"/>
    <w:rsid w:val="00377E3E"/>
    <w:rsid w:val="00392234"/>
    <w:rsid w:val="00392B01"/>
    <w:rsid w:val="003945BE"/>
    <w:rsid w:val="00395462"/>
    <w:rsid w:val="003A779E"/>
    <w:rsid w:val="003B50E9"/>
    <w:rsid w:val="003C49AA"/>
    <w:rsid w:val="003C5F90"/>
    <w:rsid w:val="003C7AAE"/>
    <w:rsid w:val="003D0F4D"/>
    <w:rsid w:val="003D5B0D"/>
    <w:rsid w:val="003E0499"/>
    <w:rsid w:val="003E2294"/>
    <w:rsid w:val="003E4F80"/>
    <w:rsid w:val="003E6439"/>
    <w:rsid w:val="003E7107"/>
    <w:rsid w:val="003F1A27"/>
    <w:rsid w:val="003F3941"/>
    <w:rsid w:val="003F44C7"/>
    <w:rsid w:val="00406575"/>
    <w:rsid w:val="0041389B"/>
    <w:rsid w:val="004143A3"/>
    <w:rsid w:val="00414C74"/>
    <w:rsid w:val="00420C77"/>
    <w:rsid w:val="004230A2"/>
    <w:rsid w:val="0042722E"/>
    <w:rsid w:val="0044528D"/>
    <w:rsid w:val="004474FE"/>
    <w:rsid w:val="00461CD9"/>
    <w:rsid w:val="00462ADC"/>
    <w:rsid w:val="00466E39"/>
    <w:rsid w:val="00470425"/>
    <w:rsid w:val="00474502"/>
    <w:rsid w:val="00485406"/>
    <w:rsid w:val="00487F23"/>
    <w:rsid w:val="004938A8"/>
    <w:rsid w:val="00494B97"/>
    <w:rsid w:val="004A1847"/>
    <w:rsid w:val="004A305D"/>
    <w:rsid w:val="004A59BB"/>
    <w:rsid w:val="004A77AA"/>
    <w:rsid w:val="004B139E"/>
    <w:rsid w:val="004B66CF"/>
    <w:rsid w:val="004C20C9"/>
    <w:rsid w:val="004C6B72"/>
    <w:rsid w:val="004D40A3"/>
    <w:rsid w:val="004F21C4"/>
    <w:rsid w:val="004F685F"/>
    <w:rsid w:val="004F70A4"/>
    <w:rsid w:val="00506D97"/>
    <w:rsid w:val="00510C7E"/>
    <w:rsid w:val="00511E99"/>
    <w:rsid w:val="00511F30"/>
    <w:rsid w:val="005504AA"/>
    <w:rsid w:val="005566E8"/>
    <w:rsid w:val="00556D41"/>
    <w:rsid w:val="005607CE"/>
    <w:rsid w:val="00562EDC"/>
    <w:rsid w:val="00574867"/>
    <w:rsid w:val="005863A5"/>
    <w:rsid w:val="00587216"/>
    <w:rsid w:val="00591460"/>
    <w:rsid w:val="005A097A"/>
    <w:rsid w:val="005A0988"/>
    <w:rsid w:val="005A5DDD"/>
    <w:rsid w:val="005A65E0"/>
    <w:rsid w:val="005C3777"/>
    <w:rsid w:val="005C5CDC"/>
    <w:rsid w:val="005D476C"/>
    <w:rsid w:val="005D7568"/>
    <w:rsid w:val="00610CE5"/>
    <w:rsid w:val="006200BF"/>
    <w:rsid w:val="006219F8"/>
    <w:rsid w:val="0062292A"/>
    <w:rsid w:val="00623BFC"/>
    <w:rsid w:val="00627453"/>
    <w:rsid w:val="00627CD9"/>
    <w:rsid w:val="006302F7"/>
    <w:rsid w:val="00631AA6"/>
    <w:rsid w:val="00637CEA"/>
    <w:rsid w:val="006419D8"/>
    <w:rsid w:val="00646B9F"/>
    <w:rsid w:val="00665D70"/>
    <w:rsid w:val="006900D9"/>
    <w:rsid w:val="0069507E"/>
    <w:rsid w:val="006A32C2"/>
    <w:rsid w:val="006C4BF1"/>
    <w:rsid w:val="006C66C4"/>
    <w:rsid w:val="006C67BD"/>
    <w:rsid w:val="006E2BFB"/>
    <w:rsid w:val="006E2D8F"/>
    <w:rsid w:val="006F4205"/>
    <w:rsid w:val="00706C16"/>
    <w:rsid w:val="007258F3"/>
    <w:rsid w:val="007340C3"/>
    <w:rsid w:val="0075235A"/>
    <w:rsid w:val="00754747"/>
    <w:rsid w:val="007559D3"/>
    <w:rsid w:val="00756841"/>
    <w:rsid w:val="007643EE"/>
    <w:rsid w:val="007649AB"/>
    <w:rsid w:val="00771D0C"/>
    <w:rsid w:val="00777B4A"/>
    <w:rsid w:val="00781394"/>
    <w:rsid w:val="007833AC"/>
    <w:rsid w:val="007B1028"/>
    <w:rsid w:val="007B268C"/>
    <w:rsid w:val="007B7171"/>
    <w:rsid w:val="007C0C0F"/>
    <w:rsid w:val="007C27EE"/>
    <w:rsid w:val="007C3DC2"/>
    <w:rsid w:val="007E099C"/>
    <w:rsid w:val="007E12DF"/>
    <w:rsid w:val="007E3F18"/>
    <w:rsid w:val="007E5497"/>
    <w:rsid w:val="007E6741"/>
    <w:rsid w:val="0080127D"/>
    <w:rsid w:val="00802DE3"/>
    <w:rsid w:val="00803844"/>
    <w:rsid w:val="00806F5F"/>
    <w:rsid w:val="00820278"/>
    <w:rsid w:val="008258C9"/>
    <w:rsid w:val="00834ECD"/>
    <w:rsid w:val="00844AE9"/>
    <w:rsid w:val="008461A5"/>
    <w:rsid w:val="00853D47"/>
    <w:rsid w:val="00867F95"/>
    <w:rsid w:val="0087041B"/>
    <w:rsid w:val="00883ED9"/>
    <w:rsid w:val="008843B6"/>
    <w:rsid w:val="0089148E"/>
    <w:rsid w:val="00891928"/>
    <w:rsid w:val="00893F42"/>
    <w:rsid w:val="008A446D"/>
    <w:rsid w:val="008B25F1"/>
    <w:rsid w:val="008B70C7"/>
    <w:rsid w:val="008C0DB1"/>
    <w:rsid w:val="008C4BEA"/>
    <w:rsid w:val="008D01A0"/>
    <w:rsid w:val="008D180B"/>
    <w:rsid w:val="008D4FDD"/>
    <w:rsid w:val="008E2C74"/>
    <w:rsid w:val="008F0A5F"/>
    <w:rsid w:val="008F0EA7"/>
    <w:rsid w:val="009155B1"/>
    <w:rsid w:val="00920CB7"/>
    <w:rsid w:val="00921D23"/>
    <w:rsid w:val="00923EEF"/>
    <w:rsid w:val="00926BB7"/>
    <w:rsid w:val="009419F9"/>
    <w:rsid w:val="00944EA5"/>
    <w:rsid w:val="00951C90"/>
    <w:rsid w:val="00954AF2"/>
    <w:rsid w:val="00955DC4"/>
    <w:rsid w:val="0095685E"/>
    <w:rsid w:val="00956B4B"/>
    <w:rsid w:val="009578C5"/>
    <w:rsid w:val="00961B09"/>
    <w:rsid w:val="00962BF9"/>
    <w:rsid w:val="00965334"/>
    <w:rsid w:val="00966548"/>
    <w:rsid w:val="0097093E"/>
    <w:rsid w:val="009758C2"/>
    <w:rsid w:val="00985356"/>
    <w:rsid w:val="00990A7D"/>
    <w:rsid w:val="00992F4C"/>
    <w:rsid w:val="009A070F"/>
    <w:rsid w:val="009A0839"/>
    <w:rsid w:val="009A0DFA"/>
    <w:rsid w:val="009A1C6F"/>
    <w:rsid w:val="009A2095"/>
    <w:rsid w:val="009B2D26"/>
    <w:rsid w:val="009B4F56"/>
    <w:rsid w:val="009C6D81"/>
    <w:rsid w:val="009C71FA"/>
    <w:rsid w:val="009C72E7"/>
    <w:rsid w:val="009C7F7E"/>
    <w:rsid w:val="009D3058"/>
    <w:rsid w:val="009D42D9"/>
    <w:rsid w:val="009D6CA1"/>
    <w:rsid w:val="009E01ED"/>
    <w:rsid w:val="009F3A13"/>
    <w:rsid w:val="009F4523"/>
    <w:rsid w:val="00A04C5C"/>
    <w:rsid w:val="00A04E7A"/>
    <w:rsid w:val="00A122D3"/>
    <w:rsid w:val="00A14468"/>
    <w:rsid w:val="00A1585E"/>
    <w:rsid w:val="00A17F13"/>
    <w:rsid w:val="00A20739"/>
    <w:rsid w:val="00A20D69"/>
    <w:rsid w:val="00A23AF9"/>
    <w:rsid w:val="00A2481F"/>
    <w:rsid w:val="00A27667"/>
    <w:rsid w:val="00A3043A"/>
    <w:rsid w:val="00A33C78"/>
    <w:rsid w:val="00A3574F"/>
    <w:rsid w:val="00A4123C"/>
    <w:rsid w:val="00A4547E"/>
    <w:rsid w:val="00A50426"/>
    <w:rsid w:val="00A61497"/>
    <w:rsid w:val="00A624CC"/>
    <w:rsid w:val="00A909E5"/>
    <w:rsid w:val="00AB0ADB"/>
    <w:rsid w:val="00AB698D"/>
    <w:rsid w:val="00AD532A"/>
    <w:rsid w:val="00AF1AB0"/>
    <w:rsid w:val="00AF244D"/>
    <w:rsid w:val="00B00C0E"/>
    <w:rsid w:val="00B01B1A"/>
    <w:rsid w:val="00B02CAF"/>
    <w:rsid w:val="00B0381D"/>
    <w:rsid w:val="00B05093"/>
    <w:rsid w:val="00B12FE1"/>
    <w:rsid w:val="00B1470E"/>
    <w:rsid w:val="00B21BCE"/>
    <w:rsid w:val="00B21EF0"/>
    <w:rsid w:val="00B26641"/>
    <w:rsid w:val="00B3624D"/>
    <w:rsid w:val="00B44A47"/>
    <w:rsid w:val="00B534EE"/>
    <w:rsid w:val="00B535E6"/>
    <w:rsid w:val="00B72983"/>
    <w:rsid w:val="00B72CD3"/>
    <w:rsid w:val="00B72FFF"/>
    <w:rsid w:val="00B8015B"/>
    <w:rsid w:val="00B81678"/>
    <w:rsid w:val="00B81E9B"/>
    <w:rsid w:val="00B90BE9"/>
    <w:rsid w:val="00B91A30"/>
    <w:rsid w:val="00B94C67"/>
    <w:rsid w:val="00BB442A"/>
    <w:rsid w:val="00BC3D36"/>
    <w:rsid w:val="00BC6935"/>
    <w:rsid w:val="00BD49FF"/>
    <w:rsid w:val="00BD54A6"/>
    <w:rsid w:val="00BD7F72"/>
    <w:rsid w:val="00BE02C1"/>
    <w:rsid w:val="00BE5E82"/>
    <w:rsid w:val="00BF289E"/>
    <w:rsid w:val="00BF6A15"/>
    <w:rsid w:val="00BF7425"/>
    <w:rsid w:val="00C0006B"/>
    <w:rsid w:val="00C04FB3"/>
    <w:rsid w:val="00C05CB2"/>
    <w:rsid w:val="00C11D8B"/>
    <w:rsid w:val="00C134FD"/>
    <w:rsid w:val="00C15139"/>
    <w:rsid w:val="00C32BC7"/>
    <w:rsid w:val="00C330EB"/>
    <w:rsid w:val="00C35B7E"/>
    <w:rsid w:val="00C375D9"/>
    <w:rsid w:val="00C50D69"/>
    <w:rsid w:val="00C5365C"/>
    <w:rsid w:val="00C553EE"/>
    <w:rsid w:val="00C73E76"/>
    <w:rsid w:val="00C754BE"/>
    <w:rsid w:val="00C76B1C"/>
    <w:rsid w:val="00C925AC"/>
    <w:rsid w:val="00C94F67"/>
    <w:rsid w:val="00C952A5"/>
    <w:rsid w:val="00CA0814"/>
    <w:rsid w:val="00CA7D7E"/>
    <w:rsid w:val="00CB3AA7"/>
    <w:rsid w:val="00CB5D52"/>
    <w:rsid w:val="00CB6357"/>
    <w:rsid w:val="00CC1B26"/>
    <w:rsid w:val="00CD255E"/>
    <w:rsid w:val="00CE112F"/>
    <w:rsid w:val="00D16C31"/>
    <w:rsid w:val="00D22127"/>
    <w:rsid w:val="00D32F61"/>
    <w:rsid w:val="00D35CA2"/>
    <w:rsid w:val="00D361FD"/>
    <w:rsid w:val="00D423A2"/>
    <w:rsid w:val="00D44E26"/>
    <w:rsid w:val="00D520D8"/>
    <w:rsid w:val="00D619B1"/>
    <w:rsid w:val="00D63AC2"/>
    <w:rsid w:val="00D7383B"/>
    <w:rsid w:val="00D7788A"/>
    <w:rsid w:val="00D813B4"/>
    <w:rsid w:val="00D95289"/>
    <w:rsid w:val="00DA231B"/>
    <w:rsid w:val="00DB4CA5"/>
    <w:rsid w:val="00DB56B3"/>
    <w:rsid w:val="00DC2025"/>
    <w:rsid w:val="00DC39FC"/>
    <w:rsid w:val="00DE0693"/>
    <w:rsid w:val="00DE46CC"/>
    <w:rsid w:val="00DF2014"/>
    <w:rsid w:val="00DF5254"/>
    <w:rsid w:val="00E02524"/>
    <w:rsid w:val="00E0366D"/>
    <w:rsid w:val="00E16408"/>
    <w:rsid w:val="00E20894"/>
    <w:rsid w:val="00E245AB"/>
    <w:rsid w:val="00E25F2F"/>
    <w:rsid w:val="00E2764C"/>
    <w:rsid w:val="00E27F2E"/>
    <w:rsid w:val="00E31963"/>
    <w:rsid w:val="00E50AFE"/>
    <w:rsid w:val="00E6231E"/>
    <w:rsid w:val="00E6405D"/>
    <w:rsid w:val="00E6716D"/>
    <w:rsid w:val="00E704B8"/>
    <w:rsid w:val="00E75C92"/>
    <w:rsid w:val="00E771DC"/>
    <w:rsid w:val="00E8772A"/>
    <w:rsid w:val="00E90F6B"/>
    <w:rsid w:val="00E92C27"/>
    <w:rsid w:val="00EA0E3D"/>
    <w:rsid w:val="00EB3330"/>
    <w:rsid w:val="00EC1537"/>
    <w:rsid w:val="00EC38A7"/>
    <w:rsid w:val="00EE1AA8"/>
    <w:rsid w:val="00EE531D"/>
    <w:rsid w:val="00F03C44"/>
    <w:rsid w:val="00F23FEA"/>
    <w:rsid w:val="00F25A76"/>
    <w:rsid w:val="00F31EDC"/>
    <w:rsid w:val="00F33AAF"/>
    <w:rsid w:val="00F37AE6"/>
    <w:rsid w:val="00F462B3"/>
    <w:rsid w:val="00F52BE0"/>
    <w:rsid w:val="00F5664F"/>
    <w:rsid w:val="00F62A35"/>
    <w:rsid w:val="00F655EF"/>
    <w:rsid w:val="00F666C4"/>
    <w:rsid w:val="00F76AFC"/>
    <w:rsid w:val="00F852E0"/>
    <w:rsid w:val="00F859AA"/>
    <w:rsid w:val="00F94411"/>
    <w:rsid w:val="00F94C35"/>
    <w:rsid w:val="00FA47C0"/>
    <w:rsid w:val="00FA5367"/>
    <w:rsid w:val="00FB3106"/>
    <w:rsid w:val="00FB5DD1"/>
    <w:rsid w:val="00FB641D"/>
    <w:rsid w:val="00FC2B5D"/>
    <w:rsid w:val="00FE6967"/>
    <w:rsid w:val="00FF1449"/>
    <w:rsid w:val="00FF7963"/>
    <w:rsid w:val="071B8F93"/>
    <w:rsid w:val="09908A09"/>
    <w:rsid w:val="0EF10493"/>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30724"/>
    <w:rPr>
      <w:rFonts w:ascii="Geomanist Light" w:hAnsi="Geomanist Light"/>
      <w:lang w:val="es-ES"/>
    </w:rPr>
  </w:style>
  <w:style w:type="paragraph" w:customStyle="1" w:styleId="Appelnotedebasde">
    <w:name w:val="Appel note de bas de..."/>
    <w:basedOn w:val="Normal"/>
    <w:link w:val="Refdenotaalpie"/>
    <w:uiPriority w:val="99"/>
    <w:rsid w:val="009F4523"/>
    <w:pPr>
      <w:spacing w:line="240" w:lineRule="exact"/>
    </w:pPr>
    <w:rPr>
      <w:vertAlign w:val="superscript"/>
    </w:rPr>
  </w:style>
  <w:style w:type="character" w:customStyle="1" w:styleId="NormalWebCar">
    <w:name w:val="Normal (Web) Car"/>
    <w:link w:val="NormalWeb"/>
    <w:uiPriority w:val="99"/>
    <w:rsid w:val="009F4523"/>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57375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33361676">
      <w:marLeft w:val="0"/>
      <w:marRight w:val="0"/>
      <w:marTop w:val="0"/>
      <w:marBottom w:val="0"/>
      <w:divBdr>
        <w:top w:val="none" w:sz="0" w:space="0" w:color="auto"/>
        <w:left w:val="none" w:sz="0" w:space="0" w:color="auto"/>
        <w:bottom w:val="none" w:sz="0" w:space="0" w:color="auto"/>
        <w:right w:val="none" w:sz="0" w:space="0" w:color="auto"/>
      </w:divBdr>
    </w:div>
    <w:div w:id="1530609747">
      <w:marLeft w:val="0"/>
      <w:marRight w:val="0"/>
      <w:marTop w:val="0"/>
      <w:marBottom w:val="0"/>
      <w:divBdr>
        <w:top w:val="none" w:sz="0" w:space="0" w:color="auto"/>
        <w:left w:val="none" w:sz="0" w:space="0" w:color="auto"/>
        <w:bottom w:val="none" w:sz="0" w:space="0" w:color="auto"/>
        <w:right w:val="none" w:sz="0" w:space="0" w:color="auto"/>
      </w:divBdr>
    </w:div>
    <w:div w:id="1542088319">
      <w:marLeft w:val="0"/>
      <w:marRight w:val="0"/>
      <w:marTop w:val="0"/>
      <w:marBottom w:val="0"/>
      <w:divBdr>
        <w:top w:val="none" w:sz="0" w:space="0" w:color="auto"/>
        <w:left w:val="none" w:sz="0" w:space="0" w:color="auto"/>
        <w:bottom w:val="none" w:sz="0" w:space="0" w:color="auto"/>
        <w:right w:val="none" w:sz="0" w:space="0" w:color="auto"/>
      </w:divBdr>
    </w:div>
    <w:div w:id="1629779256">
      <w:marLeft w:val="0"/>
      <w:marRight w:val="0"/>
      <w:marTop w:val="0"/>
      <w:marBottom w:val="0"/>
      <w:divBdr>
        <w:top w:val="none" w:sz="0" w:space="0" w:color="auto"/>
        <w:left w:val="none" w:sz="0" w:space="0" w:color="auto"/>
        <w:bottom w:val="none" w:sz="0" w:space="0" w:color="auto"/>
        <w:right w:val="none" w:sz="0" w:space="0" w:color="auto"/>
      </w:divBdr>
    </w:div>
    <w:div w:id="2038459692">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5/05/2024-Cartilla-para-incentivar-los-procesos-de-contratacion-de-los-grupos-y-comunidades-etnicas-en-la-contratacion-publica-WAYYUNAIKI.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ayuuzonanorteextrema@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Desarrollo%20Territorial/Lineamientos%20Enfoque%20Diferencial%20%C3%89TNICO%20VPublicable%20FINAL%20260216.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7599B17-D38E-4AD7-859A-588DD68E84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29</Pages>
  <Words>9253</Words>
  <Characters>50523</Characters>
  <Application>Microsoft Office Word</Application>
  <DocSecurity>0</DocSecurity>
  <Lines>953</Lines>
  <Paragraphs>161</Paragraphs>
  <ScaleCrop>false</ScaleCrop>
  <Company/>
  <LinksUpToDate>false</LinksUpToDate>
  <CharactersWithSpaces>59615</CharactersWithSpaces>
  <SharedDoc>false</SharedDoc>
  <HLinks>
    <vt:vector size="30" baseType="variant">
      <vt:variant>
        <vt:i4>3145783</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vt:lpwstr>
      </vt:variant>
      <vt:variant>
        <vt:lpwstr/>
      </vt:variant>
      <vt:variant>
        <vt:i4>7209087</vt:i4>
      </vt:variant>
      <vt:variant>
        <vt:i4>6</vt:i4>
      </vt:variant>
      <vt:variant>
        <vt:i4>0</vt:i4>
      </vt:variant>
      <vt:variant>
        <vt:i4>5</vt:i4>
      </vt:variant>
      <vt:variant>
        <vt:lpwstr>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vt:lpwstr>
      </vt:variant>
      <vt:variant>
        <vt:lpwstr/>
      </vt:variant>
      <vt:variant>
        <vt:i4>131162</vt:i4>
      </vt:variant>
      <vt:variant>
        <vt:i4>3</vt:i4>
      </vt:variant>
      <vt:variant>
        <vt:i4>0</vt:i4>
      </vt:variant>
      <vt:variant>
        <vt:i4>5</vt:i4>
      </vt:variant>
      <vt:variant>
        <vt:lpwstr>https://www.colombiacompra.gov.co/wp-content/uploads/2025/05/2024-Cartilla-para-incentivar-los-procesos-de-contratacion-de-los-grupos-y-comunidades-etnicas-en-la-contratacion-publica-WAYYUNAIKI.pdf</vt:lpwstr>
      </vt:variant>
      <vt:variant>
        <vt:lpwstr/>
      </vt:variant>
      <vt:variant>
        <vt:i4>8192081</vt:i4>
      </vt:variant>
      <vt:variant>
        <vt:i4>0</vt:i4>
      </vt:variant>
      <vt:variant>
        <vt:i4>0</vt:i4>
      </vt:variant>
      <vt:variant>
        <vt:i4>5</vt:i4>
      </vt:variant>
      <vt:variant>
        <vt:lpwstr>mailto:wayuuzonanorteextrema@gmail.com</vt:lpwstr>
      </vt:variant>
      <vt:variant>
        <vt:lpwstr/>
      </vt:variant>
      <vt:variant>
        <vt:i4>5767256</vt:i4>
      </vt:variant>
      <vt:variant>
        <vt:i4>0</vt:i4>
      </vt:variant>
      <vt:variant>
        <vt:i4>0</vt:i4>
      </vt:variant>
      <vt:variant>
        <vt:i4>5</vt:i4>
      </vt:variant>
      <vt:variant>
        <vt:lpwstr>https://colaboracion.dnp.gov.co/CDT/Desarrollo Territorial/Lineamientos Enfoque Diferencial %C3%89TNICO VPublicable FINAL 260216.pdf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7</cp:revision>
  <cp:lastPrinted>2023-01-10T21:18:00Z</cp:lastPrinted>
  <dcterms:created xsi:type="dcterms:W3CDTF">2025-12-24T14:50:00Z</dcterms:created>
  <dcterms:modified xsi:type="dcterms:W3CDTF">2025-12-27T23:18:00Z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