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30A7A" w14:textId="77777777" w:rsidR="00871B59" w:rsidRPr="00593A5F" w:rsidRDefault="00871B59" w:rsidP="00871B59">
      <w:pPr>
        <w:spacing w:after="0" w:line="240" w:lineRule="auto"/>
        <w:jc w:val="both"/>
        <w:rPr>
          <w:rFonts w:ascii="Verdana" w:eastAsia="Calibri" w:hAnsi="Verdana" w:cs="Arial"/>
          <w:color w:val="000000"/>
          <w:lang w:val="es-ES"/>
        </w:rPr>
      </w:pPr>
    </w:p>
    <w:p w14:paraId="16421666" w14:textId="77777777" w:rsidR="00B11CB2" w:rsidRDefault="00B11CB2" w:rsidP="00871B59">
      <w:pPr>
        <w:spacing w:after="0" w:line="240" w:lineRule="auto"/>
        <w:jc w:val="both"/>
        <w:rPr>
          <w:rFonts w:ascii="Verdana" w:eastAsia="Calibri" w:hAnsi="Verdana" w:cs="Arial"/>
          <w:lang w:val="es-ES" w:eastAsia="es-ES"/>
        </w:rPr>
      </w:pPr>
    </w:p>
    <w:p w14:paraId="4CAC445C" w14:textId="77777777" w:rsidR="00B11CB2" w:rsidRDefault="00B11CB2" w:rsidP="00871B59">
      <w:pPr>
        <w:spacing w:after="0" w:line="240" w:lineRule="auto"/>
        <w:jc w:val="both"/>
        <w:rPr>
          <w:rFonts w:ascii="Verdana" w:eastAsia="Calibri" w:hAnsi="Verdana" w:cs="Arial"/>
          <w:lang w:val="es-ES" w:eastAsia="es-ES"/>
        </w:rPr>
      </w:pPr>
    </w:p>
    <w:p w14:paraId="0454B1F2" w14:textId="77777777" w:rsidR="00B11CB2" w:rsidRDefault="00B11CB2" w:rsidP="00871B59">
      <w:pPr>
        <w:spacing w:after="0" w:line="240" w:lineRule="auto"/>
        <w:jc w:val="both"/>
        <w:rPr>
          <w:rFonts w:ascii="Verdana" w:eastAsia="Calibri" w:hAnsi="Verdana" w:cs="Arial"/>
          <w:lang w:val="es-ES" w:eastAsia="es-ES"/>
        </w:rPr>
      </w:pPr>
    </w:p>
    <w:p w14:paraId="0AEDD199" w14:textId="77777777" w:rsidR="00622EAA" w:rsidRPr="00855DDF" w:rsidRDefault="00622EAA" w:rsidP="00622EAA">
      <w:pPr>
        <w:spacing w:before="100" w:beforeAutospacing="1" w:after="100" w:afterAutospacing="1" w:line="240" w:lineRule="auto"/>
        <w:jc w:val="both"/>
        <w:rPr>
          <w:rFonts w:ascii="Verdana" w:eastAsia="Times New Roman" w:hAnsi="Verdana" w:cs="Times New Roman"/>
          <w:b/>
          <w:bCs/>
          <w:lang w:eastAsia="es-MX"/>
        </w:rPr>
      </w:pPr>
      <w:r w:rsidRPr="00622EAA">
        <w:rPr>
          <w:rFonts w:ascii="Verdana" w:eastAsia="Times New Roman" w:hAnsi="Verdana" w:cs="Times New Roman"/>
          <w:b/>
          <w:bCs/>
          <w:lang w:eastAsia="es-MX"/>
        </w:rPr>
        <w:t xml:space="preserve">LEY DE GARANTÍAS ELECTORALES – Prohibición de contratación directa </w:t>
      </w:r>
    </w:p>
    <w:p w14:paraId="4FBD362B" w14:textId="389F9115" w:rsidR="00622EAA" w:rsidRPr="00622EAA" w:rsidRDefault="00622EAA" w:rsidP="00622EAA">
      <w:pPr>
        <w:spacing w:before="100" w:beforeAutospacing="1" w:after="100" w:afterAutospacing="1" w:line="240" w:lineRule="auto"/>
        <w:jc w:val="both"/>
        <w:rPr>
          <w:rFonts w:ascii="Verdana" w:eastAsia="Times New Roman" w:hAnsi="Verdana" w:cs="Times New Roman"/>
          <w:lang w:eastAsia="es-MX"/>
        </w:rPr>
      </w:pPr>
      <w:r w:rsidRPr="00622EAA">
        <w:rPr>
          <w:rFonts w:ascii="Verdana" w:eastAsia="Times New Roman" w:hAnsi="Verdana" w:cs="Times New Roman"/>
          <w:lang w:eastAsia="es-MX"/>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507E9B03" w14:textId="77777777" w:rsidR="00622EAA" w:rsidRPr="00855DDF" w:rsidRDefault="00622EAA" w:rsidP="00622EAA">
      <w:pPr>
        <w:spacing w:before="100" w:beforeAutospacing="1" w:after="100" w:afterAutospacing="1" w:line="240" w:lineRule="auto"/>
        <w:jc w:val="both"/>
        <w:rPr>
          <w:rFonts w:ascii="Verdana" w:eastAsia="Times New Roman" w:hAnsi="Verdana" w:cs="Times New Roman"/>
          <w:lang w:eastAsia="es-MX"/>
        </w:rPr>
      </w:pPr>
      <w:r w:rsidRPr="00622EAA">
        <w:rPr>
          <w:rFonts w:ascii="Verdana" w:eastAsia="Times New Roman" w:hAnsi="Verdana" w:cs="Times New Roman"/>
          <w:b/>
          <w:bCs/>
          <w:lang w:eastAsia="es-MX"/>
        </w:rPr>
        <w:t>LEY DE GARANTÍAS ELECTORALES – Convenios solidarios con Organismos de Acción Comunal – Naturaleza de contratación directa – Sujeción a la prohibición</w:t>
      </w:r>
      <w:r w:rsidRPr="00622EAA">
        <w:rPr>
          <w:rFonts w:ascii="Verdana" w:eastAsia="Times New Roman" w:hAnsi="Verdana" w:cs="Times New Roman"/>
          <w:lang w:eastAsia="es-MX"/>
        </w:rPr>
        <w:t xml:space="preserve"> </w:t>
      </w:r>
    </w:p>
    <w:p w14:paraId="28D3EF02" w14:textId="5C8DA9C5" w:rsidR="00622EAA" w:rsidRPr="00622EAA" w:rsidRDefault="00622EAA" w:rsidP="00622EAA">
      <w:pPr>
        <w:spacing w:before="100" w:beforeAutospacing="1" w:after="100" w:afterAutospacing="1" w:line="240" w:lineRule="auto"/>
        <w:jc w:val="both"/>
        <w:rPr>
          <w:rFonts w:ascii="Verdana" w:eastAsia="Times New Roman" w:hAnsi="Verdana" w:cs="Times New Roman"/>
          <w:lang w:eastAsia="es-MX"/>
        </w:rPr>
      </w:pPr>
      <w:r w:rsidRPr="00622EAA">
        <w:rPr>
          <w:rFonts w:ascii="Verdana" w:eastAsia="Times New Roman" w:hAnsi="Verdana" w:cs="Times New Roman"/>
          <w:lang w:eastAsia="es-MX"/>
        </w:rPr>
        <w:t>Por tanto, teniendo en cuenta que el artículo 95 de la Ley 2166 de 2021 dispone que “Se autoriza a los entes del orden Nacional, Departamental, Distrital y municipal para celebrar directamente convenios solidarios con los Organismos de Acción Comunal con el fin de contratar con los habitantes de la comunidad”;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23DC12A5" w14:textId="77777777" w:rsidR="00622EAA" w:rsidRPr="00855DDF" w:rsidRDefault="00622EAA" w:rsidP="00622EAA">
      <w:pPr>
        <w:spacing w:before="100" w:beforeAutospacing="1" w:after="100" w:afterAutospacing="1" w:line="240" w:lineRule="auto"/>
        <w:jc w:val="both"/>
        <w:rPr>
          <w:rFonts w:ascii="Verdana" w:eastAsia="Times New Roman" w:hAnsi="Verdana" w:cs="Times New Roman"/>
          <w:lang w:eastAsia="es-MX"/>
        </w:rPr>
      </w:pPr>
      <w:r w:rsidRPr="00622EAA">
        <w:rPr>
          <w:rFonts w:ascii="Verdana" w:eastAsia="Times New Roman" w:hAnsi="Verdana" w:cs="Times New Roman"/>
          <w:b/>
          <w:bCs/>
          <w:lang w:eastAsia="es-MX"/>
        </w:rPr>
        <w:t>LEY DE GARANTÍAS ELECTORALES – Calendario electoral 2026 – Fechas de inicio de las restricciones – Elecciones a Congreso y Presidencia</w:t>
      </w:r>
      <w:r w:rsidRPr="00622EAA">
        <w:rPr>
          <w:rFonts w:ascii="Verdana" w:eastAsia="Times New Roman" w:hAnsi="Verdana" w:cs="Times New Roman"/>
          <w:lang w:eastAsia="es-MX"/>
        </w:rPr>
        <w:t xml:space="preserve"> </w:t>
      </w:r>
    </w:p>
    <w:p w14:paraId="6584DBF8" w14:textId="1A5B5778" w:rsidR="00622EAA" w:rsidRPr="00622EAA" w:rsidRDefault="00622EAA" w:rsidP="00622EAA">
      <w:pPr>
        <w:spacing w:before="100" w:beforeAutospacing="1" w:after="100" w:afterAutospacing="1" w:line="240" w:lineRule="auto"/>
        <w:jc w:val="both"/>
        <w:rPr>
          <w:rFonts w:ascii="Verdana" w:eastAsia="Times New Roman" w:hAnsi="Verdana" w:cs="Times New Roman"/>
          <w:lang w:eastAsia="es-MX"/>
        </w:rPr>
      </w:pPr>
      <w:r w:rsidRPr="00855DDF">
        <w:rPr>
          <w:rFonts w:ascii="Verdana" w:eastAsia="Times New Roman" w:hAnsi="Verdana" w:cs="Times New Roman"/>
          <w:lang w:eastAsia="es-MX"/>
        </w:rPr>
        <w:t>P</w:t>
      </w:r>
      <w:r w:rsidRPr="00622EAA">
        <w:rPr>
          <w:rFonts w:ascii="Verdana" w:eastAsia="Times New Roman" w:hAnsi="Verdana" w:cs="Times New Roman"/>
          <w:lang w:eastAsia="es-MX"/>
        </w:rPr>
        <w:t>ara las elecciones al Congreso de la República que serán el 8 de marzo de 2026... la restricción iniciaría el 8 de noviembre de 2025... Para las elecciones presidenciales... que se celebrarán el 31 de mayo de 2026... desde el 31 de enero de 2026 y hasta el momento de la celebración de la segunda vuelta, si fuere el caso, queda prohibida la contratación directa por parte de todos los entes del Estado, dentro de lo cual se incluyen los convenios solidarios".</w:t>
      </w:r>
    </w:p>
    <w:p w14:paraId="5A5D2B92" w14:textId="77777777" w:rsidR="00622EAA" w:rsidRDefault="00622EAA" w:rsidP="00B11CB2">
      <w:pPr>
        <w:pStyle w:val="Textoindependiente"/>
        <w:spacing w:before="50" w:line="578" w:lineRule="exact"/>
        <w:ind w:right="5519"/>
        <w:rPr>
          <w:rFonts w:ascii="Verdana" w:hAnsi="Verdana"/>
          <w:sz w:val="20"/>
          <w:szCs w:val="20"/>
        </w:rPr>
      </w:pPr>
    </w:p>
    <w:p w14:paraId="3E5C4F40" w14:textId="66C120F6" w:rsidR="00B11CB2" w:rsidRPr="00622EAA" w:rsidRDefault="00B11CB2" w:rsidP="00B11CB2">
      <w:pPr>
        <w:pStyle w:val="Textoindependiente"/>
        <w:spacing w:before="50" w:line="578" w:lineRule="exact"/>
        <w:ind w:right="5519"/>
        <w:rPr>
          <w:rFonts w:ascii="Verdana" w:eastAsia="Calibri" w:hAnsi="Verdana" w:cs="Arial"/>
          <w:sz w:val="20"/>
          <w:szCs w:val="20"/>
          <w:lang w:val="es-ES" w:eastAsia="es-ES"/>
        </w:rPr>
      </w:pPr>
      <w:r w:rsidRPr="00622EAA">
        <w:rPr>
          <w:rFonts w:ascii="Verdana" w:hAnsi="Verdana"/>
          <w:noProof/>
          <w:sz w:val="20"/>
          <w:szCs w:val="20"/>
        </w:rPr>
        <w:drawing>
          <wp:anchor distT="0" distB="0" distL="0" distR="0" simplePos="0" relativeHeight="251659264" behindDoc="0" locked="0" layoutInCell="1" allowOverlap="1" wp14:anchorId="7629364C" wp14:editId="18A95EE5">
            <wp:simplePos x="0" y="0"/>
            <wp:positionH relativeFrom="page">
              <wp:posOffset>3968318</wp:posOffset>
            </wp:positionH>
            <wp:positionV relativeFrom="paragraph">
              <wp:posOffset>187060</wp:posOffset>
            </wp:positionV>
            <wp:extent cx="3229839" cy="899627"/>
            <wp:effectExtent l="0" t="0" r="0" b="254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65824" cy="909650"/>
                    </a:xfrm>
                    <a:prstGeom prst="rect">
                      <a:avLst/>
                    </a:prstGeom>
                  </pic:spPr>
                </pic:pic>
              </a:graphicData>
            </a:graphic>
            <wp14:sizeRelH relativeFrom="margin">
              <wp14:pctWidth>0</wp14:pctWidth>
            </wp14:sizeRelH>
          </wp:anchor>
        </w:drawing>
      </w:r>
      <w:r w:rsidRPr="00622EAA">
        <w:rPr>
          <w:rFonts w:ascii="Verdana" w:hAnsi="Verdana"/>
          <w:sz w:val="20"/>
          <w:szCs w:val="20"/>
        </w:rPr>
        <w:t>Bogotá</w:t>
      </w:r>
      <w:r w:rsidRPr="00622EAA">
        <w:rPr>
          <w:rFonts w:ascii="Verdana" w:hAnsi="Verdana"/>
          <w:spacing w:val="-12"/>
          <w:sz w:val="20"/>
          <w:szCs w:val="20"/>
        </w:rPr>
        <w:t xml:space="preserve"> </w:t>
      </w:r>
      <w:r w:rsidRPr="00622EAA">
        <w:rPr>
          <w:rFonts w:ascii="Verdana" w:hAnsi="Verdana"/>
          <w:sz w:val="20"/>
          <w:szCs w:val="20"/>
        </w:rPr>
        <w:t>D.C.,</w:t>
      </w:r>
      <w:r w:rsidRPr="00622EAA">
        <w:rPr>
          <w:rFonts w:ascii="Verdana" w:hAnsi="Verdana"/>
          <w:spacing w:val="-9"/>
          <w:sz w:val="20"/>
          <w:szCs w:val="20"/>
        </w:rPr>
        <w:t xml:space="preserve"> </w:t>
      </w:r>
      <w:r w:rsidRPr="00622EAA">
        <w:rPr>
          <w:rFonts w:ascii="Verdana" w:hAnsi="Verdana"/>
          <w:sz w:val="20"/>
          <w:szCs w:val="20"/>
        </w:rPr>
        <w:t>04</w:t>
      </w:r>
      <w:r w:rsidRPr="00622EAA">
        <w:rPr>
          <w:rFonts w:ascii="Verdana" w:hAnsi="Verdana"/>
          <w:spacing w:val="-12"/>
          <w:sz w:val="20"/>
          <w:szCs w:val="20"/>
        </w:rPr>
        <w:t xml:space="preserve"> </w:t>
      </w:r>
      <w:r w:rsidRPr="00622EAA">
        <w:rPr>
          <w:rFonts w:ascii="Verdana" w:hAnsi="Verdana"/>
          <w:sz w:val="20"/>
          <w:szCs w:val="20"/>
        </w:rPr>
        <w:t>Diciembre</w:t>
      </w:r>
      <w:r w:rsidRPr="00622EAA">
        <w:rPr>
          <w:rFonts w:ascii="Verdana" w:hAnsi="Verdana"/>
          <w:spacing w:val="-12"/>
          <w:sz w:val="20"/>
          <w:szCs w:val="20"/>
        </w:rPr>
        <w:t xml:space="preserve"> </w:t>
      </w:r>
      <w:r w:rsidRPr="00622EAA">
        <w:rPr>
          <w:rFonts w:ascii="Verdana" w:hAnsi="Verdana"/>
          <w:sz w:val="20"/>
          <w:szCs w:val="20"/>
        </w:rPr>
        <w:t xml:space="preserve">2025 </w:t>
      </w:r>
    </w:p>
    <w:p w14:paraId="51691EF4" w14:textId="77777777" w:rsidR="00B11CB2" w:rsidRDefault="00B11CB2" w:rsidP="00871B59">
      <w:pPr>
        <w:spacing w:after="0" w:line="240" w:lineRule="auto"/>
        <w:jc w:val="both"/>
        <w:rPr>
          <w:rFonts w:ascii="Verdana" w:eastAsia="Calibri" w:hAnsi="Verdana" w:cs="Arial"/>
          <w:lang w:val="es-ES" w:eastAsia="es-ES"/>
        </w:rPr>
      </w:pPr>
    </w:p>
    <w:p w14:paraId="3F55B240" w14:textId="76590D88"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55A42979" w14:textId="6C5C7731" w:rsidR="00871B59" w:rsidRPr="00B96799" w:rsidRDefault="00CF512C"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Linda Lucia Monroy </w:t>
      </w:r>
      <w:proofErr w:type="spellStart"/>
      <w:r>
        <w:rPr>
          <w:rFonts w:ascii="Verdana" w:eastAsia="Calibri" w:hAnsi="Verdana" w:cs="Arial"/>
          <w:b/>
          <w:lang w:val="es-ES_tradnl" w:eastAsia="es-ES_tradnl"/>
        </w:rPr>
        <w:t>Penuela</w:t>
      </w:r>
      <w:proofErr w:type="spellEnd"/>
    </w:p>
    <w:p w14:paraId="15D7FA33" w14:textId="54076F7B" w:rsidR="00871B59" w:rsidRPr="00B96799" w:rsidRDefault="00CF512C" w:rsidP="00871B59">
      <w:pPr>
        <w:spacing w:after="0" w:line="240" w:lineRule="auto"/>
        <w:rPr>
          <w:rFonts w:ascii="Verdana" w:eastAsia="Calibri" w:hAnsi="Verdana" w:cs="Arial"/>
          <w:u w:val="single"/>
          <w:lang w:val="es-ES" w:eastAsia="es-ES"/>
        </w:rPr>
      </w:pPr>
      <w:r w:rsidRPr="00CF512C">
        <w:rPr>
          <w:rFonts w:ascii="Verdana" w:eastAsia="Calibri" w:hAnsi="Verdana" w:cs="Arial"/>
          <w:u w:val="single"/>
          <w:lang w:val="es-ES" w:eastAsia="es-ES"/>
        </w:rPr>
        <w:t>linda.monrroy400@gmail.com</w:t>
      </w:r>
    </w:p>
    <w:p w14:paraId="19A637F1" w14:textId="0820538B" w:rsidR="00871B59" w:rsidRPr="00B96799" w:rsidRDefault="00CF512C"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18BCE1FC"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21363453"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0B043088" w14:textId="77777777" w:rsidTr="002607A7">
        <w:trPr>
          <w:trHeight w:val="884"/>
        </w:trPr>
        <w:tc>
          <w:tcPr>
            <w:tcW w:w="2689" w:type="dxa"/>
          </w:tcPr>
          <w:p w14:paraId="37821B56" w14:textId="77777777" w:rsidR="00871B59" w:rsidRPr="00CF512C" w:rsidRDefault="00871B59" w:rsidP="002607A7">
            <w:pPr>
              <w:jc w:val="both"/>
              <w:rPr>
                <w:rFonts w:ascii="Verdana" w:eastAsia="Calibri" w:hAnsi="Verdana" w:cs="Arial"/>
                <w:b/>
                <w:bCs/>
                <w:color w:val="000000" w:themeColor="text1"/>
                <w:lang w:val="es-ES_tradnl" w:eastAsia="es-ES_tradnl"/>
              </w:rPr>
            </w:pPr>
          </w:p>
        </w:tc>
        <w:tc>
          <w:tcPr>
            <w:tcW w:w="6100" w:type="dxa"/>
          </w:tcPr>
          <w:p w14:paraId="155F7B26" w14:textId="2C539DB7" w:rsidR="00871B59" w:rsidRPr="00CF512C" w:rsidRDefault="00871B59" w:rsidP="002607A7">
            <w:pPr>
              <w:jc w:val="both"/>
              <w:rPr>
                <w:rFonts w:ascii="Verdana" w:eastAsia="Calibri" w:hAnsi="Verdana" w:cs="Arial"/>
                <w:b/>
                <w:bCs/>
                <w:color w:val="000000" w:themeColor="text1"/>
                <w:lang w:val="es-ES" w:eastAsia="es-ES"/>
              </w:rPr>
            </w:pPr>
            <w:r w:rsidRPr="00CF512C">
              <w:rPr>
                <w:rFonts w:ascii="Verdana" w:eastAsia="Calibri" w:hAnsi="Verdana" w:cs="Arial"/>
                <w:b/>
                <w:bCs/>
                <w:color w:val="000000" w:themeColor="text1"/>
                <w:lang w:val="es-ES" w:eastAsia="es-ES"/>
              </w:rPr>
              <w:t>Concepto C</w:t>
            </w:r>
            <w:r w:rsidR="00CF512C" w:rsidRPr="00CF512C">
              <w:rPr>
                <w:rFonts w:ascii="Verdana" w:eastAsia="Calibri" w:hAnsi="Verdana" w:cs="Arial"/>
                <w:b/>
                <w:bCs/>
                <w:color w:val="000000" w:themeColor="text1"/>
                <w:lang w:val="es-ES" w:eastAsia="es-ES"/>
              </w:rPr>
              <w:t xml:space="preserve"> - 1566</w:t>
            </w:r>
            <w:r w:rsidRPr="00CF512C">
              <w:rPr>
                <w:rFonts w:ascii="Verdana" w:eastAsia="Calibri" w:hAnsi="Verdana" w:cs="Arial"/>
                <w:b/>
                <w:bCs/>
                <w:color w:val="000000" w:themeColor="text1"/>
                <w:lang w:val="es-ES" w:eastAsia="es-ES"/>
              </w:rPr>
              <w:t xml:space="preserve"> de </w:t>
            </w:r>
            <w:r w:rsidR="00CF512C" w:rsidRPr="00CF512C">
              <w:rPr>
                <w:rFonts w:ascii="Verdana" w:eastAsia="Calibri" w:hAnsi="Verdana" w:cs="Arial"/>
                <w:b/>
                <w:bCs/>
                <w:color w:val="000000" w:themeColor="text1"/>
                <w:lang w:val="es-ES" w:eastAsia="es-ES"/>
              </w:rPr>
              <w:t>2025</w:t>
            </w:r>
          </w:p>
        </w:tc>
      </w:tr>
      <w:tr w:rsidR="00871B59" w:rsidRPr="00593A5F" w14:paraId="72AEFFAA" w14:textId="77777777" w:rsidTr="002607A7">
        <w:trPr>
          <w:trHeight w:val="884"/>
        </w:trPr>
        <w:tc>
          <w:tcPr>
            <w:tcW w:w="2689" w:type="dxa"/>
          </w:tcPr>
          <w:p w14:paraId="3AC68F13"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E6B922F" w14:textId="48BBB0D0" w:rsidR="00871B59" w:rsidRPr="00B96799" w:rsidRDefault="00655EED" w:rsidP="002607A7">
            <w:pPr>
              <w:spacing w:line="276" w:lineRule="auto"/>
              <w:jc w:val="both"/>
              <w:rPr>
                <w:rFonts w:ascii="Verdana" w:eastAsia="Calibri" w:hAnsi="Verdana" w:cs="Arial"/>
                <w:color w:val="7030A0"/>
                <w:lang w:val="es-ES" w:eastAsia="es-ES"/>
              </w:rPr>
            </w:pPr>
            <w:r w:rsidRPr="003F7B98">
              <w:rPr>
                <w:rFonts w:ascii="Verdana" w:eastAsia="Times New Roman" w:hAnsi="Verdana" w:cs="Arial"/>
                <w:lang w:eastAsia="es-ES_tradnl"/>
              </w:rPr>
              <w:t>LEY DE GARANTÍAS ELECTORALES ─ Prohibición ‒ Contratación directa ‒ Alcance / LEY DE GARANTÍAS ELECTORALES ─ Prohibición ‒ Contratación directa ‒ Excepciones / LEY DE GARANTÍAS ELECTORALES ─ Prohibición ‒ Contratación directa ‒ Convenios</w:t>
            </w:r>
            <w:r>
              <w:rPr>
                <w:rFonts w:ascii="Verdana" w:eastAsia="Times New Roman" w:hAnsi="Verdana" w:cs="Arial"/>
                <w:lang w:eastAsia="es-ES_tradnl"/>
              </w:rPr>
              <w:t xml:space="preserve"> solidarios</w:t>
            </w:r>
          </w:p>
          <w:p w14:paraId="2FD3FD73" w14:textId="77777777" w:rsidR="00871B59" w:rsidRPr="00593A5F" w:rsidRDefault="00871B59" w:rsidP="002607A7">
            <w:pPr>
              <w:spacing w:line="276" w:lineRule="auto"/>
              <w:jc w:val="both"/>
              <w:rPr>
                <w:rFonts w:ascii="Verdana" w:eastAsia="Calibri" w:hAnsi="Verdana" w:cs="Arial"/>
                <w:lang w:val="es-ES" w:eastAsia="es-ES"/>
              </w:rPr>
            </w:pPr>
          </w:p>
        </w:tc>
      </w:tr>
      <w:tr w:rsidR="00871B59" w:rsidRPr="00593A5F" w14:paraId="3CEA0786" w14:textId="77777777" w:rsidTr="002607A7">
        <w:tc>
          <w:tcPr>
            <w:tcW w:w="2689" w:type="dxa"/>
          </w:tcPr>
          <w:p w14:paraId="3E930343" w14:textId="77777777" w:rsidR="00871B59" w:rsidRPr="00CF512C" w:rsidRDefault="00871B59" w:rsidP="002607A7">
            <w:pPr>
              <w:jc w:val="both"/>
              <w:rPr>
                <w:rFonts w:ascii="Verdana" w:eastAsia="Calibri" w:hAnsi="Verdana" w:cs="Arial"/>
                <w:b/>
                <w:color w:val="000000" w:themeColor="text1"/>
                <w:lang w:val="es-ES_tradnl" w:eastAsia="es-ES_tradnl"/>
              </w:rPr>
            </w:pPr>
            <w:r w:rsidRPr="00CF512C">
              <w:rPr>
                <w:rFonts w:ascii="Verdana" w:eastAsia="Calibri" w:hAnsi="Verdana" w:cs="Arial"/>
                <w:b/>
                <w:color w:val="000000" w:themeColor="text1"/>
                <w:lang w:val="es-ES_tradnl" w:eastAsia="es-ES_tradnl"/>
              </w:rPr>
              <w:t>Radicación:</w:t>
            </w:r>
            <w:r w:rsidRPr="00CF512C">
              <w:rPr>
                <w:rFonts w:ascii="Verdana" w:eastAsia="Calibri" w:hAnsi="Verdana" w:cs="Arial"/>
                <w:color w:val="000000" w:themeColor="text1"/>
                <w:lang w:val="es-ES_tradnl" w:eastAsia="es-ES_tradnl"/>
              </w:rPr>
              <w:t xml:space="preserve">               </w:t>
            </w:r>
          </w:p>
        </w:tc>
        <w:tc>
          <w:tcPr>
            <w:tcW w:w="6100" w:type="dxa"/>
          </w:tcPr>
          <w:p w14:paraId="28F0E766" w14:textId="2E134229" w:rsidR="00871B59" w:rsidRPr="00CF512C" w:rsidRDefault="00871B59" w:rsidP="002607A7">
            <w:pPr>
              <w:jc w:val="both"/>
              <w:rPr>
                <w:rFonts w:ascii="Verdana" w:eastAsia="Calibri" w:hAnsi="Verdana" w:cs="Arial"/>
                <w:color w:val="000000" w:themeColor="text1"/>
                <w:lang w:val="es-ES_tradnl" w:eastAsia="es-ES_tradnl"/>
              </w:rPr>
            </w:pPr>
            <w:r w:rsidRPr="00CF512C">
              <w:rPr>
                <w:rFonts w:ascii="Verdana" w:eastAsia="Calibri" w:hAnsi="Verdana" w:cs="Arial"/>
                <w:color w:val="000000" w:themeColor="text1"/>
                <w:lang w:val="es-ES_tradnl" w:eastAsia="es-ES_tradnl"/>
              </w:rPr>
              <w:t xml:space="preserve">Respuesta a consulta con radicado No. </w:t>
            </w:r>
            <w:r w:rsidR="00CF512C" w:rsidRPr="00CF512C">
              <w:rPr>
                <w:rFonts w:ascii="Segoe UI" w:hAnsi="Segoe UI" w:cs="Segoe UI"/>
                <w:color w:val="000000" w:themeColor="text1"/>
                <w:sz w:val="27"/>
                <w:szCs w:val="27"/>
                <w:shd w:val="clear" w:color="auto" w:fill="FFFFFF"/>
              </w:rPr>
              <w:t>1_2025_10_24_011998</w:t>
            </w:r>
          </w:p>
        </w:tc>
      </w:tr>
    </w:tbl>
    <w:p w14:paraId="792F86DA"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2F555DF8"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902C7D6" w14:textId="0D10A17E"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sidR="00CF512C">
        <w:rPr>
          <w:rFonts w:ascii="Verdana" w:eastAsia="Calibri" w:hAnsi="Verdana" w:cs="Arial"/>
          <w:color w:val="000000" w:themeColor="text1"/>
          <w:lang w:val="es-ES" w:eastAsia="es-ES"/>
        </w:rPr>
        <w:t>a señora Monroy:</w:t>
      </w:r>
    </w:p>
    <w:p w14:paraId="7AB94749"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0F0C6F6" w14:textId="65067ADB"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CF512C">
        <w:rPr>
          <w:rFonts w:ascii="Verdana" w:eastAsia="Calibri" w:hAnsi="Verdana" w:cs="Arial"/>
          <w:color w:val="000000" w:themeColor="text1"/>
          <w:lang w:val="es-ES" w:eastAsia="es-ES"/>
        </w:rPr>
        <w:t>consulta de fecha</w:t>
      </w:r>
      <w:r w:rsidR="00CF512C" w:rsidRPr="00CF512C">
        <w:rPr>
          <w:rFonts w:ascii="Verdana" w:eastAsia="Calibri" w:hAnsi="Verdana" w:cs="Arial"/>
          <w:color w:val="000000" w:themeColor="text1"/>
          <w:lang w:val="es-ES" w:eastAsia="es-ES"/>
        </w:rPr>
        <w:t xml:space="preserve"> 24</w:t>
      </w:r>
      <w:r w:rsidRPr="00CF512C">
        <w:rPr>
          <w:rFonts w:ascii="Verdana" w:eastAsia="Calibri" w:hAnsi="Verdana" w:cs="Arial"/>
          <w:color w:val="000000" w:themeColor="text1"/>
          <w:lang w:val="es-ES" w:eastAsia="es-ES"/>
        </w:rPr>
        <w:t xml:space="preserve"> de </w:t>
      </w:r>
      <w:r w:rsidR="00CF512C" w:rsidRPr="00CF512C">
        <w:rPr>
          <w:rFonts w:ascii="Verdana" w:eastAsia="Calibri" w:hAnsi="Verdana" w:cs="Arial"/>
          <w:color w:val="000000" w:themeColor="text1"/>
          <w:lang w:val="es-ES" w:eastAsia="es-ES"/>
        </w:rPr>
        <w:t xml:space="preserve">octubre </w:t>
      </w:r>
      <w:r w:rsidRPr="00CF512C">
        <w:rPr>
          <w:rFonts w:ascii="Verdana" w:eastAsia="Calibri" w:hAnsi="Verdana" w:cs="Arial"/>
          <w:color w:val="000000" w:themeColor="text1"/>
          <w:lang w:val="es-ES" w:eastAsia="es-ES"/>
        </w:rPr>
        <w:t>de 20</w:t>
      </w:r>
      <w:r w:rsidR="00CF512C" w:rsidRPr="00CF512C">
        <w:rPr>
          <w:rFonts w:ascii="Verdana" w:eastAsia="Calibri" w:hAnsi="Verdana" w:cs="Arial"/>
          <w:color w:val="000000" w:themeColor="text1"/>
          <w:lang w:val="es-ES" w:eastAsia="es-ES"/>
        </w:rPr>
        <w:t>25</w:t>
      </w:r>
      <w:r w:rsidRPr="00CF512C">
        <w:rPr>
          <w:rFonts w:ascii="Verdana" w:eastAsia="Calibri" w:hAnsi="Verdana" w:cs="Arial"/>
          <w:color w:val="000000" w:themeColor="text1"/>
          <w:lang w:val="es-ES" w:eastAsia="es-ES"/>
        </w:rPr>
        <w:t>, en la cual manifiesta lo siguiente:</w:t>
      </w:r>
      <w:r w:rsidR="00CF512C" w:rsidRPr="00CF512C">
        <w:rPr>
          <w:rFonts w:ascii="Verdana" w:eastAsia="Calibri" w:hAnsi="Verdana" w:cs="Arial"/>
          <w:color w:val="000000" w:themeColor="text1"/>
          <w:lang w:val="es-ES" w:eastAsia="es-ES"/>
        </w:rPr>
        <w:t xml:space="preserve"> </w:t>
      </w:r>
    </w:p>
    <w:p w14:paraId="200DA68F" w14:textId="77777777" w:rsidR="00871B59" w:rsidRPr="00272A7B" w:rsidRDefault="00871B59" w:rsidP="00CF512C">
      <w:pPr>
        <w:pStyle w:val="Prrafodelista"/>
        <w:tabs>
          <w:tab w:val="left" w:pos="142"/>
          <w:tab w:val="left" w:pos="284"/>
        </w:tabs>
        <w:spacing w:line="276" w:lineRule="auto"/>
        <w:ind w:left="709" w:right="709"/>
        <w:jc w:val="both"/>
        <w:rPr>
          <w:rFonts w:ascii="Verdana" w:eastAsia="Century Gothic" w:hAnsi="Verdana" w:cs="Century Gothic"/>
          <w:b/>
          <w:bCs/>
          <w:lang w:val="es-ES"/>
        </w:rPr>
      </w:pPr>
    </w:p>
    <w:p w14:paraId="2001D685" w14:textId="4A4C5A36" w:rsidR="00871B59" w:rsidRPr="007B7E3D" w:rsidRDefault="00871B59" w:rsidP="007B7E3D">
      <w:pPr>
        <w:pStyle w:val="NormalWeb"/>
        <w:ind w:left="709" w:right="709"/>
        <w:jc w:val="both"/>
        <w:rPr>
          <w:rFonts w:ascii="Verdana" w:eastAsia="Times New Roman" w:hAnsi="Verdana"/>
          <w:color w:val="000000"/>
          <w:sz w:val="20"/>
          <w:szCs w:val="20"/>
          <w:lang w:eastAsia="es-MX"/>
        </w:rPr>
      </w:pPr>
      <w:bookmarkStart w:id="0" w:name="_Hlk95313578"/>
      <w:r w:rsidRPr="00CF512C">
        <w:rPr>
          <w:rFonts w:ascii="Verdana" w:eastAsia="Century Gothic" w:hAnsi="Verdana" w:cs="Century Gothic"/>
          <w:color w:val="7030A0"/>
          <w:sz w:val="20"/>
          <w:szCs w:val="20"/>
          <w:lang w:val="es-ES"/>
        </w:rPr>
        <w:lastRenderedPageBreak/>
        <w:t>“</w:t>
      </w:r>
      <w:bookmarkEnd w:id="0"/>
      <w:r w:rsidR="00CF512C" w:rsidRPr="00CF512C">
        <w:rPr>
          <w:rFonts w:ascii="Verdana" w:eastAsia="Times New Roman" w:hAnsi="Verdana"/>
          <w:color w:val="000000"/>
          <w:sz w:val="20"/>
          <w:szCs w:val="20"/>
          <w:lang w:eastAsia="es-MX"/>
        </w:rPr>
        <w:t>1. ¿Durante la vigencia de la Ley de Garantías, se encuentra prohibida la suscripción de convenios solidarios entre entidades públicas de carácter nacional y organizaciones sociales o comunitarias (por ejemplo, juntas de acción comunal), para la ejecución de proyectos de interés comunitario?</w:t>
      </w:r>
      <w:r w:rsidR="00CF512C">
        <w:rPr>
          <w:rFonts w:ascii="Verdana" w:eastAsia="Times New Roman" w:hAnsi="Verdana"/>
          <w:color w:val="000000"/>
          <w:sz w:val="20"/>
          <w:szCs w:val="20"/>
          <w:lang w:eastAsia="es-MX"/>
        </w:rPr>
        <w:t xml:space="preserve"> </w:t>
      </w:r>
      <w:r w:rsidR="00CF512C" w:rsidRPr="00CF512C">
        <w:rPr>
          <w:rFonts w:ascii="Verdana" w:eastAsia="Times New Roman" w:hAnsi="Verdana"/>
          <w:color w:val="000000"/>
          <w:sz w:val="20"/>
          <w:szCs w:val="20"/>
          <w:lang w:eastAsia="es-MX"/>
        </w:rPr>
        <w:t>2. En caso de que exista restricción, ¿a partir de qué fecha exacta se activa dicha prohibición y hasta cuándo se mantiene vigente, teniendo en cuenta el calendario electoral actual?</w:t>
      </w:r>
      <w:r w:rsidR="00CF512C">
        <w:rPr>
          <w:rFonts w:ascii="Verdana" w:eastAsia="Times New Roman" w:hAnsi="Verdana"/>
          <w:color w:val="000000"/>
          <w:sz w:val="20"/>
          <w:szCs w:val="20"/>
          <w:lang w:eastAsia="es-MX"/>
        </w:rPr>
        <w:t xml:space="preserve"> </w:t>
      </w:r>
      <w:r w:rsidR="00CF512C" w:rsidRPr="00CF512C">
        <w:rPr>
          <w:rFonts w:ascii="Verdana" w:eastAsia="Times New Roman" w:hAnsi="Verdana"/>
          <w:color w:val="000000"/>
          <w:sz w:val="20"/>
          <w:szCs w:val="20"/>
          <w:lang w:eastAsia="es-MX"/>
        </w:rPr>
        <w:t>3. ¿Existen excepciones previstas por la ley o por pronunciamientos de organismos de control (Consejo de Estado, Procuraduría, Contraloría o Función Pública) que permitan la suscripción de este tipo de convenios durante el período de restricciones?4. ¿Cuál es el procedimiento legal o administrativo que debe seguir una entidad pública para suscribir un convenio solidario durante la vigencia de la Ley de Garantías, en caso de que sea posible hacerlo?”.</w:t>
      </w:r>
    </w:p>
    <w:p w14:paraId="018F814A"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95FA69B" w14:textId="497F9E69"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00CF512C">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5878763"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1B61C8B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115EEA75"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29D5606" w14:textId="3AF7DF3F" w:rsidR="00655EED" w:rsidRPr="00CC5C68" w:rsidRDefault="00871B59" w:rsidP="00655EED">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 jurídico:</w:t>
      </w:r>
      <w:r w:rsidR="00655EED">
        <w:rPr>
          <w:rFonts w:ascii="Verdana" w:eastAsia="Century Gothic" w:hAnsi="Verdana" w:cs="Century Gothic"/>
        </w:rPr>
        <w:t xml:space="preserve"> ¿La restricción a la contratación directa de la Ley de garantías </w:t>
      </w:r>
      <w:r w:rsidR="00655EED">
        <w:rPr>
          <w:rFonts w:ascii="Verdana" w:eastAsia="Century Gothic" w:hAnsi="Verdana" w:cs="Century Gothic"/>
        </w:rPr>
        <w:lastRenderedPageBreak/>
        <w:t xml:space="preserve">aplica a </w:t>
      </w:r>
      <w:r w:rsidR="00655EED" w:rsidRPr="00BA2DB8">
        <w:rPr>
          <w:rFonts w:ascii="Verdana" w:eastAsia="Century Gothic" w:hAnsi="Verdana" w:cs="Century Gothic"/>
        </w:rPr>
        <w:t xml:space="preserve">convenios </w:t>
      </w:r>
      <w:r w:rsidR="00655EED">
        <w:rPr>
          <w:rFonts w:ascii="Verdana" w:eastAsia="Century Gothic" w:hAnsi="Verdana" w:cs="Century Gothic"/>
        </w:rPr>
        <w:t>solidarios, y en qué fechas aplican las restricciones de la Ley de garantías?</w:t>
      </w:r>
    </w:p>
    <w:p w14:paraId="3E431757" w14:textId="77777777" w:rsidR="00871B59" w:rsidRPr="00593A5F" w:rsidRDefault="00871B59" w:rsidP="00871B59">
      <w:pPr>
        <w:spacing w:after="0" w:line="276" w:lineRule="auto"/>
        <w:jc w:val="both"/>
        <w:rPr>
          <w:rFonts w:ascii="Verdana" w:eastAsia="Calibri" w:hAnsi="Verdana" w:cs="Arial"/>
          <w:color w:val="7030A0"/>
          <w:lang w:val="es-ES"/>
        </w:rPr>
      </w:pPr>
    </w:p>
    <w:p w14:paraId="2EE32D8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5C55D5C7"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812FF47" w14:textId="77777777" w:rsidTr="002607A7">
        <w:tc>
          <w:tcPr>
            <w:tcW w:w="8828" w:type="dxa"/>
          </w:tcPr>
          <w:p w14:paraId="60074E11" w14:textId="77777777" w:rsidR="00655EED" w:rsidRDefault="00655EED" w:rsidP="00655EED">
            <w:pPr>
              <w:spacing w:after="120" w:line="276" w:lineRule="auto"/>
              <w:jc w:val="both"/>
              <w:rPr>
                <w:rFonts w:ascii="Verdana" w:eastAsia="Times New Roman" w:hAnsi="Verdana" w:cs="Arial"/>
                <w:lang w:eastAsia="x-none"/>
              </w:rPr>
            </w:pPr>
            <w:bookmarkStart w:id="1" w:name="_Hlk78818702"/>
            <w:r>
              <w:rPr>
                <w:rFonts w:ascii="Verdana" w:eastAsia="Times New Roman" w:hAnsi="Verdana" w:cs="Arial"/>
                <w:lang w:eastAsia="x-none"/>
              </w:rPr>
              <w:t>L</w:t>
            </w:r>
            <w:r w:rsidRPr="00F02C5A">
              <w:rPr>
                <w:rFonts w:ascii="Verdana" w:eastAsia="Times New Roman" w:hAnsi="Verdana" w:cs="Arial"/>
                <w:lang w:eastAsia="x-none"/>
              </w:rPr>
              <w:t xml:space="preserve">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bookmarkEnd w:id="1"/>
          </w:p>
          <w:p w14:paraId="134ABBB8" w14:textId="77777777" w:rsidR="00655EED" w:rsidRDefault="00655EED" w:rsidP="00655EED">
            <w:pPr>
              <w:spacing w:after="120" w:line="276" w:lineRule="auto"/>
              <w:jc w:val="both"/>
              <w:rPr>
                <w:rFonts w:ascii="Verdana" w:eastAsia="Times New Roman" w:hAnsi="Verdana" w:cs="Arial"/>
                <w:lang w:eastAsia="x-none"/>
              </w:rPr>
            </w:pPr>
            <w:r>
              <w:rPr>
                <w:rFonts w:ascii="Verdana" w:eastAsia="Times New Roman" w:hAnsi="Verdana" w:cs="Arial"/>
                <w:lang w:eastAsia="x-none"/>
              </w:rPr>
              <w:t>Por tanto, teniendo en cuenta que el artículo 95 de la Ley 2166 de 2021 dispone que “</w:t>
            </w:r>
            <w:r w:rsidRPr="00A957EA">
              <w:rPr>
                <w:rFonts w:ascii="Verdana" w:eastAsia="Times New Roman" w:hAnsi="Verdana" w:cs="Arial"/>
                <w:i/>
                <w:iCs/>
                <w:lang w:eastAsia="x-none"/>
              </w:rPr>
              <w:t>Se autoriza a los entes del orden Nacional, Departamental, Distrital y municipal para celebrar directamente convenios solidarios con los Organismos de Acción Comunal con el fin de contratar con los habitantes de la comunidad</w:t>
            </w:r>
            <w:r>
              <w:rPr>
                <w:rFonts w:ascii="Verdana" w:eastAsia="Times New Roman" w:hAnsi="Verdana" w:cs="Arial"/>
                <w:lang w:eastAsia="x-none"/>
              </w:rPr>
              <w:t>”;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351037A5" w14:textId="77777777" w:rsidR="00655EED" w:rsidRDefault="00655EED" w:rsidP="00655EED">
            <w:pPr>
              <w:spacing w:after="120" w:line="276" w:lineRule="auto"/>
              <w:jc w:val="both"/>
              <w:rPr>
                <w:rFonts w:ascii="Verdana" w:eastAsia="Calibri" w:hAnsi="Verdana" w:cs="Arial"/>
              </w:rPr>
            </w:pPr>
            <w:r>
              <w:rPr>
                <w:rFonts w:ascii="Verdana" w:eastAsia="Times New Roman" w:hAnsi="Verdana" w:cs="Arial"/>
                <w:lang w:eastAsia="x-none"/>
              </w:rPr>
              <w:t xml:space="preserve">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w:t>
            </w:r>
            <w:r w:rsidRPr="000C5BB0">
              <w:rPr>
                <w:rFonts w:ascii="Verdana" w:eastAsia="Calibri" w:hAnsi="Verdana" w:cs="Arial"/>
              </w:rPr>
              <w:t>la restricci</w:t>
            </w:r>
            <w:r>
              <w:rPr>
                <w:rFonts w:ascii="Verdana" w:eastAsia="Calibri" w:hAnsi="Verdana" w:cs="Arial"/>
              </w:rPr>
              <w:t>ón</w:t>
            </w:r>
            <w:r w:rsidRPr="000C5BB0">
              <w:rPr>
                <w:rFonts w:ascii="Verdana" w:eastAsia="Calibri" w:hAnsi="Verdana" w:cs="Arial"/>
              </w:rPr>
              <w:t xml:space="preserve"> inicia</w:t>
            </w:r>
            <w:r>
              <w:rPr>
                <w:rFonts w:ascii="Verdana" w:eastAsia="Calibri" w:hAnsi="Verdana" w:cs="Arial"/>
              </w:rPr>
              <w:t>ría</w:t>
            </w:r>
            <w:r w:rsidRPr="000C5BB0">
              <w:rPr>
                <w:rFonts w:ascii="Verdana" w:eastAsia="Calibri" w:hAnsi="Verdana" w:cs="Arial"/>
              </w:rPr>
              <w:t xml:space="preserve"> el 8 de noviembre de 2025, es decir, 4 meses antes de la fecha de las elecciones</w:t>
            </w:r>
            <w:r>
              <w:rPr>
                <w:rFonts w:ascii="Verdana" w:eastAsia="Calibri" w:hAnsi="Verdana" w:cs="Arial"/>
              </w:rPr>
              <w:t xml:space="preserve">, y las restricciones que se aplican son </w:t>
            </w:r>
            <w:r w:rsidRPr="00461891">
              <w:rPr>
                <w:rFonts w:ascii="Verdana" w:eastAsia="Calibri" w:hAnsi="Verdana" w:cs="Arial"/>
              </w:rPr>
              <w:t>que prohíbe a los gobernadores, alcaldes municipales o distritales, secretarios, gerentes y directores de entidades descentralizadas del orden municipal, departamental o distrital</w:t>
            </w:r>
            <w:r>
              <w:rPr>
                <w:rFonts w:ascii="Verdana" w:eastAsia="Calibri" w:hAnsi="Verdana" w:cs="Arial"/>
              </w:rPr>
              <w:t xml:space="preserve"> </w:t>
            </w:r>
            <w:r w:rsidRPr="0046189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C5BB0">
              <w:rPr>
                <w:rFonts w:ascii="Verdana" w:eastAsia="Calibri" w:hAnsi="Verdana" w:cs="Arial"/>
              </w:rPr>
              <w:t>.</w:t>
            </w:r>
          </w:p>
          <w:p w14:paraId="63F70F4E" w14:textId="4A337874" w:rsidR="00871B59" w:rsidRPr="00593A5F" w:rsidRDefault="00655EED" w:rsidP="00655EED">
            <w:pPr>
              <w:spacing w:line="276" w:lineRule="auto"/>
              <w:jc w:val="both"/>
              <w:rPr>
                <w:rFonts w:ascii="Verdana" w:eastAsia="Calibri" w:hAnsi="Verdana" w:cs="Arial"/>
                <w:color w:val="7030A0"/>
                <w:lang w:val="es-ES"/>
              </w:rPr>
            </w:pPr>
            <w:r>
              <w:rPr>
                <w:rFonts w:ascii="Verdana" w:eastAsia="Calibri" w:hAnsi="Verdana" w:cs="Arial"/>
              </w:rPr>
              <w:lastRenderedPageBreak/>
              <w:t>P</w:t>
            </w:r>
            <w:r w:rsidRPr="000C5BB0">
              <w:rPr>
                <w:rFonts w:ascii="Verdana" w:eastAsia="Calibri" w:hAnsi="Verdana" w:cs="Arial"/>
              </w:rPr>
              <w:t>ara las elecciones presidenciales,</w:t>
            </w:r>
            <w:r>
              <w:rPr>
                <w:rFonts w:ascii="Verdana" w:eastAsia="Calibri" w:hAnsi="Verdana" w:cs="Arial"/>
              </w:rPr>
              <w:t xml:space="preserve"> </w:t>
            </w:r>
            <w:r>
              <w:rPr>
                <w:rFonts w:ascii="Verdana" w:eastAsia="Times New Roman" w:hAnsi="Verdana" w:cs="Arial"/>
                <w:lang w:eastAsia="x-none"/>
              </w:rPr>
              <w:t>el Consejo Nacional Electoral mediante Resolución No. 2580 del 5 de marzo de 2025 fijó el calendario electoral para las elecciones</w:t>
            </w:r>
            <w:r w:rsidRPr="000C5BB0">
              <w:rPr>
                <w:rFonts w:ascii="Verdana" w:eastAsia="Calibri" w:hAnsi="Verdana" w:cs="Arial"/>
              </w:rPr>
              <w:t xml:space="preserve"> </w:t>
            </w:r>
            <w:r>
              <w:rPr>
                <w:rFonts w:ascii="Verdana" w:eastAsia="Calibri" w:hAnsi="Verdana" w:cs="Arial"/>
              </w:rPr>
              <w:t>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w:t>
            </w:r>
            <w:r w:rsidRPr="008772F9">
              <w:rPr>
                <w:rFonts w:ascii="Verdana" w:eastAsia="Calibri" w:hAnsi="Verdana" w:cs="Arial"/>
              </w:rPr>
              <w:t>ueda prohibida la contratación directa por parte de todos los entes del Estado</w:t>
            </w:r>
            <w:r>
              <w:rPr>
                <w:rFonts w:ascii="Verdana" w:eastAsia="Calibri" w:hAnsi="Verdana" w:cs="Arial"/>
              </w:rPr>
              <w:t>, dentro de lo cual se incluyen los convenios solidarios</w:t>
            </w:r>
            <w:r w:rsidRPr="008772F9">
              <w:rPr>
                <w:rFonts w:ascii="Verdana" w:eastAsia="Calibri" w:hAnsi="Verdana" w:cs="Arial"/>
              </w:rPr>
              <w:t>.</w:t>
            </w:r>
          </w:p>
        </w:tc>
      </w:tr>
    </w:tbl>
    <w:p w14:paraId="2BD7F566"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16EE2326"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8C71B28" w14:textId="77777777" w:rsidR="00871B59" w:rsidRPr="00593A5F" w:rsidRDefault="00871B59" w:rsidP="00871B59">
      <w:pPr>
        <w:spacing w:after="0" w:line="276" w:lineRule="auto"/>
        <w:jc w:val="both"/>
        <w:rPr>
          <w:rFonts w:ascii="Verdana" w:eastAsia="Calibri" w:hAnsi="Verdana" w:cs="Arial"/>
          <w:color w:val="7030A0"/>
          <w:lang w:val="es-ES"/>
        </w:rPr>
      </w:pPr>
    </w:p>
    <w:p w14:paraId="1969A9C5"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05A2B50D" w14:textId="77777777" w:rsidR="00983695" w:rsidRDefault="00983695" w:rsidP="00983695">
      <w:pPr>
        <w:spacing w:after="0" w:line="276" w:lineRule="auto"/>
        <w:jc w:val="both"/>
        <w:rPr>
          <w:rFonts w:ascii="Verdana" w:eastAsia="Calibri" w:hAnsi="Verdana" w:cs="Arial"/>
          <w:color w:val="7030A0"/>
          <w:lang w:val="es-ES"/>
        </w:rPr>
      </w:pPr>
    </w:p>
    <w:p w14:paraId="0E78CDF1" w14:textId="77777777" w:rsidR="00655EED" w:rsidRPr="00F02C5A" w:rsidRDefault="00655EED" w:rsidP="00655EED">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2" w:name="_Hlk75628761"/>
      <w:r w:rsidRPr="00F02C5A">
        <w:rPr>
          <w:rFonts w:ascii="Verdana" w:eastAsia="Times New Roman" w:hAnsi="Verdana" w:cs="Arial"/>
          <w:lang w:val="es-MX" w:eastAsia="x-none"/>
        </w:rPr>
        <w:t xml:space="preserve">en el artículo 33 de la Ley 996 de 2005 </w:t>
      </w:r>
      <w:bookmarkEnd w:id="2"/>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4B814648" w14:textId="77777777" w:rsidR="00655EED" w:rsidRPr="00F02C5A" w:rsidRDefault="00655EED" w:rsidP="00655EED">
      <w:pPr>
        <w:spacing w:after="0" w:line="276" w:lineRule="auto"/>
        <w:ind w:left="708" w:right="709"/>
        <w:contextualSpacing/>
        <w:jc w:val="both"/>
        <w:rPr>
          <w:rFonts w:ascii="Verdana" w:eastAsia="Calibri" w:hAnsi="Verdana" w:cs="Arial"/>
          <w:sz w:val="21"/>
          <w:szCs w:val="21"/>
          <w:lang w:val="es-MX"/>
        </w:rPr>
      </w:pPr>
    </w:p>
    <w:p w14:paraId="397206AF" w14:textId="77777777" w:rsidR="00655EED" w:rsidRPr="00F02C5A" w:rsidRDefault="00655EED" w:rsidP="00655EED">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2"/>
      </w:r>
      <w:r w:rsidRPr="00F02C5A">
        <w:rPr>
          <w:rFonts w:ascii="Verdana" w:eastAsia="Calibri" w:hAnsi="Verdana" w:cs="Arial"/>
          <w:sz w:val="21"/>
          <w:szCs w:val="21"/>
          <w:lang w:val="es-MX"/>
        </w:rPr>
        <w:t>.</w:t>
      </w:r>
    </w:p>
    <w:p w14:paraId="667728D6" w14:textId="77777777" w:rsidR="00655EED" w:rsidRPr="00F02C5A" w:rsidRDefault="00655EED" w:rsidP="00655EED">
      <w:pPr>
        <w:spacing w:after="0" w:line="240" w:lineRule="auto"/>
        <w:ind w:left="709" w:right="709"/>
        <w:contextualSpacing/>
        <w:jc w:val="both"/>
        <w:rPr>
          <w:rFonts w:ascii="Verdana" w:eastAsia="Calibri" w:hAnsi="Verdana" w:cs="Arial"/>
          <w:sz w:val="12"/>
          <w:szCs w:val="12"/>
          <w:lang w:val="es-MX"/>
        </w:rPr>
      </w:pPr>
    </w:p>
    <w:p w14:paraId="04667B9A" w14:textId="77777777" w:rsidR="00655EED" w:rsidRPr="00F02C5A" w:rsidRDefault="00655EED" w:rsidP="00655EED">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3"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3"/>
      <w:r w:rsidRPr="00F02C5A">
        <w:rPr>
          <w:rFonts w:ascii="Verdana" w:eastAsia="Calibri" w:hAnsi="Verdana" w:cs="Arial"/>
          <w:sz w:val="21"/>
          <w:szCs w:val="21"/>
          <w:lang w:val="es-MX"/>
        </w:rPr>
        <w:t xml:space="preserve">y que, además, no necesariamente hace referencia al procedimiento especial regulado por la ley de contratación estatal, sino a cualquier otro que prescinda de un proceso de licitación </w:t>
      </w:r>
      <w:r w:rsidRPr="00F02C5A">
        <w:rPr>
          <w:rFonts w:ascii="Verdana" w:eastAsia="Calibri" w:hAnsi="Verdana" w:cs="Arial"/>
          <w:sz w:val="21"/>
          <w:szCs w:val="21"/>
          <w:lang w:val="es-MX"/>
        </w:rPr>
        <w:lastRenderedPageBreak/>
        <w:t>pública o concurso</w:t>
      </w:r>
      <w:r w:rsidRPr="00F02C5A">
        <w:rPr>
          <w:rFonts w:ascii="Verdana" w:eastAsia="Times New Roman" w:hAnsi="Verdana" w:cs="Arial"/>
          <w:sz w:val="21"/>
          <w:szCs w:val="21"/>
          <w:vertAlign w:val="superscript"/>
          <w:lang w:val="es-MX"/>
        </w:rPr>
        <w:footnoteReference w:id="3"/>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4"/>
      </w:r>
      <w:r w:rsidRPr="00F02C5A">
        <w:rPr>
          <w:rFonts w:ascii="Verdana" w:eastAsia="Calibri" w:hAnsi="Verdana" w:cs="Arial"/>
          <w:sz w:val="21"/>
          <w:szCs w:val="21"/>
          <w:lang w:val="es-MX"/>
        </w:rPr>
        <w:t xml:space="preserve"> .</w:t>
      </w:r>
    </w:p>
    <w:p w14:paraId="6AA07EF6" w14:textId="77777777" w:rsidR="00655EED" w:rsidRPr="00F02C5A" w:rsidRDefault="00655EED" w:rsidP="00655EED">
      <w:pPr>
        <w:shd w:val="clear" w:color="auto" w:fill="FFFFFF"/>
        <w:spacing w:after="0" w:line="276" w:lineRule="auto"/>
        <w:ind w:firstLine="709"/>
        <w:contextualSpacing/>
        <w:jc w:val="both"/>
        <w:rPr>
          <w:rFonts w:ascii="Verdana" w:eastAsia="Times New Roman" w:hAnsi="Verdana" w:cs="Arial"/>
          <w:lang w:eastAsia="x-none"/>
        </w:rPr>
      </w:pPr>
    </w:p>
    <w:p w14:paraId="2A33902A" w14:textId="77777777" w:rsidR="00655EED" w:rsidRPr="00F02C5A" w:rsidRDefault="00655EED" w:rsidP="00655EED">
      <w:pPr>
        <w:spacing w:after="120" w:line="276" w:lineRule="auto"/>
        <w:ind w:firstLine="709"/>
        <w:jc w:val="both"/>
        <w:rPr>
          <w:rFonts w:ascii="Verdana" w:eastAsia="Times New Roman" w:hAnsi="Verdana" w:cs="Arial"/>
          <w:lang w:eastAsia="x-none"/>
        </w:rPr>
      </w:pPr>
      <w:bookmarkStart w:id="5"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5"/>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xml:space="preserve">. </w:t>
      </w:r>
    </w:p>
    <w:p w14:paraId="172E6B36" w14:textId="77777777" w:rsidR="00655EED" w:rsidRPr="00F02C5A" w:rsidRDefault="00655EED" w:rsidP="00655EED">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7"/>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6AD3A2D3" w14:textId="77777777" w:rsidR="00655EED" w:rsidRPr="00F02C5A" w:rsidRDefault="00655EED" w:rsidP="00655EED">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lastRenderedPageBreak/>
        <w:t>E</w:t>
      </w:r>
      <w:r w:rsidRPr="00F02C5A">
        <w:rPr>
          <w:rFonts w:ascii="Verdana" w:eastAsia="Times New Roman" w:hAnsi="Verdana" w:cs="Arial"/>
          <w:lang w:eastAsia="x-none"/>
        </w:rPr>
        <w:t xml:space="preserve">n efecto, vale la pena mencionar que, </w:t>
      </w:r>
      <w:bookmarkStart w:id="6"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6"/>
      <w:r w:rsidRPr="00F02C5A">
        <w:rPr>
          <w:rFonts w:ascii="Verdana" w:eastAsia="Times New Roman" w:hAnsi="Verdana" w:cs="Arial"/>
          <w:vertAlign w:val="superscript"/>
          <w:lang w:eastAsia="x-none"/>
        </w:rPr>
        <w:footnoteReference w:id="8"/>
      </w:r>
      <w:r w:rsidRPr="00F02C5A">
        <w:rPr>
          <w:rFonts w:ascii="Verdana" w:eastAsia="Times New Roman" w:hAnsi="Verdana" w:cs="Arial"/>
          <w:lang w:eastAsia="x-none"/>
        </w:rPr>
        <w:t xml:space="preserve">. </w:t>
      </w:r>
    </w:p>
    <w:p w14:paraId="541A58EF" w14:textId="77777777" w:rsidR="00655EED" w:rsidRPr="00F02C5A" w:rsidRDefault="00655EED" w:rsidP="00655EED">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1D2B267" w14:textId="77777777" w:rsidR="00655EED" w:rsidRPr="00F02C5A" w:rsidRDefault="00655EED" w:rsidP="00655EED">
      <w:pPr>
        <w:spacing w:after="120" w:line="276" w:lineRule="auto"/>
        <w:ind w:firstLine="709"/>
        <w:jc w:val="both"/>
        <w:rPr>
          <w:rFonts w:ascii="Verdana" w:eastAsia="Times New Roman" w:hAnsi="Verdana" w:cs="Arial"/>
          <w:lang w:val="es-MX" w:eastAsia="x-none"/>
        </w:rPr>
      </w:pPr>
      <w:bookmarkStart w:id="7" w:name="_Hlk78818796"/>
      <w:r w:rsidRPr="00F02C5A">
        <w:rPr>
          <w:rFonts w:ascii="Verdana" w:eastAsia="Times New Roman" w:hAnsi="Verdana" w:cs="Arial"/>
          <w:lang w:val="es-MX" w:eastAsia="x-none"/>
        </w:rPr>
        <w:t xml:space="preserve"> Así las cosas, </w:t>
      </w:r>
      <w:bookmarkStart w:id="8"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9"/>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7"/>
    <w:p w14:paraId="5B12CA45" w14:textId="77777777" w:rsidR="00655EED" w:rsidRPr="00F02C5A" w:rsidRDefault="00655EED" w:rsidP="00655EED">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w:t>
      </w:r>
      <w:r w:rsidRPr="00F02C5A">
        <w:rPr>
          <w:rFonts w:ascii="Verdana" w:eastAsia="Times New Roman" w:hAnsi="Verdana" w:cs="Arial"/>
          <w:lang w:eastAsia="x-none"/>
        </w:rPr>
        <w:lastRenderedPageBreak/>
        <w:t>selección abreviada y la mínima cuantía, razón por la cual en ese período preelectoral de que trata la disposición las entidades públicas pueden seguir contratando bajo estos sistemas.</w:t>
      </w:r>
    </w:p>
    <w:p w14:paraId="7AE6A363" w14:textId="77777777" w:rsidR="00655EED" w:rsidRPr="00F02C5A" w:rsidRDefault="00655EED" w:rsidP="00655EED">
      <w:pPr>
        <w:spacing w:after="120" w:line="276" w:lineRule="auto"/>
        <w:ind w:firstLine="709"/>
        <w:jc w:val="both"/>
        <w:rPr>
          <w:rFonts w:ascii="Verdana" w:eastAsia="Times New Roman" w:hAnsi="Verdana" w:cs="Arial"/>
          <w:lang w:val="es-MX" w:eastAsia="x-none"/>
        </w:rPr>
      </w:pPr>
      <w:bookmarkStart w:id="9" w:name="_Hlk77237094"/>
      <w:bookmarkEnd w:id="8"/>
      <w:r w:rsidRPr="00F02C5A">
        <w:rPr>
          <w:rFonts w:ascii="Verdana" w:eastAsia="Times New Roman" w:hAnsi="Verdana" w:cs="Arial"/>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9"/>
    </w:p>
    <w:p w14:paraId="7D17037F" w14:textId="77777777" w:rsidR="00655EED" w:rsidRPr="00F02C5A" w:rsidRDefault="00655EED" w:rsidP="00655EED">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0" w:name="_Hlk99577887"/>
      <w:bookmarkStart w:id="11"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0"/>
    </w:p>
    <w:bookmarkEnd w:id="11"/>
    <w:p w14:paraId="76EE2CF9" w14:textId="77777777" w:rsidR="00655EED" w:rsidRDefault="00655EED" w:rsidP="00655EED">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2" w:name="_Hlk74309042"/>
      <w:r w:rsidRPr="00F02C5A">
        <w:rPr>
          <w:rFonts w:ascii="Verdana" w:eastAsia="Times New Roman" w:hAnsi="Verdana" w:cs="Arial"/>
          <w:lang w:val="es-MX" w:eastAsia="x-none"/>
        </w:rPr>
        <w:t>que “</w:t>
      </w:r>
      <w:bookmarkEnd w:id="12"/>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3"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10"/>
      </w:r>
      <w:r w:rsidRPr="00F02C5A">
        <w:rPr>
          <w:rFonts w:ascii="Verdana" w:eastAsia="Times New Roman" w:hAnsi="Verdana" w:cs="Arial"/>
          <w:lang w:val="es-MX" w:eastAsia="x-none"/>
        </w:rPr>
        <w:t xml:space="preserve">. De ahí que la Corte haya </w:t>
      </w:r>
      <w:r w:rsidRPr="00F02C5A">
        <w:rPr>
          <w:rFonts w:ascii="Verdana" w:eastAsia="Times New Roman" w:hAnsi="Verdana" w:cs="Arial"/>
          <w:lang w:val="es-MX" w:eastAsia="x-none"/>
        </w:rPr>
        <w:lastRenderedPageBreak/>
        <w:t xml:space="preserve">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3"/>
    </w:p>
    <w:p w14:paraId="2CE40547" w14:textId="77777777" w:rsidR="00871B59" w:rsidRPr="00655EED" w:rsidRDefault="00871B59" w:rsidP="00871B59">
      <w:pPr>
        <w:widowControl w:val="0"/>
        <w:autoSpaceDE w:val="0"/>
        <w:autoSpaceDN w:val="0"/>
        <w:spacing w:after="0" w:line="276" w:lineRule="auto"/>
        <w:jc w:val="both"/>
        <w:rPr>
          <w:rFonts w:ascii="Verdana" w:hAnsi="Verdana" w:cs="Arial"/>
          <w:lang w:val="es-MX"/>
        </w:rPr>
      </w:pPr>
    </w:p>
    <w:p w14:paraId="42AB3E00"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3E764B3C"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464E983C" w14:textId="77777777" w:rsidTr="002607A7">
        <w:trPr>
          <w:trHeight w:val="870"/>
        </w:trPr>
        <w:tc>
          <w:tcPr>
            <w:tcW w:w="8647" w:type="dxa"/>
          </w:tcPr>
          <w:p w14:paraId="6ECE5186" w14:textId="77777777" w:rsidR="00655EED"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7C1A6196" w14:textId="77777777" w:rsidR="00655EED" w:rsidRPr="003E412A"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1B1EA484" w14:textId="77777777" w:rsidR="00655EED" w:rsidRPr="003E412A"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 8 de mayo de 2018. Radicación Número: 11001-03-06-000-2018-00095-00(2382). Consejero Ponente: Álvaro </w:t>
            </w:r>
            <w:proofErr w:type="spellStart"/>
            <w:r w:rsidRPr="003E412A">
              <w:rPr>
                <w:rFonts w:ascii="Verdana" w:hAnsi="Verdana" w:cs="Arial"/>
              </w:rPr>
              <w:t>Namén</w:t>
            </w:r>
            <w:proofErr w:type="spellEnd"/>
            <w:r w:rsidRPr="003E412A">
              <w:rPr>
                <w:rFonts w:ascii="Verdana" w:hAnsi="Verdana" w:cs="Arial"/>
              </w:rPr>
              <w:t xml:space="preserve"> Vargas.</w:t>
            </w:r>
          </w:p>
          <w:p w14:paraId="019A1A86" w14:textId="77777777" w:rsidR="00655EED"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xml:space="preserve">. 2.382. C.P. Álvaro </w:t>
            </w:r>
            <w:proofErr w:type="spellStart"/>
            <w:r w:rsidRPr="003E412A">
              <w:rPr>
                <w:rFonts w:ascii="Verdana" w:hAnsi="Verdana" w:cs="Arial"/>
              </w:rPr>
              <w:t>Namén</w:t>
            </w:r>
            <w:proofErr w:type="spellEnd"/>
            <w:r w:rsidRPr="003E412A">
              <w:rPr>
                <w:rFonts w:ascii="Verdana" w:hAnsi="Verdana" w:cs="Arial"/>
              </w:rPr>
              <w:t xml:space="preserve"> Vargas.</w:t>
            </w:r>
          </w:p>
          <w:p w14:paraId="0FF82D7F" w14:textId="77777777" w:rsidR="00655EED" w:rsidRPr="007E43EB"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3EF61810" w14:textId="77777777" w:rsidR="00655EED" w:rsidRPr="007E43EB"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0205E243" w14:textId="77777777" w:rsidR="00655EED" w:rsidRDefault="00655EED" w:rsidP="00655EED">
            <w:pPr>
              <w:pStyle w:val="Prrafodelista"/>
              <w:widowControl w:val="0"/>
              <w:numPr>
                <w:ilvl w:val="0"/>
                <w:numId w:val="8"/>
              </w:numPr>
              <w:autoSpaceDE w:val="0"/>
              <w:autoSpaceDN w:val="0"/>
              <w:spacing w:after="120" w:line="276" w:lineRule="auto"/>
              <w:jc w:val="both"/>
              <w:rPr>
                <w:rFonts w:ascii="Verdana" w:hAnsi="Verdana" w:cs="Arial"/>
              </w:rPr>
            </w:pPr>
            <w:r w:rsidRPr="007E43EB">
              <w:rPr>
                <w:rFonts w:ascii="Verdana" w:hAnsi="Verdana" w:cs="Arial"/>
              </w:rPr>
              <w:t xml:space="preserve">Consejo de Estado. Sala de Consulta y Servicio Civil. Concepto del 2 de septiembre de 2013. Radicación número: 11001-03-06-000-2013-00412-00 (2168). Consejero Ponente: Álvaro </w:t>
            </w:r>
            <w:proofErr w:type="spellStart"/>
            <w:r w:rsidRPr="007E43EB">
              <w:rPr>
                <w:rFonts w:ascii="Verdana" w:hAnsi="Verdana" w:cs="Arial"/>
              </w:rPr>
              <w:t>Namén</w:t>
            </w:r>
            <w:proofErr w:type="spellEnd"/>
            <w:r w:rsidRPr="007E43EB">
              <w:rPr>
                <w:rFonts w:ascii="Verdana" w:hAnsi="Verdana" w:cs="Arial"/>
              </w:rPr>
              <w:t xml:space="preserve"> Vargas.</w:t>
            </w:r>
          </w:p>
          <w:p w14:paraId="39E2A131" w14:textId="36C5E84D" w:rsidR="00871B59" w:rsidRPr="00AC742F" w:rsidRDefault="00655EED" w:rsidP="00655EED">
            <w:pPr>
              <w:pStyle w:val="Prrafodelista"/>
              <w:widowControl w:val="0"/>
              <w:numPr>
                <w:ilvl w:val="0"/>
                <w:numId w:val="8"/>
              </w:numPr>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2" w:history="1">
              <w:r w:rsidRPr="008D4636">
                <w:rPr>
                  <w:rStyle w:val="Hipervnculo"/>
                  <w:rFonts w:ascii="Verdana" w:hAnsi="Verdana" w:cs="Arial"/>
                </w:rPr>
                <w:t>https://colombiacompra.gov.co/sites/cce_public/files/cce_circulares/cce-eicp-ma-06_circular_externa_con_comentarios_de_ciudadanos-_v2f_002.pdf</w:t>
              </w:r>
            </w:hyperlink>
          </w:p>
        </w:tc>
      </w:tr>
    </w:tbl>
    <w:p w14:paraId="503321EB" w14:textId="77777777" w:rsidR="00871B59" w:rsidRPr="00593A5F" w:rsidRDefault="00871B59" w:rsidP="00871B59">
      <w:pPr>
        <w:widowControl w:val="0"/>
        <w:autoSpaceDE w:val="0"/>
        <w:autoSpaceDN w:val="0"/>
        <w:spacing w:after="0" w:line="276" w:lineRule="auto"/>
        <w:jc w:val="both"/>
        <w:rPr>
          <w:rFonts w:ascii="Verdana" w:hAnsi="Verdana" w:cs="Arial"/>
        </w:rPr>
      </w:pPr>
    </w:p>
    <w:p w14:paraId="54A91255"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7CD10067" w14:textId="77777777" w:rsidR="00655EED" w:rsidRDefault="00655EED" w:rsidP="00655EE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0725D3CE" w14:textId="77777777" w:rsidR="00655EED" w:rsidRPr="00CC5C68" w:rsidRDefault="00655EED" w:rsidP="00655EE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w:t>
      </w:r>
      <w:r w:rsidRPr="00F02C5A">
        <w:rPr>
          <w:rStyle w:val="normaltextrun"/>
          <w:rFonts w:ascii="Verdana" w:hAnsi="Verdana" w:cs="Arial"/>
          <w:color w:val="000000"/>
          <w:shd w:val="clear" w:color="auto" w:fill="FFFFFF"/>
          <w:lang w:val="es-ES"/>
        </w:rPr>
        <w:lastRenderedPageBreak/>
        <w:t xml:space="preserve">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F02C5A">
        <w:rPr>
          <w:rStyle w:val="normaltextrun"/>
          <w:rFonts w:ascii="Verdana" w:hAnsi="Verdana" w:cs="Arial"/>
          <w:color w:val="000000"/>
          <w:shd w:val="clear" w:color="auto" w:fill="FFFFFF"/>
        </w:rPr>
        <w:t xml:space="preserve">C-715 del 21 de enero de 2022, C-718 del 24 de enero de 2022 y C-726 del 24 de 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w:t>
      </w:r>
      <w:r w:rsidRPr="00F02C5A">
        <w:rPr>
          <w:rStyle w:val="normaltextrun"/>
          <w:rFonts w:ascii="Verdana" w:hAnsi="Verdana" w:cs="Arial"/>
          <w:color w:val="000000"/>
          <w:shd w:val="clear" w:color="auto" w:fill="FFFFFF"/>
        </w:rPr>
        <w:lastRenderedPageBreak/>
        <w:t>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 y C-584 del 24 de junio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3" w:history="1">
        <w:r w:rsidRPr="00CC5C68">
          <w:rPr>
            <w:rStyle w:val="Hipervnculo"/>
            <w:rFonts w:ascii="Verdana" w:hAnsi="Verdana" w:cs="Arial"/>
            <w:shd w:val="clear" w:color="auto" w:fill="FFFFFF"/>
            <w:lang w:val="es-ES"/>
          </w:rPr>
          <w:t>https://relatoria.colombiacompra.gov.co/busqueda/conceptos</w:t>
        </w:r>
      </w:hyperlink>
    </w:p>
    <w:p w14:paraId="513B4680" w14:textId="77777777" w:rsidR="00655EED" w:rsidRPr="00CC5C68" w:rsidRDefault="00655EED" w:rsidP="00655EED">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A0C6CF9" w14:textId="77777777" w:rsidR="00655EED" w:rsidRPr="00067BB4" w:rsidRDefault="00655EED" w:rsidP="00655EED">
      <w:pPr>
        <w:spacing w:after="0" w:line="276" w:lineRule="auto"/>
        <w:jc w:val="both"/>
        <w:rPr>
          <w:rFonts w:ascii="Verdana" w:hAnsi="Verdana"/>
        </w:rPr>
      </w:pPr>
      <w:r w:rsidRPr="00067BB4">
        <w:rPr>
          <w:rFonts w:ascii="Verdana" w:hAnsi="Verdana"/>
        </w:rPr>
        <w:t>La Agencia Nacional de Contratación Pública – Colombia Compra Eficiente invita a las Entidades Estatales, a los actores del Sistema de Compra Pública y a la ciudadanía en general a conocer y participar en la actualización de la </w:t>
      </w:r>
      <w:r w:rsidRPr="00067BB4">
        <w:rPr>
          <w:rFonts w:ascii="Verdana" w:hAnsi="Verdana"/>
          <w:b/>
          <w:bCs/>
          <w:i/>
          <w:iCs/>
        </w:rPr>
        <w:t>Guía para la Elaboración de Estudios del Sector</w:t>
      </w:r>
      <w:r w:rsidRPr="00067BB4">
        <w:rPr>
          <w:rFonts w:ascii="Verdana" w:hAnsi="Verdana"/>
        </w:rPr>
        <w:t>. Esta herramienta orientadora facilita el análisis del mercado del bien, obra o servicio a contratar, y tiene como propósito promover procesos de contratación más eficientes, competitivos, sostenibles e inclusivos. La guía se encuentra disponible para consulta y comentarios hasta el 22 de mayo de 2025, a través del siguiente enlace: </w:t>
      </w:r>
      <w:hyperlink r:id="rId14" w:tgtFrame="_blank" w:tooltip="Dirección URL original: https://www.colombiacompra.gov.co/archivos/convocatoria/participacion-ciudadana-proyecto-de-la-guia-para-la-elaboracion-de-estudios-del-sector. Haga clic o pulse si confía en este vínculo." w:history="1">
        <w:r w:rsidRPr="00067BB4">
          <w:rPr>
            <w:rStyle w:val="Hipervnculo"/>
            <w:rFonts w:ascii="Verdana" w:hAnsi="Verdana"/>
          </w:rPr>
          <w:t>https://www.colombiacompra.gov.co/archivos/convocatoria/participacion-ciudadana-proyecto-de-la-guia-para-la-</w:t>
        </w:r>
      </w:hyperlink>
    </w:p>
    <w:p w14:paraId="79BD6971" w14:textId="77777777" w:rsidR="00655EED" w:rsidRPr="00067BB4" w:rsidRDefault="00655EED" w:rsidP="00655EED">
      <w:pPr>
        <w:spacing w:after="0" w:line="276" w:lineRule="auto"/>
        <w:jc w:val="both"/>
        <w:rPr>
          <w:rFonts w:ascii="Verdana" w:hAnsi="Verdana"/>
        </w:rPr>
      </w:pPr>
    </w:p>
    <w:p w14:paraId="7282FDD9" w14:textId="77777777" w:rsidR="00655EED" w:rsidRPr="00067BB4" w:rsidRDefault="00655EED" w:rsidP="00655EED">
      <w:pPr>
        <w:spacing w:after="0" w:line="276" w:lineRule="auto"/>
        <w:jc w:val="both"/>
        <w:rPr>
          <w:rFonts w:ascii="Verdana" w:hAnsi="Verdana"/>
        </w:rPr>
      </w:pPr>
      <w:r w:rsidRPr="00067BB4">
        <w:rPr>
          <w:rFonts w:ascii="Verdana" w:hAnsi="Verdana"/>
        </w:rPr>
        <w:t>De otra parte, 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 </w:t>
      </w:r>
      <w:hyperlink r:id="rId15" w:tgtFrame="_blank" w:tooltip="Dirección URL original: https://www.colombiacompra.gov.co/normativa-y-relatoria/documentos-tipo. Haga clic o pulse si confía en este vínculo." w:history="1">
        <w:r w:rsidRPr="00067BB4">
          <w:rPr>
            <w:rStyle w:val="Hipervnculo"/>
            <w:rFonts w:ascii="Verdana" w:hAnsi="Verdana"/>
          </w:rPr>
          <w:t>Documentos Tipo – ANCP Colombia Compra Eficiente</w:t>
        </w:r>
      </w:hyperlink>
      <w:r w:rsidRPr="00067BB4">
        <w:rPr>
          <w:rFonts w:ascii="Verdana" w:hAnsi="Verdana"/>
          <w:u w:val="single"/>
        </w:rPr>
        <w:t> </w:t>
      </w:r>
    </w:p>
    <w:p w14:paraId="265159F5" w14:textId="77777777" w:rsidR="00655EED" w:rsidRDefault="00655EED" w:rsidP="00655EED">
      <w:pPr>
        <w:spacing w:after="0" w:line="276" w:lineRule="auto"/>
        <w:jc w:val="both"/>
        <w:rPr>
          <w:rFonts w:ascii="Verdana" w:hAnsi="Verdana"/>
        </w:rPr>
      </w:pPr>
    </w:p>
    <w:p w14:paraId="19F4C3AE" w14:textId="77777777" w:rsidR="00655EED" w:rsidRPr="00067BB4" w:rsidRDefault="00655EED" w:rsidP="00655EED">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 xml:space="preserve">Guía de lineamientos de </w:t>
        </w:r>
        <w:r w:rsidRPr="00067BB4">
          <w:rPr>
            <w:rStyle w:val="Hipervnculo"/>
            <w:rFonts w:ascii="Verdana" w:hAnsi="Verdana"/>
          </w:rPr>
          <w:lastRenderedPageBreak/>
          <w:t>transparencia y selección objetiva para el departamento de La Guajira – Objetivo sexto constitucional de la Sentencia T-302 del 2017</w:t>
        </w:r>
      </w:hyperlink>
    </w:p>
    <w:p w14:paraId="5E039C1D" w14:textId="77777777" w:rsidR="00655EED" w:rsidRPr="00CC5C68" w:rsidRDefault="00655EED" w:rsidP="00655EED">
      <w:pPr>
        <w:spacing w:after="0" w:line="240" w:lineRule="auto"/>
        <w:jc w:val="both"/>
        <w:rPr>
          <w:rFonts w:ascii="Verdana" w:hAnsi="Verdana"/>
        </w:rPr>
      </w:pPr>
    </w:p>
    <w:p w14:paraId="4B88DD53" w14:textId="77777777" w:rsidR="00655EED" w:rsidRPr="00CC5C68" w:rsidRDefault="00655EED" w:rsidP="00655EED">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5C9F9C5B" w14:textId="77777777" w:rsidR="00655EED" w:rsidRPr="00CC5C68" w:rsidRDefault="00655EED" w:rsidP="00655EED">
      <w:pPr>
        <w:spacing w:after="0" w:line="240" w:lineRule="auto"/>
        <w:jc w:val="both"/>
        <w:rPr>
          <w:rFonts w:ascii="Verdana" w:hAnsi="Verdana"/>
        </w:rPr>
      </w:pPr>
    </w:p>
    <w:p w14:paraId="723E3BC7" w14:textId="77777777" w:rsidR="00655EED" w:rsidRPr="00CC5C68" w:rsidRDefault="00655EED" w:rsidP="00655EED">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588830A3" w14:textId="77777777" w:rsidR="00655EED" w:rsidRPr="00CC5C68" w:rsidRDefault="00655EED" w:rsidP="00655EED">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7BBEB3E7" w14:textId="77777777" w:rsidR="00655EED" w:rsidRPr="00CC5C68" w:rsidRDefault="00655EED" w:rsidP="00655EED">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5E08AB30" w14:textId="77777777" w:rsidR="00655EED" w:rsidRPr="0044528D" w:rsidRDefault="00655EED" w:rsidP="00655EED">
      <w:pPr>
        <w:widowControl w:val="0"/>
        <w:autoSpaceDE w:val="0"/>
        <w:autoSpaceDN w:val="0"/>
        <w:spacing w:after="0" w:line="276" w:lineRule="auto"/>
        <w:jc w:val="both"/>
        <w:rPr>
          <w:rFonts w:ascii="Verdana" w:hAnsi="Verdana"/>
        </w:rPr>
      </w:pPr>
    </w:p>
    <w:p w14:paraId="0D9C3D76" w14:textId="77777777" w:rsidR="00655EED" w:rsidRPr="00CC5C68" w:rsidRDefault="00655EED" w:rsidP="00655EED">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3DEE965C" w14:textId="77777777" w:rsidR="00655EED" w:rsidRPr="00CC5C68" w:rsidRDefault="00655EED" w:rsidP="00655EED">
      <w:pPr>
        <w:spacing w:after="0" w:line="276" w:lineRule="auto"/>
        <w:ind w:firstLine="709"/>
        <w:jc w:val="both"/>
        <w:rPr>
          <w:rFonts w:ascii="Verdana" w:eastAsia="Times New Roman" w:hAnsi="Verdana" w:cs="Arial"/>
          <w:szCs w:val="24"/>
          <w:lang w:val="es-ES_tradnl" w:eastAsia="es-ES_tradnl"/>
        </w:rPr>
      </w:pPr>
    </w:p>
    <w:p w14:paraId="050B0DA2" w14:textId="77777777" w:rsidR="00655EED" w:rsidRPr="00CC5C68" w:rsidRDefault="00655EED" w:rsidP="00655EED">
      <w:pPr>
        <w:spacing w:after="0" w:line="276" w:lineRule="auto"/>
        <w:jc w:val="both"/>
        <w:rPr>
          <w:rFonts w:ascii="Verdana" w:eastAsia="Times New Roman" w:hAnsi="Verdana" w:cs="Arial"/>
          <w:lang w:val="es-ES_tradnl" w:eastAsia="es-CO"/>
        </w:rPr>
      </w:pPr>
      <w:bookmarkStart w:id="14" w:name="_Hlk117695077"/>
      <w:r w:rsidRPr="00CC5C68">
        <w:rPr>
          <w:rFonts w:ascii="Verdana" w:eastAsia="Times New Roman" w:hAnsi="Verdana" w:cs="Arial"/>
          <w:lang w:val="es-ES_tradnl" w:eastAsia="es-CO"/>
        </w:rPr>
        <w:t>Atentamente,</w:t>
      </w:r>
    </w:p>
    <w:bookmarkEnd w:id="14"/>
    <w:p w14:paraId="796DDF8B" w14:textId="77777777" w:rsidR="00655EED" w:rsidRPr="00593A5F" w:rsidRDefault="00655EED" w:rsidP="00655EE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7531182C" w14:textId="77777777" w:rsidR="00871B59" w:rsidRPr="00593A5F" w:rsidRDefault="00871B59" w:rsidP="00871B59">
      <w:pPr>
        <w:widowControl w:val="0"/>
        <w:autoSpaceDE w:val="0"/>
        <w:autoSpaceDN w:val="0"/>
        <w:spacing w:after="0" w:line="276" w:lineRule="auto"/>
        <w:jc w:val="both"/>
        <w:rPr>
          <w:rFonts w:ascii="Verdana" w:hAnsi="Verdana" w:cs="Arial"/>
        </w:rPr>
      </w:pPr>
    </w:p>
    <w:p w14:paraId="2772CFA3" w14:textId="6C95EA95" w:rsidR="00871B59" w:rsidRPr="00593A5F" w:rsidRDefault="00B474BB" w:rsidP="00871B59">
      <w:pPr>
        <w:spacing w:line="276" w:lineRule="auto"/>
        <w:jc w:val="center"/>
        <w:rPr>
          <w:rFonts w:ascii="Verdana" w:hAnsi="Verdana" w:cs="Arial"/>
          <w:color w:val="000000"/>
          <w:lang w:val="es-ES_tradnl" w:eastAsia="es-CO"/>
        </w:rPr>
      </w:pPr>
      <w:r>
        <w:rPr>
          <w:noProof/>
        </w:rPr>
        <w:drawing>
          <wp:inline distT="0" distB="0" distL="0" distR="0" wp14:anchorId="4E5534C3" wp14:editId="35D60691">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p w14:paraId="687E545D" w14:textId="77777777" w:rsidR="00871B59" w:rsidRPr="00593A5F" w:rsidRDefault="00871B59" w:rsidP="00871B59">
      <w:pPr>
        <w:spacing w:after="0" w:line="240" w:lineRule="auto"/>
        <w:rPr>
          <w:rFonts w:ascii="Verdana" w:eastAsia="Times New Roman" w:hAnsi="Verdana" w:cs="Arial"/>
          <w:sz w:val="24"/>
          <w:szCs w:val="24"/>
          <w:lang w:eastAsia="es-ES"/>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6A51" w:rsidRPr="00EA1223" w14:paraId="515A6FBE" w14:textId="77777777" w:rsidTr="00C93DCD">
        <w:trPr>
          <w:trHeight w:val="315"/>
        </w:trPr>
        <w:tc>
          <w:tcPr>
            <w:tcW w:w="893" w:type="dxa"/>
            <w:vAlign w:val="center"/>
            <w:hideMark/>
          </w:tcPr>
          <w:p w14:paraId="03749860" w14:textId="77777777" w:rsidR="00206A51" w:rsidRPr="00EA1223" w:rsidRDefault="00206A51" w:rsidP="00C93DCD">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065253" w14:textId="77777777" w:rsidR="00206A51" w:rsidRPr="00EA1223" w:rsidRDefault="00206A51" w:rsidP="00C93DCD">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2C90FD84" w14:textId="77777777" w:rsidR="00206A51" w:rsidRPr="00EA1223" w:rsidRDefault="00206A51" w:rsidP="00C93DCD">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206A51" w:rsidRPr="00EA1223" w14:paraId="67279738" w14:textId="77777777" w:rsidTr="00C93DCD">
        <w:trPr>
          <w:trHeight w:val="330"/>
        </w:trPr>
        <w:tc>
          <w:tcPr>
            <w:tcW w:w="893" w:type="dxa"/>
            <w:vAlign w:val="center"/>
            <w:hideMark/>
          </w:tcPr>
          <w:p w14:paraId="157DAE1C" w14:textId="77777777" w:rsidR="00206A51" w:rsidRPr="00EA1223" w:rsidRDefault="00206A51" w:rsidP="00C93DCD">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8D12BC" w14:textId="77777777" w:rsidR="00206A51" w:rsidRPr="00EA1223" w:rsidRDefault="00206A51" w:rsidP="00C93DCD">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6C14705D" w14:textId="77777777" w:rsidR="00206A51" w:rsidRPr="00EA1223" w:rsidRDefault="00206A51" w:rsidP="00C93DCD">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206A51" w:rsidRPr="00EA1223" w14:paraId="77AA4926" w14:textId="77777777" w:rsidTr="00C93DCD">
        <w:trPr>
          <w:trHeight w:val="300"/>
        </w:trPr>
        <w:tc>
          <w:tcPr>
            <w:tcW w:w="893" w:type="dxa"/>
            <w:vAlign w:val="center"/>
          </w:tcPr>
          <w:p w14:paraId="74E12DB6" w14:textId="77777777" w:rsidR="00206A51" w:rsidRPr="00EA1223" w:rsidRDefault="00206A51" w:rsidP="00C93DCD">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A38E4F" w14:textId="77777777" w:rsidR="00206A51" w:rsidRPr="00EA1223" w:rsidRDefault="00206A51" w:rsidP="00C93DCD">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Gacherná</w:t>
            </w:r>
            <w:proofErr w:type="spellEnd"/>
          </w:p>
          <w:p w14:paraId="06975BD2" w14:textId="77777777" w:rsidR="00206A51" w:rsidRPr="00EA1223" w:rsidRDefault="00206A51" w:rsidP="00C93DCD">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Bye-bye</w:t>
            </w:r>
          </w:p>
        </w:tc>
      </w:tr>
    </w:tbl>
    <w:p w14:paraId="517763F4" w14:textId="77777777" w:rsidR="5D8505AD" w:rsidRPr="00871B59" w:rsidRDefault="5D8505AD" w:rsidP="00871B59"/>
    <w:sectPr w:rsidR="5D8505AD" w:rsidRPr="00871B59"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0C0DB" w14:textId="77777777" w:rsidR="00BC23D4" w:rsidRDefault="00BC23D4" w:rsidP="00B30448">
      <w:pPr>
        <w:spacing w:after="0" w:line="240" w:lineRule="auto"/>
      </w:pPr>
      <w:r>
        <w:separator/>
      </w:r>
    </w:p>
  </w:endnote>
  <w:endnote w:type="continuationSeparator" w:id="0">
    <w:p w14:paraId="6E99455D" w14:textId="77777777" w:rsidR="00BC23D4" w:rsidRDefault="00BC23D4" w:rsidP="00B30448">
      <w:pPr>
        <w:spacing w:after="0" w:line="240" w:lineRule="auto"/>
      </w:pPr>
      <w:r>
        <w:continuationSeparator/>
      </w:r>
    </w:p>
  </w:endnote>
  <w:endnote w:type="continuationNotice" w:id="1">
    <w:p w14:paraId="6AC3D26A" w14:textId="77777777" w:rsidR="00BC23D4" w:rsidRDefault="00BC23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6B930" w14:textId="77777777" w:rsidR="000849D5" w:rsidRDefault="000849D5" w:rsidP="000849D5">
    <w:pPr>
      <w:spacing w:after="0"/>
      <w:rPr>
        <w:rFonts w:ascii="Verdana" w:hAnsi="Verdana"/>
        <w:b/>
        <w:bCs/>
        <w:sz w:val="20"/>
        <w:szCs w:val="20"/>
      </w:rPr>
    </w:pPr>
  </w:p>
  <w:p w14:paraId="271B5436"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E7A5310"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15D1768A"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FBD4AE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BF021D1" w14:textId="77777777" w:rsidR="000849D5" w:rsidRPr="007D04B2" w:rsidRDefault="000849D5" w:rsidP="000849D5">
    <w:pPr>
      <w:pStyle w:val="Piedepgina"/>
    </w:pPr>
  </w:p>
  <w:p w14:paraId="064E1FDA"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AA0E5" w14:textId="77777777" w:rsidR="00BC23D4" w:rsidRDefault="00BC23D4" w:rsidP="00B30448">
      <w:pPr>
        <w:spacing w:after="0" w:line="240" w:lineRule="auto"/>
      </w:pPr>
      <w:r>
        <w:separator/>
      </w:r>
    </w:p>
  </w:footnote>
  <w:footnote w:type="continuationSeparator" w:id="0">
    <w:p w14:paraId="5BAA9FCC" w14:textId="77777777" w:rsidR="00BC23D4" w:rsidRDefault="00BC23D4" w:rsidP="00B30448">
      <w:pPr>
        <w:spacing w:after="0" w:line="240" w:lineRule="auto"/>
      </w:pPr>
      <w:r>
        <w:continuationSeparator/>
      </w:r>
    </w:p>
  </w:footnote>
  <w:footnote w:type="continuationNotice" w:id="1">
    <w:p w14:paraId="00E1C789" w14:textId="77777777" w:rsidR="00BC23D4" w:rsidRDefault="00BC23D4">
      <w:pPr>
        <w:spacing w:after="0" w:line="240" w:lineRule="auto"/>
      </w:pPr>
    </w:p>
  </w:footnote>
  <w:footnote w:id="2">
    <w:p w14:paraId="2A4046D1" w14:textId="77777777" w:rsidR="00655EED" w:rsidRPr="00B93D47" w:rsidRDefault="00655EED" w:rsidP="00655EED">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[25] </w:t>
      </w:r>
      <w:r w:rsidRPr="00B93D47">
        <w:rPr>
          <w:rFonts w:ascii="Verdana" w:hAnsi="Verdana" w:cs="Arial"/>
          <w:sz w:val="16"/>
          <w:szCs w:val="16"/>
        </w:rPr>
        <w:t>Cfr. Consejo de Estado. Sección Tercera. Sentencia de 3 de diciembre de 2007. Radicados: 24.715, 25.206, 25.409, 24.524, 27.834, 25.410, 26.105, 28.244, 31.447 -acumulados-”.</w:t>
      </w:r>
    </w:p>
    <w:p w14:paraId="7EE98B3A" w14:textId="77777777" w:rsidR="00655EED" w:rsidRPr="00B93D47" w:rsidRDefault="00655EED" w:rsidP="00655EED">
      <w:pPr>
        <w:pStyle w:val="Textonotapie"/>
        <w:ind w:right="51" w:firstLine="709"/>
        <w:contextualSpacing/>
        <w:jc w:val="both"/>
        <w:rPr>
          <w:rFonts w:ascii="Verdana" w:hAnsi="Verdana" w:cs="Arial"/>
          <w:sz w:val="16"/>
          <w:szCs w:val="16"/>
        </w:rPr>
      </w:pPr>
    </w:p>
  </w:footnote>
  <w:footnote w:id="3">
    <w:p w14:paraId="608F1EF6" w14:textId="77777777" w:rsidR="00655EED" w:rsidRPr="00B93D47" w:rsidRDefault="00655EED" w:rsidP="00655EED">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4" w:name="_Hlk74294506"/>
      <w:r w:rsidRPr="00B93D47">
        <w:rPr>
          <w:rFonts w:ascii="Verdana" w:hAnsi="Verdana" w:cs="Arial"/>
          <w:sz w:val="16"/>
          <w:szCs w:val="16"/>
        </w:rPr>
        <w:t>“</w:t>
      </w:r>
      <w:r w:rsidRPr="00B93D47">
        <w:rPr>
          <w:rFonts w:ascii="Verdana" w:hAnsi="Verdana" w:cs="Arial"/>
          <w:sz w:val="16"/>
          <w:szCs w:val="16"/>
          <w:lang w:val="es-ES"/>
        </w:rPr>
        <w:t xml:space="preserve">[26] </w:t>
      </w:r>
      <w:bookmarkEnd w:id="4"/>
      <w:r w:rsidRPr="00B93D47">
        <w:rPr>
          <w:rFonts w:ascii="Verdana" w:hAnsi="Verdana" w:cs="Arial"/>
          <w:sz w:val="16"/>
          <w:szCs w:val="16"/>
        </w:rPr>
        <w:t>Al respecto ver el concepto 1712 de 2 de febrero de 2006. Consejo de Estado Sala de Consulta y Servicio Civil”.</w:t>
      </w:r>
    </w:p>
    <w:p w14:paraId="6DA3BCF9" w14:textId="77777777" w:rsidR="00655EED" w:rsidRPr="00B93D47" w:rsidRDefault="00655EED" w:rsidP="00655EED">
      <w:pPr>
        <w:pStyle w:val="Textonotapie"/>
        <w:ind w:right="51" w:firstLine="709"/>
        <w:contextualSpacing/>
        <w:jc w:val="both"/>
        <w:rPr>
          <w:rFonts w:ascii="Verdana" w:hAnsi="Verdana" w:cs="Arial"/>
          <w:sz w:val="16"/>
          <w:szCs w:val="16"/>
        </w:rPr>
      </w:pPr>
    </w:p>
  </w:footnote>
  <w:footnote w:id="4">
    <w:p w14:paraId="3D959518" w14:textId="77777777" w:rsidR="00655EED" w:rsidRPr="00B93D47" w:rsidRDefault="00655EED" w:rsidP="00655EED">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2E857E21" w14:textId="77777777" w:rsidR="00655EED" w:rsidRPr="00B93D47" w:rsidRDefault="00655EED" w:rsidP="00655EED">
      <w:pPr>
        <w:pStyle w:val="Textonotapie"/>
        <w:ind w:firstLine="709"/>
        <w:contextualSpacing/>
        <w:jc w:val="both"/>
        <w:rPr>
          <w:rFonts w:ascii="Verdana" w:hAnsi="Verdana" w:cs="Arial"/>
          <w:sz w:val="16"/>
          <w:szCs w:val="16"/>
        </w:rPr>
      </w:pPr>
    </w:p>
  </w:footnote>
  <w:footnote w:id="5">
    <w:p w14:paraId="52448B9C" w14:textId="77777777" w:rsidR="00655EED" w:rsidRPr="00B93D47" w:rsidRDefault="00655EED" w:rsidP="00655EED">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6">
    <w:p w14:paraId="2AACAE6C" w14:textId="77777777" w:rsidR="00655EED" w:rsidRPr="00B93D47" w:rsidRDefault="00655EED" w:rsidP="00655EED">
      <w:pPr>
        <w:pStyle w:val="Textonotapie"/>
        <w:ind w:firstLine="709"/>
        <w:contextualSpacing/>
        <w:jc w:val="both"/>
        <w:rPr>
          <w:rFonts w:ascii="Verdana" w:hAnsi="Verdana" w:cs="Arial"/>
          <w:sz w:val="16"/>
          <w:szCs w:val="16"/>
        </w:rPr>
      </w:pPr>
    </w:p>
    <w:p w14:paraId="3DAC3B67" w14:textId="77777777" w:rsidR="00655EED" w:rsidRPr="00B93D47" w:rsidRDefault="00655EED" w:rsidP="00655EED">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7">
    <w:p w14:paraId="136FB3EA" w14:textId="77777777" w:rsidR="00655EED" w:rsidRDefault="00655EED" w:rsidP="00655EED">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3F55D526" w14:textId="77777777" w:rsidR="00655EED" w:rsidRPr="00B93D47" w:rsidRDefault="00655EED" w:rsidP="00655EED">
      <w:pPr>
        <w:pStyle w:val="Textonotapie"/>
        <w:ind w:firstLine="709"/>
        <w:contextualSpacing/>
        <w:jc w:val="both"/>
        <w:rPr>
          <w:rFonts w:ascii="Verdana" w:hAnsi="Verdana" w:cs="Arial"/>
          <w:sz w:val="16"/>
          <w:szCs w:val="16"/>
          <w:lang w:val="es-ES"/>
        </w:rPr>
      </w:pPr>
    </w:p>
  </w:footnote>
  <w:footnote w:id="8">
    <w:p w14:paraId="5ADEF509" w14:textId="77777777" w:rsidR="00655EED" w:rsidRPr="00B93D47" w:rsidRDefault="00655EED" w:rsidP="00655EED">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Consejo de Estado. Sala de Consulta y Servicio Civil, Concepto de 8 de mayo de 2018. Radicación Número: 11001-03-06-000-2018-00095-00(2382). Consejero Ponente: Álvaro </w:t>
      </w:r>
      <w:proofErr w:type="spellStart"/>
      <w:r w:rsidRPr="00B93D47">
        <w:rPr>
          <w:rFonts w:ascii="Verdana" w:hAnsi="Verdana" w:cs="Arial"/>
          <w:sz w:val="16"/>
          <w:szCs w:val="16"/>
          <w:lang w:val="es-ES"/>
        </w:rPr>
        <w:t>Namén</w:t>
      </w:r>
      <w:proofErr w:type="spellEnd"/>
      <w:r w:rsidRPr="00B93D47">
        <w:rPr>
          <w:rFonts w:ascii="Verdana" w:hAnsi="Verdana" w:cs="Arial"/>
          <w:sz w:val="16"/>
          <w:szCs w:val="16"/>
          <w:lang w:val="es-ES"/>
        </w:rPr>
        <w:t xml:space="preserve"> Vargas.</w:t>
      </w:r>
    </w:p>
  </w:footnote>
  <w:footnote w:id="9">
    <w:p w14:paraId="366B3921" w14:textId="77777777" w:rsidR="00655EED" w:rsidRDefault="00655EED" w:rsidP="00655EED">
      <w:pPr>
        <w:pStyle w:val="Textonotapie"/>
        <w:ind w:firstLine="709"/>
        <w:contextualSpacing/>
        <w:jc w:val="both"/>
        <w:rPr>
          <w:rFonts w:ascii="Verdana" w:hAnsi="Verdana" w:cs="Arial"/>
          <w:sz w:val="16"/>
          <w:szCs w:val="16"/>
        </w:rPr>
      </w:pPr>
    </w:p>
    <w:p w14:paraId="4A7B7F2E" w14:textId="77777777" w:rsidR="00655EED" w:rsidRDefault="00655EED" w:rsidP="00655EED">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7ECAD987" w14:textId="77777777" w:rsidR="00655EED" w:rsidRPr="00B93D47" w:rsidRDefault="00655EED" w:rsidP="00655EED">
      <w:pPr>
        <w:pStyle w:val="Textonotapie"/>
        <w:ind w:firstLine="709"/>
        <w:contextualSpacing/>
        <w:jc w:val="both"/>
        <w:rPr>
          <w:rFonts w:ascii="Verdana" w:hAnsi="Verdana" w:cs="Arial"/>
          <w:sz w:val="16"/>
          <w:szCs w:val="16"/>
        </w:rPr>
      </w:pPr>
    </w:p>
  </w:footnote>
  <w:footnote w:id="10">
    <w:p w14:paraId="47081DBB" w14:textId="77777777" w:rsidR="00655EED" w:rsidRPr="00B93D47" w:rsidRDefault="00655EED" w:rsidP="00655EED">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E665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469FDF4D" wp14:editId="7E4655E0">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6B596876" wp14:editId="60095AE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458D0DA" w14:textId="77777777" w:rsidR="00515FB5" w:rsidRDefault="00515FB5" w:rsidP="00515FB5">
    <w:pPr>
      <w:pStyle w:val="Encabezado"/>
    </w:pPr>
  </w:p>
  <w:p w14:paraId="6E510C57" w14:textId="77777777" w:rsidR="00515FB5" w:rsidRDefault="00515FB5" w:rsidP="00515FB5">
    <w:pPr>
      <w:pStyle w:val="Encabezado"/>
    </w:pPr>
  </w:p>
  <w:p w14:paraId="36535AF2" w14:textId="77777777" w:rsidR="00515FB5" w:rsidRDefault="00515FB5" w:rsidP="00515FB5">
    <w:pPr>
      <w:pStyle w:val="Encabezado"/>
    </w:pPr>
  </w:p>
  <w:p w14:paraId="36D4BAA0" w14:textId="77777777" w:rsidR="00515FB5" w:rsidRPr="00AB7B56" w:rsidRDefault="00515FB5" w:rsidP="00515FB5">
    <w:pPr>
      <w:pStyle w:val="Encabezado"/>
    </w:pPr>
  </w:p>
  <w:p w14:paraId="1A085542"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oNotDisplayPageBoundarie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12C"/>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06A51"/>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0C06"/>
    <w:rsid w:val="00356980"/>
    <w:rsid w:val="00367462"/>
    <w:rsid w:val="00371ECA"/>
    <w:rsid w:val="00372748"/>
    <w:rsid w:val="0037332A"/>
    <w:rsid w:val="0038151A"/>
    <w:rsid w:val="0039082A"/>
    <w:rsid w:val="00390C21"/>
    <w:rsid w:val="003A37BD"/>
    <w:rsid w:val="003B6D94"/>
    <w:rsid w:val="003C4C96"/>
    <w:rsid w:val="003C55E0"/>
    <w:rsid w:val="003E42D6"/>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2EAA"/>
    <w:rsid w:val="00627361"/>
    <w:rsid w:val="0063017E"/>
    <w:rsid w:val="00631B28"/>
    <w:rsid w:val="00645B90"/>
    <w:rsid w:val="00650991"/>
    <w:rsid w:val="006511D7"/>
    <w:rsid w:val="00655EED"/>
    <w:rsid w:val="00663D75"/>
    <w:rsid w:val="00670AEF"/>
    <w:rsid w:val="00675678"/>
    <w:rsid w:val="00677012"/>
    <w:rsid w:val="006825B4"/>
    <w:rsid w:val="00682AF2"/>
    <w:rsid w:val="006864DF"/>
    <w:rsid w:val="006A3C8A"/>
    <w:rsid w:val="006A7552"/>
    <w:rsid w:val="006B5953"/>
    <w:rsid w:val="006B7A81"/>
    <w:rsid w:val="006C4BAC"/>
    <w:rsid w:val="006C52F3"/>
    <w:rsid w:val="006C7821"/>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B7E3D"/>
    <w:rsid w:val="007C6BC6"/>
    <w:rsid w:val="00801DCA"/>
    <w:rsid w:val="00807D79"/>
    <w:rsid w:val="00813634"/>
    <w:rsid w:val="00822821"/>
    <w:rsid w:val="00831C29"/>
    <w:rsid w:val="008431EF"/>
    <w:rsid w:val="008468E0"/>
    <w:rsid w:val="008526E9"/>
    <w:rsid w:val="00855DDF"/>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11CB2"/>
    <w:rsid w:val="00B2575B"/>
    <w:rsid w:val="00B30448"/>
    <w:rsid w:val="00B34786"/>
    <w:rsid w:val="00B400EC"/>
    <w:rsid w:val="00B40162"/>
    <w:rsid w:val="00B41ACE"/>
    <w:rsid w:val="00B474BB"/>
    <w:rsid w:val="00B50156"/>
    <w:rsid w:val="00B518AD"/>
    <w:rsid w:val="00B60A96"/>
    <w:rsid w:val="00B678EC"/>
    <w:rsid w:val="00B76C94"/>
    <w:rsid w:val="00B772D0"/>
    <w:rsid w:val="00B836EA"/>
    <w:rsid w:val="00B84C05"/>
    <w:rsid w:val="00B91B81"/>
    <w:rsid w:val="00B97135"/>
    <w:rsid w:val="00BB3072"/>
    <w:rsid w:val="00BC23D4"/>
    <w:rsid w:val="00BC7632"/>
    <w:rsid w:val="00BD48A9"/>
    <w:rsid w:val="00BD630F"/>
    <w:rsid w:val="00BD7EC6"/>
    <w:rsid w:val="00BE73FA"/>
    <w:rsid w:val="00BF6B4B"/>
    <w:rsid w:val="00C00B67"/>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CF512C"/>
    <w:rsid w:val="00D03DBE"/>
    <w:rsid w:val="00D072C0"/>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C1098A"/>
  <w15:docId w15:val="{EFEFCEB2-E322-FF47-A5A7-8B3722D4B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9"/>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80">
    <w:name w:val="citation-80"/>
    <w:basedOn w:val="Fuentedeprrafopredeter"/>
    <w:rsid w:val="00622EAA"/>
  </w:style>
  <w:style w:type="character" w:customStyle="1" w:styleId="citation-79">
    <w:name w:val="citation-79"/>
    <w:basedOn w:val="Fuentedeprrafopredeter"/>
    <w:rsid w:val="00622EAA"/>
  </w:style>
  <w:style w:type="character" w:customStyle="1" w:styleId="citation-78">
    <w:name w:val="citation-78"/>
    <w:basedOn w:val="Fuentedeprrafopredeter"/>
    <w:rsid w:val="00622E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colombiacompra.gov.co/sites/cce_public/files/cce_circulares/cce-eicp-ma-06_circular_externa_con_comentarios_de_ciudadanos-_v2f_002.pdf"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normativa-y-relatoria%2Fdocumentos-tipo&amp;data=05%7C02%7Cximena.rios%40colombiacompra.gov.co%7C7cfff6dece924643582c08dd97bfed90%7C7b09041e245149d08cb179d5e3d8c1be%7C0%7C0%7C638833572792139172%7CUnknown%7CTWFpbGZsb3d8eyJFbXB0eU1hcGkiOnRydWUsIlYiOiIwLjAuMDAwMCIsIlAiOiJXaW4zMiIsIkFOIjoiTWFpbCIsIldUIjoyfQ%3D%3D%7C0%7C%7C%7C&amp;sdata=CQCNL%2FWMosZXj6omE9vjPO1mxyYEnVE2DOUQ9Zx1cq0%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archivos%2Fconvocatoria%2Fparticipacion-ciudadana-proyecto-de-la-guia-para-la-elaboracion-de-estudios-del-sector&amp;data=05%7C02%7Cximena.rios%40colombiacompra.gov.co%7C7cfff6dece924643582c08dd97bfed90%7C7b09041e245149d08cb179d5e3d8c1be%7C0%7C0%7C638833572792096371%7CUnknown%7CTWFpbGZsb3d8eyJFbXB0eU1hcGkiOnRydWUsIlYiOiIwLjAuMDAwMCIsIlAiOiJXaW4zMiIsIkFOIjoiTWFpbCIsIldUIjoyfQ%3D%3D%7C0%7C%7C%7C&amp;sdata=UYgKmSkRyxwQ2g%2FUiv6PgLM66fzh1FmO7VrSbeE%2FGh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ONCEPTOS%20CCE/NOVIEMBRE%20/PLANTILLA%20PRICIPAL%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3063BCC4-2E86-4C41-8247-B926DB78E57F}"/>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PLANTILLA PRICIPAL .dotx</Template>
  <TotalTime>1</TotalTime>
  <Pages>12</Pages>
  <Words>4001</Words>
  <Characters>21287</Characters>
  <Application>Microsoft Office Word</Application>
  <DocSecurity>0</DocSecurity>
  <Lines>425</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2</cp:revision>
  <dcterms:created xsi:type="dcterms:W3CDTF">2025-12-04T20:48:00Z</dcterms:created>
  <dcterms:modified xsi:type="dcterms:W3CDTF">2025-12-04T20:48:00Z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