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C9A63" w14:textId="77777777" w:rsidR="00124590" w:rsidRDefault="00124590" w:rsidP="00124590">
      <w:pPr>
        <w:jc w:val="both"/>
        <w:rPr>
          <w:rFonts w:ascii="Verdana" w:hAnsi="Verdana" w:cs="Arial"/>
          <w:b/>
          <w:bCs/>
          <w:lang w:val="es-ES" w:eastAsia="es-ES"/>
        </w:rPr>
      </w:pPr>
      <w:bookmarkStart w:id="0" w:name="_Hlk143780582"/>
      <w:bookmarkStart w:id="1" w:name="_Hlk215757147"/>
      <w:r w:rsidRPr="00124590">
        <w:rPr>
          <w:rFonts w:ascii="Verdana" w:hAnsi="Verdana" w:cs="Arial"/>
          <w:b/>
          <w:bCs/>
          <w:lang w:val="es-ES" w:eastAsia="es-ES"/>
        </w:rPr>
        <w:t xml:space="preserve">LEY DE GARANTÍAS ELECTORALES – Finalidad </w:t>
      </w:r>
    </w:p>
    <w:p w14:paraId="0B6A368B" w14:textId="074AE3EB" w:rsidR="00124590" w:rsidRPr="00124590" w:rsidRDefault="00124590" w:rsidP="00124590">
      <w:pPr>
        <w:tabs>
          <w:tab w:val="left" w:pos="426"/>
        </w:tabs>
        <w:spacing w:after="0" w:line="240" w:lineRule="auto"/>
        <w:jc w:val="both"/>
        <w:rPr>
          <w:rFonts w:ascii="Verdana" w:hAnsi="Verdana" w:cs="Arial"/>
          <w:sz w:val="20"/>
          <w:szCs w:val="20"/>
          <w:lang w:val="es-ES"/>
        </w:rPr>
      </w:pPr>
      <w:r w:rsidRPr="00124590">
        <w:rPr>
          <w:rFonts w:ascii="Verdana" w:eastAsia="Times New Roman" w:hAnsi="Verdana" w:cs="Arial"/>
          <w:sz w:val="20"/>
          <w:szCs w:val="20"/>
          <w:lang w:val="es-ES" w:eastAsia="es-CO"/>
        </w:rPr>
        <w:t>[…]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24590">
        <w:rPr>
          <w:rFonts w:ascii="Verdana" w:hAnsi="Verdana" w:cs="Arial"/>
          <w:sz w:val="20"/>
          <w:szCs w:val="20"/>
          <w:lang w:val="es-ES"/>
        </w:rPr>
        <w:t xml:space="preserve"> </w:t>
      </w:r>
    </w:p>
    <w:p w14:paraId="1D17518D" w14:textId="77777777" w:rsidR="00124590" w:rsidRPr="00124590" w:rsidRDefault="00124590" w:rsidP="00124590">
      <w:pPr>
        <w:spacing w:after="0" w:line="240" w:lineRule="auto"/>
        <w:jc w:val="both"/>
        <w:rPr>
          <w:rFonts w:ascii="Verdana" w:hAnsi="Verdana" w:cs="Arial"/>
          <w:lang w:val="es-ES" w:eastAsia="es-ES"/>
        </w:rPr>
      </w:pPr>
    </w:p>
    <w:p w14:paraId="7BE30856" w14:textId="77777777" w:rsidR="00124590" w:rsidRDefault="00124590" w:rsidP="000A217C">
      <w:pPr>
        <w:spacing w:after="0" w:line="240" w:lineRule="auto"/>
        <w:jc w:val="both"/>
        <w:rPr>
          <w:rFonts w:ascii="Verdana" w:hAnsi="Verdana" w:cs="Arial"/>
          <w:b/>
          <w:bCs/>
          <w:lang w:val="es-ES" w:eastAsia="es-ES"/>
        </w:rPr>
      </w:pPr>
      <w:r w:rsidRPr="00124590">
        <w:rPr>
          <w:rFonts w:ascii="Verdana" w:hAnsi="Verdana" w:cs="Arial"/>
          <w:b/>
          <w:bCs/>
          <w:lang w:val="es-ES" w:eastAsia="es-ES"/>
        </w:rPr>
        <w:t xml:space="preserve">LEY DE GARANTÍAS ELECTORALES ‒ Restricciones ‒ Contratación ‒ Tipos de elección </w:t>
      </w:r>
    </w:p>
    <w:p w14:paraId="0E9ABBCC" w14:textId="77777777" w:rsidR="000A217C" w:rsidRDefault="000A217C" w:rsidP="00124590">
      <w:pPr>
        <w:spacing w:after="0" w:line="240" w:lineRule="auto"/>
        <w:jc w:val="both"/>
        <w:rPr>
          <w:rFonts w:ascii="Verdana" w:eastAsia="Arial" w:hAnsi="Verdana" w:cs="Arial"/>
          <w:sz w:val="20"/>
          <w:szCs w:val="20"/>
          <w:lang w:val="es-ES" w:eastAsia="es-ES" w:bidi="es-ES"/>
        </w:rPr>
      </w:pPr>
    </w:p>
    <w:p w14:paraId="0CE3126F" w14:textId="71DEE241" w:rsidR="00124590" w:rsidRPr="00124590" w:rsidRDefault="00124590" w:rsidP="00124590">
      <w:pPr>
        <w:spacing w:after="0" w:line="240" w:lineRule="auto"/>
        <w:jc w:val="both"/>
        <w:rPr>
          <w:rFonts w:ascii="Verdana" w:eastAsia="Arial" w:hAnsi="Verdana" w:cs="Arial"/>
          <w:sz w:val="20"/>
          <w:szCs w:val="20"/>
          <w:lang w:val="es-ES" w:eastAsia="es-ES" w:bidi="es-ES"/>
        </w:rPr>
      </w:pPr>
      <w:r w:rsidRPr="00124590">
        <w:rPr>
          <w:rFonts w:ascii="Verdana" w:eastAsia="Arial" w:hAnsi="Verdana" w:cs="Arial"/>
          <w:sz w:val="20"/>
          <w:szCs w:val="20"/>
          <w:lang w:val="es-ES" w:eastAsia="es-ES" w:bidi="es-ES"/>
        </w:rPr>
        <w:t xml:space="preserve">[…] la Ley 996 de 2005 establece dos (2) tipos de restricciones en materia de contratación, las cuales coinciden parcialmente. </w:t>
      </w:r>
      <w:r w:rsidRPr="00124590">
        <w:rPr>
          <w:rFonts w:ascii="Verdana" w:eastAsia="Arial" w:hAnsi="Verdana" w:cs="Arial"/>
          <w:i/>
          <w:sz w:val="20"/>
          <w:szCs w:val="20"/>
          <w:lang w:val="es-ES" w:eastAsia="es-ES" w:bidi="es-ES"/>
        </w:rPr>
        <w:t>En primer lugar</w:t>
      </w:r>
      <w:r w:rsidRPr="00124590">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2F47B706" w14:textId="77777777" w:rsidR="00124590" w:rsidRDefault="00124590" w:rsidP="00124590">
      <w:pPr>
        <w:spacing w:after="0" w:line="240" w:lineRule="auto"/>
        <w:jc w:val="both"/>
        <w:rPr>
          <w:rFonts w:ascii="Verdana" w:eastAsia="Arial" w:hAnsi="Verdana" w:cs="Arial"/>
          <w:i/>
          <w:sz w:val="20"/>
          <w:szCs w:val="20"/>
          <w:lang w:val="es-ES" w:eastAsia="es-ES" w:bidi="es-ES"/>
        </w:rPr>
      </w:pPr>
    </w:p>
    <w:p w14:paraId="7E46F706" w14:textId="7265324D" w:rsidR="00124590" w:rsidRPr="00124590" w:rsidRDefault="00124590" w:rsidP="00124590">
      <w:pPr>
        <w:spacing w:after="0" w:line="240" w:lineRule="auto"/>
        <w:jc w:val="both"/>
        <w:rPr>
          <w:rFonts w:ascii="Verdana" w:eastAsia="Arial" w:hAnsi="Verdana" w:cs="Arial"/>
          <w:sz w:val="20"/>
          <w:szCs w:val="20"/>
          <w:lang w:val="es-ES" w:eastAsia="es-ES" w:bidi="es-ES"/>
        </w:rPr>
      </w:pPr>
      <w:r w:rsidRPr="00124590">
        <w:rPr>
          <w:rFonts w:ascii="Verdana" w:eastAsia="Arial" w:hAnsi="Verdana" w:cs="Arial"/>
          <w:i/>
          <w:sz w:val="20"/>
          <w:szCs w:val="20"/>
          <w:lang w:val="es-ES" w:eastAsia="es-ES" w:bidi="es-ES"/>
        </w:rPr>
        <w:t>En segundo lugar</w:t>
      </w:r>
      <w:r w:rsidRPr="00124590">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37FA50F" w14:textId="77777777" w:rsidR="00124590" w:rsidRPr="00124590" w:rsidRDefault="00124590" w:rsidP="00124590">
      <w:pPr>
        <w:spacing w:after="0" w:line="240" w:lineRule="auto"/>
        <w:jc w:val="both"/>
        <w:rPr>
          <w:rFonts w:ascii="Verdana" w:eastAsia="Arial" w:hAnsi="Verdana" w:cs="Arial"/>
          <w:sz w:val="20"/>
          <w:szCs w:val="20"/>
          <w:lang w:val="es-ES" w:eastAsia="es-ES" w:bidi="es-ES"/>
        </w:rPr>
      </w:pPr>
      <w:r w:rsidRPr="00124590">
        <w:rPr>
          <w:rFonts w:ascii="Verdana" w:eastAsia="Arial" w:hAnsi="Verdana" w:cs="Arial"/>
          <w:sz w:val="20"/>
          <w:szCs w:val="20"/>
          <w:lang w:val="es-ES" w:eastAsia="es-ES" w:bidi="es-ES"/>
        </w:rPr>
        <w:t xml:space="preserve">Ambas restricciones no son excluyentes, lo que permite concluir que, en el período preelectoral para elección de </w:t>
      </w:r>
      <w:proofErr w:type="gramStart"/>
      <w:r w:rsidRPr="00124590">
        <w:rPr>
          <w:rFonts w:ascii="Verdana" w:eastAsia="Arial" w:hAnsi="Verdana" w:cs="Arial"/>
          <w:sz w:val="20"/>
          <w:szCs w:val="20"/>
          <w:lang w:val="es-ES" w:eastAsia="es-ES" w:bidi="es-ES"/>
        </w:rPr>
        <w:t>Presidente</w:t>
      </w:r>
      <w:proofErr w:type="gramEnd"/>
      <w:r w:rsidRPr="00124590">
        <w:rPr>
          <w:rFonts w:ascii="Verdana" w:eastAsia="Arial" w:hAnsi="Verdana" w:cs="Arial"/>
          <w:sz w:val="20"/>
          <w:szCs w:val="20"/>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124590">
        <w:rPr>
          <w:rFonts w:ascii="Verdana" w:eastAsia="Arial" w:hAnsi="Verdana" w:cs="Arial"/>
          <w:sz w:val="20"/>
          <w:szCs w:val="20"/>
          <w:lang w:val="es-ES" w:eastAsia="es-ES" w:bidi="es-ES"/>
        </w:rPr>
        <w:t>Presidente</w:t>
      </w:r>
      <w:proofErr w:type="gramEnd"/>
      <w:r w:rsidRPr="00124590">
        <w:rPr>
          <w:rFonts w:ascii="Verdana" w:eastAsia="Arial" w:hAnsi="Verdana" w:cs="Arial"/>
          <w:sz w:val="20"/>
          <w:szCs w:val="20"/>
          <w:lang w:val="es-ES" w:eastAsia="es-ES" w:bidi="es-ES"/>
        </w:rPr>
        <w:t xml:space="preserve"> de la República, las autoridades allí mencionadas sólo deben aplicar las restricciones contenidas en el parágrafo del artículo 38.</w:t>
      </w:r>
    </w:p>
    <w:p w14:paraId="122FD4ED" w14:textId="77777777" w:rsidR="00124590" w:rsidRDefault="00124590" w:rsidP="00124590">
      <w:pPr>
        <w:spacing w:after="0" w:line="240" w:lineRule="auto"/>
        <w:jc w:val="both"/>
        <w:rPr>
          <w:rFonts w:ascii="Verdana" w:hAnsi="Verdana" w:cs="Arial"/>
          <w:b/>
          <w:bCs/>
          <w:lang w:val="es-ES" w:eastAsia="es-ES"/>
        </w:rPr>
      </w:pPr>
    </w:p>
    <w:p w14:paraId="551EA18C" w14:textId="6D452F2D" w:rsidR="00124590" w:rsidRDefault="00124590" w:rsidP="00124590">
      <w:pPr>
        <w:jc w:val="both"/>
        <w:rPr>
          <w:rFonts w:ascii="Verdana" w:hAnsi="Verdana" w:cs="Arial"/>
          <w:b/>
          <w:bCs/>
          <w:lang w:val="es-ES" w:eastAsia="es-ES"/>
        </w:rPr>
      </w:pPr>
      <w:r w:rsidRPr="00124590">
        <w:rPr>
          <w:rFonts w:ascii="Verdana" w:hAnsi="Verdana" w:cs="Arial"/>
          <w:b/>
          <w:bCs/>
          <w:lang w:val="es-ES" w:eastAsia="es-ES"/>
        </w:rPr>
        <w:t xml:space="preserve">LEY DE GARANTÍAS ELECTORALES ‒ Artículo 33 ‒ Ámbito material </w:t>
      </w:r>
    </w:p>
    <w:p w14:paraId="66A8CAA9" w14:textId="012789FD" w:rsidR="00124590" w:rsidRDefault="00124590" w:rsidP="00124590">
      <w:pPr>
        <w:jc w:val="both"/>
        <w:rPr>
          <w:rFonts w:ascii="Verdana" w:eastAsia="Times New Roman" w:hAnsi="Verdana" w:cs="Arial"/>
          <w:sz w:val="20"/>
          <w:szCs w:val="20"/>
          <w:lang w:val="es-ES" w:eastAsia="x-none"/>
        </w:rPr>
      </w:pPr>
      <w:r w:rsidRPr="00124590">
        <w:rPr>
          <w:rFonts w:ascii="Verdana" w:eastAsia="Times New Roman" w:hAnsi="Verdana" w:cs="Arial"/>
          <w:sz w:val="20"/>
          <w:szCs w:val="20"/>
          <w:lang w:val="es-ES"/>
        </w:rPr>
        <w:t xml:space="preserve">El </w:t>
      </w:r>
      <w:r w:rsidRPr="00124590">
        <w:rPr>
          <w:rFonts w:ascii="Verdana" w:eastAsia="Times New Roman" w:hAnsi="Verdana" w:cs="Arial"/>
          <w:i/>
          <w:iCs/>
          <w:sz w:val="20"/>
          <w:szCs w:val="20"/>
          <w:lang w:val="es-ES"/>
        </w:rPr>
        <w:t>ámbito material</w:t>
      </w:r>
      <w:r w:rsidRPr="00124590">
        <w:rPr>
          <w:rFonts w:ascii="Verdana" w:eastAsia="Times New Roman" w:hAnsi="Verdana" w:cs="Arial"/>
          <w:sz w:val="20"/>
          <w:szCs w:val="20"/>
          <w:lang w:val="es-ES"/>
        </w:rPr>
        <w:t xml:space="preserve"> de esta prohibición está delimitado por la expresión </w:t>
      </w:r>
      <w:r w:rsidRPr="00124590">
        <w:rPr>
          <w:rFonts w:ascii="Verdana" w:hAnsi="Verdana" w:cs="Arial"/>
          <w:bCs/>
          <w:sz w:val="20"/>
          <w:szCs w:val="20"/>
          <w:lang w:val="es-ES"/>
        </w:rPr>
        <w:t>“</w:t>
      </w:r>
      <w:r w:rsidRPr="00124590">
        <w:rPr>
          <w:rFonts w:ascii="Verdana" w:eastAsia="Times New Roman" w:hAnsi="Verdana" w:cs="Arial"/>
          <w:sz w:val="20"/>
          <w:szCs w:val="20"/>
          <w:lang w:val="es-ES"/>
        </w:rPr>
        <w:t xml:space="preserve">queda prohibida la contratación directa. […] </w:t>
      </w:r>
      <w:r w:rsidRPr="00124590">
        <w:rPr>
          <w:rFonts w:ascii="Verdana" w:eastAsia="Times New Roman" w:hAnsi="Verdana" w:cs="Arial"/>
          <w:sz w:val="20"/>
          <w:szCs w:val="20"/>
          <w:lang w:val="es-ES" w:eastAsia="x-none"/>
        </w:rPr>
        <w:t xml:space="preserve">De acuerdo con este concepto, la prohibición del artículo 33 de la Ley de Garantías Electorales se refiere a </w:t>
      </w:r>
      <w:r w:rsidRPr="00124590">
        <w:rPr>
          <w:rFonts w:ascii="Verdana" w:eastAsia="Times New Roman" w:hAnsi="Verdana" w:cs="Arial"/>
          <w:sz w:val="20"/>
          <w:szCs w:val="20"/>
          <w:lang w:val="es-ES" w:eastAsia="en-GB"/>
        </w:rPr>
        <w:t>“</w:t>
      </w:r>
      <w:r w:rsidRPr="00124590">
        <w:rPr>
          <w:rFonts w:ascii="Verdana" w:eastAsia="Times New Roman" w:hAnsi="Verdana" w:cs="Arial"/>
          <w:sz w:val="20"/>
          <w:szCs w:val="20"/>
          <w:lang w:val="es-ES" w:eastAsia="x-none"/>
        </w:rPr>
        <w:t>cualquier sistema que no implique convocatoria pública y posibilidad de pluralidad de oferentes</w:t>
      </w:r>
      <w:r w:rsidRPr="00124590">
        <w:rPr>
          <w:rFonts w:ascii="Verdana" w:eastAsia="Times New Roman" w:hAnsi="Verdana" w:cs="Arial"/>
          <w:sz w:val="20"/>
          <w:szCs w:val="20"/>
          <w:lang w:val="es-ES" w:eastAsia="en-GB"/>
        </w:rPr>
        <w:t>”</w:t>
      </w:r>
      <w:r w:rsidRPr="00124590">
        <w:rPr>
          <w:rFonts w:ascii="Verdana" w:eastAsia="Times New Roman" w:hAnsi="Verdana" w:cs="Arial"/>
          <w:sz w:val="20"/>
          <w:szCs w:val="20"/>
          <w:lang w:val="es-ES" w:eastAsia="x-none"/>
        </w:rPr>
        <w:t>, por lo que excluye las demás modalidades de contratación previstas en la Ley 1150 de 2007</w:t>
      </w:r>
      <w:r>
        <w:rPr>
          <w:rFonts w:ascii="Verdana" w:eastAsia="Times New Roman" w:hAnsi="Verdana" w:cs="Arial"/>
          <w:sz w:val="20"/>
          <w:szCs w:val="20"/>
          <w:lang w:val="es-ES" w:eastAsia="x-none"/>
        </w:rPr>
        <w:t>.</w:t>
      </w:r>
    </w:p>
    <w:p w14:paraId="4C16A301" w14:textId="5C5366AC" w:rsidR="00124590" w:rsidRDefault="00124590" w:rsidP="00124590">
      <w:pPr>
        <w:jc w:val="both"/>
        <w:rPr>
          <w:rFonts w:ascii="Verdana" w:hAnsi="Verdana" w:cs="Arial"/>
          <w:sz w:val="20"/>
          <w:szCs w:val="20"/>
          <w:lang w:val="es-ES" w:eastAsia="es-ES"/>
        </w:rPr>
      </w:pPr>
      <w:r>
        <w:rPr>
          <w:rFonts w:ascii="Verdana" w:hAnsi="Verdana" w:cs="Arial"/>
          <w:sz w:val="20"/>
          <w:szCs w:val="20"/>
          <w:lang w:val="es-ES" w:eastAsia="es-ES"/>
        </w:rPr>
        <w:t>[…]</w:t>
      </w:r>
    </w:p>
    <w:p w14:paraId="4270BB2F" w14:textId="77777777" w:rsidR="00124590" w:rsidRDefault="00124590" w:rsidP="00124590">
      <w:pPr>
        <w:spacing w:after="0" w:line="240" w:lineRule="auto"/>
        <w:jc w:val="both"/>
        <w:rPr>
          <w:rFonts w:ascii="Verdana" w:eastAsia="Times New Roman" w:hAnsi="Verdana" w:cs="Arial"/>
          <w:sz w:val="20"/>
          <w:szCs w:val="20"/>
          <w:lang w:val="es-ES"/>
        </w:rPr>
      </w:pPr>
      <w:r w:rsidRPr="00124590">
        <w:rPr>
          <w:rFonts w:ascii="Verdana" w:eastAsia="Times New Roman" w:hAnsi="Verdana" w:cs="Arial"/>
          <w:sz w:val="20"/>
          <w:szCs w:val="20"/>
          <w:lang w:val="es-ES"/>
        </w:rPr>
        <w:lastRenderedPageBreak/>
        <w:t xml:space="preserve">De lo anterior se desprende que la restricción aplica, sin perjuicio de las excepciones establecidas en la misma ley, para celebrar </w:t>
      </w:r>
      <w:r w:rsidRPr="00124590">
        <w:rPr>
          <w:rFonts w:ascii="Verdana" w:eastAsia="Times New Roman" w:hAnsi="Verdana" w:cs="Arial"/>
          <w:i/>
          <w:iCs/>
          <w:sz w:val="20"/>
          <w:szCs w:val="20"/>
          <w:lang w:val="es-ES"/>
        </w:rPr>
        <w:t>cualquier contrato o convenio de forma directa</w:t>
      </w:r>
      <w:r w:rsidRPr="00124590">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149C315" w14:textId="77777777" w:rsidR="00124590" w:rsidRDefault="00124590" w:rsidP="00124590">
      <w:pPr>
        <w:spacing w:after="0" w:line="240" w:lineRule="auto"/>
        <w:jc w:val="both"/>
        <w:rPr>
          <w:rFonts w:ascii="Verdana" w:eastAsia="Times New Roman" w:hAnsi="Verdana" w:cs="Arial"/>
          <w:sz w:val="20"/>
          <w:szCs w:val="20"/>
          <w:lang w:val="es-ES"/>
        </w:rPr>
      </w:pPr>
    </w:p>
    <w:p w14:paraId="493D5F30" w14:textId="77777777" w:rsidR="00124590" w:rsidRDefault="00124590" w:rsidP="00124590">
      <w:pPr>
        <w:jc w:val="both"/>
        <w:rPr>
          <w:rFonts w:ascii="Verdana" w:hAnsi="Verdana" w:cs="Arial"/>
          <w:b/>
          <w:bCs/>
          <w:lang w:val="es-ES" w:eastAsia="es-ES"/>
        </w:rPr>
      </w:pPr>
      <w:r w:rsidRPr="00124590">
        <w:rPr>
          <w:rFonts w:ascii="Verdana" w:hAnsi="Verdana" w:cs="Arial"/>
          <w:b/>
          <w:bCs/>
          <w:lang w:val="es-ES" w:eastAsia="es-ES"/>
        </w:rPr>
        <w:t xml:space="preserve">LEY DE GARANTÍAS ELECTORALES ‒ Aplicación ‒ excepciones </w:t>
      </w:r>
    </w:p>
    <w:p w14:paraId="095D6F4A" w14:textId="77777777" w:rsidR="000C4C75" w:rsidRDefault="00124590" w:rsidP="000C4C75">
      <w:pPr>
        <w:jc w:val="both"/>
        <w:rPr>
          <w:rFonts w:ascii="Verdana" w:eastAsia="Times New Roman" w:hAnsi="Verdana" w:cs="Arial"/>
          <w:sz w:val="20"/>
          <w:szCs w:val="20"/>
          <w:lang w:val="es-ES"/>
        </w:rPr>
      </w:pPr>
      <w:r w:rsidRPr="000C4C75">
        <w:rPr>
          <w:rFonts w:ascii="Verdana" w:eastAsia="Times New Roman" w:hAnsi="Verdana" w:cs="Arial"/>
          <w:bCs/>
          <w:sz w:val="20"/>
          <w:szCs w:val="20"/>
          <w:lang w:val="es-ES" w:eastAsia="es-CO"/>
        </w:rPr>
        <w:t xml:space="preserve">Con respecto a los </w:t>
      </w:r>
      <w:r w:rsidRPr="000C4C75">
        <w:rPr>
          <w:rFonts w:ascii="Verdana" w:eastAsia="Times New Roman" w:hAnsi="Verdana" w:cs="Arial"/>
          <w:bCs/>
          <w:i/>
          <w:iCs/>
          <w:sz w:val="20"/>
          <w:szCs w:val="20"/>
          <w:lang w:val="es-ES" w:eastAsia="es-CO"/>
        </w:rPr>
        <w:t>sujetos</w:t>
      </w:r>
      <w:r w:rsidRPr="000C4C75">
        <w:rPr>
          <w:rFonts w:ascii="Verdana" w:eastAsia="Times New Roman" w:hAnsi="Verdana" w:cs="Arial"/>
          <w:bCs/>
          <w:sz w:val="20"/>
          <w:szCs w:val="20"/>
          <w:lang w:val="es-ES" w:eastAsia="es-CO"/>
        </w:rPr>
        <w:t xml:space="preserve"> que se encuentran enmarcados en la prohibición del artículo 33, </w:t>
      </w:r>
      <w:r w:rsidRPr="000C4C75">
        <w:rPr>
          <w:rFonts w:ascii="Verdana" w:eastAsia="Times New Roman" w:hAnsi="Verdana" w:cs="Arial"/>
          <w:sz w:val="20"/>
          <w:szCs w:val="20"/>
          <w:lang w:val="es-ES"/>
        </w:rPr>
        <w:t>la Ley 996 de 2005 señala expresamente que son “</w:t>
      </w:r>
      <w:r w:rsidRPr="000C4C75">
        <w:rPr>
          <w:rFonts w:ascii="Verdana" w:eastAsia="Times New Roman" w:hAnsi="Verdana" w:cs="Arial"/>
          <w:i/>
          <w:iCs/>
          <w:sz w:val="20"/>
          <w:szCs w:val="20"/>
          <w:u w:val="single"/>
          <w:lang w:val="es-ES"/>
        </w:rPr>
        <w:t>todos</w:t>
      </w:r>
      <w:r w:rsidRPr="000C4C75">
        <w:rPr>
          <w:rFonts w:ascii="Verdana" w:eastAsia="Times New Roman" w:hAnsi="Verdana" w:cs="Arial"/>
          <w:i/>
          <w:iCs/>
          <w:sz w:val="20"/>
          <w:szCs w:val="20"/>
          <w:lang w:val="es-ES"/>
        </w:rPr>
        <w:t xml:space="preserve"> los entes del Estado</w:t>
      </w:r>
      <w:r w:rsidRPr="000C4C75">
        <w:rPr>
          <w:rFonts w:ascii="Verdana" w:eastAsia="Times New Roman" w:hAnsi="Verdana" w:cs="Arial"/>
          <w:sz w:val="20"/>
          <w:szCs w:val="20"/>
          <w:lang w:val="es-ES"/>
        </w:rPr>
        <w:t>”.</w:t>
      </w:r>
    </w:p>
    <w:p w14:paraId="5875690E" w14:textId="77777777" w:rsidR="000C4C75" w:rsidRDefault="000C4C75" w:rsidP="000C4C75">
      <w:pPr>
        <w:jc w:val="both"/>
        <w:rPr>
          <w:rFonts w:ascii="Verdana" w:eastAsia="Times New Roman" w:hAnsi="Verdana" w:cs="Arial"/>
          <w:sz w:val="20"/>
          <w:szCs w:val="20"/>
          <w:lang w:val="es-ES"/>
        </w:rPr>
      </w:pPr>
      <w:r w:rsidRPr="000C4C75">
        <w:rPr>
          <w:rFonts w:ascii="Verdana" w:eastAsia="Times New Roman" w:hAnsi="Verdana" w:cs="Arial"/>
          <w:sz w:val="20"/>
          <w:szCs w:val="20"/>
          <w:lang w:val="es-ES"/>
        </w:rPr>
        <w:t xml:space="preserve">[…] </w:t>
      </w:r>
    </w:p>
    <w:p w14:paraId="7AEB30AD" w14:textId="77777777" w:rsidR="000C4C75" w:rsidRDefault="000C4C75" w:rsidP="000C4C75">
      <w:pPr>
        <w:jc w:val="both"/>
        <w:rPr>
          <w:rFonts w:ascii="Verdana" w:eastAsia="Times New Roman" w:hAnsi="Verdana" w:cs="Arial"/>
          <w:sz w:val="20"/>
          <w:szCs w:val="20"/>
          <w:lang w:val="es-ES"/>
        </w:rPr>
      </w:pPr>
      <w:r w:rsidRPr="000C4C75">
        <w:rPr>
          <w:rFonts w:ascii="Verdana" w:eastAsia="Arial" w:hAnsi="Verdana" w:cs="Arial"/>
          <w:color w:val="000000" w:themeColor="text1"/>
          <w:sz w:val="20"/>
          <w:szCs w:val="20"/>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r>
        <w:rPr>
          <w:rFonts w:ascii="Verdana" w:eastAsia="Arial" w:hAnsi="Verdana" w:cs="Arial"/>
          <w:color w:val="000000" w:themeColor="text1"/>
          <w:sz w:val="20"/>
          <w:szCs w:val="20"/>
          <w:lang w:val="es-ES"/>
        </w:rPr>
        <w:t>.</w:t>
      </w:r>
    </w:p>
    <w:p w14:paraId="16DE44B0" w14:textId="224CE49D" w:rsidR="000C4C75" w:rsidRPr="000C4C75" w:rsidRDefault="000C4C75" w:rsidP="000C4C75">
      <w:pPr>
        <w:spacing w:after="0" w:line="240" w:lineRule="auto"/>
        <w:jc w:val="both"/>
        <w:rPr>
          <w:rFonts w:ascii="Verdana" w:eastAsia="Times New Roman" w:hAnsi="Verdana" w:cs="Arial"/>
          <w:sz w:val="20"/>
          <w:szCs w:val="20"/>
          <w:lang w:val="es-ES"/>
        </w:rPr>
      </w:pPr>
      <w:r w:rsidRPr="000C4C75">
        <w:rPr>
          <w:rFonts w:ascii="Verdana" w:eastAsia="Arial" w:hAnsi="Verdana" w:cs="Arial"/>
          <w:bCs/>
          <w:color w:val="000000" w:themeColor="text1"/>
          <w:sz w:val="20"/>
          <w:szCs w:val="20"/>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0C4C75">
        <w:rPr>
          <w:rFonts w:ascii="Verdana" w:hAnsi="Verdana" w:cs="Arial"/>
          <w:bCs/>
          <w:color w:val="000000" w:themeColor="text1"/>
          <w:sz w:val="20"/>
          <w:szCs w:val="20"/>
          <w:lang w:val="es-ES"/>
        </w:rPr>
        <w:t xml:space="preserve">el segundo inciso de la misma disposición consagró las excepciones aplicables a la prohibición de contratación directa establecida en el mismo artículo. </w:t>
      </w:r>
    </w:p>
    <w:p w14:paraId="021D5ECC" w14:textId="65555D04" w:rsidR="000C4C75" w:rsidRPr="000C4C75" w:rsidRDefault="000C4C75" w:rsidP="000C4C75">
      <w:pPr>
        <w:spacing w:after="0" w:line="240" w:lineRule="auto"/>
        <w:jc w:val="both"/>
        <w:rPr>
          <w:rFonts w:ascii="Verdana" w:eastAsia="Arial" w:hAnsi="Verdana" w:cs="Arial"/>
          <w:color w:val="000000" w:themeColor="text1"/>
          <w:sz w:val="20"/>
          <w:szCs w:val="20"/>
          <w:lang w:val="es-ES"/>
        </w:rPr>
      </w:pPr>
      <w:r w:rsidRPr="000C4C75">
        <w:rPr>
          <w:rFonts w:ascii="Verdana" w:hAnsi="Verdana" w:cs="Arial"/>
          <w:bCs/>
          <w:color w:val="000000" w:themeColor="text1"/>
          <w:sz w:val="20"/>
          <w:szCs w:val="20"/>
          <w:lang w:val="es-ES"/>
        </w:rPr>
        <w:t>Como se indicó, las excepciones a la prohibición del artículo 33 de la norma mencionada son las siguientes:</w:t>
      </w:r>
    </w:p>
    <w:p w14:paraId="32434706" w14:textId="77777777" w:rsidR="000C4C75" w:rsidRDefault="000C4C75" w:rsidP="000C4C75">
      <w:pPr>
        <w:tabs>
          <w:tab w:val="left" w:pos="709"/>
        </w:tabs>
        <w:spacing w:after="0" w:line="240" w:lineRule="auto"/>
        <w:jc w:val="both"/>
        <w:rPr>
          <w:rFonts w:ascii="Verdana" w:hAnsi="Verdana" w:cs="Arial"/>
          <w:bCs/>
          <w:color w:val="000000" w:themeColor="text1"/>
          <w:sz w:val="20"/>
          <w:szCs w:val="20"/>
          <w:lang w:val="es-ES"/>
        </w:rPr>
      </w:pPr>
    </w:p>
    <w:p w14:paraId="3BCA6657" w14:textId="2BB74E4A" w:rsidR="000C4C75" w:rsidRPr="000C4C75" w:rsidRDefault="000C4C75" w:rsidP="000C4C75">
      <w:pPr>
        <w:tabs>
          <w:tab w:val="left" w:pos="709"/>
        </w:tabs>
        <w:spacing w:after="0" w:line="240" w:lineRule="auto"/>
        <w:jc w:val="both"/>
        <w:rPr>
          <w:rFonts w:ascii="Verdana" w:hAnsi="Verdana" w:cs="Arial"/>
          <w:bCs/>
          <w:color w:val="000000" w:themeColor="text1"/>
          <w:sz w:val="20"/>
          <w:szCs w:val="20"/>
          <w:lang w:val="es-ES"/>
        </w:rPr>
      </w:pPr>
      <w:r w:rsidRPr="000C4C75">
        <w:rPr>
          <w:rFonts w:ascii="Verdana" w:hAnsi="Verdana" w:cs="Arial"/>
          <w:bCs/>
          <w:color w:val="000000" w:themeColor="text1"/>
          <w:sz w:val="20"/>
          <w:szCs w:val="20"/>
          <w:lang w:val="es-ES"/>
        </w:rPr>
        <w:t>1) La contratación referente a la defensa y seguridad del Estado;</w:t>
      </w:r>
    </w:p>
    <w:p w14:paraId="5EC4F438" w14:textId="0E989685" w:rsidR="000C4C75" w:rsidRPr="000C4C75" w:rsidRDefault="000C4C75" w:rsidP="000C4C75">
      <w:pPr>
        <w:tabs>
          <w:tab w:val="left" w:pos="709"/>
        </w:tabs>
        <w:spacing w:after="0" w:line="240" w:lineRule="auto"/>
        <w:jc w:val="both"/>
        <w:rPr>
          <w:rFonts w:ascii="Verdana" w:hAnsi="Verdana" w:cs="Arial"/>
          <w:bCs/>
          <w:color w:val="000000" w:themeColor="text1"/>
          <w:sz w:val="20"/>
          <w:szCs w:val="20"/>
          <w:lang w:val="es-ES"/>
        </w:rPr>
      </w:pPr>
      <w:r w:rsidRPr="000C4C75">
        <w:rPr>
          <w:rFonts w:ascii="Verdana" w:hAnsi="Verdana" w:cs="Arial"/>
          <w:bCs/>
          <w:color w:val="000000" w:themeColor="text1"/>
          <w:sz w:val="20"/>
          <w:szCs w:val="20"/>
          <w:lang w:val="es-ES"/>
        </w:rPr>
        <w:t>2) Los contratos de crédito público;</w:t>
      </w:r>
    </w:p>
    <w:p w14:paraId="44D9E64E" w14:textId="0ED317C7" w:rsidR="000C4C75" w:rsidRPr="000C4C75" w:rsidRDefault="000C4C75" w:rsidP="000C4C75">
      <w:pPr>
        <w:tabs>
          <w:tab w:val="left" w:pos="709"/>
        </w:tabs>
        <w:spacing w:after="0" w:line="240" w:lineRule="auto"/>
        <w:jc w:val="both"/>
        <w:rPr>
          <w:rFonts w:ascii="Verdana" w:hAnsi="Verdana" w:cs="Arial"/>
          <w:bCs/>
          <w:color w:val="000000" w:themeColor="text1"/>
          <w:sz w:val="20"/>
          <w:szCs w:val="20"/>
          <w:lang w:val="es-ES"/>
        </w:rPr>
      </w:pPr>
      <w:r w:rsidRPr="000C4C75">
        <w:rPr>
          <w:rFonts w:ascii="Verdana" w:hAnsi="Verdana" w:cs="Arial"/>
          <w:bCs/>
          <w:color w:val="000000" w:themeColor="text1"/>
          <w:sz w:val="20"/>
          <w:szCs w:val="20"/>
          <w:lang w:val="es-ES"/>
        </w:rPr>
        <w:t xml:space="preserve">3) Los contratos requeridos para cubrir las emergencias educativas, sanitarias y desastres; </w:t>
      </w:r>
    </w:p>
    <w:p w14:paraId="76650FA1" w14:textId="5343EE41" w:rsidR="000C4C75" w:rsidRPr="000C4C75" w:rsidRDefault="000C4C75" w:rsidP="000C4C75">
      <w:pPr>
        <w:tabs>
          <w:tab w:val="left" w:pos="709"/>
        </w:tabs>
        <w:spacing w:after="0" w:line="240" w:lineRule="auto"/>
        <w:jc w:val="both"/>
        <w:rPr>
          <w:rFonts w:ascii="Verdana" w:hAnsi="Verdana" w:cs="Arial"/>
          <w:bCs/>
          <w:color w:val="000000" w:themeColor="text1"/>
          <w:sz w:val="20"/>
          <w:szCs w:val="20"/>
          <w:lang w:val="es-ES"/>
        </w:rPr>
      </w:pPr>
      <w:r w:rsidRPr="000C4C75">
        <w:rPr>
          <w:rFonts w:ascii="Verdana" w:hAnsi="Verdana" w:cs="Arial"/>
          <w:bCs/>
          <w:color w:val="000000" w:themeColor="text1"/>
          <w:sz w:val="20"/>
          <w:szCs w:val="20"/>
          <w:lang w:val="es-ES"/>
        </w:rPr>
        <w:t>4) La contratación para la reconstrucción de vías, puentes, carreteras, infraestructura energética y de comunicaciones, en caso de que hayan sido objeto de atentados, acciones terroristas, desastres naturales o casos de fuerza mayor y;</w:t>
      </w:r>
    </w:p>
    <w:p w14:paraId="1E1596C4" w14:textId="70181FF5" w:rsidR="000C4C75" w:rsidRPr="000C4C75" w:rsidRDefault="000C4C75" w:rsidP="000C4C75">
      <w:pPr>
        <w:tabs>
          <w:tab w:val="left" w:pos="709"/>
        </w:tabs>
        <w:spacing w:after="0" w:line="240" w:lineRule="auto"/>
        <w:jc w:val="both"/>
        <w:rPr>
          <w:rFonts w:ascii="Verdana" w:hAnsi="Verdana" w:cs="Arial"/>
          <w:bCs/>
          <w:i/>
          <w:iCs/>
          <w:color w:val="000000" w:themeColor="text1"/>
          <w:sz w:val="20"/>
          <w:szCs w:val="20"/>
          <w:lang w:val="es-ES"/>
        </w:rPr>
      </w:pPr>
      <w:r w:rsidRPr="000C4C75">
        <w:rPr>
          <w:rFonts w:ascii="Verdana" w:hAnsi="Verdana" w:cs="Arial"/>
          <w:bCs/>
          <w:i/>
          <w:iCs/>
          <w:color w:val="000000" w:themeColor="text1"/>
          <w:sz w:val="20"/>
          <w:szCs w:val="20"/>
          <w:lang w:val="es-ES"/>
        </w:rPr>
        <w:t xml:space="preserve">5) La contratación que deban realizar las entidades sanitarias y hospitalarias. </w:t>
      </w:r>
    </w:p>
    <w:p w14:paraId="4E21EC05" w14:textId="77777777" w:rsidR="000C4C75" w:rsidRDefault="000C4C75" w:rsidP="000C4C75">
      <w:pPr>
        <w:tabs>
          <w:tab w:val="left" w:pos="426"/>
        </w:tabs>
        <w:spacing w:after="0" w:line="240" w:lineRule="auto"/>
        <w:jc w:val="both"/>
        <w:rPr>
          <w:rFonts w:ascii="Verdana" w:hAnsi="Verdana" w:cs="Arial"/>
          <w:bCs/>
          <w:color w:val="000000" w:themeColor="text1"/>
          <w:sz w:val="20"/>
          <w:szCs w:val="20"/>
          <w:lang w:val="es-ES"/>
        </w:rPr>
      </w:pPr>
    </w:p>
    <w:p w14:paraId="61DAF8BD" w14:textId="77777777" w:rsidR="000A217C" w:rsidRDefault="000C4C75" w:rsidP="000C4C75">
      <w:pPr>
        <w:tabs>
          <w:tab w:val="left" w:pos="426"/>
        </w:tabs>
        <w:spacing w:after="0" w:line="240" w:lineRule="auto"/>
        <w:jc w:val="both"/>
        <w:rPr>
          <w:rFonts w:ascii="Verdana" w:hAnsi="Verdana" w:cs="Arial"/>
          <w:color w:val="000000" w:themeColor="text1"/>
          <w:sz w:val="20"/>
          <w:szCs w:val="20"/>
        </w:rPr>
      </w:pPr>
      <w:r>
        <w:rPr>
          <w:rFonts w:ascii="Verdana" w:hAnsi="Verdana" w:cs="Arial"/>
          <w:bCs/>
          <w:color w:val="000000" w:themeColor="text1"/>
          <w:sz w:val="20"/>
          <w:szCs w:val="20"/>
          <w:lang w:val="es-ES"/>
        </w:rPr>
        <w:t xml:space="preserve">[…] </w:t>
      </w:r>
      <w:r w:rsidRPr="000C4C75">
        <w:rPr>
          <w:rFonts w:ascii="Verdana" w:hAnsi="Verdana" w:cs="Arial"/>
          <w:color w:val="000000" w:themeColor="text1"/>
          <w:sz w:val="20"/>
          <w:szCs w:val="20"/>
        </w:rPr>
        <w:t xml:space="preserve">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w:t>
      </w:r>
    </w:p>
    <w:p w14:paraId="11AB19B6" w14:textId="1DD079BD" w:rsidR="000C4C75" w:rsidRDefault="000C4C75" w:rsidP="000C4C75">
      <w:pPr>
        <w:tabs>
          <w:tab w:val="left" w:pos="426"/>
        </w:tabs>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lastRenderedPageBreak/>
        <w:t xml:space="preserve">[…] </w:t>
      </w:r>
    </w:p>
    <w:p w14:paraId="557223AF" w14:textId="77777777" w:rsidR="000C4C75" w:rsidRDefault="000C4C75" w:rsidP="000C4C75">
      <w:pPr>
        <w:tabs>
          <w:tab w:val="left" w:pos="426"/>
        </w:tabs>
        <w:spacing w:after="0" w:line="240" w:lineRule="auto"/>
        <w:jc w:val="both"/>
        <w:rPr>
          <w:rFonts w:ascii="Verdana" w:hAnsi="Verdana" w:cs="Arial"/>
          <w:bCs/>
          <w:color w:val="000000" w:themeColor="text1"/>
          <w:sz w:val="20"/>
          <w:szCs w:val="20"/>
          <w:lang w:val="es-ES"/>
        </w:rPr>
      </w:pPr>
    </w:p>
    <w:p w14:paraId="65C1B072" w14:textId="77777777" w:rsidR="000C4C75" w:rsidRDefault="000C4C75" w:rsidP="000C4C75">
      <w:pPr>
        <w:tabs>
          <w:tab w:val="left" w:pos="426"/>
        </w:tabs>
        <w:spacing w:after="0" w:line="240" w:lineRule="auto"/>
        <w:jc w:val="both"/>
        <w:rPr>
          <w:rFonts w:ascii="Verdana" w:hAnsi="Verdana" w:cs="Arial"/>
          <w:bCs/>
          <w:color w:val="000000" w:themeColor="text1"/>
          <w:sz w:val="20"/>
          <w:szCs w:val="20"/>
          <w:lang w:val="es-ES"/>
        </w:rPr>
      </w:pPr>
      <w:r w:rsidRPr="000C4C75">
        <w:rPr>
          <w:rFonts w:ascii="Verdana" w:hAnsi="Verdana" w:cs="Arial"/>
          <w:bCs/>
          <w:color w:val="000000" w:themeColor="text1"/>
          <w:sz w:val="20"/>
          <w:szCs w:val="20"/>
          <w:lang w:val="es-ES"/>
        </w:rPr>
        <w:t xml:space="preserve">Lo anterior implica que las excepciones al artículo 33 en comento deben interpretarse y aplicarse de manera </w:t>
      </w:r>
      <w:r w:rsidRPr="000C4C75">
        <w:rPr>
          <w:rFonts w:ascii="Verdana" w:hAnsi="Verdana" w:cs="Arial"/>
          <w:bCs/>
          <w:i/>
          <w:iCs/>
          <w:color w:val="000000" w:themeColor="text1"/>
          <w:sz w:val="20"/>
          <w:szCs w:val="20"/>
          <w:lang w:val="es-ES"/>
        </w:rPr>
        <w:t>estricta</w:t>
      </w:r>
      <w:r w:rsidRPr="000C4C75">
        <w:rPr>
          <w:rFonts w:ascii="Verdana" w:hAnsi="Verdana" w:cs="Arial"/>
          <w:bCs/>
          <w:color w:val="000000" w:themeColor="text1"/>
          <w:sz w:val="20"/>
          <w:szCs w:val="20"/>
          <w:lang w:val="es-ES"/>
        </w:rPr>
        <w:t>. En otras palabras, no es factible hacer interpretaciones extensivas</w:t>
      </w:r>
      <w:r w:rsidRPr="000C4C75">
        <w:rPr>
          <w:rFonts w:ascii="Verdana" w:hAnsi="Verdana" w:cs="Arial"/>
          <w:bCs/>
          <w:i/>
          <w:iCs/>
          <w:color w:val="000000" w:themeColor="text1"/>
          <w:sz w:val="20"/>
          <w:szCs w:val="20"/>
          <w:lang w:val="es-ES"/>
        </w:rPr>
        <w:t xml:space="preserve"> </w:t>
      </w:r>
      <w:r w:rsidRPr="000C4C75">
        <w:rPr>
          <w:rFonts w:ascii="Verdana" w:hAnsi="Verdana" w:cs="Arial"/>
          <w:bCs/>
          <w:color w:val="000000" w:themeColor="text1"/>
          <w:sz w:val="20"/>
          <w:szCs w:val="20"/>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CA41912" w14:textId="77777777" w:rsidR="000C4C75" w:rsidRDefault="000C4C75" w:rsidP="000C4C75">
      <w:pPr>
        <w:tabs>
          <w:tab w:val="left" w:pos="426"/>
        </w:tabs>
        <w:spacing w:after="0" w:line="240" w:lineRule="auto"/>
        <w:jc w:val="both"/>
        <w:rPr>
          <w:rFonts w:ascii="Verdana" w:hAnsi="Verdana" w:cs="Arial"/>
          <w:bCs/>
          <w:color w:val="000000" w:themeColor="text1"/>
          <w:sz w:val="20"/>
          <w:szCs w:val="20"/>
          <w:lang w:val="es-ES"/>
        </w:rPr>
      </w:pPr>
    </w:p>
    <w:p w14:paraId="0DBBC6B9" w14:textId="77777777" w:rsidR="000C4C75" w:rsidRDefault="000C4C75" w:rsidP="000C4C75">
      <w:pPr>
        <w:tabs>
          <w:tab w:val="left" w:pos="426"/>
        </w:tabs>
        <w:spacing w:after="0" w:line="240" w:lineRule="auto"/>
        <w:jc w:val="both"/>
        <w:rPr>
          <w:rFonts w:ascii="Verdana" w:eastAsia="Times New Roman" w:hAnsi="Verdana" w:cs="Arial"/>
          <w:bCs/>
          <w:sz w:val="20"/>
          <w:szCs w:val="20"/>
          <w:lang w:val="es-MX" w:eastAsia="es-CO"/>
        </w:rPr>
      </w:pPr>
      <w:r w:rsidRPr="000C4C75">
        <w:rPr>
          <w:rFonts w:ascii="Verdana" w:eastAsia="Times New Roman" w:hAnsi="Verdana" w:cs="Arial"/>
          <w:sz w:val="20"/>
          <w:szCs w:val="20"/>
          <w:lang w:val="es-MX" w:eastAsia="es-CO"/>
        </w:rPr>
        <w:t>Conforme a las anteriores excepciones, es</w:t>
      </w:r>
      <w:r w:rsidRPr="000C4C75">
        <w:rPr>
          <w:rFonts w:ascii="Verdana" w:eastAsia="Times New Roman" w:hAnsi="Verdana" w:cs="Arial"/>
          <w:bCs/>
          <w:sz w:val="20"/>
          <w:szCs w:val="20"/>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DAB8AEF" w14:textId="77777777" w:rsidR="000C4C75" w:rsidRDefault="000C4C75" w:rsidP="000C4C75">
      <w:pPr>
        <w:tabs>
          <w:tab w:val="left" w:pos="426"/>
        </w:tabs>
        <w:spacing w:after="0" w:line="240" w:lineRule="auto"/>
        <w:jc w:val="both"/>
        <w:rPr>
          <w:rFonts w:ascii="Verdana" w:eastAsia="Times New Roman" w:hAnsi="Verdana" w:cs="Arial"/>
          <w:bCs/>
          <w:sz w:val="20"/>
          <w:szCs w:val="20"/>
          <w:lang w:val="es-MX" w:eastAsia="es-CO"/>
        </w:rPr>
      </w:pPr>
    </w:p>
    <w:p w14:paraId="07AD94F5" w14:textId="1A250C57" w:rsidR="000C4C75" w:rsidRDefault="000C4C75" w:rsidP="000C4C75">
      <w:pPr>
        <w:tabs>
          <w:tab w:val="left" w:pos="426"/>
        </w:tabs>
        <w:spacing w:after="0" w:line="240" w:lineRule="auto"/>
        <w:jc w:val="both"/>
        <w:rPr>
          <w:rFonts w:ascii="Verdana" w:eastAsia="Times New Roman" w:hAnsi="Verdana" w:cs="Arial"/>
          <w:bCs/>
          <w:sz w:val="20"/>
          <w:szCs w:val="20"/>
          <w:lang w:val="es-MX" w:eastAsia="es-CO"/>
        </w:rPr>
      </w:pPr>
      <w:r>
        <w:rPr>
          <w:rFonts w:ascii="Verdana" w:eastAsia="Times New Roman" w:hAnsi="Verdana" w:cs="Arial"/>
          <w:bCs/>
          <w:sz w:val="20"/>
          <w:szCs w:val="20"/>
          <w:lang w:val="es-MX" w:eastAsia="es-CO"/>
        </w:rPr>
        <w:t xml:space="preserve">[…] </w:t>
      </w:r>
    </w:p>
    <w:p w14:paraId="1F2155FC" w14:textId="77777777" w:rsidR="000C4C75" w:rsidRDefault="000C4C75" w:rsidP="000C4C75">
      <w:pPr>
        <w:tabs>
          <w:tab w:val="left" w:pos="426"/>
        </w:tabs>
        <w:spacing w:after="0" w:line="240" w:lineRule="auto"/>
        <w:jc w:val="both"/>
        <w:rPr>
          <w:rFonts w:ascii="Verdana" w:eastAsia="Times New Roman" w:hAnsi="Verdana" w:cs="Arial"/>
          <w:bCs/>
          <w:sz w:val="20"/>
          <w:szCs w:val="20"/>
          <w:lang w:val="es-MX" w:eastAsia="es-CO"/>
        </w:rPr>
      </w:pPr>
    </w:p>
    <w:p w14:paraId="54AAE973" w14:textId="77777777" w:rsidR="000C4C75" w:rsidRPr="000C4C75" w:rsidRDefault="000C4C75" w:rsidP="000C4C75">
      <w:pPr>
        <w:tabs>
          <w:tab w:val="left" w:pos="426"/>
        </w:tabs>
        <w:spacing w:after="0" w:line="240" w:lineRule="auto"/>
        <w:jc w:val="both"/>
        <w:rPr>
          <w:rFonts w:ascii="Verdana" w:eastAsia="Times New Roman" w:hAnsi="Verdana" w:cs="Arial"/>
          <w:bCs/>
          <w:sz w:val="20"/>
          <w:szCs w:val="20"/>
          <w:lang w:val="es-MX" w:eastAsia="es-CO"/>
        </w:rPr>
      </w:pPr>
      <w:r w:rsidRPr="000C4C75">
        <w:rPr>
          <w:rFonts w:ascii="Verdana" w:hAnsi="Verdana" w:cs="Arial"/>
          <w:color w:val="000000" w:themeColor="text1"/>
          <w:sz w:val="20"/>
          <w:szCs w:val="20"/>
          <w:lang w:val="es-ES"/>
        </w:rPr>
        <w:t>En este punto, es pertinente analizar el quinto evento</w:t>
      </w:r>
      <w:r w:rsidRPr="000C4C75">
        <w:rPr>
          <w:rFonts w:ascii="Verdana" w:hAnsi="Verdana" w:cs="Arial"/>
          <w:i/>
          <w:iCs/>
          <w:color w:val="000000" w:themeColor="text1"/>
          <w:sz w:val="20"/>
          <w:szCs w:val="20"/>
          <w:lang w:val="es-ES"/>
        </w:rPr>
        <w:t xml:space="preserve"> </w:t>
      </w:r>
      <w:r w:rsidRPr="000C4C75">
        <w:rPr>
          <w:rFonts w:ascii="Verdana" w:hAnsi="Verdana" w:cs="Arial"/>
          <w:color w:val="000000" w:themeColor="text1"/>
          <w:sz w:val="20"/>
          <w:szCs w:val="20"/>
          <w:lang w:val="es-ES"/>
        </w:rPr>
        <w:t xml:space="preserve">exceptuado de la prohibición, relacionado con la contratación por parte de las entidades sanitarias y hospitalarias, </w:t>
      </w:r>
      <w:r w:rsidRPr="000C4C75">
        <w:rPr>
          <w:rFonts w:ascii="Verdana" w:hAnsi="Verdana" w:cs="Arial"/>
          <w:color w:val="000000" w:themeColor="text1"/>
          <w:sz w:val="20"/>
          <w:szCs w:val="20"/>
        </w:rPr>
        <w:t>a efectos de determinar si la excepción referida es aplicable a los contratos suscritos por las Empresas Sociales del Estado –ESE-</w:t>
      </w:r>
      <w:r w:rsidRPr="000C4C75">
        <w:rPr>
          <w:rFonts w:ascii="Verdana" w:hAnsi="Verdana" w:cs="Arial"/>
          <w:color w:val="000000" w:themeColor="text1"/>
          <w:sz w:val="20"/>
          <w:szCs w:val="20"/>
          <w:lang w:val="es-ES"/>
        </w:rPr>
        <w:t>.</w:t>
      </w:r>
    </w:p>
    <w:p w14:paraId="424D2505" w14:textId="77777777" w:rsidR="000C4C75" w:rsidRPr="000C4C75" w:rsidRDefault="000C4C75" w:rsidP="000C4C75">
      <w:pPr>
        <w:tabs>
          <w:tab w:val="left" w:pos="426"/>
        </w:tabs>
        <w:spacing w:after="0" w:line="240" w:lineRule="auto"/>
        <w:jc w:val="both"/>
        <w:rPr>
          <w:rFonts w:ascii="Verdana" w:hAnsi="Verdana" w:cs="Arial"/>
          <w:color w:val="000000" w:themeColor="text1"/>
          <w:sz w:val="20"/>
          <w:szCs w:val="20"/>
          <w:lang w:val="es-ES"/>
        </w:rPr>
      </w:pPr>
    </w:p>
    <w:p w14:paraId="201803B9" w14:textId="77777777" w:rsidR="000C4C75" w:rsidRPr="000C4C75" w:rsidRDefault="000C4C75" w:rsidP="000C4C75">
      <w:pPr>
        <w:tabs>
          <w:tab w:val="left" w:pos="426"/>
        </w:tabs>
        <w:spacing w:after="0" w:line="240" w:lineRule="auto"/>
        <w:jc w:val="both"/>
        <w:rPr>
          <w:rFonts w:ascii="Verdana" w:eastAsia="Times New Roman" w:hAnsi="Verdana" w:cs="Arial"/>
          <w:bCs/>
          <w:sz w:val="20"/>
          <w:szCs w:val="20"/>
          <w:lang w:val="es-MX" w:eastAsia="es-CO"/>
        </w:rPr>
      </w:pPr>
      <w:r w:rsidRPr="000C4C75">
        <w:rPr>
          <w:rFonts w:ascii="Verdana" w:hAnsi="Verdana" w:cs="Arial"/>
          <w:color w:val="000000" w:themeColor="text1"/>
          <w:sz w:val="20"/>
          <w:szCs w:val="20"/>
          <w:lang w:val="es-ES"/>
        </w:rPr>
        <w:t xml:space="preserve">[…]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2778EE00" w14:textId="77777777" w:rsidR="000C4C75" w:rsidRPr="000C4C75" w:rsidRDefault="000C4C75" w:rsidP="000C4C75">
      <w:pPr>
        <w:tabs>
          <w:tab w:val="left" w:pos="426"/>
        </w:tabs>
        <w:spacing w:after="0" w:line="240" w:lineRule="auto"/>
        <w:jc w:val="both"/>
        <w:rPr>
          <w:rFonts w:ascii="Verdana" w:eastAsia="Times New Roman" w:hAnsi="Verdana" w:cs="Arial"/>
          <w:bCs/>
          <w:sz w:val="20"/>
          <w:szCs w:val="20"/>
          <w:lang w:val="es-MX" w:eastAsia="es-CO"/>
        </w:rPr>
      </w:pPr>
    </w:p>
    <w:p w14:paraId="5F755E39" w14:textId="5453A1F4" w:rsidR="000C4C75" w:rsidRPr="000C4C75" w:rsidRDefault="000C4C75" w:rsidP="000C4C75">
      <w:pPr>
        <w:tabs>
          <w:tab w:val="left" w:pos="426"/>
        </w:tabs>
        <w:spacing w:after="0" w:line="240" w:lineRule="auto"/>
        <w:jc w:val="both"/>
        <w:rPr>
          <w:rFonts w:ascii="Verdana" w:eastAsia="Times New Roman" w:hAnsi="Verdana" w:cs="Arial"/>
          <w:bCs/>
          <w:sz w:val="20"/>
          <w:szCs w:val="20"/>
          <w:lang w:val="es-MX" w:eastAsia="es-CO"/>
        </w:rPr>
      </w:pPr>
      <w:r w:rsidRPr="000C4C75">
        <w:rPr>
          <w:rFonts w:ascii="Verdana" w:eastAsia="Times New Roman" w:hAnsi="Verdana" w:cs="Arial"/>
          <w:color w:val="000000" w:themeColor="text1"/>
          <w:sz w:val="20"/>
          <w:szCs w:val="2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76FBB62B" w14:textId="77777777" w:rsidR="000C4C75" w:rsidRDefault="000C4C75" w:rsidP="000C4C75">
      <w:pPr>
        <w:tabs>
          <w:tab w:val="left" w:pos="426"/>
        </w:tabs>
        <w:spacing w:after="0" w:line="240" w:lineRule="auto"/>
        <w:jc w:val="both"/>
        <w:rPr>
          <w:rFonts w:ascii="Verdana" w:hAnsi="Verdana" w:cs="Arial"/>
          <w:bCs/>
          <w:color w:val="000000" w:themeColor="text1"/>
          <w:sz w:val="20"/>
          <w:szCs w:val="20"/>
          <w:lang w:val="es-ES"/>
        </w:rPr>
      </w:pPr>
    </w:p>
    <w:p w14:paraId="1798E2E3" w14:textId="77777777" w:rsidR="000C4C75" w:rsidRDefault="00124590" w:rsidP="000C4C75">
      <w:pPr>
        <w:tabs>
          <w:tab w:val="left" w:pos="426"/>
        </w:tabs>
        <w:spacing w:after="0" w:line="240" w:lineRule="auto"/>
        <w:jc w:val="both"/>
        <w:rPr>
          <w:rFonts w:ascii="Verdana" w:hAnsi="Verdana" w:cs="Arial"/>
          <w:bCs/>
          <w:color w:val="000000" w:themeColor="text1"/>
          <w:sz w:val="20"/>
          <w:szCs w:val="20"/>
          <w:lang w:val="es-MX"/>
        </w:rPr>
      </w:pPr>
      <w:r w:rsidRPr="00124590">
        <w:rPr>
          <w:rFonts w:ascii="Verdana" w:hAnsi="Verdana" w:cs="Arial"/>
          <w:b/>
          <w:bCs/>
          <w:lang w:val="es-MX" w:eastAsia="es-ES_tradnl"/>
        </w:rPr>
        <w:t xml:space="preserve">CONVENIOS INTERADMINISTRATIVOS – Criterio orgánico </w:t>
      </w:r>
    </w:p>
    <w:p w14:paraId="6E259CFF" w14:textId="77777777" w:rsidR="000C4C75" w:rsidRDefault="000C4C75" w:rsidP="000C4C75">
      <w:pPr>
        <w:tabs>
          <w:tab w:val="left" w:pos="426"/>
        </w:tabs>
        <w:spacing w:after="0" w:line="240" w:lineRule="auto"/>
        <w:jc w:val="both"/>
        <w:rPr>
          <w:rFonts w:ascii="Verdana" w:hAnsi="Verdana" w:cs="Arial"/>
          <w:bCs/>
          <w:color w:val="000000" w:themeColor="text1"/>
          <w:sz w:val="20"/>
          <w:szCs w:val="20"/>
          <w:lang w:val="es-MX"/>
        </w:rPr>
      </w:pPr>
    </w:p>
    <w:p w14:paraId="7CAC2C63" w14:textId="5F44D17D" w:rsidR="000C4C75" w:rsidRPr="000C4C75" w:rsidRDefault="000C4C75" w:rsidP="000C4C75">
      <w:pPr>
        <w:tabs>
          <w:tab w:val="left" w:pos="426"/>
        </w:tabs>
        <w:spacing w:after="0" w:line="240" w:lineRule="auto"/>
        <w:jc w:val="both"/>
        <w:rPr>
          <w:rFonts w:ascii="Verdana" w:hAnsi="Verdana" w:cs="Arial"/>
          <w:sz w:val="20"/>
          <w:szCs w:val="20"/>
        </w:rPr>
      </w:pPr>
      <w:r w:rsidRPr="000C4C75">
        <w:rPr>
          <w:rFonts w:ascii="Verdana" w:hAnsi="Verdana" w:cs="Arial"/>
          <w:sz w:val="20"/>
          <w:szCs w:val="20"/>
          <w:lang w:val="es-ES"/>
        </w:rPr>
        <w:t xml:space="preserve">Ahora bien, respecto del alcance del parágrafo </w:t>
      </w:r>
      <w:r w:rsidRPr="000C4C75">
        <w:rPr>
          <w:rFonts w:ascii="Verdana" w:hAnsi="Verdana" w:cs="Arial"/>
          <w:sz w:val="20"/>
          <w:szCs w:val="20"/>
        </w:rPr>
        <w:t xml:space="preserve">del artículo 38 de la Ley 996 de 2005, es preciso reiterar que esta prohibición dispone que: “[l]os Gobernadores, </w:t>
      </w:r>
      <w:proofErr w:type="gramStart"/>
      <w:r w:rsidRPr="000C4C75">
        <w:rPr>
          <w:rFonts w:ascii="Verdana" w:hAnsi="Verdana" w:cs="Arial"/>
          <w:sz w:val="20"/>
          <w:szCs w:val="20"/>
        </w:rPr>
        <w:t>Alcaldes</w:t>
      </w:r>
      <w:proofErr w:type="gramEnd"/>
      <w:r w:rsidRPr="000C4C75">
        <w:rPr>
          <w:rFonts w:ascii="Verdana" w:hAnsi="Verdana" w:cs="Arial"/>
          <w:sz w:val="20"/>
          <w:szCs w:val="20"/>
        </w:rPr>
        <w:t xml:space="preserve"> Municipales y/o Distritales, </w:t>
      </w:r>
      <w:proofErr w:type="gramStart"/>
      <w:r w:rsidRPr="000C4C75">
        <w:rPr>
          <w:rFonts w:ascii="Verdana" w:hAnsi="Verdana" w:cs="Arial"/>
          <w:sz w:val="20"/>
          <w:szCs w:val="20"/>
        </w:rPr>
        <w:t>Secretarios</w:t>
      </w:r>
      <w:proofErr w:type="gramEnd"/>
      <w:r w:rsidRPr="000C4C75">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0C4C75">
        <w:rPr>
          <w:rFonts w:ascii="Verdana" w:hAnsi="Verdana" w:cs="Arial"/>
          <w:i/>
          <w:iCs/>
          <w:sz w:val="20"/>
          <w:szCs w:val="20"/>
        </w:rPr>
        <w:t>convenios interadministrativos</w:t>
      </w:r>
      <w:r w:rsidRPr="000C4C75">
        <w:rPr>
          <w:rFonts w:ascii="Verdana" w:hAnsi="Verdana" w:cs="Arial"/>
          <w:sz w:val="20"/>
          <w:szCs w:val="20"/>
        </w:rPr>
        <w:t xml:space="preserve"> </w:t>
      </w:r>
      <w:r w:rsidRPr="000C4C75">
        <w:rPr>
          <w:rFonts w:ascii="Verdana" w:hAnsi="Verdana" w:cs="Arial"/>
          <w:i/>
          <w:iCs/>
          <w:sz w:val="20"/>
          <w:szCs w:val="20"/>
        </w:rPr>
        <w:t>para la ejecución de recursos públicos</w:t>
      </w:r>
      <w:r w:rsidRPr="000C4C75">
        <w:rPr>
          <w:rFonts w:ascii="Verdana" w:hAnsi="Verdana" w:cs="Arial"/>
          <w:sz w:val="20"/>
          <w:szCs w:val="20"/>
        </w:rPr>
        <w:t>”.</w:t>
      </w:r>
    </w:p>
    <w:p w14:paraId="2168F2D6" w14:textId="33521287" w:rsidR="000C4C75" w:rsidRDefault="000C4C75" w:rsidP="000C4C75">
      <w:pPr>
        <w:tabs>
          <w:tab w:val="left" w:pos="426"/>
        </w:tabs>
        <w:spacing w:after="0" w:line="240" w:lineRule="auto"/>
        <w:jc w:val="both"/>
        <w:rPr>
          <w:rFonts w:ascii="Verdana" w:hAnsi="Verdana" w:cs="Arial"/>
          <w:sz w:val="20"/>
          <w:szCs w:val="20"/>
          <w:lang w:eastAsia="es-ES"/>
        </w:rPr>
      </w:pPr>
      <w:r w:rsidRPr="000C4C75">
        <w:rPr>
          <w:rFonts w:ascii="Verdana" w:eastAsia="Times New Roman" w:hAnsi="Verdana" w:cs="Arial"/>
          <w:sz w:val="20"/>
          <w:szCs w:val="20"/>
          <w:lang w:val="es-ES" w:eastAsia="es-ES_tradnl"/>
        </w:rPr>
        <w:lastRenderedPageBreak/>
        <w:t xml:space="preserve">Para tales efectos, debe precisarse que </w:t>
      </w:r>
      <w:r w:rsidRPr="000C4C75">
        <w:rPr>
          <w:rFonts w:ascii="Verdana" w:eastAsia="Times New Roman" w:hAnsi="Verdana" w:cs="Arial"/>
          <w:color w:val="000000" w:themeColor="text1"/>
          <w:sz w:val="20"/>
          <w:szCs w:val="20"/>
          <w:lang w:val="es-ES" w:eastAsia="es-CO"/>
        </w:rPr>
        <w:t xml:space="preserve">los convenios interadministrativos están determinados por un criterio orgánico, pues es necesario que los extremos de la relación contractual sean entidades públicas, </w:t>
      </w:r>
      <w:r w:rsidRPr="000C4C75">
        <w:rPr>
          <w:rFonts w:ascii="Verdana" w:hAnsi="Verdana" w:cs="Arial"/>
          <w:sz w:val="20"/>
          <w:szCs w:val="20"/>
          <w:lang w:eastAsia="es-ES"/>
        </w:rPr>
        <w:t>independientemente de las normas que regulan la relación contractual.</w:t>
      </w:r>
    </w:p>
    <w:p w14:paraId="4872BF72" w14:textId="77777777" w:rsidR="000C4C75" w:rsidRPr="000C4C75" w:rsidRDefault="000C4C75" w:rsidP="000C4C75">
      <w:pPr>
        <w:tabs>
          <w:tab w:val="left" w:pos="426"/>
        </w:tabs>
        <w:spacing w:after="0" w:line="240" w:lineRule="auto"/>
        <w:jc w:val="both"/>
        <w:rPr>
          <w:rFonts w:ascii="Verdana" w:hAnsi="Verdana" w:cs="Arial"/>
          <w:bCs/>
          <w:color w:val="000000" w:themeColor="text1"/>
          <w:sz w:val="20"/>
          <w:szCs w:val="20"/>
        </w:rPr>
      </w:pPr>
    </w:p>
    <w:p w14:paraId="5A00B6CD" w14:textId="431CBBE9" w:rsidR="000A217C" w:rsidRPr="000A217C" w:rsidRDefault="00124590" w:rsidP="000A217C">
      <w:pPr>
        <w:spacing w:after="0" w:line="240" w:lineRule="auto"/>
        <w:jc w:val="both"/>
        <w:rPr>
          <w:rFonts w:ascii="Verdana" w:hAnsi="Verdana" w:cs="Arial"/>
          <w:b/>
          <w:bCs/>
          <w:lang w:val="es-MX" w:eastAsia="es-ES_tradnl"/>
        </w:rPr>
      </w:pPr>
      <w:r w:rsidRPr="00124590">
        <w:rPr>
          <w:rFonts w:ascii="Verdana" w:hAnsi="Verdana" w:cs="Arial"/>
          <w:b/>
          <w:bCs/>
          <w:lang w:val="es-MX" w:eastAsia="es-ES_tradnl"/>
        </w:rPr>
        <w:t xml:space="preserve">CONTRATOS Y CONVENIOS INTERADMINISTRATIVOS – Circular Externa Única Sentencia nulidad – Auto de suspensión </w:t>
      </w:r>
    </w:p>
    <w:p w14:paraId="4F88E654" w14:textId="77777777" w:rsidR="000A217C" w:rsidRDefault="000A217C" w:rsidP="000A217C">
      <w:pPr>
        <w:tabs>
          <w:tab w:val="left" w:pos="426"/>
        </w:tabs>
        <w:spacing w:after="0" w:line="240" w:lineRule="auto"/>
        <w:jc w:val="both"/>
        <w:rPr>
          <w:rFonts w:ascii="Verdana" w:eastAsia="Times New Roman" w:hAnsi="Verdana" w:cs="Arial"/>
          <w:sz w:val="20"/>
          <w:szCs w:val="20"/>
          <w:lang w:val="es-MX" w:eastAsia="es-CO"/>
        </w:rPr>
      </w:pPr>
    </w:p>
    <w:p w14:paraId="6871C764" w14:textId="5ED5EA43" w:rsidR="000A217C" w:rsidRPr="000A217C" w:rsidRDefault="000A217C" w:rsidP="000A217C">
      <w:pPr>
        <w:tabs>
          <w:tab w:val="left" w:pos="426"/>
        </w:tabs>
        <w:spacing w:after="0" w:line="240" w:lineRule="auto"/>
        <w:jc w:val="both"/>
        <w:rPr>
          <w:rFonts w:ascii="Verdana" w:eastAsia="Times New Roman" w:hAnsi="Verdana" w:cs="Arial"/>
          <w:sz w:val="20"/>
          <w:szCs w:val="20"/>
          <w:lang w:eastAsia="es-CO"/>
        </w:rPr>
      </w:pPr>
      <w:r w:rsidRPr="000A217C">
        <w:rPr>
          <w:rFonts w:ascii="Verdana" w:eastAsia="Times New Roman" w:hAnsi="Verdana" w:cs="Arial"/>
          <w:sz w:val="20"/>
          <w:szCs w:val="20"/>
          <w:lang w:val="es-MX" w:eastAsia="es-CO"/>
        </w:rPr>
        <w:t xml:space="preserve">Respecto del alcance de esta prohibición la Circular Externa No. 006 de 2025 expedida por la ANCP -CCE, en los literales </w:t>
      </w:r>
      <w:proofErr w:type="spellStart"/>
      <w:r w:rsidRPr="000A217C">
        <w:rPr>
          <w:rFonts w:ascii="Verdana" w:eastAsia="Times New Roman" w:hAnsi="Verdana" w:cs="Arial"/>
          <w:sz w:val="20"/>
          <w:szCs w:val="20"/>
          <w:lang w:val="es-MX" w:eastAsia="es-CO"/>
        </w:rPr>
        <w:t>ii</w:t>
      </w:r>
      <w:proofErr w:type="spellEnd"/>
      <w:r w:rsidRPr="000A217C">
        <w:rPr>
          <w:rFonts w:ascii="Verdana" w:eastAsia="Times New Roman" w:hAnsi="Verdana" w:cs="Arial"/>
          <w:sz w:val="20"/>
          <w:szCs w:val="20"/>
          <w:lang w:val="es-MX" w:eastAsia="es-CO"/>
        </w:rPr>
        <w:t xml:space="preserve">) y </w:t>
      </w:r>
      <w:proofErr w:type="spellStart"/>
      <w:r w:rsidRPr="000A217C">
        <w:rPr>
          <w:rFonts w:ascii="Verdana" w:eastAsia="Times New Roman" w:hAnsi="Verdana" w:cs="Arial"/>
          <w:sz w:val="20"/>
          <w:szCs w:val="20"/>
          <w:lang w:val="es-MX" w:eastAsia="es-CO"/>
        </w:rPr>
        <w:t>iv</w:t>
      </w:r>
      <w:proofErr w:type="spellEnd"/>
      <w:r w:rsidRPr="000A217C">
        <w:rPr>
          <w:rFonts w:ascii="Verdana" w:eastAsia="Times New Roman" w:hAnsi="Verdana" w:cs="Arial"/>
          <w:sz w:val="20"/>
          <w:szCs w:val="20"/>
          <w:lang w:val="es-MX" w:eastAsia="es-CO"/>
        </w:rPr>
        <w:t>) del numeral 2</w:t>
      </w:r>
      <w:r w:rsidRPr="000A217C">
        <w:rPr>
          <w:rFonts w:ascii="Verdana" w:eastAsia="Times New Roman" w:hAnsi="Verdana" w:cs="Arial"/>
          <w:sz w:val="20"/>
          <w:szCs w:val="20"/>
          <w:lang w:eastAsia="es-CO"/>
        </w:rPr>
        <w:t>,</w:t>
      </w:r>
      <w:r w:rsidRPr="000A217C">
        <w:rPr>
          <w:rFonts w:ascii="Verdana" w:eastAsia="Times New Roman" w:hAnsi="Verdana" w:cs="Arial"/>
          <w:sz w:val="20"/>
          <w:szCs w:val="20"/>
          <w:lang w:val="es-MX" w:eastAsia="es-CO"/>
        </w:rPr>
        <w:t xml:space="preserve"> indica que el </w:t>
      </w:r>
      <w:r w:rsidRPr="000A217C">
        <w:rPr>
          <w:rFonts w:ascii="Verdana" w:eastAsia="Times New Roman" w:hAnsi="Verdana" w:cs="Arial"/>
          <w:sz w:val="20"/>
          <w:szCs w:val="20"/>
          <w:lang w:eastAsia="es-CO"/>
        </w:rPr>
        <w:t xml:space="preserve">parágrafo del artículo 38 de la Ley 996 de 2005 cobija expresamente a los </w:t>
      </w:r>
      <w:r w:rsidRPr="000A217C">
        <w:rPr>
          <w:rFonts w:ascii="Verdana" w:eastAsia="Times New Roman" w:hAnsi="Verdana" w:cs="Arial"/>
          <w:i/>
          <w:iCs/>
          <w:sz w:val="20"/>
          <w:szCs w:val="20"/>
          <w:lang w:eastAsia="es-CO"/>
        </w:rPr>
        <w:t>convenios interadministrativos</w:t>
      </w:r>
      <w:r w:rsidRPr="000A217C">
        <w:rPr>
          <w:rFonts w:ascii="Verdana" w:eastAsia="Times New Roman" w:hAnsi="Verdana" w:cs="Arial"/>
          <w:sz w:val="20"/>
          <w:szCs w:val="20"/>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0A217C">
        <w:rPr>
          <w:rFonts w:ascii="Verdana" w:eastAsia="Times New Roman" w:hAnsi="Verdana" w:cs="Arial"/>
          <w:i/>
          <w:iCs/>
          <w:sz w:val="20"/>
          <w:szCs w:val="20"/>
          <w:lang w:eastAsia="es-CO"/>
        </w:rPr>
        <w:t>“aunque se configure alguno de los supuestos de excepción que señaló el inciso final del artículo 33”.</w:t>
      </w:r>
      <w:r w:rsidRPr="000A217C">
        <w:rPr>
          <w:rFonts w:ascii="Verdana" w:eastAsia="Times New Roman" w:hAnsi="Verdana" w:cs="Arial"/>
          <w:sz w:val="20"/>
          <w:szCs w:val="20"/>
          <w:lang w:eastAsia="es-CO"/>
        </w:rPr>
        <w:t xml:space="preserve"> </w:t>
      </w:r>
    </w:p>
    <w:p w14:paraId="6FFB2DE7" w14:textId="77777777" w:rsidR="000A217C" w:rsidRPr="000A217C" w:rsidRDefault="000A217C" w:rsidP="000A217C">
      <w:pPr>
        <w:tabs>
          <w:tab w:val="left" w:pos="426"/>
        </w:tabs>
        <w:spacing w:after="0" w:line="240" w:lineRule="auto"/>
        <w:jc w:val="both"/>
        <w:rPr>
          <w:rFonts w:ascii="Verdana" w:eastAsia="Times New Roman" w:hAnsi="Verdana" w:cs="Arial"/>
          <w:sz w:val="20"/>
          <w:szCs w:val="20"/>
          <w:lang w:eastAsia="es-CO"/>
        </w:rPr>
      </w:pPr>
    </w:p>
    <w:p w14:paraId="121CEA50" w14:textId="77777777" w:rsidR="000A217C" w:rsidRPr="000A217C" w:rsidRDefault="000A217C" w:rsidP="000A217C">
      <w:pPr>
        <w:tabs>
          <w:tab w:val="left" w:pos="426"/>
        </w:tabs>
        <w:spacing w:after="0" w:line="240" w:lineRule="auto"/>
        <w:jc w:val="both"/>
        <w:rPr>
          <w:rFonts w:ascii="Verdana" w:eastAsia="Times New Roman" w:hAnsi="Verdana" w:cs="Arial"/>
          <w:sz w:val="20"/>
          <w:szCs w:val="20"/>
          <w:lang w:eastAsia="es-CO"/>
        </w:rPr>
      </w:pPr>
      <w:r w:rsidRPr="000A217C">
        <w:rPr>
          <w:rFonts w:ascii="Verdana" w:eastAsia="Times New Roman" w:hAnsi="Verdana" w:cs="Arial"/>
          <w:sz w:val="20"/>
          <w:szCs w:val="20"/>
          <w:lang w:eastAsia="es-CO"/>
        </w:rPr>
        <w:t xml:space="preserve">Sin embargo, es importante tener en cuenta que el ámbito de aplicación de la restricción prevista en el parágrafo del artículo 38 de la Ley 996 de 2005 solo se extiende a los </w:t>
      </w:r>
      <w:r w:rsidRPr="000A217C">
        <w:rPr>
          <w:rFonts w:ascii="Verdana" w:eastAsia="Times New Roman" w:hAnsi="Verdana" w:cs="Arial"/>
          <w:i/>
          <w:iCs/>
          <w:sz w:val="20"/>
          <w:szCs w:val="20"/>
          <w:lang w:eastAsia="es-CO"/>
        </w:rPr>
        <w:t>convenios interadministrativos</w:t>
      </w:r>
      <w:r w:rsidRPr="000A217C">
        <w:rPr>
          <w:rFonts w:ascii="Verdana" w:eastAsia="Times New Roman" w:hAnsi="Verdana" w:cs="Arial"/>
          <w:sz w:val="20"/>
          <w:szCs w:val="20"/>
          <w:lang w:eastAsia="es-CO"/>
        </w:rPr>
        <w:t xml:space="preserve"> en los que se contemple la </w:t>
      </w:r>
      <w:r w:rsidRPr="000A217C">
        <w:rPr>
          <w:rFonts w:ascii="Verdana" w:eastAsia="Times New Roman" w:hAnsi="Verdana" w:cs="Arial"/>
          <w:i/>
          <w:iCs/>
          <w:sz w:val="20"/>
          <w:szCs w:val="20"/>
          <w:lang w:eastAsia="es-CO"/>
        </w:rPr>
        <w:t>ejecución de recursos públicos</w:t>
      </w:r>
      <w:r w:rsidRPr="000A217C">
        <w:rPr>
          <w:rFonts w:ascii="Verdana" w:eastAsia="Times New Roman" w:hAnsi="Verdana" w:cs="Arial"/>
          <w:sz w:val="20"/>
          <w:szCs w:val="20"/>
          <w:lang w:eastAsia="es-CO"/>
        </w:rPr>
        <w:t xml:space="preserve">. Esto significa que la prohibición no resulta aplicable a </w:t>
      </w:r>
      <w:r w:rsidRPr="000A217C">
        <w:rPr>
          <w:rFonts w:ascii="Verdana" w:eastAsia="Times New Roman" w:hAnsi="Verdana" w:cs="Arial"/>
          <w:i/>
          <w:iCs/>
          <w:sz w:val="20"/>
          <w:szCs w:val="20"/>
          <w:lang w:eastAsia="es-CO"/>
        </w:rPr>
        <w:t>convenios interadministrativos a título gratuito,</w:t>
      </w:r>
      <w:r w:rsidRPr="000A217C">
        <w:rPr>
          <w:rFonts w:ascii="Verdana" w:eastAsia="Times New Roman" w:hAnsi="Verdana" w:cs="Arial"/>
          <w:sz w:val="20"/>
          <w:szCs w:val="20"/>
          <w:lang w:eastAsia="es-CO"/>
        </w:rPr>
        <w:t xml:space="preserve"> los cuales pueden celebrarse válidamente durante la vigencia de la mencionada restricción. </w:t>
      </w:r>
    </w:p>
    <w:p w14:paraId="7A55A80C" w14:textId="77777777" w:rsidR="000A217C" w:rsidRPr="000A217C" w:rsidRDefault="000A217C" w:rsidP="000A217C">
      <w:pPr>
        <w:tabs>
          <w:tab w:val="left" w:pos="426"/>
        </w:tabs>
        <w:spacing w:after="0" w:line="240" w:lineRule="auto"/>
        <w:jc w:val="both"/>
        <w:rPr>
          <w:rFonts w:ascii="Verdana" w:hAnsi="Verdana" w:cs="Arial"/>
          <w:sz w:val="20"/>
          <w:szCs w:val="20"/>
          <w:lang w:eastAsia="es-ES"/>
        </w:rPr>
      </w:pPr>
    </w:p>
    <w:p w14:paraId="52F86936" w14:textId="77777777" w:rsidR="000A217C" w:rsidRDefault="000A217C" w:rsidP="000A217C">
      <w:pPr>
        <w:jc w:val="both"/>
        <w:rPr>
          <w:rFonts w:ascii="Verdana" w:eastAsia="Times New Roman" w:hAnsi="Verdana" w:cs="Arial"/>
          <w:sz w:val="20"/>
          <w:szCs w:val="20"/>
          <w:lang w:eastAsia="es-CO"/>
        </w:rPr>
      </w:pPr>
      <w:r w:rsidRPr="000A217C">
        <w:rPr>
          <w:rFonts w:ascii="Verdana" w:eastAsia="Times New Roman" w:hAnsi="Verdana" w:cs="Arial"/>
          <w:sz w:val="20"/>
          <w:szCs w:val="20"/>
          <w:lang w:eastAsia="es-CO"/>
        </w:rPr>
        <w:t>[…]</w:t>
      </w:r>
    </w:p>
    <w:p w14:paraId="71CA3620" w14:textId="77777777" w:rsidR="000A217C" w:rsidRDefault="000A217C" w:rsidP="000A217C">
      <w:pPr>
        <w:jc w:val="both"/>
        <w:rPr>
          <w:rFonts w:ascii="Verdana" w:eastAsia="Times New Roman" w:hAnsi="Verdana" w:cs="Arial"/>
          <w:sz w:val="20"/>
          <w:szCs w:val="20"/>
          <w:lang w:eastAsia="es-CO"/>
        </w:rPr>
      </w:pPr>
      <w:r w:rsidRPr="000A217C">
        <w:rPr>
          <w:rFonts w:ascii="Verdana" w:eastAsia="Times New Roman" w:hAnsi="Verdana" w:cs="Arial"/>
          <w:sz w:val="20"/>
          <w:szCs w:val="20"/>
          <w:lang w:eastAsia="es-CO"/>
        </w:rPr>
        <w:t xml:space="preserve">En este punto, vale la pena destacar que, </w:t>
      </w:r>
      <w:r w:rsidRPr="000A217C">
        <w:rPr>
          <w:rFonts w:ascii="Verdana" w:eastAsia="Arial" w:hAnsi="Verdana" w:cs="Arial"/>
          <w:sz w:val="20"/>
          <w:szCs w:val="20"/>
          <w:lang w:val="es-MX" w:eastAsia="es-ES" w:bidi="es-ES"/>
        </w:rPr>
        <w:t xml:space="preserve">mediante auto de 4 de octubre del 2024, el Consejo de Estado, Subsección C de la Sección Tercera, decretó medida de suspensión provisional parcial del </w:t>
      </w:r>
      <w:r w:rsidRPr="000A217C">
        <w:rPr>
          <w:rFonts w:ascii="Verdana" w:hAnsi="Verdana" w:cs="Arial"/>
          <w:sz w:val="20"/>
          <w:szCs w:val="20"/>
        </w:rPr>
        <w:t>numeral 16.2 de la Circular Externa Única de 2022 expedida por la Agencia Nacional de Contratación Pública -Colombia Compra Eficiente.</w:t>
      </w:r>
    </w:p>
    <w:p w14:paraId="51E7FEF6" w14:textId="77777777" w:rsidR="000A217C" w:rsidRDefault="000A217C" w:rsidP="000A217C">
      <w:pPr>
        <w:jc w:val="both"/>
        <w:rPr>
          <w:rFonts w:ascii="Verdana" w:eastAsia="Times New Roman" w:hAnsi="Verdana" w:cs="Arial"/>
          <w:sz w:val="20"/>
          <w:szCs w:val="20"/>
          <w:lang w:eastAsia="es-CO"/>
        </w:rPr>
      </w:pPr>
      <w:r w:rsidRPr="000A217C">
        <w:rPr>
          <w:rFonts w:ascii="Verdana" w:eastAsia="Arial" w:hAnsi="Verdana" w:cs="Arial"/>
          <w:sz w:val="20"/>
          <w:szCs w:val="20"/>
          <w:lang w:val="es-MX" w:eastAsia="es-ES" w:bidi="es-ES"/>
        </w:rPr>
        <w:t xml:space="preserve">De conformidad con los argumentos de dicha providencia, se parte de la distinción entre los conceptos </w:t>
      </w:r>
      <w:r w:rsidRPr="000A217C">
        <w:rPr>
          <w:rFonts w:ascii="Verdana" w:eastAsia="Arial" w:hAnsi="Verdana" w:cs="Arial"/>
          <w:sz w:val="20"/>
          <w:szCs w:val="20"/>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0A217C">
        <w:rPr>
          <w:rFonts w:ascii="Times New Roman" w:hAnsi="Times New Roman"/>
          <w:sz w:val="20"/>
          <w:szCs w:val="20"/>
          <w:lang w:eastAsia="es-CO"/>
        </w:rPr>
        <w:t xml:space="preserve"> </w:t>
      </w:r>
      <w:r w:rsidRPr="000A217C">
        <w:rPr>
          <w:rFonts w:ascii="Verdana" w:eastAsia="Arial" w:hAnsi="Verdana" w:cs="Arial"/>
          <w:sz w:val="20"/>
          <w:szCs w:val="20"/>
          <w:lang w:eastAsia="es-ES" w:bidi="es-ES"/>
        </w:rPr>
        <w:t xml:space="preserve">En este sentido, en relación con el parágrafo del artículo 38 de la Ley 996 de 2005 concluyó que </w:t>
      </w:r>
      <w:r w:rsidRPr="000A217C">
        <w:rPr>
          <w:rFonts w:ascii="Verdana" w:eastAsia="Arial" w:hAnsi="Verdana" w:cs="Arial"/>
          <w:i/>
          <w:iCs/>
          <w:sz w:val="20"/>
          <w:szCs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0A217C">
        <w:rPr>
          <w:rFonts w:ascii="Verdana" w:eastAsia="Arial" w:hAnsi="Verdana" w:cs="Arial"/>
          <w:sz w:val="20"/>
          <w:szCs w:val="20"/>
          <w:lang w:eastAsia="es-ES" w:bidi="es-ES"/>
        </w:rPr>
        <w:t xml:space="preserve">Por tal motivo, para efectos de decretar la medida de suspensión provisional de los apartes señalados del numeral 16.2 de la Circular Externa Única, argumentó que </w:t>
      </w:r>
      <w:r w:rsidRPr="000A217C">
        <w:rPr>
          <w:rFonts w:ascii="Verdana" w:eastAsia="Arial" w:hAnsi="Verdana" w:cs="Arial"/>
          <w:i/>
          <w:iCs/>
          <w:sz w:val="20"/>
          <w:szCs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6DB55191" w14:textId="77777777" w:rsidR="000A217C" w:rsidRDefault="000A217C" w:rsidP="000A217C">
      <w:pPr>
        <w:jc w:val="both"/>
        <w:rPr>
          <w:rFonts w:ascii="Verdana" w:eastAsia="Times New Roman" w:hAnsi="Verdana" w:cs="Arial"/>
          <w:sz w:val="20"/>
          <w:szCs w:val="20"/>
          <w:lang w:eastAsia="es-CO"/>
        </w:rPr>
      </w:pPr>
      <w:r w:rsidRPr="000A217C">
        <w:rPr>
          <w:rFonts w:ascii="Verdana" w:eastAsia="Arial" w:hAnsi="Verdana" w:cs="Arial"/>
          <w:sz w:val="20"/>
          <w:szCs w:val="20"/>
          <w:lang w:eastAsia="es-ES" w:bidi="es-ES"/>
        </w:rPr>
        <w:lastRenderedPageBreak/>
        <w:t>De igual manera, mediante auto del 6 de noviembre de 2025, el Consejo de Estado, Sección Tercera, Subsección A, decretó</w:t>
      </w:r>
      <w:r w:rsidRPr="000A217C">
        <w:rPr>
          <w:rFonts w:ascii="Verdana" w:eastAsia="Arial" w:hAnsi="Verdana" w:cs="Arial"/>
          <w:b/>
          <w:bCs/>
          <w:sz w:val="20"/>
          <w:szCs w:val="20"/>
          <w:lang w:eastAsia="es-ES" w:bidi="es-ES"/>
        </w:rPr>
        <w:t xml:space="preserve"> </w:t>
      </w:r>
      <w:r w:rsidRPr="000A217C">
        <w:rPr>
          <w:rFonts w:ascii="Verdana" w:eastAsia="Arial" w:hAnsi="Verdana" w:cs="Arial"/>
          <w:sz w:val="20"/>
          <w:szCs w:val="20"/>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0A217C">
        <w:rPr>
          <w:rFonts w:ascii="Verdana" w:eastAsia="Arial" w:hAnsi="Verdana" w:cs="Arial"/>
          <w:sz w:val="20"/>
          <w:szCs w:val="20"/>
          <w:lang w:eastAsia="es-ES" w:bidi="es-ES"/>
        </w:rPr>
        <w:t>legis</w:t>
      </w:r>
      <w:proofErr w:type="spellEnd"/>
      <w:r w:rsidRPr="000A217C">
        <w:rPr>
          <w:rFonts w:ascii="Verdana" w:eastAsia="Arial" w:hAnsi="Verdana" w:cs="Arial"/>
          <w:sz w:val="20"/>
          <w:szCs w:val="20"/>
          <w:lang w:eastAsia="es-ES" w:bidi="es-ES"/>
        </w:rPr>
        <w:t xml:space="preserve"> o iuris y la interpretación extensiva y reiteró los argumentos sobre la diferencia entre contratos y convenios interadministrativos. </w:t>
      </w:r>
    </w:p>
    <w:p w14:paraId="2D99C962" w14:textId="77777777" w:rsidR="000A217C" w:rsidRDefault="000A217C" w:rsidP="000A217C">
      <w:pPr>
        <w:jc w:val="both"/>
        <w:rPr>
          <w:rFonts w:ascii="Verdana" w:eastAsia="Times New Roman" w:hAnsi="Verdana" w:cs="Arial"/>
          <w:sz w:val="20"/>
          <w:szCs w:val="20"/>
          <w:lang w:eastAsia="es-CO"/>
        </w:rPr>
      </w:pPr>
      <w:r w:rsidRPr="000A217C">
        <w:rPr>
          <w:rFonts w:ascii="Verdana" w:eastAsia="Arial" w:hAnsi="Verdana" w:cs="Arial"/>
          <w:sz w:val="20"/>
          <w:szCs w:val="20"/>
          <w:lang w:eastAsia="es-ES" w:bidi="es-ES"/>
        </w:rPr>
        <w:t xml:space="preserve">Finalmente, mediante sentencia del 17 de octubre de 2025, emitida por la Sala de lo Contencioso Administrativo del Consejo de Estado, dentro del expediente </w:t>
      </w:r>
      <w:r w:rsidRPr="000A217C">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E3DD0DA" w14:textId="77777777" w:rsidR="000A217C" w:rsidRDefault="000A217C" w:rsidP="000A217C">
      <w:pPr>
        <w:jc w:val="both"/>
        <w:rPr>
          <w:rFonts w:ascii="Verdana" w:eastAsia="Times New Roman" w:hAnsi="Verdana" w:cs="Arial"/>
          <w:sz w:val="20"/>
          <w:szCs w:val="20"/>
          <w:lang w:eastAsia="es-CO"/>
        </w:rPr>
      </w:pPr>
      <w:r w:rsidRPr="000A217C">
        <w:rPr>
          <w:rFonts w:ascii="Verdana" w:hAnsi="Verdana" w:cs="Arial"/>
          <w:sz w:val="20"/>
          <w:szCs w:val="20"/>
          <w:lang w:eastAsia="es-ES_tradnl"/>
        </w:rPr>
        <w:t xml:space="preserve">[…] </w:t>
      </w:r>
    </w:p>
    <w:p w14:paraId="42470B53" w14:textId="77777777" w:rsidR="000A217C" w:rsidRDefault="000A217C" w:rsidP="000A217C">
      <w:pPr>
        <w:jc w:val="both"/>
        <w:rPr>
          <w:rFonts w:ascii="Verdana" w:eastAsia="Times New Roman" w:hAnsi="Verdana" w:cs="Arial"/>
          <w:sz w:val="20"/>
          <w:szCs w:val="20"/>
          <w:lang w:eastAsia="es-CO"/>
        </w:rPr>
      </w:pPr>
      <w:r w:rsidRPr="000A217C">
        <w:rPr>
          <w:rFonts w:ascii="Verdana" w:eastAsia="Times New Roman" w:hAnsi="Verdana" w:cs="Arial"/>
          <w:sz w:val="20"/>
          <w:szCs w:val="20"/>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0A217C">
        <w:rPr>
          <w:rFonts w:ascii="Verdana" w:eastAsia="Times New Roman" w:hAnsi="Verdana" w:cs="Arial"/>
          <w:i/>
          <w:iCs/>
          <w:sz w:val="20"/>
          <w:szCs w:val="20"/>
          <w:lang w:eastAsia="es-CO"/>
        </w:rPr>
        <w:t>contratos interadministrativos</w:t>
      </w:r>
      <w:r w:rsidRPr="000A217C">
        <w:rPr>
          <w:rFonts w:ascii="Verdana" w:eastAsia="Times New Roman" w:hAnsi="Verdana" w:cs="Arial"/>
          <w:sz w:val="20"/>
          <w:szCs w:val="20"/>
          <w:lang w:eastAsia="es-CO"/>
        </w:rPr>
        <w:t xml:space="preserve">, esta prohibición solo aplicaría a los convenios interadministrativos que impliquen la ejecución de recursos públicos. </w:t>
      </w:r>
    </w:p>
    <w:p w14:paraId="2B367C93" w14:textId="59202C0E" w:rsidR="000A217C" w:rsidRPr="000A217C" w:rsidRDefault="000A217C" w:rsidP="000A217C">
      <w:pPr>
        <w:spacing w:after="0" w:line="240" w:lineRule="auto"/>
        <w:jc w:val="both"/>
        <w:rPr>
          <w:rFonts w:ascii="Verdana" w:eastAsia="Times New Roman" w:hAnsi="Verdana" w:cs="Arial"/>
          <w:sz w:val="20"/>
          <w:szCs w:val="20"/>
          <w:lang w:eastAsia="es-CO"/>
        </w:rPr>
      </w:pPr>
      <w:r w:rsidRPr="000A217C">
        <w:rPr>
          <w:rFonts w:ascii="Verdana" w:eastAsia="Times New Roman" w:hAnsi="Verdana" w:cs="Arial"/>
          <w:sz w:val="20"/>
          <w:szCs w:val="20"/>
          <w:lang w:eastAsia="es-CO"/>
        </w:rPr>
        <w:t>En este contexto, resulta necesario verificar dos aspectos fundamentales: (i) si la celebración del negocio jurídico involucra a alguno de los sujetos mencionados en el parágrafo del artículo 38 de la Ley de Garantías Electorales, y (</w:t>
      </w:r>
      <w:proofErr w:type="spellStart"/>
      <w:r w:rsidRPr="000A217C">
        <w:rPr>
          <w:rFonts w:ascii="Verdana" w:eastAsia="Times New Roman" w:hAnsi="Verdana" w:cs="Arial"/>
          <w:sz w:val="20"/>
          <w:szCs w:val="20"/>
          <w:lang w:eastAsia="es-CO"/>
        </w:rPr>
        <w:t>ii</w:t>
      </w:r>
      <w:proofErr w:type="spellEnd"/>
      <w:r w:rsidRPr="000A217C">
        <w:rPr>
          <w:rFonts w:ascii="Verdana" w:eastAsia="Times New Roman" w:hAnsi="Verdana" w:cs="Arial"/>
          <w:sz w:val="20"/>
          <w:szCs w:val="20"/>
          <w:lang w:eastAsia="es-CO"/>
        </w:rPr>
        <w:t xml:space="preserve">) si el objeto proyectado tiene la naturaleza de un convenio interadministrativo destinado a la ejecución de recursos públicos. </w:t>
      </w:r>
      <w:r w:rsidRPr="000A217C">
        <w:rPr>
          <w:rFonts w:ascii="Verdana" w:hAnsi="Verdana" w:cs="Arial"/>
          <w:sz w:val="20"/>
          <w:szCs w:val="20"/>
        </w:rPr>
        <w:t>Cuando este sea el caso</w:t>
      </w:r>
      <w:r w:rsidRPr="000A217C">
        <w:rPr>
          <w:rFonts w:ascii="Verdana" w:eastAsia="Times New Roman" w:hAnsi="Verdana" w:cs="Arial"/>
          <w:sz w:val="20"/>
          <w:szCs w:val="20"/>
          <w:lang w:eastAsia="es-CO"/>
        </w:rPr>
        <w:t xml:space="preserve">, opera la prohibición establecida en la norma, restringiendo la celebración de tales convenios durante los cuatro (4) meses previos a cualquier contienda electoral, pues como se indicó, la restricción aplicará a los sujetos allí señalados, </w:t>
      </w:r>
      <w:r w:rsidRPr="000A217C">
        <w:rPr>
          <w:rFonts w:ascii="Verdana" w:eastAsia="Times New Roman" w:hAnsi="Verdana" w:cs="Arial"/>
          <w:i/>
          <w:iCs/>
          <w:sz w:val="20"/>
          <w:szCs w:val="20"/>
          <w:lang w:eastAsia="es-CO"/>
        </w:rPr>
        <w:t>“aunque se configure alguno de los supuestos de excepción que señaló el inciso final del artículo 33”.</w:t>
      </w:r>
      <w:r w:rsidRPr="000A217C">
        <w:rPr>
          <w:rFonts w:ascii="Verdana" w:eastAsia="Times New Roman" w:hAnsi="Verdana" w:cs="Arial"/>
          <w:sz w:val="20"/>
          <w:szCs w:val="20"/>
          <w:lang w:eastAsia="es-CO"/>
        </w:rPr>
        <w:t xml:space="preserve"> </w:t>
      </w:r>
    </w:p>
    <w:p w14:paraId="0F2A59EF" w14:textId="77777777" w:rsidR="000A217C" w:rsidRPr="000A217C" w:rsidRDefault="000A217C" w:rsidP="000A217C">
      <w:pPr>
        <w:spacing w:after="0" w:line="240" w:lineRule="auto"/>
        <w:jc w:val="both"/>
        <w:rPr>
          <w:rFonts w:ascii="Verdana" w:eastAsia="Times New Roman" w:hAnsi="Verdana" w:cs="Arial"/>
          <w:sz w:val="20"/>
          <w:szCs w:val="20"/>
          <w:lang w:eastAsia="es-CO"/>
        </w:rPr>
      </w:pPr>
    </w:p>
    <w:p w14:paraId="6455CBAC" w14:textId="77777777" w:rsidR="000A217C" w:rsidRPr="000A217C" w:rsidRDefault="000A217C" w:rsidP="000A217C">
      <w:pPr>
        <w:spacing w:after="0" w:line="240" w:lineRule="auto"/>
        <w:jc w:val="both"/>
        <w:rPr>
          <w:rFonts w:ascii="Verdana" w:eastAsia="Times New Roman" w:hAnsi="Verdana" w:cs="Arial"/>
          <w:sz w:val="20"/>
          <w:szCs w:val="20"/>
          <w:lang w:eastAsia="es-CO"/>
        </w:rPr>
      </w:pPr>
      <w:r w:rsidRPr="000A217C">
        <w:rPr>
          <w:rFonts w:ascii="Verdana" w:eastAsia="Times New Roman" w:hAnsi="Verdana" w:cs="Arial"/>
          <w:sz w:val="20"/>
          <w:szCs w:val="20"/>
          <w:lang w:eastAsia="es-CO"/>
        </w:rPr>
        <w:t xml:space="preserve">Por su parte, conforme a lo señalado por el Consejo de Estado, cuando dos entidades públicas celebren un </w:t>
      </w:r>
      <w:r w:rsidRPr="000A217C">
        <w:rPr>
          <w:rFonts w:ascii="Verdana" w:eastAsia="Times New Roman" w:hAnsi="Verdana" w:cs="Arial"/>
          <w:i/>
          <w:iCs/>
          <w:sz w:val="20"/>
          <w:szCs w:val="20"/>
          <w:lang w:eastAsia="es-CO"/>
        </w:rPr>
        <w:t>contrato interadministrativo,</w:t>
      </w:r>
      <w:r w:rsidRPr="000A217C">
        <w:rPr>
          <w:rFonts w:ascii="Verdana" w:eastAsia="Times New Roman" w:hAnsi="Verdana" w:cs="Arial"/>
          <w:sz w:val="20"/>
          <w:szCs w:val="20"/>
          <w:lang w:eastAsia="es-CO"/>
        </w:rPr>
        <w:t xml:space="preserve"> independientemente del objeto, dicho contrato puede suscribirse durante el periodo preelectoral. Por consiguiente y de acuerdo con la referida posición del Consejo de Estado, si el contrato involucra a alguno de los sujetos mencionados en el parágrafo del artículo 38 de la Ley de Garantías Electorales y se constituye como un contrato interadministrativo, no le resulta aplicable la limitación prevista en el parágrafo del artículo 38. </w:t>
      </w:r>
    </w:p>
    <w:p w14:paraId="63FCE284" w14:textId="77777777" w:rsidR="000A217C" w:rsidRDefault="000A217C" w:rsidP="003A5BBF">
      <w:pPr>
        <w:spacing w:after="0" w:line="276" w:lineRule="auto"/>
        <w:rPr>
          <w:rFonts w:ascii="Verdana" w:hAnsi="Verdana" w:cs="Arial"/>
          <w:b/>
          <w:bCs/>
          <w:sz w:val="20"/>
          <w:szCs w:val="20"/>
          <w:lang w:eastAsia="es-ES_tradnl"/>
        </w:rPr>
      </w:pPr>
    </w:p>
    <w:p w14:paraId="229D920A" w14:textId="77777777" w:rsidR="000A217C" w:rsidRDefault="000A217C" w:rsidP="003A5BBF">
      <w:pPr>
        <w:spacing w:after="0" w:line="276" w:lineRule="auto"/>
        <w:rPr>
          <w:rFonts w:ascii="Verdana" w:hAnsi="Verdana" w:cs="Arial"/>
          <w:b/>
          <w:bCs/>
          <w:sz w:val="20"/>
          <w:szCs w:val="20"/>
          <w:lang w:eastAsia="es-ES_tradnl"/>
        </w:rPr>
      </w:pPr>
    </w:p>
    <w:p w14:paraId="0B1369DB" w14:textId="778ACB13" w:rsidR="00124590" w:rsidRDefault="00124590" w:rsidP="003A5BBF">
      <w:pPr>
        <w:spacing w:after="0" w:line="276" w:lineRule="auto"/>
        <w:rPr>
          <w:rFonts w:ascii="Verdana" w:hAnsi="Verdana"/>
        </w:rPr>
      </w:pPr>
      <w:r>
        <w:rPr>
          <w:rFonts w:ascii="Verdana" w:hAnsi="Verdana"/>
        </w:rPr>
        <w:t xml:space="preserve">Bogotá D.C., 04 </w:t>
      </w:r>
      <w:proofErr w:type="gramStart"/>
      <w:r>
        <w:rPr>
          <w:rFonts w:ascii="Verdana" w:hAnsi="Verdana"/>
        </w:rPr>
        <w:t>Diciembre</w:t>
      </w:r>
      <w:proofErr w:type="gramEnd"/>
      <w:r>
        <w:rPr>
          <w:rFonts w:ascii="Verdana" w:hAnsi="Verdana"/>
        </w:rPr>
        <w:t xml:space="preserve"> 2025 </w:t>
      </w:r>
    </w:p>
    <w:p w14:paraId="1468C46D" w14:textId="412B6FEE" w:rsidR="00C15139" w:rsidRPr="00C644BF" w:rsidRDefault="00124590" w:rsidP="00124590">
      <w:pPr>
        <w:spacing w:after="0" w:line="276" w:lineRule="auto"/>
        <w:jc w:val="right"/>
        <w:rPr>
          <w:rFonts w:ascii="Verdana" w:hAnsi="Verdana"/>
        </w:rPr>
      </w:pPr>
      <w:r w:rsidRPr="00124590">
        <w:rPr>
          <w:rFonts w:ascii="Verdana" w:hAnsi="Verdana"/>
          <w:noProof/>
        </w:rPr>
        <w:drawing>
          <wp:inline distT="0" distB="0" distL="0" distR="0" wp14:anchorId="3A71DDBF" wp14:editId="0311714A">
            <wp:extent cx="2959907" cy="873229"/>
            <wp:effectExtent l="0" t="0" r="0" b="3175"/>
            <wp:docPr id="946637485" name="Imagen 1" descr="Interfaz de usuario gráfica, Texto,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637485" name="Imagen 1" descr="Interfaz de usuario gráfica, Texto, Chat o mensaje de texto&#10;&#10;El contenido generado por IA puede ser incorrecto."/>
                    <pic:cNvPicPr/>
                  </pic:nvPicPr>
                  <pic:blipFill>
                    <a:blip r:embed="rId10"/>
                    <a:stretch>
                      <a:fillRect/>
                    </a:stretch>
                  </pic:blipFill>
                  <pic:spPr>
                    <a:xfrm>
                      <a:off x="0" y="0"/>
                      <a:ext cx="2979989" cy="879154"/>
                    </a:xfrm>
                    <a:prstGeom prst="rect">
                      <a:avLst/>
                    </a:prstGeom>
                  </pic:spPr>
                </pic:pic>
              </a:graphicData>
            </a:graphic>
          </wp:inline>
        </w:drawing>
      </w:r>
      <w:r w:rsidR="00C15139" w:rsidRPr="00C644BF">
        <w:rPr>
          <w:rFonts w:ascii="Verdana" w:hAnsi="Verdana"/>
        </w:rPr>
        <w:tab/>
      </w:r>
    </w:p>
    <w:p w14:paraId="2B1D8FC4" w14:textId="77777777" w:rsidR="00D82BC7" w:rsidRPr="00C644BF" w:rsidRDefault="00D82BC7" w:rsidP="003A5BBF">
      <w:pPr>
        <w:spacing w:after="0" w:line="276" w:lineRule="auto"/>
        <w:jc w:val="both"/>
        <w:rPr>
          <w:rFonts w:ascii="Verdana" w:eastAsia="Calibri" w:hAnsi="Verdana" w:cs="Arial"/>
          <w:lang w:eastAsia="es-ES"/>
        </w:rPr>
      </w:pPr>
      <w:r w:rsidRPr="00C644BF">
        <w:rPr>
          <w:rFonts w:ascii="Verdana" w:eastAsia="Calibri" w:hAnsi="Verdana" w:cs="Arial"/>
          <w:lang w:eastAsia="es-ES"/>
        </w:rPr>
        <w:t>Señora</w:t>
      </w:r>
    </w:p>
    <w:p w14:paraId="28211D0F" w14:textId="77777777" w:rsidR="00D82BC7" w:rsidRPr="00C644BF" w:rsidRDefault="00D82BC7" w:rsidP="003A5BBF">
      <w:pPr>
        <w:spacing w:after="0" w:line="276" w:lineRule="auto"/>
        <w:jc w:val="both"/>
        <w:rPr>
          <w:rFonts w:ascii="Verdana" w:eastAsia="Calibri" w:hAnsi="Verdana" w:cs="Arial"/>
          <w:b/>
          <w:bCs/>
          <w:lang w:eastAsia="es-ES"/>
        </w:rPr>
      </w:pPr>
      <w:r w:rsidRPr="00C644BF">
        <w:rPr>
          <w:rFonts w:ascii="Verdana" w:eastAsia="Calibri" w:hAnsi="Verdana" w:cs="Arial"/>
          <w:b/>
          <w:bCs/>
          <w:lang w:eastAsia="es-ES"/>
        </w:rPr>
        <w:t>Camila González</w:t>
      </w:r>
    </w:p>
    <w:p w14:paraId="19648D89" w14:textId="77777777" w:rsidR="00D82BC7" w:rsidRPr="00C644BF" w:rsidRDefault="00D82BC7" w:rsidP="003A5BBF">
      <w:pPr>
        <w:spacing w:after="0" w:line="276" w:lineRule="auto"/>
        <w:jc w:val="both"/>
        <w:rPr>
          <w:rFonts w:ascii="Verdana" w:hAnsi="Verdana"/>
          <w:b/>
          <w:bCs/>
        </w:rPr>
      </w:pPr>
      <w:hyperlink r:id="rId11" w:history="1">
        <w:r w:rsidRPr="00C644BF">
          <w:rPr>
            <w:rStyle w:val="Hipervnculo"/>
            <w:rFonts w:ascii="Verdana" w:hAnsi="Verdana"/>
            <w:b/>
            <w:bCs/>
          </w:rPr>
          <w:t>camilag3710@gmail.com</w:t>
        </w:r>
      </w:hyperlink>
    </w:p>
    <w:p w14:paraId="41968661" w14:textId="77777777" w:rsidR="00D82BC7" w:rsidRPr="00C644BF" w:rsidRDefault="00D82BC7" w:rsidP="003A5BBF">
      <w:pPr>
        <w:spacing w:after="0" w:line="276" w:lineRule="auto"/>
        <w:jc w:val="both"/>
        <w:rPr>
          <w:rFonts w:ascii="Verdana" w:hAnsi="Verdana"/>
        </w:rPr>
      </w:pPr>
      <w:r w:rsidRPr="00C644BF">
        <w:rPr>
          <w:rFonts w:ascii="Verdana" w:hAnsi="Verdana"/>
        </w:rPr>
        <w:t>Ciudad</w:t>
      </w:r>
    </w:p>
    <w:p w14:paraId="46AE0743" w14:textId="77777777" w:rsidR="00D82BC7" w:rsidRPr="00C644BF" w:rsidRDefault="00D82BC7" w:rsidP="003A5BBF">
      <w:pPr>
        <w:spacing w:after="0" w:line="276"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82BC7" w:rsidRPr="00C644BF" w14:paraId="058116B1" w14:textId="77777777" w:rsidTr="000815EC">
        <w:trPr>
          <w:trHeight w:val="162"/>
        </w:trPr>
        <w:tc>
          <w:tcPr>
            <w:tcW w:w="3119" w:type="dxa"/>
          </w:tcPr>
          <w:p w14:paraId="1D596EE2" w14:textId="77777777" w:rsidR="00D82BC7" w:rsidRPr="00A753B6" w:rsidRDefault="00D82BC7" w:rsidP="003A5BBF">
            <w:pPr>
              <w:spacing w:line="276" w:lineRule="auto"/>
              <w:jc w:val="both"/>
              <w:rPr>
                <w:rFonts w:ascii="Verdana" w:eastAsia="Calibri" w:hAnsi="Verdana" w:cs="Arial"/>
                <w:b/>
                <w:bCs/>
                <w:color w:val="7030A0"/>
                <w:lang w:eastAsia="es-ES_tradnl"/>
              </w:rPr>
            </w:pPr>
          </w:p>
        </w:tc>
        <w:tc>
          <w:tcPr>
            <w:tcW w:w="5670" w:type="dxa"/>
          </w:tcPr>
          <w:p w14:paraId="0AFF89E7" w14:textId="77777777" w:rsidR="00D82BC7" w:rsidRPr="00C644BF" w:rsidRDefault="00D82BC7" w:rsidP="003A5BBF">
            <w:pPr>
              <w:spacing w:line="276" w:lineRule="auto"/>
              <w:jc w:val="both"/>
              <w:rPr>
                <w:rFonts w:ascii="Verdana" w:eastAsia="Calibri" w:hAnsi="Verdana" w:cs="Arial"/>
                <w:b/>
                <w:bCs/>
                <w:lang w:eastAsia="es-ES"/>
              </w:rPr>
            </w:pPr>
            <w:r w:rsidRPr="00C644BF">
              <w:rPr>
                <w:rFonts w:ascii="Verdana" w:eastAsia="Calibri" w:hAnsi="Verdana" w:cs="Arial"/>
                <w:b/>
                <w:bCs/>
                <w:lang w:eastAsia="es-ES"/>
              </w:rPr>
              <w:t>Concepto C-1567 de 2025</w:t>
            </w:r>
          </w:p>
          <w:p w14:paraId="085A266F" w14:textId="77777777" w:rsidR="00D82BC7" w:rsidRPr="00C644BF" w:rsidRDefault="00D82BC7" w:rsidP="003A5BBF">
            <w:pPr>
              <w:spacing w:line="276" w:lineRule="auto"/>
              <w:jc w:val="both"/>
              <w:rPr>
                <w:rFonts w:ascii="Verdana" w:eastAsia="Calibri" w:hAnsi="Verdana" w:cs="Arial"/>
                <w:b/>
                <w:bCs/>
                <w:color w:val="7030A0"/>
                <w:lang w:eastAsia="es-ES"/>
              </w:rPr>
            </w:pPr>
          </w:p>
        </w:tc>
      </w:tr>
      <w:tr w:rsidR="00D82BC7" w:rsidRPr="00C644BF" w14:paraId="3277431F" w14:textId="77777777" w:rsidTr="000815EC">
        <w:trPr>
          <w:trHeight w:val="884"/>
        </w:trPr>
        <w:tc>
          <w:tcPr>
            <w:tcW w:w="3119" w:type="dxa"/>
          </w:tcPr>
          <w:p w14:paraId="445037C7" w14:textId="77777777" w:rsidR="00D82BC7" w:rsidRPr="00C644BF" w:rsidRDefault="00D82BC7" w:rsidP="003A5BBF">
            <w:pPr>
              <w:spacing w:line="276" w:lineRule="auto"/>
              <w:jc w:val="both"/>
              <w:rPr>
                <w:rFonts w:ascii="Verdana" w:eastAsia="Calibri" w:hAnsi="Verdana" w:cs="Arial"/>
                <w:color w:val="000000"/>
                <w:lang w:eastAsia="es-ES_tradnl"/>
              </w:rPr>
            </w:pPr>
            <w:r w:rsidRPr="00C644BF">
              <w:rPr>
                <w:rFonts w:ascii="Verdana" w:eastAsia="Calibri" w:hAnsi="Verdana" w:cs="Arial"/>
                <w:b/>
                <w:color w:val="000000"/>
                <w:lang w:eastAsia="es-ES_tradnl"/>
              </w:rPr>
              <w:t>Temas:</w:t>
            </w:r>
            <w:r w:rsidRPr="00C644BF">
              <w:rPr>
                <w:rFonts w:ascii="Verdana" w:eastAsia="Calibri" w:hAnsi="Verdana" w:cs="Arial"/>
                <w:color w:val="000000"/>
                <w:lang w:eastAsia="es-ES_tradnl"/>
              </w:rPr>
              <w:t xml:space="preserve">                   </w:t>
            </w:r>
          </w:p>
        </w:tc>
        <w:tc>
          <w:tcPr>
            <w:tcW w:w="5670" w:type="dxa"/>
          </w:tcPr>
          <w:p w14:paraId="26FEAD20" w14:textId="1FA5B777" w:rsidR="00D82BC7" w:rsidRDefault="00D82BC7" w:rsidP="00C644BF">
            <w:pPr>
              <w:spacing w:line="276" w:lineRule="auto"/>
              <w:jc w:val="both"/>
              <w:rPr>
                <w:rFonts w:ascii="Verdana" w:hAnsi="Verdana" w:cs="Arial"/>
                <w:lang w:val="es-MX" w:eastAsia="es-ES_tradnl"/>
              </w:rPr>
            </w:pPr>
            <w:r w:rsidRPr="00C644BF">
              <w:rPr>
                <w:rFonts w:ascii="Verdana" w:hAnsi="Verdana" w:cs="Arial"/>
                <w:lang w:val="es-ES" w:eastAsia="es-ES"/>
              </w:rPr>
              <w:t xml:space="preserve">LEY DE GARANTÍAS ELECTORALES – Finalidad / LEY DE GARANTÍAS ELECTORALES ‒ Restricciones ‒ Contratación ‒ Tipos de elección / LEY DE GARANTÍAS ELECTORALES ‒ Artículo 33 ‒ Ámbito material / LEY DE GARANTÍAS ELECTORALES ‒ Aplicación ‒ </w:t>
            </w:r>
            <w:r w:rsidR="00225152">
              <w:rPr>
                <w:rFonts w:ascii="Verdana" w:hAnsi="Verdana" w:cs="Arial"/>
                <w:lang w:val="es-ES" w:eastAsia="es-ES"/>
              </w:rPr>
              <w:t>E</w:t>
            </w:r>
            <w:r w:rsidRPr="00C644BF">
              <w:rPr>
                <w:rFonts w:ascii="Verdana" w:hAnsi="Verdana" w:cs="Arial"/>
                <w:lang w:val="es-ES" w:eastAsia="es-ES"/>
              </w:rPr>
              <w:t xml:space="preserve">xcepciones </w:t>
            </w:r>
            <w:r w:rsidRPr="00A753B6">
              <w:rPr>
                <w:rFonts w:ascii="Verdana" w:hAnsi="Verdana" w:cs="Arial"/>
                <w:lang w:val="es-ES" w:eastAsia="es-ES"/>
              </w:rPr>
              <w:t xml:space="preserve">/ </w:t>
            </w:r>
            <w:r w:rsidRPr="009D2B32">
              <w:rPr>
                <w:rFonts w:ascii="Verdana" w:hAnsi="Verdana" w:cs="Arial"/>
                <w:lang w:val="es-MX" w:eastAsia="es-ES_tradnl"/>
              </w:rPr>
              <w:t xml:space="preserve">CONVENIOS </w:t>
            </w:r>
            <w:r w:rsidRPr="00C644BF">
              <w:rPr>
                <w:rFonts w:ascii="Verdana" w:hAnsi="Verdana" w:cs="Arial"/>
                <w:lang w:val="es-MX" w:eastAsia="es-ES_tradnl"/>
              </w:rPr>
              <w:t xml:space="preserve">INTERADMINISTRATIVOS – Criterio orgánico / CONTRATOS Y CONVENIOS INTERADMINISTRATIVOS – Circular Externa Única </w:t>
            </w:r>
            <w:r w:rsidR="009D2B32">
              <w:rPr>
                <w:rFonts w:ascii="Verdana" w:hAnsi="Verdana" w:cs="Arial"/>
                <w:lang w:val="es-MX" w:eastAsia="es-ES_tradnl"/>
              </w:rPr>
              <w:t xml:space="preserve">Sentencia nulidad </w:t>
            </w:r>
            <w:r w:rsidRPr="009D2B32">
              <w:rPr>
                <w:rFonts w:ascii="Verdana" w:hAnsi="Verdana" w:cs="Arial"/>
                <w:lang w:val="es-MX" w:eastAsia="es-ES_tradnl"/>
              </w:rPr>
              <w:t xml:space="preserve">– Auto de suspensión </w:t>
            </w:r>
          </w:p>
          <w:p w14:paraId="54789EF7" w14:textId="633FF09D" w:rsidR="009D2B32" w:rsidRPr="009D2B32" w:rsidRDefault="009D2B32" w:rsidP="003A5BBF">
            <w:pPr>
              <w:spacing w:line="276" w:lineRule="auto"/>
              <w:jc w:val="both"/>
              <w:rPr>
                <w:rFonts w:ascii="Verdana" w:eastAsia="Arial" w:hAnsi="Verdana" w:cs="Arial"/>
                <w:bCs/>
                <w:color w:val="000000" w:themeColor="text1"/>
              </w:rPr>
            </w:pPr>
          </w:p>
        </w:tc>
      </w:tr>
      <w:tr w:rsidR="00D82BC7" w:rsidRPr="00C644BF" w14:paraId="74D7BC3B" w14:textId="77777777" w:rsidTr="000815EC">
        <w:tc>
          <w:tcPr>
            <w:tcW w:w="3119" w:type="dxa"/>
          </w:tcPr>
          <w:p w14:paraId="2456CA7D" w14:textId="77777777" w:rsidR="00D82BC7" w:rsidRPr="00C644BF" w:rsidRDefault="00D82BC7" w:rsidP="003A5BBF">
            <w:pPr>
              <w:spacing w:line="276" w:lineRule="auto"/>
              <w:jc w:val="both"/>
              <w:rPr>
                <w:rFonts w:ascii="Verdana" w:eastAsia="Calibri" w:hAnsi="Verdana" w:cs="Arial"/>
                <w:b/>
                <w:lang w:eastAsia="es-ES_tradnl"/>
              </w:rPr>
            </w:pPr>
            <w:r w:rsidRPr="00C644BF">
              <w:rPr>
                <w:rFonts w:ascii="Verdana" w:eastAsia="Calibri" w:hAnsi="Verdana" w:cs="Arial"/>
                <w:b/>
                <w:lang w:eastAsia="es-ES_tradnl"/>
              </w:rPr>
              <w:t>Radicación:</w:t>
            </w:r>
            <w:r w:rsidRPr="00C644BF">
              <w:rPr>
                <w:rFonts w:ascii="Verdana" w:eastAsia="Calibri" w:hAnsi="Verdana" w:cs="Arial"/>
                <w:lang w:eastAsia="es-ES_tradnl"/>
              </w:rPr>
              <w:t xml:space="preserve">               </w:t>
            </w:r>
          </w:p>
        </w:tc>
        <w:tc>
          <w:tcPr>
            <w:tcW w:w="5670" w:type="dxa"/>
          </w:tcPr>
          <w:p w14:paraId="30A2E92A" w14:textId="77777777" w:rsidR="00D82BC7" w:rsidRPr="00C644BF" w:rsidRDefault="00D82BC7" w:rsidP="003A5BBF">
            <w:pPr>
              <w:spacing w:line="276" w:lineRule="auto"/>
              <w:jc w:val="both"/>
              <w:rPr>
                <w:rFonts w:ascii="Verdana" w:eastAsia="Calibri" w:hAnsi="Verdana" w:cs="Arial"/>
                <w:lang w:eastAsia="es-ES_tradnl"/>
              </w:rPr>
            </w:pPr>
            <w:r w:rsidRPr="00C644BF">
              <w:rPr>
                <w:rFonts w:ascii="Verdana" w:eastAsia="Calibri" w:hAnsi="Verdana" w:cs="Arial"/>
                <w:lang w:eastAsia="es-ES_tradnl"/>
              </w:rPr>
              <w:t>Respuesta a consulta con radicado</w:t>
            </w:r>
            <w:r w:rsidRPr="00A753B6">
              <w:rPr>
                <w:rFonts w:ascii="Verdana" w:eastAsia="Calibri" w:hAnsi="Verdana" w:cs="Arial"/>
                <w:lang w:eastAsia="es-ES_tradnl"/>
              </w:rPr>
              <w:t xml:space="preserve"> </w:t>
            </w:r>
            <w:r w:rsidRPr="00C644BF">
              <w:rPr>
                <w:rFonts w:ascii="Verdana" w:eastAsia="Calibri" w:hAnsi="Verdana" w:cs="Arial"/>
                <w:lang w:eastAsia="es-ES_tradnl"/>
              </w:rPr>
              <w:t xml:space="preserve">1_2025_10_24_012009 </w:t>
            </w:r>
          </w:p>
        </w:tc>
      </w:tr>
    </w:tbl>
    <w:p w14:paraId="135D2AAF" w14:textId="77777777" w:rsidR="00D82BC7" w:rsidRPr="00C644BF" w:rsidRDefault="00D82BC7" w:rsidP="00C644BF">
      <w:pPr>
        <w:spacing w:after="0" w:line="276" w:lineRule="auto"/>
        <w:jc w:val="both"/>
        <w:rPr>
          <w:rFonts w:ascii="Verdana" w:eastAsia="Calibri" w:hAnsi="Verdana" w:cs="Arial"/>
          <w:lang w:eastAsia="es-ES_tradnl"/>
        </w:rPr>
      </w:pPr>
    </w:p>
    <w:p w14:paraId="783B29CD" w14:textId="77777777" w:rsidR="00D82BC7" w:rsidRPr="00C644BF" w:rsidRDefault="00D82BC7" w:rsidP="00C644BF">
      <w:pPr>
        <w:spacing w:after="0" w:line="276" w:lineRule="auto"/>
        <w:jc w:val="both"/>
        <w:rPr>
          <w:rFonts w:ascii="Verdana" w:eastAsia="Calibri" w:hAnsi="Verdana" w:cs="Arial"/>
          <w:lang w:eastAsia="es-ES"/>
        </w:rPr>
      </w:pPr>
      <w:r w:rsidRPr="00C644BF">
        <w:rPr>
          <w:rFonts w:ascii="Verdana" w:eastAsia="Calibri" w:hAnsi="Verdana" w:cs="Arial"/>
          <w:lang w:eastAsia="es-ES"/>
        </w:rPr>
        <w:t>Estimada señora Camila:</w:t>
      </w:r>
    </w:p>
    <w:p w14:paraId="10BFA073" w14:textId="77777777" w:rsidR="00D82BC7" w:rsidRPr="00C644BF" w:rsidRDefault="00D82BC7" w:rsidP="003A5BBF">
      <w:pPr>
        <w:spacing w:after="0" w:line="276" w:lineRule="auto"/>
        <w:jc w:val="both"/>
        <w:rPr>
          <w:rFonts w:ascii="Verdana" w:hAnsi="Verdana"/>
          <w:lang w:val="es-MX"/>
        </w:rPr>
      </w:pPr>
    </w:p>
    <w:p w14:paraId="58A22121" w14:textId="11F8401C" w:rsidR="00C644BF" w:rsidRDefault="00D82BC7" w:rsidP="000A217C">
      <w:pPr>
        <w:spacing w:after="0" w:line="276" w:lineRule="auto"/>
        <w:jc w:val="both"/>
        <w:rPr>
          <w:rFonts w:ascii="Verdana" w:hAnsi="Verdana"/>
        </w:rPr>
      </w:pPr>
      <w:r w:rsidRPr="00C644BF">
        <w:rPr>
          <w:rFonts w:ascii="Verdana" w:hAnsi="Verdana"/>
        </w:rPr>
        <w:t xml:space="preserve">La Agencia Nacional de Contratación Pública – Colombia Compra Eficiente –, en ejercicio de las competencias otorgadas </w:t>
      </w:r>
      <w:r w:rsidRPr="00A753B6">
        <w:rPr>
          <w:rFonts w:ascii="Verdana" w:eastAsia="Calibri" w:hAnsi="Verdana" w:cs="Arial"/>
          <w:lang w:eastAsia="es-ES"/>
        </w:rPr>
        <w:t>por los artículos 3, numeral 5º, y 11, numeral 8º, del Decreto Ley 4170 de 2011</w:t>
      </w:r>
      <w:r w:rsidRPr="00C644BF">
        <w:rPr>
          <w:rFonts w:ascii="Verdana" w:eastAsia="Calibri" w:hAnsi="Verdana" w:cs="Arial"/>
          <w:lang w:eastAsia="es-ES"/>
        </w:rPr>
        <w:t>,</w:t>
      </w:r>
      <w:r w:rsidRPr="00C644BF">
        <w:rPr>
          <w:rFonts w:ascii="Verdana" w:hAnsi="Verdana" w:cs="Arial"/>
        </w:rPr>
        <w:t xml:space="preserve"> así como lo establecido en el artículo 4 de la Resolución 1707 de 2018 expedida por esta Entidad</w:t>
      </w:r>
      <w:r w:rsidRPr="00C644BF">
        <w:rPr>
          <w:rFonts w:ascii="Verdana" w:hAnsi="Verdana"/>
        </w:rPr>
        <w:t xml:space="preserve"> y, de conformidad con las modalidades del derecho de petición contempladas en la Ley 1755 de 2015 y en la resolución </w:t>
      </w:r>
      <w:proofErr w:type="spellStart"/>
      <w:r w:rsidRPr="00C644BF">
        <w:rPr>
          <w:rFonts w:ascii="Verdana" w:eastAsia="Times New Roman" w:hAnsi="Verdana" w:cs="Segoe UI"/>
          <w:lang w:eastAsia="es-CO"/>
        </w:rPr>
        <w:t>N°</w:t>
      </w:r>
      <w:proofErr w:type="spellEnd"/>
      <w:r w:rsidRPr="00C644BF">
        <w:rPr>
          <w:rFonts w:ascii="Verdana" w:eastAsia="Times New Roman" w:hAnsi="Verdana" w:cs="Segoe UI"/>
          <w:lang w:eastAsia="es-CO"/>
        </w:rPr>
        <w:t xml:space="preserve"> 469 del 2025 </w:t>
      </w:r>
      <w:r w:rsidRPr="00C644BF">
        <w:rPr>
          <w:rFonts w:ascii="Verdana" w:hAnsi="Verdana"/>
        </w:rPr>
        <w:t xml:space="preserve">expedida por esta Agencia, </w:t>
      </w:r>
      <w:r w:rsidRPr="00C644BF">
        <w:rPr>
          <w:rFonts w:ascii="Verdana" w:eastAsia="Calibri" w:hAnsi="Verdana" w:cs="Arial"/>
          <w:lang w:eastAsia="es-ES"/>
        </w:rPr>
        <w:t xml:space="preserve">responde </w:t>
      </w:r>
      <w:r w:rsidRPr="00C644BF">
        <w:rPr>
          <w:rFonts w:ascii="Verdana" w:eastAsia="Calibri" w:hAnsi="Verdana" w:cs="Arial"/>
          <w:lang w:eastAsia="es-ES"/>
        </w:rPr>
        <w:lastRenderedPageBreak/>
        <w:t>su solicitud de consulta de fecha 24 de octubre de 2025, en la cual manifiesta lo siguiente:</w:t>
      </w:r>
    </w:p>
    <w:p w14:paraId="68F060A9" w14:textId="0D643717" w:rsidR="00D82BC7" w:rsidRPr="00E02524" w:rsidRDefault="00D82BC7" w:rsidP="003A5BBF">
      <w:pPr>
        <w:spacing w:after="0"/>
        <w:ind w:left="709"/>
        <w:jc w:val="both"/>
        <w:rPr>
          <w:rFonts w:ascii="Verdana" w:hAnsi="Verdana"/>
        </w:rPr>
      </w:pPr>
      <w:r w:rsidRPr="00E02524">
        <w:rPr>
          <w:rFonts w:ascii="Verdana" w:hAnsi="Verdana"/>
        </w:rPr>
        <w:t xml:space="preserve">PETICIÓN REALIZADA </w:t>
      </w:r>
    </w:p>
    <w:p w14:paraId="68B90F7B" w14:textId="77777777" w:rsidR="00D82BC7" w:rsidRPr="008E5B36" w:rsidRDefault="00D82BC7" w:rsidP="003A5BBF">
      <w:pPr>
        <w:spacing w:after="0"/>
        <w:ind w:left="709"/>
        <w:jc w:val="both"/>
        <w:rPr>
          <w:rFonts w:ascii="Verdana" w:hAnsi="Verdana"/>
        </w:rPr>
      </w:pPr>
    </w:p>
    <w:p w14:paraId="1E93C497" w14:textId="77777777" w:rsidR="00D82BC7" w:rsidRDefault="00D82BC7" w:rsidP="003A5BBF">
      <w:pPr>
        <w:spacing w:after="0"/>
        <w:ind w:left="709" w:right="709"/>
        <w:jc w:val="both"/>
        <w:rPr>
          <w:rFonts w:ascii="Verdana" w:hAnsi="Verdana"/>
          <w:sz w:val="20"/>
          <w:szCs w:val="20"/>
        </w:rPr>
      </w:pPr>
      <w:r w:rsidRPr="008E5B36">
        <w:rPr>
          <w:rFonts w:ascii="Verdana" w:hAnsi="Verdana"/>
          <w:sz w:val="20"/>
          <w:szCs w:val="20"/>
        </w:rPr>
        <w:t xml:space="preserve">“(…) </w:t>
      </w:r>
      <w:r w:rsidRPr="00791871">
        <w:rPr>
          <w:rFonts w:ascii="Verdana" w:hAnsi="Verdana"/>
          <w:b/>
          <w:bCs/>
          <w:sz w:val="20"/>
          <w:szCs w:val="20"/>
        </w:rPr>
        <w:t>Planteamiento:</w:t>
      </w:r>
      <w:r w:rsidRPr="00791871">
        <w:rPr>
          <w:rFonts w:ascii="Verdana" w:hAnsi="Verdana"/>
          <w:sz w:val="20"/>
          <w:szCs w:val="20"/>
        </w:rPr>
        <w:t xml:space="preserve"> </w:t>
      </w:r>
    </w:p>
    <w:p w14:paraId="25E9A5B4" w14:textId="77777777" w:rsidR="00D82BC7" w:rsidRDefault="00D82BC7" w:rsidP="003A5BBF">
      <w:pPr>
        <w:spacing w:after="0"/>
        <w:ind w:left="709" w:right="709"/>
        <w:jc w:val="both"/>
        <w:rPr>
          <w:rFonts w:ascii="Verdana" w:hAnsi="Verdana"/>
          <w:sz w:val="20"/>
          <w:szCs w:val="20"/>
        </w:rPr>
      </w:pPr>
    </w:p>
    <w:p w14:paraId="0F86C3DC" w14:textId="77777777" w:rsidR="00D82BC7" w:rsidRDefault="00D82BC7" w:rsidP="003A5BBF">
      <w:pPr>
        <w:spacing w:after="0"/>
        <w:ind w:left="709" w:right="709"/>
        <w:jc w:val="both"/>
        <w:rPr>
          <w:rFonts w:ascii="Verdana" w:hAnsi="Verdana"/>
          <w:sz w:val="20"/>
          <w:szCs w:val="20"/>
        </w:rPr>
      </w:pPr>
      <w:r w:rsidRPr="00791871">
        <w:rPr>
          <w:rFonts w:ascii="Verdana" w:hAnsi="Verdana"/>
          <w:sz w:val="20"/>
          <w:szCs w:val="20"/>
        </w:rPr>
        <w:t xml:space="preserve">La entidad pública del orden nacional y el Hospital (empresa social del Estado) están considerando la posibilidad de celebrar un contrato interadministrativo para la vigencia 2026 con el objetivo de proporcionar </w:t>
      </w:r>
      <w:r w:rsidRPr="00791871">
        <w:rPr>
          <w:rFonts w:ascii="Verdana" w:hAnsi="Verdana"/>
          <w:b/>
          <w:bCs/>
          <w:sz w:val="20"/>
          <w:szCs w:val="20"/>
        </w:rPr>
        <w:t>servicios complementarios de salud</w:t>
      </w:r>
      <w:r w:rsidRPr="00791871">
        <w:rPr>
          <w:rFonts w:ascii="Verdana" w:hAnsi="Verdana"/>
          <w:sz w:val="20"/>
          <w:szCs w:val="20"/>
        </w:rPr>
        <w:t xml:space="preserve"> (urgencias, hospitalización y alta complejidad) a </w:t>
      </w:r>
      <w:r w:rsidRPr="00791871">
        <w:rPr>
          <w:rFonts w:ascii="Verdana" w:hAnsi="Verdana"/>
          <w:b/>
          <w:bCs/>
          <w:sz w:val="20"/>
          <w:szCs w:val="20"/>
        </w:rPr>
        <w:t>los funcionarios y sus núcleos familiares</w:t>
      </w:r>
      <w:r w:rsidRPr="00791871">
        <w:rPr>
          <w:rFonts w:ascii="Verdana" w:hAnsi="Verdana"/>
          <w:sz w:val="20"/>
          <w:szCs w:val="20"/>
        </w:rPr>
        <w:t xml:space="preserve">, servicio que se viene brindando desde hace varios por acuerdo sindical suscrito en convención colectiva de trabajadores. </w:t>
      </w:r>
    </w:p>
    <w:p w14:paraId="40147DC1" w14:textId="77777777" w:rsidR="00D82BC7" w:rsidRDefault="00D82BC7" w:rsidP="003A5BBF">
      <w:pPr>
        <w:spacing w:after="0"/>
        <w:ind w:left="709" w:right="709"/>
        <w:jc w:val="both"/>
        <w:rPr>
          <w:rFonts w:ascii="Verdana" w:hAnsi="Verdana"/>
          <w:sz w:val="20"/>
          <w:szCs w:val="20"/>
        </w:rPr>
      </w:pPr>
    </w:p>
    <w:p w14:paraId="6D291CBE" w14:textId="77777777" w:rsidR="00D82BC7" w:rsidRDefault="00D82BC7" w:rsidP="003A5BBF">
      <w:pPr>
        <w:spacing w:after="0"/>
        <w:ind w:left="709" w:right="709"/>
        <w:jc w:val="both"/>
        <w:rPr>
          <w:rFonts w:ascii="Verdana" w:hAnsi="Verdana"/>
          <w:sz w:val="20"/>
          <w:szCs w:val="20"/>
        </w:rPr>
      </w:pPr>
      <w:r w:rsidRPr="00791871">
        <w:rPr>
          <w:rFonts w:ascii="Verdana" w:hAnsi="Verdana"/>
          <w:sz w:val="20"/>
          <w:szCs w:val="20"/>
        </w:rPr>
        <w:t xml:space="preserve">Dado que este tipo de contratación se enmarca en los </w:t>
      </w:r>
      <w:r w:rsidRPr="00791871">
        <w:rPr>
          <w:rFonts w:ascii="Verdana" w:hAnsi="Verdana"/>
          <w:b/>
          <w:bCs/>
          <w:sz w:val="20"/>
          <w:szCs w:val="20"/>
        </w:rPr>
        <w:t xml:space="preserve">contratos interadministrativos </w:t>
      </w:r>
      <w:r w:rsidRPr="00791871">
        <w:rPr>
          <w:rFonts w:ascii="Verdana" w:hAnsi="Verdana"/>
          <w:sz w:val="20"/>
          <w:szCs w:val="20"/>
        </w:rPr>
        <w:t xml:space="preserve">previstos en la Ley 80 de 1993 y la Ley 1150 de 2007, y teniendo en cuenta las disposiciones de la </w:t>
      </w:r>
      <w:r w:rsidRPr="00791871">
        <w:rPr>
          <w:rFonts w:ascii="Verdana" w:hAnsi="Verdana"/>
          <w:b/>
          <w:bCs/>
          <w:sz w:val="20"/>
          <w:szCs w:val="20"/>
        </w:rPr>
        <w:t>Ley 996 de 2005</w:t>
      </w:r>
      <w:r w:rsidRPr="00791871">
        <w:rPr>
          <w:rFonts w:ascii="Verdana" w:hAnsi="Verdana"/>
          <w:sz w:val="20"/>
          <w:szCs w:val="20"/>
        </w:rPr>
        <w:t xml:space="preserve">, nos surge la siguiente duda: </w:t>
      </w:r>
    </w:p>
    <w:p w14:paraId="5D4097BD" w14:textId="77777777" w:rsidR="00D82BC7" w:rsidRDefault="00D82BC7" w:rsidP="003A5BBF">
      <w:pPr>
        <w:spacing w:after="0"/>
        <w:ind w:left="709" w:right="709"/>
        <w:jc w:val="both"/>
        <w:rPr>
          <w:rFonts w:ascii="Verdana" w:hAnsi="Verdana"/>
          <w:b/>
          <w:bCs/>
          <w:sz w:val="20"/>
          <w:szCs w:val="20"/>
        </w:rPr>
      </w:pPr>
    </w:p>
    <w:p w14:paraId="120A0B19" w14:textId="77777777" w:rsidR="00D82BC7" w:rsidRDefault="00D82BC7" w:rsidP="003A5BBF">
      <w:pPr>
        <w:spacing w:after="0"/>
        <w:ind w:left="709" w:right="709"/>
        <w:jc w:val="both"/>
        <w:rPr>
          <w:rFonts w:ascii="Verdana" w:hAnsi="Verdana"/>
          <w:sz w:val="20"/>
          <w:szCs w:val="20"/>
        </w:rPr>
      </w:pPr>
      <w:r w:rsidRPr="00791871">
        <w:rPr>
          <w:rFonts w:ascii="Verdana" w:hAnsi="Verdana"/>
          <w:b/>
          <w:bCs/>
          <w:sz w:val="20"/>
          <w:szCs w:val="20"/>
        </w:rPr>
        <w:t>¿Es posible celebrar este tipo de contrato interadministrativo entre entidad pública del orden nacional y Hospital (empresa social del Estado) durante el periodo de aplicación de la Ley de Garantías Electorales (cuatro meses antes de las elecciones)?</w:t>
      </w:r>
      <w:r w:rsidRPr="00791871">
        <w:rPr>
          <w:rFonts w:ascii="Verdana" w:hAnsi="Verdana"/>
          <w:sz w:val="20"/>
          <w:szCs w:val="20"/>
        </w:rPr>
        <w:t xml:space="preserve"> </w:t>
      </w:r>
    </w:p>
    <w:p w14:paraId="265884F7" w14:textId="77777777" w:rsidR="00D82BC7" w:rsidRDefault="00D82BC7" w:rsidP="003A5BBF">
      <w:pPr>
        <w:spacing w:after="0"/>
        <w:ind w:left="709" w:right="709"/>
        <w:jc w:val="both"/>
        <w:rPr>
          <w:rFonts w:ascii="Verdana" w:hAnsi="Verdana"/>
          <w:sz w:val="20"/>
          <w:szCs w:val="20"/>
        </w:rPr>
      </w:pPr>
    </w:p>
    <w:p w14:paraId="2CF1CB21" w14:textId="77777777" w:rsidR="00D82BC7" w:rsidRDefault="00D82BC7" w:rsidP="003A5BBF">
      <w:pPr>
        <w:spacing w:after="0"/>
        <w:ind w:left="709" w:right="709"/>
        <w:jc w:val="both"/>
        <w:rPr>
          <w:rFonts w:ascii="Verdana" w:hAnsi="Verdana"/>
          <w:sz w:val="20"/>
          <w:szCs w:val="20"/>
        </w:rPr>
      </w:pPr>
      <w:r w:rsidRPr="00791871">
        <w:rPr>
          <w:rFonts w:ascii="Verdana" w:hAnsi="Verdana"/>
          <w:sz w:val="20"/>
          <w:szCs w:val="20"/>
        </w:rPr>
        <w:t xml:space="preserve">Específicamente, queremos saber si este tipo de contratación está prohibido por la Ley de Garantías, o si existe alguna excepción que permita la firma del contrato en este contexto, dada la naturaleza de los servicios a prestar. </w:t>
      </w:r>
    </w:p>
    <w:p w14:paraId="530A6AD5" w14:textId="77777777" w:rsidR="00D82BC7" w:rsidRDefault="00D82BC7" w:rsidP="003A5BBF">
      <w:pPr>
        <w:spacing w:after="0"/>
        <w:ind w:left="709" w:right="709"/>
        <w:jc w:val="both"/>
        <w:rPr>
          <w:rFonts w:ascii="Verdana" w:hAnsi="Verdana"/>
          <w:sz w:val="20"/>
          <w:szCs w:val="20"/>
        </w:rPr>
      </w:pPr>
    </w:p>
    <w:p w14:paraId="51B14FE9" w14:textId="77777777" w:rsidR="00D82BC7" w:rsidRPr="00791871" w:rsidRDefault="00D82BC7" w:rsidP="003A5BBF">
      <w:pPr>
        <w:spacing w:after="0"/>
        <w:ind w:left="709" w:right="709"/>
        <w:jc w:val="both"/>
        <w:rPr>
          <w:rFonts w:ascii="Verdana" w:hAnsi="Verdana"/>
          <w:b/>
          <w:bCs/>
          <w:sz w:val="20"/>
          <w:szCs w:val="20"/>
        </w:rPr>
      </w:pPr>
      <w:r w:rsidRPr="00791871">
        <w:rPr>
          <w:rFonts w:ascii="Verdana" w:hAnsi="Verdana"/>
          <w:b/>
          <w:bCs/>
          <w:sz w:val="20"/>
          <w:szCs w:val="20"/>
        </w:rPr>
        <w:t xml:space="preserve">Fundamentos: </w:t>
      </w:r>
    </w:p>
    <w:p w14:paraId="1A537204" w14:textId="77777777" w:rsidR="00D82BC7" w:rsidRPr="00791871" w:rsidRDefault="00D82BC7" w:rsidP="003A5BBF">
      <w:pPr>
        <w:spacing w:after="0"/>
        <w:ind w:left="709" w:right="709"/>
        <w:jc w:val="both"/>
        <w:rPr>
          <w:rFonts w:ascii="Verdana" w:hAnsi="Verdana"/>
          <w:b/>
          <w:bCs/>
          <w:sz w:val="20"/>
          <w:szCs w:val="20"/>
        </w:rPr>
      </w:pPr>
    </w:p>
    <w:p w14:paraId="0E49CB2A" w14:textId="77777777" w:rsidR="00D82BC7" w:rsidRDefault="00D82BC7" w:rsidP="003A5BBF">
      <w:pPr>
        <w:spacing w:after="0"/>
        <w:ind w:left="709" w:right="709"/>
        <w:jc w:val="both"/>
        <w:rPr>
          <w:rFonts w:ascii="Verdana" w:hAnsi="Verdana"/>
          <w:sz w:val="20"/>
          <w:szCs w:val="20"/>
        </w:rPr>
      </w:pPr>
      <w:r w:rsidRPr="00791871">
        <w:rPr>
          <w:rFonts w:ascii="Verdana" w:hAnsi="Verdana"/>
          <w:sz w:val="20"/>
          <w:szCs w:val="20"/>
        </w:rPr>
        <w:t>La Ley 996 de 2005 establece restricciones para la celebración de convenios interadministrativos entre entidades públicas durante los cuatro (4) meses previos a las elecciones, salvo en casos de defensa y seguridad del Estado, o cuando se trate de situaciones de emergencia o calamidad pública. Considerando que los servicios de salud a funcionarios públicos no se enmarcan en estas excepciones, solicitamos su criterio sobre la posibilidad de proceder con este contrato en el marco de la Ley de Garantías.</w:t>
      </w:r>
    </w:p>
    <w:p w14:paraId="4003B737" w14:textId="77777777" w:rsidR="00D82BC7" w:rsidRDefault="00D82BC7" w:rsidP="003A5BBF">
      <w:pPr>
        <w:spacing w:after="0"/>
        <w:ind w:left="709" w:right="709"/>
        <w:jc w:val="both"/>
        <w:rPr>
          <w:rFonts w:ascii="Verdana" w:hAnsi="Verdana"/>
          <w:sz w:val="20"/>
          <w:szCs w:val="20"/>
        </w:rPr>
      </w:pPr>
    </w:p>
    <w:p w14:paraId="69989238" w14:textId="77777777" w:rsidR="00D82BC7" w:rsidRDefault="00D82BC7" w:rsidP="003A5BBF">
      <w:pPr>
        <w:spacing w:after="0"/>
        <w:ind w:left="709" w:right="709"/>
        <w:jc w:val="both"/>
        <w:rPr>
          <w:rFonts w:ascii="Verdana" w:hAnsi="Verdana"/>
          <w:sz w:val="20"/>
          <w:szCs w:val="20"/>
        </w:rPr>
      </w:pPr>
      <w:r w:rsidRPr="00791871">
        <w:rPr>
          <w:rFonts w:ascii="Verdana" w:hAnsi="Verdana"/>
          <w:b/>
          <w:bCs/>
          <w:sz w:val="20"/>
          <w:szCs w:val="20"/>
        </w:rPr>
        <w:t>Solicitudes:</w:t>
      </w:r>
      <w:r w:rsidRPr="00791871">
        <w:rPr>
          <w:rFonts w:ascii="Verdana" w:hAnsi="Verdana"/>
          <w:sz w:val="20"/>
          <w:szCs w:val="20"/>
        </w:rPr>
        <w:t xml:space="preserve"> </w:t>
      </w:r>
    </w:p>
    <w:p w14:paraId="1D2E54FF" w14:textId="77777777" w:rsidR="00D82BC7" w:rsidRDefault="00D82BC7" w:rsidP="003A5BBF">
      <w:pPr>
        <w:spacing w:after="0"/>
        <w:ind w:left="709" w:right="709"/>
        <w:jc w:val="both"/>
        <w:rPr>
          <w:rFonts w:ascii="Verdana" w:hAnsi="Verdana"/>
          <w:sz w:val="20"/>
          <w:szCs w:val="20"/>
        </w:rPr>
      </w:pPr>
    </w:p>
    <w:p w14:paraId="157F8EA2" w14:textId="77777777" w:rsidR="00D82BC7" w:rsidRDefault="00D82BC7" w:rsidP="003A5BBF">
      <w:pPr>
        <w:spacing w:after="0"/>
        <w:ind w:left="709" w:right="709"/>
        <w:jc w:val="both"/>
        <w:rPr>
          <w:rFonts w:ascii="Verdana" w:hAnsi="Verdana"/>
          <w:sz w:val="20"/>
          <w:szCs w:val="20"/>
        </w:rPr>
      </w:pPr>
      <w:r w:rsidRPr="00791871">
        <w:rPr>
          <w:rFonts w:ascii="Verdana" w:hAnsi="Verdana"/>
          <w:sz w:val="20"/>
          <w:szCs w:val="20"/>
        </w:rPr>
        <w:lastRenderedPageBreak/>
        <w:t xml:space="preserve">1. </w:t>
      </w:r>
      <w:r w:rsidRPr="00791871">
        <w:rPr>
          <w:rFonts w:ascii="Verdana" w:hAnsi="Verdana"/>
          <w:b/>
          <w:bCs/>
          <w:sz w:val="20"/>
          <w:szCs w:val="20"/>
        </w:rPr>
        <w:t>Clarificación sobre la aplicación de la Ley 996 de 2005</w:t>
      </w:r>
      <w:r w:rsidRPr="00791871">
        <w:rPr>
          <w:rFonts w:ascii="Verdana" w:hAnsi="Verdana"/>
          <w:sz w:val="20"/>
          <w:szCs w:val="20"/>
        </w:rPr>
        <w:t xml:space="preserve"> en el contexto de contratos interadministrativos entre entidades públicas, específicamente en cuanto a la viabilidad de la suscripción del contrato </w:t>
      </w:r>
      <w:r w:rsidRPr="00791871">
        <w:rPr>
          <w:rFonts w:ascii="Verdana" w:hAnsi="Verdana"/>
          <w:b/>
          <w:bCs/>
          <w:sz w:val="20"/>
          <w:szCs w:val="20"/>
        </w:rPr>
        <w:t>entre entidad pública del orden nacional y Hospital</w:t>
      </w:r>
      <w:r w:rsidRPr="00791871">
        <w:rPr>
          <w:rFonts w:ascii="Verdana" w:hAnsi="Verdana"/>
          <w:sz w:val="20"/>
          <w:szCs w:val="20"/>
        </w:rPr>
        <w:t xml:space="preserve"> </w:t>
      </w:r>
      <w:r w:rsidRPr="00791871">
        <w:rPr>
          <w:rFonts w:ascii="Verdana" w:hAnsi="Verdana"/>
          <w:b/>
          <w:bCs/>
          <w:sz w:val="20"/>
          <w:szCs w:val="20"/>
        </w:rPr>
        <w:t>(empresa social del Estado)</w:t>
      </w:r>
      <w:r w:rsidRPr="00791871">
        <w:rPr>
          <w:rFonts w:ascii="Verdana" w:hAnsi="Verdana"/>
          <w:sz w:val="20"/>
          <w:szCs w:val="20"/>
        </w:rPr>
        <w:t xml:space="preserve">. </w:t>
      </w:r>
    </w:p>
    <w:p w14:paraId="598FA814" w14:textId="77777777" w:rsidR="00D82BC7" w:rsidRDefault="00D82BC7" w:rsidP="003A5BBF">
      <w:pPr>
        <w:spacing w:after="0"/>
        <w:ind w:left="709" w:right="709"/>
        <w:jc w:val="both"/>
        <w:rPr>
          <w:rFonts w:ascii="Verdana" w:hAnsi="Verdana"/>
          <w:sz w:val="20"/>
          <w:szCs w:val="20"/>
        </w:rPr>
      </w:pPr>
    </w:p>
    <w:p w14:paraId="772FEF30" w14:textId="77777777" w:rsidR="00D82BC7" w:rsidRDefault="00D82BC7" w:rsidP="003A5BBF">
      <w:pPr>
        <w:spacing w:after="0"/>
        <w:ind w:left="709" w:right="709"/>
        <w:jc w:val="both"/>
        <w:rPr>
          <w:rFonts w:ascii="Verdana" w:hAnsi="Verdana"/>
          <w:sz w:val="20"/>
          <w:szCs w:val="20"/>
        </w:rPr>
      </w:pPr>
      <w:r w:rsidRPr="00791871">
        <w:rPr>
          <w:rFonts w:ascii="Verdana" w:hAnsi="Verdana"/>
          <w:sz w:val="20"/>
          <w:szCs w:val="20"/>
        </w:rPr>
        <w:t xml:space="preserve">2. </w:t>
      </w:r>
      <w:r w:rsidRPr="00791871">
        <w:rPr>
          <w:rFonts w:ascii="Verdana" w:hAnsi="Verdana"/>
          <w:b/>
          <w:bCs/>
          <w:sz w:val="20"/>
          <w:szCs w:val="20"/>
        </w:rPr>
        <w:t>Recomendaciones sobre posibles alternativas</w:t>
      </w:r>
      <w:r w:rsidRPr="00791871">
        <w:rPr>
          <w:rFonts w:ascii="Verdana" w:hAnsi="Verdana"/>
          <w:sz w:val="20"/>
          <w:szCs w:val="20"/>
        </w:rPr>
        <w:t xml:space="preserve"> que permitan la contratación de estos servicios de salud a funcionarios, si se considera que el contrato interadministrativo no es viable bajo las disposiciones de la Ley de Garantías Electorales</w:t>
      </w:r>
      <w:r>
        <w:rPr>
          <w:rFonts w:ascii="Verdana" w:hAnsi="Verdana"/>
          <w:sz w:val="20"/>
          <w:szCs w:val="20"/>
        </w:rPr>
        <w:t xml:space="preserve"> </w:t>
      </w:r>
      <w:r w:rsidRPr="008E5B36">
        <w:rPr>
          <w:rFonts w:ascii="Verdana" w:hAnsi="Verdana"/>
          <w:sz w:val="20"/>
          <w:szCs w:val="20"/>
        </w:rPr>
        <w:t>(…)”.</w:t>
      </w:r>
    </w:p>
    <w:p w14:paraId="3EBB16BC" w14:textId="77777777" w:rsidR="00D82BC7" w:rsidRPr="00A87E6E" w:rsidRDefault="00D82BC7" w:rsidP="00D82BC7">
      <w:pPr>
        <w:spacing w:after="0"/>
        <w:ind w:left="567" w:right="758"/>
        <w:jc w:val="both"/>
        <w:rPr>
          <w:rFonts w:ascii="Verdana" w:hAnsi="Verdana"/>
          <w:sz w:val="20"/>
          <w:szCs w:val="20"/>
        </w:rPr>
      </w:pPr>
    </w:p>
    <w:p w14:paraId="04F8022C" w14:textId="77777777" w:rsidR="00D82BC7" w:rsidRPr="005644FE" w:rsidRDefault="00D82BC7" w:rsidP="00D82BC7">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977FDAB" w14:textId="47F51561" w:rsidR="00D82BC7" w:rsidRDefault="00D82BC7" w:rsidP="00DF1954">
      <w:pPr>
        <w:spacing w:after="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w:t>
      </w:r>
      <w:r w:rsidRPr="000B7387">
        <w:rPr>
          <w:rFonts w:ascii="Verdana" w:eastAsia="Calibri" w:hAnsi="Verdana" w:cs="Arial"/>
          <w:color w:val="000000"/>
          <w:lang w:eastAsia="es-ES"/>
        </w:rPr>
        <w:t>relacionadas el problema jurídico de su consulta.</w:t>
      </w:r>
      <w:r w:rsidRPr="000B7387">
        <w:rPr>
          <w:rFonts w:ascii="Verdana" w:eastAsia="Calibri" w:hAnsi="Verdana" w:cs="Arial"/>
          <w:lang w:eastAsia="es-ES"/>
        </w:rPr>
        <w:t xml:space="preserve">  </w:t>
      </w:r>
    </w:p>
    <w:p w14:paraId="2041FC83" w14:textId="77777777" w:rsidR="00DF1954" w:rsidRPr="000B7387" w:rsidRDefault="00DF1954" w:rsidP="003A5BBF">
      <w:pPr>
        <w:spacing w:after="0" w:line="276" w:lineRule="auto"/>
        <w:ind w:firstLine="709"/>
        <w:jc w:val="both"/>
        <w:rPr>
          <w:rFonts w:ascii="Verdana" w:eastAsia="Calibri" w:hAnsi="Verdana" w:cs="Arial"/>
          <w:lang w:eastAsia="es-ES"/>
        </w:rPr>
      </w:pPr>
    </w:p>
    <w:p w14:paraId="4B4B5EFD" w14:textId="77777777" w:rsidR="00D82BC7" w:rsidRPr="000B7387" w:rsidRDefault="00D82BC7" w:rsidP="00D82BC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B7387">
        <w:rPr>
          <w:rFonts w:ascii="Verdana" w:eastAsia="Century Gothic" w:hAnsi="Verdana" w:cs="Century Gothic"/>
          <w:b/>
          <w:bCs/>
          <w:lang w:val="es-CO"/>
        </w:rPr>
        <w:t>Problema planteado:</w:t>
      </w:r>
    </w:p>
    <w:p w14:paraId="2587EFE5" w14:textId="77777777" w:rsidR="00D82BC7" w:rsidRPr="000B7387" w:rsidRDefault="00D82BC7" w:rsidP="00D82BC7">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6B0AF1D1" w14:textId="496C2A05" w:rsidR="00D82BC7" w:rsidRDefault="00D82BC7" w:rsidP="00D82BC7">
      <w:pPr>
        <w:spacing w:after="0" w:line="276" w:lineRule="auto"/>
        <w:jc w:val="both"/>
        <w:rPr>
          <w:rFonts w:ascii="Verdana" w:eastAsia="Calibri" w:hAnsi="Verdana" w:cs="Arial"/>
          <w:color w:val="000000"/>
          <w:lang w:eastAsia="es-ES"/>
        </w:rPr>
      </w:pPr>
      <w:r w:rsidRPr="000B7387">
        <w:rPr>
          <w:rFonts w:ascii="Verdana" w:eastAsia="Calibri" w:hAnsi="Verdana" w:cs="Arial"/>
          <w:color w:val="000000"/>
          <w:lang w:eastAsia="es-ES"/>
        </w:rPr>
        <w:t xml:space="preserve">De acuerdo con el contenido de su solicitud, esta Agencia resolverá el siguiente problema jurídico: ¿Una entidad pública </w:t>
      </w:r>
      <w:r>
        <w:rPr>
          <w:rFonts w:ascii="Verdana" w:eastAsia="Calibri" w:hAnsi="Verdana" w:cs="Arial"/>
          <w:color w:val="000000"/>
          <w:lang w:eastAsia="es-ES"/>
        </w:rPr>
        <w:t xml:space="preserve">del orden nacional </w:t>
      </w:r>
      <w:r w:rsidRPr="000B7387">
        <w:rPr>
          <w:rFonts w:ascii="Verdana" w:eastAsia="Calibri" w:hAnsi="Verdana" w:cs="Arial"/>
          <w:color w:val="000000"/>
          <w:lang w:eastAsia="es-ES"/>
        </w:rPr>
        <w:t>puede celebrar con una empresa social del estado un contrato interadministrativo en vigencia de la Ley de Garantías Electorales</w:t>
      </w:r>
      <w:r w:rsidRPr="000B7387">
        <w:rPr>
          <w:rFonts w:ascii="Verdana" w:eastAsia="Calibri" w:hAnsi="Verdana" w:cs="Arial"/>
          <w:color w:val="000000" w:themeColor="text1"/>
          <w:lang w:eastAsia="es-ES"/>
        </w:rPr>
        <w:t>?</w:t>
      </w:r>
      <w:r>
        <w:rPr>
          <w:rFonts w:ascii="Verdana" w:eastAsia="Calibri" w:hAnsi="Verdana" w:cs="Arial"/>
          <w:color w:val="000000"/>
          <w:lang w:eastAsia="es-ES"/>
        </w:rPr>
        <w:t xml:space="preserve"> </w:t>
      </w:r>
    </w:p>
    <w:p w14:paraId="1DEBBFA9" w14:textId="77777777" w:rsidR="00D82BC7" w:rsidRDefault="00D82BC7" w:rsidP="00D82BC7">
      <w:pPr>
        <w:spacing w:after="0" w:line="240" w:lineRule="auto"/>
        <w:jc w:val="both"/>
        <w:rPr>
          <w:rFonts w:ascii="Verdana" w:eastAsia="Calibri" w:hAnsi="Verdana" w:cs="Arial"/>
          <w:color w:val="000000"/>
          <w:lang w:eastAsia="es-ES"/>
        </w:rPr>
      </w:pPr>
    </w:p>
    <w:p w14:paraId="78247D0C" w14:textId="77777777" w:rsidR="00D82BC7" w:rsidRDefault="00D82BC7" w:rsidP="00D82BC7">
      <w:pPr>
        <w:spacing w:after="0" w:line="276" w:lineRule="auto"/>
        <w:jc w:val="both"/>
        <w:rPr>
          <w:rFonts w:ascii="Verdana" w:eastAsia="Century Gothic" w:hAnsi="Verdana" w:cs="Century Gothic"/>
          <w:b/>
          <w:bCs/>
        </w:rPr>
      </w:pPr>
      <w:r>
        <w:rPr>
          <w:rFonts w:ascii="Verdana" w:eastAsia="Century Gothic" w:hAnsi="Verdana" w:cs="Century Gothic"/>
          <w:b/>
          <w:bCs/>
        </w:rPr>
        <w:t>2</w:t>
      </w:r>
      <w:r w:rsidRPr="005644FE">
        <w:rPr>
          <w:rFonts w:ascii="Verdana" w:eastAsia="Century Gothic" w:hAnsi="Verdana" w:cs="Century Gothic"/>
          <w:b/>
          <w:bCs/>
        </w:rPr>
        <w:t>. Respuesta:</w:t>
      </w:r>
    </w:p>
    <w:p w14:paraId="2ADE4094" w14:textId="77777777" w:rsidR="00D82BC7" w:rsidRPr="005644FE" w:rsidRDefault="00D82BC7" w:rsidP="00D82BC7">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D82BC7" w:rsidRPr="005644FE" w14:paraId="38921FD4" w14:textId="77777777" w:rsidTr="000815EC">
        <w:tc>
          <w:tcPr>
            <w:tcW w:w="8828" w:type="dxa"/>
          </w:tcPr>
          <w:p w14:paraId="2B603420" w14:textId="5C201595" w:rsidR="00D82BC7" w:rsidRPr="003A5BBF" w:rsidRDefault="004B59E1" w:rsidP="000815EC">
            <w:pPr>
              <w:spacing w:after="120" w:line="276" w:lineRule="auto"/>
              <w:jc w:val="both"/>
              <w:rPr>
                <w:rFonts w:ascii="Verdana" w:eastAsia="Arial" w:hAnsi="Verdana" w:cs="Arial"/>
                <w:bCs/>
                <w:color w:val="000000" w:themeColor="text1"/>
                <w:lang w:val="es-ES"/>
              </w:rPr>
            </w:pPr>
            <w:r>
              <w:rPr>
                <w:rFonts w:ascii="Verdana" w:eastAsia="Arial" w:hAnsi="Verdana" w:cs="Arial"/>
                <w:lang w:val="es-ES" w:eastAsia="es-ES" w:bidi="es-ES"/>
              </w:rPr>
              <w:lastRenderedPageBreak/>
              <w:t>Por un lado, e</w:t>
            </w:r>
            <w:r w:rsidR="00D82BC7">
              <w:rPr>
                <w:rFonts w:ascii="Verdana" w:eastAsia="Arial" w:hAnsi="Verdana" w:cs="Arial"/>
                <w:lang w:val="es-ES" w:eastAsia="es-ES" w:bidi="es-ES"/>
              </w:rPr>
              <w:t xml:space="preserve">n virtud de las excepciones establecidas en el </w:t>
            </w:r>
            <w:r w:rsidR="00D82BC7" w:rsidRPr="00992E50">
              <w:rPr>
                <w:rFonts w:ascii="Verdana" w:hAnsi="Verdana" w:cs="Arial"/>
                <w:bCs/>
                <w:color w:val="000000" w:themeColor="text1"/>
                <w:lang w:val="es-ES"/>
              </w:rPr>
              <w:t>segundo inciso</w:t>
            </w:r>
            <w:r w:rsidR="00D82BC7">
              <w:rPr>
                <w:rFonts w:ascii="Verdana" w:hAnsi="Verdana" w:cs="Arial"/>
                <w:bCs/>
                <w:color w:val="000000" w:themeColor="text1"/>
                <w:lang w:val="es-ES"/>
              </w:rPr>
              <w:t xml:space="preserve"> del</w:t>
            </w:r>
            <w:r w:rsidR="00D82BC7" w:rsidRPr="00992E50">
              <w:rPr>
                <w:rFonts w:ascii="Verdana" w:hAnsi="Verdana" w:cs="Arial"/>
                <w:bCs/>
                <w:color w:val="000000" w:themeColor="text1"/>
                <w:lang w:val="es-ES"/>
              </w:rPr>
              <w:t xml:space="preserve"> </w:t>
            </w:r>
            <w:r w:rsidR="00D82BC7">
              <w:rPr>
                <w:rFonts w:ascii="Verdana" w:eastAsia="Arial" w:hAnsi="Verdana" w:cs="Arial"/>
                <w:lang w:val="es-ES" w:eastAsia="es-ES" w:bidi="es-ES"/>
              </w:rPr>
              <w:t>artículo 33</w:t>
            </w:r>
            <w:r w:rsidR="00D82BC7">
              <w:rPr>
                <w:rFonts w:ascii="Verdana" w:eastAsia="Arial" w:hAnsi="Verdana" w:cs="Arial"/>
                <w:bCs/>
                <w:color w:val="000000" w:themeColor="text1"/>
                <w:lang w:val="es-ES"/>
              </w:rPr>
              <w:t xml:space="preserve"> </w:t>
            </w:r>
            <w:r w:rsidR="00D82BC7" w:rsidRPr="00992E50">
              <w:rPr>
                <w:rFonts w:ascii="Verdana" w:eastAsia="Arial" w:hAnsi="Verdana" w:cs="Arial"/>
                <w:bCs/>
                <w:color w:val="000000" w:themeColor="text1"/>
                <w:lang w:val="es-ES"/>
              </w:rPr>
              <w:t>de la Ley de Garantías Electorales</w:t>
            </w:r>
            <w:r w:rsidR="00D82BC7">
              <w:rPr>
                <w:rFonts w:ascii="Verdana" w:eastAsia="Arial" w:hAnsi="Verdana" w:cs="Arial"/>
                <w:bCs/>
                <w:color w:val="000000" w:themeColor="text1"/>
                <w:lang w:val="es-ES"/>
              </w:rPr>
              <w:t xml:space="preserve">, los </w:t>
            </w:r>
            <w:r w:rsidR="00D82BC7" w:rsidRPr="00992E50">
              <w:rPr>
                <w:rFonts w:ascii="Verdana" w:eastAsia="Arial" w:hAnsi="Verdana" w:cs="Arial"/>
                <w:bCs/>
                <w:color w:val="000000" w:themeColor="text1"/>
                <w:lang w:val="es-ES"/>
              </w:rPr>
              <w:t xml:space="preserve">entes del Estado </w:t>
            </w:r>
            <w:r w:rsidR="00D82BC7">
              <w:rPr>
                <w:rFonts w:ascii="Verdana" w:eastAsia="Arial" w:hAnsi="Verdana" w:cs="Arial"/>
                <w:bCs/>
                <w:color w:val="000000" w:themeColor="text1"/>
                <w:lang w:val="es-ES"/>
              </w:rPr>
              <w:t>podrán contratar directamente contratos que</w:t>
            </w:r>
            <w:r w:rsidR="00D82BC7" w:rsidRPr="0049797F">
              <w:rPr>
                <w:rFonts w:ascii="Verdana" w:eastAsia="Arial" w:hAnsi="Verdana" w:cs="Arial"/>
                <w:bCs/>
                <w:color w:val="000000" w:themeColor="text1"/>
              </w:rPr>
              <w:t xml:space="preserve"> deban realizar las entidades sanitarias y hospitalarias</w:t>
            </w:r>
            <w:r w:rsidR="00D82BC7">
              <w:rPr>
                <w:rFonts w:ascii="Verdana" w:eastAsia="Arial" w:hAnsi="Verdana" w:cs="Arial"/>
                <w:bCs/>
                <w:color w:val="000000" w:themeColor="text1"/>
                <w:lang w:val="es-ES"/>
              </w:rPr>
              <w:t xml:space="preserve">, </w:t>
            </w:r>
            <w:r w:rsidR="00D82BC7" w:rsidRPr="00B42A98">
              <w:rPr>
                <w:rFonts w:ascii="Verdana" w:eastAsia="Arial" w:hAnsi="Verdana" w:cs="Arial"/>
                <w:bCs/>
                <w:color w:val="000000" w:themeColor="text1"/>
              </w:rPr>
              <w:t>durante los cuatro (4) meses anteriores a las elecciones presidenciales</w:t>
            </w:r>
            <w:r w:rsidR="00D82BC7">
              <w:rPr>
                <w:rFonts w:ascii="Verdana" w:eastAsia="Arial" w:hAnsi="Verdana" w:cs="Arial"/>
                <w:bCs/>
                <w:color w:val="000000" w:themeColor="text1"/>
                <w:lang w:val="es-ES"/>
              </w:rPr>
              <w:t xml:space="preserve">. </w:t>
            </w:r>
          </w:p>
          <w:p w14:paraId="24BC789B" w14:textId="77777777" w:rsidR="00D82BC7" w:rsidRDefault="00D82BC7" w:rsidP="000815EC">
            <w:pPr>
              <w:spacing w:after="120" w:line="276" w:lineRule="auto"/>
              <w:ind w:firstLine="708"/>
              <w:jc w:val="both"/>
              <w:rPr>
                <w:rFonts w:ascii="Verdana" w:eastAsia="Times New Roman" w:hAnsi="Verdana" w:cs="Arial"/>
                <w:lang w:val="es-MX" w:eastAsia="es-CO"/>
              </w:rPr>
            </w:pPr>
            <w:r>
              <w:rPr>
                <w:rFonts w:ascii="Verdana" w:eastAsia="Times New Roman" w:hAnsi="Verdana" w:cs="Arial"/>
                <w:lang w:val="es-MX" w:eastAsia="es-CO"/>
              </w:rPr>
              <w:t xml:space="preserve">Por su parte, respecto del parágrafo del artículo 38 de la Ley 996 de 2005 se precisa que este prohíbe a los </w:t>
            </w:r>
            <w:proofErr w:type="gramStart"/>
            <w:r>
              <w:rPr>
                <w:rFonts w:ascii="Verdana" w:eastAsia="Times New Roman" w:hAnsi="Verdana" w:cs="Arial"/>
                <w:lang w:val="es-MX" w:eastAsia="es-CO"/>
              </w:rPr>
              <w:t>Alcaldes</w:t>
            </w:r>
            <w:proofErr w:type="gramEnd"/>
            <w:r>
              <w:rPr>
                <w:rFonts w:ascii="Verdana" w:eastAsia="Times New Roman" w:hAnsi="Verdana" w:cs="Arial"/>
                <w:lang w:val="es-MX" w:eastAsia="es-CO"/>
              </w:rPr>
              <w:t xml:space="preserve">, Gobernadores, </w:t>
            </w:r>
            <w:proofErr w:type="gramStart"/>
            <w:r>
              <w:rPr>
                <w:rFonts w:ascii="Verdana" w:eastAsia="Times New Roman" w:hAnsi="Verdana" w:cs="Arial"/>
                <w:lang w:val="es-MX" w:eastAsia="es-CO"/>
              </w:rPr>
              <w:t>Secretarios</w:t>
            </w:r>
            <w:proofErr w:type="gramEnd"/>
            <w:r>
              <w:rPr>
                <w:rFonts w:ascii="Verdana" w:eastAsia="Times New Roman" w:hAnsi="Verdana" w:cs="Arial"/>
                <w:lang w:val="es-MX" w:eastAsia="es-CO"/>
              </w:rPr>
              <w:t xml:space="preserve">, Gerentes y </w:t>
            </w:r>
            <w:proofErr w:type="gramStart"/>
            <w:r>
              <w:rPr>
                <w:rFonts w:ascii="Verdana" w:eastAsia="Times New Roman" w:hAnsi="Verdana" w:cs="Arial"/>
                <w:lang w:val="es-MX" w:eastAsia="es-CO"/>
              </w:rPr>
              <w:t>Directores</w:t>
            </w:r>
            <w:proofErr w:type="gramEnd"/>
            <w:r>
              <w:rPr>
                <w:rFonts w:ascii="Verdana" w:eastAsia="Times New Roman" w:hAnsi="Verdana" w:cs="Arial"/>
                <w:lang w:val="es-MX" w:eastAsia="es-CO"/>
              </w:rPr>
              <w:t xml:space="preserve">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w:t>
            </w:r>
            <w:r w:rsidRPr="00A51A1D">
              <w:rPr>
                <w:rFonts w:ascii="Verdana" w:eastAsia="Times New Roman" w:hAnsi="Verdana" w:cs="Arial"/>
                <w:i/>
                <w:iCs/>
                <w:lang w:val="es-MX" w:eastAsia="es-CO"/>
              </w:rPr>
              <w:t>para la ejecución de recursos públicos</w:t>
            </w:r>
            <w:r>
              <w:rPr>
                <w:rFonts w:ascii="Verdana" w:eastAsia="Times New Roman" w:hAnsi="Verdana" w:cs="Arial"/>
                <w:lang w:val="es-MX" w:eastAsia="es-CO"/>
              </w:rPr>
              <w:t xml:space="preserve">. En este sentido, si una o ambas partes de la relación contractual es una entidad de aquellas descritas en el parágrafo </w:t>
            </w:r>
            <w:r>
              <w:rPr>
                <w:rFonts w:ascii="Verdana" w:eastAsia="Times New Roman" w:hAnsi="Verdana" w:cs="Arial"/>
                <w:i/>
                <w:lang w:val="es-MX" w:eastAsia="es-CO"/>
              </w:rPr>
              <w:t>ibidem</w:t>
            </w:r>
            <w:r>
              <w:rPr>
                <w:rFonts w:ascii="Verdana" w:eastAsia="Times New Roman" w:hAnsi="Verdana" w:cs="Arial"/>
                <w:lang w:val="es-MX" w:eastAsia="es-CO"/>
              </w:rPr>
              <w:t xml:space="preserve">,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6D6BA900" w14:textId="1EB60661" w:rsidR="00D82BC7" w:rsidRDefault="004B59E1" w:rsidP="000815EC">
            <w:pPr>
              <w:spacing w:after="120" w:line="276" w:lineRule="auto"/>
              <w:ind w:firstLine="708"/>
              <w:jc w:val="both"/>
              <w:rPr>
                <w:rFonts w:ascii="Verdana" w:eastAsia="Times New Roman" w:hAnsi="Verdana" w:cs="Arial"/>
                <w:lang w:eastAsia="es-CO"/>
              </w:rPr>
            </w:pPr>
            <w:r>
              <w:rPr>
                <w:rFonts w:ascii="Verdana" w:eastAsia="Times New Roman" w:hAnsi="Verdana" w:cs="Arial"/>
                <w:lang w:val="es-MX" w:eastAsia="es-CO"/>
              </w:rPr>
              <w:t>Ahora bien</w:t>
            </w:r>
            <w:r w:rsidR="00D82BC7">
              <w:rPr>
                <w:rFonts w:ascii="Verdana" w:eastAsia="Times New Roman" w:hAnsi="Verdana" w:cs="Arial"/>
                <w:lang w:val="es-MX" w:eastAsia="es-CO"/>
              </w:rPr>
              <w:t xml:space="preserve">, </w:t>
            </w:r>
            <w:r w:rsidR="00D82BC7">
              <w:rPr>
                <w:rFonts w:ascii="Verdana" w:eastAsia="Times New Roman" w:hAnsi="Verdana" w:cs="Arial"/>
                <w:lang w:eastAsia="es-CO"/>
              </w:rPr>
              <w:t>a la luz de lo expuesto por el Consejo de Estado</w:t>
            </w:r>
            <w:r>
              <w:rPr>
                <w:rFonts w:ascii="Verdana" w:eastAsia="Times New Roman" w:hAnsi="Verdana" w:cs="Arial"/>
                <w:lang w:eastAsia="es-CO"/>
              </w:rPr>
              <w:t xml:space="preserve"> </w:t>
            </w:r>
            <w:r w:rsidRPr="31E4E861">
              <w:rPr>
                <w:rFonts w:ascii="Verdana" w:eastAsia="Times New Roman" w:hAnsi="Verdana" w:cs="Arial"/>
                <w:lang w:eastAsia="es-CO"/>
              </w:rPr>
              <w:t>en la sentencia expedida por la Sección Tercera de la Sala de lo Contencioso Administrativo del 17 de octubre de 2025,</w:t>
            </w:r>
            <w:r w:rsidR="00D82BC7">
              <w:rPr>
                <w:rFonts w:ascii="Verdana" w:eastAsia="Times New Roman" w:hAnsi="Verdana" w:cs="Arial"/>
                <w:lang w:eastAsia="es-CO"/>
              </w:rPr>
              <w:t xml:space="preserve"> en los autos del 4 de octubre de 2024 y 6 de noviembre de 2025, en los cuales </w:t>
            </w:r>
            <w:r w:rsidR="005C08F6" w:rsidRPr="31E4E861">
              <w:rPr>
                <w:rFonts w:ascii="Verdana" w:eastAsia="Times New Roman" w:hAnsi="Verdana" w:cs="Arial"/>
                <w:lang w:eastAsia="es-CO"/>
              </w:rPr>
              <w:t>se declaró la nulidad parcial</w:t>
            </w:r>
            <w:r w:rsidR="005C08F6">
              <w:rPr>
                <w:rFonts w:ascii="Verdana" w:eastAsia="Times New Roman" w:hAnsi="Verdana" w:cs="Arial"/>
                <w:lang w:eastAsia="es-CO"/>
              </w:rPr>
              <w:t xml:space="preserve">, </w:t>
            </w:r>
            <w:r w:rsidR="00D82BC7">
              <w:rPr>
                <w:rFonts w:ascii="Verdana" w:eastAsia="Times New Roman" w:hAnsi="Verdana" w:cs="Arial"/>
                <w:lang w:eastAsia="es-CO"/>
              </w:rPr>
              <w:t xml:space="preserve">se decretó medida </w:t>
            </w:r>
            <w:r w:rsidR="00D82BC7" w:rsidRPr="00A532DC">
              <w:rPr>
                <w:rFonts w:ascii="Verdana" w:eastAsia="Arial" w:hAnsi="Verdana" w:cs="Arial"/>
                <w:lang w:val="es-MX" w:eastAsia="es-ES" w:bidi="es-ES"/>
              </w:rPr>
              <w:t xml:space="preserve">de suspensión provisional parcial del </w:t>
            </w:r>
            <w:r w:rsidR="00D82BC7" w:rsidRPr="00A532DC">
              <w:rPr>
                <w:rFonts w:ascii="Verdana" w:hAnsi="Verdana" w:cs="Arial"/>
              </w:rPr>
              <w:t>numeral 16.2 de la Circular Externa Única</w:t>
            </w:r>
            <w:r w:rsidR="00D82BC7">
              <w:rPr>
                <w:rFonts w:ascii="Verdana" w:hAnsi="Verdana" w:cs="Arial"/>
              </w:rPr>
              <w:t xml:space="preserve"> </w:t>
            </w:r>
            <w:r w:rsidR="00D82BC7" w:rsidRPr="00A532DC">
              <w:rPr>
                <w:rFonts w:ascii="Verdana" w:hAnsi="Verdana" w:cs="Arial"/>
              </w:rPr>
              <w:t>de 2022 expedida por la Agencia Nacional de Contratación Pública -Colombia Compra Eficiente-,</w:t>
            </w:r>
            <w:r w:rsidR="00D82BC7">
              <w:rPr>
                <w:rFonts w:ascii="Verdana" w:hAnsi="Verdana" w:cs="Arial"/>
              </w:rPr>
              <w:t xml:space="preserve"> y </w:t>
            </w:r>
            <w:r w:rsidR="00D82BC7" w:rsidRPr="006F282E">
              <w:rPr>
                <w:rFonts w:ascii="Verdana" w:eastAsia="Arial" w:hAnsi="Verdana" w:cs="Arial"/>
                <w:lang w:eastAsia="es-ES" w:bidi="es-ES"/>
              </w:rPr>
              <w:t>de los apartes cuestionados del inciso segundo</w:t>
            </w:r>
            <w:r w:rsidR="00D82BC7">
              <w:rPr>
                <w:rFonts w:ascii="Verdana" w:eastAsia="Arial" w:hAnsi="Verdana" w:cs="Arial"/>
                <w:lang w:eastAsia="es-ES" w:bidi="es-ES"/>
              </w:rPr>
              <w:t xml:space="preserve"> y del inciso cuarto</w:t>
            </w:r>
            <w:r w:rsidR="00D82BC7" w:rsidRPr="006F282E">
              <w:rPr>
                <w:rFonts w:ascii="Verdana" w:eastAsia="Arial" w:hAnsi="Verdana" w:cs="Arial"/>
                <w:lang w:eastAsia="es-ES" w:bidi="es-ES"/>
              </w:rPr>
              <w:t xml:space="preserve"> del numeral 16.2 de la Circular Externa </w:t>
            </w:r>
            <w:r w:rsidR="00D82BC7">
              <w:rPr>
                <w:rFonts w:ascii="Verdana" w:eastAsia="Arial" w:hAnsi="Verdana" w:cs="Arial"/>
                <w:lang w:eastAsia="es-ES" w:bidi="es-ES"/>
              </w:rPr>
              <w:t>Ú</w:t>
            </w:r>
            <w:r w:rsidR="00D82BC7" w:rsidRPr="006F282E">
              <w:rPr>
                <w:rFonts w:ascii="Verdana" w:eastAsia="Arial" w:hAnsi="Verdana" w:cs="Arial"/>
                <w:lang w:eastAsia="es-ES" w:bidi="es-ES"/>
              </w:rPr>
              <w:t>nica, versión 3 del 27 de diciembre de 2023,</w:t>
            </w:r>
            <w:r w:rsidR="005C08F6">
              <w:rPr>
                <w:rFonts w:ascii="Verdana" w:eastAsia="Arial" w:hAnsi="Verdana" w:cs="Arial"/>
                <w:lang w:eastAsia="es-ES" w:bidi="es-ES"/>
              </w:rPr>
              <w:t xml:space="preserve"> respectivamente,</w:t>
            </w:r>
            <w:r w:rsidR="00D82BC7">
              <w:rPr>
                <w:rFonts w:ascii="Verdana" w:eastAsia="Times New Roman" w:hAnsi="Verdana" w:cs="Arial"/>
                <w:lang w:eastAsia="es-CO"/>
              </w:rPr>
              <w:t xml:space="preserve"> no resultaría aplicable la prohibición del parágrafo del artículo 38 de la Ley de Garantías Electorales a los </w:t>
            </w:r>
            <w:r w:rsidR="00D82BC7" w:rsidRPr="00982372">
              <w:rPr>
                <w:rFonts w:ascii="Verdana" w:eastAsia="Times New Roman" w:hAnsi="Verdana" w:cs="Arial"/>
                <w:i/>
                <w:iCs/>
                <w:lang w:eastAsia="es-CO"/>
              </w:rPr>
              <w:t>contratos interadministrativos</w:t>
            </w:r>
            <w:r w:rsidR="00D82BC7">
              <w:rPr>
                <w:rFonts w:ascii="Verdana" w:eastAsia="Times New Roman" w:hAnsi="Verdana" w:cs="Arial"/>
                <w:lang w:eastAsia="es-CO"/>
              </w:rPr>
              <w:t>.</w:t>
            </w:r>
          </w:p>
          <w:p w14:paraId="563F44E8" w14:textId="77777777" w:rsidR="00D82BC7" w:rsidRPr="00A51A1D" w:rsidRDefault="00D82BC7" w:rsidP="000815EC">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Así las cosas, </w:t>
            </w:r>
            <w:r w:rsidRPr="00496D28">
              <w:rPr>
                <w:rFonts w:ascii="Verdana" w:eastAsia="Times New Roman" w:hAnsi="Verdana" w:cs="Arial"/>
                <w:lang w:eastAsia="es-CO"/>
              </w:rPr>
              <w:t>conforme a lo señalado por el Consejo de Estado</w:t>
            </w:r>
            <w:r>
              <w:rPr>
                <w:rFonts w:ascii="Verdana" w:eastAsia="Times New Roman" w:hAnsi="Verdana" w:cs="Arial"/>
                <w:lang w:eastAsia="es-CO"/>
              </w:rPr>
              <w:t xml:space="preserve">, </w:t>
            </w:r>
            <w:r w:rsidRPr="00496D28">
              <w:rPr>
                <w:rFonts w:ascii="Verdana" w:eastAsia="Times New Roman" w:hAnsi="Verdana" w:cs="Arial"/>
                <w:lang w:eastAsia="es-CO"/>
              </w:rPr>
              <w:t xml:space="preserve">cuando dos entidades públicas celebren un </w:t>
            </w:r>
            <w:r w:rsidRPr="00496D28">
              <w:rPr>
                <w:rFonts w:ascii="Verdana" w:eastAsia="Times New Roman" w:hAnsi="Verdana" w:cs="Arial"/>
                <w:i/>
                <w:iCs/>
                <w:lang w:eastAsia="es-CO"/>
              </w:rPr>
              <w:t>contrato interadministrativo,</w:t>
            </w:r>
            <w:r>
              <w:rPr>
                <w:rFonts w:ascii="Verdana" w:eastAsia="Times New Roman" w:hAnsi="Verdana" w:cs="Arial"/>
                <w:lang w:eastAsia="es-CO"/>
              </w:rPr>
              <w:t xml:space="preserve"> independientemente del objeto,</w:t>
            </w:r>
            <w:r w:rsidRPr="00496D28">
              <w:rPr>
                <w:rFonts w:ascii="Verdana" w:eastAsia="Times New Roman" w:hAnsi="Verdana" w:cs="Arial"/>
                <w:lang w:eastAsia="es-CO"/>
              </w:rPr>
              <w:t xml:space="preserve"> dicho contrato puede suscribirse durante el periodo preelectoral. </w:t>
            </w:r>
            <w:r>
              <w:rPr>
                <w:rFonts w:ascii="Verdana" w:eastAsia="Times New Roman" w:hAnsi="Verdana" w:cs="Arial"/>
                <w:lang w:eastAsia="es-CO"/>
              </w:rPr>
              <w:t xml:space="preserve">Por consiguiente y de acuerdo con la referida posición del Consejo de Estado, si el contrato </w:t>
            </w:r>
            <w:r w:rsidRPr="00496D28">
              <w:rPr>
                <w:rFonts w:ascii="Verdana" w:eastAsia="Times New Roman" w:hAnsi="Verdana" w:cs="Arial"/>
                <w:lang w:eastAsia="es-CO"/>
              </w:rPr>
              <w:t>involucra a alguno de los sujetos mencionados en el parágrafo del artículo 38 de la Ley de Garantías Electorales</w:t>
            </w:r>
            <w:r>
              <w:rPr>
                <w:rFonts w:ascii="Verdana" w:eastAsia="Times New Roman" w:hAnsi="Verdana" w:cs="Arial"/>
                <w:lang w:eastAsia="es-CO"/>
              </w:rPr>
              <w:t xml:space="preserve"> y se constituye como un </w:t>
            </w:r>
            <w:r w:rsidRPr="0024278B">
              <w:rPr>
                <w:rFonts w:ascii="Verdana" w:eastAsia="Times New Roman" w:hAnsi="Verdana" w:cs="Arial"/>
                <w:i/>
                <w:iCs/>
                <w:lang w:eastAsia="es-CO"/>
              </w:rPr>
              <w:t xml:space="preserve">contrato interadministrativo </w:t>
            </w:r>
            <w:r>
              <w:rPr>
                <w:rFonts w:ascii="Verdana" w:eastAsia="Times New Roman" w:hAnsi="Verdana" w:cs="Arial"/>
                <w:lang w:eastAsia="es-CO"/>
              </w:rPr>
              <w:t xml:space="preserve">no le </w:t>
            </w:r>
            <w:r w:rsidRPr="00496D28">
              <w:rPr>
                <w:rFonts w:ascii="Verdana" w:eastAsia="Times New Roman" w:hAnsi="Verdana" w:cs="Arial"/>
                <w:lang w:eastAsia="es-CO"/>
              </w:rPr>
              <w:t>result</w:t>
            </w:r>
            <w:r>
              <w:rPr>
                <w:rFonts w:ascii="Verdana" w:eastAsia="Times New Roman" w:hAnsi="Verdana" w:cs="Arial"/>
                <w:lang w:eastAsia="es-CO"/>
              </w:rPr>
              <w:t>a</w:t>
            </w:r>
            <w:r w:rsidRPr="00496D28">
              <w:rPr>
                <w:rFonts w:ascii="Verdana" w:eastAsia="Times New Roman" w:hAnsi="Verdana" w:cs="Arial"/>
                <w:lang w:eastAsia="es-CO"/>
              </w:rPr>
              <w:t xml:space="preserve"> aplicable la limitación prevista en el parágrafo del artículo 38.</w:t>
            </w:r>
          </w:p>
          <w:p w14:paraId="5443654D" w14:textId="77777777" w:rsidR="00D82BC7" w:rsidRPr="006550E3" w:rsidRDefault="00D82BC7" w:rsidP="003A5BBF">
            <w:pPr>
              <w:spacing w:line="276" w:lineRule="auto"/>
              <w:ind w:firstLine="709"/>
              <w:jc w:val="both"/>
              <w:rPr>
                <w:rFonts w:ascii="Verdana" w:eastAsia="Arial" w:hAnsi="Verdana" w:cs="Arial"/>
              </w:rPr>
            </w:pPr>
            <w:r>
              <w:rPr>
                <w:rFonts w:ascii="Verdana" w:eastAsia="Arial" w:hAnsi="Verdana" w:cs="Arial"/>
                <w:bCs/>
                <w:color w:val="000000" w:themeColor="text1"/>
              </w:rPr>
              <w:lastRenderedPageBreak/>
              <w:t>En todo caso, vale anotar que e</w:t>
            </w:r>
            <w:r w:rsidRPr="00535ECD">
              <w:rPr>
                <w:rFonts w:ascii="Verdana" w:eastAsia="Arial" w:hAnsi="Verdana" w:cs="Arial"/>
                <w:bCs/>
                <w:color w:val="000000" w:themeColor="text1"/>
              </w:rPr>
              <w:t>s responsabilidad del respectivo ente del Estado examinar en cada caso la naturaleza de las actividades que adelanta y justificar si las mismas se enmarcan en alguna de las excepciones, de manera que pueda realizar la contratación directa durante el periodo de la prohibición.</w:t>
            </w:r>
            <w:r>
              <w:rPr>
                <w:rFonts w:ascii="Verdana" w:eastAsia="Arial" w:hAnsi="Verdana" w:cs="Arial"/>
                <w:bCs/>
                <w:color w:val="000000" w:themeColor="text1"/>
              </w:rPr>
              <w:t xml:space="preserve"> Igualmente, le corresponde a cada entidad </w:t>
            </w:r>
            <w:r w:rsidRPr="0090195E">
              <w:rPr>
                <w:rFonts w:ascii="Verdana" w:eastAsia="Arial" w:hAnsi="Verdana" w:cs="Arial"/>
                <w:color w:val="000000" w:themeColor="text1"/>
              </w:rPr>
              <w:t xml:space="preserve">establecer si el instrumento jurídico que se pretende suscribir tiene la naturaleza de contrato o de convenio interadministrativo para la ejecución de recursos públicos. </w:t>
            </w:r>
          </w:p>
        </w:tc>
      </w:tr>
    </w:tbl>
    <w:p w14:paraId="58DBCE39" w14:textId="77777777" w:rsidR="00D82BC7" w:rsidRDefault="00D82BC7" w:rsidP="00D82BC7">
      <w:pPr>
        <w:tabs>
          <w:tab w:val="left" w:pos="142"/>
          <w:tab w:val="left" w:pos="284"/>
        </w:tabs>
        <w:spacing w:after="0" w:line="276" w:lineRule="auto"/>
        <w:jc w:val="both"/>
        <w:rPr>
          <w:rFonts w:ascii="Verdana" w:eastAsia="Century Gothic" w:hAnsi="Verdana" w:cs="Century Gothic"/>
          <w:b/>
          <w:bCs/>
        </w:rPr>
      </w:pPr>
    </w:p>
    <w:p w14:paraId="0383421E" w14:textId="77777777" w:rsidR="00D82BC7" w:rsidRPr="005644FE" w:rsidRDefault="00D82BC7" w:rsidP="00D82BC7">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5D8C3178" w14:textId="77777777" w:rsidR="00D82BC7" w:rsidRPr="005644FE" w:rsidRDefault="00D82BC7" w:rsidP="00D82BC7">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6652A7C0" w14:textId="77777777" w:rsidR="00D82BC7" w:rsidRDefault="00D82BC7" w:rsidP="00D82BC7">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0BFA64D1" w14:textId="77777777" w:rsidR="00D82BC7" w:rsidRDefault="00D82BC7" w:rsidP="00D82BC7">
      <w:pPr>
        <w:tabs>
          <w:tab w:val="left" w:pos="142"/>
          <w:tab w:val="left" w:pos="284"/>
        </w:tabs>
        <w:spacing w:after="0" w:line="240" w:lineRule="auto"/>
        <w:jc w:val="both"/>
        <w:rPr>
          <w:rFonts w:ascii="Verdana" w:eastAsia="Calibri" w:hAnsi="Verdana" w:cs="Arial"/>
        </w:rPr>
      </w:pPr>
    </w:p>
    <w:p w14:paraId="1FFA6744" w14:textId="77777777" w:rsidR="00D82BC7" w:rsidRPr="00992E50" w:rsidRDefault="00D82BC7" w:rsidP="00D82BC7">
      <w:pPr>
        <w:tabs>
          <w:tab w:val="left" w:pos="426"/>
        </w:tabs>
        <w:spacing w:after="120" w:line="276" w:lineRule="auto"/>
        <w:jc w:val="both"/>
        <w:rPr>
          <w:rFonts w:ascii="Verdana" w:eastAsia="Times New Roman" w:hAnsi="Verdana" w:cs="Arial"/>
          <w:lang w:val="es-ES" w:eastAsia="es-CO"/>
        </w:rPr>
      </w:pPr>
      <w:r>
        <w:rPr>
          <w:rFonts w:ascii="Verdana" w:hAnsi="Verdana" w:cs="Arial"/>
          <w:lang w:val="es-ES"/>
        </w:rPr>
        <w:t>E</w:t>
      </w:r>
      <w:r w:rsidRPr="00992E50">
        <w:rPr>
          <w:rFonts w:ascii="Verdana" w:hAnsi="Verdana" w:cs="Arial"/>
          <w:lang w:val="es-ES"/>
        </w:rPr>
        <w:t>l ordenamiento jurídico colombiano contempla medidas para evitar la obtención de beneficios personales en asuntos propios de la administración pública</w:t>
      </w:r>
      <w:r w:rsidRPr="00992E50">
        <w:rPr>
          <w:rFonts w:ascii="Verdana" w:hAnsi="Verdana" w:cs="Arial"/>
          <w:i/>
          <w:lang w:val="es-ES"/>
        </w:rPr>
        <w:t xml:space="preserve">. </w:t>
      </w:r>
      <w:r w:rsidRPr="00992E5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992E50">
        <w:rPr>
          <w:rFonts w:ascii="Verdana" w:hAnsi="Verdana"/>
          <w:vertAlign w:val="superscript"/>
          <w:lang w:val="es-ES"/>
        </w:rPr>
        <w:footnoteReference w:id="1"/>
      </w:r>
      <w:r w:rsidRPr="00992E50">
        <w:rPr>
          <w:rFonts w:ascii="Verdana" w:hAnsi="Verdana" w:cs="Arial"/>
          <w:lang w:val="es-ES"/>
        </w:rPr>
        <w:t xml:space="preserve">. </w:t>
      </w:r>
    </w:p>
    <w:p w14:paraId="64585E2A" w14:textId="77777777" w:rsidR="00D82BC7" w:rsidRPr="00992E50" w:rsidRDefault="00D82BC7" w:rsidP="00D82BC7">
      <w:pPr>
        <w:tabs>
          <w:tab w:val="left" w:pos="426"/>
        </w:tabs>
        <w:spacing w:after="120" w:line="276" w:lineRule="auto"/>
        <w:ind w:firstLine="709"/>
        <w:jc w:val="both"/>
        <w:rPr>
          <w:rFonts w:ascii="Verdana" w:hAnsi="Verdana" w:cs="Arial"/>
          <w:lang w:val="es-ES"/>
        </w:rPr>
      </w:pPr>
      <w:r w:rsidRPr="00992E5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92E50">
        <w:rPr>
          <w:rFonts w:ascii="Verdana" w:eastAsia="Times New Roman" w:hAnsi="Verdana" w:cs="Arial"/>
          <w:vertAlign w:val="superscript"/>
          <w:lang w:val="es-ES" w:eastAsia="es-CO"/>
        </w:rPr>
        <w:footnoteReference w:id="2"/>
      </w:r>
      <w:r w:rsidRPr="00992E50">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992E50">
        <w:rPr>
          <w:rFonts w:ascii="Verdana" w:hAnsi="Verdana" w:cs="Arial"/>
          <w:lang w:val="es-ES"/>
        </w:rPr>
        <w:t xml:space="preserve"> </w:t>
      </w:r>
    </w:p>
    <w:p w14:paraId="71F4681F" w14:textId="19341741" w:rsidR="00D82BC7" w:rsidRDefault="00D82BC7" w:rsidP="00D82BC7">
      <w:pPr>
        <w:tabs>
          <w:tab w:val="left" w:pos="426"/>
        </w:tabs>
        <w:spacing w:after="0" w:line="276" w:lineRule="auto"/>
        <w:ind w:firstLine="709"/>
        <w:jc w:val="both"/>
        <w:rPr>
          <w:rFonts w:ascii="Verdana" w:eastAsia="Times New Roman" w:hAnsi="Verdana" w:cs="Arial"/>
          <w:lang w:val="es-ES" w:eastAsia="es-CO"/>
        </w:rPr>
      </w:pPr>
      <w:r w:rsidRPr="00992E5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E6CD813" w14:textId="77777777" w:rsidR="005C08F6" w:rsidRPr="00D82BC7" w:rsidRDefault="005C08F6" w:rsidP="00D82BC7">
      <w:pPr>
        <w:tabs>
          <w:tab w:val="left" w:pos="426"/>
        </w:tabs>
        <w:spacing w:after="0" w:line="276" w:lineRule="auto"/>
        <w:ind w:firstLine="709"/>
        <w:jc w:val="both"/>
        <w:rPr>
          <w:rFonts w:ascii="Verdana" w:hAnsi="Verdana" w:cs="Arial"/>
          <w:lang w:val="es-ES"/>
        </w:rPr>
      </w:pPr>
    </w:p>
    <w:p w14:paraId="484B600D" w14:textId="77777777" w:rsidR="00D82BC7" w:rsidRPr="00992E50" w:rsidRDefault="00D82BC7" w:rsidP="00D82BC7">
      <w:pPr>
        <w:spacing w:after="0" w:line="240" w:lineRule="auto"/>
        <w:ind w:left="709" w:right="709"/>
        <w:contextualSpacing/>
        <w:jc w:val="both"/>
        <w:rPr>
          <w:rFonts w:ascii="Verdana" w:eastAsia="Times New Roman" w:hAnsi="Verdana" w:cs="Arial"/>
          <w:sz w:val="20"/>
          <w:szCs w:val="20"/>
          <w:lang w:val="es-ES" w:eastAsia="es-CO"/>
        </w:rPr>
      </w:pPr>
      <w:r w:rsidRPr="00992E50">
        <w:rPr>
          <w:rFonts w:ascii="Verdana" w:eastAsia="Times New Roman" w:hAnsi="Verdana" w:cs="Arial"/>
          <w:sz w:val="20"/>
          <w:szCs w:val="20"/>
          <w:lang w:val="es-ES" w:eastAsia="es-CO"/>
        </w:rPr>
        <w:lastRenderedPageBreak/>
        <w:t>“</w:t>
      </w:r>
      <w:r>
        <w:rPr>
          <w:rFonts w:ascii="Verdana" w:eastAsia="Times New Roman" w:hAnsi="Verdana" w:cs="Arial"/>
          <w:sz w:val="20"/>
          <w:szCs w:val="20"/>
          <w:lang w:val="es-ES" w:eastAsia="es-CO"/>
        </w:rPr>
        <w:t xml:space="preserve">(…) </w:t>
      </w:r>
      <w:r w:rsidRPr="00992E50">
        <w:rPr>
          <w:rFonts w:ascii="Verdana" w:eastAsia="Times New Roman" w:hAnsi="Verdana" w:cs="Arial"/>
          <w:sz w:val="20"/>
          <w:szCs w:val="20"/>
          <w:lang w:val="es-ES" w:eastAsia="es-CO"/>
        </w:rPr>
        <w:t>la definición de reglas claras que permitan acceder a los canales de expresión democrática de manera efectiva e igualitaria. El objetivo de una ley de garantías es definir esas reglas.</w:t>
      </w:r>
    </w:p>
    <w:p w14:paraId="0EB0B70E" w14:textId="77777777" w:rsidR="00D82BC7" w:rsidRDefault="00D82BC7" w:rsidP="00D82BC7">
      <w:pPr>
        <w:spacing w:after="0" w:line="240" w:lineRule="auto"/>
        <w:ind w:left="709" w:right="709"/>
        <w:contextualSpacing/>
        <w:jc w:val="both"/>
        <w:rPr>
          <w:rFonts w:ascii="Verdana" w:eastAsia="Times New Roman" w:hAnsi="Verdana" w:cs="Arial"/>
          <w:sz w:val="20"/>
          <w:szCs w:val="20"/>
          <w:lang w:val="es-ES" w:eastAsia="es-CO"/>
        </w:rPr>
      </w:pPr>
    </w:p>
    <w:p w14:paraId="2C6B4FE1" w14:textId="77777777" w:rsidR="00D82BC7" w:rsidRDefault="00D82BC7" w:rsidP="00D82BC7">
      <w:pPr>
        <w:spacing w:after="0" w:line="240" w:lineRule="auto"/>
        <w:ind w:left="709" w:right="709"/>
        <w:contextualSpacing/>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 xml:space="preserve">(…) </w:t>
      </w:r>
    </w:p>
    <w:p w14:paraId="2BE442A1" w14:textId="77777777" w:rsidR="00D82BC7" w:rsidRPr="00992E50" w:rsidRDefault="00D82BC7" w:rsidP="00D82BC7">
      <w:pPr>
        <w:spacing w:after="0" w:line="240" w:lineRule="auto"/>
        <w:ind w:left="709" w:right="709"/>
        <w:contextualSpacing/>
        <w:jc w:val="both"/>
        <w:rPr>
          <w:rFonts w:ascii="Verdana" w:eastAsia="Times New Roman" w:hAnsi="Verdana" w:cs="Arial"/>
          <w:sz w:val="20"/>
          <w:szCs w:val="20"/>
          <w:lang w:val="es-ES" w:eastAsia="es-CO"/>
        </w:rPr>
      </w:pPr>
    </w:p>
    <w:p w14:paraId="6EDCF6CC" w14:textId="77777777" w:rsidR="00D82BC7" w:rsidRPr="00992E50" w:rsidRDefault="00D82BC7" w:rsidP="00D82BC7">
      <w:pPr>
        <w:spacing w:after="0" w:line="240" w:lineRule="auto"/>
        <w:ind w:left="709" w:right="709"/>
        <w:contextualSpacing/>
        <w:jc w:val="both"/>
        <w:rPr>
          <w:rFonts w:ascii="Verdana" w:eastAsia="Times New Roman" w:hAnsi="Verdana" w:cs="Arial"/>
          <w:sz w:val="20"/>
          <w:szCs w:val="20"/>
          <w:lang w:val="es-ES" w:eastAsia="es-CO"/>
        </w:rPr>
      </w:pPr>
      <w:r w:rsidRPr="00992E50">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92E50">
        <w:rPr>
          <w:rFonts w:ascii="Verdana" w:hAnsi="Verdana" w:cs="Arial"/>
          <w:sz w:val="20"/>
          <w:szCs w:val="20"/>
          <w:vertAlign w:val="superscript"/>
          <w:lang w:val="es-ES"/>
        </w:rPr>
        <w:footnoteReference w:id="3"/>
      </w:r>
      <w:r>
        <w:rPr>
          <w:rFonts w:ascii="Verdana" w:eastAsia="Times New Roman" w:hAnsi="Verdana" w:cs="Arial"/>
          <w:sz w:val="20"/>
          <w:szCs w:val="20"/>
          <w:lang w:val="es-ES" w:eastAsia="es-CO"/>
        </w:rPr>
        <w:t>.</w:t>
      </w:r>
    </w:p>
    <w:p w14:paraId="2DF4E7EC" w14:textId="77777777" w:rsidR="00D82BC7" w:rsidRPr="00992E50" w:rsidRDefault="00D82BC7" w:rsidP="00D82BC7">
      <w:pPr>
        <w:spacing w:after="0" w:line="276" w:lineRule="auto"/>
        <w:ind w:firstLine="709"/>
        <w:jc w:val="both"/>
        <w:rPr>
          <w:rFonts w:ascii="Verdana" w:eastAsia="Times New Roman" w:hAnsi="Verdana" w:cs="Arial"/>
          <w:lang w:val="es-ES" w:eastAsia="es-CO"/>
        </w:rPr>
      </w:pPr>
    </w:p>
    <w:p w14:paraId="27720D4C" w14:textId="77777777" w:rsidR="00D82BC7" w:rsidRPr="00992E50" w:rsidRDefault="00D82BC7" w:rsidP="00D82BC7">
      <w:pPr>
        <w:spacing w:after="0" w:line="276" w:lineRule="auto"/>
        <w:ind w:firstLine="709"/>
        <w:jc w:val="both"/>
        <w:rPr>
          <w:rFonts w:ascii="Verdana" w:eastAsia="Times New Roman" w:hAnsi="Verdana" w:cs="Arial"/>
          <w:lang w:val="es-ES" w:eastAsia="es-CO"/>
        </w:rPr>
      </w:pPr>
      <w:r w:rsidRPr="00992E5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D74D7CD" w14:textId="77777777" w:rsidR="00D82BC7" w:rsidRPr="00992E50" w:rsidRDefault="00D82BC7" w:rsidP="00D82BC7">
      <w:pPr>
        <w:spacing w:after="0" w:line="276" w:lineRule="auto"/>
        <w:ind w:firstLine="709"/>
        <w:jc w:val="both"/>
        <w:rPr>
          <w:rFonts w:ascii="Verdana" w:eastAsia="Times New Roman" w:hAnsi="Verdana" w:cs="Arial"/>
          <w:lang w:val="es-ES" w:eastAsia="es-CO"/>
        </w:rPr>
      </w:pPr>
    </w:p>
    <w:p w14:paraId="6687C057" w14:textId="77777777" w:rsidR="00D82BC7" w:rsidRPr="00992E50" w:rsidRDefault="00D82BC7" w:rsidP="005C08F6">
      <w:pPr>
        <w:spacing w:after="0" w:line="240" w:lineRule="auto"/>
        <w:ind w:left="709" w:right="709"/>
        <w:jc w:val="both"/>
        <w:rPr>
          <w:rFonts w:ascii="Verdana" w:eastAsia="Times New Roman" w:hAnsi="Verdana" w:cs="Arial"/>
          <w:sz w:val="20"/>
          <w:szCs w:val="20"/>
          <w:lang w:val="es-ES" w:eastAsia="es-CO"/>
        </w:rPr>
      </w:pPr>
      <w:r w:rsidRPr="00992E50">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92E50">
        <w:rPr>
          <w:rFonts w:ascii="Verdana" w:eastAsia="Times New Roman" w:hAnsi="Verdana" w:cs="Arial"/>
          <w:sz w:val="20"/>
          <w:szCs w:val="20"/>
          <w:lang w:val="es-ES" w:eastAsia="es-CO"/>
        </w:rPr>
        <w:t>legis</w:t>
      </w:r>
      <w:proofErr w:type="spellEnd"/>
      <w:r w:rsidRPr="00992E50">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0EAC6E4" w14:textId="77777777" w:rsidR="00D82BC7" w:rsidRPr="00992E50" w:rsidRDefault="00D82BC7" w:rsidP="00D82BC7">
      <w:pPr>
        <w:spacing w:after="0" w:line="240" w:lineRule="auto"/>
        <w:ind w:right="709"/>
        <w:jc w:val="both"/>
        <w:rPr>
          <w:rFonts w:ascii="Verdana" w:eastAsia="Times New Roman" w:hAnsi="Verdana" w:cs="Arial"/>
          <w:lang w:val="es-ES" w:eastAsia="es-CO"/>
        </w:rPr>
      </w:pPr>
    </w:p>
    <w:p w14:paraId="49DCC0EA" w14:textId="77777777" w:rsidR="00D82BC7" w:rsidRPr="00992E50" w:rsidRDefault="00D82BC7" w:rsidP="00D82BC7">
      <w:pPr>
        <w:spacing w:after="0" w:line="240" w:lineRule="auto"/>
        <w:ind w:left="709" w:right="709"/>
        <w:jc w:val="both"/>
        <w:rPr>
          <w:rFonts w:ascii="Verdana" w:eastAsia="Times New Roman" w:hAnsi="Verdana" w:cs="Arial"/>
          <w:sz w:val="20"/>
          <w:szCs w:val="20"/>
          <w:lang w:val="es-ES" w:eastAsia="es-CO"/>
        </w:rPr>
      </w:pPr>
      <w:r w:rsidRPr="00992E50">
        <w:rPr>
          <w:rFonts w:ascii="Verdana" w:eastAsia="Times New Roman" w:hAnsi="Verdana" w:cs="Arial"/>
          <w:sz w:val="20"/>
          <w:szCs w:val="20"/>
          <w:lang w:val="es-ES" w:eastAsia="es-CO"/>
        </w:rPr>
        <w:t>La jurisprudencia de la Corte Constitucional</w:t>
      </w:r>
      <w:r w:rsidRPr="00992E50">
        <w:rPr>
          <w:rFonts w:ascii="Verdana" w:eastAsia="Times New Roman" w:hAnsi="Verdana" w:cs="Arial"/>
          <w:sz w:val="20"/>
          <w:szCs w:val="20"/>
          <w:vertAlign w:val="superscript"/>
          <w:lang w:val="es-ES" w:eastAsia="es-CO"/>
        </w:rPr>
        <w:footnoteReference w:id="4"/>
      </w:r>
      <w:r w:rsidRPr="00992E50">
        <w:rPr>
          <w:rFonts w:ascii="Verdana" w:eastAsia="Times New Roman" w:hAnsi="Verdana" w:cs="Arial"/>
          <w:sz w:val="20"/>
          <w:szCs w:val="20"/>
          <w:lang w:val="es-ES" w:eastAsia="es-CO"/>
        </w:rPr>
        <w:t> y del Consejo de Estado</w:t>
      </w:r>
      <w:r w:rsidRPr="00992E50">
        <w:rPr>
          <w:rFonts w:ascii="Verdana" w:eastAsia="Times New Roman" w:hAnsi="Verdana" w:cs="Arial"/>
          <w:sz w:val="20"/>
          <w:szCs w:val="20"/>
          <w:vertAlign w:val="superscript"/>
          <w:lang w:val="es-ES" w:eastAsia="es-CO"/>
        </w:rPr>
        <w:footnoteReference w:id="5"/>
      </w:r>
      <w:r w:rsidRPr="00992E50">
        <w:rPr>
          <w:rFonts w:ascii="Verdana" w:eastAsia="Times New Roman" w:hAnsi="Verdana" w:cs="Arial"/>
          <w:sz w:val="20"/>
          <w:szCs w:val="20"/>
          <w:lang w:val="es-ES" w:eastAsia="es-CO"/>
        </w:rPr>
        <w:t xml:space="preserve">, coinciden en que las normas que establecen prohibiciones deben estar de </w:t>
      </w:r>
      <w:r w:rsidRPr="00992E50">
        <w:rPr>
          <w:rFonts w:ascii="Verdana" w:eastAsia="Times New Roman" w:hAnsi="Verdana" w:cs="Arial"/>
          <w:sz w:val="20"/>
          <w:szCs w:val="20"/>
          <w:lang w:val="es-ES"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92E50">
        <w:rPr>
          <w:rFonts w:ascii="Verdana" w:eastAsia="Times New Roman" w:hAnsi="Verdana" w:cs="Arial"/>
          <w:sz w:val="20"/>
          <w:szCs w:val="20"/>
          <w:vertAlign w:val="superscript"/>
          <w:lang w:val="es-ES" w:eastAsia="es-CO"/>
        </w:rPr>
        <w:footnoteReference w:id="6"/>
      </w:r>
      <w:r w:rsidRPr="00992E50">
        <w:rPr>
          <w:rFonts w:ascii="Verdana" w:eastAsia="Times New Roman" w:hAnsi="Verdana" w:cs="Arial"/>
          <w:sz w:val="20"/>
          <w:szCs w:val="20"/>
          <w:lang w:val="es-ES" w:eastAsia="es-CO"/>
        </w:rPr>
        <w:t>.</w:t>
      </w:r>
    </w:p>
    <w:p w14:paraId="34E1B1AB" w14:textId="77777777" w:rsidR="00D82BC7" w:rsidRPr="00992E50" w:rsidRDefault="00D82BC7" w:rsidP="00D82BC7">
      <w:pPr>
        <w:spacing w:after="0" w:line="276" w:lineRule="auto"/>
        <w:jc w:val="both"/>
        <w:rPr>
          <w:rFonts w:ascii="Verdana" w:hAnsi="Verdana" w:cs="Arial"/>
          <w:bCs/>
          <w:lang w:val="es-ES"/>
        </w:rPr>
      </w:pPr>
    </w:p>
    <w:p w14:paraId="5169B833" w14:textId="77777777" w:rsidR="00D82BC7" w:rsidRPr="00992E50" w:rsidRDefault="00D82BC7" w:rsidP="00D82BC7">
      <w:pPr>
        <w:spacing w:after="120" w:line="276" w:lineRule="auto"/>
        <w:ind w:firstLine="709"/>
        <w:jc w:val="both"/>
        <w:rPr>
          <w:rFonts w:ascii="Verdana" w:eastAsia="Arial" w:hAnsi="Verdana" w:cs="Arial"/>
          <w:lang w:val="es-ES" w:eastAsia="es-ES" w:bidi="es-ES"/>
        </w:rPr>
      </w:pPr>
      <w:r w:rsidRPr="00992E50">
        <w:rPr>
          <w:rFonts w:ascii="Verdana" w:eastAsia="Times New Roman" w:hAnsi="Verdana" w:cs="Arial"/>
          <w:lang w:val="es-ES" w:eastAsia="es-CO"/>
        </w:rPr>
        <w:t>De</w:t>
      </w:r>
      <w:r w:rsidRPr="00992E5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5FCC5684" w14:textId="2CD0A7DC" w:rsidR="00D82BC7" w:rsidRPr="00992E50" w:rsidRDefault="00D82BC7" w:rsidP="00D82BC7">
      <w:pPr>
        <w:spacing w:after="120" w:line="276" w:lineRule="auto"/>
        <w:ind w:firstLine="709"/>
        <w:jc w:val="both"/>
        <w:rPr>
          <w:rFonts w:ascii="Verdana" w:eastAsia="Arial" w:hAnsi="Verdana" w:cs="Arial"/>
          <w:lang w:val="es-ES" w:eastAsia="es-ES" w:bidi="es-ES"/>
        </w:rPr>
      </w:pPr>
      <w:r w:rsidRPr="00992E50">
        <w:rPr>
          <w:rFonts w:ascii="Verdana" w:eastAsia="Arial" w:hAnsi="Verdana" w:cs="Arial"/>
          <w:lang w:val="es-ES" w:eastAsia="es-ES" w:bidi="es-ES"/>
        </w:rPr>
        <w:t xml:space="preserve">Las restricciones consagradas en la Ley de Garantías </w:t>
      </w:r>
      <w:r w:rsidR="005C08F6">
        <w:rPr>
          <w:rFonts w:ascii="Verdana" w:eastAsia="Arial" w:hAnsi="Verdana" w:cs="Arial"/>
          <w:lang w:val="es-ES" w:eastAsia="es-ES" w:bidi="es-ES"/>
        </w:rPr>
        <w:t xml:space="preserve">Electorales </w:t>
      </w:r>
      <w:r w:rsidRPr="00992E50">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3D1FE590" w14:textId="77777777" w:rsidR="00D82BC7" w:rsidRPr="00992E50" w:rsidRDefault="00D82BC7" w:rsidP="00D82BC7">
      <w:pPr>
        <w:spacing w:after="120" w:line="276" w:lineRule="auto"/>
        <w:ind w:firstLine="708"/>
        <w:jc w:val="both"/>
        <w:rPr>
          <w:rFonts w:ascii="Verdana" w:hAnsi="Verdana" w:cs="Arial"/>
          <w:lang w:val="es-ES"/>
        </w:rPr>
      </w:pPr>
      <w:r w:rsidRPr="00992E50">
        <w:rPr>
          <w:rFonts w:ascii="Verdana" w:hAnsi="Verdana" w:cs="Arial"/>
          <w:lang w:val="es-ES"/>
        </w:rPr>
        <w:t xml:space="preserve">Por un lado, el </w:t>
      </w:r>
      <w:r w:rsidRPr="00992E50">
        <w:rPr>
          <w:rFonts w:ascii="Verdana" w:hAnsi="Verdana" w:cs="Arial"/>
          <w:i/>
          <w:iCs/>
          <w:lang w:val="es-ES"/>
        </w:rPr>
        <w:t xml:space="preserve">artículo 33 </w:t>
      </w:r>
      <w:r w:rsidRPr="00992E50">
        <w:rPr>
          <w:rFonts w:ascii="Verdana" w:hAnsi="Verdana" w:cs="Arial"/>
          <w:lang w:val="es-ES"/>
        </w:rPr>
        <w:t>de la Ley 996 de 2005 prohíbe “</w:t>
      </w:r>
      <w:r>
        <w:rPr>
          <w:rFonts w:ascii="Verdana" w:hAnsi="Verdana" w:cs="Arial"/>
          <w:lang w:val="es-ES"/>
        </w:rPr>
        <w:t xml:space="preserve">(…) </w:t>
      </w:r>
      <w:r w:rsidRPr="00992E50">
        <w:rPr>
          <w:rFonts w:ascii="Verdana" w:hAnsi="Verdana" w:cs="Arial"/>
          <w:lang w:val="es-ES"/>
        </w:rPr>
        <w:t xml:space="preserve">la contratación directa por parte de </w:t>
      </w:r>
      <w:r w:rsidRPr="00992E50">
        <w:rPr>
          <w:rFonts w:ascii="Verdana" w:hAnsi="Verdana" w:cs="Arial"/>
          <w:i/>
          <w:iCs/>
          <w:lang w:val="es-ES"/>
        </w:rPr>
        <w:t>todos los entes del Estado</w:t>
      </w:r>
      <w:r w:rsidRPr="00992E50">
        <w:rPr>
          <w:rFonts w:ascii="Verdana" w:hAnsi="Verdana" w:cs="Arial"/>
          <w:lang w:val="es-ES"/>
        </w:rPr>
        <w:t xml:space="preserve">” durante los cuatro (4) meses anteriores a las </w:t>
      </w:r>
      <w:r w:rsidRPr="00992E50">
        <w:rPr>
          <w:rFonts w:ascii="Verdana" w:hAnsi="Verdana" w:cs="Arial"/>
          <w:i/>
          <w:iCs/>
          <w:lang w:val="es-ES"/>
        </w:rPr>
        <w:t>elecciones presidenciales</w:t>
      </w:r>
      <w:r w:rsidRPr="00992E50">
        <w:rPr>
          <w:rFonts w:ascii="Verdana" w:hAnsi="Verdana" w:cs="Arial"/>
          <w:lang w:val="es-ES"/>
        </w:rPr>
        <w:t>, salvo “</w:t>
      </w:r>
      <w:r>
        <w:rPr>
          <w:rFonts w:ascii="Verdana" w:hAnsi="Verdana" w:cs="Arial"/>
          <w:lang w:val="es-ES"/>
        </w:rPr>
        <w:t xml:space="preserve">(…) </w:t>
      </w:r>
      <w:r w:rsidRPr="00992E50">
        <w:rPr>
          <w:rFonts w:ascii="Verdana" w:hAnsi="Verdana" w:cs="Arial"/>
          <w:lang w:val="es-ES"/>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92E50">
        <w:rPr>
          <w:rFonts w:ascii="Verdana" w:hAnsi="Verdana" w:cs="Arial"/>
          <w:vertAlign w:val="superscript"/>
          <w:lang w:val="es-ES"/>
        </w:rPr>
        <w:footnoteReference w:id="7"/>
      </w:r>
      <w:r w:rsidRPr="00992E50">
        <w:rPr>
          <w:rFonts w:ascii="Verdana" w:hAnsi="Verdana" w:cs="Arial"/>
          <w:lang w:val="es-ES"/>
        </w:rPr>
        <w:t>.</w:t>
      </w:r>
    </w:p>
    <w:p w14:paraId="0BB69677" w14:textId="77777777" w:rsidR="00D82BC7" w:rsidRPr="00992E50" w:rsidRDefault="00D82BC7" w:rsidP="00D82BC7">
      <w:pPr>
        <w:widowControl w:val="0"/>
        <w:autoSpaceDE w:val="0"/>
        <w:autoSpaceDN w:val="0"/>
        <w:spacing w:after="120" w:line="276" w:lineRule="auto"/>
        <w:ind w:right="113" w:firstLine="709"/>
        <w:jc w:val="both"/>
        <w:rPr>
          <w:rFonts w:ascii="Verdana" w:eastAsia="Arial" w:hAnsi="Verdana" w:cs="Arial"/>
          <w:lang w:val="es-ES" w:eastAsia="es-ES" w:bidi="es-ES"/>
        </w:rPr>
      </w:pPr>
      <w:r w:rsidRPr="00992E50">
        <w:rPr>
          <w:rFonts w:ascii="Verdana" w:hAnsi="Verdana" w:cs="Arial"/>
          <w:lang w:val="es-ES"/>
        </w:rPr>
        <w:t xml:space="preserve">Por otro lado, </w:t>
      </w:r>
      <w:r w:rsidRPr="00992E50">
        <w:rPr>
          <w:rFonts w:ascii="Verdana" w:hAnsi="Verdana" w:cs="Arial"/>
          <w:i/>
          <w:iCs/>
          <w:lang w:val="es-ES"/>
        </w:rPr>
        <w:t xml:space="preserve">el parágrafo del artículo 38 </w:t>
      </w:r>
      <w:r w:rsidRPr="00992E50">
        <w:rPr>
          <w:rFonts w:ascii="Verdana" w:hAnsi="Verdana" w:cs="Arial"/>
          <w:lang w:val="es-ES"/>
        </w:rPr>
        <w:t xml:space="preserve">de la Ley 996 de 2005 prevé </w:t>
      </w:r>
      <w:r w:rsidRPr="00992E50">
        <w:rPr>
          <w:rFonts w:ascii="Verdana" w:hAnsi="Verdana" w:cs="Arial"/>
          <w:lang w:val="es-ES"/>
        </w:rPr>
        <w:lastRenderedPageBreak/>
        <w:t xml:space="preserve">una restricción, aplicable respecto de </w:t>
      </w:r>
      <w:r w:rsidRPr="00992E50">
        <w:rPr>
          <w:rFonts w:ascii="Verdana" w:hAnsi="Verdana" w:cs="Arial"/>
          <w:i/>
          <w:iCs/>
          <w:lang w:val="es-ES"/>
        </w:rPr>
        <w:t>cualquier tipo de contienda electoral</w:t>
      </w:r>
      <w:r w:rsidRPr="00992E50">
        <w:rPr>
          <w:rFonts w:ascii="Verdana" w:hAnsi="Verdana" w:cs="Arial"/>
          <w:lang w:val="es-ES"/>
        </w:rPr>
        <w:t>, que prohíbe a los gobernadores, alcaldes municipales o distritales, secretarios, gerentes y directores de entidades descentralizadas del orden municipal, departamental o distrital “</w:t>
      </w:r>
      <w:r>
        <w:rPr>
          <w:rFonts w:ascii="Verdana" w:hAnsi="Verdana" w:cs="Arial"/>
          <w:lang w:val="es-ES"/>
        </w:rPr>
        <w:t xml:space="preserve">(…) </w:t>
      </w:r>
      <w:r w:rsidRPr="00992E50">
        <w:rPr>
          <w:rFonts w:ascii="Verdana" w:hAnsi="Verdana" w:cs="Arial"/>
          <w:lang w:val="es-ES"/>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92E50">
        <w:rPr>
          <w:rFonts w:ascii="Verdana" w:hAnsi="Verdana" w:cs="Arial"/>
          <w:vertAlign w:val="superscript"/>
          <w:lang w:val="es-ES"/>
        </w:rPr>
        <w:footnoteReference w:id="8"/>
      </w:r>
      <w:r w:rsidRPr="00992E50">
        <w:rPr>
          <w:rFonts w:ascii="Verdana" w:hAnsi="Verdana" w:cs="Arial"/>
          <w:lang w:val="es-ES"/>
        </w:rPr>
        <w:t>.</w:t>
      </w:r>
      <w:r w:rsidRPr="00992E50">
        <w:rPr>
          <w:rFonts w:ascii="Verdana" w:eastAsia="Arial" w:hAnsi="Verdana" w:cs="Arial"/>
          <w:lang w:val="es-ES" w:eastAsia="es-ES" w:bidi="es-ES"/>
        </w:rPr>
        <w:t xml:space="preserve"> </w:t>
      </w:r>
    </w:p>
    <w:p w14:paraId="76B6FBD7" w14:textId="77777777" w:rsidR="00D82BC7" w:rsidRPr="00992E50" w:rsidRDefault="00D82BC7" w:rsidP="00D82BC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992E5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64E8522D" w14:textId="77777777" w:rsidR="00D82BC7" w:rsidRPr="00992E50" w:rsidRDefault="00D82BC7" w:rsidP="00D82BC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FA577EB" w14:textId="77777777" w:rsidR="00D82BC7" w:rsidRPr="00992E50" w:rsidRDefault="00D82BC7" w:rsidP="00D82BC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992E50">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992E50">
        <w:rPr>
          <w:rFonts w:ascii="Verdana" w:eastAsia="Arial" w:hAnsi="Verdana" w:cs="Arial"/>
          <w:sz w:val="20"/>
          <w:szCs w:val="20"/>
          <w:lang w:val="es-ES" w:eastAsia="es-ES" w:bidi="es-ES"/>
        </w:rPr>
        <w:t>Presidente</w:t>
      </w:r>
      <w:proofErr w:type="gramEnd"/>
      <w:r w:rsidRPr="00992E50">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992E50">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49F6379B" w14:textId="77777777" w:rsidR="00D82BC7" w:rsidRPr="00992E50" w:rsidRDefault="00D82BC7" w:rsidP="00D82BC7">
      <w:pPr>
        <w:widowControl w:val="0"/>
        <w:autoSpaceDE w:val="0"/>
        <w:autoSpaceDN w:val="0"/>
        <w:spacing w:after="0" w:line="276" w:lineRule="auto"/>
        <w:contextualSpacing/>
        <w:rPr>
          <w:rFonts w:ascii="Verdana" w:eastAsia="Arial" w:hAnsi="Verdana" w:cs="Arial"/>
          <w:lang w:val="es-ES" w:eastAsia="es-ES" w:bidi="es-ES"/>
        </w:rPr>
      </w:pPr>
    </w:p>
    <w:p w14:paraId="05C008DC" w14:textId="77777777" w:rsidR="00D82BC7" w:rsidRDefault="00D82BC7" w:rsidP="00D82BC7">
      <w:pPr>
        <w:spacing w:after="120" w:line="276" w:lineRule="auto"/>
        <w:ind w:firstLine="709"/>
        <w:jc w:val="both"/>
        <w:rPr>
          <w:rFonts w:ascii="Verdana" w:eastAsia="Arial" w:hAnsi="Verdana" w:cs="Arial"/>
          <w:lang w:val="es-ES" w:eastAsia="es-ES" w:bidi="es-ES"/>
        </w:rPr>
      </w:pPr>
      <w:r w:rsidRPr="00992E50">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992E50">
        <w:rPr>
          <w:rFonts w:ascii="Verdana" w:eastAsia="Arial" w:hAnsi="Verdana" w:cs="Arial"/>
          <w:i/>
          <w:lang w:val="es-ES" w:eastAsia="es-ES" w:bidi="es-ES"/>
        </w:rPr>
        <w:t>En primer lugar</w:t>
      </w:r>
      <w:r w:rsidRPr="00992E50">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w:t>
      </w:r>
      <w:r w:rsidRPr="00992E50">
        <w:rPr>
          <w:rFonts w:ascii="Verdana" w:eastAsia="Arial" w:hAnsi="Verdana" w:cs="Arial"/>
          <w:lang w:val="es-ES" w:eastAsia="es-ES" w:bidi="es-ES"/>
        </w:rPr>
        <w:lastRenderedPageBreak/>
        <w:t xml:space="preserve">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33208157" w14:textId="77777777" w:rsidR="00D82BC7" w:rsidRPr="00992E50" w:rsidRDefault="00D82BC7" w:rsidP="00D82BC7">
      <w:pPr>
        <w:spacing w:after="120" w:line="276" w:lineRule="auto"/>
        <w:ind w:firstLine="709"/>
        <w:jc w:val="both"/>
        <w:rPr>
          <w:rFonts w:ascii="Verdana" w:eastAsia="Arial" w:hAnsi="Verdana" w:cs="Arial"/>
          <w:lang w:val="es-ES" w:eastAsia="es-ES" w:bidi="es-ES"/>
        </w:rPr>
      </w:pPr>
      <w:r w:rsidRPr="00992E50">
        <w:rPr>
          <w:rFonts w:ascii="Verdana" w:eastAsia="Arial" w:hAnsi="Verdana" w:cs="Arial"/>
          <w:i/>
          <w:lang w:val="es-ES" w:eastAsia="es-ES" w:bidi="es-ES"/>
        </w:rPr>
        <w:t>En segundo lugar</w:t>
      </w:r>
      <w:r w:rsidRPr="00992E50">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10EC0E6" w14:textId="77777777" w:rsidR="00D82BC7" w:rsidRPr="00992E50" w:rsidRDefault="00D82BC7" w:rsidP="00D82BC7">
      <w:pPr>
        <w:spacing w:after="120" w:line="276" w:lineRule="auto"/>
        <w:ind w:firstLine="709"/>
        <w:jc w:val="both"/>
        <w:rPr>
          <w:rFonts w:ascii="Verdana" w:eastAsia="Arial" w:hAnsi="Verdana" w:cs="Arial"/>
          <w:lang w:val="es-ES" w:eastAsia="es-ES" w:bidi="es-ES"/>
        </w:rPr>
      </w:pPr>
      <w:r w:rsidRPr="00992E50">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992E50">
        <w:rPr>
          <w:rFonts w:ascii="Verdana" w:eastAsia="Arial" w:hAnsi="Verdana" w:cs="Arial"/>
          <w:lang w:val="es-ES" w:eastAsia="es-ES" w:bidi="es-ES"/>
        </w:rPr>
        <w:t>Presidente</w:t>
      </w:r>
      <w:proofErr w:type="gramEnd"/>
      <w:r w:rsidRPr="00992E50">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992E50">
        <w:rPr>
          <w:rFonts w:ascii="Verdana" w:eastAsia="Arial" w:hAnsi="Verdana" w:cs="Arial"/>
          <w:lang w:val="es-ES" w:eastAsia="es-ES" w:bidi="es-ES"/>
        </w:rPr>
        <w:t>Presidente</w:t>
      </w:r>
      <w:proofErr w:type="gramEnd"/>
      <w:r w:rsidRPr="00992E50">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2E0AE650" w14:textId="77777777" w:rsidR="00D82BC7" w:rsidRPr="00992E50" w:rsidRDefault="00D82BC7" w:rsidP="00D82BC7">
      <w:pPr>
        <w:spacing w:after="120" w:line="276" w:lineRule="auto"/>
        <w:ind w:firstLine="709"/>
        <w:jc w:val="both"/>
        <w:rPr>
          <w:rFonts w:ascii="Verdana" w:eastAsia="Arial" w:hAnsi="Verdana" w:cs="Arial"/>
          <w:lang w:val="es-ES" w:eastAsia="es-ES" w:bidi="es-ES"/>
        </w:rPr>
      </w:pPr>
      <w:r w:rsidRPr="00992E50">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992E50">
        <w:rPr>
          <w:rFonts w:ascii="Verdana" w:eastAsia="Arial" w:hAnsi="Verdana" w:cs="Arial"/>
          <w:lang w:val="es-ES" w:eastAsia="es-ES" w:bidi="es-ES"/>
        </w:rPr>
        <w:t>Presidente</w:t>
      </w:r>
      <w:proofErr w:type="gramEnd"/>
      <w:r w:rsidRPr="00992E50">
        <w:rPr>
          <w:rFonts w:ascii="Verdana" w:eastAsia="Arial" w:hAnsi="Verdana" w:cs="Arial"/>
          <w:lang w:val="es-ES" w:eastAsia="es-ES" w:bidi="es-ES"/>
        </w:rPr>
        <w:t xml:space="preserve"> o el </w:t>
      </w:r>
      <w:proofErr w:type="gramStart"/>
      <w:r w:rsidRPr="00992E50">
        <w:rPr>
          <w:rFonts w:ascii="Verdana" w:eastAsia="Arial" w:hAnsi="Verdana" w:cs="Arial"/>
          <w:lang w:val="es-ES" w:eastAsia="es-ES" w:bidi="es-ES"/>
        </w:rPr>
        <w:t>Vicepresidente</w:t>
      </w:r>
      <w:proofErr w:type="gramEnd"/>
      <w:r w:rsidRPr="00992E50">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992E50">
        <w:rPr>
          <w:rFonts w:ascii="Verdana" w:eastAsia="Arial" w:hAnsi="Verdana" w:cs="Arial"/>
          <w:lang w:val="es-ES" w:eastAsia="es-ES" w:bidi="es-ES"/>
        </w:rPr>
        <w:t>Presidente</w:t>
      </w:r>
      <w:proofErr w:type="gramEnd"/>
      <w:r w:rsidRPr="00992E50">
        <w:rPr>
          <w:rFonts w:ascii="Verdana" w:eastAsia="Arial" w:hAnsi="Verdana" w:cs="Arial"/>
          <w:lang w:val="es-ES" w:eastAsia="es-ES" w:bidi="es-ES"/>
        </w:rPr>
        <w:t xml:space="preserve"> y el </w:t>
      </w:r>
      <w:proofErr w:type="gramStart"/>
      <w:r w:rsidRPr="00992E50">
        <w:rPr>
          <w:rFonts w:ascii="Verdana" w:eastAsia="Arial" w:hAnsi="Verdana" w:cs="Arial"/>
          <w:lang w:val="es-ES" w:eastAsia="es-ES" w:bidi="es-ES"/>
        </w:rPr>
        <w:t>Vicepresidente</w:t>
      </w:r>
      <w:proofErr w:type="gramEnd"/>
      <w:r w:rsidRPr="00992E50">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992E50">
        <w:rPr>
          <w:rFonts w:ascii="Verdana" w:eastAsia="Arial" w:hAnsi="Verdana" w:cs="Arial"/>
          <w:lang w:val="es-ES" w:eastAsia="es-ES" w:bidi="es-ES"/>
        </w:rPr>
        <w:t>Vicepresidente</w:t>
      </w:r>
      <w:proofErr w:type="gramEnd"/>
      <w:r w:rsidRPr="00992E50">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3324BB9" w14:textId="7F23EB30" w:rsidR="00D82BC7" w:rsidRDefault="00D82BC7" w:rsidP="005C08F6">
      <w:pPr>
        <w:spacing w:after="0" w:line="276" w:lineRule="auto"/>
        <w:ind w:firstLine="709"/>
        <w:jc w:val="both"/>
        <w:rPr>
          <w:rFonts w:ascii="Verdana" w:eastAsia="Times New Roman" w:hAnsi="Verdana" w:cs="Arial"/>
          <w:lang w:val="es-ES" w:eastAsia="es-CO"/>
        </w:rPr>
      </w:pPr>
      <w:r w:rsidRPr="00992E50">
        <w:rPr>
          <w:rFonts w:ascii="Verdana" w:hAnsi="Verdana" w:cs="Arial"/>
          <w:lang w:val="es-ES" w:eastAsia="es-ES" w:bidi="es-ES"/>
        </w:rPr>
        <w:t>Para responder al problema jurídico planteado es necesario</w:t>
      </w:r>
      <w:r>
        <w:rPr>
          <w:rFonts w:ascii="Verdana" w:hAnsi="Verdana" w:cs="Arial"/>
          <w:lang w:val="es-ES" w:eastAsia="es-ES" w:bidi="es-ES"/>
        </w:rPr>
        <w:t>, en primer lugar,</w:t>
      </w:r>
      <w:r w:rsidRPr="00992E50">
        <w:rPr>
          <w:rFonts w:ascii="Verdana" w:hAnsi="Verdana" w:cs="Arial"/>
          <w:lang w:val="es-ES" w:eastAsia="es-ES" w:bidi="es-ES"/>
        </w:rPr>
        <w:t xml:space="preserve"> precisar el alcance de la prohibición </w:t>
      </w:r>
      <w:r w:rsidRPr="00992E50">
        <w:rPr>
          <w:rFonts w:ascii="Verdana" w:eastAsia="Arial" w:hAnsi="Verdana" w:cs="Arial"/>
          <w:lang w:val="es-ES" w:eastAsia="es-ES" w:bidi="es-ES"/>
        </w:rPr>
        <w:t>establecida en e</w:t>
      </w:r>
      <w:r w:rsidRPr="00992E50">
        <w:rPr>
          <w:rFonts w:ascii="Verdana" w:hAnsi="Verdana" w:cs="Arial"/>
          <w:lang w:val="es-ES"/>
        </w:rPr>
        <w:t xml:space="preserve">l </w:t>
      </w:r>
      <w:r w:rsidRPr="00992E50">
        <w:rPr>
          <w:rFonts w:ascii="Verdana" w:eastAsia="Times New Roman" w:hAnsi="Verdana" w:cs="Arial"/>
          <w:lang w:val="es-ES"/>
        </w:rPr>
        <w:t xml:space="preserve">artículo 33 de la Ley </w:t>
      </w:r>
      <w:r w:rsidRPr="00992E50">
        <w:rPr>
          <w:rFonts w:ascii="Verdana" w:eastAsia="Times New Roman" w:hAnsi="Verdana" w:cs="Arial"/>
          <w:lang w:val="es-ES"/>
        </w:rPr>
        <w:lastRenderedPageBreak/>
        <w:t>996 de 2005</w:t>
      </w:r>
      <w:r>
        <w:rPr>
          <w:rFonts w:ascii="Verdana" w:eastAsia="Times New Roman" w:hAnsi="Verdana" w:cs="Arial"/>
          <w:lang w:val="es-ES"/>
        </w:rPr>
        <w:t xml:space="preserve"> y sus excepciones</w:t>
      </w:r>
      <w:r w:rsidRPr="00992E50">
        <w:rPr>
          <w:rFonts w:ascii="Verdana" w:eastAsia="Times New Roman" w:hAnsi="Verdana" w:cs="Arial"/>
          <w:lang w:val="es-ES"/>
        </w:rPr>
        <w:t xml:space="preserve">. El </w:t>
      </w:r>
      <w:r w:rsidRPr="00992E50">
        <w:rPr>
          <w:rFonts w:ascii="Verdana" w:eastAsia="Times New Roman" w:hAnsi="Verdana" w:cs="Arial"/>
          <w:i/>
          <w:iCs/>
          <w:lang w:val="es-ES"/>
        </w:rPr>
        <w:t>ámbito material</w:t>
      </w:r>
      <w:r w:rsidRPr="00992E50">
        <w:rPr>
          <w:rFonts w:ascii="Verdana" w:eastAsia="Times New Roman" w:hAnsi="Verdana" w:cs="Arial"/>
          <w:lang w:val="es-ES"/>
        </w:rPr>
        <w:t xml:space="preserve"> de esta prohibición está delimitado por la expresión </w:t>
      </w:r>
      <w:r w:rsidRPr="00992E50">
        <w:rPr>
          <w:rFonts w:ascii="Verdana" w:hAnsi="Verdana" w:cs="Arial"/>
          <w:bCs/>
          <w:lang w:val="es-ES"/>
        </w:rPr>
        <w:t>“</w:t>
      </w:r>
      <w:r w:rsidRPr="00992E50">
        <w:rPr>
          <w:rFonts w:ascii="Verdana" w:eastAsia="Times New Roman" w:hAnsi="Verdana" w:cs="Arial"/>
          <w:lang w:val="es-ES"/>
        </w:rPr>
        <w:t>queda prohibida la contratación directa</w:t>
      </w:r>
      <w:r w:rsidRPr="00992E50">
        <w:rPr>
          <w:rFonts w:ascii="Verdana" w:hAnsi="Verdana" w:cs="Arial"/>
          <w:lang w:val="es-ES"/>
        </w:rPr>
        <w:t>”</w:t>
      </w:r>
      <w:r w:rsidRPr="00992E50">
        <w:rPr>
          <w:rFonts w:ascii="Verdana" w:eastAsia="Times New Roman" w:hAnsi="Verdana" w:cs="Arial"/>
          <w:lang w:val="es-ES"/>
        </w:rPr>
        <w:t xml:space="preserve">. </w:t>
      </w:r>
      <w:r w:rsidRPr="00992E50">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200298BC" w14:textId="77777777" w:rsidR="005C08F6" w:rsidRPr="00A04AF0" w:rsidRDefault="005C08F6" w:rsidP="003A5BBF">
      <w:pPr>
        <w:spacing w:after="0" w:line="276" w:lineRule="auto"/>
        <w:ind w:firstLine="709"/>
        <w:jc w:val="both"/>
        <w:rPr>
          <w:rFonts w:ascii="Verdana" w:eastAsia="Times New Roman" w:hAnsi="Verdana" w:cs="Arial"/>
          <w:lang w:val="es-ES" w:eastAsia="es-CO"/>
        </w:rPr>
      </w:pPr>
    </w:p>
    <w:p w14:paraId="6B8FFA8B" w14:textId="77777777" w:rsidR="00D82BC7" w:rsidRPr="00992E50" w:rsidRDefault="00D82BC7" w:rsidP="7A826F73">
      <w:pPr>
        <w:spacing w:after="0" w:line="240" w:lineRule="auto"/>
        <w:ind w:left="709" w:right="709"/>
        <w:jc w:val="both"/>
        <w:rPr>
          <w:rFonts w:ascii="Verdana" w:hAnsi="Verdana" w:cs="Arial"/>
          <w:sz w:val="20"/>
          <w:szCs w:val="20"/>
        </w:rPr>
      </w:pPr>
      <w:r w:rsidRPr="7A826F73">
        <w:rPr>
          <w:rFonts w:ascii="Verdana" w:hAnsi="Verdana" w:cs="Arial"/>
          <w:sz w:val="20"/>
          <w:szCs w:val="20"/>
        </w:rPr>
        <w:t xml:space="preserve">“(…) Esta Sala ha entendido </w:t>
      </w:r>
      <w:proofErr w:type="gramStart"/>
      <w:r w:rsidRPr="7A826F73">
        <w:rPr>
          <w:rFonts w:ascii="Verdana" w:hAnsi="Verdana" w:cs="Arial"/>
          <w:sz w:val="20"/>
          <w:szCs w:val="20"/>
        </w:rPr>
        <w:t>que</w:t>
      </w:r>
      <w:proofErr w:type="gramEnd"/>
      <w:r w:rsidRPr="7A826F73">
        <w:rPr>
          <w:rFonts w:ascii="Verdana" w:hAnsi="Verdana" w:cs="Arial"/>
          <w:sz w:val="20"/>
          <w:szCs w:val="20"/>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7A826F73">
        <w:rPr>
          <w:rFonts w:ascii="Verdana" w:eastAsia="Times New Roman" w:hAnsi="Verdana" w:cs="Arial"/>
          <w:sz w:val="20"/>
          <w:szCs w:val="20"/>
          <w:vertAlign w:val="superscript"/>
        </w:rPr>
        <w:footnoteReference w:id="10"/>
      </w:r>
      <w:r w:rsidRPr="7A826F73">
        <w:rPr>
          <w:rFonts w:ascii="Verdana" w:eastAsia="Times New Roman" w:hAnsi="Verdana" w:cs="Arial"/>
          <w:sz w:val="20"/>
          <w:szCs w:val="20"/>
          <w:vertAlign w:val="superscript"/>
        </w:rPr>
        <w:t>.</w:t>
      </w:r>
      <w:r w:rsidRPr="7A826F73">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7A826F73">
        <w:rPr>
          <w:rFonts w:ascii="Verdana" w:eastAsia="Times New Roman" w:hAnsi="Verdana" w:cs="Arial"/>
          <w:sz w:val="20"/>
          <w:szCs w:val="20"/>
          <w:vertAlign w:val="superscript"/>
          <w:lang w:eastAsia="es-CO"/>
        </w:rPr>
        <w:footnoteReference w:id="11"/>
      </w:r>
      <w:r w:rsidRPr="7A826F73">
        <w:rPr>
          <w:rFonts w:ascii="Verdana" w:hAnsi="Verdana" w:cs="Arial"/>
          <w:sz w:val="20"/>
          <w:szCs w:val="20"/>
        </w:rPr>
        <w:t>.</w:t>
      </w:r>
    </w:p>
    <w:p w14:paraId="0D8B922C" w14:textId="77777777" w:rsidR="00D82BC7" w:rsidRPr="00992E50" w:rsidRDefault="00D82BC7" w:rsidP="00D82BC7">
      <w:pPr>
        <w:shd w:val="clear" w:color="auto" w:fill="FFFFFF" w:themeFill="background1"/>
        <w:spacing w:after="0" w:line="240" w:lineRule="auto"/>
        <w:ind w:firstLine="709"/>
        <w:jc w:val="both"/>
        <w:rPr>
          <w:rFonts w:ascii="Verdana" w:eastAsia="Times New Roman" w:hAnsi="Verdana" w:cs="Arial"/>
          <w:lang w:val="es-ES" w:eastAsia="x-none"/>
        </w:rPr>
      </w:pPr>
    </w:p>
    <w:p w14:paraId="3E735636" w14:textId="77777777" w:rsidR="00D82BC7" w:rsidRPr="00992E50" w:rsidRDefault="00D82BC7" w:rsidP="00D82BC7">
      <w:pPr>
        <w:spacing w:after="120" w:line="276" w:lineRule="auto"/>
        <w:ind w:firstLine="708"/>
        <w:jc w:val="both"/>
        <w:rPr>
          <w:rFonts w:ascii="Verdana" w:eastAsia="Times New Roman" w:hAnsi="Verdana" w:cs="Arial"/>
          <w:bCs/>
          <w:lang w:val="es-ES" w:eastAsia="x-none"/>
        </w:rPr>
      </w:pPr>
      <w:r w:rsidRPr="00992E50">
        <w:rPr>
          <w:rFonts w:ascii="Verdana" w:eastAsia="Times New Roman" w:hAnsi="Verdana" w:cs="Arial"/>
          <w:lang w:val="es-ES" w:eastAsia="x-none"/>
        </w:rPr>
        <w:t xml:space="preserve">De acuerdo con este concepto, la prohibición del artículo 33 de la Ley de Garantías Electorales se refiere a </w:t>
      </w:r>
      <w:r w:rsidRPr="00992E50">
        <w:rPr>
          <w:rFonts w:ascii="Verdana" w:eastAsia="Times New Roman" w:hAnsi="Verdana" w:cs="Arial"/>
          <w:sz w:val="19"/>
          <w:szCs w:val="19"/>
          <w:lang w:val="es-ES" w:eastAsia="en-GB"/>
        </w:rPr>
        <w:t>“</w:t>
      </w:r>
      <w:r w:rsidRPr="00992E50">
        <w:rPr>
          <w:rFonts w:ascii="Verdana" w:eastAsia="Times New Roman" w:hAnsi="Verdana" w:cs="Arial"/>
          <w:lang w:val="es-ES" w:eastAsia="x-none"/>
        </w:rPr>
        <w:t>cualquier sistema que no implique convocatoria pública y posibilidad de pluralidad de oferentes</w:t>
      </w:r>
      <w:r w:rsidRPr="00992E50">
        <w:rPr>
          <w:rFonts w:ascii="Verdana" w:eastAsia="Times New Roman" w:hAnsi="Verdana" w:cs="Arial"/>
          <w:lang w:val="es-ES" w:eastAsia="en-GB"/>
        </w:rPr>
        <w:t>”</w:t>
      </w:r>
      <w:r w:rsidRPr="00992E50">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992E50">
        <w:rPr>
          <w:rFonts w:ascii="Verdana" w:eastAsia="Times New Roman" w:hAnsi="Verdana" w:cs="Arial"/>
          <w:lang w:val="es-ES"/>
        </w:rPr>
        <w:t>y la mínima cuantía</w:t>
      </w:r>
      <w:r w:rsidRPr="00992E50" w:rsidDel="00A85D9F">
        <w:rPr>
          <w:rFonts w:ascii="Verdana" w:eastAsia="Times New Roman" w:hAnsi="Verdana" w:cs="Arial"/>
          <w:lang w:val="es-ES" w:eastAsia="x-none"/>
        </w:rPr>
        <w:t xml:space="preserve"> </w:t>
      </w:r>
      <w:r w:rsidRPr="00992E50">
        <w:rPr>
          <w:rFonts w:ascii="Verdana" w:eastAsia="Times New Roman" w:hAnsi="Verdana" w:cs="Arial"/>
          <w:lang w:val="es-ES"/>
        </w:rPr>
        <w:t xml:space="preserve">u otros previstos en normas especiales. </w:t>
      </w:r>
      <w:r w:rsidRPr="00992E50">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992E50">
        <w:rPr>
          <w:rFonts w:ascii="Verdana" w:eastAsia="Times New Roman" w:hAnsi="Verdana" w:cs="Arial"/>
          <w:vertAlign w:val="superscript"/>
          <w:lang w:val="es-ES" w:eastAsia="x-none"/>
        </w:rPr>
        <w:footnoteReference w:id="12"/>
      </w:r>
      <w:r w:rsidRPr="00992E50">
        <w:rPr>
          <w:rFonts w:ascii="Verdana" w:eastAsia="Times New Roman" w:hAnsi="Verdana" w:cs="Arial"/>
          <w:lang w:val="es-ES" w:eastAsia="x-none"/>
        </w:rPr>
        <w:t xml:space="preserve"> y sistematizó las causales de contratación directa</w:t>
      </w:r>
      <w:r w:rsidRPr="00992E50">
        <w:rPr>
          <w:rFonts w:ascii="Verdana" w:eastAsia="Times New Roman" w:hAnsi="Verdana" w:cs="Arial"/>
          <w:vertAlign w:val="superscript"/>
          <w:lang w:val="es-ES" w:eastAsia="x-none"/>
        </w:rPr>
        <w:footnoteReference w:id="13"/>
      </w:r>
      <w:r w:rsidRPr="00992E50">
        <w:rPr>
          <w:rFonts w:ascii="Verdana" w:eastAsia="Times New Roman" w:hAnsi="Verdana" w:cs="Arial"/>
          <w:lang w:val="es-ES" w:eastAsia="x-none"/>
        </w:rPr>
        <w:t xml:space="preserve">, </w:t>
      </w:r>
      <w:r w:rsidRPr="00992E50">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69BF203E" w14:textId="77777777" w:rsidR="00D82BC7" w:rsidRPr="00992E50" w:rsidRDefault="00D82BC7" w:rsidP="00D82BC7">
      <w:pPr>
        <w:spacing w:after="120" w:line="276" w:lineRule="auto"/>
        <w:ind w:firstLine="708"/>
        <w:jc w:val="both"/>
        <w:rPr>
          <w:rFonts w:ascii="Verdana" w:eastAsia="Times New Roman" w:hAnsi="Verdana" w:cs="Arial"/>
          <w:bCs/>
          <w:lang w:val="es-ES" w:eastAsia="es-CO"/>
        </w:rPr>
      </w:pPr>
      <w:r w:rsidRPr="00992E50">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992E50">
        <w:rPr>
          <w:rFonts w:ascii="Verdana" w:eastAsia="Times New Roman" w:hAnsi="Verdana" w:cs="Arial"/>
          <w:bCs/>
          <w:i/>
          <w:iCs/>
          <w:lang w:val="es-ES" w:eastAsia="es-CO"/>
        </w:rPr>
        <w:t xml:space="preserve">, sino también frente a las entidades que tengan un </w:t>
      </w:r>
      <w:r w:rsidRPr="00992E50">
        <w:rPr>
          <w:rFonts w:ascii="Verdana" w:eastAsia="Times New Roman" w:hAnsi="Verdana" w:cs="Arial"/>
          <w:bCs/>
          <w:i/>
          <w:iCs/>
          <w:lang w:val="es-ES" w:eastAsia="es-CO"/>
        </w:rPr>
        <w:lastRenderedPageBreak/>
        <w:t>régimen especial de contratación</w:t>
      </w:r>
      <w:r w:rsidRPr="00992E50">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992E50">
        <w:rPr>
          <w:rFonts w:ascii="Verdana" w:eastAsia="Times New Roman" w:hAnsi="Verdana" w:cs="Arial"/>
          <w:lang w:val="es-ES"/>
        </w:rPr>
        <w:t xml:space="preserve">Así, para la prohibición o restricción temporal contenida en su artículo 33, “contratación directa” es </w:t>
      </w:r>
      <w:r w:rsidRPr="00992E50">
        <w:rPr>
          <w:rFonts w:ascii="Verdana" w:eastAsia="Times New Roman" w:hAnsi="Verdana" w:cs="Arial"/>
          <w:i/>
          <w:iCs/>
          <w:lang w:val="es-ES"/>
        </w:rPr>
        <w:t>cualquier</w:t>
      </w:r>
      <w:r w:rsidRPr="00992E50">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992E50">
        <w:rPr>
          <w:rFonts w:ascii="Verdana" w:eastAsia="Times New Roman" w:hAnsi="Verdana" w:cs="Arial"/>
          <w:vertAlign w:val="superscript"/>
          <w:lang w:val="es-ES" w:eastAsia="x-none"/>
        </w:rPr>
        <w:footnoteReference w:id="14"/>
      </w:r>
      <w:r w:rsidRPr="00992E50">
        <w:rPr>
          <w:rFonts w:ascii="Verdana" w:eastAsia="Times New Roman" w:hAnsi="Verdana" w:cs="Arial"/>
          <w:lang w:val="es-ES"/>
        </w:rPr>
        <w:t>.</w:t>
      </w:r>
      <w:r w:rsidRPr="00992E50">
        <w:rPr>
          <w:rFonts w:ascii="Verdana" w:eastAsia="Times New Roman" w:hAnsi="Verdana" w:cs="Arial"/>
          <w:vertAlign w:val="superscript"/>
          <w:lang w:val="es-ES" w:eastAsia="x-none"/>
        </w:rPr>
        <w:t xml:space="preserve"> </w:t>
      </w:r>
    </w:p>
    <w:p w14:paraId="6444E76D" w14:textId="77777777" w:rsidR="00D82BC7" w:rsidRDefault="00D82BC7" w:rsidP="00D82BC7">
      <w:pPr>
        <w:spacing w:after="120" w:line="276" w:lineRule="auto"/>
        <w:ind w:firstLine="708"/>
        <w:jc w:val="both"/>
        <w:rPr>
          <w:rFonts w:ascii="Verdana" w:eastAsia="Times New Roman" w:hAnsi="Verdana" w:cs="Arial"/>
          <w:lang w:val="es-ES"/>
        </w:rPr>
      </w:pPr>
      <w:r w:rsidRPr="00992E50">
        <w:rPr>
          <w:rFonts w:ascii="Verdana" w:eastAsia="Times New Roman" w:hAnsi="Verdana" w:cs="Arial"/>
          <w:lang w:val="es-ES"/>
        </w:rPr>
        <w:t xml:space="preserve">De lo anterior se desprende que la restricción aplica, sin perjuicio de las excepciones establecidas en la misma ley, para celebrar </w:t>
      </w:r>
      <w:r w:rsidRPr="00992E50">
        <w:rPr>
          <w:rFonts w:ascii="Verdana" w:eastAsia="Times New Roman" w:hAnsi="Verdana" w:cs="Arial"/>
          <w:i/>
          <w:iCs/>
          <w:lang w:val="es-ES"/>
        </w:rPr>
        <w:t>cualquier contrato o convenio de forma directa</w:t>
      </w:r>
      <w:r w:rsidRPr="00992E50">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26F38EF" w14:textId="4C6A94D0" w:rsidR="00D82BC7" w:rsidRDefault="00D82BC7" w:rsidP="001366A7">
      <w:pPr>
        <w:spacing w:after="0" w:line="276" w:lineRule="auto"/>
        <w:ind w:firstLine="709"/>
        <w:jc w:val="both"/>
        <w:rPr>
          <w:rFonts w:ascii="Verdana" w:eastAsia="Times New Roman" w:hAnsi="Verdana" w:cs="Arial"/>
          <w:lang w:val="es-ES"/>
        </w:rPr>
      </w:pPr>
      <w:r w:rsidRPr="00992E50">
        <w:rPr>
          <w:rFonts w:ascii="Verdana" w:eastAsia="Times New Roman" w:hAnsi="Verdana" w:cs="Arial"/>
          <w:bCs/>
          <w:lang w:val="es-ES" w:eastAsia="es-CO"/>
        </w:rPr>
        <w:t xml:space="preserve">Con respecto a los </w:t>
      </w:r>
      <w:r w:rsidRPr="00992E50">
        <w:rPr>
          <w:rFonts w:ascii="Verdana" w:eastAsia="Times New Roman" w:hAnsi="Verdana" w:cs="Arial"/>
          <w:bCs/>
          <w:i/>
          <w:iCs/>
          <w:lang w:val="es-ES" w:eastAsia="es-CO"/>
        </w:rPr>
        <w:t>sujetos</w:t>
      </w:r>
      <w:r w:rsidRPr="00992E50">
        <w:rPr>
          <w:rFonts w:ascii="Verdana" w:eastAsia="Times New Roman" w:hAnsi="Verdana" w:cs="Arial"/>
          <w:bCs/>
          <w:lang w:val="es-ES" w:eastAsia="es-CO"/>
        </w:rPr>
        <w:t xml:space="preserve"> que se encuentran enmarcados en la prohibición del artículo 33, </w:t>
      </w:r>
      <w:r w:rsidRPr="00992E50">
        <w:rPr>
          <w:rFonts w:ascii="Verdana" w:eastAsia="Times New Roman" w:hAnsi="Verdana" w:cs="Arial"/>
          <w:lang w:val="es-ES"/>
        </w:rPr>
        <w:t>la Ley 996 de 2005 señala expresamente que son “</w:t>
      </w:r>
      <w:r w:rsidRPr="00992E50">
        <w:rPr>
          <w:rFonts w:ascii="Verdana" w:eastAsia="Times New Roman" w:hAnsi="Verdana" w:cs="Arial"/>
          <w:i/>
          <w:iCs/>
          <w:u w:val="single"/>
          <w:lang w:val="es-ES"/>
        </w:rPr>
        <w:t>todos</w:t>
      </w:r>
      <w:r w:rsidRPr="00992E50">
        <w:rPr>
          <w:rFonts w:ascii="Verdana" w:eastAsia="Times New Roman" w:hAnsi="Verdana" w:cs="Arial"/>
          <w:i/>
          <w:iCs/>
          <w:lang w:val="es-ES"/>
        </w:rPr>
        <w:t xml:space="preserve"> los entes del Estado</w:t>
      </w:r>
      <w:r w:rsidRPr="00992E50">
        <w:rPr>
          <w:rFonts w:ascii="Verdana" w:eastAsia="Times New Roman" w:hAnsi="Verdana" w:cs="Arial"/>
          <w:lang w:val="es-ES"/>
        </w:rPr>
        <w:t xml:space="preserve">” </w:t>
      </w:r>
      <w:r>
        <w:rPr>
          <w:rFonts w:ascii="Verdana" w:eastAsia="Times New Roman" w:hAnsi="Verdana" w:cs="Arial"/>
          <w:lang w:val="es-ES"/>
        </w:rPr>
        <w:t>(</w:t>
      </w:r>
      <w:r w:rsidRPr="00992E50">
        <w:rPr>
          <w:rFonts w:ascii="Verdana" w:eastAsia="Times New Roman" w:hAnsi="Verdana" w:cs="Arial"/>
          <w:lang w:val="es-ES"/>
        </w:rPr>
        <w:t>énfasis propio</w:t>
      </w:r>
      <w:r>
        <w:rPr>
          <w:rFonts w:ascii="Verdana" w:eastAsia="Times New Roman" w:hAnsi="Verdana" w:cs="Arial"/>
          <w:lang w:val="es-ES"/>
        </w:rPr>
        <w:t>)</w:t>
      </w:r>
      <w:r w:rsidRPr="00992E50">
        <w:rPr>
          <w:rFonts w:ascii="Verdana" w:eastAsia="Times New Roman" w:hAnsi="Verdana" w:cs="Arial"/>
          <w:lang w:val="es-ES"/>
        </w:rPr>
        <w:t xml:space="preserve">. Al respecto la Sala </w:t>
      </w:r>
      <w:r>
        <w:rPr>
          <w:rFonts w:ascii="Verdana" w:eastAsia="Times New Roman" w:hAnsi="Verdana" w:cs="Arial"/>
          <w:lang w:val="es-ES"/>
        </w:rPr>
        <w:t>d</w:t>
      </w:r>
      <w:r w:rsidRPr="00992E50">
        <w:rPr>
          <w:rFonts w:ascii="Verdana" w:eastAsia="Times New Roman" w:hAnsi="Verdana" w:cs="Arial"/>
          <w:lang w:val="es-ES"/>
        </w:rPr>
        <w:t>e Consulta y Servicio Civil del Consejo de Estado señaló lo siguiente:</w:t>
      </w:r>
    </w:p>
    <w:p w14:paraId="2FDBD2FE" w14:textId="77777777" w:rsidR="001366A7" w:rsidRPr="00992E50" w:rsidRDefault="001366A7" w:rsidP="003A5BBF">
      <w:pPr>
        <w:spacing w:after="0" w:line="276" w:lineRule="auto"/>
        <w:ind w:firstLine="709"/>
        <w:jc w:val="both"/>
        <w:rPr>
          <w:rFonts w:ascii="Verdana" w:eastAsia="Times New Roman" w:hAnsi="Verdana" w:cs="Arial"/>
          <w:lang w:val="es-ES"/>
        </w:rPr>
      </w:pPr>
    </w:p>
    <w:p w14:paraId="3FE7F7B9" w14:textId="77777777" w:rsidR="00D82BC7" w:rsidRPr="00992E50" w:rsidRDefault="00D82BC7" w:rsidP="7A826F73">
      <w:pPr>
        <w:spacing w:after="0" w:line="240" w:lineRule="auto"/>
        <w:ind w:left="709" w:right="709"/>
        <w:jc w:val="both"/>
        <w:rPr>
          <w:rFonts w:ascii="Verdana" w:eastAsia="Times New Roman" w:hAnsi="Verdana" w:cs="Arial"/>
          <w:sz w:val="20"/>
          <w:szCs w:val="20"/>
          <w:lang w:eastAsia="es-CO"/>
        </w:rPr>
      </w:pPr>
      <w:r w:rsidRPr="7A826F73">
        <w:rPr>
          <w:rFonts w:ascii="Verdana" w:eastAsia="Times New Roman" w:hAnsi="Verdana" w:cs="Arial"/>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7A826F73">
        <w:rPr>
          <w:rFonts w:ascii="Verdana" w:eastAsia="Times New Roman" w:hAnsi="Verdana" w:cs="Arial"/>
          <w:sz w:val="20"/>
          <w:szCs w:val="20"/>
          <w:vertAlign w:val="superscript"/>
          <w:lang w:eastAsia="es-CO"/>
        </w:rPr>
        <w:footnoteReference w:id="15"/>
      </w:r>
      <w:r w:rsidRPr="7A826F73">
        <w:rPr>
          <w:rFonts w:ascii="Verdana" w:eastAsia="Times New Roman" w:hAnsi="Verdana" w:cs="Arial"/>
          <w:sz w:val="20"/>
          <w:szCs w:val="20"/>
          <w:lang w:eastAsia="es-CO"/>
        </w:rPr>
        <w:t>.</w:t>
      </w:r>
    </w:p>
    <w:p w14:paraId="41175850" w14:textId="77777777" w:rsidR="00D82BC7" w:rsidRPr="00992E50" w:rsidRDefault="00D82BC7" w:rsidP="00D82BC7">
      <w:pPr>
        <w:spacing w:after="0" w:line="240" w:lineRule="auto"/>
        <w:ind w:left="709" w:right="709"/>
        <w:jc w:val="both"/>
        <w:rPr>
          <w:rFonts w:ascii="Verdana" w:eastAsia="Times New Roman" w:hAnsi="Verdana" w:cs="Arial"/>
          <w:bCs/>
          <w:lang w:val="es-ES" w:eastAsia="es-CO"/>
        </w:rPr>
      </w:pPr>
    </w:p>
    <w:p w14:paraId="37A3C250" w14:textId="77777777" w:rsidR="00D82BC7" w:rsidRPr="003A5BBF" w:rsidRDefault="00D82BC7" w:rsidP="001366A7">
      <w:pPr>
        <w:spacing w:after="120" w:line="276" w:lineRule="auto"/>
        <w:ind w:firstLine="708"/>
        <w:jc w:val="both"/>
        <w:rPr>
          <w:rFonts w:ascii="Verdana" w:hAnsi="Verdana" w:cs="Arial"/>
          <w:bCs/>
          <w:lang w:val="es-ES" w:eastAsia="es-CO"/>
        </w:rPr>
      </w:pPr>
      <w:r w:rsidRPr="001366A7">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A753B6">
        <w:rPr>
          <w:rFonts w:ascii="Verdana" w:hAnsi="Verdana"/>
          <w:lang w:val="es-ES"/>
        </w:rPr>
        <w:t xml:space="preserve"> </w:t>
      </w:r>
      <w:r w:rsidRPr="009D2B32">
        <w:rPr>
          <w:rFonts w:ascii="Verdana" w:hAnsi="Verdana" w:cs="Arial"/>
          <w:bCs/>
          <w:lang w:val="es-ES" w:eastAsia="x-none"/>
        </w:rPr>
        <w:t>En efecto, tal como lo ha sostenido el Consejo de Estado, el vocablo “todos” utilizado por el legislador comprende</w:t>
      </w:r>
      <w:r w:rsidRPr="000754E8">
        <w:rPr>
          <w:rFonts w:ascii="Verdana" w:hAnsi="Verdana"/>
          <w:lang w:val="es-ES"/>
        </w:rPr>
        <w:t xml:space="preserve"> </w:t>
      </w:r>
      <w:r w:rsidRPr="001366A7">
        <w:rPr>
          <w:rFonts w:ascii="Verdana" w:hAnsi="Verdana" w:cs="Arial"/>
          <w:bCs/>
          <w:lang w:val="es-ES" w:eastAsia="x-none"/>
        </w:rPr>
        <w:t xml:space="preserve">a la totalidad de los entes del Estado, sin distinción del régimen </w:t>
      </w:r>
      <w:r w:rsidRPr="001366A7">
        <w:rPr>
          <w:rFonts w:ascii="Verdana" w:hAnsi="Verdana" w:cs="Arial"/>
          <w:bCs/>
          <w:lang w:val="es-ES" w:eastAsia="x-none"/>
        </w:rPr>
        <w:lastRenderedPageBreak/>
        <w:t>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3A5BBF">
        <w:rPr>
          <w:rFonts w:ascii="Verdana" w:hAnsi="Verdana" w:cs="Arial"/>
          <w:bCs/>
          <w:vertAlign w:val="superscript"/>
          <w:lang w:val="es-ES" w:eastAsia="x-none"/>
        </w:rPr>
        <w:footnoteReference w:id="16"/>
      </w:r>
      <w:r w:rsidRPr="003A5BBF">
        <w:rPr>
          <w:rFonts w:ascii="Verdana" w:hAnsi="Verdana" w:cs="Arial"/>
          <w:bCs/>
          <w:lang w:val="es-ES" w:eastAsia="x-none"/>
        </w:rPr>
        <w:t>.</w:t>
      </w:r>
      <w:r w:rsidRPr="003A5BBF">
        <w:rPr>
          <w:rFonts w:ascii="Verdana" w:hAnsi="Verdana" w:cs="Arial"/>
          <w:bCs/>
          <w:lang w:val="es-ES" w:eastAsia="es-CO"/>
        </w:rPr>
        <w:t>”</w:t>
      </w:r>
    </w:p>
    <w:p w14:paraId="20625B52" w14:textId="7C3A65DD" w:rsidR="00D82BC7" w:rsidRPr="001366A7" w:rsidRDefault="00D82BC7" w:rsidP="00A753B6">
      <w:pPr>
        <w:spacing w:after="120" w:line="276" w:lineRule="auto"/>
        <w:ind w:firstLine="709"/>
        <w:jc w:val="both"/>
        <w:rPr>
          <w:rFonts w:ascii="Verdana" w:eastAsia="Arial" w:hAnsi="Verdana" w:cs="Arial"/>
          <w:bCs/>
          <w:color w:val="000000" w:themeColor="text1"/>
          <w:lang w:val="es-ES"/>
        </w:rPr>
      </w:pPr>
      <w:r w:rsidRPr="001366A7">
        <w:rPr>
          <w:rFonts w:ascii="Verdana" w:eastAsia="Arial" w:hAnsi="Verdana" w:cs="Arial"/>
          <w:color w:val="000000" w:themeColor="text1"/>
          <w:lang w:val="es-ES"/>
        </w:rPr>
        <w:t xml:space="preserve">Por lo tanto, la restricción del artículo 33 prevista en la Ley 996 de 2005, teniendo en cuenta la finalidad de la </w:t>
      </w:r>
      <w:r w:rsidR="001366A7" w:rsidRPr="001366A7">
        <w:rPr>
          <w:rFonts w:ascii="Verdana" w:eastAsia="Arial" w:hAnsi="Verdana" w:cs="Arial"/>
          <w:color w:val="000000" w:themeColor="text1"/>
          <w:lang w:val="es-ES"/>
        </w:rPr>
        <w:t>L</w:t>
      </w:r>
      <w:r w:rsidRPr="001366A7">
        <w:rPr>
          <w:rFonts w:ascii="Verdana" w:eastAsia="Arial" w:hAnsi="Verdana" w:cs="Arial"/>
          <w:color w:val="000000" w:themeColor="text1"/>
          <w:lang w:val="es-ES"/>
        </w:rPr>
        <w:t xml:space="preserve">ey de </w:t>
      </w:r>
      <w:r w:rsidR="001366A7" w:rsidRPr="001366A7">
        <w:rPr>
          <w:rFonts w:ascii="Verdana" w:eastAsia="Arial" w:hAnsi="Verdana" w:cs="Arial"/>
          <w:color w:val="000000" w:themeColor="text1"/>
          <w:lang w:val="es-ES"/>
        </w:rPr>
        <w:t>G</w:t>
      </w:r>
      <w:r w:rsidRPr="001366A7">
        <w:rPr>
          <w:rFonts w:ascii="Verdana" w:eastAsia="Arial" w:hAnsi="Verdana" w:cs="Arial"/>
          <w:color w:val="000000" w:themeColor="text1"/>
          <w:lang w:val="es-ES"/>
        </w:rPr>
        <w:t xml:space="preserve">arantías </w:t>
      </w:r>
      <w:r w:rsidR="001366A7" w:rsidRPr="001366A7">
        <w:rPr>
          <w:rFonts w:ascii="Verdana" w:eastAsia="Arial" w:hAnsi="Verdana" w:cs="Arial"/>
          <w:color w:val="000000" w:themeColor="text1"/>
          <w:lang w:val="es-ES"/>
        </w:rPr>
        <w:t>E</w:t>
      </w:r>
      <w:r w:rsidRPr="001366A7">
        <w:rPr>
          <w:rFonts w:ascii="Verdana" w:eastAsia="Arial" w:hAnsi="Verdana" w:cs="Arial"/>
          <w:color w:val="000000" w:themeColor="text1"/>
          <w:lang w:val="es-ES"/>
        </w:rPr>
        <w:t>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42BE3BC6" w14:textId="77777777" w:rsidR="001366A7" w:rsidRPr="001366A7" w:rsidRDefault="00D82BC7">
      <w:pPr>
        <w:spacing w:after="120" w:line="276" w:lineRule="auto"/>
        <w:ind w:firstLine="709"/>
        <w:jc w:val="both"/>
        <w:rPr>
          <w:rFonts w:ascii="Verdana" w:hAnsi="Verdana" w:cs="Arial"/>
          <w:bCs/>
          <w:color w:val="000000" w:themeColor="text1"/>
          <w:lang w:val="es-ES"/>
        </w:rPr>
      </w:pPr>
      <w:r w:rsidRPr="001366A7">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1366A7">
        <w:rPr>
          <w:rFonts w:ascii="Verdana" w:hAnsi="Verdana" w:cs="Arial"/>
          <w:bCs/>
          <w:color w:val="000000" w:themeColor="text1"/>
          <w:lang w:val="es-ES"/>
        </w:rPr>
        <w:t xml:space="preserve">el segundo inciso de la misma disposición consagró las excepciones aplicables a la prohibición de contratación directa establecida en el mismo artículo. </w:t>
      </w:r>
    </w:p>
    <w:p w14:paraId="78560D9C" w14:textId="2CD35706" w:rsidR="00D82BC7" w:rsidRPr="001366A7" w:rsidRDefault="00D82BC7">
      <w:pPr>
        <w:spacing w:after="120" w:line="276" w:lineRule="auto"/>
        <w:ind w:firstLine="709"/>
        <w:jc w:val="both"/>
        <w:rPr>
          <w:rFonts w:ascii="Verdana" w:hAnsi="Verdana" w:cs="Arial"/>
          <w:bCs/>
          <w:color w:val="000000" w:themeColor="text1"/>
          <w:lang w:val="es-ES"/>
        </w:rPr>
      </w:pPr>
      <w:r w:rsidRPr="001366A7">
        <w:rPr>
          <w:rFonts w:ascii="Verdana" w:hAnsi="Verdana" w:cs="Arial"/>
          <w:bCs/>
          <w:color w:val="000000" w:themeColor="text1"/>
          <w:lang w:val="es-ES"/>
        </w:rPr>
        <w:t>Como se indicó, las excepciones a la prohibición del artículo 33 de la norma mencionada son las siguientes:</w:t>
      </w:r>
    </w:p>
    <w:p w14:paraId="18551C0D" w14:textId="77777777" w:rsidR="00D82BC7" w:rsidRPr="001366A7" w:rsidRDefault="00D82BC7">
      <w:pPr>
        <w:tabs>
          <w:tab w:val="left" w:pos="709"/>
        </w:tabs>
        <w:spacing w:before="120" w:line="276" w:lineRule="auto"/>
        <w:jc w:val="both"/>
        <w:rPr>
          <w:rFonts w:ascii="Verdana" w:hAnsi="Verdana" w:cs="Arial"/>
          <w:bCs/>
          <w:color w:val="000000" w:themeColor="text1"/>
          <w:lang w:val="es-ES"/>
        </w:rPr>
      </w:pPr>
      <w:r w:rsidRPr="001366A7">
        <w:rPr>
          <w:rFonts w:ascii="Verdana" w:hAnsi="Verdana" w:cs="Arial"/>
          <w:bCs/>
          <w:color w:val="000000" w:themeColor="text1"/>
          <w:lang w:val="es-ES"/>
        </w:rPr>
        <w:tab/>
        <w:t>1) La contratación referente a la defensa y seguridad del Estado;</w:t>
      </w:r>
    </w:p>
    <w:p w14:paraId="1421D44D" w14:textId="77777777" w:rsidR="00D82BC7" w:rsidRPr="001366A7" w:rsidRDefault="00D82BC7">
      <w:pPr>
        <w:tabs>
          <w:tab w:val="left" w:pos="709"/>
        </w:tabs>
        <w:spacing w:before="120" w:line="276" w:lineRule="auto"/>
        <w:jc w:val="both"/>
        <w:rPr>
          <w:rFonts w:ascii="Verdana" w:hAnsi="Verdana" w:cs="Arial"/>
          <w:bCs/>
          <w:color w:val="000000" w:themeColor="text1"/>
          <w:lang w:val="es-ES"/>
        </w:rPr>
      </w:pPr>
      <w:r w:rsidRPr="001366A7">
        <w:rPr>
          <w:rFonts w:ascii="Verdana" w:hAnsi="Verdana" w:cs="Arial"/>
          <w:bCs/>
          <w:color w:val="000000" w:themeColor="text1"/>
          <w:lang w:val="es-ES"/>
        </w:rPr>
        <w:tab/>
        <w:t>2) Los contratos de crédito público;</w:t>
      </w:r>
    </w:p>
    <w:p w14:paraId="70DA3C93" w14:textId="77777777" w:rsidR="00D82BC7" w:rsidRPr="001366A7" w:rsidRDefault="00D82BC7">
      <w:pPr>
        <w:tabs>
          <w:tab w:val="left" w:pos="709"/>
        </w:tabs>
        <w:spacing w:before="120" w:line="276" w:lineRule="auto"/>
        <w:jc w:val="both"/>
        <w:rPr>
          <w:rFonts w:ascii="Verdana" w:hAnsi="Verdana" w:cs="Arial"/>
          <w:bCs/>
          <w:color w:val="000000" w:themeColor="text1"/>
          <w:lang w:val="es-ES"/>
        </w:rPr>
      </w:pPr>
      <w:r w:rsidRPr="001366A7">
        <w:rPr>
          <w:rFonts w:ascii="Verdana" w:hAnsi="Verdana" w:cs="Arial"/>
          <w:bCs/>
          <w:color w:val="000000" w:themeColor="text1"/>
          <w:lang w:val="es-ES"/>
        </w:rPr>
        <w:tab/>
        <w:t xml:space="preserve">3) Los contratos requeridos para cubrir las emergencias educativas, sanitarias y desastres; </w:t>
      </w:r>
    </w:p>
    <w:p w14:paraId="7F52D2DA" w14:textId="77777777" w:rsidR="00D82BC7" w:rsidRPr="001366A7" w:rsidRDefault="00D82BC7">
      <w:pPr>
        <w:tabs>
          <w:tab w:val="left" w:pos="709"/>
        </w:tabs>
        <w:spacing w:before="120" w:line="276" w:lineRule="auto"/>
        <w:jc w:val="both"/>
        <w:rPr>
          <w:rFonts w:ascii="Verdana" w:hAnsi="Verdana" w:cs="Arial"/>
          <w:bCs/>
          <w:color w:val="000000" w:themeColor="text1"/>
          <w:lang w:val="es-ES"/>
        </w:rPr>
      </w:pPr>
      <w:r w:rsidRPr="001366A7">
        <w:rPr>
          <w:rFonts w:ascii="Verdana" w:hAnsi="Verdana" w:cs="Arial"/>
          <w:bCs/>
          <w:color w:val="000000" w:themeColor="text1"/>
          <w:lang w:val="es-ES"/>
        </w:rPr>
        <w:tab/>
        <w:t xml:space="preserve">4) La contratación para la reconstrucción de vías, puentes, carreteras, infraestructura energética y de comunicaciones, en caso de que hayan sido </w:t>
      </w:r>
      <w:r w:rsidRPr="001366A7">
        <w:rPr>
          <w:rFonts w:ascii="Verdana" w:hAnsi="Verdana" w:cs="Arial"/>
          <w:bCs/>
          <w:color w:val="000000" w:themeColor="text1"/>
          <w:lang w:val="es-ES"/>
        </w:rPr>
        <w:lastRenderedPageBreak/>
        <w:t>objeto de atentados, acciones terroristas, desastres naturales o casos de fuerza mayor y;</w:t>
      </w:r>
    </w:p>
    <w:p w14:paraId="276FF45A" w14:textId="77777777" w:rsidR="00D82BC7" w:rsidRPr="003A5BBF" w:rsidRDefault="00D82BC7">
      <w:pPr>
        <w:tabs>
          <w:tab w:val="left" w:pos="709"/>
        </w:tabs>
        <w:spacing w:before="120" w:line="276" w:lineRule="auto"/>
        <w:jc w:val="both"/>
        <w:rPr>
          <w:rFonts w:ascii="Verdana" w:hAnsi="Verdana" w:cs="Arial"/>
          <w:bCs/>
          <w:i/>
          <w:iCs/>
          <w:color w:val="000000" w:themeColor="text1"/>
          <w:lang w:val="es-ES"/>
        </w:rPr>
      </w:pPr>
      <w:r w:rsidRPr="001366A7">
        <w:rPr>
          <w:rFonts w:ascii="Verdana" w:hAnsi="Verdana" w:cs="Arial"/>
          <w:bCs/>
          <w:color w:val="000000" w:themeColor="text1"/>
          <w:lang w:val="es-ES"/>
        </w:rPr>
        <w:tab/>
      </w:r>
      <w:r w:rsidRPr="003A5BBF">
        <w:rPr>
          <w:rFonts w:ascii="Verdana" w:hAnsi="Verdana" w:cs="Arial"/>
          <w:bCs/>
          <w:i/>
          <w:iCs/>
          <w:color w:val="000000" w:themeColor="text1"/>
          <w:lang w:val="es-ES"/>
        </w:rPr>
        <w:t xml:space="preserve">5) La contratación que deban realizar las entidades sanitarias y hospitalarias. </w:t>
      </w:r>
    </w:p>
    <w:p w14:paraId="0CFDDD9E" w14:textId="50D40C2E" w:rsidR="00D82BC7" w:rsidRDefault="00D82BC7" w:rsidP="001366A7">
      <w:pPr>
        <w:tabs>
          <w:tab w:val="left" w:pos="426"/>
        </w:tabs>
        <w:spacing w:before="120" w:after="0" w:line="276" w:lineRule="auto"/>
        <w:ind w:firstLine="709"/>
        <w:jc w:val="both"/>
        <w:rPr>
          <w:rFonts w:ascii="Verdana" w:hAnsi="Verdana" w:cs="Arial"/>
          <w:bCs/>
          <w:color w:val="000000" w:themeColor="text1"/>
          <w:lang w:val="es-ES"/>
        </w:rPr>
      </w:pPr>
      <w:r w:rsidRPr="00992E50">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71E41215" w14:textId="77777777" w:rsidR="001366A7" w:rsidRPr="00992E50" w:rsidRDefault="001366A7" w:rsidP="003A5BBF">
      <w:pPr>
        <w:tabs>
          <w:tab w:val="left" w:pos="426"/>
        </w:tabs>
        <w:spacing w:after="0" w:line="276" w:lineRule="auto"/>
        <w:ind w:firstLine="709"/>
        <w:jc w:val="both"/>
        <w:rPr>
          <w:rFonts w:ascii="Verdana" w:hAnsi="Verdana" w:cs="Arial"/>
          <w:bCs/>
          <w:color w:val="000000" w:themeColor="text1"/>
          <w:lang w:val="es-ES"/>
        </w:rPr>
      </w:pPr>
    </w:p>
    <w:p w14:paraId="022B9D5E" w14:textId="77777777" w:rsidR="00D82BC7" w:rsidRPr="00992E50" w:rsidRDefault="00D82BC7" w:rsidP="7A826F73">
      <w:pPr>
        <w:shd w:val="clear" w:color="auto" w:fill="FFFFFF" w:themeFill="background1"/>
        <w:spacing w:after="0" w:line="240" w:lineRule="auto"/>
        <w:ind w:left="709" w:right="709"/>
        <w:jc w:val="both"/>
        <w:rPr>
          <w:rFonts w:ascii="Verdana" w:hAnsi="Verdana" w:cs="Arial"/>
          <w:color w:val="000000" w:themeColor="text1"/>
          <w:sz w:val="20"/>
          <w:szCs w:val="20"/>
          <w:lang w:eastAsia="es-CO"/>
        </w:rPr>
      </w:pPr>
      <w:r w:rsidRPr="7A826F73">
        <w:rPr>
          <w:rFonts w:ascii="Verdana" w:hAnsi="Verdana" w:cs="Arial"/>
          <w:color w:val="000000" w:themeColor="text1"/>
          <w:sz w:val="20"/>
          <w:szCs w:val="20"/>
          <w:lang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7A826F73">
        <w:rPr>
          <w:rFonts w:ascii="Verdana" w:hAnsi="Verdana" w:cs="Arial"/>
          <w:color w:val="000000" w:themeColor="text1"/>
          <w:sz w:val="20"/>
          <w:szCs w:val="20"/>
          <w:vertAlign w:val="superscript"/>
          <w:lang w:eastAsia="es-CO"/>
        </w:rPr>
        <w:footnoteReference w:id="17"/>
      </w:r>
      <w:r w:rsidRPr="7A826F73">
        <w:rPr>
          <w:rFonts w:ascii="Verdana" w:hAnsi="Verdana" w:cs="Arial"/>
          <w:color w:val="000000" w:themeColor="text1"/>
          <w:sz w:val="20"/>
          <w:szCs w:val="20"/>
          <w:lang w:eastAsia="es-CO"/>
        </w:rPr>
        <w:t xml:space="preserve">”. </w:t>
      </w:r>
    </w:p>
    <w:p w14:paraId="5E40BDA5" w14:textId="77777777" w:rsidR="00D82BC7" w:rsidRPr="003A5BBF" w:rsidRDefault="00D82BC7" w:rsidP="001366A7">
      <w:pPr>
        <w:shd w:val="clear" w:color="auto" w:fill="FFFFFF"/>
        <w:spacing w:after="0" w:line="240" w:lineRule="auto"/>
        <w:ind w:left="709" w:right="709"/>
        <w:jc w:val="both"/>
        <w:rPr>
          <w:rFonts w:ascii="Verdana" w:hAnsi="Verdana" w:cs="Arial"/>
          <w:color w:val="000000" w:themeColor="text1"/>
          <w:lang w:val="es-ES" w:eastAsia="es-CO"/>
        </w:rPr>
      </w:pPr>
    </w:p>
    <w:p w14:paraId="74B83A02" w14:textId="44FD52C9" w:rsidR="00D82BC7" w:rsidRPr="00992E50" w:rsidRDefault="00D82BC7" w:rsidP="003A5BBF">
      <w:pPr>
        <w:tabs>
          <w:tab w:val="left" w:pos="426"/>
        </w:tabs>
        <w:spacing w:after="120" w:line="276" w:lineRule="auto"/>
        <w:ind w:firstLine="709"/>
        <w:jc w:val="both"/>
        <w:rPr>
          <w:rFonts w:ascii="Verdana" w:hAnsi="Verdana" w:cs="Arial"/>
          <w:color w:val="000000" w:themeColor="text1"/>
          <w:shd w:val="clear" w:color="auto" w:fill="FFFFFF"/>
        </w:rPr>
      </w:pPr>
      <w:r w:rsidRPr="7A826F73">
        <w:rPr>
          <w:rFonts w:ascii="Verdana" w:hAnsi="Verdana" w:cs="Arial"/>
          <w:color w:val="000000" w:themeColor="text1"/>
        </w:rPr>
        <w:t xml:space="preserve">Por tanto, las excepciones a la prohibición contenida en el inciso segundo de artículo 33 de la </w:t>
      </w:r>
      <w:r w:rsidR="00E933A3" w:rsidRPr="7A826F73">
        <w:rPr>
          <w:rFonts w:ascii="Verdana" w:hAnsi="Verdana" w:cs="Arial"/>
          <w:color w:val="000000" w:themeColor="text1"/>
        </w:rPr>
        <w:t>L</w:t>
      </w:r>
      <w:r w:rsidRPr="7A826F73">
        <w:rPr>
          <w:rFonts w:ascii="Verdana" w:hAnsi="Verdana" w:cs="Arial"/>
          <w:color w:val="000000" w:themeColor="text1"/>
        </w:rPr>
        <w:t xml:space="preserve">ey de </w:t>
      </w:r>
      <w:r w:rsidR="00E933A3" w:rsidRPr="7A826F73">
        <w:rPr>
          <w:rFonts w:ascii="Verdana" w:hAnsi="Verdana" w:cs="Arial"/>
          <w:color w:val="000000" w:themeColor="text1"/>
        </w:rPr>
        <w:t>G</w:t>
      </w:r>
      <w:r w:rsidRPr="7A826F73">
        <w:rPr>
          <w:rFonts w:ascii="Verdana" w:hAnsi="Verdana" w:cs="Arial"/>
          <w:color w:val="000000" w:themeColor="text1"/>
        </w:rPr>
        <w:t xml:space="preserve">arantías </w:t>
      </w:r>
      <w:r w:rsidR="00E933A3" w:rsidRPr="7A826F73">
        <w:rPr>
          <w:rFonts w:ascii="Verdana" w:hAnsi="Verdana" w:cs="Arial"/>
          <w:color w:val="000000" w:themeColor="text1"/>
        </w:rPr>
        <w:t>E</w:t>
      </w:r>
      <w:r w:rsidRPr="7A826F73">
        <w:rPr>
          <w:rFonts w:ascii="Verdana" w:hAnsi="Verdana" w:cs="Arial"/>
          <w:color w:val="000000" w:themeColor="text1"/>
        </w:rPr>
        <w:t xml:space="preserv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 mencionó las excepciones a la prohibición del artículo 33 de la Ley de Garantías Electorales, resaltando su carácter taxativo, y señalando la independencia de los supuestos, así: “(…) </w:t>
      </w:r>
      <w:r w:rsidRPr="7A826F73">
        <w:rPr>
          <w:rFonts w:ascii="Verdana" w:hAnsi="Verdana" w:cs="Arial"/>
          <w:i/>
          <w:iCs/>
          <w:color w:val="000000" w:themeColor="text1"/>
        </w:rPr>
        <w:t xml:space="preserve">Las excepciones aplicables a la restricción de contratación pública. </w:t>
      </w:r>
      <w:r w:rsidRPr="7A826F73">
        <w:rPr>
          <w:rFonts w:ascii="Verdana" w:hAnsi="Verdana" w:cs="Arial"/>
          <w:color w:val="000000" w:themeColor="text1"/>
          <w:shd w:val="clear" w:color="auto" w:fill="FFFFFF"/>
        </w:rPr>
        <w:t>Ahora bien, las únicas excepciones a las disposiciones previstas en la Ley de Garantías se encuentran numeradas taxativamente en el último inciso del artículo 33 de la ley 996 de 2005 (…)”</w:t>
      </w:r>
      <w:r w:rsidRPr="7A826F73">
        <w:rPr>
          <w:rFonts w:ascii="Verdana" w:hAnsi="Verdana" w:cs="Arial"/>
          <w:color w:val="000000" w:themeColor="text1"/>
          <w:shd w:val="clear" w:color="auto" w:fill="FFFFFF"/>
          <w:vertAlign w:val="superscript"/>
        </w:rPr>
        <w:footnoteReference w:id="18"/>
      </w:r>
      <w:r w:rsidRPr="7A826F73">
        <w:rPr>
          <w:rFonts w:ascii="Verdana" w:hAnsi="Verdana" w:cs="Arial"/>
          <w:color w:val="000000" w:themeColor="text1"/>
          <w:shd w:val="clear" w:color="auto" w:fill="FFFFFF"/>
        </w:rPr>
        <w:t>.</w:t>
      </w:r>
    </w:p>
    <w:p w14:paraId="5A96521D" w14:textId="77777777" w:rsidR="00D82BC7" w:rsidRPr="00992E50" w:rsidRDefault="00D82BC7" w:rsidP="00D82BC7">
      <w:pPr>
        <w:tabs>
          <w:tab w:val="left" w:pos="426"/>
        </w:tabs>
        <w:spacing w:after="120" w:line="276" w:lineRule="auto"/>
        <w:ind w:firstLine="709"/>
        <w:jc w:val="both"/>
        <w:rPr>
          <w:rFonts w:ascii="Verdana" w:hAnsi="Verdana" w:cs="Arial"/>
          <w:bCs/>
          <w:color w:val="000000" w:themeColor="text1"/>
          <w:lang w:val="es-ES"/>
        </w:rPr>
      </w:pPr>
      <w:r w:rsidRPr="00992E50">
        <w:rPr>
          <w:rFonts w:ascii="Verdana" w:hAnsi="Verdana" w:cs="Arial"/>
          <w:bCs/>
          <w:color w:val="000000" w:themeColor="text1"/>
          <w:lang w:val="es-ES"/>
        </w:rPr>
        <w:t xml:space="preserve">Lo anterior implica que las excepciones al artículo 33 en comento deben interpretarse y aplicarse de manera </w:t>
      </w:r>
      <w:r w:rsidRPr="00992E50">
        <w:rPr>
          <w:rFonts w:ascii="Verdana" w:hAnsi="Verdana" w:cs="Arial"/>
          <w:bCs/>
          <w:i/>
          <w:iCs/>
          <w:color w:val="000000" w:themeColor="text1"/>
          <w:lang w:val="es-ES"/>
        </w:rPr>
        <w:t>estricta</w:t>
      </w:r>
      <w:r w:rsidRPr="00992E50">
        <w:rPr>
          <w:rFonts w:ascii="Verdana" w:hAnsi="Verdana" w:cs="Arial"/>
          <w:bCs/>
          <w:color w:val="000000" w:themeColor="text1"/>
          <w:lang w:val="es-ES"/>
        </w:rPr>
        <w:t>. En otras palabras, no es factible hacer interpretaciones extensivas</w:t>
      </w:r>
      <w:r w:rsidRPr="00992E50">
        <w:rPr>
          <w:rFonts w:ascii="Verdana" w:hAnsi="Verdana" w:cs="Arial"/>
          <w:bCs/>
          <w:i/>
          <w:iCs/>
          <w:color w:val="000000" w:themeColor="text1"/>
          <w:lang w:val="es-ES"/>
        </w:rPr>
        <w:t xml:space="preserve"> </w:t>
      </w:r>
      <w:r w:rsidRPr="00992E50">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3D9183F" w14:textId="77777777" w:rsidR="00D82BC7" w:rsidRPr="0057193B" w:rsidRDefault="00D82BC7" w:rsidP="00D82BC7">
      <w:pPr>
        <w:spacing w:after="120" w:line="276" w:lineRule="auto"/>
        <w:ind w:firstLine="708"/>
        <w:jc w:val="both"/>
        <w:rPr>
          <w:rFonts w:ascii="Verdana" w:eastAsia="Times New Roman" w:hAnsi="Verdana" w:cs="Arial"/>
          <w:bCs/>
          <w:lang w:val="es-MX" w:eastAsia="es-CO"/>
        </w:rPr>
      </w:pPr>
      <w:r w:rsidRPr="3A5322BA">
        <w:rPr>
          <w:rFonts w:ascii="Verdana" w:eastAsia="Times New Roman" w:hAnsi="Verdana" w:cs="Arial"/>
          <w:lang w:val="es-MX" w:eastAsia="es-CO"/>
        </w:rPr>
        <w:lastRenderedPageBreak/>
        <w:t>Conforme a las anteriores excepciones, es</w:t>
      </w:r>
      <w:r w:rsidRPr="0057193B">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A841070" w14:textId="77777777" w:rsidR="00D82BC7" w:rsidRDefault="00D82BC7" w:rsidP="00D82BC7">
      <w:pPr>
        <w:spacing w:after="120" w:line="276" w:lineRule="auto"/>
        <w:ind w:firstLine="709"/>
        <w:jc w:val="both"/>
        <w:rPr>
          <w:rFonts w:ascii="Verdana" w:eastAsia="Times New Roman" w:hAnsi="Verdana" w:cs="Arial"/>
          <w:lang w:val="es-MX"/>
        </w:rPr>
      </w:pPr>
      <w:r w:rsidRPr="3A5322BA">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57193B">
        <w:rPr>
          <w:rFonts w:ascii="Verdana" w:eastAsia="Calibri" w:hAnsi="Verdana" w:cs="Arial"/>
          <w:vertAlign w:val="superscript"/>
          <w:lang w:val="es-MX"/>
        </w:rPr>
        <w:footnoteReference w:id="19"/>
      </w:r>
      <w:r w:rsidRPr="3A5322BA">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7777393" w14:textId="77777777" w:rsidR="00D82BC7" w:rsidRPr="005F5922" w:rsidRDefault="00D82BC7" w:rsidP="00D82BC7">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En este punto, es pertinente analizar el quinto evento</w:t>
      </w:r>
      <w:r w:rsidRPr="3A5322BA">
        <w:rPr>
          <w:rFonts w:ascii="Verdana" w:hAnsi="Verdana" w:cs="Arial"/>
          <w:i/>
          <w:iCs/>
          <w:color w:val="000000" w:themeColor="text1"/>
          <w:lang w:val="es-ES"/>
        </w:rPr>
        <w:t xml:space="preserve"> </w:t>
      </w:r>
      <w:r w:rsidRPr="3A5322BA">
        <w:rPr>
          <w:rFonts w:ascii="Verdana" w:hAnsi="Verdana" w:cs="Arial"/>
          <w:color w:val="000000" w:themeColor="text1"/>
          <w:lang w:val="es-ES"/>
        </w:rPr>
        <w:t>exceptuado de la prohibición, relacionado con la contratación por parte de las entidades sanitarias y hospitalarias</w:t>
      </w:r>
      <w:r>
        <w:rPr>
          <w:rFonts w:ascii="Verdana" w:hAnsi="Verdana" w:cs="Arial"/>
          <w:color w:val="000000" w:themeColor="text1"/>
          <w:lang w:val="es-ES"/>
        </w:rPr>
        <w:t xml:space="preserve">, </w:t>
      </w:r>
      <w:r w:rsidRPr="00504F23">
        <w:rPr>
          <w:rFonts w:ascii="Verdana" w:hAnsi="Verdana" w:cs="Arial"/>
          <w:color w:val="000000" w:themeColor="text1"/>
        </w:rPr>
        <w:t>a efectos de determinar si la excepción referida es aplicable a los contratos suscritos por las Empresas Sociales del Estado –ESE</w:t>
      </w:r>
      <w:r>
        <w:rPr>
          <w:rFonts w:ascii="Verdana" w:hAnsi="Verdana" w:cs="Arial"/>
          <w:color w:val="000000" w:themeColor="text1"/>
        </w:rPr>
        <w:t>-</w:t>
      </w:r>
      <w:r w:rsidRPr="3A5322BA">
        <w:rPr>
          <w:rFonts w:ascii="Verdana" w:hAnsi="Verdana" w:cs="Arial"/>
          <w:color w:val="000000" w:themeColor="text1"/>
          <w:lang w:val="es-ES"/>
        </w:rPr>
        <w:t xml:space="preserve">. Para ello, debe tenerse en cuenta el artículo 94 de la Ley 100 de 1993, que dispone </w:t>
      </w:r>
      <w:r w:rsidRPr="3A5322BA">
        <w:rPr>
          <w:rFonts w:ascii="Verdana" w:hAnsi="Verdana" w:cs="Arial"/>
          <w:color w:val="000000" w:themeColor="text1"/>
          <w:lang w:val="es-ES" w:eastAsia="es-CO"/>
        </w:rPr>
        <w:t>“</w:t>
      </w:r>
      <w:r w:rsidRPr="3A5322BA">
        <w:rPr>
          <w:rFonts w:ascii="Verdana" w:hAnsi="Verdana" w:cs="Arial"/>
          <w:color w:val="000000" w:themeColor="text1"/>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4C99B4E7" w14:textId="77777777" w:rsidR="00D82BC7" w:rsidRPr="005F5922" w:rsidRDefault="00D82BC7" w:rsidP="00D82BC7">
      <w:pPr>
        <w:tabs>
          <w:tab w:val="left" w:pos="426"/>
        </w:tabs>
        <w:spacing w:after="120" w:line="276" w:lineRule="auto"/>
        <w:ind w:firstLine="709"/>
        <w:jc w:val="both"/>
        <w:rPr>
          <w:rFonts w:ascii="Verdana" w:hAnsi="Verdana" w:cs="Arial"/>
          <w:color w:val="000000" w:themeColor="text1"/>
        </w:rPr>
      </w:pPr>
      <w:r w:rsidRPr="3A5322BA">
        <w:rPr>
          <w:rFonts w:ascii="Verdana" w:hAnsi="Verdana" w:cs="Arial"/>
          <w:color w:val="000000" w:themeColor="text1"/>
          <w:lang w:val="es-ES"/>
        </w:rPr>
        <w:t xml:space="preserve">Es decir que, a partir de la </w:t>
      </w:r>
      <w:proofErr w:type="gramStart"/>
      <w:r w:rsidRPr="3A5322BA">
        <w:rPr>
          <w:rFonts w:ascii="Verdana" w:hAnsi="Verdana" w:cs="Arial"/>
          <w:color w:val="000000" w:themeColor="text1"/>
          <w:lang w:val="es-ES"/>
        </w:rPr>
        <w:t>entrada en vigencia</w:t>
      </w:r>
      <w:proofErr w:type="gramEnd"/>
      <w:r w:rsidRPr="3A5322BA">
        <w:rPr>
          <w:rFonts w:ascii="Verdana" w:hAnsi="Verdana" w:cs="Arial"/>
          <w:color w:val="000000" w:themeColor="text1"/>
          <w:lang w:val="es-ES"/>
        </w:rPr>
        <w:t xml:space="preserve"> de la Ley 100 de 1993, las Empresas Sociales del Estado son las entidades públicas que tienen a su cargo la prestación de servicios de salud de manera directa. Igualmente, el artículo 197 de la misma disposición</w:t>
      </w:r>
      <w:r w:rsidRPr="005F5922">
        <w:rPr>
          <w:rFonts w:ascii="Verdana" w:hAnsi="Verdana" w:cs="Arial"/>
          <w:color w:val="000000" w:themeColor="text1"/>
          <w:vertAlign w:val="superscript"/>
          <w:lang w:val="es-ES_tradnl"/>
        </w:rPr>
        <w:footnoteReference w:id="20"/>
      </w:r>
      <w:r w:rsidRPr="3A5322BA">
        <w:rPr>
          <w:rFonts w:ascii="Verdana" w:hAnsi="Verdana" w:cs="Arial"/>
          <w:color w:val="000000" w:themeColor="text1"/>
          <w:lang w:val="es-ES"/>
        </w:rPr>
        <w:t xml:space="preserve"> otorgó un término de seis (6) meses a las </w:t>
      </w:r>
      <w:r w:rsidRPr="3A5322BA">
        <w:rPr>
          <w:rFonts w:ascii="Verdana" w:hAnsi="Verdana" w:cs="Arial"/>
          <w:color w:val="000000" w:themeColor="text1"/>
          <w:lang w:val="es-ES"/>
        </w:rPr>
        <w:lastRenderedPageBreak/>
        <w:t xml:space="preserve">entidades territoriales prestadoras del servicio de salud para restructurarlas en Empresas Sociales del Estado. </w:t>
      </w:r>
    </w:p>
    <w:p w14:paraId="3FBDEE57" w14:textId="77777777" w:rsidR="00D82BC7" w:rsidRPr="005F5922" w:rsidRDefault="00D82BC7" w:rsidP="00D82BC7">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746D5313" w14:textId="77777777" w:rsidR="00D82BC7" w:rsidRPr="005F5922" w:rsidRDefault="00D82BC7" w:rsidP="00D82BC7">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2118E715" w14:textId="27D22D98" w:rsidR="00D82BC7" w:rsidRDefault="00D82BC7" w:rsidP="00E933A3">
      <w:pPr>
        <w:tabs>
          <w:tab w:val="left" w:pos="426"/>
        </w:tabs>
        <w:spacing w:after="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452BDF62" w14:textId="77777777" w:rsidR="00E933A3" w:rsidRPr="005F5922" w:rsidRDefault="00E933A3" w:rsidP="00E933A3">
      <w:pPr>
        <w:tabs>
          <w:tab w:val="left" w:pos="426"/>
        </w:tabs>
        <w:spacing w:after="0" w:line="276" w:lineRule="auto"/>
        <w:ind w:firstLine="709"/>
        <w:jc w:val="both"/>
        <w:rPr>
          <w:rFonts w:ascii="Verdana" w:hAnsi="Verdana" w:cs="Arial"/>
          <w:color w:val="000000" w:themeColor="text1"/>
          <w:lang w:val="es-ES"/>
        </w:rPr>
      </w:pPr>
    </w:p>
    <w:p w14:paraId="5365C8C0" w14:textId="77777777" w:rsidR="00D82BC7" w:rsidRPr="005F5922" w:rsidRDefault="00D82BC7" w:rsidP="00E933A3">
      <w:pPr>
        <w:tabs>
          <w:tab w:val="left" w:pos="426"/>
        </w:tabs>
        <w:spacing w:after="0" w:line="240" w:lineRule="auto"/>
        <w:ind w:left="709" w:right="709"/>
        <w:jc w:val="both"/>
        <w:rPr>
          <w:rFonts w:ascii="Verdana" w:hAnsi="Verdana" w:cs="Arial"/>
          <w:color w:val="000000" w:themeColor="text1"/>
          <w:sz w:val="20"/>
          <w:szCs w:val="20"/>
          <w:shd w:val="clear" w:color="auto" w:fill="FFFFFF"/>
          <w:lang w:val="es-ES"/>
        </w:rPr>
      </w:pPr>
      <w:r w:rsidRPr="00221312">
        <w:rPr>
          <w:rFonts w:ascii="Verdana" w:hAnsi="Verdana" w:cs="Arial"/>
          <w:color w:val="000000" w:themeColor="text1"/>
          <w:sz w:val="20"/>
          <w:szCs w:val="20"/>
          <w:shd w:val="clear" w:color="auto" w:fill="FFFFFF"/>
          <w:lang w:val="es-ES"/>
        </w:rPr>
        <w:t>“</w:t>
      </w:r>
      <w:r>
        <w:rPr>
          <w:rFonts w:ascii="Verdana" w:hAnsi="Verdana" w:cs="Arial"/>
          <w:color w:val="000000" w:themeColor="text1"/>
          <w:sz w:val="20"/>
          <w:szCs w:val="20"/>
          <w:shd w:val="clear" w:color="auto" w:fill="FFFFFF"/>
          <w:lang w:val="es-ES"/>
        </w:rPr>
        <w:t xml:space="preserve">(…) </w:t>
      </w:r>
      <w:r w:rsidRPr="00221312">
        <w:rPr>
          <w:rFonts w:ascii="Verdana" w:hAnsi="Verdana" w:cs="Arial"/>
          <w:color w:val="000000" w:themeColor="text1"/>
          <w:sz w:val="20"/>
          <w:szCs w:val="20"/>
          <w:shd w:val="clear" w:color="auto" w:fill="FFFFFF"/>
          <w:lang w:val="es-ES"/>
        </w:rPr>
        <w:t xml:space="preserve">se encuentran cubiertos por la excepción contemplada en el inciso 2 del artículo 33 de la Ley de Garantías Electorales, las entidades hospitalarias que a la luz de las normas vigentes </w:t>
      </w:r>
      <w:r w:rsidRPr="3A5322BA">
        <w:rPr>
          <w:rFonts w:ascii="Verdana" w:hAnsi="Verdana" w:cs="Arial"/>
          <w:i/>
          <w:iCs/>
          <w:color w:val="000000" w:themeColor="text1"/>
          <w:sz w:val="20"/>
          <w:szCs w:val="20"/>
          <w:shd w:val="clear" w:color="auto" w:fill="FFFFFF"/>
          <w:lang w:val="es-ES"/>
        </w:rPr>
        <w:t xml:space="preserve">no son otras distintas que las Empresas Sociales del estado y todas aquellas instituciones públicas </w:t>
      </w:r>
      <w:proofErr w:type="gramStart"/>
      <w:r w:rsidRPr="3A5322BA">
        <w:rPr>
          <w:rFonts w:ascii="Verdana" w:hAnsi="Verdana" w:cs="Arial"/>
          <w:i/>
          <w:iCs/>
          <w:color w:val="000000" w:themeColor="text1"/>
          <w:sz w:val="20"/>
          <w:szCs w:val="20"/>
          <w:shd w:val="clear" w:color="auto" w:fill="FFFFFF"/>
          <w:lang w:val="es-ES"/>
        </w:rPr>
        <w:t>que</w:t>
      </w:r>
      <w:proofErr w:type="gramEnd"/>
      <w:r w:rsidRPr="3A5322BA">
        <w:rPr>
          <w:rFonts w:ascii="Verdana" w:hAnsi="Verdana" w:cs="Arial"/>
          <w:i/>
          <w:iCs/>
          <w:color w:val="000000" w:themeColor="text1"/>
          <w:sz w:val="20"/>
          <w:szCs w:val="20"/>
          <w:shd w:val="clear" w:color="auto" w:fill="FFFFFF"/>
          <w:lang w:val="es-ES"/>
        </w:rPr>
        <w:t xml:space="preserve"> a pesar de no haberse transformado en Empresas Sociales del Estado, prestan un servicio de salud directo sobre el usuario en su carácter general de entidad hospitalaria</w:t>
      </w:r>
      <w:r w:rsidRPr="00221312">
        <w:rPr>
          <w:rFonts w:ascii="Verdana" w:hAnsi="Verdana" w:cs="Arial"/>
          <w:color w:val="000000" w:themeColor="text1"/>
          <w:sz w:val="20"/>
          <w:szCs w:val="20"/>
          <w:shd w:val="clear" w:color="auto" w:fill="FFFFFF"/>
          <w:lang w:val="es-ES"/>
        </w:rPr>
        <w:t xml:space="preserve"> </w:t>
      </w:r>
      <w:r>
        <w:rPr>
          <w:rFonts w:ascii="Verdana" w:hAnsi="Verdana" w:cs="Arial"/>
          <w:color w:val="000000" w:themeColor="text1"/>
          <w:sz w:val="20"/>
          <w:szCs w:val="20"/>
          <w:shd w:val="clear" w:color="auto" w:fill="FFFFFF"/>
          <w:lang w:val="es-ES"/>
        </w:rPr>
        <w:t>(…)</w:t>
      </w:r>
      <w:r w:rsidRPr="00221312">
        <w:rPr>
          <w:rFonts w:ascii="Verdana" w:hAnsi="Verdana" w:cs="Arial"/>
          <w:color w:val="000000" w:themeColor="text1"/>
          <w:sz w:val="20"/>
          <w:szCs w:val="20"/>
          <w:shd w:val="clear" w:color="auto" w:fill="FFFFFF"/>
          <w:lang w:val="es-ES"/>
        </w:rPr>
        <w:t xml:space="preserve">”.  </w:t>
      </w:r>
    </w:p>
    <w:p w14:paraId="02D34977" w14:textId="77777777" w:rsidR="00D82BC7" w:rsidRPr="005F5922" w:rsidRDefault="00D82BC7" w:rsidP="00D82BC7">
      <w:pPr>
        <w:tabs>
          <w:tab w:val="left" w:pos="426"/>
        </w:tabs>
        <w:spacing w:after="0" w:line="276" w:lineRule="auto"/>
        <w:ind w:left="709" w:right="709"/>
        <w:jc w:val="both"/>
        <w:rPr>
          <w:rFonts w:ascii="Verdana" w:hAnsi="Verdana" w:cs="Arial"/>
          <w:color w:val="000000" w:themeColor="text1"/>
          <w:lang w:val="es-ES"/>
        </w:rPr>
      </w:pPr>
    </w:p>
    <w:p w14:paraId="7EB61A4A" w14:textId="77777777" w:rsidR="00D82BC7" w:rsidRPr="005F5922" w:rsidRDefault="00D82BC7" w:rsidP="00D82BC7">
      <w:pPr>
        <w:tabs>
          <w:tab w:val="left" w:pos="426"/>
        </w:tabs>
        <w:spacing w:after="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w:t>
      </w:r>
      <w:r w:rsidRPr="3A5322BA">
        <w:rPr>
          <w:rFonts w:ascii="Verdana" w:hAnsi="Verdana" w:cs="Arial"/>
          <w:color w:val="000000" w:themeColor="text1"/>
          <w:lang w:val="es-ES"/>
        </w:rPr>
        <w:lastRenderedPageBreak/>
        <w:t xml:space="preserve">excepción a la prohibición, a aquellas instituciones públicas que, aunque no cumplieron con el deber de reestructuración establecido en el artículo 197 de la Ley 100 de 1993, prestan un servicio de salud directo como entidad hospitalaria. </w:t>
      </w:r>
    </w:p>
    <w:p w14:paraId="2B1B94B4" w14:textId="77777777" w:rsidR="00D82BC7" w:rsidRPr="005F5922" w:rsidRDefault="00D82BC7" w:rsidP="00D82BC7">
      <w:pPr>
        <w:tabs>
          <w:tab w:val="left" w:pos="426"/>
        </w:tabs>
        <w:spacing w:before="120" w:line="276" w:lineRule="auto"/>
        <w:ind w:firstLine="709"/>
        <w:jc w:val="both"/>
        <w:rPr>
          <w:rFonts w:ascii="Verdana" w:hAnsi="Verdana" w:cs="Arial"/>
          <w:color w:val="000000" w:themeColor="text1"/>
          <w:lang w:val="es-ES"/>
        </w:rPr>
      </w:pPr>
      <w:r w:rsidRPr="3A5322BA">
        <w:rPr>
          <w:rFonts w:ascii="Verdana" w:hAnsi="Verdana" w:cs="Arial"/>
          <w:color w:val="000000" w:themeColor="text1"/>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5C2485B2" w14:textId="77777777" w:rsidR="00D82BC7" w:rsidRPr="00B04F24" w:rsidRDefault="00D82BC7" w:rsidP="00D82BC7">
      <w:pPr>
        <w:spacing w:after="120" w:line="276" w:lineRule="auto"/>
        <w:ind w:firstLine="709"/>
        <w:jc w:val="both"/>
        <w:rPr>
          <w:rFonts w:ascii="Verdana" w:eastAsia="Times New Roman" w:hAnsi="Verdana" w:cs="Arial"/>
          <w:color w:val="000000"/>
          <w:lang w:val="es-ES" w:eastAsia="es-ES"/>
        </w:rPr>
      </w:pPr>
      <w:r w:rsidRPr="3A5322BA">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029E25F" w14:textId="77777777" w:rsidR="00D82BC7" w:rsidRDefault="00D82BC7" w:rsidP="00D82BC7">
      <w:pPr>
        <w:spacing w:after="120" w:line="276" w:lineRule="auto"/>
        <w:ind w:firstLine="709"/>
        <w:jc w:val="both"/>
        <w:rPr>
          <w:rFonts w:ascii="Verdana" w:eastAsia="Times New Roman" w:hAnsi="Verdana" w:cs="Arial"/>
          <w:lang w:val="es-MX" w:eastAsia="x-none"/>
        </w:rPr>
      </w:pPr>
      <w:r>
        <w:rPr>
          <w:rFonts w:ascii="Verdana" w:hAnsi="Verdana" w:cs="Arial"/>
          <w:lang w:val="es-ES"/>
        </w:rPr>
        <w:t xml:space="preserve">Ahora bien, respecto del alcance del parágrafo </w:t>
      </w:r>
      <w:r>
        <w:rPr>
          <w:rFonts w:ascii="Verdana" w:hAnsi="Verdana" w:cs="Arial"/>
        </w:rPr>
        <w:t xml:space="preserve">del artículo 38 de la Ley 996 de 2005, es preciso reiterar que esta prohibición dispone que: “[l]os Gobernadores, </w:t>
      </w:r>
      <w:proofErr w:type="gramStart"/>
      <w:r>
        <w:rPr>
          <w:rFonts w:ascii="Verdana" w:hAnsi="Verdana" w:cs="Arial"/>
        </w:rPr>
        <w:t>Alcaldes</w:t>
      </w:r>
      <w:proofErr w:type="gramEnd"/>
      <w:r>
        <w:rPr>
          <w:rFonts w:ascii="Verdana" w:hAnsi="Verdana" w:cs="Arial"/>
        </w:rPr>
        <w:t xml:space="preserve"> Municipales y/o Distritales, </w:t>
      </w:r>
      <w:proofErr w:type="gramStart"/>
      <w:r>
        <w:rPr>
          <w:rFonts w:ascii="Verdana" w:hAnsi="Verdana" w:cs="Arial"/>
        </w:rPr>
        <w:t>Secretarios</w:t>
      </w:r>
      <w:proofErr w:type="gramEnd"/>
      <w:r>
        <w:rPr>
          <w:rFonts w:ascii="Verdana" w:hAnsi="Verdana" w:cs="Arial"/>
        </w:rPr>
        <w:t xml:space="preserve">, Gerentes y directores de Entidades Descentralizadas del orden Municipal, Departamental o Distrital, dentro de los cuatro (4) meses anteriores a las elecciones, no podrán celebrar </w:t>
      </w:r>
      <w:r>
        <w:rPr>
          <w:rFonts w:ascii="Verdana" w:hAnsi="Verdana" w:cs="Arial"/>
          <w:i/>
          <w:iCs/>
        </w:rPr>
        <w:t>convenios interadministrativos</w:t>
      </w:r>
      <w:r>
        <w:rPr>
          <w:rFonts w:ascii="Verdana" w:hAnsi="Verdana" w:cs="Arial"/>
        </w:rPr>
        <w:t xml:space="preserve"> </w:t>
      </w:r>
      <w:r w:rsidRPr="00235FCF">
        <w:rPr>
          <w:rFonts w:ascii="Verdana" w:hAnsi="Verdana" w:cs="Arial"/>
          <w:i/>
          <w:iCs/>
        </w:rPr>
        <w:t>para la ejecución de recursos públicos</w:t>
      </w:r>
      <w:r>
        <w:rPr>
          <w:rFonts w:ascii="Verdana" w:hAnsi="Verdana" w:cs="Arial"/>
        </w:rPr>
        <w:t>”.</w:t>
      </w:r>
      <w:r>
        <w:rPr>
          <w:rFonts w:ascii="Verdana" w:eastAsia="Times New Roman" w:hAnsi="Verdana" w:cs="Arial"/>
          <w:lang w:val="es-MX" w:eastAsia="x-none"/>
        </w:rPr>
        <w:t xml:space="preserve"> (Énfasis fuera del texto original)</w:t>
      </w:r>
    </w:p>
    <w:p w14:paraId="61DE0EC8" w14:textId="2559CD26" w:rsidR="00D82BC7" w:rsidRPr="00040CC2" w:rsidRDefault="00D82BC7" w:rsidP="00D82BC7">
      <w:pPr>
        <w:spacing w:after="120" w:line="276" w:lineRule="auto"/>
        <w:ind w:firstLine="709"/>
        <w:jc w:val="both"/>
        <w:rPr>
          <w:rFonts w:ascii="Verdana" w:hAnsi="Verdana" w:cs="Arial"/>
          <w:lang w:eastAsia="es-ES"/>
        </w:rPr>
      </w:pPr>
      <w:r>
        <w:rPr>
          <w:rFonts w:ascii="Verdana" w:eastAsia="Times New Roman" w:hAnsi="Verdana" w:cs="Arial"/>
          <w:lang w:val="es-ES" w:eastAsia="es-ES_tradnl"/>
        </w:rPr>
        <w:t>Para tales efectos</w:t>
      </w:r>
      <w:r w:rsidRPr="00040CC2">
        <w:rPr>
          <w:rFonts w:ascii="Verdana" w:eastAsia="Times New Roman" w:hAnsi="Verdana" w:cs="Arial"/>
          <w:lang w:val="es-ES" w:eastAsia="es-ES_tradnl"/>
        </w:rPr>
        <w:t>, debe precisar</w:t>
      </w:r>
      <w:r>
        <w:rPr>
          <w:rFonts w:ascii="Verdana" w:eastAsia="Times New Roman" w:hAnsi="Verdana" w:cs="Arial"/>
          <w:lang w:val="es-ES" w:eastAsia="es-ES_tradnl"/>
        </w:rPr>
        <w:t>se</w:t>
      </w:r>
      <w:r w:rsidRPr="00040CC2">
        <w:rPr>
          <w:rFonts w:ascii="Verdana" w:eastAsia="Times New Roman" w:hAnsi="Verdana" w:cs="Arial"/>
          <w:lang w:val="es-ES" w:eastAsia="es-ES_tradnl"/>
        </w:rPr>
        <w:t xml:space="preserve"> que </w:t>
      </w:r>
      <w:r w:rsidRPr="00040CC2">
        <w:rPr>
          <w:rFonts w:ascii="Verdana" w:eastAsia="Times New Roman" w:hAnsi="Verdana" w:cs="Arial"/>
          <w:color w:val="000000" w:themeColor="text1"/>
          <w:lang w:val="es-ES" w:eastAsia="es-CO"/>
        </w:rPr>
        <w:t xml:space="preserve">los convenios interadministrativos están determinados por un criterio orgánico, pues es necesario que los extremos de la relación contractual sean entidades públicas, </w:t>
      </w:r>
      <w:r w:rsidRPr="00040CC2">
        <w:rPr>
          <w:rFonts w:ascii="Verdana" w:hAnsi="Verdana" w:cs="Arial"/>
          <w:lang w:eastAsia="es-ES"/>
        </w:rPr>
        <w:t xml:space="preserve">independientemente de las normas que regulan la relación contractual. En este sentido, los convenios interadministrativos solo pueden ser celebrados entre entidades públicas, pues </w:t>
      </w:r>
      <w:r w:rsidRPr="00040CC2">
        <w:rPr>
          <w:rFonts w:ascii="Verdana" w:hAnsi="Verdana" w:cs="Arial"/>
          <w:lang w:eastAsia="es-ES"/>
        </w:rPr>
        <w:lastRenderedPageBreak/>
        <w:t>a éstas corresponde la realización de los fines y tareas que el legislador les ha asignado</w:t>
      </w:r>
      <w:r w:rsidRPr="00040CC2">
        <w:rPr>
          <w:rFonts w:ascii="Verdana" w:hAnsi="Verdana" w:cs="Arial"/>
          <w:vertAlign w:val="superscript"/>
          <w:lang w:eastAsia="es-ES"/>
        </w:rPr>
        <w:footnoteReference w:id="21"/>
      </w:r>
      <w:r w:rsidRPr="00040CC2">
        <w:rPr>
          <w:rFonts w:ascii="Verdana" w:hAnsi="Verdana" w:cs="Arial"/>
          <w:lang w:eastAsia="es-ES"/>
        </w:rPr>
        <w:t>.</w:t>
      </w:r>
    </w:p>
    <w:p w14:paraId="1EE9F84F" w14:textId="512A869A" w:rsidR="00D82BC7" w:rsidRDefault="00D82BC7" w:rsidP="00D82BC7">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w:t>
      </w:r>
      <w:r w:rsidR="00B6544C">
        <w:rPr>
          <w:rFonts w:ascii="Verdana" w:hAnsi="Verdana" w:cs="Arial"/>
          <w:color w:val="000000" w:themeColor="text1"/>
          <w:lang w:val="es-ES_tradnl"/>
        </w:rPr>
        <w:t>e</w:t>
      </w:r>
      <w:r>
        <w:rPr>
          <w:rFonts w:ascii="Verdana" w:hAnsi="Verdana" w:cs="Arial"/>
          <w:color w:val="000000" w:themeColor="text1"/>
          <w:lang w:val="es-ES_tradnl"/>
        </w:rPr>
        <w:t xml:space="preserve">ntidades </w:t>
      </w:r>
      <w:r w:rsidR="00B6544C">
        <w:rPr>
          <w:rFonts w:ascii="Verdana" w:hAnsi="Verdana" w:cs="Arial"/>
          <w:color w:val="000000" w:themeColor="text1"/>
          <w:lang w:val="es-ES_tradnl"/>
        </w:rPr>
        <w:t>e</w:t>
      </w:r>
      <w:r>
        <w:rPr>
          <w:rFonts w:ascii="Verdana" w:hAnsi="Verdana" w:cs="Arial"/>
          <w:color w:val="000000" w:themeColor="text1"/>
          <w:lang w:val="es-ES_tradnl"/>
        </w:rPr>
        <w:t xml:space="preserve">statales que apliquen el régimen de contratación allí previsto. En efecto, una </w:t>
      </w:r>
      <w:r w:rsidR="00A753B6">
        <w:rPr>
          <w:rFonts w:ascii="Verdana" w:hAnsi="Verdana" w:cs="Arial"/>
          <w:color w:val="000000" w:themeColor="text1"/>
          <w:lang w:val="es-ES_tradnl"/>
        </w:rPr>
        <w:t>e</w:t>
      </w:r>
      <w:r>
        <w:rPr>
          <w:rFonts w:ascii="Verdana" w:hAnsi="Verdana" w:cs="Arial"/>
          <w:color w:val="000000" w:themeColor="text1"/>
          <w:lang w:val="es-ES_tradnl"/>
        </w:rPr>
        <w:t xml:space="preserve">ntidad </w:t>
      </w:r>
      <w:r w:rsidR="00A753B6">
        <w:rPr>
          <w:rFonts w:ascii="Verdana" w:hAnsi="Verdana" w:cs="Arial"/>
          <w:color w:val="000000" w:themeColor="text1"/>
          <w:lang w:val="es-ES_tradnl"/>
        </w:rPr>
        <w:t>e</w:t>
      </w:r>
      <w:r>
        <w:rPr>
          <w:rFonts w:ascii="Verdana" w:hAnsi="Verdana" w:cs="Arial"/>
          <w:color w:val="000000" w:themeColor="text1"/>
          <w:lang w:val="es-ES_tradnl"/>
        </w:rPr>
        <w:t>statal de la Ley 80 de 1993 – como es el caso de un municipio – bien puede celebrar esta clase de convenios con una Entidad Estatal de régimen especial y no por ello dejará de ser un contrato o convenio interadministrativo.</w:t>
      </w:r>
    </w:p>
    <w:p w14:paraId="10E7B4E9" w14:textId="77777777" w:rsidR="00D82BC7" w:rsidRDefault="00D82BC7" w:rsidP="00D82BC7">
      <w:pPr>
        <w:spacing w:before="120" w:after="0" w:line="276" w:lineRule="auto"/>
        <w:ind w:firstLine="708"/>
        <w:jc w:val="both"/>
        <w:rPr>
          <w:rFonts w:ascii="Verdana" w:hAnsi="Verdana" w:cs="Arial"/>
          <w:lang w:val="es-ES_tradnl"/>
        </w:rPr>
      </w:pPr>
      <w:r>
        <w:rPr>
          <w:rFonts w:ascii="Verdana" w:hAnsi="Verdana" w:cs="Arial"/>
          <w:lang w:val="es-ES_tradn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Pr>
          <w:rFonts w:ascii="Verdana" w:hAnsi="Verdana" w:cs="Arial"/>
          <w:vertAlign w:val="superscript"/>
          <w:lang w:val="es-ES_tradnl"/>
        </w:rPr>
        <w:footnoteReference w:id="22"/>
      </w:r>
      <w:r>
        <w:rPr>
          <w:rFonts w:ascii="Verdana" w:hAnsi="Verdana" w:cs="Arial"/>
          <w:lang w:val="es-ES_tradnl"/>
        </w:rPr>
        <w:t>. Nótese que, en este caso, lo que cambia es la modalidad de selección y no la naturaleza de contrato interadministrativo.</w:t>
      </w:r>
    </w:p>
    <w:p w14:paraId="241409B1" w14:textId="77777777" w:rsidR="00D82BC7" w:rsidRDefault="00D82BC7" w:rsidP="00D82BC7">
      <w:pPr>
        <w:spacing w:before="120" w:after="0" w:line="276" w:lineRule="auto"/>
        <w:ind w:firstLine="708"/>
        <w:jc w:val="both"/>
        <w:rPr>
          <w:rFonts w:ascii="Verdana" w:hAnsi="Verdana" w:cs="Arial"/>
          <w:lang w:val="es-ES_tradnl"/>
        </w:rPr>
      </w:pPr>
      <w:r>
        <w:rPr>
          <w:rFonts w:ascii="Verdana" w:hAnsi="Verdana" w:cs="Arial"/>
          <w:lang w:val="es-ES_tradnl"/>
        </w:rPr>
        <w:t>Además, es necesario tener en cuenta que para que un contrato o convenio interadministrativo exista debe cumplir con los siguientes elementos: un acuerdo sobre el objeto y la contraprestación y que conste por escrito</w:t>
      </w:r>
      <w:r>
        <w:rPr>
          <w:rFonts w:ascii="Verdana" w:hAnsi="Verdana" w:cs="Arial"/>
          <w:vertAlign w:val="superscript"/>
          <w:lang w:val="es-ES_tradnl"/>
        </w:rPr>
        <w:footnoteReference w:id="23"/>
      </w:r>
      <w:r>
        <w:rPr>
          <w:rFonts w:ascii="Verdana" w:hAnsi="Verdana" w:cs="Arial"/>
          <w:lang w:val="es-ES_tradn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2FC483DF" w14:textId="77777777" w:rsidR="00D82BC7" w:rsidRDefault="00D82BC7" w:rsidP="00D82BC7">
      <w:pPr>
        <w:spacing w:before="120" w:after="0" w:line="276" w:lineRule="auto"/>
        <w:ind w:firstLine="708"/>
        <w:jc w:val="both"/>
        <w:rPr>
          <w:rFonts w:ascii="Verdana" w:hAnsi="Verdana"/>
          <w:sz w:val="24"/>
          <w:szCs w:val="24"/>
          <w:lang w:eastAsia="es-CO"/>
        </w:rPr>
      </w:pPr>
      <w:r>
        <w:rPr>
          <w:rFonts w:ascii="Verdana" w:hAnsi="Verdana" w:cs="Arial"/>
          <w:lang w:val="es-ES_tradnl"/>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w:t>
      </w:r>
      <w:r>
        <w:rPr>
          <w:rFonts w:ascii="Verdana" w:hAnsi="Verdana" w:cs="Arial"/>
          <w:lang w:val="es-ES_tradnl"/>
        </w:rPr>
        <w:lastRenderedPageBreak/>
        <w:t>contractual formen parte de la administración pública”. Así las cosas, atendiendo a la literalidad de las normas enunciadas, no cabe una interpretación diferente</w:t>
      </w:r>
      <w:r>
        <w:rPr>
          <w:rFonts w:ascii="Verdana" w:hAnsi="Verdana" w:cs="Arial"/>
          <w:vertAlign w:val="superscript"/>
          <w:lang w:val="es-ES_tradnl"/>
        </w:rPr>
        <w:footnoteReference w:id="24"/>
      </w:r>
      <w:r>
        <w:rPr>
          <w:rFonts w:ascii="Verdana" w:hAnsi="Verdana" w:cs="Arial"/>
          <w:lang w:val="es-ES_tradnl"/>
        </w:rPr>
        <w:t xml:space="preserve">, pues, de acuerdo con lo anotado, esta clase de acuerdos de voluntades se definen por un criterio orgánico, por lo que uno de sus elementos esenciales es que </w:t>
      </w:r>
      <w:r w:rsidRPr="000474D4">
        <w:rPr>
          <w:rFonts w:ascii="Verdana" w:hAnsi="Verdana" w:cs="Arial"/>
          <w:lang w:val="es-ES_tradnl"/>
        </w:rPr>
        <w:t>en los extremos de la relación jurídico negocial concurran personas de derecho público</w:t>
      </w:r>
      <w:r w:rsidRPr="000474D4">
        <w:rPr>
          <w:rFonts w:ascii="Verdana" w:hAnsi="Verdana"/>
          <w:sz w:val="24"/>
          <w:szCs w:val="24"/>
          <w:lang w:eastAsia="es-CO"/>
        </w:rPr>
        <w:t>.</w:t>
      </w:r>
    </w:p>
    <w:p w14:paraId="2103E12C" w14:textId="77777777" w:rsidR="00D82BC7" w:rsidRDefault="00D82BC7" w:rsidP="00D82BC7">
      <w:pPr>
        <w:spacing w:before="120" w:after="0" w:line="276" w:lineRule="auto"/>
        <w:ind w:firstLine="708"/>
        <w:jc w:val="both"/>
        <w:rPr>
          <w:rFonts w:ascii="Verdana" w:eastAsia="Times New Roman" w:hAnsi="Verdana" w:cs="Arial"/>
          <w:lang w:val="es-MX" w:eastAsia="es-CO"/>
        </w:rPr>
      </w:pPr>
      <w:r>
        <w:rPr>
          <w:rFonts w:ascii="Verdana" w:eastAsia="Arial" w:hAnsi="Verdana" w:cs="Arial"/>
          <w:lang w:val="es-MX" w:eastAsia="es-ES" w:bidi="es-ES"/>
        </w:rPr>
        <w:t>De esta manera, s</w:t>
      </w:r>
      <w:proofErr w:type="spellStart"/>
      <w:r>
        <w:rPr>
          <w:rFonts w:ascii="Verdana" w:eastAsia="Times New Roman" w:hAnsi="Verdana" w:cs="Arial"/>
          <w:lang w:eastAsia="es-CO"/>
        </w:rPr>
        <w:t>e</w:t>
      </w:r>
      <w:proofErr w:type="spellEnd"/>
      <w:r>
        <w:rPr>
          <w:rFonts w:ascii="Verdana" w:eastAsia="Times New Roman" w:hAnsi="Verdana" w:cs="Arial"/>
          <w:lang w:eastAsia="es-CO"/>
        </w:rPr>
        <w:t xml:space="preserve"> observa entonces que </w:t>
      </w:r>
      <w:r>
        <w:rPr>
          <w:rFonts w:ascii="Verdana" w:eastAsia="Times New Roman" w:hAnsi="Verdana" w:cs="Arial"/>
          <w:lang w:val="es-MX" w:eastAsia="es-CO"/>
        </w:rPr>
        <w:t xml:space="preserve">el parágrafo del artículo 38 de la Ley 996 de 2005 prohíbe a los </w:t>
      </w:r>
      <w:proofErr w:type="gramStart"/>
      <w:r>
        <w:rPr>
          <w:rFonts w:ascii="Verdana" w:eastAsia="Times New Roman" w:hAnsi="Verdana" w:cs="Arial"/>
          <w:lang w:val="es-MX" w:eastAsia="es-CO"/>
        </w:rPr>
        <w:t>Alcaldes</w:t>
      </w:r>
      <w:proofErr w:type="gramEnd"/>
      <w:r>
        <w:rPr>
          <w:rFonts w:ascii="Verdana" w:eastAsia="Times New Roman" w:hAnsi="Verdana" w:cs="Arial"/>
          <w:lang w:val="es-MX" w:eastAsia="es-CO"/>
        </w:rPr>
        <w:t xml:space="preserve">, Gobernadores, </w:t>
      </w:r>
      <w:proofErr w:type="gramStart"/>
      <w:r>
        <w:rPr>
          <w:rFonts w:ascii="Verdana" w:eastAsia="Times New Roman" w:hAnsi="Verdana" w:cs="Arial"/>
          <w:lang w:val="es-MX" w:eastAsia="es-CO"/>
        </w:rPr>
        <w:t>Secretarios</w:t>
      </w:r>
      <w:proofErr w:type="gramEnd"/>
      <w:r>
        <w:rPr>
          <w:rFonts w:ascii="Verdana" w:eastAsia="Times New Roman" w:hAnsi="Verdana" w:cs="Arial"/>
          <w:lang w:val="es-MX" w:eastAsia="es-CO"/>
        </w:rPr>
        <w:t xml:space="preserve">, Gerentes y </w:t>
      </w:r>
      <w:proofErr w:type="gramStart"/>
      <w:r>
        <w:rPr>
          <w:rFonts w:ascii="Verdana" w:eastAsia="Times New Roman" w:hAnsi="Verdana" w:cs="Arial"/>
          <w:lang w:val="es-MX" w:eastAsia="es-CO"/>
        </w:rPr>
        <w:t>Directores</w:t>
      </w:r>
      <w:proofErr w:type="gramEnd"/>
      <w:r>
        <w:rPr>
          <w:rFonts w:ascii="Verdana" w:eastAsia="Times New Roman" w:hAnsi="Verdana" w:cs="Arial"/>
          <w:lang w:val="es-MX" w:eastAsia="es-CO"/>
        </w:rPr>
        <w:t xml:space="preserve">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Pr>
          <w:rFonts w:ascii="Verdana" w:eastAsia="Times New Roman" w:hAnsi="Verdana" w:cs="Arial"/>
          <w:i/>
          <w:lang w:val="es-MX" w:eastAsia="es-CO"/>
        </w:rPr>
        <w:t>ibidem</w:t>
      </w:r>
      <w:r>
        <w:rPr>
          <w:rFonts w:ascii="Verdana" w:eastAsia="Times New Roman" w:hAnsi="Verdana" w:cs="Arial"/>
          <w:lang w:val="es-MX" w:eastAsia="es-CO"/>
        </w:rPr>
        <w:t xml:space="preserve">,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CE222B0" w14:textId="77777777" w:rsidR="00D82BC7" w:rsidRDefault="00D82BC7" w:rsidP="00D82BC7">
      <w:pPr>
        <w:spacing w:before="120" w:after="0" w:line="276" w:lineRule="auto"/>
        <w:ind w:firstLine="708"/>
        <w:jc w:val="both"/>
        <w:rPr>
          <w:rFonts w:ascii="Verdana" w:eastAsia="Times New Roman" w:hAnsi="Verdana" w:cs="Arial"/>
          <w:lang w:eastAsia="es-CO"/>
        </w:rPr>
      </w:pPr>
      <w:r>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Pr>
          <w:rFonts w:ascii="Verdana" w:eastAsia="Times New Roman" w:hAnsi="Verdana" w:cs="Arial"/>
          <w:lang w:val="es-MX" w:eastAsia="es-CO"/>
        </w:rPr>
        <w:t>ii</w:t>
      </w:r>
      <w:proofErr w:type="spellEnd"/>
      <w:r>
        <w:rPr>
          <w:rFonts w:ascii="Verdana" w:eastAsia="Times New Roman" w:hAnsi="Verdana" w:cs="Arial"/>
          <w:lang w:val="es-MX" w:eastAsia="es-CO"/>
        </w:rPr>
        <w:t xml:space="preserve">) y </w:t>
      </w:r>
      <w:proofErr w:type="spellStart"/>
      <w:r>
        <w:rPr>
          <w:rFonts w:ascii="Verdana" w:eastAsia="Times New Roman" w:hAnsi="Verdana" w:cs="Arial"/>
          <w:lang w:val="es-MX" w:eastAsia="es-CO"/>
        </w:rPr>
        <w:t>iv</w:t>
      </w:r>
      <w:proofErr w:type="spellEnd"/>
      <w:r>
        <w:rPr>
          <w:rFonts w:ascii="Verdana" w:eastAsia="Times New Roman" w:hAnsi="Verdana" w:cs="Arial"/>
          <w:lang w:val="es-MX" w:eastAsia="es-CO"/>
        </w:rPr>
        <w:t>) del numeral 2</w:t>
      </w:r>
      <w:r>
        <w:rPr>
          <w:rFonts w:ascii="Verdana" w:eastAsia="Times New Roman" w:hAnsi="Verdana" w:cs="Arial"/>
          <w:lang w:eastAsia="es-CO"/>
        </w:rPr>
        <w:t>,</w:t>
      </w:r>
      <w:r>
        <w:rPr>
          <w:rFonts w:ascii="Verdana" w:eastAsia="Times New Roman" w:hAnsi="Verdana" w:cs="Arial"/>
          <w:lang w:val="es-MX" w:eastAsia="es-CO"/>
        </w:rPr>
        <w:t xml:space="preserve"> indica que el </w:t>
      </w:r>
      <w:r w:rsidRPr="00A00D23">
        <w:rPr>
          <w:rFonts w:ascii="Verdana" w:eastAsia="Times New Roman" w:hAnsi="Verdana" w:cs="Arial"/>
          <w:lang w:eastAsia="es-CO"/>
        </w:rPr>
        <w:t>parágrafo del artículo 38 de la Ley 996 de 2005</w:t>
      </w:r>
      <w:r>
        <w:rPr>
          <w:rFonts w:ascii="Verdana" w:eastAsia="Times New Roman" w:hAnsi="Verdana" w:cs="Arial"/>
          <w:lang w:eastAsia="es-CO"/>
        </w:rPr>
        <w:t xml:space="preserve"> </w:t>
      </w:r>
      <w:r w:rsidRPr="00594EBB">
        <w:rPr>
          <w:rFonts w:ascii="Verdana" w:eastAsia="Times New Roman" w:hAnsi="Verdana" w:cs="Arial"/>
          <w:lang w:eastAsia="es-CO"/>
        </w:rPr>
        <w:t xml:space="preserve">cobija expresamente a los </w:t>
      </w:r>
      <w:r w:rsidRPr="000F6F83">
        <w:rPr>
          <w:rFonts w:ascii="Verdana" w:eastAsia="Times New Roman" w:hAnsi="Verdana" w:cs="Arial"/>
          <w:i/>
          <w:iCs/>
          <w:lang w:eastAsia="es-CO"/>
        </w:rPr>
        <w:t>convenios interadministrativos</w:t>
      </w:r>
      <w:r w:rsidRPr="00594EBB">
        <w:rPr>
          <w:rFonts w:ascii="Verdana" w:eastAsia="Times New Roman" w:hAnsi="Verdana" w:cs="Arial"/>
          <w:lang w:eastAsia="es-CO"/>
        </w:rPr>
        <w:t xml:space="preserve"> en los que se contemple la ejecución de recursos públicos. </w:t>
      </w:r>
      <w:r>
        <w:rPr>
          <w:rFonts w:ascii="Verdana" w:eastAsia="Times New Roman" w:hAnsi="Verdana" w:cs="Arial"/>
          <w:lang w:eastAsia="es-CO"/>
        </w:rPr>
        <w:t>Además, precisa que e</w:t>
      </w:r>
      <w:r w:rsidRPr="00700FB0">
        <w:rPr>
          <w:rFonts w:ascii="Verdana" w:eastAsia="Times New Roman" w:hAnsi="Verdana" w:cs="Arial"/>
          <w:lang w:eastAsia="es-CO"/>
        </w:rPr>
        <w:t xml:space="preserve">l parágrafo </w:t>
      </w:r>
      <w:r>
        <w:rPr>
          <w:rFonts w:ascii="Verdana" w:eastAsia="Times New Roman" w:hAnsi="Verdana" w:cs="Arial"/>
          <w:lang w:eastAsia="es-CO"/>
        </w:rPr>
        <w:t xml:space="preserve">referido </w:t>
      </w:r>
      <w:r w:rsidRPr="00700FB0">
        <w:rPr>
          <w:rFonts w:ascii="Verdana" w:eastAsia="Times New Roman" w:hAnsi="Verdana" w:cs="Arial"/>
          <w:lang w:eastAsia="es-CO"/>
        </w:rPr>
        <w:t>no estableció ningún supuesto que exceptúe la aplicación de esta prohibición</w:t>
      </w:r>
      <w:r>
        <w:rPr>
          <w:rFonts w:ascii="Verdana" w:eastAsia="Times New Roman" w:hAnsi="Verdana" w:cs="Arial"/>
          <w:lang w:eastAsia="es-CO"/>
        </w:rPr>
        <w:t xml:space="preserve">, por lo que </w:t>
      </w:r>
      <w:r w:rsidRPr="00700FB0">
        <w:rPr>
          <w:rFonts w:ascii="Verdana" w:eastAsia="Times New Roman" w:hAnsi="Verdana" w:cs="Arial"/>
          <w:lang w:eastAsia="es-CO"/>
        </w:rPr>
        <w:t xml:space="preserve">la restricción referida a la celebración de convenios interadministrativos aplicará a los sujetos allí señalados, </w:t>
      </w:r>
      <w:r w:rsidRPr="002776FC">
        <w:rPr>
          <w:rFonts w:ascii="Verdana" w:eastAsia="Times New Roman" w:hAnsi="Verdana" w:cs="Arial"/>
          <w:i/>
          <w:iCs/>
          <w:lang w:eastAsia="es-CO"/>
        </w:rPr>
        <w:t>“aunque se configure alguno de los supuestos de excepción que señaló el inciso final del artículo 33”.</w:t>
      </w:r>
      <w:r w:rsidRPr="00700FB0">
        <w:rPr>
          <w:rFonts w:ascii="Verdana" w:eastAsia="Times New Roman" w:hAnsi="Verdana" w:cs="Arial"/>
          <w:lang w:eastAsia="es-CO"/>
        </w:rPr>
        <w:t xml:space="preserve"> </w:t>
      </w:r>
    </w:p>
    <w:p w14:paraId="7A597B46" w14:textId="77777777" w:rsidR="00D82BC7" w:rsidRDefault="00D82BC7" w:rsidP="00D82BC7">
      <w:pPr>
        <w:spacing w:before="120" w:after="0" w:line="276" w:lineRule="auto"/>
        <w:ind w:firstLine="708"/>
        <w:jc w:val="both"/>
        <w:rPr>
          <w:rFonts w:ascii="Verdana" w:eastAsia="Times New Roman" w:hAnsi="Verdana" w:cs="Arial"/>
          <w:lang w:eastAsia="es-CO"/>
        </w:rPr>
      </w:pPr>
      <w:r w:rsidRPr="00700FB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A81494">
        <w:rPr>
          <w:rFonts w:ascii="Verdana" w:eastAsia="Times New Roman" w:hAnsi="Verdana" w:cs="Arial"/>
          <w:i/>
          <w:iCs/>
          <w:lang w:eastAsia="es-CO"/>
        </w:rPr>
        <w:t>convenios interadministrativos</w:t>
      </w:r>
      <w:r w:rsidRPr="00700FB0">
        <w:rPr>
          <w:rFonts w:ascii="Verdana" w:eastAsia="Times New Roman" w:hAnsi="Verdana" w:cs="Arial"/>
          <w:lang w:eastAsia="es-CO"/>
        </w:rPr>
        <w:t xml:space="preserve"> en los que se contemple la </w:t>
      </w:r>
      <w:r w:rsidRPr="00A81494">
        <w:rPr>
          <w:rFonts w:ascii="Verdana" w:eastAsia="Times New Roman" w:hAnsi="Verdana" w:cs="Arial"/>
          <w:i/>
          <w:iCs/>
          <w:lang w:eastAsia="es-CO"/>
        </w:rPr>
        <w:t>ejecución de recursos públicos</w:t>
      </w:r>
      <w:r w:rsidRPr="00700FB0">
        <w:rPr>
          <w:rFonts w:ascii="Verdana" w:eastAsia="Times New Roman" w:hAnsi="Verdana" w:cs="Arial"/>
          <w:lang w:eastAsia="es-CO"/>
        </w:rPr>
        <w:t xml:space="preserve">. Esto significa que la prohibición no resulta aplicable a </w:t>
      </w:r>
      <w:r w:rsidRPr="00A81494">
        <w:rPr>
          <w:rFonts w:ascii="Verdana" w:eastAsia="Times New Roman" w:hAnsi="Verdana" w:cs="Arial"/>
          <w:i/>
          <w:iCs/>
          <w:lang w:eastAsia="es-CO"/>
        </w:rPr>
        <w:t>convenios interadministrativos a título gratuito,</w:t>
      </w:r>
      <w:r w:rsidRPr="00700FB0">
        <w:rPr>
          <w:rFonts w:ascii="Verdana" w:eastAsia="Times New Roman" w:hAnsi="Verdana" w:cs="Arial"/>
          <w:lang w:eastAsia="es-CO"/>
        </w:rPr>
        <w:t xml:space="preserve"> los cuales pueden celebrarse válidamente durante la vigencia de la mencionada restricción</w:t>
      </w:r>
      <w:r>
        <w:rPr>
          <w:rFonts w:ascii="Verdana" w:eastAsia="Times New Roman" w:hAnsi="Verdana" w:cs="Arial"/>
          <w:lang w:eastAsia="es-CO"/>
        </w:rPr>
        <w:t xml:space="preserve">. </w:t>
      </w:r>
    </w:p>
    <w:p w14:paraId="55DB1541" w14:textId="77777777" w:rsidR="00D82BC7" w:rsidRDefault="00D82BC7" w:rsidP="00D82BC7">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esta manera, conforme a lo dispuesto en la Circular referida, si se suscriben </w:t>
      </w:r>
      <w:r w:rsidRPr="00A81494">
        <w:rPr>
          <w:rFonts w:ascii="Verdana" w:eastAsia="Times New Roman" w:hAnsi="Verdana" w:cs="Arial"/>
          <w:i/>
          <w:iCs/>
          <w:lang w:eastAsia="es-CO"/>
        </w:rPr>
        <w:t>convenios interadministrativos para la ejecución de recursos públicos</w:t>
      </w:r>
      <w:r>
        <w:rPr>
          <w:rFonts w:ascii="Verdana" w:eastAsia="Times New Roman" w:hAnsi="Verdana" w:cs="Arial"/>
          <w:lang w:eastAsia="es-CO"/>
        </w:rPr>
        <w:t xml:space="preserve"> </w:t>
      </w:r>
      <w:r>
        <w:rPr>
          <w:rFonts w:ascii="Verdana" w:eastAsia="Times New Roman" w:hAnsi="Verdana" w:cs="Arial"/>
          <w:lang w:eastAsia="es-CO"/>
        </w:rPr>
        <w:lastRenderedPageBreak/>
        <w:t xml:space="preserve">por los </w:t>
      </w:r>
      <w:r w:rsidRPr="00594EBB">
        <w:rPr>
          <w:rFonts w:ascii="Verdana" w:eastAsia="Times New Roman" w:hAnsi="Verdana" w:cs="Arial"/>
          <w:lang w:eastAsia="es-CO"/>
        </w:rPr>
        <w:t>alcaldes, gobernadores, secretarios, gerentes y directores de las entidades del orden municipal, departamental o distrital</w:t>
      </w:r>
      <w:r>
        <w:rPr>
          <w:rFonts w:ascii="Verdana" w:eastAsia="Times New Roman" w:hAnsi="Verdana" w:cs="Arial"/>
          <w:lang w:eastAsia="es-CO"/>
        </w:rPr>
        <w:t xml:space="preserve">, aplicará la prohibición del parágrafo del artículo 38 </w:t>
      </w:r>
      <w:r w:rsidRPr="00BE4B90">
        <w:rPr>
          <w:rFonts w:ascii="Verdana" w:eastAsia="Times New Roman" w:hAnsi="Verdana" w:cs="Arial"/>
          <w:i/>
          <w:iCs/>
          <w:lang w:eastAsia="es-CO"/>
        </w:rPr>
        <w:t>ibidem</w:t>
      </w:r>
      <w:r>
        <w:rPr>
          <w:rFonts w:ascii="Verdana" w:eastAsia="Times New Roman" w:hAnsi="Verdana" w:cs="Arial"/>
          <w:lang w:eastAsia="es-CO"/>
        </w:rPr>
        <w:t xml:space="preserve">, independientemente de que </w:t>
      </w:r>
      <w:r w:rsidRPr="00700FB0">
        <w:rPr>
          <w:rFonts w:ascii="Verdana" w:eastAsia="Times New Roman" w:hAnsi="Verdana" w:cs="Arial"/>
          <w:lang w:eastAsia="es-CO"/>
        </w:rPr>
        <w:t>se configure alguno de los supuestos de excepción que señaló el inciso final del artículo 33</w:t>
      </w:r>
      <w:r>
        <w:rPr>
          <w:rFonts w:ascii="Verdana" w:eastAsia="Times New Roman" w:hAnsi="Verdana" w:cs="Arial"/>
          <w:lang w:eastAsia="es-CO"/>
        </w:rPr>
        <w:t>, es decir, que se trate de:</w:t>
      </w:r>
      <w:r>
        <w:rPr>
          <w:rFonts w:ascii="Verdana" w:hAnsi="Verdana" w:cs="Arial"/>
          <w:bCs/>
          <w:lang w:val="es-MX" w:eastAsia="x-none"/>
        </w:rPr>
        <w:t xml:space="preserve"> i) la defensa y seguridad del Estado; </w:t>
      </w:r>
      <w:proofErr w:type="spellStart"/>
      <w:r>
        <w:rPr>
          <w:rFonts w:ascii="Verdana" w:hAnsi="Verdana" w:cs="Arial"/>
          <w:bCs/>
          <w:lang w:val="es-MX" w:eastAsia="x-none"/>
        </w:rPr>
        <w:t>ii</w:t>
      </w:r>
      <w:proofErr w:type="spellEnd"/>
      <w:r>
        <w:rPr>
          <w:rFonts w:ascii="Verdana" w:hAnsi="Verdana" w:cs="Arial"/>
          <w:bCs/>
          <w:lang w:val="es-MX" w:eastAsia="x-none"/>
        </w:rPr>
        <w:t xml:space="preserve">) los contratos de crédito público; </w:t>
      </w:r>
      <w:proofErr w:type="spellStart"/>
      <w:r>
        <w:rPr>
          <w:rFonts w:ascii="Verdana" w:hAnsi="Verdana" w:cs="Arial"/>
          <w:bCs/>
          <w:lang w:val="es-MX" w:eastAsia="x-none"/>
        </w:rPr>
        <w:t>iii</w:t>
      </w:r>
      <w:proofErr w:type="spellEnd"/>
      <w:r>
        <w:rPr>
          <w:rFonts w:ascii="Verdana" w:hAnsi="Verdana" w:cs="Arial"/>
          <w:bCs/>
          <w:lang w:val="es-MX" w:eastAsia="x-none"/>
        </w:rPr>
        <w:t xml:space="preserve">) los requeridos para cubrir las emergencias educativas, sanitarias y desastres; </w:t>
      </w:r>
      <w:proofErr w:type="spellStart"/>
      <w:r>
        <w:rPr>
          <w:rFonts w:ascii="Verdana" w:hAnsi="Verdana" w:cs="Arial"/>
          <w:bCs/>
          <w:lang w:val="es-MX" w:eastAsia="x-none"/>
        </w:rPr>
        <w:t>iv</w:t>
      </w:r>
      <w:proofErr w:type="spellEnd"/>
      <w:r>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w:t>
      </w:r>
      <w:r>
        <w:rPr>
          <w:rFonts w:ascii="Verdana" w:eastAsia="Times New Roman" w:hAnsi="Verdana" w:cs="Arial"/>
          <w:lang w:eastAsia="es-CO"/>
        </w:rPr>
        <w:t xml:space="preserve">  </w:t>
      </w:r>
    </w:p>
    <w:p w14:paraId="50CB3CF3" w14:textId="77777777" w:rsidR="00D82BC7" w:rsidRDefault="00D82BC7" w:rsidP="00D82BC7">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En este punto, vale la pena destacar que, </w:t>
      </w:r>
      <w:r w:rsidRPr="00A532DC">
        <w:rPr>
          <w:rFonts w:ascii="Verdana" w:eastAsia="Arial" w:hAnsi="Verdana" w:cs="Arial"/>
          <w:lang w:val="es-MX" w:eastAsia="es-ES" w:bidi="es-ES"/>
        </w:rPr>
        <w:t>mediante auto de 4 de octubre del 2024, el Consejo de Estado,</w:t>
      </w:r>
      <w:r>
        <w:rPr>
          <w:rFonts w:ascii="Verdana" w:eastAsia="Arial" w:hAnsi="Verdana" w:cs="Arial"/>
          <w:lang w:val="es-MX" w:eastAsia="es-ES" w:bidi="es-ES"/>
        </w:rPr>
        <w:t xml:space="preserve"> Subsección C de la</w:t>
      </w:r>
      <w:r w:rsidRPr="00A532DC">
        <w:rPr>
          <w:rFonts w:ascii="Verdana" w:eastAsia="Arial" w:hAnsi="Verdana" w:cs="Arial"/>
          <w:lang w:val="es-MX" w:eastAsia="es-ES" w:bidi="es-ES"/>
        </w:rPr>
        <w:t xml:space="preserve"> Sección Tercera, decretó medida de suspensión provisional parcial del </w:t>
      </w:r>
      <w:r w:rsidRPr="00A532DC">
        <w:rPr>
          <w:rFonts w:ascii="Verdana" w:hAnsi="Verdana" w:cs="Arial"/>
        </w:rPr>
        <w:t>numeral 16.2 de la Circular Externa Única</w:t>
      </w:r>
      <w:r>
        <w:rPr>
          <w:rFonts w:ascii="Verdana" w:hAnsi="Verdana" w:cs="Arial"/>
        </w:rPr>
        <w:t xml:space="preserve"> </w:t>
      </w:r>
      <w:r w:rsidRPr="00A532DC">
        <w:rPr>
          <w:rFonts w:ascii="Verdana" w:hAnsi="Verdana" w:cs="Arial"/>
        </w:rPr>
        <w:t>de 2022 expedida por la Agencia Nacional de Contratación Pública -Colombia Compra Eficiente-, concretamente, respecto de los siguientes apartes normativos</w:t>
      </w:r>
      <w:r w:rsidRPr="00A532DC">
        <w:rPr>
          <w:rFonts w:ascii="Verdana" w:hAnsi="Verdana" w:cs="Arial"/>
          <w:vertAlign w:val="superscript"/>
        </w:rPr>
        <w:footnoteReference w:id="25"/>
      </w:r>
      <w:r w:rsidRPr="00A532DC">
        <w:rPr>
          <w:rFonts w:ascii="Verdana" w:hAnsi="Verdana" w:cs="Arial"/>
        </w:rPr>
        <w:t>:</w:t>
      </w:r>
      <w:r w:rsidRPr="00A532DC">
        <w:rPr>
          <w:rFonts w:cs="Arial"/>
        </w:rPr>
        <w:t xml:space="preserve"> </w:t>
      </w:r>
    </w:p>
    <w:p w14:paraId="1FEE040E" w14:textId="77777777" w:rsidR="00D82BC7" w:rsidRPr="0049797F" w:rsidRDefault="00D82BC7" w:rsidP="00D82BC7">
      <w:pPr>
        <w:spacing w:after="0" w:line="240" w:lineRule="auto"/>
        <w:ind w:firstLine="709"/>
        <w:jc w:val="both"/>
        <w:rPr>
          <w:rFonts w:ascii="Verdana" w:eastAsia="Times New Roman" w:hAnsi="Verdana" w:cs="Arial"/>
          <w:lang w:eastAsia="es-CO"/>
        </w:rPr>
      </w:pPr>
    </w:p>
    <w:p w14:paraId="091E5565" w14:textId="77777777" w:rsidR="00D82BC7" w:rsidRPr="00A532DC" w:rsidRDefault="00D82BC7" w:rsidP="00D82BC7">
      <w:pPr>
        <w:spacing w:after="0" w:line="240" w:lineRule="auto"/>
        <w:ind w:left="709" w:right="709"/>
        <w:jc w:val="both"/>
        <w:rPr>
          <w:rFonts w:ascii="Verdana" w:hAnsi="Verdana" w:cs="Arial"/>
          <w:sz w:val="20"/>
          <w:szCs w:val="20"/>
        </w:rPr>
      </w:pPr>
      <w:r w:rsidRPr="00A532DC">
        <w:rPr>
          <w:rFonts w:ascii="Verdana" w:hAnsi="Verdana" w:cs="Arial"/>
          <w:sz w:val="20"/>
          <w:szCs w:val="20"/>
          <w:lang w:val="es-MX"/>
        </w:rPr>
        <w:t>i)</w:t>
      </w:r>
      <w:r w:rsidRPr="00A532DC">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BBEC208" w14:textId="77777777" w:rsidR="00D82BC7" w:rsidRPr="00A532DC" w:rsidRDefault="00D82BC7" w:rsidP="00D82BC7">
      <w:pPr>
        <w:spacing w:after="0" w:line="240" w:lineRule="auto"/>
        <w:ind w:left="709" w:right="709"/>
        <w:jc w:val="both"/>
        <w:rPr>
          <w:rFonts w:ascii="Verdana" w:hAnsi="Verdana" w:cs="Arial"/>
          <w:sz w:val="20"/>
          <w:szCs w:val="20"/>
        </w:rPr>
      </w:pPr>
    </w:p>
    <w:p w14:paraId="10268B8B" w14:textId="77777777" w:rsidR="00D82BC7" w:rsidRPr="00A532DC" w:rsidRDefault="00D82BC7" w:rsidP="00D82BC7">
      <w:pPr>
        <w:spacing w:after="0" w:line="240" w:lineRule="auto"/>
        <w:ind w:left="709" w:right="709"/>
        <w:jc w:val="both"/>
        <w:rPr>
          <w:rFonts w:ascii="Verdana" w:hAnsi="Verdana" w:cs="Arial"/>
          <w:sz w:val="20"/>
          <w:szCs w:val="20"/>
        </w:rPr>
      </w:pPr>
      <w:proofErr w:type="spellStart"/>
      <w:r w:rsidRPr="00A532DC">
        <w:rPr>
          <w:rFonts w:ascii="Verdana" w:hAnsi="Verdana" w:cs="Arial"/>
          <w:sz w:val="20"/>
          <w:szCs w:val="20"/>
        </w:rPr>
        <w:t>ii</w:t>
      </w:r>
      <w:proofErr w:type="spellEnd"/>
      <w:r w:rsidRPr="00A532DC">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1C416DC" w14:textId="77777777" w:rsidR="00D82BC7" w:rsidRPr="00A532DC" w:rsidRDefault="00D82BC7" w:rsidP="00D82BC7">
      <w:pPr>
        <w:spacing w:after="0" w:line="276" w:lineRule="auto"/>
        <w:ind w:left="709" w:right="709"/>
        <w:jc w:val="both"/>
        <w:rPr>
          <w:rFonts w:ascii="Verdana" w:hAnsi="Verdana" w:cs="Arial"/>
        </w:rPr>
      </w:pPr>
    </w:p>
    <w:p w14:paraId="4AADB4B6" w14:textId="77777777" w:rsidR="00D82BC7" w:rsidRDefault="00D82BC7" w:rsidP="00D82BC7">
      <w:pPr>
        <w:spacing w:after="120" w:line="276" w:lineRule="auto"/>
        <w:ind w:firstLine="709"/>
        <w:jc w:val="both"/>
        <w:rPr>
          <w:rFonts w:ascii="Verdana" w:eastAsia="Arial" w:hAnsi="Verdana" w:cs="Arial"/>
          <w:i/>
          <w:iCs/>
          <w:lang w:eastAsia="es-ES" w:bidi="es-ES"/>
        </w:rPr>
      </w:pPr>
      <w:r w:rsidRPr="00A532DC">
        <w:rPr>
          <w:rFonts w:ascii="Verdana" w:eastAsia="Arial" w:hAnsi="Verdana" w:cs="Arial"/>
          <w:lang w:val="es-MX" w:eastAsia="es-ES" w:bidi="es-ES"/>
        </w:rPr>
        <w:t xml:space="preserve">De conformidad con los argumentos de dicha providencia, se parte de la distinción entre los conceptos </w:t>
      </w:r>
      <w:r w:rsidRPr="00A532DC">
        <w:rPr>
          <w:rFonts w:ascii="Verdana" w:eastAsia="Arial" w:hAnsi="Verdana" w:cs="Arial"/>
          <w:lang w:eastAsia="es-ES" w:bidi="es-ES"/>
        </w:rPr>
        <w:t xml:space="preserve">de “convenio” y “contrato” interadministrativos, </w:t>
      </w:r>
      <w:r w:rsidRPr="00A532DC">
        <w:rPr>
          <w:rFonts w:ascii="Verdana" w:eastAsia="Arial" w:hAnsi="Verdana" w:cs="Arial"/>
          <w:lang w:eastAsia="es-ES" w:bidi="es-ES"/>
        </w:rPr>
        <w:lastRenderedPageBreak/>
        <w:t>para diferenciarlos en su naturaleza, contenido y alcance, lo cual ha servido de fundamento para que tanto la Sección Tercera como también la Sala de Consulta y Servicio Civil de esa Corporación hayan realzado la distinción entre uno y otro negocio jurídico</w:t>
      </w:r>
      <w:r>
        <w:rPr>
          <w:rFonts w:ascii="Verdana" w:eastAsia="Arial" w:hAnsi="Verdana" w:cs="Arial"/>
          <w:lang w:eastAsia="es-ES" w:bidi="es-ES"/>
        </w:rPr>
        <w:t>.</w:t>
      </w:r>
      <w:r w:rsidRPr="00A532DC">
        <w:rPr>
          <w:rFonts w:ascii="Times New Roman" w:hAnsi="Times New Roman"/>
          <w:sz w:val="24"/>
          <w:szCs w:val="24"/>
          <w:lang w:eastAsia="es-CO"/>
        </w:rPr>
        <w:t xml:space="preserve"> </w:t>
      </w:r>
      <w:r>
        <w:rPr>
          <w:rFonts w:ascii="Verdana" w:eastAsia="Arial" w:hAnsi="Verdana" w:cs="Arial"/>
          <w:lang w:eastAsia="es-ES" w:bidi="es-ES"/>
        </w:rPr>
        <w:t xml:space="preserve">En este sentido, en relación con el parágrafo del artículo 38 de la Ley 996 de 2005 concluyó que </w:t>
      </w:r>
      <w:r>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4FA8C34" w14:textId="233E2DA9" w:rsidR="00D82BC7" w:rsidRDefault="00D82BC7" w:rsidP="00D82BC7">
      <w:pPr>
        <w:spacing w:after="120" w:line="276" w:lineRule="auto"/>
        <w:ind w:firstLine="709"/>
        <w:jc w:val="both"/>
        <w:rPr>
          <w:rFonts w:ascii="Verdana" w:eastAsia="Arial" w:hAnsi="Verdana" w:cs="Arial"/>
          <w:lang w:eastAsia="es-ES" w:bidi="es-ES"/>
        </w:rPr>
      </w:pPr>
      <w:r>
        <w:rPr>
          <w:rFonts w:ascii="Verdana" w:eastAsia="Arial" w:hAnsi="Verdana" w:cs="Arial"/>
          <w:lang w:eastAsia="es-ES" w:bidi="es-ES"/>
        </w:rPr>
        <w:t xml:space="preserve">De igual manera, mediante auto del 6 de noviembre de 2025, el Consejo de Estado, Sección Tercera, Subsección A, </w:t>
      </w:r>
      <w:r w:rsidRPr="006F282E">
        <w:rPr>
          <w:rFonts w:ascii="Verdana" w:eastAsia="Arial" w:hAnsi="Verdana" w:cs="Arial"/>
          <w:lang w:eastAsia="es-ES" w:bidi="es-ES"/>
        </w:rPr>
        <w:t>decretó</w:t>
      </w:r>
      <w:r w:rsidRPr="006F282E">
        <w:rPr>
          <w:rFonts w:ascii="Verdana" w:eastAsia="Arial" w:hAnsi="Verdana" w:cs="Arial"/>
          <w:b/>
          <w:bCs/>
          <w:lang w:eastAsia="es-ES" w:bidi="es-ES"/>
        </w:rPr>
        <w:t xml:space="preserve"> </w:t>
      </w:r>
      <w:r w:rsidRPr="006F282E">
        <w:rPr>
          <w:rFonts w:ascii="Verdana" w:eastAsia="Arial" w:hAnsi="Verdana" w:cs="Arial"/>
          <w:lang w:eastAsia="es-ES" w:bidi="es-ES"/>
        </w:rPr>
        <w:t>la suspensión provisional de los apartes cuestionados del inciso segundo</w:t>
      </w:r>
      <w:r>
        <w:rPr>
          <w:rFonts w:ascii="Verdana" w:eastAsia="Arial" w:hAnsi="Verdana" w:cs="Arial"/>
          <w:lang w:eastAsia="es-ES" w:bidi="es-ES"/>
        </w:rPr>
        <w:t xml:space="preserve"> y del inciso cuarto</w:t>
      </w:r>
      <w:r w:rsidRPr="006F282E">
        <w:rPr>
          <w:rFonts w:ascii="Verdana" w:eastAsia="Arial" w:hAnsi="Verdana" w:cs="Arial"/>
          <w:lang w:eastAsia="es-ES" w:bidi="es-ES"/>
        </w:rPr>
        <w:t xml:space="preserve"> del numeral 16.2 de la Circular Externa </w:t>
      </w:r>
      <w:r>
        <w:rPr>
          <w:rFonts w:ascii="Verdana" w:eastAsia="Arial" w:hAnsi="Verdana" w:cs="Arial"/>
          <w:lang w:eastAsia="es-ES" w:bidi="es-ES"/>
        </w:rPr>
        <w:t>Ú</w:t>
      </w:r>
      <w:r w:rsidRPr="006F282E">
        <w:rPr>
          <w:rFonts w:ascii="Verdana" w:eastAsia="Arial" w:hAnsi="Verdana" w:cs="Arial"/>
          <w:lang w:eastAsia="es-ES" w:bidi="es-ES"/>
        </w:rPr>
        <w:t>nica, versión 3 del 27 de diciembre de 2023, expedida por la Agencia Nacional de Contratación Pública – Colombia Compra Eficiente</w:t>
      </w:r>
      <w:r>
        <w:rPr>
          <w:rFonts w:ascii="Verdana" w:eastAsia="Arial" w:hAnsi="Verdana" w:cs="Arial"/>
          <w:lang w:eastAsia="es-ES" w:bidi="es-ES"/>
        </w:rPr>
        <w:t xml:space="preserve"> relacionados con los contratos interadministrativos</w:t>
      </w:r>
      <w:r>
        <w:rPr>
          <w:rStyle w:val="Refdenotaalpie"/>
          <w:rFonts w:ascii="Verdana" w:eastAsia="Arial" w:hAnsi="Verdana" w:cs="Arial"/>
          <w:lang w:eastAsia="es-ES" w:bidi="es-ES"/>
        </w:rPr>
        <w:footnoteReference w:id="26"/>
      </w:r>
      <w:r>
        <w:rPr>
          <w:rFonts w:ascii="Verdana" w:eastAsia="Arial" w:hAnsi="Verdana" w:cs="Arial"/>
          <w:lang w:eastAsia="es-ES" w:bidi="es-ES"/>
        </w:rPr>
        <w:t xml:space="preserve">. Para tales efectos, el alto tribunal resaltó la interpretación restrictiva de </w:t>
      </w:r>
      <w:r w:rsidRPr="001520F6">
        <w:rPr>
          <w:rFonts w:ascii="Verdana" w:eastAsia="Arial" w:hAnsi="Verdana" w:cs="Arial"/>
          <w:lang w:eastAsia="es-ES" w:bidi="es-ES"/>
        </w:rPr>
        <w:t xml:space="preserve">las normas que contienen prohibiciones, como la del parágrafo del artículo 38 de la Ley 996 de 2005, por manera que se excluye la analogía </w:t>
      </w:r>
      <w:proofErr w:type="spellStart"/>
      <w:r w:rsidRPr="001520F6">
        <w:rPr>
          <w:rFonts w:ascii="Verdana" w:eastAsia="Arial" w:hAnsi="Verdana" w:cs="Arial"/>
          <w:lang w:eastAsia="es-ES" w:bidi="es-ES"/>
        </w:rPr>
        <w:t>legis</w:t>
      </w:r>
      <w:proofErr w:type="spellEnd"/>
      <w:r w:rsidRPr="001520F6">
        <w:rPr>
          <w:rFonts w:ascii="Verdana" w:eastAsia="Arial" w:hAnsi="Verdana" w:cs="Arial"/>
          <w:lang w:eastAsia="es-ES" w:bidi="es-ES"/>
        </w:rPr>
        <w:t xml:space="preserve"> o iuris y la interpretación extensiva</w:t>
      </w:r>
      <w:r>
        <w:rPr>
          <w:rFonts w:ascii="Verdana" w:eastAsia="Arial" w:hAnsi="Verdana" w:cs="Arial"/>
          <w:lang w:eastAsia="es-ES" w:bidi="es-ES"/>
        </w:rPr>
        <w:t xml:space="preserve"> y reiteró los argumentos sobre la diferencia entre contratos y convenios interadministrativos. </w:t>
      </w:r>
    </w:p>
    <w:p w14:paraId="28532095" w14:textId="77777777" w:rsidR="00A753B6" w:rsidRDefault="00A753B6" w:rsidP="00A753B6">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lastRenderedPageBreak/>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1815CC2C" w14:textId="77777777" w:rsidR="00A753B6" w:rsidRDefault="00A753B6" w:rsidP="00A753B6">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27"/>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36A8496" w14:textId="5130E3A4" w:rsidR="00A753B6" w:rsidRPr="00446D58" w:rsidRDefault="00A753B6" w:rsidP="00A753B6">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1AE15174" w14:textId="0876C964" w:rsidR="00D82BC7" w:rsidRDefault="00D82BC7" w:rsidP="00D82BC7">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Así las cosas, a la luz de lo expuesto por el Consejo de Estado</w:t>
      </w:r>
      <w:r w:rsidR="00A753B6">
        <w:rPr>
          <w:rFonts w:ascii="Verdana" w:eastAsia="Times New Roman" w:hAnsi="Verdana" w:cs="Arial"/>
          <w:lang w:eastAsia="es-CO"/>
        </w:rPr>
        <w:t xml:space="preserve">, </w:t>
      </w:r>
      <w:r w:rsidR="00A753B6" w:rsidRPr="2035D652">
        <w:rPr>
          <w:rFonts w:ascii="Verdana" w:eastAsia="Times New Roman" w:hAnsi="Verdana" w:cs="Arial"/>
          <w:lang w:eastAsia="es-CO"/>
        </w:rPr>
        <w:t>en la sentencia expedida por la Sección Tercera de la Sala de lo Contencioso Administrativo del 17 de octubre de 2025</w:t>
      </w:r>
      <w:r w:rsidR="00A753B6">
        <w:rPr>
          <w:rFonts w:ascii="Verdana" w:eastAsia="Times New Roman" w:hAnsi="Verdana" w:cs="Arial"/>
          <w:lang w:eastAsia="es-CO"/>
        </w:rPr>
        <w:t>,</w:t>
      </w:r>
      <w:r>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982372">
        <w:rPr>
          <w:rFonts w:ascii="Verdana" w:eastAsia="Times New Roman" w:hAnsi="Verdana" w:cs="Arial"/>
          <w:i/>
          <w:iCs/>
          <w:lang w:eastAsia="es-CO"/>
        </w:rPr>
        <w:t xml:space="preserve">contratos </w:t>
      </w:r>
      <w:r w:rsidRPr="00982372">
        <w:rPr>
          <w:rFonts w:ascii="Verdana" w:eastAsia="Times New Roman" w:hAnsi="Verdana" w:cs="Arial"/>
          <w:i/>
          <w:iCs/>
          <w:lang w:eastAsia="es-CO"/>
        </w:rPr>
        <w:lastRenderedPageBreak/>
        <w:t>interadministrativos</w:t>
      </w:r>
      <w:r w:rsidR="00A753B6">
        <w:rPr>
          <w:rFonts w:ascii="Verdana" w:eastAsia="Times New Roman" w:hAnsi="Verdana" w:cs="Arial"/>
          <w:lang w:eastAsia="es-CO"/>
        </w:rPr>
        <w:t>, esta prohibición solo aplicaría a los convenios interadministrativos que impliquen la ejecución de recursos públicos</w:t>
      </w:r>
      <w:r w:rsidR="00A753B6">
        <w:rPr>
          <w:rStyle w:val="Refdenotaalpie"/>
          <w:rFonts w:ascii="Verdana" w:eastAsia="Times New Roman" w:hAnsi="Verdana" w:cs="Arial"/>
          <w:lang w:eastAsia="es-CO"/>
        </w:rPr>
        <w:footnoteReference w:id="28"/>
      </w:r>
      <w:r>
        <w:rPr>
          <w:rFonts w:ascii="Verdana" w:eastAsia="Times New Roman" w:hAnsi="Verdana" w:cs="Arial"/>
          <w:lang w:eastAsia="es-CO"/>
        </w:rPr>
        <w:t xml:space="preserve">. </w:t>
      </w:r>
    </w:p>
    <w:p w14:paraId="50FE8936" w14:textId="5CCCA1A6" w:rsidR="00D82BC7" w:rsidRPr="00496D28" w:rsidRDefault="00D82BC7" w:rsidP="00D82BC7">
      <w:pPr>
        <w:spacing w:after="120" w:line="276" w:lineRule="auto"/>
        <w:ind w:firstLine="709"/>
        <w:jc w:val="both"/>
        <w:rPr>
          <w:rFonts w:ascii="Verdana" w:eastAsia="Times New Roman" w:hAnsi="Verdana" w:cs="Arial"/>
          <w:lang w:eastAsia="es-CO"/>
        </w:rPr>
      </w:pPr>
      <w:r w:rsidRPr="00496D28">
        <w:rPr>
          <w:rFonts w:ascii="Verdana" w:eastAsia="Times New Roman" w:hAnsi="Verdana" w:cs="Arial"/>
          <w:lang w:eastAsia="es-CO"/>
        </w:rPr>
        <w:t xml:space="preserve">En este contexto, resulta necesario verificar dos aspectos fundamentales: (i) si la celebración del </w:t>
      </w:r>
      <w:r w:rsidR="00A753B6">
        <w:rPr>
          <w:rFonts w:ascii="Verdana" w:eastAsia="Times New Roman" w:hAnsi="Verdana" w:cs="Arial"/>
          <w:lang w:eastAsia="es-CO"/>
        </w:rPr>
        <w:t>negocio jurídico</w:t>
      </w:r>
      <w:r w:rsidR="00A753B6" w:rsidRPr="00496D28">
        <w:rPr>
          <w:rFonts w:ascii="Verdana" w:eastAsia="Times New Roman" w:hAnsi="Verdana" w:cs="Arial"/>
          <w:lang w:eastAsia="es-CO"/>
        </w:rPr>
        <w:t xml:space="preserve"> </w:t>
      </w:r>
      <w:r w:rsidRPr="00496D28">
        <w:rPr>
          <w:rFonts w:ascii="Verdana" w:eastAsia="Times New Roman" w:hAnsi="Verdana" w:cs="Arial"/>
          <w:lang w:eastAsia="es-CO"/>
        </w:rPr>
        <w:t>involucra a alguno de los sujetos mencionados en el parágrafo del artículo 38 de la Ley de Garantías Electorales, y (</w:t>
      </w:r>
      <w:proofErr w:type="spellStart"/>
      <w:r w:rsidRPr="00496D28">
        <w:rPr>
          <w:rFonts w:ascii="Verdana" w:eastAsia="Times New Roman" w:hAnsi="Verdana" w:cs="Arial"/>
          <w:lang w:eastAsia="es-CO"/>
        </w:rPr>
        <w:t>ii</w:t>
      </w:r>
      <w:proofErr w:type="spellEnd"/>
      <w:r w:rsidRPr="00496D28">
        <w:rPr>
          <w:rFonts w:ascii="Verdana" w:eastAsia="Times New Roman" w:hAnsi="Verdana" w:cs="Arial"/>
          <w:lang w:eastAsia="es-CO"/>
        </w:rPr>
        <w:t xml:space="preserve">) si </w:t>
      </w:r>
      <w:r>
        <w:rPr>
          <w:rFonts w:ascii="Verdana" w:eastAsia="Times New Roman" w:hAnsi="Verdana" w:cs="Arial"/>
          <w:lang w:eastAsia="es-CO"/>
        </w:rPr>
        <w:t>el objeto</w:t>
      </w:r>
      <w:r w:rsidRPr="00496D28">
        <w:rPr>
          <w:rFonts w:ascii="Verdana" w:eastAsia="Times New Roman" w:hAnsi="Verdana" w:cs="Arial"/>
          <w:lang w:eastAsia="es-CO"/>
        </w:rPr>
        <w:t xml:space="preserve"> proyectad</w:t>
      </w:r>
      <w:r>
        <w:rPr>
          <w:rFonts w:ascii="Verdana" w:eastAsia="Times New Roman" w:hAnsi="Verdana" w:cs="Arial"/>
          <w:lang w:eastAsia="es-CO"/>
        </w:rPr>
        <w:t>o</w:t>
      </w:r>
      <w:r w:rsidRPr="00496D28">
        <w:rPr>
          <w:rFonts w:ascii="Verdana" w:eastAsia="Times New Roman" w:hAnsi="Verdana" w:cs="Arial"/>
          <w:lang w:eastAsia="es-CO"/>
        </w:rPr>
        <w:t xml:space="preserve"> tiene la naturaleza de un convenio interadministrativo destinado a la ejecución de recursos públicos. </w:t>
      </w:r>
      <w:r>
        <w:rPr>
          <w:rFonts w:ascii="Verdana" w:hAnsi="Verdana" w:cs="Arial"/>
        </w:rPr>
        <w:t>Cuando este sea el caso</w:t>
      </w:r>
      <w:r>
        <w:rPr>
          <w:rFonts w:ascii="Verdana" w:eastAsia="Times New Roman" w:hAnsi="Verdana" w:cs="Arial"/>
          <w:lang w:eastAsia="es-CO"/>
        </w:rPr>
        <w:t>,</w:t>
      </w:r>
      <w:r w:rsidRPr="00496D28">
        <w:rPr>
          <w:rFonts w:ascii="Verdana" w:eastAsia="Times New Roman" w:hAnsi="Verdana" w:cs="Arial"/>
          <w:lang w:eastAsia="es-CO"/>
        </w:rPr>
        <w:t xml:space="preserve"> opera la prohibición establecida en la norma, </w:t>
      </w:r>
      <w:r>
        <w:rPr>
          <w:rFonts w:ascii="Verdana" w:eastAsia="Times New Roman" w:hAnsi="Verdana" w:cs="Arial"/>
          <w:lang w:eastAsia="es-CO"/>
        </w:rPr>
        <w:t>restringiendo</w:t>
      </w:r>
      <w:r w:rsidRPr="00496D28">
        <w:rPr>
          <w:rFonts w:ascii="Verdana" w:eastAsia="Times New Roman" w:hAnsi="Verdana" w:cs="Arial"/>
          <w:lang w:eastAsia="es-CO"/>
        </w:rPr>
        <w:t xml:space="preserve"> la celebración de tales convenios durante los cuatro</w:t>
      </w:r>
      <w:r w:rsidR="00A753B6">
        <w:rPr>
          <w:rFonts w:ascii="Verdana" w:eastAsia="Times New Roman" w:hAnsi="Verdana" w:cs="Arial"/>
          <w:lang w:eastAsia="es-CO"/>
        </w:rPr>
        <w:t xml:space="preserve"> (4)</w:t>
      </w:r>
      <w:r w:rsidRPr="00496D28">
        <w:rPr>
          <w:rFonts w:ascii="Verdana" w:eastAsia="Times New Roman" w:hAnsi="Verdana" w:cs="Arial"/>
          <w:lang w:eastAsia="es-CO"/>
        </w:rPr>
        <w:t xml:space="preserve"> meses previos a cualquier contienda electoral</w:t>
      </w:r>
      <w:r>
        <w:rPr>
          <w:rFonts w:ascii="Verdana" w:eastAsia="Times New Roman" w:hAnsi="Verdana" w:cs="Arial"/>
          <w:lang w:eastAsia="es-CO"/>
        </w:rPr>
        <w:t xml:space="preserve">, pues como se indicó, </w:t>
      </w:r>
      <w:r w:rsidRPr="00700FB0">
        <w:rPr>
          <w:rFonts w:ascii="Verdana" w:eastAsia="Times New Roman" w:hAnsi="Verdana" w:cs="Arial"/>
          <w:lang w:eastAsia="es-CO"/>
        </w:rPr>
        <w:t xml:space="preserve">la restricción aplicará a los sujetos allí señalados, </w:t>
      </w:r>
      <w:r w:rsidRPr="002776FC">
        <w:rPr>
          <w:rFonts w:ascii="Verdana" w:eastAsia="Times New Roman" w:hAnsi="Verdana" w:cs="Arial"/>
          <w:i/>
          <w:iCs/>
          <w:lang w:eastAsia="es-CO"/>
        </w:rPr>
        <w:t>“aunque se configure alguno de los supuestos de excepción que señaló el inciso final del artículo 33”.</w:t>
      </w:r>
      <w:r w:rsidRPr="00700FB0">
        <w:rPr>
          <w:rFonts w:ascii="Verdana" w:eastAsia="Times New Roman" w:hAnsi="Verdana" w:cs="Arial"/>
          <w:lang w:eastAsia="es-CO"/>
        </w:rPr>
        <w:t xml:space="preserve"> </w:t>
      </w:r>
    </w:p>
    <w:p w14:paraId="4FE2ADB0" w14:textId="77777777" w:rsidR="00D82BC7" w:rsidRPr="00496D28" w:rsidRDefault="00D82BC7" w:rsidP="00D82BC7">
      <w:pPr>
        <w:spacing w:after="120" w:line="276" w:lineRule="auto"/>
        <w:ind w:firstLine="709"/>
        <w:jc w:val="both"/>
        <w:rPr>
          <w:rFonts w:ascii="Verdana" w:eastAsia="Times New Roman" w:hAnsi="Verdana" w:cs="Arial"/>
          <w:lang w:eastAsia="es-CO"/>
        </w:rPr>
      </w:pPr>
      <w:r w:rsidRPr="00496D28">
        <w:rPr>
          <w:rFonts w:ascii="Verdana" w:eastAsia="Times New Roman" w:hAnsi="Verdana" w:cs="Arial"/>
          <w:lang w:eastAsia="es-CO"/>
        </w:rPr>
        <w:t xml:space="preserve">Por </w:t>
      </w:r>
      <w:r>
        <w:rPr>
          <w:rFonts w:ascii="Verdana" w:eastAsia="Times New Roman" w:hAnsi="Verdana" w:cs="Arial"/>
          <w:lang w:eastAsia="es-CO"/>
        </w:rPr>
        <w:t>su parte</w:t>
      </w:r>
      <w:r w:rsidRPr="00496D28">
        <w:rPr>
          <w:rFonts w:ascii="Verdana" w:eastAsia="Times New Roman" w:hAnsi="Verdana" w:cs="Arial"/>
          <w:lang w:eastAsia="es-CO"/>
        </w:rPr>
        <w:t>, conforme a lo señalado por el Consejo de Estado</w:t>
      </w:r>
      <w:r>
        <w:rPr>
          <w:rFonts w:ascii="Verdana" w:eastAsia="Times New Roman" w:hAnsi="Verdana" w:cs="Arial"/>
          <w:lang w:eastAsia="es-CO"/>
        </w:rPr>
        <w:t xml:space="preserve">, </w:t>
      </w:r>
      <w:r w:rsidRPr="00496D28">
        <w:rPr>
          <w:rFonts w:ascii="Verdana" w:eastAsia="Times New Roman" w:hAnsi="Verdana" w:cs="Arial"/>
          <w:lang w:eastAsia="es-CO"/>
        </w:rPr>
        <w:t xml:space="preserve">cuando dos entidades públicas celebren un </w:t>
      </w:r>
      <w:r w:rsidRPr="00496D28">
        <w:rPr>
          <w:rFonts w:ascii="Verdana" w:eastAsia="Times New Roman" w:hAnsi="Verdana" w:cs="Arial"/>
          <w:i/>
          <w:iCs/>
          <w:lang w:eastAsia="es-CO"/>
        </w:rPr>
        <w:t>contrato interadministrativo,</w:t>
      </w:r>
      <w:r>
        <w:rPr>
          <w:rFonts w:ascii="Verdana" w:eastAsia="Times New Roman" w:hAnsi="Verdana" w:cs="Arial"/>
          <w:lang w:eastAsia="es-CO"/>
        </w:rPr>
        <w:t xml:space="preserve"> independientemente del objeto,</w:t>
      </w:r>
      <w:r w:rsidRPr="00496D28">
        <w:rPr>
          <w:rFonts w:ascii="Verdana" w:eastAsia="Times New Roman" w:hAnsi="Verdana" w:cs="Arial"/>
          <w:lang w:eastAsia="es-CO"/>
        </w:rPr>
        <w:t xml:space="preserve"> dicho contrato puede suscribirse durante el periodo preelectoral. </w:t>
      </w:r>
      <w:r>
        <w:rPr>
          <w:rFonts w:ascii="Verdana" w:eastAsia="Times New Roman" w:hAnsi="Verdana" w:cs="Arial"/>
          <w:lang w:eastAsia="es-CO"/>
        </w:rPr>
        <w:t xml:space="preserve">Por consiguiente y de acuerdo con la referida posición del Consejo de Estado, si el contrato </w:t>
      </w:r>
      <w:r w:rsidRPr="00496D28">
        <w:rPr>
          <w:rFonts w:ascii="Verdana" w:eastAsia="Times New Roman" w:hAnsi="Verdana" w:cs="Arial"/>
          <w:lang w:eastAsia="es-CO"/>
        </w:rPr>
        <w:t>involucra a alguno de los sujetos mencionados en el parágrafo del artículo 38 de la Ley de Garantías Electorales</w:t>
      </w:r>
      <w:r>
        <w:rPr>
          <w:rFonts w:ascii="Verdana" w:eastAsia="Times New Roman" w:hAnsi="Verdana" w:cs="Arial"/>
          <w:lang w:eastAsia="es-CO"/>
        </w:rPr>
        <w:t xml:space="preserve"> y se constituye como un contrato interadministrativo, no le </w:t>
      </w:r>
      <w:r w:rsidRPr="00496D28">
        <w:rPr>
          <w:rFonts w:ascii="Verdana" w:eastAsia="Times New Roman" w:hAnsi="Verdana" w:cs="Arial"/>
          <w:lang w:eastAsia="es-CO"/>
        </w:rPr>
        <w:t>result</w:t>
      </w:r>
      <w:r>
        <w:rPr>
          <w:rFonts w:ascii="Verdana" w:eastAsia="Times New Roman" w:hAnsi="Verdana" w:cs="Arial"/>
          <w:lang w:eastAsia="es-CO"/>
        </w:rPr>
        <w:t>a</w:t>
      </w:r>
      <w:r w:rsidRPr="00496D28">
        <w:rPr>
          <w:rFonts w:ascii="Verdana" w:eastAsia="Times New Roman" w:hAnsi="Verdana" w:cs="Arial"/>
          <w:lang w:eastAsia="es-CO"/>
        </w:rPr>
        <w:t xml:space="preserve"> aplicable la limitación prevista en el parágrafo del artículo 38.</w:t>
      </w:r>
      <w:r>
        <w:rPr>
          <w:rFonts w:ascii="Verdana" w:eastAsia="Times New Roman" w:hAnsi="Verdana" w:cs="Arial"/>
          <w:lang w:eastAsia="es-CO"/>
        </w:rPr>
        <w:t xml:space="preserve"> </w:t>
      </w:r>
    </w:p>
    <w:p w14:paraId="462E274F" w14:textId="5B76E6E2" w:rsidR="00D82BC7" w:rsidRDefault="00D82BC7" w:rsidP="00D82BC7">
      <w:pPr>
        <w:spacing w:after="120" w:line="276" w:lineRule="auto"/>
        <w:ind w:firstLine="709"/>
        <w:jc w:val="both"/>
        <w:rPr>
          <w:rFonts w:ascii="Verdana" w:eastAsia="Arial" w:hAnsi="Verdana" w:cs="Arial"/>
          <w:lang w:val="es-ES" w:eastAsia="es-ES" w:bidi="es-ES"/>
        </w:rPr>
      </w:pPr>
      <w:r>
        <w:rPr>
          <w:rFonts w:ascii="Verdana" w:eastAsia="Times New Roman" w:hAnsi="Verdana" w:cs="Arial"/>
          <w:lang w:val="es-ES" w:eastAsia="es-CO" w:bidi="es-ES"/>
        </w:rPr>
        <w:t>En todo caso</w:t>
      </w:r>
      <w:r>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w:t>
      </w:r>
      <w:r w:rsidR="00A753B6">
        <w:rPr>
          <w:rFonts w:ascii="Verdana" w:eastAsia="Arial" w:hAnsi="Verdana" w:cs="Arial"/>
          <w:lang w:val="es-ES" w:eastAsia="es-ES" w:bidi="es-ES"/>
        </w:rPr>
        <w:t xml:space="preserve"> Electorales</w:t>
      </w:r>
      <w:r>
        <w:rPr>
          <w:rFonts w:ascii="Verdana" w:eastAsia="Arial" w:hAnsi="Verdana" w:cs="Arial"/>
          <w:lang w:val="es-ES" w:eastAsia="es-ES" w:bidi="es-ES"/>
        </w:rPr>
        <w:t xml:space="preserve">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Pr>
          <w:rFonts w:ascii="Verdana" w:eastAsia="Arial" w:hAnsi="Verdana" w:cs="Arial"/>
          <w:vertAlign w:val="superscript"/>
          <w:lang w:val="es-ES" w:eastAsia="es-ES" w:bidi="es-ES"/>
        </w:rPr>
        <w:footnoteReference w:id="29"/>
      </w:r>
      <w:r>
        <w:rPr>
          <w:rFonts w:ascii="Verdana" w:eastAsia="Arial" w:hAnsi="Verdana" w:cs="Arial"/>
          <w:lang w:val="es-ES" w:eastAsia="es-ES" w:bidi="es-ES"/>
        </w:rPr>
        <w:t>.</w:t>
      </w:r>
    </w:p>
    <w:p w14:paraId="73A6CA87" w14:textId="77777777" w:rsidR="00D82BC7" w:rsidRPr="004A44AF" w:rsidRDefault="00D82BC7" w:rsidP="00D82BC7">
      <w:pPr>
        <w:spacing w:after="120" w:line="276" w:lineRule="auto"/>
        <w:ind w:firstLine="709"/>
        <w:jc w:val="both"/>
        <w:rPr>
          <w:rFonts w:ascii="Verdana" w:eastAsia="Arial" w:hAnsi="Verdana" w:cs="Arial"/>
          <w:bCs/>
          <w:color w:val="000000" w:themeColor="text1"/>
          <w:lang w:val="es-ES"/>
        </w:rPr>
      </w:pPr>
      <w:r>
        <w:rPr>
          <w:rFonts w:ascii="Verdana" w:eastAsia="Arial" w:hAnsi="Verdana" w:cs="Arial"/>
          <w:lang w:val="es-ES" w:eastAsia="es-ES" w:bidi="es-ES"/>
        </w:rPr>
        <w:t xml:space="preserve">En síntesis, por virtud de las excepciones establecidas en el </w:t>
      </w:r>
      <w:r w:rsidRPr="00992E50">
        <w:rPr>
          <w:rFonts w:ascii="Verdana" w:hAnsi="Verdana" w:cs="Arial"/>
          <w:bCs/>
          <w:color w:val="000000" w:themeColor="text1"/>
          <w:lang w:val="es-ES"/>
        </w:rPr>
        <w:t>segundo inciso</w:t>
      </w:r>
      <w:r>
        <w:rPr>
          <w:rFonts w:ascii="Verdana" w:hAnsi="Verdana" w:cs="Arial"/>
          <w:bCs/>
          <w:color w:val="000000" w:themeColor="text1"/>
          <w:lang w:val="es-ES"/>
        </w:rPr>
        <w:t xml:space="preserve"> del</w:t>
      </w:r>
      <w:r w:rsidRPr="00992E50">
        <w:rPr>
          <w:rFonts w:ascii="Verdana" w:hAnsi="Verdana" w:cs="Arial"/>
          <w:bCs/>
          <w:color w:val="000000" w:themeColor="text1"/>
          <w:lang w:val="es-ES"/>
        </w:rPr>
        <w:t xml:space="preserve"> </w:t>
      </w:r>
      <w:r>
        <w:rPr>
          <w:rFonts w:ascii="Verdana" w:eastAsia="Arial" w:hAnsi="Verdana" w:cs="Arial"/>
          <w:lang w:val="es-ES" w:eastAsia="es-ES" w:bidi="es-ES"/>
        </w:rPr>
        <w:t>artículo 33</w:t>
      </w:r>
      <w:r>
        <w:rPr>
          <w:rFonts w:ascii="Verdana" w:eastAsia="Arial" w:hAnsi="Verdana" w:cs="Arial"/>
          <w:bCs/>
          <w:color w:val="000000" w:themeColor="text1"/>
          <w:lang w:val="es-ES"/>
        </w:rPr>
        <w:t xml:space="preserve"> </w:t>
      </w:r>
      <w:r w:rsidRPr="00992E50">
        <w:rPr>
          <w:rFonts w:ascii="Verdana" w:eastAsia="Arial" w:hAnsi="Verdana" w:cs="Arial"/>
          <w:bCs/>
          <w:color w:val="000000" w:themeColor="text1"/>
          <w:lang w:val="es-ES"/>
        </w:rPr>
        <w:t>de la Ley de Garantías Electorales</w:t>
      </w:r>
      <w:r>
        <w:rPr>
          <w:rFonts w:ascii="Verdana" w:eastAsia="Arial" w:hAnsi="Verdana" w:cs="Arial"/>
          <w:bCs/>
          <w:color w:val="000000" w:themeColor="text1"/>
          <w:lang w:val="es-ES"/>
        </w:rPr>
        <w:t xml:space="preserve">, los </w:t>
      </w:r>
      <w:r w:rsidRPr="00992E50">
        <w:rPr>
          <w:rFonts w:ascii="Verdana" w:eastAsia="Arial" w:hAnsi="Verdana" w:cs="Arial"/>
          <w:bCs/>
          <w:color w:val="000000" w:themeColor="text1"/>
          <w:lang w:val="es-ES"/>
        </w:rPr>
        <w:t xml:space="preserve">entes del Estado </w:t>
      </w:r>
      <w:r>
        <w:rPr>
          <w:rFonts w:ascii="Verdana" w:eastAsia="Arial" w:hAnsi="Verdana" w:cs="Arial"/>
          <w:bCs/>
          <w:color w:val="000000" w:themeColor="text1"/>
          <w:lang w:val="es-ES"/>
        </w:rPr>
        <w:t xml:space="preserve">podrán </w:t>
      </w:r>
      <w:r>
        <w:rPr>
          <w:rFonts w:ascii="Verdana" w:eastAsia="Arial" w:hAnsi="Verdana" w:cs="Arial"/>
          <w:bCs/>
          <w:color w:val="000000" w:themeColor="text1"/>
          <w:lang w:val="es-ES"/>
        </w:rPr>
        <w:lastRenderedPageBreak/>
        <w:t xml:space="preserve">contratar directamente contratos </w:t>
      </w:r>
      <w:r>
        <w:rPr>
          <w:rFonts w:ascii="Verdana" w:eastAsia="Arial" w:hAnsi="Verdana" w:cs="Arial"/>
          <w:bCs/>
          <w:color w:val="000000" w:themeColor="text1"/>
        </w:rPr>
        <w:t>que</w:t>
      </w:r>
      <w:r w:rsidRPr="0049797F">
        <w:rPr>
          <w:rFonts w:ascii="Verdana" w:eastAsia="Arial" w:hAnsi="Verdana" w:cs="Arial"/>
          <w:bCs/>
          <w:color w:val="000000" w:themeColor="text1"/>
        </w:rPr>
        <w:t xml:space="preserve"> deban realizar las </w:t>
      </w:r>
      <w:r w:rsidRPr="00446D58">
        <w:rPr>
          <w:rFonts w:ascii="Verdana" w:eastAsia="Arial" w:hAnsi="Verdana" w:cs="Arial"/>
          <w:bCs/>
          <w:i/>
          <w:iCs/>
          <w:color w:val="000000" w:themeColor="text1"/>
        </w:rPr>
        <w:t>entidades sanitarias y hospitalarias</w:t>
      </w:r>
      <w:r>
        <w:rPr>
          <w:rFonts w:ascii="Verdana" w:eastAsia="Arial" w:hAnsi="Verdana" w:cs="Arial"/>
          <w:bCs/>
          <w:color w:val="000000" w:themeColor="text1"/>
          <w:lang w:val="es-ES"/>
        </w:rPr>
        <w:t xml:space="preserve">, </w:t>
      </w:r>
      <w:r w:rsidRPr="00B42A98">
        <w:rPr>
          <w:rFonts w:ascii="Verdana" w:eastAsia="Arial" w:hAnsi="Verdana" w:cs="Arial"/>
          <w:bCs/>
          <w:color w:val="000000" w:themeColor="text1"/>
        </w:rPr>
        <w:t>durante los cuatro (4) meses anteriores a las elecciones presidenciales</w:t>
      </w:r>
      <w:r>
        <w:rPr>
          <w:rFonts w:ascii="Verdana" w:eastAsia="Arial" w:hAnsi="Verdana" w:cs="Arial"/>
          <w:bCs/>
          <w:color w:val="000000" w:themeColor="text1"/>
          <w:lang w:val="es-ES"/>
        </w:rPr>
        <w:t xml:space="preserve">. Asimismo, si estos contratos se proyectan como contratos interadministrativos, de acuerdo con la postura del Consejo de Estado, tampoco les resultaría aplicable la restricción contenida en el parágrafo del artículo 38, por lo que podrían contratar dentro de </w:t>
      </w:r>
      <w:r w:rsidRPr="00CF7C89">
        <w:rPr>
          <w:rFonts w:ascii="Verdana" w:eastAsia="Arial" w:hAnsi="Verdana" w:cs="Arial"/>
          <w:bCs/>
          <w:color w:val="000000" w:themeColor="text1"/>
        </w:rPr>
        <w:t xml:space="preserve">los cuatro meses anteriores a las elecciones para cualquier cargo de elección popular a que se refiere la ley, incluido el de </w:t>
      </w:r>
      <w:proofErr w:type="gramStart"/>
      <w:r w:rsidRPr="00CF7C89">
        <w:rPr>
          <w:rFonts w:ascii="Verdana" w:eastAsia="Arial" w:hAnsi="Verdana" w:cs="Arial"/>
          <w:bCs/>
          <w:color w:val="000000" w:themeColor="text1"/>
        </w:rPr>
        <w:t>Presidente</w:t>
      </w:r>
      <w:proofErr w:type="gramEnd"/>
      <w:r w:rsidRPr="00CF7C89">
        <w:rPr>
          <w:rFonts w:ascii="Verdana" w:eastAsia="Arial" w:hAnsi="Verdana" w:cs="Arial"/>
          <w:bCs/>
          <w:color w:val="000000" w:themeColor="text1"/>
        </w:rPr>
        <w:t xml:space="preserve"> de la República</w:t>
      </w:r>
      <w:r>
        <w:rPr>
          <w:rFonts w:ascii="Verdana" w:eastAsia="Arial" w:hAnsi="Verdana" w:cs="Arial"/>
          <w:bCs/>
          <w:color w:val="000000" w:themeColor="text1"/>
        </w:rPr>
        <w:t>.</w:t>
      </w:r>
    </w:p>
    <w:p w14:paraId="60B48C29" w14:textId="77777777" w:rsidR="00D82BC7" w:rsidRDefault="00D82BC7" w:rsidP="00D82BC7">
      <w:pPr>
        <w:spacing w:after="120" w:line="276" w:lineRule="auto"/>
        <w:ind w:firstLine="709"/>
        <w:jc w:val="both"/>
        <w:rPr>
          <w:rFonts w:ascii="Verdana" w:eastAsia="Arial" w:hAnsi="Verdana" w:cs="Arial"/>
          <w:color w:val="000000" w:themeColor="text1"/>
        </w:rPr>
      </w:pPr>
      <w:r>
        <w:rPr>
          <w:rFonts w:ascii="Verdana" w:eastAsia="Arial" w:hAnsi="Verdana" w:cs="Arial"/>
          <w:bCs/>
          <w:color w:val="000000" w:themeColor="text1"/>
        </w:rPr>
        <w:t xml:space="preserve"> Vale anotar que e</w:t>
      </w:r>
      <w:r w:rsidRPr="00535ECD">
        <w:rPr>
          <w:rFonts w:ascii="Verdana" w:eastAsia="Arial" w:hAnsi="Verdana" w:cs="Arial"/>
          <w:bCs/>
          <w:color w:val="000000" w:themeColor="text1"/>
        </w:rPr>
        <w:t>s responsabilidad del respectivo ente del Estado examinar en cada caso la naturaleza de las actividades que adelanta y justificar si las mismas se enmarcan en alguna de las excepciones, de manera que pueda realizar la contratación directa durante el periodo de la prohibición.</w:t>
      </w:r>
      <w:r>
        <w:rPr>
          <w:rFonts w:ascii="Verdana" w:eastAsia="Arial" w:hAnsi="Verdana" w:cs="Arial"/>
          <w:bCs/>
          <w:color w:val="000000" w:themeColor="text1"/>
        </w:rPr>
        <w:t xml:space="preserve"> Igualmente, le corresponde a cada entidad </w:t>
      </w:r>
      <w:r w:rsidRPr="0090195E">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w:t>
      </w:r>
    </w:p>
    <w:p w14:paraId="0971E920" w14:textId="7726B643" w:rsidR="00D82BC7" w:rsidRDefault="00D82BC7" w:rsidP="00A753B6">
      <w:pPr>
        <w:spacing w:after="0" w:line="276" w:lineRule="auto"/>
        <w:ind w:firstLine="709"/>
        <w:jc w:val="both"/>
        <w:rPr>
          <w:rFonts w:ascii="Verdana" w:hAnsi="Verdana" w:cs="Arial"/>
          <w:bCs/>
          <w:color w:val="000000" w:themeColor="text1"/>
        </w:rPr>
      </w:pPr>
      <w:r>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32B2805" w14:textId="77777777" w:rsidR="00A753B6" w:rsidRPr="00A753B6" w:rsidRDefault="00A753B6" w:rsidP="00446D58">
      <w:pPr>
        <w:spacing w:after="0" w:line="276" w:lineRule="auto"/>
        <w:ind w:firstLine="709"/>
        <w:jc w:val="both"/>
        <w:rPr>
          <w:rFonts w:ascii="Verdana" w:hAnsi="Verdana" w:cs="Arial"/>
          <w:bCs/>
          <w:color w:val="000000" w:themeColor="text1"/>
        </w:rPr>
      </w:pPr>
    </w:p>
    <w:p w14:paraId="72091723" w14:textId="77777777" w:rsidR="00D82BC7" w:rsidRPr="00A753B6" w:rsidRDefault="00D82BC7" w:rsidP="00446D58">
      <w:pPr>
        <w:tabs>
          <w:tab w:val="left" w:pos="142"/>
          <w:tab w:val="left" w:pos="284"/>
          <w:tab w:val="left" w:pos="3828"/>
        </w:tabs>
        <w:spacing w:after="0" w:line="276" w:lineRule="auto"/>
        <w:rPr>
          <w:rFonts w:ascii="Verdana" w:eastAsia="Century Gothic" w:hAnsi="Verdana" w:cs="Century Gothic"/>
          <w:b/>
          <w:bCs/>
        </w:rPr>
      </w:pPr>
      <w:bookmarkStart w:id="2" w:name="_Hlk204854194"/>
      <w:r w:rsidRPr="00A753B6">
        <w:rPr>
          <w:rFonts w:ascii="Verdana" w:eastAsia="Century Gothic" w:hAnsi="Verdana" w:cs="Century Gothic"/>
          <w:b/>
          <w:bCs/>
        </w:rPr>
        <w:t>4. Referencias normativas y jurisprudenciales:</w:t>
      </w:r>
      <w:bookmarkEnd w:id="2"/>
    </w:p>
    <w:p w14:paraId="61C9817D" w14:textId="77777777" w:rsidR="00D82BC7" w:rsidRPr="00A753B6" w:rsidRDefault="00D82BC7" w:rsidP="00446D58">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2BC7" w:rsidRPr="00A753B6" w14:paraId="636B218C" w14:textId="77777777" w:rsidTr="000815EC">
        <w:trPr>
          <w:trHeight w:val="1288"/>
          <w:jc w:val="center"/>
        </w:trPr>
        <w:tc>
          <w:tcPr>
            <w:tcW w:w="8647" w:type="dxa"/>
          </w:tcPr>
          <w:p w14:paraId="0A798848"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Constitución Política. Artículo 167.</w:t>
            </w:r>
          </w:p>
          <w:p w14:paraId="50A4EEB1" w14:textId="77777777" w:rsidR="00A753B6" w:rsidRPr="00362C0A" w:rsidRDefault="00A753B6" w:rsidP="00A753B6">
            <w:pPr>
              <w:pStyle w:val="Prrafodelista"/>
              <w:numPr>
                <w:ilvl w:val="0"/>
                <w:numId w:val="17"/>
              </w:numPr>
              <w:spacing w:line="276" w:lineRule="auto"/>
              <w:contextualSpacing w:val="0"/>
              <w:jc w:val="both"/>
              <w:rPr>
                <w:rFonts w:ascii="Verdana" w:eastAsia="Aptos" w:hAnsi="Verdana" w:cs="Arial"/>
              </w:rPr>
            </w:pPr>
            <w:r w:rsidRPr="00362C0A">
              <w:rPr>
                <w:rFonts w:ascii="Verdana" w:eastAsia="Aptos" w:hAnsi="Verdana" w:cs="Arial"/>
              </w:rPr>
              <w:t>Código Civil. Artículo 27.</w:t>
            </w:r>
          </w:p>
          <w:p w14:paraId="6265ECC4" w14:textId="77777777" w:rsidR="00A753B6" w:rsidRPr="00362C0A" w:rsidRDefault="00A753B6" w:rsidP="00A753B6">
            <w:pPr>
              <w:pStyle w:val="Prrafodelista"/>
              <w:numPr>
                <w:ilvl w:val="0"/>
                <w:numId w:val="17"/>
              </w:numPr>
              <w:spacing w:line="276" w:lineRule="auto"/>
              <w:contextualSpacing w:val="0"/>
              <w:jc w:val="both"/>
              <w:rPr>
                <w:rFonts w:ascii="Verdana" w:eastAsia="Aptos" w:hAnsi="Verdana" w:cs="Arial"/>
              </w:rPr>
            </w:pPr>
            <w:r w:rsidRPr="00362C0A">
              <w:rPr>
                <w:rFonts w:ascii="Verdana" w:eastAsia="Aptos" w:hAnsi="Verdana" w:cs="Arial"/>
              </w:rPr>
              <w:t>Ley 80 de 1993. Artículo 41.</w:t>
            </w:r>
          </w:p>
          <w:p w14:paraId="74424F38" w14:textId="77777777" w:rsidR="00A753B6" w:rsidRPr="007856EE" w:rsidRDefault="00A753B6" w:rsidP="00A753B6">
            <w:pPr>
              <w:pStyle w:val="Prrafodelista"/>
              <w:numPr>
                <w:ilvl w:val="0"/>
                <w:numId w:val="17"/>
              </w:numPr>
              <w:spacing w:line="276" w:lineRule="auto"/>
              <w:contextualSpacing w:val="0"/>
              <w:jc w:val="both"/>
              <w:rPr>
                <w:rFonts w:ascii="Verdana" w:eastAsia="Aptos" w:hAnsi="Verdana" w:cs="Arial"/>
              </w:rPr>
            </w:pPr>
            <w:r w:rsidRPr="007856EE">
              <w:rPr>
                <w:rFonts w:ascii="Verdana" w:eastAsia="Aptos" w:hAnsi="Verdana" w:cs="Arial"/>
              </w:rPr>
              <w:t>Ley 100 de 1993. Artículos 94 y 197.</w:t>
            </w:r>
          </w:p>
          <w:p w14:paraId="736DECE6"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 xml:space="preserve">Ley 996 de 2005. Artículos 33 y 38 parágrafo 1. </w:t>
            </w:r>
          </w:p>
          <w:p w14:paraId="3AE8FAA4" w14:textId="2C0A05F6"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lastRenderedPageBreak/>
              <w:t>Ley 1150 de 2007. Artículo 2, numeral 4 literal c)</w:t>
            </w:r>
            <w:r w:rsidR="00A753B6">
              <w:rPr>
                <w:rFonts w:ascii="Verdana" w:eastAsia="Aptos" w:hAnsi="Verdana" w:cs="Arial"/>
              </w:rPr>
              <w:t>.</w:t>
            </w:r>
          </w:p>
          <w:p w14:paraId="16E42E1D"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 xml:space="preserve">Consejo de Estado, Sala de Consulta y Servicio Civil. 24 de julio de 2013. Radicado: 11001-03-06-000-2013-00407-00 (2166). C.P. Álvaro </w:t>
            </w:r>
            <w:proofErr w:type="spellStart"/>
            <w:r w:rsidRPr="00A753B6">
              <w:rPr>
                <w:rFonts w:ascii="Verdana" w:eastAsia="Aptos" w:hAnsi="Verdana" w:cs="Arial"/>
              </w:rPr>
              <w:t>Namén</w:t>
            </w:r>
            <w:proofErr w:type="spellEnd"/>
            <w:r w:rsidRPr="00A753B6">
              <w:rPr>
                <w:rFonts w:ascii="Verdana" w:eastAsia="Aptos" w:hAnsi="Verdana" w:cs="Arial"/>
              </w:rPr>
              <w:t xml:space="preserve"> Vargas.    </w:t>
            </w:r>
          </w:p>
          <w:p w14:paraId="4AC9BB6B"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Consejo de Estado. Sala de Consulta y Servicio Civil. Concepto del 17 de febrero de 2015. Radicado: 11001-03-06-000-2015-00164-00 (2269). C.P. William Zambrano Cetina.</w:t>
            </w:r>
          </w:p>
          <w:p w14:paraId="3827CA25"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 xml:space="preserve">Consejo de Estado. Sala de Consulta y Servicio Civil. Concepto del 2 de septiembre de 2013. Radicación número: 11001-03-06-000-2013-00412-00 (2168). C.P: Álvaro </w:t>
            </w:r>
            <w:proofErr w:type="spellStart"/>
            <w:r w:rsidRPr="00A753B6">
              <w:rPr>
                <w:rFonts w:ascii="Verdana" w:eastAsia="Aptos" w:hAnsi="Verdana" w:cs="Arial"/>
              </w:rPr>
              <w:t>Namén</w:t>
            </w:r>
            <w:proofErr w:type="spellEnd"/>
            <w:r w:rsidRPr="00A753B6">
              <w:rPr>
                <w:rFonts w:ascii="Verdana" w:eastAsia="Aptos" w:hAnsi="Verdana" w:cs="Arial"/>
              </w:rPr>
              <w:t xml:space="preserve"> Vargas.</w:t>
            </w:r>
          </w:p>
          <w:p w14:paraId="6982B1D9"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 xml:space="preserve">Consejo de Estado. Sala de Consulta y Servicio Civil. Concepto del 08 de mayo de 2018. </w:t>
            </w:r>
            <w:proofErr w:type="spellStart"/>
            <w:r w:rsidRPr="00A753B6">
              <w:rPr>
                <w:rFonts w:ascii="Verdana" w:eastAsia="Aptos" w:hAnsi="Verdana" w:cs="Arial"/>
              </w:rPr>
              <w:t>Exp</w:t>
            </w:r>
            <w:proofErr w:type="spellEnd"/>
            <w:r w:rsidRPr="00A753B6">
              <w:rPr>
                <w:rFonts w:ascii="Verdana" w:eastAsia="Aptos" w:hAnsi="Verdana" w:cs="Arial"/>
              </w:rPr>
              <w:t xml:space="preserve">. 2.382. C.P. Álvaro </w:t>
            </w:r>
            <w:proofErr w:type="spellStart"/>
            <w:r w:rsidRPr="00A753B6">
              <w:rPr>
                <w:rFonts w:ascii="Verdana" w:eastAsia="Aptos" w:hAnsi="Verdana" w:cs="Arial"/>
              </w:rPr>
              <w:t>Namén</w:t>
            </w:r>
            <w:proofErr w:type="spellEnd"/>
            <w:r w:rsidRPr="00A753B6">
              <w:rPr>
                <w:rFonts w:ascii="Verdana" w:eastAsia="Aptos" w:hAnsi="Verdana" w:cs="Arial"/>
              </w:rPr>
              <w:t xml:space="preserve"> Vargas.</w:t>
            </w:r>
          </w:p>
          <w:p w14:paraId="55EDCBD0"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Consejo de Estado. Sala de Consulta y Servicio Civil. Concepto de 20 de febrero de 2006. Radicación Número: 11001-03-06-000-2006-00026-00(1727). C.P: Enrique José Arboleda Perdomo.</w:t>
            </w:r>
          </w:p>
          <w:p w14:paraId="1EB0DFAE"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Consejo de Estado. Sala de Consulta y Servicio Civil. Concepto del 18 de febrero 2010. Rad. 11001-03-06-000-2010-00006-00 (1985). C.P: Enrique José Arboleda Perdomo.</w:t>
            </w:r>
          </w:p>
          <w:p w14:paraId="0281C605"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Consejo de Estado -Sección Tercera-. Sentencia del 21 de febrero de 2025. Radicación Número: 68.280. CP: José Roberto Sáchica Méndez.</w:t>
            </w:r>
          </w:p>
          <w:p w14:paraId="47965CF2"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 xml:space="preserve">Consejo de Estado. Sala de lo Contencioso Administrativo. Sección Tercera. Subsección B. Auto del 4 de octubre de 2024. </w:t>
            </w:r>
            <w:proofErr w:type="spellStart"/>
            <w:r w:rsidRPr="00A753B6">
              <w:rPr>
                <w:rFonts w:ascii="Verdana" w:eastAsia="Aptos" w:hAnsi="Verdana" w:cs="Arial"/>
              </w:rPr>
              <w:t>Exp</w:t>
            </w:r>
            <w:proofErr w:type="spellEnd"/>
            <w:r w:rsidRPr="00A753B6">
              <w:rPr>
                <w:rFonts w:ascii="Verdana" w:eastAsia="Aptos" w:hAnsi="Verdana" w:cs="Arial"/>
              </w:rPr>
              <w:t>. 70.313. C.P: Fredy Ibarra Martínez.</w:t>
            </w:r>
          </w:p>
          <w:p w14:paraId="6E78936B"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 xml:space="preserve">Consejo de Estado. Sala de lo Contencioso Administrativo. Sección Tercera. Subsección B. Auto del 6 de noviembre de 2025. </w:t>
            </w:r>
            <w:proofErr w:type="spellStart"/>
            <w:r w:rsidRPr="00A753B6">
              <w:rPr>
                <w:rFonts w:ascii="Verdana" w:eastAsia="Aptos" w:hAnsi="Verdana" w:cs="Arial"/>
              </w:rPr>
              <w:t>Exp</w:t>
            </w:r>
            <w:proofErr w:type="spellEnd"/>
            <w:r w:rsidRPr="00A753B6">
              <w:rPr>
                <w:rFonts w:ascii="Verdana" w:eastAsia="Aptos" w:hAnsi="Verdana" w:cs="Arial"/>
              </w:rPr>
              <w:t xml:space="preserve">. 72.424. C.P: Fernando </w:t>
            </w:r>
            <w:proofErr w:type="spellStart"/>
            <w:r w:rsidRPr="00A753B6">
              <w:rPr>
                <w:rFonts w:ascii="Verdana" w:eastAsia="Aptos" w:hAnsi="Verdana" w:cs="Arial"/>
              </w:rPr>
              <w:t>Alexei</w:t>
            </w:r>
            <w:proofErr w:type="spellEnd"/>
            <w:r w:rsidRPr="00A753B6">
              <w:rPr>
                <w:rFonts w:ascii="Verdana" w:eastAsia="Aptos" w:hAnsi="Verdana" w:cs="Arial"/>
              </w:rPr>
              <w:t xml:space="preserve"> Pardo Flórez.</w:t>
            </w:r>
          </w:p>
          <w:p w14:paraId="22BC691B" w14:textId="1687F1EA" w:rsidR="00D82BC7" w:rsidRDefault="00D82BC7" w:rsidP="00A753B6">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Consejo de Estado. Sala de Consulta y Servicio Civil. Concepto del 15 de noviembre de 2007. Expediente número 1863. Consejero Ponente: Luis Fernando Álvarez Jaramillo.</w:t>
            </w:r>
          </w:p>
          <w:p w14:paraId="34E83527" w14:textId="77777777" w:rsidR="008C3F8D" w:rsidRDefault="00A753B6" w:rsidP="008C3F8D">
            <w:pPr>
              <w:widowControl w:val="0"/>
              <w:numPr>
                <w:ilvl w:val="0"/>
                <w:numId w:val="17"/>
              </w:numPr>
              <w:autoSpaceDE w:val="0"/>
              <w:autoSpaceDN w:val="0"/>
              <w:spacing w:after="120" w:line="276" w:lineRule="auto"/>
              <w:ind w:left="714" w:hanging="357"/>
              <w:jc w:val="both"/>
              <w:rPr>
                <w:rFonts w:ascii="Verdana" w:hAnsi="Verdana" w:cs="Arial"/>
              </w:rPr>
            </w:pPr>
            <w:r w:rsidRPr="00670659">
              <w:rPr>
                <w:rFonts w:ascii="Verdana" w:eastAsia="Times New Roman" w:hAnsi="Verdana" w:cs="Times New Roman"/>
                <w:lang w:eastAsia="es-ES_tradnl"/>
              </w:rPr>
              <w:t>Consejo de Estado. Sala de lo Contencioso Administrativo. Sección Tercera. Subsección B. 17 de octubre de 2025. Magistrado Ponente: Fredy Ibarra Martínez.</w:t>
            </w:r>
          </w:p>
          <w:p w14:paraId="311906C1" w14:textId="3321DB56" w:rsidR="00D82BC7" w:rsidRPr="008C3F8D" w:rsidRDefault="00D82BC7" w:rsidP="008C3F8D">
            <w:pPr>
              <w:widowControl w:val="0"/>
              <w:numPr>
                <w:ilvl w:val="0"/>
                <w:numId w:val="17"/>
              </w:numPr>
              <w:autoSpaceDE w:val="0"/>
              <w:autoSpaceDN w:val="0"/>
              <w:spacing w:after="120" w:line="276" w:lineRule="auto"/>
              <w:ind w:left="714" w:hanging="357"/>
              <w:jc w:val="both"/>
              <w:rPr>
                <w:rFonts w:ascii="Verdana" w:hAnsi="Verdana" w:cs="Arial"/>
              </w:rPr>
            </w:pPr>
            <w:r w:rsidRPr="008C3F8D">
              <w:rPr>
                <w:rFonts w:ascii="Verdana" w:eastAsia="Times New Roman" w:hAnsi="Verdana" w:cs="Times New Roman"/>
                <w:lang w:eastAsia="es-ES_tradnl"/>
              </w:rPr>
              <w:t>Corte Constitucional, Sentencia C- 1153 de 2005, M.P. Marco Gerardo Monroy Cabra.</w:t>
            </w:r>
          </w:p>
          <w:p w14:paraId="2824DAB4"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lastRenderedPageBreak/>
              <w:t>Corte Constitucional. Sentencia C-233 de 4 de abril de 2002. M.P: Álvaro Tafur Galvis.</w:t>
            </w:r>
          </w:p>
          <w:p w14:paraId="28E6F4E6"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 xml:space="preserve">Corte Constitucional. Sentencia C-551 de 9 de julio de 2003. M.P: Eduardo Montealegre </w:t>
            </w:r>
            <w:proofErr w:type="spellStart"/>
            <w:r w:rsidRPr="00A753B6">
              <w:rPr>
                <w:rFonts w:ascii="Verdana" w:eastAsia="Aptos" w:hAnsi="Verdana" w:cs="Arial"/>
              </w:rPr>
              <w:t>Lynnet</w:t>
            </w:r>
            <w:proofErr w:type="spellEnd"/>
            <w:r w:rsidRPr="00A753B6">
              <w:rPr>
                <w:rFonts w:ascii="Verdana" w:eastAsia="Aptos" w:hAnsi="Verdana" w:cs="Arial"/>
              </w:rPr>
              <w:t>.</w:t>
            </w:r>
          </w:p>
          <w:p w14:paraId="3F4DD64D"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 xml:space="preserve">Corte Constitucional. Sentencia C-353 de 20 de mayo de 2009. M.P: Jorge Iván Palacio </w:t>
            </w:r>
            <w:proofErr w:type="spellStart"/>
            <w:r w:rsidRPr="00A753B6">
              <w:rPr>
                <w:rFonts w:ascii="Verdana" w:eastAsia="Aptos" w:hAnsi="Verdana" w:cs="Arial"/>
              </w:rPr>
              <w:t>Palacio</w:t>
            </w:r>
            <w:proofErr w:type="spellEnd"/>
            <w:r w:rsidRPr="00A753B6">
              <w:rPr>
                <w:rFonts w:ascii="Verdana" w:eastAsia="Aptos" w:hAnsi="Verdana" w:cs="Arial"/>
              </w:rPr>
              <w:t>.</w:t>
            </w:r>
          </w:p>
          <w:p w14:paraId="28230B09" w14:textId="77777777" w:rsidR="00D82BC7" w:rsidRPr="00A753B6" w:rsidRDefault="00D82BC7" w:rsidP="00446D58">
            <w:pPr>
              <w:pStyle w:val="Prrafodelista"/>
              <w:numPr>
                <w:ilvl w:val="0"/>
                <w:numId w:val="17"/>
              </w:numPr>
              <w:spacing w:line="276" w:lineRule="auto"/>
              <w:contextualSpacing w:val="0"/>
              <w:jc w:val="both"/>
              <w:rPr>
                <w:rFonts w:ascii="Verdana" w:eastAsia="Aptos" w:hAnsi="Verdana" w:cs="Arial"/>
              </w:rPr>
            </w:pPr>
            <w:r w:rsidRPr="00A753B6">
              <w:rPr>
                <w:rFonts w:ascii="Verdana" w:eastAsia="Aptos" w:hAnsi="Verdana" w:cs="Arial"/>
              </w:rPr>
              <w:t>Corte Constitucional. Sentencia C-541 de 30 de junio de 2010. M.P: Gabriel Eduardo Mendoza Martelo.</w:t>
            </w:r>
          </w:p>
        </w:tc>
      </w:tr>
    </w:tbl>
    <w:p w14:paraId="1FF2EA6D" w14:textId="77777777" w:rsidR="00D82BC7" w:rsidRPr="00A753B6" w:rsidRDefault="00D82BC7" w:rsidP="00A753B6">
      <w:pPr>
        <w:widowControl w:val="0"/>
        <w:tabs>
          <w:tab w:val="left" w:pos="3828"/>
        </w:tabs>
        <w:autoSpaceDE w:val="0"/>
        <w:autoSpaceDN w:val="0"/>
        <w:spacing w:after="0" w:line="276" w:lineRule="auto"/>
        <w:jc w:val="both"/>
        <w:rPr>
          <w:rFonts w:ascii="Verdana" w:hAnsi="Verdana" w:cs="Arial"/>
        </w:rPr>
      </w:pPr>
    </w:p>
    <w:p w14:paraId="45182706" w14:textId="77777777" w:rsidR="00D82BC7" w:rsidRPr="00A753B6" w:rsidRDefault="00D82BC7" w:rsidP="00A753B6">
      <w:pPr>
        <w:tabs>
          <w:tab w:val="left" w:pos="142"/>
          <w:tab w:val="left" w:pos="284"/>
          <w:tab w:val="left" w:pos="3828"/>
        </w:tabs>
        <w:spacing w:after="0" w:line="276" w:lineRule="auto"/>
        <w:jc w:val="both"/>
        <w:rPr>
          <w:rFonts w:ascii="Verdana" w:eastAsia="Century Gothic" w:hAnsi="Verdana" w:cs="Century Gothic"/>
          <w:b/>
          <w:bCs/>
        </w:rPr>
      </w:pPr>
      <w:r w:rsidRPr="00A753B6">
        <w:rPr>
          <w:rFonts w:ascii="Verdana" w:eastAsia="Century Gothic" w:hAnsi="Verdana" w:cs="Century Gothic"/>
          <w:b/>
          <w:bCs/>
        </w:rPr>
        <w:t>5. Doctrina de la Agencia Nacional de Contratación Pública:</w:t>
      </w:r>
    </w:p>
    <w:p w14:paraId="4A9DD956" w14:textId="77777777" w:rsidR="00D82BC7" w:rsidRPr="00A753B6" w:rsidRDefault="00D82BC7" w:rsidP="008C3F8D">
      <w:pPr>
        <w:widowControl w:val="0"/>
        <w:tabs>
          <w:tab w:val="left" w:pos="3828"/>
        </w:tabs>
        <w:autoSpaceDE w:val="0"/>
        <w:autoSpaceDN w:val="0"/>
        <w:spacing w:after="0" w:line="276" w:lineRule="auto"/>
        <w:jc w:val="both"/>
        <w:rPr>
          <w:rFonts w:ascii="Verdana" w:hAnsi="Verdana" w:cs="Arial"/>
          <w:shd w:val="clear" w:color="auto" w:fill="FFFFFF"/>
        </w:rPr>
      </w:pPr>
    </w:p>
    <w:p w14:paraId="24A78F03" w14:textId="77777777" w:rsidR="00D82BC7" w:rsidRPr="00A753B6" w:rsidRDefault="00D82BC7" w:rsidP="00A753B6">
      <w:pPr>
        <w:widowControl w:val="0"/>
        <w:autoSpaceDE w:val="0"/>
        <w:autoSpaceDN w:val="0"/>
        <w:spacing w:after="0" w:line="276" w:lineRule="auto"/>
        <w:jc w:val="both"/>
        <w:rPr>
          <w:rFonts w:ascii="Verdana" w:hAnsi="Verdana" w:cs="Arial"/>
          <w:shd w:val="clear" w:color="auto" w:fill="FFFFFF"/>
          <w:lang w:val="es-ES"/>
        </w:rPr>
      </w:pPr>
      <w:r w:rsidRPr="00A753B6">
        <w:rPr>
          <w:rStyle w:val="normaltextrun"/>
          <w:rFonts w:ascii="Verdana" w:hAnsi="Verdana" w:cs="Arial"/>
          <w:shd w:val="clear" w:color="auto" w:fill="FFFFFF"/>
          <w:lang w:val="es-ES"/>
        </w:rPr>
        <w:t xml:space="preserve">Esta Subdirección se ha pronunciado sobre </w:t>
      </w:r>
      <w:r w:rsidRPr="00A753B6">
        <w:rPr>
          <w:rFonts w:ascii="Verdana" w:hAnsi="Verdana" w:cs="Arial"/>
          <w:shd w:val="clear" w:color="auto" w:fill="FFFFFF"/>
          <w:lang w:val="es-ES"/>
        </w:rPr>
        <w:t>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C-696 del 11 de julio de 2025, C-868 del 12 de agosto de 2025, C-1430 del 12 de noviembre de 2025, entre otros.</w:t>
      </w:r>
      <w:r w:rsidRPr="00A753B6">
        <w:rPr>
          <w:rStyle w:val="normaltextrun"/>
          <w:rFonts w:ascii="Verdana" w:hAnsi="Verdana" w:cs="Arial"/>
          <w:shd w:val="clear" w:color="auto" w:fill="FFFFFF"/>
          <w:lang w:val="es-ES"/>
        </w:rPr>
        <w:t xml:space="preserve"> </w:t>
      </w:r>
      <w:r w:rsidRPr="00A753B6">
        <w:rPr>
          <w:rFonts w:ascii="Verdana" w:hAnsi="Verdana" w:cs="Arial"/>
        </w:rPr>
        <w:t xml:space="preserve">Estos y otros </w:t>
      </w:r>
      <w:r w:rsidRPr="00A753B6">
        <w:rPr>
          <w:rFonts w:ascii="Verdana" w:hAnsi="Verdana"/>
        </w:rPr>
        <w:t>conceptos se encuentran disponibles para consulta en el Sistema de relatoría de la Agencia, al cual se puede acceder a través del siguiente enlace:</w:t>
      </w:r>
      <w:r w:rsidRPr="00A753B6">
        <w:rPr>
          <w:rFonts w:ascii="Verdana" w:hAnsi="Verdana" w:cs="Arial"/>
          <w:shd w:val="clear" w:color="auto" w:fill="FFFFFF"/>
        </w:rPr>
        <w:t xml:space="preserve"> </w:t>
      </w:r>
      <w:hyperlink r:id="rId12" w:history="1">
        <w:r w:rsidRPr="00A753B6">
          <w:rPr>
            <w:rStyle w:val="Hipervnculo"/>
            <w:rFonts w:ascii="Verdana" w:hAnsi="Verdana" w:cs="Arial"/>
            <w:shd w:val="clear" w:color="auto" w:fill="FFFFFF"/>
          </w:rPr>
          <w:t>https://relatoria.colombiacompra.gov.co/busqueda/conceptos</w:t>
        </w:r>
      </w:hyperlink>
      <w:r w:rsidRPr="00A753B6">
        <w:rPr>
          <w:rFonts w:ascii="Verdana" w:hAnsi="Verdana" w:cs="Arial"/>
          <w:shd w:val="clear" w:color="auto" w:fill="FFFFFF"/>
        </w:rPr>
        <w:t>.</w:t>
      </w:r>
      <w:r w:rsidRPr="00A753B6">
        <w:rPr>
          <w:rFonts w:ascii="Verdana" w:hAnsi="Verdana" w:cs="Arial"/>
          <w:color w:val="FF0000"/>
          <w:shd w:val="clear" w:color="auto" w:fill="FFFFFF"/>
        </w:rPr>
        <w:t xml:space="preserve"> </w:t>
      </w:r>
      <w:r w:rsidRPr="00A753B6">
        <w:rPr>
          <w:rFonts w:ascii="Verdana" w:hAnsi="Verdana" w:cs="Arial"/>
          <w:color w:val="000000" w:themeColor="text1"/>
          <w:shd w:val="clear" w:color="auto" w:fill="FFFFFF"/>
        </w:rPr>
        <w:t>  </w:t>
      </w:r>
    </w:p>
    <w:p w14:paraId="4B26269A" w14:textId="77777777" w:rsidR="00D82BC7" w:rsidRPr="00A753B6" w:rsidRDefault="00D82BC7" w:rsidP="008C3F8D">
      <w:pPr>
        <w:spacing w:after="0" w:line="276" w:lineRule="auto"/>
        <w:jc w:val="both"/>
        <w:rPr>
          <w:rFonts w:ascii="Verdana" w:eastAsia="Century Gothic" w:hAnsi="Verdana" w:cs="Century Gothic"/>
        </w:rPr>
      </w:pPr>
    </w:p>
    <w:p w14:paraId="11A3CAD9" w14:textId="77777777" w:rsidR="00D82BC7" w:rsidRPr="00A753B6" w:rsidRDefault="00D82BC7" w:rsidP="008C3F8D">
      <w:pPr>
        <w:spacing w:after="0" w:line="276" w:lineRule="auto"/>
        <w:jc w:val="both"/>
        <w:rPr>
          <w:rFonts w:ascii="Verdana" w:hAnsi="Verdana"/>
        </w:rPr>
      </w:pPr>
      <w:r w:rsidRPr="00A753B6">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3A9A5B2" w14:textId="77777777" w:rsidR="00D82BC7" w:rsidRPr="00A753B6" w:rsidRDefault="00D82BC7" w:rsidP="008C3F8D">
      <w:pPr>
        <w:spacing w:after="0" w:line="276" w:lineRule="auto"/>
        <w:jc w:val="both"/>
        <w:rPr>
          <w:rFonts w:ascii="Verdana" w:hAnsi="Verdana"/>
        </w:rPr>
      </w:pPr>
    </w:p>
    <w:p w14:paraId="2E4686B7" w14:textId="77777777" w:rsidR="00D82BC7" w:rsidRPr="00A753B6" w:rsidRDefault="00D82BC7" w:rsidP="008C3F8D">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A753B6">
        <w:rPr>
          <w:rFonts w:ascii="Verdana" w:eastAsia="Verdana" w:hAnsi="Verdana" w:cs="Verdana"/>
          <w:lang w:val="es-MX"/>
        </w:rPr>
        <w:t xml:space="preserve">Línea nacional gratuita o servicio a la ciudadanía (Mesa de servicio): </w:t>
      </w:r>
      <w:r w:rsidRPr="00A753B6">
        <w:rPr>
          <w:rStyle w:val="Hipervnculo"/>
          <w:rFonts w:ascii="Verdana" w:hAnsi="Verdana"/>
        </w:rPr>
        <w:t>01800 0520808</w:t>
      </w:r>
    </w:p>
    <w:p w14:paraId="62AAE748" w14:textId="77777777" w:rsidR="00D82BC7" w:rsidRPr="00A753B6" w:rsidRDefault="00D82BC7" w:rsidP="008C3F8D">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A753B6">
        <w:rPr>
          <w:rFonts w:ascii="Verdana" w:eastAsia="Verdana" w:hAnsi="Verdana" w:cs="Verdana"/>
          <w:lang w:val="es-MX"/>
        </w:rPr>
        <w:t>Línea en Bogotá (Mesa de servicio</w:t>
      </w:r>
      <w:proofErr w:type="gramStart"/>
      <w:r w:rsidRPr="00A753B6">
        <w:rPr>
          <w:rFonts w:ascii="Verdana" w:eastAsia="Verdana" w:hAnsi="Verdana" w:cs="Verdana"/>
          <w:lang w:val="es-MX"/>
        </w:rPr>
        <w:t>):</w:t>
      </w:r>
      <w:r w:rsidRPr="00A753B6">
        <w:rPr>
          <w:rStyle w:val="Hipervnculo"/>
          <w:rFonts w:ascii="Verdana" w:hAnsi="Verdana"/>
        </w:rPr>
        <w:t>+</w:t>
      </w:r>
      <w:proofErr w:type="gramEnd"/>
      <w:r w:rsidRPr="00A753B6">
        <w:rPr>
          <w:rStyle w:val="Hipervnculo"/>
          <w:rFonts w:ascii="Verdana" w:hAnsi="Verdana"/>
        </w:rPr>
        <w:t>57 601 7456788</w:t>
      </w:r>
    </w:p>
    <w:p w14:paraId="517795F6" w14:textId="77777777" w:rsidR="00D82BC7" w:rsidRPr="00A753B6" w:rsidRDefault="00D82BC7" w:rsidP="008C3F8D">
      <w:pPr>
        <w:pStyle w:val="Prrafodelista"/>
        <w:numPr>
          <w:ilvl w:val="0"/>
          <w:numId w:val="15"/>
        </w:numPr>
        <w:spacing w:after="0" w:line="276" w:lineRule="auto"/>
        <w:contextualSpacing w:val="0"/>
        <w:rPr>
          <w:rFonts w:ascii="Verdana" w:eastAsia="Verdana" w:hAnsi="Verdana" w:cs="Verdana"/>
          <w:color w:val="0000FF"/>
          <w:u w:val="single"/>
          <w:lang w:val="es-MX"/>
        </w:rPr>
      </w:pPr>
      <w:r w:rsidRPr="00A753B6">
        <w:rPr>
          <w:rFonts w:ascii="Verdana" w:eastAsia="Verdana" w:hAnsi="Verdana" w:cs="Verdana"/>
          <w:lang w:val="es-MX"/>
        </w:rPr>
        <w:lastRenderedPageBreak/>
        <w:t xml:space="preserve">Correo de radicación de correspondencia: </w:t>
      </w:r>
      <w:hyperlink r:id="rId13">
        <w:r w:rsidRPr="00A753B6">
          <w:rPr>
            <w:rStyle w:val="Hipervnculo"/>
            <w:rFonts w:ascii="Verdana" w:eastAsia="Verdana" w:hAnsi="Verdana" w:cs="Verdana"/>
            <w:lang w:val="es-MX"/>
          </w:rPr>
          <w:t>ventanilladeradicacion@colombiacompra.gov.co</w:t>
        </w:r>
      </w:hyperlink>
    </w:p>
    <w:p w14:paraId="73C0F247" w14:textId="77777777" w:rsidR="00D82BC7" w:rsidRPr="00A753B6" w:rsidRDefault="00D82BC7" w:rsidP="008C3F8D">
      <w:pPr>
        <w:pStyle w:val="Prrafodelista"/>
        <w:numPr>
          <w:ilvl w:val="0"/>
          <w:numId w:val="15"/>
        </w:numPr>
        <w:spacing w:after="0" w:line="276" w:lineRule="auto"/>
        <w:contextualSpacing w:val="0"/>
        <w:rPr>
          <w:rFonts w:ascii="Verdana" w:eastAsia="Verdana" w:hAnsi="Verdana" w:cs="Verdana"/>
          <w:color w:val="0000FF"/>
          <w:u w:val="single"/>
          <w:lang w:val="es-MX"/>
        </w:rPr>
      </w:pPr>
      <w:r w:rsidRPr="00A753B6">
        <w:rPr>
          <w:rFonts w:ascii="Verdana" w:eastAsia="Verdana" w:hAnsi="Verdana" w:cs="Verdana"/>
        </w:rPr>
        <w:t>Formulario web para</w:t>
      </w:r>
      <w:r w:rsidRPr="00A753B6">
        <w:rPr>
          <w:rFonts w:ascii="Verdana" w:eastAsia="Verdana" w:hAnsi="Verdana" w:cs="Verdana"/>
          <w:lang w:val="es"/>
        </w:rPr>
        <w:t xml:space="preserve"> PQRSD: </w:t>
      </w:r>
      <w:hyperlink r:id="rId14">
        <w:r w:rsidRPr="00A753B6">
          <w:rPr>
            <w:rStyle w:val="Hipervnculo"/>
            <w:rFonts w:ascii="Verdana" w:eastAsia="Verdana" w:hAnsi="Verdana" w:cs="Verdana"/>
            <w:lang w:val="es-MX"/>
          </w:rPr>
          <w:t>https://www.colombiacompra.gov.co/pqrsd/informacion-importante-antes-de-formular-una-pqrsd</w:t>
        </w:r>
      </w:hyperlink>
    </w:p>
    <w:p w14:paraId="4C1B8DEC" w14:textId="77777777" w:rsidR="00D82BC7" w:rsidRPr="00A753B6" w:rsidRDefault="00D82BC7" w:rsidP="008C3F8D">
      <w:pPr>
        <w:spacing w:after="0" w:line="276" w:lineRule="auto"/>
        <w:ind w:left="720"/>
        <w:jc w:val="both"/>
        <w:rPr>
          <w:rFonts w:ascii="Verdana" w:hAnsi="Verdana"/>
        </w:rPr>
      </w:pPr>
    </w:p>
    <w:p w14:paraId="58206196" w14:textId="77777777" w:rsidR="00D82BC7" w:rsidRPr="00A753B6" w:rsidRDefault="00D82BC7" w:rsidP="008C3F8D">
      <w:pPr>
        <w:spacing w:after="0" w:line="276" w:lineRule="auto"/>
        <w:rPr>
          <w:rFonts w:ascii="Verdana" w:hAnsi="Verdana"/>
        </w:rPr>
      </w:pPr>
      <w:r w:rsidRPr="00A753B6">
        <w:rPr>
          <w:rFonts w:ascii="Verdana" w:hAnsi="Verdana"/>
        </w:rPr>
        <w:t xml:space="preserve">Evalúa el servicio que ofrece la Agencia por el canal de atención de PQRSD en el siguiente </w:t>
      </w:r>
      <w:proofErr w:type="gramStart"/>
      <w:r w:rsidRPr="00A753B6">
        <w:rPr>
          <w:rFonts w:ascii="Verdana" w:hAnsi="Verdana"/>
        </w:rPr>
        <w:t>enlace :</w:t>
      </w:r>
      <w:proofErr w:type="gramEnd"/>
      <w:hyperlink r:id="rId15" w:tgtFrame="_blank" w:tooltip="https://forms.office.com/r/pphywvs2sz" w:history="1">
        <w:r w:rsidRPr="00A753B6">
          <w:rPr>
            <w:rStyle w:val="Hipervnculo"/>
            <w:rFonts w:ascii="Verdana" w:hAnsi="Verdana"/>
          </w:rPr>
          <w:t>https://forms.office.com/r/pPHyWVs2SZ</w:t>
        </w:r>
      </w:hyperlink>
      <w:r w:rsidRPr="00A753B6">
        <w:rPr>
          <w:rFonts w:ascii="Verdana" w:hAnsi="Verdana"/>
        </w:rPr>
        <w:t xml:space="preserve"> .¡Ayúdanos a mejorar porque el compromiso es de todos!</w:t>
      </w:r>
    </w:p>
    <w:p w14:paraId="6D4CA2F0" w14:textId="77777777" w:rsidR="00D82BC7" w:rsidRPr="00A753B6" w:rsidRDefault="00D82BC7" w:rsidP="008C3F8D">
      <w:pPr>
        <w:spacing w:after="0" w:line="276" w:lineRule="auto"/>
        <w:rPr>
          <w:rFonts w:ascii="Verdana" w:hAnsi="Verdana"/>
        </w:rPr>
      </w:pPr>
    </w:p>
    <w:p w14:paraId="3013BD29" w14:textId="77777777" w:rsidR="00D82BC7" w:rsidRPr="00A753B6" w:rsidRDefault="00D82BC7" w:rsidP="008C3F8D">
      <w:pPr>
        <w:spacing w:after="0" w:line="276" w:lineRule="auto"/>
        <w:jc w:val="both"/>
        <w:rPr>
          <w:rFonts w:ascii="Verdana" w:hAnsi="Verdana"/>
        </w:rPr>
      </w:pPr>
      <w:r w:rsidRPr="00A753B6">
        <w:rPr>
          <w:rFonts w:ascii="Verdana" w:hAnsi="Verdana"/>
        </w:rPr>
        <w:t xml:space="preserve">Por último, lo invitamos a seguirnos en las redes sociales en las cuales se difunde información institucional: </w:t>
      </w:r>
    </w:p>
    <w:p w14:paraId="004C9DFF" w14:textId="77777777" w:rsidR="00D82BC7" w:rsidRPr="00A753B6" w:rsidRDefault="00D82BC7" w:rsidP="008C3F8D">
      <w:pPr>
        <w:spacing w:after="0" w:line="276" w:lineRule="auto"/>
        <w:jc w:val="both"/>
        <w:rPr>
          <w:rFonts w:ascii="Verdana" w:hAnsi="Verdana"/>
        </w:rPr>
      </w:pPr>
    </w:p>
    <w:p w14:paraId="1655F9C9" w14:textId="77777777" w:rsidR="00D82BC7" w:rsidRPr="00A753B6" w:rsidRDefault="00D82BC7" w:rsidP="008C3F8D">
      <w:pPr>
        <w:spacing w:after="0" w:line="276" w:lineRule="auto"/>
        <w:jc w:val="both"/>
        <w:rPr>
          <w:rFonts w:ascii="Verdana" w:hAnsi="Verdana"/>
        </w:rPr>
      </w:pPr>
      <w:r w:rsidRPr="00A753B6">
        <w:rPr>
          <w:rFonts w:ascii="Verdana" w:hAnsi="Verdana"/>
        </w:rPr>
        <w:t xml:space="preserve">Twitter: </w:t>
      </w:r>
      <w:r w:rsidRPr="00A753B6">
        <w:rPr>
          <w:rStyle w:val="Hipervnculo"/>
          <w:rFonts w:ascii="Verdana" w:hAnsi="Verdana"/>
        </w:rPr>
        <w:t>@colombiacompra</w:t>
      </w:r>
      <w:r w:rsidRPr="00A753B6">
        <w:rPr>
          <w:rFonts w:ascii="Verdana" w:hAnsi="Verdana"/>
        </w:rPr>
        <w:t xml:space="preserve"> </w:t>
      </w:r>
    </w:p>
    <w:p w14:paraId="7B5C45B2" w14:textId="77777777" w:rsidR="00D82BC7" w:rsidRPr="00A753B6" w:rsidRDefault="00D82BC7" w:rsidP="008C3F8D">
      <w:pPr>
        <w:spacing w:after="0" w:line="276" w:lineRule="auto"/>
        <w:jc w:val="both"/>
        <w:rPr>
          <w:rFonts w:ascii="Verdana" w:hAnsi="Verdana"/>
        </w:rPr>
      </w:pPr>
      <w:r w:rsidRPr="00A753B6">
        <w:rPr>
          <w:rFonts w:ascii="Verdana" w:hAnsi="Verdana"/>
        </w:rPr>
        <w:t xml:space="preserve">Facebook: </w:t>
      </w:r>
      <w:proofErr w:type="spellStart"/>
      <w:r w:rsidRPr="00A753B6">
        <w:rPr>
          <w:rStyle w:val="Hipervnculo"/>
          <w:rFonts w:ascii="Verdana" w:hAnsi="Verdana"/>
        </w:rPr>
        <w:t>ColombiaCompraEficiente</w:t>
      </w:r>
      <w:proofErr w:type="spellEnd"/>
    </w:p>
    <w:p w14:paraId="1DEAB648" w14:textId="77777777" w:rsidR="00D82BC7" w:rsidRPr="00A753B6" w:rsidRDefault="00D82BC7" w:rsidP="008C3F8D">
      <w:pPr>
        <w:spacing w:after="0" w:line="276" w:lineRule="auto"/>
        <w:jc w:val="both"/>
        <w:rPr>
          <w:rFonts w:ascii="Verdana" w:hAnsi="Verdana"/>
        </w:rPr>
      </w:pPr>
      <w:r w:rsidRPr="00A753B6">
        <w:rPr>
          <w:rFonts w:ascii="Verdana" w:hAnsi="Verdana"/>
        </w:rPr>
        <w:t xml:space="preserve">LinkedIn: </w:t>
      </w:r>
      <w:r w:rsidRPr="00A753B6">
        <w:rPr>
          <w:rStyle w:val="Hipervnculo"/>
          <w:rFonts w:ascii="Verdana" w:hAnsi="Verdana"/>
        </w:rPr>
        <w:t>Agencia Nacional de Contratación Pública - Colombia Compra Eficiente</w:t>
      </w:r>
      <w:r w:rsidRPr="00A753B6">
        <w:rPr>
          <w:rFonts w:ascii="Verdana" w:hAnsi="Verdana"/>
        </w:rPr>
        <w:t xml:space="preserve"> Instagram: </w:t>
      </w:r>
      <w:r w:rsidRPr="00A753B6">
        <w:rPr>
          <w:rStyle w:val="Hipervnculo"/>
          <w:rFonts w:ascii="Verdana" w:hAnsi="Verdana"/>
        </w:rPr>
        <w:t>@colombiacompraeficiente_cce</w:t>
      </w:r>
    </w:p>
    <w:p w14:paraId="029CBC97" w14:textId="77777777" w:rsidR="00D82BC7" w:rsidRPr="00A753B6" w:rsidRDefault="00D82BC7" w:rsidP="008C3F8D">
      <w:pPr>
        <w:spacing w:after="0" w:line="276" w:lineRule="auto"/>
        <w:jc w:val="both"/>
        <w:rPr>
          <w:rFonts w:ascii="Verdana" w:hAnsi="Verdana"/>
          <w:lang w:val="es-MX"/>
        </w:rPr>
      </w:pPr>
    </w:p>
    <w:p w14:paraId="51FBACC5" w14:textId="77777777" w:rsidR="00D82BC7" w:rsidRPr="00A753B6" w:rsidRDefault="00D82BC7" w:rsidP="008C3F8D">
      <w:pPr>
        <w:spacing w:after="0" w:line="276" w:lineRule="auto"/>
        <w:jc w:val="both"/>
        <w:rPr>
          <w:rFonts w:ascii="Verdana" w:hAnsi="Verdana"/>
          <w:lang w:val="es-MX"/>
        </w:rPr>
      </w:pPr>
      <w:r w:rsidRPr="00A753B6">
        <w:rPr>
          <w:rFonts w:ascii="Verdana" w:hAnsi="Verdana"/>
          <w:lang w:val="es-MX"/>
        </w:rPr>
        <w:t>Cordialmente,</w:t>
      </w:r>
    </w:p>
    <w:p w14:paraId="3F1FD916" w14:textId="77777777" w:rsidR="00D82BC7" w:rsidRPr="00A753B6" w:rsidRDefault="00D82BC7" w:rsidP="00A753B6">
      <w:pPr>
        <w:spacing w:after="0" w:line="276" w:lineRule="auto"/>
        <w:jc w:val="both"/>
        <w:rPr>
          <w:rFonts w:ascii="Verdana" w:eastAsia="Calibri" w:hAnsi="Verdana" w:cs="Times New Roman"/>
        </w:rPr>
      </w:pPr>
    </w:p>
    <w:p w14:paraId="43D7F177" w14:textId="518E2567" w:rsidR="00D82BC7" w:rsidRDefault="00124590" w:rsidP="00D82BC7">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553DC2DF" wp14:editId="3D69D8C7">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6"/>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D82BC7" w:rsidRPr="005644FE" w14:paraId="6A2AA077" w14:textId="77777777" w:rsidTr="000815EC">
        <w:trPr>
          <w:trHeight w:val="315"/>
        </w:trPr>
        <w:tc>
          <w:tcPr>
            <w:tcW w:w="893" w:type="dxa"/>
            <w:vAlign w:val="center"/>
            <w:hideMark/>
          </w:tcPr>
          <w:p w14:paraId="4E573F37" w14:textId="77777777" w:rsidR="00D82BC7" w:rsidRPr="005644FE" w:rsidRDefault="00D82BC7" w:rsidP="000815EC">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04210AC8" w14:textId="77777777" w:rsidR="00D82BC7" w:rsidRPr="005644FE" w:rsidRDefault="00D82BC7" w:rsidP="000815EC">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02A7606B" w14:textId="77777777" w:rsidR="00D82BC7" w:rsidRPr="005644FE" w:rsidRDefault="00D82BC7" w:rsidP="000815EC">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82BC7" w:rsidRPr="005644FE" w14:paraId="2CA51279" w14:textId="77777777" w:rsidTr="000815EC">
        <w:trPr>
          <w:trHeight w:val="330"/>
        </w:trPr>
        <w:tc>
          <w:tcPr>
            <w:tcW w:w="893" w:type="dxa"/>
            <w:vAlign w:val="center"/>
            <w:hideMark/>
          </w:tcPr>
          <w:p w14:paraId="005AECE6" w14:textId="77777777" w:rsidR="00D82BC7" w:rsidRPr="005644FE" w:rsidRDefault="00D82BC7" w:rsidP="000815EC">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B3EDABE" w14:textId="77777777" w:rsidR="00D82BC7" w:rsidRPr="00FF007A" w:rsidRDefault="00D82BC7" w:rsidP="000815EC">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755A84C9" w14:textId="77777777" w:rsidR="00D82BC7" w:rsidRPr="005644FE" w:rsidRDefault="00D82BC7" w:rsidP="000815EC">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82BC7" w:rsidRPr="005644FE" w14:paraId="1A78D5C0" w14:textId="77777777" w:rsidTr="000815EC">
        <w:trPr>
          <w:trHeight w:val="300"/>
        </w:trPr>
        <w:tc>
          <w:tcPr>
            <w:tcW w:w="893" w:type="dxa"/>
            <w:vAlign w:val="center"/>
          </w:tcPr>
          <w:p w14:paraId="53C284BF" w14:textId="77777777" w:rsidR="00D82BC7" w:rsidRPr="005644FE" w:rsidRDefault="00D82BC7" w:rsidP="000815EC">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86B7697" w14:textId="77777777" w:rsidR="00D82BC7" w:rsidRPr="005644FE" w:rsidRDefault="00D82BC7" w:rsidP="000815EC">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7DB16B93" w14:textId="77777777" w:rsidR="00D82BC7" w:rsidRPr="005644FE" w:rsidRDefault="00D82BC7" w:rsidP="000815EC">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28ACD73B" w14:textId="77777777" w:rsidR="00D82BC7" w:rsidRDefault="00D82BC7" w:rsidP="00D82BC7"/>
    <w:bookmarkEnd w:id="0"/>
    <w:bookmarkEnd w:id="1"/>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71DF6" w14:textId="77777777" w:rsidR="009A2FFA" w:rsidRDefault="009A2FFA" w:rsidP="004A1847">
      <w:pPr>
        <w:spacing w:after="0" w:line="240" w:lineRule="auto"/>
      </w:pPr>
      <w:r>
        <w:separator/>
      </w:r>
    </w:p>
  </w:endnote>
  <w:endnote w:type="continuationSeparator" w:id="0">
    <w:p w14:paraId="37409F91" w14:textId="77777777" w:rsidR="009A2FFA" w:rsidRDefault="009A2FF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F581C" w14:textId="77777777" w:rsidR="009A2FFA" w:rsidRDefault="009A2FFA" w:rsidP="004A1847">
      <w:pPr>
        <w:spacing w:after="0" w:line="240" w:lineRule="auto"/>
      </w:pPr>
      <w:r>
        <w:separator/>
      </w:r>
    </w:p>
  </w:footnote>
  <w:footnote w:type="continuationSeparator" w:id="0">
    <w:p w14:paraId="2C96EA8A" w14:textId="77777777" w:rsidR="009A2FFA" w:rsidRDefault="009A2FFA" w:rsidP="004A1847">
      <w:pPr>
        <w:spacing w:after="0" w:line="240" w:lineRule="auto"/>
      </w:pPr>
      <w:r>
        <w:continuationSeparator/>
      </w:r>
    </w:p>
  </w:footnote>
  <w:footnote w:id="1">
    <w:p w14:paraId="33162072" w14:textId="77777777" w:rsidR="00D82BC7" w:rsidRPr="003A5BBF" w:rsidRDefault="00D82BC7" w:rsidP="003A5BBF">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402F53E" w14:textId="3E05EB81" w:rsidR="00D82BC7" w:rsidRPr="003A5BBF" w:rsidRDefault="00D82BC7" w:rsidP="003A5BBF">
      <w:pPr>
        <w:pStyle w:val="Textonotapie"/>
        <w:ind w:firstLine="709"/>
        <w:jc w:val="both"/>
        <w:rPr>
          <w:rFonts w:ascii="Verdana" w:hAnsi="Verdana" w:cs="Arial"/>
          <w:sz w:val="14"/>
          <w:szCs w:val="14"/>
        </w:rPr>
      </w:pPr>
      <w:r w:rsidRPr="003A5BBF">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7BD5FFC" w14:textId="1A239E3D" w:rsidR="00D82BC7" w:rsidRPr="003A5BBF" w:rsidRDefault="00D82BC7" w:rsidP="003A5BBF">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Gaceta del Congreso de la República No. 71 del 2005.</w:t>
      </w:r>
    </w:p>
  </w:footnote>
  <w:footnote w:id="3">
    <w:p w14:paraId="0717F289" w14:textId="77777777" w:rsidR="00D82BC7" w:rsidRPr="003A5BBF" w:rsidRDefault="00D82BC7" w:rsidP="003A5BBF">
      <w:pPr>
        <w:pStyle w:val="Textonotapie"/>
        <w:ind w:firstLine="709"/>
        <w:jc w:val="both"/>
        <w:rPr>
          <w:rFonts w:ascii="Verdana" w:hAnsi="Verdana" w:cs="Arial"/>
          <w:sz w:val="14"/>
          <w:szCs w:val="14"/>
          <w:lang w:val="pt-BR"/>
        </w:rPr>
      </w:pPr>
      <w:r w:rsidRPr="003A5BBF">
        <w:rPr>
          <w:rStyle w:val="Refdenotaalpie"/>
          <w:rFonts w:ascii="Verdana" w:hAnsi="Verdana" w:cs="Arial"/>
          <w:sz w:val="14"/>
          <w:szCs w:val="14"/>
        </w:rPr>
        <w:footnoteRef/>
      </w:r>
      <w:r w:rsidRPr="003A5BBF">
        <w:rPr>
          <w:rFonts w:ascii="Verdana" w:hAnsi="Verdana" w:cs="Arial"/>
          <w:sz w:val="14"/>
          <w:szCs w:val="14"/>
          <w:lang w:val="pt-BR"/>
        </w:rPr>
        <w:t xml:space="preserve"> Corte Constitucional, Sentencia C- 1153 de 2005, M.P. Marco Gerardo </w:t>
      </w:r>
      <w:r w:rsidRPr="003A5BBF">
        <w:rPr>
          <w:rFonts w:ascii="Verdana" w:hAnsi="Verdana" w:cs="Arial"/>
          <w:sz w:val="14"/>
          <w:szCs w:val="14"/>
          <w:lang w:val="pt-BR"/>
        </w:rPr>
        <w:t>Monroy Cabra.</w:t>
      </w:r>
    </w:p>
  </w:footnote>
  <w:footnote w:id="4">
    <w:p w14:paraId="3036EC85" w14:textId="75693081" w:rsidR="00D82BC7" w:rsidRPr="003A5BBF" w:rsidRDefault="00D82BC7" w:rsidP="003A5BBF">
      <w:pPr>
        <w:pStyle w:val="Textonotapie"/>
        <w:ind w:firstLine="709"/>
        <w:jc w:val="both"/>
        <w:rPr>
          <w:rFonts w:ascii="Verdana" w:hAnsi="Verdana" w:cs="Arial"/>
          <w:sz w:val="14"/>
          <w:szCs w:val="14"/>
          <w:lang w:val="pt-BR"/>
        </w:rPr>
      </w:pPr>
      <w:r w:rsidRPr="003A5BBF">
        <w:rPr>
          <w:rStyle w:val="Refdenotaalpie"/>
          <w:rFonts w:ascii="Verdana" w:hAnsi="Verdana" w:cs="Arial"/>
          <w:sz w:val="14"/>
          <w:szCs w:val="14"/>
        </w:rPr>
        <w:footnoteRef/>
      </w:r>
      <w:r w:rsidRPr="003A5BBF">
        <w:rPr>
          <w:rFonts w:ascii="Verdana" w:hAnsi="Verdana" w:cs="Arial"/>
          <w:sz w:val="14"/>
          <w:szCs w:val="14"/>
          <w:lang w:val="pt-BR"/>
        </w:rPr>
        <w:t xml:space="preserve"> </w:t>
      </w:r>
      <w:r w:rsidRPr="003A5BBF">
        <w:rPr>
          <w:rFonts w:ascii="Verdana" w:hAnsi="Verdana" w:cs="Arial"/>
          <w:sz w:val="14"/>
          <w:szCs w:val="14"/>
        </w:rPr>
        <w:t xml:space="preserve">Corte Constitucional. Sentencias: C-233 de 4 de abril de 2002. M.P: Álvaro Tafur Galvis; C-551 de 9 de julio de 2003. M.P: Eduardo Montealegre </w:t>
      </w:r>
      <w:r w:rsidRPr="003A5BBF">
        <w:rPr>
          <w:rFonts w:ascii="Verdana" w:hAnsi="Verdana" w:cs="Arial"/>
          <w:sz w:val="14"/>
          <w:szCs w:val="14"/>
        </w:rPr>
        <w:t>Lynnet; C-353 de 20 de mayo de 2009. M.P: Jorge Iván Palacio Palacio; C-541 de 30 de junio de 2010. M.P: Gabriel Eduardo Mendoza Martelo; entre otras.</w:t>
      </w:r>
    </w:p>
  </w:footnote>
  <w:footnote w:id="5">
    <w:p w14:paraId="4D6BB6B2" w14:textId="6BCEF233" w:rsidR="00D82BC7" w:rsidRPr="003A5BBF" w:rsidRDefault="00D82BC7" w:rsidP="003A5BBF">
      <w:pPr>
        <w:pStyle w:val="Textonotapie"/>
        <w:ind w:firstLine="709"/>
        <w:jc w:val="both"/>
        <w:rPr>
          <w:rFonts w:ascii="Verdana" w:hAnsi="Verdana" w:cs="Arial"/>
          <w:sz w:val="14"/>
          <w:szCs w:val="14"/>
          <w:lang w:val="es-CO"/>
        </w:rPr>
      </w:pPr>
      <w:r w:rsidRPr="003A5BBF">
        <w:rPr>
          <w:rStyle w:val="Refdenotaalpie"/>
          <w:rFonts w:ascii="Verdana" w:hAnsi="Verdana" w:cs="Arial"/>
          <w:sz w:val="14"/>
          <w:szCs w:val="14"/>
        </w:rPr>
        <w:footnoteRef/>
      </w:r>
      <w:r w:rsidRPr="003A5BBF">
        <w:rPr>
          <w:rFonts w:ascii="Verdana" w:hAnsi="Verdana" w:cs="Arial"/>
          <w:sz w:val="14"/>
          <w:szCs w:val="14"/>
        </w:rPr>
        <w:t xml:space="preserve"> Consejo de Estado. Sala de lo Contencioso Administrativo. Sección Primera. Sentencia de 3 de marzo de 2005. Radicado: </w:t>
      </w:r>
      <w:r w:rsidRPr="003A5BBF">
        <w:rPr>
          <w:rFonts w:ascii="Verdana" w:hAnsi="Verdana" w:cs="Arial"/>
          <w:sz w:val="14"/>
          <w:szCs w:val="14"/>
          <w:lang w:val="es-ES"/>
        </w:rPr>
        <w:t xml:space="preserve">25001-23-15-000-2004-00823-01 (PI). </w:t>
      </w:r>
      <w:r w:rsidRPr="003A5BBF">
        <w:rPr>
          <w:rFonts w:ascii="Verdana" w:hAnsi="Verdana" w:cs="Arial"/>
          <w:sz w:val="14"/>
          <w:szCs w:val="14"/>
        </w:rPr>
        <w:t>C.P: Camilo Arciniegas Andrade. Ver también, de la Sección Tercera. Sentencia de 22 de enero de 2002, expediente número 2001-0148-01 y, Sección Tercera. Sentencia de 20 de noviembre de 2001, expediente número 2001-0130-01(PI), entre otras.</w:t>
      </w:r>
    </w:p>
  </w:footnote>
  <w:footnote w:id="6">
    <w:p w14:paraId="384CB1EB" w14:textId="77777777" w:rsidR="00D82BC7" w:rsidRPr="003A5BBF" w:rsidRDefault="00D82BC7" w:rsidP="003A5BBF">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Consejo de Estado, Sala de Consulta y Servicio Civil. 24 de julio de 2013. Radicado: </w:t>
      </w:r>
      <w:r w:rsidRPr="003A5BBF">
        <w:rPr>
          <w:rFonts w:ascii="Verdana" w:hAnsi="Verdana" w:cs="Arial"/>
          <w:sz w:val="14"/>
          <w:szCs w:val="14"/>
          <w:lang w:val="es-CO"/>
        </w:rPr>
        <w:t xml:space="preserve">11001-03-06-000-2013-00407-00 </w:t>
      </w:r>
      <w:r w:rsidRPr="003A5BBF">
        <w:rPr>
          <w:rFonts w:ascii="Verdana" w:hAnsi="Verdana" w:cs="Arial"/>
          <w:sz w:val="14"/>
          <w:szCs w:val="14"/>
        </w:rPr>
        <w:t xml:space="preserve">(2166). C.P. Álvaro </w:t>
      </w:r>
      <w:r w:rsidRPr="003A5BBF">
        <w:rPr>
          <w:rFonts w:ascii="Verdana" w:hAnsi="Verdana" w:cs="Arial"/>
          <w:sz w:val="14"/>
          <w:szCs w:val="14"/>
        </w:rPr>
        <w:t xml:space="preserve">Namén Vargas.    </w:t>
      </w:r>
    </w:p>
  </w:footnote>
  <w:footnote w:id="7">
    <w:p w14:paraId="71524362" w14:textId="77777777" w:rsidR="00D82BC7" w:rsidRPr="003A5BBF" w:rsidRDefault="00D82BC7" w:rsidP="003A5BBF">
      <w:pPr>
        <w:spacing w:after="0" w:line="240" w:lineRule="auto"/>
        <w:ind w:firstLine="709"/>
        <w:jc w:val="both"/>
        <w:rPr>
          <w:rFonts w:ascii="Verdana" w:eastAsia="Times New Roman"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w:t>
      </w:r>
      <w:r w:rsidRPr="003A5BBF">
        <w:rPr>
          <w:rFonts w:ascii="Verdana" w:hAnsi="Verdana" w:cs="Arial"/>
          <w:color w:val="000000"/>
          <w:sz w:val="14"/>
          <w:szCs w:val="14"/>
        </w:rPr>
        <w:t>“</w:t>
      </w:r>
      <w:r w:rsidRPr="003A5BBF">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0E04E6A" w14:textId="1691DF14" w:rsidR="00D82BC7" w:rsidRPr="003A5BBF" w:rsidRDefault="00D82BC7" w:rsidP="003A5BBF">
      <w:pPr>
        <w:spacing w:after="0" w:line="240" w:lineRule="auto"/>
        <w:ind w:firstLine="709"/>
        <w:jc w:val="both"/>
        <w:rPr>
          <w:rFonts w:ascii="Verdana" w:eastAsia="Times New Roman" w:hAnsi="Verdana" w:cs="Arial"/>
          <w:sz w:val="14"/>
          <w:szCs w:val="14"/>
        </w:rPr>
      </w:pPr>
      <w:r w:rsidRPr="003A5BBF">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3A5BBF">
        <w:rPr>
          <w:rFonts w:ascii="Verdana" w:hAnsi="Verdana" w:cs="Arial"/>
          <w:color w:val="000000"/>
          <w:sz w:val="14"/>
          <w:szCs w:val="14"/>
        </w:rPr>
        <w:t>”</w:t>
      </w:r>
      <w:r w:rsidRPr="003A5BBF">
        <w:rPr>
          <w:rFonts w:ascii="Verdana" w:eastAsia="Times New Roman" w:hAnsi="Verdana" w:cs="Arial"/>
          <w:sz w:val="14"/>
          <w:szCs w:val="14"/>
        </w:rPr>
        <w:t>.</w:t>
      </w:r>
    </w:p>
  </w:footnote>
  <w:footnote w:id="8">
    <w:p w14:paraId="782D1A23" w14:textId="77777777" w:rsidR="00D82BC7" w:rsidRPr="003A5BBF" w:rsidRDefault="00D82BC7" w:rsidP="003A5BBF">
      <w:pPr>
        <w:pStyle w:val="NormalWeb"/>
        <w:spacing w:before="0" w:beforeAutospacing="0" w:after="0" w:afterAutospacing="0"/>
        <w:ind w:firstLine="709"/>
        <w:jc w:val="both"/>
        <w:rPr>
          <w:rFonts w:ascii="Verdana" w:hAnsi="Verdana" w:cs="Arial"/>
          <w:sz w:val="14"/>
          <w:szCs w:val="14"/>
          <w:lang w:val="es-MX"/>
        </w:rPr>
      </w:pPr>
      <w:r w:rsidRPr="003A5BBF">
        <w:rPr>
          <w:rStyle w:val="Refdenotaalpie"/>
          <w:rFonts w:ascii="Verdana" w:hAnsi="Verdana" w:cs="Arial"/>
          <w:sz w:val="14"/>
          <w:szCs w:val="14"/>
        </w:rPr>
        <w:footnoteRef/>
      </w:r>
      <w:r w:rsidRPr="003A5BBF">
        <w:rPr>
          <w:rFonts w:ascii="Verdana" w:hAnsi="Verdana" w:cs="Arial"/>
          <w:sz w:val="14"/>
          <w:szCs w:val="14"/>
        </w:rPr>
        <w:t xml:space="preserve"> </w:t>
      </w:r>
      <w:r w:rsidRPr="003A5BBF">
        <w:rPr>
          <w:rFonts w:ascii="Verdana" w:eastAsia="Calibri" w:hAnsi="Verdana" w:cs="Arial"/>
          <w:color w:val="000000"/>
          <w:sz w:val="14"/>
          <w:szCs w:val="14"/>
        </w:rPr>
        <w:t>“</w:t>
      </w:r>
      <w:r w:rsidRPr="003A5BBF">
        <w:rPr>
          <w:rFonts w:ascii="Verdana" w:hAnsi="Verdana" w:cs="Arial"/>
          <w:sz w:val="14"/>
          <w:szCs w:val="14"/>
          <w:lang w:val="es-MX"/>
        </w:rPr>
        <w:t>Artículo 38. Prohibiciones para los servidores públicos. A los empleados del Estado les está prohibido: […]</w:t>
      </w:r>
    </w:p>
    <w:p w14:paraId="31C5AE88" w14:textId="3A57A45D" w:rsidR="00D82BC7" w:rsidRPr="003A5BBF" w:rsidRDefault="00D82BC7" w:rsidP="003A5BBF">
      <w:pPr>
        <w:pStyle w:val="NormalWeb"/>
        <w:spacing w:before="0" w:beforeAutospacing="0" w:after="0" w:afterAutospacing="0"/>
        <w:ind w:firstLine="709"/>
        <w:jc w:val="both"/>
        <w:rPr>
          <w:rFonts w:ascii="Verdana" w:hAnsi="Verdana" w:cs="Arial"/>
          <w:sz w:val="14"/>
          <w:szCs w:val="14"/>
          <w:lang w:val="es-MX"/>
        </w:rPr>
      </w:pPr>
      <w:r w:rsidRPr="003A5BBF">
        <w:rPr>
          <w:rStyle w:val="baj"/>
          <w:rFonts w:ascii="Verdana" w:hAnsi="Verdana" w:cs="Arial"/>
          <w:sz w:val="14"/>
          <w:szCs w:val="14"/>
          <w:lang w:val="es-MX"/>
        </w:rPr>
        <w:t>Parágrafo.</w:t>
      </w:r>
      <w:r w:rsidRPr="003A5BBF">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A5BBF">
        <w:rPr>
          <w:rFonts w:ascii="Verdana" w:eastAsia="Calibri" w:hAnsi="Verdana" w:cs="Arial"/>
          <w:color w:val="000000"/>
          <w:sz w:val="14"/>
          <w:szCs w:val="14"/>
        </w:rPr>
        <w:t>”</w:t>
      </w:r>
      <w:r w:rsidRPr="003A5BBF">
        <w:rPr>
          <w:rFonts w:ascii="Verdana" w:hAnsi="Verdana" w:cs="Arial"/>
          <w:sz w:val="14"/>
          <w:szCs w:val="14"/>
          <w:lang w:val="es-MX"/>
        </w:rPr>
        <w:t>.</w:t>
      </w:r>
    </w:p>
  </w:footnote>
  <w:footnote w:id="9">
    <w:p w14:paraId="07C5743F" w14:textId="77777777" w:rsidR="00D82BC7" w:rsidRPr="003A5BBF" w:rsidRDefault="00D82BC7" w:rsidP="003A5BBF">
      <w:pPr>
        <w:spacing w:after="0" w:line="240" w:lineRule="auto"/>
        <w:ind w:left="100" w:right="244" w:firstLine="709"/>
        <w:jc w:val="both"/>
        <w:rPr>
          <w:rFonts w:ascii="Verdana" w:hAnsi="Verdana" w:cs="Arial"/>
          <w:sz w:val="14"/>
          <w:szCs w:val="14"/>
          <w:lang w:val="es-ES"/>
        </w:rPr>
      </w:pPr>
      <w:r w:rsidRPr="003A5BBF">
        <w:rPr>
          <w:rStyle w:val="Refdenotaalpie"/>
          <w:rFonts w:ascii="Verdana" w:hAnsi="Verdana" w:cs="Arial"/>
          <w:sz w:val="14"/>
          <w:szCs w:val="14"/>
        </w:rPr>
        <w:footnoteRef/>
      </w:r>
      <w:r w:rsidRPr="003A5BBF">
        <w:rPr>
          <w:rFonts w:ascii="Verdana" w:hAnsi="Verdana" w:cs="Arial"/>
          <w:sz w:val="14"/>
          <w:szCs w:val="14"/>
        </w:rPr>
        <w:t xml:space="preserve"> Consejo de Estado. Sala de Consulta y Servicio Civil. Concepto del 17 de febrero de 2015. Radicado: 11001-03-06-000-2015-00164-00 (2269). C.P. William Zambrano Cetina.</w:t>
      </w:r>
    </w:p>
  </w:footnote>
  <w:footnote w:id="10">
    <w:p w14:paraId="287785F8" w14:textId="61D8675E" w:rsidR="00D82BC7" w:rsidRPr="003A5BBF" w:rsidRDefault="00D82BC7" w:rsidP="003A5BBF">
      <w:pPr>
        <w:pStyle w:val="Textonotapie"/>
        <w:ind w:right="51"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w:t>
      </w:r>
      <w:r w:rsidRPr="003A5BBF">
        <w:rPr>
          <w:rFonts w:ascii="Verdana" w:hAnsi="Verdana" w:cs="Arial"/>
          <w:sz w:val="14"/>
          <w:szCs w:val="14"/>
          <w:lang w:val="es-ES"/>
        </w:rPr>
        <w:t xml:space="preserve">[26] </w:t>
      </w:r>
      <w:r w:rsidRPr="003A5BBF">
        <w:rPr>
          <w:rFonts w:ascii="Verdana" w:hAnsi="Verdana" w:cs="Arial"/>
          <w:sz w:val="14"/>
          <w:szCs w:val="14"/>
        </w:rPr>
        <w:t>Al respecto ver el concepto 1712 de 2 de febrero de 2006. Consejo de Estado Sala de Consulta y Servicio Civil”.</w:t>
      </w:r>
    </w:p>
  </w:footnote>
  <w:footnote w:id="11">
    <w:p w14:paraId="2197C2E5" w14:textId="41D7FEE5" w:rsidR="00D82BC7" w:rsidRPr="003A5BBF" w:rsidRDefault="00D82BC7" w:rsidP="003A5BBF">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Consejo de Estado. Sala de Consulta y Servicio Civil. Concepto del 2 de septiembre de 2013. Radicación número: 11001-03-06-000-2013-00412-00 (2168). C.P: Álvaro </w:t>
      </w:r>
      <w:r w:rsidRPr="003A5BBF">
        <w:rPr>
          <w:rFonts w:ascii="Verdana" w:hAnsi="Verdana" w:cs="Arial"/>
          <w:sz w:val="14"/>
          <w:szCs w:val="14"/>
        </w:rPr>
        <w:t>Namén Vargas</w:t>
      </w:r>
      <w:r w:rsidR="000754E8">
        <w:rPr>
          <w:rFonts w:ascii="Verdana" w:hAnsi="Verdana" w:cs="Arial"/>
          <w:sz w:val="14"/>
          <w:szCs w:val="14"/>
        </w:rPr>
        <w:t>.</w:t>
      </w:r>
    </w:p>
  </w:footnote>
  <w:footnote w:id="12">
    <w:p w14:paraId="1F174D94" w14:textId="4F24BB35" w:rsidR="00D82BC7" w:rsidRPr="003A5BBF" w:rsidRDefault="00D82BC7" w:rsidP="003A5BBF">
      <w:pPr>
        <w:pStyle w:val="Textonotapie"/>
        <w:ind w:firstLine="709"/>
        <w:jc w:val="both"/>
        <w:rPr>
          <w:rFonts w:ascii="Verdana" w:hAnsi="Verdana" w:cs="Arial"/>
          <w:sz w:val="14"/>
          <w:szCs w:val="14"/>
          <w:lang w:val="es-ES"/>
        </w:rPr>
      </w:pPr>
      <w:r w:rsidRPr="003A5BBF">
        <w:rPr>
          <w:rStyle w:val="Refdenotaalpie"/>
          <w:rFonts w:ascii="Verdana" w:hAnsi="Verdana" w:cs="Arial"/>
          <w:sz w:val="14"/>
          <w:szCs w:val="14"/>
        </w:rPr>
        <w:footnoteRef/>
      </w:r>
      <w:r w:rsidRPr="003A5BBF">
        <w:rPr>
          <w:rFonts w:ascii="Verdana" w:hAnsi="Verdana" w:cs="Arial"/>
          <w:sz w:val="14"/>
          <w:szCs w:val="14"/>
        </w:rPr>
        <w:t xml:space="preserve"> </w:t>
      </w:r>
      <w:r w:rsidRPr="003A5BBF">
        <w:rPr>
          <w:rFonts w:ascii="Verdana" w:hAnsi="Verdana" w:cs="Arial"/>
          <w:sz w:val="14"/>
          <w:szCs w:val="14"/>
          <w:lang w:val="es-ES"/>
        </w:rPr>
        <w:t xml:space="preserve">Artículo 2. </w:t>
      </w:r>
    </w:p>
  </w:footnote>
  <w:footnote w:id="13">
    <w:p w14:paraId="372F0CF6" w14:textId="04163FFC" w:rsidR="00D82BC7" w:rsidRPr="003A5BBF" w:rsidRDefault="00D82BC7" w:rsidP="003A5BBF">
      <w:pPr>
        <w:pStyle w:val="Textonotapie"/>
        <w:ind w:firstLine="709"/>
        <w:jc w:val="both"/>
        <w:rPr>
          <w:rFonts w:ascii="Verdana" w:hAnsi="Verdana" w:cs="Arial"/>
          <w:sz w:val="14"/>
          <w:szCs w:val="14"/>
          <w:lang w:val="es-ES"/>
        </w:rPr>
      </w:pPr>
      <w:r w:rsidRPr="003A5BBF">
        <w:rPr>
          <w:rStyle w:val="Refdenotaalpie"/>
          <w:rFonts w:ascii="Verdana" w:hAnsi="Verdana" w:cs="Arial"/>
          <w:sz w:val="14"/>
          <w:szCs w:val="14"/>
        </w:rPr>
        <w:footnoteRef/>
      </w:r>
      <w:r w:rsidRPr="003A5BBF">
        <w:rPr>
          <w:rFonts w:ascii="Verdana" w:hAnsi="Verdana" w:cs="Arial"/>
          <w:sz w:val="14"/>
          <w:szCs w:val="14"/>
        </w:rPr>
        <w:t xml:space="preserve"> </w:t>
      </w:r>
      <w:r w:rsidRPr="003A5BBF">
        <w:rPr>
          <w:rFonts w:ascii="Verdana" w:hAnsi="Verdana" w:cs="Arial"/>
          <w:i/>
          <w:sz w:val="14"/>
          <w:szCs w:val="14"/>
          <w:lang w:val="es-ES"/>
        </w:rPr>
        <w:t>Ídem</w:t>
      </w:r>
      <w:r w:rsidRPr="003A5BBF">
        <w:rPr>
          <w:rFonts w:ascii="Verdana" w:hAnsi="Verdana" w:cs="Arial"/>
          <w:sz w:val="14"/>
          <w:szCs w:val="14"/>
          <w:lang w:val="es-ES"/>
        </w:rPr>
        <w:t>.</w:t>
      </w:r>
    </w:p>
  </w:footnote>
  <w:footnote w:id="14">
    <w:p w14:paraId="5D8B72EC" w14:textId="2CD150BE" w:rsidR="00D82BC7" w:rsidRPr="003A5BBF" w:rsidRDefault="00D82BC7" w:rsidP="003A5BBF">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Consejo de Estado. Sala de Consulta y Servicio Civil. Concepto del 08 de mayo de 2018. </w:t>
      </w:r>
      <w:r w:rsidRPr="003A5BBF">
        <w:rPr>
          <w:rFonts w:ascii="Verdana" w:hAnsi="Verdana" w:cs="Arial"/>
          <w:sz w:val="14"/>
          <w:szCs w:val="14"/>
        </w:rPr>
        <w:t>Exp. 2.382. C.P. Álvaro Namén Vargas.</w:t>
      </w:r>
    </w:p>
  </w:footnote>
  <w:footnote w:id="15">
    <w:p w14:paraId="17B3B35C" w14:textId="6BA77868" w:rsidR="00D82BC7" w:rsidRPr="003A5BBF" w:rsidRDefault="00D82BC7" w:rsidP="003A5BBF">
      <w:pPr>
        <w:pStyle w:val="Textonotapie"/>
        <w:ind w:firstLine="708"/>
        <w:jc w:val="both"/>
        <w:rPr>
          <w:rFonts w:ascii="Verdana" w:hAnsi="Verdana"/>
          <w:sz w:val="14"/>
          <w:szCs w:val="14"/>
          <w:lang w:val="es-ES"/>
        </w:rPr>
      </w:pPr>
      <w:r w:rsidRPr="003A5BBF">
        <w:rPr>
          <w:rStyle w:val="Refdenotaalpie"/>
          <w:rFonts w:ascii="Verdana" w:hAnsi="Verdana"/>
          <w:sz w:val="14"/>
          <w:szCs w:val="14"/>
        </w:rPr>
        <w:footnoteRef/>
      </w:r>
      <w:r w:rsidRPr="003A5BBF">
        <w:rPr>
          <w:rFonts w:ascii="Verdana" w:hAnsi="Verdana"/>
          <w:sz w:val="14"/>
          <w:szCs w:val="14"/>
        </w:rPr>
        <w:t xml:space="preserve"> </w:t>
      </w:r>
      <w:r w:rsidRPr="003A5BBF">
        <w:rPr>
          <w:rFonts w:ascii="Verdana" w:hAnsi="Verdana" w:cs="Arial"/>
          <w:sz w:val="14"/>
          <w:szCs w:val="14"/>
          <w:lang w:val="es-ES"/>
        </w:rPr>
        <w:t xml:space="preserve">Consejo de Estado, Sala de Consulta y Servicio Civil, Concepto de fecha 8 de mayo de 2018, No. </w:t>
      </w:r>
      <w:r w:rsidRPr="003A5BBF">
        <w:rPr>
          <w:rFonts w:ascii="Verdana" w:hAnsi="Verdana"/>
          <w:sz w:val="14"/>
          <w:szCs w:val="14"/>
        </w:rPr>
        <w:t xml:space="preserve">2382. C. P. Álvaro </w:t>
      </w:r>
      <w:r w:rsidRPr="003A5BBF">
        <w:rPr>
          <w:rFonts w:ascii="Verdana" w:hAnsi="Verdana"/>
          <w:sz w:val="14"/>
          <w:szCs w:val="14"/>
        </w:rPr>
        <w:t>Namén Vargas.</w:t>
      </w:r>
    </w:p>
  </w:footnote>
  <w:footnote w:id="16">
    <w:p w14:paraId="63F49FFE" w14:textId="77777777" w:rsidR="00D82BC7" w:rsidRPr="003A5BBF" w:rsidRDefault="00D82BC7" w:rsidP="003A5BBF">
      <w:pPr>
        <w:spacing w:after="0" w:line="240" w:lineRule="auto"/>
        <w:ind w:firstLine="709"/>
        <w:jc w:val="both"/>
        <w:rPr>
          <w:rFonts w:ascii="Verdana" w:hAnsi="Verdana" w:cs="Arial"/>
          <w:color w:val="000000" w:themeColor="text1"/>
          <w:sz w:val="14"/>
          <w:szCs w:val="14"/>
        </w:rPr>
      </w:pPr>
      <w:r w:rsidRPr="003A5BBF">
        <w:rPr>
          <w:rStyle w:val="Refdenotaalpie"/>
          <w:rFonts w:ascii="Verdana" w:hAnsi="Verdana" w:cs="Arial"/>
          <w:color w:val="000000" w:themeColor="text1"/>
          <w:sz w:val="14"/>
          <w:szCs w:val="14"/>
        </w:rPr>
        <w:footnoteRef/>
      </w:r>
      <w:r w:rsidRPr="003A5BBF">
        <w:rPr>
          <w:rFonts w:ascii="Verdana" w:hAnsi="Verdana" w:cs="Arial"/>
          <w:color w:val="000000" w:themeColor="text1"/>
          <w:sz w:val="14"/>
          <w:szCs w:val="14"/>
        </w:rPr>
        <w:t xml:space="preserve"> Consejo de Estado. Sala de Consulta y Servicio Civil. Concepto de 20 de febrero de 2006. Radicación Número: 11001-03-06-000-2006-00026-00(1727).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45F00775" w14:textId="2480B875" w:rsidR="00D82BC7" w:rsidRPr="003A5BBF" w:rsidRDefault="00D82BC7" w:rsidP="003A5BBF">
      <w:pPr>
        <w:pStyle w:val="Textonotapie"/>
        <w:ind w:firstLine="708"/>
        <w:jc w:val="both"/>
        <w:rPr>
          <w:rFonts w:ascii="Verdana" w:hAnsi="Verdana" w:cs="Arial"/>
          <w:color w:val="000000" w:themeColor="text1"/>
          <w:sz w:val="14"/>
          <w:szCs w:val="14"/>
        </w:rPr>
      </w:pPr>
      <w:r w:rsidRPr="003A5BBF">
        <w:rPr>
          <w:rStyle w:val="Refdenotaalpie"/>
          <w:rFonts w:ascii="Verdana" w:hAnsi="Verdana" w:cs="Arial"/>
          <w:color w:val="000000" w:themeColor="text1"/>
          <w:sz w:val="14"/>
          <w:szCs w:val="14"/>
        </w:rPr>
        <w:footnoteRef/>
      </w:r>
      <w:r w:rsidRPr="003A5BBF">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footnote>
  <w:footnote w:id="18">
    <w:p w14:paraId="516102D8" w14:textId="4F48E489" w:rsidR="00D82BC7" w:rsidRPr="003A5BBF" w:rsidRDefault="00D82BC7" w:rsidP="003A5BBF">
      <w:pPr>
        <w:pStyle w:val="Textonotapie"/>
        <w:ind w:firstLine="708"/>
        <w:jc w:val="both"/>
        <w:rPr>
          <w:rFonts w:ascii="Verdana" w:hAnsi="Verdana" w:cs="Arial"/>
          <w:color w:val="000000" w:themeColor="text1"/>
          <w:sz w:val="14"/>
          <w:szCs w:val="14"/>
        </w:rPr>
      </w:pPr>
      <w:r w:rsidRPr="003A5BBF">
        <w:rPr>
          <w:rStyle w:val="Refdenotaalpie"/>
          <w:rFonts w:ascii="Verdana" w:hAnsi="Verdana" w:cs="Arial"/>
          <w:color w:val="000000" w:themeColor="text1"/>
          <w:sz w:val="14"/>
          <w:szCs w:val="14"/>
        </w:rPr>
        <w:footnoteRef/>
      </w:r>
      <w:r w:rsidRPr="003A5BBF">
        <w:rPr>
          <w:rFonts w:ascii="Verdana" w:hAnsi="Verdana" w:cs="Arial"/>
          <w:color w:val="000000" w:themeColor="text1"/>
          <w:sz w:val="14"/>
          <w:szCs w:val="14"/>
        </w:rPr>
        <w:t xml:space="preserve"> Consejo de Estado. Sala de Consulta y Servicio Civil. Concepto del 02 de septiembre de 2013. Rad. 11001-03-06-000-2013-00412-00 (2168). C.P: Álvaro </w:t>
      </w:r>
      <w:r w:rsidRPr="003A5BBF">
        <w:rPr>
          <w:rFonts w:ascii="Verdana" w:hAnsi="Verdana" w:cs="Arial"/>
          <w:color w:val="000000" w:themeColor="text1"/>
          <w:sz w:val="14"/>
          <w:szCs w:val="14"/>
        </w:rPr>
        <w:t>Namén Vargas.</w:t>
      </w:r>
    </w:p>
  </w:footnote>
  <w:footnote w:id="19">
    <w:p w14:paraId="33C243A1" w14:textId="328D9B28" w:rsidR="00D82BC7" w:rsidRPr="003A5BBF" w:rsidRDefault="00D82BC7" w:rsidP="000754E8">
      <w:pPr>
        <w:pStyle w:val="Textonotapie"/>
        <w:ind w:firstLine="709"/>
        <w:jc w:val="both"/>
        <w:rPr>
          <w:rFonts w:ascii="Verdana" w:hAnsi="Verdana" w:cs="Arial"/>
          <w:sz w:val="14"/>
          <w:szCs w:val="14"/>
        </w:rPr>
      </w:pPr>
      <w:r w:rsidRPr="003A5BBF">
        <w:rPr>
          <w:rStyle w:val="Refdenotaalpie"/>
          <w:rFonts w:ascii="Verdana" w:hAnsi="Verdana" w:cs="Arial"/>
          <w:sz w:val="14"/>
          <w:szCs w:val="14"/>
        </w:rPr>
        <w:footnoteRef/>
      </w:r>
      <w:r w:rsidRPr="003A5BBF">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w:t>
      </w:r>
      <w:r w:rsidRPr="003A5BBF">
        <w:rPr>
          <w:rFonts w:ascii="Verdana" w:hAnsi="Verdana" w:cs="Arial"/>
          <w:sz w:val="14"/>
          <w:szCs w:val="14"/>
        </w:rPr>
        <w:t>N° 216/05 Senado, N° 235-Cámara que dio lugar a la Ley de Garantías Electorales.</w:t>
      </w:r>
    </w:p>
  </w:footnote>
  <w:footnote w:id="20">
    <w:p w14:paraId="3EA94770" w14:textId="77777777" w:rsidR="00D82BC7" w:rsidRPr="003A5BBF" w:rsidRDefault="00D82BC7" w:rsidP="000754E8">
      <w:pPr>
        <w:pStyle w:val="Textonotapie"/>
        <w:ind w:firstLine="708"/>
        <w:jc w:val="both"/>
        <w:rPr>
          <w:rFonts w:ascii="Verdana" w:hAnsi="Verdana" w:cs="Arial"/>
          <w:color w:val="000000" w:themeColor="text1"/>
          <w:sz w:val="14"/>
          <w:szCs w:val="14"/>
          <w:lang w:val="es-ES"/>
        </w:rPr>
      </w:pPr>
      <w:r w:rsidRPr="003A5BBF">
        <w:rPr>
          <w:rStyle w:val="Refdenotaalpie"/>
          <w:rFonts w:ascii="Verdana" w:hAnsi="Verdana" w:cs="Arial"/>
          <w:color w:val="000000" w:themeColor="text1"/>
          <w:sz w:val="14"/>
          <w:szCs w:val="14"/>
        </w:rPr>
        <w:footnoteRef/>
      </w:r>
      <w:r w:rsidRPr="003A5BBF">
        <w:rPr>
          <w:rFonts w:ascii="Verdana" w:hAnsi="Verdana" w:cs="Arial"/>
          <w:color w:val="000000" w:themeColor="text1"/>
          <w:sz w:val="14"/>
          <w:szCs w:val="14"/>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1">
    <w:p w14:paraId="7F2DD242" w14:textId="41F7E96B" w:rsidR="00D82BC7" w:rsidRPr="003A5BBF" w:rsidRDefault="00D82BC7" w:rsidP="000754E8">
      <w:pPr>
        <w:pStyle w:val="Textonotapie"/>
        <w:ind w:firstLine="709"/>
        <w:jc w:val="both"/>
        <w:rPr>
          <w:rFonts w:ascii="Verdana" w:hAnsi="Verdana"/>
          <w:sz w:val="14"/>
          <w:szCs w:val="14"/>
          <w:lang w:val="es-CO"/>
        </w:rPr>
      </w:pPr>
      <w:r w:rsidRPr="003A5BBF">
        <w:rPr>
          <w:rStyle w:val="Refdenotaalpie"/>
          <w:rFonts w:ascii="Verdana" w:hAnsi="Verdana"/>
          <w:sz w:val="14"/>
          <w:szCs w:val="14"/>
        </w:rPr>
        <w:footnoteRef/>
      </w:r>
      <w:r w:rsidRPr="003A5BBF">
        <w:rPr>
          <w:rFonts w:ascii="Verdana" w:hAnsi="Verdana"/>
          <w:sz w:val="14"/>
          <w:szCs w:val="14"/>
        </w:rPr>
        <w:t xml:space="preserve"> </w:t>
      </w:r>
      <w:r w:rsidRPr="003A5BBF">
        <w:rPr>
          <w:rFonts w:ascii="Verdana" w:hAnsi="Verdana" w:cs="Arial"/>
          <w:sz w:val="14"/>
          <w:szCs w:val="14"/>
        </w:rPr>
        <w:t xml:space="preserve">Consejo de Estado -Sección Tercera-. Sentencia del </w:t>
      </w:r>
      <w:r w:rsidRPr="003A5BBF">
        <w:rPr>
          <w:rFonts w:ascii="Verdana" w:hAnsi="Verdana" w:cs="Arial"/>
          <w:bCs/>
          <w:iCs/>
          <w:sz w:val="14"/>
          <w:szCs w:val="14"/>
        </w:rPr>
        <w:t>21 de febrero de 2025. Radicación Número: 68.280. CP: José Roberto Sáchica Méndez.</w:t>
      </w:r>
    </w:p>
  </w:footnote>
  <w:footnote w:id="22">
    <w:p w14:paraId="31DC5384" w14:textId="4912BFC2" w:rsidR="00D82BC7" w:rsidRPr="003A5BBF" w:rsidRDefault="00D82BC7" w:rsidP="000754E8">
      <w:pPr>
        <w:pStyle w:val="Textonotapie"/>
        <w:ind w:firstLine="708"/>
        <w:jc w:val="both"/>
        <w:rPr>
          <w:rFonts w:ascii="Verdana" w:hAnsi="Verdana" w:cs="Arial"/>
          <w:sz w:val="14"/>
          <w:szCs w:val="14"/>
        </w:rPr>
      </w:pPr>
      <w:r w:rsidRPr="003A5BBF">
        <w:rPr>
          <w:rFonts w:ascii="Verdana" w:hAnsi="Verdana"/>
          <w:sz w:val="14"/>
          <w:szCs w:val="14"/>
          <w:vertAlign w:val="superscript"/>
        </w:rPr>
        <w:footnoteRef/>
      </w:r>
      <w:r w:rsidRPr="003A5BBF">
        <w:rPr>
          <w:rFonts w:ascii="Verdana" w:hAnsi="Verdana"/>
          <w:sz w:val="14"/>
          <w:szCs w:val="14"/>
          <w:vertAlign w:val="superscript"/>
        </w:rPr>
        <w:t xml:space="preserve"> </w:t>
      </w:r>
      <w:r w:rsidRPr="003A5BBF">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3">
    <w:p w14:paraId="07F3DF28" w14:textId="5B38E67D" w:rsidR="00D82BC7" w:rsidRPr="00446D58" w:rsidRDefault="00D82BC7" w:rsidP="000754E8">
      <w:pPr>
        <w:pStyle w:val="Textonotapie"/>
        <w:ind w:firstLine="708"/>
        <w:jc w:val="both"/>
        <w:rPr>
          <w:rFonts w:ascii="Verdana" w:hAnsi="Verdana" w:cs="Arial"/>
          <w:sz w:val="14"/>
          <w:szCs w:val="14"/>
        </w:rPr>
      </w:pPr>
      <w:r w:rsidRPr="00446D58">
        <w:rPr>
          <w:rFonts w:ascii="Verdana" w:hAnsi="Verdana"/>
          <w:sz w:val="14"/>
          <w:szCs w:val="14"/>
          <w:vertAlign w:val="superscript"/>
        </w:rPr>
        <w:footnoteRef/>
      </w:r>
      <w:r w:rsidRPr="00446D58">
        <w:rPr>
          <w:rFonts w:ascii="Verdana" w:hAnsi="Verdana" w:cs="Arial"/>
          <w:sz w:val="14"/>
          <w:szCs w:val="14"/>
          <w:vertAlign w:val="superscript"/>
        </w:rPr>
        <w:t xml:space="preserve"> </w:t>
      </w:r>
      <w:r w:rsidRPr="00446D58">
        <w:rPr>
          <w:rFonts w:ascii="Verdana" w:hAnsi="Verdana" w:cs="Arial"/>
          <w:sz w:val="14"/>
          <w:szCs w:val="14"/>
        </w:rPr>
        <w:t>Ley 80 de 1993: Artículo 41. Del perfeccionamiento del contrato. Los contratos del Estado se perfeccionan cuando se logre acuerdo sobre el objeto y la contraprestación y éste se eleve a escrito (…).</w:t>
      </w:r>
    </w:p>
  </w:footnote>
  <w:footnote w:id="24">
    <w:p w14:paraId="31C4C318" w14:textId="0037131D" w:rsidR="00D82BC7" w:rsidRPr="00446D58" w:rsidRDefault="00D82BC7" w:rsidP="000754E8">
      <w:pPr>
        <w:pStyle w:val="Textonotapie"/>
        <w:ind w:firstLine="708"/>
        <w:jc w:val="both"/>
        <w:rPr>
          <w:rFonts w:ascii="Verdana" w:hAnsi="Verdana" w:cs="Arial"/>
          <w:sz w:val="14"/>
          <w:szCs w:val="14"/>
        </w:rPr>
      </w:pPr>
      <w:r w:rsidRPr="00446D58">
        <w:rPr>
          <w:rFonts w:ascii="Verdana" w:hAnsi="Verdana"/>
          <w:sz w:val="14"/>
          <w:szCs w:val="14"/>
          <w:vertAlign w:val="superscript"/>
        </w:rPr>
        <w:footnoteRef/>
      </w:r>
      <w:r w:rsidRPr="00446D58">
        <w:rPr>
          <w:rFonts w:ascii="Verdana" w:hAnsi="Verdana" w:cs="Arial"/>
          <w:sz w:val="14"/>
          <w:szCs w:val="14"/>
          <w:vertAlign w:val="superscript"/>
        </w:rPr>
        <w:t xml:space="preserve"> </w:t>
      </w:r>
      <w:r w:rsidRPr="00446D58">
        <w:rPr>
          <w:rFonts w:ascii="Verdana" w:hAnsi="Verdana" w:cs="Arial"/>
          <w:sz w:val="14"/>
          <w:szCs w:val="14"/>
        </w:rPr>
        <w:t xml:space="preserve">Código Civil: </w:t>
      </w:r>
      <w:r w:rsidR="00A753B6" w:rsidRPr="00446D58">
        <w:rPr>
          <w:rFonts w:ascii="Verdana" w:hAnsi="Verdana" w:cs="Arial"/>
          <w:sz w:val="14"/>
          <w:szCs w:val="14"/>
        </w:rPr>
        <w:t>“</w:t>
      </w:r>
      <w:r w:rsidRPr="00446D58">
        <w:rPr>
          <w:rFonts w:ascii="Verdana" w:hAnsi="Verdana" w:cs="Arial"/>
          <w:sz w:val="14"/>
          <w:szCs w:val="14"/>
        </w:rPr>
        <w:t>Artículo 27. Cuando el sentido de la ley sea claro, no se desatenderá su tenor a pretexto de consultar su espíritu</w:t>
      </w:r>
      <w:r w:rsidR="00A753B6" w:rsidRPr="00446D58">
        <w:rPr>
          <w:rFonts w:ascii="Verdana" w:hAnsi="Verdana" w:cs="Arial"/>
          <w:sz w:val="14"/>
          <w:szCs w:val="14"/>
        </w:rPr>
        <w:t>”</w:t>
      </w:r>
      <w:r w:rsidRPr="00446D58">
        <w:rPr>
          <w:rFonts w:ascii="Verdana" w:hAnsi="Verdana" w:cs="Arial"/>
          <w:sz w:val="14"/>
          <w:szCs w:val="14"/>
        </w:rPr>
        <w:t>.</w:t>
      </w:r>
    </w:p>
  </w:footnote>
  <w:footnote w:id="25">
    <w:p w14:paraId="647D4715" w14:textId="77777777" w:rsidR="00D82BC7" w:rsidRPr="00446D58" w:rsidRDefault="00D82BC7" w:rsidP="000754E8">
      <w:pPr>
        <w:pStyle w:val="Textonotapie"/>
        <w:ind w:firstLine="709"/>
        <w:jc w:val="both"/>
        <w:rPr>
          <w:rFonts w:ascii="Verdana" w:hAnsi="Verdana" w:cs="Arial"/>
          <w:sz w:val="14"/>
          <w:szCs w:val="14"/>
          <w:lang w:val="es-CO"/>
        </w:rPr>
      </w:pPr>
      <w:r w:rsidRPr="00446D58">
        <w:rPr>
          <w:rStyle w:val="Refdenotaalpie"/>
          <w:rFonts w:ascii="Verdana" w:hAnsi="Verdana"/>
          <w:sz w:val="14"/>
          <w:szCs w:val="14"/>
        </w:rPr>
        <w:footnoteRef/>
      </w:r>
      <w:r w:rsidRPr="00446D58">
        <w:rPr>
          <w:rFonts w:ascii="Verdana" w:hAnsi="Verdana"/>
          <w:sz w:val="14"/>
          <w:szCs w:val="14"/>
          <w:lang w:val="es-CO"/>
        </w:rPr>
        <w:t xml:space="preserve"> Consejo de Estado. Sala de lo Contencioso Administrativo. Sección Tercera. Subsección B. Auto del 4 de octubre de 2024. </w:t>
      </w:r>
      <w:r w:rsidRPr="00446D58">
        <w:rPr>
          <w:rFonts w:ascii="Verdana" w:hAnsi="Verdana"/>
          <w:sz w:val="14"/>
          <w:szCs w:val="14"/>
          <w:lang w:val="es-CO"/>
        </w:rPr>
        <w:t>Exp. 70.313. C.P: Fredy Ibarra Martínez.</w:t>
      </w:r>
    </w:p>
  </w:footnote>
  <w:footnote w:id="26">
    <w:p w14:paraId="351CE8E4" w14:textId="77777777" w:rsidR="00D82BC7" w:rsidRPr="00446D58" w:rsidRDefault="00D82BC7" w:rsidP="000754E8">
      <w:pPr>
        <w:pStyle w:val="Textonotapie"/>
        <w:ind w:firstLine="709"/>
        <w:jc w:val="both"/>
        <w:rPr>
          <w:rFonts w:ascii="Verdana" w:hAnsi="Verdana"/>
          <w:sz w:val="14"/>
          <w:szCs w:val="14"/>
          <w:lang w:val="es-CO"/>
        </w:rPr>
      </w:pPr>
      <w:r w:rsidRPr="00446D58">
        <w:rPr>
          <w:rStyle w:val="Refdenotaalpie"/>
          <w:rFonts w:ascii="Verdana" w:hAnsi="Verdana"/>
          <w:sz w:val="14"/>
          <w:szCs w:val="14"/>
        </w:rPr>
        <w:footnoteRef/>
      </w:r>
      <w:r w:rsidRPr="00446D58">
        <w:rPr>
          <w:rFonts w:ascii="Verdana" w:hAnsi="Verdana"/>
          <w:sz w:val="14"/>
          <w:szCs w:val="14"/>
        </w:rPr>
        <w:t xml:space="preserve"> La parte resolutiva del auto dispone lo siguiente; “</w:t>
      </w:r>
      <w:r w:rsidRPr="00446D58">
        <w:rPr>
          <w:rFonts w:ascii="Verdana" w:hAnsi="Verdana"/>
          <w:b/>
          <w:bCs/>
          <w:sz w:val="14"/>
          <w:szCs w:val="14"/>
          <w:lang w:val="es-CO"/>
        </w:rPr>
        <w:t xml:space="preserve">PRIMERO: DECRETAR </w:t>
      </w:r>
      <w:r w:rsidRPr="00446D58">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446D58">
        <w:rPr>
          <w:rFonts w:ascii="Verdana" w:hAnsi="Verdana"/>
          <w:i/>
          <w:iCs/>
          <w:sz w:val="14"/>
          <w:szCs w:val="14"/>
          <w:lang w:val="es-CO"/>
        </w:rPr>
        <w:t>“[e]</w:t>
      </w:r>
      <w:r w:rsidRPr="00446D58">
        <w:rPr>
          <w:rFonts w:ascii="Verdana" w:hAnsi="Verdana"/>
          <w:i/>
          <w:iCs/>
          <w:sz w:val="14"/>
          <w:szCs w:val="14"/>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46D58">
        <w:rPr>
          <w:rFonts w:ascii="Verdana" w:hAnsi="Verdana"/>
          <w:sz w:val="14"/>
          <w:szCs w:val="14"/>
          <w:lang w:val="es-CO"/>
        </w:rPr>
        <w:t xml:space="preserve">, por las razones expuestas en precedencia. </w:t>
      </w:r>
    </w:p>
    <w:p w14:paraId="311F3AC3" w14:textId="77777777" w:rsidR="00D82BC7" w:rsidRPr="00446D58" w:rsidRDefault="00D82BC7">
      <w:pPr>
        <w:pStyle w:val="Textonotapie"/>
        <w:ind w:firstLine="709"/>
        <w:jc w:val="both"/>
        <w:rPr>
          <w:rFonts w:ascii="Verdana" w:hAnsi="Verdana" w:cs="Arial"/>
          <w:sz w:val="14"/>
          <w:szCs w:val="14"/>
          <w:lang w:val="es-CO"/>
        </w:rPr>
      </w:pPr>
      <w:r w:rsidRPr="00446D58">
        <w:rPr>
          <w:rFonts w:ascii="Verdana" w:hAnsi="Verdana"/>
          <w:b/>
          <w:bCs/>
          <w:sz w:val="14"/>
          <w:szCs w:val="14"/>
          <w:lang w:val="es-CO"/>
        </w:rPr>
        <w:t xml:space="preserve">SEGUNDO: DECRETAR </w:t>
      </w:r>
      <w:r w:rsidRPr="00446D58">
        <w:rPr>
          <w:rFonts w:ascii="Verdana" w:hAnsi="Verdana"/>
          <w:sz w:val="14"/>
          <w:szCs w:val="14"/>
          <w:lang w:val="es-CO"/>
        </w:rPr>
        <w:t>la suspensión provisional de la expresión “</w:t>
      </w:r>
      <w:r w:rsidRPr="00446D58">
        <w:rPr>
          <w:rFonts w:ascii="Verdana" w:hAnsi="Verdana"/>
          <w:i/>
          <w:iCs/>
          <w:sz w:val="14"/>
          <w:szCs w:val="14"/>
          <w:lang w:val="es-CO"/>
        </w:rPr>
        <w:t>contratos</w:t>
      </w:r>
      <w:r w:rsidRPr="00446D58">
        <w:rPr>
          <w:rFonts w:ascii="Verdana" w:hAnsi="Verdana"/>
          <w:sz w:val="14"/>
          <w:szCs w:val="14"/>
          <w:lang w:val="es-CO"/>
        </w:rPr>
        <w:t xml:space="preserve">” y del párrafo </w:t>
      </w:r>
      <w:r w:rsidRPr="00446D58">
        <w:rPr>
          <w:rFonts w:ascii="Verdana" w:hAnsi="Verdana"/>
          <w:i/>
          <w:iCs/>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46D58">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Sala de lo Contencioso Administrativo. Sección Tercera. Subsección B. Auto del 6 de noviembre de 2025. Exp. 72.424. C.P: Fernando Alexei Pardo Flórez. </w:t>
      </w:r>
    </w:p>
  </w:footnote>
  <w:footnote w:id="27">
    <w:p w14:paraId="05716F38" w14:textId="77777777" w:rsidR="00A753B6" w:rsidRPr="00446D58" w:rsidRDefault="00A753B6" w:rsidP="00446D58">
      <w:pPr>
        <w:spacing w:after="0" w:line="240" w:lineRule="auto"/>
        <w:ind w:firstLine="709"/>
        <w:jc w:val="both"/>
        <w:rPr>
          <w:rFonts w:ascii="Verdana" w:eastAsia="Times New Roman" w:hAnsi="Verdana" w:cs="Times New Roman"/>
          <w:sz w:val="14"/>
          <w:szCs w:val="14"/>
          <w:lang w:eastAsia="es-ES"/>
        </w:rPr>
      </w:pPr>
      <w:r w:rsidRPr="00446D58">
        <w:rPr>
          <w:rStyle w:val="Refdenotaalpie"/>
          <w:rFonts w:ascii="Verdana" w:hAnsi="Verdana"/>
          <w:sz w:val="14"/>
          <w:szCs w:val="14"/>
        </w:rPr>
        <w:footnoteRef/>
      </w:r>
      <w:r w:rsidRPr="00446D58">
        <w:rPr>
          <w:rFonts w:ascii="Verdana" w:hAnsi="Verdana"/>
          <w:sz w:val="14"/>
          <w:szCs w:val="14"/>
        </w:rPr>
        <w:t xml:space="preserve"> </w:t>
      </w:r>
      <w:r w:rsidRPr="00446D58">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446D58">
        <w:rPr>
          <w:rFonts w:ascii="Verdana" w:hAnsi="Verdana"/>
          <w:sz w:val="14"/>
          <w:szCs w:val="14"/>
        </w:rPr>
        <w:t xml:space="preserve">La parte de la providencia señala: </w:t>
      </w:r>
      <w:r w:rsidRPr="00446D58">
        <w:rPr>
          <w:rFonts w:ascii="Verdana" w:eastAsia="Times New Roman" w:hAnsi="Verdana" w:cs="Times New Roman"/>
          <w:sz w:val="14"/>
          <w:szCs w:val="14"/>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446D58">
        <w:rPr>
          <w:rFonts w:ascii="Verdana" w:eastAsia="Times New Roman" w:hAnsi="Verdana" w:cs="Times New Roman"/>
          <w:sz w:val="14"/>
          <w:szCs w:val="14"/>
          <w:lang w:eastAsia="es-ES"/>
        </w:rPr>
        <w:t>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8">
    <w:p w14:paraId="33595F9D" w14:textId="77777777" w:rsidR="00A753B6" w:rsidRPr="00446D58" w:rsidRDefault="00A753B6" w:rsidP="000754E8">
      <w:pPr>
        <w:pStyle w:val="Textonotapie"/>
        <w:ind w:firstLine="709"/>
        <w:rPr>
          <w:rFonts w:ascii="Verdana" w:hAnsi="Verdana"/>
          <w:sz w:val="14"/>
          <w:szCs w:val="14"/>
          <w:lang w:val="es-CO"/>
        </w:rPr>
      </w:pPr>
      <w:r w:rsidRPr="00446D58">
        <w:rPr>
          <w:rStyle w:val="Refdenotaalpie"/>
          <w:rFonts w:ascii="Verdana" w:hAnsi="Verdana"/>
          <w:sz w:val="14"/>
          <w:szCs w:val="14"/>
        </w:rPr>
        <w:footnoteRef/>
      </w:r>
      <w:r w:rsidRPr="00446D58">
        <w:rPr>
          <w:rFonts w:ascii="Verdana" w:hAnsi="Verdana"/>
          <w:sz w:val="14"/>
          <w:szCs w:val="14"/>
        </w:rPr>
        <w:t xml:space="preserve"> No </w:t>
      </w:r>
      <w:r w:rsidRPr="00446D58">
        <w:rPr>
          <w:rFonts w:ascii="Verdana" w:hAnsi="Verdana"/>
          <w:sz w:val="14"/>
          <w:szCs w:val="14"/>
        </w:rPr>
        <w:t>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9">
    <w:p w14:paraId="161E0CB4" w14:textId="77777777" w:rsidR="00D82BC7" w:rsidRPr="00446D58" w:rsidRDefault="00D82BC7" w:rsidP="000754E8">
      <w:pPr>
        <w:pStyle w:val="Textonotapie"/>
        <w:ind w:firstLine="709"/>
        <w:jc w:val="both"/>
        <w:rPr>
          <w:rFonts w:ascii="Verdana" w:hAnsi="Verdana" w:cs="Arial"/>
          <w:sz w:val="14"/>
          <w:szCs w:val="14"/>
        </w:rPr>
      </w:pPr>
      <w:r w:rsidRPr="00446D58">
        <w:rPr>
          <w:rStyle w:val="Refdenotaalpie"/>
          <w:rFonts w:ascii="Verdana" w:hAnsi="Verdana" w:cs="Arial"/>
          <w:sz w:val="14"/>
          <w:szCs w:val="14"/>
        </w:rPr>
        <w:footnoteRef/>
      </w:r>
      <w:r w:rsidRPr="00446D58">
        <w:rPr>
          <w:rFonts w:ascii="Verdana" w:hAnsi="Verdana" w:cs="Arial"/>
          <w:sz w:val="14"/>
          <w:szCs w:val="14"/>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187173">
    <w:abstractNumId w:val="6"/>
  </w:num>
  <w:num w:numId="2" w16cid:durableId="21788528">
    <w:abstractNumId w:val="2"/>
  </w:num>
  <w:num w:numId="3" w16cid:durableId="1441294777">
    <w:abstractNumId w:val="4"/>
  </w:num>
  <w:num w:numId="4" w16cid:durableId="20664878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71359311">
    <w:abstractNumId w:val="2"/>
  </w:num>
  <w:num w:numId="6" w16cid:durableId="864253144">
    <w:abstractNumId w:val="14"/>
  </w:num>
  <w:num w:numId="7" w16cid:durableId="566114227">
    <w:abstractNumId w:val="5"/>
  </w:num>
  <w:num w:numId="8" w16cid:durableId="1723091073">
    <w:abstractNumId w:val="13"/>
  </w:num>
  <w:num w:numId="9" w16cid:durableId="200824190">
    <w:abstractNumId w:val="7"/>
  </w:num>
  <w:num w:numId="10" w16cid:durableId="1355111154">
    <w:abstractNumId w:val="12"/>
  </w:num>
  <w:num w:numId="11" w16cid:durableId="391122589">
    <w:abstractNumId w:val="8"/>
  </w:num>
  <w:num w:numId="12" w16cid:durableId="15279023">
    <w:abstractNumId w:val="1"/>
  </w:num>
  <w:num w:numId="13" w16cid:durableId="1632442861">
    <w:abstractNumId w:val="3"/>
  </w:num>
  <w:num w:numId="14" w16cid:durableId="1928073352">
    <w:abstractNumId w:val="15"/>
  </w:num>
  <w:num w:numId="15" w16cid:durableId="519667536">
    <w:abstractNumId w:val="11"/>
  </w:num>
  <w:num w:numId="16" w16cid:durableId="1319119088">
    <w:abstractNumId w:val="0"/>
  </w:num>
  <w:num w:numId="17" w16cid:durableId="1352335374">
    <w:abstractNumId w:val="10"/>
  </w:num>
  <w:num w:numId="18" w16cid:durableId="12072598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54E8"/>
    <w:rsid w:val="00082362"/>
    <w:rsid w:val="000A217C"/>
    <w:rsid w:val="000A683E"/>
    <w:rsid w:val="000B19B9"/>
    <w:rsid w:val="000C4C75"/>
    <w:rsid w:val="000D0334"/>
    <w:rsid w:val="000D5DA7"/>
    <w:rsid w:val="000F6486"/>
    <w:rsid w:val="00116940"/>
    <w:rsid w:val="00124590"/>
    <w:rsid w:val="00125105"/>
    <w:rsid w:val="00127233"/>
    <w:rsid w:val="001366A7"/>
    <w:rsid w:val="0015699B"/>
    <w:rsid w:val="001A33BF"/>
    <w:rsid w:val="001E4177"/>
    <w:rsid w:val="001F0B24"/>
    <w:rsid w:val="001F7DC6"/>
    <w:rsid w:val="0022400B"/>
    <w:rsid w:val="00225152"/>
    <w:rsid w:val="002421BB"/>
    <w:rsid w:val="0025796E"/>
    <w:rsid w:val="002707A2"/>
    <w:rsid w:val="00276DC9"/>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7F6E"/>
    <w:rsid w:val="00374F5E"/>
    <w:rsid w:val="00377E3E"/>
    <w:rsid w:val="003A5BBF"/>
    <w:rsid w:val="003A779E"/>
    <w:rsid w:val="003C1399"/>
    <w:rsid w:val="003D0F4D"/>
    <w:rsid w:val="003D5B0D"/>
    <w:rsid w:val="003E0499"/>
    <w:rsid w:val="003E4F80"/>
    <w:rsid w:val="003E6439"/>
    <w:rsid w:val="003F3941"/>
    <w:rsid w:val="00406575"/>
    <w:rsid w:val="00414C74"/>
    <w:rsid w:val="0042722E"/>
    <w:rsid w:val="0044528D"/>
    <w:rsid w:val="00446D58"/>
    <w:rsid w:val="00466E39"/>
    <w:rsid w:val="004A1847"/>
    <w:rsid w:val="004A305D"/>
    <w:rsid w:val="004B59E1"/>
    <w:rsid w:val="004D55B2"/>
    <w:rsid w:val="004F21C4"/>
    <w:rsid w:val="004F685F"/>
    <w:rsid w:val="005566E8"/>
    <w:rsid w:val="00560272"/>
    <w:rsid w:val="00574867"/>
    <w:rsid w:val="00591460"/>
    <w:rsid w:val="005A65E0"/>
    <w:rsid w:val="005C08F6"/>
    <w:rsid w:val="005C3777"/>
    <w:rsid w:val="005C5CDC"/>
    <w:rsid w:val="005D476C"/>
    <w:rsid w:val="006200BF"/>
    <w:rsid w:val="006219F8"/>
    <w:rsid w:val="006302F7"/>
    <w:rsid w:val="00646B9F"/>
    <w:rsid w:val="00665D70"/>
    <w:rsid w:val="006900D9"/>
    <w:rsid w:val="006E02A3"/>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3F8D"/>
    <w:rsid w:val="008D180B"/>
    <w:rsid w:val="008F0EA7"/>
    <w:rsid w:val="00923EEF"/>
    <w:rsid w:val="009419F9"/>
    <w:rsid w:val="0095685E"/>
    <w:rsid w:val="00961B09"/>
    <w:rsid w:val="00965334"/>
    <w:rsid w:val="0097093E"/>
    <w:rsid w:val="009A0DFA"/>
    <w:rsid w:val="009A1C6F"/>
    <w:rsid w:val="009A2FFA"/>
    <w:rsid w:val="009B2D26"/>
    <w:rsid w:val="009C71FA"/>
    <w:rsid w:val="009C72E7"/>
    <w:rsid w:val="009C7F7E"/>
    <w:rsid w:val="009D2B32"/>
    <w:rsid w:val="009D3058"/>
    <w:rsid w:val="009F34E7"/>
    <w:rsid w:val="009F3A13"/>
    <w:rsid w:val="00A122D3"/>
    <w:rsid w:val="00A14468"/>
    <w:rsid w:val="00A1448B"/>
    <w:rsid w:val="00A17F13"/>
    <w:rsid w:val="00A20739"/>
    <w:rsid w:val="00A23AF9"/>
    <w:rsid w:val="00A33C78"/>
    <w:rsid w:val="00A753B6"/>
    <w:rsid w:val="00AB0ADB"/>
    <w:rsid w:val="00B00C0E"/>
    <w:rsid w:val="00B01B1A"/>
    <w:rsid w:val="00B0381D"/>
    <w:rsid w:val="00B44A47"/>
    <w:rsid w:val="00B6544C"/>
    <w:rsid w:val="00B72CD3"/>
    <w:rsid w:val="00B72FFF"/>
    <w:rsid w:val="00BC3D36"/>
    <w:rsid w:val="00BD54A6"/>
    <w:rsid w:val="00BD7F72"/>
    <w:rsid w:val="00BF7425"/>
    <w:rsid w:val="00C04FB3"/>
    <w:rsid w:val="00C11D8B"/>
    <w:rsid w:val="00C15139"/>
    <w:rsid w:val="00C330EB"/>
    <w:rsid w:val="00C50D69"/>
    <w:rsid w:val="00C5365C"/>
    <w:rsid w:val="00C644BF"/>
    <w:rsid w:val="00C754BE"/>
    <w:rsid w:val="00C76B1C"/>
    <w:rsid w:val="00C925AC"/>
    <w:rsid w:val="00CB6357"/>
    <w:rsid w:val="00CC1B26"/>
    <w:rsid w:val="00CF1B12"/>
    <w:rsid w:val="00D00A8F"/>
    <w:rsid w:val="00D361FD"/>
    <w:rsid w:val="00D423A2"/>
    <w:rsid w:val="00D44E26"/>
    <w:rsid w:val="00D520D8"/>
    <w:rsid w:val="00D63AC2"/>
    <w:rsid w:val="00D7383B"/>
    <w:rsid w:val="00D7788A"/>
    <w:rsid w:val="00D82BC7"/>
    <w:rsid w:val="00DA231B"/>
    <w:rsid w:val="00DC39FC"/>
    <w:rsid w:val="00DE6044"/>
    <w:rsid w:val="00DF1954"/>
    <w:rsid w:val="00DF5254"/>
    <w:rsid w:val="00E02524"/>
    <w:rsid w:val="00E15304"/>
    <w:rsid w:val="00E16408"/>
    <w:rsid w:val="00E20894"/>
    <w:rsid w:val="00E2320C"/>
    <w:rsid w:val="00E245AB"/>
    <w:rsid w:val="00E2764C"/>
    <w:rsid w:val="00E27F2E"/>
    <w:rsid w:val="00E50AFE"/>
    <w:rsid w:val="00E75C92"/>
    <w:rsid w:val="00E771DC"/>
    <w:rsid w:val="00E8772A"/>
    <w:rsid w:val="00E90F6B"/>
    <w:rsid w:val="00E92C27"/>
    <w:rsid w:val="00E933A3"/>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A826F73"/>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82BC7"/>
    <w:rPr>
      <w:rFonts w:ascii="Geomanist Light" w:hAnsi="Geomanist Light"/>
      <w:lang w:val="es-ES"/>
    </w:rPr>
  </w:style>
  <w:style w:type="paragraph" w:customStyle="1" w:styleId="Appelnotedebasde">
    <w:name w:val="Appel note de bas de..."/>
    <w:basedOn w:val="Normal"/>
    <w:link w:val="Refdenotaalpie"/>
    <w:uiPriority w:val="99"/>
    <w:rsid w:val="00D82BC7"/>
    <w:pPr>
      <w:spacing w:line="240" w:lineRule="exact"/>
    </w:pPr>
    <w:rPr>
      <w:vertAlign w:val="superscript"/>
    </w:rPr>
  </w:style>
  <w:style w:type="character" w:customStyle="1" w:styleId="NormalWebCar">
    <w:name w:val="Normal (Web) Car"/>
    <w:link w:val="NormalWeb"/>
    <w:uiPriority w:val="99"/>
    <w:locked/>
    <w:rsid w:val="00D82BC7"/>
    <w:rPr>
      <w:rFonts w:ascii="Times New Roman" w:eastAsia="Times New Roman" w:hAnsi="Times New Roman" w:cs="Times New Roman"/>
      <w:sz w:val="24"/>
      <w:szCs w:val="24"/>
      <w:lang w:eastAsia="es-CO"/>
    </w:rPr>
  </w:style>
  <w:style w:type="character" w:customStyle="1" w:styleId="baj">
    <w:name w:val="b_aj"/>
    <w:basedOn w:val="Fuentedeprrafopredeter"/>
    <w:rsid w:val="00D82B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milag3710@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79C0321C-5E76-4B32-B893-12EFF4420D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31</Pages>
  <Words>10680</Words>
  <Characters>58527</Characters>
  <Application>Microsoft Office Word</Application>
  <DocSecurity>0</DocSecurity>
  <Lines>1147</Lines>
  <Paragraphs>216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2025-12-04T13:31:00Z</dcterms:created>
  <dcterms:modified xsi:type="dcterms:W3CDTF">2025-12-04T23:13:00Z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