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F0301" w14:textId="77777777" w:rsidR="004D1F94" w:rsidRPr="00523FAD" w:rsidRDefault="004D1F94" w:rsidP="004D1F94">
      <w:pPr>
        <w:spacing w:after="0" w:line="240" w:lineRule="auto"/>
        <w:rPr>
          <w:rFonts w:ascii="Verdana" w:eastAsia="Calibri" w:hAnsi="Verdana" w:cs="Arial"/>
          <w:b/>
          <w:color w:val="000000" w:themeColor="text1"/>
          <w:lang w:val="es-ES_tradnl"/>
        </w:rPr>
      </w:pPr>
      <w:bookmarkStart w:id="0" w:name="_Hlk181166130"/>
      <w:bookmarkStart w:id="1" w:name="_Hlk209714638"/>
      <w:r w:rsidRPr="00523FAD">
        <w:rPr>
          <w:rFonts w:ascii="Verdana" w:eastAsia="Calibri" w:hAnsi="Verdana" w:cs="Arial"/>
          <w:b/>
          <w:color w:val="000000" w:themeColor="text1"/>
          <w:lang w:val="es-ES_tradnl"/>
        </w:rPr>
        <w:t xml:space="preserve">LEY DE GARANTÍAS ELECTORALES ‒ Tipos de restricciones ‒ Ámbito temporal </w:t>
      </w:r>
    </w:p>
    <w:p w14:paraId="547305BE" w14:textId="77777777" w:rsidR="004D1F94" w:rsidRPr="00523FAD" w:rsidRDefault="004D1F94" w:rsidP="004D1F94">
      <w:pPr>
        <w:spacing w:after="0" w:line="240" w:lineRule="auto"/>
        <w:rPr>
          <w:rFonts w:ascii="Verdana" w:eastAsia="Calibri" w:hAnsi="Verdana" w:cs="Arial"/>
          <w:b/>
          <w:color w:val="000000" w:themeColor="text1"/>
          <w:lang w:val="es-ES_tradnl"/>
        </w:rPr>
      </w:pPr>
    </w:p>
    <w:p w14:paraId="5BB035B2" w14:textId="77777777" w:rsidR="004D1F94" w:rsidRPr="004D1F94" w:rsidRDefault="004D1F94" w:rsidP="004D1F94">
      <w:pPr>
        <w:spacing w:after="0" w:line="240" w:lineRule="auto"/>
        <w:jc w:val="both"/>
        <w:rPr>
          <w:rFonts w:ascii="Verdana" w:eastAsia="Calibri" w:hAnsi="Verdana" w:cs="Arial"/>
          <w:color w:val="000000" w:themeColor="text1"/>
          <w:sz w:val="20"/>
          <w:szCs w:val="20"/>
          <w:lang w:val="es-ES"/>
        </w:rPr>
      </w:pPr>
      <w:r w:rsidRPr="004D1F94">
        <w:rPr>
          <w:rFonts w:ascii="Verdana" w:eastAsia="Calibri" w:hAnsi="Verdana" w:cs="Arial"/>
          <w:color w:val="000000" w:themeColor="text1"/>
          <w:sz w:val="20"/>
          <w:szCs w:val="20"/>
          <w:lang w:val="es-ES"/>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1208C82E" w14:textId="77777777" w:rsidR="004D1F94" w:rsidRPr="00523FAD" w:rsidRDefault="004D1F94" w:rsidP="004D1F94">
      <w:pPr>
        <w:spacing w:after="0" w:line="240" w:lineRule="auto"/>
        <w:rPr>
          <w:rFonts w:ascii="Verdana" w:eastAsia="Calibri" w:hAnsi="Verdana" w:cs="Arial"/>
          <w:b/>
          <w:color w:val="000000" w:themeColor="text1"/>
          <w:lang w:val="es-ES_tradnl"/>
        </w:rPr>
      </w:pPr>
    </w:p>
    <w:p w14:paraId="75F4505E" w14:textId="77777777" w:rsidR="004D1F94" w:rsidRPr="00523FAD" w:rsidRDefault="004D1F94" w:rsidP="004D1F94">
      <w:pPr>
        <w:spacing w:after="0" w:line="240" w:lineRule="auto"/>
        <w:rPr>
          <w:rFonts w:ascii="Verdana" w:eastAsia="Calibri" w:hAnsi="Verdana" w:cs="Arial"/>
          <w:b/>
          <w:color w:val="000000" w:themeColor="text1"/>
          <w:lang w:val="es-ES_tradnl"/>
        </w:rPr>
      </w:pPr>
      <w:r w:rsidRPr="00523FAD">
        <w:rPr>
          <w:rFonts w:ascii="Verdana" w:eastAsia="Calibri" w:hAnsi="Verdana" w:cs="Arial"/>
          <w:b/>
          <w:color w:val="000000" w:themeColor="text1"/>
          <w:lang w:val="es-ES_tradnl"/>
        </w:rPr>
        <w:t xml:space="preserve">LEY DE GARANTÍAS ELECTORALES ─ Prohibición ‒ Contratación directa ‒ Alcance – Excepciones </w:t>
      </w:r>
    </w:p>
    <w:p w14:paraId="38BC272D" w14:textId="77777777" w:rsidR="004D1F94" w:rsidRPr="00523FAD" w:rsidRDefault="004D1F94" w:rsidP="004D1F94">
      <w:pPr>
        <w:spacing w:after="0" w:line="240" w:lineRule="auto"/>
        <w:rPr>
          <w:rFonts w:ascii="Verdana" w:eastAsia="Calibri" w:hAnsi="Verdana" w:cs="Arial"/>
          <w:b/>
          <w:color w:val="000000" w:themeColor="text1"/>
          <w:lang w:val="es-ES_tradnl"/>
        </w:rPr>
      </w:pPr>
    </w:p>
    <w:p w14:paraId="2537BB19" w14:textId="77777777" w:rsidR="004D1F94" w:rsidRPr="004D1F94" w:rsidRDefault="004D1F94" w:rsidP="004D1F94">
      <w:pPr>
        <w:spacing w:after="0" w:line="240" w:lineRule="auto"/>
        <w:jc w:val="both"/>
        <w:rPr>
          <w:rFonts w:ascii="Verdana" w:eastAsia="Calibri" w:hAnsi="Verdana" w:cs="Arial"/>
          <w:color w:val="000000" w:themeColor="text1"/>
          <w:sz w:val="20"/>
          <w:szCs w:val="20"/>
          <w:lang w:val="es-ES"/>
        </w:rPr>
      </w:pPr>
      <w:r w:rsidRPr="004D1F94">
        <w:rPr>
          <w:rFonts w:ascii="Verdana" w:eastAsia="Calibri" w:hAnsi="Verdana" w:cs="Arial"/>
          <w:color w:val="000000" w:themeColor="text1"/>
          <w:sz w:val="20"/>
          <w:szCs w:val="20"/>
          <w:lang w:val="es-ES"/>
        </w:rPr>
        <w:t>[…]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w:t>
      </w:r>
    </w:p>
    <w:p w14:paraId="66116813" w14:textId="77777777" w:rsidR="004D1F94" w:rsidRPr="004D1F94" w:rsidRDefault="004D1F94" w:rsidP="004D1F94">
      <w:pPr>
        <w:spacing w:after="0" w:line="240" w:lineRule="auto"/>
        <w:jc w:val="both"/>
        <w:rPr>
          <w:rFonts w:ascii="Verdana" w:eastAsia="Calibri" w:hAnsi="Verdana" w:cs="Arial"/>
          <w:bCs/>
          <w:color w:val="000000" w:themeColor="text1"/>
          <w:sz w:val="20"/>
          <w:szCs w:val="20"/>
          <w:lang w:val="es-ES_tradnl"/>
        </w:rPr>
      </w:pPr>
    </w:p>
    <w:p w14:paraId="44D2915F" w14:textId="77777777" w:rsidR="004D1F94" w:rsidRPr="004D1F94" w:rsidRDefault="004D1F94" w:rsidP="004D1F94">
      <w:pPr>
        <w:spacing w:after="0" w:line="240" w:lineRule="auto"/>
        <w:jc w:val="both"/>
        <w:rPr>
          <w:rFonts w:ascii="Verdana" w:eastAsia="Calibri" w:hAnsi="Verdana" w:cs="Arial"/>
          <w:color w:val="000000" w:themeColor="text1"/>
          <w:sz w:val="20"/>
          <w:szCs w:val="20"/>
          <w:lang w:val="es-ES"/>
        </w:rPr>
      </w:pPr>
      <w:r w:rsidRPr="004D1F94">
        <w:rPr>
          <w:rFonts w:ascii="Verdana" w:eastAsia="Calibri" w:hAnsi="Verdana" w:cs="Arial"/>
          <w:color w:val="000000" w:themeColor="text1"/>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4D1F94">
        <w:rPr>
          <w:rFonts w:ascii="Verdana" w:eastAsia="Calibri" w:hAnsi="Verdana" w:cs="Arial"/>
          <w:color w:val="000000" w:themeColor="text1"/>
          <w:sz w:val="20"/>
          <w:szCs w:val="20"/>
          <w:lang w:val="es-ES"/>
        </w:rPr>
        <w:t>ii</w:t>
      </w:r>
      <w:proofErr w:type="spellEnd"/>
      <w:r w:rsidRPr="004D1F94">
        <w:rPr>
          <w:rFonts w:ascii="Verdana" w:eastAsia="Calibri" w:hAnsi="Verdana" w:cs="Arial"/>
          <w:color w:val="000000" w:themeColor="text1"/>
          <w:sz w:val="20"/>
          <w:szCs w:val="20"/>
          <w:lang w:val="es-ES"/>
        </w:rPr>
        <w:t xml:space="preserve">) los contratos de crédito público; </w:t>
      </w:r>
      <w:proofErr w:type="spellStart"/>
      <w:r w:rsidRPr="004D1F94">
        <w:rPr>
          <w:rFonts w:ascii="Verdana" w:eastAsia="Calibri" w:hAnsi="Verdana" w:cs="Arial"/>
          <w:color w:val="000000" w:themeColor="text1"/>
          <w:sz w:val="20"/>
          <w:szCs w:val="20"/>
          <w:lang w:val="es-ES"/>
        </w:rPr>
        <w:t>iii</w:t>
      </w:r>
      <w:proofErr w:type="spellEnd"/>
      <w:r w:rsidRPr="004D1F94">
        <w:rPr>
          <w:rFonts w:ascii="Verdana" w:eastAsia="Calibri" w:hAnsi="Verdana" w:cs="Arial"/>
          <w:color w:val="000000" w:themeColor="text1"/>
          <w:sz w:val="20"/>
          <w:szCs w:val="20"/>
          <w:lang w:val="es-ES"/>
        </w:rPr>
        <w:t xml:space="preserve">) los requeridos para cubrir las emergencias educativas, sanitarias y desastres; </w:t>
      </w:r>
      <w:proofErr w:type="spellStart"/>
      <w:r w:rsidRPr="004D1F94">
        <w:rPr>
          <w:rFonts w:ascii="Verdana" w:eastAsia="Calibri" w:hAnsi="Verdana" w:cs="Arial"/>
          <w:color w:val="000000" w:themeColor="text1"/>
          <w:sz w:val="20"/>
          <w:szCs w:val="20"/>
          <w:lang w:val="es-ES"/>
        </w:rPr>
        <w:t>iv</w:t>
      </w:r>
      <w:proofErr w:type="spellEnd"/>
      <w:r w:rsidRPr="004D1F94">
        <w:rPr>
          <w:rFonts w:ascii="Verdana" w:eastAsia="Calibri" w:hAnsi="Verdana" w:cs="Arial"/>
          <w:color w:val="000000" w:themeColor="text1"/>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5D1FB5A3" w14:textId="77777777" w:rsidR="004D1F94" w:rsidRPr="00523FAD" w:rsidRDefault="004D1F94" w:rsidP="004D1F94">
      <w:pPr>
        <w:spacing w:after="0" w:line="240" w:lineRule="auto"/>
        <w:jc w:val="both"/>
        <w:rPr>
          <w:rFonts w:ascii="Verdana" w:eastAsia="Calibri" w:hAnsi="Verdana" w:cs="Arial"/>
          <w:b/>
          <w:color w:val="000000" w:themeColor="text1"/>
          <w:lang w:val="es-ES_tradnl"/>
        </w:rPr>
      </w:pPr>
    </w:p>
    <w:p w14:paraId="24881D09" w14:textId="77777777" w:rsidR="004D1F94" w:rsidRPr="00523FAD" w:rsidRDefault="004D1F94" w:rsidP="004D1F94">
      <w:pPr>
        <w:spacing w:after="0" w:line="240" w:lineRule="auto"/>
        <w:jc w:val="both"/>
        <w:rPr>
          <w:rFonts w:ascii="Verdana" w:eastAsia="Calibri" w:hAnsi="Verdana" w:cs="Arial"/>
          <w:b/>
          <w:color w:val="000000" w:themeColor="text1"/>
          <w:lang w:val="es-ES_tradnl"/>
        </w:rPr>
      </w:pPr>
      <w:r w:rsidRPr="00523FAD">
        <w:rPr>
          <w:rFonts w:ascii="Verdana" w:eastAsia="Calibri" w:hAnsi="Verdana" w:cs="Arial"/>
          <w:b/>
          <w:color w:val="000000" w:themeColor="text1"/>
          <w:lang w:val="es-ES_tradnl"/>
        </w:rPr>
        <w:t>LEY DE GARANTÍAS ELECTORALES ‒ Prohibición del artículo 33 ‒ Destinatarios</w:t>
      </w:r>
    </w:p>
    <w:p w14:paraId="14CEAE8D" w14:textId="77777777" w:rsidR="004D1F94" w:rsidRPr="00523FAD" w:rsidRDefault="004D1F94" w:rsidP="004D1F94">
      <w:pPr>
        <w:spacing w:after="0" w:line="240" w:lineRule="auto"/>
        <w:jc w:val="both"/>
        <w:rPr>
          <w:rFonts w:ascii="Verdana" w:eastAsia="Calibri" w:hAnsi="Verdana" w:cs="Arial"/>
          <w:bCs/>
          <w:color w:val="000000" w:themeColor="text1"/>
          <w:lang w:val="es-ES_tradnl"/>
        </w:rPr>
      </w:pPr>
    </w:p>
    <w:p w14:paraId="580B0740" w14:textId="77777777" w:rsidR="004D1F94" w:rsidRPr="002B386F" w:rsidRDefault="004D1F94" w:rsidP="004D1F94">
      <w:pPr>
        <w:spacing w:after="0" w:line="240" w:lineRule="auto"/>
        <w:jc w:val="both"/>
        <w:rPr>
          <w:rFonts w:ascii="Verdana" w:eastAsia="Calibri" w:hAnsi="Verdana" w:cs="Arial"/>
          <w:color w:val="000000" w:themeColor="text1"/>
          <w:sz w:val="20"/>
          <w:szCs w:val="20"/>
          <w:lang w:val="es-ES"/>
        </w:rPr>
      </w:pPr>
      <w:r w:rsidRPr="002B386F">
        <w:rPr>
          <w:rFonts w:ascii="Verdana" w:eastAsia="Calibri" w:hAnsi="Verdana" w:cs="Arial"/>
          <w:color w:val="000000" w:themeColor="text1"/>
          <w:sz w:val="20"/>
          <w:szCs w:val="20"/>
          <w:lang w:val="es-ES"/>
        </w:rPr>
        <w:lastRenderedPageBreak/>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02B0326E" w14:textId="77777777" w:rsidR="00924FA3" w:rsidRPr="00924FA3" w:rsidRDefault="00924FA3" w:rsidP="00924FA3">
      <w:pPr>
        <w:spacing w:after="0"/>
        <w:rPr>
          <w:rFonts w:ascii="Verdana" w:hAnsi="Verdana" w:cs="Arial"/>
          <w:b/>
          <w:lang w:val="es-MX" w:eastAsia="es-ES_tradnl"/>
        </w:rPr>
      </w:pPr>
    </w:p>
    <w:p w14:paraId="3C8B5E28" w14:textId="77777777" w:rsidR="00924FA3" w:rsidRPr="00924FA3" w:rsidRDefault="00924FA3" w:rsidP="00924FA3">
      <w:pPr>
        <w:spacing w:after="0"/>
        <w:rPr>
          <w:rFonts w:ascii="Verdana" w:hAnsi="Verdana" w:cs="Arial"/>
          <w:b/>
          <w:lang w:val="es-MX" w:eastAsia="es-ES_tradnl"/>
        </w:rPr>
      </w:pPr>
      <w:r w:rsidRPr="00924FA3">
        <w:rPr>
          <w:rFonts w:ascii="Verdana" w:hAnsi="Verdana" w:cs="Arial"/>
          <w:b/>
          <w:lang w:val="es-MX" w:eastAsia="es-ES_tradnl"/>
        </w:rPr>
        <w:t xml:space="preserve">LEY DE GARANTÍAS ELECTORALES ─ Prohibición ─ Aplicación Personas jurídicas ─ Derecho privado </w:t>
      </w:r>
    </w:p>
    <w:p w14:paraId="49A80737" w14:textId="77777777" w:rsidR="00924FA3" w:rsidRPr="00924FA3" w:rsidRDefault="00924FA3" w:rsidP="00924FA3">
      <w:pPr>
        <w:spacing w:after="0"/>
        <w:rPr>
          <w:rFonts w:ascii="Verdana" w:hAnsi="Verdana" w:cs="Arial"/>
          <w:b/>
          <w:lang w:val="es-MX" w:eastAsia="es-ES_tradnl"/>
        </w:rPr>
      </w:pPr>
    </w:p>
    <w:p w14:paraId="4E299BED" w14:textId="77777777" w:rsidR="00924FA3" w:rsidRPr="00924FA3" w:rsidRDefault="00924FA3" w:rsidP="00924FA3">
      <w:pPr>
        <w:spacing w:after="0"/>
        <w:jc w:val="both"/>
        <w:rPr>
          <w:rFonts w:ascii="Verdana" w:hAnsi="Verdana" w:cs="Arial"/>
          <w:bCs/>
          <w:sz w:val="20"/>
          <w:szCs w:val="20"/>
          <w:lang w:val="es-MX" w:eastAsia="es-ES_tradnl"/>
        </w:rPr>
      </w:pPr>
      <w:r w:rsidRPr="00924FA3">
        <w:rPr>
          <w:rFonts w:ascii="Verdana" w:hAnsi="Verdana" w:cs="Arial"/>
          <w:bCs/>
          <w:sz w:val="20"/>
          <w:szCs w:val="20"/>
          <w:lang w:val="es-MX" w:eastAsia="es-ES_tradnl"/>
        </w:rPr>
        <w:t>La Ley 996 de 2005, artículo 38, parágrafo, establece que los gobernadores, alcaldes distritales y municipales, secretarios de despacho, gerentes y directores de entidades descentralizadas del orden municipal, departamental o distrital, tienen prohibido celebrar convenios o contratos interadministrativos para la ejecución de recursos públicos. Esta prohibición no aplica para los convenios o contratos que se celebren en virtud de las demás causales de modalidad de selección por contratación directa, diferentes a la referida a contratos o convenios interadministrativos. Así las cosas, el parágrafo único del artículo 38 de la Ley de garantías Electorales, aplica a la contienda electoral para la elección de gobernadores, alcaldes, diputados concejales y ediles.</w:t>
      </w:r>
    </w:p>
    <w:p w14:paraId="71539AE4" w14:textId="2D4FAFDC" w:rsidR="00BD5624" w:rsidRPr="00924FA3" w:rsidRDefault="00924FA3" w:rsidP="00924FA3">
      <w:pPr>
        <w:spacing w:after="0"/>
        <w:jc w:val="both"/>
        <w:rPr>
          <w:rFonts w:ascii="Verdana" w:hAnsi="Verdana"/>
          <w:bCs/>
          <w:sz w:val="20"/>
          <w:szCs w:val="20"/>
        </w:rPr>
      </w:pPr>
      <w:r w:rsidRPr="00924FA3">
        <w:rPr>
          <w:rFonts w:ascii="Verdana" w:hAnsi="Verdana" w:cs="Arial"/>
          <w:bCs/>
          <w:sz w:val="20"/>
          <w:szCs w:val="20"/>
          <w:lang w:val="es-MX" w:eastAsia="es-ES_tradnl"/>
        </w:rPr>
        <w:t>No existe restricción en la Ley 996 de 2005 relacionada con la suscripción de convenios o contratos con personas jurídicas de derecho privado, con quienes se podrá celebrar contratos o convenios a través de las diferentes modalidades de selección previstas en el Estatuto General de Contratación de la Administración Pública y en las normas que habiliten la suscripción de otro tipo de convenios o contratos.</w:t>
      </w:r>
    </w:p>
    <w:p w14:paraId="02D438A1" w14:textId="77777777" w:rsidR="004D1F94" w:rsidRPr="006F60F9" w:rsidRDefault="004D1F94" w:rsidP="004D1F94">
      <w:pPr>
        <w:spacing w:after="0" w:line="240" w:lineRule="auto"/>
        <w:jc w:val="both"/>
        <w:rPr>
          <w:rFonts w:ascii="Verdana" w:eastAsia="Calibri" w:hAnsi="Verdana" w:cs="Arial"/>
          <w:color w:val="000000" w:themeColor="text1"/>
          <w:sz w:val="20"/>
          <w:szCs w:val="20"/>
          <w:lang w:val="es-ES"/>
        </w:rPr>
      </w:pPr>
    </w:p>
    <w:p w14:paraId="228D3C4D" w14:textId="77777777" w:rsidR="004D1F94" w:rsidRPr="006F60F9" w:rsidRDefault="004D1F94" w:rsidP="004D1F94">
      <w:pPr>
        <w:spacing w:after="0" w:line="240" w:lineRule="auto"/>
        <w:jc w:val="both"/>
        <w:rPr>
          <w:rFonts w:ascii="Verdana" w:eastAsia="Calibri" w:hAnsi="Verdana" w:cs="Arial"/>
          <w:color w:val="000000" w:themeColor="text1"/>
          <w:sz w:val="20"/>
          <w:szCs w:val="20"/>
          <w:lang w:val="es-ES"/>
        </w:rPr>
      </w:pPr>
    </w:p>
    <w:p w14:paraId="1F4F1837" w14:textId="77777777" w:rsidR="004D1F94" w:rsidRDefault="004D1F94" w:rsidP="004D1F94">
      <w:pPr>
        <w:spacing w:after="0" w:line="240" w:lineRule="auto"/>
        <w:jc w:val="both"/>
        <w:rPr>
          <w:rFonts w:ascii="Verdana" w:eastAsia="Calibri" w:hAnsi="Verdana" w:cs="Arial"/>
          <w:color w:val="000000" w:themeColor="text1"/>
          <w:sz w:val="20"/>
          <w:szCs w:val="20"/>
          <w:lang w:val="es-ES"/>
        </w:rPr>
      </w:pPr>
    </w:p>
    <w:p w14:paraId="3860AFFA" w14:textId="77777777" w:rsidR="004D1F94" w:rsidRDefault="004D1F94" w:rsidP="004D1F94">
      <w:pPr>
        <w:spacing w:after="0" w:line="240" w:lineRule="auto"/>
        <w:jc w:val="both"/>
        <w:rPr>
          <w:rFonts w:ascii="Verdana" w:eastAsia="Calibri" w:hAnsi="Verdana" w:cs="Arial"/>
          <w:color w:val="000000" w:themeColor="text1"/>
          <w:sz w:val="20"/>
          <w:szCs w:val="20"/>
          <w:lang w:val="es-ES"/>
        </w:rPr>
      </w:pPr>
    </w:p>
    <w:p w14:paraId="0B6D140C"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191677B"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0B77A2D"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5FB020FD"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E997CC5"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C19FAF2"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75EE22D5"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67E2740C"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6B7B55AB"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C7E8CAF"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713DFC33"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32E5459D"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F749443" w14:textId="77777777" w:rsidR="00BD5624" w:rsidRDefault="00BD5624" w:rsidP="004D1F94">
      <w:pPr>
        <w:spacing w:after="0" w:line="240" w:lineRule="auto"/>
        <w:jc w:val="both"/>
        <w:rPr>
          <w:rFonts w:ascii="Verdana" w:eastAsia="Calibri" w:hAnsi="Verdana" w:cs="Arial"/>
          <w:color w:val="000000" w:themeColor="text1"/>
          <w:sz w:val="20"/>
          <w:szCs w:val="20"/>
          <w:lang w:val="es-ES"/>
        </w:rPr>
      </w:pPr>
    </w:p>
    <w:p w14:paraId="0DC40F3E" w14:textId="77777777" w:rsidR="008A217A" w:rsidRDefault="008A217A" w:rsidP="00867581">
      <w:pPr>
        <w:spacing w:after="0" w:line="240" w:lineRule="auto"/>
        <w:jc w:val="both"/>
        <w:rPr>
          <w:rFonts w:ascii="Verdana" w:eastAsia="Calibri" w:hAnsi="Verdana" w:cs="Arial"/>
          <w:color w:val="000000" w:themeColor="text1"/>
          <w:sz w:val="20"/>
          <w:szCs w:val="20"/>
          <w:lang w:val="es-ES"/>
        </w:rPr>
      </w:pPr>
    </w:p>
    <w:p w14:paraId="08FAE834" w14:textId="77777777" w:rsidR="00E443AF" w:rsidRDefault="00E443AF" w:rsidP="00867581">
      <w:pPr>
        <w:spacing w:after="0" w:line="240" w:lineRule="auto"/>
        <w:jc w:val="both"/>
        <w:rPr>
          <w:rFonts w:ascii="Verdana" w:eastAsia="Calibri" w:hAnsi="Verdana" w:cs="Arial"/>
          <w:color w:val="000000" w:themeColor="text1"/>
          <w:sz w:val="20"/>
          <w:szCs w:val="20"/>
          <w:lang w:val="es-ES"/>
        </w:rPr>
      </w:pPr>
    </w:p>
    <w:p w14:paraId="5CBA0AA4" w14:textId="77777777" w:rsidR="00E443AF" w:rsidRDefault="00E443AF" w:rsidP="00867581">
      <w:pPr>
        <w:spacing w:after="0" w:line="240" w:lineRule="auto"/>
        <w:jc w:val="both"/>
        <w:rPr>
          <w:rFonts w:ascii="Verdana" w:eastAsia="Calibri" w:hAnsi="Verdana" w:cs="Arial"/>
          <w:color w:val="000000" w:themeColor="text1"/>
          <w:sz w:val="20"/>
          <w:szCs w:val="20"/>
          <w:lang w:val="es-ES"/>
        </w:rPr>
      </w:pPr>
    </w:p>
    <w:p w14:paraId="734BF481" w14:textId="24F81ACB" w:rsidR="00A64017" w:rsidRDefault="00A800B4" w:rsidP="00103B90">
      <w:pPr>
        <w:spacing w:after="0" w:line="240" w:lineRule="auto"/>
        <w:rPr>
          <w:rFonts w:ascii="Verdana" w:hAnsi="Verdana"/>
        </w:rPr>
      </w:pPr>
      <w:r>
        <w:rPr>
          <w:rFonts w:ascii="Verdana" w:hAnsi="Verdana"/>
        </w:rPr>
        <w:t>B</w:t>
      </w:r>
      <w:r w:rsidR="00A64017" w:rsidRPr="0044528D">
        <w:rPr>
          <w:rFonts w:ascii="Verdana" w:hAnsi="Verdana"/>
        </w:rPr>
        <w:t xml:space="preserve">ogotá D.C., </w:t>
      </w:r>
      <w:r w:rsidR="00E443AF">
        <w:rPr>
          <w:rFonts w:ascii="Verdana" w:hAnsi="Verdana"/>
        </w:rPr>
        <w:t xml:space="preserve">08 de diciembre </w:t>
      </w:r>
      <w:r w:rsidR="00763E4A">
        <w:rPr>
          <w:rFonts w:ascii="Verdana" w:hAnsi="Verdana"/>
        </w:rPr>
        <w:t xml:space="preserve">de </w:t>
      </w:r>
      <w:r w:rsidR="00E443AF">
        <w:rPr>
          <w:rFonts w:ascii="Verdana" w:hAnsi="Verdana"/>
        </w:rPr>
        <w:t>2025</w:t>
      </w:r>
      <w:r w:rsidR="00324E0B">
        <w:rPr>
          <w:rFonts w:ascii="Verdana" w:hAnsi="Verdana"/>
        </w:rPr>
        <w:t xml:space="preserve"> </w:t>
      </w:r>
      <w:r w:rsidR="00763E4A">
        <w:rPr>
          <w:rFonts w:ascii="Verdana" w:hAnsi="Verdana"/>
        </w:rPr>
        <w:t>.</w:t>
      </w:r>
    </w:p>
    <w:bookmarkEnd w:id="0"/>
    <w:p w14:paraId="43EFFE03" w14:textId="284304BC" w:rsidR="00A64017" w:rsidRDefault="00E443AF" w:rsidP="00E443AF">
      <w:pPr>
        <w:spacing w:after="0" w:line="240" w:lineRule="auto"/>
        <w:jc w:val="right"/>
        <w:rPr>
          <w:rFonts w:ascii="Verdana" w:hAnsi="Verdana"/>
        </w:rPr>
      </w:pPr>
      <w:r>
        <w:rPr>
          <w:rFonts w:ascii="Verdana" w:hAnsi="Verdana"/>
          <w:noProof/>
        </w:rPr>
        <w:drawing>
          <wp:inline distT="0" distB="0" distL="0" distR="0" wp14:anchorId="123C4EFC" wp14:editId="05E47401">
            <wp:extent cx="2514600" cy="781050"/>
            <wp:effectExtent l="0" t="0" r="0" b="0"/>
            <wp:docPr id="15055063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4600" cy="781050"/>
                    </a:xfrm>
                    <a:prstGeom prst="rect">
                      <a:avLst/>
                    </a:prstGeom>
                    <a:noFill/>
                    <a:ln>
                      <a:noFill/>
                    </a:ln>
                  </pic:spPr>
                </pic:pic>
              </a:graphicData>
            </a:graphic>
          </wp:inline>
        </w:drawing>
      </w:r>
    </w:p>
    <w:p w14:paraId="6FF97274" w14:textId="77777777" w:rsidR="00E443AF" w:rsidRDefault="00E443AF" w:rsidP="00103B90">
      <w:pPr>
        <w:spacing w:after="0" w:line="240" w:lineRule="auto"/>
        <w:rPr>
          <w:rFonts w:ascii="Verdana" w:hAnsi="Verdana"/>
        </w:rPr>
      </w:pPr>
    </w:p>
    <w:p w14:paraId="14F1548D" w14:textId="77777777" w:rsidR="00E443AF" w:rsidRDefault="00E443AF" w:rsidP="00103B90">
      <w:pPr>
        <w:spacing w:after="0" w:line="240" w:lineRule="auto"/>
        <w:rPr>
          <w:rFonts w:ascii="Verdana" w:hAnsi="Verdana"/>
        </w:rPr>
      </w:pPr>
    </w:p>
    <w:p w14:paraId="68F08A63" w14:textId="77777777" w:rsidR="00A64017" w:rsidRPr="00AB2F12" w:rsidRDefault="00A64017" w:rsidP="00103B90">
      <w:pPr>
        <w:spacing w:after="0" w:line="240" w:lineRule="auto"/>
        <w:rPr>
          <w:rFonts w:ascii="Verdana" w:hAnsi="Verdana"/>
        </w:rPr>
      </w:pPr>
    </w:p>
    <w:p w14:paraId="6EF9D4E0" w14:textId="383CBA78" w:rsidR="00A64017" w:rsidRPr="00AB2F12" w:rsidRDefault="00A64017" w:rsidP="00A64017">
      <w:pPr>
        <w:spacing w:after="0" w:line="240" w:lineRule="auto"/>
        <w:jc w:val="both"/>
        <w:rPr>
          <w:rFonts w:ascii="Verdana" w:eastAsia="Calibri" w:hAnsi="Verdana" w:cs="Arial"/>
          <w:lang w:eastAsia="es-ES"/>
        </w:rPr>
      </w:pPr>
      <w:r w:rsidRPr="00AB2F12">
        <w:rPr>
          <w:rFonts w:ascii="Verdana" w:eastAsia="Calibri" w:hAnsi="Verdana" w:cs="Arial"/>
          <w:lang w:eastAsia="es-ES"/>
        </w:rPr>
        <w:t>Señor</w:t>
      </w:r>
      <w:r w:rsidRPr="00AB2F12">
        <w:rPr>
          <w:rFonts w:ascii="Verdana" w:eastAsia="Calibri" w:hAnsi="Verdana" w:cs="Arial"/>
          <w:lang w:eastAsia="es-ES"/>
        </w:rPr>
        <w:tab/>
      </w:r>
    </w:p>
    <w:p w14:paraId="5B6D52F4" w14:textId="77777777" w:rsidR="007E6525" w:rsidRDefault="007E6525" w:rsidP="00A64017">
      <w:pPr>
        <w:spacing w:after="0" w:line="240" w:lineRule="auto"/>
        <w:rPr>
          <w:rFonts w:ascii="Verdana" w:eastAsia="Calibri" w:hAnsi="Verdana" w:cs="Arial"/>
          <w:b/>
          <w:bCs/>
          <w:lang w:eastAsia="es-ES"/>
        </w:rPr>
      </w:pPr>
      <w:r w:rsidRPr="007E6525">
        <w:rPr>
          <w:rFonts w:ascii="Verdana" w:eastAsia="Calibri" w:hAnsi="Verdana" w:cs="Arial"/>
          <w:b/>
          <w:bCs/>
          <w:lang w:eastAsia="es-ES"/>
        </w:rPr>
        <w:t>IVAN DARIO GUTIERREZ CARDOZO</w:t>
      </w:r>
    </w:p>
    <w:p w14:paraId="7AB6255F" w14:textId="1B183930" w:rsidR="008323CA" w:rsidRPr="00AB2F12" w:rsidRDefault="00000000" w:rsidP="00A64017">
      <w:pPr>
        <w:spacing w:after="0" w:line="240" w:lineRule="auto"/>
        <w:rPr>
          <w:rFonts w:ascii="Verdana" w:eastAsia="Calibri" w:hAnsi="Verdana" w:cs="Arial"/>
          <w:lang w:eastAsia="es-ES"/>
        </w:rPr>
      </w:pPr>
      <w:hyperlink r:id="rId12" w:history="1">
        <w:r w:rsidR="007E6525" w:rsidRPr="00CF0885">
          <w:rPr>
            <w:rStyle w:val="Hipervnculo"/>
            <w:rFonts w:ascii="Verdana" w:eastAsia="Calibri" w:hAnsi="Verdana" w:cs="Arial"/>
            <w:lang w:eastAsia="es-ES"/>
          </w:rPr>
          <w:t>ivandariog@hotmail.com</w:t>
        </w:r>
      </w:hyperlink>
      <w:r w:rsidR="007E6525">
        <w:rPr>
          <w:rFonts w:ascii="Verdana" w:eastAsia="Calibri" w:hAnsi="Verdana" w:cs="Arial"/>
          <w:lang w:eastAsia="es-ES"/>
        </w:rPr>
        <w:t xml:space="preserve"> </w:t>
      </w:r>
    </w:p>
    <w:p w14:paraId="2D2D8994" w14:textId="20F765B9" w:rsidR="00AB2F12" w:rsidRPr="00AB2F12" w:rsidRDefault="007E6525" w:rsidP="00A64017">
      <w:pPr>
        <w:spacing w:after="0" w:line="240" w:lineRule="auto"/>
        <w:rPr>
          <w:rFonts w:ascii="Verdana" w:eastAsia="Calibri" w:hAnsi="Verdana" w:cs="Arial"/>
          <w:lang w:eastAsia="es-ES"/>
        </w:rPr>
      </w:pPr>
      <w:r>
        <w:rPr>
          <w:rFonts w:ascii="Verdana" w:eastAsia="Calibri" w:hAnsi="Verdana" w:cs="Arial"/>
          <w:lang w:eastAsia="es-ES"/>
        </w:rPr>
        <w:t>Neiva</w:t>
      </w:r>
      <w:r w:rsidR="00AB2F12" w:rsidRPr="00AB2F12">
        <w:rPr>
          <w:rFonts w:ascii="Verdana" w:eastAsia="Calibri" w:hAnsi="Verdana" w:cs="Arial"/>
          <w:lang w:eastAsia="es-ES"/>
        </w:rPr>
        <w:t xml:space="preserve"> (</w:t>
      </w:r>
      <w:r>
        <w:rPr>
          <w:rFonts w:ascii="Verdana" w:eastAsia="Calibri" w:hAnsi="Verdana" w:cs="Arial"/>
          <w:lang w:eastAsia="es-ES"/>
        </w:rPr>
        <w:t>Huila</w:t>
      </w:r>
      <w:r w:rsidR="00AB2F12" w:rsidRPr="00AB2F12">
        <w:rPr>
          <w:rFonts w:ascii="Verdana" w:eastAsia="Calibri" w:hAnsi="Verdana" w:cs="Arial"/>
          <w:lang w:eastAsia="es-ES"/>
        </w:rPr>
        <w:t>)</w:t>
      </w:r>
    </w:p>
    <w:p w14:paraId="6E2CC3AD" w14:textId="77777777" w:rsidR="00CB7B40" w:rsidRPr="00AB2F12" w:rsidRDefault="00CB7B40" w:rsidP="00A64017">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A64017" w:rsidRPr="00AB2F12" w14:paraId="01D86018" w14:textId="77777777" w:rsidTr="00A15B1F">
        <w:trPr>
          <w:trHeight w:val="273"/>
        </w:trPr>
        <w:tc>
          <w:tcPr>
            <w:tcW w:w="2295" w:type="dxa"/>
          </w:tcPr>
          <w:p w14:paraId="1620BC45" w14:textId="77777777" w:rsidR="00A64017" w:rsidRPr="00AB2F12" w:rsidRDefault="00A64017" w:rsidP="00A15B1F">
            <w:pPr>
              <w:jc w:val="both"/>
              <w:rPr>
                <w:rFonts w:ascii="Verdana" w:eastAsia="Calibri" w:hAnsi="Verdana" w:cs="Arial"/>
                <w:b/>
                <w:bCs/>
                <w:color w:val="7030A0"/>
                <w:lang w:val="es-ES_tradnl" w:eastAsia="es-ES_tradnl"/>
              </w:rPr>
            </w:pPr>
          </w:p>
        </w:tc>
        <w:tc>
          <w:tcPr>
            <w:tcW w:w="6481" w:type="dxa"/>
            <w:gridSpan w:val="2"/>
          </w:tcPr>
          <w:p w14:paraId="00E37139" w14:textId="5C9949A4" w:rsidR="00A64017" w:rsidRPr="00AB2F12" w:rsidRDefault="00A64017" w:rsidP="00A15B1F">
            <w:pPr>
              <w:jc w:val="both"/>
              <w:rPr>
                <w:rFonts w:ascii="Verdana" w:eastAsia="Calibri" w:hAnsi="Verdana" w:cs="Arial"/>
                <w:b/>
                <w:bCs/>
                <w:lang w:val="es-ES" w:eastAsia="es-ES"/>
              </w:rPr>
            </w:pPr>
            <w:r w:rsidRPr="00AB2F12">
              <w:rPr>
                <w:rFonts w:ascii="Verdana" w:eastAsia="Calibri" w:hAnsi="Verdana" w:cs="Arial"/>
                <w:b/>
                <w:bCs/>
                <w:lang w:val="es-ES" w:eastAsia="es-ES"/>
              </w:rPr>
              <w:t xml:space="preserve">Concepto C- </w:t>
            </w:r>
            <w:r w:rsidR="00CB7B40" w:rsidRPr="00AB2F12">
              <w:rPr>
                <w:rFonts w:ascii="Verdana" w:eastAsia="Calibri" w:hAnsi="Verdana" w:cs="Arial"/>
                <w:b/>
                <w:bCs/>
                <w:lang w:val="es-ES" w:eastAsia="es-ES"/>
              </w:rPr>
              <w:t>1</w:t>
            </w:r>
            <w:r w:rsidR="00AB2F12" w:rsidRPr="00AB2F12">
              <w:rPr>
                <w:rFonts w:ascii="Verdana" w:eastAsia="Calibri" w:hAnsi="Verdana" w:cs="Arial"/>
                <w:b/>
                <w:bCs/>
                <w:lang w:val="es-ES" w:eastAsia="es-ES"/>
              </w:rPr>
              <w:t>57</w:t>
            </w:r>
            <w:r w:rsidR="007E6525">
              <w:rPr>
                <w:rFonts w:ascii="Verdana" w:eastAsia="Calibri" w:hAnsi="Verdana" w:cs="Arial"/>
                <w:b/>
                <w:bCs/>
                <w:lang w:val="es-ES" w:eastAsia="es-ES"/>
              </w:rPr>
              <w:t>2</w:t>
            </w:r>
            <w:r w:rsidRPr="00AB2F12">
              <w:rPr>
                <w:rFonts w:ascii="Verdana" w:eastAsia="Calibri" w:hAnsi="Verdana" w:cs="Arial"/>
                <w:b/>
                <w:bCs/>
                <w:lang w:val="es-ES" w:eastAsia="es-ES"/>
              </w:rPr>
              <w:t xml:space="preserve"> de 2025</w:t>
            </w:r>
          </w:p>
          <w:p w14:paraId="307B3621" w14:textId="77777777" w:rsidR="00A64017" w:rsidRPr="00AB2F12" w:rsidRDefault="00A64017" w:rsidP="00A15B1F">
            <w:pPr>
              <w:jc w:val="both"/>
              <w:rPr>
                <w:rFonts w:ascii="Verdana" w:eastAsia="Calibri" w:hAnsi="Verdana" w:cs="Arial"/>
                <w:b/>
                <w:bCs/>
                <w:color w:val="7030A0"/>
                <w:lang w:val="es-ES" w:eastAsia="es-ES"/>
              </w:rPr>
            </w:pPr>
          </w:p>
        </w:tc>
      </w:tr>
      <w:tr w:rsidR="00A64017" w:rsidRPr="00280D79" w14:paraId="0E48C791" w14:textId="77777777" w:rsidTr="00A15B1F">
        <w:trPr>
          <w:trHeight w:val="1583"/>
        </w:trPr>
        <w:tc>
          <w:tcPr>
            <w:tcW w:w="2295" w:type="dxa"/>
          </w:tcPr>
          <w:p w14:paraId="64EB1800" w14:textId="77777777" w:rsidR="00A64017" w:rsidRPr="00593A5F" w:rsidRDefault="00A64017" w:rsidP="00A15B1F">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27AA4EE1" w14:textId="0A2CA1D6" w:rsidR="00BD5624" w:rsidRPr="00280D79" w:rsidRDefault="004D1F94" w:rsidP="00BD5624">
            <w:pPr>
              <w:jc w:val="both"/>
              <w:rPr>
                <w:rFonts w:ascii="Verdana" w:eastAsia="Calibri" w:hAnsi="Verdana" w:cs="Arial"/>
                <w:b/>
                <w:lang w:val="es-ES" w:eastAsia="es-ES"/>
              </w:rPr>
            </w:pPr>
            <w:r w:rsidRPr="00665BEE">
              <w:rPr>
                <w:rFonts w:ascii="Verdana" w:eastAsia="Calibri" w:hAnsi="Verdana" w:cs="Arial"/>
                <w:lang w:val="es-ES" w:eastAsia="es-ES"/>
              </w:rPr>
              <w:t xml:space="preserve">LEY DE GARANTÍAS ELECTORALES ‒ Tipos de restricciones ‒ Ámbito temporal / LEY DE GARANTÍAS ELECTORALES ─ Prohibición ‒ Contratación directa ‒ Alcance – Excepciones / LEY DE GARANTÍAS ELECTORALES ‒ Prohibición del artículo 33 ‒ Destinatarios </w:t>
            </w:r>
            <w:r w:rsidR="00BD5624" w:rsidRPr="00665BEE">
              <w:rPr>
                <w:rFonts w:ascii="Verdana" w:eastAsia="Calibri" w:hAnsi="Verdana" w:cs="Arial"/>
                <w:lang w:val="es-ES" w:eastAsia="es-ES"/>
              </w:rPr>
              <w:t xml:space="preserve"> / CONTRATOS Y CONVENIOS INTERADMINISTRATIVOS – Definición – Criterio orgánico</w:t>
            </w:r>
            <w:r w:rsidR="00D37E00">
              <w:rPr>
                <w:rFonts w:ascii="Verdana" w:eastAsia="Calibri" w:hAnsi="Verdana" w:cs="Arial"/>
                <w:lang w:val="es-ES" w:eastAsia="es-ES"/>
              </w:rPr>
              <w:t xml:space="preserve"> </w:t>
            </w:r>
            <w:r w:rsidR="00D37E00" w:rsidRPr="00D37E00">
              <w:rPr>
                <w:rFonts w:ascii="Verdana" w:eastAsia="Calibri" w:hAnsi="Verdana" w:cs="Arial"/>
                <w:lang w:val="es-ES" w:eastAsia="es-ES"/>
              </w:rPr>
              <w:t>LEY DE GARANTÍAS ELECTORALES ─ Prohibición ─ Aplicación Personas jurídicas ─ Derecho privado</w:t>
            </w:r>
          </w:p>
          <w:p w14:paraId="2A049EB1" w14:textId="5A71E7A2" w:rsidR="00867581" w:rsidRPr="00280D79" w:rsidRDefault="00867581" w:rsidP="00C14BFF">
            <w:pPr>
              <w:jc w:val="both"/>
              <w:rPr>
                <w:rFonts w:ascii="Verdana" w:eastAsia="Calibri" w:hAnsi="Verdana" w:cs="Arial"/>
                <w:b/>
                <w:highlight w:val="yellow"/>
                <w:lang w:val="es-ES" w:eastAsia="es-ES"/>
              </w:rPr>
            </w:pPr>
          </w:p>
        </w:tc>
      </w:tr>
      <w:tr w:rsidR="00A64017" w:rsidRPr="00593A5F" w14:paraId="36BB2E28" w14:textId="77777777" w:rsidTr="00A15B1F">
        <w:trPr>
          <w:trHeight w:val="545"/>
        </w:trPr>
        <w:tc>
          <w:tcPr>
            <w:tcW w:w="2295" w:type="dxa"/>
          </w:tcPr>
          <w:p w14:paraId="191CC24C" w14:textId="77777777" w:rsidR="00A64017" w:rsidRPr="006730E9" w:rsidRDefault="00A64017" w:rsidP="00A15B1F">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7F568F0F" w14:textId="36E25874" w:rsidR="00A64017" w:rsidRPr="006730E9" w:rsidRDefault="00A64017" w:rsidP="00A15B1F">
            <w:pPr>
              <w:jc w:val="both"/>
              <w:rPr>
                <w:rFonts w:ascii="Verdana" w:eastAsia="Calibri" w:hAnsi="Verdana" w:cs="Arial"/>
                <w:lang w:val="es-ES_tradnl" w:eastAsia="es-ES_tradnl"/>
              </w:rPr>
            </w:pPr>
            <w:r w:rsidRPr="007121A5">
              <w:rPr>
                <w:rFonts w:ascii="Verdana" w:eastAsia="Calibri" w:hAnsi="Verdana" w:cs="Arial"/>
                <w:lang w:val="es-ES_tradnl" w:eastAsia="es-ES_tradnl"/>
              </w:rPr>
              <w:t>Respuesta a consulta con radicado No.</w:t>
            </w:r>
            <w:r w:rsidR="00665BEE">
              <w:t xml:space="preserve"> </w:t>
            </w:r>
            <w:r w:rsidR="00665BEE" w:rsidRPr="00665BEE">
              <w:rPr>
                <w:rFonts w:ascii="Verdana" w:eastAsia="Calibri" w:hAnsi="Verdana" w:cs="Arial"/>
                <w:lang w:val="es-ES_tradnl" w:eastAsia="es-ES_tradnl"/>
              </w:rPr>
              <w:t>1_2025_10_27_012022</w:t>
            </w:r>
            <w:r w:rsidR="00AB2F12">
              <w:rPr>
                <w:rFonts w:ascii="Verdana" w:eastAsia="Calibri" w:hAnsi="Verdana" w:cs="Arial"/>
                <w:lang w:val="es-ES_tradnl" w:eastAsia="es-ES_tradnl"/>
              </w:rPr>
              <w:t>.</w:t>
            </w:r>
          </w:p>
        </w:tc>
      </w:tr>
      <w:tr w:rsidR="00A64017" w:rsidRPr="00DB23D2" w14:paraId="384FAB6D" w14:textId="77777777" w:rsidTr="00A15B1F">
        <w:trPr>
          <w:gridAfter w:val="1"/>
          <w:wAfter w:w="319" w:type="dxa"/>
          <w:trHeight w:val="242"/>
        </w:trPr>
        <w:tc>
          <w:tcPr>
            <w:tcW w:w="8457" w:type="dxa"/>
            <w:gridSpan w:val="2"/>
          </w:tcPr>
          <w:p w14:paraId="45E68A2D" w14:textId="77777777" w:rsidR="00A64017" w:rsidRPr="00DB23D2" w:rsidRDefault="00A64017" w:rsidP="00103B90">
            <w:pPr>
              <w:spacing w:line="276" w:lineRule="auto"/>
              <w:jc w:val="both"/>
              <w:rPr>
                <w:rFonts w:ascii="Verdana" w:eastAsia="Calibri" w:hAnsi="Verdana" w:cs="Arial"/>
                <w:lang w:val="es-ES_tradnl" w:eastAsia="es-ES"/>
              </w:rPr>
            </w:pPr>
          </w:p>
        </w:tc>
      </w:tr>
    </w:tbl>
    <w:p w14:paraId="63704E96" w14:textId="72F229C1"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D36635">
        <w:rPr>
          <w:rFonts w:ascii="Verdana" w:eastAsia="Calibri" w:hAnsi="Verdana" w:cs="Arial"/>
          <w:lang w:val="es-ES" w:eastAsia="es-ES"/>
        </w:rPr>
        <w:t xml:space="preserve">o </w:t>
      </w:r>
      <w:r w:rsidRPr="006730E9">
        <w:rPr>
          <w:rFonts w:ascii="Verdana" w:eastAsia="Calibri" w:hAnsi="Verdana" w:cs="Arial"/>
          <w:lang w:val="es-ES" w:eastAsia="es-ES"/>
        </w:rPr>
        <w:t>señor</w:t>
      </w:r>
      <w:r w:rsidR="00AB2F12">
        <w:rPr>
          <w:rFonts w:ascii="Verdana" w:eastAsia="Calibri" w:hAnsi="Verdana" w:cs="Arial"/>
          <w:lang w:val="es-ES" w:eastAsia="es-ES"/>
        </w:rPr>
        <w:t xml:space="preserve"> </w:t>
      </w:r>
      <w:r w:rsidR="00D67486" w:rsidRPr="007E6525">
        <w:rPr>
          <w:rFonts w:ascii="Verdana" w:eastAsia="Calibri" w:hAnsi="Verdana" w:cs="Arial"/>
          <w:lang w:val="es-ES" w:eastAsia="es-ES"/>
        </w:rPr>
        <w:t>Gutiérrez</w:t>
      </w:r>
      <w:r w:rsidR="00CB7B40">
        <w:rPr>
          <w:rFonts w:ascii="Verdana" w:eastAsia="Calibri" w:hAnsi="Verdana" w:cs="Arial"/>
          <w:lang w:val="es-ES" w:eastAsia="es-ES"/>
        </w:rPr>
        <w:t>;</w:t>
      </w:r>
    </w:p>
    <w:p w14:paraId="6683B019" w14:textId="32AD6380" w:rsidR="00A64017" w:rsidRDefault="00CB7B40" w:rsidP="00A64017">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r w:rsidR="00A64017">
        <w:rPr>
          <w:rFonts w:ascii="Verdana" w:eastAsia="Calibri" w:hAnsi="Verdana" w:cs="Arial"/>
          <w:color w:val="000000" w:themeColor="text1"/>
          <w:lang w:val="es-ES" w:eastAsia="es-ES"/>
        </w:rPr>
        <w:tab/>
      </w:r>
    </w:p>
    <w:p w14:paraId="6507A697" w14:textId="1D23784E" w:rsidR="00A64017" w:rsidRPr="006730E9" w:rsidRDefault="00A64017" w:rsidP="00A64017">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–Colombia Compra Eficiente– responde su solicitud</w:t>
      </w:r>
      <w:r>
        <w:rPr>
          <w:rFonts w:ascii="Verdana" w:eastAsia="Calibri" w:hAnsi="Verdana" w:cs="Arial"/>
          <w:lang w:val="es-ES" w:eastAsia="es-ES"/>
        </w:rPr>
        <w:t xml:space="preserve"> </w:t>
      </w:r>
      <w:r w:rsidR="00AB2F12">
        <w:rPr>
          <w:rFonts w:ascii="Verdana" w:eastAsia="Calibri" w:hAnsi="Verdana" w:cs="Arial"/>
          <w:lang w:val="es-ES" w:eastAsia="es-ES"/>
        </w:rPr>
        <w:t xml:space="preserve">traslada por competencia por la Procuraduría general de la Nación y </w:t>
      </w:r>
      <w:r>
        <w:rPr>
          <w:rFonts w:ascii="Verdana" w:eastAsia="Calibri" w:hAnsi="Verdana" w:cs="Arial"/>
          <w:lang w:val="es-ES" w:eastAsia="es-ES"/>
        </w:rPr>
        <w:t xml:space="preserve">radicada </w:t>
      </w:r>
      <w:r w:rsidR="00042E11">
        <w:rPr>
          <w:rFonts w:ascii="Verdana" w:eastAsia="Calibri" w:hAnsi="Verdana" w:cs="Arial"/>
          <w:lang w:val="es-ES" w:eastAsia="es-ES"/>
        </w:rPr>
        <w:t xml:space="preserve">en esta entidad </w:t>
      </w:r>
      <w:r w:rsidRPr="00E5644F">
        <w:rPr>
          <w:rFonts w:ascii="Verdana" w:eastAsia="Calibri" w:hAnsi="Verdana" w:cs="Arial"/>
          <w:lang w:val="es-ES" w:eastAsia="es-ES"/>
        </w:rPr>
        <w:t xml:space="preserve">el </w:t>
      </w:r>
      <w:r w:rsidR="008323CA">
        <w:rPr>
          <w:rFonts w:ascii="Verdana" w:eastAsia="Calibri" w:hAnsi="Verdana" w:cs="Arial"/>
          <w:lang w:val="es-ES" w:eastAsia="es-ES"/>
        </w:rPr>
        <w:t>15</w:t>
      </w:r>
      <w:r w:rsidR="00E445EC">
        <w:rPr>
          <w:rFonts w:ascii="Verdana" w:eastAsia="Calibri" w:hAnsi="Verdana" w:cs="Arial"/>
          <w:lang w:val="es-ES" w:eastAsia="es-ES"/>
        </w:rPr>
        <w:t xml:space="preserve"> </w:t>
      </w:r>
      <w:r w:rsidRPr="00656A22">
        <w:rPr>
          <w:rFonts w:ascii="Verdana" w:eastAsia="Calibri" w:hAnsi="Verdana" w:cs="Arial"/>
          <w:lang w:val="es-ES" w:eastAsia="es-ES"/>
        </w:rPr>
        <w:t xml:space="preserve">de </w:t>
      </w:r>
      <w:r w:rsidR="00F05362">
        <w:rPr>
          <w:rFonts w:ascii="Verdana" w:eastAsia="Calibri" w:hAnsi="Verdana" w:cs="Arial"/>
          <w:lang w:val="es-ES" w:eastAsia="es-ES"/>
        </w:rPr>
        <w:t>octubre</w:t>
      </w:r>
      <w:r w:rsidRPr="00656A22">
        <w:rPr>
          <w:rFonts w:ascii="Verdana" w:eastAsia="Calibri" w:hAnsi="Verdana" w:cs="Arial"/>
          <w:lang w:val="es-ES" w:eastAsia="es-ES"/>
        </w:rPr>
        <w:t xml:space="preserve"> de 2025,</w:t>
      </w:r>
      <w:r w:rsidRPr="00E5644F">
        <w:rPr>
          <w:rFonts w:ascii="Verdana" w:eastAsia="Calibri" w:hAnsi="Verdana" w:cs="Arial"/>
          <w:lang w:val="es-ES" w:eastAsia="es-ES"/>
        </w:rPr>
        <w:t xml:space="preserve"> en</w:t>
      </w:r>
      <w:r w:rsidRPr="006730E9">
        <w:rPr>
          <w:rFonts w:ascii="Verdana" w:eastAsia="Calibri" w:hAnsi="Verdana" w:cs="Arial"/>
          <w:lang w:val="es-ES" w:eastAsia="es-ES"/>
        </w:rPr>
        <w:t xml:space="preserve"> la cual manifiesta lo siguiente: </w:t>
      </w:r>
    </w:p>
    <w:p w14:paraId="718EE431" w14:textId="77777777" w:rsidR="00A64017" w:rsidRPr="00326382" w:rsidRDefault="00A64017" w:rsidP="00103B90">
      <w:pPr>
        <w:spacing w:after="0" w:line="276" w:lineRule="auto"/>
        <w:ind w:left="709" w:right="474"/>
        <w:jc w:val="both"/>
        <w:rPr>
          <w:rFonts w:ascii="Verdana" w:hAnsi="Verdana" w:cs="Arial"/>
          <w:sz w:val="20"/>
          <w:szCs w:val="20"/>
          <w:shd w:val="clear" w:color="auto" w:fill="FFFFFF"/>
        </w:rPr>
      </w:pPr>
      <w:bookmarkStart w:id="2" w:name="_Hlk95313578"/>
    </w:p>
    <w:bookmarkEnd w:id="2"/>
    <w:p w14:paraId="4F15BAFA" w14:textId="77777777" w:rsidR="005B4680" w:rsidRDefault="00CB7B40" w:rsidP="005B4680">
      <w:pPr>
        <w:tabs>
          <w:tab w:val="left" w:pos="142"/>
          <w:tab w:val="left" w:pos="567"/>
        </w:tabs>
        <w:spacing w:after="0" w:line="240" w:lineRule="auto"/>
        <w:ind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r w:rsidR="00D237B8">
        <w:rPr>
          <w:rFonts w:ascii="Verdana" w:eastAsia="Century Gothic" w:hAnsi="Verdana" w:cs="Century Gothic"/>
          <w:i/>
          <w:iCs/>
          <w:sz w:val="20"/>
          <w:szCs w:val="20"/>
        </w:rPr>
        <w:t xml:space="preserve">     </w:t>
      </w:r>
      <w:r>
        <w:rPr>
          <w:rFonts w:ascii="Verdana" w:eastAsia="Century Gothic" w:hAnsi="Verdana" w:cs="Century Gothic"/>
          <w:i/>
          <w:iCs/>
          <w:sz w:val="20"/>
          <w:szCs w:val="20"/>
        </w:rPr>
        <w:t xml:space="preserve">   </w:t>
      </w:r>
      <w:r w:rsidR="00A64017" w:rsidRPr="00EA70F7">
        <w:rPr>
          <w:rFonts w:ascii="Verdana" w:eastAsia="Century Gothic" w:hAnsi="Verdana" w:cs="Century Gothic"/>
          <w:i/>
          <w:iCs/>
          <w:sz w:val="20"/>
          <w:szCs w:val="20"/>
        </w:rPr>
        <w:t xml:space="preserve">“(…) </w:t>
      </w:r>
    </w:p>
    <w:p w14:paraId="7D49F0B4" w14:textId="77777777" w:rsidR="00AB2F12" w:rsidRDefault="00AB2F12" w:rsidP="00D36635">
      <w:pPr>
        <w:tabs>
          <w:tab w:val="left" w:pos="142"/>
          <w:tab w:val="left" w:pos="567"/>
        </w:tabs>
        <w:spacing w:after="0" w:line="240" w:lineRule="auto"/>
        <w:ind w:left="709" w:right="709"/>
        <w:jc w:val="both"/>
        <w:rPr>
          <w:rFonts w:ascii="Verdana" w:eastAsia="Century Gothic" w:hAnsi="Verdana" w:cs="Century Gothic"/>
          <w:i/>
          <w:iCs/>
          <w:sz w:val="20"/>
          <w:szCs w:val="20"/>
        </w:rPr>
      </w:pPr>
    </w:p>
    <w:p w14:paraId="2CDDC996" w14:textId="11E51E46" w:rsidR="00A64017" w:rsidRPr="00EA70F7" w:rsidRDefault="00665BEE" w:rsidP="00665BEE">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L</w:t>
      </w:r>
      <w:r w:rsidRPr="00665BEE">
        <w:rPr>
          <w:rFonts w:ascii="Verdana" w:eastAsia="Century Gothic" w:hAnsi="Verdana" w:cs="Century Gothic"/>
          <w:i/>
          <w:iCs/>
          <w:sz w:val="20"/>
          <w:szCs w:val="20"/>
        </w:rPr>
        <w:t>os convenios de cooperación institucional, que suscriben las entidades publicas</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del orden nacional y territorial con el comite de cafeteros con recursos que tiene</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 xml:space="preserve">origen en el fondo nacional del café y particularmente </w:t>
      </w:r>
      <w:r w:rsidRPr="00665BEE">
        <w:rPr>
          <w:rFonts w:ascii="Verdana" w:eastAsia="Century Gothic" w:hAnsi="Verdana" w:cs="Century Gothic"/>
          <w:i/>
          <w:iCs/>
          <w:sz w:val="20"/>
          <w:szCs w:val="20"/>
        </w:rPr>
        <w:lastRenderedPageBreak/>
        <w:t>en la contribución cafetera de</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la que se nutre el citado fondo, ¿se encuentran sujetos a la restricción de ley de</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garantías para la suscripción de convenios, cuando estos a su vez tienen</w:t>
      </w:r>
      <w:r>
        <w:rPr>
          <w:rFonts w:ascii="Verdana" w:eastAsia="Century Gothic" w:hAnsi="Verdana" w:cs="Century Gothic"/>
          <w:i/>
          <w:iCs/>
          <w:sz w:val="20"/>
          <w:szCs w:val="20"/>
        </w:rPr>
        <w:t xml:space="preserve"> </w:t>
      </w:r>
      <w:r w:rsidRPr="00665BEE">
        <w:rPr>
          <w:rFonts w:ascii="Verdana" w:eastAsia="Century Gothic" w:hAnsi="Verdana" w:cs="Century Gothic"/>
          <w:i/>
          <w:iCs/>
          <w:sz w:val="20"/>
          <w:szCs w:val="20"/>
        </w:rPr>
        <w:t xml:space="preserve">contrapartida con recursos que aporta la entidad estatal conveniente </w:t>
      </w:r>
      <w:r w:rsidR="00A64017" w:rsidRPr="00EA70F7">
        <w:rPr>
          <w:rFonts w:ascii="Verdana" w:eastAsia="Century Gothic" w:hAnsi="Verdana" w:cs="Century Gothic"/>
          <w:i/>
          <w:iCs/>
          <w:sz w:val="20"/>
          <w:szCs w:val="20"/>
        </w:rPr>
        <w:t xml:space="preserve">(…)”. </w:t>
      </w:r>
    </w:p>
    <w:p w14:paraId="5C2F274F" w14:textId="77777777" w:rsidR="008B5BD4" w:rsidRDefault="008B5BD4" w:rsidP="00103B90">
      <w:pPr>
        <w:spacing w:after="0" w:line="276" w:lineRule="auto"/>
        <w:ind w:firstLine="709"/>
        <w:jc w:val="both"/>
        <w:rPr>
          <w:rFonts w:ascii="Verdana" w:eastAsia="Calibri" w:hAnsi="Verdana" w:cs="Arial"/>
          <w:lang w:val="es-ES" w:eastAsia="es-ES"/>
        </w:rPr>
      </w:pPr>
    </w:p>
    <w:p w14:paraId="538B555C" w14:textId="2C99F5BA" w:rsidR="00A64017" w:rsidRPr="00AA3B9F" w:rsidRDefault="00A64017" w:rsidP="00A64017">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sidR="008B5BD4">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23568A68" w14:textId="32B98A9D" w:rsidR="00A64017" w:rsidRDefault="00A64017" w:rsidP="00A64017">
      <w:pPr>
        <w:spacing w:after="0" w:line="276" w:lineRule="auto"/>
        <w:ind w:firstLine="709"/>
        <w:jc w:val="both"/>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sidR="008B5BD4">
        <w:rPr>
          <w:rFonts w:ascii="Verdana" w:eastAsia="Calibri" w:hAnsi="Verdana" w:cs="Arial"/>
          <w:lang w:val="es-ES" w:eastAsia="es-ES"/>
        </w:rPr>
        <w:t>señala</w:t>
      </w:r>
      <w:r w:rsidR="008B5BD4" w:rsidRPr="00AA3B9F">
        <w:rPr>
          <w:rFonts w:ascii="Verdana" w:eastAsia="Calibri" w:hAnsi="Verdana" w:cs="Arial"/>
          <w:lang w:val="es-ES" w:eastAsia="es-ES"/>
        </w:rPr>
        <w:t xml:space="preserve">ndo </w:t>
      </w:r>
      <w:r w:rsidRPr="00AA3B9F">
        <w:rPr>
          <w:rFonts w:ascii="Verdana" w:eastAsia="Calibri" w:hAnsi="Verdana" w:cs="Arial"/>
          <w:lang w:val="es-ES" w:eastAsia="es-ES"/>
        </w:rPr>
        <w:t>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A088568" w14:textId="77777777" w:rsidR="00A64017" w:rsidRDefault="00A64017" w:rsidP="00A64017">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43F2C784" w14:textId="77777777" w:rsidR="00A64017" w:rsidRDefault="00A64017" w:rsidP="00A6401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A923AA7" w14:textId="77777777" w:rsidR="00A64017" w:rsidRDefault="00A64017" w:rsidP="00A64017">
      <w:pPr>
        <w:pStyle w:val="Prrafodelista"/>
        <w:tabs>
          <w:tab w:val="left" w:pos="142"/>
          <w:tab w:val="left" w:pos="284"/>
        </w:tabs>
        <w:spacing w:after="0" w:line="276" w:lineRule="auto"/>
        <w:ind w:left="0"/>
        <w:jc w:val="both"/>
        <w:rPr>
          <w:rFonts w:ascii="Verdana" w:eastAsia="Century Gothic" w:hAnsi="Verdana" w:cs="Century Gothic"/>
          <w:b/>
          <w:bCs/>
        </w:rPr>
      </w:pPr>
    </w:p>
    <w:p w14:paraId="10DF1A14" w14:textId="33BED078" w:rsidR="003971DC" w:rsidRPr="009015F2" w:rsidRDefault="00A64017" w:rsidP="003971DC">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sidR="00E976F8">
        <w:rPr>
          <w:rFonts w:ascii="Verdana" w:eastAsia="Calibri" w:hAnsi="Verdana" w:cs="Arial"/>
          <w:lang w:eastAsia="es-ES"/>
        </w:rPr>
        <w:t>el</w:t>
      </w:r>
      <w:r w:rsidR="00D237B8">
        <w:rPr>
          <w:rFonts w:ascii="Verdana" w:eastAsia="Calibri" w:hAnsi="Verdana" w:cs="Arial"/>
          <w:lang w:eastAsia="es-ES"/>
        </w:rPr>
        <w:t xml:space="preserve"> </w:t>
      </w:r>
      <w:r w:rsidRPr="00E21BD1">
        <w:rPr>
          <w:rFonts w:ascii="Verdana" w:eastAsia="Calibri" w:hAnsi="Verdana" w:cs="Arial"/>
          <w:lang w:eastAsia="es-ES"/>
        </w:rPr>
        <w:t>siguiente problema jurídico:</w:t>
      </w:r>
      <w:bookmarkStart w:id="3" w:name="_Hlk196737317"/>
      <w:r w:rsidR="009015F2">
        <w:rPr>
          <w:rFonts w:ascii="Verdana" w:eastAsia="Century Gothic" w:hAnsi="Verdana" w:cs="Century Gothic"/>
        </w:rPr>
        <w:t xml:space="preserve"> </w:t>
      </w:r>
      <w:r w:rsidR="00924FA3" w:rsidRPr="00924FA3">
        <w:rPr>
          <w:rFonts w:ascii="Verdana" w:hAnsi="Verdana"/>
        </w:rPr>
        <w:t>Considerando las restricciones de la Ley 996 de 2005, ¿pueden las entidades públicas celebrar convenios de cooperación con el Comité de Cafeteros que involucren recursos del Fondo Nacional del Café y contrapartidas con recursos públicos durante el período de Ley de Garantías?</w:t>
      </w:r>
    </w:p>
    <w:p w14:paraId="168ABEE7" w14:textId="77777777" w:rsidR="006420DB" w:rsidRDefault="006420DB" w:rsidP="001B319A">
      <w:pPr>
        <w:spacing w:after="0" w:line="276" w:lineRule="auto"/>
        <w:jc w:val="both"/>
        <w:rPr>
          <w:rFonts w:ascii="Verdana" w:eastAsia="Calibri" w:hAnsi="Verdana" w:cs="Arial"/>
          <w:lang w:eastAsia="es-ES"/>
        </w:rPr>
      </w:pPr>
    </w:p>
    <w:bookmarkEnd w:id="3"/>
    <w:p w14:paraId="5A5F1798"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D191623"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64017" w:rsidRPr="00593A5F" w14:paraId="1ED9E821" w14:textId="77777777" w:rsidTr="00A15B1F">
        <w:tc>
          <w:tcPr>
            <w:tcW w:w="8828" w:type="dxa"/>
          </w:tcPr>
          <w:p w14:paraId="30047F88" w14:textId="77777777" w:rsidR="00D67486" w:rsidRPr="00E41707" w:rsidRDefault="00933CFF" w:rsidP="00D67486">
            <w:pPr>
              <w:spacing w:after="120" w:line="276" w:lineRule="auto"/>
              <w:jc w:val="both"/>
              <w:rPr>
                <w:rFonts w:ascii="Verdana" w:eastAsia="Calibri" w:hAnsi="Verdana" w:cs="Arial"/>
                <w:lang w:val="es-ES"/>
              </w:rPr>
            </w:pPr>
            <w:r>
              <w:rPr>
                <w:rFonts w:ascii="Verdana" w:hAnsi="Verdana"/>
                <w:bCs/>
                <w:lang w:val="es-MX" w:eastAsia="es-CO"/>
              </w:rPr>
              <w:t xml:space="preserve">           </w:t>
            </w:r>
            <w:r w:rsidR="00D67486" w:rsidRPr="003D0447">
              <w:rPr>
                <w:rFonts w:ascii="Verdana" w:hAnsi="Verdana"/>
                <w:bCs/>
                <w:lang w:val="es-MX" w:eastAsia="es-CO"/>
              </w:rPr>
              <w:t xml:space="preserve">De acuerdo con la interpretación de las normas generales del sistema de compras y contratación pública, sin perjuicio de que </w:t>
            </w:r>
            <w:r w:rsidR="00D67486" w:rsidRPr="003D0447">
              <w:rPr>
                <w:rFonts w:ascii="Verdana" w:eastAsia="Calibri" w:hAnsi="Verdana"/>
                <w:color w:val="000000"/>
                <w:shd w:val="clear" w:color="auto" w:fill="FFFFFF"/>
                <w:lang w:val="es-MX"/>
              </w:rPr>
              <w:t xml:space="preserve">cada entidad defina la viabilidad técnica, jurídica y financiera de celebrar determinado contrato </w:t>
            </w:r>
            <w:r w:rsidR="00D67486" w:rsidRPr="003D0447">
              <w:rPr>
                <w:rFonts w:ascii="Verdana" w:eastAsia="Calibri" w:hAnsi="Verdana"/>
                <w:color w:val="000000"/>
                <w:shd w:val="clear" w:color="auto" w:fill="FFFFFF"/>
                <w:lang w:val="es-MX"/>
              </w:rPr>
              <w:lastRenderedPageBreak/>
              <w:t>estatal en específico,</w:t>
            </w:r>
            <w:r w:rsidR="00D67486" w:rsidRPr="003D0447">
              <w:rPr>
                <w:rFonts w:ascii="Verdana" w:hAnsi="Verdana"/>
                <w:bCs/>
                <w:lang w:val="es-MX" w:eastAsia="es-CO"/>
              </w:rPr>
              <w:t xml:space="preserve"> es posible afirmar que l</w:t>
            </w:r>
            <w:r w:rsidR="00D67486" w:rsidRPr="003D0447">
              <w:rPr>
                <w:rFonts w:ascii="Verdana" w:hAnsi="Verdana"/>
                <w:lang w:eastAsia="es-ES" w:bidi="es-ES"/>
              </w:rPr>
              <w:t xml:space="preserve">a Ley 996 de 2005 establece dos (2) tipos de restricciones en materia de contratación, las cuales coinciden parcialmente. </w:t>
            </w:r>
          </w:p>
          <w:p w14:paraId="379D5242" w14:textId="77777777" w:rsidR="00D67486" w:rsidRDefault="00D67486" w:rsidP="00D67486">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primer lugar</w:t>
            </w:r>
            <w:r w:rsidRPr="003D0447">
              <w:rPr>
                <w:rFonts w:ascii="Verdana" w:hAnsi="Verdana"/>
                <w:lang w:eastAsia="es-ES" w:bidi="es-ES"/>
              </w:rPr>
              <w:t xml:space="preserve">, la del artículo 33 que opera solo respecto de las elecciones presidenciales, en virtud de la cual queda proscrita la contratación directa dentro de los cuatro (4) meses anteriores a la celebración de los comicios, salvo las excepciones contempladas en el inciso segundo del mismo artículo.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p>
          <w:p w14:paraId="29697D41" w14:textId="77777777" w:rsidR="00D67486" w:rsidRDefault="00D67486" w:rsidP="00D67486">
            <w:pPr>
              <w:pStyle w:val="Textoindependiente"/>
              <w:spacing w:after="120" w:line="276" w:lineRule="auto"/>
              <w:ind w:firstLine="709"/>
              <w:jc w:val="both"/>
              <w:rPr>
                <w:rFonts w:ascii="Verdana" w:hAnsi="Verdana"/>
                <w:lang w:eastAsia="es-ES" w:bidi="es-ES"/>
              </w:rPr>
            </w:pPr>
            <w:r w:rsidRPr="003D0447">
              <w:rPr>
                <w:rFonts w:ascii="Verdana" w:hAnsi="Verdana"/>
                <w:i/>
                <w:iCs/>
                <w:lang w:eastAsia="es-ES" w:bidi="es-ES"/>
              </w:rPr>
              <w:t>En segundo lugar</w:t>
            </w:r>
            <w:r w:rsidRPr="003D0447">
              <w:rPr>
                <w:rFonts w:ascii="Verdana" w:hAnsi="Verdana"/>
                <w:lang w:eastAsia="es-ES" w:bidi="es-ES"/>
              </w:rPr>
              <w:t xml:space="preserve">, también se encuentra la prohibición del parágrafo del artículo 38, el cual debe aplicarse </w:t>
            </w:r>
            <w:r w:rsidRPr="009D05BA">
              <w:rPr>
                <w:rFonts w:ascii="Verdana" w:hAnsi="Verdana"/>
                <w:i/>
                <w:lang w:eastAsia="es-ES" w:bidi="es-ES"/>
              </w:rPr>
              <w:t>respecto de cualquier tipo de contienda electoral</w:t>
            </w:r>
            <w:r w:rsidRPr="003D0447">
              <w:rPr>
                <w:rFonts w:ascii="Verdana" w:hAnsi="Verdana"/>
                <w:lang w:eastAsia="es-ES" w:bidi="es-ES"/>
              </w:rPr>
              <w:t>, y que prohíbe la celebración de convenios interadministrativos que impliquen la ejecución de recursos públicos dentro de los cuatro (4) meses anteriores a la respectiva jornada de votaciones.</w:t>
            </w:r>
          </w:p>
          <w:p w14:paraId="4EF6E0D5" w14:textId="77777777" w:rsidR="00D67486" w:rsidRDefault="00D67486" w:rsidP="00D67486">
            <w:pPr>
              <w:spacing w:after="120" w:line="276" w:lineRule="auto"/>
              <w:ind w:firstLine="709"/>
              <w:jc w:val="both"/>
              <w:rPr>
                <w:rFonts w:ascii="Verdana" w:eastAsia="Calibri" w:hAnsi="Verdana" w:cs="Arial"/>
              </w:rPr>
            </w:pPr>
            <w:r w:rsidRPr="009F7EEF">
              <w:rPr>
                <w:rFonts w:ascii="Verdana" w:eastAsia="Arial" w:hAnsi="Verdana" w:cs="Arial"/>
                <w:lang w:val="es-ES" w:eastAsia="es-ES" w:bidi="es-ES"/>
              </w:rPr>
              <w:t xml:space="preserve">De esta manera, tratándose de elecciones en general, excluyendo las correspondientes al </w:t>
            </w:r>
            <w:proofErr w:type="gramStart"/>
            <w:r w:rsidRPr="009F7EEF">
              <w:rPr>
                <w:rFonts w:ascii="Verdana" w:eastAsia="Arial" w:hAnsi="Verdana" w:cs="Arial"/>
                <w:lang w:val="es-ES" w:eastAsia="es-ES" w:bidi="es-ES"/>
              </w:rPr>
              <w:t>Presidente</w:t>
            </w:r>
            <w:proofErr w:type="gramEnd"/>
            <w:r w:rsidRPr="009F7EEF">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Pr="009F7EEF">
              <w:rPr>
                <w:rFonts w:ascii="Verdana" w:eastAsia="Calibri" w:hAnsi="Verdana" w:cs="Arial"/>
              </w:rPr>
              <w:t xml:space="preserve">Gobernadores, </w:t>
            </w:r>
            <w:proofErr w:type="gramStart"/>
            <w:r w:rsidRPr="009F7EEF">
              <w:rPr>
                <w:rFonts w:ascii="Verdana" w:eastAsia="Calibri" w:hAnsi="Verdana" w:cs="Arial"/>
              </w:rPr>
              <w:t>Alcaldes</w:t>
            </w:r>
            <w:proofErr w:type="gramEnd"/>
            <w:r w:rsidRPr="009F7EEF">
              <w:rPr>
                <w:rFonts w:ascii="Verdana" w:eastAsia="Calibri" w:hAnsi="Verdana" w:cs="Arial"/>
              </w:rPr>
              <w:t xml:space="preserve"> Municipales y/o Distritales, Secretarios, Gerentes y directores de Entidades Descentralizadas del orden Municipal, Departamental o Distrital, no podrán celebrar convenios interadministrativos para la ejecución de recursos públicos, dentro de los cuatro (4) meses anteriores a las elecciones. </w:t>
            </w:r>
          </w:p>
          <w:p w14:paraId="2E6262CC" w14:textId="288B148C" w:rsidR="009F7EEF" w:rsidRDefault="009F7EEF" w:rsidP="00D67486">
            <w:pPr>
              <w:spacing w:after="120" w:line="276" w:lineRule="auto"/>
              <w:ind w:firstLine="709"/>
              <w:jc w:val="both"/>
              <w:rPr>
                <w:rFonts w:ascii="Verdana" w:eastAsia="Calibri" w:hAnsi="Verdana" w:cs="Arial"/>
              </w:rPr>
            </w:pPr>
            <w:r>
              <w:rPr>
                <w:rFonts w:ascii="Verdana" w:eastAsia="Calibri" w:hAnsi="Verdana" w:cs="Arial"/>
              </w:rPr>
              <w:t xml:space="preserve">Ahora bien, en atención al problema jurídico planteado </w:t>
            </w:r>
            <w:r w:rsidR="006250A9">
              <w:rPr>
                <w:rFonts w:ascii="Verdana" w:eastAsia="Calibri" w:hAnsi="Verdana" w:cs="Arial"/>
              </w:rPr>
              <w:t xml:space="preserve">y en línea con lo previsto </w:t>
            </w:r>
            <w:r w:rsidR="00427CB4">
              <w:rPr>
                <w:rFonts w:ascii="Verdana" w:eastAsia="Calibri" w:hAnsi="Verdana" w:cs="Arial"/>
              </w:rPr>
              <w:t xml:space="preserve">en el concepto con radicado de salida </w:t>
            </w:r>
            <w:r w:rsidR="00427CB4" w:rsidRPr="003345C6">
              <w:rPr>
                <w:rFonts w:ascii="Verdana" w:eastAsia="Calibri" w:hAnsi="Verdana" w:cs="Arial"/>
              </w:rPr>
              <w:t>220191300000560</w:t>
            </w:r>
            <w:r w:rsidR="00427CB4">
              <w:rPr>
                <w:rFonts w:ascii="Verdana" w:eastAsia="Calibri" w:hAnsi="Verdana" w:cs="Arial"/>
              </w:rPr>
              <w:t>9 del 06 de agosto de 2019 emitido por esta Subdirección Contractual</w:t>
            </w:r>
            <w:r w:rsidR="00427CB4" w:rsidRPr="009F7EEF">
              <w:rPr>
                <w:rFonts w:ascii="Verdana" w:eastAsia="Calibri" w:hAnsi="Verdana" w:cs="Arial"/>
              </w:rPr>
              <w:t xml:space="preserve"> </w:t>
            </w:r>
            <w:r w:rsidRPr="009F7EEF">
              <w:rPr>
                <w:rFonts w:ascii="Verdana" w:eastAsia="Calibri" w:hAnsi="Verdana" w:cs="Arial"/>
              </w:rPr>
              <w:t xml:space="preserve">es preciso advertir que los convenios de </w:t>
            </w:r>
            <w:r>
              <w:rPr>
                <w:rFonts w:ascii="Verdana" w:eastAsia="Calibri" w:hAnsi="Verdana" w:cs="Arial"/>
              </w:rPr>
              <w:t xml:space="preserve">cooperación </w:t>
            </w:r>
            <w:r w:rsidRPr="009F7EEF">
              <w:rPr>
                <w:rFonts w:ascii="Verdana" w:eastAsia="Calibri" w:hAnsi="Verdana" w:cs="Arial"/>
              </w:rPr>
              <w:t xml:space="preserve">no entran dentro del ámbito de aplicación de la restricción del parágrafo del artículo 38 de la Ley 996 de 2021, pues esta norma se refiere exclusivamente a convenios interadministrativos. Esto dado que los convenios de asociación son celebrados por Entidades Estatales con entidades privadas sin ánimo de lucro, correspondiendo a una naturaleza jurídica distinta de los convenios interadministrativos, los cuales son </w:t>
            </w:r>
            <w:r w:rsidRPr="009F7EEF">
              <w:rPr>
                <w:rFonts w:ascii="Verdana" w:eastAsia="Calibri" w:hAnsi="Verdana" w:cs="Arial"/>
              </w:rPr>
              <w:lastRenderedPageBreak/>
              <w:t xml:space="preserve">determinados por un criterio orgánico que exige que ambos extremos de la relación contractual sean entidades estatales.  </w:t>
            </w:r>
          </w:p>
          <w:p w14:paraId="1945159C" w14:textId="44AC5315" w:rsidR="009F7EEF" w:rsidRPr="009F7EEF" w:rsidRDefault="009F7EEF" w:rsidP="009F7EEF">
            <w:pPr>
              <w:spacing w:after="120" w:line="276" w:lineRule="auto"/>
              <w:ind w:firstLine="709"/>
              <w:jc w:val="both"/>
              <w:rPr>
                <w:rFonts w:ascii="Verdana" w:eastAsia="Calibri" w:hAnsi="Verdana" w:cs="Arial"/>
              </w:rPr>
            </w:pPr>
            <w:r w:rsidRPr="009F7EEF">
              <w:rPr>
                <w:rFonts w:ascii="Verdana" w:eastAsia="Calibri" w:hAnsi="Verdana" w:cs="Arial"/>
              </w:rPr>
              <w:t>Así las cosas, el parágrafo único del artículo 38 de la Ley de garantías Electorales, aplica a la contienda electoral para la elección de gobernadores, alcaldes, diputados concejales y ediles, y por tanto, de acuerdo con su pregunta, no existe restricción en la Ley 996 de 2005 relacionada con la suscripción de convenios o contratos con personas jurídicas de derecho privado, con quienes se podrá celebrar contratos o convenios a través de las diferentes modalidades de selección previstas en el Estatuto General de Contratación de la Administración Pública y en las normas que habiliten la suscripción de otro tipo de convenios o contratos.</w:t>
            </w:r>
          </w:p>
          <w:p w14:paraId="58C6D7BB" w14:textId="74B88B8E" w:rsidR="009F7EEF" w:rsidRPr="009F7EEF" w:rsidRDefault="009F7EEF" w:rsidP="009F7EEF">
            <w:pPr>
              <w:spacing w:after="120" w:line="276" w:lineRule="auto"/>
              <w:ind w:firstLine="709"/>
              <w:jc w:val="both"/>
              <w:rPr>
                <w:rFonts w:ascii="Verdana" w:eastAsia="Calibri" w:hAnsi="Verdana" w:cs="Arial"/>
              </w:rPr>
            </w:pPr>
            <w:r w:rsidRPr="009F7EEF">
              <w:rPr>
                <w:rFonts w:ascii="Verdana" w:eastAsia="Calibri" w:hAnsi="Verdana" w:cs="Arial"/>
              </w:rPr>
              <w:t xml:space="preserve">Lo anterior, teniendo en cuenta que </w:t>
            </w:r>
            <w:r w:rsidR="00427CB4">
              <w:rPr>
                <w:rFonts w:ascii="Verdana" w:eastAsia="Calibri" w:hAnsi="Verdana" w:cs="Arial"/>
              </w:rPr>
              <w:t xml:space="preserve">el citado concepto estableció: </w:t>
            </w:r>
            <w:r w:rsidR="003345C6">
              <w:rPr>
                <w:rFonts w:ascii="Verdana" w:eastAsia="Calibri" w:hAnsi="Verdana" w:cs="Arial"/>
              </w:rPr>
              <w:t>“</w:t>
            </w:r>
            <w:r w:rsidRPr="009F7EEF">
              <w:rPr>
                <w:rFonts w:ascii="Verdana" w:eastAsia="Calibri" w:hAnsi="Verdana" w:cs="Arial"/>
              </w:rPr>
              <w:t>la Federación Nacional de Cafeteros, es una persona jurídica de derecho privado, sin ánimo de lucro y que los convenios previstos en el artículo 59 de la Ley 863 de 2003 permiten ejecutar los recursos que provienen de la transferencia cafetera para el desarrollo de programas de desarrollo social y económico de las zonas cafeteras, de fomento y apoyo al cooperativismo, de mejoramiento de las condiciones de la población campesina en zonas cafeteras. Esta transferencia es administrada en forma independiente por los Comités Departamentales de Cafeteros de la Federación Nacional de Cafeteros de Colombia, en contabilidad separada, de acuerdo con los parámetros del contrato de administración del Fondo Nacional del Café</w:t>
            </w:r>
            <w:r w:rsidR="00427CB4">
              <w:rPr>
                <w:rFonts w:ascii="Verdana" w:eastAsia="Calibri" w:hAnsi="Verdana" w:cs="Arial"/>
              </w:rPr>
              <w:t>”</w:t>
            </w:r>
            <w:r w:rsidRPr="009F7EEF">
              <w:rPr>
                <w:rFonts w:ascii="Verdana" w:eastAsia="Calibri" w:hAnsi="Verdana" w:cs="Arial"/>
              </w:rPr>
              <w:t>.</w:t>
            </w:r>
          </w:p>
          <w:p w14:paraId="3F1459BA" w14:textId="77777777" w:rsidR="001B4B90" w:rsidRDefault="009F7EEF" w:rsidP="009F7EEF">
            <w:pPr>
              <w:spacing w:after="120" w:line="276" w:lineRule="auto"/>
              <w:ind w:firstLine="709"/>
              <w:jc w:val="both"/>
            </w:pPr>
            <w:r w:rsidRPr="009F7EEF">
              <w:rPr>
                <w:rFonts w:ascii="Verdana" w:eastAsia="Calibri" w:hAnsi="Verdana" w:cs="Arial"/>
              </w:rPr>
              <w:t xml:space="preserve">Por lo tanto, comoquiera que el convenio a celebrar contemplado en el </w:t>
            </w:r>
            <w:r w:rsidR="003345C6" w:rsidRPr="009F7EEF">
              <w:rPr>
                <w:rFonts w:ascii="Verdana" w:eastAsia="Calibri" w:hAnsi="Verdana" w:cs="Arial"/>
              </w:rPr>
              <w:t>artículo</w:t>
            </w:r>
            <w:r w:rsidRPr="009F7EEF">
              <w:rPr>
                <w:rFonts w:ascii="Verdana" w:eastAsia="Calibri" w:hAnsi="Verdana" w:cs="Arial"/>
              </w:rPr>
              <w:t xml:space="preserve"> 59 de la Ley 863 de 2003 no tiene el carácter de interadministrativo al ser suscrito por un ente territorial y un Comité Departamental de Cafeteros de la Federación Nacional de Cafeteros de Colombia, la cual como se señaló es una persona jurídica de derecho privado, no le es aplicable la restricción prevista por el parágrafo único del artículo 38 de la Ley de garantías Electorales.</w:t>
            </w:r>
            <w:r w:rsidR="001B4B90">
              <w:t xml:space="preserve"> </w:t>
            </w:r>
          </w:p>
          <w:p w14:paraId="12CC027E" w14:textId="034BCBF7" w:rsidR="009F7EEF" w:rsidRDefault="001B4B90" w:rsidP="009F7EEF">
            <w:pPr>
              <w:spacing w:after="120" w:line="276" w:lineRule="auto"/>
              <w:ind w:firstLine="709"/>
              <w:jc w:val="both"/>
              <w:rPr>
                <w:rFonts w:ascii="Verdana" w:eastAsia="Calibri" w:hAnsi="Verdana" w:cs="Arial"/>
              </w:rPr>
            </w:pPr>
            <w:r>
              <w:rPr>
                <w:rFonts w:ascii="Verdana" w:eastAsia="Calibri" w:hAnsi="Verdana" w:cs="Arial"/>
              </w:rPr>
              <w:t xml:space="preserve">Así las cosas, </w:t>
            </w:r>
            <w:r w:rsidRPr="001B4B90">
              <w:rPr>
                <w:rFonts w:ascii="Verdana" w:eastAsia="Calibri" w:hAnsi="Verdana" w:cs="Arial"/>
              </w:rPr>
              <w:t>corresponde tanto a la entidad estatal como a la Federación Nacional de Cafeteros evaluar la viabilidad de suscribir el convenio de cooperación, a la luz de lo expuesto, teniendo en cuenta el objeto específico del convenio, la naturaleza jurídica y funcional de cada una de las partes y la correcta identificación de las actividades a desarrollar, con el fin de garantizar que este se ajuste al marco normativo aplicable y a las competencias institucionales de cada entidad</w:t>
            </w:r>
            <w:r>
              <w:rPr>
                <w:rFonts w:ascii="Verdana" w:eastAsia="Calibri" w:hAnsi="Verdana" w:cs="Arial"/>
              </w:rPr>
              <w:t>.</w:t>
            </w:r>
          </w:p>
          <w:p w14:paraId="392AA860" w14:textId="77777777" w:rsidR="00D67486" w:rsidRDefault="00D67486" w:rsidP="00D67486">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lastRenderedPageBreak/>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EA94571" w14:textId="33A7C9FA" w:rsidR="00A51CB5" w:rsidRPr="00E529C2" w:rsidRDefault="00D67486" w:rsidP="00D67486">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r w:rsidR="00675FED" w:rsidRPr="00593A5F" w14:paraId="390C137A" w14:textId="77777777" w:rsidTr="00A15B1F">
        <w:tc>
          <w:tcPr>
            <w:tcW w:w="8828" w:type="dxa"/>
          </w:tcPr>
          <w:p w14:paraId="47EF0E80" w14:textId="77777777" w:rsidR="00675FED" w:rsidRDefault="00675FED" w:rsidP="00675FED">
            <w:pPr>
              <w:spacing w:after="120" w:line="276" w:lineRule="auto"/>
              <w:jc w:val="both"/>
              <w:rPr>
                <w:rFonts w:ascii="Verdana" w:eastAsia="Calibri" w:hAnsi="Verdana" w:cs="Arial"/>
                <w:bCs/>
                <w:lang w:eastAsia="es-ES_tradnl"/>
              </w:rPr>
            </w:pPr>
          </w:p>
        </w:tc>
      </w:tr>
    </w:tbl>
    <w:p w14:paraId="5C382394" w14:textId="77777777" w:rsidR="00A64017" w:rsidRDefault="00A64017" w:rsidP="00A64017">
      <w:pPr>
        <w:tabs>
          <w:tab w:val="left" w:pos="142"/>
          <w:tab w:val="left" w:pos="284"/>
        </w:tabs>
        <w:spacing w:after="0" w:line="276" w:lineRule="auto"/>
        <w:jc w:val="both"/>
        <w:rPr>
          <w:rFonts w:ascii="Verdana" w:eastAsia="Century Gothic" w:hAnsi="Verdana" w:cs="Century Gothic"/>
          <w:b/>
          <w:bCs/>
          <w:lang w:val="es-ES"/>
        </w:rPr>
      </w:pPr>
    </w:p>
    <w:p w14:paraId="70B9C5F2" w14:textId="77777777" w:rsidR="00A64017" w:rsidRDefault="00A64017" w:rsidP="00A6401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A6627C4" w14:textId="77777777" w:rsidR="00C31B11" w:rsidRDefault="00C31B11" w:rsidP="00C31B1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5D73782" w14:textId="70F38FBF" w:rsidR="00D52E51" w:rsidRPr="00F10E52" w:rsidRDefault="00070BF0" w:rsidP="00D52E51">
      <w:pPr>
        <w:spacing w:line="276" w:lineRule="auto"/>
        <w:jc w:val="both"/>
        <w:rPr>
          <w:rFonts w:ascii="Verdana" w:eastAsia="Times New Roman" w:hAnsi="Verdana" w:cs="Arial"/>
          <w:bCs/>
          <w:lang w:eastAsia="es-CO"/>
        </w:rPr>
      </w:pPr>
      <w:r>
        <w:rPr>
          <w:rFonts w:ascii="Verdana" w:eastAsia="Calibri" w:hAnsi="Verdana" w:cs="Arial"/>
          <w:bCs/>
        </w:rPr>
        <w:tab/>
        <w:t xml:space="preserve">   </w:t>
      </w:r>
      <w:r w:rsidR="00D52E51" w:rsidRPr="00F10E52">
        <w:rPr>
          <w:rFonts w:ascii="Verdana" w:eastAsia="Calibri" w:hAnsi="Verdana" w:cs="Arial"/>
          <w:bCs/>
        </w:rPr>
        <w:t>El ordenamiento jurídico colombiano contempla previsiones claras para evitar la obtención de beneficios personales en asuntos propios de la administración pública</w:t>
      </w:r>
      <w:r w:rsidR="00D52E51" w:rsidRPr="00F10E52">
        <w:rPr>
          <w:rFonts w:ascii="Verdana" w:eastAsia="Calibri" w:hAnsi="Verdana" w:cs="Arial"/>
          <w:bCs/>
          <w:i/>
          <w:iCs/>
        </w:rPr>
        <w:t xml:space="preserve">. </w:t>
      </w:r>
      <w:r w:rsidR="00D52E51" w:rsidRPr="00F10E52">
        <w:rPr>
          <w:rFonts w:ascii="Verdana" w:eastAsia="Calibri" w:hAnsi="Verdana" w:cs="Arial"/>
          <w:bCs/>
        </w:rPr>
        <w:t>Por ejemplo, el artículo 127 de la Constitución Política establece una prohibición contractual a los servidores públicos y</w:t>
      </w:r>
      <w:r w:rsidR="00D52E51">
        <w:rPr>
          <w:rFonts w:ascii="Verdana" w:eastAsia="Calibri" w:hAnsi="Verdana" w:cs="Arial"/>
          <w:bCs/>
        </w:rPr>
        <w:t>,</w:t>
      </w:r>
      <w:r w:rsidR="00D52E51" w:rsidRPr="00F10E52">
        <w:rPr>
          <w:rFonts w:ascii="Verdana" w:eastAsia="Calibri" w:hAnsi="Verdana" w:cs="Arial"/>
          <w:bCs/>
        </w:rPr>
        <w:t xml:space="preserve"> en cuanto</w:t>
      </w:r>
      <w:r w:rsidR="00D52E51">
        <w:rPr>
          <w:rFonts w:ascii="Verdana" w:eastAsia="Calibri" w:hAnsi="Verdana" w:cs="Arial"/>
          <w:bCs/>
        </w:rPr>
        <w:t>,</w:t>
      </w:r>
      <w:r w:rsidR="00D52E51" w:rsidRPr="00F10E52">
        <w:rPr>
          <w:rFonts w:ascii="Verdana" w:eastAsia="Calibri" w:hAnsi="Verdana" w:cs="Arial"/>
          <w:bCs/>
        </w:rPr>
        <w:t xml:space="preserve"> a aspectos políticos establece restricciones a ciertos empleados del Estado, incluso en época no electoral</w:t>
      </w:r>
      <w:r w:rsidR="00D52E51" w:rsidRPr="00F10E52">
        <w:rPr>
          <w:rStyle w:val="Refdenotaalpie"/>
          <w:rFonts w:ascii="Verdana" w:eastAsia="Calibri" w:hAnsi="Verdana" w:cs="Arial"/>
          <w:bCs/>
        </w:rPr>
        <w:footnoteReference w:id="1"/>
      </w:r>
      <w:r w:rsidR="00D52E51" w:rsidRPr="00F10E52">
        <w:rPr>
          <w:rFonts w:ascii="Verdana" w:eastAsia="Calibri" w:hAnsi="Verdana" w:cs="Arial"/>
          <w:bCs/>
        </w:rPr>
        <w:t xml:space="preserve">. </w:t>
      </w:r>
    </w:p>
    <w:p w14:paraId="0C796BB8" w14:textId="77777777" w:rsidR="00D52E51" w:rsidRDefault="00D52E51" w:rsidP="00D52E51">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ley tiene como propósito evitar cualquier tipo </w:t>
      </w:r>
      <w:r w:rsidRPr="00F10E52">
        <w:rPr>
          <w:rFonts w:ascii="Verdana" w:eastAsia="Times New Roman" w:hAnsi="Verdana" w:cs="Arial"/>
          <w:bCs/>
          <w:lang w:eastAsia="es-CO"/>
        </w:rPr>
        <w:lastRenderedPageBreak/>
        <w:t>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9261E21" w14:textId="77777777" w:rsidR="00D52E51" w:rsidRPr="00F10E52" w:rsidRDefault="00D52E51" w:rsidP="00D52E51">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365E98E1" w14:textId="77777777" w:rsidR="00D52E51" w:rsidRDefault="00D52E51" w:rsidP="00D52E51">
      <w:pPr>
        <w:spacing w:after="0" w:line="276" w:lineRule="auto"/>
        <w:ind w:left="709" w:right="709"/>
        <w:jc w:val="both"/>
        <w:rPr>
          <w:rFonts w:ascii="Verdana" w:eastAsia="Times New Roman" w:hAnsi="Verdana" w:cs="Arial"/>
          <w:lang w:val="es-ES" w:eastAsia="es-CO"/>
        </w:rPr>
      </w:pPr>
    </w:p>
    <w:p w14:paraId="661BAEC0" w14:textId="77777777" w:rsidR="00D52E51" w:rsidRPr="003D0447" w:rsidRDefault="00D52E51" w:rsidP="00D52E51">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3D0447">
        <w:rPr>
          <w:rFonts w:ascii="Verdana" w:eastAsia="Times New Roman" w:hAnsi="Verdana" w:cs="Arial"/>
          <w:sz w:val="20"/>
          <w:szCs w:val="20"/>
          <w:lang w:val="es-ES" w:eastAsia="es-CO"/>
        </w:rPr>
        <w:t xml:space="preserve">[…] </w:t>
      </w:r>
    </w:p>
    <w:p w14:paraId="4F0BF2BC"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186C0139" w14:textId="77777777" w:rsidR="00D52E51" w:rsidRPr="00143D05" w:rsidRDefault="00D52E51" w:rsidP="00D52E51">
      <w:pPr>
        <w:spacing w:after="0" w:line="240" w:lineRule="auto"/>
        <w:ind w:left="709" w:right="709"/>
        <w:jc w:val="both"/>
        <w:rPr>
          <w:rFonts w:ascii="Verdana" w:eastAsia="Times New Roman" w:hAnsi="Verdana" w:cs="Arial"/>
          <w:bCs/>
          <w:sz w:val="20"/>
          <w:szCs w:val="20"/>
          <w:lang w:eastAsia="es-CO"/>
        </w:rPr>
      </w:pPr>
    </w:p>
    <w:p w14:paraId="0277A2E8" w14:textId="77777777" w:rsidR="00D52E51" w:rsidRPr="003D0447" w:rsidRDefault="00D52E51" w:rsidP="00D52E51">
      <w:pPr>
        <w:spacing w:after="0" w:line="240" w:lineRule="auto"/>
        <w:ind w:left="709" w:right="709"/>
        <w:jc w:val="both"/>
        <w:rPr>
          <w:rFonts w:ascii="Verdana" w:eastAsia="Times New Roman" w:hAnsi="Verdana" w:cs="Arial"/>
          <w:sz w:val="20"/>
          <w:szCs w:val="20"/>
          <w:lang w:eastAsia="es-CO"/>
        </w:rPr>
      </w:pPr>
      <w:r w:rsidRPr="009B20C5">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9B20C5">
        <w:rPr>
          <w:rStyle w:val="Refdenotaalpie"/>
          <w:rFonts w:ascii="Verdana" w:hAnsi="Verdana" w:cs="Arial"/>
          <w:sz w:val="20"/>
          <w:szCs w:val="20"/>
        </w:rPr>
        <w:footnoteReference w:id="3"/>
      </w:r>
      <w:r>
        <w:rPr>
          <w:rFonts w:ascii="Verdana" w:eastAsia="Times New Roman" w:hAnsi="Verdana" w:cs="Arial"/>
          <w:bCs/>
          <w:sz w:val="20"/>
          <w:szCs w:val="20"/>
          <w:lang w:eastAsia="es-CO"/>
        </w:rPr>
        <w:t xml:space="preserve"> </w:t>
      </w:r>
      <w:r w:rsidRPr="003D0447">
        <w:rPr>
          <w:rFonts w:ascii="Verdana" w:eastAsia="Times New Roman" w:hAnsi="Verdana" w:cs="Arial"/>
          <w:bCs/>
          <w:sz w:val="20"/>
          <w:szCs w:val="20"/>
          <w:lang w:eastAsia="es-CO"/>
        </w:rPr>
        <w:t>[…]</w:t>
      </w:r>
      <w:r>
        <w:rPr>
          <w:rFonts w:ascii="Verdana" w:eastAsia="Times New Roman" w:hAnsi="Verdana" w:cs="Arial"/>
          <w:bCs/>
          <w:sz w:val="20"/>
          <w:szCs w:val="20"/>
          <w:lang w:eastAsia="es-CO"/>
        </w:rPr>
        <w:t>”</w:t>
      </w:r>
      <w:r w:rsidRPr="003D0447">
        <w:rPr>
          <w:rFonts w:ascii="Verdana" w:eastAsia="Times New Roman" w:hAnsi="Verdana" w:cs="Arial"/>
          <w:bCs/>
          <w:sz w:val="20"/>
          <w:szCs w:val="20"/>
          <w:lang w:eastAsia="es-CO"/>
        </w:rPr>
        <w:t xml:space="preserve"> </w:t>
      </w:r>
    </w:p>
    <w:p w14:paraId="42B13E6D" w14:textId="77777777" w:rsidR="00D52E51" w:rsidRDefault="00D52E51" w:rsidP="00D52E51">
      <w:pPr>
        <w:spacing w:after="0" w:line="276" w:lineRule="auto"/>
        <w:ind w:firstLine="709"/>
        <w:jc w:val="both"/>
        <w:rPr>
          <w:rFonts w:ascii="Verdana" w:eastAsia="Times New Roman" w:hAnsi="Verdana" w:cs="Arial"/>
          <w:bCs/>
          <w:lang w:eastAsia="es-CO"/>
        </w:rPr>
      </w:pPr>
      <w:bookmarkStart w:id="4" w:name="_Hlk78818186"/>
    </w:p>
    <w:p w14:paraId="24B4B285" w14:textId="77777777" w:rsidR="00D52E51" w:rsidRDefault="00D52E51" w:rsidP="00D52E51">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4"/>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43315768" w14:textId="77777777" w:rsidR="00D52E51" w:rsidRPr="00F10E52" w:rsidRDefault="00D52E51" w:rsidP="00D52E51">
      <w:pPr>
        <w:spacing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56F3085F" w14:textId="77777777" w:rsidR="00D52E51" w:rsidRPr="00F10E52" w:rsidRDefault="00D52E51" w:rsidP="00D52E51">
      <w:pPr>
        <w:spacing w:after="0" w:line="276" w:lineRule="auto"/>
        <w:ind w:firstLine="709"/>
        <w:jc w:val="both"/>
        <w:rPr>
          <w:rFonts w:ascii="Verdana" w:eastAsia="Times New Roman" w:hAnsi="Verdana" w:cs="Arial"/>
          <w:bCs/>
          <w:lang w:eastAsia="es-CO"/>
        </w:rPr>
      </w:pPr>
    </w:p>
    <w:p w14:paraId="44950B50"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w:t>
      </w:r>
      <w:r w:rsidRPr="009B20C5">
        <w:rPr>
          <w:rFonts w:ascii="Verdana" w:eastAsia="Times New Roman" w:hAnsi="Verdana" w:cs="Arial"/>
          <w:bCs/>
          <w:sz w:val="20"/>
          <w:szCs w:val="20"/>
          <w:lang w:eastAsia="es-CO"/>
        </w:rPr>
        <w:lastRenderedPageBreak/>
        <w:t xml:space="preserve">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4DFDDFF"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p>
    <w:p w14:paraId="3B5442A0"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2A8CB670" w14:textId="77777777" w:rsidR="00D52E51" w:rsidRPr="009B20C5" w:rsidRDefault="00D52E51" w:rsidP="00D52E51">
      <w:pPr>
        <w:spacing w:after="0" w:line="240" w:lineRule="auto"/>
        <w:ind w:left="709" w:right="709"/>
        <w:jc w:val="both"/>
        <w:rPr>
          <w:rFonts w:ascii="Verdana" w:eastAsia="Times New Roman" w:hAnsi="Verdana" w:cs="Arial"/>
          <w:bCs/>
          <w:sz w:val="20"/>
          <w:szCs w:val="20"/>
          <w:lang w:eastAsia="es-CO"/>
        </w:rPr>
      </w:pPr>
    </w:p>
    <w:p w14:paraId="733FB702" w14:textId="77777777" w:rsidR="00D52E51" w:rsidRPr="00F10E52" w:rsidRDefault="00D52E51" w:rsidP="00D52E51">
      <w:pPr>
        <w:spacing w:after="120" w:line="276" w:lineRule="auto"/>
        <w:jc w:val="both"/>
        <w:rPr>
          <w:rFonts w:ascii="Verdana" w:eastAsia="Arial" w:hAnsi="Verdana" w:cs="Arial"/>
          <w:lang w:val="es-ES" w:eastAsia="es-ES" w:bidi="es-ES"/>
        </w:rPr>
      </w:pPr>
      <w:r w:rsidRPr="00F10E52">
        <w:rPr>
          <w:rFonts w:ascii="Verdana" w:eastAsia="Times New Roman" w:hAnsi="Verdana" w:cs="Arial"/>
          <w:bCs/>
          <w:lang w:eastAsia="es-CO"/>
        </w:rPr>
        <w:tab/>
        <w:t>De</w:t>
      </w:r>
      <w:r w:rsidRPr="00F10E52">
        <w:rPr>
          <w:rFonts w:ascii="Verdana" w:eastAsia="Arial" w:hAnsi="Verdana" w:cs="Arial"/>
          <w:lang w:val="es-ES" w:eastAsia="es-ES" w:bidi="es-ES"/>
        </w:rPr>
        <w:t xml:space="preserve"> conformidad con lo anterior, </w:t>
      </w:r>
      <w:bookmarkStart w:id="5" w:name="_Hlk77236098"/>
      <w:r w:rsidRPr="00F10E52">
        <w:rPr>
          <w:rFonts w:ascii="Verdana" w:eastAsia="Arial" w:hAnsi="Verdana" w:cs="Arial"/>
          <w:lang w:val="es-ES" w:eastAsia="es-ES" w:bidi="es-ES"/>
        </w:rPr>
        <w:t>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5"/>
    </w:p>
    <w:p w14:paraId="6E5CBD23" w14:textId="77777777" w:rsidR="00D52E51" w:rsidRPr="00F10E52" w:rsidRDefault="00D52E51" w:rsidP="00D52E51">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sidRPr="00F10E52">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w:t>
      </w:r>
      <w:r w:rsidRPr="00F10E52">
        <w:rPr>
          <w:rFonts w:ascii="Verdana" w:eastAsia="Calibri" w:hAnsi="Verdana" w:cs="Arial"/>
        </w:rPr>
        <w:lastRenderedPageBreak/>
        <w:t xml:space="preserve">para cubrir las </w:t>
      </w:r>
      <w:r w:rsidRPr="003D0447">
        <w:rPr>
          <w:rFonts w:ascii="Verdana" w:eastAsia="Calibri" w:hAnsi="Verdana" w:cs="Arial"/>
          <w:i/>
        </w:rPr>
        <w:t>emergencias educativas</w:t>
      </w:r>
      <w:r w:rsidRPr="00F10E52">
        <w:rPr>
          <w:rFonts w:ascii="Verdana" w:eastAsia="Calibri" w:hAnsi="Verdana" w:cs="Arial"/>
        </w:rPr>
        <w:t>,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76D0D9D4" w14:textId="77777777" w:rsidR="00D52E51" w:rsidRDefault="00D52E51" w:rsidP="00D52E51">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rPr>
        <w:t>.</w:t>
      </w:r>
      <w:r w:rsidRPr="00F10E52">
        <w:rPr>
          <w:rFonts w:ascii="Verdana" w:eastAsia="Arial" w:hAnsi="Verdana" w:cs="Arial"/>
          <w:lang w:val="es-ES" w:eastAsia="es-ES" w:bidi="es-ES"/>
        </w:rPr>
        <w:t xml:space="preserve"> </w:t>
      </w:r>
    </w:p>
    <w:p w14:paraId="45418C6E" w14:textId="77777777" w:rsidR="00D52E51" w:rsidRPr="00F10E52" w:rsidRDefault="00D52E51" w:rsidP="00D52E51">
      <w:pPr>
        <w:widowControl w:val="0"/>
        <w:autoSpaceDE w:val="0"/>
        <w:autoSpaceDN w:val="0"/>
        <w:spacing w:before="120" w:after="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7EB53FE2" w14:textId="77777777" w:rsidR="00D52E51" w:rsidRPr="003D0447" w:rsidRDefault="00D52E51" w:rsidP="00D52E51">
      <w:pPr>
        <w:widowControl w:val="0"/>
        <w:autoSpaceDE w:val="0"/>
        <w:autoSpaceDN w:val="0"/>
        <w:spacing w:after="0" w:line="276" w:lineRule="auto"/>
        <w:ind w:left="709" w:right="709"/>
        <w:jc w:val="both"/>
        <w:rPr>
          <w:rFonts w:ascii="Verdana" w:eastAsia="Arial" w:hAnsi="Verdana" w:cs="Arial"/>
          <w:lang w:val="es-ES" w:eastAsia="es-ES" w:bidi="es-ES"/>
        </w:rPr>
      </w:pPr>
    </w:p>
    <w:p w14:paraId="0A60BED6" w14:textId="77777777" w:rsidR="00D52E51" w:rsidRPr="009B20C5" w:rsidRDefault="00D52E51" w:rsidP="00D52E51">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48E0C270">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48E0C270">
        <w:rPr>
          <w:rFonts w:ascii="Verdana" w:eastAsia="Arial" w:hAnsi="Verdana" w:cs="Arial"/>
          <w:sz w:val="20"/>
          <w:szCs w:val="20"/>
          <w:lang w:eastAsia="es-ES" w:bidi="es-ES"/>
        </w:rPr>
        <w:t>se integran parcialmente</w:t>
      </w:r>
      <w:bookmarkEnd w:id="6"/>
      <w:r w:rsidRPr="48E0C270">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48E0C270">
        <w:rPr>
          <w:rFonts w:ascii="Verdana" w:eastAsia="Arial" w:hAnsi="Verdana" w:cs="Arial"/>
          <w:sz w:val="20"/>
          <w:szCs w:val="20"/>
          <w:vertAlign w:val="superscript"/>
          <w:lang w:eastAsia="es-ES" w:bidi="es-ES"/>
        </w:rPr>
        <w:footnoteReference w:id="7"/>
      </w:r>
    </w:p>
    <w:p w14:paraId="3C85C36D" w14:textId="77777777" w:rsidR="00D52E51" w:rsidRDefault="00D52E51" w:rsidP="00D52E51">
      <w:pPr>
        <w:spacing w:after="0" w:line="276" w:lineRule="auto"/>
        <w:ind w:firstLine="709"/>
        <w:jc w:val="both"/>
        <w:rPr>
          <w:rFonts w:ascii="Verdana" w:eastAsia="Arial" w:hAnsi="Verdana" w:cs="Arial"/>
          <w:lang w:val="es-ES" w:eastAsia="es-ES" w:bidi="es-ES"/>
        </w:rPr>
      </w:pPr>
    </w:p>
    <w:p w14:paraId="72A70276" w14:textId="77777777" w:rsidR="00D52E51" w:rsidRPr="00F10E52" w:rsidRDefault="00D52E51" w:rsidP="00D52E5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w:t>
      </w:r>
      <w:r w:rsidRPr="00F10E52">
        <w:rPr>
          <w:rFonts w:ascii="Verdana" w:eastAsia="Arial" w:hAnsi="Verdana" w:cs="Arial"/>
          <w:lang w:val="es-ES" w:eastAsia="es-ES" w:bidi="es-ES"/>
        </w:rPr>
        <w:lastRenderedPageBreak/>
        <w:t xml:space="preserve">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0C166F38" w14:textId="77777777" w:rsidR="00D52E51" w:rsidRPr="00F10E52" w:rsidRDefault="00D52E51" w:rsidP="00D52E51">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w:t>
      </w:r>
    </w:p>
    <w:bookmarkEnd w:id="10"/>
    <w:p w14:paraId="0006A74E" w14:textId="60756273" w:rsidR="009F414F" w:rsidRDefault="009F414F" w:rsidP="009F414F">
      <w:pPr>
        <w:spacing w:line="276" w:lineRule="auto"/>
        <w:ind w:firstLine="708"/>
        <w:contextualSpacing/>
        <w:jc w:val="both"/>
        <w:rPr>
          <w:rFonts w:ascii="Verdana" w:eastAsia="Calibri" w:hAnsi="Verdana" w:cs="Arial"/>
        </w:rPr>
      </w:pPr>
      <w:r>
        <w:rPr>
          <w:rFonts w:ascii="Verdana" w:eastAsia="Times New Roman" w:hAnsi="Verdana" w:cs="Arial"/>
          <w:bCs/>
          <w:lang w:eastAsia="es-CO"/>
        </w:rPr>
        <w:t xml:space="preserve">Ahora bien, para dar respuesta al problema jurídico planteado, </w:t>
      </w:r>
      <w:r w:rsidRPr="00A90DCC">
        <w:rPr>
          <w:rFonts w:ascii="Verdana" w:eastAsia="Times New Roman" w:hAnsi="Verdana" w:cs="Arial"/>
          <w:bCs/>
          <w:lang w:eastAsia="es-CO"/>
        </w:rPr>
        <w:t>es necesario poner en contexto los contratos</w:t>
      </w:r>
      <w:r w:rsidR="006250A9">
        <w:rPr>
          <w:rFonts w:ascii="Verdana" w:eastAsia="Times New Roman" w:hAnsi="Verdana" w:cs="Arial"/>
          <w:bCs/>
          <w:lang w:eastAsia="es-CO"/>
        </w:rPr>
        <w:t xml:space="preserve"> </w:t>
      </w:r>
      <w:r w:rsidR="006250A9" w:rsidRPr="009F7EEF">
        <w:rPr>
          <w:rFonts w:ascii="Verdana" w:eastAsia="Calibri" w:hAnsi="Verdana" w:cs="Arial"/>
        </w:rPr>
        <w:t>los convenios previstos en el artículo 59 de la Ley 863 de 2003</w:t>
      </w:r>
      <w:r w:rsidR="006250A9">
        <w:rPr>
          <w:rFonts w:ascii="Verdana" w:eastAsia="Calibri" w:hAnsi="Verdana" w:cs="Arial"/>
        </w:rPr>
        <w:t xml:space="preserve"> el cual prevé lo siguiente:</w:t>
      </w:r>
    </w:p>
    <w:p w14:paraId="734EC88E" w14:textId="77777777" w:rsidR="006250A9" w:rsidRDefault="006250A9" w:rsidP="009F414F">
      <w:pPr>
        <w:spacing w:line="276" w:lineRule="auto"/>
        <w:ind w:firstLine="708"/>
        <w:contextualSpacing/>
        <w:jc w:val="both"/>
        <w:rPr>
          <w:rFonts w:ascii="Verdana" w:eastAsia="Calibri" w:hAnsi="Verdana" w:cs="Arial"/>
        </w:rPr>
      </w:pPr>
    </w:p>
    <w:p w14:paraId="5752CCA3" w14:textId="02A23624" w:rsidR="006250A9" w:rsidRPr="006250A9" w:rsidRDefault="006250A9" w:rsidP="006250A9">
      <w:pPr>
        <w:spacing w:line="276" w:lineRule="auto"/>
        <w:ind w:left="851" w:right="758"/>
        <w:contextualSpacing/>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w:t>
      </w:r>
      <w:r w:rsidRPr="006250A9">
        <w:rPr>
          <w:rFonts w:ascii="Verdana" w:eastAsia="Calibri" w:hAnsi="Verdana" w:cs="Arial"/>
          <w:bCs/>
          <w:color w:val="000000" w:themeColor="text1"/>
          <w:sz w:val="20"/>
          <w:szCs w:val="20"/>
        </w:rPr>
        <w:t>Artículo 59. Transferencia cafetera.</w:t>
      </w:r>
      <w:r>
        <w:rPr>
          <w:rFonts w:ascii="Verdana" w:eastAsia="Calibri" w:hAnsi="Verdana" w:cs="Arial"/>
          <w:bCs/>
          <w:color w:val="000000" w:themeColor="text1"/>
          <w:sz w:val="20"/>
          <w:szCs w:val="20"/>
        </w:rPr>
        <w:t xml:space="preserve"> </w:t>
      </w:r>
      <w:r w:rsidRPr="006250A9">
        <w:rPr>
          <w:rFonts w:ascii="Verdana" w:eastAsia="Calibri" w:hAnsi="Verdana" w:cs="Arial"/>
          <w:bCs/>
          <w:color w:val="000000" w:themeColor="text1"/>
          <w:sz w:val="20"/>
          <w:szCs w:val="20"/>
        </w:rPr>
        <w:t>Los recursos provenientes de la transferencia cafetera deberán destinarse exclusivamente al cumplimiento de los programas de desarrollo social y económico de las zonas cafeteras, de fomento y apoyo al cooperativismo, de mejoramiento de las condiciones de vida de la población campesina de las zonas cafeteras y demás funciones asignadas al Fondo Nacional del Café.</w:t>
      </w:r>
    </w:p>
    <w:p w14:paraId="1E817F3B" w14:textId="77777777" w:rsidR="006250A9" w:rsidRPr="006250A9" w:rsidRDefault="006250A9" w:rsidP="006250A9">
      <w:pPr>
        <w:spacing w:line="276" w:lineRule="auto"/>
        <w:ind w:left="851" w:right="758"/>
        <w:contextualSpacing/>
        <w:jc w:val="both"/>
        <w:rPr>
          <w:rFonts w:ascii="Verdana" w:eastAsia="Calibri" w:hAnsi="Verdana" w:cs="Arial"/>
          <w:bCs/>
          <w:color w:val="000000" w:themeColor="text1"/>
          <w:sz w:val="20"/>
          <w:szCs w:val="20"/>
        </w:rPr>
      </w:pPr>
    </w:p>
    <w:p w14:paraId="74D4AAEC" w14:textId="3AC551AF" w:rsidR="006250A9" w:rsidRPr="006250A9" w:rsidRDefault="006250A9" w:rsidP="006250A9">
      <w:pPr>
        <w:spacing w:line="276" w:lineRule="auto"/>
        <w:ind w:left="851" w:right="758"/>
        <w:contextualSpacing/>
        <w:jc w:val="both"/>
        <w:rPr>
          <w:rFonts w:ascii="Verdana" w:eastAsia="Calibri" w:hAnsi="Verdana" w:cs="Arial"/>
          <w:bCs/>
          <w:color w:val="000000" w:themeColor="text1"/>
          <w:sz w:val="20"/>
          <w:szCs w:val="20"/>
        </w:rPr>
      </w:pPr>
      <w:r w:rsidRPr="006250A9">
        <w:rPr>
          <w:rFonts w:ascii="Verdana" w:eastAsia="Calibri" w:hAnsi="Verdana" w:cs="Arial"/>
          <w:bCs/>
          <w:color w:val="000000" w:themeColor="text1"/>
          <w:sz w:val="20"/>
          <w:szCs w:val="20"/>
        </w:rPr>
        <w:t>Estos recursos serán administrados por los Comités Departamentales de Cafeteros de la Federación Nacional de Cafeteros de Colombia, en contabilidad separada, de conformidad con los parámetros que establezca el contrato de administración celebrado con el Gobierno Nacional</w:t>
      </w:r>
      <w:r>
        <w:rPr>
          <w:rFonts w:ascii="Verdana" w:eastAsia="Calibri" w:hAnsi="Verdana" w:cs="Arial"/>
          <w:bCs/>
          <w:color w:val="000000" w:themeColor="text1"/>
          <w:sz w:val="20"/>
          <w:szCs w:val="20"/>
        </w:rPr>
        <w:t>”</w:t>
      </w:r>
      <w:r w:rsidRPr="006250A9">
        <w:rPr>
          <w:rFonts w:ascii="Verdana" w:eastAsia="Calibri" w:hAnsi="Verdana" w:cs="Arial"/>
          <w:bCs/>
          <w:color w:val="000000" w:themeColor="text1"/>
          <w:sz w:val="20"/>
          <w:szCs w:val="20"/>
        </w:rPr>
        <w:t>.</w:t>
      </w:r>
    </w:p>
    <w:p w14:paraId="1AC221C8" w14:textId="77777777" w:rsidR="009F414F" w:rsidRDefault="009F414F" w:rsidP="00A73B02">
      <w:pPr>
        <w:spacing w:line="276" w:lineRule="auto"/>
        <w:contextualSpacing/>
        <w:jc w:val="both"/>
        <w:rPr>
          <w:rFonts w:ascii="Verdana" w:eastAsia="Calibri" w:hAnsi="Verdana" w:cs="Arial"/>
          <w:bCs/>
          <w:color w:val="000000" w:themeColor="text1"/>
        </w:rPr>
      </w:pPr>
    </w:p>
    <w:p w14:paraId="41FB3173" w14:textId="18565FF7" w:rsidR="009F414F" w:rsidRDefault="006250A9" w:rsidP="00A73B02">
      <w:pPr>
        <w:spacing w:line="276" w:lineRule="auto"/>
        <w:contextualSpacing/>
        <w:jc w:val="both"/>
        <w:rPr>
          <w:rFonts w:ascii="Verdana" w:eastAsia="Calibri" w:hAnsi="Verdana" w:cs="Arial"/>
          <w:bCs/>
          <w:color w:val="000000" w:themeColor="text1"/>
        </w:rPr>
      </w:pPr>
      <w:r>
        <w:rPr>
          <w:rFonts w:ascii="Verdana" w:eastAsia="Calibri" w:hAnsi="Verdana" w:cs="Arial"/>
          <w:bCs/>
          <w:color w:val="000000" w:themeColor="text1"/>
        </w:rPr>
        <w:t xml:space="preserve">         Así las cosas, e</w:t>
      </w:r>
      <w:r w:rsidRPr="006250A9">
        <w:rPr>
          <w:rFonts w:ascii="Verdana" w:eastAsia="Calibri" w:hAnsi="Verdana" w:cs="Arial"/>
          <w:bCs/>
          <w:color w:val="000000" w:themeColor="text1"/>
        </w:rPr>
        <w:t xml:space="preserve">l artículo 59 de la Ley 863 de 2003 establece que la transferencia cafetera es un recurso público con destinación específica para programas sociales y económicos en zonas cafeteras, el cual es administrado de manera independiente por los Comités Departamentales de Cafeteros de la Federación Nacional de Cafeteros, entidad privada sin ánimo de lucro. Por esta </w:t>
      </w:r>
      <w:r w:rsidRPr="006250A9">
        <w:rPr>
          <w:rFonts w:ascii="Verdana" w:eastAsia="Calibri" w:hAnsi="Verdana" w:cs="Arial"/>
          <w:bCs/>
          <w:color w:val="000000" w:themeColor="text1"/>
        </w:rPr>
        <w:lastRenderedPageBreak/>
        <w:t>razón, los convenios que los entes territoriales celebren con dichos Comités no tienen naturaleza interadministrativa, pese a involucrar recursos públicos, y por tanto no están sujetos a la prohibición del artículo 38 de la Ley 996 de 2005 (Ley de Garantías Electorales), que restringe exclusivamente la celebración de convenios entre entidades públicas durante el periodo electoral</w:t>
      </w:r>
      <w:r>
        <w:rPr>
          <w:rFonts w:ascii="Verdana" w:eastAsia="Calibri" w:hAnsi="Verdana" w:cs="Arial"/>
          <w:bCs/>
          <w:color w:val="000000" w:themeColor="text1"/>
        </w:rPr>
        <w:t>.</w:t>
      </w:r>
    </w:p>
    <w:p w14:paraId="348BA76F" w14:textId="2A6E1EEB" w:rsidR="00427CB4" w:rsidRDefault="00427CB4" w:rsidP="00427CB4">
      <w:pPr>
        <w:spacing w:after="120" w:line="276" w:lineRule="auto"/>
        <w:ind w:firstLine="709"/>
        <w:jc w:val="both"/>
        <w:rPr>
          <w:rFonts w:ascii="Verdana" w:eastAsia="Calibri" w:hAnsi="Verdana" w:cs="Arial"/>
        </w:rPr>
      </w:pPr>
      <w:r>
        <w:rPr>
          <w:rFonts w:ascii="Verdana" w:eastAsia="Calibri" w:hAnsi="Verdana" w:cs="Arial"/>
        </w:rPr>
        <w:t xml:space="preserve">Ahora bien, en línea con lo previsto en el concepto con radicado de salida </w:t>
      </w:r>
      <w:r w:rsidRPr="003345C6">
        <w:rPr>
          <w:rFonts w:ascii="Verdana" w:eastAsia="Calibri" w:hAnsi="Verdana" w:cs="Arial"/>
        </w:rPr>
        <w:t>220191300000560</w:t>
      </w:r>
      <w:r>
        <w:rPr>
          <w:rFonts w:ascii="Verdana" w:eastAsia="Calibri" w:hAnsi="Verdana" w:cs="Arial"/>
        </w:rPr>
        <w:t>9 del 06 de agosto de 2019 emitido por esta Subdirección Contractual</w:t>
      </w:r>
      <w:r w:rsidRPr="009F7EEF">
        <w:rPr>
          <w:rFonts w:ascii="Verdana" w:eastAsia="Calibri" w:hAnsi="Verdana" w:cs="Arial"/>
        </w:rPr>
        <w:t xml:space="preserve"> es preciso advertir que los convenios de </w:t>
      </w:r>
      <w:r>
        <w:rPr>
          <w:rFonts w:ascii="Verdana" w:eastAsia="Calibri" w:hAnsi="Verdana" w:cs="Arial"/>
        </w:rPr>
        <w:t xml:space="preserve">cooperación </w:t>
      </w:r>
      <w:r w:rsidRPr="009F7EEF">
        <w:rPr>
          <w:rFonts w:ascii="Verdana" w:eastAsia="Calibri" w:hAnsi="Verdana" w:cs="Arial"/>
        </w:rPr>
        <w:t xml:space="preserve">no entran dentro del ámbito de aplicación de la restricción del parágrafo del artículo 38 de la Ley 996 de 2021, pues esta norma se refiere exclusivamente a convenios interadministrativos. Esto dado que los convenios de asociación son celebrados por Entidades Estatales con entidades privadas sin ánimo de lucro, correspondiendo a una naturaleza jurídica distinta de los convenios interadministrativos, los cuales son determinados por un criterio orgánico que exige que ambos extremos de la relación contractual sean entidades estatales.  </w:t>
      </w:r>
    </w:p>
    <w:p w14:paraId="6CA32D15" w14:textId="77777777" w:rsidR="00427CB4" w:rsidRPr="009F7EEF" w:rsidRDefault="00427CB4" w:rsidP="00427CB4">
      <w:pPr>
        <w:spacing w:after="120" w:line="276" w:lineRule="auto"/>
        <w:ind w:firstLine="709"/>
        <w:jc w:val="both"/>
        <w:rPr>
          <w:rFonts w:ascii="Verdana" w:eastAsia="Calibri" w:hAnsi="Verdana" w:cs="Arial"/>
        </w:rPr>
      </w:pPr>
      <w:r w:rsidRPr="009F7EEF">
        <w:rPr>
          <w:rFonts w:ascii="Verdana" w:eastAsia="Calibri" w:hAnsi="Verdana" w:cs="Arial"/>
        </w:rPr>
        <w:t>Así las cosas, el parágrafo único del artículo 38 de la Ley de garantías Electorales, aplica a la contienda electoral para la elección de gobernadores, alcaldes, diputados concejales y ediles, y por tanto, de acuerdo con su pregunta, no existe restricción en la Ley 996 de 2005 relacionada con la suscripción de convenios o contratos con personas jurídicas de derecho privado, con quienes se podrá celebrar contratos o convenios a través de las diferentes modalidades de selección previstas en el Estatuto General de Contratación de la Administración Pública y en las normas que habiliten la suscripción de otro tipo de convenios o contratos.</w:t>
      </w:r>
    </w:p>
    <w:p w14:paraId="4B055DB6" w14:textId="77777777" w:rsidR="00427CB4" w:rsidRPr="009F7EEF" w:rsidRDefault="00427CB4" w:rsidP="00427CB4">
      <w:pPr>
        <w:spacing w:after="120" w:line="276" w:lineRule="auto"/>
        <w:ind w:firstLine="709"/>
        <w:jc w:val="both"/>
        <w:rPr>
          <w:rFonts w:ascii="Verdana" w:eastAsia="Calibri" w:hAnsi="Verdana" w:cs="Arial"/>
        </w:rPr>
      </w:pPr>
      <w:r w:rsidRPr="009F7EEF">
        <w:rPr>
          <w:rFonts w:ascii="Verdana" w:eastAsia="Calibri" w:hAnsi="Verdana" w:cs="Arial"/>
        </w:rPr>
        <w:t xml:space="preserve">Lo anterior, teniendo en cuenta que </w:t>
      </w:r>
      <w:r>
        <w:rPr>
          <w:rFonts w:ascii="Verdana" w:eastAsia="Calibri" w:hAnsi="Verdana" w:cs="Arial"/>
        </w:rPr>
        <w:t>el citado concepto estableció: “</w:t>
      </w:r>
      <w:r w:rsidRPr="009F7EEF">
        <w:rPr>
          <w:rFonts w:ascii="Verdana" w:eastAsia="Calibri" w:hAnsi="Verdana" w:cs="Arial"/>
        </w:rPr>
        <w:t>la Federación Nacional de Cafeteros, es una persona jurídica de derecho privado, sin ánimo de lucro y que los convenios previstos en el artículo 59 de la Ley 863 de 2003 permiten ejecutar los recursos que provienen de la transferencia cafetera para el desarrollo de programas de desarrollo social y económico de las zonas cafeteras, de fomento y apoyo al cooperativismo, de mejoramiento de las condiciones de la población campesina en zonas cafeteras. Esta transferencia es administrada en forma independiente por los Comités Departamentales de Cafeteros de la Federación Nacional de Cafeteros de Colombia, en contabilidad separada, de acuerdo con los parámetros del contrato de administración del Fondo Nacional del Café</w:t>
      </w:r>
      <w:r>
        <w:rPr>
          <w:rFonts w:ascii="Verdana" w:eastAsia="Calibri" w:hAnsi="Verdana" w:cs="Arial"/>
        </w:rPr>
        <w:t>”</w:t>
      </w:r>
      <w:r w:rsidRPr="009F7EEF">
        <w:rPr>
          <w:rFonts w:ascii="Verdana" w:eastAsia="Calibri" w:hAnsi="Verdana" w:cs="Arial"/>
        </w:rPr>
        <w:t>.</w:t>
      </w:r>
    </w:p>
    <w:p w14:paraId="27E8FC4A" w14:textId="77777777" w:rsidR="00427CB4" w:rsidRDefault="00427CB4" w:rsidP="00427CB4">
      <w:pPr>
        <w:spacing w:after="120" w:line="276" w:lineRule="auto"/>
        <w:ind w:firstLine="709"/>
        <w:jc w:val="both"/>
      </w:pPr>
      <w:r w:rsidRPr="009F7EEF">
        <w:rPr>
          <w:rFonts w:ascii="Verdana" w:eastAsia="Calibri" w:hAnsi="Verdana" w:cs="Arial"/>
        </w:rPr>
        <w:t xml:space="preserve">Por lo tanto, comoquiera que el convenio a celebrar contemplado en el artículo 59 de la Ley 863 de 2003 no tiene el carácter de interadministrativo al </w:t>
      </w:r>
      <w:r w:rsidRPr="009F7EEF">
        <w:rPr>
          <w:rFonts w:ascii="Verdana" w:eastAsia="Calibri" w:hAnsi="Verdana" w:cs="Arial"/>
        </w:rPr>
        <w:lastRenderedPageBreak/>
        <w:t>ser suscrito por un ente territorial y un Comité Departamental de Cafeteros de la Federación Nacional de Cafeteros de Colombia, la cual como se señaló es una persona jurídica de derecho privado, no le es aplicable la restricción prevista por el parágrafo único del artículo 38 de la Ley de garantías Electorales.</w:t>
      </w:r>
      <w:r>
        <w:t xml:space="preserve"> </w:t>
      </w:r>
    </w:p>
    <w:p w14:paraId="30236F50" w14:textId="77777777" w:rsidR="00427CB4" w:rsidRDefault="00427CB4" w:rsidP="00427CB4">
      <w:pPr>
        <w:spacing w:after="120" w:line="276" w:lineRule="auto"/>
        <w:ind w:firstLine="709"/>
        <w:jc w:val="both"/>
        <w:rPr>
          <w:rFonts w:ascii="Verdana" w:eastAsia="Calibri" w:hAnsi="Verdana" w:cs="Arial"/>
        </w:rPr>
      </w:pPr>
      <w:r>
        <w:rPr>
          <w:rFonts w:ascii="Verdana" w:eastAsia="Calibri" w:hAnsi="Verdana" w:cs="Arial"/>
        </w:rPr>
        <w:t xml:space="preserve">Así las cosas, </w:t>
      </w:r>
      <w:r w:rsidRPr="001B4B90">
        <w:rPr>
          <w:rFonts w:ascii="Verdana" w:eastAsia="Calibri" w:hAnsi="Verdana" w:cs="Arial"/>
        </w:rPr>
        <w:t>corresponde tanto a la entidad estatal como a la Federación Nacional de Cafeteros evaluar la viabilidad de suscribir el convenio de cooperación, a la luz de lo expuesto, teniendo en cuenta el objeto específico del convenio, la naturaleza jurídica y funcional de cada una de las partes y la correcta identificación de las actividades a desarrollar, con el fin de garantizar que este se ajuste al marco normativo aplicable y a las competencias institucionales de cada entidad</w:t>
      </w:r>
      <w:r>
        <w:rPr>
          <w:rFonts w:ascii="Verdana" w:eastAsia="Calibri" w:hAnsi="Verdana" w:cs="Arial"/>
        </w:rPr>
        <w:t>.</w:t>
      </w:r>
    </w:p>
    <w:p w14:paraId="5A720E07" w14:textId="77777777" w:rsidR="00427CB4" w:rsidRDefault="00427CB4" w:rsidP="00427CB4">
      <w:pPr>
        <w:spacing w:after="120" w:line="276" w:lineRule="auto"/>
        <w:ind w:firstLine="709"/>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3A63326B" w14:textId="649104B2" w:rsidR="009F414F" w:rsidRDefault="00427CB4" w:rsidP="00427CB4">
      <w:pPr>
        <w:spacing w:line="276" w:lineRule="auto"/>
        <w:contextualSpacing/>
        <w:jc w:val="both"/>
        <w:rPr>
          <w:rFonts w:ascii="Verdana" w:eastAsia="Calibri" w:hAnsi="Verdana" w:cs="Arial"/>
          <w:bCs/>
          <w:color w:val="000000" w:themeColor="text1"/>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0CD575C" w14:textId="41E09659" w:rsidR="004D1F94" w:rsidRPr="00FD34E6" w:rsidRDefault="00A73B02" w:rsidP="00427CB4">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 xml:space="preserve">    </w:t>
      </w:r>
    </w:p>
    <w:p w14:paraId="3C1B09FA" w14:textId="57710401" w:rsidR="00A64017" w:rsidRPr="0060676F" w:rsidRDefault="00A64017" w:rsidP="00E41707">
      <w:pPr>
        <w:spacing w:after="120" w:line="276" w:lineRule="auto"/>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45A8C4A" w14:textId="77777777" w:rsidR="00A64017" w:rsidRPr="00593A5F" w:rsidRDefault="00A64017" w:rsidP="00A6401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64017" w:rsidRPr="00593A5F" w14:paraId="1DC30723" w14:textId="77777777" w:rsidTr="00A15B1F">
        <w:trPr>
          <w:trHeight w:val="870"/>
        </w:trPr>
        <w:tc>
          <w:tcPr>
            <w:tcW w:w="8647" w:type="dxa"/>
          </w:tcPr>
          <w:p w14:paraId="515CAEB3"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Constitución Política de Colombia, artículos 6, 127 y 197.</w:t>
            </w:r>
          </w:p>
          <w:p w14:paraId="6BA6F752"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80 de 1993, artículo 2.</w:t>
            </w:r>
          </w:p>
          <w:p w14:paraId="7F6AED03"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996 de 2005, artículos 9, 33 y 38.</w:t>
            </w:r>
          </w:p>
          <w:p w14:paraId="44137F68"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1150 de 2007, artículo 2.</w:t>
            </w:r>
          </w:p>
          <w:p w14:paraId="3B0B813D" w14:textId="77777777" w:rsid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t>Ley 1753 de 2015, artículo 69.</w:t>
            </w:r>
          </w:p>
          <w:p w14:paraId="2E85D19E" w14:textId="1D8A2FB5" w:rsidR="00427CB4" w:rsidRPr="00FD34E6" w:rsidRDefault="00427CB4" w:rsidP="00FD34E6">
            <w:pPr>
              <w:pStyle w:val="Prrafodelista"/>
              <w:numPr>
                <w:ilvl w:val="0"/>
                <w:numId w:val="38"/>
              </w:numPr>
              <w:spacing w:after="120" w:line="276" w:lineRule="auto"/>
              <w:ind w:right="709"/>
              <w:jc w:val="both"/>
              <w:rPr>
                <w:rFonts w:ascii="Verdana" w:eastAsia="Calibri" w:hAnsi="Verdana" w:cs="Arial"/>
                <w:bCs/>
                <w:lang w:val="es-MX"/>
              </w:rPr>
            </w:pPr>
            <w:r w:rsidRPr="00427CB4">
              <w:rPr>
                <w:rFonts w:ascii="Verdana" w:eastAsia="Calibri" w:hAnsi="Verdana" w:cs="Arial"/>
                <w:bCs/>
                <w:lang w:val="es-CO"/>
              </w:rPr>
              <w:t>Ley 863 de 2003</w:t>
            </w:r>
            <w:r>
              <w:rPr>
                <w:rFonts w:ascii="Verdana" w:eastAsia="Calibri" w:hAnsi="Verdana" w:cs="Arial"/>
                <w:bCs/>
                <w:lang w:val="es-CO"/>
              </w:rPr>
              <w:t xml:space="preserve">, </w:t>
            </w:r>
            <w:r w:rsidRPr="00427CB4">
              <w:rPr>
                <w:rFonts w:ascii="Verdana" w:eastAsia="Calibri" w:hAnsi="Verdana" w:cs="Arial"/>
                <w:bCs/>
                <w:lang w:val="es-CO"/>
              </w:rPr>
              <w:t>artículo 59</w:t>
            </w:r>
            <w:r>
              <w:rPr>
                <w:rFonts w:ascii="Verdana" w:eastAsia="Calibri" w:hAnsi="Verdana" w:cs="Arial"/>
                <w:bCs/>
                <w:lang w:val="es-CO"/>
              </w:rPr>
              <w:t>.</w:t>
            </w:r>
          </w:p>
          <w:p w14:paraId="4369CD70" w14:textId="77777777" w:rsidR="00FD34E6" w:rsidRPr="00FD34E6" w:rsidRDefault="00FD34E6" w:rsidP="00FD34E6">
            <w:pPr>
              <w:pStyle w:val="Prrafodelista"/>
              <w:numPr>
                <w:ilvl w:val="0"/>
                <w:numId w:val="38"/>
              </w:numPr>
              <w:spacing w:after="120" w:line="276" w:lineRule="auto"/>
              <w:ind w:right="709"/>
              <w:jc w:val="both"/>
              <w:rPr>
                <w:rFonts w:ascii="Verdana" w:eastAsia="Calibri" w:hAnsi="Verdana" w:cs="Arial"/>
                <w:bCs/>
                <w:lang w:val="es-MX"/>
              </w:rPr>
            </w:pPr>
            <w:r w:rsidRPr="00FD34E6">
              <w:rPr>
                <w:rFonts w:ascii="Verdana" w:eastAsia="Calibri" w:hAnsi="Verdana" w:cs="Arial"/>
                <w:bCs/>
                <w:lang w:val="es-MX"/>
              </w:rPr>
              <w:lastRenderedPageBreak/>
              <w:t>Código Civil, artículos 28, 29, 31, 1055, 1443, 1495 y 1496.</w:t>
            </w:r>
          </w:p>
          <w:p w14:paraId="046D8F5E" w14:textId="77777777" w:rsidR="00FD34E6" w:rsidRPr="00FD34E6"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eastAsia="Calibri" w:hAnsi="Verdana" w:cs="Arial"/>
                <w:bCs/>
                <w:lang w:val="es-MX"/>
              </w:rPr>
              <w:t>Decreto 780 de 2016, artículo 2.8.8.1.1.3</w:t>
            </w:r>
          </w:p>
          <w:p w14:paraId="7BFD6FE8" w14:textId="77777777" w:rsidR="00FD34E6"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Corte Constitucional mediante Sentencia C-1153-05 de 11 de noviembre de 2005, Magistrado Ponente Marco Gerardo Monroy Cabra</w:t>
            </w:r>
          </w:p>
          <w:p w14:paraId="2BDFF720" w14:textId="77777777" w:rsidR="00FD34E6"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Corte Constitucional, Sentencia C- 1153 de 2005, M.P. Marco Gerardo Monroy Cabra</w:t>
            </w:r>
            <w:r>
              <w:rPr>
                <w:rFonts w:ascii="Verdana" w:hAnsi="Verdana" w:cs="Arial"/>
                <w:color w:val="000000" w:themeColor="text1"/>
              </w:rPr>
              <w:t>.</w:t>
            </w:r>
          </w:p>
          <w:p w14:paraId="70D6E3A1" w14:textId="77777777" w:rsidR="00CC5B4B" w:rsidRDefault="00FD34E6"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FD34E6">
              <w:rPr>
                <w:rFonts w:ascii="Verdana" w:hAnsi="Verdana" w:cs="Arial"/>
                <w:color w:val="000000" w:themeColor="text1"/>
              </w:rPr>
              <w:t xml:space="preserve">Consejo de Estado. Sala de Consulta y Servicio Civil. Concepto del 17 de febrero de 2015. C.P. William Zambrano Cetina. Radicación No. 11001-03-06-000-2015-00164-00(2269). </w:t>
            </w:r>
          </w:p>
          <w:p w14:paraId="2EE67B80" w14:textId="77777777" w:rsidR="004D1F94" w:rsidRDefault="004D1F94"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 xml:space="preserve">Consejo de Estado. Sala de Consulta y Servicio Civil. Concepto del 08 de mayo de 2018. </w:t>
            </w:r>
            <w:proofErr w:type="spellStart"/>
            <w:r w:rsidRPr="004D1F94">
              <w:rPr>
                <w:rFonts w:ascii="Verdana" w:hAnsi="Verdana" w:cs="Arial"/>
                <w:color w:val="000000" w:themeColor="text1"/>
              </w:rPr>
              <w:t>Exp</w:t>
            </w:r>
            <w:proofErr w:type="spellEnd"/>
            <w:r w:rsidRPr="004D1F94">
              <w:rPr>
                <w:rFonts w:ascii="Verdana" w:hAnsi="Verdana" w:cs="Arial"/>
                <w:color w:val="000000" w:themeColor="text1"/>
              </w:rPr>
              <w:t xml:space="preserve">. 2.382. C.P. Álvaro </w:t>
            </w:r>
            <w:proofErr w:type="spellStart"/>
            <w:r w:rsidRPr="004D1F94">
              <w:rPr>
                <w:rFonts w:ascii="Verdana" w:hAnsi="Verdana" w:cs="Arial"/>
                <w:color w:val="000000" w:themeColor="text1"/>
              </w:rPr>
              <w:t>Namén</w:t>
            </w:r>
            <w:proofErr w:type="spellEnd"/>
            <w:r w:rsidRPr="004D1F94">
              <w:rPr>
                <w:rFonts w:ascii="Verdana" w:hAnsi="Verdana" w:cs="Arial"/>
                <w:color w:val="000000" w:themeColor="text1"/>
              </w:rPr>
              <w:t xml:space="preserve"> Vargas</w:t>
            </w:r>
            <w:r>
              <w:rPr>
                <w:rFonts w:ascii="Verdana" w:hAnsi="Verdana" w:cs="Arial"/>
                <w:color w:val="000000" w:themeColor="text1"/>
              </w:rPr>
              <w:t>.</w:t>
            </w:r>
          </w:p>
          <w:p w14:paraId="351A036F" w14:textId="77777777" w:rsidR="004D1F94" w:rsidRDefault="004D1F94"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 xml:space="preserve"> Consejo de Estado. Sala de Consulta y Servicio Civil, Concepto de 8 de mayo de 2018. Radicación Número: 11001-03-06-000-2018-00095-00(2382).</w:t>
            </w:r>
          </w:p>
          <w:p w14:paraId="60CC6EC9" w14:textId="170356D6" w:rsidR="004D1F94" w:rsidRPr="00FD34E6" w:rsidRDefault="004D1F94" w:rsidP="00FD34E6">
            <w:pPr>
              <w:pStyle w:val="Prrafodelista"/>
              <w:widowControl w:val="0"/>
              <w:numPr>
                <w:ilvl w:val="0"/>
                <w:numId w:val="38"/>
              </w:numPr>
              <w:autoSpaceDE w:val="0"/>
              <w:autoSpaceDN w:val="0"/>
              <w:spacing w:after="120" w:line="276" w:lineRule="auto"/>
              <w:jc w:val="both"/>
              <w:rPr>
                <w:rFonts w:ascii="Verdana" w:hAnsi="Verdana" w:cs="Arial"/>
                <w:color w:val="000000" w:themeColor="text1"/>
              </w:rPr>
            </w:pPr>
            <w:r w:rsidRPr="004D1F94">
              <w:rPr>
                <w:rFonts w:ascii="Verdana" w:hAnsi="Verdana" w:cs="Arial"/>
                <w:color w:val="000000" w:themeColor="text1"/>
              </w:rPr>
              <w:t>Consejo de Estado. Sala de Consulta y Servicio Civil. Concepto del 17 de febrero de 2015. C.P. William Zambrano Cetina. Radicación No. 11001-03-06-000-2015-00164-00(2269).</w:t>
            </w:r>
          </w:p>
        </w:tc>
      </w:tr>
    </w:tbl>
    <w:p w14:paraId="5DF595B1" w14:textId="77777777" w:rsidR="00A64017"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17C882F" w14:textId="77777777" w:rsidR="00A64017" w:rsidRDefault="00A64017" w:rsidP="00A64017">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1814799" w14:textId="77777777" w:rsidR="00A64017" w:rsidRPr="00593A5F" w:rsidRDefault="00A64017" w:rsidP="00A6401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7A467DD" w14:textId="4CD2A924" w:rsidR="00A64017" w:rsidRPr="00AE7E03" w:rsidRDefault="00FD34E6" w:rsidP="002B386F">
      <w:pPr>
        <w:widowControl w:val="0"/>
        <w:autoSpaceDE w:val="0"/>
        <w:autoSpaceDN w:val="0"/>
        <w:spacing w:after="120" w:line="276" w:lineRule="auto"/>
        <w:jc w:val="both"/>
        <w:rPr>
          <w:rFonts w:ascii="Verdana" w:eastAsia="Arial" w:hAnsi="Verdana" w:cs="Arial"/>
          <w:lang w:val="es-MX" w:eastAsia="es-ES"/>
        </w:rPr>
      </w:pPr>
      <w:r w:rsidRPr="00EA47ED">
        <w:rPr>
          <w:rFonts w:ascii="Verdana" w:hAnsi="Verdana" w:cs="Arial"/>
          <w:shd w:val="clear" w:color="auto" w:fill="FFFFFF"/>
        </w:rPr>
        <w:t>Sobre la finalidad y propósito de la Ley de Garantías Electorales, la ANCP- CCE se ha pronunciado en los Conceptos 4201913000004536 de 17 de julio de 2019,</w:t>
      </w:r>
      <w:r w:rsidR="00D37E00" w:rsidRPr="00D37E00">
        <w:rPr>
          <w:rFonts w:ascii="Verdana" w:eastAsia="Calibri" w:hAnsi="Verdana" w:cs="Arial"/>
        </w:rPr>
        <w:t xml:space="preserve"> </w:t>
      </w:r>
      <w:r w:rsidR="00D37E00" w:rsidRPr="003345C6">
        <w:rPr>
          <w:rFonts w:ascii="Verdana" w:eastAsia="Calibri" w:hAnsi="Verdana" w:cs="Arial"/>
        </w:rPr>
        <w:t>220191300000560</w:t>
      </w:r>
      <w:r w:rsidR="00D37E00">
        <w:rPr>
          <w:rFonts w:ascii="Verdana" w:eastAsia="Calibri" w:hAnsi="Verdana" w:cs="Arial"/>
        </w:rPr>
        <w:t xml:space="preserve">9 del 06 de agosto de 2019, </w:t>
      </w:r>
      <w:r w:rsidRPr="00EA47ED">
        <w:rPr>
          <w:rFonts w:ascii="Verdana" w:hAnsi="Verdana" w:cs="Arial"/>
          <w:shd w:val="clear" w:color="auto" w:fill="FFFFFF"/>
        </w:rPr>
        <w:t xml:space="preserve">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w:t>
      </w:r>
      <w:r>
        <w:rPr>
          <w:rFonts w:ascii="Verdana" w:hAnsi="Verdana" w:cs="Arial"/>
          <w:shd w:val="clear" w:color="auto" w:fill="FFFFFF"/>
        </w:rPr>
        <w:t xml:space="preserve">C-163 del 29 de marzo de 2022, </w:t>
      </w:r>
      <w:r w:rsidRPr="00EA47ED">
        <w:rPr>
          <w:rFonts w:ascii="Verdana" w:hAnsi="Verdana" w:cs="Arial"/>
          <w:shd w:val="clear" w:color="auto" w:fill="FFFFFF"/>
        </w:rPr>
        <w:t>C-180 del 21 de marzo de 2025, C-317 del 25 de abril de 2025, C-510 del 4 de junio de 2025, C -635 del 27 de junio de 2025</w:t>
      </w:r>
      <w:r>
        <w:rPr>
          <w:rFonts w:ascii="Verdana" w:hAnsi="Verdana" w:cs="Arial"/>
          <w:shd w:val="clear" w:color="auto" w:fill="FFFFFF"/>
        </w:rPr>
        <w:t xml:space="preserve">, </w:t>
      </w:r>
      <w:r w:rsidRPr="00EA47ED">
        <w:rPr>
          <w:rFonts w:ascii="Verdana" w:hAnsi="Verdana" w:cs="Arial"/>
          <w:shd w:val="clear" w:color="auto" w:fill="FFFFFF"/>
        </w:rPr>
        <w:t>C–750 de 17 de julio 2025</w:t>
      </w:r>
      <w:r>
        <w:rPr>
          <w:rFonts w:ascii="Verdana" w:hAnsi="Verdana" w:cs="Arial"/>
          <w:shd w:val="clear" w:color="auto" w:fill="FFFFFF"/>
        </w:rPr>
        <w:t xml:space="preserve"> y C-1411 del 07 de noviembre de 2025</w:t>
      </w:r>
      <w:r w:rsidR="00943E42">
        <w:rPr>
          <w:rFonts w:ascii="Verdana" w:hAnsi="Verdana" w:cs="Arial"/>
          <w:shd w:val="clear" w:color="auto" w:fill="FFFFFF"/>
        </w:rPr>
        <w:t xml:space="preserve">, </w:t>
      </w:r>
      <w:r w:rsidR="00943E42">
        <w:rPr>
          <w:rFonts w:ascii="Verdana" w:eastAsia="Aptos" w:hAnsi="Verdana" w:cs="Arial"/>
          <w:shd w:val="clear" w:color="auto" w:fill="FFFFFF"/>
          <w:lang w:val="es-ES"/>
        </w:rPr>
        <w:t>e</w:t>
      </w:r>
      <w:r w:rsidR="00943E42" w:rsidRPr="00406AA6">
        <w:rPr>
          <w:rFonts w:ascii="Verdana" w:eastAsia="Aptos" w:hAnsi="Verdana" w:cs="Arial"/>
          <w:shd w:val="clear" w:color="auto" w:fill="FFFFFF"/>
          <w:lang w:val="es-ES"/>
        </w:rPr>
        <w:t>ntre otros</w:t>
      </w:r>
      <w:r w:rsidR="009A5D6C">
        <w:rPr>
          <w:rFonts w:ascii="Verdana" w:hAnsi="Verdana" w:cs="Arial"/>
          <w:shd w:val="clear" w:color="auto" w:fill="FFFFFF"/>
        </w:rPr>
        <w:t xml:space="preserve">. </w:t>
      </w:r>
      <w:r w:rsidR="00A64017" w:rsidRPr="009A5D6C">
        <w:rPr>
          <w:rFonts w:ascii="Verdana" w:eastAsia="Calibri" w:hAnsi="Verdana" w:cs="Times New Roman"/>
        </w:rPr>
        <w:t>Estos se encuentran</w:t>
      </w:r>
      <w:r w:rsidR="00A64017" w:rsidRPr="00185EE9">
        <w:rPr>
          <w:rFonts w:ascii="Verdana" w:eastAsia="Calibri" w:hAnsi="Verdana" w:cs="Times New Roman"/>
        </w:rPr>
        <w:t xml:space="preserve"> disponibles para consulta en el Sistema de Relatoría de la Agencia, en el cual también podrás </w:t>
      </w:r>
      <w:r w:rsidR="00A64017" w:rsidRPr="00185EE9">
        <w:rPr>
          <w:rFonts w:ascii="Verdana" w:eastAsia="Calibri" w:hAnsi="Verdana" w:cs="Times New Roman"/>
        </w:rPr>
        <w:lastRenderedPageBreak/>
        <w:t>encontrar jurisprudencia del Consejo de Estado, laudos arbitrales y la normativa de la contratación concordada con la doctrina de la Subdirección de Gestión Contractual, accede a través del siguiente enlace:</w:t>
      </w:r>
    </w:p>
    <w:p w14:paraId="6931545C" w14:textId="77777777" w:rsidR="00A64017" w:rsidRPr="0065720B" w:rsidRDefault="00000000" w:rsidP="00A64017">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A64017" w:rsidRPr="00191357">
          <w:rPr>
            <w:rStyle w:val="Hipervnculo"/>
            <w:rFonts w:ascii="Verdana" w:eastAsia="Calibri" w:hAnsi="Verdana" w:cs="Times New Roman"/>
            <w:lang w:val="es-ES"/>
          </w:rPr>
          <w:t>https://relatoria.colombiacompra.gov.co/busqueda/conceptos</w:t>
        </w:r>
      </w:hyperlink>
      <w:r w:rsidR="00A64017" w:rsidRPr="00185EE9">
        <w:rPr>
          <w:rFonts w:ascii="Verdana" w:eastAsia="Calibri" w:hAnsi="Verdana" w:cs="Times New Roman"/>
        </w:rPr>
        <w:t>.</w:t>
      </w:r>
    </w:p>
    <w:p w14:paraId="247E4DC7" w14:textId="77777777" w:rsidR="00A64017" w:rsidRPr="00505CD6" w:rsidRDefault="00A64017" w:rsidP="00A64017">
      <w:pPr>
        <w:widowControl w:val="0"/>
        <w:autoSpaceDE w:val="0"/>
        <w:autoSpaceDN w:val="0"/>
        <w:spacing w:after="0" w:line="276" w:lineRule="auto"/>
        <w:jc w:val="both"/>
        <w:rPr>
          <w:rFonts w:ascii="Verdana" w:hAnsi="Verdana" w:cs="Arial"/>
          <w:color w:val="000000" w:themeColor="text1"/>
          <w:shd w:val="clear" w:color="auto" w:fill="FFFFFF"/>
        </w:rPr>
      </w:pPr>
    </w:p>
    <w:p w14:paraId="1C7A848A" w14:textId="77777777" w:rsidR="00A64017" w:rsidRPr="00103B90" w:rsidRDefault="00A64017" w:rsidP="00A64017">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233B7348" w14:textId="77777777" w:rsidR="00A64017" w:rsidRPr="00103B90" w:rsidRDefault="00A64017" w:rsidP="00A64017">
      <w:pPr>
        <w:widowControl w:val="0"/>
        <w:autoSpaceDE w:val="0"/>
        <w:autoSpaceDN w:val="0"/>
        <w:spacing w:after="0" w:line="276" w:lineRule="auto"/>
        <w:jc w:val="both"/>
        <w:rPr>
          <w:rFonts w:ascii="Verdana" w:hAnsi="Verdana"/>
        </w:rPr>
      </w:pPr>
    </w:p>
    <w:p w14:paraId="3AC26022" w14:textId="77777777" w:rsidR="00A64017" w:rsidRPr="00505CD6" w:rsidRDefault="00A64017" w:rsidP="00A64017">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4DEEBD0F" w14:textId="77777777" w:rsidR="00A64017" w:rsidRPr="00505CD6" w:rsidRDefault="00A64017" w:rsidP="00A64017">
      <w:pPr>
        <w:widowControl w:val="0"/>
        <w:autoSpaceDE w:val="0"/>
        <w:autoSpaceDN w:val="0"/>
        <w:spacing w:after="0" w:line="276" w:lineRule="auto"/>
        <w:jc w:val="both"/>
        <w:rPr>
          <w:rFonts w:ascii="Verdana" w:hAnsi="Verdana" w:cs="Arial"/>
        </w:rPr>
      </w:pPr>
    </w:p>
    <w:p w14:paraId="58604560" w14:textId="06BDD46E" w:rsidR="00A64017" w:rsidRDefault="00A64017" w:rsidP="00A51CB5">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044B6A7C" w14:textId="5D28A108" w:rsidR="0073141C" w:rsidRDefault="0073141C" w:rsidP="00A64017">
      <w:pPr>
        <w:spacing w:line="276" w:lineRule="auto"/>
        <w:jc w:val="center"/>
        <w:rPr>
          <w:noProof/>
        </w:rPr>
      </w:pPr>
    </w:p>
    <w:p w14:paraId="4875EE8F" w14:textId="77777777" w:rsidR="00E443AF" w:rsidRDefault="00E443AF" w:rsidP="00A64017">
      <w:pPr>
        <w:spacing w:line="276" w:lineRule="auto"/>
        <w:jc w:val="center"/>
        <w:rPr>
          <w:noProof/>
        </w:rPr>
      </w:pPr>
    </w:p>
    <w:p w14:paraId="6D16D852" w14:textId="545237F8" w:rsidR="00E443AF" w:rsidRDefault="00E443AF" w:rsidP="00A64017">
      <w:pPr>
        <w:spacing w:line="276" w:lineRule="auto"/>
        <w:jc w:val="center"/>
        <w:rPr>
          <w:noProof/>
        </w:rPr>
      </w:pPr>
      <w:r>
        <w:rPr>
          <w:noProof/>
        </w:rPr>
        <w:drawing>
          <wp:inline distT="0" distB="0" distL="0" distR="0" wp14:anchorId="6C6BDF8C" wp14:editId="69674382">
            <wp:extent cx="3240405" cy="1391050"/>
            <wp:effectExtent l="0" t="0" r="0" b="0"/>
            <wp:docPr id="1245467346"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5467346" name="Imagen 2" descr="Texto&#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8952" cy="1394719"/>
                    </a:xfrm>
                    <a:prstGeom prst="rect">
                      <a:avLst/>
                    </a:prstGeom>
                    <a:noFill/>
                    <a:ln>
                      <a:noFill/>
                    </a:ln>
                  </pic:spPr>
                </pic:pic>
              </a:graphicData>
            </a:graphic>
          </wp:inline>
        </w:drawing>
      </w:r>
    </w:p>
    <w:p w14:paraId="2C103F0C" w14:textId="77777777" w:rsidR="00E443AF" w:rsidRDefault="00E443AF" w:rsidP="00A64017">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64017" w:rsidRPr="00593A5F" w14:paraId="2074F15F" w14:textId="77777777" w:rsidTr="00A15B1F">
        <w:trPr>
          <w:trHeight w:val="315"/>
        </w:trPr>
        <w:tc>
          <w:tcPr>
            <w:tcW w:w="893" w:type="dxa"/>
            <w:vAlign w:val="center"/>
            <w:hideMark/>
          </w:tcPr>
          <w:p w14:paraId="7378D4C0"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86B379" w14:textId="1E3C3026" w:rsidR="00A64017" w:rsidRPr="007911EE" w:rsidRDefault="00F90546" w:rsidP="00A15B1F">
            <w:pPr>
              <w:contextualSpacing/>
              <w:rPr>
                <w:rFonts w:ascii="Verdana" w:hAnsi="Verdana"/>
                <w:sz w:val="16"/>
                <w:szCs w:val="16"/>
              </w:rPr>
            </w:pPr>
            <w:r>
              <w:rPr>
                <w:rFonts w:ascii="Verdana" w:hAnsi="Verdana"/>
                <w:sz w:val="16"/>
                <w:szCs w:val="16"/>
              </w:rPr>
              <w:t xml:space="preserve">Daniel </w:t>
            </w:r>
            <w:r w:rsidR="006A7425">
              <w:rPr>
                <w:rFonts w:ascii="Verdana" w:hAnsi="Verdana"/>
                <w:sz w:val="16"/>
                <w:szCs w:val="16"/>
              </w:rPr>
              <w:t xml:space="preserve">Eduardo </w:t>
            </w:r>
            <w:r>
              <w:rPr>
                <w:rFonts w:ascii="Verdana" w:hAnsi="Verdana"/>
                <w:sz w:val="16"/>
                <w:szCs w:val="16"/>
              </w:rPr>
              <w:t>Rojas</w:t>
            </w:r>
          </w:p>
          <w:p w14:paraId="33A01C93" w14:textId="77777777" w:rsidR="00A64017" w:rsidRPr="007911EE" w:rsidRDefault="00A64017" w:rsidP="00A15B1F">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A64017" w:rsidRPr="00593A5F" w14:paraId="2D3F1B0D" w14:textId="77777777" w:rsidTr="00A15B1F">
        <w:trPr>
          <w:trHeight w:val="330"/>
        </w:trPr>
        <w:tc>
          <w:tcPr>
            <w:tcW w:w="893" w:type="dxa"/>
            <w:vAlign w:val="center"/>
            <w:hideMark/>
          </w:tcPr>
          <w:p w14:paraId="415C854E" w14:textId="77777777" w:rsidR="00A64017" w:rsidRPr="003751C7" w:rsidRDefault="00A64017" w:rsidP="00A15B1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B5F35E2" w14:textId="4B89041D" w:rsidR="00CC5B4B" w:rsidRDefault="00D37E00" w:rsidP="00A15B1F">
            <w:pPr>
              <w:spacing w:line="276" w:lineRule="auto"/>
              <w:contextualSpacing/>
              <w:jc w:val="both"/>
              <w:rPr>
                <w:rFonts w:ascii="Verdana" w:hAnsi="Verdana"/>
                <w:sz w:val="16"/>
                <w:szCs w:val="16"/>
              </w:rPr>
            </w:pPr>
            <w:r w:rsidRPr="00D37E00">
              <w:rPr>
                <w:rFonts w:ascii="Verdana" w:hAnsi="Verdana"/>
                <w:sz w:val="16"/>
                <w:szCs w:val="16"/>
              </w:rPr>
              <w:t>Juan Carlos González</w:t>
            </w:r>
            <w:r w:rsidR="00CC5B4B">
              <w:rPr>
                <w:rFonts w:ascii="Verdana" w:hAnsi="Verdana"/>
                <w:sz w:val="16"/>
                <w:szCs w:val="16"/>
              </w:rPr>
              <w:t>.</w:t>
            </w:r>
          </w:p>
          <w:p w14:paraId="72046261" w14:textId="6A56B4B3" w:rsidR="00A64017" w:rsidRPr="007911EE" w:rsidRDefault="00A64017" w:rsidP="00A15B1F">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A64017" w:rsidRPr="00593A5F" w14:paraId="53B0CBD3" w14:textId="77777777" w:rsidTr="00A15B1F">
        <w:trPr>
          <w:trHeight w:val="330"/>
        </w:trPr>
        <w:tc>
          <w:tcPr>
            <w:tcW w:w="893" w:type="dxa"/>
            <w:vAlign w:val="center"/>
          </w:tcPr>
          <w:p w14:paraId="68FD8648" w14:textId="77777777" w:rsidR="00A64017" w:rsidRPr="003751C7" w:rsidRDefault="00A64017" w:rsidP="00A15B1F">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11559B6" w14:textId="77777777" w:rsidR="00A64017" w:rsidRDefault="00A64017" w:rsidP="00A15B1F">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0B1F87FE" w14:textId="7E0E60C3" w:rsidR="00A64017" w:rsidRDefault="00A64017" w:rsidP="00A15B1F">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sidR="008E2432">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4C6F1CF3" w14:textId="644B0C8E" w:rsidR="00F30C63" w:rsidRPr="00F30C63" w:rsidRDefault="00F30C63" w:rsidP="00A51CB5"/>
    <w:sectPr w:rsidR="00F30C63" w:rsidRPr="00F30C63"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61B70" w14:textId="77777777" w:rsidR="00326B5A" w:rsidRDefault="00326B5A" w:rsidP="004A1847">
      <w:pPr>
        <w:spacing w:after="0" w:line="240" w:lineRule="auto"/>
      </w:pPr>
      <w:r>
        <w:separator/>
      </w:r>
    </w:p>
  </w:endnote>
  <w:endnote w:type="continuationSeparator" w:id="0">
    <w:p w14:paraId="675F17B3" w14:textId="77777777" w:rsidR="00326B5A" w:rsidRDefault="00326B5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BC356" w14:textId="77777777" w:rsidR="00326B5A" w:rsidRDefault="00326B5A" w:rsidP="004A1847">
      <w:pPr>
        <w:spacing w:after="0" w:line="240" w:lineRule="auto"/>
      </w:pPr>
      <w:r>
        <w:separator/>
      </w:r>
    </w:p>
  </w:footnote>
  <w:footnote w:type="continuationSeparator" w:id="0">
    <w:p w14:paraId="6C9C2C2F" w14:textId="77777777" w:rsidR="00326B5A" w:rsidRDefault="00326B5A" w:rsidP="004A1847">
      <w:pPr>
        <w:spacing w:after="0" w:line="240" w:lineRule="auto"/>
      </w:pPr>
      <w:r>
        <w:continuationSeparator/>
      </w:r>
    </w:p>
  </w:footnote>
  <w:footnote w:id="1">
    <w:p w14:paraId="358015A0" w14:textId="77777777"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El artículo 127 de la Constitución Política señala: </w:t>
      </w:r>
      <w:r>
        <w:rPr>
          <w:rFonts w:ascii="Verdana" w:hAnsi="Verdana" w:cs="Arial"/>
          <w:sz w:val="16"/>
          <w:szCs w:val="16"/>
        </w:rPr>
        <w:t>“</w:t>
      </w:r>
      <w:r w:rsidRPr="009B20C5">
        <w:rPr>
          <w:rFonts w:ascii="Verdana" w:hAnsi="Verdana" w:cs="Arial"/>
          <w:sz w:val="16"/>
          <w:szCs w:val="16"/>
        </w:rPr>
        <w:t xml:space="preserve">Los servidores públicos no podrán celebrar, por si o por interpuesta persona, o en representación de otro, contrato alguno con entidades públicas o con personas privadas que manejen o administren recursos públicos, salvo las excepciones legales. </w:t>
      </w:r>
    </w:p>
    <w:p w14:paraId="0DCA7292" w14:textId="77777777" w:rsidR="00D52E51" w:rsidRPr="009B20C5" w:rsidRDefault="00D52E51" w:rsidP="00D52E51">
      <w:pPr>
        <w:pStyle w:val="Textonotapie"/>
        <w:ind w:firstLine="709"/>
        <w:jc w:val="both"/>
        <w:rPr>
          <w:rFonts w:ascii="Verdana" w:hAnsi="Verdana" w:cs="Arial"/>
          <w:sz w:val="16"/>
          <w:szCs w:val="16"/>
        </w:rPr>
      </w:pPr>
      <w:r w:rsidRPr="009B20C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r>
        <w:rPr>
          <w:rFonts w:ascii="Verdana" w:hAnsi="Verdana" w:cs="Arial"/>
          <w:sz w:val="16"/>
          <w:szCs w:val="16"/>
        </w:rPr>
        <w:t>”</w:t>
      </w:r>
      <w:r w:rsidRPr="0069134B">
        <w:rPr>
          <w:rFonts w:ascii="Verdana" w:hAnsi="Verdana" w:cs="Arial"/>
          <w:sz w:val="16"/>
          <w:szCs w:val="16"/>
        </w:rPr>
        <w:t>.</w:t>
      </w:r>
    </w:p>
  </w:footnote>
  <w:footnote w:id="2">
    <w:p w14:paraId="70A0814E" w14:textId="57D7A1AA"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Gaceta del Congreso de la República No. 71 del 2005.</w:t>
      </w:r>
    </w:p>
  </w:footnote>
  <w:footnote w:id="3">
    <w:p w14:paraId="588D75EF" w14:textId="77777777"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 C- 1153 de 2005, M.P. Marco Gerardo Monroy Cabra.</w:t>
      </w:r>
    </w:p>
  </w:footnote>
  <w:footnote w:id="4">
    <w:p w14:paraId="45F2418B" w14:textId="77777777" w:rsidR="00D52E51" w:rsidRPr="009B20C5"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79C944AA" w14:textId="77777777" w:rsidR="00D52E51" w:rsidRDefault="00D52E51" w:rsidP="00D52E51">
      <w:pPr>
        <w:pStyle w:val="Textonotapie"/>
        <w:ind w:firstLine="709"/>
        <w:jc w:val="both"/>
        <w:rPr>
          <w:rFonts w:ascii="Verdana" w:hAnsi="Verdana" w:cs="Arial"/>
          <w:sz w:val="16"/>
          <w:szCs w:val="16"/>
          <w:lang w:val="es-CO"/>
        </w:rPr>
      </w:pPr>
      <w:r w:rsidRPr="009B20C5">
        <w:rPr>
          <w:rStyle w:val="Refdenotaalpie"/>
          <w:rFonts w:ascii="Verdana" w:hAnsi="Verdana" w:cs="Arial"/>
          <w:sz w:val="16"/>
          <w:szCs w:val="16"/>
        </w:rPr>
        <w:footnoteRef/>
      </w:r>
      <w:r w:rsidRPr="009B20C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r w:rsidRPr="0069134B">
        <w:rPr>
          <w:rFonts w:ascii="Verdana" w:hAnsi="Verdana" w:cs="Arial"/>
          <w:sz w:val="16"/>
          <w:szCs w:val="16"/>
          <w:lang w:val="es-CO"/>
        </w:rPr>
        <w:t>.</w:t>
      </w:r>
      <w:r>
        <w:rPr>
          <w:rFonts w:ascii="Verdana" w:hAnsi="Verdana" w:cs="Arial"/>
          <w:sz w:val="16"/>
          <w:szCs w:val="16"/>
          <w:lang w:val="es-CO"/>
        </w:rPr>
        <w:t>.</w:t>
      </w:r>
    </w:p>
    <w:p w14:paraId="395C1F6D" w14:textId="77777777" w:rsidR="00D52E51" w:rsidRPr="009B20C5" w:rsidRDefault="00D52E51" w:rsidP="00D52E51">
      <w:pPr>
        <w:pStyle w:val="Textonotapie"/>
        <w:ind w:firstLine="709"/>
        <w:jc w:val="both"/>
        <w:rPr>
          <w:rFonts w:ascii="Verdana" w:hAnsi="Verdana" w:cs="Arial"/>
          <w:sz w:val="16"/>
          <w:szCs w:val="16"/>
          <w:lang w:val="es-CO"/>
        </w:rPr>
      </w:pPr>
    </w:p>
  </w:footnote>
  <w:footnote w:id="6">
    <w:p w14:paraId="1E2E6135" w14:textId="77777777" w:rsidR="00D52E51" w:rsidRDefault="00D52E51" w:rsidP="00D52E51">
      <w:pPr>
        <w:pStyle w:val="Textonotapie"/>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de fecha 24 de julio de 2013, radicado 2166, Consejero Ponente: Álvaro Namén Vargas.  </w:t>
      </w:r>
    </w:p>
    <w:p w14:paraId="7453E21A" w14:textId="77777777" w:rsidR="00D52E51" w:rsidRPr="009B20C5" w:rsidRDefault="00D52E51" w:rsidP="00D52E51">
      <w:pPr>
        <w:pStyle w:val="Textonotapie"/>
        <w:ind w:firstLine="709"/>
        <w:jc w:val="both"/>
        <w:rPr>
          <w:rFonts w:ascii="Verdana" w:hAnsi="Verdana" w:cs="Arial"/>
          <w:sz w:val="16"/>
          <w:szCs w:val="16"/>
        </w:rPr>
      </w:pPr>
    </w:p>
  </w:footnote>
  <w:footnote w:id="7">
    <w:p w14:paraId="5115F3F5" w14:textId="77777777" w:rsidR="00D52E51" w:rsidRDefault="00D52E51" w:rsidP="00D52E51">
      <w:pPr>
        <w:spacing w:after="0" w:line="240" w:lineRule="auto"/>
        <w:ind w:firstLine="709"/>
        <w:jc w:val="both"/>
        <w:rPr>
          <w:rFonts w:ascii="Verdana" w:hAnsi="Verdana" w:cs="Arial"/>
          <w:sz w:val="16"/>
          <w:szCs w:val="16"/>
        </w:rPr>
      </w:pPr>
      <w:r w:rsidRPr="009B20C5">
        <w:rPr>
          <w:rStyle w:val="Refdenotaalpie"/>
          <w:rFonts w:ascii="Verdana" w:hAnsi="Verdana" w:cs="Arial"/>
          <w:sz w:val="16"/>
          <w:szCs w:val="16"/>
        </w:rPr>
        <w:footnoteRef/>
      </w:r>
      <w:r w:rsidRPr="009B20C5">
        <w:rPr>
          <w:rFonts w:ascii="Verdana" w:hAnsi="Verdana" w:cs="Arial"/>
          <w:sz w:val="16"/>
          <w:szCs w:val="16"/>
        </w:rPr>
        <w:t xml:space="preserve"> Consejo de Estado. Sala de Consulta y Servicio Civil. Concepto del 17 de febrero de 2015. C.P. William Zambrano Cetina. Radicación No. 11001-03-06-000-2015-00164-00(2269).</w:t>
      </w:r>
    </w:p>
    <w:p w14:paraId="523CE93A" w14:textId="77777777" w:rsidR="00D52E51" w:rsidRPr="0069134B" w:rsidRDefault="00D52E51" w:rsidP="00D52E51">
      <w:pPr>
        <w:spacing w:after="0" w:line="240" w:lineRule="auto"/>
        <w:ind w:firstLine="709"/>
        <w:jc w:val="both"/>
        <w:rPr>
          <w:rFonts w:ascii="Verdana" w:hAnsi="Verdana"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9A5723"/>
    <w:multiLevelType w:val="hybridMultilevel"/>
    <w:tmpl w:val="28AEE5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A1A0170"/>
    <w:multiLevelType w:val="multilevel"/>
    <w:tmpl w:val="91EA45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C190F4B"/>
    <w:multiLevelType w:val="hybridMultilevel"/>
    <w:tmpl w:val="CB563672"/>
    <w:lvl w:ilvl="0" w:tplc="E17CFDE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7" w15:restartNumberingAfterBreak="0">
    <w:nsid w:val="1F144334"/>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15D6B5C"/>
    <w:multiLevelType w:val="hybridMultilevel"/>
    <w:tmpl w:val="8BE44872"/>
    <w:lvl w:ilvl="0" w:tplc="185E32A0">
      <w:start w:val="1"/>
      <w:numFmt w:val="upp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4DA50AD"/>
    <w:multiLevelType w:val="hybridMultilevel"/>
    <w:tmpl w:val="88361A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C94ECB"/>
    <w:multiLevelType w:val="hybridMultilevel"/>
    <w:tmpl w:val="D27A4D02"/>
    <w:lvl w:ilvl="0" w:tplc="C17E85C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9D726F5"/>
    <w:multiLevelType w:val="hybridMultilevel"/>
    <w:tmpl w:val="4DDC6F0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9"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F8043F2"/>
    <w:multiLevelType w:val="multilevel"/>
    <w:tmpl w:val="6D049A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23" w15:restartNumberingAfterBreak="0">
    <w:nsid w:val="4C8A41DC"/>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03019D2"/>
    <w:multiLevelType w:val="multilevel"/>
    <w:tmpl w:val="A0404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7" w15:restartNumberingAfterBreak="0">
    <w:nsid w:val="66674C4C"/>
    <w:multiLevelType w:val="hybridMultilevel"/>
    <w:tmpl w:val="9C0E71C8"/>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71CC6F5F"/>
    <w:multiLevelType w:val="hybridMultilevel"/>
    <w:tmpl w:val="D2B628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76E33606"/>
    <w:multiLevelType w:val="multilevel"/>
    <w:tmpl w:val="6E9A84E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9835DA4"/>
    <w:multiLevelType w:val="hybridMultilevel"/>
    <w:tmpl w:val="6DA268A0"/>
    <w:lvl w:ilvl="0" w:tplc="0BB80CF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6" w15:restartNumberingAfterBreak="0">
    <w:nsid w:val="7F70B8AE"/>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948779781">
    <w:abstractNumId w:val="13"/>
  </w:num>
  <w:num w:numId="2" w16cid:durableId="19822139">
    <w:abstractNumId w:val="2"/>
  </w:num>
  <w:num w:numId="3" w16cid:durableId="876742304">
    <w:abstractNumId w:val="9"/>
  </w:num>
  <w:num w:numId="4" w16cid:durableId="24518640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30"/>
  </w:num>
  <w:num w:numId="7" w16cid:durableId="1946422806">
    <w:abstractNumId w:val="11"/>
  </w:num>
  <w:num w:numId="8" w16cid:durableId="152644682">
    <w:abstractNumId w:val="29"/>
  </w:num>
  <w:num w:numId="9" w16cid:durableId="1317221377">
    <w:abstractNumId w:val="15"/>
  </w:num>
  <w:num w:numId="10" w16cid:durableId="1471245386">
    <w:abstractNumId w:val="28"/>
  </w:num>
  <w:num w:numId="11" w16cid:durableId="289172385">
    <w:abstractNumId w:val="17"/>
  </w:num>
  <w:num w:numId="12" w16cid:durableId="1470781324">
    <w:abstractNumId w:val="1"/>
  </w:num>
  <w:num w:numId="13" w16cid:durableId="1512908409">
    <w:abstractNumId w:val="8"/>
  </w:num>
  <w:num w:numId="14" w16cid:durableId="895897244">
    <w:abstractNumId w:val="31"/>
  </w:num>
  <w:num w:numId="15" w16cid:durableId="390349800">
    <w:abstractNumId w:val="26"/>
  </w:num>
  <w:num w:numId="16" w16cid:durableId="1380713882">
    <w:abstractNumId w:val="0"/>
  </w:num>
  <w:num w:numId="17" w16cid:durableId="691802391">
    <w:abstractNumId w:val="18"/>
  </w:num>
  <w:num w:numId="18" w16cid:durableId="1290623316">
    <w:abstractNumId w:val="4"/>
  </w:num>
  <w:num w:numId="19" w16cid:durableId="562327327">
    <w:abstractNumId w:val="14"/>
  </w:num>
  <w:num w:numId="20" w16cid:durableId="135807285">
    <w:abstractNumId w:val="16"/>
  </w:num>
  <w:num w:numId="21" w16cid:durableId="1816873601">
    <w:abstractNumId w:val="10"/>
  </w:num>
  <w:num w:numId="22" w16cid:durableId="1012342571">
    <w:abstractNumId w:val="27"/>
  </w:num>
  <w:num w:numId="23" w16cid:durableId="137943421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2972689">
    <w:abstractNumId w:val="5"/>
  </w:num>
  <w:num w:numId="25" w16cid:durableId="1553424327">
    <w:abstractNumId w:val="24"/>
  </w:num>
  <w:num w:numId="26" w16cid:durableId="1611006927">
    <w:abstractNumId w:val="19"/>
  </w:num>
  <w:num w:numId="27" w16cid:durableId="142738409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9418375">
    <w:abstractNumId w:val="3"/>
  </w:num>
  <w:num w:numId="29" w16cid:durableId="222720132">
    <w:abstractNumId w:val="12"/>
  </w:num>
  <w:num w:numId="30" w16cid:durableId="2072921521">
    <w:abstractNumId w:val="35"/>
  </w:num>
  <w:num w:numId="31" w16cid:durableId="676464647">
    <w:abstractNumId w:val="22"/>
  </w:num>
  <w:num w:numId="32" w16cid:durableId="1218249738">
    <w:abstractNumId w:val="25"/>
  </w:num>
  <w:num w:numId="33" w16cid:durableId="1294098688">
    <w:abstractNumId w:val="34"/>
  </w:num>
  <w:num w:numId="34" w16cid:durableId="752504844">
    <w:abstractNumId w:val="7"/>
  </w:num>
  <w:num w:numId="35" w16cid:durableId="405495661">
    <w:abstractNumId w:val="36"/>
  </w:num>
  <w:num w:numId="36" w16cid:durableId="653417341">
    <w:abstractNumId w:val="23"/>
  </w:num>
  <w:num w:numId="37" w16cid:durableId="780296754">
    <w:abstractNumId w:val="6"/>
  </w:num>
  <w:num w:numId="38" w16cid:durableId="153255849">
    <w:abstractNumId w:val="21"/>
  </w:num>
  <w:num w:numId="39" w16cid:durableId="78403917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715"/>
    <w:rsid w:val="00031E96"/>
    <w:rsid w:val="0003480F"/>
    <w:rsid w:val="00042E11"/>
    <w:rsid w:val="00046945"/>
    <w:rsid w:val="00046C11"/>
    <w:rsid w:val="00061B2A"/>
    <w:rsid w:val="000662CB"/>
    <w:rsid w:val="00070BF0"/>
    <w:rsid w:val="00082362"/>
    <w:rsid w:val="000907FF"/>
    <w:rsid w:val="000A683E"/>
    <w:rsid w:val="000B19B9"/>
    <w:rsid w:val="000B4FA5"/>
    <w:rsid w:val="000C762A"/>
    <w:rsid w:val="000D0334"/>
    <w:rsid w:val="000D2FED"/>
    <w:rsid w:val="000E1C46"/>
    <w:rsid w:val="000E7AA1"/>
    <w:rsid w:val="000F07EB"/>
    <w:rsid w:val="000F2222"/>
    <w:rsid w:val="000F6486"/>
    <w:rsid w:val="00103B90"/>
    <w:rsid w:val="00125105"/>
    <w:rsid w:val="00127233"/>
    <w:rsid w:val="0013630D"/>
    <w:rsid w:val="001511A0"/>
    <w:rsid w:val="0015444C"/>
    <w:rsid w:val="00156F3F"/>
    <w:rsid w:val="00183336"/>
    <w:rsid w:val="001939CB"/>
    <w:rsid w:val="00194937"/>
    <w:rsid w:val="001A6583"/>
    <w:rsid w:val="001B319A"/>
    <w:rsid w:val="001B4B90"/>
    <w:rsid w:val="001B6B96"/>
    <w:rsid w:val="001C174F"/>
    <w:rsid w:val="001D1756"/>
    <w:rsid w:val="001E4177"/>
    <w:rsid w:val="001F663F"/>
    <w:rsid w:val="001F7DC6"/>
    <w:rsid w:val="002009FB"/>
    <w:rsid w:val="00203E0B"/>
    <w:rsid w:val="00205479"/>
    <w:rsid w:val="00212642"/>
    <w:rsid w:val="00215206"/>
    <w:rsid w:val="00222AE3"/>
    <w:rsid w:val="002421BB"/>
    <w:rsid w:val="002423EE"/>
    <w:rsid w:val="00242FED"/>
    <w:rsid w:val="00245A1E"/>
    <w:rsid w:val="0025796E"/>
    <w:rsid w:val="002707A2"/>
    <w:rsid w:val="0027336B"/>
    <w:rsid w:val="0028106D"/>
    <w:rsid w:val="00282E11"/>
    <w:rsid w:val="00286F68"/>
    <w:rsid w:val="002951A0"/>
    <w:rsid w:val="002962BC"/>
    <w:rsid w:val="002A093D"/>
    <w:rsid w:val="002A0DD0"/>
    <w:rsid w:val="002A49AC"/>
    <w:rsid w:val="002A64FD"/>
    <w:rsid w:val="002A7DD8"/>
    <w:rsid w:val="002B386F"/>
    <w:rsid w:val="002C0393"/>
    <w:rsid w:val="002C7A84"/>
    <w:rsid w:val="002D4A66"/>
    <w:rsid w:val="002E4FD9"/>
    <w:rsid w:val="002F2B7D"/>
    <w:rsid w:val="003007B5"/>
    <w:rsid w:val="00302C65"/>
    <w:rsid w:val="003037F8"/>
    <w:rsid w:val="00304433"/>
    <w:rsid w:val="00310DA4"/>
    <w:rsid w:val="003210BD"/>
    <w:rsid w:val="00322A85"/>
    <w:rsid w:val="00323054"/>
    <w:rsid w:val="00324168"/>
    <w:rsid w:val="00324E0B"/>
    <w:rsid w:val="00326B5A"/>
    <w:rsid w:val="003345C6"/>
    <w:rsid w:val="003448F4"/>
    <w:rsid w:val="00346217"/>
    <w:rsid w:val="00356999"/>
    <w:rsid w:val="003639A5"/>
    <w:rsid w:val="00374F5E"/>
    <w:rsid w:val="00375A69"/>
    <w:rsid w:val="00377E3E"/>
    <w:rsid w:val="00380918"/>
    <w:rsid w:val="003971DC"/>
    <w:rsid w:val="003A2E2D"/>
    <w:rsid w:val="003A779E"/>
    <w:rsid w:val="003B1736"/>
    <w:rsid w:val="003D0F4D"/>
    <w:rsid w:val="003D2678"/>
    <w:rsid w:val="003D5B0D"/>
    <w:rsid w:val="003E0499"/>
    <w:rsid w:val="003E2F6B"/>
    <w:rsid w:val="003F3941"/>
    <w:rsid w:val="00406575"/>
    <w:rsid w:val="00407E88"/>
    <w:rsid w:val="004138FA"/>
    <w:rsid w:val="00414C74"/>
    <w:rsid w:val="0041525F"/>
    <w:rsid w:val="00415D34"/>
    <w:rsid w:val="00426213"/>
    <w:rsid w:val="0042722E"/>
    <w:rsid w:val="00427CB4"/>
    <w:rsid w:val="0044528D"/>
    <w:rsid w:val="0045001C"/>
    <w:rsid w:val="00473696"/>
    <w:rsid w:val="00475AA4"/>
    <w:rsid w:val="00480E56"/>
    <w:rsid w:val="00487F18"/>
    <w:rsid w:val="0049089A"/>
    <w:rsid w:val="00493AF3"/>
    <w:rsid w:val="004A1847"/>
    <w:rsid w:val="004A305D"/>
    <w:rsid w:val="004B36AC"/>
    <w:rsid w:val="004B50C2"/>
    <w:rsid w:val="004B682E"/>
    <w:rsid w:val="004B6A47"/>
    <w:rsid w:val="004C63BA"/>
    <w:rsid w:val="004C7829"/>
    <w:rsid w:val="004D1F94"/>
    <w:rsid w:val="004F06EF"/>
    <w:rsid w:val="004F21C4"/>
    <w:rsid w:val="004F462A"/>
    <w:rsid w:val="004F685F"/>
    <w:rsid w:val="0050790C"/>
    <w:rsid w:val="0053223E"/>
    <w:rsid w:val="00532358"/>
    <w:rsid w:val="005359FF"/>
    <w:rsid w:val="00537729"/>
    <w:rsid w:val="005566E8"/>
    <w:rsid w:val="0056164A"/>
    <w:rsid w:val="00567040"/>
    <w:rsid w:val="00574867"/>
    <w:rsid w:val="00574F32"/>
    <w:rsid w:val="005760D5"/>
    <w:rsid w:val="005764F6"/>
    <w:rsid w:val="005806A6"/>
    <w:rsid w:val="00591460"/>
    <w:rsid w:val="005948AC"/>
    <w:rsid w:val="005B3816"/>
    <w:rsid w:val="005B4680"/>
    <w:rsid w:val="005B65F1"/>
    <w:rsid w:val="005C3777"/>
    <w:rsid w:val="005C4991"/>
    <w:rsid w:val="005C5CDC"/>
    <w:rsid w:val="005C7DAB"/>
    <w:rsid w:val="005D476C"/>
    <w:rsid w:val="005D6FC4"/>
    <w:rsid w:val="005E69AD"/>
    <w:rsid w:val="00602354"/>
    <w:rsid w:val="0061329B"/>
    <w:rsid w:val="006219F8"/>
    <w:rsid w:val="006250A9"/>
    <w:rsid w:val="00631045"/>
    <w:rsid w:val="00634262"/>
    <w:rsid w:val="00637BBF"/>
    <w:rsid w:val="00641205"/>
    <w:rsid w:val="006420DB"/>
    <w:rsid w:val="006437E3"/>
    <w:rsid w:val="00656A22"/>
    <w:rsid w:val="00665BEE"/>
    <w:rsid w:val="00665D70"/>
    <w:rsid w:val="00675FED"/>
    <w:rsid w:val="00685502"/>
    <w:rsid w:val="006874D3"/>
    <w:rsid w:val="006900D9"/>
    <w:rsid w:val="006A0288"/>
    <w:rsid w:val="006A7425"/>
    <w:rsid w:val="006B2C02"/>
    <w:rsid w:val="006C1039"/>
    <w:rsid w:val="006C33AA"/>
    <w:rsid w:val="006D7121"/>
    <w:rsid w:val="006E5C36"/>
    <w:rsid w:val="006F60F9"/>
    <w:rsid w:val="00706C16"/>
    <w:rsid w:val="007108E5"/>
    <w:rsid w:val="0072552A"/>
    <w:rsid w:val="0073141C"/>
    <w:rsid w:val="00732921"/>
    <w:rsid w:val="00747A2A"/>
    <w:rsid w:val="00756841"/>
    <w:rsid w:val="00763E4A"/>
    <w:rsid w:val="007649AB"/>
    <w:rsid w:val="00771D0C"/>
    <w:rsid w:val="00773148"/>
    <w:rsid w:val="007733E9"/>
    <w:rsid w:val="007771F9"/>
    <w:rsid w:val="007833AC"/>
    <w:rsid w:val="00794CF0"/>
    <w:rsid w:val="007A08A9"/>
    <w:rsid w:val="007A16C2"/>
    <w:rsid w:val="007B268C"/>
    <w:rsid w:val="007B7171"/>
    <w:rsid w:val="007C0C0F"/>
    <w:rsid w:val="007C3DC2"/>
    <w:rsid w:val="007E5497"/>
    <w:rsid w:val="007E6525"/>
    <w:rsid w:val="00806F5F"/>
    <w:rsid w:val="00810CF4"/>
    <w:rsid w:val="00820278"/>
    <w:rsid w:val="00826A46"/>
    <w:rsid w:val="008303DD"/>
    <w:rsid w:val="008323CA"/>
    <w:rsid w:val="008336AA"/>
    <w:rsid w:val="00843C21"/>
    <w:rsid w:val="00854443"/>
    <w:rsid w:val="00867581"/>
    <w:rsid w:val="00867F95"/>
    <w:rsid w:val="008843B6"/>
    <w:rsid w:val="00885EDB"/>
    <w:rsid w:val="00891928"/>
    <w:rsid w:val="00894D4F"/>
    <w:rsid w:val="008A217A"/>
    <w:rsid w:val="008A30DF"/>
    <w:rsid w:val="008A446D"/>
    <w:rsid w:val="008A5CDB"/>
    <w:rsid w:val="008A65FF"/>
    <w:rsid w:val="008B22D4"/>
    <w:rsid w:val="008B5BD4"/>
    <w:rsid w:val="008B6069"/>
    <w:rsid w:val="008D180B"/>
    <w:rsid w:val="008E2432"/>
    <w:rsid w:val="008F0EA7"/>
    <w:rsid w:val="008F7110"/>
    <w:rsid w:val="009015F2"/>
    <w:rsid w:val="0090373B"/>
    <w:rsid w:val="009144A7"/>
    <w:rsid w:val="009144FE"/>
    <w:rsid w:val="00916515"/>
    <w:rsid w:val="00923EEF"/>
    <w:rsid w:val="00924E1E"/>
    <w:rsid w:val="00924FA3"/>
    <w:rsid w:val="00926872"/>
    <w:rsid w:val="00933CFF"/>
    <w:rsid w:val="009419F9"/>
    <w:rsid w:val="00943E42"/>
    <w:rsid w:val="00951BE3"/>
    <w:rsid w:val="009552F8"/>
    <w:rsid w:val="0095685E"/>
    <w:rsid w:val="00961B09"/>
    <w:rsid w:val="00962C5E"/>
    <w:rsid w:val="00965334"/>
    <w:rsid w:val="0097093E"/>
    <w:rsid w:val="00972BE4"/>
    <w:rsid w:val="009763D2"/>
    <w:rsid w:val="00980385"/>
    <w:rsid w:val="00986AC5"/>
    <w:rsid w:val="00991968"/>
    <w:rsid w:val="009A0DFA"/>
    <w:rsid w:val="009A2609"/>
    <w:rsid w:val="009A5D6C"/>
    <w:rsid w:val="009B1A9F"/>
    <w:rsid w:val="009B2D26"/>
    <w:rsid w:val="009C3C72"/>
    <w:rsid w:val="009C71FA"/>
    <w:rsid w:val="009C72E7"/>
    <w:rsid w:val="009D0270"/>
    <w:rsid w:val="009D3058"/>
    <w:rsid w:val="009E066B"/>
    <w:rsid w:val="009E7558"/>
    <w:rsid w:val="009F3A13"/>
    <w:rsid w:val="009F414F"/>
    <w:rsid w:val="009F52CB"/>
    <w:rsid w:val="009F7EEF"/>
    <w:rsid w:val="00A01384"/>
    <w:rsid w:val="00A122D3"/>
    <w:rsid w:val="00A14F13"/>
    <w:rsid w:val="00A17F13"/>
    <w:rsid w:val="00A20739"/>
    <w:rsid w:val="00A2105A"/>
    <w:rsid w:val="00A24C35"/>
    <w:rsid w:val="00A33C78"/>
    <w:rsid w:val="00A46BDF"/>
    <w:rsid w:val="00A51CB5"/>
    <w:rsid w:val="00A52834"/>
    <w:rsid w:val="00A54961"/>
    <w:rsid w:val="00A64017"/>
    <w:rsid w:val="00A67421"/>
    <w:rsid w:val="00A73B02"/>
    <w:rsid w:val="00A800B4"/>
    <w:rsid w:val="00AA1AB8"/>
    <w:rsid w:val="00AB0ADB"/>
    <w:rsid w:val="00AB2F12"/>
    <w:rsid w:val="00AC032B"/>
    <w:rsid w:val="00AC19F6"/>
    <w:rsid w:val="00AD1D1F"/>
    <w:rsid w:val="00AF1ED2"/>
    <w:rsid w:val="00AF5AD6"/>
    <w:rsid w:val="00AF6E4E"/>
    <w:rsid w:val="00B01B1A"/>
    <w:rsid w:val="00B023E1"/>
    <w:rsid w:val="00B0362B"/>
    <w:rsid w:val="00B0429C"/>
    <w:rsid w:val="00B10334"/>
    <w:rsid w:val="00B13ACF"/>
    <w:rsid w:val="00B13F9B"/>
    <w:rsid w:val="00B23BA1"/>
    <w:rsid w:val="00B2560E"/>
    <w:rsid w:val="00B30A77"/>
    <w:rsid w:val="00B31D93"/>
    <w:rsid w:val="00B403F3"/>
    <w:rsid w:val="00B41E30"/>
    <w:rsid w:val="00B45CE8"/>
    <w:rsid w:val="00B460A5"/>
    <w:rsid w:val="00B54B1C"/>
    <w:rsid w:val="00B66319"/>
    <w:rsid w:val="00B669D8"/>
    <w:rsid w:val="00B72CD3"/>
    <w:rsid w:val="00B72F80"/>
    <w:rsid w:val="00B72FFF"/>
    <w:rsid w:val="00B74C13"/>
    <w:rsid w:val="00B97F61"/>
    <w:rsid w:val="00BA29CE"/>
    <w:rsid w:val="00BA7AA4"/>
    <w:rsid w:val="00BB5A06"/>
    <w:rsid w:val="00BB6CF9"/>
    <w:rsid w:val="00BB7180"/>
    <w:rsid w:val="00BB7335"/>
    <w:rsid w:val="00BB7ECF"/>
    <w:rsid w:val="00BC3D36"/>
    <w:rsid w:val="00BD5624"/>
    <w:rsid w:val="00BD7F72"/>
    <w:rsid w:val="00BE36F8"/>
    <w:rsid w:val="00C04FB3"/>
    <w:rsid w:val="00C14BFF"/>
    <w:rsid w:val="00C17C49"/>
    <w:rsid w:val="00C203C3"/>
    <w:rsid w:val="00C21F3A"/>
    <w:rsid w:val="00C22001"/>
    <w:rsid w:val="00C31B11"/>
    <w:rsid w:val="00C330EB"/>
    <w:rsid w:val="00C41061"/>
    <w:rsid w:val="00C47954"/>
    <w:rsid w:val="00C47F96"/>
    <w:rsid w:val="00C63058"/>
    <w:rsid w:val="00C721CD"/>
    <w:rsid w:val="00C754BE"/>
    <w:rsid w:val="00C76B1C"/>
    <w:rsid w:val="00C84124"/>
    <w:rsid w:val="00C8467B"/>
    <w:rsid w:val="00C846DC"/>
    <w:rsid w:val="00C90C14"/>
    <w:rsid w:val="00C91AF4"/>
    <w:rsid w:val="00C9219A"/>
    <w:rsid w:val="00CA01D8"/>
    <w:rsid w:val="00CA184F"/>
    <w:rsid w:val="00CA6159"/>
    <w:rsid w:val="00CB6357"/>
    <w:rsid w:val="00CB7B40"/>
    <w:rsid w:val="00CC1B26"/>
    <w:rsid w:val="00CC4186"/>
    <w:rsid w:val="00CC5B4B"/>
    <w:rsid w:val="00CD0A5B"/>
    <w:rsid w:val="00CE4121"/>
    <w:rsid w:val="00CE429E"/>
    <w:rsid w:val="00CE66CC"/>
    <w:rsid w:val="00CE685E"/>
    <w:rsid w:val="00D10C3B"/>
    <w:rsid w:val="00D10FFF"/>
    <w:rsid w:val="00D237B8"/>
    <w:rsid w:val="00D32BBA"/>
    <w:rsid w:val="00D36635"/>
    <w:rsid w:val="00D37E00"/>
    <w:rsid w:val="00D423A2"/>
    <w:rsid w:val="00D431A3"/>
    <w:rsid w:val="00D44DAC"/>
    <w:rsid w:val="00D51274"/>
    <w:rsid w:val="00D520D8"/>
    <w:rsid w:val="00D52AEA"/>
    <w:rsid w:val="00D52E51"/>
    <w:rsid w:val="00D63AC2"/>
    <w:rsid w:val="00D67486"/>
    <w:rsid w:val="00D72FB2"/>
    <w:rsid w:val="00D7383B"/>
    <w:rsid w:val="00D73921"/>
    <w:rsid w:val="00D75DA2"/>
    <w:rsid w:val="00D807CA"/>
    <w:rsid w:val="00D80C98"/>
    <w:rsid w:val="00DA231B"/>
    <w:rsid w:val="00DB1CDB"/>
    <w:rsid w:val="00DC366F"/>
    <w:rsid w:val="00DC39FC"/>
    <w:rsid w:val="00DF5254"/>
    <w:rsid w:val="00E10F5E"/>
    <w:rsid w:val="00E16408"/>
    <w:rsid w:val="00E1659F"/>
    <w:rsid w:val="00E20894"/>
    <w:rsid w:val="00E245AB"/>
    <w:rsid w:val="00E25A6A"/>
    <w:rsid w:val="00E2764C"/>
    <w:rsid w:val="00E27F2E"/>
    <w:rsid w:val="00E41707"/>
    <w:rsid w:val="00E443AF"/>
    <w:rsid w:val="00E445EC"/>
    <w:rsid w:val="00E50AFE"/>
    <w:rsid w:val="00E53417"/>
    <w:rsid w:val="00E75C92"/>
    <w:rsid w:val="00E771DC"/>
    <w:rsid w:val="00E8182D"/>
    <w:rsid w:val="00E8772A"/>
    <w:rsid w:val="00E90F6B"/>
    <w:rsid w:val="00E92C27"/>
    <w:rsid w:val="00E96AE3"/>
    <w:rsid w:val="00E976F8"/>
    <w:rsid w:val="00EA0E3D"/>
    <w:rsid w:val="00EA3856"/>
    <w:rsid w:val="00EA70F7"/>
    <w:rsid w:val="00EB76B6"/>
    <w:rsid w:val="00EC197C"/>
    <w:rsid w:val="00EC38A7"/>
    <w:rsid w:val="00ED706A"/>
    <w:rsid w:val="00ED7384"/>
    <w:rsid w:val="00EE1AA8"/>
    <w:rsid w:val="00EF204B"/>
    <w:rsid w:val="00EF736C"/>
    <w:rsid w:val="00F04945"/>
    <w:rsid w:val="00F05362"/>
    <w:rsid w:val="00F124F7"/>
    <w:rsid w:val="00F13259"/>
    <w:rsid w:val="00F16E96"/>
    <w:rsid w:val="00F2696E"/>
    <w:rsid w:val="00F2789C"/>
    <w:rsid w:val="00F30C63"/>
    <w:rsid w:val="00F31EDC"/>
    <w:rsid w:val="00F33245"/>
    <w:rsid w:val="00F416A1"/>
    <w:rsid w:val="00F418EF"/>
    <w:rsid w:val="00F462B3"/>
    <w:rsid w:val="00F47338"/>
    <w:rsid w:val="00F5664F"/>
    <w:rsid w:val="00F666C4"/>
    <w:rsid w:val="00F76AFC"/>
    <w:rsid w:val="00F90546"/>
    <w:rsid w:val="00F9591F"/>
    <w:rsid w:val="00F95D89"/>
    <w:rsid w:val="00FA0C2E"/>
    <w:rsid w:val="00FA3CFE"/>
    <w:rsid w:val="00FA47C0"/>
    <w:rsid w:val="00FB5DD1"/>
    <w:rsid w:val="00FC13EB"/>
    <w:rsid w:val="00FC2B5D"/>
    <w:rsid w:val="00FC6FA1"/>
    <w:rsid w:val="00FD34E6"/>
    <w:rsid w:val="00FF1449"/>
    <w:rsid w:val="00FF395A"/>
    <w:rsid w:val="00FF49D7"/>
    <w:rsid w:val="00FF5A9D"/>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182D"/>
    <w:rPr>
      <w:rFonts w:ascii="Geomanist Light" w:hAnsi="Geomanist Light"/>
      <w:lang w:val="es-ES"/>
    </w:rPr>
  </w:style>
  <w:style w:type="paragraph" w:customStyle="1" w:styleId="Appelnotedebasde">
    <w:name w:val="Appel note de bas de..."/>
    <w:basedOn w:val="Normal"/>
    <w:link w:val="Refdenotaalpie"/>
    <w:uiPriority w:val="99"/>
    <w:rsid w:val="00E8182D"/>
    <w:pPr>
      <w:spacing w:line="240" w:lineRule="exact"/>
    </w:pPr>
    <w:rPr>
      <w:vertAlign w:val="superscript"/>
    </w:rPr>
  </w:style>
  <w:style w:type="character" w:styleId="Refdecomentario">
    <w:name w:val="annotation reference"/>
    <w:basedOn w:val="Fuentedeprrafopredeter"/>
    <w:uiPriority w:val="99"/>
    <w:semiHidden/>
    <w:unhideWhenUsed/>
    <w:rsid w:val="00BA7AA4"/>
    <w:rPr>
      <w:sz w:val="16"/>
      <w:szCs w:val="16"/>
    </w:rPr>
  </w:style>
  <w:style w:type="paragraph" w:styleId="Textocomentario">
    <w:name w:val="annotation text"/>
    <w:basedOn w:val="Normal"/>
    <w:link w:val="TextocomentarioCar"/>
    <w:uiPriority w:val="99"/>
    <w:unhideWhenUsed/>
    <w:rsid w:val="00BA7AA4"/>
    <w:pPr>
      <w:spacing w:line="240" w:lineRule="auto"/>
    </w:pPr>
    <w:rPr>
      <w:sz w:val="20"/>
      <w:szCs w:val="20"/>
    </w:rPr>
  </w:style>
  <w:style w:type="character" w:customStyle="1" w:styleId="TextocomentarioCar">
    <w:name w:val="Texto comentario Car"/>
    <w:basedOn w:val="Fuentedeprrafopredeter"/>
    <w:link w:val="Textocomentario"/>
    <w:uiPriority w:val="99"/>
    <w:rsid w:val="00BA7AA4"/>
    <w:rPr>
      <w:sz w:val="20"/>
      <w:szCs w:val="20"/>
    </w:rPr>
  </w:style>
  <w:style w:type="paragraph" w:styleId="Asuntodelcomentario">
    <w:name w:val="annotation subject"/>
    <w:basedOn w:val="Textocomentario"/>
    <w:next w:val="Textocomentario"/>
    <w:link w:val="AsuntodelcomentarioCar"/>
    <w:uiPriority w:val="99"/>
    <w:semiHidden/>
    <w:unhideWhenUsed/>
    <w:rsid w:val="00BA7AA4"/>
    <w:rPr>
      <w:b/>
      <w:bCs/>
    </w:rPr>
  </w:style>
  <w:style w:type="character" w:customStyle="1" w:styleId="AsuntodelcomentarioCar">
    <w:name w:val="Asunto del comentario Car"/>
    <w:basedOn w:val="TextocomentarioCar"/>
    <w:link w:val="Asuntodelcomentario"/>
    <w:uiPriority w:val="99"/>
    <w:semiHidden/>
    <w:rsid w:val="00BA7AA4"/>
    <w:rPr>
      <w:b/>
      <w:bCs/>
      <w:sz w:val="20"/>
      <w:szCs w:val="20"/>
    </w:rPr>
  </w:style>
  <w:style w:type="paragraph" w:styleId="Textoindependiente">
    <w:name w:val="Body Text"/>
    <w:basedOn w:val="Normal"/>
    <w:link w:val="TextoindependienteCar"/>
    <w:uiPriority w:val="1"/>
    <w:qFormat/>
    <w:rsid w:val="00CE429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CE429E"/>
    <w:rPr>
      <w:rFonts w:ascii="Arial" w:eastAsia="Arial" w:hAnsi="Arial" w:cs="Arial"/>
      <w:lang w:val="es-ES"/>
    </w:rPr>
  </w:style>
  <w:style w:type="character" w:styleId="Textoennegrita">
    <w:name w:val="Strong"/>
    <w:basedOn w:val="Fuentedeprrafopredeter"/>
    <w:uiPriority w:val="22"/>
    <w:qFormat/>
    <w:rsid w:val="001D1756"/>
    <w:rPr>
      <w:b/>
      <w:bCs/>
    </w:rPr>
  </w:style>
  <w:style w:type="character" w:customStyle="1" w:styleId="NormalWebCar">
    <w:name w:val="Normal (Web) Car"/>
    <w:link w:val="NormalWeb"/>
    <w:uiPriority w:val="99"/>
    <w:rsid w:val="00480E56"/>
    <w:rPr>
      <w:rFonts w:ascii="Times New Roman" w:eastAsia="Times New Roman" w:hAnsi="Times New Roman" w:cs="Times New Roman"/>
      <w:sz w:val="24"/>
      <w:szCs w:val="24"/>
      <w:lang w:eastAsia="es-CO"/>
    </w:rPr>
  </w:style>
  <w:style w:type="paragraph" w:styleId="Sinespaciado">
    <w:name w:val="No Spacing"/>
    <w:aliases w:val="No Indent"/>
    <w:link w:val="SinespaciadoCar"/>
    <w:uiPriority w:val="3"/>
    <w:qFormat/>
    <w:rsid w:val="001C174F"/>
    <w:pPr>
      <w:spacing w:after="0" w:line="240" w:lineRule="auto"/>
    </w:pPr>
    <w:rPr>
      <w:sz w:val="24"/>
      <w:lang w:val="es-MX"/>
    </w:rPr>
  </w:style>
  <w:style w:type="character" w:customStyle="1" w:styleId="SinespaciadoCar">
    <w:name w:val="Sin espaciado Car"/>
    <w:aliases w:val="No Indent Car"/>
    <w:link w:val="Sinespaciado"/>
    <w:uiPriority w:val="3"/>
    <w:rsid w:val="001C174F"/>
    <w:rPr>
      <w:sz w:val="24"/>
      <w:lang w:val="es-MX"/>
    </w:rPr>
  </w:style>
  <w:style w:type="character" w:customStyle="1" w:styleId="baj">
    <w:name w:val="b_aj"/>
    <w:basedOn w:val="Fuentedeprrafopredeter"/>
    <w:rsid w:val="00FF49D7"/>
  </w:style>
  <w:style w:type="character" w:styleId="nfasis">
    <w:name w:val="Emphasis"/>
    <w:basedOn w:val="Fuentedeprrafopredeter"/>
    <w:uiPriority w:val="20"/>
    <w:qFormat/>
    <w:rsid w:val="00FF49D7"/>
    <w:rPr>
      <w:i/>
      <w:iCs/>
    </w:rPr>
  </w:style>
  <w:style w:type="paragraph" w:customStyle="1" w:styleId="TableParagraph">
    <w:name w:val="Table Paragraph"/>
    <w:basedOn w:val="Normal"/>
    <w:uiPriority w:val="1"/>
    <w:qFormat/>
    <w:rsid w:val="00C31B11"/>
    <w:pPr>
      <w:widowControl w:val="0"/>
      <w:autoSpaceDE w:val="0"/>
      <w:autoSpaceDN w:val="0"/>
      <w:spacing w:after="0" w:line="208" w:lineRule="exact"/>
      <w:ind w:left="119"/>
    </w:pPr>
    <w:rPr>
      <w:rFonts w:ascii="Calibri" w:eastAsia="Calibri" w:hAnsi="Calibri" w:cs="Calibri"/>
      <w:lang w:val="es-ES"/>
    </w:rPr>
  </w:style>
  <w:style w:type="table" w:customStyle="1" w:styleId="TableNormal1">
    <w:name w:val="Table Normal1"/>
    <w:uiPriority w:val="2"/>
    <w:semiHidden/>
    <w:unhideWhenUsed/>
    <w:qFormat/>
    <w:rsid w:val="00C31B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superscript">
    <w:name w:val="superscript"/>
    <w:basedOn w:val="Fuentedeprrafopredeter"/>
    <w:rsid w:val="00A54961"/>
  </w:style>
  <w:style w:type="character" w:customStyle="1" w:styleId="spellingerror">
    <w:name w:val="spellingerror"/>
    <w:basedOn w:val="Fuentedeprrafopredeter"/>
    <w:rsid w:val="00933C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jpe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03AA1F0-9F6F-4876-9225-451B3DC985C7}"/>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DDA5537-7C51-42CD-BD85-281A9E281B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5429</Words>
  <Characters>29863</Characters>
  <Application>Microsoft Office Word</Application>
  <DocSecurity>0</DocSecurity>
  <Lines>248</Lines>
  <Paragraphs>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Rojas</cp:lastModifiedBy>
  <cp:revision>2</cp:revision>
  <cp:lastPrinted>2023-01-10T21:18:00Z</cp:lastPrinted>
  <dcterms:created xsi:type="dcterms:W3CDTF">2025-12-15T17:02:00Z</dcterms:created>
  <dcterms:modified xsi:type="dcterms:W3CDTF">2025-12-15T17:02:00Z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